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8" w:lineRule="auto"/>
        <w:ind w:left="1775"/>
        <w:rPr>
          <w:rFonts w:hint="eastAsia" w:ascii="宋体" w:hAnsi="宋体" w:cs="宋体"/>
          <w:spacing w:val="-2"/>
          <w:sz w:val="60"/>
          <w:szCs w:val="60"/>
        </w:rPr>
      </w:pPr>
      <w:bookmarkStart w:id="3325" w:name="_GoBack"/>
      <w:bookmarkEnd w:id="3325"/>
    </w:p>
    <w:p>
      <w:pPr>
        <w:spacing w:before="195" w:line="218" w:lineRule="auto"/>
        <w:ind w:left="1775"/>
        <w:rPr>
          <w:rFonts w:ascii="宋体" w:hAnsi="宋体" w:cs="宋体"/>
          <w:spacing w:val="-2"/>
          <w:sz w:val="60"/>
          <w:szCs w:val="60"/>
        </w:rPr>
      </w:pPr>
    </w:p>
    <w:p>
      <w:pPr>
        <w:spacing w:before="195" w:line="219" w:lineRule="auto"/>
        <w:ind w:left="1775"/>
        <w:outlineLvl w:val="0"/>
        <w:rPr>
          <w:rFonts w:ascii="宋体" w:hAnsi="宋体" w:cs="宋体"/>
          <w:sz w:val="60"/>
          <w:szCs w:val="60"/>
        </w:rPr>
      </w:pPr>
      <w:r>
        <w:rPr>
          <w:rFonts w:ascii="宋体" w:hAnsi="宋体" w:cs="宋体"/>
          <w:spacing w:val="-2"/>
          <w:sz w:val="60"/>
          <w:szCs w:val="60"/>
        </w:rPr>
        <w:t>北京市政府采购项目</w:t>
      </w:r>
    </w:p>
    <w:p>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pPr>
        <w:spacing w:line="248" w:lineRule="auto"/>
        <w:rPr>
          <w:rFonts w:ascii="宋体" w:hAnsi="宋体"/>
        </w:rPr>
      </w:pPr>
    </w:p>
    <w:p>
      <w:pPr>
        <w:spacing w:line="248" w:lineRule="auto"/>
        <w:rPr>
          <w:rFonts w:ascii="宋体" w:hAnsi="宋体"/>
        </w:rPr>
      </w:pPr>
    </w:p>
    <w:p>
      <w:pPr>
        <w:spacing w:line="248" w:lineRule="auto"/>
        <w:rPr>
          <w:rFonts w:ascii="宋体" w:hAnsi="宋体"/>
        </w:rPr>
      </w:pPr>
    </w:p>
    <w:p>
      <w:pPr>
        <w:spacing w:line="249" w:lineRule="auto"/>
        <w:rPr>
          <w:rFonts w:ascii="宋体" w:hAnsi="宋体"/>
        </w:rPr>
      </w:pPr>
    </w:p>
    <w:p>
      <w:pPr>
        <w:spacing w:line="249" w:lineRule="auto"/>
        <w:rPr>
          <w:rFonts w:ascii="宋体" w:hAnsi="宋体"/>
        </w:rPr>
      </w:pPr>
    </w:p>
    <w:p>
      <w:pPr>
        <w:spacing w:line="249" w:lineRule="auto"/>
        <w:rPr>
          <w:rFonts w:ascii="宋体" w:hAnsi="宋体"/>
        </w:rPr>
      </w:pPr>
    </w:p>
    <w:p>
      <w:pPr>
        <w:spacing w:line="249" w:lineRule="auto"/>
        <w:jc w:val="center"/>
        <w:rPr>
          <w:rFonts w:hint="eastAsia" w:ascii="宋体" w:hAnsi="宋体"/>
        </w:rPr>
      </w:pPr>
      <w:r>
        <w:rPr>
          <w:rFonts w:ascii="宋体" w:hAnsi="宋体"/>
          <w:b/>
          <w:sz w:val="52"/>
          <w:lang/>
        </w:rPr>
        <w:drawing>
          <wp:inline distT="0" distB="0" distL="114300" distR="114300">
            <wp:extent cx="3316605" cy="2325370"/>
            <wp:effectExtent l="0" t="0" r="10795" b="11430"/>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pic:cNvPicPr>
                  </pic:nvPicPr>
                  <pic:blipFill>
                    <a:blip r:embed="rId40"/>
                    <a:stretch>
                      <a:fillRect/>
                    </a:stretch>
                  </pic:blipFill>
                  <pic:spPr>
                    <a:xfrm>
                      <a:off x="0" y="0"/>
                      <a:ext cx="3316605" cy="2325370"/>
                    </a:xfrm>
                    <a:prstGeom prst="rect">
                      <a:avLst/>
                    </a:prstGeom>
                    <a:noFill/>
                    <a:ln>
                      <a:noFill/>
                    </a:ln>
                  </pic:spPr>
                </pic:pic>
              </a:graphicData>
            </a:graphic>
          </wp:inline>
        </w:drawing>
      </w:r>
    </w:p>
    <w:p>
      <w:pPr>
        <w:spacing w:line="249" w:lineRule="auto"/>
        <w:rPr>
          <w:rFonts w:ascii="宋体" w:hAnsi="宋体"/>
        </w:rPr>
      </w:pPr>
    </w:p>
    <w:p>
      <w:pPr>
        <w:spacing w:line="249" w:lineRule="auto"/>
        <w:rPr>
          <w:rFonts w:ascii="宋体" w:hAnsi="宋体"/>
        </w:rPr>
      </w:pPr>
    </w:p>
    <w:p>
      <w:pPr>
        <w:spacing w:before="117" w:line="360" w:lineRule="auto"/>
        <w:ind w:left="424" w:leftChars="202"/>
        <w:rPr>
          <w:rFonts w:ascii="宋体" w:hAnsi="宋体" w:cs="宋体"/>
          <w:spacing w:val="-17"/>
          <w:sz w:val="36"/>
          <w:szCs w:val="36"/>
        </w:rPr>
      </w:pPr>
      <w:r>
        <w:rPr>
          <w:rFonts w:ascii="宋体" w:hAnsi="宋体" w:cs="宋体"/>
          <w:spacing w:val="-17"/>
          <w:sz w:val="36"/>
          <w:szCs w:val="36"/>
        </w:rPr>
        <w:t>项目名称：</w:t>
      </w:r>
      <w:r>
        <w:rPr>
          <w:rFonts w:hint="eastAsia" w:ascii="宋体" w:hAnsi="宋体" w:cs="宋体"/>
          <w:spacing w:val="-17"/>
          <w:sz w:val="36"/>
          <w:szCs w:val="36"/>
        </w:rPr>
        <w:t>北京市房山区长阳第三小学（首都师范大学附属育新学校房山分校大宁校区）食堂操作间维修提升项目</w:t>
      </w:r>
    </w:p>
    <w:p>
      <w:pPr>
        <w:spacing w:before="117" w:line="360" w:lineRule="auto"/>
        <w:ind w:left="424" w:leftChars="202"/>
        <w:rPr>
          <w:rFonts w:ascii="宋体" w:hAnsi="宋体" w:cs="宋体"/>
          <w:spacing w:val="-17"/>
          <w:sz w:val="36"/>
          <w:szCs w:val="36"/>
        </w:rPr>
      </w:pPr>
      <w:r>
        <w:rPr>
          <w:rFonts w:ascii="宋体" w:hAnsi="宋体" w:cs="宋体"/>
          <w:spacing w:val="-17"/>
          <w:sz w:val="36"/>
          <w:szCs w:val="36"/>
        </w:rPr>
        <w:t>项目编号/包号：BMCC-GC25-0047</w:t>
      </w:r>
    </w:p>
    <w:p>
      <w:pPr>
        <w:spacing w:before="117" w:line="360" w:lineRule="auto"/>
        <w:ind w:left="424" w:leftChars="202"/>
        <w:rPr>
          <w:rFonts w:ascii="宋体" w:hAnsi="宋体" w:cs="宋体"/>
          <w:spacing w:val="-17"/>
          <w:sz w:val="36"/>
          <w:szCs w:val="36"/>
        </w:rPr>
      </w:pPr>
      <w:r>
        <w:rPr>
          <w:rFonts w:ascii="宋体" w:hAnsi="宋体" w:cs="宋体"/>
          <w:spacing w:val="-17"/>
          <w:sz w:val="36"/>
          <w:szCs w:val="36"/>
        </w:rPr>
        <w:t>采 购 人：</w:t>
      </w:r>
      <w:r>
        <w:rPr>
          <w:rFonts w:hint="eastAsia" w:ascii="宋体" w:hAnsi="宋体" w:cs="宋体"/>
          <w:spacing w:val="-17"/>
          <w:sz w:val="36"/>
          <w:szCs w:val="36"/>
        </w:rPr>
        <w:t>首都师范大学附属育新学校房山分校</w:t>
      </w:r>
    </w:p>
    <w:p>
      <w:pPr>
        <w:spacing w:before="117" w:line="360" w:lineRule="auto"/>
        <w:ind w:left="424" w:leftChars="202"/>
        <w:rPr>
          <w:rFonts w:ascii="宋体" w:hAnsi="宋体" w:cs="宋体"/>
          <w:spacing w:val="-17"/>
          <w:sz w:val="36"/>
          <w:szCs w:val="36"/>
        </w:rPr>
      </w:pPr>
      <w:r>
        <w:rPr>
          <w:rFonts w:ascii="宋体" w:hAnsi="宋体" w:cs="宋体"/>
          <w:spacing w:val="-17"/>
          <w:sz w:val="36"/>
          <w:szCs w:val="36"/>
        </w:rPr>
        <w:t>采购代理机构：</w:t>
      </w:r>
      <w:r>
        <w:rPr>
          <w:rFonts w:hint="eastAsia" w:ascii="宋体" w:hAnsi="宋体" w:cs="宋体"/>
          <w:spacing w:val="-17"/>
          <w:sz w:val="36"/>
          <w:szCs w:val="36"/>
        </w:rPr>
        <w:t>北京明德致信咨询有限公司</w:t>
      </w:r>
    </w:p>
    <w:p>
      <w:pPr>
        <w:spacing w:before="117" w:line="360" w:lineRule="auto"/>
        <w:ind w:left="424" w:leftChars="202"/>
        <w:rPr>
          <w:rFonts w:ascii="宋体" w:hAnsi="宋体" w:cs="宋体"/>
          <w:spacing w:val="-17"/>
          <w:sz w:val="36"/>
          <w:szCs w:val="36"/>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18" w:right="1134" w:bottom="1418" w:left="1701" w:header="851" w:footer="851" w:gutter="0"/>
          <w:pgNumType w:start="1"/>
          <w:cols w:space="720" w:num="1"/>
          <w:titlePg/>
          <w:docGrid w:linePitch="462" w:charSpace="0"/>
        </w:sectPr>
      </w:pPr>
    </w:p>
    <w:p>
      <w:pPr>
        <w:widowControl/>
        <w:jc w:val="left"/>
        <w:rPr>
          <w:rFonts w:ascii="宋体" w:hAnsi="宋体"/>
          <w:kern w:val="0"/>
          <w:sz w:val="24"/>
        </w:rPr>
      </w:pPr>
    </w:p>
    <w:p>
      <w:pPr>
        <w:pStyle w:val="205"/>
        <w:spacing w:line="360" w:lineRule="auto"/>
        <w:rPr>
          <w:rFonts w:ascii="宋体" w:hAnsi="宋体" w:cs="Times New Roman"/>
          <w:color w:val="auto"/>
        </w:rPr>
      </w:pPr>
    </w:p>
    <w:p>
      <w:pPr>
        <w:spacing w:line="360" w:lineRule="auto"/>
        <w:jc w:val="center"/>
        <w:outlineLvl w:val="0"/>
        <w:rPr>
          <w:rFonts w:ascii="宋体" w:hAnsi="宋体"/>
          <w:b/>
          <w:sz w:val="36"/>
          <w:szCs w:val="36"/>
        </w:rPr>
      </w:pPr>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p>
    <w:p>
      <w:pPr>
        <w:rPr>
          <w:rFonts w:ascii="宋体" w:hAnsi="宋体"/>
        </w:rPr>
      </w:pPr>
    </w:p>
    <w:p>
      <w:pPr>
        <w:rPr>
          <w:rFonts w:ascii="宋体" w:hAnsi="宋体"/>
        </w:rPr>
      </w:pPr>
    </w:p>
    <w:p>
      <w:pPr>
        <w:rPr>
          <w:rFonts w:ascii="宋体" w:hAnsi="宋体"/>
        </w:rPr>
      </w:pPr>
    </w:p>
    <w:p>
      <w:pPr>
        <w:rPr>
          <w:rFonts w:ascii="宋体" w:hAnsi="宋体"/>
        </w:rPr>
      </w:pPr>
    </w:p>
    <w:p>
      <w:pPr>
        <w:pStyle w:val="39"/>
        <w:spacing w:line="360" w:lineRule="auto"/>
        <w:rPr>
          <w:b w:val="0"/>
          <w:sz w:val="21"/>
          <w:szCs w:val="22"/>
          <w:lang/>
        </w:rPr>
      </w:pPr>
      <w:r>
        <w:rPr>
          <w:b w:val="0"/>
        </w:rPr>
        <w:fldChar w:fldCharType="begin"/>
      </w:r>
      <w:r>
        <w:rPr>
          <w:b w:val="0"/>
        </w:rPr>
        <w:instrText xml:space="preserve"> TOC \o "1-1" \h \z \u </w:instrText>
      </w:r>
      <w:r>
        <w:rPr>
          <w:b w:val="0"/>
        </w:rPr>
        <w:fldChar w:fldCharType="separate"/>
      </w:r>
      <w:r>
        <w:rPr>
          <w:lang/>
        </w:rPr>
        <w:fldChar w:fldCharType="begin"/>
      </w:r>
      <w:r>
        <w:rPr>
          <w:lang/>
        </w:rPr>
        <w:instrText xml:space="preserve"> HYPERLINK \l "_Toc97371941" </w:instrText>
      </w:r>
      <w:r>
        <w:rPr>
          <w:lang/>
        </w:rPr>
        <w:fldChar w:fldCharType="separate"/>
      </w:r>
      <w:r>
        <w:rPr>
          <w:rStyle w:val="69"/>
          <w:color w:val="auto"/>
          <w:lang/>
        </w:rPr>
        <w:t>第一章   采购邀请</w:t>
      </w:r>
      <w:r>
        <w:rPr>
          <w:lang/>
        </w:rPr>
        <w:tab/>
      </w:r>
      <w:r>
        <w:rPr>
          <w:lang/>
        </w:rPr>
        <w:fldChar w:fldCharType="begin"/>
      </w:r>
      <w:r>
        <w:rPr>
          <w:lang/>
        </w:rPr>
        <w:instrText xml:space="preserve"> PAGEREF _Toc97371941 \h </w:instrText>
      </w:r>
      <w:r>
        <w:rPr>
          <w:lang/>
        </w:rPr>
        <w:fldChar w:fldCharType="separate"/>
      </w:r>
      <w:r>
        <w:rPr>
          <w:rFonts w:hint="eastAsia"/>
          <w:lang/>
        </w:rPr>
        <w:t>1</w:t>
      </w:r>
      <w:r>
        <w:rPr>
          <w:lang/>
        </w:rPr>
        <w:fldChar w:fldCharType="end"/>
      </w:r>
      <w:r>
        <w:rPr>
          <w:lang/>
        </w:rPr>
        <w:fldChar w:fldCharType="end"/>
      </w:r>
    </w:p>
    <w:p>
      <w:pPr>
        <w:pStyle w:val="39"/>
        <w:spacing w:line="360" w:lineRule="auto"/>
        <w:rPr>
          <w:b w:val="0"/>
          <w:sz w:val="21"/>
          <w:szCs w:val="22"/>
          <w:lang/>
        </w:rPr>
      </w:pPr>
      <w:r>
        <w:rPr>
          <w:lang/>
        </w:rPr>
        <w:fldChar w:fldCharType="begin"/>
      </w:r>
      <w:r>
        <w:rPr>
          <w:lang/>
        </w:rPr>
        <w:instrText xml:space="preserve"> HYPERLINK \l "_Toc97371942" </w:instrText>
      </w:r>
      <w:r>
        <w:rPr>
          <w:lang/>
        </w:rPr>
        <w:fldChar w:fldCharType="separate"/>
      </w:r>
      <w:r>
        <w:rPr>
          <w:rStyle w:val="69"/>
          <w:color w:val="auto"/>
          <w:lang/>
        </w:rPr>
        <w:t>第二章   供应商须知</w:t>
      </w:r>
      <w:r>
        <w:rPr>
          <w:lang/>
        </w:rPr>
        <w:tab/>
      </w:r>
      <w:r>
        <w:rPr>
          <w:lang/>
        </w:rPr>
        <w:fldChar w:fldCharType="begin"/>
      </w:r>
      <w:r>
        <w:rPr>
          <w:lang/>
        </w:rPr>
        <w:instrText xml:space="preserve"> PAGEREF _Toc97371942 \h </w:instrText>
      </w:r>
      <w:r>
        <w:rPr>
          <w:lang/>
        </w:rPr>
        <w:fldChar w:fldCharType="separate"/>
      </w:r>
      <w:r>
        <w:rPr>
          <w:rFonts w:hint="eastAsia"/>
          <w:lang/>
        </w:rPr>
        <w:t>6</w:t>
      </w:r>
      <w:r>
        <w:rPr>
          <w:lang/>
        </w:rPr>
        <w:fldChar w:fldCharType="end"/>
      </w:r>
      <w:r>
        <w:rPr>
          <w:lang/>
        </w:rPr>
        <w:fldChar w:fldCharType="end"/>
      </w:r>
    </w:p>
    <w:p>
      <w:pPr>
        <w:pStyle w:val="39"/>
        <w:spacing w:line="360" w:lineRule="auto"/>
        <w:rPr>
          <w:b w:val="0"/>
          <w:sz w:val="21"/>
          <w:szCs w:val="22"/>
          <w:lang/>
        </w:rPr>
      </w:pPr>
      <w:r>
        <w:rPr>
          <w:lang/>
        </w:rPr>
        <w:fldChar w:fldCharType="begin"/>
      </w:r>
      <w:r>
        <w:rPr>
          <w:lang/>
        </w:rPr>
        <w:instrText xml:space="preserve"> HYPERLINK \l "_Toc97371943" </w:instrText>
      </w:r>
      <w:r>
        <w:rPr>
          <w:lang/>
        </w:rPr>
        <w:fldChar w:fldCharType="separate"/>
      </w:r>
      <w:r>
        <w:rPr>
          <w:rStyle w:val="69"/>
          <w:color w:val="auto"/>
          <w:lang/>
        </w:rPr>
        <w:t>第三章   评审方法和评审标准</w:t>
      </w:r>
      <w:r>
        <w:rPr>
          <w:lang/>
        </w:rPr>
        <w:tab/>
      </w:r>
      <w:r>
        <w:rPr>
          <w:lang/>
        </w:rPr>
        <w:fldChar w:fldCharType="begin"/>
      </w:r>
      <w:r>
        <w:rPr>
          <w:lang/>
        </w:rPr>
        <w:instrText xml:space="preserve"> PAGEREF _Toc97371943 \h </w:instrText>
      </w:r>
      <w:r>
        <w:rPr>
          <w:lang/>
        </w:rPr>
        <w:fldChar w:fldCharType="separate"/>
      </w:r>
      <w:r>
        <w:rPr>
          <w:rFonts w:hint="eastAsia"/>
          <w:lang/>
        </w:rPr>
        <w:t>21</w:t>
      </w:r>
      <w:r>
        <w:rPr>
          <w:lang/>
        </w:rPr>
        <w:fldChar w:fldCharType="end"/>
      </w:r>
      <w:r>
        <w:rPr>
          <w:lang/>
        </w:rPr>
        <w:fldChar w:fldCharType="end"/>
      </w:r>
    </w:p>
    <w:p>
      <w:pPr>
        <w:pStyle w:val="39"/>
        <w:spacing w:line="360" w:lineRule="auto"/>
        <w:rPr>
          <w:b w:val="0"/>
          <w:sz w:val="21"/>
          <w:szCs w:val="22"/>
          <w:lang/>
        </w:rPr>
      </w:pPr>
      <w:r>
        <w:rPr>
          <w:lang/>
        </w:rPr>
        <w:fldChar w:fldCharType="begin"/>
      </w:r>
      <w:r>
        <w:rPr>
          <w:lang/>
        </w:rPr>
        <w:instrText xml:space="preserve"> HYPERLINK \l "_Toc97371945" </w:instrText>
      </w:r>
      <w:r>
        <w:rPr>
          <w:lang/>
        </w:rPr>
        <w:fldChar w:fldCharType="separate"/>
      </w:r>
      <w:r>
        <w:rPr>
          <w:rStyle w:val="69"/>
          <w:color w:val="auto"/>
          <w:lang/>
        </w:rPr>
        <w:t>第四章   采购需求</w:t>
      </w:r>
      <w:r>
        <w:rPr>
          <w:lang/>
        </w:rPr>
        <w:tab/>
      </w:r>
      <w:r>
        <w:rPr>
          <w:lang/>
        </w:rPr>
        <w:fldChar w:fldCharType="begin"/>
      </w:r>
      <w:r>
        <w:rPr>
          <w:lang/>
        </w:rPr>
        <w:instrText xml:space="preserve"> PAGEREF _Toc97371945 \h </w:instrText>
      </w:r>
      <w:r>
        <w:rPr>
          <w:lang/>
        </w:rPr>
        <w:fldChar w:fldCharType="separate"/>
      </w:r>
      <w:r>
        <w:rPr>
          <w:rFonts w:hint="eastAsia"/>
          <w:lang/>
        </w:rPr>
        <w:t>32</w:t>
      </w:r>
      <w:r>
        <w:rPr>
          <w:lang/>
        </w:rPr>
        <w:fldChar w:fldCharType="end"/>
      </w:r>
      <w:r>
        <w:rPr>
          <w:lang/>
        </w:rPr>
        <w:fldChar w:fldCharType="end"/>
      </w:r>
    </w:p>
    <w:p>
      <w:pPr>
        <w:pStyle w:val="39"/>
        <w:spacing w:line="360" w:lineRule="auto"/>
        <w:rPr>
          <w:b w:val="0"/>
          <w:sz w:val="21"/>
          <w:szCs w:val="22"/>
          <w:lang/>
        </w:rPr>
      </w:pPr>
      <w:r>
        <w:rPr>
          <w:lang/>
        </w:rPr>
        <w:fldChar w:fldCharType="begin"/>
      </w:r>
      <w:r>
        <w:rPr>
          <w:lang/>
        </w:rPr>
        <w:instrText xml:space="preserve"> HYPERLINK \l "_Toc97371946" </w:instrText>
      </w:r>
      <w:r>
        <w:rPr>
          <w:lang/>
        </w:rPr>
        <w:fldChar w:fldCharType="separate"/>
      </w:r>
      <w:r>
        <w:rPr>
          <w:rStyle w:val="69"/>
          <w:color w:val="auto"/>
          <w:lang/>
        </w:rPr>
        <w:t>第五章   合同草案条款</w:t>
      </w:r>
      <w:r>
        <w:rPr>
          <w:lang/>
        </w:rPr>
        <w:tab/>
      </w:r>
      <w:r>
        <w:rPr>
          <w:lang/>
        </w:rPr>
        <w:fldChar w:fldCharType="begin"/>
      </w:r>
      <w:r>
        <w:rPr>
          <w:lang/>
        </w:rPr>
        <w:instrText xml:space="preserve"> PAGEREF _Toc97371946 \h </w:instrText>
      </w:r>
      <w:r>
        <w:rPr>
          <w:lang/>
        </w:rPr>
        <w:fldChar w:fldCharType="separate"/>
      </w:r>
      <w:r>
        <w:rPr>
          <w:rFonts w:hint="eastAsia"/>
          <w:lang/>
        </w:rPr>
        <w:t>35</w:t>
      </w:r>
      <w:r>
        <w:rPr>
          <w:lang/>
        </w:rPr>
        <w:fldChar w:fldCharType="end"/>
      </w:r>
      <w:r>
        <w:rPr>
          <w:lang/>
        </w:rPr>
        <w:fldChar w:fldCharType="end"/>
      </w:r>
    </w:p>
    <w:p>
      <w:pPr>
        <w:pStyle w:val="39"/>
        <w:spacing w:line="360" w:lineRule="auto"/>
        <w:rPr>
          <w:b w:val="0"/>
          <w:sz w:val="21"/>
          <w:szCs w:val="22"/>
          <w:lang/>
        </w:rPr>
      </w:pPr>
      <w:r>
        <w:rPr>
          <w:lang/>
        </w:rPr>
        <w:fldChar w:fldCharType="begin"/>
      </w:r>
      <w:r>
        <w:rPr>
          <w:lang/>
        </w:rPr>
        <w:instrText xml:space="preserve"> HYPERLINK \l "_Toc97371947" </w:instrText>
      </w:r>
      <w:r>
        <w:rPr>
          <w:lang/>
        </w:rPr>
        <w:fldChar w:fldCharType="separate"/>
      </w:r>
      <w:r>
        <w:rPr>
          <w:rStyle w:val="69"/>
          <w:color w:val="auto"/>
          <w:lang/>
        </w:rPr>
        <w:t>第六章   响应文件格式</w:t>
      </w:r>
      <w:r>
        <w:rPr>
          <w:lang/>
        </w:rPr>
        <w:tab/>
      </w:r>
      <w:r>
        <w:rPr>
          <w:lang/>
        </w:rPr>
        <w:fldChar w:fldCharType="begin"/>
      </w:r>
      <w:r>
        <w:rPr>
          <w:lang/>
        </w:rPr>
        <w:instrText xml:space="preserve"> PAGEREF _Toc97371947 \h </w:instrText>
      </w:r>
      <w:r>
        <w:rPr>
          <w:lang/>
        </w:rPr>
        <w:fldChar w:fldCharType="separate"/>
      </w:r>
      <w:r>
        <w:rPr>
          <w:rFonts w:hint="eastAsia"/>
          <w:lang/>
        </w:rPr>
        <w:t>143</w:t>
      </w:r>
      <w:r>
        <w:rPr>
          <w:lang/>
        </w:rPr>
        <w:fldChar w:fldCharType="end"/>
      </w:r>
      <w:r>
        <w:rPr>
          <w:lang/>
        </w:rPr>
        <w:fldChar w:fldCharType="end"/>
      </w:r>
    </w:p>
    <w:p>
      <w:pPr>
        <w:pStyle w:val="39"/>
        <w:spacing w:line="360" w:lineRule="auto"/>
        <w:rPr>
          <w:b w:val="0"/>
        </w:rPr>
      </w:pPr>
      <w:r>
        <w:rPr>
          <w:b w:val="0"/>
        </w:rPr>
        <w:fldChar w:fldCharType="end"/>
      </w:r>
    </w:p>
    <w:p>
      <w:pPr>
        <w:pStyle w:val="39"/>
        <w:spacing w:line="360" w:lineRule="auto"/>
        <w:rPr>
          <w:b w:val="0"/>
          <w:sz w:val="36"/>
          <w:szCs w:val="36"/>
        </w:rPr>
      </w:pPr>
      <w:bookmarkStart w:id="0" w:name="_Toc97371941"/>
    </w:p>
    <w:p>
      <w:pPr>
        <w:spacing w:line="360" w:lineRule="auto"/>
        <w:jc w:val="center"/>
        <w:outlineLvl w:val="0"/>
        <w:rPr>
          <w:rFonts w:ascii="宋体" w:hAnsi="宋体"/>
          <w:b/>
          <w:sz w:val="36"/>
          <w:szCs w:val="36"/>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ascii="宋体" w:hAnsi="宋体"/>
          <w:b/>
          <w:sz w:val="36"/>
          <w:szCs w:val="36"/>
        </w:rPr>
      </w:pPr>
      <w:r>
        <w:rPr>
          <w:rFonts w:ascii="宋体" w:hAnsi="宋体"/>
          <w:b/>
          <w:sz w:val="36"/>
          <w:szCs w:val="36"/>
        </w:rPr>
        <w:t>第一章   采购邀请</w:t>
      </w:r>
      <w:bookmarkEnd w:id="0"/>
      <w:bookmarkStart w:id="1" w:name="_Toc28359079"/>
      <w:bookmarkStart w:id="2" w:name="_Toc28359002"/>
      <w:bookmarkStart w:id="3" w:name="_Toc35393621"/>
      <w:bookmarkStart w:id="4" w:name="_Toc35393790"/>
      <w:bookmarkStart w:id="5" w:name="_Hlk24379207"/>
    </w:p>
    <w:p>
      <w:pPr>
        <w:spacing w:line="360" w:lineRule="auto"/>
        <w:ind w:firstLine="480" w:firstLineChars="200"/>
        <w:rPr>
          <w:rFonts w:ascii="宋体" w:hAnsi="宋体"/>
          <w:sz w:val="24"/>
        </w:rPr>
      </w:pPr>
    </w:p>
    <w:p>
      <w:pPr>
        <w:pStyle w:val="5"/>
        <w:spacing w:before="0" w:line="360" w:lineRule="auto"/>
        <w:jc w:val="left"/>
        <w:rPr>
          <w:rFonts w:ascii="宋体" w:hAnsi="宋体" w:eastAsia="宋体"/>
          <w:sz w:val="24"/>
          <w:szCs w:val="24"/>
        </w:rPr>
      </w:pPr>
      <w:r>
        <w:rPr>
          <w:rFonts w:ascii="宋体" w:hAnsi="宋体" w:eastAsia="宋体"/>
          <w:sz w:val="24"/>
          <w:szCs w:val="24"/>
        </w:rPr>
        <w:t>一、项目基本情况</w:t>
      </w:r>
      <w:bookmarkEnd w:id="1"/>
      <w:bookmarkEnd w:id="2"/>
      <w:bookmarkEnd w:id="3"/>
      <w:bookmarkEnd w:id="4"/>
    </w:p>
    <w:p>
      <w:pPr>
        <w:spacing w:line="360" w:lineRule="auto"/>
        <w:ind w:firstLine="480" w:firstLineChars="200"/>
        <w:rPr>
          <w:rFonts w:ascii="宋体" w:hAnsi="宋体"/>
          <w:sz w:val="24"/>
          <w:u w:val="single"/>
        </w:rPr>
      </w:pPr>
      <w:r>
        <w:rPr>
          <w:rFonts w:ascii="宋体" w:hAnsi="宋体"/>
          <w:sz w:val="24"/>
        </w:rPr>
        <w:t>1.项目编号：</w:t>
      </w:r>
      <w:r>
        <w:rPr>
          <w:rFonts w:ascii="宋体" w:hAnsi="宋体"/>
          <w:sz w:val="24"/>
          <w:u w:val="single"/>
        </w:rPr>
        <w:t>BMCC-GC25-0047</w:t>
      </w:r>
    </w:p>
    <w:p>
      <w:pPr>
        <w:spacing w:line="360" w:lineRule="auto"/>
        <w:ind w:firstLine="480" w:firstLineChars="200"/>
        <w:rPr>
          <w:rFonts w:hint="eastAsia" w:ascii="宋体" w:hAnsi="宋体"/>
          <w:sz w:val="24"/>
        </w:rPr>
      </w:pPr>
      <w:r>
        <w:rPr>
          <w:rFonts w:hint="eastAsia" w:ascii="宋体" w:hAnsi="宋体"/>
          <w:sz w:val="24"/>
        </w:rPr>
        <w:t xml:space="preserve">  立项编号：</w:t>
      </w:r>
      <w:r>
        <w:rPr>
          <w:rFonts w:ascii="宋体" w:hAnsi="宋体"/>
          <w:sz w:val="24"/>
        </w:rPr>
        <w:t>11011125210200024644-XM001</w:t>
      </w:r>
    </w:p>
    <w:p>
      <w:pPr>
        <w:spacing w:line="360" w:lineRule="auto"/>
        <w:ind w:firstLine="480" w:firstLineChars="200"/>
        <w:rPr>
          <w:rFonts w:ascii="宋体" w:hAnsi="宋体"/>
          <w:sz w:val="24"/>
          <w:u w:val="single"/>
        </w:rPr>
      </w:pPr>
      <w:r>
        <w:rPr>
          <w:rFonts w:ascii="宋体" w:hAnsi="宋体"/>
          <w:sz w:val="24"/>
        </w:rPr>
        <w:t>2.项目名称：</w:t>
      </w:r>
      <w:r>
        <w:rPr>
          <w:rFonts w:hint="eastAsia" w:ascii="宋体" w:hAnsi="宋体"/>
          <w:sz w:val="24"/>
          <w:u w:val="single"/>
        </w:rPr>
        <w:t>北京市房山区长阳第三小学（首都师范大学附属育新学校房山分校大宁校区）食堂操作间维修提升项目</w:t>
      </w:r>
    </w:p>
    <w:p>
      <w:pPr>
        <w:spacing w:line="360" w:lineRule="auto"/>
        <w:ind w:firstLine="480" w:firstLineChars="200"/>
        <w:rPr>
          <w:rFonts w:ascii="宋体" w:hAnsi="宋体"/>
          <w:sz w:val="24"/>
        </w:rPr>
      </w:pPr>
      <w:r>
        <w:rPr>
          <w:rFonts w:ascii="宋体" w:hAnsi="宋体"/>
          <w:sz w:val="24"/>
        </w:rPr>
        <w:t>3.采购方式：</w:t>
      </w:r>
      <w:r>
        <w:rPr>
          <w:rFonts w:ascii="宋体" w:hAnsi="宋体"/>
          <w:sz w:val="24"/>
          <w:u w:val="single"/>
        </w:rPr>
        <w:t>竞争性磋商</w:t>
      </w:r>
    </w:p>
    <w:bookmarkEnd w:id="5"/>
    <w:p>
      <w:pPr>
        <w:spacing w:line="360" w:lineRule="auto"/>
        <w:ind w:firstLine="480" w:firstLineChars="200"/>
        <w:rPr>
          <w:rFonts w:ascii="宋体" w:hAnsi="宋体"/>
          <w:sz w:val="24"/>
        </w:rPr>
      </w:pPr>
      <w:r>
        <w:rPr>
          <w:rFonts w:ascii="宋体" w:hAnsi="宋体"/>
          <w:sz w:val="24"/>
        </w:rPr>
        <w:t>4.项目预算金额：</w:t>
      </w:r>
      <w:r>
        <w:rPr>
          <w:rFonts w:ascii="宋体" w:hAnsi="宋体"/>
          <w:sz w:val="24"/>
          <w:u w:val="single"/>
        </w:rPr>
        <w:t>251</w:t>
      </w:r>
      <w:r>
        <w:rPr>
          <w:rFonts w:hint="eastAsia" w:ascii="宋体" w:hAnsi="宋体"/>
          <w:sz w:val="24"/>
          <w:u w:val="single"/>
        </w:rPr>
        <w:t>.</w:t>
      </w:r>
      <w:r>
        <w:rPr>
          <w:rFonts w:ascii="宋体" w:hAnsi="宋体"/>
          <w:sz w:val="24"/>
          <w:u w:val="single"/>
        </w:rPr>
        <w:t>955997</w:t>
      </w:r>
      <w:r>
        <w:rPr>
          <w:rFonts w:ascii="宋体" w:hAnsi="宋体"/>
          <w:sz w:val="24"/>
        </w:rPr>
        <w:t>万元、项目最高限价（如有）：</w:t>
      </w:r>
      <w:r>
        <w:rPr>
          <w:rFonts w:ascii="宋体" w:hAnsi="宋体"/>
          <w:sz w:val="24"/>
          <w:u w:val="single"/>
        </w:rPr>
        <w:t>251</w:t>
      </w:r>
      <w:r>
        <w:rPr>
          <w:rFonts w:hint="eastAsia" w:ascii="宋体" w:hAnsi="宋体"/>
          <w:sz w:val="24"/>
          <w:u w:val="single"/>
        </w:rPr>
        <w:t>.</w:t>
      </w:r>
      <w:r>
        <w:rPr>
          <w:rFonts w:ascii="宋体" w:hAnsi="宋体"/>
          <w:sz w:val="24"/>
          <w:u w:val="single"/>
        </w:rPr>
        <w:t>955997</w:t>
      </w:r>
      <w:r>
        <w:rPr>
          <w:rFonts w:ascii="宋体" w:hAnsi="宋体"/>
          <w:sz w:val="24"/>
        </w:rPr>
        <w:t>万元</w:t>
      </w:r>
    </w:p>
    <w:p>
      <w:pPr>
        <w:spacing w:line="360" w:lineRule="auto"/>
        <w:ind w:firstLine="480" w:firstLineChars="200"/>
        <w:rPr>
          <w:rFonts w:ascii="宋体" w:hAnsi="宋体"/>
          <w:sz w:val="24"/>
        </w:rPr>
      </w:pPr>
      <w:r>
        <w:rPr>
          <w:rFonts w:ascii="宋体" w:hAnsi="宋体"/>
          <w:sz w:val="24"/>
        </w:rPr>
        <w:t>5.采购需求：</w:t>
      </w:r>
    </w:p>
    <w:tbl>
      <w:tblPr>
        <w:tblStyle w:val="61"/>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57"/>
        <w:gridCol w:w="1701"/>
        <w:gridCol w:w="99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82" w:type="pct"/>
            <w:noWrap w:val="0"/>
            <w:vAlign w:val="center"/>
          </w:tcPr>
          <w:p>
            <w:pPr>
              <w:jc w:val="center"/>
              <w:rPr>
                <w:rFonts w:ascii="宋体" w:hAnsi="宋体"/>
                <w:bCs/>
                <w:sz w:val="24"/>
              </w:rPr>
            </w:pPr>
            <w:r>
              <w:rPr>
                <w:rFonts w:ascii="宋体" w:hAnsi="宋体"/>
                <w:bCs/>
                <w:sz w:val="24"/>
              </w:rPr>
              <w:t>包号</w:t>
            </w:r>
          </w:p>
        </w:tc>
        <w:tc>
          <w:tcPr>
            <w:tcW w:w="843" w:type="pct"/>
            <w:noWrap w:val="0"/>
            <w:vAlign w:val="center"/>
          </w:tcPr>
          <w:p>
            <w:pPr>
              <w:jc w:val="center"/>
              <w:rPr>
                <w:rFonts w:ascii="宋体" w:hAnsi="宋体"/>
                <w:bCs/>
                <w:sz w:val="24"/>
              </w:rPr>
            </w:pPr>
            <w:r>
              <w:rPr>
                <w:rFonts w:ascii="宋体" w:hAnsi="宋体"/>
                <w:bCs/>
                <w:sz w:val="24"/>
              </w:rPr>
              <w:t>标的名称</w:t>
            </w:r>
          </w:p>
        </w:tc>
        <w:tc>
          <w:tcPr>
            <w:tcW w:w="921" w:type="pct"/>
            <w:noWrap w:val="0"/>
            <w:vAlign w:val="center"/>
          </w:tcPr>
          <w:p>
            <w:pPr>
              <w:jc w:val="center"/>
              <w:rPr>
                <w:rFonts w:ascii="宋体" w:hAnsi="宋体"/>
                <w:bCs/>
                <w:sz w:val="24"/>
              </w:rPr>
            </w:pPr>
            <w:r>
              <w:rPr>
                <w:rFonts w:ascii="宋体" w:hAnsi="宋体"/>
                <w:bCs/>
                <w:sz w:val="24"/>
              </w:rPr>
              <w:t>采购包预算金额</w:t>
            </w:r>
          </w:p>
          <w:p>
            <w:pPr>
              <w:jc w:val="center"/>
              <w:rPr>
                <w:rFonts w:ascii="宋体" w:hAnsi="宋体"/>
                <w:bCs/>
                <w:sz w:val="24"/>
              </w:rPr>
            </w:pPr>
            <w:r>
              <w:rPr>
                <w:rFonts w:ascii="宋体" w:hAnsi="宋体"/>
                <w:bCs/>
                <w:sz w:val="24"/>
              </w:rPr>
              <w:t>（万元）</w:t>
            </w:r>
          </w:p>
        </w:tc>
        <w:tc>
          <w:tcPr>
            <w:tcW w:w="540" w:type="pct"/>
            <w:noWrap w:val="0"/>
            <w:vAlign w:val="center"/>
          </w:tcPr>
          <w:p>
            <w:pPr>
              <w:jc w:val="center"/>
              <w:rPr>
                <w:rFonts w:ascii="宋体" w:hAnsi="宋体"/>
                <w:bCs/>
                <w:sz w:val="24"/>
              </w:rPr>
            </w:pPr>
            <w:r>
              <w:rPr>
                <w:rFonts w:ascii="宋体" w:hAnsi="宋体"/>
                <w:bCs/>
                <w:sz w:val="24"/>
              </w:rPr>
              <w:t>数量</w:t>
            </w:r>
          </w:p>
        </w:tc>
        <w:tc>
          <w:tcPr>
            <w:tcW w:w="2314" w:type="pct"/>
            <w:noWrap w:val="0"/>
            <w:vAlign w:val="center"/>
          </w:tcPr>
          <w:p>
            <w:pPr>
              <w:jc w:val="center"/>
              <w:rPr>
                <w:rFonts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382" w:type="pct"/>
            <w:noWrap w:val="0"/>
            <w:vAlign w:val="center"/>
          </w:tcPr>
          <w:p>
            <w:pPr>
              <w:jc w:val="center"/>
              <w:rPr>
                <w:rFonts w:ascii="宋体" w:hAnsi="宋体"/>
                <w:bCs/>
                <w:sz w:val="24"/>
              </w:rPr>
            </w:pPr>
            <w:r>
              <w:rPr>
                <w:rFonts w:ascii="宋体" w:hAnsi="宋体"/>
                <w:bCs/>
                <w:sz w:val="24"/>
              </w:rPr>
              <w:t>01</w:t>
            </w:r>
          </w:p>
        </w:tc>
        <w:tc>
          <w:tcPr>
            <w:tcW w:w="843" w:type="pct"/>
            <w:noWrap w:val="0"/>
            <w:vAlign w:val="center"/>
          </w:tcPr>
          <w:p>
            <w:pPr>
              <w:jc w:val="center"/>
              <w:rPr>
                <w:rFonts w:ascii="宋体" w:hAnsi="宋体"/>
                <w:bCs/>
                <w:sz w:val="24"/>
              </w:rPr>
            </w:pPr>
            <w:r>
              <w:rPr>
                <w:rFonts w:hint="eastAsia" w:ascii="宋体" w:hAnsi="宋体"/>
                <w:sz w:val="24"/>
              </w:rPr>
              <w:t>北京市房山区长阳第三小学（首都师范大学附属育新学校房山分校大宁校区）食堂操作间维修提升项目</w:t>
            </w:r>
          </w:p>
        </w:tc>
        <w:tc>
          <w:tcPr>
            <w:tcW w:w="921" w:type="pct"/>
            <w:noWrap w:val="0"/>
            <w:vAlign w:val="center"/>
          </w:tcPr>
          <w:p>
            <w:pPr>
              <w:jc w:val="center"/>
              <w:rPr>
                <w:rFonts w:ascii="宋体" w:hAnsi="宋体"/>
                <w:bCs/>
                <w:sz w:val="24"/>
              </w:rPr>
            </w:pPr>
            <w:r>
              <w:rPr>
                <w:rFonts w:ascii="宋体" w:hAnsi="宋体"/>
                <w:bCs/>
                <w:sz w:val="24"/>
              </w:rPr>
              <w:t>251</w:t>
            </w:r>
            <w:r>
              <w:rPr>
                <w:rFonts w:hint="eastAsia" w:ascii="宋体" w:hAnsi="宋体"/>
                <w:bCs/>
                <w:sz w:val="24"/>
              </w:rPr>
              <w:t>.</w:t>
            </w:r>
            <w:r>
              <w:rPr>
                <w:rFonts w:ascii="宋体" w:hAnsi="宋体"/>
                <w:bCs/>
                <w:sz w:val="24"/>
              </w:rPr>
              <w:t>955997</w:t>
            </w:r>
          </w:p>
        </w:tc>
        <w:tc>
          <w:tcPr>
            <w:tcW w:w="540" w:type="pct"/>
            <w:noWrap w:val="0"/>
            <w:vAlign w:val="center"/>
          </w:tcPr>
          <w:p>
            <w:pPr>
              <w:jc w:val="center"/>
              <w:rPr>
                <w:rFonts w:ascii="宋体" w:hAnsi="宋体"/>
                <w:bCs/>
                <w:sz w:val="24"/>
              </w:rPr>
            </w:pPr>
            <w:r>
              <w:rPr>
                <w:rFonts w:hint="eastAsia" w:ascii="宋体" w:hAnsi="宋体"/>
                <w:bCs/>
                <w:sz w:val="24"/>
              </w:rPr>
              <w:t>1项</w:t>
            </w:r>
          </w:p>
        </w:tc>
        <w:tc>
          <w:tcPr>
            <w:tcW w:w="2314" w:type="pct"/>
            <w:noWrap w:val="0"/>
            <w:vAlign w:val="center"/>
          </w:tcPr>
          <w:p>
            <w:pPr>
              <w:jc w:val="center"/>
              <w:rPr>
                <w:rFonts w:ascii="宋体" w:hAnsi="宋体"/>
                <w:bCs/>
                <w:sz w:val="24"/>
              </w:rPr>
            </w:pPr>
            <w:r>
              <w:rPr>
                <w:rFonts w:hint="eastAsia" w:ascii="宋体" w:hAnsi="宋体"/>
                <w:sz w:val="24"/>
              </w:rPr>
              <w:t>对首都师范大学附属育新学校房山分校大宁校区食堂操作间进行装修改造，具体详见“第四章 采购需求”</w:t>
            </w:r>
          </w:p>
        </w:tc>
      </w:tr>
    </w:tbl>
    <w:p>
      <w:pPr>
        <w:spacing w:line="360" w:lineRule="auto"/>
        <w:ind w:firstLine="480" w:firstLineChars="200"/>
        <w:rPr>
          <w:rFonts w:ascii="宋体" w:hAnsi="宋体"/>
          <w:sz w:val="24"/>
          <w:u w:val="single"/>
        </w:rPr>
      </w:pPr>
      <w:r>
        <w:rPr>
          <w:rFonts w:ascii="宋体" w:hAnsi="宋体"/>
          <w:sz w:val="24"/>
        </w:rPr>
        <w:t>6.</w:t>
      </w:r>
      <w:r>
        <w:rPr>
          <w:rFonts w:hint="eastAsia" w:ascii="宋体" w:hAnsi="宋体"/>
          <w:sz w:val="24"/>
        </w:rPr>
        <w:t>工期：20日历天</w:t>
      </w:r>
      <w:r>
        <w:rPr>
          <w:rFonts w:hint="eastAsia" w:ascii="宋体" w:hAnsi="宋体" w:cs="宋体"/>
          <w:spacing w:val="-1"/>
          <w:sz w:val="24"/>
        </w:rPr>
        <w:t>（具体开工日期以采购人要求为准）</w:t>
      </w:r>
    </w:p>
    <w:p>
      <w:pPr>
        <w:spacing w:line="360" w:lineRule="auto"/>
        <w:ind w:firstLine="480" w:firstLineChars="200"/>
        <w:rPr>
          <w:rFonts w:ascii="宋体" w:hAnsi="宋体"/>
          <w:sz w:val="24"/>
        </w:rPr>
      </w:pPr>
      <w:r>
        <w:rPr>
          <w:rFonts w:ascii="宋体" w:hAnsi="宋体"/>
          <w:sz w:val="24"/>
        </w:rPr>
        <w:t xml:space="preserve">7.本项目是否接受联合体：□是  </w:t>
      </w:r>
      <w:r>
        <w:rPr>
          <w:rFonts w:ascii="宋体" w:hAnsi="宋体"/>
          <w:b/>
          <w:sz w:val="24"/>
        </w:rPr>
        <w:t>■</w:t>
      </w:r>
      <w:r>
        <w:rPr>
          <w:rFonts w:ascii="宋体" w:hAnsi="宋体"/>
          <w:sz w:val="24"/>
        </w:rPr>
        <w:t>否。</w:t>
      </w:r>
    </w:p>
    <w:p>
      <w:pPr>
        <w:spacing w:line="360" w:lineRule="auto"/>
        <w:ind w:firstLine="480" w:firstLineChars="200"/>
        <w:rPr>
          <w:rFonts w:ascii="宋体" w:hAnsi="宋体"/>
          <w:sz w:val="24"/>
        </w:rPr>
      </w:pPr>
    </w:p>
    <w:p>
      <w:pPr>
        <w:pStyle w:val="5"/>
        <w:spacing w:before="0" w:line="360" w:lineRule="auto"/>
        <w:jc w:val="left"/>
        <w:rPr>
          <w:rFonts w:ascii="宋体" w:hAnsi="宋体" w:eastAsia="宋体"/>
          <w:sz w:val="24"/>
          <w:szCs w:val="24"/>
        </w:rPr>
      </w:pPr>
      <w:bookmarkStart w:id="6" w:name="_Toc28359003"/>
      <w:bookmarkStart w:id="7" w:name="_Toc35393622"/>
      <w:bookmarkStart w:id="8" w:name="_Toc35393791"/>
      <w:bookmarkStart w:id="9" w:name="_Toc28359080"/>
      <w:r>
        <w:rPr>
          <w:rFonts w:ascii="宋体" w:hAnsi="宋体" w:eastAsia="宋体"/>
          <w:sz w:val="24"/>
          <w:szCs w:val="24"/>
        </w:rPr>
        <w:t>二、申请人的资格要求（须同时满足）</w:t>
      </w:r>
      <w:bookmarkEnd w:id="6"/>
      <w:bookmarkEnd w:id="7"/>
      <w:bookmarkEnd w:id="8"/>
      <w:bookmarkEnd w:id="9"/>
    </w:p>
    <w:p>
      <w:pPr>
        <w:spacing w:line="360" w:lineRule="auto"/>
        <w:ind w:firstLine="480" w:firstLineChars="200"/>
        <w:rPr>
          <w:rFonts w:ascii="宋体" w:hAnsi="宋体"/>
          <w:sz w:val="24"/>
        </w:rPr>
      </w:pPr>
      <w:r>
        <w:rPr>
          <w:rFonts w:ascii="宋体" w:hAnsi="宋体"/>
          <w:sz w:val="24"/>
        </w:rPr>
        <w:t>1.满足《中华人民共和国政府采购法》第二十二条规定；</w:t>
      </w:r>
    </w:p>
    <w:p>
      <w:pPr>
        <w:spacing w:line="360" w:lineRule="auto"/>
        <w:ind w:firstLine="480" w:firstLineChars="200"/>
        <w:rPr>
          <w:rFonts w:ascii="宋体" w:hAnsi="宋体"/>
          <w:sz w:val="24"/>
        </w:rPr>
      </w:pPr>
      <w:bookmarkStart w:id="10" w:name="_Toc28359081"/>
      <w:bookmarkStart w:id="11" w:name="_Toc28359004"/>
      <w:r>
        <w:rPr>
          <w:rFonts w:ascii="宋体" w:hAnsi="宋体"/>
          <w:sz w:val="24"/>
        </w:rPr>
        <w:t>2.落实政府采购政策需满足的资格要求：</w:t>
      </w:r>
    </w:p>
    <w:p>
      <w:pPr>
        <w:spacing w:line="360" w:lineRule="auto"/>
        <w:ind w:firstLine="480" w:firstLineChars="200"/>
        <w:rPr>
          <w:rFonts w:ascii="宋体" w:hAnsi="宋体"/>
          <w:sz w:val="24"/>
        </w:rPr>
      </w:pPr>
      <w:r>
        <w:rPr>
          <w:rFonts w:ascii="宋体" w:hAnsi="宋体"/>
          <w:sz w:val="24"/>
        </w:rPr>
        <w:t>2.1 中小企业政策</w:t>
      </w:r>
    </w:p>
    <w:p>
      <w:pPr>
        <w:spacing w:line="360" w:lineRule="auto"/>
        <w:ind w:firstLine="480" w:firstLineChars="200"/>
        <w:rPr>
          <w:rFonts w:ascii="宋体" w:hAnsi="宋体"/>
          <w:sz w:val="24"/>
        </w:rPr>
      </w:pPr>
      <w:r>
        <w:rPr>
          <w:rFonts w:ascii="宋体" w:hAnsi="宋体"/>
          <w:sz w:val="24"/>
        </w:rPr>
        <w:t>□本项目不专门面向中小企业预留采购份额。</w:t>
      </w:r>
    </w:p>
    <w:p>
      <w:pPr>
        <w:spacing w:line="360" w:lineRule="auto"/>
        <w:ind w:firstLine="482" w:firstLineChars="200"/>
        <w:rPr>
          <w:rFonts w:ascii="宋体" w:hAnsi="宋体"/>
          <w:sz w:val="24"/>
        </w:rPr>
      </w:pPr>
      <w:r>
        <w:rPr>
          <w:rFonts w:ascii="宋体" w:hAnsi="宋体"/>
          <w:b/>
          <w:sz w:val="24"/>
        </w:rPr>
        <w:t>■</w:t>
      </w:r>
      <w:r>
        <w:rPr>
          <w:rFonts w:ascii="宋体" w:hAnsi="宋体"/>
          <w:sz w:val="24"/>
        </w:rPr>
        <w:t>本项目专门面向  □中小</w:t>
      </w:r>
      <w:r>
        <w:rPr>
          <w:rFonts w:hint="eastAsia" w:ascii="宋体" w:hAnsi="宋体"/>
          <w:sz w:val="24"/>
        </w:rPr>
        <w:t xml:space="preserve"> </w:t>
      </w:r>
      <w:r>
        <w:rPr>
          <w:rFonts w:ascii="宋体" w:hAnsi="宋体"/>
          <w:b/>
          <w:sz w:val="24"/>
        </w:rPr>
        <w:t>■</w:t>
      </w:r>
      <w:r>
        <w:rPr>
          <w:rFonts w:ascii="宋体" w:hAnsi="宋体"/>
          <w:sz w:val="24"/>
        </w:rPr>
        <w:t>小微企业  采购。即：提供的货物全部由符合政策要求的中小/小微企业制造、服务全部由符合政策要求的中小/小微企业承接。</w:t>
      </w:r>
    </w:p>
    <w:p>
      <w:pPr>
        <w:spacing w:line="360" w:lineRule="auto"/>
        <w:ind w:firstLine="480" w:firstLineChars="20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Cs w:val="21"/>
          <w:u w:val="single"/>
        </w:rPr>
        <w:t xml:space="preserve">    /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2.2 其它落实政府采购政策的资格要求（如有）：</w:t>
      </w:r>
      <w:r>
        <w:rPr>
          <w:rFonts w:hint="eastAsia" w:ascii="宋体" w:hAnsi="宋体"/>
          <w:szCs w:val="21"/>
          <w:u w:val="single"/>
        </w:rPr>
        <w:t xml:space="preserve">    /   </w:t>
      </w:r>
      <w:r>
        <w:rPr>
          <w:rFonts w:hint="eastAsia" w:ascii="宋体" w:hAnsi="宋体"/>
          <w:sz w:val="24"/>
        </w:rPr>
        <w:t>。</w:t>
      </w:r>
    </w:p>
    <w:p>
      <w:pPr>
        <w:spacing w:line="360" w:lineRule="auto"/>
        <w:ind w:firstLine="480" w:firstLineChars="200"/>
        <w:rPr>
          <w:rFonts w:ascii="宋体" w:hAnsi="宋体"/>
          <w:i/>
          <w:iCs/>
          <w:sz w:val="24"/>
          <w:u w:val="single"/>
        </w:rPr>
      </w:pPr>
      <w:r>
        <w:rPr>
          <w:rFonts w:ascii="宋体" w:hAnsi="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b/>
          <w:sz w:val="24"/>
        </w:rPr>
        <w:t>■</w:t>
      </w:r>
      <w:r>
        <w:rPr>
          <w:rFonts w:ascii="宋体" w:hAnsi="宋体"/>
          <w:sz w:val="24"/>
        </w:rPr>
        <w:t>否</w:t>
      </w:r>
    </w:p>
    <w:p>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ascii="宋体" w:hAnsi="宋体"/>
          <w:sz w:val="24"/>
          <w:szCs w:val="28"/>
        </w:rPr>
      </w:pPr>
      <w:r>
        <w:rPr>
          <w:rFonts w:ascii="宋体" w:hAnsi="宋体"/>
          <w:sz w:val="24"/>
        </w:rPr>
        <w:t>3.</w:t>
      </w:r>
      <w:r>
        <w:rPr>
          <w:rFonts w:hint="eastAsia" w:ascii="宋体" w:hAnsi="宋体"/>
          <w:sz w:val="24"/>
        </w:rPr>
        <w:t>2</w:t>
      </w:r>
      <w:r>
        <w:rPr>
          <w:rFonts w:ascii="宋体" w:hAnsi="宋体"/>
          <w:sz w:val="24"/>
        </w:rPr>
        <w:t>其他特定资格要求：</w:t>
      </w:r>
      <w:r>
        <w:rPr>
          <w:rFonts w:hint="eastAsia" w:ascii="宋体" w:hAnsi="宋体"/>
          <w:sz w:val="24"/>
        </w:rPr>
        <w:t>（1）</w:t>
      </w:r>
      <w:r>
        <w:rPr>
          <w:rFonts w:hint="eastAsia" w:ascii="宋体" w:hAnsi="宋体"/>
          <w:sz w:val="24"/>
          <w:szCs w:val="28"/>
        </w:rPr>
        <w:t>供应商须具备建设行政主管部门核发的</w:t>
      </w:r>
      <w:r>
        <w:rPr>
          <w:rFonts w:hint="eastAsia" w:ascii="宋体" w:hAnsi="宋体"/>
          <w:sz w:val="24"/>
          <w:szCs w:val="28"/>
          <w:u w:val="single"/>
        </w:rPr>
        <w:t>建筑工程施工总承包三级 (含)</w:t>
      </w:r>
      <w:r>
        <w:rPr>
          <w:rFonts w:hint="eastAsia" w:ascii="宋体" w:hAnsi="宋体"/>
          <w:sz w:val="24"/>
          <w:szCs w:val="28"/>
        </w:rPr>
        <w:t>以上资质和有效的安全生产许可证,外地企业须具备《外地企业进京施工备案许可证》，并在人员、设备、资金等方面具有相应的施工能力；</w:t>
      </w:r>
    </w:p>
    <w:p>
      <w:pPr>
        <w:tabs>
          <w:tab w:val="left" w:pos="900"/>
          <w:tab w:val="left" w:pos="1134"/>
          <w:tab w:val="left" w:pos="1589"/>
          <w:tab w:val="left" w:pos="5521"/>
        </w:tabs>
        <w:snapToGrid w:val="0"/>
        <w:spacing w:line="360" w:lineRule="auto"/>
        <w:ind w:firstLine="480" w:firstLineChars="200"/>
        <w:rPr>
          <w:rFonts w:ascii="宋体" w:hAnsi="宋体"/>
          <w:sz w:val="24"/>
          <w:u w:val="single"/>
        </w:rPr>
      </w:pPr>
      <w:r>
        <w:rPr>
          <w:rFonts w:hint="eastAsia" w:ascii="宋体" w:hAnsi="宋体"/>
          <w:sz w:val="24"/>
          <w:szCs w:val="28"/>
        </w:rPr>
        <w:t>（2）供应商拟派项目经理须具备</w:t>
      </w:r>
      <w:r>
        <w:rPr>
          <w:rFonts w:hint="eastAsia" w:ascii="宋体" w:hAnsi="宋体"/>
          <w:sz w:val="24"/>
          <w:szCs w:val="28"/>
          <w:u w:val="single"/>
        </w:rPr>
        <w:t>建筑工程专业二级（含）</w:t>
      </w:r>
      <w:r>
        <w:rPr>
          <w:rFonts w:hint="eastAsia" w:ascii="宋体" w:hAnsi="宋体"/>
          <w:sz w:val="24"/>
          <w:szCs w:val="28"/>
        </w:rPr>
        <w:t xml:space="preserve">以上注册建造师执业资格，具备有效的安全生产考核合格证书（B本），且未担任其他在施建设工程的项目经理。 </w:t>
      </w:r>
    </w:p>
    <w:p>
      <w:pPr>
        <w:spacing w:line="360" w:lineRule="auto"/>
        <w:ind w:firstLine="480" w:firstLineChars="200"/>
        <w:rPr>
          <w:rFonts w:ascii="宋体" w:hAnsi="宋体"/>
          <w:i/>
          <w:iCs/>
          <w:sz w:val="24"/>
          <w:u w:val="single"/>
        </w:rPr>
      </w:pPr>
    </w:p>
    <w:bookmarkEnd w:id="10"/>
    <w:bookmarkEnd w:id="11"/>
    <w:p>
      <w:pPr>
        <w:pStyle w:val="5"/>
        <w:widowControl/>
        <w:spacing w:before="0" w:line="360" w:lineRule="auto"/>
        <w:jc w:val="left"/>
        <w:rPr>
          <w:rFonts w:ascii="宋体" w:hAnsi="宋体" w:eastAsia="宋体"/>
          <w:sz w:val="24"/>
          <w:szCs w:val="24"/>
        </w:rPr>
      </w:pPr>
      <w:bookmarkStart w:id="12" w:name="_Toc35393792"/>
      <w:bookmarkStart w:id="13" w:name="_Toc35393623"/>
      <w:r>
        <w:rPr>
          <w:rFonts w:ascii="宋体" w:hAnsi="宋体" w:eastAsia="宋体"/>
          <w:sz w:val="24"/>
          <w:szCs w:val="24"/>
        </w:rPr>
        <w:t>三、获取采购文件</w:t>
      </w:r>
      <w:bookmarkEnd w:id="12"/>
      <w:bookmarkEnd w:id="13"/>
    </w:p>
    <w:p>
      <w:pPr>
        <w:adjustRightInd w:val="0"/>
        <w:snapToGrid w:val="0"/>
        <w:spacing w:line="360" w:lineRule="auto"/>
        <w:ind w:firstLine="480" w:firstLineChars="200"/>
        <w:rPr>
          <w:rFonts w:ascii="宋体" w:hAnsi="宋体"/>
          <w:sz w:val="24"/>
          <w:lang w:bidi="ar"/>
        </w:rPr>
      </w:pPr>
      <w:r>
        <w:rPr>
          <w:rFonts w:ascii="宋体" w:hAnsi="宋体"/>
          <w:sz w:val="24"/>
          <w:lang w:bidi="ar"/>
        </w:rPr>
        <w:t>1.时间：</w:t>
      </w:r>
      <w:r>
        <w:rPr>
          <w:rFonts w:hint="eastAsia" w:ascii="宋体" w:hAnsi="宋体"/>
          <w:sz w:val="24"/>
          <w:lang w:bidi="ar"/>
        </w:rPr>
        <w:t>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16</w:t>
      </w:r>
      <w:r>
        <w:rPr>
          <w:rFonts w:ascii="宋体" w:hAnsi="宋体"/>
          <w:sz w:val="24"/>
          <w:lang w:bidi="ar"/>
        </w:rPr>
        <w:t>日至</w:t>
      </w:r>
      <w:r>
        <w:rPr>
          <w:rFonts w:hint="eastAsia" w:ascii="宋体" w:hAnsi="宋体"/>
          <w:sz w:val="24"/>
          <w:lang w:bidi="ar"/>
        </w:rPr>
        <w:t>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23</w:t>
      </w:r>
      <w:r>
        <w:rPr>
          <w:rFonts w:ascii="宋体" w:hAnsi="宋体"/>
          <w:sz w:val="24"/>
          <w:lang w:bidi="ar"/>
        </w:rPr>
        <w:t>日，</w:t>
      </w:r>
      <w:r>
        <w:rPr>
          <w:rFonts w:hint="eastAsia" w:ascii="宋体" w:hAnsi="宋体"/>
          <w:sz w:val="24"/>
          <w:lang w:bidi="ar"/>
        </w:rPr>
        <w:t>每天上午9:00至下午17:00（北京时间，法定节假日除外）</w:t>
      </w:r>
      <w:r>
        <w:rPr>
          <w:rFonts w:ascii="宋体" w:hAnsi="宋体"/>
          <w:sz w:val="24"/>
          <w:lang w:bidi="ar"/>
        </w:rPr>
        <w:t>。</w:t>
      </w:r>
    </w:p>
    <w:p>
      <w:pPr>
        <w:adjustRightInd w:val="0"/>
        <w:snapToGrid w:val="0"/>
        <w:spacing w:line="360" w:lineRule="auto"/>
        <w:ind w:firstLine="480" w:firstLineChars="200"/>
        <w:rPr>
          <w:rFonts w:ascii="宋体" w:hAnsi="宋体"/>
          <w:sz w:val="24"/>
        </w:rPr>
      </w:pPr>
      <w:r>
        <w:rPr>
          <w:rFonts w:ascii="宋体" w:hAnsi="宋体"/>
          <w:sz w:val="24"/>
          <w:lang w:bidi="ar"/>
        </w:rPr>
        <w:t>2.地点：北京市政府采购电子交易平台</w:t>
      </w:r>
    </w:p>
    <w:p>
      <w:pPr>
        <w:widowControl/>
        <w:adjustRightInd w:val="0"/>
        <w:snapToGrid w:val="0"/>
        <w:spacing w:line="360" w:lineRule="auto"/>
        <w:ind w:firstLine="480" w:firstLineChars="200"/>
        <w:jc w:val="left"/>
        <w:rPr>
          <w:rFonts w:ascii="宋体" w:hAnsi="宋体"/>
          <w:sz w:val="24"/>
          <w:lang w:bidi="ar"/>
        </w:rPr>
      </w:pPr>
      <w:r>
        <w:rPr>
          <w:rFonts w:ascii="宋体" w:hAnsi="宋体"/>
          <w:sz w:val="24"/>
          <w:lang w:bidi="ar"/>
        </w:rPr>
        <w:t>3.方式：</w:t>
      </w:r>
      <w:r>
        <w:rPr>
          <w:rFonts w:hint="eastAsia" w:ascii="宋体" w:hAnsi="宋体"/>
          <w:sz w:val="24"/>
          <w:lang w:bidi="ar"/>
        </w:rPr>
        <w:t>供应商使用 CA 数字证书或电子营业执照登录北京市政府采购电子交易平 台（</w:t>
      </w:r>
      <w:r>
        <w:rPr>
          <w:rFonts w:ascii="宋体" w:hAnsi="宋体"/>
          <w:sz w:val="24"/>
          <w:lang w:bidi="ar"/>
        </w:rPr>
        <w:t>http://zbcg-bjzc.zhongcy.com/bjczj-portal-site/index.html#/home</w:t>
      </w:r>
      <w:r>
        <w:rPr>
          <w:rFonts w:hint="eastAsia" w:ascii="宋体" w:hAnsi="宋体"/>
          <w:sz w:val="24"/>
          <w:lang w:bidi="ar"/>
        </w:rPr>
        <w:t>）</w:t>
      </w:r>
      <w:r>
        <w:rPr>
          <w:rFonts w:ascii="宋体" w:hAnsi="宋体"/>
          <w:sz w:val="24"/>
          <w:lang w:bidi="ar"/>
        </w:rPr>
        <w:t>获取电子版竞争性磋商文件。</w:t>
      </w:r>
    </w:p>
    <w:p>
      <w:pPr>
        <w:widowControl/>
        <w:adjustRightInd w:val="0"/>
        <w:snapToGrid w:val="0"/>
        <w:spacing w:line="360" w:lineRule="auto"/>
        <w:ind w:firstLine="480" w:firstLineChars="200"/>
        <w:jc w:val="left"/>
        <w:rPr>
          <w:rFonts w:ascii="宋体" w:hAnsi="宋体"/>
          <w:sz w:val="24"/>
        </w:rPr>
      </w:pPr>
      <w:r>
        <w:rPr>
          <w:rFonts w:ascii="宋体" w:hAnsi="宋体"/>
          <w:sz w:val="24"/>
          <w:lang w:bidi="ar"/>
        </w:rPr>
        <w:t>4.售价：0元。</w:t>
      </w:r>
    </w:p>
    <w:p>
      <w:pPr>
        <w:tabs>
          <w:tab w:val="left" w:pos="900"/>
          <w:tab w:val="left" w:pos="1980"/>
        </w:tabs>
        <w:snapToGrid w:val="0"/>
        <w:spacing w:line="360" w:lineRule="auto"/>
        <w:ind w:left="840"/>
        <w:rPr>
          <w:rFonts w:ascii="宋体" w:hAnsi="宋体"/>
          <w:sz w:val="24"/>
        </w:rPr>
      </w:pPr>
    </w:p>
    <w:p>
      <w:pPr>
        <w:pStyle w:val="5"/>
        <w:widowControl/>
        <w:spacing w:before="0" w:line="360" w:lineRule="auto"/>
        <w:jc w:val="left"/>
        <w:rPr>
          <w:rFonts w:ascii="宋体" w:hAnsi="宋体" w:eastAsia="宋体"/>
          <w:sz w:val="24"/>
          <w:szCs w:val="24"/>
        </w:rPr>
      </w:pPr>
      <w:bookmarkStart w:id="14" w:name="_Toc35393624"/>
      <w:bookmarkStart w:id="15" w:name="_Toc28359005"/>
      <w:bookmarkStart w:id="16" w:name="_Toc28359082"/>
      <w:bookmarkStart w:id="17" w:name="_Toc35393793"/>
      <w:r>
        <w:rPr>
          <w:rFonts w:ascii="宋体" w:hAnsi="宋体" w:eastAsia="宋体"/>
          <w:sz w:val="24"/>
          <w:szCs w:val="24"/>
        </w:rPr>
        <w:t>四、</w:t>
      </w:r>
      <w:bookmarkEnd w:id="14"/>
      <w:bookmarkEnd w:id="15"/>
      <w:bookmarkEnd w:id="16"/>
      <w:bookmarkEnd w:id="17"/>
      <w:r>
        <w:rPr>
          <w:rFonts w:ascii="宋体" w:hAnsi="宋体" w:eastAsia="宋体"/>
          <w:sz w:val="24"/>
          <w:szCs w:val="24"/>
        </w:rPr>
        <w:t>响应文件提交</w:t>
      </w:r>
    </w:p>
    <w:p>
      <w:pPr>
        <w:spacing w:line="360" w:lineRule="auto"/>
        <w:ind w:firstLine="420" w:firstLineChars="175"/>
        <w:rPr>
          <w:rFonts w:ascii="宋体" w:hAnsi="宋体"/>
          <w:bCs/>
          <w:sz w:val="24"/>
          <w:u w:val="single"/>
        </w:rPr>
      </w:pPr>
      <w:r>
        <w:rPr>
          <w:rFonts w:ascii="宋体" w:hAnsi="宋体"/>
          <w:sz w:val="24"/>
          <w:lang w:bidi="ar"/>
        </w:rPr>
        <w:t>截止时间：</w:t>
      </w:r>
      <w:r>
        <w:rPr>
          <w:rFonts w:hint="eastAsia" w:ascii="宋体" w:hAnsi="宋体"/>
          <w:sz w:val="24"/>
          <w:lang w:bidi="ar"/>
        </w:rPr>
        <w:t>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29</w:t>
      </w:r>
      <w:r>
        <w:rPr>
          <w:rFonts w:ascii="宋体" w:hAnsi="宋体"/>
          <w:sz w:val="24"/>
          <w:lang w:bidi="ar"/>
        </w:rPr>
        <w:t>日上午</w:t>
      </w:r>
      <w:r>
        <w:rPr>
          <w:rFonts w:hint="eastAsia" w:ascii="宋体" w:hAnsi="宋体"/>
          <w:sz w:val="24"/>
        </w:rPr>
        <w:t>9</w:t>
      </w:r>
      <w:r>
        <w:rPr>
          <w:rFonts w:ascii="宋体" w:hAnsi="宋体"/>
          <w:sz w:val="24"/>
          <w:lang w:bidi="ar"/>
        </w:rPr>
        <w:t>点</w:t>
      </w:r>
      <w:r>
        <w:rPr>
          <w:rFonts w:hint="eastAsia" w:ascii="宋体" w:hAnsi="宋体"/>
          <w:sz w:val="24"/>
        </w:rPr>
        <w:t>30</w:t>
      </w:r>
      <w:r>
        <w:rPr>
          <w:rFonts w:ascii="宋体" w:hAnsi="宋体"/>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20" w:firstLineChars="175"/>
        <w:rPr>
          <w:rFonts w:ascii="宋体" w:hAnsi="宋体"/>
          <w:sz w:val="24"/>
        </w:rPr>
      </w:pPr>
      <w:r>
        <w:rPr>
          <w:rFonts w:ascii="宋体" w:hAnsi="宋体"/>
          <w:sz w:val="24"/>
          <w:lang w:bidi="ar"/>
        </w:rPr>
        <w:t>地点：</w:t>
      </w:r>
      <w:r>
        <w:rPr>
          <w:rFonts w:hint="eastAsia" w:ascii="宋体" w:hAnsi="宋体"/>
          <w:sz w:val="24"/>
        </w:rPr>
        <w:t>北京市政府采购电子交易平台(http://zbcg-bjzc.zhongcy.com/bjczj-portal-site/index.html#/home)递交电子响应文件。采用远程电子磋商方式，供应商无需到现场。供应商登录北京市政府采购电子交易平台参与电子磋商。供应商自行对电子响应文件进行解密，解密时间为</w:t>
      </w:r>
      <w:r>
        <w:rPr>
          <w:rFonts w:hint="eastAsia" w:ascii="宋体" w:hAnsi="宋体"/>
          <w:sz w:val="24"/>
          <w:lang w:bidi="ar"/>
        </w:rPr>
        <w:t>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29</w:t>
      </w:r>
      <w:r>
        <w:rPr>
          <w:rFonts w:ascii="宋体" w:hAnsi="宋体"/>
          <w:sz w:val="24"/>
          <w:lang w:bidi="ar"/>
        </w:rPr>
        <w:t>日当日自</w:t>
      </w:r>
      <w:r>
        <w:rPr>
          <w:rFonts w:ascii="宋体" w:hAnsi="宋体"/>
          <w:sz w:val="24"/>
        </w:rPr>
        <w:t>发起解密指令起</w:t>
      </w:r>
      <w:r>
        <w:rPr>
          <w:rFonts w:hint="eastAsia" w:ascii="宋体" w:hAnsi="宋体"/>
          <w:sz w:val="24"/>
        </w:rPr>
        <w:t>30分钟，如未在规定的时间内进行文件解密，将视为无效响应。</w:t>
      </w:r>
      <w:r>
        <w:rPr>
          <w:rFonts w:ascii="宋体" w:hAnsi="宋体"/>
          <w:sz w:val="24"/>
        </w:rPr>
        <w:t>磋商当天请供应商</w:t>
      </w:r>
      <w:r>
        <w:rPr>
          <w:rFonts w:hint="eastAsia" w:ascii="宋体" w:hAnsi="宋体"/>
          <w:sz w:val="24"/>
        </w:rPr>
        <w:t>在响应文件提交截止时间后，</w:t>
      </w:r>
      <w:r>
        <w:rPr>
          <w:rFonts w:ascii="宋体" w:hAnsi="宋体"/>
          <w:sz w:val="24"/>
        </w:rPr>
        <w:t>关注</w:t>
      </w:r>
      <w:r>
        <w:rPr>
          <w:rFonts w:hint="eastAsia" w:ascii="宋体" w:hAnsi="宋体"/>
          <w:sz w:val="24"/>
        </w:rPr>
        <w:t>北京市政府采购电子交易平台，对响应文件进行解密、参与二次报价及相关问询。</w:t>
      </w:r>
    </w:p>
    <w:p>
      <w:pPr>
        <w:spacing w:line="360" w:lineRule="auto"/>
        <w:ind w:firstLine="480" w:firstLineChars="200"/>
        <w:rPr>
          <w:rFonts w:ascii="宋体" w:hAnsi="宋体"/>
          <w:sz w:val="24"/>
          <w:lang w:val="zh-TW" w:bidi="ar"/>
        </w:rPr>
      </w:pPr>
    </w:p>
    <w:p>
      <w:pPr>
        <w:pStyle w:val="5"/>
        <w:spacing w:before="0" w:line="360" w:lineRule="auto"/>
        <w:jc w:val="left"/>
        <w:rPr>
          <w:rFonts w:ascii="宋体" w:hAnsi="宋体" w:eastAsia="宋体"/>
          <w:sz w:val="24"/>
          <w:szCs w:val="24"/>
        </w:rPr>
      </w:pPr>
      <w:r>
        <w:rPr>
          <w:rFonts w:ascii="宋体" w:hAnsi="宋体" w:eastAsia="宋体"/>
          <w:sz w:val="24"/>
          <w:szCs w:val="24"/>
        </w:rPr>
        <w:t>五、开启</w:t>
      </w:r>
    </w:p>
    <w:p>
      <w:pPr>
        <w:spacing w:line="360" w:lineRule="auto"/>
        <w:ind w:firstLine="480" w:firstLineChars="200"/>
        <w:rPr>
          <w:rFonts w:ascii="宋体" w:hAnsi="宋体"/>
          <w:sz w:val="24"/>
          <w:lang w:bidi="ar"/>
        </w:rPr>
      </w:pPr>
      <w:r>
        <w:rPr>
          <w:rFonts w:ascii="宋体" w:hAnsi="宋体"/>
          <w:sz w:val="24"/>
          <w:lang w:bidi="ar"/>
        </w:rPr>
        <w:t>时间：</w:t>
      </w:r>
      <w:r>
        <w:rPr>
          <w:rFonts w:hint="eastAsia" w:ascii="宋体" w:hAnsi="宋体"/>
          <w:sz w:val="24"/>
          <w:lang w:bidi="ar"/>
        </w:rPr>
        <w:t>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29</w:t>
      </w:r>
      <w:r>
        <w:rPr>
          <w:rFonts w:ascii="宋体" w:hAnsi="宋体"/>
          <w:sz w:val="24"/>
          <w:lang w:bidi="ar"/>
        </w:rPr>
        <w:t>日上午</w:t>
      </w:r>
      <w:r>
        <w:rPr>
          <w:rFonts w:hint="eastAsia" w:ascii="宋体" w:hAnsi="宋体"/>
          <w:sz w:val="24"/>
        </w:rPr>
        <w:t>9</w:t>
      </w:r>
      <w:r>
        <w:rPr>
          <w:rFonts w:ascii="宋体" w:hAnsi="宋体"/>
          <w:sz w:val="24"/>
          <w:lang w:bidi="ar"/>
        </w:rPr>
        <w:t>点</w:t>
      </w:r>
      <w:r>
        <w:rPr>
          <w:rFonts w:hint="eastAsia" w:ascii="宋体" w:hAnsi="宋体"/>
          <w:sz w:val="24"/>
        </w:rPr>
        <w:t>30</w:t>
      </w:r>
      <w:r>
        <w:rPr>
          <w:rFonts w:ascii="宋体" w:hAnsi="宋体"/>
          <w:sz w:val="24"/>
          <w:lang w:bidi="ar"/>
        </w:rPr>
        <w:t>分</w:t>
      </w:r>
      <w:r>
        <w:rPr>
          <w:rFonts w:ascii="宋体" w:hAnsi="宋体"/>
          <w:bCs/>
          <w:sz w:val="24"/>
          <w:lang w:bidi="ar"/>
        </w:rPr>
        <w:t>（北京时间）</w:t>
      </w:r>
      <w:r>
        <w:rPr>
          <w:rFonts w:ascii="宋体" w:hAnsi="宋体"/>
          <w:iCs/>
          <w:sz w:val="24"/>
          <w:lang w:bidi="ar"/>
        </w:rPr>
        <w:t>。</w:t>
      </w:r>
    </w:p>
    <w:p>
      <w:pPr>
        <w:spacing w:line="360" w:lineRule="auto"/>
        <w:ind w:firstLine="480" w:firstLineChars="200"/>
        <w:rPr>
          <w:rFonts w:ascii="宋体" w:hAnsi="宋体"/>
          <w:sz w:val="24"/>
          <w:lang w:bidi="ar"/>
        </w:rPr>
      </w:pPr>
      <w:r>
        <w:rPr>
          <w:rFonts w:ascii="宋体" w:hAnsi="宋体"/>
          <w:sz w:val="24"/>
          <w:lang w:bidi="ar"/>
        </w:rPr>
        <w:t>地点：</w:t>
      </w:r>
      <w:r>
        <w:rPr>
          <w:rFonts w:hint="eastAsia" w:ascii="宋体" w:hAnsi="宋体"/>
          <w:sz w:val="24"/>
          <w:lang w:bidi="ar"/>
        </w:rPr>
        <w:t>同</w:t>
      </w:r>
      <w:r>
        <w:rPr>
          <w:rFonts w:ascii="宋体" w:hAnsi="宋体"/>
          <w:sz w:val="24"/>
          <w:lang w:bidi="ar"/>
        </w:rPr>
        <w:t>响应文件提交地点。</w:t>
      </w:r>
    </w:p>
    <w:p>
      <w:pPr>
        <w:spacing w:line="360" w:lineRule="auto"/>
        <w:ind w:firstLine="480" w:firstLineChars="200"/>
        <w:rPr>
          <w:rFonts w:ascii="宋体" w:hAnsi="宋体"/>
          <w:bCs/>
          <w:sz w:val="24"/>
          <w:u w:val="single"/>
        </w:rPr>
      </w:pPr>
    </w:p>
    <w:p>
      <w:pPr>
        <w:pStyle w:val="5"/>
        <w:spacing w:before="0" w:line="360" w:lineRule="auto"/>
        <w:jc w:val="left"/>
        <w:rPr>
          <w:rFonts w:ascii="宋体" w:hAnsi="宋体" w:eastAsia="宋体"/>
          <w:sz w:val="24"/>
          <w:szCs w:val="24"/>
        </w:rPr>
      </w:pPr>
      <w:bookmarkStart w:id="18" w:name="_Toc35393794"/>
      <w:bookmarkStart w:id="19" w:name="_Toc28359007"/>
      <w:bookmarkStart w:id="20" w:name="_Toc28359084"/>
      <w:bookmarkStart w:id="21" w:name="_Toc35393625"/>
      <w:r>
        <w:rPr>
          <w:rFonts w:ascii="宋体" w:hAnsi="宋体" w:eastAsia="宋体"/>
          <w:sz w:val="24"/>
          <w:szCs w:val="24"/>
        </w:rPr>
        <w:t>六、公告期限</w:t>
      </w:r>
      <w:bookmarkEnd w:id="18"/>
      <w:bookmarkEnd w:id="19"/>
      <w:bookmarkEnd w:id="20"/>
      <w:bookmarkEnd w:id="21"/>
    </w:p>
    <w:p>
      <w:pPr>
        <w:spacing w:line="360" w:lineRule="auto"/>
        <w:ind w:firstLine="480" w:firstLineChars="200"/>
        <w:rPr>
          <w:rFonts w:ascii="宋体" w:hAnsi="宋体"/>
          <w:kern w:val="0"/>
          <w:sz w:val="24"/>
        </w:rPr>
      </w:pPr>
      <w:r>
        <w:rPr>
          <w:rFonts w:ascii="宋体" w:hAnsi="宋体"/>
          <w:kern w:val="0"/>
          <w:sz w:val="24"/>
        </w:rPr>
        <w:t>自本公告发布之日起3个工作日。</w:t>
      </w:r>
    </w:p>
    <w:p>
      <w:pPr>
        <w:spacing w:line="360" w:lineRule="auto"/>
        <w:ind w:firstLine="480" w:firstLineChars="200"/>
        <w:rPr>
          <w:rFonts w:ascii="宋体" w:hAnsi="宋体"/>
          <w:kern w:val="0"/>
          <w:sz w:val="24"/>
        </w:rPr>
      </w:pPr>
    </w:p>
    <w:p>
      <w:pPr>
        <w:pStyle w:val="5"/>
        <w:spacing w:before="0" w:line="360" w:lineRule="auto"/>
        <w:jc w:val="left"/>
        <w:rPr>
          <w:rFonts w:ascii="宋体" w:hAnsi="宋体" w:eastAsia="宋体"/>
          <w:sz w:val="24"/>
          <w:szCs w:val="24"/>
        </w:rPr>
      </w:pPr>
      <w:bookmarkStart w:id="22" w:name="_Toc35393795"/>
      <w:bookmarkStart w:id="23" w:name="_Toc35393626"/>
      <w:r>
        <w:rPr>
          <w:rFonts w:ascii="宋体" w:hAnsi="宋体" w:eastAsia="宋体"/>
          <w:sz w:val="24"/>
          <w:szCs w:val="24"/>
        </w:rPr>
        <w:t>七、其他补充事宜</w:t>
      </w:r>
      <w:bookmarkEnd w:id="22"/>
      <w:bookmarkEnd w:id="23"/>
    </w:p>
    <w:p>
      <w:pPr>
        <w:spacing w:line="360" w:lineRule="auto"/>
        <w:ind w:firstLine="480" w:firstLineChars="200"/>
        <w:rPr>
          <w:rFonts w:ascii="宋体" w:hAnsi="宋体"/>
          <w:sz w:val="24"/>
        </w:rPr>
      </w:pPr>
      <w:r>
        <w:rPr>
          <w:rFonts w:ascii="宋体" w:hAnsi="宋体"/>
          <w:sz w:val="24"/>
        </w:rPr>
        <w:t>1.本项目需要落实的政府采购政策：</w:t>
      </w:r>
      <w:r>
        <w:rPr>
          <w:rFonts w:hint="eastAsia" w:ascii="宋体" w:hAnsi="宋体"/>
          <w:sz w:val="24"/>
          <w:u w:val="single"/>
        </w:rPr>
        <w:t>促进中小企业、监狱企业、残疾人福利性单位发展</w:t>
      </w:r>
      <w:r>
        <w:rPr>
          <w:rFonts w:ascii="宋体" w:hAnsi="宋体"/>
          <w:sz w:val="24"/>
          <w:u w:val="single"/>
        </w:rPr>
        <w:t>。</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2</w:t>
      </w:r>
      <w:r>
        <w:rPr>
          <w:rFonts w:ascii="宋体" w:hAnsi="宋体"/>
          <w:sz w:val="24"/>
          <w:lang w:bidi="ar"/>
        </w:rPr>
        <w:t>.</w:t>
      </w:r>
      <w:r>
        <w:rPr>
          <w:rFonts w:hint="eastAsia" w:ascii="宋体" w:hAnsi="宋体"/>
          <w:sz w:val="24"/>
          <w:lang w:bidi="ar"/>
        </w:rPr>
        <w:t>本项目采用全流程电子化采购方式， 请供应商认真学习北京市政府采购电子交易 平台发布的相关操作手册（供应商可在交易平台下载相关手册），办理 CA 数字证书或  电子营业执照、进行北京市政府采购电子交易平台注册绑定，并认真核实 CA 数字证书或电子营业执照情况确认是否符合本项目电子化采购流程要求。</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CA 数字证书服务热线 010-58511086</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电子营业执照服务热线 400-699-7000</w:t>
      </w:r>
    </w:p>
    <w:p>
      <w:pPr>
        <w:adjustRightInd w:val="0"/>
        <w:snapToGrid w:val="0"/>
        <w:spacing w:line="360" w:lineRule="auto"/>
        <w:ind w:firstLine="480" w:firstLineChars="200"/>
        <w:rPr>
          <w:rFonts w:ascii="宋体" w:hAnsi="宋体"/>
          <w:sz w:val="24"/>
        </w:rPr>
      </w:pPr>
      <w:r>
        <w:rPr>
          <w:rFonts w:hint="eastAsia" w:ascii="宋体" w:hAnsi="宋体"/>
          <w:sz w:val="24"/>
          <w:lang w:bidi="ar"/>
        </w:rPr>
        <w:t>技术支持服务热线    010-86483801</w:t>
      </w:r>
      <w:r>
        <w:rPr>
          <w:rFonts w:ascii="宋体" w:hAnsi="宋体"/>
          <w:sz w:val="24"/>
          <w:lang w:bidi="ar"/>
        </w:rPr>
        <w:t xml:space="preserve">   </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.1</w:t>
      </w:r>
      <w:r>
        <w:rPr>
          <w:rFonts w:hint="eastAsia" w:ascii="宋体" w:hAnsi="宋体"/>
          <w:sz w:val="24"/>
          <w:lang w:bidi="ar"/>
        </w:rPr>
        <w:t>办理 CA 数字证书或电子营业执照</w:t>
      </w:r>
    </w:p>
    <w:p>
      <w:pPr>
        <w:widowControl/>
        <w:adjustRightInd w:val="0"/>
        <w:snapToGrid w:val="0"/>
        <w:spacing w:line="360" w:lineRule="auto"/>
        <w:ind w:firstLine="480" w:firstLineChars="200"/>
        <w:jc w:val="left"/>
        <w:rPr>
          <w:rFonts w:ascii="宋体" w:hAnsi="宋体"/>
          <w:sz w:val="24"/>
        </w:rPr>
      </w:pPr>
      <w:r>
        <w:rPr>
          <w:rFonts w:ascii="宋体" w:hAnsi="宋体"/>
          <w:sz w:val="24"/>
          <w:lang w:bidi="ar"/>
        </w:rPr>
        <w:t>供应商登录北京市政府采购电子交易平台查阅 “用户指南”—“操作指南”—“市场主体CA办理操作流程指引”</w:t>
      </w:r>
      <w:r>
        <w:rPr>
          <w:rFonts w:hint="eastAsia" w:ascii="宋体" w:hAnsi="宋体"/>
          <w:sz w:val="24"/>
          <w:lang w:bidi="ar"/>
        </w:rPr>
        <w:t>/</w:t>
      </w:r>
      <w:r>
        <w:rPr>
          <w:rFonts w:ascii="宋体" w:hAnsi="宋体"/>
          <w:sz w:val="24"/>
          <w:lang w:bidi="ar"/>
        </w:rPr>
        <w:t>“</w:t>
      </w:r>
      <w:r>
        <w:rPr>
          <w:rFonts w:hint="eastAsia" w:ascii="宋体" w:hAnsi="宋体"/>
          <w:sz w:val="24"/>
          <w:lang w:bidi="ar"/>
        </w:rPr>
        <w:t>电子营业执照使用指南</w:t>
      </w:r>
      <w:r>
        <w:rPr>
          <w:rFonts w:ascii="宋体" w:hAnsi="宋体"/>
          <w:sz w:val="24"/>
          <w:lang w:bidi="ar"/>
        </w:rPr>
        <w:t>”，按照程序要求办理。</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.2注册</w:t>
      </w:r>
    </w:p>
    <w:p>
      <w:pPr>
        <w:adjustRightInd w:val="0"/>
        <w:snapToGrid w:val="0"/>
        <w:spacing w:line="360" w:lineRule="auto"/>
        <w:ind w:firstLine="480" w:firstLineChars="200"/>
        <w:rPr>
          <w:rFonts w:ascii="宋体" w:hAnsi="宋体"/>
          <w:sz w:val="24"/>
        </w:rPr>
      </w:pPr>
      <w:r>
        <w:rPr>
          <w:rFonts w:ascii="宋体" w:hAnsi="宋体"/>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.3驱动、客户端下载</w:t>
      </w:r>
    </w:p>
    <w:p>
      <w:pPr>
        <w:widowControl/>
        <w:adjustRightInd w:val="0"/>
        <w:snapToGrid w:val="0"/>
        <w:spacing w:line="360" w:lineRule="auto"/>
        <w:ind w:firstLine="480" w:firstLineChars="200"/>
        <w:jc w:val="left"/>
        <w:rPr>
          <w:rFonts w:ascii="宋体" w:hAnsi="宋体"/>
          <w:sz w:val="24"/>
        </w:rPr>
      </w:pPr>
      <w:r>
        <w:rPr>
          <w:rFonts w:ascii="宋体" w:hAnsi="宋体"/>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ascii="宋体" w:hAnsi="宋体"/>
          <w:sz w:val="24"/>
          <w:lang w:bidi="ar"/>
        </w:rPr>
      </w:pPr>
      <w:r>
        <w:rPr>
          <w:rFonts w:ascii="宋体" w:hAnsi="宋体"/>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.4 获取电子竞争性磋商文件</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供应商使用 CA 数字证书或电子营业执照登录北京市政府采购电子交易平台获取电子竞争性磋商文件。</w:t>
      </w:r>
    </w:p>
    <w:p>
      <w:pPr>
        <w:adjustRightInd w:val="0"/>
        <w:snapToGrid w:val="0"/>
        <w:spacing w:line="360" w:lineRule="auto"/>
        <w:ind w:firstLine="480" w:firstLineChars="200"/>
        <w:rPr>
          <w:rFonts w:hint="eastAsia" w:ascii="宋体" w:hAnsi="宋体"/>
          <w:sz w:val="24"/>
          <w:lang w:bidi="ar"/>
        </w:rPr>
      </w:pPr>
      <w:r>
        <w:rPr>
          <w:rFonts w:hint="eastAsia" w:ascii="宋体" w:hAnsi="宋体"/>
          <w:sz w:val="24"/>
          <w:lang w:bidi="ar"/>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.5编制电子响应文件</w:t>
      </w:r>
    </w:p>
    <w:p>
      <w:pPr>
        <w:widowControl/>
        <w:spacing w:line="360" w:lineRule="auto"/>
        <w:ind w:firstLine="480" w:firstLineChars="200"/>
        <w:jc w:val="left"/>
        <w:rPr>
          <w:rFonts w:hint="eastAsia" w:ascii="宋体" w:hAnsi="宋体"/>
          <w:sz w:val="24"/>
          <w:lang w:val="zh-TW" w:bidi="ar"/>
        </w:rPr>
      </w:pPr>
      <w:r>
        <w:rPr>
          <w:rFonts w:hint="eastAsia" w:ascii="宋体" w:hAnsi="宋体"/>
          <w:sz w:val="24"/>
          <w:lang w:val="zh-TW"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pPr>
        <w:widowControl/>
        <w:spacing w:line="360" w:lineRule="auto"/>
        <w:ind w:firstLine="480" w:firstLineChars="200"/>
        <w:jc w:val="left"/>
        <w:rPr>
          <w:rFonts w:ascii="宋体" w:hAnsi="宋体"/>
          <w:sz w:val="24"/>
          <w:lang w:val="zh-TW" w:bidi="ar"/>
        </w:rPr>
      </w:pPr>
      <w:r>
        <w:rPr>
          <w:rFonts w:hint="eastAsia" w:ascii="宋体" w:hAnsi="宋体"/>
          <w:sz w:val="24"/>
          <w:lang w:val="zh-TW" w:bidi="ar"/>
        </w:rPr>
        <w:t>2</w:t>
      </w:r>
      <w:r>
        <w:rPr>
          <w:rFonts w:ascii="宋体" w:hAnsi="宋体"/>
          <w:sz w:val="24"/>
          <w:lang w:val="zh-TW" w:bidi="ar"/>
        </w:rPr>
        <w:t>.6</w:t>
      </w:r>
      <w:r>
        <w:rPr>
          <w:rFonts w:hint="eastAsia" w:ascii="宋体" w:hAnsi="宋体"/>
          <w:sz w:val="24"/>
          <w:lang w:bidi="ar"/>
        </w:rPr>
        <w:t>提</w:t>
      </w:r>
      <w:r>
        <w:rPr>
          <w:rFonts w:ascii="宋体" w:hAnsi="宋体"/>
          <w:sz w:val="24"/>
          <w:lang w:val="zh-TW" w:bidi="ar"/>
        </w:rPr>
        <w:t>交电子响应文件</w:t>
      </w:r>
    </w:p>
    <w:p>
      <w:pPr>
        <w:widowControl/>
        <w:spacing w:line="360" w:lineRule="auto"/>
        <w:ind w:firstLine="480" w:firstLineChars="200"/>
        <w:jc w:val="left"/>
        <w:rPr>
          <w:rFonts w:ascii="宋体" w:hAnsi="宋体"/>
          <w:sz w:val="24"/>
          <w:lang w:bidi="ar"/>
        </w:rPr>
      </w:pPr>
      <w:r>
        <w:rPr>
          <w:rFonts w:ascii="宋体" w:hAnsi="宋体"/>
          <w:sz w:val="24"/>
          <w:lang w:bidi="ar"/>
        </w:rPr>
        <w:t>供应商应于</w:t>
      </w:r>
      <w:r>
        <w:rPr>
          <w:rFonts w:ascii="宋体" w:hAnsi="宋体"/>
          <w:sz w:val="24"/>
        </w:rPr>
        <w:t>响应文件提交</w:t>
      </w:r>
      <w:r>
        <w:rPr>
          <w:rFonts w:ascii="宋体" w:hAnsi="宋体"/>
          <w:sz w:val="24"/>
          <w:lang w:bidi="ar"/>
        </w:rPr>
        <w:t>截止时间前在平台提交电子响应文件，上传电子响应文件过程中请保持与互联网的连接畅通。</w:t>
      </w:r>
    </w:p>
    <w:p>
      <w:pPr>
        <w:spacing w:line="360" w:lineRule="auto"/>
        <w:ind w:firstLine="480" w:firstLineChars="200"/>
        <w:rPr>
          <w:rFonts w:ascii="宋体" w:hAnsi="宋体"/>
          <w:sz w:val="24"/>
        </w:rPr>
      </w:pPr>
      <w:r>
        <w:rPr>
          <w:rFonts w:hint="eastAsia" w:ascii="宋体" w:hAnsi="宋体"/>
          <w:sz w:val="24"/>
          <w:lang w:val="zh-TW" w:bidi="ar"/>
        </w:rPr>
        <w:t>2</w:t>
      </w:r>
      <w:r>
        <w:rPr>
          <w:rFonts w:ascii="宋体" w:hAnsi="宋体"/>
          <w:sz w:val="24"/>
          <w:lang w:val="zh-TW" w:bidi="ar"/>
        </w:rPr>
        <w:t>.7 开启响应文件</w:t>
      </w:r>
    </w:p>
    <w:p>
      <w:pPr>
        <w:spacing w:line="360" w:lineRule="auto"/>
        <w:ind w:firstLine="480" w:firstLineChars="200"/>
        <w:rPr>
          <w:rFonts w:ascii="宋体" w:hAnsi="宋体"/>
          <w:sz w:val="24"/>
          <w:lang w:bidi="ar"/>
        </w:rPr>
      </w:pPr>
      <w:r>
        <w:rPr>
          <w:rFonts w:ascii="宋体" w:hAnsi="宋体"/>
          <w:sz w:val="24"/>
        </w:rPr>
        <w:t>供应商于</w:t>
      </w:r>
      <w:r>
        <w:rPr>
          <w:rFonts w:ascii="宋体" w:hAnsi="宋体"/>
          <w:sz w:val="24"/>
          <w:lang w:val="zh-TW" w:bidi="ar"/>
        </w:rPr>
        <w:t>磋商文件规定的开启时间、在开启地点使用</w:t>
      </w:r>
      <w:r>
        <w:rPr>
          <w:rFonts w:ascii="宋体" w:hAnsi="宋体"/>
          <w:sz w:val="24"/>
          <w:lang w:bidi="ar"/>
        </w:rPr>
        <w:t>CA</w:t>
      </w:r>
      <w:r>
        <w:rPr>
          <w:rFonts w:hint="eastAsia" w:ascii="宋体" w:hAnsi="宋体"/>
          <w:sz w:val="24"/>
          <w:lang w:bidi="ar"/>
        </w:rPr>
        <w:t>数字</w:t>
      </w:r>
      <w:r>
        <w:rPr>
          <w:rFonts w:ascii="宋体" w:hAnsi="宋体"/>
          <w:sz w:val="24"/>
          <w:lang w:bidi="ar"/>
        </w:rPr>
        <w:t>证书</w:t>
      </w:r>
      <w:r>
        <w:rPr>
          <w:rFonts w:ascii="宋体" w:hAnsi="宋体"/>
          <w:spacing w:val="-2"/>
          <w:sz w:val="24"/>
        </w:rPr>
        <w:t>或电子营业执照</w:t>
      </w:r>
      <w:r>
        <w:rPr>
          <w:rFonts w:ascii="宋体" w:hAnsi="宋体"/>
          <w:sz w:val="24"/>
          <w:lang w:val="zh-TW" w:bidi="ar"/>
        </w:rPr>
        <w:t>登录</w:t>
      </w:r>
      <w:r>
        <w:rPr>
          <w:rFonts w:ascii="宋体" w:hAnsi="宋体"/>
          <w:sz w:val="24"/>
          <w:lang w:bidi="ar"/>
        </w:rPr>
        <w:t>北京市政府采购电子交易平台解密并开启响应文件。如因供应商问题，解密不成功，则</w:t>
      </w:r>
      <w:r>
        <w:rPr>
          <w:rFonts w:ascii="宋体" w:hAnsi="宋体"/>
          <w:b/>
          <w:sz w:val="24"/>
          <w:lang w:bidi="ar"/>
        </w:rPr>
        <w:t>响应无效</w:t>
      </w:r>
      <w:r>
        <w:rPr>
          <w:rFonts w:ascii="宋体" w:hAnsi="宋体"/>
          <w:sz w:val="24"/>
          <w:lang w:bidi="ar"/>
        </w:rPr>
        <w:t>。</w:t>
      </w:r>
    </w:p>
    <w:p>
      <w:pPr>
        <w:spacing w:line="360" w:lineRule="auto"/>
        <w:ind w:firstLine="480" w:firstLineChars="200"/>
        <w:rPr>
          <w:rFonts w:hint="eastAsia" w:ascii="宋体" w:hAnsi="宋体"/>
          <w:sz w:val="24"/>
          <w:lang w:bidi="ar"/>
        </w:rPr>
      </w:pPr>
      <w:r>
        <w:rPr>
          <w:rFonts w:hint="eastAsia" w:ascii="宋体" w:hAnsi="宋体"/>
          <w:sz w:val="24"/>
          <w:lang w:bidi="ar"/>
        </w:rPr>
        <w:t>3. 本项目的采购公告仅在中国政府采购网(www.ccgp.gov.cn)、北京市政府采购网(www.ccgp-beijing.gov.cn) 上发布。</w:t>
      </w:r>
    </w:p>
    <w:p>
      <w:pPr>
        <w:spacing w:line="360" w:lineRule="auto"/>
        <w:ind w:firstLine="480" w:firstLineChars="200"/>
        <w:rPr>
          <w:rFonts w:hint="eastAsia" w:ascii="宋体" w:hAnsi="宋体"/>
          <w:sz w:val="24"/>
          <w:lang w:bidi="ar"/>
        </w:rPr>
      </w:pPr>
      <w:r>
        <w:rPr>
          <w:rFonts w:hint="eastAsia" w:ascii="宋体" w:hAnsi="宋体"/>
          <w:sz w:val="24"/>
          <w:lang w:bidi="ar"/>
        </w:rPr>
        <w:t>4.本项目评标方法和标准：综合评分法，总分100分。</w:t>
      </w:r>
    </w:p>
    <w:p>
      <w:pPr>
        <w:spacing w:line="360" w:lineRule="auto"/>
        <w:ind w:firstLine="480" w:firstLineChars="200"/>
        <w:rPr>
          <w:rFonts w:hint="eastAsia" w:ascii="宋体" w:hAnsi="宋体"/>
          <w:sz w:val="24"/>
          <w:lang w:bidi="ar"/>
        </w:rPr>
      </w:pPr>
      <w:r>
        <w:rPr>
          <w:rFonts w:hint="eastAsia" w:ascii="宋体" w:hAnsi="宋体"/>
          <w:sz w:val="24"/>
          <w:lang w:bidi="ar"/>
        </w:rPr>
        <w:t>5.如本公告内容和竞争性磋商文件内容不一致，以竞争性磋商文件为准。</w:t>
      </w:r>
    </w:p>
    <w:p>
      <w:pPr>
        <w:spacing w:line="360" w:lineRule="auto"/>
        <w:ind w:firstLine="480" w:firstLineChars="200"/>
        <w:rPr>
          <w:rFonts w:hint="eastAsia" w:ascii="宋体" w:hAnsi="宋体"/>
          <w:sz w:val="24"/>
          <w:lang w:bidi="ar"/>
        </w:rPr>
      </w:pPr>
      <w:r>
        <w:rPr>
          <w:rFonts w:hint="eastAsia" w:ascii="宋体" w:hAnsi="宋体"/>
          <w:sz w:val="24"/>
          <w:lang w:bidi="ar"/>
        </w:rPr>
        <w:t>6.</w:t>
      </w:r>
      <w:r>
        <w:rPr>
          <w:rFonts w:hint="eastAsia" w:ascii="宋体" w:hAnsi="宋体"/>
          <w:szCs w:val="21"/>
          <w:lang w:bidi="ar"/>
        </w:rPr>
        <w:t xml:space="preserve"> </w:t>
      </w:r>
      <w:r>
        <w:rPr>
          <w:rFonts w:hint="eastAsia" w:ascii="宋体" w:hAnsi="宋体"/>
          <w:sz w:val="24"/>
          <w:lang w:bidi="ar"/>
        </w:rPr>
        <w:t>供应商自行对电子</w:t>
      </w:r>
      <w:r>
        <w:rPr>
          <w:rFonts w:ascii="宋体" w:hAnsi="宋体"/>
          <w:sz w:val="24"/>
          <w:lang w:bidi="ar"/>
        </w:rPr>
        <w:t>响应</w:t>
      </w:r>
      <w:r>
        <w:rPr>
          <w:rFonts w:hint="eastAsia" w:ascii="宋体" w:hAnsi="宋体"/>
          <w:sz w:val="24"/>
          <w:lang w:bidi="ar"/>
        </w:rPr>
        <w:t>文件进行解密，解密时间为2025</w:t>
      </w:r>
      <w:r>
        <w:rPr>
          <w:rFonts w:ascii="宋体" w:hAnsi="宋体"/>
          <w:sz w:val="24"/>
          <w:lang w:bidi="ar"/>
        </w:rPr>
        <w:t>年</w:t>
      </w:r>
      <w:r>
        <w:rPr>
          <w:rFonts w:hint="eastAsia" w:ascii="宋体" w:hAnsi="宋体"/>
          <w:sz w:val="24"/>
          <w:lang w:bidi="ar"/>
        </w:rPr>
        <w:t>7</w:t>
      </w:r>
      <w:r>
        <w:rPr>
          <w:rFonts w:ascii="宋体" w:hAnsi="宋体"/>
          <w:sz w:val="24"/>
          <w:lang w:bidi="ar"/>
        </w:rPr>
        <w:t>月</w:t>
      </w:r>
      <w:r>
        <w:rPr>
          <w:rFonts w:hint="eastAsia" w:ascii="宋体" w:hAnsi="宋体"/>
          <w:sz w:val="24"/>
          <w:lang w:bidi="ar"/>
        </w:rPr>
        <w:t>29</w:t>
      </w:r>
      <w:r>
        <w:rPr>
          <w:rFonts w:ascii="宋体" w:hAnsi="宋体"/>
          <w:sz w:val="24"/>
          <w:lang w:bidi="ar"/>
        </w:rPr>
        <w:t>日当日自发起解密指令起</w:t>
      </w:r>
      <w:r>
        <w:rPr>
          <w:rFonts w:hint="eastAsia" w:ascii="宋体" w:hAnsi="宋体"/>
          <w:sz w:val="24"/>
          <w:lang w:bidi="ar"/>
        </w:rPr>
        <w:t>30分钟，如未在规定的时间内进行文件解密，将视为无效响应。</w:t>
      </w:r>
      <w:r>
        <w:rPr>
          <w:rFonts w:ascii="宋体" w:hAnsi="宋体"/>
          <w:sz w:val="24"/>
          <w:lang w:bidi="ar"/>
        </w:rPr>
        <w:t>磋商当天请供应商</w:t>
      </w:r>
      <w:r>
        <w:rPr>
          <w:rFonts w:hint="eastAsia" w:ascii="宋体" w:hAnsi="宋体"/>
          <w:sz w:val="24"/>
          <w:lang w:bidi="ar"/>
        </w:rPr>
        <w:t>在响应文件提交截止时间后，</w:t>
      </w:r>
      <w:r>
        <w:rPr>
          <w:rFonts w:ascii="宋体" w:hAnsi="宋体"/>
          <w:sz w:val="24"/>
          <w:lang w:bidi="ar"/>
        </w:rPr>
        <w:t>关注</w:t>
      </w:r>
      <w:r>
        <w:rPr>
          <w:rFonts w:hint="eastAsia" w:ascii="宋体" w:hAnsi="宋体"/>
          <w:sz w:val="24"/>
          <w:lang w:bidi="ar"/>
        </w:rPr>
        <w:t>北京市政府采购电子交易平台，对响应文件进行解密、参与二次报价及相关问询。</w:t>
      </w:r>
    </w:p>
    <w:p>
      <w:pPr>
        <w:spacing w:line="360" w:lineRule="auto"/>
        <w:ind w:left="-22" w:firstLine="480" w:firstLineChars="200"/>
        <w:outlineLvl w:val="1"/>
        <w:rPr>
          <w:rFonts w:hint="eastAsia" w:ascii="宋体" w:hAnsi="宋体"/>
          <w:sz w:val="24"/>
        </w:rPr>
      </w:pPr>
      <w:r>
        <w:rPr>
          <w:rFonts w:hint="eastAsia" w:ascii="宋体" w:hAnsi="宋体"/>
          <w:sz w:val="24"/>
          <w:lang w:bidi="ar"/>
        </w:rPr>
        <w:t xml:space="preserve">7. </w:t>
      </w:r>
      <w:r>
        <w:rPr>
          <w:rFonts w:hint="eastAsia" w:ascii="宋体" w:hAnsi="宋体"/>
          <w:sz w:val="24"/>
        </w:rPr>
        <w:t>银行账户信息，电汇购买招标（采购）文件、投标保证金及中标（成交）服务费收取的唯一账户：</w:t>
      </w:r>
    </w:p>
    <w:p>
      <w:pPr>
        <w:spacing w:line="360" w:lineRule="auto"/>
        <w:ind w:left="-22" w:firstLine="480" w:firstLineChars="200"/>
        <w:outlineLvl w:val="1"/>
        <w:rPr>
          <w:rFonts w:hint="eastAsia" w:ascii="宋体" w:hAnsi="宋体"/>
          <w:sz w:val="24"/>
        </w:rPr>
      </w:pPr>
      <w:r>
        <w:rPr>
          <w:rFonts w:hint="eastAsia" w:ascii="宋体" w:hAnsi="宋体"/>
          <w:sz w:val="24"/>
        </w:rPr>
        <w:t>汇款或转账时请务必附言“项目编号+用途”，例如：</w:t>
      </w:r>
      <w:r>
        <w:rPr>
          <w:rFonts w:ascii="宋体" w:hAnsi="宋体"/>
          <w:sz w:val="24"/>
          <w:szCs w:val="28"/>
        </w:rPr>
        <w:t>GC25-0047</w:t>
      </w:r>
      <w:r>
        <w:rPr>
          <w:rFonts w:hint="eastAsia" w:ascii="宋体" w:hAnsi="宋体"/>
          <w:sz w:val="24"/>
        </w:rPr>
        <w:t>保证金。</w:t>
      </w:r>
    </w:p>
    <w:p>
      <w:pPr>
        <w:spacing w:line="360" w:lineRule="auto"/>
        <w:ind w:left="-22" w:firstLine="480" w:firstLineChars="200"/>
        <w:outlineLvl w:val="1"/>
        <w:rPr>
          <w:rFonts w:hint="eastAsia" w:ascii="宋体" w:hAnsi="宋体"/>
          <w:sz w:val="24"/>
        </w:rPr>
      </w:pPr>
      <w:r>
        <w:rPr>
          <w:rFonts w:hint="eastAsia" w:ascii="宋体" w:hAnsi="宋体"/>
          <w:sz w:val="24"/>
        </w:rPr>
        <w:t>公司名称：北京明德致信咨询有限公司</w:t>
      </w:r>
    </w:p>
    <w:p>
      <w:pPr>
        <w:spacing w:line="360" w:lineRule="auto"/>
        <w:ind w:left="-22" w:firstLine="480" w:firstLineChars="200"/>
        <w:outlineLvl w:val="1"/>
        <w:rPr>
          <w:rFonts w:hint="eastAsia" w:ascii="宋体" w:hAnsi="宋体"/>
          <w:sz w:val="24"/>
        </w:rPr>
      </w:pPr>
      <w:r>
        <w:rPr>
          <w:rFonts w:hint="eastAsia" w:ascii="宋体" w:hAnsi="宋体"/>
          <w:sz w:val="24"/>
        </w:rPr>
        <w:t>开 户 行：中国工商银行股份有限公司北京东升路支行</w:t>
      </w:r>
    </w:p>
    <w:p>
      <w:pPr>
        <w:spacing w:line="360" w:lineRule="auto"/>
        <w:ind w:firstLine="480" w:firstLineChars="200"/>
        <w:rPr>
          <w:rFonts w:ascii="宋体" w:hAnsi="宋体"/>
          <w:sz w:val="24"/>
          <w:lang w:bidi="ar"/>
        </w:rPr>
      </w:pPr>
      <w:r>
        <w:rPr>
          <w:rFonts w:hint="eastAsia" w:ascii="宋体" w:hAnsi="宋体"/>
          <w:sz w:val="24"/>
        </w:rPr>
        <w:t>账    号：0200 0062 1920 0492 968</w:t>
      </w:r>
    </w:p>
    <w:p>
      <w:pPr>
        <w:pStyle w:val="5"/>
        <w:spacing w:before="0" w:line="360" w:lineRule="auto"/>
        <w:jc w:val="left"/>
        <w:rPr>
          <w:rFonts w:ascii="宋体" w:hAnsi="宋体" w:eastAsia="宋体"/>
          <w:sz w:val="24"/>
          <w:szCs w:val="24"/>
        </w:rPr>
      </w:pPr>
      <w:bookmarkStart w:id="24" w:name="_Toc35393627"/>
      <w:bookmarkStart w:id="25" w:name="_Toc28359008"/>
      <w:bookmarkStart w:id="26" w:name="_Toc28359085"/>
      <w:bookmarkStart w:id="27" w:name="_Toc35393796"/>
      <w:r>
        <w:rPr>
          <w:rFonts w:ascii="宋体" w:hAnsi="宋体" w:eastAsia="宋体"/>
          <w:sz w:val="24"/>
          <w:szCs w:val="24"/>
        </w:rPr>
        <w:t>八、对本</w:t>
      </w:r>
      <w:r>
        <w:rPr>
          <w:rFonts w:hint="eastAsia" w:ascii="宋体" w:hAnsi="宋体" w:eastAsia="宋体"/>
          <w:sz w:val="24"/>
          <w:szCs w:val="24"/>
        </w:rPr>
        <w:t>次采购</w:t>
      </w:r>
      <w:r>
        <w:rPr>
          <w:rFonts w:ascii="宋体" w:hAnsi="宋体" w:eastAsia="宋体"/>
          <w:sz w:val="24"/>
          <w:szCs w:val="24"/>
        </w:rPr>
        <w:t>提出询问，请按以下方式联系。</w:t>
      </w:r>
      <w:bookmarkEnd w:id="24"/>
      <w:bookmarkEnd w:id="25"/>
      <w:bookmarkEnd w:id="26"/>
      <w:bookmarkEnd w:id="27"/>
    </w:p>
    <w:p>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pPr>
        <w:spacing w:line="360" w:lineRule="auto"/>
        <w:ind w:left="1079" w:leftChars="371" w:hanging="300" w:hangingChars="125"/>
        <w:jc w:val="left"/>
        <w:rPr>
          <w:rFonts w:hint="eastAsia" w:ascii="宋体" w:hAnsi="宋体"/>
          <w:sz w:val="24"/>
        </w:rPr>
      </w:pPr>
      <w:bookmarkStart w:id="28" w:name="_Toc28359086"/>
      <w:bookmarkStart w:id="29" w:name="_Toc28359009"/>
      <w:r>
        <w:rPr>
          <w:rFonts w:hint="eastAsia" w:ascii="宋体" w:hAnsi="宋体"/>
          <w:sz w:val="24"/>
        </w:rPr>
        <w:t>名    称：首都师范大学附属育新学校房山分校</w:t>
      </w:r>
    </w:p>
    <w:p>
      <w:pPr>
        <w:spacing w:line="360" w:lineRule="auto"/>
        <w:ind w:left="1079" w:leftChars="371" w:hanging="300" w:hangingChars="125"/>
        <w:jc w:val="left"/>
        <w:rPr>
          <w:rFonts w:hint="eastAsia" w:ascii="宋体" w:hAnsi="宋体"/>
          <w:sz w:val="24"/>
        </w:rPr>
      </w:pPr>
      <w:r>
        <w:rPr>
          <w:rFonts w:hint="eastAsia" w:ascii="宋体" w:hAnsi="宋体"/>
          <w:sz w:val="24"/>
        </w:rPr>
        <w:t>地    址： 北京市房山区长阳镇大宁二路22号</w:t>
      </w:r>
    </w:p>
    <w:p>
      <w:pPr>
        <w:spacing w:line="360" w:lineRule="auto"/>
        <w:ind w:left="1079" w:leftChars="371" w:hanging="300" w:hangingChars="125"/>
        <w:jc w:val="left"/>
        <w:rPr>
          <w:rFonts w:ascii="宋体" w:hAnsi="宋体"/>
          <w:sz w:val="24"/>
        </w:rPr>
      </w:pPr>
      <w:r>
        <w:rPr>
          <w:rFonts w:hint="eastAsia" w:ascii="宋体" w:hAnsi="宋体"/>
          <w:sz w:val="24"/>
        </w:rPr>
        <w:t>联系方式： 陈老师,</w:t>
      </w:r>
      <w:r>
        <w:rPr>
          <w:rFonts w:ascii="宋体" w:hAnsi="宋体"/>
        </w:rPr>
        <w:t xml:space="preserve"> </w:t>
      </w:r>
      <w:r>
        <w:rPr>
          <w:rFonts w:ascii="宋体" w:hAnsi="宋体"/>
          <w:sz w:val="24"/>
        </w:rPr>
        <w:t>010-81352008-8017</w:t>
      </w:r>
    </w:p>
    <w:p>
      <w:pPr>
        <w:spacing w:line="360" w:lineRule="auto"/>
        <w:ind w:left="1078" w:leftChars="371" w:hanging="299" w:hangingChars="124"/>
        <w:jc w:val="left"/>
        <w:rPr>
          <w:rFonts w:ascii="宋体" w:hAnsi="宋体"/>
          <w:b/>
          <w:sz w:val="24"/>
        </w:rPr>
      </w:pPr>
      <w:r>
        <w:rPr>
          <w:rFonts w:ascii="宋体" w:hAnsi="宋体"/>
          <w:b/>
          <w:sz w:val="24"/>
        </w:rPr>
        <w:t>2.采购代理机构信息</w:t>
      </w:r>
      <w:bookmarkEnd w:id="28"/>
      <w:bookmarkEnd w:id="29"/>
    </w:p>
    <w:p>
      <w:pPr>
        <w:spacing w:line="360" w:lineRule="auto"/>
        <w:ind w:left="1076" w:leftChars="371" w:hanging="297" w:hangingChars="124"/>
        <w:rPr>
          <w:rFonts w:hint="eastAsia" w:ascii="宋体" w:hAnsi="宋体"/>
          <w:sz w:val="24"/>
        </w:rPr>
      </w:pPr>
      <w:bookmarkStart w:id="30" w:name="_Toc28359087"/>
      <w:bookmarkStart w:id="31" w:name="_Toc28359010"/>
      <w:r>
        <w:rPr>
          <w:rFonts w:hint="eastAsia" w:ascii="宋体" w:hAnsi="宋体"/>
          <w:sz w:val="24"/>
        </w:rPr>
        <w:t>名称：北京明德致信咨询有限公司</w:t>
      </w:r>
    </w:p>
    <w:p>
      <w:pPr>
        <w:spacing w:line="360" w:lineRule="auto"/>
        <w:ind w:left="1076" w:leftChars="371" w:hanging="297" w:hangingChars="124"/>
        <w:rPr>
          <w:rFonts w:hint="eastAsia" w:ascii="宋体" w:hAnsi="宋体"/>
          <w:sz w:val="24"/>
        </w:rPr>
      </w:pPr>
      <w:r>
        <w:rPr>
          <w:rFonts w:hint="eastAsia" w:ascii="宋体" w:hAnsi="宋体"/>
          <w:sz w:val="24"/>
        </w:rPr>
        <w:t>地址：北京市海淀区学院路30号科大天工大厦B座1709室</w:t>
      </w:r>
    </w:p>
    <w:p>
      <w:pPr>
        <w:spacing w:line="360" w:lineRule="auto"/>
        <w:ind w:left="1076" w:leftChars="371" w:hanging="297" w:hangingChars="124"/>
        <w:rPr>
          <w:rFonts w:ascii="宋体" w:hAnsi="宋体"/>
          <w:sz w:val="24"/>
        </w:rPr>
      </w:pPr>
      <w:r>
        <w:rPr>
          <w:rFonts w:hint="eastAsia" w:ascii="宋体" w:hAnsi="宋体"/>
          <w:sz w:val="24"/>
        </w:rPr>
        <w:t>联系方式：010－82370045、FC@zbbmcc.com（保证金、发票等咨询）</w:t>
      </w:r>
    </w:p>
    <w:p>
      <w:pPr>
        <w:spacing w:line="360" w:lineRule="auto"/>
        <w:ind w:left="1078" w:leftChars="371" w:hanging="299" w:hangingChars="124"/>
        <w:rPr>
          <w:rFonts w:ascii="宋体" w:hAnsi="宋体"/>
          <w:b/>
          <w:sz w:val="24"/>
          <w:u w:val="single"/>
        </w:rPr>
      </w:pPr>
      <w:r>
        <w:rPr>
          <w:rFonts w:ascii="宋体" w:hAnsi="宋体"/>
          <w:b/>
          <w:sz w:val="24"/>
        </w:rPr>
        <w:t>3.项目联系方式</w:t>
      </w:r>
      <w:bookmarkEnd w:id="30"/>
      <w:bookmarkEnd w:id="31"/>
    </w:p>
    <w:p>
      <w:pPr>
        <w:pStyle w:val="30"/>
        <w:spacing w:line="360" w:lineRule="auto"/>
        <w:ind w:left="1076" w:leftChars="371" w:hanging="297" w:hangingChars="124"/>
        <w:rPr>
          <w:rFonts w:hint="default" w:hAnsi="宋体"/>
          <w:sz w:val="24"/>
          <w:u w:val="single"/>
        </w:rPr>
      </w:pPr>
      <w:r>
        <w:rPr>
          <w:rFonts w:hAnsi="宋体"/>
          <w:sz w:val="24"/>
        </w:rPr>
        <w:t>联系方式：</w:t>
      </w:r>
      <w:r>
        <w:rPr>
          <w:rFonts w:hAnsi="宋体" w:cs="宋体"/>
          <w:sz w:val="24"/>
        </w:rPr>
        <w:t>张闻、曾甜、王渊、王希、孙恺宁、吕绍山、万雅萌、王润斯</w:t>
      </w:r>
    </w:p>
    <w:p>
      <w:pPr>
        <w:spacing w:line="360" w:lineRule="auto"/>
        <w:ind w:left="1076" w:leftChars="371" w:hanging="297" w:hangingChars="124"/>
        <w:rPr>
          <w:rFonts w:ascii="宋体" w:hAnsi="宋体"/>
          <w:sz w:val="24"/>
          <w:lang w:bidi="ar"/>
        </w:rPr>
      </w:pPr>
      <w:r>
        <w:rPr>
          <w:rFonts w:ascii="宋体" w:hAnsi="宋体"/>
          <w:sz w:val="24"/>
        </w:rPr>
        <w:t>电      话：</w:t>
      </w:r>
      <w:r>
        <w:rPr>
          <w:rFonts w:hint="eastAsia" w:ascii="宋体" w:hAnsi="宋体"/>
          <w:sz w:val="24"/>
        </w:rPr>
        <w:t>010－61192271、15110203501（仅用于采购文件咨询）</w:t>
      </w:r>
    </w:p>
    <w:p>
      <w:pPr>
        <w:pStyle w:val="30"/>
        <w:spacing w:line="360" w:lineRule="auto"/>
        <w:ind w:left="1076" w:leftChars="371" w:hanging="297" w:hangingChars="124"/>
        <w:rPr>
          <w:rFonts w:hint="default" w:hAnsi="宋体"/>
          <w:sz w:val="24"/>
          <w:szCs w:val="24"/>
        </w:rPr>
      </w:pPr>
      <w:r>
        <w:rPr>
          <w:rFonts w:hint="default" w:hAnsi="宋体"/>
          <w:sz w:val="24"/>
          <w:szCs w:val="24"/>
        </w:rPr>
        <w:t>邮</w:t>
      </w:r>
      <w:r>
        <w:rPr>
          <w:rFonts w:hAnsi="宋体"/>
          <w:sz w:val="24"/>
          <w:szCs w:val="24"/>
        </w:rPr>
        <w:t xml:space="preserve">      </w:t>
      </w:r>
      <w:r>
        <w:rPr>
          <w:rFonts w:hint="default" w:hAnsi="宋体"/>
          <w:sz w:val="24"/>
          <w:szCs w:val="24"/>
        </w:rPr>
        <w:t>箱：</w:t>
      </w:r>
      <w:r>
        <w:rPr>
          <w:rFonts w:hAnsi="宋体" w:cs="宋体"/>
          <w:sz w:val="24"/>
        </w:rPr>
        <w:t>zw@zbbmcc.com</w:t>
      </w:r>
    </w:p>
    <w:p>
      <w:pPr>
        <w:spacing w:line="360" w:lineRule="auto"/>
        <w:ind w:firstLine="5880" w:firstLineChars="2450"/>
        <w:jc w:val="right"/>
        <w:rPr>
          <w:rFonts w:ascii="宋体" w:hAnsi="宋体"/>
          <w:sz w:val="24"/>
        </w:rPr>
      </w:pPr>
    </w:p>
    <w:p>
      <w:pPr>
        <w:spacing w:line="360" w:lineRule="auto"/>
        <w:jc w:val="center"/>
        <w:outlineLvl w:val="0"/>
        <w:rPr>
          <w:rFonts w:ascii="宋体" w:hAnsi="宋体"/>
          <w:b/>
          <w:sz w:val="32"/>
          <w:szCs w:val="32"/>
        </w:rPr>
      </w:pPr>
      <w:r>
        <w:rPr>
          <w:rFonts w:ascii="宋体" w:hAnsi="宋体"/>
          <w:sz w:val="24"/>
        </w:rPr>
        <w:br w:type="page"/>
      </w:r>
      <w:bookmarkStart w:id="32" w:name="_Toc353825548"/>
      <w:bookmarkStart w:id="33" w:name="_Toc226965856"/>
      <w:bookmarkStart w:id="34" w:name="_Toc305158928"/>
      <w:bookmarkStart w:id="35" w:name="_Toc195842950"/>
      <w:bookmarkStart w:id="36" w:name="_Toc265228423"/>
      <w:bookmarkStart w:id="37" w:name="_Toc97371942"/>
      <w:bookmarkStart w:id="38" w:name="_Toc512937850"/>
      <w:bookmarkStart w:id="39" w:name="_Toc127151777"/>
      <w:bookmarkStart w:id="40" w:name="_Toc305158854"/>
      <w:bookmarkStart w:id="41" w:name="_Toc353873938"/>
      <w:bookmarkStart w:id="42" w:name="_Toc127161488"/>
      <w:bookmarkStart w:id="43" w:name="_Toc264969275"/>
      <w:bookmarkStart w:id="44" w:name="_Toc150774783"/>
      <w:r>
        <w:rPr>
          <w:rFonts w:ascii="宋体" w:hAnsi="宋体"/>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5"/>
        <w:tabs>
          <w:tab w:val="center" w:pos="4592"/>
          <w:tab w:val="left" w:pos="7860"/>
        </w:tabs>
        <w:spacing w:before="0" w:line="360" w:lineRule="auto"/>
        <w:rPr>
          <w:rFonts w:ascii="宋体" w:hAnsi="宋体" w:eastAsia="宋体"/>
          <w:b w:val="0"/>
          <w:sz w:val="28"/>
        </w:rPr>
      </w:pPr>
      <w:bookmarkStart w:id="45" w:name="_Toc127161433"/>
      <w:bookmarkStart w:id="46" w:name="_Toc150774619"/>
      <w:bookmarkStart w:id="47" w:name="_Toc150509270"/>
      <w:bookmarkStart w:id="48" w:name="_Toc195842884"/>
      <w:bookmarkStart w:id="49" w:name="_Toc127151519"/>
      <w:bookmarkStart w:id="50" w:name="_Toc150480757"/>
      <w:bookmarkStart w:id="51" w:name="_Toc226965709"/>
      <w:bookmarkStart w:id="52" w:name="_Toc164229214"/>
      <w:bookmarkStart w:id="53" w:name="_Toc151190146"/>
      <w:bookmarkStart w:id="54" w:name="_Toc164608788"/>
      <w:bookmarkStart w:id="55" w:name="_Toc142311021"/>
      <w:bookmarkStart w:id="56" w:name="_Toc149720812"/>
      <w:bookmarkStart w:id="57" w:name="_Toc226337215"/>
      <w:bookmarkStart w:id="58" w:name="_Toc151193907"/>
      <w:bookmarkStart w:id="59" w:name="_Toc151193689"/>
      <w:bookmarkStart w:id="60" w:name="_Toc164351613"/>
      <w:bookmarkStart w:id="61" w:name="_Toc164608633"/>
      <w:bookmarkStart w:id="62" w:name="_Toc151193617"/>
      <w:bookmarkStart w:id="63" w:name="_Toc226965792"/>
      <w:bookmarkStart w:id="64" w:name="_Toc164229360"/>
      <w:bookmarkStart w:id="65" w:name="_Toc150774724"/>
      <w:bookmarkStart w:id="66" w:name="_Toc226309763"/>
      <w:bookmarkStart w:id="67" w:name="_Toc151193833"/>
      <w:bookmarkStart w:id="68" w:name="_Toc151193761"/>
      <w:bookmarkStart w:id="69" w:name="_Toc520356144"/>
      <w:bookmarkStart w:id="70" w:name="_Toc127151720"/>
      <w:r>
        <w:rPr>
          <w:rFonts w:ascii="宋体" w:hAnsi="宋体" w:eastAsia="宋体"/>
          <w:sz w:val="28"/>
        </w:rPr>
        <w:t>供应商须知资料表</w:t>
      </w:r>
    </w:p>
    <w:p>
      <w:pPr>
        <w:jc w:val="center"/>
        <w:rPr>
          <w:rFonts w:ascii="宋体" w:hAnsi="宋体"/>
          <w:b/>
          <w:sz w:val="28"/>
          <w:szCs w:val="28"/>
        </w:rPr>
      </w:pPr>
    </w:p>
    <w:p>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6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ascii="宋体" w:hAnsi="宋体"/>
                <w:b/>
                <w:bCs/>
                <w:sz w:val="24"/>
              </w:rPr>
            </w:pPr>
            <w:r>
              <w:rPr>
                <w:rFonts w:ascii="宋体" w:hAnsi="宋体"/>
                <w:b/>
                <w:sz w:val="24"/>
              </w:rPr>
              <w:t>条款号</w:t>
            </w:r>
          </w:p>
        </w:tc>
        <w:tc>
          <w:tcPr>
            <w:tcW w:w="1701" w:type="dxa"/>
            <w:noWrap w:val="0"/>
            <w:vAlign w:val="center"/>
          </w:tcPr>
          <w:p>
            <w:pPr>
              <w:jc w:val="center"/>
              <w:rPr>
                <w:rFonts w:ascii="宋体" w:hAnsi="宋体"/>
                <w:b/>
                <w:bCs/>
                <w:sz w:val="24"/>
              </w:rPr>
            </w:pPr>
            <w:r>
              <w:rPr>
                <w:rFonts w:ascii="宋体" w:hAnsi="宋体"/>
                <w:b/>
                <w:bCs/>
                <w:sz w:val="24"/>
              </w:rPr>
              <w:t>条目</w:t>
            </w:r>
          </w:p>
        </w:tc>
        <w:tc>
          <w:tcPr>
            <w:tcW w:w="6767" w:type="dxa"/>
            <w:noWrap w:val="0"/>
            <w:vAlign w:val="center"/>
          </w:tcPr>
          <w:p>
            <w:pPr>
              <w:jc w:val="center"/>
              <w:rPr>
                <w:rFonts w:ascii="宋体" w:hAnsi="宋体"/>
                <w:b/>
                <w:bCs/>
                <w:sz w:val="24"/>
              </w:rPr>
            </w:pPr>
            <w:r>
              <w:rPr>
                <w:rFonts w:ascii="宋体" w:hAnsi="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2.2</w:t>
            </w:r>
          </w:p>
        </w:tc>
        <w:tc>
          <w:tcPr>
            <w:tcW w:w="1701" w:type="dxa"/>
            <w:noWrap w:val="0"/>
            <w:vAlign w:val="center"/>
          </w:tcPr>
          <w:p>
            <w:pPr>
              <w:jc w:val="center"/>
              <w:rPr>
                <w:rFonts w:ascii="宋体" w:hAnsi="宋体"/>
                <w:sz w:val="24"/>
              </w:rPr>
            </w:pPr>
            <w:r>
              <w:rPr>
                <w:rFonts w:ascii="宋体" w:hAnsi="宋体"/>
                <w:sz w:val="24"/>
              </w:rPr>
              <w:t>项目属性</w:t>
            </w:r>
          </w:p>
        </w:tc>
        <w:tc>
          <w:tcPr>
            <w:tcW w:w="6767" w:type="dxa"/>
            <w:noWrap w:val="0"/>
            <w:vAlign w:val="center"/>
          </w:tcPr>
          <w:p>
            <w:pPr>
              <w:jc w:val="left"/>
              <w:rPr>
                <w:rFonts w:ascii="宋体" w:hAnsi="宋体"/>
                <w:sz w:val="24"/>
              </w:rPr>
            </w:pPr>
            <w:r>
              <w:rPr>
                <w:rFonts w:ascii="宋体" w:hAnsi="宋体"/>
                <w:sz w:val="24"/>
              </w:rPr>
              <w:t>项目属性：</w:t>
            </w:r>
          </w:p>
          <w:p>
            <w:pPr>
              <w:jc w:val="left"/>
              <w:rPr>
                <w:rFonts w:ascii="宋体" w:hAnsi="宋体"/>
                <w:sz w:val="24"/>
              </w:rPr>
            </w:pPr>
            <w:r>
              <w:rPr>
                <w:rFonts w:ascii="宋体" w:hAnsi="宋体"/>
                <w:sz w:val="24"/>
              </w:rPr>
              <w:t>□服务</w:t>
            </w:r>
          </w:p>
          <w:p>
            <w:pPr>
              <w:jc w:val="left"/>
              <w:rPr>
                <w:rFonts w:ascii="宋体" w:hAnsi="宋体"/>
                <w:sz w:val="24"/>
              </w:rPr>
            </w:pPr>
            <w:r>
              <w:rPr>
                <w:rFonts w:ascii="宋体" w:hAnsi="宋体"/>
              </w:rPr>
              <w:t>□</w:t>
            </w:r>
            <w:r>
              <w:rPr>
                <w:rFonts w:ascii="宋体" w:hAnsi="宋体"/>
                <w:sz w:val="24"/>
              </w:rPr>
              <w:t>货物</w:t>
            </w:r>
          </w:p>
          <w:p>
            <w:pPr>
              <w:jc w:val="left"/>
              <w:rPr>
                <w:rFonts w:ascii="宋体" w:hAnsi="宋体"/>
                <w:sz w:val="24"/>
                <w:u w:val="single"/>
              </w:rPr>
            </w:pPr>
            <w:r>
              <w:rPr>
                <w:rFonts w:ascii="宋体" w:hAnsi="宋体"/>
                <w:b/>
                <w:sz w:val="24"/>
              </w:rPr>
              <w:t>■</w:t>
            </w:r>
            <w:r>
              <w:rPr>
                <w:rFonts w:hint="eastAsia" w:ascii="宋体" w:hAnsi="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2.3</w:t>
            </w:r>
          </w:p>
        </w:tc>
        <w:tc>
          <w:tcPr>
            <w:tcW w:w="1701" w:type="dxa"/>
            <w:noWrap w:val="0"/>
            <w:vAlign w:val="center"/>
          </w:tcPr>
          <w:p>
            <w:pPr>
              <w:jc w:val="center"/>
              <w:rPr>
                <w:rFonts w:ascii="宋体" w:hAnsi="宋体"/>
                <w:sz w:val="24"/>
              </w:rPr>
            </w:pPr>
            <w:r>
              <w:rPr>
                <w:rFonts w:ascii="宋体" w:hAnsi="宋体"/>
                <w:sz w:val="24"/>
              </w:rPr>
              <w:t>科研仪器设备</w:t>
            </w:r>
          </w:p>
        </w:tc>
        <w:tc>
          <w:tcPr>
            <w:tcW w:w="6767" w:type="dxa"/>
            <w:noWrap w:val="0"/>
            <w:vAlign w:val="center"/>
          </w:tcPr>
          <w:p>
            <w:pPr>
              <w:jc w:val="left"/>
              <w:rPr>
                <w:rFonts w:ascii="宋体" w:hAnsi="宋体"/>
                <w:sz w:val="24"/>
              </w:rPr>
            </w:pPr>
            <w:r>
              <w:rPr>
                <w:rFonts w:ascii="宋体" w:hAnsi="宋体"/>
                <w:sz w:val="24"/>
              </w:rPr>
              <w:t>是否属于科研仪器设备采购项目：</w:t>
            </w:r>
          </w:p>
          <w:p>
            <w:pPr>
              <w:jc w:val="left"/>
              <w:rPr>
                <w:rFonts w:ascii="宋体" w:hAnsi="宋体"/>
                <w:sz w:val="24"/>
              </w:rPr>
            </w:pPr>
            <w:r>
              <w:rPr>
                <w:rFonts w:ascii="宋体" w:hAnsi="宋体"/>
              </w:rPr>
              <w:t>□</w:t>
            </w:r>
            <w:r>
              <w:rPr>
                <w:rFonts w:ascii="宋体" w:hAnsi="宋体"/>
                <w:sz w:val="24"/>
              </w:rPr>
              <w:t>是</w:t>
            </w:r>
          </w:p>
          <w:p>
            <w:pPr>
              <w:jc w:val="left"/>
              <w:rPr>
                <w:rFonts w:ascii="宋体" w:hAnsi="宋体"/>
                <w:sz w:val="24"/>
              </w:rPr>
            </w:pPr>
            <w:r>
              <w:rPr>
                <w:rFonts w:ascii="宋体" w:hAnsi="宋体"/>
                <w:b/>
                <w:sz w:val="24"/>
              </w:rPr>
              <w:t>■</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30"/>
              <w:adjustRightInd w:val="0"/>
              <w:snapToGrid w:val="0"/>
              <w:jc w:val="center"/>
              <w:rPr>
                <w:rFonts w:hint="default" w:hAnsi="宋体"/>
                <w:sz w:val="24"/>
                <w:szCs w:val="24"/>
              </w:rPr>
            </w:pPr>
            <w:r>
              <w:rPr>
                <w:rFonts w:hint="default" w:hAnsi="宋体"/>
                <w:sz w:val="24"/>
                <w:szCs w:val="24"/>
              </w:rPr>
              <w:t>3.1</w:t>
            </w:r>
          </w:p>
        </w:tc>
        <w:tc>
          <w:tcPr>
            <w:tcW w:w="1701" w:type="dxa"/>
            <w:noWrap w:val="0"/>
            <w:vAlign w:val="center"/>
          </w:tcPr>
          <w:p>
            <w:pPr>
              <w:jc w:val="center"/>
              <w:rPr>
                <w:rFonts w:ascii="宋体" w:hAnsi="宋体"/>
                <w:sz w:val="24"/>
              </w:rPr>
            </w:pPr>
            <w:r>
              <w:rPr>
                <w:rFonts w:ascii="宋体" w:hAnsi="宋体"/>
                <w:sz w:val="24"/>
              </w:rPr>
              <w:t>现场考察</w:t>
            </w:r>
          </w:p>
        </w:tc>
        <w:tc>
          <w:tcPr>
            <w:tcW w:w="6767" w:type="dxa"/>
            <w:noWrap w:val="0"/>
            <w:vAlign w:val="center"/>
          </w:tcPr>
          <w:p>
            <w:pPr>
              <w:jc w:val="left"/>
              <w:rPr>
                <w:rFonts w:ascii="宋体" w:hAnsi="宋体"/>
                <w:sz w:val="24"/>
              </w:rPr>
            </w:pPr>
            <w:r>
              <w:rPr>
                <w:rFonts w:ascii="宋体" w:hAnsi="宋体"/>
                <w:b/>
                <w:sz w:val="24"/>
              </w:rPr>
              <w:t>■</w:t>
            </w:r>
            <w:r>
              <w:rPr>
                <w:rFonts w:ascii="宋体" w:hAnsi="宋体"/>
                <w:sz w:val="24"/>
              </w:rPr>
              <w:t>不组织</w:t>
            </w:r>
          </w:p>
          <w:p>
            <w:pPr>
              <w:jc w:val="left"/>
              <w:rPr>
                <w:rFonts w:ascii="宋体" w:hAnsi="宋体"/>
                <w:bCs/>
                <w:sz w:val="24"/>
              </w:rPr>
            </w:pPr>
            <w:r>
              <w:rPr>
                <w:rFonts w:ascii="宋体" w:hAnsi="宋体"/>
              </w:rPr>
              <w:t>□</w:t>
            </w:r>
            <w:r>
              <w:rPr>
                <w:rFonts w:ascii="宋体" w:hAnsi="宋体"/>
                <w:sz w:val="24"/>
              </w:rPr>
              <w:t>组织，考察时间：___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pPr>
              <w:pStyle w:val="30"/>
              <w:adjustRightInd w:val="0"/>
              <w:snapToGrid w:val="0"/>
              <w:rPr>
                <w:rFonts w:hint="default" w:hAnsi="宋体"/>
                <w:sz w:val="24"/>
                <w:szCs w:val="24"/>
              </w:rPr>
            </w:pPr>
            <w:r>
              <w:rPr>
                <w:rFonts w:hint="default" w:hAnsi="宋体"/>
                <w:sz w:val="24"/>
              </w:rPr>
              <w:t>考察地点：___________</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30"/>
              <w:adjustRightInd w:val="0"/>
              <w:snapToGrid w:val="0"/>
              <w:jc w:val="center"/>
              <w:rPr>
                <w:rFonts w:hint="default" w:hAnsi="宋体"/>
                <w:sz w:val="24"/>
                <w:szCs w:val="24"/>
              </w:rPr>
            </w:pPr>
          </w:p>
        </w:tc>
        <w:tc>
          <w:tcPr>
            <w:tcW w:w="1701" w:type="dxa"/>
            <w:noWrap w:val="0"/>
            <w:vAlign w:val="center"/>
          </w:tcPr>
          <w:p>
            <w:pPr>
              <w:jc w:val="center"/>
              <w:rPr>
                <w:rFonts w:ascii="宋体" w:hAnsi="宋体"/>
                <w:sz w:val="24"/>
              </w:rPr>
            </w:pPr>
            <w:r>
              <w:rPr>
                <w:rFonts w:ascii="宋体" w:hAnsi="宋体"/>
                <w:sz w:val="24"/>
              </w:rPr>
              <w:t>磋商前答疑会</w:t>
            </w:r>
          </w:p>
        </w:tc>
        <w:tc>
          <w:tcPr>
            <w:tcW w:w="6767" w:type="dxa"/>
            <w:noWrap w:val="0"/>
            <w:vAlign w:val="center"/>
          </w:tcPr>
          <w:p>
            <w:pPr>
              <w:jc w:val="left"/>
              <w:rPr>
                <w:rFonts w:ascii="宋体" w:hAnsi="宋体"/>
                <w:sz w:val="24"/>
              </w:rPr>
            </w:pPr>
            <w:r>
              <w:rPr>
                <w:rFonts w:ascii="宋体" w:hAnsi="宋体"/>
                <w:b/>
                <w:sz w:val="24"/>
              </w:rPr>
              <w:t>■</w:t>
            </w:r>
            <w:r>
              <w:rPr>
                <w:rFonts w:ascii="宋体" w:hAnsi="宋体"/>
                <w:sz w:val="24"/>
              </w:rPr>
              <w:t>不召开</w:t>
            </w:r>
          </w:p>
          <w:p>
            <w:pPr>
              <w:jc w:val="left"/>
              <w:rPr>
                <w:rFonts w:ascii="宋体" w:hAnsi="宋体"/>
                <w:sz w:val="24"/>
              </w:rPr>
            </w:pPr>
            <w:r>
              <w:rPr>
                <w:rFonts w:ascii="宋体" w:hAnsi="宋体"/>
              </w:rPr>
              <w:t>□</w:t>
            </w:r>
            <w:r>
              <w:rPr>
                <w:rFonts w:ascii="宋体" w:hAnsi="宋体"/>
                <w:sz w:val="24"/>
              </w:rPr>
              <w:t>召开，召开时间：___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pPr>
              <w:jc w:val="left"/>
              <w:rPr>
                <w:rFonts w:ascii="宋体" w:hAnsi="宋体"/>
                <w:sz w:val="24"/>
              </w:rPr>
            </w:pPr>
            <w:r>
              <w:rPr>
                <w:rFonts w:ascii="宋体" w:hAnsi="宋体"/>
                <w:sz w:val="24"/>
              </w:rPr>
              <w:t>召开地点：___________</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4.2.5</w:t>
            </w:r>
          </w:p>
        </w:tc>
        <w:tc>
          <w:tcPr>
            <w:tcW w:w="1701" w:type="dxa"/>
            <w:noWrap w:val="0"/>
            <w:vAlign w:val="center"/>
          </w:tcPr>
          <w:p>
            <w:pPr>
              <w:jc w:val="center"/>
              <w:rPr>
                <w:rFonts w:ascii="宋体" w:hAnsi="宋体"/>
                <w:sz w:val="24"/>
              </w:rPr>
            </w:pPr>
            <w:r>
              <w:rPr>
                <w:rFonts w:ascii="宋体" w:hAnsi="宋体"/>
                <w:sz w:val="24"/>
              </w:rPr>
              <w:t>标的所属行业</w:t>
            </w:r>
          </w:p>
        </w:tc>
        <w:tc>
          <w:tcPr>
            <w:tcW w:w="6767" w:type="dxa"/>
            <w:noWrap w:val="0"/>
            <w:vAlign w:val="center"/>
          </w:tcPr>
          <w:p>
            <w:pPr>
              <w:jc w:val="left"/>
              <w:rPr>
                <w:rFonts w:ascii="宋体" w:hAnsi="宋体"/>
                <w:sz w:val="24"/>
              </w:rPr>
            </w:pPr>
            <w:r>
              <w:rPr>
                <w:rFonts w:ascii="宋体" w:hAnsi="宋体"/>
                <w:sz w:val="24"/>
              </w:rPr>
              <w:t>本项目采购标的对应的中小企业划分标准所属行业：</w:t>
            </w:r>
          </w:p>
          <w:tbl>
            <w:tblPr>
              <w:tblStyle w:val="61"/>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51"/>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ascii="宋体" w:hAnsi="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ascii="宋体" w:hAnsi="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01</w:t>
                  </w:r>
                </w:p>
              </w:tc>
              <w:tc>
                <w:tcPr>
                  <w:tcW w:w="19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sz w:val="24"/>
                      <w:szCs w:val="28"/>
                    </w:rPr>
                    <w:t>北京市房山区长阳第三小学（首都师范大学附属育新学校房山分校大宁校区）食堂操作间维修提升项目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建筑业</w:t>
                  </w:r>
                </w:p>
              </w:tc>
            </w:tr>
          </w:tbl>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10.2</w:t>
            </w:r>
          </w:p>
        </w:tc>
        <w:tc>
          <w:tcPr>
            <w:tcW w:w="1701" w:type="dxa"/>
            <w:noWrap w:val="0"/>
            <w:vAlign w:val="center"/>
          </w:tcPr>
          <w:p>
            <w:pPr>
              <w:jc w:val="center"/>
              <w:rPr>
                <w:rFonts w:ascii="宋体" w:hAnsi="宋体"/>
                <w:sz w:val="24"/>
              </w:rPr>
            </w:pPr>
            <w:r>
              <w:rPr>
                <w:rFonts w:ascii="宋体" w:hAnsi="宋体"/>
                <w:sz w:val="24"/>
              </w:rPr>
              <w:t>报价</w:t>
            </w:r>
          </w:p>
        </w:tc>
        <w:tc>
          <w:tcPr>
            <w:tcW w:w="6767" w:type="dxa"/>
            <w:noWrap w:val="0"/>
            <w:vAlign w:val="center"/>
          </w:tcPr>
          <w:p>
            <w:pPr>
              <w:jc w:val="left"/>
              <w:rPr>
                <w:rFonts w:ascii="宋体" w:hAnsi="宋体"/>
                <w:sz w:val="24"/>
              </w:rPr>
            </w:pPr>
            <w:r>
              <w:rPr>
                <w:rFonts w:ascii="宋体" w:hAnsi="宋体"/>
                <w:sz w:val="24"/>
              </w:rPr>
              <w:t>报价的特殊规定：</w:t>
            </w:r>
          </w:p>
          <w:p>
            <w:pPr>
              <w:jc w:val="left"/>
              <w:rPr>
                <w:rFonts w:ascii="宋体" w:hAnsi="宋体"/>
                <w:sz w:val="24"/>
              </w:rPr>
            </w:pPr>
            <w:r>
              <w:rPr>
                <w:rFonts w:ascii="宋体" w:hAnsi="宋体"/>
                <w:b/>
                <w:sz w:val="24"/>
              </w:rPr>
              <w:t>■</w:t>
            </w:r>
            <w:r>
              <w:rPr>
                <w:rFonts w:ascii="宋体" w:hAnsi="宋体"/>
                <w:sz w:val="24"/>
              </w:rPr>
              <w:t>无</w:t>
            </w:r>
          </w:p>
          <w:p>
            <w:pPr>
              <w:jc w:val="left"/>
              <w:rPr>
                <w:rFonts w:ascii="宋体" w:hAnsi="宋体"/>
                <w:sz w:val="24"/>
              </w:rPr>
            </w:pPr>
            <w:r>
              <w:rPr>
                <w:rFonts w:ascii="宋体" w:hAnsi="宋体"/>
              </w:rPr>
              <w:t>□</w:t>
            </w:r>
            <w:r>
              <w:rPr>
                <w:rFonts w:ascii="宋体" w:hAnsi="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11.1</w:t>
            </w:r>
          </w:p>
        </w:tc>
        <w:tc>
          <w:tcPr>
            <w:tcW w:w="1701" w:type="dxa"/>
            <w:vMerge w:val="restart"/>
            <w:noWrap w:val="0"/>
            <w:vAlign w:val="center"/>
          </w:tcPr>
          <w:p>
            <w:pPr>
              <w:jc w:val="center"/>
              <w:rPr>
                <w:rFonts w:ascii="宋体" w:hAnsi="宋体"/>
                <w:sz w:val="24"/>
              </w:rPr>
            </w:pPr>
            <w:r>
              <w:rPr>
                <w:rFonts w:ascii="宋体" w:hAnsi="宋体"/>
                <w:sz w:val="24"/>
              </w:rPr>
              <w:t>磋商保证金</w:t>
            </w:r>
          </w:p>
        </w:tc>
        <w:tc>
          <w:tcPr>
            <w:tcW w:w="6767" w:type="dxa"/>
            <w:noWrap w:val="0"/>
            <w:vAlign w:val="center"/>
          </w:tcPr>
          <w:p>
            <w:pPr>
              <w:pStyle w:val="30"/>
              <w:adjustRightInd w:val="0"/>
              <w:snapToGrid w:val="0"/>
              <w:rPr>
                <w:rFonts w:hAnsi="宋体"/>
                <w:sz w:val="24"/>
                <w:szCs w:val="24"/>
              </w:rPr>
            </w:pPr>
            <w:r>
              <w:rPr>
                <w:rFonts w:hAnsi="宋体"/>
                <w:sz w:val="24"/>
                <w:szCs w:val="24"/>
              </w:rPr>
              <w:t>磋商保证金金额：</w:t>
            </w:r>
          </w:p>
          <w:p>
            <w:pPr>
              <w:pStyle w:val="30"/>
              <w:adjustRightInd w:val="0"/>
              <w:snapToGrid w:val="0"/>
              <w:rPr>
                <w:rFonts w:hAnsi="宋体"/>
                <w:sz w:val="24"/>
                <w:szCs w:val="24"/>
              </w:rPr>
            </w:pPr>
            <w:r>
              <w:rPr>
                <w:rFonts w:hAnsi="宋体"/>
                <w:sz w:val="24"/>
                <w:szCs w:val="24"/>
              </w:rPr>
              <w:t>01包：人民币</w:t>
            </w:r>
            <w:r>
              <w:rPr>
                <w:rFonts w:hAnsi="宋体"/>
                <w:sz w:val="24"/>
                <w:szCs w:val="24"/>
                <w:u w:val="single"/>
              </w:rPr>
              <w:t xml:space="preserve"> 50000 </w:t>
            </w:r>
            <w:r>
              <w:rPr>
                <w:rFonts w:hAnsi="宋体"/>
                <w:sz w:val="24"/>
                <w:szCs w:val="24"/>
              </w:rPr>
              <w:t>元；</w:t>
            </w:r>
          </w:p>
          <w:p>
            <w:pPr>
              <w:pStyle w:val="30"/>
              <w:adjustRightInd w:val="0"/>
              <w:snapToGrid w:val="0"/>
              <w:rPr>
                <w:rFonts w:hAnsi="宋体"/>
                <w:sz w:val="24"/>
                <w:szCs w:val="24"/>
              </w:rPr>
            </w:pPr>
            <w:r>
              <w:rPr>
                <w:rFonts w:hAnsi="宋体"/>
                <w:sz w:val="24"/>
                <w:szCs w:val="24"/>
              </w:rPr>
              <w:t>磋商保证金收受人信息：</w:t>
            </w:r>
          </w:p>
          <w:p>
            <w:pPr>
              <w:pStyle w:val="30"/>
              <w:adjustRightInd w:val="0"/>
              <w:snapToGrid w:val="0"/>
              <w:rPr>
                <w:rFonts w:hAnsi="宋体"/>
                <w:sz w:val="24"/>
                <w:szCs w:val="24"/>
                <w:u w:val="single"/>
              </w:rPr>
            </w:pPr>
            <w:r>
              <w:rPr>
                <w:rFonts w:hAnsi="宋体"/>
                <w:sz w:val="24"/>
                <w:szCs w:val="24"/>
                <w:u w:val="single"/>
              </w:rPr>
              <w:t>公司名称：北京明德致信咨询有限公司</w:t>
            </w:r>
          </w:p>
          <w:p>
            <w:pPr>
              <w:pStyle w:val="30"/>
              <w:adjustRightInd w:val="0"/>
              <w:snapToGrid w:val="0"/>
              <w:rPr>
                <w:rFonts w:hAnsi="宋体"/>
                <w:sz w:val="24"/>
                <w:szCs w:val="24"/>
                <w:u w:val="single"/>
              </w:rPr>
            </w:pPr>
            <w:r>
              <w:rPr>
                <w:rFonts w:hAnsi="宋体"/>
                <w:sz w:val="24"/>
                <w:szCs w:val="24"/>
                <w:u w:val="single"/>
              </w:rPr>
              <w:t>开 户 行：中国工商银行股份有限公司北京东升路支行</w:t>
            </w:r>
          </w:p>
          <w:p>
            <w:pPr>
              <w:pStyle w:val="30"/>
              <w:adjustRightInd w:val="0"/>
              <w:snapToGrid w:val="0"/>
              <w:rPr>
                <w:rFonts w:hAnsi="宋体"/>
                <w:sz w:val="24"/>
                <w:szCs w:val="24"/>
                <w:u w:val="single"/>
              </w:rPr>
            </w:pPr>
            <w:r>
              <w:rPr>
                <w:rFonts w:hAnsi="宋体"/>
                <w:sz w:val="24"/>
                <w:szCs w:val="24"/>
                <w:u w:val="single"/>
              </w:rPr>
              <w:t>账    号：0200 0062 1920 0492 968</w:t>
            </w:r>
          </w:p>
          <w:p>
            <w:pPr>
              <w:jc w:val="left"/>
              <w:rPr>
                <w:rFonts w:ascii="宋体" w:hAnsi="宋体"/>
                <w:sz w:val="24"/>
              </w:rPr>
            </w:pPr>
            <w:r>
              <w:rPr>
                <w:rFonts w:hint="eastAsia" w:ascii="宋体" w:hAnsi="宋体"/>
                <w:sz w:val="24"/>
              </w:rPr>
              <w:t>供应商若采用电汇形式缴纳保证金，请在汇款附言或备注栏中标记“项目编号和保证金”字样。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11.7.5</w:t>
            </w:r>
          </w:p>
        </w:tc>
        <w:tc>
          <w:tcPr>
            <w:tcW w:w="1701" w:type="dxa"/>
            <w:vMerge w:val="continue"/>
            <w:noWrap w:val="0"/>
            <w:vAlign w:val="center"/>
          </w:tcPr>
          <w:p>
            <w:pPr>
              <w:jc w:val="center"/>
              <w:rPr>
                <w:rFonts w:ascii="宋体" w:hAnsi="宋体"/>
                <w:sz w:val="24"/>
              </w:rPr>
            </w:pPr>
          </w:p>
        </w:tc>
        <w:tc>
          <w:tcPr>
            <w:tcW w:w="6767" w:type="dxa"/>
            <w:noWrap w:val="0"/>
            <w:vAlign w:val="center"/>
          </w:tcPr>
          <w:p>
            <w:pPr>
              <w:jc w:val="left"/>
              <w:rPr>
                <w:rFonts w:ascii="宋体" w:hAnsi="宋体"/>
                <w:sz w:val="24"/>
              </w:rPr>
            </w:pPr>
            <w:r>
              <w:rPr>
                <w:rFonts w:ascii="宋体" w:hAnsi="宋体"/>
                <w:sz w:val="24"/>
              </w:rPr>
              <w:t>磋商保证金不予退还的其他情形：</w:t>
            </w:r>
          </w:p>
          <w:p>
            <w:pPr>
              <w:jc w:val="left"/>
              <w:rPr>
                <w:rFonts w:ascii="宋体" w:hAnsi="宋体"/>
                <w:sz w:val="24"/>
              </w:rPr>
            </w:pPr>
            <w:r>
              <w:rPr>
                <w:rFonts w:ascii="宋体" w:hAnsi="宋体"/>
                <w:b/>
                <w:sz w:val="24"/>
              </w:rPr>
              <w:t>■</w:t>
            </w:r>
            <w:r>
              <w:rPr>
                <w:rFonts w:ascii="宋体" w:hAnsi="宋体"/>
                <w:sz w:val="24"/>
              </w:rPr>
              <w:t>无</w:t>
            </w:r>
          </w:p>
          <w:p>
            <w:pPr>
              <w:pStyle w:val="30"/>
              <w:adjustRightInd w:val="0"/>
              <w:snapToGrid w:val="0"/>
              <w:rPr>
                <w:rFonts w:hint="default" w:hAnsi="宋体"/>
                <w:sz w:val="24"/>
              </w:rPr>
            </w:pPr>
            <w:r>
              <w:rPr>
                <w:rFonts w:hint="default" w:hAnsi="宋体"/>
                <w:sz w:val="24"/>
              </w:rPr>
              <w:t>□有，具体情形：</w:t>
            </w:r>
          </w:p>
          <w:p>
            <w:pPr>
              <w:pStyle w:val="30"/>
              <w:adjustRightInd w:val="0"/>
              <w:snapToGrid w:val="0"/>
              <w:rPr>
                <w:rFonts w:hint="default" w:hAnsi="宋体"/>
                <w:sz w:val="24"/>
              </w:rPr>
            </w:pPr>
            <w:r>
              <w:rPr>
                <w:rFonts w:hAnsi="宋体"/>
                <w:sz w:val="24"/>
              </w:rPr>
              <w:t>1.磋商有效期内供应商撤销投标文件的；</w:t>
            </w:r>
          </w:p>
          <w:p>
            <w:pPr>
              <w:pStyle w:val="30"/>
              <w:adjustRightInd w:val="0"/>
              <w:snapToGrid w:val="0"/>
              <w:rPr>
                <w:rFonts w:hint="default" w:hAnsi="宋体"/>
                <w:sz w:val="24"/>
              </w:rPr>
            </w:pPr>
            <w:r>
              <w:rPr>
                <w:rFonts w:hAnsi="宋体"/>
                <w:sz w:val="24"/>
              </w:rPr>
              <w:t>2.供应商在投标文件中提供任何虚假材料的；</w:t>
            </w:r>
          </w:p>
          <w:p>
            <w:pPr>
              <w:pStyle w:val="30"/>
              <w:adjustRightInd w:val="0"/>
              <w:snapToGrid w:val="0"/>
              <w:rPr>
                <w:rFonts w:hint="default" w:hAnsi="宋体"/>
                <w:sz w:val="24"/>
              </w:rPr>
            </w:pPr>
            <w:r>
              <w:rPr>
                <w:rFonts w:hAnsi="宋体"/>
                <w:sz w:val="24"/>
              </w:rPr>
              <w:t>3.成交人不按本须知的规定与采购人签订合同的；</w:t>
            </w:r>
          </w:p>
          <w:p>
            <w:pPr>
              <w:pStyle w:val="30"/>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pPr>
              <w:pStyle w:val="30"/>
              <w:adjustRightInd w:val="0"/>
              <w:snapToGrid w:val="0"/>
              <w:rPr>
                <w:rFonts w:hint="default" w:hAnsi="宋体"/>
                <w:sz w:val="24"/>
                <w:szCs w:val="24"/>
              </w:rPr>
            </w:pPr>
            <w:r>
              <w:rPr>
                <w:rFonts w:hAnsi="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12.1</w:t>
            </w:r>
          </w:p>
        </w:tc>
        <w:tc>
          <w:tcPr>
            <w:tcW w:w="1701" w:type="dxa"/>
            <w:noWrap w:val="0"/>
            <w:vAlign w:val="center"/>
          </w:tcPr>
          <w:p>
            <w:pPr>
              <w:jc w:val="center"/>
              <w:rPr>
                <w:rFonts w:ascii="宋体" w:hAnsi="宋体"/>
                <w:sz w:val="24"/>
              </w:rPr>
            </w:pPr>
            <w:r>
              <w:rPr>
                <w:rFonts w:ascii="宋体" w:hAnsi="宋体"/>
                <w:sz w:val="24"/>
              </w:rPr>
              <w:t>响应有效期</w:t>
            </w:r>
          </w:p>
        </w:tc>
        <w:tc>
          <w:tcPr>
            <w:tcW w:w="6767" w:type="dxa"/>
            <w:noWrap w:val="0"/>
            <w:vAlign w:val="center"/>
          </w:tcPr>
          <w:p>
            <w:pPr>
              <w:jc w:val="left"/>
              <w:rPr>
                <w:rFonts w:ascii="宋体" w:hAnsi="宋体"/>
                <w:sz w:val="24"/>
              </w:rPr>
            </w:pPr>
            <w:r>
              <w:rPr>
                <w:rFonts w:ascii="宋体" w:hAnsi="宋体"/>
                <w:sz w:val="24"/>
              </w:rPr>
              <w:t>自响应文件提交截止之日起算</w:t>
            </w:r>
            <w:r>
              <w:rPr>
                <w:rFonts w:hint="eastAsia" w:ascii="宋体" w:hAnsi="宋体"/>
                <w:sz w:val="24"/>
                <w:u w:val="single"/>
              </w:rPr>
              <w:t>90</w:t>
            </w:r>
            <w:r>
              <w:rPr>
                <w:rFonts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20.1</w:t>
            </w:r>
          </w:p>
        </w:tc>
        <w:tc>
          <w:tcPr>
            <w:tcW w:w="1701" w:type="dxa"/>
            <w:noWrap w:val="0"/>
            <w:vAlign w:val="center"/>
          </w:tcPr>
          <w:p>
            <w:pPr>
              <w:jc w:val="center"/>
              <w:rPr>
                <w:rFonts w:ascii="宋体" w:hAnsi="宋体"/>
                <w:sz w:val="24"/>
              </w:rPr>
            </w:pPr>
            <w:r>
              <w:rPr>
                <w:rFonts w:hint="eastAsia" w:ascii="宋体" w:hAnsi="宋体" w:cs="宋体"/>
                <w:sz w:val="24"/>
              </w:rPr>
              <w:t>确定成交供应 商</w:t>
            </w:r>
          </w:p>
        </w:tc>
        <w:tc>
          <w:tcPr>
            <w:tcW w:w="6767" w:type="dxa"/>
            <w:noWrap w:val="0"/>
            <w:vAlign w:val="center"/>
          </w:tcPr>
          <w:p>
            <w:pPr>
              <w:pStyle w:val="30"/>
              <w:adjustRightInd w:val="0"/>
              <w:snapToGrid w:val="0"/>
              <w:rPr>
                <w:rFonts w:hint="default" w:hAnsi="宋体"/>
                <w:sz w:val="24"/>
              </w:rPr>
            </w:pPr>
            <w:r>
              <w:rPr>
                <w:rFonts w:hint="default" w:hAnsi="宋体"/>
                <w:sz w:val="24"/>
              </w:rPr>
              <w:t>采购人是否授权磋商小组直接确定成交供应商：</w:t>
            </w:r>
          </w:p>
          <w:p>
            <w:pPr>
              <w:pStyle w:val="30"/>
              <w:adjustRightInd w:val="0"/>
              <w:snapToGrid w:val="0"/>
              <w:rPr>
                <w:rFonts w:hint="default" w:hAnsi="宋体"/>
                <w:sz w:val="24"/>
              </w:rPr>
            </w:pPr>
            <w:r>
              <w:rPr>
                <w:rFonts w:hint="default" w:hAnsi="宋体"/>
                <w:sz w:val="24"/>
              </w:rPr>
              <w:t>■否</w:t>
            </w:r>
          </w:p>
          <w:p>
            <w:pPr>
              <w:jc w:val="left"/>
              <w:rPr>
                <w:rFonts w:ascii="宋体" w:hAnsi="宋体"/>
                <w:sz w:val="24"/>
              </w:rPr>
            </w:pPr>
            <w:r>
              <w:rPr>
                <w:rFonts w:ascii="宋体" w:hAnsi="宋体"/>
              </w:rPr>
              <w:t>□</w:t>
            </w:r>
            <w:r>
              <w:rPr>
                <w:rFonts w:ascii="宋体" w:hAnsi="宋体"/>
                <w:sz w:val="24"/>
              </w:rPr>
              <w:t>是</w:t>
            </w:r>
          </w:p>
          <w:p>
            <w:pPr>
              <w:jc w:val="left"/>
              <w:rPr>
                <w:rFonts w:ascii="宋体" w:hAnsi="宋体"/>
                <w:sz w:val="24"/>
                <w:u w:val="single"/>
              </w:rPr>
            </w:pPr>
            <w:r>
              <w:rPr>
                <w:rFonts w:ascii="宋体" w:hAnsi="宋体"/>
                <w:sz w:val="24"/>
              </w:rPr>
              <w:t>成交候选人并列的，按照以下方式确定成交供应商：</w:t>
            </w:r>
            <w:r>
              <w:rPr>
                <w:rFonts w:hint="eastAsia" w:ascii="宋体" w:hAnsi="宋体"/>
                <w:sz w:val="24"/>
                <w:u w:val="single"/>
              </w:rPr>
              <w:t>得分相同的，按评审价由低到高顺序排列，得分与评审价均相同的，按技术得分由高到低顺序排列</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23.5</w:t>
            </w:r>
          </w:p>
        </w:tc>
        <w:tc>
          <w:tcPr>
            <w:tcW w:w="1701" w:type="dxa"/>
            <w:noWrap w:val="0"/>
            <w:vAlign w:val="center"/>
          </w:tcPr>
          <w:p>
            <w:pPr>
              <w:jc w:val="center"/>
              <w:rPr>
                <w:rFonts w:ascii="宋体" w:hAnsi="宋体"/>
                <w:sz w:val="24"/>
              </w:rPr>
            </w:pPr>
            <w:r>
              <w:rPr>
                <w:rFonts w:ascii="宋体" w:hAnsi="宋体"/>
                <w:sz w:val="24"/>
              </w:rPr>
              <w:t>分包</w:t>
            </w:r>
          </w:p>
        </w:tc>
        <w:tc>
          <w:tcPr>
            <w:tcW w:w="6767" w:type="dxa"/>
            <w:noWrap w:val="0"/>
            <w:vAlign w:val="center"/>
          </w:tcPr>
          <w:p>
            <w:pPr>
              <w:jc w:val="left"/>
              <w:rPr>
                <w:rFonts w:ascii="宋体" w:hAnsi="宋体"/>
                <w:sz w:val="24"/>
              </w:rPr>
            </w:pPr>
            <w:r>
              <w:rPr>
                <w:rFonts w:ascii="宋体" w:hAnsi="宋体"/>
                <w:sz w:val="24"/>
              </w:rPr>
              <w:t xml:space="preserve">本项目是否允许分包： </w:t>
            </w:r>
          </w:p>
          <w:p>
            <w:pPr>
              <w:jc w:val="left"/>
              <w:rPr>
                <w:rFonts w:ascii="宋体" w:hAnsi="宋体"/>
                <w:sz w:val="24"/>
              </w:rPr>
            </w:pPr>
            <w:r>
              <w:rPr>
                <w:rFonts w:ascii="宋体" w:hAnsi="宋体"/>
                <w:b/>
                <w:sz w:val="24"/>
              </w:rPr>
              <w:t>■</w:t>
            </w:r>
            <w:r>
              <w:rPr>
                <w:rFonts w:ascii="宋体" w:hAnsi="宋体"/>
                <w:sz w:val="24"/>
              </w:rPr>
              <w:t>不允许</w:t>
            </w:r>
          </w:p>
          <w:p>
            <w:pPr>
              <w:jc w:val="left"/>
              <w:rPr>
                <w:rFonts w:ascii="宋体" w:hAnsi="宋体"/>
                <w:sz w:val="24"/>
              </w:rPr>
            </w:pPr>
            <w:r>
              <w:rPr>
                <w:rFonts w:ascii="宋体" w:hAnsi="宋体"/>
              </w:rPr>
              <w:t>□</w:t>
            </w:r>
            <w:r>
              <w:rPr>
                <w:rFonts w:ascii="宋体" w:hAnsi="宋体"/>
                <w:sz w:val="24"/>
              </w:rPr>
              <w:t>允许，具体要求：_______。</w:t>
            </w:r>
          </w:p>
          <w:p>
            <w:pPr>
              <w:jc w:val="left"/>
              <w:rPr>
                <w:rFonts w:ascii="宋体" w:hAnsi="宋体"/>
                <w:sz w:val="24"/>
              </w:rPr>
            </w:pPr>
            <w:r>
              <w:rPr>
                <w:rFonts w:ascii="宋体" w:hAnsi="宋体"/>
                <w:sz w:val="24"/>
              </w:rPr>
              <w:t>（1）可以分包履行的具体内容：_______；</w:t>
            </w:r>
          </w:p>
          <w:p>
            <w:pPr>
              <w:jc w:val="left"/>
              <w:rPr>
                <w:rFonts w:ascii="宋体" w:hAnsi="宋体"/>
                <w:sz w:val="24"/>
              </w:rPr>
            </w:pPr>
            <w:r>
              <w:rPr>
                <w:rFonts w:ascii="宋体" w:hAnsi="宋体"/>
                <w:sz w:val="24"/>
              </w:rPr>
              <w:t>（2）允许分包的金额或者比例：_______；</w:t>
            </w:r>
          </w:p>
          <w:p>
            <w:pPr>
              <w:jc w:val="left"/>
              <w:rPr>
                <w:rFonts w:ascii="宋体" w:hAnsi="宋体"/>
                <w:sz w:val="24"/>
                <w:u w:val="single"/>
              </w:rPr>
            </w:pPr>
            <w:r>
              <w:rPr>
                <w:rFonts w:ascii="宋体" w:hAnsi="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24.1.1</w:t>
            </w:r>
          </w:p>
        </w:tc>
        <w:tc>
          <w:tcPr>
            <w:tcW w:w="1701" w:type="dxa"/>
            <w:noWrap w:val="0"/>
            <w:vAlign w:val="center"/>
          </w:tcPr>
          <w:p>
            <w:pPr>
              <w:jc w:val="center"/>
              <w:rPr>
                <w:rFonts w:ascii="宋体" w:hAnsi="宋体"/>
                <w:sz w:val="24"/>
              </w:rPr>
            </w:pPr>
            <w:r>
              <w:rPr>
                <w:rFonts w:ascii="宋体" w:hAnsi="宋体"/>
                <w:sz w:val="24"/>
              </w:rPr>
              <w:t>询问</w:t>
            </w:r>
          </w:p>
        </w:tc>
        <w:tc>
          <w:tcPr>
            <w:tcW w:w="6767" w:type="dxa"/>
            <w:noWrap w:val="0"/>
            <w:vAlign w:val="center"/>
          </w:tcPr>
          <w:p>
            <w:pPr>
              <w:jc w:val="left"/>
              <w:rPr>
                <w:rFonts w:ascii="宋体" w:hAnsi="宋体"/>
                <w:sz w:val="24"/>
              </w:rPr>
            </w:pPr>
            <w:r>
              <w:rPr>
                <w:rFonts w:ascii="宋体" w:hAnsi="宋体"/>
                <w:sz w:val="24"/>
              </w:rPr>
              <w:t>询问送达形式：</w:t>
            </w:r>
            <w:r>
              <w:rPr>
                <w:rFonts w:hint="eastAsia" w:ascii="宋体" w:hAnsi="宋体"/>
                <w:sz w:val="24"/>
                <w:u w:val="single"/>
              </w:rPr>
              <w:t>书面形式</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24.3</w:t>
            </w:r>
          </w:p>
        </w:tc>
        <w:tc>
          <w:tcPr>
            <w:tcW w:w="1701" w:type="dxa"/>
            <w:noWrap w:val="0"/>
            <w:vAlign w:val="center"/>
          </w:tcPr>
          <w:p>
            <w:pPr>
              <w:jc w:val="center"/>
              <w:rPr>
                <w:rFonts w:ascii="宋体" w:hAnsi="宋体"/>
                <w:sz w:val="24"/>
              </w:rPr>
            </w:pPr>
            <w:r>
              <w:rPr>
                <w:rFonts w:ascii="宋体" w:hAnsi="宋体"/>
                <w:sz w:val="24"/>
              </w:rPr>
              <w:t>联系方式</w:t>
            </w:r>
          </w:p>
        </w:tc>
        <w:tc>
          <w:tcPr>
            <w:tcW w:w="6767" w:type="dxa"/>
            <w:noWrap w:val="0"/>
            <w:vAlign w:val="center"/>
          </w:tcPr>
          <w:p>
            <w:pPr>
              <w:jc w:val="left"/>
              <w:rPr>
                <w:rFonts w:ascii="宋体" w:hAnsi="宋体"/>
                <w:sz w:val="24"/>
              </w:rPr>
            </w:pPr>
            <w:r>
              <w:rPr>
                <w:rFonts w:ascii="宋体" w:hAnsi="宋体"/>
                <w:sz w:val="24"/>
              </w:rPr>
              <w:t>接收询问和质疑的联系方式</w:t>
            </w:r>
          </w:p>
          <w:p>
            <w:pPr>
              <w:jc w:val="left"/>
              <w:rPr>
                <w:rFonts w:ascii="宋体" w:hAnsi="宋体"/>
                <w:sz w:val="24"/>
              </w:rPr>
            </w:pPr>
            <w:r>
              <w:rPr>
                <w:rFonts w:ascii="宋体" w:hAnsi="宋体"/>
                <w:sz w:val="24"/>
              </w:rPr>
              <w:t>联系部门：</w:t>
            </w:r>
            <w:r>
              <w:rPr>
                <w:rFonts w:hint="eastAsia" w:ascii="宋体" w:hAnsi="宋体"/>
                <w:sz w:val="24"/>
                <w:u w:val="single"/>
              </w:rPr>
              <w:t>北京明德致信咨询有限公司</w:t>
            </w:r>
            <w:r>
              <w:rPr>
                <w:rFonts w:ascii="宋体" w:hAnsi="宋体"/>
                <w:sz w:val="24"/>
              </w:rPr>
              <w:t>；</w:t>
            </w:r>
          </w:p>
          <w:p>
            <w:pPr>
              <w:jc w:val="left"/>
              <w:rPr>
                <w:rFonts w:ascii="宋体" w:hAnsi="宋体"/>
                <w:sz w:val="24"/>
              </w:rPr>
            </w:pPr>
            <w:r>
              <w:rPr>
                <w:rFonts w:ascii="宋体" w:hAnsi="宋体"/>
                <w:sz w:val="24"/>
              </w:rPr>
              <w:t>联系电话：</w:t>
            </w:r>
            <w:r>
              <w:rPr>
                <w:rFonts w:hint="eastAsia" w:ascii="宋体" w:hAnsi="宋体"/>
                <w:sz w:val="24"/>
                <w:u w:val="single"/>
              </w:rPr>
              <w:t>82370045</w:t>
            </w:r>
            <w:r>
              <w:rPr>
                <w:rFonts w:ascii="宋体" w:hAnsi="宋体"/>
                <w:sz w:val="24"/>
                <w:u w:val="single"/>
              </w:rPr>
              <w:t>；</w:t>
            </w:r>
          </w:p>
          <w:p>
            <w:pPr>
              <w:jc w:val="left"/>
              <w:rPr>
                <w:rFonts w:ascii="宋体" w:hAnsi="宋体"/>
                <w:sz w:val="24"/>
              </w:rPr>
            </w:pPr>
            <w:r>
              <w:rPr>
                <w:rFonts w:ascii="宋体" w:hAnsi="宋体"/>
                <w:sz w:val="24"/>
              </w:rPr>
              <w:t>通讯地址：</w:t>
            </w:r>
            <w:r>
              <w:rPr>
                <w:rFonts w:hint="eastAsia" w:ascii="宋体" w:hAnsi="宋体"/>
                <w:sz w:val="24"/>
                <w:u w:val="single"/>
              </w:rPr>
              <w:t>北京市海淀区学院路30号科大天工大厦B座17层1709室</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30"/>
              <w:adjustRightInd w:val="0"/>
              <w:snapToGrid w:val="0"/>
              <w:jc w:val="center"/>
              <w:rPr>
                <w:rFonts w:hint="default" w:hAnsi="宋体"/>
                <w:sz w:val="24"/>
                <w:szCs w:val="24"/>
              </w:rPr>
            </w:pPr>
            <w:r>
              <w:rPr>
                <w:rFonts w:hint="default" w:hAnsi="宋体"/>
                <w:sz w:val="24"/>
                <w:szCs w:val="24"/>
              </w:rPr>
              <w:t>25</w:t>
            </w:r>
          </w:p>
        </w:tc>
        <w:tc>
          <w:tcPr>
            <w:tcW w:w="1701" w:type="dxa"/>
            <w:noWrap w:val="0"/>
            <w:vAlign w:val="center"/>
          </w:tcPr>
          <w:p>
            <w:pPr>
              <w:jc w:val="center"/>
              <w:rPr>
                <w:rFonts w:ascii="宋体" w:hAnsi="宋体"/>
                <w:sz w:val="24"/>
              </w:rPr>
            </w:pPr>
            <w:r>
              <w:rPr>
                <w:rFonts w:ascii="宋体" w:hAnsi="宋体"/>
                <w:sz w:val="24"/>
              </w:rPr>
              <w:t>代理费</w:t>
            </w:r>
          </w:p>
        </w:tc>
        <w:tc>
          <w:tcPr>
            <w:tcW w:w="6767" w:type="dxa"/>
            <w:noWrap w:val="0"/>
            <w:vAlign w:val="center"/>
          </w:tcPr>
          <w:p>
            <w:pPr>
              <w:jc w:val="left"/>
              <w:rPr>
                <w:rFonts w:ascii="宋体" w:hAnsi="宋体"/>
                <w:sz w:val="24"/>
              </w:rPr>
            </w:pPr>
            <w:r>
              <w:rPr>
                <w:rFonts w:ascii="宋体" w:hAnsi="宋体"/>
                <w:sz w:val="24"/>
              </w:rPr>
              <w:t>收费对象：</w:t>
            </w:r>
          </w:p>
          <w:p>
            <w:pPr>
              <w:jc w:val="left"/>
              <w:rPr>
                <w:rFonts w:ascii="宋体" w:hAnsi="宋体"/>
                <w:sz w:val="24"/>
              </w:rPr>
            </w:pPr>
            <w:r>
              <w:rPr>
                <w:rFonts w:ascii="宋体" w:hAnsi="宋体"/>
              </w:rPr>
              <w:t>□</w:t>
            </w:r>
            <w:r>
              <w:rPr>
                <w:rFonts w:ascii="宋体" w:hAnsi="宋体"/>
                <w:sz w:val="24"/>
              </w:rPr>
              <w:t>采购人</w:t>
            </w:r>
          </w:p>
          <w:p>
            <w:pPr>
              <w:jc w:val="left"/>
              <w:rPr>
                <w:rFonts w:ascii="宋体" w:hAnsi="宋体"/>
                <w:sz w:val="24"/>
              </w:rPr>
            </w:pPr>
            <w:r>
              <w:rPr>
                <w:rFonts w:ascii="宋体" w:hAnsi="宋体"/>
                <w:b/>
                <w:sz w:val="24"/>
              </w:rPr>
              <w:t>■</w:t>
            </w:r>
            <w:r>
              <w:rPr>
                <w:rFonts w:ascii="宋体" w:hAnsi="宋体"/>
                <w:sz w:val="24"/>
              </w:rPr>
              <w:t>成交供应商</w:t>
            </w:r>
          </w:p>
          <w:p>
            <w:pPr>
              <w:jc w:val="left"/>
              <w:rPr>
                <w:rFonts w:ascii="宋体" w:hAnsi="宋体"/>
                <w:sz w:val="24"/>
                <w:u w:val="single"/>
              </w:rPr>
            </w:pPr>
            <w:r>
              <w:rPr>
                <w:rFonts w:ascii="宋体" w:hAnsi="宋体"/>
                <w:sz w:val="24"/>
              </w:rPr>
              <w:t>收费标准：</w:t>
            </w:r>
            <w:r>
              <w:rPr>
                <w:rFonts w:hint="eastAsia" w:ascii="宋体" w:hAnsi="宋体"/>
                <w:sz w:val="24"/>
                <w:u w:val="single"/>
              </w:rPr>
              <w:t>按原《招标代理服务收费管理暂行办法》（计价格[2002]1980号）和《关于招标代理服务收费有关问题的通知》（发改办价格[2003]857号）执行，按中标金额差额定率累进法计算</w:t>
            </w:r>
            <w:r>
              <w:rPr>
                <w:rFonts w:ascii="宋体" w:hAnsi="宋体"/>
                <w:sz w:val="24"/>
              </w:rPr>
              <w:t>；</w:t>
            </w:r>
          </w:p>
          <w:p>
            <w:pPr>
              <w:jc w:val="left"/>
              <w:rPr>
                <w:rFonts w:ascii="宋体" w:hAnsi="宋体"/>
                <w:sz w:val="24"/>
              </w:rPr>
            </w:pPr>
            <w:r>
              <w:rPr>
                <w:rFonts w:ascii="宋体" w:hAnsi="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ascii="宋体" w:hAnsi="宋体"/>
                <w:sz w:val="24"/>
              </w:rPr>
              <w:t>。</w:t>
            </w:r>
          </w:p>
        </w:tc>
      </w:tr>
    </w:tbl>
    <w:p>
      <w:pPr>
        <w:tabs>
          <w:tab w:val="left" w:pos="5580"/>
        </w:tabs>
        <w:adjustRightInd w:val="0"/>
        <w:spacing w:line="360" w:lineRule="auto"/>
        <w:jc w:val="distribute"/>
        <w:rPr>
          <w:rFonts w:ascii="宋体" w:hAnsi="宋体"/>
          <w:sz w:val="24"/>
        </w:rPr>
        <w:sectPr>
          <w:headerReference r:id="rId12" w:type="first"/>
          <w:footerReference r:id="rId14" w:type="first"/>
          <w:headerReference r:id="rId11" w:type="default"/>
          <w:footerReference r:id="rId13"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rFonts w:ascii="宋体" w:hAnsi="宋体"/>
          <w:b/>
          <w:sz w:val="28"/>
          <w:szCs w:val="28"/>
        </w:rPr>
      </w:pPr>
      <w:r>
        <w:rPr>
          <w:rFonts w:ascii="宋体" w:hAnsi="宋体"/>
          <w:b/>
          <w:sz w:val="28"/>
          <w:szCs w:val="28"/>
        </w:rPr>
        <w:t>供应商须知</w:t>
      </w:r>
    </w:p>
    <w:p>
      <w:pPr>
        <w:pStyle w:val="5"/>
        <w:tabs>
          <w:tab w:val="center" w:pos="4592"/>
          <w:tab w:val="left" w:pos="7860"/>
        </w:tabs>
        <w:spacing w:before="0" w:line="360" w:lineRule="auto"/>
        <w:jc w:val="left"/>
        <w:rPr>
          <w:rFonts w:ascii="宋体" w:hAnsi="宋体" w:eastAsia="宋体"/>
          <w:sz w:val="28"/>
        </w:rPr>
      </w:pPr>
      <w:bookmarkStart w:id="71" w:name="_Toc520356143"/>
      <w:bookmarkStart w:id="72" w:name="_Toc127151518"/>
      <w:r>
        <w:rPr>
          <w:rFonts w:ascii="宋体" w:hAnsi="宋体" w:eastAsia="宋体"/>
          <w:sz w:val="28"/>
        </w:rPr>
        <w:tab/>
      </w:r>
      <w:bookmarkStart w:id="73" w:name="_Toc305158786"/>
      <w:bookmarkStart w:id="74" w:name="_Toc226965791"/>
      <w:bookmarkStart w:id="75" w:name="_Toc226965708"/>
      <w:bookmarkStart w:id="76" w:name="_Toc151193688"/>
      <w:bookmarkStart w:id="77" w:name="_Toc151193832"/>
      <w:bookmarkStart w:id="78" w:name="_Toc151193616"/>
      <w:bookmarkStart w:id="79" w:name="_Toc195842883"/>
      <w:bookmarkStart w:id="80" w:name="_Toc151193906"/>
      <w:bookmarkStart w:id="81" w:name="_Toc142311020"/>
      <w:bookmarkStart w:id="82" w:name="_Toc151190145"/>
      <w:bookmarkStart w:id="83" w:name="_Toc150509269"/>
      <w:bookmarkStart w:id="84" w:name="_Toc226309762"/>
      <w:bookmarkStart w:id="85" w:name="_Toc226337214"/>
      <w:bookmarkStart w:id="86" w:name="_Toc265228356"/>
      <w:bookmarkStart w:id="87" w:name="_Toc150480756"/>
      <w:bookmarkStart w:id="88" w:name="_Toc264969208"/>
      <w:bookmarkStart w:id="89" w:name="_Toc151193760"/>
      <w:bookmarkStart w:id="90" w:name="_Toc305158860"/>
      <w:bookmarkStart w:id="91" w:name="_Toc150774618"/>
      <w:bookmarkStart w:id="92" w:name="_Toc150774723"/>
      <w:r>
        <w:rPr>
          <w:rFonts w:ascii="宋体" w:hAnsi="宋体"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宋体" w:hAnsi="宋体" w:eastAsia="宋体"/>
          <w:sz w:val="28"/>
        </w:rPr>
        <w:tab/>
      </w:r>
    </w:p>
    <w:p>
      <w:pPr>
        <w:numPr>
          <w:ilvl w:val="0"/>
          <w:numId w:val="20"/>
        </w:numPr>
        <w:tabs>
          <w:tab w:val="left" w:pos="360"/>
        </w:tabs>
        <w:snapToGrid w:val="0"/>
        <w:spacing w:line="360" w:lineRule="auto"/>
        <w:ind w:left="357" w:hanging="357"/>
        <w:outlineLvl w:val="1"/>
        <w:rPr>
          <w:rFonts w:ascii="宋体" w:hAnsi="宋体"/>
          <w:sz w:val="24"/>
        </w:rPr>
      </w:pPr>
      <w:bookmarkStart w:id="93" w:name="_Toc305158861"/>
      <w:bookmarkStart w:id="94" w:name="_Toc264969209"/>
      <w:bookmarkStart w:id="95" w:name="_Toc265228357"/>
      <w:bookmarkStart w:id="96" w:name="_Toc305158787"/>
      <w:r>
        <w:rPr>
          <w:rFonts w:ascii="宋体" w:hAnsi="宋体"/>
          <w:sz w:val="24"/>
        </w:rPr>
        <w:t>采购人、采购代理机构、供应商</w:t>
      </w:r>
      <w:bookmarkEnd w:id="93"/>
      <w:bookmarkEnd w:id="94"/>
      <w:bookmarkEnd w:id="95"/>
      <w:bookmarkEnd w:id="96"/>
      <w:r>
        <w:rPr>
          <w:rFonts w:ascii="宋体" w:hAnsi="宋体"/>
          <w:sz w:val="24"/>
        </w:rPr>
        <w:t>、联合体</w:t>
      </w:r>
    </w:p>
    <w:p>
      <w:pPr>
        <w:numPr>
          <w:ilvl w:val="1"/>
          <w:numId w:val="20"/>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pPr>
        <w:numPr>
          <w:ilvl w:val="1"/>
          <w:numId w:val="20"/>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pPr>
        <w:numPr>
          <w:ilvl w:val="1"/>
          <w:numId w:val="20"/>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pPr>
        <w:numPr>
          <w:ilvl w:val="0"/>
          <w:numId w:val="20"/>
        </w:numPr>
        <w:tabs>
          <w:tab w:val="left" w:pos="360"/>
        </w:tabs>
        <w:snapToGrid w:val="0"/>
        <w:spacing w:line="360" w:lineRule="auto"/>
        <w:ind w:left="357" w:hanging="357"/>
        <w:outlineLvl w:val="1"/>
        <w:rPr>
          <w:rFonts w:ascii="宋体" w:hAnsi="宋体"/>
          <w:sz w:val="24"/>
        </w:rPr>
      </w:pPr>
      <w:bookmarkStart w:id="97" w:name="_Toc150774725"/>
      <w:bookmarkStart w:id="98" w:name="_Toc226337216"/>
      <w:bookmarkStart w:id="99" w:name="_Toc151193834"/>
      <w:bookmarkStart w:id="100" w:name="_Toc150509271"/>
      <w:bookmarkStart w:id="101" w:name="_Toc164608634"/>
      <w:bookmarkStart w:id="102" w:name="_Toc151190147"/>
      <w:bookmarkStart w:id="103" w:name="_Toc149720813"/>
      <w:bookmarkStart w:id="104" w:name="_Toc127151721"/>
      <w:bookmarkStart w:id="105" w:name="_Toc264969210"/>
      <w:bookmarkStart w:id="106" w:name="_Toc226965793"/>
      <w:bookmarkStart w:id="107" w:name="_Toc305158862"/>
      <w:bookmarkStart w:id="108" w:name="_Toc151193762"/>
      <w:bookmarkStart w:id="109" w:name="_Toc164229361"/>
      <w:bookmarkStart w:id="110" w:name="_Toc164229215"/>
      <w:bookmarkStart w:id="111" w:name="_Toc127161434"/>
      <w:bookmarkStart w:id="112" w:name="_Toc150774620"/>
      <w:bookmarkStart w:id="113" w:name="_Toc151193690"/>
      <w:bookmarkStart w:id="114" w:name="_Toc265228358"/>
      <w:bookmarkStart w:id="115" w:name="_Toc151193908"/>
      <w:bookmarkStart w:id="116" w:name="_Toc164351614"/>
      <w:bookmarkStart w:id="117" w:name="_Toc305158788"/>
      <w:bookmarkStart w:id="118" w:name="_Toc150480758"/>
      <w:bookmarkStart w:id="119" w:name="_Toc195842885"/>
      <w:bookmarkStart w:id="120" w:name="_Toc151193618"/>
      <w:bookmarkStart w:id="121" w:name="_Toc226309764"/>
      <w:bookmarkStart w:id="122" w:name="_Toc164608789"/>
      <w:bookmarkStart w:id="123" w:name="_Toc127151520"/>
      <w:bookmarkStart w:id="124" w:name="_Toc142311022"/>
      <w:bookmarkStart w:id="125" w:name="_Toc226965710"/>
      <w:r>
        <w:rPr>
          <w:rFonts w:ascii="宋体" w:hAnsi="宋体"/>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宋体" w:hAnsi="宋体"/>
          <w:sz w:val="24"/>
        </w:rPr>
        <w:t>、项目属性、科研仪器设备采购</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项目属性见《供应商须知资料表》。</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现场考察、磋商前答疑会</w:t>
      </w:r>
    </w:p>
    <w:p>
      <w:pPr>
        <w:numPr>
          <w:ilvl w:val="1"/>
          <w:numId w:val="20"/>
        </w:numPr>
        <w:tabs>
          <w:tab w:val="left" w:pos="1080"/>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26" w:name="_Toc151193764"/>
      <w:bookmarkStart w:id="127" w:name="_Toc151193910"/>
      <w:bookmarkStart w:id="128" w:name="_Toc305158790"/>
      <w:bookmarkStart w:id="129" w:name="_Toc151193692"/>
      <w:bookmarkStart w:id="130" w:name="_Toc226965795"/>
      <w:bookmarkStart w:id="131" w:name="_Toc151193836"/>
      <w:bookmarkStart w:id="132" w:name="_Toc226337218"/>
      <w:bookmarkStart w:id="133" w:name="_Toc150480760"/>
      <w:bookmarkStart w:id="134" w:name="_Toc520356146"/>
      <w:bookmarkStart w:id="135" w:name="_Toc264969212"/>
      <w:bookmarkStart w:id="136" w:name="_Toc150509273"/>
      <w:bookmarkStart w:id="137" w:name="_Toc195842887"/>
      <w:bookmarkStart w:id="138" w:name="_Toc226309766"/>
      <w:bookmarkStart w:id="139" w:name="_Toc151193620"/>
      <w:bookmarkStart w:id="140" w:name="_Toc305158864"/>
      <w:bookmarkStart w:id="141" w:name="_Toc150774727"/>
      <w:bookmarkStart w:id="142" w:name="_Toc127151522"/>
      <w:bookmarkStart w:id="143" w:name="_Toc142311024"/>
      <w:bookmarkStart w:id="144" w:name="_Toc265228360"/>
      <w:bookmarkStart w:id="145" w:name="_Toc151190149"/>
      <w:bookmarkStart w:id="146" w:name="_Toc226965712"/>
      <w:bookmarkStart w:id="147" w:name="_Toc150774622"/>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pPr>
        <w:numPr>
          <w:ilvl w:val="1"/>
          <w:numId w:val="20"/>
        </w:numPr>
        <w:tabs>
          <w:tab w:val="left" w:pos="1260"/>
          <w:tab w:val="left" w:pos="2014"/>
        </w:tabs>
        <w:snapToGrid w:val="0"/>
        <w:spacing w:line="360" w:lineRule="auto"/>
        <w:ind w:left="1268" w:hanging="700"/>
        <w:rPr>
          <w:rFonts w:ascii="宋体" w:hAnsi="宋体"/>
          <w:sz w:val="24"/>
        </w:rPr>
      </w:pPr>
      <w:r>
        <w:rPr>
          <w:rFonts w:hint="eastAsia" w:ascii="宋体" w:hAnsi="宋体"/>
          <w:sz w:val="24"/>
        </w:rPr>
        <w:t>采购本国货物、工程和服务</w:t>
      </w:r>
    </w:p>
    <w:p>
      <w:pPr>
        <w:numPr>
          <w:ilvl w:val="2"/>
          <w:numId w:val="20"/>
        </w:numPr>
        <w:tabs>
          <w:tab w:val="left" w:pos="2014"/>
        </w:tabs>
        <w:snapToGrid w:val="0"/>
        <w:spacing w:line="360" w:lineRule="auto"/>
        <w:rPr>
          <w:rFonts w:ascii="宋体" w:hAnsi="宋体"/>
          <w:sz w:val="24"/>
        </w:rPr>
      </w:pPr>
      <w:r>
        <w:rPr>
          <w:rFonts w:hint="eastAsia" w:ascii="宋体" w:hAnsi="宋体"/>
          <w:sz w:val="24"/>
        </w:rPr>
        <w:t>政府采购应当采购本国货物、工程和服务。但有《中华人民共和国政府采购法》第十条规定情形的除外。</w:t>
      </w:r>
    </w:p>
    <w:p>
      <w:pPr>
        <w:numPr>
          <w:ilvl w:val="2"/>
          <w:numId w:val="20"/>
        </w:numPr>
        <w:tabs>
          <w:tab w:val="left" w:pos="1080"/>
          <w:tab w:val="left" w:pos="2014"/>
        </w:tabs>
        <w:snapToGrid w:val="0"/>
        <w:spacing w:line="360" w:lineRule="auto"/>
        <w:rPr>
          <w:rFonts w:ascii="宋体" w:hAnsi="宋体"/>
          <w:sz w:val="24"/>
        </w:rPr>
      </w:pPr>
      <w:r>
        <w:rPr>
          <w:rFonts w:hint="eastAsia" w:ascii="宋体" w:hAnsi="宋体"/>
          <w:sz w:val="24"/>
        </w:rPr>
        <w:t>本项目如接受非本国货物、工程、服务参与投标，则具体要求见第四章《采购需求》。</w:t>
      </w:r>
    </w:p>
    <w:p>
      <w:pPr>
        <w:numPr>
          <w:ilvl w:val="2"/>
          <w:numId w:val="20"/>
        </w:numPr>
        <w:tabs>
          <w:tab w:val="left" w:pos="1080"/>
          <w:tab w:val="left" w:pos="1900"/>
        </w:tabs>
        <w:snapToGrid w:val="0"/>
        <w:spacing w:line="360" w:lineRule="auto"/>
        <w:rPr>
          <w:rFonts w:hint="eastAsia" w:ascii="宋体" w:hAnsi="宋体"/>
          <w:sz w:val="24"/>
        </w:rPr>
      </w:pPr>
      <w:r>
        <w:rPr>
          <w:rFonts w:hint="eastAsia" w:ascii="宋体" w:hAnsi="宋体"/>
          <w:sz w:val="24"/>
        </w:rPr>
        <w:t>进口产品指通过中国海关报关验放进入中国境内且产自关境外的产</w:t>
      </w:r>
    </w:p>
    <w:p>
      <w:pPr>
        <w:tabs>
          <w:tab w:val="left" w:pos="1080"/>
          <w:tab w:val="left" w:pos="2014"/>
        </w:tabs>
        <w:snapToGrid w:val="0"/>
        <w:spacing w:line="360" w:lineRule="auto"/>
        <w:ind w:left="1080" w:firstLine="818" w:firstLineChars="341"/>
        <w:rPr>
          <w:rFonts w:hint="eastAsia" w:ascii="宋体" w:hAnsi="宋体"/>
          <w:sz w:val="24"/>
        </w:rPr>
      </w:pPr>
      <w:r>
        <w:rPr>
          <w:rFonts w:hint="eastAsia" w:ascii="宋体" w:hAnsi="宋体"/>
          <w:sz w:val="24"/>
        </w:rPr>
        <w:t>品，包括已经进入中国境内的进口产品。关于进口产品的相关规定依</w:t>
      </w:r>
    </w:p>
    <w:p>
      <w:pPr>
        <w:tabs>
          <w:tab w:val="left" w:pos="1900"/>
          <w:tab w:val="left" w:pos="2014"/>
        </w:tabs>
        <w:snapToGrid w:val="0"/>
        <w:spacing w:line="360" w:lineRule="auto"/>
        <w:ind w:left="1900"/>
        <w:rPr>
          <w:rFonts w:ascii="宋体" w:hAnsi="宋体"/>
          <w:sz w:val="24"/>
        </w:rPr>
      </w:pPr>
      <w:r>
        <w:rPr>
          <w:rFonts w:hint="eastAsia" w:ascii="宋体" w:hAnsi="宋体"/>
          <w:sz w:val="24"/>
        </w:rPr>
        <w:t>据《政府采购进口产品管理办法》（财库〔2007〕119 号文）、《关于政府采购进口产品管理有关问题的通知》（财办库〔2008〕248号文）。</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pPr>
        <w:numPr>
          <w:ilvl w:val="2"/>
          <w:numId w:val="20"/>
        </w:numPr>
        <w:snapToGrid w:val="0"/>
        <w:spacing w:line="360" w:lineRule="auto"/>
        <w:rPr>
          <w:rFonts w:ascii="宋体" w:hAnsi="宋体"/>
          <w:sz w:val="24"/>
        </w:rPr>
      </w:pPr>
      <w:r>
        <w:rPr>
          <w:rFonts w:ascii="宋体" w:hAnsi="宋体"/>
          <w:sz w:val="24"/>
        </w:rPr>
        <w:t>中小企业定义：</w:t>
      </w:r>
    </w:p>
    <w:p>
      <w:pPr>
        <w:pStyle w:val="119"/>
        <w:numPr>
          <w:ilvl w:val="0"/>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0"/>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0"/>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0"/>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1"/>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1"/>
          <w:numId w:val="21"/>
        </w:numPr>
        <w:tabs>
          <w:tab w:val="left" w:pos="1980"/>
          <w:tab w:val="left" w:pos="2035"/>
          <w:tab w:val="left" w:pos="2977"/>
        </w:tabs>
        <w:snapToGrid w:val="0"/>
        <w:spacing w:line="360" w:lineRule="auto"/>
        <w:ind w:firstLineChars="0"/>
        <w:rPr>
          <w:rFonts w:ascii="宋体" w:hAnsi="宋体"/>
          <w:vanish/>
          <w:sz w:val="24"/>
          <w:szCs w:val="24"/>
        </w:rPr>
      </w:pPr>
    </w:p>
    <w:p>
      <w:pPr>
        <w:pStyle w:val="119"/>
        <w:numPr>
          <w:ilvl w:val="2"/>
          <w:numId w:val="21"/>
        </w:numPr>
        <w:tabs>
          <w:tab w:val="left" w:pos="2035"/>
          <w:tab w:val="left" w:pos="2977"/>
        </w:tabs>
        <w:snapToGrid w:val="0"/>
        <w:spacing w:line="360" w:lineRule="auto"/>
        <w:ind w:firstLineChars="0"/>
        <w:rPr>
          <w:rFonts w:ascii="宋体" w:hAnsi="宋体"/>
          <w:vanish/>
          <w:sz w:val="24"/>
          <w:szCs w:val="24"/>
        </w:rPr>
      </w:pPr>
    </w:p>
    <w:p>
      <w:pPr>
        <w:numPr>
          <w:ilvl w:val="3"/>
          <w:numId w:val="21"/>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sz w:val="24"/>
        </w:rPr>
        <w:t>《关于进一 步加大政府采购支持中小企业力度的通知》（财库〔2022〕</w:t>
      </w:r>
    </w:p>
    <w:p>
      <w:pPr>
        <w:tabs>
          <w:tab w:val="left" w:pos="1980"/>
          <w:tab w:val="left" w:pos="2035"/>
          <w:tab w:val="left" w:pos="2885"/>
          <w:tab w:val="left" w:pos="2977"/>
        </w:tabs>
        <w:snapToGrid w:val="0"/>
        <w:spacing w:line="360" w:lineRule="auto"/>
        <w:ind w:left="2946" w:leftChars="1401" w:hanging="4" w:hangingChars="2"/>
        <w:rPr>
          <w:rFonts w:hint="eastAsia" w:ascii="宋体" w:hAnsi="宋体"/>
          <w:sz w:val="24"/>
        </w:rPr>
      </w:pPr>
      <w:r>
        <w:rPr>
          <w:rFonts w:hint="eastAsia" w:ascii="宋体" w:hAnsi="宋体"/>
          <w:sz w:val="24"/>
        </w:rPr>
        <w:t>19 号）、《政府采购促进中小企业发展管理办法》（财库〔2020〕46 号）、《关于印发中小企业划型标准规定的通知》</w:t>
      </w:r>
    </w:p>
    <w:p>
      <w:pPr>
        <w:tabs>
          <w:tab w:val="left" w:pos="1980"/>
          <w:tab w:val="left" w:pos="2035"/>
          <w:tab w:val="left" w:pos="2885"/>
          <w:tab w:val="left" w:pos="2977"/>
        </w:tabs>
        <w:snapToGrid w:val="0"/>
        <w:spacing w:line="360" w:lineRule="auto"/>
        <w:ind w:left="1985" w:firstLine="952" w:firstLineChars="397"/>
        <w:rPr>
          <w:rFonts w:ascii="宋体" w:hAnsi="宋体"/>
          <w:sz w:val="24"/>
        </w:rPr>
      </w:pPr>
      <w:r>
        <w:rPr>
          <w:rFonts w:hint="eastAsia" w:ascii="宋体" w:hAnsi="宋体"/>
          <w:sz w:val="24"/>
        </w:rPr>
        <w:t>（工信部联企业〔2011〕300号）。</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供应商提供的货物、工程或者服务符合下列情形的，享受中小企业扶持政策：</w:t>
      </w:r>
    </w:p>
    <w:p>
      <w:pPr>
        <w:tabs>
          <w:tab w:val="left" w:pos="1980"/>
        </w:tabs>
        <w:snapToGrid w:val="0"/>
        <w:spacing w:line="360" w:lineRule="auto"/>
        <w:ind w:left="2835" w:leftChars="1350"/>
        <w:rPr>
          <w:rFonts w:ascii="宋体" w:hAnsi="宋体"/>
          <w:sz w:val="24"/>
        </w:rPr>
      </w:pPr>
      <w:r>
        <w:rPr>
          <w:rFonts w:ascii="宋体" w:hAnsi="宋体"/>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ascii="宋体" w:hAnsi="宋体"/>
          <w:sz w:val="24"/>
        </w:rPr>
      </w:pPr>
      <w:r>
        <w:rPr>
          <w:rFonts w:ascii="宋体" w:hAnsi="宋体"/>
          <w:sz w:val="24"/>
        </w:rPr>
        <w:t>（2）在工程采购项目中，工程由中小企业承建，即工程施工单位为中小企业；</w:t>
      </w:r>
    </w:p>
    <w:p>
      <w:pPr>
        <w:tabs>
          <w:tab w:val="left" w:pos="1980"/>
        </w:tabs>
        <w:snapToGrid w:val="0"/>
        <w:spacing w:line="360" w:lineRule="auto"/>
        <w:ind w:left="2835" w:leftChars="1350"/>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在货物采购项目中，供应商提供的货物既有中小企业制造货物，也有大型企业制造货物的，不享受中小企业扶持政策。</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pPr>
        <w:numPr>
          <w:ilvl w:val="2"/>
          <w:numId w:val="20"/>
        </w:numPr>
        <w:snapToGrid w:val="0"/>
        <w:spacing w:line="360" w:lineRule="auto"/>
        <w:rPr>
          <w:rFonts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w:t>
      </w: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0"/>
        </w:numPr>
        <w:snapToGrid w:val="0"/>
        <w:spacing w:line="360" w:lineRule="auto"/>
        <w:rPr>
          <w:rFonts w:ascii="宋体" w:hAnsi="宋体"/>
          <w:sz w:val="24"/>
        </w:rPr>
      </w:pPr>
      <w:r>
        <w:rPr>
          <w:rFonts w:hint="eastAsia" w:ascii="宋体" w:hAnsi="宋体"/>
          <w:sz w:val="24"/>
        </w:rPr>
        <w:t>在政府采购活动中，残疾人福利性单位视同小型、微型企业，享受预留份额、评审中价格扣除等促进中小企业发展的政府采购政策。</w:t>
      </w:r>
      <w:r>
        <w:rPr>
          <w:rFonts w:ascii="宋体" w:hAnsi="宋体"/>
          <w:sz w:val="24"/>
        </w:rPr>
        <w:t>残疾人福利</w:t>
      </w:r>
      <w:r>
        <w:rPr>
          <w:rFonts w:hint="eastAsia" w:ascii="宋体" w:hAnsi="宋体"/>
          <w:sz w:val="24"/>
        </w:rPr>
        <w:t>性</w:t>
      </w:r>
      <w:r>
        <w:rPr>
          <w:rFonts w:ascii="宋体" w:hAnsi="宋体"/>
          <w:sz w:val="24"/>
        </w:rPr>
        <w:t>单位定义：享受政府采购支持政策的残疾人福利性单位应当同时满足以下条件：</w:t>
      </w:r>
    </w:p>
    <w:p>
      <w:pPr>
        <w:pStyle w:val="119"/>
        <w:numPr>
          <w:ilvl w:val="2"/>
          <w:numId w:val="21"/>
        </w:numPr>
        <w:tabs>
          <w:tab w:val="left" w:pos="2035"/>
          <w:tab w:val="left" w:pos="2977"/>
        </w:tabs>
        <w:snapToGrid w:val="0"/>
        <w:spacing w:line="360" w:lineRule="auto"/>
        <w:ind w:firstLineChars="0"/>
        <w:rPr>
          <w:rFonts w:ascii="宋体" w:hAnsi="宋体"/>
          <w:vanish/>
          <w:sz w:val="24"/>
          <w:szCs w:val="24"/>
        </w:rPr>
      </w:pPr>
    </w:p>
    <w:p>
      <w:pPr>
        <w:pStyle w:val="119"/>
        <w:numPr>
          <w:ilvl w:val="2"/>
          <w:numId w:val="21"/>
        </w:numPr>
        <w:tabs>
          <w:tab w:val="left" w:pos="2035"/>
          <w:tab w:val="left" w:pos="2977"/>
        </w:tabs>
        <w:snapToGrid w:val="0"/>
        <w:spacing w:line="360" w:lineRule="auto"/>
        <w:ind w:firstLineChars="0"/>
        <w:rPr>
          <w:rFonts w:ascii="宋体" w:hAnsi="宋体"/>
          <w:vanish/>
          <w:sz w:val="24"/>
          <w:szCs w:val="24"/>
        </w:rPr>
      </w:pP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安置的残疾人占本单位在职职工人数的比例不低于25%（含25%），并且安置的残疾人人数不少于10 人（含10人）；</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依法与安置的每位残疾人签订了一年以上（含一年）的劳动合同或服务协议；</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为安置的每位残疾人按月足额缴纳了基本养老保险、基本医疗保险、失业保险、工伤保险和生育保险等社会保险费；</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pPr>
        <w:numPr>
          <w:ilvl w:val="3"/>
          <w:numId w:val="21"/>
        </w:numPr>
        <w:tabs>
          <w:tab w:val="left" w:pos="1980"/>
          <w:tab w:val="left" w:pos="2035"/>
          <w:tab w:val="left" w:pos="2885"/>
          <w:tab w:val="left" w:pos="2977"/>
          <w:tab w:val="clear" w:pos="900"/>
        </w:tabs>
        <w:snapToGrid w:val="0"/>
        <w:spacing w:line="360" w:lineRule="auto"/>
        <w:ind w:left="2885"/>
        <w:rPr>
          <w:rFonts w:ascii="宋体" w:hAnsi="宋体"/>
          <w:sz w:val="24"/>
        </w:rPr>
      </w:pPr>
      <w:r>
        <w:rPr>
          <w:rFonts w:ascii="宋体" w:hAnsi="宋体"/>
          <w:sz w:val="24"/>
        </w:rPr>
        <w:t>前款所称残疾人是指法定劳动年龄内，持有《中华人民共和国残疾人证》或者《中华人民共和国残疾军人证（1至8 级）》的自然人，包括具有劳动条件和劳动意愿的精神残疾人。在职职工人数是指与残疾人福利性单位建立劳动关系并依法签订劳动合同或服务协议的雇员人数。</w:t>
      </w:r>
    </w:p>
    <w:p>
      <w:pPr>
        <w:numPr>
          <w:ilvl w:val="2"/>
          <w:numId w:val="20"/>
        </w:numPr>
        <w:snapToGrid w:val="0"/>
        <w:spacing w:line="360" w:lineRule="auto"/>
        <w:rPr>
          <w:rFonts w:ascii="宋体" w:hAnsi="宋体"/>
          <w:sz w:val="24"/>
        </w:rPr>
      </w:pPr>
      <w:r>
        <w:rPr>
          <w:rFonts w:ascii="宋体" w:hAnsi="宋体"/>
          <w:sz w:val="24"/>
        </w:rPr>
        <w:t>本项目是否专门面向中小企业预留采购份额见第一章《采购邀请》。</w:t>
      </w:r>
    </w:p>
    <w:p>
      <w:pPr>
        <w:numPr>
          <w:ilvl w:val="2"/>
          <w:numId w:val="20"/>
        </w:numPr>
        <w:snapToGrid w:val="0"/>
        <w:spacing w:line="360" w:lineRule="auto"/>
        <w:rPr>
          <w:rFonts w:ascii="宋体" w:hAnsi="宋体"/>
          <w:sz w:val="24"/>
        </w:rPr>
      </w:pPr>
      <w:r>
        <w:rPr>
          <w:rFonts w:ascii="宋体" w:hAnsi="宋体"/>
          <w:sz w:val="24"/>
        </w:rPr>
        <w:t>采购标的对应的中小企业划分标准所属行业见《供应商须知资料表》。</w:t>
      </w:r>
    </w:p>
    <w:p>
      <w:pPr>
        <w:numPr>
          <w:ilvl w:val="2"/>
          <w:numId w:val="20"/>
        </w:numPr>
        <w:snapToGrid w:val="0"/>
        <w:spacing w:line="360" w:lineRule="auto"/>
        <w:rPr>
          <w:rFonts w:ascii="宋体" w:hAnsi="宋体"/>
          <w:sz w:val="24"/>
        </w:rPr>
      </w:pPr>
      <w:r>
        <w:rPr>
          <w:rFonts w:ascii="宋体" w:hAnsi="宋体"/>
          <w:sz w:val="24"/>
        </w:rPr>
        <w:t>小微企业价格评审优惠的政策调整：见第三章《评审方法和评审标准》。</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pPr>
        <w:numPr>
          <w:ilvl w:val="2"/>
          <w:numId w:val="20"/>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0"/>
        </w:numPr>
        <w:snapToGrid w:val="0"/>
        <w:spacing w:line="360" w:lineRule="auto"/>
        <w:rPr>
          <w:rFonts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20"/>
        </w:numPr>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pPr>
        <w:numPr>
          <w:ilvl w:val="2"/>
          <w:numId w:val="20"/>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pPr>
        <w:numPr>
          <w:ilvl w:val="2"/>
          <w:numId w:val="20"/>
        </w:numPr>
        <w:snapToGrid w:val="0"/>
        <w:spacing w:line="360" w:lineRule="auto"/>
        <w:rPr>
          <w:rFonts w:ascii="宋体" w:hAnsi="宋体"/>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响应无效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0"/>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20"/>
        </w:numPr>
        <w:tabs>
          <w:tab w:val="left" w:pos="1260"/>
        </w:tabs>
        <w:snapToGrid w:val="0"/>
        <w:spacing w:line="360" w:lineRule="auto"/>
        <w:rPr>
          <w:rFonts w:hint="eastAsia" w:ascii="宋体" w:hAnsi="宋体"/>
          <w:sz w:val="24"/>
        </w:rPr>
      </w:pPr>
      <w:r>
        <w:rPr>
          <w:rFonts w:hint="eastAsia" w:ascii="宋体" w:hAnsi="宋体"/>
          <w:sz w:val="24"/>
        </w:rPr>
        <w:t>网络安全专用产品</w:t>
      </w:r>
    </w:p>
    <w:p>
      <w:pPr>
        <w:numPr>
          <w:ilvl w:val="2"/>
          <w:numId w:val="20"/>
        </w:numPr>
        <w:tabs>
          <w:tab w:val="left" w:pos="2014"/>
        </w:tabs>
        <w:snapToGrid w:val="0"/>
        <w:spacing w:line="360" w:lineRule="auto"/>
        <w:rPr>
          <w:rFonts w:ascii="宋体" w:hAnsi="宋体"/>
          <w:sz w:val="24"/>
        </w:rPr>
      </w:pPr>
      <w:r>
        <w:rPr>
          <w:rFonts w:hint="eastAsia" w:ascii="宋体" w:hAnsi="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ascii="宋体" w:hAnsi="宋体"/>
          <w:sz w:val="24"/>
        </w:rPr>
        <w:t>。</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pPr>
        <w:numPr>
          <w:ilvl w:val="2"/>
          <w:numId w:val="20"/>
        </w:numPr>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pPr>
        <w:numPr>
          <w:ilvl w:val="1"/>
          <w:numId w:val="20"/>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采购需求标准</w:t>
      </w:r>
    </w:p>
    <w:p>
      <w:pPr>
        <w:numPr>
          <w:ilvl w:val="2"/>
          <w:numId w:val="20"/>
        </w:numPr>
        <w:tabs>
          <w:tab w:val="clear" w:pos="1980"/>
        </w:tabs>
        <w:snapToGrid w:val="0"/>
        <w:spacing w:line="360" w:lineRule="auto"/>
        <w:ind w:left="2100" w:hanging="1100"/>
        <w:rPr>
          <w:rFonts w:hint="eastAsia" w:ascii="宋体" w:hAnsi="宋体"/>
          <w:sz w:val="24"/>
        </w:rPr>
      </w:pPr>
      <w:r>
        <w:rPr>
          <w:rFonts w:hint="eastAsia" w:ascii="宋体" w:hAnsi="宋体"/>
          <w:sz w:val="24"/>
        </w:rPr>
        <w:t xml:space="preserve">   商品包装、快递包装政府采购需求标准（试行）</w:t>
      </w:r>
    </w:p>
    <w:p>
      <w:pPr>
        <w:tabs>
          <w:tab w:val="left" w:pos="1480"/>
        </w:tabs>
        <w:snapToGrid w:val="0"/>
        <w:spacing w:line="360" w:lineRule="auto"/>
        <w:ind w:left="2094" w:leftChars="997"/>
        <w:rPr>
          <w:rFonts w:hint="eastAsia" w:ascii="宋体" w:hAnsi="宋体"/>
          <w:sz w:val="24"/>
        </w:rPr>
      </w:pPr>
      <w:r>
        <w:rPr>
          <w:rFonts w:hint="eastAsia" w:ascii="宋体" w:hAnsi="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snapToGrid w:val="0"/>
        <w:spacing w:line="360" w:lineRule="auto"/>
        <w:ind w:left="1080"/>
        <w:rPr>
          <w:rFonts w:hint="eastAsia" w:ascii="宋体" w:hAnsi="宋体"/>
          <w:sz w:val="24"/>
        </w:rPr>
      </w:pPr>
      <w:r>
        <w:rPr>
          <w:rFonts w:hint="eastAsia" w:ascii="宋体" w:hAnsi="宋体"/>
          <w:sz w:val="24"/>
        </w:rPr>
        <w:t>4.7.2    绿色数据中心政府采购需求标准（试行）</w:t>
      </w:r>
    </w:p>
    <w:p>
      <w:pPr>
        <w:snapToGrid w:val="0"/>
        <w:spacing w:line="360" w:lineRule="auto"/>
        <w:ind w:left="1080"/>
        <w:rPr>
          <w:rFonts w:hint="eastAsia" w:ascii="宋体" w:hAnsi="宋体"/>
          <w:sz w:val="24"/>
        </w:rPr>
      </w:pPr>
    </w:p>
    <w:p>
      <w:pPr>
        <w:tabs>
          <w:tab w:val="left" w:pos="2100"/>
        </w:tabs>
        <w:snapToGrid w:val="0"/>
        <w:spacing w:line="360" w:lineRule="auto"/>
        <w:ind w:left="2100"/>
        <w:rPr>
          <w:rFonts w:ascii="宋体" w:hAnsi="宋体"/>
          <w:sz w:val="24"/>
        </w:rPr>
      </w:pPr>
      <w:r>
        <w:rPr>
          <w:rFonts w:hint="eastAsia" w:ascii="宋体" w:hAnsi="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响应费用</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ascii="宋体" w:hAnsi="宋体"/>
          <w:sz w:val="28"/>
        </w:rPr>
      </w:pPr>
      <w:bookmarkStart w:id="148" w:name="_1.8_计量单位"/>
      <w:bookmarkEnd w:id="148"/>
    </w:p>
    <w:p>
      <w:pPr>
        <w:pStyle w:val="5"/>
        <w:spacing w:before="0" w:line="360" w:lineRule="auto"/>
        <w:rPr>
          <w:rFonts w:ascii="宋体" w:hAnsi="宋体" w:eastAsia="宋体"/>
          <w:sz w:val="28"/>
        </w:rPr>
      </w:pPr>
      <w:r>
        <w:rPr>
          <w:rFonts w:ascii="宋体" w:hAnsi="宋体"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20"/>
        </w:numPr>
        <w:tabs>
          <w:tab w:val="left" w:pos="360"/>
        </w:tabs>
        <w:snapToGrid w:val="0"/>
        <w:spacing w:line="360" w:lineRule="auto"/>
        <w:ind w:left="357" w:hanging="357"/>
        <w:outlineLvl w:val="1"/>
        <w:rPr>
          <w:rFonts w:ascii="宋体" w:hAnsi="宋体"/>
          <w:sz w:val="24"/>
        </w:rPr>
      </w:pPr>
      <w:bookmarkStart w:id="149" w:name="_Toc164608637"/>
      <w:bookmarkStart w:id="150" w:name="_Toc151193693"/>
      <w:bookmarkStart w:id="151" w:name="_Toc520356147"/>
      <w:bookmarkStart w:id="152" w:name="_Toc151193837"/>
      <w:bookmarkStart w:id="153" w:name="_Toc265228361"/>
      <w:bookmarkStart w:id="154" w:name="_Toc150509274"/>
      <w:bookmarkStart w:id="155" w:name="_Toc305158865"/>
      <w:bookmarkStart w:id="156" w:name="_Toc150480761"/>
      <w:bookmarkStart w:id="157" w:name="_Toc195842888"/>
      <w:bookmarkStart w:id="158" w:name="_Toc151193765"/>
      <w:bookmarkStart w:id="159" w:name="_Toc127151724"/>
      <w:bookmarkStart w:id="160" w:name="_Toc164229364"/>
      <w:bookmarkStart w:id="161" w:name="_Toc305158791"/>
      <w:bookmarkStart w:id="162" w:name="_Toc264969213"/>
      <w:bookmarkStart w:id="163" w:name="_Toc164608792"/>
      <w:bookmarkStart w:id="164" w:name="_Toc151193911"/>
      <w:bookmarkStart w:id="165" w:name="_Toc164351617"/>
      <w:bookmarkStart w:id="166" w:name="_Toc226965796"/>
      <w:bookmarkStart w:id="167" w:name="_Toc226965713"/>
      <w:bookmarkStart w:id="168" w:name="_Toc151190150"/>
      <w:bookmarkStart w:id="169" w:name="_Toc150774728"/>
      <w:bookmarkStart w:id="170" w:name="_Toc150774623"/>
      <w:bookmarkStart w:id="171" w:name="_Toc142311025"/>
      <w:bookmarkStart w:id="172" w:name="_Toc127151523"/>
      <w:bookmarkStart w:id="173" w:name="_Toc226337219"/>
      <w:bookmarkStart w:id="174" w:name="_Toc164229218"/>
      <w:bookmarkStart w:id="175" w:name="_Toc226309767"/>
      <w:bookmarkStart w:id="176" w:name="_Toc149720816"/>
      <w:bookmarkStart w:id="177" w:name="_Toc127161437"/>
      <w:bookmarkStart w:id="178" w:name="_Toc151193621"/>
      <w:r>
        <w:rPr>
          <w:rFonts w:ascii="宋体" w:hAnsi="宋体"/>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sz w:val="24"/>
        </w:rPr>
        <w:t>成</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竞争性磋商文件包括以下部分：</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采购邀请</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供应商须知</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评审方法和评审标准</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合同草案条款</w:t>
      </w:r>
    </w:p>
    <w:p>
      <w:pPr>
        <w:numPr>
          <w:ilvl w:val="0"/>
          <w:numId w:val="22"/>
        </w:numPr>
        <w:tabs>
          <w:tab w:val="left" w:pos="1980"/>
          <w:tab w:val="left" w:pos="2520"/>
        </w:tabs>
        <w:snapToGrid w:val="0"/>
        <w:spacing w:line="360" w:lineRule="auto"/>
        <w:ind w:left="1440" w:firstLine="5"/>
        <w:rPr>
          <w:rFonts w:ascii="宋体" w:hAnsi="宋体"/>
          <w:sz w:val="24"/>
        </w:rPr>
      </w:pPr>
      <w:r>
        <w:rPr>
          <w:rFonts w:ascii="宋体" w:hAnsi="宋体"/>
          <w:sz w:val="24"/>
        </w:rPr>
        <w:t>响应文件格式</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pPr>
        <w:numPr>
          <w:ilvl w:val="0"/>
          <w:numId w:val="20"/>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pPr>
        <w:numPr>
          <w:ilvl w:val="1"/>
          <w:numId w:val="20"/>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w:t>
      </w:r>
      <w:r>
        <w:rPr>
          <w:rFonts w:hint="eastAsia" w:ascii="宋体" w:hAnsi="宋体"/>
          <w:sz w:val="24"/>
        </w:rPr>
        <w:t>、</w:t>
      </w:r>
      <w:r>
        <w:rPr>
          <w:rFonts w:ascii="宋体" w:hAnsi="宋体"/>
          <w:sz w:val="24"/>
        </w:rPr>
        <w:t>采购代理机构</w:t>
      </w:r>
      <w:r>
        <w:rPr>
          <w:rFonts w:ascii="宋体" w:hAnsi="宋体"/>
          <w:spacing w:val="3"/>
          <w:sz w:val="24"/>
        </w:rPr>
        <w:t>或者磋商</w:t>
      </w:r>
      <w:r>
        <w:rPr>
          <w:rFonts w:ascii="宋体" w:hAnsi="宋体"/>
          <w:spacing w:val="2"/>
          <w:sz w:val="24"/>
        </w:rPr>
        <w:t>小组</w:t>
      </w:r>
      <w:r>
        <w:rPr>
          <w:rFonts w:ascii="宋体" w:hAnsi="宋体"/>
          <w:sz w:val="24"/>
        </w:rPr>
        <w:t>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pPr>
        <w:numPr>
          <w:ilvl w:val="1"/>
          <w:numId w:val="20"/>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pPr>
        <w:numPr>
          <w:ilvl w:val="1"/>
          <w:numId w:val="20"/>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sz w:val="24"/>
        </w:rPr>
        <w:t>，以书面形式通知所有</w:t>
      </w:r>
    </w:p>
    <w:p>
      <w:pPr>
        <w:tabs>
          <w:tab w:val="left" w:pos="1080"/>
          <w:tab w:val="left" w:pos="1561"/>
          <w:tab w:val="left" w:pos="2014"/>
        </w:tabs>
        <w:snapToGrid w:val="0"/>
        <w:spacing w:line="360" w:lineRule="auto"/>
        <w:ind w:firstLine="960" w:firstLineChars="400"/>
        <w:rPr>
          <w:rFonts w:ascii="宋体" w:hAnsi="宋体"/>
          <w:sz w:val="24"/>
        </w:rPr>
      </w:pPr>
      <w:r>
        <w:rPr>
          <w:rFonts w:hint="eastAsia" w:ascii="宋体" w:hAnsi="宋体"/>
          <w:sz w:val="24"/>
        </w:rPr>
        <w:t>获取磋商文件的供应商</w:t>
      </w:r>
      <w:r>
        <w:rPr>
          <w:rFonts w:ascii="宋体" w:hAnsi="宋体"/>
          <w:sz w:val="24"/>
        </w:rPr>
        <w:t>；不足上述时间的，将顺延提交响应文件截止时间。</w:t>
      </w:r>
    </w:p>
    <w:p>
      <w:pPr>
        <w:tabs>
          <w:tab w:val="left" w:pos="1080"/>
          <w:tab w:val="left" w:pos="1561"/>
        </w:tabs>
        <w:snapToGrid w:val="0"/>
        <w:spacing w:line="360" w:lineRule="auto"/>
        <w:ind w:left="1080"/>
        <w:rPr>
          <w:rFonts w:ascii="宋体" w:hAnsi="宋体"/>
          <w:sz w:val="28"/>
        </w:rPr>
      </w:pPr>
      <w:bookmarkStart w:id="179" w:name="_Toc516367020"/>
      <w:bookmarkStart w:id="180" w:name="_Toc150774731"/>
      <w:bookmarkStart w:id="181" w:name="_Toc151193914"/>
      <w:bookmarkStart w:id="182" w:name="_Toc520356150"/>
      <w:bookmarkStart w:id="183" w:name="_Toc151193696"/>
      <w:bookmarkStart w:id="184" w:name="_Toc305158868"/>
      <w:bookmarkStart w:id="185" w:name="_Toc150480764"/>
      <w:bookmarkStart w:id="186" w:name="_Toc226309770"/>
      <w:bookmarkStart w:id="187" w:name="_Toc195842891"/>
      <w:bookmarkStart w:id="188" w:name="_Toc226965799"/>
      <w:bookmarkStart w:id="189" w:name="_Toc151193624"/>
      <w:bookmarkStart w:id="190" w:name="_Toc127151526"/>
      <w:bookmarkStart w:id="191" w:name="_Toc305158794"/>
      <w:bookmarkStart w:id="192" w:name="_Toc265228364"/>
      <w:bookmarkStart w:id="193" w:name="_Toc264969216"/>
      <w:bookmarkStart w:id="194" w:name="_Toc151190153"/>
      <w:bookmarkStart w:id="195" w:name="_Toc226337222"/>
      <w:bookmarkStart w:id="196" w:name="_Toc150509277"/>
      <w:bookmarkStart w:id="197" w:name="_Toc151193840"/>
      <w:bookmarkStart w:id="198" w:name="_Toc226965716"/>
      <w:bookmarkStart w:id="199" w:name="_Toc151193768"/>
      <w:bookmarkStart w:id="200" w:name="_Toc142311028"/>
      <w:bookmarkStart w:id="201" w:name="_Toc150774626"/>
    </w:p>
    <w:p>
      <w:pPr>
        <w:pStyle w:val="5"/>
        <w:spacing w:before="0" w:line="360" w:lineRule="auto"/>
        <w:rPr>
          <w:rFonts w:ascii="宋体" w:hAnsi="宋体" w:eastAsia="宋体"/>
          <w:sz w:val="28"/>
        </w:rPr>
      </w:pPr>
      <w:r>
        <w:rPr>
          <w:rFonts w:ascii="宋体" w:hAnsi="宋体" w:eastAsia="宋体"/>
          <w:sz w:val="28"/>
        </w:rPr>
        <w:t>三   响应文件</w:t>
      </w:r>
      <w:bookmarkEnd w:id="179"/>
      <w:r>
        <w:rPr>
          <w:rFonts w:ascii="宋体" w:hAnsi="宋体"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20"/>
        </w:numPr>
        <w:tabs>
          <w:tab w:val="left" w:pos="360"/>
        </w:tabs>
        <w:snapToGrid w:val="0"/>
        <w:spacing w:line="360" w:lineRule="auto"/>
        <w:ind w:left="357" w:hanging="357"/>
        <w:outlineLvl w:val="1"/>
        <w:rPr>
          <w:rFonts w:ascii="宋体" w:hAnsi="宋体"/>
          <w:sz w:val="24"/>
        </w:rPr>
      </w:pPr>
      <w:bookmarkStart w:id="202" w:name="_Toc305158869"/>
      <w:bookmarkStart w:id="203" w:name="_Toc164351621"/>
      <w:bookmarkStart w:id="204" w:name="_Toc226965717"/>
      <w:bookmarkStart w:id="205" w:name="_Toc305158795"/>
      <w:bookmarkStart w:id="206" w:name="_Toc127151527"/>
      <w:bookmarkStart w:id="207" w:name="_Toc516367021"/>
      <w:bookmarkStart w:id="208" w:name="_Toc151193915"/>
      <w:bookmarkStart w:id="209" w:name="_Toc226337223"/>
      <w:bookmarkStart w:id="210" w:name="_Toc150774732"/>
      <w:bookmarkStart w:id="211" w:name="_Toc127151728"/>
      <w:bookmarkStart w:id="212" w:name="_Toc151193841"/>
      <w:bookmarkStart w:id="213" w:name="_Toc151193769"/>
      <w:bookmarkStart w:id="214" w:name="_Toc151193697"/>
      <w:bookmarkStart w:id="215" w:name="_Toc164608796"/>
      <w:bookmarkStart w:id="216" w:name="_Toc195842892"/>
      <w:bookmarkStart w:id="217" w:name="_Toc164608641"/>
      <w:bookmarkStart w:id="218" w:name="_Toc151193625"/>
      <w:bookmarkStart w:id="219" w:name="_Toc226965800"/>
      <w:bookmarkStart w:id="220" w:name="_Toc150774627"/>
      <w:bookmarkStart w:id="221" w:name="_Toc149720820"/>
      <w:bookmarkStart w:id="222" w:name="_Toc164229368"/>
      <w:bookmarkStart w:id="223" w:name="_Toc520356151"/>
      <w:bookmarkStart w:id="224" w:name="_Toc150480765"/>
      <w:bookmarkStart w:id="225" w:name="_Toc142311029"/>
      <w:bookmarkStart w:id="226" w:name="_Toc264969217"/>
      <w:bookmarkStart w:id="227" w:name="_Toc127161441"/>
      <w:bookmarkStart w:id="228" w:name="_Toc265228365"/>
      <w:bookmarkStart w:id="229" w:name="_Toc151190154"/>
      <w:bookmarkStart w:id="230" w:name="_Toc150509278"/>
      <w:bookmarkStart w:id="231" w:name="_Toc226309771"/>
      <w:bookmarkStart w:id="232" w:name="_Toc164229222"/>
      <w:r>
        <w:rPr>
          <w:rFonts w:ascii="宋体" w:hAnsi="宋体"/>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宋体" w:hAnsi="宋体"/>
          <w:sz w:val="24"/>
        </w:rPr>
        <w:t>及磋商语言</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w:t>
      </w:r>
      <w:r>
        <w:rPr>
          <w:rFonts w:hint="eastAsia" w:ascii="宋体" w:hAnsi="宋体"/>
          <w:sz w:val="24"/>
        </w:rPr>
        <w:t>参与</w:t>
      </w:r>
      <w:r>
        <w:rPr>
          <w:rFonts w:ascii="宋体" w:hAnsi="宋体"/>
          <w:sz w:val="24"/>
        </w:rPr>
        <w:t>采购包对应第四章《采购需求》所列的全部内容进行响应，不得将一个采购包中的内容拆</w:t>
      </w:r>
      <w:r>
        <w:rPr>
          <w:rFonts w:hint="eastAsia" w:ascii="宋体" w:hAnsi="宋体"/>
          <w:sz w:val="24"/>
        </w:rPr>
        <w:t>分</w:t>
      </w:r>
      <w:r>
        <w:rPr>
          <w:rFonts w:ascii="宋体" w:hAnsi="宋体"/>
          <w:sz w:val="24"/>
        </w:rPr>
        <w:t>响应，</w:t>
      </w:r>
      <w:r>
        <w:rPr>
          <w:rFonts w:hint="eastAsia" w:ascii="宋体" w:hAnsi="宋体"/>
          <w:sz w:val="24"/>
        </w:rPr>
        <w:t>否则其对该采购包的响应将被认定为</w:t>
      </w:r>
      <w:r>
        <w:rPr>
          <w:rFonts w:hint="eastAsia" w:ascii="宋体" w:hAnsi="宋体"/>
          <w:b/>
          <w:bCs/>
          <w:sz w:val="24"/>
        </w:rPr>
        <w:t>无效响应</w:t>
      </w:r>
      <w:r>
        <w:rPr>
          <w:rFonts w:ascii="宋体" w:hAnsi="宋体"/>
          <w:sz w:val="24"/>
        </w:rPr>
        <w:t>。</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20"/>
        </w:numPr>
        <w:tabs>
          <w:tab w:val="left" w:pos="360"/>
        </w:tabs>
        <w:snapToGrid w:val="0"/>
        <w:spacing w:line="360" w:lineRule="auto"/>
        <w:ind w:left="357" w:hanging="357"/>
        <w:outlineLvl w:val="1"/>
        <w:rPr>
          <w:rFonts w:ascii="宋体" w:hAnsi="宋体"/>
          <w:sz w:val="24"/>
        </w:rPr>
      </w:pPr>
      <w:bookmarkStart w:id="233" w:name="_Toc516367022"/>
      <w:bookmarkStart w:id="234" w:name="_Ref467306195"/>
      <w:bookmarkStart w:id="235" w:name="_Ref467306676"/>
      <w:bookmarkStart w:id="236" w:name="_Toc164229369"/>
      <w:bookmarkStart w:id="237" w:name="_Toc226337224"/>
      <w:bookmarkStart w:id="238" w:name="_Toc127161442"/>
      <w:bookmarkStart w:id="239" w:name="_Toc265228366"/>
      <w:bookmarkStart w:id="240" w:name="_Toc164608797"/>
      <w:bookmarkStart w:id="241" w:name="_Toc264969218"/>
      <w:bookmarkStart w:id="242" w:name="_Toc164608642"/>
      <w:bookmarkStart w:id="243" w:name="_Toc142311030"/>
      <w:bookmarkStart w:id="244" w:name="_Toc151193698"/>
      <w:bookmarkStart w:id="245" w:name="_Toc164229223"/>
      <w:bookmarkStart w:id="246" w:name="_Toc151193842"/>
      <w:bookmarkStart w:id="247" w:name="_Toc151190155"/>
      <w:bookmarkStart w:id="248" w:name="_Toc226965718"/>
      <w:bookmarkStart w:id="249" w:name="_Toc150774628"/>
      <w:bookmarkStart w:id="250" w:name="_Toc151193916"/>
      <w:bookmarkStart w:id="251" w:name="_Toc127151528"/>
      <w:bookmarkStart w:id="252" w:name="_Toc305158796"/>
      <w:bookmarkStart w:id="253" w:name="_Toc305158870"/>
      <w:bookmarkStart w:id="254" w:name="_Toc520356152"/>
      <w:bookmarkStart w:id="255" w:name="_Toc151193770"/>
      <w:bookmarkStart w:id="256" w:name="_Toc195842893"/>
      <w:bookmarkStart w:id="257" w:name="_Toc226309772"/>
      <w:bookmarkStart w:id="258" w:name="_Toc151193626"/>
      <w:bookmarkStart w:id="259" w:name="_Toc150509279"/>
      <w:bookmarkStart w:id="260" w:name="_Toc226965801"/>
      <w:bookmarkStart w:id="261" w:name="_Toc150774733"/>
      <w:bookmarkStart w:id="262" w:name="_Toc127151729"/>
      <w:bookmarkStart w:id="263" w:name="_Toc149720821"/>
      <w:bookmarkStart w:id="264" w:name="_Toc150480766"/>
      <w:bookmarkStart w:id="265" w:name="_Toc164351622"/>
      <w:r>
        <w:rPr>
          <w:rFonts w:ascii="宋体" w:hAnsi="宋体"/>
          <w:sz w:val="24"/>
        </w:rPr>
        <w:t>响应文件</w:t>
      </w:r>
      <w:bookmarkEnd w:id="233"/>
      <w:bookmarkEnd w:id="234"/>
      <w:bookmarkEnd w:id="235"/>
      <w:r>
        <w:rPr>
          <w:rFonts w:ascii="宋体" w:hAnsi="宋体"/>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1"/>
          <w:numId w:val="20"/>
        </w:numPr>
        <w:tabs>
          <w:tab w:val="left" w:pos="1080"/>
          <w:tab w:val="left" w:pos="2014"/>
        </w:tabs>
        <w:snapToGrid w:val="0"/>
        <w:spacing w:line="360" w:lineRule="auto"/>
        <w:ind w:left="1077" w:hanging="720"/>
        <w:rPr>
          <w:rFonts w:ascii="宋体" w:hAnsi="宋体"/>
          <w:sz w:val="24"/>
        </w:rPr>
      </w:pPr>
      <w:bookmarkStart w:id="266"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66"/>
    </w:p>
    <w:p>
      <w:pPr>
        <w:numPr>
          <w:ilvl w:val="0"/>
          <w:numId w:val="20"/>
        </w:numPr>
        <w:tabs>
          <w:tab w:val="left" w:pos="360"/>
        </w:tabs>
        <w:snapToGrid w:val="0"/>
        <w:spacing w:line="360" w:lineRule="auto"/>
        <w:ind w:left="357" w:hanging="357"/>
        <w:outlineLvl w:val="1"/>
        <w:rPr>
          <w:rFonts w:ascii="宋体" w:hAnsi="宋体"/>
          <w:sz w:val="24"/>
        </w:rPr>
      </w:pPr>
      <w:bookmarkStart w:id="267" w:name="_Toc127151731"/>
      <w:bookmarkStart w:id="268" w:name="_Toc151193628"/>
      <w:bookmarkStart w:id="269" w:name="_Toc164229225"/>
      <w:bookmarkStart w:id="270" w:name="_Toc150509281"/>
      <w:bookmarkStart w:id="271" w:name="_Toc164351624"/>
      <w:bookmarkStart w:id="272" w:name="_Toc150480768"/>
      <w:bookmarkStart w:id="273" w:name="_Toc151193918"/>
      <w:bookmarkStart w:id="274" w:name="_Toc150774630"/>
      <w:bookmarkStart w:id="275" w:name="_Toc151193700"/>
      <w:bookmarkStart w:id="276" w:name="_Toc164608799"/>
      <w:bookmarkStart w:id="277" w:name="_Toc151190157"/>
      <w:bookmarkStart w:id="278" w:name="_Toc164608644"/>
      <w:bookmarkStart w:id="279" w:name="_Toc151193844"/>
      <w:bookmarkStart w:id="280" w:name="_Toc149720823"/>
      <w:bookmarkStart w:id="281" w:name="_Toc127161444"/>
      <w:bookmarkStart w:id="282" w:name="_Toc151193772"/>
      <w:bookmarkStart w:id="283" w:name="_Toc127151530"/>
      <w:bookmarkStart w:id="284" w:name="_Toc142311032"/>
      <w:bookmarkStart w:id="285" w:name="_Toc150774735"/>
      <w:bookmarkStart w:id="286" w:name="_Toc520356155"/>
      <w:bookmarkStart w:id="287" w:name="_Toc164229371"/>
      <w:bookmarkStart w:id="288" w:name="_Toc195842895"/>
      <w:r>
        <w:rPr>
          <w:rFonts w:ascii="宋体" w:hAnsi="宋体"/>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所有响应均以人民币报价。</w:t>
      </w:r>
    </w:p>
    <w:p>
      <w:pPr>
        <w:numPr>
          <w:ilvl w:val="1"/>
          <w:numId w:val="20"/>
        </w:numPr>
        <w:tabs>
          <w:tab w:val="left" w:pos="1080"/>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pPr>
        <w:numPr>
          <w:ilvl w:val="2"/>
          <w:numId w:val="20"/>
        </w:numPr>
        <w:snapToGrid w:val="0"/>
        <w:spacing w:line="360" w:lineRule="auto"/>
        <w:rPr>
          <w:rFonts w:ascii="宋体" w:hAnsi="宋体"/>
          <w:sz w:val="24"/>
        </w:rPr>
      </w:pPr>
      <w:r>
        <w:rPr>
          <w:rFonts w:hint="eastAsia" w:ascii="宋体" w:hAnsi="宋体"/>
          <w:sz w:val="24"/>
        </w:rPr>
        <w:t>响应</w:t>
      </w:r>
      <w:r>
        <w:rPr>
          <w:rFonts w:ascii="宋体" w:hAnsi="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sz w:val="24"/>
        </w:rPr>
        <w:t>；</w:t>
      </w:r>
    </w:p>
    <w:p>
      <w:pPr>
        <w:numPr>
          <w:ilvl w:val="2"/>
          <w:numId w:val="20"/>
        </w:numPr>
        <w:snapToGrid w:val="0"/>
        <w:spacing w:line="360" w:lineRule="auto"/>
        <w:rPr>
          <w:rFonts w:ascii="宋体" w:hAnsi="宋体"/>
          <w:sz w:val="24"/>
        </w:rPr>
      </w:pPr>
      <w:r>
        <w:rPr>
          <w:rFonts w:ascii="宋体" w:hAnsi="宋体"/>
          <w:sz w:val="24"/>
        </w:rPr>
        <w:t>按照竞争性磋商文件要求完成本项</w:t>
      </w:r>
      <w:r>
        <w:rPr>
          <w:rFonts w:hint="eastAsia" w:ascii="宋体" w:hAnsi="宋体"/>
          <w:sz w:val="24"/>
        </w:rPr>
        <w:t>目的全部相关费用。</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pPr>
        <w:numPr>
          <w:ilvl w:val="1"/>
          <w:numId w:val="20"/>
        </w:numPr>
        <w:tabs>
          <w:tab w:val="left" w:pos="1080"/>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磋商保证金</w:t>
      </w:r>
    </w:p>
    <w:p>
      <w:pPr>
        <w:numPr>
          <w:ilvl w:val="1"/>
          <w:numId w:val="20"/>
        </w:numPr>
        <w:tabs>
          <w:tab w:val="left" w:pos="1080"/>
          <w:tab w:val="left" w:pos="2014"/>
        </w:tabs>
        <w:snapToGrid w:val="0"/>
        <w:spacing w:line="360" w:lineRule="auto"/>
        <w:ind w:left="1077" w:hanging="720"/>
        <w:rPr>
          <w:rFonts w:ascii="宋体" w:hAnsi="宋体"/>
          <w:sz w:val="24"/>
        </w:rPr>
      </w:pPr>
      <w:bookmarkStart w:id="289" w:name="_Ref467306302"/>
      <w:r>
        <w:rPr>
          <w:rFonts w:ascii="宋体" w:hAnsi="宋体"/>
          <w:sz w:val="24"/>
        </w:rPr>
        <w:t>供应商应按《供应商须知资料表》中规定的金额及要求交纳磋商保证金</w:t>
      </w:r>
      <w:bookmarkEnd w:id="289"/>
      <w:r>
        <w:rPr>
          <w:rFonts w:ascii="宋体" w:hAnsi="宋体"/>
          <w:sz w:val="24"/>
        </w:rPr>
        <w:t>。</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截止时间前将原件提交至采购代理机构；由于</w:t>
      </w:r>
      <w:r>
        <w:rPr>
          <w:rFonts w:hint="eastAsia" w:ascii="宋体" w:hAnsi="宋体"/>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磋商保证金有效期同响应有效期。</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20"/>
        </w:numPr>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pPr>
        <w:numPr>
          <w:ilvl w:val="2"/>
          <w:numId w:val="20"/>
        </w:numPr>
        <w:snapToGrid w:val="0"/>
        <w:spacing w:line="360" w:lineRule="auto"/>
        <w:rPr>
          <w:rFonts w:ascii="宋体" w:hAnsi="宋体"/>
          <w:sz w:val="24"/>
        </w:rPr>
      </w:pPr>
      <w:r>
        <w:rPr>
          <w:rFonts w:ascii="宋体" w:hAnsi="宋体"/>
          <w:sz w:val="24"/>
        </w:rPr>
        <w:t>成交供应商的磋商保证金，在采购合同签订后5个工作日内退还成交供应商；</w:t>
      </w:r>
    </w:p>
    <w:p>
      <w:pPr>
        <w:numPr>
          <w:ilvl w:val="2"/>
          <w:numId w:val="20"/>
        </w:numPr>
        <w:snapToGrid w:val="0"/>
        <w:spacing w:line="360" w:lineRule="auto"/>
        <w:rPr>
          <w:rFonts w:ascii="宋体" w:hAnsi="宋体"/>
          <w:sz w:val="24"/>
        </w:rPr>
      </w:pPr>
      <w:r>
        <w:rPr>
          <w:rFonts w:ascii="宋体" w:hAnsi="宋体"/>
          <w:sz w:val="24"/>
        </w:rPr>
        <w:t>未成交供应商的磋商保证金，在成交通知书发出后5个工作日内退还</w:t>
      </w:r>
      <w:r>
        <w:rPr>
          <w:rFonts w:hint="eastAsia" w:ascii="宋体" w:hAnsi="宋体"/>
          <w:sz w:val="24"/>
        </w:rPr>
        <w:t>。</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pPr>
        <w:numPr>
          <w:ilvl w:val="2"/>
          <w:numId w:val="20"/>
        </w:numPr>
        <w:snapToGrid w:val="0"/>
        <w:spacing w:line="360" w:lineRule="auto"/>
        <w:rPr>
          <w:rFonts w:ascii="宋体" w:hAnsi="宋体"/>
          <w:sz w:val="24"/>
        </w:rPr>
      </w:pPr>
      <w:r>
        <w:rPr>
          <w:rFonts w:ascii="宋体" w:hAnsi="宋体"/>
          <w:sz w:val="24"/>
        </w:rPr>
        <w:t>供应商在提交响应文件截止时间后撤回响应文件的；</w:t>
      </w:r>
    </w:p>
    <w:p>
      <w:pPr>
        <w:numPr>
          <w:ilvl w:val="2"/>
          <w:numId w:val="20"/>
        </w:numPr>
        <w:snapToGrid w:val="0"/>
        <w:spacing w:line="360" w:lineRule="auto"/>
        <w:rPr>
          <w:rFonts w:ascii="宋体" w:hAnsi="宋体"/>
          <w:sz w:val="24"/>
        </w:rPr>
      </w:pPr>
      <w:r>
        <w:rPr>
          <w:rFonts w:ascii="宋体" w:hAnsi="宋体"/>
          <w:sz w:val="24"/>
        </w:rPr>
        <w:t>供应商在响应文件中提供虚假材料的；</w:t>
      </w:r>
    </w:p>
    <w:p>
      <w:pPr>
        <w:numPr>
          <w:ilvl w:val="2"/>
          <w:numId w:val="20"/>
        </w:numPr>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pPr>
        <w:numPr>
          <w:ilvl w:val="2"/>
          <w:numId w:val="20"/>
        </w:numPr>
        <w:snapToGrid w:val="0"/>
        <w:spacing w:line="360" w:lineRule="auto"/>
        <w:rPr>
          <w:rFonts w:ascii="宋体" w:hAnsi="宋体"/>
          <w:sz w:val="24"/>
        </w:rPr>
      </w:pPr>
      <w:r>
        <w:rPr>
          <w:rFonts w:ascii="宋体" w:hAnsi="宋体"/>
          <w:sz w:val="24"/>
        </w:rPr>
        <w:t>供应商与采购人、其他供应商或者采购代理机构恶意串通的；</w:t>
      </w:r>
    </w:p>
    <w:p>
      <w:pPr>
        <w:numPr>
          <w:ilvl w:val="2"/>
          <w:numId w:val="20"/>
        </w:numPr>
        <w:snapToGrid w:val="0"/>
        <w:spacing w:line="360" w:lineRule="auto"/>
        <w:rPr>
          <w:rFonts w:ascii="宋体" w:hAnsi="宋体"/>
          <w:sz w:val="24"/>
        </w:rPr>
      </w:pPr>
      <w:r>
        <w:rPr>
          <w:rFonts w:ascii="宋体" w:hAnsi="宋体"/>
          <w:sz w:val="24"/>
        </w:rPr>
        <w:t>《供应商须知资料表》规定的其他情形。</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响应有效期</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pPr>
        <w:numPr>
          <w:ilvl w:val="0"/>
          <w:numId w:val="20"/>
        </w:numPr>
        <w:tabs>
          <w:tab w:val="left" w:pos="360"/>
        </w:tabs>
        <w:snapToGrid w:val="0"/>
        <w:spacing w:line="360" w:lineRule="auto"/>
        <w:ind w:left="357" w:hanging="357"/>
        <w:outlineLvl w:val="1"/>
        <w:rPr>
          <w:rFonts w:ascii="宋体" w:hAnsi="宋体"/>
          <w:sz w:val="24"/>
        </w:rPr>
      </w:pPr>
      <w:bookmarkStart w:id="290" w:name="_Toc149720826"/>
      <w:bookmarkStart w:id="291" w:name="_Toc265228371"/>
      <w:bookmarkStart w:id="292" w:name="_Toc151193775"/>
      <w:bookmarkStart w:id="293" w:name="_Toc127151734"/>
      <w:bookmarkStart w:id="294" w:name="_Toc150480771"/>
      <w:bookmarkStart w:id="295" w:name="_Toc127151533"/>
      <w:bookmarkStart w:id="296" w:name="_Toc164351627"/>
      <w:bookmarkStart w:id="297" w:name="_Toc164229228"/>
      <w:bookmarkStart w:id="298" w:name="_Toc151193847"/>
      <w:bookmarkStart w:id="299" w:name="_Toc264969223"/>
      <w:bookmarkStart w:id="300" w:name="_Toc226309777"/>
      <w:bookmarkStart w:id="301" w:name="_Toc151193631"/>
      <w:bookmarkStart w:id="302" w:name="_Toc305158801"/>
      <w:bookmarkStart w:id="303" w:name="_Toc305158875"/>
      <w:bookmarkStart w:id="304" w:name="_Toc151193703"/>
      <w:bookmarkStart w:id="305" w:name="_Toc127161447"/>
      <w:bookmarkStart w:id="306" w:name="_Toc164608802"/>
      <w:bookmarkStart w:id="307" w:name="_Toc151190160"/>
      <w:bookmarkStart w:id="308" w:name="_Toc226965723"/>
      <w:bookmarkStart w:id="309" w:name="_Toc142311035"/>
      <w:bookmarkStart w:id="310" w:name="_Toc520356158"/>
      <w:bookmarkStart w:id="311" w:name="_Toc150774633"/>
      <w:bookmarkStart w:id="312" w:name="_Toc150509284"/>
      <w:bookmarkStart w:id="313" w:name="_Toc164229374"/>
      <w:bookmarkStart w:id="314" w:name="_Toc195842898"/>
      <w:bookmarkStart w:id="315" w:name="_Toc226965806"/>
      <w:bookmarkStart w:id="316" w:name="_Toc150774738"/>
      <w:bookmarkStart w:id="317" w:name="_Toc151193921"/>
      <w:bookmarkStart w:id="318" w:name="_Toc164608647"/>
      <w:bookmarkStart w:id="319" w:name="_Toc226337229"/>
      <w:r>
        <w:rPr>
          <w:rFonts w:ascii="宋体" w:hAnsi="宋体"/>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ascii="宋体" w:hAnsi="宋体"/>
          <w:sz w:val="24"/>
        </w:rPr>
        <w:t>、盖章</w:t>
      </w:r>
    </w:p>
    <w:p>
      <w:pPr>
        <w:numPr>
          <w:ilvl w:val="1"/>
          <w:numId w:val="20"/>
        </w:numPr>
        <w:tabs>
          <w:tab w:val="left" w:pos="1080"/>
        </w:tabs>
        <w:snapToGrid w:val="0"/>
        <w:spacing w:line="360" w:lineRule="auto"/>
        <w:rPr>
          <w:rFonts w:ascii="宋体" w:hAnsi="宋体"/>
          <w:sz w:val="24"/>
        </w:rPr>
      </w:pPr>
      <w:bookmarkStart w:id="320" w:name="_Toc150480772"/>
      <w:bookmarkStart w:id="321" w:name="_Toc305158876"/>
      <w:bookmarkStart w:id="322" w:name="_Toc150774634"/>
      <w:bookmarkStart w:id="323" w:name="_Toc142311036"/>
      <w:bookmarkStart w:id="324" w:name="_Toc264969224"/>
      <w:bookmarkStart w:id="325" w:name="_Toc151193704"/>
      <w:bookmarkStart w:id="326" w:name="_Toc305158802"/>
      <w:bookmarkStart w:id="327" w:name="_Toc226309778"/>
      <w:bookmarkStart w:id="328" w:name="_Toc195842899"/>
      <w:bookmarkStart w:id="329" w:name="_Toc127151534"/>
      <w:bookmarkStart w:id="330" w:name="_Toc226965724"/>
      <w:bookmarkStart w:id="331" w:name="_Toc150509285"/>
      <w:bookmarkStart w:id="332" w:name="_Toc151193776"/>
      <w:bookmarkStart w:id="333" w:name="_Toc265228372"/>
      <w:bookmarkStart w:id="334" w:name="_Toc151193922"/>
      <w:bookmarkStart w:id="335" w:name="_Toc226965807"/>
      <w:bookmarkStart w:id="336" w:name="_Toc150774739"/>
      <w:bookmarkStart w:id="337" w:name="_Toc520356159"/>
      <w:bookmarkStart w:id="338" w:name="_Toc151193848"/>
      <w:bookmarkStart w:id="339" w:name="_Toc151193632"/>
      <w:bookmarkStart w:id="340" w:name="_Toc226337230"/>
      <w:bookmarkStart w:id="341" w:name="_Toc151190161"/>
      <w:r>
        <w:rPr>
          <w:rFonts w:ascii="宋体" w:hAnsi="宋体"/>
          <w:sz w:val="24"/>
        </w:rPr>
        <w:t>竞争性磋商文件要求签字的内容（如授权委托书等），</w:t>
      </w:r>
      <w:r>
        <w:rPr>
          <w:rFonts w:hint="eastAsia" w:ascii="宋体" w:hAnsi="宋体"/>
          <w:sz w:val="24"/>
        </w:rPr>
        <w:t>可以使用电子签章或使用原件的电子件（电子件指扫描件、照片等形式电子文件）；要求</w:t>
      </w:r>
      <w:r>
        <w:rPr>
          <w:rFonts w:ascii="宋体" w:hAnsi="宋体"/>
          <w:sz w:val="24"/>
        </w:rPr>
        <w:t>第三方出具的盖章件原件（如联合协议、分包意向协议、制造商授权书原件等），响应文件中应使用原件的电子件。</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竞争性磋商文件要求盖章的内容，</w:t>
      </w:r>
      <w:r>
        <w:rPr>
          <w:rFonts w:hint="eastAsia" w:ascii="宋体" w:hAnsi="宋体"/>
          <w:sz w:val="24"/>
        </w:rPr>
        <w:t>一般</w:t>
      </w:r>
      <w:r>
        <w:rPr>
          <w:rFonts w:ascii="宋体" w:hAnsi="宋体"/>
          <w:sz w:val="24"/>
        </w:rPr>
        <w:t>通过投标文件编制工具加盖电子签章。</w:t>
      </w:r>
    </w:p>
    <w:p>
      <w:pPr>
        <w:tabs>
          <w:tab w:val="left" w:pos="900"/>
          <w:tab w:val="left" w:pos="1080"/>
        </w:tabs>
        <w:snapToGrid w:val="0"/>
        <w:spacing w:line="360" w:lineRule="auto"/>
        <w:ind w:left="357"/>
        <w:rPr>
          <w:rFonts w:ascii="宋体" w:hAnsi="宋体"/>
        </w:rPr>
      </w:pPr>
    </w:p>
    <w:p>
      <w:pPr>
        <w:pStyle w:val="5"/>
        <w:spacing w:before="0" w:line="360" w:lineRule="auto"/>
        <w:rPr>
          <w:rFonts w:ascii="宋体" w:hAnsi="宋体" w:eastAsia="宋体"/>
          <w:sz w:val="28"/>
        </w:rPr>
      </w:pPr>
      <w:r>
        <w:rPr>
          <w:rFonts w:ascii="宋体" w:hAnsi="宋体" w:eastAsia="宋体"/>
          <w:sz w:val="28"/>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numPr>
          <w:ilvl w:val="0"/>
          <w:numId w:val="20"/>
        </w:numPr>
        <w:tabs>
          <w:tab w:val="left" w:pos="360"/>
        </w:tabs>
        <w:snapToGrid w:val="0"/>
        <w:spacing w:line="360" w:lineRule="auto"/>
        <w:ind w:left="357" w:hanging="357"/>
        <w:outlineLvl w:val="1"/>
        <w:rPr>
          <w:rFonts w:ascii="宋体" w:hAnsi="宋体"/>
          <w:sz w:val="24"/>
        </w:rPr>
      </w:pPr>
      <w:bookmarkStart w:id="342" w:name="_Toc305158877"/>
      <w:bookmarkStart w:id="343" w:name="_Toc151193633"/>
      <w:bookmarkStart w:id="344" w:name="_Toc127151535"/>
      <w:bookmarkStart w:id="345" w:name="_Toc127151736"/>
      <w:bookmarkStart w:id="346" w:name="_Toc150509286"/>
      <w:bookmarkStart w:id="347" w:name="_Toc151193705"/>
      <w:bookmarkStart w:id="348" w:name="_Toc164229376"/>
      <w:bookmarkStart w:id="349" w:name="_Toc265228373"/>
      <w:bookmarkStart w:id="350" w:name="_Toc164608649"/>
      <w:bookmarkStart w:id="351" w:name="_Toc142311037"/>
      <w:bookmarkStart w:id="352" w:name="_Toc226337231"/>
      <w:bookmarkStart w:id="353" w:name="_Toc520356160"/>
      <w:bookmarkStart w:id="354" w:name="_Toc151190162"/>
      <w:bookmarkStart w:id="355" w:name="_Toc127161449"/>
      <w:bookmarkStart w:id="356" w:name="_Toc150480773"/>
      <w:bookmarkStart w:id="357" w:name="_Toc151193777"/>
      <w:bookmarkStart w:id="358" w:name="_Toc150774635"/>
      <w:bookmarkStart w:id="359" w:name="_Toc305158803"/>
      <w:bookmarkStart w:id="360" w:name="_Toc151193923"/>
      <w:bookmarkStart w:id="361" w:name="_Toc150774740"/>
      <w:bookmarkStart w:id="362" w:name="_Toc151193849"/>
      <w:bookmarkStart w:id="363" w:name="_Toc164351629"/>
      <w:bookmarkStart w:id="364" w:name="_Toc226965725"/>
      <w:bookmarkStart w:id="365" w:name="_Toc195842900"/>
      <w:bookmarkStart w:id="366" w:name="_Toc226965808"/>
      <w:bookmarkStart w:id="367" w:name="_Toc164608804"/>
      <w:bookmarkStart w:id="368" w:name="_Toc264969225"/>
      <w:bookmarkStart w:id="369" w:name="_Toc226309779"/>
      <w:bookmarkStart w:id="370" w:name="_Toc164229230"/>
      <w:bookmarkStart w:id="371" w:name="_Toc149720828"/>
      <w:r>
        <w:rPr>
          <w:rFonts w:ascii="宋体" w:hAnsi="宋体"/>
          <w:sz w:val="24"/>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宋体" w:hAnsi="宋体"/>
          <w:sz w:val="24"/>
        </w:rPr>
        <w:t>提交</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本项目使用北京市政府采购电子交易平台。供应商根据竞争性磋商文件及电子交易平台供应商操作手册要求编制、生成并提交电子响应文件。</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采购人及采购代理机构拒绝接受通过电子交易平台以外任何形式提交的响应文件，磋商保证金除外。</w:t>
      </w:r>
    </w:p>
    <w:p>
      <w:pPr>
        <w:numPr>
          <w:ilvl w:val="0"/>
          <w:numId w:val="20"/>
        </w:numPr>
        <w:tabs>
          <w:tab w:val="left" w:pos="360"/>
        </w:tabs>
        <w:snapToGrid w:val="0"/>
        <w:spacing w:line="360" w:lineRule="auto"/>
        <w:ind w:left="357" w:hanging="357"/>
        <w:outlineLvl w:val="1"/>
        <w:rPr>
          <w:rFonts w:ascii="宋体" w:hAnsi="宋体"/>
          <w:sz w:val="24"/>
        </w:rPr>
      </w:pPr>
      <w:bookmarkStart w:id="372" w:name="_Toc127151737"/>
      <w:bookmarkStart w:id="373" w:name="_Toc226965809"/>
      <w:bookmarkStart w:id="374" w:name="_Toc150480774"/>
      <w:bookmarkStart w:id="375" w:name="_Toc164608650"/>
      <w:bookmarkStart w:id="376" w:name="_Toc151190163"/>
      <w:bookmarkStart w:id="377" w:name="_Toc164229231"/>
      <w:bookmarkStart w:id="378" w:name="_Toc164608805"/>
      <w:bookmarkStart w:id="379" w:name="_Toc151193778"/>
      <w:bookmarkStart w:id="380" w:name="_Toc127151536"/>
      <w:bookmarkStart w:id="381" w:name="_Toc151193924"/>
      <w:bookmarkStart w:id="382" w:name="_Toc151193850"/>
      <w:bookmarkStart w:id="383" w:name="_Toc150774741"/>
      <w:bookmarkStart w:id="384" w:name="_Toc150774636"/>
      <w:bookmarkStart w:id="385" w:name="_Toc264969226"/>
      <w:bookmarkStart w:id="386" w:name="_Toc305158804"/>
      <w:bookmarkStart w:id="387" w:name="_Toc151193634"/>
      <w:bookmarkStart w:id="388" w:name="_Toc142311038"/>
      <w:bookmarkStart w:id="389" w:name="_Toc164229377"/>
      <w:bookmarkStart w:id="390" w:name="_Toc164351630"/>
      <w:bookmarkStart w:id="391" w:name="_Toc195842901"/>
      <w:bookmarkStart w:id="392" w:name="_Toc305158878"/>
      <w:bookmarkStart w:id="393" w:name="_Toc149720829"/>
      <w:bookmarkStart w:id="394" w:name="_Toc127161450"/>
      <w:bookmarkStart w:id="395" w:name="_Toc265228374"/>
      <w:bookmarkStart w:id="396" w:name="_Toc151193706"/>
      <w:bookmarkStart w:id="397" w:name="_Toc520356161"/>
      <w:bookmarkStart w:id="398" w:name="_Toc226337232"/>
      <w:bookmarkStart w:id="399" w:name="_Toc226309780"/>
      <w:bookmarkStart w:id="400" w:name="_Toc150509287"/>
      <w:bookmarkStart w:id="401" w:name="_Toc226965726"/>
      <w:r>
        <w:rPr>
          <w:rFonts w:ascii="宋体" w:hAnsi="宋体"/>
          <w:sz w:val="24"/>
        </w:rPr>
        <w:t>响应文件</w:t>
      </w:r>
      <w:r>
        <w:rPr>
          <w:rFonts w:hint="eastAsia" w:ascii="宋体" w:hAnsi="宋体"/>
          <w:sz w:val="24"/>
        </w:rPr>
        <w:t>提交</w:t>
      </w:r>
      <w:r>
        <w:rPr>
          <w:rFonts w:ascii="宋体" w:hAnsi="宋体"/>
          <w:sz w:val="24"/>
        </w:rPr>
        <w:t>截止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sz w:val="24"/>
        </w:rPr>
        <w:t>时间</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供应商应在竞争性磋商文件要求响应文件提交截止时间前，将电子响应文件提交至电子交易平台。</w:t>
      </w:r>
    </w:p>
    <w:p>
      <w:pPr>
        <w:numPr>
          <w:ilvl w:val="0"/>
          <w:numId w:val="20"/>
        </w:numPr>
        <w:tabs>
          <w:tab w:val="left" w:pos="360"/>
        </w:tabs>
        <w:snapToGrid w:val="0"/>
        <w:spacing w:line="360" w:lineRule="auto"/>
        <w:ind w:left="357" w:hanging="357"/>
        <w:outlineLvl w:val="1"/>
        <w:rPr>
          <w:rFonts w:ascii="宋体" w:hAnsi="宋体"/>
          <w:sz w:val="24"/>
        </w:rPr>
      </w:pPr>
      <w:bookmarkStart w:id="402" w:name="_Toc142311039"/>
      <w:bookmarkStart w:id="403" w:name="_Toc127151537"/>
      <w:bookmarkStart w:id="404" w:name="_Toc150480775"/>
      <w:bookmarkStart w:id="405" w:name="_Toc265228375"/>
      <w:bookmarkStart w:id="406" w:name="_Toc164608806"/>
      <w:bookmarkStart w:id="407" w:name="_Toc151190164"/>
      <w:bookmarkStart w:id="408" w:name="_Toc149720830"/>
      <w:bookmarkStart w:id="409" w:name="_Toc127161451"/>
      <w:bookmarkStart w:id="410" w:name="_Toc226965810"/>
      <w:bookmarkStart w:id="411" w:name="_Toc164229378"/>
      <w:bookmarkStart w:id="412" w:name="_Toc150774742"/>
      <w:bookmarkStart w:id="413" w:name="_Toc151193925"/>
      <w:bookmarkStart w:id="414" w:name="_Toc164351631"/>
      <w:bookmarkStart w:id="415" w:name="_Toc226337233"/>
      <w:bookmarkStart w:id="416" w:name="_Toc226309781"/>
      <w:bookmarkStart w:id="417" w:name="_Toc164229232"/>
      <w:bookmarkStart w:id="418" w:name="_Toc151193851"/>
      <w:bookmarkStart w:id="419" w:name="_Toc264969227"/>
      <w:bookmarkStart w:id="420" w:name="_Toc226965727"/>
      <w:bookmarkStart w:id="421" w:name="_Toc151193779"/>
      <w:bookmarkStart w:id="422" w:name="_Toc195842902"/>
      <w:bookmarkStart w:id="423" w:name="_Toc164608651"/>
      <w:bookmarkStart w:id="424" w:name="_Toc150509288"/>
      <w:bookmarkStart w:id="425" w:name="_Toc305158805"/>
      <w:bookmarkStart w:id="426" w:name="_Toc127151738"/>
      <w:bookmarkStart w:id="427" w:name="_Toc520356162"/>
      <w:bookmarkStart w:id="428" w:name="_Toc151193635"/>
      <w:bookmarkStart w:id="429" w:name="_Toc305158879"/>
      <w:bookmarkStart w:id="430" w:name="_Toc150774637"/>
      <w:bookmarkStart w:id="431" w:name="_Toc151193707"/>
      <w:r>
        <w:rPr>
          <w:rFonts w:ascii="宋体" w:hAnsi="宋体"/>
          <w:sz w:val="24"/>
        </w:rPr>
        <w:t>响应文件的修改与撤回</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提交响应文件截止时间前，供应商可以通过电子交易平台对所提交的响应文件进行补充、修改或者撤回。磋商保证金</w:t>
      </w:r>
      <w:r>
        <w:rPr>
          <w:rFonts w:hint="eastAsia" w:ascii="宋体" w:hAnsi="宋体"/>
          <w:sz w:val="24"/>
        </w:rPr>
        <w:t>的</w:t>
      </w:r>
      <w:r>
        <w:rPr>
          <w:rFonts w:ascii="宋体" w:hAnsi="宋体"/>
          <w:sz w:val="24"/>
        </w:rPr>
        <w:t>补充、修改或者撤回</w:t>
      </w:r>
      <w:r>
        <w:rPr>
          <w:rFonts w:hint="eastAsia" w:ascii="宋体" w:hAnsi="宋体"/>
          <w:sz w:val="24"/>
        </w:rPr>
        <w:t>无需</w:t>
      </w:r>
      <w:r>
        <w:rPr>
          <w:rFonts w:ascii="宋体" w:hAnsi="宋体"/>
          <w:sz w:val="24"/>
        </w:rPr>
        <w:t>通过电子交易平台</w:t>
      </w:r>
      <w:r>
        <w:rPr>
          <w:rFonts w:hint="eastAsia" w:ascii="宋体" w:hAnsi="宋体"/>
          <w:sz w:val="24"/>
        </w:rPr>
        <w:t>，</w:t>
      </w:r>
      <w:r>
        <w:rPr>
          <w:rFonts w:ascii="宋体" w:hAnsi="宋体"/>
          <w:sz w:val="24"/>
        </w:rPr>
        <w:t>但应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ascii="宋体" w:hAnsi="宋体"/>
          <w:sz w:val="24"/>
        </w:rPr>
      </w:pPr>
    </w:p>
    <w:p>
      <w:pPr>
        <w:pStyle w:val="5"/>
        <w:spacing w:before="0" w:line="360" w:lineRule="auto"/>
        <w:rPr>
          <w:rFonts w:ascii="宋体" w:hAnsi="宋体" w:eastAsia="宋体"/>
          <w:sz w:val="28"/>
        </w:rPr>
      </w:pPr>
      <w:bookmarkStart w:id="432" w:name="_Toc142311040"/>
      <w:bookmarkStart w:id="433" w:name="_Toc151193852"/>
      <w:bookmarkStart w:id="434" w:name="_Toc226965728"/>
      <w:bookmarkStart w:id="435" w:name="_Toc226309782"/>
      <w:bookmarkStart w:id="436" w:name="_Toc150509289"/>
      <w:bookmarkStart w:id="437" w:name="_Toc151193636"/>
      <w:bookmarkStart w:id="438" w:name="_Toc305158880"/>
      <w:bookmarkStart w:id="439" w:name="_Toc195842903"/>
      <w:bookmarkStart w:id="440" w:name="_Toc151193926"/>
      <w:bookmarkStart w:id="441" w:name="_Toc264969228"/>
      <w:bookmarkStart w:id="442" w:name="_Toc151193780"/>
      <w:bookmarkStart w:id="443" w:name="_Toc151193708"/>
      <w:bookmarkStart w:id="444" w:name="_Toc226337234"/>
      <w:bookmarkStart w:id="445" w:name="_Toc520356163"/>
      <w:bookmarkStart w:id="446" w:name="_Toc150774638"/>
      <w:bookmarkStart w:id="447" w:name="_Toc150480776"/>
      <w:bookmarkStart w:id="448" w:name="_Toc150774743"/>
      <w:bookmarkStart w:id="449" w:name="_Toc127151538"/>
      <w:bookmarkStart w:id="450" w:name="_Toc305158806"/>
      <w:bookmarkStart w:id="451" w:name="_Toc265228376"/>
      <w:bookmarkStart w:id="452" w:name="_Toc226965811"/>
      <w:bookmarkStart w:id="453" w:name="_Toc151190165"/>
      <w:r>
        <w:rPr>
          <w:rFonts w:ascii="宋体" w:hAnsi="宋体" w:eastAsia="宋体"/>
          <w:sz w:val="28"/>
        </w:rPr>
        <w:t xml:space="preserve">五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eastAsia="宋体"/>
          <w:sz w:val="28"/>
        </w:rPr>
        <w:t>评审</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响应文件的</w:t>
      </w:r>
      <w:r>
        <w:rPr>
          <w:rFonts w:hint="eastAsia" w:ascii="宋体" w:hAnsi="宋体"/>
          <w:sz w:val="24"/>
        </w:rPr>
        <w:t>解密与</w:t>
      </w:r>
      <w:r>
        <w:rPr>
          <w:rFonts w:ascii="宋体" w:hAnsi="宋体"/>
          <w:sz w:val="24"/>
        </w:rPr>
        <w:t>开启</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本项目解密使用北京市政府采购电子交易平台。供应商应在规定的时间内对响应文件进行解密，因非系统原因导致的解密失败，视为</w:t>
      </w:r>
      <w:r>
        <w:rPr>
          <w:rFonts w:ascii="宋体" w:hAnsi="宋体"/>
          <w:b/>
          <w:sz w:val="24"/>
        </w:rPr>
        <w:t>无效响应</w:t>
      </w:r>
      <w:r>
        <w:rPr>
          <w:rFonts w:ascii="宋体" w:hAnsi="宋体"/>
          <w:sz w:val="24"/>
        </w:rPr>
        <w:t>。</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供应商不足3家的，不予解密。</w:t>
      </w:r>
    </w:p>
    <w:p>
      <w:pPr>
        <w:numPr>
          <w:ilvl w:val="1"/>
          <w:numId w:val="20"/>
        </w:numPr>
        <w:tabs>
          <w:tab w:val="left" w:pos="1080"/>
          <w:tab w:val="left" w:pos="2014"/>
        </w:tabs>
        <w:snapToGrid w:val="0"/>
        <w:spacing w:line="360" w:lineRule="auto"/>
        <w:ind w:left="1077" w:hanging="720"/>
        <w:rPr>
          <w:rFonts w:ascii="宋体" w:hAnsi="宋体"/>
          <w:sz w:val="24"/>
        </w:rPr>
      </w:pPr>
      <w:bookmarkStart w:id="454" w:name="_Toc520356165"/>
      <w:r>
        <w:rPr>
          <w:rFonts w:ascii="宋体" w:hAnsi="宋体"/>
          <w:sz w:val="24"/>
        </w:rPr>
        <w:t>本项目不公开报价。</w:t>
      </w:r>
    </w:p>
    <w:bookmarkEnd w:id="454"/>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磋商小组</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w:t>
      </w:r>
      <w:r>
        <w:rPr>
          <w:rFonts w:hint="eastAsia" w:ascii="宋体" w:hAnsi="宋体"/>
          <w:sz w:val="24"/>
        </w:rPr>
        <w:t>与磋商</w:t>
      </w:r>
      <w:r>
        <w:rPr>
          <w:rFonts w:ascii="宋体" w:hAnsi="宋体"/>
          <w:sz w:val="24"/>
        </w:rPr>
        <w:t>事务，独立履行职责。</w:t>
      </w:r>
      <w:bookmarkStart w:id="455" w:name="_Toc520356166"/>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5"/>
      <w:bookmarkStart w:id="456" w:name="_Toc520356169"/>
    </w:p>
    <w:p>
      <w:pPr>
        <w:numPr>
          <w:ilvl w:val="0"/>
          <w:numId w:val="20"/>
        </w:numPr>
        <w:tabs>
          <w:tab w:val="left" w:pos="360"/>
        </w:tabs>
        <w:snapToGrid w:val="0"/>
        <w:spacing w:line="360" w:lineRule="auto"/>
        <w:outlineLvl w:val="1"/>
        <w:rPr>
          <w:rFonts w:ascii="宋体" w:hAnsi="宋体"/>
          <w:sz w:val="24"/>
        </w:rPr>
      </w:pPr>
      <w:r>
        <w:rPr>
          <w:rFonts w:ascii="宋体" w:hAnsi="宋体"/>
          <w:sz w:val="24"/>
        </w:rPr>
        <w:t>评审方法和评审标准</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见第三章《评审方法和评审标准》。</w:t>
      </w:r>
    </w:p>
    <w:p>
      <w:pPr>
        <w:tabs>
          <w:tab w:val="left" w:pos="360"/>
          <w:tab w:val="left" w:pos="1080"/>
        </w:tabs>
        <w:snapToGrid w:val="0"/>
        <w:spacing w:line="360" w:lineRule="auto"/>
        <w:ind w:left="1080"/>
        <w:rPr>
          <w:rFonts w:ascii="宋体" w:hAnsi="宋体"/>
          <w:sz w:val="24"/>
        </w:rPr>
      </w:pPr>
    </w:p>
    <w:p>
      <w:pPr>
        <w:pStyle w:val="5"/>
        <w:spacing w:before="0" w:line="360" w:lineRule="auto"/>
        <w:rPr>
          <w:rFonts w:ascii="宋体" w:hAnsi="宋体" w:eastAsia="宋体"/>
          <w:sz w:val="28"/>
        </w:rPr>
      </w:pPr>
      <w:bookmarkStart w:id="457" w:name="_Toc226309789"/>
      <w:bookmarkStart w:id="458" w:name="_Toc195842910"/>
      <w:bookmarkStart w:id="459" w:name="_Toc151193715"/>
      <w:bookmarkStart w:id="460" w:name="_Toc150480783"/>
      <w:bookmarkStart w:id="461" w:name="_Toc150774645"/>
      <w:bookmarkStart w:id="462" w:name="_Toc150509296"/>
      <w:bookmarkStart w:id="463" w:name="_Toc226965818"/>
      <w:bookmarkStart w:id="464" w:name="_Toc305158887"/>
      <w:bookmarkStart w:id="465" w:name="_Toc264969235"/>
      <w:bookmarkStart w:id="466" w:name="_Toc151193643"/>
      <w:bookmarkStart w:id="467" w:name="_Toc151190172"/>
      <w:bookmarkStart w:id="468" w:name="_Toc305158813"/>
      <w:bookmarkStart w:id="469" w:name="_Toc265228383"/>
      <w:bookmarkStart w:id="470" w:name="_Toc127151545"/>
      <w:bookmarkStart w:id="471" w:name="_Toc150774750"/>
      <w:bookmarkStart w:id="472" w:name="_Toc151193859"/>
      <w:bookmarkStart w:id="473" w:name="_Toc226965735"/>
      <w:bookmarkStart w:id="474" w:name="_Toc226337241"/>
      <w:bookmarkStart w:id="475" w:name="_Toc151193933"/>
      <w:bookmarkStart w:id="476" w:name="_Toc151193787"/>
      <w:bookmarkStart w:id="477" w:name="_Toc142311047"/>
      <w:r>
        <w:rPr>
          <w:rFonts w:ascii="宋体" w:hAnsi="宋体" w:eastAsia="宋体"/>
          <w:sz w:val="28"/>
        </w:rPr>
        <w:t xml:space="preserve">六   </w:t>
      </w:r>
      <w:bookmarkEnd w:id="456"/>
      <w:r>
        <w:rPr>
          <w:rFonts w:ascii="宋体" w:hAnsi="宋体" w:eastAsia="宋体"/>
          <w:sz w:val="28"/>
        </w:rPr>
        <w:t>确定</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宋体" w:hAnsi="宋体" w:eastAsia="宋体"/>
          <w:sz w:val="28"/>
        </w:rPr>
        <w:t>成交</w:t>
      </w:r>
    </w:p>
    <w:p>
      <w:pPr>
        <w:numPr>
          <w:ilvl w:val="0"/>
          <w:numId w:val="20"/>
        </w:numPr>
        <w:tabs>
          <w:tab w:val="left" w:pos="360"/>
        </w:tabs>
        <w:snapToGrid w:val="0"/>
        <w:spacing w:line="360" w:lineRule="auto"/>
        <w:ind w:left="357" w:hanging="357"/>
        <w:outlineLvl w:val="1"/>
        <w:rPr>
          <w:rFonts w:ascii="宋体" w:hAnsi="宋体"/>
          <w:sz w:val="24"/>
        </w:rPr>
      </w:pPr>
      <w:bookmarkStart w:id="478" w:name="_Toc164229388"/>
      <w:bookmarkStart w:id="479" w:name="_Toc151193789"/>
      <w:bookmarkStart w:id="480" w:name="_Toc226965820"/>
      <w:bookmarkStart w:id="481" w:name="_Toc151193935"/>
      <w:bookmarkStart w:id="482" w:name="_Toc264969237"/>
      <w:bookmarkStart w:id="483" w:name="_Toc150480785"/>
      <w:bookmarkStart w:id="484" w:name="_Toc164229242"/>
      <w:bookmarkStart w:id="485" w:name="_Toc150774752"/>
      <w:bookmarkStart w:id="486" w:name="_Toc195842912"/>
      <w:bookmarkStart w:id="487" w:name="_Toc305158889"/>
      <w:bookmarkStart w:id="488" w:name="_Toc150774647"/>
      <w:bookmarkStart w:id="489" w:name="_Toc164608661"/>
      <w:bookmarkStart w:id="490" w:name="_Toc305158815"/>
      <w:bookmarkStart w:id="491" w:name="_Toc142311049"/>
      <w:bookmarkStart w:id="492" w:name="_Toc151193717"/>
      <w:bookmarkStart w:id="493" w:name="_Toc127161461"/>
      <w:bookmarkStart w:id="494" w:name="_Toc150509298"/>
      <w:bookmarkStart w:id="495" w:name="_Toc164608816"/>
      <w:bookmarkStart w:id="496" w:name="_Toc149720840"/>
      <w:bookmarkStart w:id="497" w:name="_Toc127151748"/>
      <w:bookmarkStart w:id="498" w:name="_Toc151193645"/>
      <w:bookmarkStart w:id="499" w:name="_Toc226965737"/>
      <w:bookmarkStart w:id="500" w:name="_Toc127151547"/>
      <w:bookmarkStart w:id="501" w:name="_Toc226337243"/>
      <w:bookmarkStart w:id="502" w:name="_Toc151193861"/>
      <w:bookmarkStart w:id="503" w:name="_Toc265228385"/>
      <w:bookmarkStart w:id="504" w:name="_Toc226309791"/>
      <w:bookmarkStart w:id="505" w:name="_Toc151190174"/>
      <w:bookmarkStart w:id="506" w:name="_Toc164351641"/>
      <w:r>
        <w:rPr>
          <w:rFonts w:ascii="宋体" w:hAnsi="宋体"/>
          <w:sz w:val="24"/>
        </w:rPr>
        <w:t>确定成交供应商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pPr>
        <w:numPr>
          <w:ilvl w:val="0"/>
          <w:numId w:val="20"/>
        </w:numPr>
        <w:tabs>
          <w:tab w:val="left" w:pos="360"/>
        </w:tabs>
        <w:snapToGrid w:val="0"/>
        <w:spacing w:line="360" w:lineRule="auto"/>
        <w:ind w:left="357" w:hanging="357"/>
        <w:outlineLvl w:val="1"/>
        <w:rPr>
          <w:rFonts w:ascii="宋体" w:hAnsi="宋体"/>
          <w:sz w:val="24"/>
        </w:rPr>
      </w:pPr>
      <w:bookmarkStart w:id="507" w:name="_Toc305158891"/>
      <w:bookmarkStart w:id="508" w:name="_Toc305158817"/>
      <w:bookmarkStart w:id="509" w:name="_Toc150509300"/>
      <w:bookmarkStart w:id="510" w:name="_Toc164608663"/>
      <w:bookmarkStart w:id="511" w:name="_Toc142311051"/>
      <w:bookmarkStart w:id="512" w:name="_Toc127151549"/>
      <w:bookmarkStart w:id="513" w:name="_Toc151193863"/>
      <w:bookmarkStart w:id="514" w:name="_Toc127161463"/>
      <w:bookmarkStart w:id="515" w:name="_Toc150774754"/>
      <w:bookmarkStart w:id="516" w:name="_Toc151193719"/>
      <w:bookmarkStart w:id="517" w:name="_Toc195842914"/>
      <w:bookmarkStart w:id="518" w:name="_Toc164229244"/>
      <w:bookmarkStart w:id="519" w:name="_Toc226965822"/>
      <w:bookmarkStart w:id="520" w:name="_Toc151193791"/>
      <w:bookmarkStart w:id="521" w:name="_Toc264969239"/>
      <w:bookmarkStart w:id="522" w:name="_Toc151193937"/>
      <w:bookmarkStart w:id="523" w:name="_Toc149720842"/>
      <w:bookmarkStart w:id="524" w:name="_Toc226337245"/>
      <w:bookmarkStart w:id="525" w:name="_Toc164608818"/>
      <w:bookmarkStart w:id="526" w:name="_Toc226309793"/>
      <w:bookmarkStart w:id="527" w:name="_Toc150774649"/>
      <w:bookmarkStart w:id="528" w:name="_Toc127151750"/>
      <w:bookmarkStart w:id="529" w:name="_Toc151193647"/>
      <w:bookmarkStart w:id="530" w:name="_Toc265228387"/>
      <w:bookmarkStart w:id="531" w:name="_Toc226965739"/>
      <w:bookmarkStart w:id="532" w:name="_Toc151190176"/>
      <w:bookmarkStart w:id="533" w:name="_Toc164351643"/>
      <w:bookmarkStart w:id="534" w:name="_Toc164229390"/>
      <w:bookmarkStart w:id="535" w:name="_Toc150480787"/>
      <w:bookmarkStart w:id="536" w:name="_Ref467307090"/>
      <w:bookmarkStart w:id="537" w:name="_Toc520356176"/>
      <w:bookmarkStart w:id="538" w:name="_Ref467306425"/>
      <w:r>
        <w:rPr>
          <w:rFonts w:ascii="宋体" w:hAnsi="宋体"/>
          <w:sz w:val="24"/>
        </w:rPr>
        <w:t>成交公告与成交通知书</w:t>
      </w:r>
      <w:bookmarkEnd w:id="507"/>
      <w:bookmarkEnd w:id="508"/>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pPr>
        <w:numPr>
          <w:ilvl w:val="1"/>
          <w:numId w:val="20"/>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成交通知书对采购人和成交供应商均具有法律效力。成交通知书发出后，采 购人改变成交结果的，或者成交供应商放弃成交项目的， 应当依法承担法律</w:t>
      </w:r>
    </w:p>
    <w:p>
      <w:pPr>
        <w:tabs>
          <w:tab w:val="left" w:pos="1080"/>
          <w:tab w:val="left" w:pos="2014"/>
        </w:tabs>
        <w:snapToGrid w:val="0"/>
        <w:spacing w:line="360" w:lineRule="auto"/>
        <w:ind w:left="360" w:firstLine="720" w:firstLineChars="300"/>
        <w:rPr>
          <w:rFonts w:ascii="宋体" w:hAnsi="宋体"/>
          <w:sz w:val="24"/>
        </w:rPr>
      </w:pPr>
      <w:r>
        <w:rPr>
          <w:rFonts w:hint="eastAsia" w:ascii="宋体" w:hAnsi="宋体"/>
          <w:sz w:val="24"/>
        </w:rPr>
        <w:t>责任。</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终止</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出现下列情形之一的，采购人或采购代理机构将终止竞争性磋商采购活动，发布项目终止公告并说明原因，重新开展采购活动：</w:t>
      </w:r>
    </w:p>
    <w:p>
      <w:pPr>
        <w:numPr>
          <w:ilvl w:val="2"/>
          <w:numId w:val="20"/>
        </w:numPr>
        <w:snapToGrid w:val="0"/>
        <w:spacing w:line="360" w:lineRule="auto"/>
        <w:rPr>
          <w:rFonts w:ascii="宋体" w:hAnsi="宋体"/>
          <w:sz w:val="24"/>
        </w:rPr>
      </w:pPr>
      <w:r>
        <w:rPr>
          <w:rFonts w:ascii="宋体" w:hAnsi="宋体"/>
          <w:sz w:val="24"/>
        </w:rPr>
        <w:t>因情况变化，不再符合规定的竞争性磋商采购方式适用情形的；</w:t>
      </w:r>
    </w:p>
    <w:p>
      <w:pPr>
        <w:numPr>
          <w:ilvl w:val="2"/>
          <w:numId w:val="20"/>
        </w:numPr>
        <w:snapToGrid w:val="0"/>
        <w:spacing w:line="360" w:lineRule="auto"/>
        <w:rPr>
          <w:rFonts w:ascii="宋体" w:hAnsi="宋体"/>
          <w:sz w:val="24"/>
        </w:rPr>
      </w:pPr>
      <w:r>
        <w:rPr>
          <w:rFonts w:ascii="宋体" w:hAnsi="宋体"/>
          <w:sz w:val="24"/>
        </w:rPr>
        <w:t>出现影响采购公正的违法、违规行为的；</w:t>
      </w:r>
    </w:p>
    <w:p>
      <w:pPr>
        <w:numPr>
          <w:ilvl w:val="2"/>
          <w:numId w:val="20"/>
        </w:numPr>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Pr>
        <w:numPr>
          <w:ilvl w:val="0"/>
          <w:numId w:val="20"/>
        </w:numPr>
        <w:tabs>
          <w:tab w:val="left" w:pos="360"/>
        </w:tabs>
        <w:snapToGrid w:val="0"/>
        <w:spacing w:line="360" w:lineRule="auto"/>
        <w:ind w:left="357" w:hanging="357"/>
        <w:outlineLvl w:val="1"/>
        <w:rPr>
          <w:rFonts w:ascii="宋体" w:hAnsi="宋体"/>
          <w:sz w:val="24"/>
        </w:rPr>
      </w:pPr>
      <w:bookmarkStart w:id="539" w:name="_Ref467306377"/>
      <w:bookmarkStart w:id="540" w:name="_Ref467307204"/>
      <w:bookmarkStart w:id="541" w:name="_Toc127151751"/>
      <w:bookmarkStart w:id="542" w:name="_Toc149720843"/>
      <w:bookmarkStart w:id="543" w:name="_Toc142311052"/>
      <w:bookmarkStart w:id="544" w:name="_Toc151193720"/>
      <w:bookmarkStart w:id="545" w:name="_Ref467307062"/>
      <w:bookmarkStart w:id="546" w:name="_Toc305158818"/>
      <w:bookmarkStart w:id="547" w:name="_Toc150774650"/>
      <w:bookmarkStart w:id="548" w:name="_Toc127161464"/>
      <w:bookmarkStart w:id="549" w:name="_Ref467306978"/>
      <w:bookmarkStart w:id="550" w:name="_Toc151190177"/>
      <w:bookmarkStart w:id="551" w:name="_Toc151193864"/>
      <w:bookmarkStart w:id="552" w:name="_Toc226309794"/>
      <w:bookmarkStart w:id="553" w:name="_Toc127151550"/>
      <w:bookmarkStart w:id="554" w:name="_Toc226337246"/>
      <w:bookmarkStart w:id="555" w:name="_Toc226965740"/>
      <w:bookmarkStart w:id="556" w:name="_Toc151193792"/>
      <w:bookmarkStart w:id="557" w:name="_Toc164351644"/>
      <w:bookmarkStart w:id="558" w:name="_Toc265228388"/>
      <w:bookmarkStart w:id="559" w:name="_Toc164608664"/>
      <w:bookmarkStart w:id="560" w:name="_Toc150509301"/>
      <w:bookmarkStart w:id="561" w:name="_Toc164608819"/>
      <w:bookmarkStart w:id="562" w:name="_Toc150774755"/>
      <w:bookmarkStart w:id="563" w:name="_Toc151193648"/>
      <w:bookmarkStart w:id="564" w:name="_Toc164229245"/>
      <w:bookmarkStart w:id="565" w:name="_Toc305158892"/>
      <w:bookmarkStart w:id="566" w:name="_Toc226965823"/>
      <w:bookmarkStart w:id="567" w:name="_Toc264969240"/>
      <w:bookmarkStart w:id="568" w:name="_Toc520356175"/>
      <w:bookmarkStart w:id="569" w:name="_Toc151193938"/>
      <w:bookmarkStart w:id="570" w:name="_Toc164229391"/>
      <w:bookmarkStart w:id="571" w:name="_Toc195842915"/>
      <w:bookmarkStart w:id="572" w:name="_Toc150480788"/>
      <w:r>
        <w:rPr>
          <w:rFonts w:ascii="宋体" w:hAnsi="宋体"/>
          <w:sz w:val="24"/>
        </w:rPr>
        <w:t>签订合同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采购人与成交供应商</w:t>
      </w:r>
      <w:r>
        <w:rPr>
          <w:rFonts w:hint="eastAsia" w:ascii="宋体" w:hAnsi="宋体"/>
          <w:sz w:val="24"/>
        </w:rPr>
        <w:t>应当</w:t>
      </w:r>
      <w:r>
        <w:rPr>
          <w:rFonts w:ascii="宋体" w:hAnsi="宋体"/>
          <w:sz w:val="24"/>
        </w:rPr>
        <w:t>在成交通知书发出之日起30日内，按照磋商文件确定的合同文本以及采购标的、规格型号、采购金额、采购数量、技术和服务要求等事项签订政府采购合同。</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20"/>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联合体成交的，联合体各方应当共同与采购人签订合同，就</w:t>
      </w:r>
      <w:r>
        <w:rPr>
          <w:rFonts w:hint="eastAsia" w:ascii="宋体" w:hAnsi="宋体"/>
          <w:sz w:val="24"/>
        </w:rPr>
        <w:t>采购合同约定的</w:t>
      </w:r>
    </w:p>
    <w:p>
      <w:pPr>
        <w:tabs>
          <w:tab w:val="left" w:pos="1080"/>
          <w:tab w:val="left" w:pos="2014"/>
        </w:tabs>
        <w:snapToGrid w:val="0"/>
        <w:spacing w:line="360" w:lineRule="auto"/>
        <w:ind w:left="357" w:firstLine="720" w:firstLineChars="300"/>
        <w:rPr>
          <w:rFonts w:ascii="宋体" w:hAnsi="宋体"/>
          <w:sz w:val="24"/>
        </w:rPr>
      </w:pPr>
      <w:r>
        <w:rPr>
          <w:rFonts w:hint="eastAsia" w:ascii="宋体" w:hAnsi="宋体"/>
          <w:sz w:val="24"/>
        </w:rPr>
        <w:t>事项</w:t>
      </w:r>
      <w:r>
        <w:rPr>
          <w:rFonts w:ascii="宋体" w:hAnsi="宋体"/>
          <w:sz w:val="24"/>
        </w:rPr>
        <w:t>向采购人承担连带责任。</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36"/>
    <w:bookmarkEnd w:id="537"/>
    <w:bookmarkEnd w:id="538"/>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pPr>
        <w:numPr>
          <w:ilvl w:val="2"/>
          <w:numId w:val="20"/>
        </w:numPr>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pPr>
        <w:numPr>
          <w:ilvl w:val="2"/>
          <w:numId w:val="20"/>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pPr>
        <w:numPr>
          <w:ilvl w:val="2"/>
          <w:numId w:val="20"/>
        </w:numPr>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w:t>
      </w:r>
      <w:r>
        <w:rPr>
          <w:rFonts w:hint="eastAsia" w:ascii="宋体" w:hAnsi="宋体"/>
          <w:sz w:val="24"/>
        </w:rPr>
        <w:t>以书面形式向采购人、采购代理机构</w:t>
      </w:r>
      <w:r>
        <w:rPr>
          <w:rFonts w:ascii="宋体" w:hAnsi="宋体"/>
          <w:sz w:val="24"/>
        </w:rPr>
        <w:t>提出质疑。采购人、采购代理机构在收到质疑函后7个工作日内作出答复。</w:t>
      </w:r>
    </w:p>
    <w:p>
      <w:pPr>
        <w:numPr>
          <w:ilvl w:val="2"/>
          <w:numId w:val="20"/>
        </w:numPr>
        <w:snapToGrid w:val="0"/>
        <w:spacing w:line="360" w:lineRule="auto"/>
        <w:rPr>
          <w:rFonts w:ascii="宋体" w:hAnsi="宋体"/>
          <w:sz w:val="24"/>
        </w:rPr>
      </w:pPr>
      <w:r>
        <w:rPr>
          <w:rFonts w:ascii="宋体" w:hAnsi="宋体"/>
          <w:sz w:val="24"/>
        </w:rPr>
        <w:t>质疑函须使用财政部制定的范本文件。供应商为自然人的，</w:t>
      </w:r>
      <w:r>
        <w:rPr>
          <w:rFonts w:hint="eastAsia" w:ascii="宋体" w:hAnsi="宋体"/>
          <w:sz w:val="24"/>
        </w:rPr>
        <w:t>质疑函</w:t>
      </w:r>
      <w:r>
        <w:rPr>
          <w:rFonts w:ascii="宋体" w:hAnsi="宋体"/>
          <w:sz w:val="24"/>
        </w:rPr>
        <w:t>应当由本人签字；供应商为法人或者其他组织的，</w:t>
      </w:r>
      <w:r>
        <w:rPr>
          <w:rFonts w:hint="eastAsia" w:ascii="宋体" w:hAnsi="宋体"/>
          <w:sz w:val="24"/>
        </w:rPr>
        <w:t>质疑函</w:t>
      </w:r>
      <w:r>
        <w:rPr>
          <w:rFonts w:ascii="宋体" w:hAnsi="宋体"/>
          <w:sz w:val="24"/>
        </w:rPr>
        <w:t>应当由法定代表人、主要负责人，或者其授权代表签字或者盖章，并加盖公章。</w:t>
      </w:r>
    </w:p>
    <w:p>
      <w:pPr>
        <w:numPr>
          <w:ilvl w:val="2"/>
          <w:numId w:val="20"/>
        </w:numPr>
        <w:snapToGrid w:val="0"/>
        <w:spacing w:line="360" w:lineRule="auto"/>
        <w:rPr>
          <w:rFonts w:ascii="宋体" w:hAnsi="宋体"/>
          <w:sz w:val="24"/>
        </w:rPr>
      </w:pPr>
      <w:r>
        <w:rPr>
          <w:rFonts w:ascii="宋体" w:hAnsi="宋体"/>
          <w:sz w:val="24"/>
        </w:rPr>
        <w:t>供应商</w:t>
      </w:r>
      <w:r>
        <w:rPr>
          <w:rFonts w:hint="eastAsia" w:ascii="宋体" w:hAnsi="宋体"/>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ascii="宋体" w:hAnsi="宋体"/>
          <w:sz w:val="24"/>
        </w:rPr>
        <w:t>。</w:t>
      </w:r>
    </w:p>
    <w:p>
      <w:pPr>
        <w:numPr>
          <w:ilvl w:val="2"/>
          <w:numId w:val="20"/>
        </w:numPr>
        <w:snapToGrid w:val="0"/>
        <w:spacing w:line="360" w:lineRule="auto"/>
        <w:rPr>
          <w:rFonts w:ascii="宋体" w:hAnsi="宋体"/>
          <w:sz w:val="24"/>
        </w:rPr>
      </w:pPr>
      <w:r>
        <w:rPr>
          <w:rFonts w:hint="eastAsia" w:ascii="宋体" w:hAnsi="宋体"/>
          <w:sz w:val="24"/>
        </w:rPr>
        <w:t>供应商应在法定质疑期内一次性提出针对同一采购程序环节的质疑，法定质疑期内针对同一采购程序环节再次提出的质疑，采购人、采购代理机构有权不予答复。</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pPr>
        <w:numPr>
          <w:ilvl w:val="0"/>
          <w:numId w:val="20"/>
        </w:numPr>
        <w:tabs>
          <w:tab w:val="left" w:pos="360"/>
        </w:tabs>
        <w:snapToGrid w:val="0"/>
        <w:spacing w:line="360" w:lineRule="auto"/>
        <w:ind w:left="357" w:hanging="357"/>
        <w:outlineLvl w:val="1"/>
        <w:rPr>
          <w:rFonts w:ascii="宋体" w:hAnsi="宋体"/>
          <w:sz w:val="24"/>
        </w:rPr>
      </w:pPr>
      <w:r>
        <w:rPr>
          <w:rFonts w:ascii="宋体" w:hAnsi="宋体"/>
          <w:sz w:val="24"/>
        </w:rPr>
        <w:t>代理费</w:t>
      </w:r>
    </w:p>
    <w:p>
      <w:pPr>
        <w:numPr>
          <w:ilvl w:val="1"/>
          <w:numId w:val="20"/>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ascii="宋体" w:hAnsi="宋体"/>
          <w:sz w:val="24"/>
        </w:rPr>
      </w:pPr>
    </w:p>
    <w:p>
      <w:pPr>
        <w:spacing w:line="360" w:lineRule="auto"/>
        <w:jc w:val="center"/>
        <w:outlineLvl w:val="0"/>
        <w:rPr>
          <w:rFonts w:ascii="宋体" w:hAnsi="宋体"/>
          <w:b/>
          <w:sz w:val="36"/>
          <w:szCs w:val="36"/>
        </w:rPr>
      </w:pPr>
      <w:bookmarkStart w:id="573" w:name="_Toc353873664"/>
      <w:bookmarkStart w:id="574" w:name="_Toc353825544"/>
      <w:bookmarkStart w:id="575" w:name="_Toc226965827"/>
      <w:bookmarkStart w:id="576" w:name="_Toc150774759"/>
      <w:bookmarkStart w:id="577" w:name="_Toc264969244"/>
      <w:bookmarkStart w:id="578" w:name="_Toc127151554"/>
      <w:bookmarkStart w:id="579" w:name="_Toc226337250"/>
      <w:bookmarkStart w:id="580" w:name="_Toc265228392"/>
      <w:bookmarkStart w:id="581" w:name="_Toc305158822"/>
      <w:bookmarkStart w:id="582" w:name="_Toc142311056"/>
      <w:bookmarkStart w:id="583" w:name="_Toc150480792"/>
      <w:bookmarkStart w:id="584" w:name="_Toc305158896"/>
      <w:bookmarkStart w:id="585" w:name="_Toc353873934"/>
      <w:r>
        <w:rPr>
          <w:rFonts w:ascii="宋体" w:hAnsi="宋体"/>
          <w:sz w:val="24"/>
        </w:rPr>
        <w:br w:type="page"/>
      </w:r>
      <w:bookmarkStart w:id="586" w:name="_Toc97371943"/>
      <w:r>
        <w:rPr>
          <w:rFonts w:ascii="宋体" w:hAnsi="宋体"/>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宋体" w:hAnsi="宋体"/>
          <w:b/>
          <w:sz w:val="36"/>
          <w:szCs w:val="36"/>
        </w:rPr>
        <w:t>评审方法和评审标准</w:t>
      </w:r>
      <w:bookmarkEnd w:id="586"/>
      <w:bookmarkStart w:id="587" w:name="_Toc487900382"/>
    </w:p>
    <w:p>
      <w:pPr>
        <w:pStyle w:val="5"/>
        <w:spacing w:before="0" w:line="360" w:lineRule="auto"/>
        <w:rPr>
          <w:rFonts w:ascii="宋体" w:hAnsi="宋体" w:eastAsia="宋体"/>
          <w:sz w:val="24"/>
          <w:szCs w:val="24"/>
        </w:rPr>
      </w:pPr>
      <w:r>
        <w:rPr>
          <w:rFonts w:ascii="宋体" w:hAnsi="宋体" w:eastAsia="宋体"/>
          <w:sz w:val="24"/>
          <w:szCs w:val="24"/>
        </w:rPr>
        <w:t>一、资格审查程序</w:t>
      </w:r>
    </w:p>
    <w:p>
      <w:pPr>
        <w:tabs>
          <w:tab w:val="left" w:pos="1080"/>
        </w:tabs>
        <w:snapToGrid w:val="0"/>
        <w:jc w:val="left"/>
        <w:rPr>
          <w:rFonts w:ascii="宋体" w:hAnsi="宋体"/>
          <w:b/>
          <w:sz w:val="24"/>
        </w:rPr>
      </w:pPr>
      <w:r>
        <w:rPr>
          <w:rFonts w:ascii="宋体" w:hAnsi="宋体"/>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7"/>
    <w:p>
      <w:pPr>
        <w:numPr>
          <w:ilvl w:val="0"/>
          <w:numId w:val="23"/>
        </w:numPr>
        <w:tabs>
          <w:tab w:val="left" w:pos="360"/>
        </w:tabs>
        <w:snapToGrid w:val="0"/>
        <w:spacing w:line="360" w:lineRule="auto"/>
        <w:rPr>
          <w:rFonts w:ascii="宋体" w:hAnsi="宋体"/>
          <w:sz w:val="24"/>
        </w:rPr>
      </w:pPr>
      <w:bookmarkStart w:id="588" w:name="_Toc151193929"/>
      <w:bookmarkStart w:id="589" w:name="_Toc164608810"/>
      <w:bookmarkStart w:id="590" w:name="_Toc150774746"/>
      <w:bookmarkStart w:id="591" w:name="_Toc151190168"/>
      <w:bookmarkStart w:id="592" w:name="_Toc151193783"/>
      <w:bookmarkStart w:id="593" w:name="_Toc265228379"/>
      <w:bookmarkStart w:id="594" w:name="_Toc150480779"/>
      <w:bookmarkStart w:id="595" w:name="_Toc195842906"/>
      <w:bookmarkStart w:id="596" w:name="_Toc305158883"/>
      <w:bookmarkStart w:id="597" w:name="_Toc127151541"/>
      <w:bookmarkStart w:id="598" w:name="_Toc150774641"/>
      <w:bookmarkStart w:id="599" w:name="_Toc151193711"/>
      <w:bookmarkStart w:id="600" w:name="_Toc164608655"/>
      <w:bookmarkStart w:id="601" w:name="_Toc164351635"/>
      <w:bookmarkStart w:id="602" w:name="_Toc226965731"/>
      <w:bookmarkStart w:id="603" w:name="_Toc264969231"/>
      <w:bookmarkStart w:id="604" w:name="_Toc226337237"/>
      <w:bookmarkStart w:id="605" w:name="_Toc164229236"/>
      <w:bookmarkStart w:id="606" w:name="_Toc149720834"/>
      <w:bookmarkStart w:id="607" w:name="_Toc151193639"/>
      <w:bookmarkStart w:id="608" w:name="_Toc127151742"/>
      <w:bookmarkStart w:id="609" w:name="_Toc151193855"/>
      <w:bookmarkStart w:id="610" w:name="_Toc226309785"/>
      <w:bookmarkStart w:id="611" w:name="_Toc127161455"/>
      <w:bookmarkStart w:id="612" w:name="_Toc150509292"/>
      <w:bookmarkStart w:id="613" w:name="_Toc164229382"/>
      <w:bookmarkStart w:id="614" w:name="_Toc305158809"/>
      <w:bookmarkStart w:id="615" w:name="_Toc142311043"/>
      <w:bookmarkStart w:id="616" w:name="_Toc226965814"/>
      <w:bookmarkStart w:id="617" w:name="_Toc353825551"/>
      <w:bookmarkStart w:id="618" w:name="_Toc353873941"/>
      <w:bookmarkStart w:id="619" w:name="_Toc264969245"/>
      <w:bookmarkStart w:id="620" w:name="_Toc305158897"/>
      <w:bookmarkStart w:id="621" w:name="_Toc353873935"/>
      <w:bookmarkStart w:id="622" w:name="_Toc142311057"/>
      <w:bookmarkStart w:id="623" w:name="_Toc353825545"/>
      <w:bookmarkStart w:id="624" w:name="_Toc226965828"/>
      <w:bookmarkStart w:id="625" w:name="_Toc150480793"/>
      <w:bookmarkStart w:id="626" w:name="_Toc127151555"/>
      <w:bookmarkStart w:id="627" w:name="_Toc150774760"/>
      <w:bookmarkStart w:id="628" w:name="_Toc305158823"/>
      <w:bookmarkStart w:id="629" w:name="_Toc226337251"/>
      <w:bookmarkStart w:id="630" w:name="_Toc195842920"/>
      <w:bookmarkStart w:id="631" w:name="_Toc353873665"/>
      <w:bookmarkStart w:id="632" w:name="_Toc265228393"/>
      <w:r>
        <w:rPr>
          <w:rFonts w:ascii="宋体" w:hAnsi="宋体"/>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ascii="宋体" w:hAnsi="宋体"/>
          <w:sz w:val="24"/>
        </w:rPr>
        <w:t>资格</w:t>
      </w:r>
      <w:r>
        <w:rPr>
          <w:rFonts w:hint="eastAsia" w:ascii="宋体" w:hAnsi="宋体"/>
          <w:sz w:val="24"/>
        </w:rPr>
        <w:t>审查</w:t>
      </w:r>
      <w:r>
        <w:rPr>
          <w:rFonts w:ascii="宋体" w:hAnsi="宋体"/>
          <w:sz w:val="24"/>
        </w:rPr>
        <w:t>和符合性审查</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磋商小组将根据《资格</w:t>
      </w:r>
      <w:r>
        <w:rPr>
          <w:rFonts w:hint="eastAsia" w:ascii="宋体" w:hAnsi="宋体"/>
          <w:sz w:val="24"/>
        </w:rPr>
        <w:t>审查</w:t>
      </w:r>
      <w:r>
        <w:rPr>
          <w:rFonts w:ascii="宋体" w:hAnsi="宋体"/>
          <w:sz w:val="24"/>
        </w:rPr>
        <w:t>要求》和《符合性审查要求》中规定的内容，对供应商进行检查，并形成检查结果。供应商《响应文件》有任何一项不符合《资格</w:t>
      </w:r>
      <w:r>
        <w:rPr>
          <w:rFonts w:hint="eastAsia" w:ascii="宋体" w:hAnsi="宋体"/>
          <w:sz w:val="24"/>
        </w:rPr>
        <w:t>审查</w:t>
      </w:r>
      <w:r>
        <w:rPr>
          <w:rFonts w:ascii="宋体" w:hAnsi="宋体"/>
          <w:sz w:val="24"/>
        </w:rPr>
        <w:t>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《资格</w:t>
      </w:r>
      <w:r>
        <w:rPr>
          <w:rFonts w:hint="eastAsia" w:ascii="宋体" w:hAnsi="宋体"/>
          <w:sz w:val="24"/>
        </w:rPr>
        <w:t>审查</w:t>
      </w:r>
      <w:r>
        <w:rPr>
          <w:rFonts w:ascii="宋体" w:hAnsi="宋体"/>
          <w:sz w:val="24"/>
        </w:rPr>
        <w:t>要求》中对格式有要求的，除竞争性磋商文件另有规定外，均为“实质性格式”文件。</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《资格</w:t>
      </w:r>
      <w:r>
        <w:rPr>
          <w:rFonts w:hint="eastAsia" w:ascii="宋体" w:hAnsi="宋体"/>
          <w:sz w:val="24"/>
        </w:rPr>
        <w:t>审查</w:t>
      </w:r>
      <w:r>
        <w:rPr>
          <w:rFonts w:ascii="宋体" w:hAnsi="宋体"/>
          <w:sz w:val="24"/>
        </w:rPr>
        <w:t>要求》见下表：</w:t>
      </w:r>
    </w:p>
    <w:p>
      <w:pPr>
        <w:tabs>
          <w:tab w:val="left" w:pos="900"/>
          <w:tab w:val="left" w:pos="1080"/>
        </w:tabs>
        <w:snapToGrid w:val="0"/>
        <w:spacing w:line="360" w:lineRule="auto"/>
        <w:ind w:left="1077" w:firstLine="2650" w:firstLineChars="1100"/>
        <w:outlineLvl w:val="1"/>
        <w:rPr>
          <w:rFonts w:ascii="宋体" w:hAnsi="宋体"/>
          <w:b/>
          <w:sz w:val="24"/>
        </w:rPr>
      </w:pPr>
      <w:r>
        <w:rPr>
          <w:rFonts w:hint="eastAsia" w:ascii="宋体" w:hAnsi="宋体"/>
          <w:b/>
          <w:sz w:val="24"/>
        </w:rPr>
        <w:t>资格审查</w:t>
      </w:r>
      <w:r>
        <w:rPr>
          <w:rFonts w:ascii="宋体" w:hAnsi="宋体"/>
          <w:b/>
          <w:sz w:val="24"/>
        </w:rPr>
        <w:t>要求</w:t>
      </w:r>
    </w:p>
    <w:tbl>
      <w:tblPr>
        <w:tblStyle w:val="6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1"/>
        <w:gridCol w:w="4793"/>
        <w:gridCol w:w="1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noWrap w:val="0"/>
            <w:vAlign w:val="center"/>
          </w:tcPr>
          <w:p>
            <w:pPr>
              <w:tabs>
                <w:tab w:val="left" w:pos="1080"/>
              </w:tabs>
              <w:snapToGrid w:val="0"/>
              <w:jc w:val="center"/>
              <w:rPr>
                <w:rFonts w:ascii="宋体" w:hAnsi="宋体"/>
                <w:b/>
                <w:sz w:val="24"/>
              </w:rPr>
            </w:pPr>
            <w:bookmarkStart w:id="633" w:name="_Hlt487972895"/>
            <w:bookmarkEnd w:id="633"/>
            <w:r>
              <w:rPr>
                <w:rFonts w:ascii="宋体" w:hAnsi="宋体"/>
                <w:b/>
                <w:sz w:val="24"/>
              </w:rPr>
              <w:t>序号</w:t>
            </w:r>
          </w:p>
        </w:tc>
        <w:tc>
          <w:tcPr>
            <w:tcW w:w="937" w:type="pct"/>
            <w:noWrap w:val="0"/>
            <w:vAlign w:val="center"/>
          </w:tcPr>
          <w:p>
            <w:pPr>
              <w:tabs>
                <w:tab w:val="left" w:pos="1080"/>
              </w:tabs>
              <w:snapToGrid w:val="0"/>
              <w:jc w:val="center"/>
              <w:rPr>
                <w:rFonts w:ascii="宋体" w:hAnsi="宋体"/>
                <w:b/>
                <w:sz w:val="24"/>
              </w:rPr>
            </w:pPr>
            <w:r>
              <w:rPr>
                <w:rFonts w:ascii="宋体" w:hAnsi="宋体"/>
                <w:b/>
                <w:sz w:val="24"/>
              </w:rPr>
              <w:t>检查因素</w:t>
            </w:r>
          </w:p>
        </w:tc>
        <w:tc>
          <w:tcPr>
            <w:tcW w:w="2579" w:type="pct"/>
            <w:noWrap w:val="0"/>
            <w:vAlign w:val="center"/>
          </w:tcPr>
          <w:p>
            <w:pPr>
              <w:tabs>
                <w:tab w:val="left" w:pos="1080"/>
              </w:tabs>
              <w:snapToGrid w:val="0"/>
              <w:jc w:val="center"/>
              <w:rPr>
                <w:rFonts w:ascii="宋体" w:hAnsi="宋体"/>
                <w:b/>
                <w:sz w:val="24"/>
              </w:rPr>
            </w:pPr>
            <w:r>
              <w:rPr>
                <w:rFonts w:ascii="宋体" w:hAnsi="宋体"/>
                <w:b/>
                <w:sz w:val="24"/>
              </w:rPr>
              <w:t>检查内容</w:t>
            </w:r>
          </w:p>
        </w:tc>
        <w:tc>
          <w:tcPr>
            <w:tcW w:w="1027" w:type="pct"/>
            <w:noWrap w:val="0"/>
            <w:vAlign w:val="center"/>
          </w:tcPr>
          <w:p>
            <w:pPr>
              <w:tabs>
                <w:tab w:val="left" w:pos="1080"/>
              </w:tabs>
              <w:snapToGrid w:val="0"/>
              <w:jc w:val="center"/>
              <w:rPr>
                <w:rFonts w:ascii="宋体" w:hAnsi="宋体"/>
                <w:b/>
                <w:sz w:val="24"/>
              </w:rPr>
            </w:pPr>
            <w:r>
              <w:rPr>
                <w:rFonts w:ascii="宋体" w:hAnsi="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1</w:t>
            </w:r>
          </w:p>
        </w:tc>
        <w:tc>
          <w:tcPr>
            <w:tcW w:w="937" w:type="pct"/>
            <w:noWrap w:val="0"/>
            <w:vAlign w:val="center"/>
          </w:tcPr>
          <w:p>
            <w:pPr>
              <w:tabs>
                <w:tab w:val="left" w:pos="1080"/>
              </w:tabs>
              <w:snapToGrid w:val="0"/>
              <w:jc w:val="left"/>
              <w:rPr>
                <w:rFonts w:ascii="宋体" w:hAnsi="宋体"/>
                <w:sz w:val="24"/>
              </w:rPr>
            </w:pPr>
            <w:r>
              <w:rPr>
                <w:rFonts w:ascii="宋体" w:hAnsi="宋体"/>
                <w:sz w:val="24"/>
              </w:rPr>
              <w:t>满足《中华人民共和国政府采购法》第二十二条规定</w:t>
            </w:r>
          </w:p>
        </w:tc>
        <w:tc>
          <w:tcPr>
            <w:tcW w:w="2579" w:type="pct"/>
            <w:noWrap w:val="0"/>
            <w:vAlign w:val="center"/>
          </w:tcPr>
          <w:p>
            <w:pPr>
              <w:tabs>
                <w:tab w:val="left" w:pos="1080"/>
              </w:tabs>
              <w:snapToGrid w:val="0"/>
              <w:jc w:val="left"/>
              <w:rPr>
                <w:rFonts w:ascii="宋体" w:hAnsi="宋体"/>
                <w:sz w:val="24"/>
              </w:rPr>
            </w:pPr>
            <w:r>
              <w:rPr>
                <w:rFonts w:ascii="宋体" w:hAnsi="宋体"/>
                <w:sz w:val="24"/>
              </w:rPr>
              <w:t>具体规定见第一章《采购邀请》</w:t>
            </w:r>
          </w:p>
        </w:tc>
        <w:tc>
          <w:tcPr>
            <w:tcW w:w="1027" w:type="pct"/>
            <w:noWrap w:val="0"/>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1-1</w:t>
            </w:r>
          </w:p>
        </w:tc>
        <w:tc>
          <w:tcPr>
            <w:tcW w:w="937" w:type="pct"/>
            <w:noWrap w:val="0"/>
            <w:vAlign w:val="center"/>
          </w:tcPr>
          <w:p>
            <w:pPr>
              <w:tabs>
                <w:tab w:val="left" w:pos="1080"/>
              </w:tabs>
              <w:snapToGrid w:val="0"/>
              <w:jc w:val="left"/>
              <w:rPr>
                <w:rFonts w:ascii="宋体" w:hAnsi="宋体"/>
                <w:sz w:val="24"/>
              </w:rPr>
            </w:pPr>
            <w:r>
              <w:rPr>
                <w:rFonts w:ascii="宋体" w:hAnsi="宋体"/>
                <w:sz w:val="24"/>
              </w:rPr>
              <w:t>营业执照等证明文件</w:t>
            </w:r>
          </w:p>
        </w:tc>
        <w:tc>
          <w:tcPr>
            <w:tcW w:w="2579" w:type="pct"/>
            <w:noWrap w:val="0"/>
            <w:vAlign w:val="center"/>
          </w:tcPr>
          <w:p>
            <w:pPr>
              <w:tabs>
                <w:tab w:val="left" w:pos="1080"/>
              </w:tabs>
              <w:snapToGrid w:val="0"/>
              <w:jc w:val="left"/>
              <w:rPr>
                <w:rFonts w:ascii="宋体" w:hAnsi="宋体"/>
                <w:sz w:val="24"/>
              </w:rPr>
            </w:pPr>
            <w:r>
              <w:rPr>
                <w:rFonts w:ascii="宋体" w:hAnsi="宋体"/>
                <w:sz w:val="24"/>
              </w:rPr>
              <w:t>供应商为企业（包括合伙企业）的，应提供有效的“营业执照”；</w:t>
            </w:r>
          </w:p>
          <w:p>
            <w:pPr>
              <w:tabs>
                <w:tab w:val="left" w:pos="1080"/>
              </w:tabs>
              <w:snapToGrid w:val="0"/>
              <w:jc w:val="left"/>
              <w:rPr>
                <w:rFonts w:ascii="宋体" w:hAnsi="宋体"/>
                <w:sz w:val="24"/>
              </w:rPr>
            </w:pPr>
            <w:r>
              <w:rPr>
                <w:rFonts w:ascii="宋体" w:hAnsi="宋体"/>
                <w:sz w:val="24"/>
              </w:rPr>
              <w:t>供应商为事业单位的，应提供有效的“事业单位法人证书”；</w:t>
            </w:r>
          </w:p>
          <w:p>
            <w:pPr>
              <w:tabs>
                <w:tab w:val="left" w:pos="1080"/>
              </w:tabs>
              <w:snapToGrid w:val="0"/>
              <w:jc w:val="left"/>
              <w:rPr>
                <w:rFonts w:ascii="宋体" w:hAnsi="宋体"/>
                <w:sz w:val="24"/>
              </w:rPr>
            </w:pPr>
            <w:r>
              <w:rPr>
                <w:rFonts w:ascii="宋体" w:hAnsi="宋体"/>
                <w:sz w:val="24"/>
              </w:rPr>
              <w:t>供应商</w:t>
            </w:r>
            <w:r>
              <w:rPr>
                <w:rFonts w:hint="eastAsia" w:ascii="宋体" w:hAnsi="宋体"/>
                <w:sz w:val="24"/>
              </w:rPr>
              <w:t>是非企业机构的，应提供有效的“执业许可证”、“登记证书”等证明文件</w:t>
            </w:r>
            <w:r>
              <w:rPr>
                <w:rFonts w:ascii="宋体" w:hAnsi="宋体"/>
                <w:sz w:val="24"/>
              </w:rPr>
              <w:t>；</w:t>
            </w:r>
          </w:p>
          <w:p>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pPr>
              <w:tabs>
                <w:tab w:val="left" w:pos="1080"/>
              </w:tabs>
              <w:snapToGrid w:val="0"/>
              <w:jc w:val="left"/>
              <w:rPr>
                <w:rFonts w:ascii="宋体" w:hAnsi="宋体"/>
                <w:sz w:val="24"/>
              </w:rPr>
            </w:pPr>
            <w:r>
              <w:rPr>
                <w:rFonts w:ascii="宋体" w:hAnsi="宋体"/>
                <w:sz w:val="24"/>
              </w:rPr>
              <w:t>供应商是自然人的，应提供有效的自然人身份证明。</w:t>
            </w:r>
          </w:p>
          <w:p>
            <w:pPr>
              <w:tabs>
                <w:tab w:val="left" w:pos="1080"/>
              </w:tabs>
              <w:snapToGrid w:val="0"/>
              <w:jc w:val="left"/>
              <w:rPr>
                <w:rFonts w:ascii="宋体" w:hAnsi="宋体"/>
                <w:sz w:val="24"/>
              </w:rPr>
            </w:pPr>
            <w:r>
              <w:rPr>
                <w:rFonts w:ascii="宋体" w:hAnsi="宋体"/>
                <w:sz w:val="24"/>
              </w:rPr>
              <w:t>分支机构参加响应的，应</w:t>
            </w:r>
            <w:r>
              <w:rPr>
                <w:rFonts w:hint="eastAsia" w:ascii="宋体" w:hAnsi="宋体"/>
                <w:sz w:val="24"/>
              </w:rPr>
              <w:t>提</w:t>
            </w:r>
            <w:r>
              <w:rPr>
                <w:rFonts w:ascii="宋体" w:hAnsi="宋体"/>
                <w:sz w:val="24"/>
              </w:rPr>
              <w:t>供该分支机构或 其所属法人/其他组织的相应证明文件； 同时 还应</w:t>
            </w:r>
            <w:r>
              <w:rPr>
                <w:rFonts w:hint="eastAsia" w:ascii="宋体" w:hAnsi="宋体"/>
                <w:sz w:val="24"/>
              </w:rPr>
              <w:t>提</w:t>
            </w:r>
            <w:r>
              <w:rPr>
                <w:rFonts w:ascii="宋体" w:hAnsi="宋体"/>
                <w:sz w:val="24"/>
              </w:rPr>
              <w:t>供其所属法人/其他组织出具的授权  其参与本项目的授权书（格式自拟，须加盖 其所属法人/其他组织的公章）；对于银行、 保险、石油石化、电力、电信等行业的分支机构，可以</w:t>
            </w:r>
            <w:r>
              <w:rPr>
                <w:rFonts w:hint="eastAsia" w:ascii="宋体" w:hAnsi="宋体"/>
                <w:sz w:val="24"/>
              </w:rPr>
              <w:t>提</w:t>
            </w:r>
            <w:r>
              <w:rPr>
                <w:rFonts w:ascii="宋体" w:hAnsi="宋体"/>
                <w:sz w:val="24"/>
              </w:rPr>
              <w:t>供上述授权，也可以</w:t>
            </w:r>
            <w:r>
              <w:rPr>
                <w:rFonts w:hint="eastAsia" w:ascii="宋体" w:hAnsi="宋体"/>
                <w:sz w:val="24"/>
              </w:rPr>
              <w:t>提</w:t>
            </w:r>
            <w:r>
              <w:rPr>
                <w:rFonts w:ascii="宋体" w:hAnsi="宋体"/>
                <w:sz w:val="24"/>
              </w:rPr>
              <w:t>供其所属法人/其他组织的有关文件或制度等能够证明授权其独立开展业务的证明材料。</w:t>
            </w:r>
          </w:p>
        </w:tc>
        <w:tc>
          <w:tcPr>
            <w:tcW w:w="1027" w:type="pct"/>
            <w:noWrap w:val="0"/>
            <w:vAlign w:val="center"/>
          </w:tcPr>
          <w:p>
            <w:pPr>
              <w:tabs>
                <w:tab w:val="left" w:pos="1080"/>
              </w:tabs>
              <w:snapToGrid w:val="0"/>
              <w:jc w:val="left"/>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1-2</w:t>
            </w:r>
          </w:p>
        </w:tc>
        <w:tc>
          <w:tcPr>
            <w:tcW w:w="937" w:type="pct"/>
            <w:noWrap w:val="0"/>
            <w:vAlign w:val="center"/>
          </w:tcPr>
          <w:p>
            <w:pPr>
              <w:tabs>
                <w:tab w:val="left" w:pos="1080"/>
              </w:tabs>
              <w:snapToGrid w:val="0"/>
              <w:jc w:val="left"/>
              <w:rPr>
                <w:rFonts w:ascii="宋体" w:hAnsi="宋体"/>
                <w:sz w:val="24"/>
              </w:rPr>
            </w:pPr>
            <w:r>
              <w:rPr>
                <w:rFonts w:ascii="宋体" w:hAnsi="宋体"/>
                <w:sz w:val="24"/>
              </w:rPr>
              <w:t>供应商资格声明书</w:t>
            </w:r>
          </w:p>
        </w:tc>
        <w:tc>
          <w:tcPr>
            <w:tcW w:w="2579" w:type="pct"/>
            <w:noWrap w:val="0"/>
            <w:vAlign w:val="center"/>
          </w:tcPr>
          <w:p>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7" w:type="pct"/>
            <w:noWrap w:val="0"/>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1-3</w:t>
            </w:r>
          </w:p>
        </w:tc>
        <w:tc>
          <w:tcPr>
            <w:tcW w:w="937" w:type="pct"/>
            <w:noWrap w:val="0"/>
            <w:vAlign w:val="center"/>
          </w:tcPr>
          <w:p>
            <w:pPr>
              <w:tabs>
                <w:tab w:val="left" w:pos="1080"/>
              </w:tabs>
              <w:snapToGrid w:val="0"/>
              <w:rPr>
                <w:rFonts w:ascii="宋体" w:hAnsi="宋体"/>
                <w:sz w:val="24"/>
              </w:rPr>
            </w:pPr>
            <w:r>
              <w:rPr>
                <w:rFonts w:ascii="宋体" w:hAnsi="宋体"/>
                <w:sz w:val="24"/>
              </w:rPr>
              <w:t>供应商信用记录</w:t>
            </w:r>
          </w:p>
        </w:tc>
        <w:tc>
          <w:tcPr>
            <w:tcW w:w="2579" w:type="pct"/>
            <w:noWrap w:val="0"/>
            <w:vAlign w:val="center"/>
          </w:tcPr>
          <w:p>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szCs w:val="20"/>
              </w:rPr>
              <w:t>首次响应文件提交截止时间以后</w:t>
            </w:r>
            <w:r>
              <w:rPr>
                <w:rFonts w:ascii="宋体" w:hAnsi="宋体"/>
                <w:sz w:val="24"/>
              </w:rPr>
              <w:t>、资格</w:t>
            </w:r>
            <w:r>
              <w:rPr>
                <w:rFonts w:hint="eastAsia" w:ascii="宋体" w:hAnsi="宋体"/>
                <w:sz w:val="24"/>
              </w:rPr>
              <w:t>审查</w:t>
            </w:r>
            <w:r>
              <w:rPr>
                <w:rFonts w:ascii="宋体" w:hAnsi="宋体"/>
                <w:sz w:val="24"/>
              </w:rPr>
              <w:t>阶段采购人或采购代理机构的实际查询时间；</w:t>
            </w:r>
          </w:p>
          <w:p>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7" w:type="pct"/>
            <w:noWrap w:val="0"/>
            <w:vAlign w:val="center"/>
          </w:tcPr>
          <w:p>
            <w:pPr>
              <w:tabs>
                <w:tab w:val="left" w:pos="1080"/>
              </w:tabs>
              <w:snapToGrid w:val="0"/>
              <w:rPr>
                <w:rFonts w:ascii="宋体" w:hAnsi="宋体"/>
                <w:sz w:val="24"/>
              </w:rPr>
            </w:pPr>
            <w:r>
              <w:rPr>
                <w:rFonts w:ascii="宋体" w:hAnsi="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hint="eastAsia" w:ascii="宋体" w:hAnsi="宋体"/>
                <w:sz w:val="24"/>
              </w:rPr>
              <w:t>1-4</w:t>
            </w:r>
          </w:p>
        </w:tc>
        <w:tc>
          <w:tcPr>
            <w:tcW w:w="937" w:type="pct"/>
            <w:noWrap w:val="0"/>
            <w:vAlign w:val="top"/>
          </w:tcPr>
          <w:p>
            <w:pPr>
              <w:spacing w:before="35" w:line="229" w:lineRule="auto"/>
              <w:ind w:left="113" w:right="106"/>
              <w:rPr>
                <w:rFonts w:ascii="宋体" w:hAnsi="宋体"/>
                <w:sz w:val="24"/>
              </w:rPr>
            </w:pPr>
            <w:r>
              <w:rPr>
                <w:rFonts w:ascii="宋体" w:hAnsi="宋体" w:cs="宋体"/>
                <w:spacing w:val="12"/>
                <w:sz w:val="24"/>
              </w:rPr>
              <w:t>法律、行政法规规定的其他</w:t>
            </w:r>
            <w:r>
              <w:rPr>
                <w:rFonts w:ascii="宋体" w:hAnsi="宋体" w:cs="宋体"/>
                <w:spacing w:val="-3"/>
                <w:sz w:val="24"/>
              </w:rPr>
              <w:t>条件</w:t>
            </w:r>
          </w:p>
        </w:tc>
        <w:tc>
          <w:tcPr>
            <w:tcW w:w="2579" w:type="pct"/>
            <w:noWrap w:val="0"/>
            <w:vAlign w:val="top"/>
          </w:tcPr>
          <w:p>
            <w:pPr>
              <w:pStyle w:val="275"/>
              <w:spacing w:line="270" w:lineRule="auto"/>
              <w:rPr>
                <w:rFonts w:ascii="宋体" w:hAnsi="宋体" w:eastAsia="宋体"/>
                <w:lang w:eastAsia="zh-CN"/>
              </w:rPr>
            </w:pPr>
          </w:p>
          <w:p>
            <w:pPr>
              <w:spacing w:before="78" w:line="220" w:lineRule="auto"/>
              <w:ind w:left="114"/>
              <w:rPr>
                <w:rFonts w:ascii="宋体" w:hAnsi="宋体"/>
                <w:sz w:val="24"/>
              </w:rPr>
            </w:pPr>
            <w:r>
              <w:rPr>
                <w:rFonts w:ascii="宋体" w:hAnsi="宋体" w:cs="宋体"/>
                <w:spacing w:val="-1"/>
                <w:sz w:val="24"/>
              </w:rPr>
              <w:t>法律、行政法规规定的其他条件</w:t>
            </w:r>
          </w:p>
        </w:tc>
        <w:tc>
          <w:tcPr>
            <w:tcW w:w="1027" w:type="pct"/>
            <w:noWrap w:val="0"/>
            <w:vAlign w:val="top"/>
          </w:tcPr>
          <w:p>
            <w:pPr>
              <w:pStyle w:val="275"/>
              <w:spacing w:line="302" w:lineRule="auto"/>
              <w:rPr>
                <w:rFonts w:ascii="宋体" w:hAnsi="宋体" w:eastAsia="宋体"/>
                <w:lang w:eastAsia="zh-CN"/>
              </w:rPr>
            </w:pPr>
          </w:p>
          <w:p>
            <w:pPr>
              <w:pStyle w:val="275"/>
              <w:spacing w:before="69" w:line="215" w:lineRule="auto"/>
              <w:ind w:left="912"/>
              <w:rPr>
                <w:rFonts w:ascii="宋体" w:hAnsi="宋体" w:eastAsia="宋体"/>
                <w:sz w:val="24"/>
              </w:rPr>
            </w:pPr>
            <w:r>
              <w:rPr>
                <w:rFonts w:ascii="宋体" w:hAnsi="宋体" w:eastAsia="宋体"/>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2</w:t>
            </w:r>
          </w:p>
        </w:tc>
        <w:tc>
          <w:tcPr>
            <w:tcW w:w="937" w:type="pct"/>
            <w:noWrap w:val="0"/>
            <w:vAlign w:val="center"/>
          </w:tcPr>
          <w:p>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noWrap w:val="0"/>
            <w:vAlign w:val="center"/>
          </w:tcPr>
          <w:p>
            <w:pPr>
              <w:tabs>
                <w:tab w:val="left" w:pos="1080"/>
              </w:tabs>
              <w:snapToGrid w:val="0"/>
              <w:jc w:val="left"/>
              <w:rPr>
                <w:rFonts w:ascii="宋体" w:hAnsi="宋体"/>
                <w:sz w:val="24"/>
              </w:rPr>
            </w:pPr>
            <w:r>
              <w:rPr>
                <w:rFonts w:ascii="宋体" w:hAnsi="宋体"/>
                <w:sz w:val="24"/>
              </w:rPr>
              <w:t>具体要求见第一章《采购邀请》</w:t>
            </w:r>
          </w:p>
        </w:tc>
        <w:tc>
          <w:tcPr>
            <w:tcW w:w="1027" w:type="pct"/>
            <w:noWrap w:val="0"/>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top"/>
          </w:tcPr>
          <w:p>
            <w:pPr>
              <w:tabs>
                <w:tab w:val="left" w:pos="1080"/>
              </w:tabs>
              <w:snapToGrid w:val="0"/>
              <w:jc w:val="center"/>
              <w:rPr>
                <w:rFonts w:ascii="宋体" w:hAnsi="宋体"/>
                <w:sz w:val="24"/>
              </w:rPr>
            </w:pPr>
            <w:r>
              <w:rPr>
                <w:rFonts w:hint="eastAsia" w:ascii="宋体" w:hAnsi="宋体"/>
                <w:sz w:val="24"/>
              </w:rPr>
              <w:t>2-1</w:t>
            </w:r>
          </w:p>
        </w:tc>
        <w:tc>
          <w:tcPr>
            <w:tcW w:w="937" w:type="pct"/>
            <w:noWrap w:val="0"/>
            <w:vAlign w:val="top"/>
          </w:tcPr>
          <w:p>
            <w:pPr>
              <w:spacing w:before="115" w:line="221" w:lineRule="auto"/>
              <w:ind w:left="135"/>
              <w:rPr>
                <w:rFonts w:ascii="宋体" w:hAnsi="宋体" w:cs="宋体"/>
                <w:sz w:val="24"/>
              </w:rPr>
            </w:pPr>
            <w:r>
              <w:rPr>
                <w:rFonts w:ascii="宋体" w:hAnsi="宋体" w:cs="宋体"/>
                <w:spacing w:val="-5"/>
                <w:sz w:val="24"/>
              </w:rPr>
              <w:t>中小企业政策</w:t>
            </w:r>
          </w:p>
        </w:tc>
        <w:tc>
          <w:tcPr>
            <w:tcW w:w="2579" w:type="pct"/>
            <w:noWrap w:val="0"/>
            <w:vAlign w:val="top"/>
          </w:tcPr>
          <w:p>
            <w:pPr>
              <w:spacing w:before="116" w:line="219" w:lineRule="auto"/>
              <w:ind w:left="118"/>
              <w:rPr>
                <w:rFonts w:ascii="宋体" w:hAnsi="宋体" w:cs="宋体"/>
                <w:sz w:val="24"/>
              </w:rPr>
            </w:pPr>
            <w:r>
              <w:rPr>
                <w:rFonts w:ascii="宋体" w:hAnsi="宋体" w:cs="宋体"/>
                <w:spacing w:val="-2"/>
                <w:sz w:val="24"/>
              </w:rPr>
              <w:t>具体要求见第一章《采购邀请》</w:t>
            </w:r>
          </w:p>
        </w:tc>
        <w:tc>
          <w:tcPr>
            <w:tcW w:w="1027" w:type="pct"/>
            <w:noWrap w:val="0"/>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2-1</w:t>
            </w:r>
            <w:r>
              <w:rPr>
                <w:rFonts w:hint="eastAsia" w:ascii="宋体" w:hAnsi="宋体"/>
                <w:sz w:val="24"/>
              </w:rPr>
              <w:t>-1</w:t>
            </w:r>
          </w:p>
        </w:tc>
        <w:tc>
          <w:tcPr>
            <w:tcW w:w="937" w:type="pct"/>
            <w:noWrap w:val="0"/>
            <w:vAlign w:val="center"/>
          </w:tcPr>
          <w:p>
            <w:pPr>
              <w:tabs>
                <w:tab w:val="left" w:pos="1080"/>
              </w:tabs>
              <w:snapToGrid w:val="0"/>
              <w:jc w:val="left"/>
              <w:rPr>
                <w:rFonts w:ascii="宋体" w:hAnsi="宋体"/>
                <w:sz w:val="24"/>
              </w:rPr>
            </w:pPr>
            <w:r>
              <w:rPr>
                <w:rFonts w:ascii="宋体" w:hAnsi="宋体"/>
                <w:sz w:val="24"/>
              </w:rPr>
              <w:t>中小企业</w:t>
            </w:r>
            <w:r>
              <w:rPr>
                <w:rFonts w:hint="eastAsia" w:ascii="宋体" w:hAnsi="宋体"/>
                <w:sz w:val="24"/>
              </w:rPr>
              <w:t>证明文件</w:t>
            </w:r>
          </w:p>
        </w:tc>
        <w:tc>
          <w:tcPr>
            <w:tcW w:w="2579" w:type="pct"/>
            <w:noWrap w:val="0"/>
            <w:vAlign w:val="center"/>
          </w:tcPr>
          <w:p>
            <w:pPr>
              <w:spacing w:before="40" w:line="204" w:lineRule="auto"/>
              <w:ind w:right="119"/>
              <w:rPr>
                <w:rFonts w:ascii="宋体" w:hAnsi="宋体" w:cs="宋体"/>
                <w:spacing w:val="-2"/>
                <w:sz w:val="24"/>
              </w:rPr>
            </w:pPr>
            <w:r>
              <w:rPr>
                <w:rFonts w:ascii="宋体" w:hAnsi="宋体" w:cs="宋体"/>
                <w:spacing w:val="-2"/>
                <w:sz w:val="24"/>
              </w:rPr>
              <w:t>当本项目（包）涉及预留份额专门面向中小企业采购，</w:t>
            </w:r>
            <w:r>
              <w:rPr>
                <w:rFonts w:hint="eastAsia" w:ascii="宋体" w:hAnsi="宋体" w:cs="宋体"/>
                <w:spacing w:val="-2"/>
                <w:sz w:val="24"/>
              </w:rPr>
              <w:t>提</w:t>
            </w:r>
            <w:r>
              <w:rPr>
                <w:rFonts w:ascii="宋体" w:hAnsi="宋体" w:cs="宋体"/>
                <w:spacing w:val="-2"/>
                <w:sz w:val="24"/>
              </w:rPr>
              <w:t>供如下资料：</w:t>
            </w:r>
          </w:p>
          <w:p>
            <w:pPr>
              <w:pStyle w:val="275"/>
              <w:spacing w:before="4" w:line="220" w:lineRule="auto"/>
              <w:ind w:right="119"/>
              <w:rPr>
                <w:rFonts w:ascii="宋体" w:hAnsi="宋体" w:eastAsia="宋体" w:cs="宋体"/>
                <w:spacing w:val="-2"/>
                <w:sz w:val="24"/>
                <w:szCs w:val="24"/>
                <w:lang w:eastAsia="zh-CN"/>
              </w:rPr>
            </w:pPr>
            <w:r>
              <w:rPr>
                <w:rFonts w:ascii="宋体" w:hAnsi="宋体" w:eastAsia="宋体" w:cs="宋体"/>
                <w:spacing w:val="-2"/>
                <w:sz w:val="24"/>
                <w:szCs w:val="24"/>
                <w:lang w:eastAsia="zh-CN"/>
              </w:rPr>
              <w:t>1、供应商单独响应的，应</w:t>
            </w:r>
            <w:r>
              <w:rPr>
                <w:rFonts w:hint="eastAsia" w:ascii="宋体" w:hAnsi="宋体" w:eastAsia="宋体" w:cs="宋体"/>
                <w:spacing w:val="-2"/>
                <w:sz w:val="24"/>
                <w:szCs w:val="24"/>
                <w:lang w:eastAsia="zh-CN"/>
              </w:rPr>
              <w:t>提</w:t>
            </w:r>
            <w:r>
              <w:rPr>
                <w:rFonts w:ascii="宋体" w:hAnsi="宋体" w:eastAsia="宋体" w:cs="宋体"/>
                <w:spacing w:val="-2"/>
                <w:sz w:val="24"/>
                <w:szCs w:val="24"/>
                <w:lang w:eastAsia="zh-CN"/>
              </w:rPr>
              <w:t>供《中小企业  声明函》或《残疾人福利性单位声明函》或 由省级以上监狱管理局、戒毒管理局（含新 疆生产建设兵团）出具的属于监狱企业的证 明文件。</w:t>
            </w:r>
          </w:p>
          <w:p>
            <w:pPr>
              <w:pStyle w:val="275"/>
              <w:spacing w:before="24" w:line="235" w:lineRule="auto"/>
              <w:ind w:right="119"/>
              <w:rPr>
                <w:rFonts w:ascii="宋体" w:hAnsi="宋体" w:eastAsia="宋体" w:cs="宋体"/>
                <w:spacing w:val="-2"/>
                <w:sz w:val="24"/>
                <w:szCs w:val="24"/>
                <w:lang w:eastAsia="zh-CN"/>
              </w:rPr>
            </w:pPr>
            <w:r>
              <w:rPr>
                <w:rFonts w:ascii="宋体" w:hAnsi="宋体" w:eastAsia="宋体" w:cs="宋体"/>
                <w:spacing w:val="-2"/>
                <w:sz w:val="24"/>
                <w:szCs w:val="24"/>
                <w:lang w:eastAsia="zh-CN"/>
              </w:rPr>
              <w:t>2、如磋商文件要求以联合体形式参加或者 要求合同分包的，且供应商为联合体或拟进 行合同分包的，则联合体中的中小企业、签 订分包意向协议的中小企业具体情况须在</w:t>
            </w:r>
          </w:p>
          <w:p>
            <w:pPr>
              <w:tabs>
                <w:tab w:val="left" w:pos="1080"/>
              </w:tabs>
              <w:snapToGrid w:val="0"/>
              <w:jc w:val="left"/>
              <w:rPr>
                <w:rFonts w:ascii="宋体" w:hAnsi="宋体"/>
                <w:sz w:val="24"/>
              </w:rPr>
            </w:pPr>
            <w:r>
              <w:rPr>
                <w:rFonts w:ascii="宋体" w:hAnsi="宋体" w:cs="宋体"/>
                <w:spacing w:val="-2"/>
                <w:sz w:val="24"/>
              </w:rPr>
              <w:t>《中小企业声明函》或《残疾人福利性单位 声明函》或由省级以上监狱管理局、戒毒管 理局（含新疆生产建设兵团）出具的属于监 狱企业的证明文件中如实填报，且满足采购 文件关于预留份额的要求。</w:t>
            </w:r>
          </w:p>
        </w:tc>
        <w:tc>
          <w:tcPr>
            <w:tcW w:w="1027" w:type="pct"/>
            <w:noWrap w:val="0"/>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hint="eastAsia" w:ascii="宋体" w:hAnsi="宋体"/>
                <w:sz w:val="24"/>
              </w:rPr>
            </w:pPr>
            <w:r>
              <w:rPr>
                <w:rFonts w:ascii="宋体" w:hAnsi="宋体"/>
                <w:sz w:val="24"/>
              </w:rPr>
              <w:t>2-1-</w:t>
            </w:r>
            <w:r>
              <w:rPr>
                <w:rFonts w:hint="eastAsia" w:ascii="宋体" w:hAnsi="宋体"/>
                <w:sz w:val="24"/>
              </w:rPr>
              <w:t>2</w:t>
            </w:r>
          </w:p>
        </w:tc>
        <w:tc>
          <w:tcPr>
            <w:tcW w:w="937" w:type="pct"/>
            <w:noWrap w:val="0"/>
            <w:vAlign w:val="center"/>
          </w:tcPr>
          <w:p>
            <w:pPr>
              <w:tabs>
                <w:tab w:val="left" w:pos="1080"/>
              </w:tabs>
              <w:snapToGrid w:val="0"/>
              <w:jc w:val="left"/>
              <w:rPr>
                <w:rFonts w:ascii="宋体" w:hAnsi="宋体"/>
                <w:sz w:val="24"/>
              </w:rPr>
            </w:pPr>
            <w:r>
              <w:rPr>
                <w:rFonts w:ascii="宋体" w:hAnsi="宋体"/>
                <w:sz w:val="24"/>
              </w:rPr>
              <w:t>拟分包情况说明及分包意向协议</w:t>
            </w:r>
          </w:p>
        </w:tc>
        <w:tc>
          <w:tcPr>
            <w:tcW w:w="2579" w:type="pct"/>
            <w:noWrap w:val="0"/>
            <w:vAlign w:val="center"/>
          </w:tcPr>
          <w:p>
            <w:pPr>
              <w:tabs>
                <w:tab w:val="left" w:pos="1080"/>
              </w:tabs>
              <w:snapToGrid w:val="0"/>
              <w:jc w:val="left"/>
              <w:rPr>
                <w:rFonts w:ascii="宋体" w:hAnsi="宋体"/>
                <w:sz w:val="24"/>
              </w:rPr>
            </w:pPr>
            <w:r>
              <w:rPr>
                <w:rFonts w:ascii="宋体" w:hAnsi="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7" w:type="pct"/>
            <w:noWrap w:val="0"/>
            <w:vAlign w:val="center"/>
          </w:tcPr>
          <w:p>
            <w:pPr>
              <w:tabs>
                <w:tab w:val="left" w:pos="1080"/>
              </w:tabs>
              <w:snapToGrid w:val="0"/>
              <w:jc w:val="left"/>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2-2</w:t>
            </w:r>
          </w:p>
        </w:tc>
        <w:tc>
          <w:tcPr>
            <w:tcW w:w="937" w:type="pct"/>
            <w:noWrap w:val="0"/>
            <w:vAlign w:val="center"/>
          </w:tcPr>
          <w:p>
            <w:pPr>
              <w:tabs>
                <w:tab w:val="left" w:pos="1080"/>
              </w:tabs>
              <w:snapToGrid w:val="0"/>
              <w:jc w:val="left"/>
              <w:rPr>
                <w:rFonts w:ascii="宋体" w:hAnsi="宋体"/>
                <w:sz w:val="24"/>
              </w:rPr>
            </w:pPr>
            <w:r>
              <w:rPr>
                <w:rFonts w:ascii="宋体" w:hAnsi="宋体"/>
                <w:sz w:val="24"/>
              </w:rPr>
              <w:t>其它落实政府采购政策的资格要求</w:t>
            </w:r>
          </w:p>
        </w:tc>
        <w:tc>
          <w:tcPr>
            <w:tcW w:w="2579" w:type="pct"/>
            <w:noWrap w:val="0"/>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027" w:type="pct"/>
            <w:noWrap w:val="0"/>
            <w:vAlign w:val="center"/>
          </w:tcPr>
          <w:p>
            <w:pPr>
              <w:tabs>
                <w:tab w:val="left" w:pos="1080"/>
              </w:tabs>
              <w:snapToGrid w:val="0"/>
              <w:jc w:val="left"/>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3</w:t>
            </w:r>
          </w:p>
        </w:tc>
        <w:tc>
          <w:tcPr>
            <w:tcW w:w="937" w:type="pct"/>
            <w:noWrap w:val="0"/>
            <w:vAlign w:val="center"/>
          </w:tcPr>
          <w:p>
            <w:pPr>
              <w:tabs>
                <w:tab w:val="left" w:pos="1080"/>
              </w:tabs>
              <w:snapToGrid w:val="0"/>
              <w:jc w:val="left"/>
              <w:rPr>
                <w:rFonts w:ascii="宋体" w:hAnsi="宋体"/>
                <w:sz w:val="24"/>
              </w:rPr>
            </w:pPr>
            <w:r>
              <w:rPr>
                <w:rFonts w:ascii="宋体" w:hAnsi="宋体"/>
                <w:sz w:val="24"/>
              </w:rPr>
              <w:t>本项目的特定资格要求</w:t>
            </w:r>
          </w:p>
        </w:tc>
        <w:tc>
          <w:tcPr>
            <w:tcW w:w="2579" w:type="pct"/>
            <w:noWrap w:val="0"/>
            <w:vAlign w:val="center"/>
          </w:tcPr>
          <w:p>
            <w:pPr>
              <w:tabs>
                <w:tab w:val="left" w:pos="1080"/>
              </w:tabs>
              <w:snapToGrid w:val="0"/>
              <w:jc w:val="left"/>
              <w:rPr>
                <w:rFonts w:ascii="宋体" w:hAnsi="宋体"/>
                <w:sz w:val="24"/>
              </w:rPr>
            </w:pPr>
            <w:r>
              <w:rPr>
                <w:rFonts w:ascii="宋体" w:hAnsi="宋体"/>
                <w:sz w:val="24"/>
              </w:rPr>
              <w:t>如有，见第一章《采购邀请》</w:t>
            </w:r>
          </w:p>
        </w:tc>
        <w:tc>
          <w:tcPr>
            <w:tcW w:w="1027" w:type="pct"/>
            <w:noWrap w:val="0"/>
            <w:vAlign w:val="center"/>
          </w:tcPr>
          <w:p>
            <w:pPr>
              <w:tabs>
                <w:tab w:val="left" w:pos="1080"/>
              </w:tabs>
              <w:snapToGrid w:val="0"/>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3-1</w:t>
            </w:r>
          </w:p>
        </w:tc>
        <w:tc>
          <w:tcPr>
            <w:tcW w:w="937" w:type="pct"/>
            <w:noWrap w:val="0"/>
            <w:vAlign w:val="center"/>
          </w:tcPr>
          <w:p>
            <w:pPr>
              <w:tabs>
                <w:tab w:val="left" w:pos="1080"/>
              </w:tabs>
              <w:snapToGrid w:val="0"/>
              <w:rPr>
                <w:rFonts w:ascii="宋体" w:hAnsi="宋体"/>
                <w:sz w:val="24"/>
              </w:rPr>
            </w:pPr>
            <w:r>
              <w:rPr>
                <w:rFonts w:ascii="宋体" w:hAnsi="宋体" w:cs="宋体"/>
                <w:spacing w:val="12"/>
                <w:sz w:val="24"/>
              </w:rPr>
              <w:t>本项目对于联</w:t>
            </w:r>
            <w:r>
              <w:rPr>
                <w:rFonts w:ascii="宋体" w:hAnsi="宋体" w:cs="宋体"/>
                <w:spacing w:val="-2"/>
                <w:sz w:val="24"/>
              </w:rPr>
              <w:t>合体的要求</w:t>
            </w:r>
          </w:p>
        </w:tc>
        <w:tc>
          <w:tcPr>
            <w:tcW w:w="2579" w:type="pct"/>
            <w:noWrap w:val="0"/>
            <w:vAlign w:val="center"/>
          </w:tcPr>
          <w:p>
            <w:pPr>
              <w:tabs>
                <w:tab w:val="left" w:pos="1080"/>
              </w:tabs>
              <w:snapToGrid w:val="0"/>
              <w:rPr>
                <w:rFonts w:ascii="宋体" w:hAnsi="宋体"/>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ascii="宋体" w:hAnsi="宋体"/>
                <w:sz w:val="24"/>
              </w:rPr>
              <w:t>提</w:t>
            </w:r>
            <w:r>
              <w:rPr>
                <w:rFonts w:ascii="宋体" w:hAnsi="宋体"/>
                <w:sz w:val="24"/>
              </w:rPr>
              <w:t>交。</w:t>
            </w:r>
          </w:p>
          <w:p>
            <w:pPr>
              <w:tabs>
                <w:tab w:val="left" w:pos="1080"/>
              </w:tabs>
              <w:snapToGrid w:val="0"/>
              <w:rPr>
                <w:rFonts w:ascii="宋体" w:hAnsi="宋体"/>
                <w:sz w:val="24"/>
              </w:rPr>
            </w:pPr>
            <w:r>
              <w:rPr>
                <w:rFonts w:ascii="宋体" w:hAnsi="宋体"/>
                <w:sz w:val="24"/>
              </w:rPr>
              <w:t>2、联合体各成员单位均须提供本表中序号1-1、1-2的证明文件。</w:t>
            </w:r>
            <w:r>
              <w:rPr>
                <w:rFonts w:ascii="宋体" w:hAnsi="宋体" w:cs="宋体"/>
                <w:spacing w:val="-3"/>
                <w:sz w:val="24"/>
              </w:rPr>
              <w:t>联合体各成员单位均</w:t>
            </w:r>
            <w:r>
              <w:rPr>
                <w:rFonts w:ascii="宋体" w:hAnsi="宋体" w:cs="宋体"/>
                <w:sz w:val="24"/>
              </w:rPr>
              <w:t xml:space="preserve"> 应满足本表</w:t>
            </w:r>
            <w:r>
              <w:rPr>
                <w:rFonts w:ascii="宋体" w:hAnsi="宋体" w:cs="宋体"/>
                <w:spacing w:val="-36"/>
                <w:sz w:val="24"/>
              </w:rPr>
              <w:t xml:space="preserve"> </w:t>
            </w:r>
            <w:r>
              <w:rPr>
                <w:rFonts w:ascii="宋体" w:hAnsi="宋体"/>
                <w:sz w:val="24"/>
              </w:rPr>
              <w:t>3-2</w:t>
            </w:r>
            <w:r>
              <w:rPr>
                <w:rFonts w:ascii="宋体" w:hAnsi="宋体" w:cs="宋体"/>
                <w:sz w:val="24"/>
              </w:rPr>
              <w:t>项规定。</w:t>
            </w:r>
          </w:p>
          <w:p>
            <w:pPr>
              <w:tabs>
                <w:tab w:val="left" w:pos="1080"/>
              </w:tabs>
              <w:snapToGrid w:val="0"/>
              <w:rPr>
                <w:rFonts w:hint="eastAsia" w:ascii="宋体" w:hAnsi="宋体"/>
                <w:sz w:val="24"/>
              </w:rPr>
            </w:pPr>
            <w:r>
              <w:rPr>
                <w:rFonts w:hint="eastAsia" w:ascii="宋体" w:hAnsi="宋体"/>
                <w:sz w:val="24"/>
              </w:rPr>
              <w:t>3、本表序号 3-3 项规定的其他特定资格要 求中的每一小项要求，联合体各方中至少应 当有一方符合本表中其他资格要求并提供证 明文件。</w:t>
            </w:r>
          </w:p>
          <w:p>
            <w:pPr>
              <w:tabs>
                <w:tab w:val="left" w:pos="1080"/>
              </w:tabs>
              <w:snapToGrid w:val="0"/>
              <w:rPr>
                <w:rFonts w:hint="eastAsia" w:ascii="宋体" w:hAnsi="宋体"/>
                <w:sz w:val="24"/>
              </w:rPr>
            </w:pPr>
            <w:r>
              <w:rPr>
                <w:rFonts w:hint="eastAsia" w:ascii="宋体" w:hAnsi="宋体"/>
                <w:sz w:val="24"/>
              </w:rPr>
              <w:t>4、联合体中有同类资质的供应商按照联合 体分工承担相同工作的， 应当按照资质等级 较低的供应商确定资质等级。</w:t>
            </w:r>
          </w:p>
          <w:p>
            <w:pPr>
              <w:tabs>
                <w:tab w:val="left" w:pos="1080"/>
              </w:tabs>
              <w:snapToGrid w:val="0"/>
              <w:rPr>
                <w:rFonts w:hint="eastAsia" w:ascii="宋体" w:hAnsi="宋体"/>
                <w:sz w:val="24"/>
              </w:rPr>
            </w:pPr>
            <w:r>
              <w:rPr>
                <w:rFonts w:hint="eastAsia" w:ascii="宋体" w:hAnsi="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ascii="宋体" w:hAnsi="宋体"/>
                <w:sz w:val="24"/>
              </w:rPr>
            </w:pPr>
            <w:r>
              <w:rPr>
                <w:rFonts w:hint="eastAsia" w:ascii="宋体" w:hAnsi="宋体"/>
                <w:sz w:val="24"/>
              </w:rPr>
              <w:t>6、若联合体中任一成员单位中途退出，则 该联合体的</w:t>
            </w:r>
            <w:r>
              <w:rPr>
                <w:rFonts w:hint="eastAsia" w:ascii="宋体" w:hAnsi="宋体"/>
                <w:b/>
                <w:bCs/>
                <w:sz w:val="24"/>
              </w:rPr>
              <w:t>响应无效</w:t>
            </w:r>
            <w:r>
              <w:rPr>
                <w:rFonts w:hint="eastAsia" w:ascii="宋体" w:hAnsi="宋体"/>
                <w:sz w:val="24"/>
              </w:rPr>
              <w:t>。</w:t>
            </w:r>
          </w:p>
          <w:p>
            <w:pPr>
              <w:tabs>
                <w:tab w:val="left" w:pos="1080"/>
              </w:tabs>
              <w:snapToGrid w:val="0"/>
              <w:rPr>
                <w:rFonts w:ascii="宋体" w:hAnsi="宋体"/>
                <w:sz w:val="24"/>
              </w:rPr>
            </w:pPr>
            <w:r>
              <w:rPr>
                <w:rFonts w:hint="eastAsia" w:ascii="宋体" w:hAnsi="宋体"/>
                <w:sz w:val="24"/>
              </w:rPr>
              <w:t>7、本项目不接受联合体响应时，供应商不 得为联合体。</w:t>
            </w:r>
            <w:r>
              <w:rPr>
                <w:rFonts w:ascii="宋体" w:hAnsi="宋体"/>
                <w:sz w:val="24"/>
              </w:rPr>
              <w:t xml:space="preserve"> </w:t>
            </w:r>
          </w:p>
        </w:tc>
        <w:tc>
          <w:tcPr>
            <w:tcW w:w="1027" w:type="pct"/>
            <w:noWrap w:val="0"/>
            <w:vAlign w:val="center"/>
          </w:tcPr>
          <w:p>
            <w:pPr>
              <w:tabs>
                <w:tab w:val="left" w:pos="1080"/>
              </w:tabs>
              <w:snapToGrid w:val="0"/>
              <w:rPr>
                <w:rFonts w:ascii="宋体" w:hAnsi="宋体"/>
                <w:sz w:val="24"/>
              </w:rPr>
            </w:pPr>
            <w:r>
              <w:rPr>
                <w:rFonts w:ascii="宋体" w:hAnsi="宋体"/>
                <w:sz w:val="24"/>
              </w:rPr>
              <w:t>提供《联合协议》</w:t>
            </w:r>
            <w:r>
              <w:rPr>
                <w:rFonts w:hint="eastAsia" w:ascii="宋体" w:hAnsi="宋体"/>
                <w:sz w:val="24"/>
              </w:rPr>
              <w:t>原</w:t>
            </w:r>
            <w:r>
              <w:rPr>
                <w:rFonts w:ascii="宋体" w:hAnsi="宋体"/>
                <w:sz w:val="24"/>
              </w:rPr>
              <w:t>件的电子件</w:t>
            </w:r>
          </w:p>
          <w:p>
            <w:pPr>
              <w:tabs>
                <w:tab w:val="left" w:pos="1080"/>
              </w:tabs>
              <w:snapToGrid w:val="0"/>
              <w:rPr>
                <w:rFonts w:ascii="宋体" w:hAnsi="宋体"/>
                <w:sz w:val="24"/>
              </w:rPr>
            </w:pPr>
            <w:r>
              <w:rPr>
                <w:rFonts w:ascii="宋体" w:hAnsi="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hint="eastAsia" w:ascii="宋体" w:hAnsi="宋体"/>
                <w:sz w:val="24"/>
              </w:rPr>
              <w:t>3-2</w:t>
            </w:r>
          </w:p>
        </w:tc>
        <w:tc>
          <w:tcPr>
            <w:tcW w:w="937" w:type="pct"/>
            <w:noWrap w:val="0"/>
            <w:vAlign w:val="top"/>
          </w:tcPr>
          <w:p>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9" w:type="pct"/>
            <w:noWrap w:val="0"/>
            <w:vAlign w:val="top"/>
          </w:tcPr>
          <w:p>
            <w:pPr>
              <w:spacing w:before="38" w:line="228" w:lineRule="auto"/>
              <w:ind w:right="104"/>
              <w:rPr>
                <w:rFonts w:ascii="宋体" w:hAnsi="宋体"/>
              </w:rPr>
            </w:pPr>
            <w:r>
              <w:rPr>
                <w:rFonts w:ascii="宋体" w:hAnsi="宋体" w:cs="宋体"/>
                <w:spacing w:val="-6"/>
                <w:sz w:val="24"/>
              </w:rPr>
              <w:t>如本项目属于政府购买服务，供应商不属于</w:t>
            </w:r>
            <w:r>
              <w:rPr>
                <w:rFonts w:ascii="宋体" w:hAnsi="宋体" w:cs="宋体"/>
                <w:sz w:val="24"/>
              </w:rPr>
              <w:t xml:space="preserve"> 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7" w:type="pct"/>
            <w:noWrap w:val="0"/>
            <w:vAlign w:val="center"/>
          </w:tcPr>
          <w:p>
            <w:pPr>
              <w:tabs>
                <w:tab w:val="left" w:pos="1080"/>
              </w:tabs>
              <w:snapToGrid w:val="0"/>
              <w:rPr>
                <w:rFonts w:ascii="宋体" w:hAnsi="宋体"/>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hint="eastAsia" w:ascii="宋体" w:hAnsi="宋体"/>
                <w:sz w:val="24"/>
              </w:rPr>
            </w:pPr>
            <w:r>
              <w:rPr>
                <w:rFonts w:ascii="宋体" w:hAnsi="宋体"/>
                <w:sz w:val="24"/>
              </w:rPr>
              <w:t>3-</w:t>
            </w:r>
            <w:r>
              <w:rPr>
                <w:rFonts w:hint="eastAsia" w:ascii="宋体" w:hAnsi="宋体"/>
                <w:sz w:val="24"/>
              </w:rPr>
              <w:t>3</w:t>
            </w:r>
          </w:p>
        </w:tc>
        <w:tc>
          <w:tcPr>
            <w:tcW w:w="937" w:type="pct"/>
            <w:noWrap w:val="0"/>
            <w:vAlign w:val="center"/>
          </w:tcPr>
          <w:p>
            <w:pPr>
              <w:tabs>
                <w:tab w:val="left" w:pos="1080"/>
              </w:tabs>
              <w:snapToGrid w:val="0"/>
              <w:rPr>
                <w:rFonts w:ascii="宋体" w:hAnsi="宋体"/>
                <w:sz w:val="24"/>
              </w:rPr>
            </w:pPr>
            <w:r>
              <w:rPr>
                <w:rFonts w:ascii="宋体" w:hAnsi="宋体"/>
                <w:sz w:val="24"/>
              </w:rPr>
              <w:t>其他特定资格要求</w:t>
            </w:r>
          </w:p>
        </w:tc>
        <w:tc>
          <w:tcPr>
            <w:tcW w:w="2579" w:type="pct"/>
            <w:noWrap w:val="0"/>
            <w:vAlign w:val="center"/>
          </w:tcPr>
          <w:p>
            <w:pPr>
              <w:tabs>
                <w:tab w:val="left" w:pos="1080"/>
              </w:tabs>
              <w:snapToGrid w:val="0"/>
              <w:rPr>
                <w:rFonts w:ascii="宋体" w:hAnsi="宋体"/>
                <w:sz w:val="24"/>
              </w:rPr>
            </w:pPr>
            <w:r>
              <w:rPr>
                <w:rFonts w:ascii="宋体" w:hAnsi="宋体"/>
                <w:sz w:val="24"/>
              </w:rPr>
              <w:t>如有，见第一章《采购邀请》</w:t>
            </w:r>
          </w:p>
        </w:tc>
        <w:tc>
          <w:tcPr>
            <w:tcW w:w="1027" w:type="pct"/>
            <w:noWrap w:val="0"/>
            <w:vAlign w:val="center"/>
          </w:tcPr>
          <w:p>
            <w:pPr>
              <w:tabs>
                <w:tab w:val="left" w:pos="1080"/>
              </w:tabs>
              <w:snapToGrid w:val="0"/>
              <w:rPr>
                <w:rFonts w:ascii="宋体" w:hAnsi="宋体"/>
                <w:sz w:val="24"/>
              </w:rPr>
            </w:pPr>
            <w:r>
              <w:rPr>
                <w:rFonts w:ascii="宋体" w:hAnsi="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noWrap w:val="0"/>
            <w:vAlign w:val="center"/>
          </w:tcPr>
          <w:p>
            <w:pPr>
              <w:tabs>
                <w:tab w:val="left" w:pos="1080"/>
              </w:tabs>
              <w:snapToGrid w:val="0"/>
              <w:jc w:val="center"/>
              <w:rPr>
                <w:rFonts w:ascii="宋体" w:hAnsi="宋体"/>
                <w:sz w:val="24"/>
              </w:rPr>
            </w:pPr>
            <w:r>
              <w:rPr>
                <w:rFonts w:ascii="宋体" w:hAnsi="宋体"/>
                <w:sz w:val="24"/>
              </w:rPr>
              <w:t>4</w:t>
            </w:r>
          </w:p>
        </w:tc>
        <w:tc>
          <w:tcPr>
            <w:tcW w:w="937" w:type="pct"/>
            <w:noWrap w:val="0"/>
            <w:vAlign w:val="center"/>
          </w:tcPr>
          <w:p>
            <w:pPr>
              <w:tabs>
                <w:tab w:val="left" w:pos="1080"/>
              </w:tabs>
              <w:snapToGrid w:val="0"/>
              <w:rPr>
                <w:rFonts w:ascii="宋体" w:hAnsi="宋体"/>
                <w:sz w:val="24"/>
              </w:rPr>
            </w:pPr>
            <w:r>
              <w:rPr>
                <w:rFonts w:ascii="宋体" w:hAnsi="宋体"/>
                <w:kern w:val="0"/>
                <w:sz w:val="24"/>
              </w:rPr>
              <w:t>磋商保证金</w:t>
            </w:r>
          </w:p>
        </w:tc>
        <w:tc>
          <w:tcPr>
            <w:tcW w:w="2579" w:type="pct"/>
            <w:noWrap w:val="0"/>
            <w:vAlign w:val="center"/>
          </w:tcPr>
          <w:p>
            <w:pPr>
              <w:tabs>
                <w:tab w:val="left" w:pos="1080"/>
              </w:tabs>
              <w:snapToGrid w:val="0"/>
              <w:rPr>
                <w:rFonts w:ascii="宋体" w:hAnsi="宋体"/>
                <w:sz w:val="24"/>
              </w:rPr>
            </w:pPr>
            <w:r>
              <w:rPr>
                <w:rFonts w:ascii="宋体" w:hAnsi="宋体"/>
                <w:kern w:val="0"/>
                <w:sz w:val="24"/>
              </w:rPr>
              <w:t>按照竞争性磋商文件的要求提交磋商保证金</w:t>
            </w:r>
            <w:r>
              <w:rPr>
                <w:rFonts w:hint="eastAsia" w:ascii="宋体" w:hAnsi="宋体"/>
                <w:kern w:val="0"/>
                <w:sz w:val="24"/>
              </w:rPr>
              <w:t>。</w:t>
            </w:r>
          </w:p>
        </w:tc>
        <w:tc>
          <w:tcPr>
            <w:tcW w:w="1027" w:type="pct"/>
            <w:noWrap w:val="0"/>
            <w:vAlign w:val="center"/>
          </w:tcPr>
          <w:p>
            <w:pPr>
              <w:tabs>
                <w:tab w:val="left" w:pos="1080"/>
              </w:tabs>
              <w:snapToGrid w:val="0"/>
              <w:rPr>
                <w:rFonts w:ascii="宋体" w:hAnsi="宋体"/>
                <w:sz w:val="24"/>
              </w:rPr>
            </w:pPr>
          </w:p>
        </w:tc>
      </w:tr>
    </w:tbl>
    <w:p>
      <w:pPr>
        <w:widowControl/>
        <w:jc w:val="left"/>
        <w:rPr>
          <w:rFonts w:ascii="宋体" w:hAnsi="宋体"/>
          <w:sz w:val="24"/>
        </w:rPr>
      </w:pPr>
      <w:r>
        <w:rPr>
          <w:rFonts w:ascii="宋体" w:hAnsi="宋体"/>
          <w:sz w:val="24"/>
        </w:rPr>
        <w:br w:type="page"/>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《符合性审查要求》见下表：</w:t>
      </w:r>
    </w:p>
    <w:p>
      <w:pPr>
        <w:widowControl/>
        <w:spacing w:line="360" w:lineRule="auto"/>
        <w:jc w:val="center"/>
        <w:outlineLvl w:val="1"/>
        <w:rPr>
          <w:rFonts w:ascii="宋体" w:hAnsi="宋体"/>
          <w:b/>
          <w:kern w:val="0"/>
          <w:sz w:val="24"/>
        </w:rPr>
      </w:pPr>
      <w:r>
        <w:rPr>
          <w:rFonts w:ascii="宋体" w:hAnsi="宋体"/>
          <w:b/>
          <w:kern w:val="0"/>
          <w:sz w:val="24"/>
        </w:rPr>
        <w:t>符合性审查要求</w:t>
      </w:r>
    </w:p>
    <w:tbl>
      <w:tblPr>
        <w:tblStyle w:val="6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80"/>
        <w:gridCol w:w="438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9" w:type="dxa"/>
            <w:noWrap w:val="0"/>
            <w:vAlign w:val="center"/>
          </w:tcPr>
          <w:p>
            <w:pPr>
              <w:widowControl/>
              <w:spacing w:line="360" w:lineRule="auto"/>
              <w:jc w:val="center"/>
              <w:rPr>
                <w:rFonts w:hint="eastAsia" w:ascii="宋体" w:hAnsi="宋体"/>
                <w:b/>
                <w:kern w:val="0"/>
                <w:sz w:val="24"/>
              </w:rPr>
            </w:pPr>
            <w:r>
              <w:rPr>
                <w:rFonts w:ascii="宋体" w:hAnsi="宋体"/>
                <w:b/>
                <w:kern w:val="0"/>
                <w:sz w:val="24"/>
              </w:rPr>
              <w:t>序号</w:t>
            </w:r>
          </w:p>
        </w:tc>
        <w:tc>
          <w:tcPr>
            <w:tcW w:w="1880" w:type="dxa"/>
            <w:noWrap w:val="0"/>
            <w:vAlign w:val="center"/>
          </w:tcPr>
          <w:p>
            <w:pPr>
              <w:widowControl/>
              <w:spacing w:line="360" w:lineRule="auto"/>
              <w:jc w:val="center"/>
              <w:rPr>
                <w:rFonts w:hint="eastAsia" w:ascii="宋体" w:hAnsi="宋体"/>
                <w:b/>
                <w:kern w:val="0"/>
                <w:sz w:val="24"/>
              </w:rPr>
            </w:pPr>
            <w:r>
              <w:rPr>
                <w:rFonts w:ascii="宋体" w:hAnsi="宋体"/>
                <w:b/>
                <w:kern w:val="0"/>
                <w:sz w:val="24"/>
              </w:rPr>
              <w:t>审查因素</w:t>
            </w:r>
          </w:p>
        </w:tc>
        <w:tc>
          <w:tcPr>
            <w:tcW w:w="4388" w:type="dxa"/>
            <w:noWrap w:val="0"/>
            <w:vAlign w:val="center"/>
          </w:tcPr>
          <w:p>
            <w:pPr>
              <w:widowControl/>
              <w:spacing w:line="360" w:lineRule="auto"/>
              <w:jc w:val="center"/>
              <w:rPr>
                <w:rFonts w:hint="eastAsia" w:ascii="宋体" w:hAnsi="宋体"/>
                <w:b/>
                <w:kern w:val="0"/>
                <w:sz w:val="24"/>
              </w:rPr>
            </w:pPr>
            <w:r>
              <w:rPr>
                <w:rFonts w:ascii="宋体" w:hAnsi="宋体"/>
                <w:b/>
                <w:kern w:val="0"/>
                <w:sz w:val="24"/>
              </w:rPr>
              <w:t>审查内容</w:t>
            </w:r>
          </w:p>
        </w:tc>
        <w:tc>
          <w:tcPr>
            <w:tcW w:w="1909" w:type="dxa"/>
            <w:noWrap w:val="0"/>
            <w:vAlign w:val="center"/>
          </w:tcPr>
          <w:p>
            <w:pPr>
              <w:widowControl/>
              <w:spacing w:line="360" w:lineRule="auto"/>
              <w:jc w:val="center"/>
              <w:rPr>
                <w:rFonts w:hint="eastAsia" w:ascii="宋体" w:hAnsi="宋体"/>
                <w:b/>
                <w:kern w:val="0"/>
                <w:sz w:val="24"/>
              </w:rPr>
            </w:pPr>
            <w:r>
              <w:rPr>
                <w:rFonts w:ascii="宋体" w:hAnsi="宋体"/>
                <w:b/>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授权委托书</w:t>
            </w:r>
          </w:p>
        </w:tc>
        <w:tc>
          <w:tcPr>
            <w:tcW w:w="4388" w:type="dxa"/>
            <w:noWrap w:val="0"/>
            <w:vAlign w:val="center"/>
          </w:tcPr>
          <w:p>
            <w:pPr>
              <w:widowControl/>
              <w:spacing w:line="360" w:lineRule="auto"/>
              <w:jc w:val="left"/>
              <w:rPr>
                <w:rFonts w:hint="eastAsia" w:ascii="宋体" w:hAnsi="宋体"/>
                <w:kern w:val="0"/>
                <w:sz w:val="24"/>
              </w:rPr>
            </w:pPr>
            <w:r>
              <w:rPr>
                <w:rFonts w:ascii="宋体" w:hAnsi="宋体"/>
                <w:kern w:val="0"/>
                <w:sz w:val="24"/>
              </w:rPr>
              <w:t>按</w:t>
            </w:r>
            <w:r>
              <w:rPr>
                <w:rFonts w:hint="eastAsia" w:ascii="宋体" w:hAnsi="宋体"/>
                <w:kern w:val="0"/>
                <w:sz w:val="24"/>
              </w:rPr>
              <w:t>磋商</w:t>
            </w:r>
            <w:r>
              <w:rPr>
                <w:rFonts w:ascii="宋体" w:hAnsi="宋体"/>
                <w:kern w:val="0"/>
                <w:sz w:val="24"/>
              </w:rPr>
              <w:t>文件要求提供授权委托书；</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2</w:t>
            </w:r>
          </w:p>
        </w:tc>
        <w:tc>
          <w:tcPr>
            <w:tcW w:w="1880"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报价</w:t>
            </w:r>
            <w:r>
              <w:rPr>
                <w:rFonts w:ascii="宋体" w:hAnsi="宋体"/>
                <w:kern w:val="0"/>
                <w:sz w:val="24"/>
              </w:rPr>
              <w:t>完整性</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sz w:val="24"/>
              </w:rPr>
              <w:t>未</w:t>
            </w:r>
            <w:r>
              <w:rPr>
                <w:rFonts w:ascii="宋体" w:hAnsi="宋体"/>
                <w:sz w:val="24"/>
              </w:rPr>
              <w:t>将一个采购包中的内容拆开</w:t>
            </w:r>
            <w:r>
              <w:rPr>
                <w:rFonts w:hint="eastAsia" w:ascii="宋体" w:hAnsi="宋体"/>
                <w:sz w:val="24"/>
              </w:rPr>
              <w:t>响应</w:t>
            </w:r>
            <w:r>
              <w:rPr>
                <w:rFonts w:ascii="宋体" w:hAnsi="宋体"/>
                <w:sz w:val="24"/>
              </w:rPr>
              <w:t>；</w:t>
            </w:r>
          </w:p>
        </w:tc>
        <w:tc>
          <w:tcPr>
            <w:tcW w:w="1909" w:type="dxa"/>
            <w:noWrap w:val="0"/>
            <w:vAlign w:val="center"/>
          </w:tcPr>
          <w:p>
            <w:pPr>
              <w:widowControl/>
              <w:spacing w:line="360" w:lineRule="auto"/>
              <w:jc w:val="center"/>
              <w:rPr>
                <w:rFonts w:hint="eastAsia"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3</w:t>
            </w:r>
          </w:p>
        </w:tc>
        <w:tc>
          <w:tcPr>
            <w:tcW w:w="1880"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响应</w:t>
            </w:r>
            <w:r>
              <w:rPr>
                <w:rFonts w:ascii="宋体" w:hAnsi="宋体"/>
                <w:kern w:val="0"/>
                <w:sz w:val="24"/>
              </w:rPr>
              <w:t>报价</w:t>
            </w:r>
          </w:p>
        </w:tc>
        <w:tc>
          <w:tcPr>
            <w:tcW w:w="4388" w:type="dxa"/>
            <w:noWrap w:val="0"/>
            <w:vAlign w:val="center"/>
          </w:tcPr>
          <w:p>
            <w:pPr>
              <w:widowControl/>
              <w:spacing w:line="360" w:lineRule="auto"/>
              <w:rPr>
                <w:rFonts w:hint="eastAsia" w:ascii="宋体" w:hAnsi="宋体"/>
                <w:kern w:val="0"/>
                <w:sz w:val="24"/>
              </w:rPr>
            </w:pPr>
            <w:r>
              <w:rPr>
                <w:rFonts w:hint="eastAsia" w:ascii="宋体" w:hAnsi="宋体"/>
                <w:kern w:val="0"/>
                <w:sz w:val="24"/>
              </w:rPr>
              <w:t>首次</w:t>
            </w:r>
            <w:r>
              <w:rPr>
                <w:rFonts w:ascii="宋体" w:hAnsi="宋体"/>
                <w:kern w:val="0"/>
                <w:sz w:val="24"/>
              </w:rPr>
              <w:t>响应报价</w:t>
            </w:r>
            <w:r>
              <w:rPr>
                <w:rFonts w:hint="eastAsia" w:ascii="宋体" w:hAnsi="宋体"/>
                <w:kern w:val="0"/>
                <w:sz w:val="24"/>
              </w:rPr>
              <w:t>未</w:t>
            </w:r>
            <w:r>
              <w:rPr>
                <w:rFonts w:ascii="宋体" w:hAnsi="宋体"/>
                <w:kern w:val="0"/>
                <w:sz w:val="24"/>
              </w:rPr>
              <w:t>超过</w:t>
            </w:r>
            <w:r>
              <w:rPr>
                <w:rFonts w:hint="eastAsia" w:ascii="宋体" w:hAnsi="宋体"/>
                <w:kern w:val="0"/>
                <w:sz w:val="24"/>
              </w:rPr>
              <w:t>磋商</w:t>
            </w:r>
            <w:r>
              <w:rPr>
                <w:rFonts w:ascii="宋体" w:hAnsi="宋体"/>
                <w:kern w:val="0"/>
                <w:sz w:val="24"/>
              </w:rPr>
              <w:t>文件中规定的项目/采购包预算金额或者项目/采购包最高限价；</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4</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报价唯一性</w:t>
            </w:r>
          </w:p>
        </w:tc>
        <w:tc>
          <w:tcPr>
            <w:tcW w:w="4388" w:type="dxa"/>
            <w:noWrap w:val="0"/>
            <w:vAlign w:val="center"/>
          </w:tcPr>
          <w:p>
            <w:pPr>
              <w:widowControl/>
              <w:spacing w:line="360" w:lineRule="auto"/>
              <w:rPr>
                <w:rFonts w:hint="eastAsia" w:ascii="宋体" w:hAnsi="宋体"/>
                <w:kern w:val="0"/>
                <w:sz w:val="24"/>
              </w:rPr>
            </w:pPr>
            <w:r>
              <w:rPr>
                <w:rFonts w:hint="eastAsia" w:ascii="宋体" w:hAnsi="宋体"/>
                <w:kern w:val="0"/>
                <w:sz w:val="24"/>
              </w:rPr>
              <w:t>响应</w:t>
            </w:r>
            <w:r>
              <w:rPr>
                <w:rFonts w:ascii="宋体" w:hAnsi="宋体"/>
                <w:kern w:val="0"/>
                <w:sz w:val="24"/>
              </w:rPr>
              <w:t>文件</w:t>
            </w:r>
            <w:r>
              <w:rPr>
                <w:rFonts w:hint="eastAsia" w:ascii="宋体" w:hAnsi="宋体"/>
                <w:kern w:val="0"/>
                <w:sz w:val="24"/>
              </w:rPr>
              <w:t>未</w:t>
            </w:r>
            <w:r>
              <w:rPr>
                <w:rFonts w:hint="eastAsia" w:ascii="宋体" w:hAnsi="宋体"/>
                <w:sz w:val="24"/>
              </w:rPr>
              <w:t>出现可选择性或可调整的报价（磋商文件另有规定的除外）</w:t>
            </w:r>
            <w:r>
              <w:rPr>
                <w:rFonts w:ascii="宋体" w:hAnsi="宋体"/>
                <w:kern w:val="0"/>
                <w:sz w:val="24"/>
              </w:rPr>
              <w:t>；</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5</w:t>
            </w:r>
          </w:p>
        </w:tc>
        <w:tc>
          <w:tcPr>
            <w:tcW w:w="1880"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响应</w:t>
            </w:r>
            <w:r>
              <w:rPr>
                <w:rFonts w:ascii="宋体" w:hAnsi="宋体"/>
                <w:kern w:val="0"/>
                <w:sz w:val="24"/>
              </w:rPr>
              <w:t>有效期</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响应</w:t>
            </w:r>
            <w:r>
              <w:rPr>
                <w:rFonts w:ascii="宋体" w:hAnsi="宋体"/>
                <w:kern w:val="0"/>
                <w:sz w:val="24"/>
              </w:rPr>
              <w:t>文件中承诺的</w:t>
            </w:r>
            <w:r>
              <w:rPr>
                <w:rFonts w:hint="eastAsia" w:ascii="宋体" w:hAnsi="宋体"/>
                <w:kern w:val="0"/>
                <w:sz w:val="24"/>
              </w:rPr>
              <w:t>响应</w:t>
            </w:r>
            <w:r>
              <w:rPr>
                <w:rFonts w:ascii="宋体" w:hAnsi="宋体"/>
                <w:kern w:val="0"/>
                <w:sz w:val="24"/>
              </w:rPr>
              <w:t>有效期</w:t>
            </w:r>
            <w:r>
              <w:rPr>
                <w:rFonts w:hint="eastAsia" w:ascii="宋体" w:hAnsi="宋体"/>
                <w:kern w:val="0"/>
                <w:sz w:val="24"/>
              </w:rPr>
              <w:t>满足磋商文件</w:t>
            </w:r>
            <w:r>
              <w:rPr>
                <w:rFonts w:ascii="宋体" w:hAnsi="宋体"/>
                <w:kern w:val="0"/>
                <w:sz w:val="24"/>
              </w:rPr>
              <w:t>中载明的</w:t>
            </w:r>
            <w:r>
              <w:rPr>
                <w:rFonts w:hint="eastAsia" w:ascii="宋体" w:hAnsi="宋体"/>
                <w:kern w:val="0"/>
                <w:sz w:val="24"/>
              </w:rPr>
              <w:t>响应</w:t>
            </w:r>
            <w:r>
              <w:rPr>
                <w:rFonts w:ascii="宋体" w:hAnsi="宋体"/>
                <w:kern w:val="0"/>
                <w:sz w:val="24"/>
              </w:rPr>
              <w:t>有效期的；</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6</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签署、盖章</w:t>
            </w:r>
          </w:p>
        </w:tc>
        <w:tc>
          <w:tcPr>
            <w:tcW w:w="4388" w:type="dxa"/>
            <w:noWrap w:val="0"/>
            <w:vAlign w:val="center"/>
          </w:tcPr>
          <w:p>
            <w:pPr>
              <w:widowControl/>
              <w:spacing w:line="360" w:lineRule="auto"/>
              <w:jc w:val="left"/>
              <w:rPr>
                <w:rFonts w:hint="eastAsia" w:ascii="宋体" w:hAnsi="宋体"/>
                <w:kern w:val="0"/>
                <w:sz w:val="24"/>
              </w:rPr>
            </w:pPr>
            <w:r>
              <w:rPr>
                <w:rFonts w:ascii="宋体" w:hAnsi="宋体"/>
                <w:kern w:val="0"/>
                <w:sz w:val="24"/>
              </w:rPr>
              <w:t>按照</w:t>
            </w:r>
            <w:r>
              <w:rPr>
                <w:rFonts w:hint="eastAsia" w:ascii="宋体" w:hAnsi="宋体"/>
                <w:kern w:val="0"/>
                <w:sz w:val="24"/>
              </w:rPr>
              <w:t>磋商文件</w:t>
            </w:r>
            <w:r>
              <w:rPr>
                <w:rFonts w:ascii="宋体" w:hAnsi="宋体"/>
                <w:kern w:val="0"/>
                <w:sz w:val="24"/>
              </w:rPr>
              <w:t>要求签署、盖章的；</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7</w:t>
            </w:r>
          </w:p>
        </w:tc>
        <w:tc>
          <w:tcPr>
            <w:tcW w:w="1880"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实质性格式</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标记为</w:t>
            </w:r>
            <w:r>
              <w:rPr>
                <w:rFonts w:ascii="宋体" w:hAnsi="宋体"/>
                <w:kern w:val="0"/>
                <w:sz w:val="24"/>
              </w:rPr>
              <w:t>“实质性格式”的</w:t>
            </w:r>
            <w:r>
              <w:rPr>
                <w:rFonts w:hint="eastAsia" w:ascii="宋体" w:hAnsi="宋体"/>
                <w:kern w:val="0"/>
                <w:sz w:val="24"/>
              </w:rPr>
              <w:t>文件均按磋商</w:t>
            </w:r>
            <w:r>
              <w:rPr>
                <w:rFonts w:ascii="宋体" w:hAnsi="宋体"/>
                <w:kern w:val="0"/>
                <w:sz w:val="24"/>
              </w:rPr>
              <w:t>文件</w:t>
            </w:r>
            <w:r>
              <w:rPr>
                <w:rFonts w:hint="eastAsia" w:ascii="宋体" w:hAnsi="宋体"/>
                <w:kern w:val="0"/>
                <w:sz w:val="24"/>
              </w:rPr>
              <w:t>要求提供；</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8</w:t>
            </w:r>
          </w:p>
        </w:tc>
        <w:tc>
          <w:tcPr>
            <w:tcW w:w="1880" w:type="dxa"/>
            <w:noWrap w:val="0"/>
            <w:vAlign w:val="center"/>
          </w:tcPr>
          <w:p>
            <w:pPr>
              <w:widowControl/>
              <w:spacing w:line="360" w:lineRule="auto"/>
              <w:jc w:val="left"/>
              <w:rPr>
                <w:rFonts w:hint="eastAsia" w:ascii="宋体" w:hAnsi="宋体"/>
                <w:kern w:val="0"/>
                <w:sz w:val="24"/>
              </w:rPr>
            </w:pPr>
            <w:r>
              <w:rPr>
                <w:rFonts w:ascii="宋体" w:hAnsi="宋体" w:cs="Segoe UI Symbol"/>
                <w:kern w:val="0"/>
                <w:sz w:val="24"/>
              </w:rPr>
              <w:t>★</w:t>
            </w:r>
            <w:r>
              <w:rPr>
                <w:rFonts w:ascii="宋体" w:hAnsi="宋体"/>
                <w:kern w:val="0"/>
                <w:sz w:val="24"/>
              </w:rPr>
              <w:t>号条款响应</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响应</w:t>
            </w:r>
            <w:r>
              <w:rPr>
                <w:rFonts w:ascii="宋体" w:hAnsi="宋体"/>
                <w:kern w:val="0"/>
                <w:sz w:val="24"/>
              </w:rPr>
              <w:t>文件满足</w:t>
            </w:r>
            <w:r>
              <w:rPr>
                <w:rFonts w:hint="eastAsia" w:ascii="宋体" w:hAnsi="宋体"/>
                <w:kern w:val="0"/>
                <w:sz w:val="24"/>
              </w:rPr>
              <w:t>磋商</w:t>
            </w:r>
            <w:r>
              <w:rPr>
                <w:rFonts w:ascii="宋体" w:hAnsi="宋体"/>
                <w:kern w:val="0"/>
                <w:sz w:val="24"/>
              </w:rPr>
              <w:t>文件</w:t>
            </w:r>
            <w:r>
              <w:rPr>
                <w:rFonts w:ascii="宋体" w:hAnsi="宋体"/>
                <w:sz w:val="24"/>
              </w:rPr>
              <w:t>第</w:t>
            </w:r>
            <w:r>
              <w:rPr>
                <w:rFonts w:hint="eastAsia" w:ascii="宋体" w:hAnsi="宋体"/>
                <w:sz w:val="24"/>
              </w:rPr>
              <w:t>四</w:t>
            </w:r>
            <w:r>
              <w:rPr>
                <w:rFonts w:ascii="宋体" w:hAnsi="宋体"/>
                <w:sz w:val="24"/>
              </w:rPr>
              <w:t>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9</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报价的修正（如有）</w:t>
            </w:r>
          </w:p>
        </w:tc>
        <w:tc>
          <w:tcPr>
            <w:tcW w:w="4388" w:type="dxa"/>
            <w:noWrap w:val="0"/>
            <w:vAlign w:val="center"/>
          </w:tcPr>
          <w:p>
            <w:pPr>
              <w:widowControl/>
              <w:spacing w:line="360" w:lineRule="auto"/>
              <w:rPr>
                <w:rFonts w:hint="eastAsia" w:ascii="宋体" w:hAnsi="宋体"/>
                <w:kern w:val="0"/>
                <w:sz w:val="24"/>
              </w:rPr>
            </w:pPr>
            <w:r>
              <w:rPr>
                <w:rFonts w:hint="eastAsia" w:ascii="宋体" w:hAnsi="宋体"/>
                <w:kern w:val="0"/>
                <w:sz w:val="24"/>
              </w:rPr>
              <w:t>不涉及报价修正</w:t>
            </w:r>
            <w:r>
              <w:rPr>
                <w:rFonts w:ascii="宋体" w:hAnsi="宋体"/>
                <w:kern w:val="0"/>
                <w:sz w:val="24"/>
              </w:rPr>
              <w:t>，或</w:t>
            </w:r>
            <w:r>
              <w:rPr>
                <w:rFonts w:hint="eastAsia" w:ascii="宋体" w:hAnsi="宋体"/>
                <w:kern w:val="0"/>
                <w:sz w:val="24"/>
              </w:rPr>
              <w:t>响应</w:t>
            </w:r>
            <w:r>
              <w:rPr>
                <w:rFonts w:ascii="宋体" w:hAnsi="宋体"/>
                <w:kern w:val="0"/>
                <w:sz w:val="24"/>
              </w:rPr>
              <w:t>文件报价出现前后不一致</w:t>
            </w:r>
            <w:r>
              <w:rPr>
                <w:rFonts w:hint="eastAsia" w:ascii="宋体" w:hAnsi="宋体"/>
                <w:kern w:val="0"/>
                <w:sz w:val="24"/>
              </w:rPr>
              <w:t>时</w:t>
            </w:r>
            <w:r>
              <w:rPr>
                <w:rFonts w:ascii="宋体" w:hAnsi="宋体"/>
                <w:kern w:val="0"/>
                <w:sz w:val="24"/>
              </w:rPr>
              <w:t>，供应商对修正后的报价予</w:t>
            </w:r>
            <w:r>
              <w:rPr>
                <w:rFonts w:hint="eastAsia" w:ascii="宋体" w:hAnsi="宋体"/>
                <w:kern w:val="0"/>
                <w:sz w:val="24"/>
              </w:rPr>
              <w:t>以</w:t>
            </w:r>
            <w:r>
              <w:rPr>
                <w:rFonts w:ascii="宋体" w:hAnsi="宋体"/>
                <w:kern w:val="0"/>
                <w:sz w:val="24"/>
              </w:rPr>
              <w:t>确认；（如有）</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hint="eastAsia" w:ascii="宋体" w:hAnsi="宋体"/>
                <w:kern w:val="0"/>
                <w:sz w:val="24"/>
              </w:rPr>
              <w:t>1</w:t>
            </w:r>
            <w:r>
              <w:rPr>
                <w:rFonts w:ascii="宋体" w:hAnsi="宋体"/>
                <w:kern w:val="0"/>
                <w:sz w:val="24"/>
              </w:rPr>
              <w:t>0</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报价合理性</w:t>
            </w:r>
          </w:p>
        </w:tc>
        <w:tc>
          <w:tcPr>
            <w:tcW w:w="4388" w:type="dxa"/>
            <w:noWrap w:val="0"/>
            <w:vAlign w:val="center"/>
          </w:tcPr>
          <w:p>
            <w:pPr>
              <w:widowControl/>
              <w:spacing w:line="360" w:lineRule="auto"/>
              <w:jc w:val="left"/>
              <w:rPr>
                <w:rFonts w:hint="eastAsia" w:ascii="宋体" w:hAnsi="宋体"/>
                <w:kern w:val="0"/>
                <w:sz w:val="24"/>
              </w:rPr>
            </w:pPr>
            <w:r>
              <w:rPr>
                <w:rFonts w:ascii="宋体" w:hAnsi="宋体"/>
                <w:kern w:val="0"/>
                <w:sz w:val="24"/>
              </w:rPr>
              <w:t>报价合理，或</w:t>
            </w:r>
            <w:r>
              <w:rPr>
                <w:rFonts w:hint="eastAsia" w:ascii="宋体" w:hAnsi="宋体"/>
                <w:sz w:val="24"/>
              </w:rPr>
              <w:t>供应商的报价明显低于其他通过符合性审查供应商的报价，</w:t>
            </w:r>
            <w:r>
              <w:rPr>
                <w:rFonts w:ascii="宋体" w:hAnsi="宋体"/>
                <w:sz w:val="24"/>
              </w:rPr>
              <w:t>有可能影响产品质量或者不能诚信履约的</w:t>
            </w:r>
            <w:r>
              <w:rPr>
                <w:rFonts w:hint="eastAsia" w:ascii="宋体" w:hAnsi="宋体"/>
                <w:sz w:val="24"/>
              </w:rPr>
              <w:t>，能够应磋商小组要求在规定时间内证明其报价合理性的</w:t>
            </w:r>
            <w:r>
              <w:rPr>
                <w:rFonts w:ascii="宋体" w:hAnsi="宋体"/>
                <w:kern w:val="0"/>
                <w:sz w:val="24"/>
              </w:rPr>
              <w:t>；</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11</w:t>
            </w:r>
          </w:p>
        </w:tc>
        <w:tc>
          <w:tcPr>
            <w:tcW w:w="1880" w:type="dxa"/>
            <w:noWrap w:val="0"/>
            <w:vAlign w:val="center"/>
          </w:tcPr>
          <w:p>
            <w:pPr>
              <w:widowControl/>
              <w:spacing w:line="360" w:lineRule="auto"/>
              <w:jc w:val="left"/>
              <w:rPr>
                <w:rFonts w:hint="eastAsia" w:ascii="宋体" w:hAnsi="宋体"/>
                <w:kern w:val="0"/>
                <w:sz w:val="24"/>
              </w:rPr>
            </w:pPr>
            <w:r>
              <w:rPr>
                <w:rFonts w:ascii="宋体" w:hAnsi="宋体"/>
                <w:sz w:val="24"/>
              </w:rPr>
              <w:t>已标价工程量清单</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sz w:val="24"/>
              </w:rPr>
              <w:t>供应商提供的报价文件按工程量清单计价规范相关内容及格式的规定并经有注册执业资格的造价工程师签字并加盖执业专用章的；</w:t>
            </w:r>
          </w:p>
        </w:tc>
        <w:tc>
          <w:tcPr>
            <w:tcW w:w="1909" w:type="dxa"/>
            <w:noWrap w:val="0"/>
            <w:vAlign w:val="center"/>
          </w:tcPr>
          <w:p>
            <w:pPr>
              <w:widowControl/>
              <w:spacing w:line="360" w:lineRule="auto"/>
              <w:jc w:val="center"/>
              <w:rPr>
                <w:rFonts w:hint="eastAsia"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12</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国家有关部门对</w:t>
            </w:r>
            <w:r>
              <w:rPr>
                <w:rFonts w:hint="eastAsia" w:ascii="宋体" w:hAnsi="宋体"/>
                <w:kern w:val="0"/>
                <w:sz w:val="24"/>
              </w:rPr>
              <w:t>供应商</w:t>
            </w:r>
            <w:r>
              <w:rPr>
                <w:rFonts w:ascii="宋体" w:hAnsi="宋体"/>
                <w:kern w:val="0"/>
                <w:sz w:val="24"/>
              </w:rPr>
              <w:t>的</w:t>
            </w:r>
            <w:r>
              <w:rPr>
                <w:rFonts w:hint="eastAsia" w:ascii="宋体" w:hAnsi="宋体"/>
                <w:kern w:val="0"/>
                <w:sz w:val="24"/>
              </w:rPr>
              <w:t>报价</w:t>
            </w:r>
            <w:r>
              <w:rPr>
                <w:rFonts w:ascii="宋体" w:hAnsi="宋体"/>
                <w:kern w:val="0"/>
                <w:sz w:val="24"/>
              </w:rPr>
              <w:t>产品有强制性规定或要求的</w:t>
            </w:r>
          </w:p>
        </w:tc>
        <w:tc>
          <w:tcPr>
            <w:tcW w:w="4388" w:type="dxa"/>
            <w:noWrap w:val="0"/>
            <w:vAlign w:val="center"/>
          </w:tcPr>
          <w:p>
            <w:pPr>
              <w:widowControl/>
              <w:spacing w:line="360" w:lineRule="auto"/>
              <w:jc w:val="left"/>
              <w:rPr>
                <w:rFonts w:hint="eastAsia" w:ascii="宋体" w:hAnsi="宋体"/>
                <w:kern w:val="0"/>
                <w:sz w:val="24"/>
              </w:rPr>
            </w:pPr>
            <w:r>
              <w:rPr>
                <w:rFonts w:ascii="宋体" w:hAnsi="宋体"/>
                <w:kern w:val="0"/>
                <w:sz w:val="24"/>
              </w:rPr>
              <w:t>国家有关部门对</w:t>
            </w:r>
            <w:r>
              <w:rPr>
                <w:rFonts w:hint="eastAsia" w:ascii="宋体" w:hAnsi="宋体"/>
                <w:kern w:val="0"/>
                <w:sz w:val="24"/>
              </w:rPr>
              <w:t>供应商</w:t>
            </w:r>
            <w:r>
              <w:rPr>
                <w:rFonts w:ascii="宋体" w:hAnsi="宋体"/>
                <w:kern w:val="0"/>
                <w:sz w:val="24"/>
              </w:rPr>
              <w:t>的</w:t>
            </w:r>
            <w:r>
              <w:rPr>
                <w:rFonts w:hint="eastAsia" w:ascii="宋体" w:hAnsi="宋体"/>
                <w:kern w:val="0"/>
                <w:sz w:val="24"/>
              </w:rPr>
              <w:t>报价</w:t>
            </w:r>
            <w:r>
              <w:rPr>
                <w:rFonts w:ascii="宋体" w:hAnsi="宋体"/>
                <w:kern w:val="0"/>
                <w:sz w:val="24"/>
              </w:rPr>
              <w:t>产品有强制性规定或要求的（如相应技术、安全、节能和环保等），</w:t>
            </w:r>
            <w:r>
              <w:rPr>
                <w:rFonts w:hint="eastAsia" w:ascii="宋体" w:hAnsi="宋体"/>
                <w:kern w:val="0"/>
                <w:sz w:val="24"/>
              </w:rPr>
              <w:t>供应商</w:t>
            </w:r>
            <w:r>
              <w:rPr>
                <w:rFonts w:ascii="宋体" w:hAnsi="宋体"/>
                <w:kern w:val="0"/>
                <w:sz w:val="24"/>
              </w:rPr>
              <w:t>的</w:t>
            </w:r>
            <w:r>
              <w:rPr>
                <w:rFonts w:hint="eastAsia" w:ascii="宋体" w:hAnsi="宋体"/>
                <w:kern w:val="0"/>
                <w:sz w:val="24"/>
              </w:rPr>
              <w:t>报价</w:t>
            </w:r>
            <w:r>
              <w:rPr>
                <w:rFonts w:ascii="宋体" w:hAnsi="宋体"/>
                <w:kern w:val="0"/>
                <w:sz w:val="24"/>
              </w:rPr>
              <w:t>产品</w:t>
            </w:r>
            <w:r>
              <w:rPr>
                <w:rFonts w:hint="eastAsia" w:ascii="宋体" w:hAnsi="宋体"/>
                <w:kern w:val="0"/>
                <w:sz w:val="24"/>
              </w:rPr>
              <w:t>应</w:t>
            </w:r>
            <w:r>
              <w:rPr>
                <w:rFonts w:ascii="宋体" w:hAnsi="宋体"/>
                <w:kern w:val="0"/>
                <w:sz w:val="24"/>
              </w:rPr>
              <w:t>符合相应规定或要求</w:t>
            </w:r>
            <w:r>
              <w:rPr>
                <w:rFonts w:hint="eastAsia" w:ascii="宋体" w:hAnsi="宋体"/>
                <w:kern w:val="0"/>
                <w:sz w:val="24"/>
              </w:rPr>
              <w:t>，并提供证明文件复印件：</w:t>
            </w:r>
          </w:p>
          <w:p>
            <w:pPr>
              <w:widowControl/>
              <w:spacing w:line="360" w:lineRule="auto"/>
              <w:jc w:val="left"/>
              <w:rPr>
                <w:rFonts w:hint="eastAsia" w:ascii="宋体" w:hAnsi="宋体"/>
                <w:kern w:val="0"/>
                <w:sz w:val="24"/>
              </w:rPr>
            </w:pPr>
            <w:r>
              <w:rPr>
                <w:rFonts w:hint="eastAsia" w:ascii="宋体" w:hAnsi="宋体"/>
                <w:kern w:val="0"/>
                <w:sz w:val="24"/>
              </w:rPr>
              <w:t>1）</w:t>
            </w:r>
            <w:bookmarkStart w:id="634" w:name="OLE_LINK1"/>
            <w:r>
              <w:rPr>
                <w:rFonts w:ascii="宋体" w:hAnsi="宋体"/>
                <w:kern w:val="0"/>
                <w:sz w:val="24"/>
              </w:rPr>
              <w:t>采购的产品若属于《节能产品政府采购品目清单》范围中政府强制采购产品，则</w:t>
            </w:r>
            <w:r>
              <w:rPr>
                <w:rFonts w:hint="eastAsia" w:ascii="宋体" w:hAnsi="宋体"/>
                <w:kern w:val="0"/>
                <w:sz w:val="24"/>
              </w:rPr>
              <w:t>供应商</w:t>
            </w:r>
            <w:r>
              <w:rPr>
                <w:rFonts w:ascii="宋体" w:hAnsi="宋体"/>
                <w:kern w:val="0"/>
                <w:sz w:val="24"/>
              </w:rPr>
              <w:t>所报产品必须获得国家确定的认证机构出具的、处于有效期之内的节能产品认证证书；</w:t>
            </w:r>
            <w:bookmarkEnd w:id="634"/>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13</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公平竞争</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sz w:val="24"/>
              </w:rPr>
              <w:t>供应商</w:t>
            </w:r>
            <w:r>
              <w:rPr>
                <w:rFonts w:ascii="宋体" w:hAnsi="宋体"/>
                <w:sz w:val="24"/>
              </w:rPr>
              <w:t>遵循公平竞争的原则，不存在恶意串通，妨碍其他</w:t>
            </w:r>
            <w:r>
              <w:rPr>
                <w:rFonts w:hint="eastAsia" w:ascii="宋体" w:hAnsi="宋体"/>
                <w:sz w:val="24"/>
              </w:rPr>
              <w:t>供应商</w:t>
            </w:r>
            <w:r>
              <w:rPr>
                <w:rFonts w:ascii="宋体" w:hAnsi="宋体"/>
                <w:sz w:val="24"/>
              </w:rPr>
              <w:t>的竞争行为，不存在损害采购人或者其他</w:t>
            </w:r>
            <w:r>
              <w:rPr>
                <w:rFonts w:hint="eastAsia" w:ascii="宋体" w:hAnsi="宋体"/>
                <w:sz w:val="24"/>
              </w:rPr>
              <w:t>供应商</w:t>
            </w:r>
            <w:r>
              <w:rPr>
                <w:rFonts w:ascii="宋体" w:hAnsi="宋体"/>
                <w:sz w:val="24"/>
              </w:rPr>
              <w:t>的合法权益情形的；</w:t>
            </w:r>
          </w:p>
        </w:tc>
        <w:tc>
          <w:tcPr>
            <w:tcW w:w="1909" w:type="dxa"/>
            <w:noWrap w:val="0"/>
            <w:vAlign w:val="center"/>
          </w:tcPr>
          <w:p>
            <w:pPr>
              <w:widowControl/>
              <w:spacing w:line="360" w:lineRule="auto"/>
              <w:jc w:val="center"/>
              <w:rPr>
                <w:rFonts w:hint="eastAsia"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14</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串通投标</w:t>
            </w:r>
          </w:p>
        </w:tc>
        <w:tc>
          <w:tcPr>
            <w:tcW w:w="4388" w:type="dxa"/>
            <w:noWrap w:val="0"/>
            <w:vAlign w:val="center"/>
          </w:tcPr>
          <w:p>
            <w:pPr>
              <w:widowControl/>
              <w:spacing w:line="360" w:lineRule="auto"/>
              <w:jc w:val="left"/>
              <w:rPr>
                <w:rFonts w:hint="eastAsia" w:ascii="宋体" w:hAnsi="宋体"/>
                <w:sz w:val="24"/>
              </w:rPr>
            </w:pPr>
            <w:r>
              <w:rPr>
                <w:rFonts w:hint="eastAsia" w:ascii="宋体" w:hAnsi="宋体"/>
                <w:sz w:val="24"/>
              </w:rPr>
              <w:t>（一）不同供应商的响应文件由同一单位或者个人编制；</w:t>
            </w:r>
          </w:p>
          <w:p>
            <w:pPr>
              <w:widowControl/>
              <w:spacing w:line="360" w:lineRule="auto"/>
              <w:jc w:val="left"/>
              <w:rPr>
                <w:rFonts w:hint="eastAsia" w:ascii="宋体" w:hAnsi="宋体"/>
                <w:sz w:val="24"/>
              </w:rPr>
            </w:pPr>
            <w:r>
              <w:rPr>
                <w:rFonts w:hint="eastAsia" w:ascii="宋体" w:hAnsi="宋体"/>
                <w:sz w:val="24"/>
              </w:rPr>
              <w:t>（二）不同供应商委托同一单位或者个人办理磋商事宜；</w:t>
            </w:r>
          </w:p>
          <w:p>
            <w:pPr>
              <w:widowControl/>
              <w:spacing w:line="360" w:lineRule="auto"/>
              <w:jc w:val="left"/>
              <w:rPr>
                <w:rFonts w:hint="eastAsia" w:ascii="宋体" w:hAnsi="宋体"/>
                <w:sz w:val="24"/>
              </w:rPr>
            </w:pPr>
            <w:r>
              <w:rPr>
                <w:rFonts w:hint="eastAsia" w:ascii="宋体" w:hAnsi="宋体"/>
                <w:sz w:val="24"/>
              </w:rPr>
              <w:t>（三）不同供应商的响应文件载明的项目管理成员或者联系人员为同一人；</w:t>
            </w:r>
          </w:p>
          <w:p>
            <w:pPr>
              <w:widowControl/>
              <w:spacing w:line="360" w:lineRule="auto"/>
              <w:jc w:val="left"/>
              <w:rPr>
                <w:rFonts w:hint="eastAsia" w:ascii="宋体" w:hAnsi="宋体"/>
                <w:sz w:val="24"/>
              </w:rPr>
            </w:pPr>
            <w:r>
              <w:rPr>
                <w:rFonts w:hint="eastAsia" w:ascii="宋体" w:hAnsi="宋体"/>
                <w:sz w:val="24"/>
              </w:rPr>
              <w:t>（四）不同供应商的响应文件异常一致或者报价呈规律性差异；</w:t>
            </w:r>
          </w:p>
          <w:p>
            <w:pPr>
              <w:widowControl/>
              <w:spacing w:line="360" w:lineRule="auto"/>
              <w:jc w:val="left"/>
              <w:rPr>
                <w:rFonts w:hint="eastAsia" w:ascii="宋体" w:hAnsi="宋体"/>
                <w:sz w:val="24"/>
              </w:rPr>
            </w:pPr>
            <w:r>
              <w:rPr>
                <w:rFonts w:hint="eastAsia" w:ascii="宋体" w:hAnsi="宋体"/>
                <w:sz w:val="24"/>
              </w:rPr>
              <w:t>（五）不同供应商的响应文件相互混装；</w:t>
            </w:r>
          </w:p>
          <w:p>
            <w:pPr>
              <w:widowControl/>
              <w:spacing w:line="360" w:lineRule="auto"/>
              <w:jc w:val="left"/>
              <w:rPr>
                <w:rFonts w:hint="eastAsia" w:ascii="宋体" w:hAnsi="宋体"/>
                <w:kern w:val="0"/>
                <w:sz w:val="24"/>
              </w:rPr>
            </w:pPr>
            <w:r>
              <w:rPr>
                <w:rFonts w:hint="eastAsia" w:ascii="宋体" w:hAnsi="宋体"/>
                <w:sz w:val="24"/>
              </w:rPr>
              <w:t>（六）不同供应商的磋商保证金从同一单位或者个人的账户转出</w:t>
            </w:r>
            <w:r>
              <w:rPr>
                <w:rFonts w:ascii="宋体" w:hAnsi="宋体"/>
                <w:sz w:val="24"/>
              </w:rPr>
              <w:t>；</w:t>
            </w:r>
          </w:p>
        </w:tc>
        <w:tc>
          <w:tcPr>
            <w:tcW w:w="1909" w:type="dxa"/>
            <w:noWrap w:val="0"/>
            <w:vAlign w:val="center"/>
          </w:tcPr>
          <w:p>
            <w:pPr>
              <w:widowControl/>
              <w:spacing w:line="360" w:lineRule="auto"/>
              <w:jc w:val="center"/>
              <w:rPr>
                <w:rFonts w:hint="eastAsia" w:ascii="宋体" w:hAnsi="宋体"/>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15</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附加条件</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kern w:val="0"/>
                <w:sz w:val="24"/>
              </w:rPr>
              <w:t>响应</w:t>
            </w:r>
            <w:r>
              <w:rPr>
                <w:rFonts w:ascii="宋体" w:hAnsi="宋体"/>
                <w:kern w:val="0"/>
                <w:sz w:val="24"/>
              </w:rPr>
              <w:t>文件</w:t>
            </w:r>
            <w:r>
              <w:rPr>
                <w:rFonts w:hint="eastAsia" w:ascii="宋体" w:hAnsi="宋体"/>
                <w:kern w:val="0"/>
                <w:sz w:val="24"/>
              </w:rPr>
              <w:t>未</w:t>
            </w:r>
            <w:r>
              <w:rPr>
                <w:rFonts w:ascii="宋体" w:hAnsi="宋体"/>
                <w:kern w:val="0"/>
                <w:sz w:val="24"/>
              </w:rPr>
              <w:t>含有采购人不能接受的附加条件的；</w:t>
            </w:r>
          </w:p>
        </w:tc>
        <w:tc>
          <w:tcPr>
            <w:tcW w:w="1909" w:type="dxa"/>
            <w:noWrap w:val="0"/>
            <w:vAlign w:val="center"/>
          </w:tcPr>
          <w:p>
            <w:pPr>
              <w:widowControl/>
              <w:spacing w:line="360" w:lineRule="auto"/>
              <w:jc w:val="center"/>
              <w:rPr>
                <w:rFonts w:hint="eastAsia" w:ascii="宋体" w:hAnsi="宋体"/>
                <w:kern w:val="0"/>
                <w:sz w:val="24"/>
              </w:rPr>
            </w:pPr>
            <w:r>
              <w:rPr>
                <w:rFonts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9" w:type="dxa"/>
            <w:noWrap w:val="0"/>
            <w:vAlign w:val="center"/>
          </w:tcPr>
          <w:p>
            <w:pPr>
              <w:widowControl/>
              <w:spacing w:line="360" w:lineRule="auto"/>
              <w:jc w:val="center"/>
              <w:rPr>
                <w:rFonts w:hint="eastAsia" w:ascii="宋体" w:hAnsi="宋体"/>
                <w:kern w:val="0"/>
                <w:sz w:val="24"/>
              </w:rPr>
            </w:pPr>
            <w:r>
              <w:rPr>
                <w:rFonts w:ascii="宋体" w:hAnsi="宋体"/>
                <w:kern w:val="0"/>
                <w:sz w:val="24"/>
              </w:rPr>
              <w:t>16</w:t>
            </w:r>
          </w:p>
        </w:tc>
        <w:tc>
          <w:tcPr>
            <w:tcW w:w="1880" w:type="dxa"/>
            <w:noWrap w:val="0"/>
            <w:vAlign w:val="center"/>
          </w:tcPr>
          <w:p>
            <w:pPr>
              <w:widowControl/>
              <w:spacing w:line="360" w:lineRule="auto"/>
              <w:jc w:val="left"/>
              <w:rPr>
                <w:rFonts w:hint="eastAsia" w:ascii="宋体" w:hAnsi="宋体"/>
                <w:kern w:val="0"/>
                <w:sz w:val="24"/>
              </w:rPr>
            </w:pPr>
            <w:r>
              <w:rPr>
                <w:rFonts w:ascii="宋体" w:hAnsi="宋体"/>
                <w:kern w:val="0"/>
                <w:sz w:val="24"/>
              </w:rPr>
              <w:t>其他无效情形</w:t>
            </w:r>
          </w:p>
        </w:tc>
        <w:tc>
          <w:tcPr>
            <w:tcW w:w="4388" w:type="dxa"/>
            <w:noWrap w:val="0"/>
            <w:vAlign w:val="center"/>
          </w:tcPr>
          <w:p>
            <w:pPr>
              <w:widowControl/>
              <w:spacing w:line="360" w:lineRule="auto"/>
              <w:jc w:val="left"/>
              <w:rPr>
                <w:rFonts w:hint="eastAsia" w:ascii="宋体" w:hAnsi="宋体"/>
                <w:kern w:val="0"/>
                <w:sz w:val="24"/>
              </w:rPr>
            </w:pPr>
            <w:r>
              <w:rPr>
                <w:rFonts w:hint="eastAsia" w:ascii="宋体" w:hAnsi="宋体"/>
                <w:sz w:val="24"/>
              </w:rPr>
              <w:t>供应商</w:t>
            </w:r>
            <w:r>
              <w:rPr>
                <w:rFonts w:ascii="宋体" w:hAnsi="宋体"/>
                <w:sz w:val="24"/>
              </w:rPr>
              <w:t>、</w:t>
            </w:r>
            <w:r>
              <w:rPr>
                <w:rFonts w:hint="eastAsia" w:ascii="宋体" w:hAnsi="宋体"/>
                <w:sz w:val="24"/>
              </w:rPr>
              <w:t>响应</w:t>
            </w:r>
            <w:r>
              <w:rPr>
                <w:rFonts w:ascii="宋体" w:hAnsi="宋体"/>
                <w:sz w:val="24"/>
              </w:rPr>
              <w:t>文件</w:t>
            </w:r>
            <w:r>
              <w:rPr>
                <w:rFonts w:hint="eastAsia" w:ascii="宋体" w:hAnsi="宋体"/>
                <w:sz w:val="24"/>
              </w:rPr>
              <w:t>不存在</w:t>
            </w:r>
            <w:r>
              <w:rPr>
                <w:rFonts w:ascii="宋体" w:hAnsi="宋体"/>
                <w:sz w:val="24"/>
              </w:rPr>
              <w:t>不符合法律、法规和</w:t>
            </w:r>
            <w:r>
              <w:rPr>
                <w:rFonts w:hint="eastAsia" w:ascii="宋体" w:hAnsi="宋体"/>
                <w:sz w:val="24"/>
              </w:rPr>
              <w:t>磋商文件</w:t>
            </w:r>
            <w:r>
              <w:rPr>
                <w:rFonts w:ascii="宋体" w:hAnsi="宋体"/>
                <w:sz w:val="24"/>
              </w:rPr>
              <w:t>规定的其他无效情形。</w:t>
            </w:r>
          </w:p>
        </w:tc>
        <w:tc>
          <w:tcPr>
            <w:tcW w:w="1909" w:type="dxa"/>
            <w:noWrap w:val="0"/>
            <w:vAlign w:val="center"/>
          </w:tcPr>
          <w:p>
            <w:pPr>
              <w:widowControl/>
              <w:spacing w:line="360" w:lineRule="auto"/>
              <w:jc w:val="center"/>
              <w:rPr>
                <w:rFonts w:hint="eastAsia" w:ascii="宋体" w:hAnsi="宋体"/>
                <w:sz w:val="24"/>
              </w:rPr>
            </w:pPr>
            <w:r>
              <w:rPr>
                <w:rFonts w:ascii="宋体" w:hAnsi="宋体"/>
                <w:sz w:val="24"/>
              </w:rPr>
              <w:t>不允许</w:t>
            </w:r>
          </w:p>
        </w:tc>
      </w:tr>
    </w:tbl>
    <w:p>
      <w:pPr>
        <w:tabs>
          <w:tab w:val="left" w:pos="900"/>
          <w:tab w:val="left" w:pos="1080"/>
          <w:tab w:val="left" w:pos="1589"/>
        </w:tabs>
        <w:snapToGrid w:val="0"/>
        <w:spacing w:line="360" w:lineRule="auto"/>
        <w:rPr>
          <w:rFonts w:ascii="宋体" w:hAnsi="宋体"/>
          <w:sz w:val="24"/>
        </w:rPr>
      </w:pPr>
    </w:p>
    <w:p>
      <w:pPr>
        <w:numPr>
          <w:ilvl w:val="0"/>
          <w:numId w:val="23"/>
        </w:numPr>
        <w:tabs>
          <w:tab w:val="left" w:pos="360"/>
        </w:tabs>
        <w:snapToGrid w:val="0"/>
        <w:spacing w:line="360" w:lineRule="auto"/>
        <w:rPr>
          <w:rFonts w:ascii="宋体" w:hAnsi="宋体"/>
          <w:sz w:val="24"/>
        </w:rPr>
      </w:pPr>
      <w:r>
        <w:rPr>
          <w:rFonts w:ascii="宋体" w:hAnsi="宋体"/>
          <w:sz w:val="24"/>
        </w:rPr>
        <w:t>磋商、响应文件有关事项的澄清、说明或者更正和最后报价</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磋商小组所有成员</w:t>
      </w:r>
      <w:r>
        <w:rPr>
          <w:rFonts w:hint="eastAsia" w:ascii="宋体" w:hAnsi="宋体"/>
          <w:sz w:val="24"/>
        </w:rPr>
        <w:t>将</w:t>
      </w:r>
      <w:r>
        <w:rPr>
          <w:rFonts w:ascii="宋体" w:hAnsi="宋体"/>
          <w:sz w:val="24"/>
        </w:rPr>
        <w:t>集中与单一供应商分别进行磋商，并给予所有参加磋商的供应商平等的磋商机会。</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2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pPr>
        <w:numPr>
          <w:ilvl w:val="1"/>
          <w:numId w:val="2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w:t>
      </w:r>
      <w:r>
        <w:rPr>
          <w:rFonts w:ascii="宋体" w:hAnsi="宋体"/>
          <w:spacing w:val="2"/>
          <w:sz w:val="24"/>
        </w:rPr>
        <w:t>（若供应商为事业单位或其他组织或分支机构</w:t>
      </w:r>
      <w:r>
        <w:rPr>
          <w:rFonts w:ascii="宋体" w:hAnsi="宋体"/>
          <w:spacing w:val="1"/>
          <w:sz w:val="24"/>
        </w:rPr>
        <w:t>，可为单位</w:t>
      </w:r>
      <w:r>
        <w:rPr>
          <w:rFonts w:ascii="宋体" w:hAnsi="宋体"/>
          <w:sz w:val="24"/>
        </w:rPr>
        <w:t xml:space="preserve"> </w:t>
      </w:r>
      <w:r>
        <w:rPr>
          <w:rFonts w:ascii="宋体" w:hAnsi="宋体"/>
          <w:spacing w:val="2"/>
          <w:sz w:val="24"/>
        </w:rPr>
        <w:t>负责人）</w:t>
      </w:r>
      <w:r>
        <w:rPr>
          <w:rFonts w:ascii="宋体" w:hAnsi="宋体"/>
          <w:kern w:val="0"/>
          <w:sz w:val="24"/>
        </w:rPr>
        <w:t>或授权代表签字或者加盖公章。由授权代表签字的，应当附授权委托书。供应商为自然人的，应当由本人签字并附身份证明。</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hint="eastAsia" w:ascii="宋体" w:hAnsi="宋体"/>
          <w:sz w:val="24"/>
        </w:rPr>
        <w:t>：</w:t>
      </w:r>
    </w:p>
    <w:p>
      <w:pPr>
        <w:numPr>
          <w:ilvl w:val="2"/>
          <w:numId w:val="23"/>
        </w:numPr>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23"/>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pPr>
        <w:numPr>
          <w:ilvl w:val="2"/>
          <w:numId w:val="23"/>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ascii="宋体" w:hAnsi="宋体"/>
          <w:spacing w:val="-11"/>
          <w:sz w:val="24"/>
        </w:rPr>
        <w:t>（若供应商为事业单位或其他组织或分支机构，</w:t>
      </w:r>
      <w:r>
        <w:rPr>
          <w:rFonts w:ascii="宋体" w:hAnsi="宋体"/>
          <w:spacing w:val="-32"/>
          <w:sz w:val="24"/>
        </w:rPr>
        <w:t xml:space="preserve"> </w:t>
      </w:r>
      <w:r>
        <w:rPr>
          <w:rFonts w:ascii="宋体" w:hAnsi="宋体"/>
          <w:spacing w:val="-11"/>
          <w:sz w:val="24"/>
        </w:rPr>
        <w:t>可为单位负责人）</w:t>
      </w:r>
      <w:r>
        <w:rPr>
          <w:rFonts w:ascii="宋体" w:hAnsi="宋体"/>
          <w:sz w:val="24"/>
        </w:rPr>
        <w:t>或其授权代表签字或者加盖公章。由授权代表签字的，应当附授权委托书。供应商为自然人的，应当由本人签字并附身份证明。</w:t>
      </w:r>
      <w:r>
        <w:rPr>
          <w:rFonts w:hint="eastAsia" w:ascii="宋体" w:hAnsi="宋体"/>
          <w:sz w:val="24"/>
        </w:rPr>
        <w:t>澄清、说明或者更正文件</w:t>
      </w:r>
      <w:r>
        <w:rPr>
          <w:rFonts w:ascii="宋体" w:hAnsi="宋体"/>
          <w:sz w:val="24"/>
        </w:rPr>
        <w:t>将作为响应文件内容的一部分。</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pPr>
        <w:numPr>
          <w:ilvl w:val="0"/>
          <w:numId w:val="23"/>
        </w:numPr>
        <w:tabs>
          <w:tab w:val="left" w:pos="360"/>
        </w:tabs>
        <w:snapToGrid w:val="0"/>
        <w:spacing w:line="360" w:lineRule="auto"/>
        <w:rPr>
          <w:rFonts w:ascii="宋体" w:hAnsi="宋体"/>
          <w:sz w:val="24"/>
        </w:rPr>
      </w:pPr>
      <w:r>
        <w:rPr>
          <w:rFonts w:ascii="宋体" w:hAnsi="宋体"/>
          <w:sz w:val="24"/>
        </w:rPr>
        <w:t>最后报价的算术修正及政策调整</w:t>
      </w:r>
    </w:p>
    <w:p>
      <w:pPr>
        <w:numPr>
          <w:ilvl w:val="1"/>
          <w:numId w:val="23"/>
        </w:numPr>
        <w:tabs>
          <w:tab w:val="left" w:pos="1080"/>
          <w:tab w:val="left" w:pos="1872"/>
        </w:tabs>
        <w:snapToGrid w:val="0"/>
        <w:spacing w:line="360" w:lineRule="auto"/>
        <w:ind w:left="1077" w:hanging="720"/>
        <w:rPr>
          <w:rFonts w:ascii="宋体" w:hAnsi="宋体"/>
          <w:sz w:val="24"/>
        </w:rPr>
      </w:pPr>
      <w:r>
        <w:rPr>
          <w:rFonts w:hint="eastAsia" w:ascii="宋体" w:hAnsi="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ascii="宋体" w:hAnsi="宋体"/>
          <w:b/>
          <w:bCs/>
          <w:sz w:val="24"/>
        </w:rPr>
        <w:t>响应无效</w:t>
      </w:r>
      <w:r>
        <w:rPr>
          <w:rFonts w:hint="eastAsia" w:ascii="宋体" w:hAnsi="宋体"/>
          <w:sz w:val="24"/>
        </w:rPr>
        <w:t>。</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pPr>
        <w:numPr>
          <w:ilvl w:val="2"/>
          <w:numId w:val="2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2"/>
        </w:rPr>
        <w:t>■</w:t>
      </w:r>
      <w:r>
        <w:rPr>
          <w:rFonts w:ascii="宋体" w:hAnsi="宋体"/>
          <w:sz w:val="24"/>
        </w:rPr>
        <w:t>无，按下述3.2.2-3.2.5项规定修正。</w:t>
      </w:r>
    </w:p>
    <w:p>
      <w:pPr>
        <w:numPr>
          <w:ilvl w:val="2"/>
          <w:numId w:val="2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pPr>
        <w:numPr>
          <w:ilvl w:val="2"/>
          <w:numId w:val="2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w:t>
      </w:r>
      <w:r>
        <w:rPr>
          <w:rFonts w:ascii="宋体" w:hAnsi="宋体"/>
          <w:spacing w:val="-11"/>
          <w:sz w:val="24"/>
        </w:rPr>
        <w:t>以总价为准，</w:t>
      </w:r>
      <w:r>
        <w:rPr>
          <w:rFonts w:ascii="宋体" w:hAnsi="宋体"/>
          <w:spacing w:val="-45"/>
          <w:sz w:val="24"/>
        </w:rPr>
        <w:t xml:space="preserve"> </w:t>
      </w:r>
      <w:r>
        <w:rPr>
          <w:rFonts w:ascii="宋体" w:hAnsi="宋体"/>
          <w:spacing w:val="-11"/>
          <w:sz w:val="24"/>
        </w:rPr>
        <w:t>并修改单价</w:t>
      </w:r>
      <w:r>
        <w:rPr>
          <w:rFonts w:ascii="宋体" w:hAnsi="宋体"/>
          <w:sz w:val="24"/>
        </w:rPr>
        <w:t>；</w:t>
      </w:r>
    </w:p>
    <w:p>
      <w:pPr>
        <w:numPr>
          <w:ilvl w:val="2"/>
          <w:numId w:val="2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pPr>
        <w:numPr>
          <w:ilvl w:val="2"/>
          <w:numId w:val="2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对于未预留份额专门面向中小企业采购的采购项目，以及预留份额项目中的非预留部分采购包，对小微企业报价给予_</w:t>
      </w:r>
      <w:r>
        <w:rPr>
          <w:rFonts w:hint="eastAsia" w:ascii="宋体" w:hAnsi="宋体"/>
          <w:sz w:val="24"/>
        </w:rPr>
        <w:t>10</w:t>
      </w:r>
      <w:r>
        <w:rPr>
          <w:rFonts w:ascii="宋体" w:hAnsi="宋体"/>
          <w:sz w:val="24"/>
        </w:rPr>
        <w:t>_%的扣除，用扣除后的价格参加评审。</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ascii="宋体" w:hAnsi="宋体"/>
          <w:sz w:val="24"/>
        </w:rPr>
        <w:t>6</w:t>
      </w:r>
      <w:r>
        <w:rPr>
          <w:rFonts w:ascii="宋体" w:hAnsi="宋体"/>
          <w:sz w:val="24"/>
        </w:rPr>
        <w:t>_%的扣除，用扣除后的价格参加评审。</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监狱企业提供了由省级以上监狱管理局、戒毒管理局（含新疆生产建设兵团）出具的属于监狱企业的证明文件的，视同小微企业。</w:t>
      </w:r>
    </w:p>
    <w:p>
      <w:pPr>
        <w:numPr>
          <w:ilvl w:val="2"/>
          <w:numId w:val="2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残疾人福利性单位按竞争性磋商文件要求提供了《残疾人福利性单位声明函》的，视同小微企业。</w:t>
      </w:r>
    </w:p>
    <w:p>
      <w:pPr>
        <w:numPr>
          <w:ilvl w:val="2"/>
          <w:numId w:val="23"/>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pPr>
        <w:numPr>
          <w:ilvl w:val="2"/>
          <w:numId w:val="23"/>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hint="eastAsia" w:ascii="宋体" w:hAnsi="宋体"/>
          <w:sz w:val="24"/>
          <w:u w:val="single"/>
        </w:rPr>
        <w:t xml:space="preserve">  /  </w:t>
      </w:r>
      <w:r>
        <w:rPr>
          <w:rFonts w:ascii="宋体" w:hAnsi="宋体"/>
          <w:sz w:val="24"/>
        </w:rPr>
        <w:t>。</w:t>
      </w:r>
    </w:p>
    <w:p>
      <w:pPr>
        <w:numPr>
          <w:ilvl w:val="0"/>
          <w:numId w:val="23"/>
        </w:numPr>
        <w:tabs>
          <w:tab w:val="left" w:pos="360"/>
        </w:tabs>
        <w:snapToGrid w:val="0"/>
        <w:spacing w:line="360" w:lineRule="auto"/>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pPr>
        <w:numPr>
          <w:ilvl w:val="1"/>
          <w:numId w:val="23"/>
        </w:numPr>
        <w:tabs>
          <w:tab w:val="left" w:pos="1080"/>
        </w:tabs>
        <w:snapToGrid w:val="0"/>
        <w:spacing w:line="360" w:lineRule="auto"/>
        <w:ind w:left="1077" w:hanging="720"/>
        <w:rPr>
          <w:rFonts w:ascii="宋体" w:hAnsi="宋体"/>
          <w:sz w:val="24"/>
        </w:rPr>
      </w:pPr>
      <w:r>
        <w:rPr>
          <w:rFonts w:ascii="宋体" w:hAnsi="宋体"/>
          <w:sz w:val="24"/>
        </w:rPr>
        <w:t>其他：</w:t>
      </w:r>
      <w:r>
        <w:rPr>
          <w:rFonts w:hint="eastAsia" w:ascii="宋体" w:hAnsi="宋体"/>
          <w:sz w:val="24"/>
          <w:u w:val="single"/>
        </w:rPr>
        <w:t>未按照按磋商小组的要求签署、盖章的</w:t>
      </w:r>
      <w:r>
        <w:rPr>
          <w:rFonts w:hint="eastAsia" w:ascii="宋体" w:hAnsi="宋体"/>
          <w:sz w:val="24"/>
        </w:rPr>
        <w:t>；</w:t>
      </w:r>
    </w:p>
    <w:p>
      <w:pPr>
        <w:tabs>
          <w:tab w:val="left" w:pos="1080"/>
          <w:tab w:val="left" w:pos="1589"/>
        </w:tabs>
        <w:snapToGrid w:val="0"/>
        <w:spacing w:line="360" w:lineRule="auto"/>
        <w:ind w:left="1077" w:leftChars="513" w:firstLine="720" w:firstLineChars="3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617"/>
    <w:bookmarkEnd w:id="618"/>
    <w:p>
      <w:pPr>
        <w:numPr>
          <w:ilvl w:val="0"/>
          <w:numId w:val="23"/>
        </w:numPr>
        <w:tabs>
          <w:tab w:val="left" w:pos="360"/>
        </w:tabs>
        <w:snapToGrid w:val="0"/>
        <w:spacing w:line="360" w:lineRule="auto"/>
        <w:rPr>
          <w:rFonts w:ascii="宋体" w:hAnsi="宋体"/>
          <w:sz w:val="24"/>
        </w:rPr>
      </w:pPr>
      <w:r>
        <w:rPr>
          <w:rFonts w:ascii="宋体" w:hAnsi="宋体"/>
          <w:sz w:val="24"/>
        </w:rPr>
        <w:t>评审方法和评审标准</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hint="eastAsia" w:ascii="宋体" w:hAnsi="宋体"/>
          <w:sz w:val="24"/>
          <w:u w:val="single"/>
        </w:rPr>
        <w:t xml:space="preserve">  /  </w:t>
      </w:r>
      <w:r>
        <w:rPr>
          <w:rFonts w:ascii="宋体" w:hAnsi="宋体"/>
          <w:sz w:val="24"/>
        </w:rPr>
        <w:t>。</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w:t>
      </w:r>
      <w:r>
        <w:rPr>
          <w:rFonts w:hint="eastAsia" w:ascii="宋体" w:hAnsi="宋体"/>
          <w:sz w:val="24"/>
          <w:u w:val="single"/>
        </w:rPr>
        <w:t xml:space="preserve">  /  </w:t>
      </w:r>
      <w:r>
        <w:rPr>
          <w:rFonts w:ascii="宋体" w:hAnsi="宋体"/>
          <w:sz w:val="24"/>
        </w:rPr>
        <w:t>。</w:t>
      </w:r>
    </w:p>
    <w:p>
      <w:pPr>
        <w:numPr>
          <w:ilvl w:val="0"/>
          <w:numId w:val="23"/>
        </w:numPr>
        <w:tabs>
          <w:tab w:val="left" w:pos="360"/>
        </w:tabs>
        <w:snapToGrid w:val="0"/>
        <w:spacing w:line="360" w:lineRule="auto"/>
        <w:rPr>
          <w:rFonts w:ascii="宋体" w:hAnsi="宋体"/>
          <w:sz w:val="24"/>
        </w:rPr>
      </w:pPr>
      <w:r>
        <w:rPr>
          <w:rFonts w:ascii="宋体" w:hAnsi="宋体"/>
          <w:sz w:val="24"/>
        </w:rPr>
        <w:t>确定</w:t>
      </w:r>
      <w:bookmarkStart w:id="635" w:name="_Toc142311048"/>
      <w:bookmarkStart w:id="636" w:name="_Toc151193644"/>
      <w:bookmarkStart w:id="637" w:name="_Toc151193934"/>
      <w:bookmarkStart w:id="638" w:name="_Toc151193716"/>
      <w:bookmarkStart w:id="639" w:name="_Toc226309790"/>
      <w:bookmarkStart w:id="640" w:name="_Toc150509297"/>
      <w:bookmarkStart w:id="641" w:name="_Toc305158814"/>
      <w:bookmarkStart w:id="642" w:name="_Toc127151546"/>
      <w:bookmarkStart w:id="643" w:name="_Toc151193860"/>
      <w:bookmarkStart w:id="644" w:name="_Toc520356170"/>
      <w:bookmarkStart w:id="645" w:name="_Toc195842911"/>
      <w:bookmarkStart w:id="646" w:name="_Toc305158888"/>
      <w:bookmarkStart w:id="647" w:name="_Toc149720839"/>
      <w:bookmarkStart w:id="648" w:name="_Toc150774646"/>
      <w:bookmarkStart w:id="649" w:name="_Toc150480784"/>
      <w:bookmarkStart w:id="650" w:name="_Toc151193788"/>
      <w:bookmarkStart w:id="651" w:name="_Toc226965819"/>
      <w:bookmarkStart w:id="652" w:name="_Toc264969236"/>
      <w:bookmarkStart w:id="653" w:name="_Toc127151747"/>
      <w:bookmarkStart w:id="654" w:name="_Toc164351640"/>
      <w:bookmarkStart w:id="655" w:name="_Toc127161460"/>
      <w:bookmarkStart w:id="656" w:name="_Toc265228384"/>
      <w:bookmarkStart w:id="657" w:name="_Toc164608660"/>
      <w:bookmarkStart w:id="658" w:name="_Toc164229241"/>
      <w:bookmarkStart w:id="659" w:name="_Ref467307010"/>
      <w:bookmarkStart w:id="660" w:name="_Toc226965736"/>
      <w:bookmarkStart w:id="661" w:name="_Toc151190173"/>
      <w:bookmarkStart w:id="662" w:name="_Toc226337242"/>
      <w:bookmarkStart w:id="663" w:name="_Toc150774751"/>
      <w:bookmarkStart w:id="664" w:name="_Toc164608815"/>
      <w:bookmarkStart w:id="665" w:name="_Toc164229387"/>
      <w:r>
        <w:rPr>
          <w:rFonts w:ascii="宋体" w:hAnsi="宋体"/>
          <w:sz w:val="24"/>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磋商小组根据上述供应商排序，依次推荐排序前</w:t>
      </w:r>
      <w:r>
        <w:rPr>
          <w:rFonts w:ascii="宋体" w:hAnsi="宋体"/>
          <w:sz w:val="24"/>
          <w:u w:val="single"/>
        </w:rPr>
        <w:t>__</w:t>
      </w:r>
      <w:r>
        <w:rPr>
          <w:rFonts w:hint="eastAsia" w:ascii="宋体" w:hAnsi="宋体"/>
          <w:sz w:val="24"/>
          <w:u w:val="single"/>
        </w:rPr>
        <w:t>3</w:t>
      </w:r>
      <w:r>
        <w:rPr>
          <w:rFonts w:ascii="宋体" w:hAnsi="宋体"/>
          <w:sz w:val="24"/>
          <w:u w:val="single"/>
        </w:rPr>
        <w:t>__</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pPr>
        <w:numPr>
          <w:ilvl w:val="1"/>
          <w:numId w:val="23"/>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pPr>
        <w:numPr>
          <w:ilvl w:val="0"/>
          <w:numId w:val="23"/>
        </w:numPr>
        <w:tabs>
          <w:tab w:val="left" w:pos="360"/>
        </w:tabs>
        <w:snapToGrid w:val="0"/>
        <w:spacing w:line="360" w:lineRule="auto"/>
        <w:rPr>
          <w:rFonts w:ascii="宋体" w:hAnsi="宋体"/>
          <w:sz w:val="24"/>
        </w:rPr>
      </w:pPr>
      <w:r>
        <w:rPr>
          <w:rFonts w:ascii="宋体" w:hAnsi="宋体"/>
          <w:sz w:val="24"/>
        </w:rPr>
        <w:t>报告违法行为</w:t>
      </w:r>
    </w:p>
    <w:p>
      <w:pPr>
        <w:widowControl/>
        <w:numPr>
          <w:ilvl w:val="1"/>
          <w:numId w:val="23"/>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r>
        <w:rPr>
          <w:rFonts w:ascii="宋体" w:hAnsi="宋体"/>
          <w:b/>
          <w:sz w:val="24"/>
        </w:rPr>
        <w:br w:type="page"/>
      </w:r>
    </w:p>
    <w:p>
      <w:pPr>
        <w:pStyle w:val="5"/>
        <w:spacing w:before="0" w:line="360" w:lineRule="auto"/>
        <w:rPr>
          <w:rFonts w:hint="eastAsia" w:ascii="宋体" w:hAnsi="宋体" w:eastAsia="宋体"/>
          <w:sz w:val="24"/>
          <w:szCs w:val="24"/>
        </w:rPr>
      </w:pPr>
      <w:r>
        <w:rPr>
          <w:rFonts w:ascii="宋体" w:hAnsi="宋体" w:eastAsia="宋体"/>
          <w:sz w:val="24"/>
          <w:szCs w:val="24"/>
        </w:rPr>
        <w:t>二、评</w:t>
      </w:r>
      <w:r>
        <w:rPr>
          <w:rFonts w:hint="eastAsia" w:ascii="宋体" w:hAnsi="宋体" w:eastAsia="宋体"/>
          <w:sz w:val="24"/>
          <w:szCs w:val="24"/>
        </w:rPr>
        <w:t>审</w:t>
      </w:r>
      <w:r>
        <w:rPr>
          <w:rFonts w:ascii="宋体" w:hAnsi="宋体" w:eastAsia="宋体"/>
          <w:sz w:val="24"/>
          <w:szCs w:val="24"/>
        </w:rPr>
        <w:t>标准</w:t>
      </w:r>
    </w:p>
    <w:p>
      <w:pPr>
        <w:pStyle w:val="6"/>
        <w:rPr>
          <w:rFonts w:hAnsi="宋体"/>
        </w:rPr>
      </w:pPr>
    </w:p>
    <w:tbl>
      <w:tblPr>
        <w:tblStyle w:val="6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98"/>
        <w:gridCol w:w="567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7" w:type="dxa"/>
            <w:noWrap w:val="0"/>
            <w:vAlign w:val="center"/>
          </w:tcPr>
          <w:p>
            <w:pPr>
              <w:jc w:val="center"/>
              <w:rPr>
                <w:rFonts w:hint="eastAsia" w:ascii="宋体" w:hAnsi="宋体"/>
                <w:b/>
                <w:sz w:val="24"/>
              </w:rPr>
            </w:pPr>
            <w:bookmarkStart w:id="666" w:name="_Toc97371945"/>
            <w:r>
              <w:rPr>
                <w:rFonts w:hint="eastAsia" w:ascii="宋体" w:hAnsi="宋体"/>
                <w:b/>
                <w:sz w:val="24"/>
              </w:rPr>
              <w:t>一</w:t>
            </w:r>
          </w:p>
        </w:tc>
        <w:tc>
          <w:tcPr>
            <w:tcW w:w="8413" w:type="dxa"/>
            <w:gridSpan w:val="3"/>
            <w:noWrap w:val="0"/>
            <w:vAlign w:val="center"/>
          </w:tcPr>
          <w:p>
            <w:pPr>
              <w:rPr>
                <w:rFonts w:hint="eastAsia" w:ascii="宋体" w:hAnsi="宋体"/>
                <w:b/>
                <w:sz w:val="24"/>
              </w:rPr>
            </w:pPr>
            <w:r>
              <w:rPr>
                <w:rFonts w:hint="eastAsia" w:ascii="宋体" w:hAnsi="宋体"/>
                <w:b/>
                <w:sz w:val="24"/>
              </w:rPr>
              <w:t>价格评分（</w:t>
            </w:r>
            <w:r>
              <w:rPr>
                <w:rFonts w:ascii="宋体" w:hAnsi="宋体"/>
                <w:b/>
                <w:sz w:val="24"/>
              </w:rPr>
              <w:t>10</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1</w:t>
            </w:r>
          </w:p>
        </w:tc>
        <w:tc>
          <w:tcPr>
            <w:tcW w:w="1698" w:type="dxa"/>
            <w:noWrap w:val="0"/>
            <w:vAlign w:val="center"/>
          </w:tcPr>
          <w:p>
            <w:pPr>
              <w:jc w:val="center"/>
              <w:rPr>
                <w:rFonts w:hint="eastAsia" w:ascii="宋体" w:hAnsi="宋体"/>
                <w:b/>
                <w:sz w:val="24"/>
              </w:rPr>
            </w:pPr>
            <w:r>
              <w:rPr>
                <w:rFonts w:hint="eastAsia" w:ascii="宋体" w:hAnsi="宋体"/>
                <w:b/>
                <w:sz w:val="24"/>
              </w:rPr>
              <w:t>报价</w:t>
            </w:r>
          </w:p>
        </w:tc>
        <w:tc>
          <w:tcPr>
            <w:tcW w:w="5670" w:type="dxa"/>
            <w:noWrap w:val="0"/>
            <w:vAlign w:val="center"/>
          </w:tcPr>
          <w:p>
            <w:pPr>
              <w:spacing w:line="360" w:lineRule="auto"/>
              <w:rPr>
                <w:rFonts w:hint="eastAsia" w:ascii="宋体" w:hAnsi="宋体"/>
                <w:sz w:val="24"/>
              </w:rPr>
            </w:pPr>
            <w:r>
              <w:rPr>
                <w:rFonts w:hint="eastAsia" w:ascii="宋体" w:hAnsi="宋体"/>
                <w:sz w:val="24"/>
              </w:rPr>
              <w:t>综合评分法中的价格分统一采用低价优先法计算，即满足磋商文件要求且最后报价最低的供应商的价格为磋商基准价，其报价分为满分</w:t>
            </w:r>
            <w:r>
              <w:rPr>
                <w:rFonts w:ascii="宋体" w:hAnsi="宋体"/>
                <w:sz w:val="24"/>
              </w:rPr>
              <w:t>10</w:t>
            </w:r>
            <w:r>
              <w:rPr>
                <w:rFonts w:hint="eastAsia" w:ascii="宋体" w:hAnsi="宋体"/>
                <w:sz w:val="24"/>
              </w:rPr>
              <w:t>分。其他供应商的得分统一按照下列公式计算：</w:t>
            </w:r>
          </w:p>
          <w:p>
            <w:pPr>
              <w:spacing w:line="360" w:lineRule="auto"/>
              <w:rPr>
                <w:rFonts w:hint="eastAsia" w:ascii="宋体" w:hAnsi="宋体"/>
                <w:sz w:val="24"/>
              </w:rPr>
            </w:pPr>
            <w:r>
              <w:rPr>
                <w:rFonts w:hint="eastAsia" w:ascii="宋体" w:hAnsi="宋体"/>
                <w:sz w:val="24"/>
              </w:rPr>
              <w:t>磋商报价得分=(磋商基准价／供应商最终磋商报价)×</w:t>
            </w:r>
            <w:r>
              <w:rPr>
                <w:rFonts w:ascii="宋体" w:hAnsi="宋体"/>
                <w:sz w:val="24"/>
              </w:rPr>
              <w:t>10</w:t>
            </w:r>
          </w:p>
        </w:tc>
        <w:tc>
          <w:tcPr>
            <w:tcW w:w="1045" w:type="dxa"/>
            <w:noWrap w:val="0"/>
            <w:vAlign w:val="center"/>
          </w:tcPr>
          <w:p>
            <w:pPr>
              <w:jc w:val="center"/>
              <w:rPr>
                <w:rFonts w:hint="eastAsia" w:ascii="宋体" w:hAnsi="宋体"/>
                <w:sz w:val="24"/>
              </w:rPr>
            </w:pPr>
            <w:r>
              <w:rPr>
                <w:rFonts w:hint="eastAsia" w:ascii="宋体" w:hAnsi="宋体"/>
                <w:sz w:val="24"/>
              </w:rPr>
              <w:t>0-</w:t>
            </w: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二</w:t>
            </w:r>
          </w:p>
        </w:tc>
        <w:tc>
          <w:tcPr>
            <w:tcW w:w="8413" w:type="dxa"/>
            <w:gridSpan w:val="3"/>
            <w:noWrap w:val="0"/>
            <w:vAlign w:val="center"/>
          </w:tcPr>
          <w:p>
            <w:pPr>
              <w:rPr>
                <w:rFonts w:hint="eastAsia" w:ascii="宋体" w:hAnsi="宋体"/>
                <w:b/>
                <w:sz w:val="24"/>
              </w:rPr>
            </w:pPr>
            <w:r>
              <w:rPr>
                <w:rFonts w:hint="eastAsia" w:ascii="宋体" w:hAnsi="宋体"/>
                <w:b/>
                <w:sz w:val="24"/>
              </w:rPr>
              <w:t>施工组织（60分）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1</w:t>
            </w:r>
          </w:p>
        </w:tc>
        <w:tc>
          <w:tcPr>
            <w:tcW w:w="1698" w:type="dxa"/>
            <w:vMerge w:val="restart"/>
            <w:noWrap w:val="0"/>
            <w:vAlign w:val="center"/>
          </w:tcPr>
          <w:p>
            <w:pPr>
              <w:rPr>
                <w:rFonts w:hint="eastAsia" w:ascii="宋体" w:hAnsi="宋体"/>
                <w:b/>
                <w:sz w:val="24"/>
              </w:rPr>
            </w:pPr>
            <w:r>
              <w:rPr>
                <w:rFonts w:hint="eastAsia" w:ascii="宋体" w:hAnsi="宋体"/>
                <w:b/>
                <w:sz w:val="24"/>
              </w:rPr>
              <w:t>施工总进度计划及保障措施</w:t>
            </w:r>
          </w:p>
        </w:tc>
        <w:tc>
          <w:tcPr>
            <w:tcW w:w="5670" w:type="dxa"/>
            <w:noWrap w:val="0"/>
            <w:vAlign w:val="center"/>
          </w:tcPr>
          <w:p>
            <w:pPr>
              <w:rPr>
                <w:rFonts w:hint="eastAsia" w:ascii="宋体" w:hAnsi="宋体"/>
                <w:sz w:val="24"/>
              </w:rPr>
            </w:pPr>
            <w:r>
              <w:rPr>
                <w:rFonts w:hint="eastAsia" w:ascii="宋体" w:hAnsi="宋体"/>
                <w:sz w:val="24"/>
              </w:rPr>
              <w:t>计划合理、措施有力，根据项目特点最大限度满足建设要求，得8分；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计划、措施较合理，得6分；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计划、措施基本合理，得4分；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计划措施欠合理，得2分。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2</w:t>
            </w:r>
          </w:p>
        </w:tc>
        <w:tc>
          <w:tcPr>
            <w:tcW w:w="1698" w:type="dxa"/>
            <w:vMerge w:val="restart"/>
            <w:noWrap w:val="0"/>
            <w:vAlign w:val="center"/>
          </w:tcPr>
          <w:p>
            <w:pPr>
              <w:rPr>
                <w:rFonts w:hint="eastAsia" w:ascii="宋体" w:hAnsi="宋体"/>
                <w:b/>
                <w:sz w:val="24"/>
              </w:rPr>
            </w:pPr>
            <w:r>
              <w:rPr>
                <w:rFonts w:hint="eastAsia" w:ascii="宋体" w:hAnsi="宋体"/>
                <w:b/>
                <w:sz w:val="24"/>
              </w:rPr>
              <w:t>施工方案与技术措施</w:t>
            </w:r>
          </w:p>
        </w:tc>
        <w:tc>
          <w:tcPr>
            <w:tcW w:w="5670" w:type="dxa"/>
            <w:noWrap w:val="0"/>
            <w:vAlign w:val="center"/>
          </w:tcPr>
          <w:p>
            <w:pPr>
              <w:rPr>
                <w:rFonts w:hint="eastAsia" w:ascii="宋体" w:hAnsi="宋体"/>
                <w:sz w:val="24"/>
              </w:rPr>
            </w:pPr>
            <w:r>
              <w:rPr>
                <w:rFonts w:hint="eastAsia" w:ascii="宋体" w:hAnsi="宋体"/>
                <w:sz w:val="24"/>
              </w:rPr>
              <w:t>施工方案科学合理，技术措施有力，针对性强，细节完善，得13分；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施工方案合理，技术措施基本得当，有针对性，细节待完善，得11分；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施工方案合理，技术措施基本得当，部分有针对性，细节待完善，得7分；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施工方案基本合理，技术措施基本可行，针对性较差，得5分；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施工方案基本合理，技术措施基本可行，欠缺针对性，得3分；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施工方案欠合理，技术措施不完备，得1分。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3</w:t>
            </w:r>
          </w:p>
        </w:tc>
        <w:tc>
          <w:tcPr>
            <w:tcW w:w="1698" w:type="dxa"/>
            <w:vMerge w:val="restart"/>
            <w:noWrap w:val="0"/>
            <w:vAlign w:val="center"/>
          </w:tcPr>
          <w:p>
            <w:pPr>
              <w:rPr>
                <w:rFonts w:hint="eastAsia" w:ascii="宋体" w:hAnsi="宋体"/>
                <w:b/>
                <w:sz w:val="24"/>
              </w:rPr>
            </w:pPr>
            <w:r>
              <w:rPr>
                <w:rFonts w:hint="eastAsia" w:ascii="宋体" w:hAnsi="宋体"/>
                <w:b/>
                <w:sz w:val="24"/>
              </w:rPr>
              <w:t>安全和绿色施工保障措施</w:t>
            </w:r>
          </w:p>
        </w:tc>
        <w:tc>
          <w:tcPr>
            <w:tcW w:w="5670" w:type="dxa"/>
            <w:noWrap w:val="0"/>
            <w:vAlign w:val="center"/>
          </w:tcPr>
          <w:p>
            <w:pPr>
              <w:rPr>
                <w:rFonts w:hint="eastAsia" w:ascii="宋体" w:hAnsi="宋体"/>
                <w:sz w:val="24"/>
              </w:rPr>
            </w:pPr>
            <w:r>
              <w:rPr>
                <w:rFonts w:hint="eastAsia" w:ascii="宋体" w:hAnsi="宋体"/>
                <w:sz w:val="24"/>
              </w:rPr>
              <w:t>措施科学、合理、方案可行性强，得8分；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措施科学、合理、方案可行性较好，得6分；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措施科学、合理、方案可行性一般，得4分；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措施欠科学、合理、方案可行性略差，得2分。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4</w:t>
            </w:r>
          </w:p>
        </w:tc>
        <w:tc>
          <w:tcPr>
            <w:tcW w:w="1698" w:type="dxa"/>
            <w:vMerge w:val="restart"/>
            <w:noWrap w:val="0"/>
            <w:vAlign w:val="center"/>
          </w:tcPr>
          <w:p>
            <w:pPr>
              <w:rPr>
                <w:rFonts w:hint="eastAsia" w:ascii="宋体" w:hAnsi="宋体"/>
                <w:b/>
                <w:sz w:val="24"/>
              </w:rPr>
            </w:pPr>
            <w:r>
              <w:rPr>
                <w:rFonts w:hint="eastAsia" w:ascii="宋体" w:hAnsi="宋体"/>
                <w:b/>
                <w:sz w:val="24"/>
              </w:rPr>
              <w:t>质量保证体系</w:t>
            </w:r>
          </w:p>
          <w:p>
            <w:pPr>
              <w:rPr>
                <w:rFonts w:hint="eastAsia" w:ascii="宋体" w:hAnsi="宋体"/>
                <w:b/>
                <w:sz w:val="24"/>
              </w:rPr>
            </w:pPr>
            <w:r>
              <w:rPr>
                <w:rFonts w:hint="eastAsia" w:ascii="宋体" w:hAnsi="宋体"/>
                <w:b/>
                <w:sz w:val="24"/>
              </w:rPr>
              <w:t>及保证措施</w:t>
            </w:r>
          </w:p>
        </w:tc>
        <w:tc>
          <w:tcPr>
            <w:tcW w:w="5670" w:type="dxa"/>
            <w:noWrap w:val="0"/>
            <w:vAlign w:val="center"/>
          </w:tcPr>
          <w:p>
            <w:pPr>
              <w:rPr>
                <w:rFonts w:hint="eastAsia" w:ascii="宋体" w:hAnsi="宋体"/>
                <w:sz w:val="24"/>
              </w:rPr>
            </w:pPr>
            <w:r>
              <w:rPr>
                <w:rFonts w:hint="eastAsia" w:ascii="宋体" w:hAnsi="宋体"/>
                <w:sz w:val="24"/>
              </w:rPr>
              <w:t>保证体系完整、措施有力，得8分；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保证体系完整、措施较好，得6分；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保证体系完整、措施一般，得4分；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保证体系、措施均欠完整，得2分。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5</w:t>
            </w:r>
          </w:p>
        </w:tc>
        <w:tc>
          <w:tcPr>
            <w:tcW w:w="1698" w:type="dxa"/>
            <w:vMerge w:val="restart"/>
            <w:noWrap w:val="0"/>
            <w:vAlign w:val="center"/>
          </w:tcPr>
          <w:p>
            <w:pPr>
              <w:rPr>
                <w:rFonts w:hint="eastAsia" w:ascii="宋体" w:hAnsi="宋体"/>
                <w:b/>
                <w:sz w:val="24"/>
              </w:rPr>
            </w:pPr>
            <w:r>
              <w:rPr>
                <w:rFonts w:hint="eastAsia" w:ascii="宋体" w:hAnsi="宋体"/>
                <w:b/>
                <w:sz w:val="24"/>
              </w:rPr>
              <w:t>对本工程的重点、难点分析及对策</w:t>
            </w:r>
          </w:p>
        </w:tc>
        <w:tc>
          <w:tcPr>
            <w:tcW w:w="5670" w:type="dxa"/>
            <w:noWrap w:val="0"/>
            <w:vAlign w:val="center"/>
          </w:tcPr>
          <w:p>
            <w:pPr>
              <w:rPr>
                <w:rFonts w:hint="eastAsia" w:ascii="宋体" w:hAnsi="宋体"/>
                <w:sz w:val="24"/>
              </w:rPr>
            </w:pPr>
            <w:r>
              <w:rPr>
                <w:rFonts w:hint="eastAsia" w:ascii="宋体" w:hAnsi="宋体"/>
                <w:sz w:val="24"/>
              </w:rPr>
              <w:t>针对项目特点和具体情况重点、难点分析准确、对策针对性强，得8分；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重点、难点分析较准确、对策有针对性，得6分；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重点、难点分析基本准确、对策基本有针对性，得4分；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重点、难点分析不准确、对策缺乏针对性，得2分。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restart"/>
            <w:noWrap w:val="0"/>
            <w:vAlign w:val="center"/>
          </w:tcPr>
          <w:p>
            <w:pPr>
              <w:jc w:val="center"/>
              <w:rPr>
                <w:rFonts w:hint="eastAsia" w:ascii="宋体" w:hAnsi="宋体"/>
                <w:b/>
                <w:sz w:val="24"/>
              </w:rPr>
            </w:pPr>
            <w:r>
              <w:rPr>
                <w:rFonts w:hint="eastAsia" w:ascii="宋体" w:hAnsi="宋体"/>
                <w:b/>
                <w:sz w:val="24"/>
              </w:rPr>
              <w:t>6</w:t>
            </w:r>
          </w:p>
        </w:tc>
        <w:tc>
          <w:tcPr>
            <w:tcW w:w="1698" w:type="dxa"/>
            <w:vMerge w:val="restart"/>
            <w:noWrap w:val="0"/>
            <w:vAlign w:val="center"/>
          </w:tcPr>
          <w:p>
            <w:pPr>
              <w:rPr>
                <w:rFonts w:hint="eastAsia" w:ascii="宋体" w:hAnsi="宋体"/>
                <w:b/>
                <w:sz w:val="24"/>
              </w:rPr>
            </w:pPr>
            <w:r>
              <w:rPr>
                <w:rFonts w:hint="eastAsia" w:ascii="宋体" w:hAnsi="宋体"/>
                <w:b/>
                <w:sz w:val="24"/>
              </w:rPr>
              <w:t>劳动力计划</w:t>
            </w:r>
          </w:p>
          <w:p>
            <w:pPr>
              <w:rPr>
                <w:rFonts w:hint="eastAsia" w:ascii="宋体" w:hAnsi="宋体"/>
                <w:b/>
                <w:sz w:val="24"/>
              </w:rPr>
            </w:pPr>
            <w:r>
              <w:rPr>
                <w:rFonts w:hint="eastAsia" w:ascii="宋体" w:hAnsi="宋体"/>
                <w:b/>
                <w:sz w:val="24"/>
              </w:rPr>
              <w:t>及主要设备计划</w:t>
            </w:r>
          </w:p>
        </w:tc>
        <w:tc>
          <w:tcPr>
            <w:tcW w:w="5670" w:type="dxa"/>
            <w:noWrap w:val="0"/>
            <w:vAlign w:val="center"/>
          </w:tcPr>
          <w:p>
            <w:pPr>
              <w:rPr>
                <w:rFonts w:hint="eastAsia" w:ascii="宋体" w:hAnsi="宋体"/>
                <w:sz w:val="24"/>
              </w:rPr>
            </w:pPr>
            <w:r>
              <w:rPr>
                <w:rFonts w:hint="eastAsia" w:ascii="宋体" w:hAnsi="宋体"/>
                <w:sz w:val="24"/>
              </w:rPr>
              <w:t>计划合理、科学，具有针对性，得8分；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计划较合理，针对性一般，得6分；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计划一般，缺乏针对性，得4分；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计划欠合理，得2分。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67" w:type="dxa"/>
            <w:vMerge w:val="restart"/>
            <w:noWrap w:val="0"/>
            <w:vAlign w:val="center"/>
          </w:tcPr>
          <w:p>
            <w:pPr>
              <w:jc w:val="center"/>
              <w:rPr>
                <w:rFonts w:hint="eastAsia" w:ascii="宋体" w:hAnsi="宋体"/>
                <w:b/>
                <w:sz w:val="24"/>
              </w:rPr>
            </w:pPr>
            <w:r>
              <w:rPr>
                <w:rFonts w:ascii="宋体" w:hAnsi="宋体"/>
                <w:b/>
                <w:sz w:val="24"/>
              </w:rPr>
              <w:t>7</w:t>
            </w:r>
          </w:p>
        </w:tc>
        <w:tc>
          <w:tcPr>
            <w:tcW w:w="1698" w:type="dxa"/>
            <w:vMerge w:val="restart"/>
            <w:noWrap w:val="0"/>
            <w:vAlign w:val="center"/>
          </w:tcPr>
          <w:p>
            <w:pPr>
              <w:rPr>
                <w:rFonts w:hint="eastAsia" w:ascii="宋体" w:hAnsi="宋体"/>
                <w:b/>
                <w:sz w:val="24"/>
              </w:rPr>
            </w:pPr>
            <w:r>
              <w:rPr>
                <w:rFonts w:hint="eastAsia" w:ascii="宋体" w:hAnsi="宋体"/>
                <w:b/>
                <w:sz w:val="24"/>
              </w:rPr>
              <w:t>成品保护和工程保修工作的管理措施和承诺</w:t>
            </w:r>
          </w:p>
        </w:tc>
        <w:tc>
          <w:tcPr>
            <w:tcW w:w="5670" w:type="dxa"/>
            <w:noWrap w:val="0"/>
            <w:vAlign w:val="center"/>
          </w:tcPr>
          <w:p>
            <w:pPr>
              <w:rPr>
                <w:rFonts w:hint="eastAsia" w:ascii="宋体" w:hAnsi="宋体"/>
                <w:sz w:val="24"/>
              </w:rPr>
            </w:pPr>
            <w:r>
              <w:rPr>
                <w:rFonts w:hint="eastAsia" w:ascii="宋体" w:hAnsi="宋体"/>
                <w:sz w:val="24"/>
              </w:rPr>
              <w:t>管理措施合理、有力，针对性强，承诺内容可行性强，得</w:t>
            </w:r>
            <w:r>
              <w:rPr>
                <w:rFonts w:ascii="宋体" w:hAnsi="宋体"/>
                <w:sz w:val="24"/>
              </w:rPr>
              <w:t>7</w:t>
            </w:r>
            <w:r>
              <w:rPr>
                <w:rFonts w:hint="eastAsia" w:ascii="宋体" w:hAnsi="宋体"/>
                <w:sz w:val="24"/>
              </w:rPr>
              <w:t>分；</w:t>
            </w:r>
          </w:p>
        </w:tc>
        <w:tc>
          <w:tcPr>
            <w:tcW w:w="1045" w:type="dxa"/>
            <w:vMerge w:val="restart"/>
            <w:noWrap w:val="0"/>
            <w:vAlign w:val="center"/>
          </w:tcPr>
          <w:p>
            <w:pPr>
              <w:jc w:val="center"/>
              <w:rPr>
                <w:rFonts w:hint="eastAsia" w:ascii="宋体" w:hAnsi="宋体"/>
                <w:sz w:val="24"/>
              </w:rPr>
            </w:pPr>
            <w:r>
              <w:rPr>
                <w:rFonts w:hint="eastAsia" w:ascii="宋体" w:hAnsi="宋体"/>
                <w:sz w:val="24"/>
              </w:rPr>
              <w:t>0</w:t>
            </w:r>
            <w:r>
              <w:rPr>
                <w:rFonts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管理措施较合理，但针对性一般，承诺内容可行性一般，得5分；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管理措施合理，但缺乏针对性，承诺内容勉强可行，得3分；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管理措施欠合理，针对性欠佳，承诺内容可行性不符项目特点，得</w:t>
            </w:r>
            <w:r>
              <w:rPr>
                <w:rFonts w:ascii="宋体" w:hAnsi="宋体"/>
                <w:sz w:val="24"/>
              </w:rPr>
              <w:t>1</w:t>
            </w:r>
            <w:r>
              <w:rPr>
                <w:rFonts w:hint="eastAsia" w:ascii="宋体" w:hAnsi="宋体"/>
                <w:sz w:val="24"/>
              </w:rPr>
              <w:t>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7" w:type="dxa"/>
            <w:vMerge w:val="continue"/>
            <w:noWrap w:val="0"/>
            <w:vAlign w:val="center"/>
          </w:tcPr>
          <w:p>
            <w:pPr>
              <w:jc w:val="center"/>
              <w:rPr>
                <w:rFonts w:hint="eastAsia" w:ascii="宋体" w:hAnsi="宋体"/>
                <w:b/>
                <w:sz w:val="24"/>
              </w:rPr>
            </w:pPr>
          </w:p>
        </w:tc>
        <w:tc>
          <w:tcPr>
            <w:tcW w:w="1698" w:type="dxa"/>
            <w:vMerge w:val="continue"/>
            <w:noWrap w:val="0"/>
            <w:vAlign w:val="center"/>
          </w:tcPr>
          <w:p>
            <w:pPr>
              <w:rPr>
                <w:rFonts w:hint="eastAsia" w:ascii="宋体" w:hAnsi="宋体"/>
                <w:b/>
                <w:sz w:val="24"/>
              </w:rPr>
            </w:pPr>
          </w:p>
        </w:tc>
        <w:tc>
          <w:tcPr>
            <w:tcW w:w="5670" w:type="dxa"/>
            <w:noWrap w:val="0"/>
            <w:vAlign w:val="center"/>
          </w:tcPr>
          <w:p>
            <w:pPr>
              <w:rPr>
                <w:rFonts w:hint="eastAsia" w:ascii="宋体" w:hAnsi="宋体"/>
                <w:sz w:val="24"/>
              </w:rPr>
            </w:pPr>
            <w:r>
              <w:rPr>
                <w:rFonts w:hint="eastAsia" w:ascii="宋体" w:hAnsi="宋体"/>
                <w:sz w:val="24"/>
              </w:rPr>
              <w:t>未提供不得分。</w:t>
            </w:r>
          </w:p>
        </w:tc>
        <w:tc>
          <w:tcPr>
            <w:tcW w:w="1045" w:type="dxa"/>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三</w:t>
            </w:r>
          </w:p>
        </w:tc>
        <w:tc>
          <w:tcPr>
            <w:tcW w:w="8413" w:type="dxa"/>
            <w:gridSpan w:val="3"/>
            <w:noWrap w:val="0"/>
            <w:vAlign w:val="center"/>
          </w:tcPr>
          <w:p>
            <w:pPr>
              <w:rPr>
                <w:rFonts w:hint="eastAsia" w:ascii="宋体" w:hAnsi="宋体"/>
                <w:b/>
                <w:sz w:val="24"/>
              </w:rPr>
            </w:pPr>
            <w:r>
              <w:rPr>
                <w:rFonts w:hint="eastAsia" w:ascii="宋体" w:hAnsi="宋体"/>
                <w:b/>
                <w:sz w:val="24"/>
              </w:rPr>
              <w:t>综合商务（30分）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1</w:t>
            </w:r>
          </w:p>
        </w:tc>
        <w:tc>
          <w:tcPr>
            <w:tcW w:w="1698" w:type="dxa"/>
            <w:noWrap w:val="0"/>
            <w:vAlign w:val="center"/>
          </w:tcPr>
          <w:p>
            <w:pPr>
              <w:spacing w:line="360" w:lineRule="auto"/>
              <w:jc w:val="center"/>
              <w:rPr>
                <w:rFonts w:hint="eastAsia" w:ascii="宋体" w:hAnsi="宋体"/>
                <w:b/>
                <w:bCs/>
                <w:sz w:val="24"/>
              </w:rPr>
            </w:pPr>
            <w:r>
              <w:rPr>
                <w:rFonts w:hint="eastAsia" w:ascii="宋体" w:hAnsi="宋体"/>
                <w:b/>
                <w:bCs/>
                <w:sz w:val="24"/>
              </w:rPr>
              <w:t>项目管理机构评分标准</w:t>
            </w:r>
          </w:p>
        </w:tc>
        <w:tc>
          <w:tcPr>
            <w:tcW w:w="5670" w:type="dxa"/>
            <w:noWrap w:val="0"/>
            <w:vAlign w:val="center"/>
          </w:tcPr>
          <w:p>
            <w:pPr>
              <w:adjustRightInd w:val="0"/>
              <w:snapToGrid w:val="0"/>
              <w:spacing w:line="360" w:lineRule="auto"/>
              <w:rPr>
                <w:rFonts w:hint="eastAsia" w:ascii="宋体" w:hAnsi="宋体"/>
                <w:sz w:val="24"/>
              </w:rPr>
            </w:pPr>
            <w:r>
              <w:rPr>
                <w:rFonts w:hint="eastAsia" w:ascii="宋体" w:hAnsi="宋体"/>
                <w:sz w:val="24"/>
              </w:rPr>
              <w:t>管理机构配备充分合理，人员</w:t>
            </w:r>
            <w:r>
              <w:rPr>
                <w:rFonts w:ascii="宋体" w:hAnsi="宋体"/>
                <w:sz w:val="24"/>
              </w:rPr>
              <w:t>配备齐全</w:t>
            </w:r>
            <w:r>
              <w:rPr>
                <w:rFonts w:hint="eastAsia" w:ascii="宋体" w:hAnsi="宋体"/>
                <w:sz w:val="24"/>
              </w:rPr>
              <w:t>，得</w:t>
            </w:r>
            <w:r>
              <w:rPr>
                <w:rFonts w:ascii="宋体" w:hAnsi="宋体"/>
                <w:sz w:val="24"/>
              </w:rPr>
              <w:t>1</w:t>
            </w:r>
            <w:r>
              <w:rPr>
                <w:rFonts w:hint="eastAsia" w:ascii="宋体" w:hAnsi="宋体"/>
                <w:sz w:val="24"/>
              </w:rPr>
              <w:t>1分；</w:t>
            </w:r>
          </w:p>
          <w:p>
            <w:pPr>
              <w:adjustRightInd w:val="0"/>
              <w:snapToGrid w:val="0"/>
              <w:spacing w:line="360" w:lineRule="auto"/>
              <w:rPr>
                <w:rFonts w:hint="eastAsia" w:ascii="宋体" w:hAnsi="宋体"/>
                <w:sz w:val="24"/>
              </w:rPr>
            </w:pPr>
            <w:r>
              <w:rPr>
                <w:rFonts w:hint="eastAsia" w:ascii="宋体" w:hAnsi="宋体"/>
                <w:sz w:val="24"/>
              </w:rPr>
              <w:t>管理机构配备略有欠缺，人员</w:t>
            </w:r>
            <w:r>
              <w:rPr>
                <w:rFonts w:ascii="宋体" w:hAnsi="宋体"/>
                <w:sz w:val="24"/>
              </w:rPr>
              <w:t>配备</w:t>
            </w:r>
            <w:r>
              <w:rPr>
                <w:rFonts w:hint="eastAsia" w:ascii="宋体" w:hAnsi="宋体"/>
                <w:sz w:val="24"/>
              </w:rPr>
              <w:t>略有欠缺，得</w:t>
            </w:r>
            <w:r>
              <w:rPr>
                <w:rFonts w:ascii="宋体" w:hAnsi="宋体"/>
                <w:sz w:val="24"/>
              </w:rPr>
              <w:t>7</w:t>
            </w:r>
            <w:r>
              <w:rPr>
                <w:rFonts w:hint="eastAsia" w:ascii="宋体" w:hAnsi="宋体"/>
                <w:sz w:val="24"/>
              </w:rPr>
              <w:t>分；</w:t>
            </w:r>
          </w:p>
          <w:p>
            <w:pPr>
              <w:adjustRightInd w:val="0"/>
              <w:snapToGrid w:val="0"/>
              <w:spacing w:line="360" w:lineRule="auto"/>
              <w:rPr>
                <w:rFonts w:hint="eastAsia" w:ascii="宋体" w:hAnsi="宋体"/>
                <w:sz w:val="24"/>
              </w:rPr>
            </w:pPr>
            <w:r>
              <w:rPr>
                <w:rFonts w:hint="eastAsia" w:ascii="宋体" w:hAnsi="宋体"/>
                <w:sz w:val="24"/>
              </w:rPr>
              <w:t>管理机构配备一般，人员</w:t>
            </w:r>
            <w:r>
              <w:rPr>
                <w:rFonts w:ascii="宋体" w:hAnsi="宋体"/>
                <w:sz w:val="24"/>
              </w:rPr>
              <w:t>配备</w:t>
            </w:r>
            <w:r>
              <w:rPr>
                <w:rFonts w:hint="eastAsia" w:ascii="宋体" w:hAnsi="宋体"/>
                <w:sz w:val="24"/>
              </w:rPr>
              <w:t>基本</w:t>
            </w:r>
            <w:r>
              <w:rPr>
                <w:rFonts w:ascii="宋体" w:hAnsi="宋体"/>
                <w:sz w:val="24"/>
              </w:rPr>
              <w:t>齐全</w:t>
            </w:r>
            <w:r>
              <w:rPr>
                <w:rFonts w:hint="eastAsia" w:ascii="宋体" w:hAnsi="宋体"/>
                <w:sz w:val="24"/>
              </w:rPr>
              <w:t>，得</w:t>
            </w:r>
            <w:r>
              <w:rPr>
                <w:rFonts w:ascii="宋体" w:hAnsi="宋体"/>
                <w:sz w:val="24"/>
              </w:rPr>
              <w:t>4</w:t>
            </w:r>
            <w:r>
              <w:rPr>
                <w:rFonts w:hint="eastAsia" w:ascii="宋体" w:hAnsi="宋体"/>
                <w:sz w:val="24"/>
              </w:rPr>
              <w:t>分；</w:t>
            </w:r>
          </w:p>
          <w:p>
            <w:pPr>
              <w:adjustRightInd w:val="0"/>
              <w:snapToGrid w:val="0"/>
              <w:spacing w:line="360" w:lineRule="auto"/>
              <w:rPr>
                <w:rFonts w:hint="eastAsia" w:ascii="宋体" w:hAnsi="宋体"/>
                <w:sz w:val="24"/>
              </w:rPr>
            </w:pPr>
            <w:r>
              <w:rPr>
                <w:rFonts w:hint="eastAsia" w:ascii="宋体" w:hAnsi="宋体"/>
                <w:sz w:val="24"/>
              </w:rPr>
              <w:t>管理机构配备基本合理，</w:t>
            </w:r>
            <w:r>
              <w:rPr>
                <w:rFonts w:ascii="宋体" w:hAnsi="宋体"/>
                <w:sz w:val="24"/>
              </w:rPr>
              <w:t>人员</w:t>
            </w:r>
            <w:r>
              <w:rPr>
                <w:rFonts w:hint="eastAsia" w:ascii="宋体" w:hAnsi="宋体"/>
                <w:sz w:val="24"/>
              </w:rPr>
              <w:t>配备基本能满足工程需要，得</w:t>
            </w:r>
            <w:r>
              <w:rPr>
                <w:rFonts w:ascii="宋体" w:hAnsi="宋体"/>
                <w:sz w:val="24"/>
              </w:rPr>
              <w:t>1</w:t>
            </w:r>
            <w:r>
              <w:rPr>
                <w:rFonts w:hint="eastAsia" w:ascii="宋体" w:hAnsi="宋体"/>
                <w:sz w:val="24"/>
              </w:rPr>
              <w:t>分；</w:t>
            </w:r>
          </w:p>
          <w:p>
            <w:pPr>
              <w:spacing w:line="360" w:lineRule="auto"/>
              <w:rPr>
                <w:rFonts w:hint="eastAsia" w:ascii="宋体" w:hAnsi="宋体"/>
                <w:sz w:val="24"/>
              </w:rPr>
            </w:pPr>
            <w:r>
              <w:rPr>
                <w:rFonts w:hint="eastAsia" w:ascii="宋体" w:hAnsi="宋体"/>
                <w:sz w:val="24"/>
              </w:rPr>
              <w:t>未提供</w:t>
            </w:r>
            <w:r>
              <w:rPr>
                <w:rFonts w:ascii="宋体" w:hAnsi="宋体"/>
                <w:sz w:val="24"/>
              </w:rPr>
              <w:t>得</w:t>
            </w:r>
            <w:r>
              <w:rPr>
                <w:rFonts w:hint="eastAsia" w:ascii="宋体" w:hAnsi="宋体"/>
                <w:sz w:val="24"/>
              </w:rPr>
              <w:t>0分。</w:t>
            </w:r>
          </w:p>
        </w:tc>
        <w:tc>
          <w:tcPr>
            <w:tcW w:w="1045" w:type="dxa"/>
            <w:noWrap w:val="0"/>
            <w:vAlign w:val="center"/>
          </w:tcPr>
          <w:p>
            <w:pPr>
              <w:spacing w:line="360" w:lineRule="auto"/>
              <w:jc w:val="center"/>
              <w:rPr>
                <w:rFonts w:hint="eastAsia" w:ascii="宋体" w:hAnsi="宋体"/>
                <w:sz w:val="24"/>
              </w:rPr>
            </w:pPr>
            <w:r>
              <w:rPr>
                <w:rFonts w:hint="eastAsia" w:ascii="宋体" w:hAnsi="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2</w:t>
            </w:r>
          </w:p>
        </w:tc>
        <w:tc>
          <w:tcPr>
            <w:tcW w:w="1698" w:type="dxa"/>
            <w:noWrap w:val="0"/>
            <w:vAlign w:val="center"/>
          </w:tcPr>
          <w:p>
            <w:pPr>
              <w:spacing w:line="360" w:lineRule="auto"/>
              <w:jc w:val="center"/>
              <w:rPr>
                <w:rFonts w:hint="eastAsia" w:ascii="宋体" w:hAnsi="宋体"/>
                <w:b/>
                <w:bCs/>
                <w:sz w:val="24"/>
              </w:rPr>
            </w:pPr>
            <w:r>
              <w:rPr>
                <w:rFonts w:hint="eastAsia" w:ascii="宋体" w:hAnsi="宋体"/>
                <w:b/>
                <w:bCs/>
                <w:sz w:val="24"/>
              </w:rPr>
              <w:t>业绩</w:t>
            </w:r>
          </w:p>
        </w:tc>
        <w:tc>
          <w:tcPr>
            <w:tcW w:w="5670" w:type="dxa"/>
            <w:noWrap w:val="0"/>
            <w:vAlign w:val="center"/>
          </w:tcPr>
          <w:p>
            <w:pPr>
              <w:adjustRightInd w:val="0"/>
              <w:snapToGrid w:val="0"/>
              <w:spacing w:line="360" w:lineRule="auto"/>
              <w:rPr>
                <w:rFonts w:hint="eastAsia" w:ascii="宋体" w:hAnsi="宋体"/>
                <w:sz w:val="24"/>
              </w:rPr>
            </w:pPr>
            <w:r>
              <w:rPr>
                <w:rFonts w:hint="eastAsia" w:ascii="宋体" w:hAnsi="宋体"/>
                <w:sz w:val="24"/>
              </w:rPr>
              <w:t>近三年（</w:t>
            </w:r>
            <w:bookmarkStart w:id="667" w:name="_Hlk176266837"/>
            <w:r>
              <w:rPr>
                <w:rFonts w:hint="eastAsia" w:ascii="宋体" w:hAnsi="宋体"/>
                <w:sz w:val="24"/>
              </w:rPr>
              <w:t>2022年7月14日至响应文件递交截止之日</w:t>
            </w:r>
            <w:bookmarkEnd w:id="667"/>
            <w:r>
              <w:rPr>
                <w:rFonts w:hint="eastAsia" w:ascii="宋体" w:hAnsi="宋体"/>
                <w:sz w:val="24"/>
              </w:rPr>
              <w:t>）具有已完成的类项目业绩，每有1项类似业绩得5分，直至本项满分。</w:t>
            </w:r>
          </w:p>
          <w:p>
            <w:pPr>
              <w:spacing w:line="360" w:lineRule="auto"/>
              <w:rPr>
                <w:rFonts w:hint="eastAsia" w:ascii="宋体" w:hAnsi="宋体"/>
                <w:sz w:val="24"/>
              </w:rPr>
            </w:pPr>
            <w:r>
              <w:rPr>
                <w:rFonts w:hint="eastAsia" w:ascii="宋体" w:hAnsi="宋体"/>
                <w:sz w:val="24"/>
              </w:rPr>
              <w:t>须提供中标通知书或竣工验收证明材料复印件，应可从业绩证明材料中明确辨识出采购内容、金额明细、日期等(复印件需加盖公章)。</w:t>
            </w:r>
          </w:p>
        </w:tc>
        <w:tc>
          <w:tcPr>
            <w:tcW w:w="1045" w:type="dxa"/>
            <w:noWrap w:val="0"/>
            <w:vAlign w:val="center"/>
          </w:tcPr>
          <w:p>
            <w:pPr>
              <w:spacing w:line="360" w:lineRule="auto"/>
              <w:jc w:val="center"/>
              <w:rPr>
                <w:rFonts w:hint="eastAsia" w:ascii="宋体" w:hAnsi="宋体"/>
                <w:sz w:val="24"/>
              </w:rPr>
            </w:pPr>
            <w:r>
              <w:rPr>
                <w:rFonts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3</w:t>
            </w:r>
          </w:p>
        </w:tc>
        <w:tc>
          <w:tcPr>
            <w:tcW w:w="1698" w:type="dxa"/>
            <w:noWrap w:val="0"/>
            <w:vAlign w:val="center"/>
          </w:tcPr>
          <w:p>
            <w:pPr>
              <w:spacing w:line="360" w:lineRule="auto"/>
              <w:jc w:val="center"/>
              <w:rPr>
                <w:rFonts w:hint="eastAsia" w:ascii="宋体" w:hAnsi="宋体"/>
                <w:b/>
                <w:bCs/>
                <w:sz w:val="24"/>
              </w:rPr>
            </w:pPr>
            <w:r>
              <w:rPr>
                <w:rFonts w:hint="eastAsia" w:ascii="宋体" w:hAnsi="宋体"/>
                <w:b/>
                <w:bCs/>
                <w:sz w:val="24"/>
              </w:rPr>
              <w:t>体系认证</w:t>
            </w:r>
          </w:p>
        </w:tc>
        <w:tc>
          <w:tcPr>
            <w:tcW w:w="5670" w:type="dxa"/>
            <w:noWrap w:val="0"/>
            <w:vAlign w:val="top"/>
          </w:tcPr>
          <w:p>
            <w:pPr>
              <w:spacing w:line="360" w:lineRule="auto"/>
              <w:rPr>
                <w:rFonts w:hint="eastAsia" w:ascii="宋体" w:hAnsi="宋体"/>
                <w:sz w:val="24"/>
              </w:rPr>
            </w:pPr>
            <w:r>
              <w:rPr>
                <w:rFonts w:hint="eastAsia" w:ascii="宋体" w:hAnsi="宋体"/>
                <w:sz w:val="24"/>
              </w:rPr>
              <w:t>具有有效期内的质量管理体系</w:t>
            </w:r>
            <w:r>
              <w:rPr>
                <w:rFonts w:ascii="宋体" w:hAnsi="宋体"/>
                <w:sz w:val="24"/>
              </w:rPr>
              <w:t>、环境管理体系、职业健康安全管理体系认证证书扫描件</w:t>
            </w:r>
            <w:r>
              <w:rPr>
                <w:rFonts w:hint="eastAsia" w:ascii="宋体" w:hAnsi="宋体"/>
                <w:sz w:val="24"/>
              </w:rPr>
              <w:t>，</w:t>
            </w:r>
            <w:r>
              <w:rPr>
                <w:rFonts w:ascii="宋体" w:hAnsi="宋体"/>
                <w:sz w:val="24"/>
              </w:rPr>
              <w:t>每有一项得1分，最高3分。</w:t>
            </w:r>
          </w:p>
          <w:p>
            <w:pPr>
              <w:spacing w:line="360" w:lineRule="auto"/>
              <w:rPr>
                <w:rFonts w:hint="eastAsia" w:ascii="宋体" w:hAnsi="宋体"/>
                <w:sz w:val="24"/>
              </w:rPr>
            </w:pPr>
            <w:r>
              <w:rPr>
                <w:rFonts w:hint="eastAsia" w:ascii="宋体" w:hAnsi="宋体"/>
                <w:sz w:val="24"/>
              </w:rPr>
              <w:t>注：需提供有效证书复印件并加盖投标人公章，否则不得分。</w:t>
            </w:r>
          </w:p>
        </w:tc>
        <w:tc>
          <w:tcPr>
            <w:tcW w:w="1045" w:type="dxa"/>
            <w:noWrap w:val="0"/>
            <w:vAlign w:val="center"/>
          </w:tcPr>
          <w:p>
            <w:pPr>
              <w:spacing w:line="360" w:lineRule="auto"/>
              <w:jc w:val="center"/>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767" w:type="dxa"/>
            <w:noWrap w:val="0"/>
            <w:vAlign w:val="center"/>
          </w:tcPr>
          <w:p>
            <w:pPr>
              <w:jc w:val="center"/>
              <w:rPr>
                <w:rFonts w:hint="eastAsia" w:ascii="宋体" w:hAnsi="宋体"/>
                <w:b/>
                <w:sz w:val="24"/>
              </w:rPr>
            </w:pPr>
            <w:r>
              <w:rPr>
                <w:rFonts w:hint="eastAsia" w:ascii="宋体" w:hAnsi="宋体"/>
                <w:b/>
                <w:sz w:val="24"/>
              </w:rPr>
              <w:t>4</w:t>
            </w:r>
          </w:p>
        </w:tc>
        <w:tc>
          <w:tcPr>
            <w:tcW w:w="1698" w:type="dxa"/>
            <w:noWrap w:val="0"/>
            <w:vAlign w:val="center"/>
          </w:tcPr>
          <w:p>
            <w:pPr>
              <w:jc w:val="center"/>
              <w:rPr>
                <w:rFonts w:hint="eastAsia" w:ascii="宋体" w:hAnsi="宋体"/>
                <w:b/>
                <w:sz w:val="24"/>
              </w:rPr>
            </w:pPr>
            <w:r>
              <w:rPr>
                <w:rFonts w:hint="eastAsia" w:ascii="宋体" w:hAnsi="宋体"/>
                <w:b/>
                <w:sz w:val="24"/>
              </w:rPr>
              <w:t>环保节能</w:t>
            </w:r>
          </w:p>
        </w:tc>
        <w:tc>
          <w:tcPr>
            <w:tcW w:w="5670" w:type="dxa"/>
            <w:noWrap w:val="0"/>
            <w:vAlign w:val="center"/>
          </w:tcPr>
          <w:p>
            <w:pPr>
              <w:spacing w:line="360" w:lineRule="auto"/>
              <w:rPr>
                <w:rFonts w:hint="eastAsia" w:ascii="宋体" w:hAnsi="宋体"/>
                <w:sz w:val="24"/>
              </w:rPr>
            </w:pPr>
            <w:r>
              <w:rPr>
                <w:rFonts w:hint="eastAsia" w:ascii="宋体" w:hAnsi="宋体"/>
                <w:sz w:val="24"/>
              </w:rPr>
              <w:t>所投产品每有1项属于节能产品的得0.5分，属于环境标志产品的得0.5分，否则得0分（属于政府采购品目清单的内容，须提供依据国家确定的认证机构出具的、处于有效期之内的节能产品、环境标志产品认证证书。）最高可得1分。</w:t>
            </w:r>
          </w:p>
          <w:p>
            <w:pPr>
              <w:spacing w:line="276" w:lineRule="auto"/>
              <w:rPr>
                <w:rFonts w:hint="eastAsia" w:ascii="宋体" w:hAnsi="宋体"/>
                <w:sz w:val="24"/>
              </w:rPr>
            </w:pPr>
            <w:r>
              <w:rPr>
                <w:rFonts w:hint="eastAsia" w:ascii="宋体" w:hAnsi="宋体"/>
                <w:sz w:val="24"/>
              </w:rPr>
              <w:t>备注：1、提供证书复印件并加盖公章。</w:t>
            </w:r>
          </w:p>
          <w:p>
            <w:pPr>
              <w:spacing w:line="276" w:lineRule="auto"/>
              <w:ind w:firstLine="720" w:firstLineChars="300"/>
              <w:rPr>
                <w:rFonts w:hint="eastAsia" w:ascii="宋体" w:hAnsi="宋体"/>
                <w:sz w:val="24"/>
              </w:rPr>
            </w:pPr>
            <w:r>
              <w:rPr>
                <w:rFonts w:hint="eastAsia" w:ascii="宋体" w:hAnsi="宋体"/>
                <w:sz w:val="24"/>
              </w:rPr>
              <w:t>2、属于政府强制采购节能产品的不得分。</w:t>
            </w:r>
          </w:p>
          <w:p>
            <w:pPr>
              <w:spacing w:line="276" w:lineRule="auto"/>
              <w:ind w:firstLine="720" w:firstLineChars="300"/>
              <w:rPr>
                <w:rFonts w:hint="eastAsia" w:ascii="宋体" w:hAnsi="宋体"/>
                <w:snapToGrid w:val="0"/>
                <w:sz w:val="24"/>
              </w:rPr>
            </w:pPr>
            <w:r>
              <w:rPr>
                <w:rFonts w:hint="eastAsia" w:ascii="宋体" w:hAnsi="宋体"/>
                <w:snapToGrid w:val="0"/>
                <w:sz w:val="24"/>
              </w:rPr>
              <w:t>3、未按照要求提供证明材料的不得分。</w:t>
            </w:r>
          </w:p>
        </w:tc>
        <w:tc>
          <w:tcPr>
            <w:tcW w:w="1045" w:type="dxa"/>
            <w:noWrap w:val="0"/>
            <w:vAlign w:val="center"/>
          </w:tcPr>
          <w:p>
            <w:pPr>
              <w:jc w:val="center"/>
              <w:rPr>
                <w:rFonts w:hint="eastAsia" w:ascii="宋体" w:hAnsi="宋体"/>
                <w:sz w:val="24"/>
              </w:rPr>
            </w:pPr>
            <w:r>
              <w:rPr>
                <w:rFonts w:hint="eastAsia" w:ascii="宋体" w:hAnsi="宋体"/>
                <w:sz w:val="24"/>
              </w:rPr>
              <w:t>1</w:t>
            </w:r>
          </w:p>
        </w:tc>
      </w:tr>
    </w:tbl>
    <w:p>
      <w:pPr>
        <w:spacing w:line="360" w:lineRule="auto"/>
        <w:jc w:val="center"/>
        <w:rPr>
          <w:rFonts w:ascii="宋体" w:hAnsi="宋体"/>
          <w:b/>
          <w:sz w:val="36"/>
          <w:szCs w:val="36"/>
        </w:rPr>
      </w:pPr>
    </w:p>
    <w:p>
      <w:pPr>
        <w:spacing w:line="360" w:lineRule="auto"/>
        <w:jc w:val="center"/>
        <w:outlineLvl w:val="0"/>
        <w:rPr>
          <w:rFonts w:ascii="宋体" w:hAnsi="宋体"/>
          <w:b/>
          <w:sz w:val="36"/>
          <w:szCs w:val="36"/>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134" w:bottom="1418" w:left="1701" w:header="851" w:footer="851" w:gutter="0"/>
          <w:cols w:space="720" w:num="1"/>
          <w:docGrid w:linePitch="462" w:charSpace="0"/>
        </w:sectPr>
      </w:pPr>
    </w:p>
    <w:p>
      <w:pPr>
        <w:spacing w:line="360" w:lineRule="auto"/>
        <w:jc w:val="center"/>
        <w:outlineLvl w:val="0"/>
        <w:rPr>
          <w:rFonts w:ascii="宋体" w:hAnsi="宋体"/>
          <w:b/>
          <w:sz w:val="36"/>
          <w:szCs w:val="36"/>
        </w:rPr>
      </w:pPr>
      <w:r>
        <w:rPr>
          <w:rFonts w:ascii="宋体" w:hAnsi="宋体"/>
          <w:b/>
          <w:sz w:val="36"/>
          <w:szCs w:val="36"/>
        </w:rPr>
        <w:t>第四章   采购需求</w:t>
      </w:r>
      <w:bookmarkEnd w:id="666"/>
    </w:p>
    <w:p>
      <w:pPr>
        <w:ind w:left="-22" w:firstLine="495" w:firstLineChars="236"/>
        <w:rPr>
          <w:rFonts w:ascii="宋体" w:hAnsi="宋体"/>
        </w:rPr>
      </w:pPr>
    </w:p>
    <w:tbl>
      <w:tblPr>
        <w:tblStyle w:val="61"/>
        <w:tblW w:w="8846" w:type="dxa"/>
        <w:tblInd w:w="0" w:type="dxa"/>
        <w:tblLayout w:type="fixed"/>
        <w:tblCellMar>
          <w:top w:w="0" w:type="dxa"/>
          <w:left w:w="108" w:type="dxa"/>
          <w:bottom w:w="0" w:type="dxa"/>
          <w:right w:w="108" w:type="dxa"/>
        </w:tblCellMar>
      </w:tblPr>
      <w:tblGrid>
        <w:gridCol w:w="1398"/>
        <w:gridCol w:w="7391"/>
        <w:gridCol w:w="57"/>
      </w:tblGrid>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bookmarkStart w:id="668" w:name="_Toc97371946"/>
            <w:r>
              <w:rPr>
                <w:rFonts w:hint="eastAsia" w:ascii="宋体" w:hAnsi="宋体"/>
                <w:b/>
                <w:bCs/>
                <w:sz w:val="24"/>
              </w:rPr>
              <w:t>1.1</w:t>
            </w:r>
          </w:p>
        </w:tc>
        <w:tc>
          <w:tcPr>
            <w:tcW w:w="7391" w:type="dxa"/>
            <w:noWrap w:val="0"/>
            <w:vAlign w:val="top"/>
          </w:tcPr>
          <w:p>
            <w:pPr>
              <w:spacing w:line="360" w:lineRule="auto"/>
              <w:rPr>
                <w:rFonts w:hint="eastAsia" w:ascii="宋体" w:hAnsi="宋体"/>
                <w:sz w:val="24"/>
              </w:rPr>
            </w:pPr>
            <w:r>
              <w:rPr>
                <w:rFonts w:hint="eastAsia" w:ascii="宋体" w:hAnsi="宋体"/>
                <w:b/>
                <w:bCs/>
                <w:sz w:val="24"/>
              </w:rPr>
              <w:t>工程概况</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cs="宋体"/>
                <w:spacing w:val="-1"/>
                <w:sz w:val="24"/>
              </w:rPr>
            </w:pPr>
            <w:r>
              <w:rPr>
                <w:rFonts w:hint="eastAsia" w:ascii="宋体" w:hAnsi="宋体" w:cs="宋体"/>
                <w:spacing w:val="-1"/>
                <w:sz w:val="24"/>
              </w:rPr>
              <w:t>1.1.1</w:t>
            </w:r>
          </w:p>
        </w:tc>
        <w:tc>
          <w:tcPr>
            <w:tcW w:w="7391" w:type="dxa"/>
            <w:noWrap w:val="0"/>
            <w:vAlign w:val="top"/>
          </w:tcPr>
          <w:p>
            <w:pPr>
              <w:spacing w:line="360" w:lineRule="auto"/>
              <w:rPr>
                <w:rFonts w:hint="eastAsia" w:ascii="宋体" w:hAnsi="宋体" w:cs="宋体"/>
                <w:spacing w:val="-1"/>
                <w:sz w:val="24"/>
              </w:rPr>
            </w:pPr>
            <w:r>
              <w:rPr>
                <w:rFonts w:hint="eastAsia" w:ascii="宋体" w:hAnsi="宋体" w:cs="宋体"/>
                <w:spacing w:val="-1"/>
                <w:sz w:val="24"/>
              </w:rPr>
              <w:t>本工程基本情况如下：</w:t>
            </w:r>
          </w:p>
          <w:p>
            <w:pPr>
              <w:spacing w:line="360" w:lineRule="auto"/>
              <w:rPr>
                <w:rFonts w:hint="eastAsia" w:ascii="宋体" w:hAnsi="宋体" w:cs="宋体"/>
                <w:spacing w:val="-1"/>
                <w:sz w:val="24"/>
              </w:rPr>
            </w:pPr>
            <w:r>
              <w:rPr>
                <w:rFonts w:hint="eastAsia" w:ascii="宋体" w:hAnsi="宋体" w:cs="宋体"/>
                <w:spacing w:val="-1"/>
                <w:sz w:val="24"/>
              </w:rPr>
              <w:t>本项目</w:t>
            </w:r>
            <w:r>
              <w:rPr>
                <w:rFonts w:ascii="宋体" w:hAnsi="宋体" w:cs="宋体"/>
                <w:spacing w:val="-1"/>
                <w:sz w:val="24"/>
              </w:rPr>
              <w:t>为</w:t>
            </w:r>
            <w:r>
              <w:rPr>
                <w:rFonts w:hint="eastAsia" w:ascii="宋体" w:hAnsi="宋体" w:cs="宋体"/>
                <w:spacing w:val="-1"/>
                <w:sz w:val="24"/>
              </w:rPr>
              <w:t>北京市房山区长阳第三小学（首都师范大学附属育新学校房山分校大宁校区）食堂操作间维修提升项目，位于</w:t>
            </w:r>
            <w:r>
              <w:rPr>
                <w:rFonts w:hint="eastAsia" w:ascii="宋体" w:hAnsi="宋体"/>
                <w:sz w:val="24"/>
              </w:rPr>
              <w:t>北京市房山区长阳镇大宁二路22号</w:t>
            </w:r>
            <w:r>
              <w:rPr>
                <w:rFonts w:hint="eastAsia" w:ascii="宋体" w:hAnsi="宋体" w:cs="宋体"/>
                <w:spacing w:val="-1"/>
                <w:sz w:val="24"/>
              </w:rPr>
              <w:t>；</w:t>
            </w:r>
          </w:p>
          <w:p>
            <w:pPr>
              <w:spacing w:line="360" w:lineRule="auto"/>
              <w:rPr>
                <w:rFonts w:hint="eastAsia" w:ascii="宋体" w:hAnsi="宋体" w:cs="宋体"/>
                <w:spacing w:val="-1"/>
                <w:sz w:val="24"/>
              </w:rPr>
            </w:pPr>
            <w:r>
              <w:rPr>
                <w:rFonts w:hint="eastAsia" w:ascii="宋体" w:hAnsi="宋体" w:cs="宋体"/>
                <w:spacing w:val="-1"/>
                <w:sz w:val="24"/>
              </w:rPr>
              <w:t>项目控制价为人民币</w:t>
            </w:r>
            <w:r>
              <w:rPr>
                <w:rFonts w:ascii="宋体" w:hAnsi="宋体" w:cs="宋体"/>
                <w:spacing w:val="-1"/>
                <w:sz w:val="24"/>
              </w:rPr>
              <w:t>251</w:t>
            </w:r>
            <w:r>
              <w:rPr>
                <w:rFonts w:hint="eastAsia" w:ascii="宋体" w:hAnsi="宋体" w:cs="宋体"/>
                <w:spacing w:val="-1"/>
                <w:sz w:val="24"/>
              </w:rPr>
              <w:t>.</w:t>
            </w:r>
            <w:r>
              <w:rPr>
                <w:rFonts w:ascii="宋体" w:hAnsi="宋体" w:cs="宋体"/>
                <w:spacing w:val="-1"/>
                <w:sz w:val="24"/>
              </w:rPr>
              <w:t>955997</w:t>
            </w:r>
            <w:r>
              <w:rPr>
                <w:rFonts w:hint="eastAsia" w:ascii="宋体" w:hAnsi="宋体" w:cs="宋体"/>
                <w:spacing w:val="-1"/>
                <w:sz w:val="24"/>
              </w:rPr>
              <w:t>万元，其中暂列金（除税）为人民币/万元。</w:t>
            </w:r>
          </w:p>
          <w:p>
            <w:pPr>
              <w:spacing w:line="360" w:lineRule="auto"/>
              <w:rPr>
                <w:rFonts w:ascii="宋体" w:hAnsi="宋体" w:cs="宋体"/>
                <w:spacing w:val="-1"/>
                <w:sz w:val="24"/>
              </w:rPr>
            </w:pPr>
            <w:r>
              <w:rPr>
                <w:rFonts w:hint="eastAsia" w:ascii="宋体" w:hAnsi="宋体" w:cs="宋体"/>
                <w:spacing w:val="-1"/>
                <w:sz w:val="24"/>
              </w:rPr>
              <w:t>工期：20日历天（具体开工日期以采购人要求为准）</w:t>
            </w:r>
          </w:p>
          <w:p>
            <w:pPr>
              <w:spacing w:line="360" w:lineRule="auto"/>
              <w:rPr>
                <w:rFonts w:hint="eastAsia" w:ascii="宋体" w:hAnsi="宋体" w:cs="宋体"/>
                <w:spacing w:val="-1"/>
                <w:sz w:val="24"/>
              </w:rPr>
            </w:pPr>
            <w:r>
              <w:rPr>
                <w:rFonts w:hint="eastAsia" w:ascii="宋体" w:hAnsi="宋体" w:cs="宋体"/>
                <w:spacing w:val="-1"/>
                <w:sz w:val="24"/>
              </w:rPr>
              <w:t>质量标准：</w:t>
            </w:r>
            <w:r>
              <w:rPr>
                <w:rFonts w:hint="eastAsia" w:ascii="宋体" w:hAnsi="宋体" w:cs="宋体"/>
                <w:spacing w:val="-1"/>
                <w:sz w:val="24"/>
                <w:u w:val="single"/>
              </w:rPr>
              <w:t>合格</w:t>
            </w:r>
          </w:p>
          <w:p>
            <w:pPr>
              <w:spacing w:line="360" w:lineRule="auto"/>
              <w:rPr>
                <w:rFonts w:hint="eastAsia" w:ascii="宋体" w:hAnsi="宋体" w:cs="宋体"/>
                <w:spacing w:val="-1"/>
                <w:sz w:val="24"/>
              </w:rPr>
            </w:pPr>
            <w:r>
              <w:rPr>
                <w:rFonts w:ascii="宋体" w:hAnsi="宋体" w:cs="宋体"/>
                <w:spacing w:val="-1"/>
                <w:sz w:val="24"/>
              </w:rPr>
              <w:t>施工现场安全生产标准化管理目标等级</w:t>
            </w:r>
            <w:r>
              <w:rPr>
                <w:rFonts w:hint="eastAsia" w:ascii="宋体" w:hAnsi="宋体" w:cs="宋体"/>
                <w:spacing w:val="-1"/>
                <w:sz w:val="24"/>
              </w:rPr>
              <w:t>：</w:t>
            </w:r>
            <w:r>
              <w:rPr>
                <w:rFonts w:hint="eastAsia" w:ascii="宋体" w:hAnsi="宋体" w:cs="宋体"/>
                <w:spacing w:val="-1"/>
                <w:sz w:val="24"/>
                <w:u w:val="single"/>
              </w:rPr>
              <w:t>达标</w:t>
            </w:r>
          </w:p>
          <w:p>
            <w:pPr>
              <w:spacing w:before="120" w:beforeLines="50" w:line="360" w:lineRule="auto"/>
              <w:rPr>
                <w:rFonts w:hint="eastAsia" w:ascii="宋体" w:hAnsi="宋体" w:cs="宋体"/>
                <w:spacing w:val="-1"/>
                <w:sz w:val="24"/>
              </w:rPr>
            </w:pPr>
            <w:r>
              <w:rPr>
                <w:rFonts w:hint="eastAsia" w:ascii="宋体" w:hAnsi="宋体" w:cs="宋体"/>
                <w:spacing w:val="-1"/>
                <w:sz w:val="24"/>
              </w:rPr>
              <w:t>施工范围及内容</w:t>
            </w:r>
          </w:p>
          <w:p>
            <w:pPr>
              <w:spacing w:line="360" w:lineRule="auto"/>
              <w:rPr>
                <w:rFonts w:hint="eastAsia" w:ascii="宋体" w:hAnsi="宋体" w:cs="宋体"/>
                <w:spacing w:val="-1"/>
                <w:sz w:val="24"/>
              </w:rPr>
            </w:pPr>
            <w:r>
              <w:rPr>
                <w:rFonts w:hint="eastAsia" w:ascii="宋体" w:hAnsi="宋体" w:cs="宋体"/>
                <w:spacing w:val="-1"/>
                <w:sz w:val="24"/>
              </w:rPr>
              <w:t>1.主要施工内容</w:t>
            </w:r>
          </w:p>
          <w:p>
            <w:pPr>
              <w:spacing w:line="360" w:lineRule="auto"/>
              <w:rPr>
                <w:rFonts w:hint="eastAsia" w:ascii="宋体" w:hAnsi="宋体" w:cs="宋体"/>
                <w:spacing w:val="-1"/>
                <w:sz w:val="24"/>
              </w:rPr>
            </w:pPr>
            <w:r>
              <w:rPr>
                <w:rFonts w:hint="eastAsia" w:ascii="宋体" w:hAnsi="宋体" w:cs="宋体"/>
                <w:spacing w:val="-1"/>
                <w:sz w:val="24"/>
              </w:rPr>
              <w:t>对</w:t>
            </w:r>
            <w:r>
              <w:rPr>
                <w:rFonts w:hint="eastAsia" w:ascii="宋体" w:hAnsi="宋体"/>
                <w:sz w:val="24"/>
              </w:rPr>
              <w:t>首都师范大学附属育新学校房山分校大宁校区</w:t>
            </w:r>
            <w:r>
              <w:rPr>
                <w:rFonts w:hint="eastAsia" w:ascii="宋体" w:hAnsi="宋体" w:cs="宋体"/>
                <w:spacing w:val="-1"/>
                <w:sz w:val="24"/>
              </w:rPr>
              <w:t>食堂操作间进行装修改造，包括但不限于拆除工程、建筑装饰工程、电气工程、给排水工程、消防工程、暖通工程等工程量清单内所示的全部内容。</w:t>
            </w:r>
          </w:p>
          <w:p>
            <w:pPr>
              <w:spacing w:line="360" w:lineRule="auto"/>
              <w:rPr>
                <w:rFonts w:hint="eastAsia" w:ascii="宋体" w:hAnsi="宋体" w:cs="宋体"/>
                <w:spacing w:val="-1"/>
                <w:sz w:val="24"/>
              </w:rPr>
            </w:pPr>
            <w:r>
              <w:rPr>
                <w:rFonts w:hint="eastAsia" w:ascii="宋体" w:hAnsi="宋体" w:cs="宋体"/>
                <w:spacing w:val="-1"/>
                <w:sz w:val="24"/>
              </w:rPr>
              <w:t>2.施工范围</w:t>
            </w:r>
          </w:p>
          <w:p>
            <w:pPr>
              <w:spacing w:line="360" w:lineRule="auto"/>
              <w:rPr>
                <w:rFonts w:hint="eastAsia" w:ascii="宋体" w:hAnsi="宋体" w:cs="宋体"/>
                <w:spacing w:val="-1"/>
                <w:sz w:val="24"/>
              </w:rPr>
            </w:pPr>
            <w:r>
              <w:rPr>
                <w:rFonts w:hint="eastAsia" w:ascii="宋体" w:hAnsi="宋体" w:cs="宋体"/>
                <w:spacing w:val="-1"/>
                <w:sz w:val="24"/>
              </w:rPr>
              <w:t>本项目施工范围包含采购文件、图纸、清单所示范围内的所有施工内容。</w:t>
            </w:r>
          </w:p>
          <w:p>
            <w:pPr>
              <w:spacing w:before="120" w:beforeLines="50" w:line="360" w:lineRule="auto"/>
              <w:rPr>
                <w:rFonts w:hint="eastAsia" w:ascii="宋体" w:hAnsi="宋体" w:cs="宋体"/>
                <w:spacing w:val="-1"/>
                <w:sz w:val="24"/>
              </w:rPr>
            </w:pPr>
            <w:r>
              <w:rPr>
                <w:rFonts w:hint="eastAsia" w:ascii="宋体" w:hAnsi="宋体" w:cs="宋体"/>
                <w:spacing w:val="-1"/>
                <w:sz w:val="24"/>
              </w:rPr>
              <w:t>技术需求</w:t>
            </w:r>
          </w:p>
          <w:p>
            <w:pPr>
              <w:spacing w:line="360" w:lineRule="auto"/>
              <w:rPr>
                <w:rFonts w:hint="eastAsia" w:ascii="宋体" w:hAnsi="宋体" w:cs="宋体"/>
                <w:spacing w:val="-1"/>
                <w:sz w:val="24"/>
              </w:rPr>
            </w:pPr>
            <w:r>
              <w:rPr>
                <w:rFonts w:hint="eastAsia" w:ascii="宋体" w:hAnsi="宋体" w:cs="宋体"/>
                <w:spacing w:val="-1"/>
                <w:sz w:val="24"/>
              </w:rPr>
              <w:t>1.设备要求：用于本项目的所有设备、材料必须符合设计要求和国家相关质量标准，并有产品合格证书，需要由消防部门检测和认证的，必须取得相应的检测合格报告和认证证书。设备必须为在产产品且是生产厂商直接提供的出厂日期为一年内的合格产品。</w:t>
            </w:r>
          </w:p>
          <w:p>
            <w:pPr>
              <w:spacing w:line="360" w:lineRule="auto"/>
              <w:ind w:left="238" w:hanging="238" w:hangingChars="100"/>
              <w:rPr>
                <w:rFonts w:hint="eastAsia" w:ascii="宋体" w:hAnsi="宋体" w:cs="宋体"/>
                <w:spacing w:val="-1"/>
                <w:sz w:val="24"/>
              </w:rPr>
            </w:pPr>
            <w:r>
              <w:rPr>
                <w:rFonts w:ascii="宋体" w:hAnsi="宋体" w:cs="宋体"/>
                <w:spacing w:val="-1"/>
                <w:sz w:val="24"/>
              </w:rPr>
              <w:t>2</w:t>
            </w:r>
            <w:r>
              <w:rPr>
                <w:rFonts w:hint="eastAsia" w:ascii="宋体" w:hAnsi="宋体" w:cs="宋体"/>
                <w:spacing w:val="-1"/>
                <w:sz w:val="24"/>
              </w:rPr>
              <w:t>.质量保证期：自项目通过最终验收之日起不少于两年。</w:t>
            </w:r>
          </w:p>
          <w:p>
            <w:pPr>
              <w:spacing w:line="360" w:lineRule="auto"/>
              <w:rPr>
                <w:rFonts w:hint="eastAsia" w:ascii="宋体" w:hAnsi="宋体" w:cs="宋体"/>
                <w:spacing w:val="-1"/>
                <w:sz w:val="24"/>
              </w:rPr>
            </w:pPr>
            <w:r>
              <w:rPr>
                <w:rFonts w:ascii="宋体" w:hAnsi="宋体" w:cs="宋体"/>
                <w:spacing w:val="-1"/>
                <w:sz w:val="24"/>
              </w:rPr>
              <w:t>3</w:t>
            </w:r>
            <w:r>
              <w:rPr>
                <w:rFonts w:hint="eastAsia" w:ascii="宋体" w:hAnsi="宋体" w:cs="宋体"/>
                <w:spacing w:val="-1"/>
                <w:sz w:val="24"/>
              </w:rPr>
              <w:t>.免费提供个性化服务（如需）。</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1.1.2</w:t>
            </w:r>
          </w:p>
        </w:tc>
        <w:tc>
          <w:tcPr>
            <w:tcW w:w="7391" w:type="dxa"/>
            <w:noWrap w:val="0"/>
            <w:vAlign w:val="top"/>
          </w:tcPr>
          <w:p>
            <w:pPr>
              <w:spacing w:line="360" w:lineRule="auto"/>
              <w:rPr>
                <w:rFonts w:hint="eastAsia" w:ascii="宋体" w:hAnsi="宋体"/>
                <w:bCs/>
                <w:sz w:val="24"/>
              </w:rPr>
            </w:pPr>
            <w:r>
              <w:rPr>
                <w:rFonts w:hint="eastAsia" w:ascii="宋体" w:hAnsi="宋体"/>
                <w:bCs/>
                <w:sz w:val="24"/>
              </w:rPr>
              <w:t>本工程施工场地（现场）具体地理位置如下：</w:t>
            </w:r>
          </w:p>
          <w:p>
            <w:pPr>
              <w:spacing w:line="360" w:lineRule="auto"/>
              <w:rPr>
                <w:rFonts w:hint="eastAsia" w:ascii="宋体" w:hAnsi="宋体"/>
                <w:sz w:val="24"/>
              </w:rPr>
            </w:pPr>
            <w:r>
              <w:rPr>
                <w:rFonts w:hint="eastAsia" w:ascii="宋体" w:hAnsi="宋体"/>
                <w:sz w:val="24"/>
              </w:rPr>
              <w:t>详见采购文件</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bCs/>
                <w:sz w:val="24"/>
              </w:rPr>
              <w:t>1.</w:t>
            </w:r>
            <w:r>
              <w:rPr>
                <w:rFonts w:hint="eastAsia" w:ascii="宋体" w:hAnsi="宋体"/>
                <w:b/>
                <w:bCs/>
                <w:sz w:val="24"/>
              </w:rPr>
              <w:t>2</w:t>
            </w:r>
          </w:p>
        </w:tc>
        <w:tc>
          <w:tcPr>
            <w:tcW w:w="7391" w:type="dxa"/>
            <w:noWrap w:val="0"/>
            <w:vAlign w:val="top"/>
          </w:tcPr>
          <w:p>
            <w:pPr>
              <w:spacing w:line="360" w:lineRule="auto"/>
              <w:rPr>
                <w:rFonts w:hint="eastAsia" w:ascii="宋体" w:hAnsi="宋体"/>
                <w:bCs/>
                <w:sz w:val="24"/>
              </w:rPr>
            </w:pPr>
            <w:r>
              <w:rPr>
                <w:rFonts w:ascii="宋体" w:hAnsi="宋体"/>
                <w:b/>
                <w:bCs/>
                <w:sz w:val="24"/>
              </w:rPr>
              <w:t>现场条件和周围环境</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1.2.1</w:t>
            </w:r>
          </w:p>
        </w:tc>
        <w:tc>
          <w:tcPr>
            <w:tcW w:w="7391" w:type="dxa"/>
            <w:noWrap w:val="0"/>
            <w:vAlign w:val="top"/>
          </w:tcPr>
          <w:p>
            <w:pPr>
              <w:spacing w:line="360" w:lineRule="auto"/>
              <w:rPr>
                <w:rFonts w:hint="eastAsia" w:ascii="宋体" w:hAnsi="宋体"/>
                <w:bCs/>
                <w:sz w:val="24"/>
              </w:rPr>
            </w:pPr>
            <w:r>
              <w:rPr>
                <w:rFonts w:hint="eastAsia" w:ascii="宋体" w:hAnsi="宋体"/>
                <w:bCs/>
                <w:sz w:val="24"/>
              </w:rPr>
              <w:t>本工程施工场地（现场）已经具备施工条件。施工场地（现场）临时水源接口位置、临时电源接口位置、临时排污口位置、建筑红线位置、道路交通和出入口、以及施工场地（现场）和周围环境等情况，以踏勘现场及图纸为准。</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1.2.2</w:t>
            </w:r>
          </w:p>
        </w:tc>
        <w:tc>
          <w:tcPr>
            <w:tcW w:w="7391" w:type="dxa"/>
            <w:noWrap w:val="0"/>
            <w:vAlign w:val="top"/>
          </w:tcPr>
          <w:p>
            <w:pPr>
              <w:spacing w:line="360" w:lineRule="auto"/>
              <w:rPr>
                <w:rFonts w:hint="eastAsia" w:ascii="宋体" w:hAnsi="宋体"/>
                <w:bCs/>
                <w:sz w:val="24"/>
              </w:rPr>
            </w:pPr>
            <w:r>
              <w:rPr>
                <w:rFonts w:hint="eastAsia" w:ascii="宋体" w:hAnsi="宋体"/>
                <w:bCs/>
                <w:sz w:val="24"/>
              </w:rPr>
              <w:t>施工场地（现场）临时供水管径</w:t>
            </w:r>
            <w:r>
              <w:rPr>
                <w:rFonts w:hint="eastAsia" w:ascii="宋体" w:hAnsi="宋体"/>
                <w:bCs/>
                <w:sz w:val="24"/>
                <w:u w:val="single"/>
              </w:rPr>
              <w:t>/</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施工场地（现场）临时排污管径</w:t>
            </w:r>
            <w:r>
              <w:rPr>
                <w:rFonts w:hint="eastAsia" w:ascii="宋体" w:hAnsi="宋体"/>
                <w:bCs/>
                <w:sz w:val="24"/>
                <w:u w:val="single"/>
              </w:rPr>
              <w:t>/</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施工场地（现场）临时雨水管径</w:t>
            </w:r>
            <w:r>
              <w:rPr>
                <w:rFonts w:hint="eastAsia" w:ascii="宋体" w:hAnsi="宋体"/>
                <w:bCs/>
                <w:sz w:val="24"/>
                <w:u w:val="single"/>
              </w:rPr>
              <w:t>/</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施工现场临时供电容量（变压器输出功率）</w:t>
            </w:r>
            <w:r>
              <w:rPr>
                <w:rFonts w:hint="eastAsia" w:ascii="宋体" w:hAnsi="宋体"/>
                <w:bCs/>
                <w:sz w:val="24"/>
                <w:u w:val="single"/>
              </w:rPr>
              <w:t>/</w:t>
            </w:r>
            <w:r>
              <w:rPr>
                <w:rFonts w:hint="eastAsia" w:ascii="宋体" w:hAnsi="宋体"/>
                <w:bCs/>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1.2.3</w:t>
            </w:r>
          </w:p>
        </w:tc>
        <w:tc>
          <w:tcPr>
            <w:tcW w:w="7391" w:type="dxa"/>
            <w:noWrap w:val="0"/>
            <w:vAlign w:val="top"/>
          </w:tcPr>
          <w:p>
            <w:pPr>
              <w:spacing w:line="360" w:lineRule="auto"/>
              <w:rPr>
                <w:rFonts w:hint="eastAsia" w:ascii="宋体" w:hAnsi="宋体"/>
                <w:sz w:val="24"/>
              </w:rPr>
            </w:pPr>
            <w:r>
              <w:rPr>
                <w:rFonts w:hint="eastAsia" w:ascii="宋体" w:hAnsi="宋体"/>
                <w:sz w:val="24"/>
              </w:rPr>
              <w:t>现场条件和周围环境的其他资料和信息数据如下：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1.2.4</w:t>
            </w:r>
          </w:p>
        </w:tc>
        <w:tc>
          <w:tcPr>
            <w:tcW w:w="7391" w:type="dxa"/>
            <w:noWrap w:val="0"/>
            <w:vAlign w:val="top"/>
          </w:tcPr>
          <w:p>
            <w:pPr>
              <w:spacing w:line="360" w:lineRule="auto"/>
              <w:rPr>
                <w:rFonts w:hint="eastAsia" w:ascii="宋体" w:hAnsi="宋体"/>
                <w:sz w:val="24"/>
              </w:rPr>
            </w:pPr>
            <w:r>
              <w:rPr>
                <w:rFonts w:hint="eastAsia" w:ascii="宋体" w:hAnsi="宋体"/>
                <w:bCs/>
                <w:sz w:val="24"/>
              </w:rPr>
              <w:t>承包人被认为已在本工程磋商阶段对现场时充分了解本工程现场条件和周围环境，并已在其磋商时就此给予了充分的考虑。</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bCs/>
                <w:sz w:val="24"/>
              </w:rPr>
              <w:t>1.</w:t>
            </w:r>
            <w:r>
              <w:rPr>
                <w:rFonts w:hint="eastAsia" w:ascii="宋体" w:hAnsi="宋体"/>
                <w:b/>
                <w:bCs/>
                <w:sz w:val="24"/>
              </w:rPr>
              <w:t>3</w:t>
            </w:r>
          </w:p>
        </w:tc>
        <w:tc>
          <w:tcPr>
            <w:tcW w:w="7391" w:type="dxa"/>
            <w:noWrap w:val="0"/>
            <w:vAlign w:val="top"/>
          </w:tcPr>
          <w:p>
            <w:pPr>
              <w:spacing w:line="360" w:lineRule="auto"/>
              <w:rPr>
                <w:rFonts w:hint="eastAsia" w:ascii="宋体" w:hAnsi="宋体"/>
                <w:bCs/>
                <w:sz w:val="24"/>
              </w:rPr>
            </w:pPr>
            <w:r>
              <w:rPr>
                <w:rFonts w:ascii="宋体" w:hAnsi="宋体"/>
                <w:b/>
                <w:bCs/>
                <w:sz w:val="24"/>
              </w:rPr>
              <w:t>地质及水文资料</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1.3.1</w:t>
            </w:r>
          </w:p>
        </w:tc>
        <w:tc>
          <w:tcPr>
            <w:tcW w:w="7391" w:type="dxa"/>
            <w:noWrap w:val="0"/>
            <w:vAlign w:val="top"/>
          </w:tcPr>
          <w:p>
            <w:pPr>
              <w:spacing w:line="360" w:lineRule="auto"/>
              <w:rPr>
                <w:rFonts w:hint="eastAsia" w:ascii="宋体" w:hAnsi="宋体"/>
                <w:sz w:val="24"/>
              </w:rPr>
            </w:pPr>
            <w:r>
              <w:rPr>
                <w:rFonts w:hint="eastAsia" w:ascii="宋体" w:hAnsi="宋体"/>
                <w:sz w:val="24"/>
              </w:rPr>
              <w:t>现场地质及水文资料和信息数据如下：</w:t>
            </w:r>
          </w:p>
          <w:p>
            <w:pPr>
              <w:spacing w:line="360" w:lineRule="auto"/>
              <w:rPr>
                <w:rFonts w:hint="eastAsia" w:ascii="宋体" w:hAnsi="宋体"/>
                <w:bCs/>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bCs/>
                <w:sz w:val="24"/>
              </w:rPr>
              <w:t>1.</w:t>
            </w:r>
            <w:r>
              <w:rPr>
                <w:rFonts w:hint="eastAsia" w:ascii="宋体" w:hAnsi="宋体"/>
                <w:b/>
                <w:bCs/>
                <w:sz w:val="24"/>
              </w:rPr>
              <w:t>4</w:t>
            </w:r>
          </w:p>
        </w:tc>
        <w:tc>
          <w:tcPr>
            <w:tcW w:w="7391" w:type="dxa"/>
            <w:noWrap w:val="0"/>
            <w:vAlign w:val="top"/>
          </w:tcPr>
          <w:p>
            <w:pPr>
              <w:spacing w:line="360" w:lineRule="auto"/>
              <w:rPr>
                <w:rFonts w:hint="eastAsia" w:ascii="宋体" w:hAnsi="宋体"/>
                <w:sz w:val="24"/>
              </w:rPr>
            </w:pPr>
            <w:r>
              <w:rPr>
                <w:rFonts w:hint="eastAsia" w:ascii="宋体" w:hAnsi="宋体"/>
                <w:b/>
                <w:bCs/>
                <w:sz w:val="24"/>
              </w:rPr>
              <w:t>资料和信息的使用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1.4.1</w:t>
            </w:r>
          </w:p>
        </w:tc>
        <w:tc>
          <w:tcPr>
            <w:tcW w:w="7391" w:type="dxa"/>
            <w:noWrap w:val="0"/>
            <w:vAlign w:val="top"/>
          </w:tcPr>
          <w:p>
            <w:pPr>
              <w:spacing w:line="360" w:lineRule="auto"/>
              <w:rPr>
                <w:rFonts w:hint="eastAsia" w:ascii="宋体" w:hAnsi="宋体"/>
                <w:bCs/>
                <w:sz w:val="24"/>
              </w:rPr>
            </w:pPr>
            <w:r>
              <w:rPr>
                <w:rFonts w:hint="eastAsia" w:ascii="宋体" w:hAnsi="宋体"/>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669" w:name="_Toc342296548"/>
            <w:bookmarkStart w:id="670" w:name="_Toc241459791"/>
            <w:bookmarkStart w:id="671" w:name="_Toc448915678"/>
            <w:r>
              <w:rPr>
                <w:rFonts w:hint="eastAsia" w:ascii="宋体" w:hAnsi="宋体"/>
                <w:b/>
                <w:bCs/>
                <w:sz w:val="24"/>
              </w:rPr>
              <w:t>2.</w:t>
            </w:r>
            <w:r>
              <w:rPr>
                <w:rFonts w:ascii="宋体" w:hAnsi="宋体"/>
                <w:b/>
                <w:bCs/>
                <w:sz w:val="24"/>
              </w:rPr>
              <w:t>承包范围</w:t>
            </w:r>
            <w:bookmarkEnd w:id="669"/>
            <w:bookmarkEnd w:id="670"/>
            <w:bookmarkEnd w:id="671"/>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72" w:name="_Toc263259782"/>
            <w:r>
              <w:rPr>
                <w:rFonts w:ascii="宋体" w:hAnsi="宋体"/>
                <w:b/>
                <w:bCs/>
                <w:sz w:val="24"/>
              </w:rPr>
              <w:t>2.1</w:t>
            </w:r>
            <w:bookmarkEnd w:id="672"/>
          </w:p>
        </w:tc>
        <w:tc>
          <w:tcPr>
            <w:tcW w:w="7391" w:type="dxa"/>
            <w:noWrap w:val="0"/>
            <w:vAlign w:val="top"/>
          </w:tcPr>
          <w:p>
            <w:pPr>
              <w:spacing w:line="360" w:lineRule="auto"/>
              <w:rPr>
                <w:rFonts w:hint="eastAsia" w:ascii="宋体" w:hAnsi="宋体"/>
                <w:b/>
                <w:bCs/>
                <w:sz w:val="24"/>
              </w:rPr>
            </w:pPr>
            <w:bookmarkStart w:id="673" w:name="_Toc263259783"/>
            <w:r>
              <w:rPr>
                <w:rFonts w:ascii="宋体" w:hAnsi="宋体"/>
                <w:b/>
                <w:bCs/>
                <w:sz w:val="24"/>
              </w:rPr>
              <w:t>承包范围</w:t>
            </w:r>
            <w:bookmarkEnd w:id="673"/>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74" w:name="_Toc263259784"/>
            <w:r>
              <w:rPr>
                <w:rFonts w:ascii="宋体" w:hAnsi="宋体"/>
                <w:b/>
                <w:sz w:val="24"/>
              </w:rPr>
              <w:t>2.1.1</w:t>
            </w:r>
            <w:bookmarkEnd w:id="674"/>
          </w:p>
        </w:tc>
        <w:tc>
          <w:tcPr>
            <w:tcW w:w="7391" w:type="dxa"/>
            <w:noWrap w:val="0"/>
            <w:vAlign w:val="top"/>
          </w:tcPr>
          <w:p>
            <w:pPr>
              <w:spacing w:line="360" w:lineRule="auto"/>
              <w:rPr>
                <w:rFonts w:hint="eastAsia" w:ascii="宋体" w:hAnsi="宋体"/>
                <w:b/>
                <w:bCs/>
                <w:sz w:val="24"/>
              </w:rPr>
            </w:pPr>
            <w:bookmarkStart w:id="675" w:name="_Toc263259785"/>
            <w:r>
              <w:rPr>
                <w:rFonts w:hint="eastAsia" w:ascii="宋体" w:hAnsi="宋体"/>
                <w:b/>
                <w:bCs/>
                <w:sz w:val="24"/>
              </w:rPr>
              <w:t>承包人自行施工范围</w:t>
            </w:r>
            <w:bookmarkEnd w:id="675"/>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p>
        </w:tc>
        <w:tc>
          <w:tcPr>
            <w:tcW w:w="7391" w:type="dxa"/>
            <w:noWrap w:val="0"/>
            <w:vAlign w:val="top"/>
          </w:tcPr>
          <w:p>
            <w:pPr>
              <w:spacing w:line="360" w:lineRule="auto"/>
              <w:rPr>
                <w:rFonts w:hint="eastAsia" w:ascii="宋体" w:hAnsi="宋体"/>
                <w:sz w:val="24"/>
              </w:rPr>
            </w:pPr>
            <w:r>
              <w:rPr>
                <w:rFonts w:hint="eastAsia" w:ascii="宋体" w:hAnsi="宋体"/>
                <w:sz w:val="24"/>
              </w:rPr>
              <w:t>本工程承包人自行施工的工程范围如下：采购文件</w:t>
            </w:r>
            <w:r>
              <w:rPr>
                <w:rFonts w:ascii="宋体" w:hAnsi="宋体"/>
                <w:sz w:val="24"/>
              </w:rPr>
              <w:t>第一章</w:t>
            </w:r>
            <w:r>
              <w:rPr>
                <w:rFonts w:hint="eastAsia" w:ascii="宋体" w:hAnsi="宋体" w:cs="宋体"/>
                <w:bCs/>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sz w:val="24"/>
              </w:rPr>
              <w:t>2.</w:t>
            </w:r>
            <w:r>
              <w:rPr>
                <w:rFonts w:hint="eastAsia" w:ascii="宋体" w:hAnsi="宋体"/>
                <w:b/>
                <w:sz w:val="24"/>
              </w:rPr>
              <w:t>1.2</w:t>
            </w:r>
          </w:p>
        </w:tc>
        <w:tc>
          <w:tcPr>
            <w:tcW w:w="7391" w:type="dxa"/>
            <w:noWrap w:val="0"/>
            <w:vAlign w:val="top"/>
          </w:tcPr>
          <w:p>
            <w:pPr>
              <w:spacing w:line="360" w:lineRule="auto"/>
              <w:rPr>
                <w:rFonts w:hint="eastAsia" w:ascii="宋体" w:hAnsi="宋体"/>
                <w:sz w:val="24"/>
              </w:rPr>
            </w:pPr>
            <w:r>
              <w:rPr>
                <w:rFonts w:hint="eastAsia" w:ascii="宋体" w:hAnsi="宋体"/>
                <w:b/>
                <w:sz w:val="24"/>
              </w:rPr>
              <w:t>承包范围内的暂估价项目（如有）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2.1.2.1</w:t>
            </w:r>
          </w:p>
        </w:tc>
        <w:tc>
          <w:tcPr>
            <w:tcW w:w="7391" w:type="dxa"/>
            <w:noWrap w:val="0"/>
            <w:vAlign w:val="top"/>
          </w:tcPr>
          <w:p>
            <w:pPr>
              <w:spacing w:line="360" w:lineRule="auto"/>
              <w:rPr>
                <w:rFonts w:hint="eastAsia" w:ascii="宋体" w:hAnsi="宋体"/>
                <w:sz w:val="24"/>
              </w:rPr>
            </w:pPr>
            <w:r>
              <w:rPr>
                <w:rFonts w:hint="eastAsia" w:ascii="宋体" w:hAnsi="宋体"/>
                <w:sz w:val="24"/>
              </w:rPr>
              <w:t>承包范围内以暂估价形式实施的专业工程见“工程量清单”表4.10-3“专业工程暂估价表”。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2.1.2.2</w:t>
            </w:r>
          </w:p>
        </w:tc>
        <w:tc>
          <w:tcPr>
            <w:tcW w:w="7391" w:type="dxa"/>
            <w:noWrap w:val="0"/>
            <w:vAlign w:val="top"/>
          </w:tcPr>
          <w:p>
            <w:pPr>
              <w:spacing w:line="360" w:lineRule="auto"/>
              <w:rPr>
                <w:rFonts w:hint="eastAsia" w:ascii="宋体" w:hAnsi="宋体"/>
                <w:sz w:val="24"/>
              </w:rPr>
            </w:pPr>
            <w:r>
              <w:rPr>
                <w:rFonts w:hint="eastAsia" w:ascii="宋体" w:hAnsi="宋体"/>
                <w:sz w:val="24"/>
              </w:rPr>
              <w:t>承包范围内以暂估价形式实施的材料和工程设备见”工程量清单”表4.10-2“材料和工程设备暂估表”。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2.1.2.3</w:t>
            </w:r>
          </w:p>
        </w:tc>
        <w:tc>
          <w:tcPr>
            <w:tcW w:w="7391" w:type="dxa"/>
            <w:noWrap w:val="0"/>
            <w:vAlign w:val="top"/>
          </w:tcPr>
          <w:p>
            <w:pPr>
              <w:spacing w:line="360" w:lineRule="auto"/>
              <w:rPr>
                <w:rFonts w:hint="eastAsia" w:ascii="宋体" w:hAnsi="宋体"/>
                <w:sz w:val="24"/>
              </w:rPr>
            </w:pPr>
            <w:r>
              <w:rPr>
                <w:rFonts w:hint="eastAsia" w:ascii="宋体" w:hAnsi="宋体"/>
                <w:sz w:val="24"/>
              </w:rPr>
              <w:t>上述暂估价项目与本节第2.1.1项承包人自行施工范围的工作界面划分如下：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sz w:val="24"/>
              </w:rPr>
              <w:t>2.</w:t>
            </w:r>
            <w:r>
              <w:rPr>
                <w:rFonts w:hint="eastAsia" w:ascii="宋体" w:hAnsi="宋体"/>
                <w:b/>
                <w:sz w:val="24"/>
              </w:rPr>
              <w:t>1.3</w:t>
            </w:r>
          </w:p>
        </w:tc>
        <w:tc>
          <w:tcPr>
            <w:tcW w:w="7391" w:type="dxa"/>
            <w:noWrap w:val="0"/>
            <w:vAlign w:val="top"/>
          </w:tcPr>
          <w:p>
            <w:pPr>
              <w:spacing w:line="360" w:lineRule="auto"/>
              <w:rPr>
                <w:rFonts w:hint="eastAsia" w:ascii="宋体" w:hAnsi="宋体"/>
                <w:sz w:val="24"/>
              </w:rPr>
            </w:pPr>
            <w:r>
              <w:rPr>
                <w:rFonts w:hint="eastAsia" w:ascii="宋体" w:hAnsi="宋体"/>
                <w:b/>
                <w:sz w:val="24"/>
              </w:rPr>
              <w:t>承包范围内的暂列金额项目</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2.1.3.1</w:t>
            </w:r>
          </w:p>
        </w:tc>
        <w:tc>
          <w:tcPr>
            <w:tcW w:w="7391" w:type="dxa"/>
            <w:noWrap w:val="0"/>
            <w:vAlign w:val="top"/>
          </w:tcPr>
          <w:p>
            <w:pPr>
              <w:spacing w:line="360" w:lineRule="auto"/>
              <w:rPr>
                <w:rFonts w:hint="eastAsia" w:ascii="宋体" w:hAnsi="宋体"/>
                <w:sz w:val="24"/>
              </w:rPr>
            </w:pPr>
            <w:r>
              <w:rPr>
                <w:rFonts w:hint="eastAsia" w:ascii="宋体" w:hAnsi="宋体"/>
                <w:sz w:val="24"/>
              </w:rPr>
              <w:t>以暂列金额（包括计日工）方式实施的项目见”工程量清单”表4.10-1“暂列金额明细表”（不包括计日工）和表4.10-4“计日工表”，其中计日工金额为承包人在其投标报价中按表4.10-4“计日工表”所列计日工子目、数量和相应规定填报的金额。</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2.1.3.2</w:t>
            </w:r>
          </w:p>
        </w:tc>
        <w:tc>
          <w:tcPr>
            <w:tcW w:w="7391" w:type="dxa"/>
            <w:noWrap w:val="0"/>
            <w:vAlign w:val="top"/>
          </w:tcPr>
          <w:p>
            <w:pPr>
              <w:spacing w:line="360" w:lineRule="auto"/>
              <w:rPr>
                <w:rFonts w:hint="eastAsia" w:ascii="宋体" w:hAnsi="宋体"/>
                <w:sz w:val="24"/>
              </w:rPr>
            </w:pPr>
            <w:r>
              <w:rPr>
                <w:rFonts w:hint="eastAsia" w:ascii="宋体" w:hAnsi="宋体"/>
                <w:sz w:val="24"/>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2.1.3.3</w:t>
            </w:r>
          </w:p>
        </w:tc>
        <w:tc>
          <w:tcPr>
            <w:tcW w:w="7391" w:type="dxa"/>
            <w:noWrap w:val="0"/>
            <w:vAlign w:val="top"/>
          </w:tcPr>
          <w:p>
            <w:pPr>
              <w:spacing w:line="360" w:lineRule="auto"/>
              <w:rPr>
                <w:rFonts w:hint="eastAsia" w:ascii="宋体" w:hAnsi="宋体"/>
                <w:sz w:val="24"/>
              </w:rPr>
            </w:pPr>
            <w:r>
              <w:rPr>
                <w:rFonts w:hint="eastAsia" w:ascii="宋体" w:hAnsi="宋体"/>
                <w:sz w:val="24"/>
              </w:rPr>
              <w:t>暂列金额是否实际发生、其再分和合并等均不应成为承包人要求任何追加费用和(或)延长工期的理由。</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2.1.3.4</w:t>
            </w:r>
          </w:p>
        </w:tc>
        <w:tc>
          <w:tcPr>
            <w:tcW w:w="7391" w:type="dxa"/>
            <w:noWrap w:val="0"/>
            <w:vAlign w:val="top"/>
          </w:tcPr>
          <w:p>
            <w:pPr>
              <w:spacing w:line="360" w:lineRule="auto"/>
              <w:rPr>
                <w:rFonts w:hint="eastAsia" w:ascii="宋体" w:hAnsi="宋体"/>
                <w:sz w:val="24"/>
              </w:rPr>
            </w:pPr>
            <w:r>
              <w:rPr>
                <w:rFonts w:hint="eastAsia" w:ascii="宋体" w:hAnsi="宋体"/>
                <w:sz w:val="24"/>
              </w:rPr>
              <w:t>关于暂列金额的其他说明：</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bCs/>
                <w:sz w:val="24"/>
              </w:rPr>
              <w:t>2.</w:t>
            </w:r>
            <w:r>
              <w:rPr>
                <w:rFonts w:hint="eastAsia" w:ascii="宋体" w:hAnsi="宋体"/>
                <w:b/>
                <w:bCs/>
                <w:sz w:val="24"/>
              </w:rPr>
              <w:t>2</w:t>
            </w:r>
          </w:p>
        </w:tc>
        <w:tc>
          <w:tcPr>
            <w:tcW w:w="7391" w:type="dxa"/>
            <w:noWrap w:val="0"/>
            <w:vAlign w:val="top"/>
          </w:tcPr>
          <w:p>
            <w:pPr>
              <w:spacing w:line="360" w:lineRule="auto"/>
              <w:rPr>
                <w:rFonts w:hint="eastAsia" w:ascii="宋体" w:hAnsi="宋体"/>
                <w:sz w:val="24"/>
              </w:rPr>
            </w:pPr>
            <w:r>
              <w:rPr>
                <w:rFonts w:hint="eastAsia" w:ascii="宋体" w:hAnsi="宋体"/>
                <w:b/>
                <w:bCs/>
                <w:sz w:val="24"/>
              </w:rPr>
              <w:t>发包人发包专业工程和发包人供应的材料和工程设备</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2.2.1</w:t>
            </w:r>
          </w:p>
        </w:tc>
        <w:tc>
          <w:tcPr>
            <w:tcW w:w="7391" w:type="dxa"/>
            <w:noWrap w:val="0"/>
            <w:vAlign w:val="top"/>
          </w:tcPr>
          <w:p>
            <w:pPr>
              <w:spacing w:line="360" w:lineRule="auto"/>
              <w:rPr>
                <w:rFonts w:hint="eastAsia" w:ascii="宋体" w:hAnsi="宋体"/>
                <w:sz w:val="24"/>
              </w:rPr>
            </w:pPr>
            <w:r>
              <w:rPr>
                <w:rFonts w:hint="eastAsia" w:ascii="宋体" w:hAnsi="宋体"/>
                <w:sz w:val="24"/>
              </w:rPr>
              <w:t>由发包人发包的专业工程属于与本工程有关的其他工程，不属于承包人的承包范围。发包人发包的专业工程如下：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2.2.2</w:t>
            </w:r>
          </w:p>
        </w:tc>
        <w:tc>
          <w:tcPr>
            <w:tcW w:w="7391" w:type="dxa"/>
            <w:noWrap w:val="0"/>
            <w:vAlign w:val="top"/>
          </w:tcPr>
          <w:p>
            <w:pPr>
              <w:spacing w:line="360" w:lineRule="auto"/>
              <w:rPr>
                <w:rFonts w:hint="eastAsia" w:ascii="宋体" w:hAnsi="宋体"/>
                <w:sz w:val="24"/>
              </w:rPr>
            </w:pPr>
            <w:r>
              <w:rPr>
                <w:rFonts w:hint="eastAsia" w:ascii="宋体" w:hAnsi="宋体"/>
                <w:sz w:val="24"/>
              </w:rPr>
              <w:t>由发包人供应的材料和工程设备不属于承包人的承包范围。发包人供应的材料和工程设备见合同附件二“发包人供应的材料和工程设备一览表”。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b/>
                <w:bCs/>
                <w:sz w:val="24"/>
              </w:rPr>
              <w:t>2.</w:t>
            </w:r>
            <w:r>
              <w:rPr>
                <w:rFonts w:hint="eastAsia" w:ascii="宋体" w:hAnsi="宋体"/>
                <w:b/>
                <w:bCs/>
                <w:sz w:val="24"/>
              </w:rPr>
              <w:t>3</w:t>
            </w:r>
          </w:p>
        </w:tc>
        <w:tc>
          <w:tcPr>
            <w:tcW w:w="7391" w:type="dxa"/>
            <w:noWrap w:val="0"/>
            <w:vAlign w:val="top"/>
          </w:tcPr>
          <w:p>
            <w:pPr>
              <w:spacing w:line="360" w:lineRule="auto"/>
              <w:rPr>
                <w:rFonts w:hint="eastAsia" w:ascii="宋体" w:hAnsi="宋体"/>
                <w:b/>
                <w:sz w:val="24"/>
              </w:rPr>
            </w:pPr>
            <w:r>
              <w:rPr>
                <w:rFonts w:hint="eastAsia" w:ascii="宋体" w:hAnsi="宋体"/>
                <w:b/>
                <w:bCs/>
                <w:sz w:val="24"/>
              </w:rPr>
              <w:t>承包人与</w:t>
            </w:r>
            <w:r>
              <w:rPr>
                <w:rFonts w:hint="eastAsia" w:ascii="宋体" w:hAnsi="宋体"/>
                <w:b/>
                <w:sz w:val="24"/>
              </w:rPr>
              <w:t>发包人发包专业工程承包人</w:t>
            </w:r>
            <w:r>
              <w:rPr>
                <w:rFonts w:hint="eastAsia" w:ascii="宋体" w:hAnsi="宋体"/>
                <w:b/>
                <w:bCs/>
                <w:sz w:val="24"/>
              </w:rPr>
              <w:t>的工作界面</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2.3.1</w:t>
            </w:r>
          </w:p>
        </w:tc>
        <w:tc>
          <w:tcPr>
            <w:tcW w:w="7391" w:type="dxa"/>
            <w:noWrap w:val="0"/>
            <w:vAlign w:val="top"/>
          </w:tcPr>
          <w:p>
            <w:pPr>
              <w:spacing w:line="360" w:lineRule="auto"/>
              <w:rPr>
                <w:rFonts w:hint="eastAsia" w:ascii="宋体" w:hAnsi="宋体"/>
                <w:sz w:val="24"/>
              </w:rPr>
            </w:pPr>
            <w:r>
              <w:rPr>
                <w:rFonts w:hint="eastAsia" w:ascii="宋体" w:hAnsi="宋体"/>
                <w:sz w:val="24"/>
              </w:rPr>
              <w:t>承包人与发包人发包专业工程承包人以及与发包人供应的材料和设备的供应商之间的工作界面划分如下：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b/>
                <w:bCs/>
                <w:sz w:val="24"/>
              </w:rPr>
              <w:t>2.4</w:t>
            </w:r>
          </w:p>
        </w:tc>
        <w:tc>
          <w:tcPr>
            <w:tcW w:w="7391" w:type="dxa"/>
            <w:noWrap w:val="0"/>
            <w:vAlign w:val="top"/>
          </w:tcPr>
          <w:p>
            <w:pPr>
              <w:spacing w:line="360" w:lineRule="auto"/>
              <w:rPr>
                <w:rFonts w:hint="eastAsia" w:ascii="宋体" w:hAnsi="宋体"/>
                <w:sz w:val="24"/>
              </w:rPr>
            </w:pPr>
            <w:r>
              <w:rPr>
                <w:rFonts w:hint="eastAsia" w:ascii="宋体" w:hAnsi="宋体"/>
                <w:b/>
                <w:bCs/>
                <w:sz w:val="24"/>
              </w:rPr>
              <w:t>承包人需要为发包人和监理人提供的现场办公条件和设施</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2.4.1</w:t>
            </w:r>
          </w:p>
        </w:tc>
        <w:tc>
          <w:tcPr>
            <w:tcW w:w="7391" w:type="dxa"/>
            <w:noWrap w:val="0"/>
            <w:vAlign w:val="top"/>
          </w:tcPr>
          <w:p>
            <w:pPr>
              <w:spacing w:line="360" w:lineRule="auto"/>
              <w:rPr>
                <w:rFonts w:hint="eastAsia" w:ascii="宋体" w:hAnsi="宋体"/>
                <w:sz w:val="24"/>
              </w:rPr>
            </w:pPr>
            <w:r>
              <w:rPr>
                <w:rFonts w:hint="eastAsia" w:ascii="宋体" w:hAnsi="宋体"/>
                <w:sz w:val="24"/>
              </w:rPr>
              <w:t>承包人需要为发包人和监理人提供的现场办公条件和设施及其详细要求如下：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676" w:name="_Toc448915679"/>
            <w:bookmarkStart w:id="677" w:name="_Toc241459792"/>
            <w:bookmarkStart w:id="678" w:name="_Toc342296549"/>
            <w:r>
              <w:rPr>
                <w:rFonts w:hint="eastAsia" w:ascii="宋体" w:hAnsi="宋体"/>
                <w:b/>
                <w:bCs/>
                <w:sz w:val="24"/>
              </w:rPr>
              <w:t>3.</w:t>
            </w:r>
            <w:r>
              <w:rPr>
                <w:rFonts w:ascii="宋体" w:hAnsi="宋体"/>
                <w:b/>
                <w:bCs/>
                <w:sz w:val="24"/>
              </w:rPr>
              <w:t>工期要求</w:t>
            </w:r>
            <w:bookmarkEnd w:id="676"/>
            <w:bookmarkEnd w:id="677"/>
            <w:bookmarkEnd w:id="678"/>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b/>
                <w:bCs/>
                <w:sz w:val="24"/>
              </w:rPr>
              <w:t>3</w:t>
            </w:r>
            <w:r>
              <w:rPr>
                <w:rFonts w:ascii="宋体" w:hAnsi="宋体"/>
                <w:b/>
                <w:bCs/>
                <w:sz w:val="24"/>
              </w:rPr>
              <w:t>.</w:t>
            </w:r>
            <w:r>
              <w:rPr>
                <w:rFonts w:hint="eastAsia" w:ascii="宋体" w:hAnsi="宋体"/>
                <w:b/>
                <w:bCs/>
                <w:sz w:val="24"/>
              </w:rPr>
              <w:t>1</w:t>
            </w:r>
          </w:p>
        </w:tc>
        <w:tc>
          <w:tcPr>
            <w:tcW w:w="7391" w:type="dxa"/>
            <w:noWrap w:val="0"/>
            <w:vAlign w:val="top"/>
          </w:tcPr>
          <w:p>
            <w:pPr>
              <w:spacing w:line="360" w:lineRule="auto"/>
              <w:rPr>
                <w:rFonts w:hint="eastAsia" w:ascii="宋体" w:hAnsi="宋体"/>
                <w:sz w:val="24"/>
              </w:rPr>
            </w:pPr>
            <w:r>
              <w:rPr>
                <w:rFonts w:hint="eastAsia" w:ascii="宋体" w:hAnsi="宋体"/>
                <w:b/>
                <w:bCs/>
                <w:sz w:val="24"/>
              </w:rPr>
              <w:t>合同工期</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p>
        </w:tc>
        <w:tc>
          <w:tcPr>
            <w:tcW w:w="7391" w:type="dxa"/>
            <w:noWrap w:val="0"/>
            <w:vAlign w:val="top"/>
          </w:tcPr>
          <w:p>
            <w:pPr>
              <w:spacing w:line="360" w:lineRule="auto"/>
              <w:rPr>
                <w:rFonts w:hint="eastAsia" w:ascii="宋体" w:hAnsi="宋体"/>
                <w:sz w:val="24"/>
              </w:rPr>
            </w:pPr>
            <w:r>
              <w:rPr>
                <w:rFonts w:hint="eastAsia" w:ascii="宋体" w:hAnsi="宋体"/>
                <w:sz w:val="24"/>
              </w:rPr>
              <w:tab/>
            </w:r>
            <w:r>
              <w:rPr>
                <w:rFonts w:hint="eastAsia" w:ascii="宋体" w:hAnsi="宋体"/>
                <w:sz w:val="24"/>
              </w:rPr>
              <w:t>本工程合同工期和计划开、竣工日期为承包人在投标函附录中承诺的工期和计划开、竣工日期，并在合同协议书中载明。</w:t>
            </w:r>
          </w:p>
          <w:p>
            <w:pPr>
              <w:spacing w:line="360" w:lineRule="auto"/>
              <w:rPr>
                <w:rFonts w:hint="eastAsia" w:ascii="宋体" w:hAnsi="宋体"/>
                <w:sz w:val="24"/>
              </w:rPr>
            </w:pPr>
            <w:r>
              <w:rPr>
                <w:rFonts w:hint="eastAsia" w:ascii="宋体" w:hAnsi="宋体"/>
                <w:sz w:val="24"/>
              </w:rPr>
              <w:t>3.2</w:t>
            </w:r>
            <w:r>
              <w:rPr>
                <w:rFonts w:hint="eastAsia" w:ascii="宋体" w:hAnsi="宋体"/>
                <w:sz w:val="24"/>
              </w:rPr>
              <w:tab/>
            </w:r>
            <w:r>
              <w:rPr>
                <w:rFonts w:hint="eastAsia" w:ascii="宋体" w:hAnsi="宋体"/>
                <w:sz w:val="24"/>
              </w:rPr>
              <w:t>关于工期的一般规定</w:t>
            </w:r>
          </w:p>
          <w:p>
            <w:pPr>
              <w:spacing w:line="360" w:lineRule="auto"/>
              <w:rPr>
                <w:rFonts w:hint="eastAsia" w:ascii="宋体" w:hAnsi="宋体"/>
                <w:sz w:val="24"/>
              </w:rPr>
            </w:pPr>
            <w:r>
              <w:rPr>
                <w:rFonts w:hint="eastAsia" w:ascii="宋体" w:hAnsi="宋体"/>
                <w:sz w:val="24"/>
              </w:rPr>
              <w:t>3.2.1</w:t>
            </w:r>
            <w:r>
              <w:rPr>
                <w:rFonts w:hint="eastAsia" w:ascii="宋体" w:hAnsi="宋体"/>
                <w:sz w:val="24"/>
              </w:rPr>
              <w:tab/>
            </w:r>
            <w:r>
              <w:rPr>
                <w:rFonts w:hint="eastAsia" w:ascii="宋体" w:hAnsi="宋体"/>
                <w:sz w:val="24"/>
              </w:rPr>
              <w:t>承包人在投标函中承诺的工期和计划开、竣工日期之间发生矛盾或者不一致时，以承包人承诺的工期为准。实际开工日期以通用合同条款约定的监理人发出的开工通知中载明的开工日期为准。</w:t>
            </w:r>
          </w:p>
          <w:p>
            <w:pPr>
              <w:spacing w:line="360" w:lineRule="auto"/>
              <w:rPr>
                <w:rFonts w:hint="eastAsia" w:ascii="宋体" w:hAnsi="宋体"/>
                <w:sz w:val="24"/>
              </w:rPr>
            </w:pPr>
            <w:r>
              <w:rPr>
                <w:rFonts w:hint="eastAsia" w:ascii="宋体" w:hAnsi="宋体"/>
                <w:sz w:val="24"/>
              </w:rPr>
              <w:t>3.2.2</w:t>
            </w:r>
            <w:r>
              <w:rPr>
                <w:rFonts w:hint="eastAsia" w:ascii="宋体" w:hAnsi="宋体"/>
                <w:sz w:val="24"/>
              </w:rPr>
              <w:tab/>
            </w:r>
            <w:r>
              <w:rPr>
                <w:rFonts w:hint="eastAsia" w:ascii="宋体" w:hAnsi="宋体"/>
                <w:sz w:val="24"/>
              </w:rPr>
              <w:t>如果承包人在投标函附录中承诺的工期提前于发包人在本工程磋商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360" w:lineRule="auto"/>
              <w:rPr>
                <w:rFonts w:hint="eastAsia" w:ascii="宋体" w:hAnsi="宋体"/>
                <w:sz w:val="24"/>
              </w:rPr>
            </w:pPr>
            <w:r>
              <w:rPr>
                <w:rFonts w:hint="eastAsia" w:ascii="宋体" w:hAnsi="宋体"/>
                <w:sz w:val="24"/>
              </w:rPr>
              <w:t>3.3对工期的响应</w:t>
            </w:r>
          </w:p>
          <w:p>
            <w:pPr>
              <w:spacing w:line="360" w:lineRule="auto"/>
              <w:rPr>
                <w:rFonts w:hint="eastAsia" w:ascii="宋体" w:hAnsi="宋体"/>
                <w:sz w:val="24"/>
              </w:rPr>
            </w:pPr>
            <w:r>
              <w:rPr>
                <w:rFonts w:hint="eastAsia" w:ascii="宋体" w:hAnsi="宋体"/>
                <w:sz w:val="24"/>
              </w:rPr>
              <w:t>3.3.1对于发包人要求的工期，承包人必须完全响应，承包人可优化总工期和工期节点完成时间。优化后的总工期及节点工期一旦被发包人接受，即成为合同工期。总承包人在施工组织设计中必须考虑保证工期的措施、加班、加人的费用，除非合同文件另有约定，发包人不再向承包人支付任何性质的措施费用及赶工费用。</w:t>
            </w:r>
          </w:p>
          <w:p>
            <w:pPr>
              <w:spacing w:line="360" w:lineRule="auto"/>
              <w:rPr>
                <w:rFonts w:hint="eastAsia" w:ascii="宋体" w:hAnsi="宋体"/>
                <w:sz w:val="24"/>
              </w:rPr>
            </w:pPr>
            <w:r>
              <w:rPr>
                <w:rFonts w:hint="eastAsia" w:ascii="宋体" w:hAnsi="宋体"/>
                <w:sz w:val="24"/>
              </w:rPr>
              <w:t>3.3.2总承包人已经详细勘察现场，需遵守一切与该区域相关的管理规定和交通限制等相关因素对工期产生的影响，特别是确保文明施工要求。在工程实施期间，承包人除需协调承包范围内的各专业分包人和专项供应商外，还需为发包人发包的独立承包工程提供统一协调和管理，并制定切实可行的工期保证措施，且已将相关费用计入了签约合同价中。</w:t>
            </w:r>
          </w:p>
          <w:p>
            <w:pPr>
              <w:spacing w:line="360" w:lineRule="auto"/>
              <w:rPr>
                <w:rFonts w:hint="eastAsia" w:ascii="宋体" w:hAnsi="宋体"/>
                <w:sz w:val="24"/>
              </w:rPr>
            </w:pPr>
            <w:r>
              <w:rPr>
                <w:rFonts w:hint="eastAsia" w:ascii="宋体" w:hAnsi="宋体"/>
                <w:sz w:val="24"/>
              </w:rPr>
              <w:t>3.3.3若发现本工程不能在规定的工期或节点工期前完工，发包人可发出指令，要求承包人更改其施工程序或采取其它措施确保本工程能如期完成。承包人须无条件地执行有关的指令。</w:t>
            </w:r>
          </w:p>
          <w:p>
            <w:pPr>
              <w:spacing w:line="360" w:lineRule="auto"/>
              <w:rPr>
                <w:rFonts w:hint="eastAsia" w:ascii="宋体" w:hAnsi="宋体"/>
                <w:sz w:val="24"/>
              </w:rPr>
            </w:pPr>
            <w:r>
              <w:rPr>
                <w:rFonts w:hint="eastAsia" w:ascii="宋体" w:hAnsi="宋体"/>
                <w:sz w:val="24"/>
              </w:rPr>
              <w:t>3.3.4若承包人未能按合同工期及上述各个节点工期或按合同条款延长后的节点工期完成相应节点工程或本工程，而使其他独立承包人施工任务、施工条件遇到各种禁止和限制，承包人须承担一切后果和损失。</w:t>
            </w:r>
          </w:p>
          <w:p>
            <w:pPr>
              <w:spacing w:line="360" w:lineRule="auto"/>
              <w:rPr>
                <w:rFonts w:hint="eastAsia" w:ascii="宋体" w:hAnsi="宋体"/>
                <w:sz w:val="24"/>
              </w:rPr>
            </w:pPr>
            <w:r>
              <w:rPr>
                <w:rFonts w:hint="eastAsia" w:ascii="宋体" w:hAnsi="宋体"/>
                <w:sz w:val="24"/>
              </w:rPr>
              <w:t>3.3.5合同工期天数：详见《</w:t>
            </w:r>
            <w:r>
              <w:rPr>
                <w:rFonts w:ascii="宋体" w:hAnsi="宋体"/>
                <w:sz w:val="24"/>
              </w:rPr>
              <w:t>第二章供应商须知前附表</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sz w:val="24"/>
              </w:rPr>
            </w:pPr>
            <w:bookmarkStart w:id="679" w:name="_Toc241459793"/>
            <w:bookmarkStart w:id="680" w:name="_Toc448915680"/>
            <w:bookmarkStart w:id="681" w:name="_Toc342296550"/>
            <w:r>
              <w:rPr>
                <w:rFonts w:hint="eastAsia" w:ascii="宋体" w:hAnsi="宋体"/>
                <w:b/>
                <w:bCs/>
                <w:sz w:val="24"/>
              </w:rPr>
              <w:t>4.</w:t>
            </w:r>
            <w:r>
              <w:rPr>
                <w:rFonts w:ascii="宋体" w:hAnsi="宋体"/>
                <w:b/>
                <w:bCs/>
                <w:sz w:val="24"/>
              </w:rPr>
              <w:t>质量</w:t>
            </w:r>
            <w:r>
              <w:rPr>
                <w:rFonts w:hint="eastAsia" w:ascii="宋体" w:hAnsi="宋体"/>
                <w:b/>
                <w:bCs/>
                <w:sz w:val="24"/>
              </w:rPr>
              <w:t>要求</w:t>
            </w:r>
            <w:bookmarkEnd w:id="679"/>
            <w:bookmarkEnd w:id="680"/>
            <w:bookmarkEnd w:id="681"/>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b/>
                <w:bCs/>
                <w:sz w:val="24"/>
              </w:rPr>
              <w:t>4</w:t>
            </w:r>
            <w:r>
              <w:rPr>
                <w:rFonts w:ascii="宋体" w:hAnsi="宋体"/>
                <w:b/>
                <w:bCs/>
                <w:sz w:val="24"/>
              </w:rPr>
              <w:t>.1</w:t>
            </w:r>
          </w:p>
        </w:tc>
        <w:tc>
          <w:tcPr>
            <w:tcW w:w="7391" w:type="dxa"/>
            <w:noWrap w:val="0"/>
            <w:vAlign w:val="top"/>
          </w:tcPr>
          <w:p>
            <w:pPr>
              <w:spacing w:line="360" w:lineRule="auto"/>
              <w:rPr>
                <w:rFonts w:hint="eastAsia" w:ascii="宋体" w:hAnsi="宋体"/>
                <w:sz w:val="24"/>
              </w:rPr>
            </w:pPr>
            <w:r>
              <w:rPr>
                <w:rFonts w:ascii="宋体" w:hAnsi="宋体"/>
                <w:b/>
                <w:bCs/>
                <w:sz w:val="24"/>
              </w:rPr>
              <w:t>质量</w:t>
            </w:r>
            <w:r>
              <w:rPr>
                <w:rFonts w:hint="eastAsia" w:ascii="宋体" w:hAnsi="宋体"/>
                <w:b/>
                <w:bCs/>
                <w:sz w:val="24"/>
              </w:rPr>
              <w:t>标准</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4.1.1</w:t>
            </w:r>
          </w:p>
        </w:tc>
        <w:tc>
          <w:tcPr>
            <w:tcW w:w="7391" w:type="dxa"/>
            <w:noWrap w:val="0"/>
            <w:vAlign w:val="top"/>
          </w:tcPr>
          <w:p>
            <w:pPr>
              <w:spacing w:line="360" w:lineRule="auto"/>
              <w:rPr>
                <w:rFonts w:hint="eastAsia" w:ascii="宋体" w:hAnsi="宋体"/>
                <w:sz w:val="24"/>
              </w:rPr>
            </w:pPr>
            <w:r>
              <w:rPr>
                <w:rFonts w:hint="eastAsia" w:ascii="宋体" w:hAnsi="宋体"/>
                <w:sz w:val="24"/>
              </w:rPr>
              <w:t>本工程要求的质量标准为</w:t>
            </w:r>
            <w:r>
              <w:rPr>
                <w:rFonts w:hint="eastAsia" w:ascii="宋体" w:hAnsi="宋体"/>
                <w:sz w:val="24"/>
                <w:u w:val="single"/>
              </w:rPr>
              <w:t>符合现行国家有关工程施工验收规范和标准的要求（合格）</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b/>
                <w:bCs/>
                <w:sz w:val="24"/>
              </w:rPr>
              <w:t>4</w:t>
            </w:r>
            <w:r>
              <w:rPr>
                <w:rFonts w:ascii="宋体" w:hAnsi="宋体"/>
                <w:b/>
                <w:bCs/>
                <w:sz w:val="24"/>
              </w:rPr>
              <w:t>.</w:t>
            </w:r>
            <w:r>
              <w:rPr>
                <w:rFonts w:hint="eastAsia" w:ascii="宋体" w:hAnsi="宋体"/>
                <w:b/>
                <w:bCs/>
                <w:sz w:val="24"/>
              </w:rPr>
              <w:t>2</w:t>
            </w:r>
          </w:p>
        </w:tc>
        <w:tc>
          <w:tcPr>
            <w:tcW w:w="7391" w:type="dxa"/>
            <w:noWrap w:val="0"/>
            <w:vAlign w:val="top"/>
          </w:tcPr>
          <w:p>
            <w:pPr>
              <w:spacing w:line="360" w:lineRule="auto"/>
              <w:rPr>
                <w:rFonts w:hint="eastAsia" w:ascii="宋体" w:hAnsi="宋体"/>
                <w:sz w:val="24"/>
              </w:rPr>
            </w:pPr>
            <w:r>
              <w:rPr>
                <w:rFonts w:ascii="宋体" w:hAnsi="宋体"/>
                <w:b/>
                <w:bCs/>
                <w:sz w:val="24"/>
              </w:rPr>
              <w:t>特殊</w:t>
            </w:r>
            <w:r>
              <w:rPr>
                <w:rFonts w:hint="eastAsia" w:ascii="宋体" w:hAnsi="宋体"/>
                <w:b/>
                <w:bCs/>
                <w:sz w:val="24"/>
              </w:rPr>
              <w:t>质量</w:t>
            </w:r>
            <w:r>
              <w:rPr>
                <w:rFonts w:ascii="宋体" w:hAnsi="宋体"/>
                <w:b/>
                <w:bCs/>
                <w:sz w:val="24"/>
              </w:rPr>
              <w:t>要求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4.2.1</w:t>
            </w:r>
          </w:p>
        </w:tc>
        <w:tc>
          <w:tcPr>
            <w:tcW w:w="7391" w:type="dxa"/>
            <w:noWrap w:val="0"/>
            <w:vAlign w:val="top"/>
          </w:tcPr>
          <w:p>
            <w:pPr>
              <w:spacing w:line="360" w:lineRule="auto"/>
              <w:rPr>
                <w:rFonts w:hint="eastAsia" w:ascii="宋体" w:hAnsi="宋体"/>
                <w:sz w:val="24"/>
              </w:rPr>
            </w:pPr>
            <w:r>
              <w:rPr>
                <w:rFonts w:hint="eastAsia" w:ascii="宋体" w:hAnsi="宋体"/>
                <w:sz w:val="24"/>
              </w:rPr>
              <w:t>有关本工程质量方面的特殊要求如下：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682" w:name="_Toc342296551"/>
            <w:bookmarkStart w:id="683" w:name="_Toc241459794"/>
            <w:bookmarkStart w:id="684" w:name="_Toc448915681"/>
            <w:r>
              <w:rPr>
                <w:rFonts w:hint="eastAsia" w:ascii="宋体" w:hAnsi="宋体"/>
                <w:b/>
                <w:bCs/>
                <w:sz w:val="24"/>
              </w:rPr>
              <w:t>5.</w:t>
            </w:r>
            <w:r>
              <w:rPr>
                <w:rFonts w:ascii="宋体" w:hAnsi="宋体"/>
                <w:b/>
                <w:bCs/>
                <w:sz w:val="24"/>
              </w:rPr>
              <w:t>适用规范</w:t>
            </w:r>
            <w:r>
              <w:rPr>
                <w:rFonts w:hint="eastAsia" w:ascii="宋体" w:hAnsi="宋体"/>
                <w:b/>
                <w:bCs/>
                <w:sz w:val="24"/>
              </w:rPr>
              <w:t>和标准</w:t>
            </w:r>
            <w:bookmarkEnd w:id="682"/>
            <w:bookmarkEnd w:id="683"/>
            <w:bookmarkEnd w:id="684"/>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sz w:val="24"/>
              </w:rPr>
              <w:t>5.1</w:t>
            </w:r>
          </w:p>
        </w:tc>
        <w:tc>
          <w:tcPr>
            <w:tcW w:w="7391" w:type="dxa"/>
            <w:noWrap w:val="0"/>
            <w:vAlign w:val="top"/>
          </w:tcPr>
          <w:p>
            <w:pPr>
              <w:spacing w:line="360" w:lineRule="auto"/>
              <w:rPr>
                <w:rFonts w:hint="eastAsia" w:ascii="宋体" w:hAnsi="宋体"/>
                <w:sz w:val="24"/>
              </w:rPr>
            </w:pPr>
            <w:r>
              <w:rPr>
                <w:rFonts w:hint="eastAsia" w:ascii="宋体" w:hAnsi="宋体"/>
                <w:sz w:val="24"/>
              </w:rPr>
              <w:t>适用的规范、标准和规程</w:t>
            </w:r>
          </w:p>
          <w:p>
            <w:pPr>
              <w:spacing w:line="360" w:lineRule="auto"/>
              <w:rPr>
                <w:rFonts w:hint="eastAsia" w:ascii="宋体" w:hAnsi="宋体"/>
                <w:sz w:val="24"/>
              </w:rPr>
            </w:pPr>
            <w:r>
              <w:rPr>
                <w:rFonts w:hint="eastAsia" w:ascii="宋体" w:hAnsi="宋体"/>
                <w:sz w:val="24"/>
              </w:rPr>
              <w:t>5.1.1除合同另有约定外，本工程适用现行国家、行业和地方规范、标准和规程。构成合同文件的任何内容与适用的规范、标准和规程之间出现矛盾，承包人应书面要求监理人予以澄清，除监理人有特别指示外，承包人应按照其中要求最严格的标准执行。</w:t>
            </w:r>
          </w:p>
          <w:p>
            <w:pPr>
              <w:spacing w:line="360" w:lineRule="auto"/>
              <w:rPr>
                <w:rFonts w:hint="eastAsia" w:ascii="宋体" w:hAnsi="宋体"/>
                <w:sz w:val="24"/>
              </w:rPr>
            </w:pPr>
            <w:r>
              <w:rPr>
                <w:rFonts w:hint="eastAsia" w:ascii="宋体" w:hAnsi="宋体"/>
                <w:sz w:val="24"/>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rPr>
                <w:rFonts w:hint="eastAsia" w:ascii="宋体" w:hAnsi="宋体"/>
                <w:sz w:val="24"/>
              </w:rPr>
            </w:pPr>
            <w:r>
              <w:rPr>
                <w:rFonts w:hint="eastAsia" w:ascii="宋体" w:hAnsi="宋体"/>
                <w:sz w:val="24"/>
              </w:rPr>
              <w:t>5.2</w:t>
            </w:r>
            <w:r>
              <w:rPr>
                <w:rFonts w:hint="eastAsia" w:ascii="宋体" w:hAnsi="宋体"/>
                <w:bCs/>
              </w:rPr>
              <w:t>施</w:t>
            </w:r>
            <w:r>
              <w:rPr>
                <w:rFonts w:hint="eastAsia" w:ascii="宋体" w:hAnsi="宋体"/>
                <w:sz w:val="24"/>
              </w:rPr>
              <w:t>工质量应符合国家、行业现行规范标准，达到合格标准。</w:t>
            </w:r>
          </w:p>
          <w:p>
            <w:pPr>
              <w:spacing w:line="360" w:lineRule="auto"/>
              <w:rPr>
                <w:rFonts w:hint="eastAsia" w:ascii="宋体" w:hAnsi="宋体"/>
                <w:sz w:val="24"/>
              </w:rPr>
            </w:pPr>
            <w:r>
              <w:rPr>
                <w:rFonts w:hint="eastAsia" w:ascii="宋体" w:hAnsi="宋体"/>
                <w:sz w:val="24"/>
              </w:rPr>
              <w:t>施工应用规范：</w:t>
            </w:r>
          </w:p>
          <w:p>
            <w:pPr>
              <w:spacing w:line="360" w:lineRule="auto"/>
              <w:rPr>
                <w:rFonts w:hint="eastAsia" w:ascii="宋体" w:hAnsi="宋体"/>
                <w:sz w:val="24"/>
              </w:rPr>
            </w:pPr>
            <w:r>
              <w:rPr>
                <w:rFonts w:hint="eastAsia" w:ascii="宋体" w:hAnsi="宋体"/>
                <w:sz w:val="24"/>
              </w:rPr>
              <w:t>1）《建筑设计防火规范》GB50016-2014（2018年版）</w:t>
            </w:r>
          </w:p>
          <w:p>
            <w:pPr>
              <w:spacing w:line="360" w:lineRule="auto"/>
              <w:rPr>
                <w:rFonts w:hint="eastAsia" w:ascii="宋体" w:hAnsi="宋体"/>
                <w:sz w:val="24"/>
              </w:rPr>
            </w:pPr>
            <w:r>
              <w:rPr>
                <w:rFonts w:hint="eastAsia" w:ascii="宋体" w:hAnsi="宋体"/>
                <w:sz w:val="24"/>
              </w:rPr>
              <w:t>2）《既有居住建筑节能改造技术规程》DB11/381-2016</w:t>
            </w:r>
          </w:p>
          <w:p>
            <w:pPr>
              <w:spacing w:line="360" w:lineRule="auto"/>
              <w:rPr>
                <w:rFonts w:hint="eastAsia" w:ascii="宋体" w:hAnsi="宋体"/>
                <w:sz w:val="24"/>
              </w:rPr>
            </w:pPr>
            <w:r>
              <w:rPr>
                <w:rFonts w:hint="eastAsia" w:ascii="宋体" w:hAnsi="宋体"/>
                <w:sz w:val="24"/>
              </w:rPr>
              <w:t>3）《严寒和寒冷地区居住建筑节能设计标准》JGJ26-2018</w:t>
            </w:r>
          </w:p>
          <w:p>
            <w:pPr>
              <w:spacing w:line="360" w:lineRule="auto"/>
              <w:rPr>
                <w:rFonts w:hint="eastAsia" w:ascii="宋体" w:hAnsi="宋体"/>
                <w:sz w:val="24"/>
              </w:rPr>
            </w:pPr>
            <w:r>
              <w:rPr>
                <w:rFonts w:hint="eastAsia" w:ascii="宋体" w:hAnsi="宋体"/>
                <w:sz w:val="24"/>
              </w:rPr>
              <w:t>4）《既有公共建筑节能绿色化改造技术规程》DB11/T1998-2022</w:t>
            </w:r>
          </w:p>
          <w:p>
            <w:pPr>
              <w:spacing w:line="360" w:lineRule="auto"/>
              <w:rPr>
                <w:rFonts w:hint="eastAsia" w:ascii="宋体" w:hAnsi="宋体"/>
                <w:sz w:val="24"/>
              </w:rPr>
            </w:pPr>
            <w:r>
              <w:rPr>
                <w:rFonts w:hint="eastAsia" w:ascii="宋体" w:hAnsi="宋体"/>
                <w:sz w:val="24"/>
              </w:rPr>
              <w:t>5）《公共建筑节能设计标准》DB11/687-2015</w:t>
            </w:r>
          </w:p>
          <w:p>
            <w:pPr>
              <w:spacing w:line="360" w:lineRule="auto"/>
              <w:rPr>
                <w:rFonts w:hint="eastAsia" w:ascii="宋体" w:hAnsi="宋体"/>
                <w:sz w:val="24"/>
              </w:rPr>
            </w:pPr>
            <w:bookmarkStart w:id="685" w:name="_Toc415647449"/>
            <w:bookmarkStart w:id="686" w:name="_Toc452302975"/>
            <w:bookmarkStart w:id="687" w:name="_Toc452301567"/>
            <w:bookmarkStart w:id="688" w:name="_Toc462650809"/>
            <w:r>
              <w:rPr>
                <w:rFonts w:hint="eastAsia" w:ascii="宋体" w:hAnsi="宋体"/>
                <w:sz w:val="24"/>
              </w:rPr>
              <w:t>6）我国现行的安全生产、文明施工、环保及消防等有关规定</w:t>
            </w:r>
            <w:bookmarkEnd w:id="685"/>
            <w:bookmarkEnd w:id="686"/>
            <w:bookmarkEnd w:id="687"/>
            <w:bookmarkEnd w:id="688"/>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7）《建筑工程施工现场供用电安全规范》GB50194-94</w:t>
            </w:r>
          </w:p>
          <w:p>
            <w:pPr>
              <w:spacing w:line="360" w:lineRule="auto"/>
              <w:rPr>
                <w:rFonts w:hint="eastAsia" w:ascii="宋体" w:hAnsi="宋体"/>
                <w:sz w:val="24"/>
              </w:rPr>
            </w:pPr>
            <w:r>
              <w:rPr>
                <w:rFonts w:hint="eastAsia" w:ascii="宋体" w:hAnsi="宋体"/>
                <w:sz w:val="24"/>
              </w:rPr>
              <w:t>8）《建筑施工安全检查标准》</w:t>
            </w:r>
            <w:r>
              <w:rPr>
                <w:rFonts w:ascii="宋体" w:hAnsi="宋体"/>
                <w:sz w:val="24"/>
              </w:rPr>
              <w:t>JGJ59-2011</w:t>
            </w:r>
          </w:p>
          <w:p>
            <w:pPr>
              <w:spacing w:line="360" w:lineRule="auto"/>
              <w:rPr>
                <w:rFonts w:hint="eastAsia" w:ascii="宋体" w:hAnsi="宋体"/>
                <w:sz w:val="24"/>
              </w:rPr>
            </w:pPr>
            <w:r>
              <w:rPr>
                <w:rFonts w:hint="eastAsia" w:ascii="宋体" w:hAnsi="宋体"/>
                <w:sz w:val="24"/>
              </w:rPr>
              <w:t>9）《建筑施工高处作业安全技术规程》JGJ80-91</w:t>
            </w:r>
          </w:p>
          <w:p>
            <w:pPr>
              <w:spacing w:line="360" w:lineRule="auto"/>
              <w:ind w:left="-88"/>
              <w:rPr>
                <w:rFonts w:hint="eastAsia" w:ascii="宋体" w:hAnsi="宋体"/>
                <w:sz w:val="24"/>
              </w:rPr>
            </w:pPr>
            <w:r>
              <w:rPr>
                <w:rFonts w:hint="eastAsia" w:ascii="宋体" w:hAnsi="宋体"/>
                <w:sz w:val="24"/>
              </w:rPr>
              <w:t>10）《施工现场临时用电安全技术规范》</w:t>
            </w:r>
            <w:r>
              <w:rPr>
                <w:rFonts w:ascii="宋体" w:hAnsi="宋体"/>
                <w:sz w:val="24"/>
              </w:rPr>
              <w:t>JGJ46-2005</w:t>
            </w:r>
          </w:p>
          <w:p>
            <w:pPr>
              <w:spacing w:line="360" w:lineRule="auto"/>
              <w:ind w:left="-88"/>
              <w:rPr>
                <w:rFonts w:hint="eastAsia" w:ascii="宋体" w:hAnsi="宋体"/>
                <w:sz w:val="24"/>
              </w:rPr>
            </w:pPr>
            <w:r>
              <w:rPr>
                <w:rFonts w:hint="eastAsia" w:ascii="宋体" w:hAnsi="宋体"/>
                <w:sz w:val="24"/>
              </w:rPr>
              <w:t>11）《建筑安装工程资料管理规程》DB11／T695-2009</w:t>
            </w:r>
          </w:p>
          <w:p>
            <w:pPr>
              <w:spacing w:line="360" w:lineRule="auto"/>
              <w:ind w:left="-88"/>
              <w:rPr>
                <w:rFonts w:hint="eastAsia" w:ascii="宋体" w:hAnsi="宋体"/>
                <w:sz w:val="24"/>
              </w:rPr>
            </w:pPr>
            <w:r>
              <w:rPr>
                <w:rFonts w:hint="eastAsia" w:ascii="宋体" w:hAnsi="宋体"/>
                <w:sz w:val="24"/>
              </w:rPr>
              <w:t>12）《北京市建筑工程施工安全操作规程》DBJ01-62-2002</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89" w:name="_Toc263259791"/>
            <w:r>
              <w:rPr>
                <w:rFonts w:hint="eastAsia" w:ascii="宋体" w:hAnsi="宋体"/>
                <w:b/>
                <w:bCs/>
                <w:sz w:val="24"/>
              </w:rPr>
              <w:t>5</w:t>
            </w:r>
            <w:r>
              <w:rPr>
                <w:rFonts w:ascii="宋体" w:hAnsi="宋体"/>
                <w:b/>
                <w:bCs/>
                <w:sz w:val="24"/>
              </w:rPr>
              <w:t>.2</w:t>
            </w:r>
            <w:bookmarkEnd w:id="689"/>
          </w:p>
        </w:tc>
        <w:tc>
          <w:tcPr>
            <w:tcW w:w="7391" w:type="dxa"/>
            <w:noWrap w:val="0"/>
            <w:vAlign w:val="top"/>
          </w:tcPr>
          <w:p>
            <w:pPr>
              <w:spacing w:line="360" w:lineRule="auto"/>
              <w:rPr>
                <w:rFonts w:hint="eastAsia" w:ascii="宋体" w:hAnsi="宋体"/>
                <w:b/>
                <w:bCs/>
                <w:sz w:val="24"/>
              </w:rPr>
            </w:pPr>
            <w:bookmarkStart w:id="690" w:name="_Toc263259792"/>
            <w:r>
              <w:rPr>
                <w:rFonts w:ascii="宋体" w:hAnsi="宋体"/>
                <w:b/>
                <w:bCs/>
                <w:sz w:val="24"/>
              </w:rPr>
              <w:t>特殊技术</w:t>
            </w:r>
            <w:r>
              <w:rPr>
                <w:rFonts w:hint="eastAsia" w:ascii="宋体" w:hAnsi="宋体"/>
                <w:b/>
                <w:bCs/>
                <w:sz w:val="24"/>
              </w:rPr>
              <w:t>标准和要求</w:t>
            </w:r>
            <w:bookmarkEnd w:id="690"/>
          </w:p>
        </w:tc>
      </w:tr>
      <w:tr>
        <w:tblPrEx>
          <w:tblCellMar>
            <w:top w:w="0" w:type="dxa"/>
            <w:left w:w="108" w:type="dxa"/>
            <w:bottom w:w="0" w:type="dxa"/>
            <w:right w:w="108" w:type="dxa"/>
          </w:tblCellMar>
        </w:tblPrEx>
        <w:trPr>
          <w:gridAfter w:val="1"/>
          <w:wAfter w:w="57" w:type="dxa"/>
          <w:trHeight w:val="243" w:hRule="atLeast"/>
        </w:trPr>
        <w:tc>
          <w:tcPr>
            <w:tcW w:w="1398" w:type="dxa"/>
            <w:noWrap w:val="0"/>
            <w:vAlign w:val="top"/>
          </w:tcPr>
          <w:p>
            <w:pPr>
              <w:spacing w:line="360" w:lineRule="auto"/>
              <w:rPr>
                <w:rFonts w:hint="eastAsia" w:ascii="宋体" w:hAnsi="宋体"/>
                <w:sz w:val="24"/>
              </w:rPr>
            </w:pPr>
            <w:r>
              <w:rPr>
                <w:rFonts w:hint="eastAsia" w:ascii="宋体" w:hAnsi="宋体"/>
                <w:sz w:val="24"/>
              </w:rPr>
              <w:t>5.2.1</w:t>
            </w:r>
          </w:p>
        </w:tc>
        <w:tc>
          <w:tcPr>
            <w:tcW w:w="7391" w:type="dxa"/>
            <w:noWrap w:val="0"/>
            <w:vAlign w:val="top"/>
          </w:tcPr>
          <w:p>
            <w:pPr>
              <w:spacing w:line="360" w:lineRule="auto"/>
              <w:rPr>
                <w:rFonts w:hint="eastAsia" w:ascii="宋体" w:hAnsi="宋体"/>
                <w:sz w:val="24"/>
              </w:rPr>
            </w:pPr>
            <w:r>
              <w:rPr>
                <w:rFonts w:hint="eastAsia" w:ascii="宋体" w:hAnsi="宋体"/>
                <w:sz w:val="24"/>
              </w:rPr>
              <w:t>适用本工程的特殊技术标准和要求见本章第二节。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5</w:t>
            </w:r>
            <w:r>
              <w:rPr>
                <w:rFonts w:ascii="宋体" w:hAnsi="宋体"/>
                <w:sz w:val="24"/>
              </w:rPr>
              <w:t>.2.2</w:t>
            </w:r>
          </w:p>
        </w:tc>
        <w:tc>
          <w:tcPr>
            <w:tcW w:w="7391" w:type="dxa"/>
            <w:noWrap w:val="0"/>
            <w:vAlign w:val="top"/>
          </w:tcPr>
          <w:p>
            <w:pPr>
              <w:spacing w:line="360" w:lineRule="auto"/>
              <w:rPr>
                <w:rFonts w:hint="eastAsia" w:ascii="宋体" w:hAnsi="宋体"/>
                <w:sz w:val="24"/>
              </w:rPr>
            </w:pPr>
            <w:r>
              <w:rPr>
                <w:rFonts w:hint="eastAsia" w:ascii="宋体" w:hAnsi="宋体"/>
                <w:sz w:val="24"/>
              </w:rPr>
              <w:t>有合同约束力的</w:t>
            </w:r>
            <w:r>
              <w:rPr>
                <w:rFonts w:ascii="宋体" w:hAnsi="宋体"/>
                <w:sz w:val="24"/>
              </w:rPr>
              <w:t>图纸和其他设计文件中的有关</w:t>
            </w:r>
            <w:r>
              <w:rPr>
                <w:rFonts w:hint="eastAsia" w:ascii="宋体" w:hAnsi="宋体"/>
                <w:sz w:val="24"/>
              </w:rPr>
              <w:t>文字说明是本节的组成内容。</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sz w:val="24"/>
              </w:rPr>
            </w:pPr>
            <w:bookmarkStart w:id="691" w:name="_Toc448915682"/>
            <w:bookmarkStart w:id="692" w:name="_Toc342296552"/>
            <w:r>
              <w:rPr>
                <w:rFonts w:hint="eastAsia" w:ascii="宋体" w:hAnsi="宋体"/>
                <w:b/>
                <w:bCs/>
                <w:sz w:val="24"/>
              </w:rPr>
              <w:t>6.</w:t>
            </w:r>
            <w:bookmarkStart w:id="693" w:name="_Toc241459795"/>
            <w:r>
              <w:rPr>
                <w:rFonts w:ascii="宋体" w:hAnsi="宋体"/>
                <w:b/>
                <w:bCs/>
                <w:sz w:val="24"/>
              </w:rPr>
              <w:t>安全文明施工</w:t>
            </w:r>
            <w:bookmarkEnd w:id="691"/>
            <w:bookmarkEnd w:id="692"/>
            <w:bookmarkEnd w:id="693"/>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94" w:name="_Toc263259794"/>
            <w:r>
              <w:rPr>
                <w:rFonts w:hint="eastAsia" w:ascii="宋体" w:hAnsi="宋体"/>
                <w:b/>
                <w:bCs/>
                <w:sz w:val="24"/>
              </w:rPr>
              <w:t>6</w:t>
            </w:r>
            <w:r>
              <w:rPr>
                <w:rFonts w:ascii="宋体" w:hAnsi="宋体"/>
                <w:b/>
                <w:bCs/>
                <w:sz w:val="24"/>
              </w:rPr>
              <w:t>.1</w:t>
            </w:r>
            <w:bookmarkEnd w:id="694"/>
          </w:p>
        </w:tc>
        <w:tc>
          <w:tcPr>
            <w:tcW w:w="7391" w:type="dxa"/>
            <w:noWrap w:val="0"/>
            <w:vAlign w:val="top"/>
          </w:tcPr>
          <w:p>
            <w:pPr>
              <w:spacing w:line="360" w:lineRule="auto"/>
              <w:rPr>
                <w:rFonts w:hint="eastAsia" w:ascii="宋体" w:hAnsi="宋体"/>
                <w:b/>
                <w:bCs/>
                <w:sz w:val="24"/>
              </w:rPr>
            </w:pPr>
            <w:bookmarkStart w:id="695" w:name="_Toc263259795"/>
            <w:r>
              <w:rPr>
                <w:rFonts w:hint="eastAsia" w:ascii="宋体" w:hAnsi="宋体"/>
                <w:b/>
                <w:bCs/>
                <w:sz w:val="24"/>
              </w:rPr>
              <w:t>安全防护</w:t>
            </w:r>
            <w:bookmarkEnd w:id="695"/>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6.1.1</w:t>
            </w:r>
          </w:p>
        </w:tc>
        <w:tc>
          <w:tcPr>
            <w:tcW w:w="7391" w:type="dxa"/>
            <w:noWrap w:val="0"/>
            <w:vAlign w:val="top"/>
          </w:tcPr>
          <w:p>
            <w:pPr>
              <w:spacing w:line="360" w:lineRule="auto"/>
              <w:rPr>
                <w:rFonts w:hint="eastAsia" w:ascii="宋体" w:hAnsi="宋体"/>
                <w:sz w:val="24"/>
              </w:rPr>
            </w:pPr>
            <w:r>
              <w:rPr>
                <w:rFonts w:hint="eastAsia" w:ascii="宋体" w:hAnsi="宋体"/>
                <w:sz w:val="24"/>
              </w:rPr>
              <w:t>在工程施工、竣工、交付及修补任何缺陷的过程中，承包人应当始终遵守国家和地方有关安全生产的法律、法规、规范、标准和规程等，按照通用合同条款第</w:t>
            </w:r>
            <w:r>
              <w:rPr>
                <w:rFonts w:hint="eastAsia" w:ascii="宋体" w:hAnsi="宋体"/>
                <w:bCs/>
                <w:sz w:val="24"/>
              </w:rPr>
              <w:t>9.2</w:t>
            </w:r>
            <w:r>
              <w:rPr>
                <w:rFonts w:hint="eastAsia" w:ascii="宋体" w:hAnsi="宋体"/>
                <w:sz w:val="24"/>
              </w:rPr>
              <w:t>款的约定履行其安全施工职责。</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承包人应坚持“安全第一，预防为主”的方针，建立、健全安全生产责任制度和安全生产教育培训制度。在整个工程施工期间，承包人应在施工场地（现场）设立、提供和维护并在有关工作完成或竣工后撤除：</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设立在现场入口显著位置的现场施工总平面图、总平面管理、安全生产、文明施工、环境保护、质量控制、材料管理等的规章制度和主要参建单位名称和工程概况等说明的图板；</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为确保工程安全施工须设立的足够的标志、宣传画、标语、指示牌、警告牌、火警、匪警和急救电话提示牌等等；</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洞口和临边位置的安全防护设施，包括护身栏杆、脚手架、洞口盖板和加筋、竖井防护栏杆、防护棚、防护网、坡道等等；</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安全带、安全绳、安全帽、安全网、绝缘鞋、绝缘手套、防护口罩和防护衣等安全生产用品；</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所有机械设备包括各类电动工具的安全保护和接地装置和操作说明；</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装备良好的临时急救站和配备称职的医护人员；</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主要作业场所和临时安全疏散通道24小时36伏安全照明和必要的警示等以防止各种可能的事故；</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足够数量的和合格的手提灭火器；</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装备良好的易燃易爆物品仓库和相应的使用管理制度；</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对涉及明火施工的工作制定诸如用火证等的管理制度；</w:t>
            </w:r>
          </w:p>
          <w:p>
            <w:pPr>
              <w:numPr>
                <w:ilvl w:val="0"/>
                <w:numId w:val="1"/>
              </w:numPr>
              <w:tabs>
                <w:tab w:val="left" w:pos="720"/>
              </w:tabs>
              <w:spacing w:line="360" w:lineRule="auto"/>
              <w:ind w:left="720" w:hanging="720"/>
              <w:rPr>
                <w:rFonts w:hint="eastAsia" w:ascii="宋体" w:hAnsi="宋体"/>
                <w:sz w:val="24"/>
              </w:rPr>
            </w:pPr>
            <w:r>
              <w:rPr>
                <w:rFonts w:hint="eastAsia" w:ascii="宋体" w:hAnsi="宋体"/>
                <w:sz w:val="24"/>
              </w:rPr>
              <w:t>其他：</w:t>
            </w: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安全文明施工费用必须专款专用，承包人应对其由于安全文明施工费用和施工安全措施不到位而发生的安全事故承担全部责任。</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.5</w:t>
            </w:r>
          </w:p>
        </w:tc>
        <w:tc>
          <w:tcPr>
            <w:tcW w:w="7391" w:type="dxa"/>
            <w:noWrap w:val="0"/>
            <w:vAlign w:val="top"/>
          </w:tcPr>
          <w:p>
            <w:pPr>
              <w:spacing w:line="360" w:lineRule="auto"/>
              <w:rPr>
                <w:rFonts w:hint="eastAsia" w:ascii="宋体" w:hAnsi="宋体"/>
                <w:sz w:val="24"/>
              </w:rPr>
            </w:pPr>
            <w:r>
              <w:rPr>
                <w:rFonts w:ascii="宋体" w:hAnsi="宋体"/>
                <w:sz w:val="24"/>
              </w:rPr>
              <w:t>承包人应</w:t>
            </w:r>
            <w:r>
              <w:rPr>
                <w:rFonts w:hint="eastAsia" w:ascii="宋体" w:hAnsi="宋体"/>
                <w:sz w:val="24"/>
              </w:rPr>
              <w:t>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w:t>
            </w:r>
            <w:r>
              <w:rPr>
                <w:rFonts w:ascii="宋体" w:hAnsi="宋体"/>
                <w:sz w:val="24"/>
              </w:rPr>
              <w:t>在</w:t>
            </w:r>
            <w:r>
              <w:rPr>
                <w:rFonts w:hint="eastAsia" w:ascii="宋体" w:hAnsi="宋体"/>
                <w:sz w:val="24"/>
              </w:rPr>
              <w:t>任何分部分项工程开始</w:t>
            </w:r>
            <w:r>
              <w:rPr>
                <w:rFonts w:ascii="宋体" w:hAnsi="宋体"/>
                <w:sz w:val="24"/>
              </w:rPr>
              <w:t>施工前</w:t>
            </w:r>
            <w:r>
              <w:rPr>
                <w:rFonts w:hint="eastAsia" w:ascii="宋体" w:hAnsi="宋体"/>
                <w:sz w:val="24"/>
              </w:rPr>
              <w:t>，承包人应当就</w:t>
            </w:r>
            <w:r>
              <w:rPr>
                <w:rFonts w:ascii="宋体" w:hAnsi="宋体"/>
                <w:sz w:val="24"/>
              </w:rPr>
              <w:t>有关安全施工的技术要求向施工作业班组</w:t>
            </w:r>
            <w:r>
              <w:rPr>
                <w:rFonts w:hint="eastAsia" w:ascii="宋体" w:hAnsi="宋体"/>
                <w:sz w:val="24"/>
              </w:rPr>
              <w:t>和</w:t>
            </w:r>
            <w:r>
              <w:rPr>
                <w:rFonts w:ascii="宋体" w:hAnsi="宋体"/>
                <w:sz w:val="24"/>
              </w:rPr>
              <w:t>作业人员</w:t>
            </w:r>
            <w:r>
              <w:rPr>
                <w:rFonts w:hint="eastAsia" w:ascii="宋体" w:hAnsi="宋体"/>
                <w:sz w:val="24"/>
              </w:rPr>
              <w:t>等进行安全交底，并由双方签字确认。</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承包人应为其进场施工人员配备必需的安全防护设施和设备，承包人还应</w:t>
            </w:r>
            <w:r>
              <w:rPr>
                <w:rFonts w:ascii="宋体" w:hAnsi="宋体"/>
                <w:sz w:val="24"/>
              </w:rPr>
              <w:t>为</w:t>
            </w:r>
            <w:r>
              <w:rPr>
                <w:rFonts w:hint="eastAsia" w:ascii="宋体" w:hAnsi="宋体"/>
                <w:sz w:val="24"/>
              </w:rPr>
              <w:t>施工场地（现场）</w:t>
            </w:r>
            <w:r>
              <w:rPr>
                <w:rFonts w:ascii="宋体" w:hAnsi="宋体"/>
                <w:sz w:val="24"/>
              </w:rPr>
              <w:t>邻近地区的所有者和占有者、公众和其他人员，提供</w:t>
            </w:r>
            <w:r>
              <w:rPr>
                <w:rFonts w:hint="eastAsia" w:ascii="宋体" w:hAnsi="宋体"/>
                <w:sz w:val="24"/>
              </w:rPr>
              <w:t>一切必要</w:t>
            </w:r>
            <w:r>
              <w:rPr>
                <w:rFonts w:ascii="宋体" w:hAnsi="宋体"/>
                <w:sz w:val="24"/>
              </w:rPr>
              <w:t>的临时道路、人行道、防护棚</w:t>
            </w:r>
            <w:r>
              <w:rPr>
                <w:rFonts w:hint="eastAsia" w:ascii="宋体" w:hAnsi="宋体"/>
                <w:sz w:val="24"/>
              </w:rPr>
              <w:t>、</w:t>
            </w:r>
            <w:r>
              <w:rPr>
                <w:rFonts w:ascii="宋体" w:hAnsi="宋体"/>
                <w:sz w:val="24"/>
              </w:rPr>
              <w:t>围栏</w:t>
            </w:r>
            <w:r>
              <w:rPr>
                <w:rFonts w:hint="eastAsia" w:ascii="宋体" w:hAnsi="宋体"/>
                <w:sz w:val="24"/>
              </w:rPr>
              <w:t>及警告</w:t>
            </w:r>
            <w:r>
              <w:rPr>
                <w:rFonts w:ascii="宋体" w:hAnsi="宋体"/>
                <w:sz w:val="24"/>
              </w:rPr>
              <w:t>等</w:t>
            </w:r>
            <w:r>
              <w:rPr>
                <w:rFonts w:hint="eastAsia" w:ascii="宋体" w:hAnsi="宋体"/>
                <w:sz w:val="24"/>
              </w:rPr>
              <w:t>，以确保财产和人身安全以及最大程度地降低施工可能造成的不便</w:t>
            </w:r>
            <w:r>
              <w:rPr>
                <w:rFonts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.7</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w:t>
            </w:r>
            <w:r>
              <w:rPr>
                <w:rFonts w:ascii="宋体" w:hAnsi="宋体"/>
                <w:sz w:val="24"/>
              </w:rPr>
              <w:t>警告</w:t>
            </w:r>
            <w:r>
              <w:rPr>
                <w:rFonts w:hint="eastAsia" w:ascii="宋体" w:hAnsi="宋体"/>
                <w:sz w:val="24"/>
              </w:rPr>
              <w:t>标志等，并配备必要的</w:t>
            </w:r>
            <w:r>
              <w:rPr>
                <w:rFonts w:ascii="宋体" w:hAnsi="宋体"/>
                <w:sz w:val="24"/>
              </w:rPr>
              <w:t>照明</w:t>
            </w:r>
            <w:r>
              <w:rPr>
                <w:rFonts w:hint="eastAsia" w:ascii="宋体" w:hAnsi="宋体"/>
                <w:sz w:val="24"/>
              </w:rPr>
              <w:t>、</w:t>
            </w:r>
            <w:r>
              <w:rPr>
                <w:rFonts w:ascii="宋体" w:hAnsi="宋体"/>
                <w:sz w:val="24"/>
              </w:rPr>
              <w:t>防护</w:t>
            </w:r>
            <w:r>
              <w:rPr>
                <w:rFonts w:hint="eastAsia" w:ascii="宋体" w:hAnsi="宋体"/>
                <w:sz w:val="24"/>
              </w:rPr>
              <w:t>和</w:t>
            </w:r>
            <w:r>
              <w:rPr>
                <w:rFonts w:ascii="宋体" w:hAnsi="宋体"/>
                <w:sz w:val="24"/>
              </w:rPr>
              <w:t>看守</w:t>
            </w:r>
            <w:r>
              <w:rPr>
                <w:rFonts w:hint="eastAsia" w:ascii="宋体" w:hAnsi="宋体"/>
                <w:sz w:val="24"/>
              </w:rPr>
              <w:t>。承包人应当按监理人的指示，经常补充或更换失效的警示和标志。</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.8</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.9</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.10</w:t>
            </w:r>
          </w:p>
        </w:tc>
        <w:tc>
          <w:tcPr>
            <w:tcW w:w="7391" w:type="dxa"/>
            <w:noWrap w:val="0"/>
            <w:vAlign w:val="top"/>
          </w:tcPr>
          <w:p>
            <w:pPr>
              <w:spacing w:line="360" w:lineRule="auto"/>
              <w:rPr>
                <w:rFonts w:hint="eastAsia" w:ascii="宋体" w:hAnsi="宋体"/>
                <w:sz w:val="24"/>
              </w:rPr>
            </w:pPr>
            <w:r>
              <w:rPr>
                <w:rFonts w:hint="eastAsia" w:ascii="宋体" w:hAnsi="宋体"/>
                <w:sz w:val="24"/>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.11</w:t>
            </w:r>
          </w:p>
        </w:tc>
        <w:tc>
          <w:tcPr>
            <w:tcW w:w="7391" w:type="dxa"/>
            <w:noWrap w:val="0"/>
            <w:vAlign w:val="top"/>
          </w:tcPr>
          <w:p>
            <w:pPr>
              <w:spacing w:line="360" w:lineRule="auto"/>
              <w:rPr>
                <w:rFonts w:hint="eastAsia" w:ascii="宋体" w:hAnsi="宋体"/>
                <w:sz w:val="24"/>
              </w:rPr>
            </w:pPr>
            <w:r>
              <w:rPr>
                <w:rFonts w:hint="eastAsia" w:ascii="宋体" w:hAnsi="宋体"/>
                <w:sz w:val="24"/>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.13</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承包人应成立应急救援小组，配备必要的应急救援器材和设备，制定灾害和生产安全事故的应急救援预案，并将应急救援预案报送监理人。应急救援预案应能随时组织应救专职人员、并定期组织演练。</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.14</w:t>
            </w:r>
          </w:p>
        </w:tc>
        <w:tc>
          <w:tcPr>
            <w:tcW w:w="7391" w:type="dxa"/>
            <w:noWrap w:val="0"/>
            <w:vAlign w:val="top"/>
          </w:tcPr>
          <w:p>
            <w:pPr>
              <w:spacing w:line="360" w:lineRule="auto"/>
              <w:rPr>
                <w:rFonts w:hint="eastAsia" w:ascii="宋体" w:hAnsi="宋体"/>
                <w:sz w:val="24"/>
              </w:rPr>
            </w:pPr>
            <w:r>
              <w:rPr>
                <w:rFonts w:hint="eastAsia" w:ascii="宋体" w:hAnsi="宋体"/>
                <w:sz w:val="24"/>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w:t>
            </w:r>
            <w:r>
              <w:rPr>
                <w:rFonts w:ascii="宋体" w:hAnsi="宋体"/>
                <w:sz w:val="24"/>
              </w:rPr>
              <w:t>地县级以上</w:t>
            </w:r>
            <w:r>
              <w:rPr>
                <w:rFonts w:hint="eastAsia" w:ascii="宋体" w:hAnsi="宋体"/>
                <w:sz w:val="24"/>
              </w:rPr>
              <w:t>地方</w:t>
            </w:r>
            <w:r>
              <w:rPr>
                <w:rFonts w:ascii="宋体" w:hAnsi="宋体"/>
                <w:sz w:val="24"/>
              </w:rPr>
              <w:t>人民政府安全生产监督管理部门和</w:t>
            </w:r>
            <w:r>
              <w:rPr>
                <w:rFonts w:hint="eastAsia" w:ascii="宋体" w:hAnsi="宋体"/>
                <w:sz w:val="24"/>
              </w:rPr>
              <w:t>建设行政主管部门</w:t>
            </w:r>
            <w:r>
              <w:rPr>
                <w:rFonts w:ascii="宋体" w:hAnsi="宋体"/>
                <w:sz w:val="24"/>
              </w:rPr>
              <w:t>报告</w:t>
            </w:r>
            <w:r>
              <w:rPr>
                <w:rFonts w:hint="eastAsia" w:ascii="宋体" w:hAnsi="宋体"/>
                <w:sz w:val="24"/>
              </w:rPr>
              <w:t>。情况紧急时，事故现场有关人员可以直接向工程所在</w:t>
            </w:r>
            <w:r>
              <w:rPr>
                <w:rFonts w:ascii="宋体" w:hAnsi="宋体"/>
                <w:sz w:val="24"/>
              </w:rPr>
              <w:t>地县级以上</w:t>
            </w:r>
            <w:r>
              <w:rPr>
                <w:rFonts w:hint="eastAsia" w:ascii="宋体" w:hAnsi="宋体"/>
                <w:sz w:val="24"/>
              </w:rPr>
              <w:t>地方</w:t>
            </w:r>
            <w:r>
              <w:rPr>
                <w:rFonts w:ascii="宋体" w:hAnsi="宋体"/>
                <w:sz w:val="24"/>
              </w:rPr>
              <w:t>人民政府安全生产监督管理部门和</w:t>
            </w:r>
            <w:r>
              <w:rPr>
                <w:rFonts w:hint="eastAsia" w:ascii="宋体" w:hAnsi="宋体"/>
                <w:sz w:val="24"/>
              </w:rPr>
              <w:t>建设行政主管部门</w:t>
            </w:r>
            <w:r>
              <w:rPr>
                <w:rFonts w:ascii="宋体" w:hAnsi="宋体"/>
                <w:sz w:val="24"/>
              </w:rPr>
              <w:t>报告</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.1</w:t>
            </w:r>
            <w:r>
              <w:rPr>
                <w:rFonts w:hint="eastAsia" w:ascii="宋体" w:hAnsi="宋体"/>
                <w:sz w:val="24"/>
              </w:rPr>
              <w:t>7</w:t>
            </w:r>
          </w:p>
        </w:tc>
        <w:tc>
          <w:tcPr>
            <w:tcW w:w="7391" w:type="dxa"/>
            <w:noWrap w:val="0"/>
            <w:vAlign w:val="top"/>
          </w:tcPr>
          <w:p>
            <w:pPr>
              <w:spacing w:line="360" w:lineRule="auto"/>
              <w:rPr>
                <w:rFonts w:hint="eastAsia" w:ascii="宋体" w:hAnsi="宋体"/>
                <w:sz w:val="24"/>
              </w:rPr>
            </w:pPr>
            <w:r>
              <w:rPr>
                <w:rFonts w:hint="eastAsia" w:ascii="宋体" w:hAnsi="宋体"/>
                <w:sz w:val="24"/>
              </w:rPr>
              <w:t>承包人还应根据有关法律、法规、规定和条例等的要求，制定一套安全生产应急措施和程序，保证一旦出现任何安全事故，能立即保护好现场，抢救伤员和财产，保证施工生产的正常进行，防止损失扩大。</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18</w:t>
            </w:r>
          </w:p>
        </w:tc>
        <w:tc>
          <w:tcPr>
            <w:tcW w:w="7391" w:type="dxa"/>
            <w:noWrap w:val="0"/>
            <w:vAlign w:val="top"/>
          </w:tcPr>
          <w:p>
            <w:pPr>
              <w:spacing w:line="360" w:lineRule="auto"/>
              <w:rPr>
                <w:rFonts w:hint="eastAsia" w:ascii="宋体" w:hAnsi="宋体"/>
                <w:sz w:val="24"/>
              </w:rPr>
            </w:pPr>
            <w:r>
              <w:rPr>
                <w:rFonts w:hint="eastAsia" w:ascii="宋体" w:hAnsi="宋体"/>
                <w:sz w:val="24"/>
              </w:rPr>
              <w:t>安全防护方面的其他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rPr>
              <w:t>施工现场不允许住宿，食宿由承包人自行解决。因施工场地狭小，承包人须充分考虑施工场地的合理布置及外租生活区。承包人还应自行了解北京市房山区关于施工临时占地的管理要求及租用费用标准等相关规定。以上问题承包人在投标阶段应充分考虑，相关费用已包含在投标报价中，承包人在中标后不得以施工场地狭小或施工临时占地等问题为由，向发包人提出费用索赔或工期延长的要求。</w:t>
            </w:r>
          </w:p>
          <w:p>
            <w:pPr>
              <w:spacing w:line="360" w:lineRule="auto"/>
              <w:rPr>
                <w:rFonts w:hint="eastAsia" w:ascii="宋体" w:hAnsi="宋体"/>
                <w:sz w:val="24"/>
              </w:rPr>
            </w:pPr>
            <w:r>
              <w:rPr>
                <w:rFonts w:hint="eastAsia" w:ascii="宋体" w:hAnsi="宋体"/>
                <w:sz w:val="24"/>
              </w:rPr>
              <w:t>本工程场地周边环境复杂，对交通、市容环卫、消防、文明安全施工、社会舆论监督等要求很高，现场施工组织须考虑减少扰民的影响，工程周边环境对施工组织的不利影响，应由承包人充分预测，由此产生的相关费用及工期不做调整。承包单位应承担施工区域及周边环境的精细保洁工作，竣工验收前承建单位对所施工区域进行精开荒保洁。</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96" w:name="_Toc263259796"/>
            <w:r>
              <w:rPr>
                <w:rFonts w:hint="eastAsia" w:ascii="宋体" w:hAnsi="宋体"/>
                <w:b/>
                <w:bCs/>
                <w:sz w:val="24"/>
              </w:rPr>
              <w:t>6</w:t>
            </w:r>
            <w:r>
              <w:rPr>
                <w:rFonts w:ascii="宋体" w:hAnsi="宋体"/>
                <w:b/>
                <w:bCs/>
                <w:sz w:val="24"/>
              </w:rPr>
              <w:t>.</w:t>
            </w:r>
            <w:r>
              <w:rPr>
                <w:rFonts w:hint="eastAsia" w:ascii="宋体" w:hAnsi="宋体"/>
                <w:b/>
                <w:bCs/>
                <w:sz w:val="24"/>
              </w:rPr>
              <w:t>2</w:t>
            </w:r>
            <w:bookmarkEnd w:id="696"/>
          </w:p>
        </w:tc>
        <w:tc>
          <w:tcPr>
            <w:tcW w:w="7391" w:type="dxa"/>
            <w:noWrap w:val="0"/>
            <w:vAlign w:val="top"/>
          </w:tcPr>
          <w:p>
            <w:pPr>
              <w:spacing w:line="360" w:lineRule="auto"/>
              <w:rPr>
                <w:rFonts w:hint="eastAsia" w:ascii="宋体" w:hAnsi="宋体"/>
                <w:b/>
                <w:bCs/>
                <w:sz w:val="24"/>
              </w:rPr>
            </w:pPr>
            <w:bookmarkStart w:id="697" w:name="_Toc263259797"/>
            <w:r>
              <w:rPr>
                <w:rFonts w:hint="eastAsia" w:ascii="宋体" w:hAnsi="宋体"/>
                <w:b/>
                <w:bCs/>
                <w:sz w:val="24"/>
              </w:rPr>
              <w:t>临时消防</w:t>
            </w:r>
            <w:bookmarkEnd w:id="697"/>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6.2.1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承包人应建立消防安全责任制度，制定用火、用电和使用易燃易爆等危险品的消防安全管理制度和操作规程。各项制度和规程等应满足相关法律法规和政府消防管理机构的要求。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.2</w:t>
            </w:r>
          </w:p>
        </w:tc>
        <w:tc>
          <w:tcPr>
            <w:tcW w:w="7391" w:type="dxa"/>
            <w:noWrap w:val="0"/>
            <w:vAlign w:val="top"/>
          </w:tcPr>
          <w:p>
            <w:pPr>
              <w:spacing w:line="360" w:lineRule="auto"/>
              <w:rPr>
                <w:rFonts w:hint="eastAsia" w:ascii="宋体" w:hAnsi="宋体"/>
                <w:sz w:val="24"/>
              </w:rPr>
            </w:pPr>
            <w:r>
              <w:rPr>
                <w:rFonts w:ascii="宋体" w:hAnsi="宋体"/>
                <w:sz w:val="24"/>
              </w:rPr>
              <w:t>承包人应根据相关法律法规和消防管理</w:t>
            </w:r>
            <w:r>
              <w:rPr>
                <w:rFonts w:hint="eastAsia" w:ascii="宋体" w:hAnsi="宋体"/>
                <w:sz w:val="24"/>
              </w:rPr>
              <w:t>部门</w:t>
            </w:r>
            <w:r>
              <w:rPr>
                <w:rFonts w:ascii="宋体" w:hAnsi="宋体"/>
                <w:sz w:val="24"/>
              </w:rPr>
              <w:t>的要求，为施工中的永久工程和所有临时工程提供必要的临时消防和紧急疏散设施，包括提供</w:t>
            </w:r>
            <w:r>
              <w:rPr>
                <w:rFonts w:hint="eastAsia" w:ascii="宋体" w:hAnsi="宋体"/>
                <w:sz w:val="24"/>
              </w:rPr>
              <w:t>并维持畅通的消防通道、</w:t>
            </w:r>
            <w:r>
              <w:rPr>
                <w:rFonts w:ascii="宋体" w:hAnsi="宋体"/>
                <w:sz w:val="24"/>
              </w:rPr>
              <w:t>临时消火栓、灭火器、水龙带、灭火桶、灭火铲、灭火斧、消防水管、阀门、检查井、临时消防水箱、泵房和紧随工作面的临时疏散楼梯</w:t>
            </w:r>
            <w:r>
              <w:rPr>
                <w:rFonts w:hint="eastAsia" w:ascii="宋体" w:hAnsi="宋体"/>
                <w:sz w:val="24"/>
              </w:rPr>
              <w:t>或疏散设施，消防设施的设立和消防设备的型号和功率应满足消防任务的需要，始终保持能够随时投入正常使用的状态，并设立明显标志。</w:t>
            </w:r>
            <w:r>
              <w:rPr>
                <w:rFonts w:ascii="宋体" w:hAnsi="宋体"/>
                <w:sz w:val="24"/>
              </w:rPr>
              <w:t>承包人的临时消防系统和配置应分别经过监理人和消防管理</w:t>
            </w:r>
            <w:r>
              <w:rPr>
                <w:rFonts w:hint="eastAsia" w:ascii="宋体" w:hAnsi="宋体"/>
                <w:sz w:val="24"/>
              </w:rPr>
              <w:t>部门</w:t>
            </w:r>
            <w:r>
              <w:rPr>
                <w:rFonts w:ascii="宋体" w:hAnsi="宋体"/>
                <w:sz w:val="24"/>
              </w:rPr>
              <w:t>的审批和验收；承包人还应自费获得消防管理</w:t>
            </w:r>
            <w:r>
              <w:rPr>
                <w:rFonts w:hint="eastAsia" w:ascii="宋体" w:hAnsi="宋体"/>
                <w:sz w:val="24"/>
              </w:rPr>
              <w:t>部门</w:t>
            </w:r>
            <w:r>
              <w:rPr>
                <w:rFonts w:ascii="宋体" w:hAnsi="宋体"/>
                <w:sz w:val="24"/>
              </w:rPr>
              <w:t>的临时消防证书。所有的临时消防设施属于承包人所有，</w:t>
            </w:r>
            <w:r>
              <w:rPr>
                <w:rFonts w:hint="eastAsia" w:ascii="宋体" w:hAnsi="宋体"/>
                <w:sz w:val="24"/>
              </w:rPr>
              <w:t>至</w:t>
            </w:r>
            <w:r>
              <w:rPr>
                <w:rFonts w:ascii="宋体" w:hAnsi="宋体"/>
                <w:sz w:val="24"/>
              </w:rPr>
              <w:t>工程实际</w:t>
            </w:r>
            <w:r>
              <w:rPr>
                <w:rFonts w:hint="eastAsia" w:ascii="宋体" w:hAnsi="宋体"/>
                <w:sz w:val="24"/>
              </w:rPr>
              <w:t>竣</w:t>
            </w:r>
            <w:r>
              <w:rPr>
                <w:rFonts w:ascii="宋体" w:hAnsi="宋体"/>
                <w:sz w:val="24"/>
              </w:rPr>
              <w:t>工时</w:t>
            </w:r>
            <w:r>
              <w:rPr>
                <w:rFonts w:hint="eastAsia" w:ascii="宋体" w:hAnsi="宋体"/>
                <w:sz w:val="24"/>
              </w:rPr>
              <w:t>且</w:t>
            </w:r>
            <w:r>
              <w:rPr>
                <w:rFonts w:ascii="宋体" w:hAnsi="宋体"/>
                <w:sz w:val="24"/>
              </w:rPr>
              <w:t>永久性消防系统投入使用后从现场拆除。</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w:t>
            </w:r>
            <w:r>
              <w:rPr>
                <w:rFonts w:ascii="宋体" w:hAnsi="宋体"/>
                <w:sz w:val="24"/>
              </w:rPr>
              <w:t>成立由项目主要负责人担任组长的临时消防组或消防队，宣传消防基本知识和基本操作培训</w:t>
            </w:r>
            <w:r>
              <w:rPr>
                <w:rFonts w:hint="eastAsia" w:ascii="宋体" w:hAnsi="宋体"/>
                <w:sz w:val="24"/>
              </w:rPr>
              <w:t>，组织消防演练，保证一旦发生火灾，能够组织有效的自救，保护生命和财产安全。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施工场地（现场）内的</w:t>
            </w:r>
            <w:r>
              <w:rPr>
                <w:rFonts w:ascii="宋体" w:hAnsi="宋体"/>
                <w:sz w:val="24"/>
              </w:rPr>
              <w:t>易燃</w:t>
            </w:r>
            <w:r>
              <w:rPr>
                <w:rFonts w:hint="eastAsia" w:ascii="宋体" w:hAnsi="宋体"/>
                <w:sz w:val="24"/>
              </w:rPr>
              <w:t>、易爆物品应单独和安全地存放，设专人进行存放和领用管理。施工场地（现场）</w:t>
            </w:r>
            <w:r>
              <w:rPr>
                <w:rFonts w:ascii="宋体" w:hAnsi="宋体"/>
                <w:sz w:val="24"/>
              </w:rPr>
              <w:t>储有或正在使用易燃</w:t>
            </w:r>
            <w:r>
              <w:rPr>
                <w:rFonts w:hint="eastAsia" w:ascii="宋体" w:hAnsi="宋体"/>
                <w:sz w:val="24"/>
              </w:rPr>
              <w:t>、易爆</w:t>
            </w:r>
            <w:r>
              <w:rPr>
                <w:rFonts w:ascii="宋体" w:hAnsi="宋体"/>
                <w:sz w:val="24"/>
              </w:rPr>
              <w:t>或可燃材料时或有明火施工的工序</w:t>
            </w:r>
            <w:r>
              <w:rPr>
                <w:rFonts w:hint="eastAsia" w:ascii="宋体" w:hAnsi="宋体"/>
                <w:sz w:val="24"/>
              </w:rPr>
              <w:t>，应当</w:t>
            </w:r>
            <w:r>
              <w:rPr>
                <w:rFonts w:ascii="宋体" w:hAnsi="宋体"/>
                <w:sz w:val="24"/>
              </w:rPr>
              <w:t>实行严格的</w:t>
            </w:r>
            <w:r>
              <w:rPr>
                <w:rFonts w:hint="eastAsia" w:ascii="宋体" w:hAnsi="宋体"/>
                <w:sz w:val="24"/>
              </w:rPr>
              <w:t>“</w:t>
            </w:r>
            <w:r>
              <w:rPr>
                <w:rFonts w:ascii="宋体" w:hAnsi="宋体"/>
                <w:sz w:val="24"/>
              </w:rPr>
              <w:t>用火证</w:t>
            </w:r>
            <w:r>
              <w:rPr>
                <w:rFonts w:hint="eastAsia" w:ascii="宋体" w:hAnsi="宋体"/>
                <w:sz w:val="24"/>
              </w:rPr>
              <w:t>”</w:t>
            </w:r>
            <w:r>
              <w:rPr>
                <w:rFonts w:ascii="宋体" w:hAnsi="宋体"/>
                <w:sz w:val="24"/>
              </w:rPr>
              <w:t>管理</w:t>
            </w:r>
            <w:r>
              <w:rPr>
                <w:rFonts w:hint="eastAsia" w:ascii="宋体" w:hAnsi="宋体"/>
                <w:sz w:val="24"/>
              </w:rPr>
              <w:t>制度。</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临时消防方面的其他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698" w:name="_Toc263259798"/>
            <w:r>
              <w:rPr>
                <w:rFonts w:hint="eastAsia" w:ascii="宋体" w:hAnsi="宋体"/>
                <w:b/>
                <w:bCs/>
                <w:sz w:val="24"/>
              </w:rPr>
              <w:t>6.3</w:t>
            </w:r>
            <w:bookmarkEnd w:id="698"/>
          </w:p>
        </w:tc>
        <w:tc>
          <w:tcPr>
            <w:tcW w:w="7391" w:type="dxa"/>
            <w:noWrap w:val="0"/>
            <w:vAlign w:val="top"/>
          </w:tcPr>
          <w:p>
            <w:pPr>
              <w:spacing w:line="360" w:lineRule="auto"/>
              <w:rPr>
                <w:rFonts w:hint="eastAsia" w:ascii="宋体" w:hAnsi="宋体"/>
                <w:b/>
                <w:bCs/>
                <w:sz w:val="24"/>
              </w:rPr>
            </w:pPr>
            <w:bookmarkStart w:id="699" w:name="_Toc263259799"/>
            <w:r>
              <w:rPr>
                <w:rFonts w:hint="eastAsia" w:ascii="宋体" w:hAnsi="宋体"/>
                <w:b/>
                <w:bCs/>
                <w:sz w:val="24"/>
              </w:rPr>
              <w:t>临时供电</w:t>
            </w:r>
            <w:bookmarkEnd w:id="699"/>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6.3.1</w:t>
            </w:r>
          </w:p>
        </w:tc>
        <w:tc>
          <w:tcPr>
            <w:tcW w:w="7391" w:type="dxa"/>
            <w:noWrap w:val="0"/>
            <w:vAlign w:val="top"/>
          </w:tcPr>
          <w:p>
            <w:pPr>
              <w:spacing w:line="360" w:lineRule="auto"/>
              <w:rPr>
                <w:rFonts w:hint="eastAsia" w:ascii="宋体" w:hAnsi="宋体"/>
                <w:b/>
                <w:bCs/>
                <w:sz w:val="24"/>
              </w:rPr>
            </w:pPr>
            <w:r>
              <w:rPr>
                <w:rFonts w:hint="eastAsia" w:ascii="宋体" w:hAnsi="宋体"/>
                <w:sz w:val="24"/>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6.3.3</w:t>
            </w:r>
          </w:p>
        </w:tc>
        <w:tc>
          <w:tcPr>
            <w:tcW w:w="7391" w:type="dxa"/>
            <w:noWrap w:val="0"/>
            <w:vAlign w:val="top"/>
          </w:tcPr>
          <w:p>
            <w:pPr>
              <w:spacing w:line="360" w:lineRule="auto"/>
              <w:rPr>
                <w:rFonts w:hint="eastAsia" w:ascii="宋体" w:hAnsi="宋体"/>
                <w:sz w:val="24"/>
              </w:rPr>
            </w:pPr>
            <w:r>
              <w:rPr>
                <w:rFonts w:hint="eastAsia" w:ascii="宋体" w:hAnsi="宋体"/>
                <w:sz w:val="24"/>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w:t>
            </w:r>
            <w:r>
              <w:rPr>
                <w:rFonts w:ascii="宋体" w:hAnsi="宋体"/>
                <w:sz w:val="24"/>
              </w:rPr>
              <w:t>线</w:t>
            </w:r>
            <w:r>
              <w:rPr>
                <w:rFonts w:hint="eastAsia" w:ascii="宋体" w:hAnsi="宋体"/>
                <w:sz w:val="24"/>
              </w:rPr>
              <w:t>和接地</w:t>
            </w:r>
            <w:r>
              <w:rPr>
                <w:rFonts w:ascii="宋体" w:hAnsi="宋体"/>
                <w:sz w:val="24"/>
              </w:rPr>
              <w:t>线</w:t>
            </w:r>
            <w:r>
              <w:rPr>
                <w:rFonts w:hint="eastAsia" w:ascii="宋体" w:hAnsi="宋体"/>
                <w:sz w:val="24"/>
              </w:rPr>
              <w:t>。电缆和电线的铺设要符合安全用电标准要求，电缆线路应采用埋地或架空敷设，严禁严地面明设，并应避免机械损伤和介质腐蚀。埋地电缆路径应设方位标志。各种配电设备均设有防止漏电和防雨防水设施。</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承包人应在施工作业区、施工道路、临时设施、办公区和生活区设置足够的照明，地下工程照明系统的电压不得高于</w:t>
            </w:r>
            <w:r>
              <w:rPr>
                <w:rFonts w:ascii="宋体" w:hAnsi="宋体"/>
                <w:bCs/>
                <w:sz w:val="24"/>
              </w:rPr>
              <w:t>36V</w:t>
            </w:r>
            <w:r>
              <w:rPr>
                <w:rFonts w:hint="eastAsia" w:ascii="宋体" w:hAnsi="宋体"/>
                <w:sz w:val="24"/>
              </w:rPr>
              <w:t>，在潮湿和易触及带电体场所的照明供电电压不应大于</w:t>
            </w:r>
            <w:r>
              <w:rPr>
                <w:rFonts w:ascii="宋体" w:hAnsi="宋体"/>
                <w:bCs/>
                <w:sz w:val="24"/>
              </w:rPr>
              <w:t>24V</w:t>
            </w:r>
            <w:r>
              <w:rPr>
                <w:rFonts w:hint="eastAsia" w:ascii="宋体" w:hAnsi="宋体"/>
                <w:sz w:val="24"/>
              </w:rPr>
              <w:t>。不便于使用电器照明的工作面应采用特殊照明设施。</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6.3.5</w:t>
            </w:r>
          </w:p>
        </w:tc>
        <w:tc>
          <w:tcPr>
            <w:tcW w:w="7391" w:type="dxa"/>
            <w:noWrap w:val="0"/>
            <w:vAlign w:val="top"/>
          </w:tcPr>
          <w:p>
            <w:pPr>
              <w:spacing w:line="360" w:lineRule="auto"/>
              <w:rPr>
                <w:rFonts w:hint="eastAsia" w:ascii="宋体" w:hAnsi="宋体"/>
                <w:sz w:val="24"/>
              </w:rPr>
            </w:pPr>
            <w:r>
              <w:rPr>
                <w:rFonts w:hint="eastAsia" w:ascii="宋体" w:hAnsi="宋体"/>
                <w:sz w:val="24"/>
              </w:rPr>
              <w:t>凡可能漏电伤人或易受雷击的电器及建筑物均应设置接地和避雷装置。承包人应负责避雷装置的采购、安装、管理和维修，并建立定期检查制度。</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6.3.6</w:t>
            </w:r>
          </w:p>
          <w:p>
            <w:pPr>
              <w:spacing w:line="360" w:lineRule="auto"/>
              <w:rPr>
                <w:rFonts w:hint="eastAsia" w:ascii="宋体" w:hAnsi="宋体"/>
                <w:sz w:val="24"/>
              </w:rPr>
            </w:pPr>
          </w:p>
        </w:tc>
        <w:tc>
          <w:tcPr>
            <w:tcW w:w="7391" w:type="dxa"/>
            <w:noWrap w:val="0"/>
            <w:vAlign w:val="top"/>
          </w:tcPr>
          <w:p>
            <w:pPr>
              <w:spacing w:line="360" w:lineRule="auto"/>
              <w:rPr>
                <w:rFonts w:hint="eastAsia" w:ascii="宋体" w:hAnsi="宋体"/>
                <w:sz w:val="24"/>
              </w:rPr>
            </w:pPr>
            <w:r>
              <w:rPr>
                <w:rFonts w:hint="eastAsia" w:ascii="宋体" w:hAnsi="宋体"/>
                <w:sz w:val="24"/>
              </w:rPr>
              <w:t>临时用电方面的其他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00" w:name="_Toc263259800"/>
            <w:r>
              <w:rPr>
                <w:rFonts w:hint="eastAsia" w:ascii="宋体" w:hAnsi="宋体"/>
                <w:b/>
                <w:bCs/>
                <w:sz w:val="24"/>
              </w:rPr>
              <w:t>6</w:t>
            </w:r>
            <w:r>
              <w:rPr>
                <w:rFonts w:ascii="宋体" w:hAnsi="宋体"/>
                <w:b/>
                <w:bCs/>
                <w:sz w:val="24"/>
              </w:rPr>
              <w:t>.</w:t>
            </w:r>
            <w:r>
              <w:rPr>
                <w:rFonts w:hint="eastAsia" w:ascii="宋体" w:hAnsi="宋体"/>
                <w:b/>
                <w:bCs/>
                <w:sz w:val="24"/>
              </w:rPr>
              <w:t>4</w:t>
            </w:r>
            <w:bookmarkEnd w:id="700"/>
          </w:p>
        </w:tc>
        <w:tc>
          <w:tcPr>
            <w:tcW w:w="7391" w:type="dxa"/>
            <w:noWrap w:val="0"/>
            <w:vAlign w:val="top"/>
          </w:tcPr>
          <w:p>
            <w:pPr>
              <w:spacing w:line="360" w:lineRule="auto"/>
              <w:rPr>
                <w:rFonts w:hint="eastAsia" w:ascii="宋体" w:hAnsi="宋体"/>
                <w:b/>
                <w:bCs/>
                <w:sz w:val="24"/>
              </w:rPr>
            </w:pPr>
            <w:bookmarkStart w:id="701" w:name="_Toc263259801"/>
            <w:r>
              <w:rPr>
                <w:rFonts w:hint="eastAsia" w:ascii="宋体" w:hAnsi="宋体"/>
                <w:b/>
                <w:bCs/>
                <w:sz w:val="24"/>
              </w:rPr>
              <w:t>劳动保护</w:t>
            </w:r>
            <w:bookmarkEnd w:id="701"/>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6.4.1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6.4.2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6.4.3</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承包人应在现场设立专门的临时医疗站，配备足够的设施、药物和称职的医务人员，承包人还应准备急救担架，用于一旦发生安全事故时对受伤人员的急救。</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劳动保护方面的其他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02" w:name="_Toc263259802"/>
            <w:r>
              <w:rPr>
                <w:rFonts w:hint="eastAsia" w:ascii="宋体" w:hAnsi="宋体"/>
                <w:b/>
                <w:bCs/>
                <w:sz w:val="24"/>
              </w:rPr>
              <w:t>6</w:t>
            </w:r>
            <w:r>
              <w:rPr>
                <w:rFonts w:ascii="宋体" w:hAnsi="宋体"/>
                <w:b/>
                <w:bCs/>
                <w:sz w:val="24"/>
              </w:rPr>
              <w:t>.</w:t>
            </w:r>
            <w:r>
              <w:rPr>
                <w:rFonts w:hint="eastAsia" w:ascii="宋体" w:hAnsi="宋体"/>
                <w:b/>
                <w:bCs/>
                <w:sz w:val="24"/>
              </w:rPr>
              <w:t>5</w:t>
            </w:r>
            <w:bookmarkEnd w:id="702"/>
          </w:p>
        </w:tc>
        <w:tc>
          <w:tcPr>
            <w:tcW w:w="7391" w:type="dxa"/>
            <w:noWrap w:val="0"/>
            <w:vAlign w:val="top"/>
          </w:tcPr>
          <w:p>
            <w:pPr>
              <w:spacing w:line="360" w:lineRule="auto"/>
              <w:rPr>
                <w:rFonts w:hint="eastAsia" w:ascii="宋体" w:hAnsi="宋体"/>
                <w:b/>
                <w:bCs/>
                <w:sz w:val="24"/>
              </w:rPr>
            </w:pPr>
            <w:bookmarkStart w:id="703" w:name="_Toc263259803"/>
            <w:r>
              <w:rPr>
                <w:rFonts w:hint="eastAsia" w:ascii="宋体" w:hAnsi="宋体"/>
                <w:b/>
                <w:bCs/>
                <w:sz w:val="24"/>
              </w:rPr>
              <w:t>脚手架</w:t>
            </w:r>
            <w:bookmarkEnd w:id="703"/>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6.5.1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6.5.2</w:t>
            </w:r>
          </w:p>
        </w:tc>
        <w:tc>
          <w:tcPr>
            <w:tcW w:w="7391" w:type="dxa"/>
            <w:noWrap w:val="0"/>
            <w:vAlign w:val="top"/>
          </w:tcPr>
          <w:p>
            <w:pPr>
              <w:spacing w:line="360" w:lineRule="auto"/>
              <w:rPr>
                <w:rFonts w:hint="eastAsia" w:ascii="宋体" w:hAnsi="宋体"/>
                <w:sz w:val="24"/>
              </w:rPr>
            </w:pPr>
            <w:r>
              <w:rPr>
                <w:rFonts w:hint="eastAsia" w:ascii="宋体" w:hAnsi="宋体"/>
                <w:sz w:val="24"/>
              </w:rPr>
              <w:t>所有脚手架，尤其是大型、复杂、高耸和非常规脚手架，要编制专项施工方案，还应当经过安全验算，脚手架安全验算结果必须报送监理人核查后方可实施。</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6.5.3</w:t>
            </w:r>
          </w:p>
        </w:tc>
        <w:tc>
          <w:tcPr>
            <w:tcW w:w="7391" w:type="dxa"/>
            <w:noWrap w:val="0"/>
            <w:vAlign w:val="top"/>
          </w:tcPr>
          <w:p>
            <w:pPr>
              <w:spacing w:line="360" w:lineRule="auto"/>
              <w:rPr>
                <w:rFonts w:hint="eastAsia" w:ascii="宋体" w:hAnsi="宋体"/>
                <w:sz w:val="24"/>
              </w:rPr>
            </w:pPr>
            <w:r>
              <w:rPr>
                <w:rFonts w:hint="eastAsia" w:ascii="宋体" w:hAnsi="宋体"/>
                <w:sz w:val="24"/>
              </w:rPr>
              <w:t>搭设爬架、挂架、超高脚手架等特种或新型脚手架时，承包人应确保此类脚手架的安全性和保证此类脚手架已经过有关行政管理部门允许使用的批准，并承担与此有关的一切费用。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承包人应当加强脚手架的日常安全巡查，及时对其中的安全隐患进行整改，确保脚手架使用安全。雨、雪、雾、霜和大风等天气后，承包人必须对脚手架进行安全巡查，并及时消除安全隐患。</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脚手架的其他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04" w:name="_Toc263259804"/>
            <w:r>
              <w:rPr>
                <w:rFonts w:hint="eastAsia" w:ascii="宋体" w:hAnsi="宋体"/>
                <w:b/>
                <w:bCs/>
                <w:sz w:val="24"/>
              </w:rPr>
              <w:t>6</w:t>
            </w:r>
            <w:r>
              <w:rPr>
                <w:rFonts w:ascii="宋体" w:hAnsi="宋体"/>
                <w:b/>
                <w:bCs/>
                <w:sz w:val="24"/>
              </w:rPr>
              <w:t>.</w:t>
            </w:r>
            <w:r>
              <w:rPr>
                <w:rFonts w:hint="eastAsia" w:ascii="宋体" w:hAnsi="宋体"/>
                <w:b/>
                <w:bCs/>
                <w:sz w:val="24"/>
              </w:rPr>
              <w:t>6</w:t>
            </w:r>
            <w:bookmarkEnd w:id="704"/>
          </w:p>
        </w:tc>
        <w:tc>
          <w:tcPr>
            <w:tcW w:w="7391" w:type="dxa"/>
            <w:noWrap w:val="0"/>
            <w:vAlign w:val="top"/>
          </w:tcPr>
          <w:p>
            <w:pPr>
              <w:spacing w:line="360" w:lineRule="auto"/>
              <w:rPr>
                <w:rFonts w:hint="eastAsia" w:ascii="宋体" w:hAnsi="宋体"/>
                <w:b/>
                <w:bCs/>
                <w:sz w:val="24"/>
              </w:rPr>
            </w:pPr>
            <w:bookmarkStart w:id="705" w:name="_Toc263259805"/>
            <w:r>
              <w:rPr>
                <w:rFonts w:hint="eastAsia" w:ascii="宋体" w:hAnsi="宋体"/>
                <w:b/>
                <w:bCs/>
                <w:sz w:val="24"/>
              </w:rPr>
              <w:t>施工安全措施计划</w:t>
            </w:r>
            <w:bookmarkEnd w:id="705"/>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6.6.1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360" w:lineRule="auto"/>
              <w:rPr>
                <w:rFonts w:hint="eastAsia" w:ascii="宋体" w:hAnsi="宋体"/>
                <w:sz w:val="24"/>
              </w:rPr>
            </w:pPr>
            <w:r>
              <w:rPr>
                <w:rFonts w:hint="eastAsia" w:ascii="宋体" w:hAnsi="宋体"/>
                <w:sz w:val="24"/>
              </w:rPr>
              <w:t>（1）施工安全管理机构的设置；</w:t>
            </w:r>
          </w:p>
          <w:p>
            <w:pPr>
              <w:spacing w:line="360" w:lineRule="auto"/>
              <w:rPr>
                <w:rFonts w:hint="eastAsia" w:ascii="宋体" w:hAnsi="宋体"/>
                <w:sz w:val="24"/>
              </w:rPr>
            </w:pPr>
            <w:r>
              <w:rPr>
                <w:rFonts w:hint="eastAsia" w:ascii="宋体" w:hAnsi="宋体"/>
                <w:sz w:val="24"/>
              </w:rPr>
              <w:t>（2）专职安全管理人员的配备；</w:t>
            </w:r>
          </w:p>
          <w:p>
            <w:pPr>
              <w:spacing w:line="360" w:lineRule="auto"/>
              <w:rPr>
                <w:rFonts w:hint="eastAsia" w:ascii="宋体" w:hAnsi="宋体"/>
                <w:sz w:val="24"/>
              </w:rPr>
            </w:pPr>
            <w:r>
              <w:rPr>
                <w:rFonts w:hint="eastAsia" w:ascii="宋体" w:hAnsi="宋体"/>
                <w:sz w:val="24"/>
              </w:rPr>
              <w:t>（3）安全责任制度和管理措施；</w:t>
            </w:r>
          </w:p>
          <w:p>
            <w:pPr>
              <w:spacing w:line="360" w:lineRule="auto"/>
              <w:rPr>
                <w:rFonts w:hint="eastAsia" w:ascii="宋体" w:hAnsi="宋体"/>
                <w:sz w:val="24"/>
              </w:rPr>
            </w:pPr>
            <w:r>
              <w:rPr>
                <w:rFonts w:hint="eastAsia" w:ascii="宋体" w:hAnsi="宋体"/>
                <w:sz w:val="24"/>
              </w:rPr>
              <w:t>（4）安全教育和培训制度及管理措施；</w:t>
            </w:r>
          </w:p>
          <w:p>
            <w:pPr>
              <w:spacing w:line="360" w:lineRule="auto"/>
              <w:rPr>
                <w:rFonts w:hint="eastAsia" w:ascii="宋体" w:hAnsi="宋体"/>
                <w:sz w:val="24"/>
              </w:rPr>
            </w:pPr>
            <w:r>
              <w:rPr>
                <w:rFonts w:hint="eastAsia" w:ascii="宋体" w:hAnsi="宋体"/>
                <w:sz w:val="24"/>
              </w:rPr>
              <w:t>（5）各项安全生产规章制度和操作规程；</w:t>
            </w:r>
          </w:p>
          <w:p>
            <w:pPr>
              <w:spacing w:line="360" w:lineRule="auto"/>
              <w:rPr>
                <w:rFonts w:hint="eastAsia" w:ascii="宋体" w:hAnsi="宋体"/>
                <w:sz w:val="24"/>
              </w:rPr>
            </w:pPr>
            <w:r>
              <w:rPr>
                <w:rFonts w:hint="eastAsia" w:ascii="宋体" w:hAnsi="宋体"/>
                <w:sz w:val="24"/>
              </w:rPr>
              <w:t>（6）各项施工安全措施和防护措施；</w:t>
            </w:r>
          </w:p>
          <w:p>
            <w:pPr>
              <w:spacing w:line="360" w:lineRule="auto"/>
              <w:rPr>
                <w:rFonts w:hint="eastAsia" w:ascii="宋体" w:hAnsi="宋体"/>
                <w:sz w:val="24"/>
              </w:rPr>
            </w:pPr>
            <w:r>
              <w:rPr>
                <w:rFonts w:hint="eastAsia" w:ascii="宋体" w:hAnsi="宋体"/>
                <w:sz w:val="24"/>
              </w:rPr>
              <w:t>（7）危险品管理和使用制度；</w:t>
            </w:r>
          </w:p>
          <w:p>
            <w:pPr>
              <w:spacing w:line="360" w:lineRule="auto"/>
              <w:rPr>
                <w:rFonts w:hint="eastAsia" w:ascii="宋体" w:hAnsi="宋体"/>
                <w:sz w:val="24"/>
              </w:rPr>
            </w:pPr>
            <w:r>
              <w:rPr>
                <w:rFonts w:hint="eastAsia" w:ascii="宋体" w:hAnsi="宋体"/>
                <w:sz w:val="24"/>
              </w:rPr>
              <w:t>（8）安全设施、设备、器材和劳动保护用品的配置；</w:t>
            </w:r>
          </w:p>
          <w:p>
            <w:pPr>
              <w:spacing w:line="360" w:lineRule="auto"/>
              <w:rPr>
                <w:rFonts w:hint="eastAsia" w:ascii="宋体" w:hAnsi="宋体"/>
                <w:sz w:val="24"/>
              </w:rPr>
            </w:pPr>
            <w:r>
              <w:rPr>
                <w:rFonts w:hint="eastAsia" w:ascii="宋体" w:hAnsi="宋体"/>
                <w:sz w:val="24"/>
              </w:rPr>
              <w:t>（9）其他：</w:t>
            </w:r>
            <w:r>
              <w:rPr>
                <w:rFonts w:hint="eastAsia" w:ascii="宋体" w:hAnsi="宋体"/>
                <w:sz w:val="24"/>
                <w:u w:val="single"/>
              </w:rPr>
              <w:t>/</w:t>
            </w:r>
            <w:r>
              <w:rPr>
                <w:rFonts w:hint="eastAsia" w:ascii="宋体" w:hAnsi="宋体"/>
                <w:sz w:val="24"/>
              </w:rPr>
              <w:t>。</w:t>
            </w:r>
          </w:p>
          <w:p>
            <w:pPr>
              <w:spacing w:line="360" w:lineRule="auto"/>
              <w:rPr>
                <w:rFonts w:hint="eastAsia" w:ascii="宋体" w:hAnsi="宋体"/>
                <w:sz w:val="24"/>
              </w:rPr>
            </w:pPr>
            <w:r>
              <w:rPr>
                <w:rFonts w:hint="eastAsia" w:ascii="宋体" w:hAnsi="宋体"/>
                <w:sz w:val="24"/>
              </w:rPr>
              <w:t>施工安全措施的项目和范围，应符合国家颁发的《安全技术措施计划的项目总名称表》及其附录</w:t>
            </w:r>
            <w:r>
              <w:rPr>
                <w:rFonts w:ascii="宋体" w:hAnsi="宋体"/>
                <w:sz w:val="24"/>
              </w:rPr>
              <w:t>H</w:t>
            </w:r>
            <w:r>
              <w:rPr>
                <w:rFonts w:hint="eastAsia" w:ascii="宋体" w:hAnsi="宋体"/>
                <w:sz w:val="24"/>
              </w:rPr>
              <w:t>、</w:t>
            </w:r>
            <w:r>
              <w:rPr>
                <w:rFonts w:ascii="宋体" w:hAnsi="宋体"/>
                <w:sz w:val="24"/>
              </w:rPr>
              <w:t>I</w:t>
            </w:r>
            <w:r>
              <w:rPr>
                <w:rFonts w:hint="eastAsia" w:ascii="宋体" w:hAnsi="宋体"/>
                <w:sz w:val="24"/>
              </w:rPr>
              <w:t>、</w:t>
            </w:r>
            <w:r>
              <w:rPr>
                <w:rFonts w:ascii="宋体" w:hAnsi="宋体"/>
                <w:sz w:val="24"/>
              </w:rPr>
              <w:t>J</w:t>
            </w:r>
            <w:r>
              <w:rPr>
                <w:rFonts w:hint="eastAsia" w:ascii="宋体" w:hAnsi="宋体"/>
                <w:sz w:val="24"/>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施工安全措施计划应当在专用合同条款第9.2.1项约定的期限内报送监理人。承包人应当严格执行经监理人批准的施工安全措施计划，并及时补充、修订和完善施工安全措施计划，确保安全生产。</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06" w:name="_Toc263259806"/>
            <w:r>
              <w:rPr>
                <w:rFonts w:hint="eastAsia" w:ascii="宋体" w:hAnsi="宋体"/>
                <w:b/>
                <w:bCs/>
                <w:sz w:val="24"/>
              </w:rPr>
              <w:t>6</w:t>
            </w:r>
            <w:r>
              <w:rPr>
                <w:rFonts w:ascii="宋体" w:hAnsi="宋体"/>
                <w:b/>
                <w:bCs/>
                <w:sz w:val="24"/>
              </w:rPr>
              <w:t>.</w:t>
            </w:r>
            <w:r>
              <w:rPr>
                <w:rFonts w:hint="eastAsia" w:ascii="宋体" w:hAnsi="宋体"/>
                <w:b/>
                <w:bCs/>
                <w:sz w:val="24"/>
              </w:rPr>
              <w:t>7</w:t>
            </w:r>
            <w:bookmarkEnd w:id="706"/>
          </w:p>
        </w:tc>
        <w:tc>
          <w:tcPr>
            <w:tcW w:w="7391" w:type="dxa"/>
            <w:noWrap w:val="0"/>
            <w:vAlign w:val="top"/>
          </w:tcPr>
          <w:p>
            <w:pPr>
              <w:spacing w:line="360" w:lineRule="auto"/>
              <w:rPr>
                <w:rFonts w:hint="eastAsia" w:ascii="宋体" w:hAnsi="宋体"/>
                <w:b/>
                <w:bCs/>
                <w:sz w:val="24"/>
              </w:rPr>
            </w:pPr>
            <w:bookmarkStart w:id="707" w:name="_Toc263259807"/>
            <w:r>
              <w:rPr>
                <w:rFonts w:hint="eastAsia" w:ascii="宋体" w:hAnsi="宋体"/>
                <w:b/>
                <w:bCs/>
                <w:sz w:val="24"/>
              </w:rPr>
              <w:t>文明施工</w:t>
            </w:r>
            <w:bookmarkEnd w:id="707"/>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6.7.1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承包人应遵守国家和工程所在地有关法规、规范、规程和标准的规定，履行文明施工义务，确保文明施工专项费用专款专用。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承包人应当规范现场施工秩序，实行标准化管理：</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承包人的施工场地（现场）必须干净整洁、做到无积水、无淤泥、无杂物，材料堆放整齐；</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施工现场土方应当集中堆放，裸露的场地和集中堆放的土方应当采取覆盖、固化或绿化等措施；</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施工场地（现场）应进行硬化处理，定期定时洒水，做好防治扬尘和大气污染工作；</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严格遵守“工完、料尽、场地净”的原则，不留垃圾、不留剩余施工材料和施工机具，各种设备运转正常；</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承包人修建的施工临时设施应符合监理人批准的施工规划要求，并应满足本节规定的各项安全要求；</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监理人可要求承包人在施工场地（现场）设置各级承包人的安全文明施工责任牌等文明施工警示牌；</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材料进入现场应按指定位置堆放整齐，不得影响现场施工和堵塞施工、消防通道。材料堆放场地应有专职的管理人员；</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施工和安装用的各种扣件、紧固件、绳索具、小型配件、镙钉等应在专设的仓库内装箱放置；</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rPr>
              <w:t>现场风、水管及照明电线的布置应安全、合理、规范、有序，做到整齐美观。不得随意架设和造成隐患或影响施工；</w:t>
            </w:r>
          </w:p>
          <w:p>
            <w:pPr>
              <w:numPr>
                <w:ilvl w:val="0"/>
                <w:numId w:val="4"/>
              </w:numPr>
              <w:tabs>
                <w:tab w:val="left" w:pos="720"/>
                <w:tab w:val="clear" w:pos="768"/>
              </w:tabs>
              <w:spacing w:line="360" w:lineRule="auto"/>
              <w:ind w:left="720" w:hanging="720"/>
              <w:rPr>
                <w:rFonts w:hint="eastAsia" w:ascii="宋体" w:hAnsi="宋体"/>
                <w:sz w:val="24"/>
              </w:rPr>
            </w:pPr>
            <w:r>
              <w:rPr>
                <w:rFonts w:hint="eastAsia" w:ascii="宋体" w:hAnsi="宋体"/>
                <w:sz w:val="24"/>
                <w:u w:val="single"/>
              </w:rPr>
              <w:t>建筑拆除工程施工时应采取有效的降尘措施</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承包人应为其雇佣的施工工人建立并维护相应的生活宿舍、食堂、浴室、厕所和文化活动室等，其标准应满足政府有关机构的生活标准和卫生标准等的要求。</w:t>
            </w:r>
          </w:p>
        </w:tc>
      </w:tr>
      <w:tr>
        <w:tblPrEx>
          <w:tblCellMar>
            <w:top w:w="0" w:type="dxa"/>
            <w:left w:w="108" w:type="dxa"/>
            <w:bottom w:w="0" w:type="dxa"/>
            <w:right w:w="108" w:type="dxa"/>
          </w:tblCellMar>
        </w:tblPrEx>
        <w:trPr>
          <w:gridAfter w:val="1"/>
          <w:wAfter w:w="57" w:type="dxa"/>
          <w:trHeight w:val="1815" w:hRule="atLeast"/>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ascii="宋体" w:hAnsi="宋体"/>
                <w:sz w:val="24"/>
              </w:rPr>
              <w:t>在工程施工期间，</w:t>
            </w:r>
            <w:r>
              <w:rPr>
                <w:rFonts w:hint="eastAsia" w:ascii="宋体" w:hAnsi="宋体"/>
                <w:sz w:val="24"/>
              </w:rPr>
              <w:t>承包人</w:t>
            </w:r>
            <w:r>
              <w:rPr>
                <w:rFonts w:ascii="宋体" w:hAnsi="宋体"/>
                <w:sz w:val="24"/>
              </w:rPr>
              <w:t>应始终</w:t>
            </w:r>
            <w:r>
              <w:rPr>
                <w:rFonts w:hint="eastAsia" w:ascii="宋体" w:hAnsi="宋体"/>
                <w:sz w:val="24"/>
              </w:rPr>
              <w:t>避免</w:t>
            </w:r>
            <w:r>
              <w:rPr>
                <w:rFonts w:ascii="宋体" w:hAnsi="宋体"/>
                <w:sz w:val="24"/>
              </w:rPr>
              <w:t>现场出现不必要的障碍物，妥当存放并处置</w:t>
            </w:r>
            <w:r>
              <w:rPr>
                <w:rFonts w:hint="eastAsia" w:ascii="宋体" w:hAnsi="宋体"/>
                <w:sz w:val="24"/>
              </w:rPr>
              <w:t>施工</w:t>
            </w:r>
            <w:r>
              <w:rPr>
                <w:rFonts w:ascii="宋体" w:hAnsi="宋体"/>
                <w:sz w:val="24"/>
              </w:rPr>
              <w:t>设备和多余的材料</w:t>
            </w:r>
            <w:r>
              <w:rPr>
                <w:rFonts w:hint="eastAsia" w:ascii="宋体" w:hAnsi="宋体"/>
                <w:sz w:val="24"/>
              </w:rPr>
              <w:t>，及时</w:t>
            </w:r>
            <w:r>
              <w:rPr>
                <w:rFonts w:ascii="宋体" w:hAnsi="宋体"/>
                <w:sz w:val="24"/>
              </w:rPr>
              <w:t>从现场清除运走任何废料、垃圾或不再需要的临时工程</w:t>
            </w:r>
            <w:r>
              <w:rPr>
                <w:rFonts w:hint="eastAsia" w:ascii="宋体" w:hAnsi="宋体"/>
                <w:sz w:val="24"/>
              </w:rPr>
              <w:t>和设施</w:t>
            </w:r>
            <w:r>
              <w:rPr>
                <w:rFonts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7</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承包人应在现场设立固定的垃圾临时存放点并在各楼层或区域设立必要的垃圾箱；</w:t>
            </w:r>
            <w:r>
              <w:rPr>
                <w:rFonts w:hint="eastAsia" w:ascii="宋体" w:hAnsi="宋体"/>
                <w:sz w:val="24"/>
                <w:u w:val="single"/>
              </w:rPr>
              <w:t>施工现场应当建立</w:t>
            </w:r>
            <w:r>
              <w:rPr>
                <w:rFonts w:hint="eastAsia" w:ascii="宋体" w:hAnsi="宋体"/>
                <w:sz w:val="24"/>
              </w:rPr>
              <w:t>封闭式垃圾站。建筑物内施工垃圾的清运，必须采用相应容器或管道运输，严禁凌空抛掷；所有垃圾必须在当天清除出现场，并按有关行政管理部门的规定，运送到指定的垃圾消纳场。</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8</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9</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10</w:t>
            </w:r>
          </w:p>
        </w:tc>
        <w:tc>
          <w:tcPr>
            <w:tcW w:w="7391" w:type="dxa"/>
            <w:noWrap w:val="0"/>
            <w:vAlign w:val="top"/>
          </w:tcPr>
          <w:p>
            <w:pPr>
              <w:spacing w:line="360" w:lineRule="auto"/>
              <w:rPr>
                <w:rFonts w:hint="eastAsia" w:ascii="宋体" w:hAnsi="宋体"/>
                <w:sz w:val="24"/>
              </w:rPr>
            </w:pPr>
            <w:r>
              <w:rPr>
                <w:rFonts w:hint="eastAsia" w:ascii="宋体" w:hAnsi="宋体"/>
                <w:sz w:val="24"/>
              </w:rPr>
              <w:t>文明施工方面的其他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rPr>
              <w:t>在本工程移交之前，承包人应当从本工程现场清除并运出承包人的全部工程设备、多余材料、垃圾和各种临时工程，并保持该部分现场清洁整齐。在发包人同意的前提下承包人可在发包人指定的现场地点保留为完成承包人在保修期内的各项义务所需要的材料、工程设备和临时工程。</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08" w:name="_Toc263259808"/>
            <w:r>
              <w:rPr>
                <w:rFonts w:hint="eastAsia" w:ascii="宋体" w:hAnsi="宋体"/>
                <w:b/>
                <w:bCs/>
                <w:sz w:val="24"/>
              </w:rPr>
              <w:t>6.8</w:t>
            </w:r>
            <w:bookmarkEnd w:id="708"/>
          </w:p>
        </w:tc>
        <w:tc>
          <w:tcPr>
            <w:tcW w:w="7391" w:type="dxa"/>
            <w:noWrap w:val="0"/>
            <w:vAlign w:val="top"/>
          </w:tcPr>
          <w:p>
            <w:pPr>
              <w:spacing w:line="360" w:lineRule="auto"/>
              <w:rPr>
                <w:rFonts w:hint="eastAsia" w:ascii="宋体" w:hAnsi="宋体"/>
                <w:b/>
                <w:bCs/>
                <w:sz w:val="24"/>
              </w:rPr>
            </w:pPr>
            <w:bookmarkStart w:id="709" w:name="_Toc263259809"/>
            <w:r>
              <w:rPr>
                <w:rFonts w:hint="eastAsia" w:ascii="宋体" w:hAnsi="宋体"/>
                <w:b/>
                <w:bCs/>
                <w:sz w:val="24"/>
              </w:rPr>
              <w:t>环境保护</w:t>
            </w:r>
            <w:bookmarkEnd w:id="709"/>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6.8.1</w:t>
            </w:r>
          </w:p>
        </w:tc>
        <w:tc>
          <w:tcPr>
            <w:tcW w:w="7391" w:type="dxa"/>
            <w:noWrap w:val="0"/>
            <w:vAlign w:val="top"/>
          </w:tcPr>
          <w:p>
            <w:pPr>
              <w:spacing w:line="360" w:lineRule="auto"/>
              <w:rPr>
                <w:rFonts w:hint="eastAsia" w:ascii="宋体" w:hAnsi="宋体"/>
                <w:sz w:val="24"/>
              </w:rPr>
            </w:pPr>
            <w:r>
              <w:rPr>
                <w:rFonts w:hint="eastAsia" w:ascii="宋体" w:hAnsi="宋体"/>
                <w:sz w:val="24"/>
              </w:rPr>
              <w:t>在工程施工、完工及修补任何缺陷的过程中，承包人应当始终遵守国家和工程所在地有关环境保护、水土保护和污染防治的法律、法规、规章、规范、标准和规程等，按照通用合同条款第4.1.6项和第</w:t>
            </w:r>
            <w:r>
              <w:rPr>
                <w:rFonts w:hint="eastAsia" w:ascii="宋体" w:hAnsi="宋体"/>
                <w:bCs/>
                <w:sz w:val="24"/>
              </w:rPr>
              <w:t>9.4</w:t>
            </w:r>
            <w:r>
              <w:rPr>
                <w:rFonts w:hint="eastAsia" w:ascii="宋体" w:hAnsi="宋体"/>
                <w:sz w:val="24"/>
              </w:rPr>
              <w:t>款的约定履行其环境与生态保护职责。</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6.8.2</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6.8.3</w:t>
            </w:r>
          </w:p>
        </w:tc>
        <w:tc>
          <w:tcPr>
            <w:tcW w:w="7391" w:type="dxa"/>
            <w:noWrap w:val="0"/>
            <w:vAlign w:val="top"/>
          </w:tcPr>
          <w:p>
            <w:pPr>
              <w:spacing w:line="360" w:lineRule="auto"/>
              <w:rPr>
                <w:rFonts w:hint="eastAsia" w:ascii="宋体" w:hAnsi="宋体"/>
                <w:sz w:val="24"/>
              </w:rPr>
            </w:pPr>
            <w:r>
              <w:rPr>
                <w:rFonts w:hint="eastAsia" w:ascii="宋体" w:hAnsi="宋体"/>
                <w:sz w:val="24"/>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6.8.5</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6.8.6</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w:t>
            </w:r>
            <w:r>
              <w:rPr>
                <w:rFonts w:ascii="宋体" w:hAnsi="宋体"/>
                <w:sz w:val="24"/>
              </w:rPr>
              <w:t>.</w:t>
            </w:r>
            <w:r>
              <w:rPr>
                <w:rFonts w:hint="eastAsia" w:ascii="宋体" w:hAnsi="宋体"/>
                <w:sz w:val="24"/>
              </w:rPr>
              <w:t>7</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6.8.8</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6.8.9</w:t>
            </w:r>
          </w:p>
        </w:tc>
        <w:tc>
          <w:tcPr>
            <w:tcW w:w="7391" w:type="dxa"/>
            <w:noWrap w:val="0"/>
            <w:vAlign w:val="top"/>
          </w:tcPr>
          <w:p>
            <w:pPr>
              <w:spacing w:line="360" w:lineRule="auto"/>
              <w:rPr>
                <w:rFonts w:hint="eastAsia" w:ascii="宋体" w:hAnsi="宋体"/>
                <w:sz w:val="24"/>
              </w:rPr>
            </w:pPr>
            <w:r>
              <w:rPr>
                <w:rFonts w:hint="eastAsia" w:ascii="宋体" w:hAnsi="宋体"/>
                <w:sz w:val="24"/>
              </w:rPr>
              <w:t>环境保护方面的其他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rPr>
            </w:pPr>
            <w:r>
              <w:rPr>
                <w:rFonts w:hint="eastAsia" w:ascii="宋体" w:hAnsi="宋体"/>
                <w:sz w:val="24"/>
              </w:rPr>
              <w:t>本工程场地周边环境复杂，对交通、市容环卫、消防、文明安全施工、社会舆论监督等要求很高，现场施工组织须考虑减少扰民的影响，工程周边环境对施工组织的不利影响，应由承包人充分预测，由此产生的相关费用及工期不做调整。承包单位应承担施工区域及周边环境的精细保洁工作，竣工验收前承建单位对所施工区域进行精开荒保洁。</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10" w:name="_Toc263259810"/>
            <w:r>
              <w:rPr>
                <w:rFonts w:hint="eastAsia" w:ascii="宋体" w:hAnsi="宋体"/>
                <w:b/>
                <w:bCs/>
                <w:sz w:val="24"/>
              </w:rPr>
              <w:t>6.9</w:t>
            </w:r>
            <w:bookmarkEnd w:id="710"/>
          </w:p>
        </w:tc>
        <w:tc>
          <w:tcPr>
            <w:tcW w:w="7391" w:type="dxa"/>
            <w:noWrap w:val="0"/>
            <w:vAlign w:val="top"/>
          </w:tcPr>
          <w:p>
            <w:pPr>
              <w:spacing w:line="360" w:lineRule="auto"/>
              <w:rPr>
                <w:rFonts w:hint="eastAsia" w:ascii="宋体" w:hAnsi="宋体"/>
                <w:b/>
                <w:bCs/>
                <w:sz w:val="24"/>
              </w:rPr>
            </w:pPr>
            <w:bookmarkStart w:id="711" w:name="_Toc263259811"/>
            <w:r>
              <w:rPr>
                <w:rFonts w:hint="eastAsia" w:ascii="宋体" w:hAnsi="宋体"/>
                <w:b/>
                <w:bCs/>
                <w:sz w:val="24"/>
              </w:rPr>
              <w:t>施工环保措施计划</w:t>
            </w:r>
            <w:bookmarkEnd w:id="711"/>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6.9.1</w:t>
            </w:r>
          </w:p>
        </w:tc>
        <w:tc>
          <w:tcPr>
            <w:tcW w:w="7391" w:type="dxa"/>
            <w:noWrap w:val="0"/>
            <w:vAlign w:val="top"/>
          </w:tcPr>
          <w:p>
            <w:pPr>
              <w:spacing w:line="360" w:lineRule="auto"/>
              <w:rPr>
                <w:rFonts w:hint="eastAsia" w:ascii="宋体" w:hAnsi="宋体"/>
                <w:sz w:val="24"/>
              </w:rPr>
            </w:pPr>
            <w:r>
              <w:rPr>
                <w:rFonts w:hint="eastAsia" w:ascii="宋体" w:hAnsi="宋体"/>
                <w:sz w:val="24"/>
              </w:rPr>
              <w:t>通用合同条款第9.4.2项约定的施工环保措施计划是承包人阐明环保方针和拟采用的环保措施及方法等的文件，其内容应包括但不限于：</w:t>
            </w:r>
          </w:p>
          <w:p>
            <w:pPr>
              <w:numPr>
                <w:ilvl w:val="0"/>
                <w:numId w:val="24"/>
              </w:numPr>
              <w:spacing w:line="360" w:lineRule="auto"/>
              <w:rPr>
                <w:rFonts w:hint="eastAsia" w:ascii="宋体" w:hAnsi="宋体"/>
                <w:sz w:val="24"/>
              </w:rPr>
            </w:pPr>
            <w:r>
              <w:rPr>
                <w:rFonts w:hint="eastAsia" w:ascii="宋体" w:hAnsi="宋体"/>
                <w:sz w:val="24"/>
              </w:rPr>
              <w:t>承包人生活区（如果有）的生活用水和生活污水处理措施；</w:t>
            </w:r>
          </w:p>
          <w:p>
            <w:pPr>
              <w:numPr>
                <w:ilvl w:val="0"/>
                <w:numId w:val="24"/>
              </w:numPr>
              <w:spacing w:line="360" w:lineRule="auto"/>
              <w:rPr>
                <w:rFonts w:hint="eastAsia" w:ascii="宋体" w:hAnsi="宋体"/>
                <w:sz w:val="24"/>
              </w:rPr>
            </w:pPr>
            <w:r>
              <w:rPr>
                <w:rFonts w:hint="eastAsia" w:ascii="宋体" w:hAnsi="宋体"/>
                <w:sz w:val="24"/>
              </w:rPr>
              <w:t>施工生产废水处理措施；</w:t>
            </w:r>
          </w:p>
          <w:p>
            <w:pPr>
              <w:numPr>
                <w:ilvl w:val="0"/>
                <w:numId w:val="24"/>
              </w:numPr>
              <w:spacing w:line="360" w:lineRule="auto"/>
              <w:rPr>
                <w:rFonts w:hint="eastAsia" w:ascii="宋体" w:hAnsi="宋体"/>
                <w:sz w:val="24"/>
              </w:rPr>
            </w:pPr>
            <w:r>
              <w:rPr>
                <w:rFonts w:hint="eastAsia" w:ascii="宋体" w:hAnsi="宋体"/>
                <w:sz w:val="24"/>
              </w:rPr>
              <w:t>施工扬尘和废气的处理措施；</w:t>
            </w:r>
          </w:p>
          <w:p>
            <w:pPr>
              <w:numPr>
                <w:ilvl w:val="0"/>
                <w:numId w:val="24"/>
              </w:numPr>
              <w:spacing w:line="360" w:lineRule="auto"/>
              <w:rPr>
                <w:rFonts w:hint="eastAsia" w:ascii="宋体" w:hAnsi="宋体"/>
                <w:sz w:val="24"/>
              </w:rPr>
            </w:pPr>
            <w:r>
              <w:rPr>
                <w:rFonts w:hint="eastAsia" w:ascii="宋体" w:hAnsi="宋体"/>
                <w:sz w:val="24"/>
              </w:rPr>
              <w:t>施工噪声和光污染控制措施；</w:t>
            </w:r>
          </w:p>
          <w:p>
            <w:pPr>
              <w:numPr>
                <w:ilvl w:val="0"/>
                <w:numId w:val="24"/>
              </w:numPr>
              <w:spacing w:line="360" w:lineRule="auto"/>
              <w:rPr>
                <w:rFonts w:hint="eastAsia" w:ascii="宋体" w:hAnsi="宋体"/>
                <w:sz w:val="24"/>
              </w:rPr>
            </w:pPr>
            <w:r>
              <w:rPr>
                <w:rFonts w:hint="eastAsia" w:ascii="宋体" w:hAnsi="宋体"/>
                <w:sz w:val="24"/>
              </w:rPr>
              <w:t>节能减排措施；</w:t>
            </w:r>
          </w:p>
          <w:p>
            <w:pPr>
              <w:numPr>
                <w:ilvl w:val="0"/>
                <w:numId w:val="24"/>
              </w:numPr>
              <w:spacing w:line="360" w:lineRule="auto"/>
              <w:rPr>
                <w:rFonts w:hint="eastAsia" w:ascii="宋体" w:hAnsi="宋体"/>
                <w:sz w:val="24"/>
              </w:rPr>
            </w:pPr>
            <w:r>
              <w:rPr>
                <w:rFonts w:hint="eastAsia" w:ascii="宋体" w:hAnsi="宋体"/>
                <w:sz w:val="24"/>
              </w:rPr>
              <w:t>不可再生资源循环利用措施；</w:t>
            </w:r>
          </w:p>
          <w:p>
            <w:pPr>
              <w:numPr>
                <w:ilvl w:val="0"/>
                <w:numId w:val="24"/>
              </w:numPr>
              <w:spacing w:line="360" w:lineRule="auto"/>
              <w:rPr>
                <w:rFonts w:hint="eastAsia" w:ascii="宋体" w:hAnsi="宋体"/>
                <w:sz w:val="24"/>
              </w:rPr>
            </w:pPr>
            <w:r>
              <w:rPr>
                <w:rFonts w:hint="eastAsia" w:ascii="宋体" w:hAnsi="宋体"/>
                <w:sz w:val="24"/>
              </w:rPr>
              <w:t>固体废弃物处理措施；</w:t>
            </w:r>
          </w:p>
          <w:p>
            <w:pPr>
              <w:numPr>
                <w:ilvl w:val="0"/>
                <w:numId w:val="24"/>
              </w:numPr>
              <w:spacing w:line="360" w:lineRule="auto"/>
              <w:rPr>
                <w:rFonts w:hint="eastAsia" w:ascii="宋体" w:hAnsi="宋体"/>
                <w:sz w:val="24"/>
              </w:rPr>
            </w:pPr>
            <w:r>
              <w:rPr>
                <w:rFonts w:hint="eastAsia" w:ascii="宋体" w:hAnsi="宋体"/>
                <w:sz w:val="24"/>
              </w:rPr>
              <w:t>人群健康保护和卫生防疫措施；</w:t>
            </w:r>
          </w:p>
          <w:p>
            <w:pPr>
              <w:numPr>
                <w:ilvl w:val="0"/>
                <w:numId w:val="24"/>
              </w:numPr>
              <w:spacing w:line="360" w:lineRule="auto"/>
              <w:rPr>
                <w:rFonts w:hint="eastAsia" w:ascii="宋体" w:hAnsi="宋体"/>
                <w:sz w:val="24"/>
              </w:rPr>
            </w:pPr>
            <w:r>
              <w:rPr>
                <w:rFonts w:hint="eastAsia" w:ascii="宋体" w:hAnsi="宋体"/>
                <w:sz w:val="24"/>
              </w:rPr>
              <w:t>防止误用有害材料的保证措施；</w:t>
            </w:r>
          </w:p>
          <w:p>
            <w:pPr>
              <w:numPr>
                <w:ilvl w:val="0"/>
                <w:numId w:val="24"/>
              </w:numPr>
              <w:spacing w:line="360" w:lineRule="auto"/>
              <w:rPr>
                <w:rFonts w:hint="eastAsia" w:ascii="宋体" w:hAnsi="宋体"/>
                <w:sz w:val="24"/>
              </w:rPr>
            </w:pPr>
            <w:r>
              <w:rPr>
                <w:rFonts w:hint="eastAsia" w:ascii="宋体" w:hAnsi="宋体"/>
                <w:sz w:val="24"/>
              </w:rPr>
              <w:t>施工边坡工程的水土流失保护措施；</w:t>
            </w:r>
          </w:p>
          <w:p>
            <w:pPr>
              <w:numPr>
                <w:ilvl w:val="0"/>
                <w:numId w:val="24"/>
              </w:numPr>
              <w:spacing w:line="360" w:lineRule="auto"/>
              <w:rPr>
                <w:rFonts w:hint="eastAsia" w:ascii="宋体" w:hAnsi="宋体"/>
                <w:sz w:val="24"/>
              </w:rPr>
            </w:pPr>
            <w:r>
              <w:rPr>
                <w:rFonts w:hint="eastAsia" w:ascii="宋体" w:hAnsi="宋体"/>
                <w:sz w:val="24"/>
              </w:rPr>
              <w:t>道路污染防治措施；</w:t>
            </w:r>
          </w:p>
          <w:p>
            <w:pPr>
              <w:numPr>
                <w:ilvl w:val="0"/>
                <w:numId w:val="24"/>
              </w:numPr>
              <w:spacing w:line="360" w:lineRule="auto"/>
              <w:rPr>
                <w:rFonts w:hint="eastAsia" w:ascii="宋体" w:hAnsi="宋体"/>
                <w:sz w:val="24"/>
              </w:rPr>
            </w:pPr>
            <w:r>
              <w:rPr>
                <w:rFonts w:hint="eastAsia" w:ascii="宋体" w:hAnsi="宋体"/>
                <w:sz w:val="24"/>
              </w:rPr>
              <w:t>完工后场地清理及其植被（如果有）恢复的规划和措施；</w:t>
            </w:r>
          </w:p>
          <w:p>
            <w:pPr>
              <w:numPr>
                <w:ilvl w:val="0"/>
                <w:numId w:val="24"/>
              </w:numPr>
              <w:spacing w:line="360" w:lineRule="auto"/>
              <w:rPr>
                <w:rFonts w:hint="eastAsia" w:ascii="宋体" w:hAnsi="宋体"/>
                <w:sz w:val="24"/>
              </w:rPr>
            </w:pPr>
            <w:r>
              <w:rPr>
                <w:rFonts w:hint="eastAsia" w:ascii="宋体" w:hAnsi="宋体"/>
                <w:sz w:val="24"/>
              </w:rPr>
              <w:t>其他：</w:t>
            </w: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6.9.2</w:t>
            </w:r>
          </w:p>
        </w:tc>
        <w:tc>
          <w:tcPr>
            <w:tcW w:w="7391" w:type="dxa"/>
            <w:noWrap w:val="0"/>
            <w:vAlign w:val="top"/>
          </w:tcPr>
          <w:p>
            <w:pPr>
              <w:spacing w:line="360" w:lineRule="auto"/>
              <w:rPr>
                <w:rFonts w:hint="eastAsia" w:ascii="宋体" w:hAnsi="宋体"/>
                <w:sz w:val="24"/>
              </w:rPr>
            </w:pPr>
            <w:r>
              <w:rPr>
                <w:rFonts w:hint="eastAsia" w:ascii="宋体" w:hAnsi="宋体"/>
                <w:sz w:val="24"/>
              </w:rPr>
              <w:t>施工环保措施计划应当在专用合同条款第9.4款约定的期限内报送监理人。承包人应当严格执行经监理人批准的施工环保措施计划，并及时补充、修订和完善施工环保措施计划。</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712" w:name="_Toc342296553"/>
            <w:bookmarkStart w:id="713" w:name="_Toc448915683"/>
            <w:bookmarkStart w:id="714" w:name="_Toc241459796"/>
            <w:r>
              <w:rPr>
                <w:rFonts w:hint="eastAsia" w:ascii="宋体" w:hAnsi="宋体"/>
                <w:b/>
                <w:bCs/>
                <w:sz w:val="24"/>
              </w:rPr>
              <w:t>7.治安保卫</w:t>
            </w:r>
            <w:bookmarkEnd w:id="712"/>
            <w:bookmarkEnd w:id="713"/>
            <w:bookmarkEnd w:id="714"/>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承包人的保安人员应是训练有素的专业保安人员，承包人可以雇佣专业保安公司负责现场保安和保卫；保安保卫制度除规范现场出入大门控制外，还应规定定时和不定时的施工场地(现场)周边和全现场的保安巡逻。</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承包人应制定并实施严格的施工场地（现场）出入制度并报监理人审批；车辆的出入须有出入审批制度，并有指定的专人负责管理；人员进出现场应有出入证，出入证须以经过监理人批准的格式印制。</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Pr>
                <w:rFonts w:ascii="宋体" w:hAnsi="宋体"/>
                <w:sz w:val="24"/>
              </w:rPr>
              <w:t>任何处罚、索赔、损失和损害等。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7</w:t>
            </w:r>
          </w:p>
        </w:tc>
        <w:tc>
          <w:tcPr>
            <w:tcW w:w="7391" w:type="dxa"/>
            <w:noWrap w:val="0"/>
            <w:vAlign w:val="top"/>
          </w:tcPr>
          <w:p>
            <w:pPr>
              <w:spacing w:line="360" w:lineRule="auto"/>
              <w:rPr>
                <w:rFonts w:hint="eastAsia" w:ascii="宋体" w:hAnsi="宋体"/>
                <w:sz w:val="24"/>
              </w:rPr>
            </w:pPr>
            <w:r>
              <w:rPr>
                <w:rFonts w:hint="eastAsia" w:ascii="宋体" w:hAnsi="宋体"/>
                <w:sz w:val="24"/>
              </w:rPr>
              <w:t>施工场地（现场）治安管理计划的要求：</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8</w:t>
            </w:r>
          </w:p>
        </w:tc>
        <w:tc>
          <w:tcPr>
            <w:tcW w:w="7391" w:type="dxa"/>
            <w:noWrap w:val="0"/>
            <w:vAlign w:val="top"/>
          </w:tcPr>
          <w:p>
            <w:pPr>
              <w:spacing w:line="360" w:lineRule="auto"/>
              <w:rPr>
                <w:rFonts w:hint="eastAsia" w:ascii="宋体" w:hAnsi="宋体"/>
                <w:sz w:val="24"/>
              </w:rPr>
            </w:pPr>
            <w:r>
              <w:rPr>
                <w:rFonts w:hint="eastAsia" w:ascii="宋体" w:hAnsi="宋体"/>
                <w:sz w:val="24"/>
              </w:rPr>
              <w:t>突发治安事件紧急预案的要求：</w:t>
            </w:r>
          </w:p>
          <w:p>
            <w:pPr>
              <w:spacing w:line="360" w:lineRule="auto"/>
              <w:rPr>
                <w:rFonts w:hint="eastAsia" w:ascii="宋体" w:hAnsi="宋体"/>
                <w:sz w:val="24"/>
              </w:rPr>
            </w:pPr>
            <w:r>
              <w:rPr>
                <w:rFonts w:hint="eastAsia" w:ascii="宋体" w:hAnsi="宋体"/>
                <w:sz w:val="24"/>
              </w:rPr>
              <w:t>应当制定应对灾害的紧急预案，报送监理人审查。承包人还应当按照预案做好安全检查，配置必要的救助物资和器材，切实保护好现场人员的人身和财产安全。</w:t>
            </w:r>
          </w:p>
          <w:p>
            <w:pPr>
              <w:spacing w:line="360" w:lineRule="auto"/>
              <w:rPr>
                <w:rFonts w:hint="eastAsia" w:ascii="宋体" w:hAnsi="宋体"/>
                <w:sz w:val="24"/>
              </w:rPr>
            </w:pPr>
            <w:r>
              <w:rPr>
                <w:rFonts w:hint="eastAsia" w:ascii="宋体" w:hAnsi="宋体"/>
                <w:sz w:val="24"/>
              </w:rPr>
              <w:t>承包人应当根据施工特点和范围，对重大事故易发部位和环节进行实时监控，制定安全事故应急救援预案，配备应急救援人员和救援器材，并定期组织演练。</w:t>
            </w:r>
          </w:p>
          <w:p>
            <w:pPr>
              <w:spacing w:line="360" w:lineRule="auto"/>
              <w:rPr>
                <w:rFonts w:hint="eastAsia" w:ascii="宋体" w:hAnsi="宋体"/>
                <w:sz w:val="24"/>
              </w:rPr>
            </w:pPr>
            <w:r>
              <w:rPr>
                <w:rFonts w:hint="eastAsia" w:ascii="宋体" w:hAnsi="宋体"/>
                <w:sz w:val="24"/>
              </w:rPr>
              <w:t>发生安全事故后，承包人应当按照国家有关伤亡事故报告和调查处理的规定，及时如实地报告监理人、发包人和建设行政主管部门及安全监督管理部门；特种设备发生事故的，还应当同时报告特种设备安全监督管理部门。</w:t>
            </w:r>
          </w:p>
          <w:p>
            <w:pPr>
              <w:spacing w:line="360" w:lineRule="auto"/>
              <w:rPr>
                <w:rFonts w:hint="eastAsia" w:ascii="宋体" w:hAnsi="宋体"/>
                <w:sz w:val="24"/>
              </w:rPr>
            </w:pPr>
            <w:r>
              <w:rPr>
                <w:rFonts w:hint="eastAsia" w:ascii="宋体" w:hAnsi="宋体"/>
                <w:sz w:val="24"/>
              </w:rPr>
              <w:t>发生安全事故后，承包人应当积极采取措施，防止事故扩大，保护事故现场。需要移动现场物品时，应当做出标记和书面记录，妥善保管有关证物。</w:t>
            </w:r>
          </w:p>
          <w:p>
            <w:pPr>
              <w:spacing w:line="360" w:lineRule="auto"/>
              <w:rPr>
                <w:rFonts w:hint="eastAsia" w:ascii="宋体" w:hAnsi="宋体"/>
                <w:sz w:val="24"/>
              </w:rPr>
            </w:pPr>
            <w:r>
              <w:rPr>
                <w:rFonts w:hint="eastAsia" w:ascii="宋体" w:hAnsi="宋体"/>
                <w:sz w:val="24"/>
              </w:rPr>
              <w:t>供应商须服从采购人文明施工之日常管理，落实文明施工管理各项管理制度。</w:t>
            </w:r>
          </w:p>
          <w:p>
            <w:pPr>
              <w:spacing w:line="360" w:lineRule="auto"/>
              <w:rPr>
                <w:rFonts w:hint="eastAsia" w:ascii="宋体" w:hAnsi="宋体"/>
                <w:sz w:val="24"/>
              </w:rPr>
            </w:pP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9</w:t>
            </w:r>
          </w:p>
        </w:tc>
        <w:tc>
          <w:tcPr>
            <w:tcW w:w="7391" w:type="dxa"/>
            <w:noWrap w:val="0"/>
            <w:vAlign w:val="top"/>
          </w:tcPr>
          <w:p>
            <w:pPr>
              <w:spacing w:line="360" w:lineRule="auto"/>
              <w:rPr>
                <w:rFonts w:hint="eastAsia" w:ascii="宋体" w:hAnsi="宋体"/>
                <w:sz w:val="24"/>
              </w:rPr>
            </w:pPr>
            <w:r>
              <w:rPr>
                <w:rFonts w:hint="eastAsia" w:ascii="宋体" w:hAnsi="宋体"/>
                <w:sz w:val="24"/>
              </w:rPr>
              <w:t>治安保卫方面的其他</w:t>
            </w:r>
            <w:r>
              <w:rPr>
                <w:rFonts w:ascii="宋体" w:hAnsi="宋体"/>
                <w:sz w:val="24"/>
              </w:rPr>
              <w:t>要求</w:t>
            </w:r>
            <w:r>
              <w:rPr>
                <w:rFonts w:hint="eastAsia" w:ascii="宋体" w:hAnsi="宋体"/>
                <w:sz w:val="24"/>
              </w:rPr>
              <w:t>如下：</w:t>
            </w:r>
          </w:p>
          <w:p>
            <w:pPr>
              <w:spacing w:line="360" w:lineRule="auto"/>
              <w:rPr>
                <w:rFonts w:hint="eastAsia" w:ascii="宋体" w:hAnsi="宋体"/>
                <w:sz w:val="24"/>
                <w:u w:val="single"/>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715" w:name="_Toc342296554"/>
            <w:bookmarkStart w:id="716" w:name="_Toc448915684"/>
            <w:bookmarkStart w:id="717" w:name="_Toc241459797"/>
            <w:r>
              <w:rPr>
                <w:rFonts w:hint="eastAsia" w:ascii="宋体" w:hAnsi="宋体"/>
                <w:b/>
                <w:bCs/>
                <w:sz w:val="24"/>
              </w:rPr>
              <w:t>8.地上、地下设施和周边建筑物的临时保护</w:t>
            </w:r>
            <w:bookmarkEnd w:id="715"/>
            <w:bookmarkEnd w:id="716"/>
            <w:bookmarkEnd w:id="717"/>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8.1</w:t>
            </w:r>
          </w:p>
        </w:tc>
        <w:tc>
          <w:tcPr>
            <w:tcW w:w="7391" w:type="dxa"/>
            <w:noWrap w:val="0"/>
            <w:vAlign w:val="top"/>
          </w:tcPr>
          <w:p>
            <w:pPr>
              <w:spacing w:line="360" w:lineRule="auto"/>
              <w:rPr>
                <w:rFonts w:hint="eastAsia" w:ascii="宋体" w:hAnsi="宋体"/>
                <w:sz w:val="24"/>
              </w:rPr>
            </w:pPr>
            <w:r>
              <w:rPr>
                <w:rFonts w:hint="eastAsia" w:ascii="宋体" w:hAnsi="宋体"/>
                <w:sz w:val="24"/>
              </w:rPr>
              <w:t>承包人应为施工场地及其周边现有的地上、地下设施和建筑物提供足够的临时保护设施，确保施工过程中这些设施和建筑物不会受到干扰和破坏。</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8.2</w:t>
            </w:r>
          </w:p>
        </w:tc>
        <w:tc>
          <w:tcPr>
            <w:tcW w:w="7391" w:type="dxa"/>
            <w:noWrap w:val="0"/>
            <w:vAlign w:val="top"/>
          </w:tcPr>
          <w:p>
            <w:pPr>
              <w:spacing w:line="360" w:lineRule="auto"/>
              <w:rPr>
                <w:rFonts w:hint="eastAsia" w:ascii="宋体" w:hAnsi="宋体"/>
                <w:sz w:val="24"/>
                <w:u w:val="single"/>
              </w:rPr>
            </w:pPr>
            <w:r>
              <w:rPr>
                <w:rFonts w:hint="eastAsia" w:ascii="宋体" w:hAnsi="宋体"/>
                <w:sz w:val="24"/>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8.3</w:t>
            </w:r>
          </w:p>
        </w:tc>
        <w:tc>
          <w:tcPr>
            <w:tcW w:w="7391" w:type="dxa"/>
            <w:noWrap w:val="0"/>
            <w:vAlign w:val="top"/>
          </w:tcPr>
          <w:p>
            <w:pPr>
              <w:spacing w:line="360" w:lineRule="auto"/>
              <w:rPr>
                <w:rFonts w:hint="eastAsia" w:ascii="宋体" w:hAnsi="宋体"/>
                <w:sz w:val="24"/>
              </w:rPr>
            </w:pPr>
            <w:r>
              <w:rPr>
                <w:rFonts w:hint="eastAsia" w:ascii="宋体" w:hAnsi="宋体"/>
                <w:sz w:val="24"/>
              </w:rPr>
              <w:t>发包人特别提醒承包人注意以下地上、地下设施和周边建筑物的保护：</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8.4</w:t>
            </w:r>
          </w:p>
        </w:tc>
        <w:tc>
          <w:tcPr>
            <w:tcW w:w="7391" w:type="dxa"/>
            <w:noWrap w:val="0"/>
            <w:vAlign w:val="top"/>
          </w:tcPr>
          <w:p>
            <w:pPr>
              <w:spacing w:line="360" w:lineRule="auto"/>
              <w:rPr>
                <w:rFonts w:hint="eastAsia" w:ascii="宋体" w:hAnsi="宋体"/>
                <w:sz w:val="24"/>
              </w:rPr>
            </w:pPr>
            <w:r>
              <w:rPr>
                <w:rFonts w:hint="eastAsia" w:ascii="宋体" w:hAnsi="宋体"/>
                <w:sz w:val="24"/>
              </w:rPr>
              <w:t>地上、地下设施和周边建筑物的临时保护的其他要求如下: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sz w:val="24"/>
              </w:rPr>
            </w:pPr>
            <w:bookmarkStart w:id="718" w:name="_Toc448915685"/>
            <w:bookmarkStart w:id="719" w:name="_Toc241459798"/>
            <w:bookmarkStart w:id="720" w:name="_Toc342296555"/>
            <w:r>
              <w:rPr>
                <w:rFonts w:hint="eastAsia" w:ascii="宋体" w:hAnsi="宋体"/>
                <w:b/>
                <w:bCs/>
                <w:sz w:val="24"/>
              </w:rPr>
              <w:t>9.样品和材料代换</w:t>
            </w:r>
            <w:bookmarkEnd w:id="718"/>
            <w:bookmarkEnd w:id="719"/>
            <w:bookmarkEnd w:id="720"/>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21" w:name="_Toc263259815"/>
            <w:r>
              <w:rPr>
                <w:rFonts w:hint="eastAsia" w:ascii="宋体" w:hAnsi="宋体"/>
                <w:b/>
                <w:bCs/>
                <w:sz w:val="24"/>
              </w:rPr>
              <w:t>9</w:t>
            </w:r>
            <w:r>
              <w:rPr>
                <w:rFonts w:ascii="宋体" w:hAnsi="宋体"/>
                <w:b/>
                <w:bCs/>
                <w:sz w:val="24"/>
              </w:rPr>
              <w:t>.</w:t>
            </w:r>
            <w:r>
              <w:rPr>
                <w:rFonts w:hint="eastAsia" w:ascii="宋体" w:hAnsi="宋体"/>
                <w:b/>
                <w:bCs/>
                <w:sz w:val="24"/>
              </w:rPr>
              <w:t>1</w:t>
            </w:r>
            <w:bookmarkEnd w:id="721"/>
          </w:p>
        </w:tc>
        <w:tc>
          <w:tcPr>
            <w:tcW w:w="7391" w:type="dxa"/>
            <w:noWrap w:val="0"/>
            <w:vAlign w:val="top"/>
          </w:tcPr>
          <w:p>
            <w:pPr>
              <w:spacing w:line="360" w:lineRule="auto"/>
              <w:rPr>
                <w:rFonts w:hint="eastAsia" w:ascii="宋体" w:hAnsi="宋体"/>
                <w:b/>
                <w:bCs/>
                <w:sz w:val="24"/>
              </w:rPr>
            </w:pPr>
            <w:bookmarkStart w:id="722" w:name="_Toc263259816"/>
            <w:r>
              <w:rPr>
                <w:rFonts w:hint="eastAsia" w:ascii="宋体" w:hAnsi="宋体"/>
                <w:b/>
                <w:bCs/>
                <w:sz w:val="24"/>
              </w:rPr>
              <w:t>样品</w:t>
            </w:r>
            <w:bookmarkEnd w:id="722"/>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9.1.1</w:t>
            </w:r>
          </w:p>
        </w:tc>
        <w:tc>
          <w:tcPr>
            <w:tcW w:w="7391" w:type="dxa"/>
            <w:noWrap w:val="0"/>
            <w:vAlign w:val="top"/>
          </w:tcPr>
          <w:p>
            <w:pPr>
              <w:spacing w:line="360" w:lineRule="auto"/>
              <w:rPr>
                <w:rFonts w:hint="eastAsia" w:ascii="宋体" w:hAnsi="宋体"/>
                <w:sz w:val="24"/>
              </w:rPr>
            </w:pPr>
            <w:r>
              <w:rPr>
                <w:rFonts w:hint="eastAsia" w:ascii="宋体" w:hAnsi="宋体"/>
                <w:sz w:val="24"/>
              </w:rPr>
              <w:t>本工程需要承包人提供样品的材料和工程设备如下：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对于本款第9.1.1项</w:t>
            </w:r>
            <w:r>
              <w:rPr>
                <w:rFonts w:ascii="宋体" w:hAnsi="宋体"/>
                <w:sz w:val="24"/>
              </w:rPr>
              <w:t>约定的材料</w:t>
            </w:r>
            <w:r>
              <w:rPr>
                <w:rFonts w:hint="eastAsia" w:ascii="宋体" w:hAnsi="宋体"/>
                <w:sz w:val="24"/>
              </w:rPr>
              <w:t>和</w:t>
            </w:r>
            <w:r>
              <w:rPr>
                <w:rFonts w:ascii="宋体" w:hAnsi="宋体"/>
                <w:sz w:val="24"/>
              </w:rPr>
              <w:t>工程设备，承包人应</w:t>
            </w:r>
            <w:r>
              <w:rPr>
                <w:rFonts w:hint="eastAsia" w:ascii="宋体" w:hAnsi="宋体"/>
                <w:sz w:val="24"/>
              </w:rPr>
              <w:t>按照专用合同条款第5.1.2项约定的期限</w:t>
            </w:r>
            <w:r>
              <w:rPr>
                <w:rFonts w:ascii="宋体" w:hAnsi="宋体"/>
                <w:sz w:val="24"/>
              </w:rPr>
              <w:t>，向监理人提交样品并附上任何必要的说明书、</w:t>
            </w:r>
            <w:r>
              <w:rPr>
                <w:rFonts w:hint="eastAsia" w:ascii="宋体" w:hAnsi="宋体"/>
                <w:sz w:val="24"/>
              </w:rPr>
              <w:t>生产（制造）许可</w:t>
            </w:r>
            <w:r>
              <w:rPr>
                <w:rFonts w:ascii="宋体" w:hAnsi="宋体"/>
                <w:sz w:val="24"/>
              </w:rPr>
              <w:t>证书、出厂</w:t>
            </w:r>
            <w:r>
              <w:rPr>
                <w:rFonts w:hint="eastAsia" w:ascii="宋体" w:hAnsi="宋体"/>
                <w:sz w:val="24"/>
              </w:rPr>
              <w:t>合格证明或者证书、出厂检测</w:t>
            </w:r>
            <w:r>
              <w:rPr>
                <w:rFonts w:ascii="宋体" w:hAnsi="宋体"/>
                <w:sz w:val="24"/>
              </w:rPr>
              <w:t>报告、性能介绍、使用说明等相关资料，</w:t>
            </w:r>
            <w:r>
              <w:rPr>
                <w:rFonts w:hint="eastAsia" w:ascii="宋体" w:hAnsi="宋体"/>
                <w:sz w:val="24"/>
              </w:rPr>
              <w:t>同时注明材料和工程设备的供货人及品种、规格、数量和供货时间等，</w:t>
            </w:r>
            <w:r>
              <w:rPr>
                <w:rFonts w:ascii="宋体" w:hAnsi="宋体"/>
                <w:sz w:val="24"/>
              </w:rPr>
              <w:t>以供检验和审批。样品送达的地点和样品的数量或尺寸应符合监理人</w:t>
            </w:r>
            <w:r>
              <w:rPr>
                <w:rFonts w:hint="eastAsia" w:ascii="宋体" w:hAnsi="宋体"/>
                <w:sz w:val="24"/>
              </w:rPr>
              <w:t>和</w:t>
            </w:r>
            <w:r>
              <w:rPr>
                <w:rFonts w:ascii="宋体" w:hAnsi="宋体"/>
                <w:sz w:val="24"/>
              </w:rPr>
              <w:t>发包人的要求。除合同另有约定</w:t>
            </w:r>
            <w:r>
              <w:rPr>
                <w:rFonts w:hint="eastAsia" w:ascii="宋体" w:hAnsi="宋体"/>
                <w:sz w:val="24"/>
              </w:rPr>
              <w:t>外</w:t>
            </w:r>
            <w:r>
              <w:rPr>
                <w:rFonts w:ascii="宋体" w:hAnsi="宋体"/>
                <w:sz w:val="24"/>
              </w:rPr>
              <w:t>，承包人在报送任何样品时应按监理人同意的格式填写并递交样品报送单。监理人应及时签收样品。</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ascii="宋体" w:hAnsi="宋体"/>
                <w:sz w:val="24"/>
              </w:rPr>
              <w:t>监理人应在收到承包人报送的样品后</w:t>
            </w:r>
            <w:r>
              <w:rPr>
                <w:rFonts w:hint="eastAsia" w:ascii="宋体" w:hAnsi="宋体"/>
                <w:sz w:val="24"/>
              </w:rPr>
              <w:t>7天内转呈发包人并附上监理人的书面审批意见。发包人在收到通过监理人转交的样品以及监理人的审批意见后7</w:t>
            </w:r>
            <w:r>
              <w:rPr>
                <w:rFonts w:ascii="宋体" w:hAnsi="宋体"/>
                <w:sz w:val="24"/>
              </w:rPr>
              <w:t>天内就此样品给出书面批复</w:t>
            </w:r>
            <w:r>
              <w:rPr>
                <w:rFonts w:hint="eastAsia" w:ascii="宋体" w:hAnsi="宋体"/>
                <w:sz w:val="24"/>
              </w:rPr>
              <w:t>。监理人应在收到样品后21天内</w:t>
            </w:r>
            <w:r>
              <w:rPr>
                <w:rFonts w:ascii="宋体" w:hAnsi="宋体"/>
                <w:sz w:val="24"/>
              </w:rPr>
              <w:t>通知承包人他</w:t>
            </w:r>
            <w:r>
              <w:rPr>
                <w:rFonts w:hint="eastAsia" w:ascii="宋体" w:hAnsi="宋体"/>
                <w:sz w:val="24"/>
              </w:rPr>
              <w:t>相关</w:t>
            </w:r>
            <w:r>
              <w:rPr>
                <w:rFonts w:ascii="宋体" w:hAnsi="宋体"/>
                <w:sz w:val="24"/>
              </w:rPr>
              <w:t>样品所做出的决定或指示</w:t>
            </w:r>
            <w:r>
              <w:rPr>
                <w:rFonts w:hint="eastAsia" w:ascii="宋体" w:hAnsi="宋体"/>
                <w:sz w:val="24"/>
              </w:rPr>
              <w:t>（同时抄送一份给发包人）</w:t>
            </w:r>
            <w:r>
              <w:rPr>
                <w:rFonts w:ascii="宋体" w:hAnsi="宋体"/>
                <w:sz w:val="24"/>
              </w:rPr>
              <w:t>。承包人应根据</w:t>
            </w:r>
            <w:r>
              <w:rPr>
                <w:rFonts w:hint="eastAsia" w:ascii="宋体" w:hAnsi="宋体"/>
                <w:sz w:val="24"/>
              </w:rPr>
              <w:t>监理</w:t>
            </w:r>
            <w:r>
              <w:rPr>
                <w:rFonts w:ascii="宋体" w:hAnsi="宋体"/>
                <w:sz w:val="24"/>
              </w:rPr>
              <w:t>人的书面批复和指示相应地进行下一步工作。如果</w:t>
            </w:r>
            <w:r>
              <w:rPr>
                <w:rFonts w:hint="eastAsia" w:ascii="宋体" w:hAnsi="宋体"/>
                <w:sz w:val="24"/>
              </w:rPr>
              <w:t>监理人</w:t>
            </w:r>
            <w:r>
              <w:rPr>
                <w:rFonts w:ascii="宋体" w:hAnsi="宋体"/>
                <w:sz w:val="24"/>
              </w:rPr>
              <w:t>未能在</w:t>
            </w:r>
            <w:r>
              <w:rPr>
                <w:rFonts w:hint="eastAsia" w:ascii="宋体" w:hAnsi="宋体"/>
                <w:sz w:val="24"/>
              </w:rPr>
              <w:t>承包人报送</w:t>
            </w:r>
            <w:r>
              <w:rPr>
                <w:rFonts w:ascii="宋体" w:hAnsi="宋体"/>
                <w:sz w:val="24"/>
              </w:rPr>
              <w:t>样品后</w:t>
            </w:r>
            <w:r>
              <w:rPr>
                <w:rFonts w:hint="eastAsia" w:ascii="宋体" w:hAnsi="宋体"/>
                <w:sz w:val="24"/>
              </w:rPr>
              <w:t>21</w:t>
            </w:r>
            <w:r>
              <w:rPr>
                <w:rFonts w:ascii="宋体" w:hAnsi="宋体"/>
                <w:sz w:val="24"/>
              </w:rPr>
              <w:t>天内给出书面批复，承包人应就此通知监理人</w:t>
            </w:r>
            <w:r>
              <w:rPr>
                <w:rFonts w:hint="eastAsia" w:ascii="宋体" w:hAnsi="宋体"/>
                <w:sz w:val="24"/>
              </w:rPr>
              <w:t>，要求</w:t>
            </w:r>
            <w:r>
              <w:rPr>
                <w:rFonts w:ascii="宋体" w:hAnsi="宋体"/>
                <w:sz w:val="24"/>
              </w:rPr>
              <w:t>尽快批复。如果发包人在收到此类通知后7天内仍未对样品进行批复，则视为</w:t>
            </w:r>
            <w:r>
              <w:rPr>
                <w:rFonts w:hint="eastAsia" w:ascii="宋体" w:hAnsi="宋体"/>
                <w:sz w:val="24"/>
              </w:rPr>
              <w:t>监理</w:t>
            </w:r>
            <w:r>
              <w:rPr>
                <w:rFonts w:ascii="宋体" w:hAnsi="宋体"/>
                <w:sz w:val="24"/>
              </w:rPr>
              <w:t>人</w:t>
            </w:r>
            <w:r>
              <w:rPr>
                <w:rFonts w:hint="eastAsia" w:ascii="宋体" w:hAnsi="宋体"/>
                <w:sz w:val="24"/>
              </w:rPr>
              <w:t>和发包人</w:t>
            </w:r>
            <w:r>
              <w:rPr>
                <w:rFonts w:ascii="宋体" w:hAnsi="宋体"/>
                <w:sz w:val="24"/>
              </w:rPr>
              <w:t>已经批准。</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5</w:t>
            </w:r>
          </w:p>
        </w:tc>
        <w:tc>
          <w:tcPr>
            <w:tcW w:w="7391" w:type="dxa"/>
            <w:noWrap w:val="0"/>
            <w:vAlign w:val="top"/>
          </w:tcPr>
          <w:p>
            <w:pPr>
              <w:spacing w:line="360" w:lineRule="auto"/>
              <w:rPr>
                <w:rFonts w:hint="eastAsia" w:ascii="宋体" w:hAnsi="宋体"/>
                <w:sz w:val="24"/>
              </w:rPr>
            </w:pPr>
            <w:r>
              <w:rPr>
                <w:rFonts w:ascii="宋体" w:hAnsi="宋体"/>
                <w:sz w:val="24"/>
              </w:rPr>
              <w:t>得到批准后的样品由</w:t>
            </w:r>
            <w:r>
              <w:rPr>
                <w:rFonts w:hint="eastAsia" w:ascii="宋体" w:hAnsi="宋体"/>
                <w:sz w:val="24"/>
              </w:rPr>
              <w:t>监理</w:t>
            </w:r>
            <w:r>
              <w:rPr>
                <w:rFonts w:ascii="宋体" w:hAnsi="宋体"/>
                <w:sz w:val="24"/>
              </w:rPr>
              <w:t>人负责存放。但承包人应为保存样品提供适当和固定的场所并保持适当和良好的环境条件。</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6</w:t>
            </w:r>
          </w:p>
        </w:tc>
        <w:tc>
          <w:tcPr>
            <w:tcW w:w="7391" w:type="dxa"/>
            <w:noWrap w:val="0"/>
            <w:vAlign w:val="top"/>
          </w:tcPr>
          <w:p>
            <w:pPr>
              <w:spacing w:line="360" w:lineRule="auto"/>
              <w:rPr>
                <w:rFonts w:hint="eastAsia" w:ascii="宋体" w:hAnsi="宋体"/>
                <w:sz w:val="24"/>
              </w:rPr>
            </w:pPr>
            <w:r>
              <w:rPr>
                <w:rFonts w:ascii="宋体" w:hAnsi="宋体"/>
                <w:sz w:val="24"/>
              </w:rPr>
              <w:t>提供样品和提供存放样品场所的费用由承包人承担。</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23" w:name="_Toc263259817"/>
            <w:r>
              <w:rPr>
                <w:rFonts w:hint="eastAsia" w:ascii="宋体" w:hAnsi="宋体"/>
                <w:b/>
                <w:bCs/>
                <w:sz w:val="24"/>
              </w:rPr>
              <w:t>9</w:t>
            </w:r>
            <w:r>
              <w:rPr>
                <w:rFonts w:ascii="宋体" w:hAnsi="宋体"/>
                <w:b/>
                <w:bCs/>
                <w:sz w:val="24"/>
              </w:rPr>
              <w:t>.</w:t>
            </w:r>
            <w:r>
              <w:rPr>
                <w:rFonts w:hint="eastAsia" w:ascii="宋体" w:hAnsi="宋体"/>
                <w:b/>
                <w:bCs/>
                <w:sz w:val="24"/>
              </w:rPr>
              <w:t>2</w:t>
            </w:r>
            <w:bookmarkEnd w:id="723"/>
          </w:p>
        </w:tc>
        <w:tc>
          <w:tcPr>
            <w:tcW w:w="7391" w:type="dxa"/>
            <w:noWrap w:val="0"/>
            <w:vAlign w:val="top"/>
          </w:tcPr>
          <w:p>
            <w:pPr>
              <w:spacing w:line="360" w:lineRule="auto"/>
              <w:rPr>
                <w:rFonts w:hint="eastAsia" w:ascii="宋体" w:hAnsi="宋体"/>
                <w:b/>
                <w:bCs/>
                <w:sz w:val="24"/>
              </w:rPr>
            </w:pPr>
            <w:bookmarkStart w:id="724" w:name="_Toc263259818"/>
            <w:r>
              <w:rPr>
                <w:rFonts w:hint="eastAsia" w:ascii="宋体" w:hAnsi="宋体"/>
                <w:b/>
                <w:bCs/>
                <w:sz w:val="24"/>
              </w:rPr>
              <w:t>材料代换</w:t>
            </w:r>
            <w:bookmarkEnd w:id="724"/>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1</w:t>
            </w:r>
          </w:p>
        </w:tc>
        <w:tc>
          <w:tcPr>
            <w:tcW w:w="7391" w:type="dxa"/>
            <w:noWrap w:val="0"/>
            <w:vAlign w:val="top"/>
          </w:tcPr>
          <w:p>
            <w:pPr>
              <w:spacing w:line="360" w:lineRule="auto"/>
              <w:rPr>
                <w:rFonts w:hint="eastAsia" w:ascii="宋体" w:hAnsi="宋体"/>
                <w:sz w:val="24"/>
              </w:rPr>
            </w:pPr>
            <w:r>
              <w:rPr>
                <w:rFonts w:hint="eastAsia" w:ascii="宋体" w:hAnsi="宋体"/>
                <w:sz w:val="24"/>
              </w:rPr>
              <w:t>如果任</w:t>
            </w:r>
            <w:r>
              <w:rPr>
                <w:rFonts w:ascii="宋体" w:hAnsi="宋体"/>
                <w:sz w:val="24"/>
              </w:rPr>
              <w:t>何后继</w:t>
            </w:r>
            <w:r>
              <w:rPr>
                <w:rFonts w:hint="eastAsia" w:ascii="宋体" w:hAnsi="宋体"/>
                <w:sz w:val="24"/>
              </w:rPr>
              <w:t>法律、法规、</w:t>
            </w:r>
            <w:r>
              <w:rPr>
                <w:rFonts w:ascii="宋体" w:hAnsi="宋体"/>
                <w:sz w:val="24"/>
              </w:rPr>
              <w:t>规章、</w:t>
            </w:r>
            <w:r>
              <w:rPr>
                <w:rFonts w:hint="eastAsia" w:ascii="宋体" w:hAnsi="宋体"/>
                <w:sz w:val="24"/>
              </w:rPr>
              <w:t>规范、标准和规程等等</w:t>
            </w:r>
            <w:r>
              <w:rPr>
                <w:rFonts w:ascii="宋体" w:hAnsi="宋体"/>
                <w:sz w:val="24"/>
              </w:rPr>
              <w:t>禁止使用合同中约定的材料和工程设备，承包人</w:t>
            </w:r>
            <w:r>
              <w:rPr>
                <w:rFonts w:hint="eastAsia" w:ascii="宋体" w:hAnsi="宋体"/>
                <w:sz w:val="24"/>
              </w:rPr>
              <w:t>应当</w:t>
            </w:r>
            <w:r>
              <w:rPr>
                <w:rFonts w:ascii="宋体" w:hAnsi="宋体"/>
                <w:sz w:val="24"/>
              </w:rPr>
              <w:t>按</w:t>
            </w:r>
            <w:r>
              <w:rPr>
                <w:rFonts w:hint="eastAsia" w:ascii="宋体" w:hAnsi="宋体"/>
                <w:sz w:val="24"/>
              </w:rPr>
              <w:t>本款</w:t>
            </w:r>
            <w:r>
              <w:rPr>
                <w:rFonts w:ascii="宋体" w:hAnsi="宋体"/>
                <w:sz w:val="24"/>
              </w:rPr>
              <w:t>约定的程序使用其他替代品来实施工程或修补缺陷。监理人对使用替代品的批准以及承包人据此使用替代品不应</w:t>
            </w:r>
            <w:r>
              <w:rPr>
                <w:rFonts w:hint="eastAsia" w:ascii="宋体" w:hAnsi="宋体"/>
                <w:sz w:val="24"/>
              </w:rPr>
              <w:t>减免</w:t>
            </w:r>
            <w:r>
              <w:rPr>
                <w:rFonts w:ascii="宋体" w:hAnsi="宋体"/>
                <w:sz w:val="24"/>
              </w:rPr>
              <w:t>合同约定的承包人</w:t>
            </w:r>
            <w:r>
              <w:rPr>
                <w:rFonts w:hint="eastAsia" w:ascii="宋体" w:hAnsi="宋体"/>
                <w:sz w:val="24"/>
              </w:rPr>
              <w:t>的</w:t>
            </w:r>
            <w:r>
              <w:rPr>
                <w:rFonts w:ascii="宋体" w:hAnsi="宋体"/>
                <w:sz w:val="24"/>
              </w:rPr>
              <w:t>任何</w:t>
            </w:r>
            <w:r>
              <w:rPr>
                <w:rFonts w:hint="eastAsia" w:ascii="宋体" w:hAnsi="宋体"/>
                <w:sz w:val="24"/>
              </w:rPr>
              <w:t>责任</w:t>
            </w:r>
            <w:r>
              <w:rPr>
                <w:rFonts w:ascii="宋体" w:hAnsi="宋体"/>
                <w:sz w:val="24"/>
              </w:rPr>
              <w:t>和义务。</w:t>
            </w:r>
          </w:p>
        </w:tc>
      </w:tr>
      <w:tr>
        <w:tblPrEx>
          <w:tblCellMar>
            <w:top w:w="0" w:type="dxa"/>
            <w:left w:w="108" w:type="dxa"/>
            <w:bottom w:w="0" w:type="dxa"/>
            <w:right w:w="108" w:type="dxa"/>
          </w:tblCellMar>
        </w:tblPrEx>
        <w:trPr>
          <w:gridAfter w:val="1"/>
          <w:wAfter w:w="57" w:type="dxa"/>
          <w:trHeight w:val="677" w:hRule="atLeast"/>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ascii="宋体" w:hAnsi="宋体"/>
                <w:sz w:val="24"/>
              </w:rPr>
              <w:t>如果使用替代品，承包人应至少在被</w:t>
            </w:r>
            <w:r>
              <w:rPr>
                <w:rFonts w:hint="eastAsia" w:ascii="宋体" w:hAnsi="宋体"/>
                <w:sz w:val="24"/>
              </w:rPr>
              <w:t>替</w:t>
            </w:r>
            <w:r>
              <w:rPr>
                <w:rFonts w:ascii="宋体" w:hAnsi="宋体"/>
                <w:sz w:val="24"/>
              </w:rPr>
              <w:t>代品按批准的进度计划用于永久工程前56天以书面形式通知监理人并随此通知提交下列文件：</w:t>
            </w:r>
          </w:p>
          <w:p>
            <w:pPr>
              <w:numPr>
                <w:ilvl w:val="0"/>
                <w:numId w:val="25"/>
              </w:numPr>
              <w:spacing w:line="360" w:lineRule="auto"/>
              <w:rPr>
                <w:rFonts w:hint="eastAsia" w:ascii="宋体" w:hAnsi="宋体"/>
                <w:sz w:val="24"/>
              </w:rPr>
            </w:pPr>
            <w:r>
              <w:rPr>
                <w:rFonts w:ascii="宋体" w:hAnsi="宋体"/>
                <w:sz w:val="24"/>
              </w:rPr>
              <w:t>拟被替代的合同约定的材料和工程设备的名称、数量、规格、型号、品牌、性能、价格及其他任何详细资料；</w:t>
            </w:r>
          </w:p>
          <w:p>
            <w:pPr>
              <w:numPr>
                <w:ilvl w:val="0"/>
                <w:numId w:val="25"/>
              </w:numPr>
              <w:spacing w:line="360" w:lineRule="auto"/>
              <w:rPr>
                <w:rFonts w:hint="eastAsia" w:ascii="宋体" w:hAnsi="宋体"/>
                <w:sz w:val="24"/>
              </w:rPr>
            </w:pPr>
            <w:r>
              <w:rPr>
                <w:rFonts w:ascii="宋体" w:hAnsi="宋体"/>
                <w:sz w:val="24"/>
              </w:rPr>
              <w:t>拟采用的替代品的名称、数量、规格、型号、品牌、性能、价格及其他任何必要的详细资料；</w:t>
            </w:r>
          </w:p>
          <w:p>
            <w:pPr>
              <w:numPr>
                <w:ilvl w:val="0"/>
                <w:numId w:val="25"/>
              </w:numPr>
              <w:spacing w:line="360" w:lineRule="auto"/>
              <w:rPr>
                <w:rFonts w:hint="eastAsia" w:ascii="宋体" w:hAnsi="宋体"/>
                <w:sz w:val="24"/>
              </w:rPr>
            </w:pPr>
            <w:r>
              <w:rPr>
                <w:rFonts w:ascii="宋体" w:hAnsi="宋体"/>
                <w:sz w:val="24"/>
              </w:rPr>
              <w:t>替代品使用的工程部位；</w:t>
            </w:r>
          </w:p>
          <w:p>
            <w:pPr>
              <w:numPr>
                <w:ilvl w:val="0"/>
                <w:numId w:val="25"/>
              </w:numPr>
              <w:spacing w:line="360" w:lineRule="auto"/>
              <w:rPr>
                <w:rFonts w:hint="eastAsia" w:ascii="宋体" w:hAnsi="宋体"/>
                <w:sz w:val="24"/>
              </w:rPr>
            </w:pPr>
            <w:r>
              <w:rPr>
                <w:rFonts w:ascii="宋体" w:hAnsi="宋体"/>
                <w:sz w:val="24"/>
              </w:rPr>
              <w:t>采用替代品的理由和原因</w:t>
            </w:r>
            <w:r>
              <w:rPr>
                <w:rFonts w:hint="eastAsia" w:ascii="宋体" w:hAnsi="宋体"/>
                <w:sz w:val="24"/>
              </w:rPr>
              <w:t>说明</w:t>
            </w:r>
            <w:r>
              <w:rPr>
                <w:rFonts w:ascii="宋体" w:hAnsi="宋体"/>
                <w:sz w:val="24"/>
              </w:rPr>
              <w:t>；</w:t>
            </w:r>
          </w:p>
          <w:p>
            <w:pPr>
              <w:numPr>
                <w:ilvl w:val="0"/>
                <w:numId w:val="25"/>
              </w:numPr>
              <w:spacing w:line="360" w:lineRule="auto"/>
              <w:rPr>
                <w:rFonts w:hint="eastAsia" w:ascii="宋体" w:hAnsi="宋体"/>
                <w:sz w:val="24"/>
              </w:rPr>
            </w:pPr>
            <w:r>
              <w:rPr>
                <w:rFonts w:ascii="宋体" w:hAnsi="宋体"/>
                <w:sz w:val="24"/>
              </w:rPr>
              <w:t>替代品与合同中约定的产品之间的差异以及使用替代品后可能对工程产生的任何影响；</w:t>
            </w:r>
          </w:p>
          <w:p>
            <w:pPr>
              <w:numPr>
                <w:ilvl w:val="0"/>
                <w:numId w:val="25"/>
              </w:numPr>
              <w:spacing w:line="360" w:lineRule="auto"/>
              <w:rPr>
                <w:rFonts w:hint="eastAsia" w:ascii="宋体" w:hAnsi="宋体"/>
                <w:sz w:val="24"/>
              </w:rPr>
            </w:pPr>
            <w:r>
              <w:rPr>
                <w:rFonts w:ascii="宋体" w:hAnsi="宋体"/>
                <w:sz w:val="24"/>
              </w:rPr>
              <w:t>价格上</w:t>
            </w:r>
            <w:r>
              <w:rPr>
                <w:rFonts w:hint="eastAsia" w:ascii="宋体" w:hAnsi="宋体"/>
                <w:sz w:val="24"/>
              </w:rPr>
              <w:t>的</w:t>
            </w:r>
            <w:r>
              <w:rPr>
                <w:rFonts w:ascii="宋体" w:hAnsi="宋体"/>
                <w:sz w:val="24"/>
              </w:rPr>
              <w:t>差异；</w:t>
            </w:r>
          </w:p>
          <w:p>
            <w:pPr>
              <w:numPr>
                <w:ilvl w:val="0"/>
                <w:numId w:val="25"/>
              </w:numPr>
              <w:spacing w:line="360" w:lineRule="auto"/>
              <w:rPr>
                <w:rFonts w:hint="eastAsia" w:ascii="宋体" w:hAnsi="宋体"/>
                <w:sz w:val="24"/>
              </w:rPr>
            </w:pPr>
            <w:r>
              <w:rPr>
                <w:rFonts w:ascii="宋体" w:hAnsi="宋体"/>
                <w:sz w:val="24"/>
              </w:rPr>
              <w:t>监理人为做出适当的决定而随时要求承包人提供的任何其他文件。</w:t>
            </w:r>
          </w:p>
          <w:p>
            <w:pPr>
              <w:spacing w:line="360" w:lineRule="auto"/>
              <w:rPr>
                <w:rFonts w:hint="eastAsia" w:ascii="宋体" w:hAnsi="宋体"/>
                <w:sz w:val="24"/>
              </w:rPr>
            </w:pPr>
            <w:r>
              <w:rPr>
                <w:rFonts w:ascii="宋体" w:hAnsi="宋体"/>
                <w:sz w:val="24"/>
              </w:rPr>
              <w:t>监理人在收到此类通知及上述文件后，应在28天内向承包人给出书面指示。如果28天内监理人未给出书面指示，应视为监理人和发包人已经批准使用上述替代品，承包人可以据此使用替代品。</w:t>
            </w:r>
          </w:p>
        </w:tc>
      </w:tr>
      <w:tr>
        <w:tblPrEx>
          <w:tblCellMar>
            <w:top w:w="0" w:type="dxa"/>
            <w:left w:w="108" w:type="dxa"/>
            <w:bottom w:w="0" w:type="dxa"/>
            <w:right w:w="108" w:type="dxa"/>
          </w:tblCellMar>
        </w:tblPrEx>
        <w:trPr>
          <w:gridAfter w:val="1"/>
          <w:wAfter w:w="57" w:type="dxa"/>
          <w:trHeight w:val="269" w:hRule="atLeast"/>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3</w:t>
            </w:r>
          </w:p>
        </w:tc>
        <w:tc>
          <w:tcPr>
            <w:tcW w:w="7391" w:type="dxa"/>
            <w:noWrap w:val="0"/>
            <w:vAlign w:val="top"/>
          </w:tcPr>
          <w:p>
            <w:pPr>
              <w:spacing w:line="360" w:lineRule="auto"/>
              <w:rPr>
                <w:rFonts w:hint="eastAsia" w:ascii="宋体" w:hAnsi="宋体"/>
                <w:sz w:val="24"/>
              </w:rPr>
            </w:pPr>
            <w:r>
              <w:rPr>
                <w:rFonts w:ascii="宋体" w:hAnsi="宋体"/>
                <w:sz w:val="24"/>
              </w:rPr>
              <w:t>任何情况下，替代品都应遵守本合同中对</w:t>
            </w:r>
            <w:r>
              <w:rPr>
                <w:rFonts w:hint="eastAsia" w:ascii="宋体" w:hAnsi="宋体"/>
                <w:sz w:val="24"/>
              </w:rPr>
              <w:t>相关</w:t>
            </w:r>
            <w:r>
              <w:rPr>
                <w:rFonts w:ascii="宋体" w:hAnsi="宋体"/>
                <w:sz w:val="24"/>
              </w:rPr>
              <w:t>材料和工程设备的</w:t>
            </w:r>
            <w:r>
              <w:rPr>
                <w:rFonts w:hint="eastAsia" w:ascii="宋体" w:hAnsi="宋体"/>
                <w:sz w:val="24"/>
              </w:rPr>
              <w:t>要求</w:t>
            </w:r>
            <w:r>
              <w:rPr>
                <w:rFonts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4</w:t>
            </w:r>
          </w:p>
        </w:tc>
        <w:tc>
          <w:tcPr>
            <w:tcW w:w="7391" w:type="dxa"/>
            <w:noWrap w:val="0"/>
            <w:vAlign w:val="top"/>
          </w:tcPr>
          <w:p>
            <w:pPr>
              <w:spacing w:line="360" w:lineRule="auto"/>
              <w:rPr>
                <w:rFonts w:hint="eastAsia" w:ascii="宋体" w:hAnsi="宋体"/>
                <w:sz w:val="24"/>
              </w:rPr>
            </w:pPr>
            <w:r>
              <w:rPr>
                <w:rFonts w:ascii="宋体" w:hAnsi="宋体"/>
                <w:sz w:val="24"/>
              </w:rPr>
              <w:t>如果承包人根据</w:t>
            </w:r>
            <w:r>
              <w:rPr>
                <w:rFonts w:hint="eastAsia" w:ascii="宋体" w:hAnsi="宋体"/>
                <w:sz w:val="24"/>
              </w:rPr>
              <w:t>本条约定</w:t>
            </w:r>
            <w:r>
              <w:rPr>
                <w:rFonts w:ascii="宋体" w:hAnsi="宋体"/>
                <w:sz w:val="24"/>
              </w:rPr>
              <w:t>使用了替代品，</w:t>
            </w:r>
            <w:r>
              <w:rPr>
                <w:rFonts w:hint="eastAsia" w:ascii="宋体" w:hAnsi="宋体"/>
                <w:sz w:val="24"/>
              </w:rPr>
              <w:t>监理人应与承包人适当协商之后并</w:t>
            </w:r>
            <w:r>
              <w:rPr>
                <w:rFonts w:ascii="宋体" w:hAnsi="宋体"/>
                <w:sz w:val="24"/>
              </w:rPr>
              <w:t>在合理的期限内确定替代材料和工程设备与合同中约定的材料和工程设备之间的价值差值，并决定：</w:t>
            </w:r>
          </w:p>
          <w:p>
            <w:pPr>
              <w:numPr>
                <w:ilvl w:val="0"/>
                <w:numId w:val="26"/>
              </w:numPr>
              <w:spacing w:line="360" w:lineRule="auto"/>
              <w:rPr>
                <w:rFonts w:hint="eastAsia" w:ascii="宋体" w:hAnsi="宋体"/>
                <w:sz w:val="24"/>
              </w:rPr>
            </w:pPr>
            <w:r>
              <w:rPr>
                <w:rFonts w:ascii="宋体" w:hAnsi="宋体"/>
                <w:sz w:val="24"/>
              </w:rPr>
              <w:t>如果替代材料和工程设备的价值高于合同中约定的材料和工程设备的价值，则将高出部分的价值追加到合同价格中并相应地通知承包人；</w:t>
            </w:r>
          </w:p>
          <w:p>
            <w:pPr>
              <w:numPr>
                <w:ilvl w:val="0"/>
                <w:numId w:val="26"/>
              </w:numPr>
              <w:spacing w:line="360" w:lineRule="auto"/>
              <w:rPr>
                <w:rFonts w:hint="eastAsia" w:ascii="宋体" w:hAnsi="宋体"/>
                <w:sz w:val="24"/>
              </w:rPr>
            </w:pPr>
            <w:r>
              <w:rPr>
                <w:rFonts w:ascii="宋体" w:hAnsi="宋体"/>
                <w:sz w:val="24"/>
              </w:rPr>
              <w:t>如果替代材料和工程设备的价值低于合同中约定的材料和工程设备的价值，则将节余部分的价值从合同价格中扣除并相应地通知承包人。</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725" w:name="_Toc342296556"/>
            <w:bookmarkStart w:id="726" w:name="_Toc448915686"/>
            <w:bookmarkStart w:id="727" w:name="_Toc241459799"/>
            <w:r>
              <w:rPr>
                <w:rFonts w:hint="eastAsia" w:ascii="宋体" w:hAnsi="宋体"/>
                <w:b/>
                <w:bCs/>
                <w:sz w:val="24"/>
              </w:rPr>
              <w:t>10.进口材料和工程设备</w:t>
            </w:r>
            <w:bookmarkEnd w:id="725"/>
            <w:bookmarkEnd w:id="726"/>
            <w:bookmarkEnd w:id="727"/>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1</w:t>
            </w:r>
          </w:p>
        </w:tc>
        <w:tc>
          <w:tcPr>
            <w:tcW w:w="7391" w:type="dxa"/>
            <w:noWrap w:val="0"/>
            <w:vAlign w:val="top"/>
          </w:tcPr>
          <w:p>
            <w:pPr>
              <w:spacing w:line="360" w:lineRule="auto"/>
              <w:rPr>
                <w:rFonts w:hint="eastAsia" w:ascii="宋体" w:hAnsi="宋体"/>
                <w:sz w:val="24"/>
              </w:rPr>
            </w:pPr>
            <w:r>
              <w:rPr>
                <w:rFonts w:hint="eastAsia" w:ascii="宋体" w:hAnsi="宋体"/>
                <w:sz w:val="24"/>
              </w:rPr>
              <w:t>本工程需要进口的材料和工程设备如下：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2</w:t>
            </w:r>
          </w:p>
        </w:tc>
        <w:tc>
          <w:tcPr>
            <w:tcW w:w="7391" w:type="dxa"/>
            <w:noWrap w:val="0"/>
            <w:vAlign w:val="top"/>
          </w:tcPr>
          <w:p>
            <w:pPr>
              <w:spacing w:line="360" w:lineRule="auto"/>
              <w:rPr>
                <w:rFonts w:hint="eastAsia" w:ascii="宋体" w:hAnsi="宋体"/>
                <w:sz w:val="24"/>
              </w:rPr>
            </w:pPr>
            <w:r>
              <w:rPr>
                <w:rFonts w:hint="eastAsia" w:ascii="宋体" w:hAnsi="宋体"/>
                <w:sz w:val="24"/>
              </w:rPr>
              <w:t>上述进口材料和工程设备</w:t>
            </w:r>
            <w:r>
              <w:rPr>
                <w:rFonts w:ascii="宋体" w:hAnsi="宋体"/>
                <w:sz w:val="24"/>
              </w:rPr>
              <w:t>采购、进口、报关</w:t>
            </w:r>
            <w:r>
              <w:rPr>
                <w:rFonts w:hint="eastAsia" w:ascii="宋体" w:hAnsi="宋体"/>
                <w:sz w:val="24"/>
              </w:rPr>
              <w:t>、</w:t>
            </w:r>
            <w:r>
              <w:rPr>
                <w:rFonts w:ascii="宋体" w:hAnsi="宋体"/>
                <w:sz w:val="24"/>
              </w:rPr>
              <w:t>清关</w:t>
            </w:r>
            <w:r>
              <w:rPr>
                <w:rFonts w:hint="eastAsia" w:ascii="宋体" w:hAnsi="宋体"/>
                <w:sz w:val="24"/>
              </w:rPr>
              <w:t>、商检、境内运输（包括保险）、保管</w:t>
            </w:r>
            <w:r>
              <w:rPr>
                <w:rFonts w:ascii="宋体" w:hAnsi="宋体"/>
                <w:sz w:val="24"/>
              </w:rPr>
              <w:t>的责任</w:t>
            </w:r>
            <w:r>
              <w:rPr>
                <w:rFonts w:hint="eastAsia" w:ascii="宋体" w:hAnsi="宋体"/>
                <w:sz w:val="24"/>
              </w:rPr>
              <w:t>以及费用承担方式</w:t>
            </w:r>
            <w:r>
              <w:rPr>
                <w:rFonts w:ascii="宋体" w:hAnsi="宋体"/>
                <w:sz w:val="24"/>
              </w:rPr>
              <w:t>划分</w:t>
            </w:r>
            <w:r>
              <w:rPr>
                <w:rFonts w:hint="eastAsia" w:ascii="宋体" w:hAnsi="宋体"/>
                <w:sz w:val="24"/>
              </w:rPr>
              <w:t>如下：</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rPr>
          <w:gridAfter w:val="1"/>
          <w:wAfter w:w="57" w:type="dxa"/>
        </w:trPr>
        <w:tc>
          <w:tcPr>
            <w:tcW w:w="8789" w:type="dxa"/>
            <w:gridSpan w:val="2"/>
            <w:noWrap w:val="0"/>
            <w:vAlign w:val="top"/>
          </w:tcPr>
          <w:p>
            <w:pPr>
              <w:spacing w:line="360" w:lineRule="auto"/>
              <w:rPr>
                <w:rFonts w:hint="eastAsia" w:ascii="宋体" w:hAnsi="宋体"/>
                <w:b/>
                <w:bCs/>
                <w:sz w:val="24"/>
              </w:rPr>
            </w:pPr>
            <w:bookmarkStart w:id="728" w:name="_Toc448915687"/>
            <w:bookmarkStart w:id="729" w:name="_Toc342296557"/>
            <w:bookmarkStart w:id="730" w:name="_Toc241459800"/>
            <w:r>
              <w:rPr>
                <w:rFonts w:hint="eastAsia" w:ascii="宋体" w:hAnsi="宋体"/>
                <w:b/>
                <w:bCs/>
                <w:sz w:val="24"/>
              </w:rPr>
              <w:t>11.进度报告和进度例会</w:t>
            </w:r>
            <w:bookmarkEnd w:id="728"/>
            <w:bookmarkEnd w:id="729"/>
            <w:bookmarkEnd w:id="730"/>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b/>
                <w:bCs/>
                <w:sz w:val="24"/>
              </w:rPr>
            </w:pPr>
            <w:bookmarkStart w:id="731" w:name="_Toc263259821"/>
            <w:r>
              <w:rPr>
                <w:rFonts w:hint="eastAsia" w:ascii="宋体" w:hAnsi="宋体"/>
                <w:b/>
                <w:bCs/>
                <w:sz w:val="24"/>
              </w:rPr>
              <w:t>11</w:t>
            </w:r>
            <w:r>
              <w:rPr>
                <w:rFonts w:ascii="宋体" w:hAnsi="宋体"/>
                <w:b/>
                <w:bCs/>
                <w:sz w:val="24"/>
              </w:rPr>
              <w:t>.1</w:t>
            </w:r>
            <w:bookmarkEnd w:id="731"/>
          </w:p>
        </w:tc>
        <w:tc>
          <w:tcPr>
            <w:tcW w:w="7391" w:type="dxa"/>
            <w:noWrap w:val="0"/>
            <w:vAlign w:val="top"/>
          </w:tcPr>
          <w:p>
            <w:pPr>
              <w:spacing w:line="360" w:lineRule="auto"/>
              <w:rPr>
                <w:rFonts w:hint="eastAsia" w:ascii="宋体" w:hAnsi="宋体"/>
                <w:b/>
                <w:bCs/>
                <w:sz w:val="24"/>
              </w:rPr>
            </w:pPr>
            <w:bookmarkStart w:id="732" w:name="_Toc263259822"/>
            <w:r>
              <w:rPr>
                <w:rFonts w:hint="eastAsia" w:ascii="宋体" w:hAnsi="宋体"/>
                <w:b/>
                <w:bCs/>
                <w:sz w:val="24"/>
              </w:rPr>
              <w:t>进度报告</w:t>
            </w:r>
            <w:bookmarkEnd w:id="732"/>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11</w:t>
            </w:r>
            <w:r>
              <w:rPr>
                <w:rFonts w:ascii="宋体" w:hAnsi="宋体"/>
                <w:sz w:val="24"/>
              </w:rPr>
              <w:t>.1</w:t>
            </w:r>
            <w:r>
              <w:rPr>
                <w:rFonts w:hint="eastAsia" w:ascii="宋体" w:hAnsi="宋体"/>
                <w:sz w:val="24"/>
              </w:rPr>
              <w:t>.1</w:t>
            </w:r>
          </w:p>
        </w:tc>
        <w:tc>
          <w:tcPr>
            <w:tcW w:w="7391" w:type="dxa"/>
            <w:noWrap w:val="0"/>
            <w:vAlign w:val="top"/>
          </w:tcPr>
          <w:p>
            <w:pPr>
              <w:spacing w:line="360" w:lineRule="auto"/>
              <w:rPr>
                <w:rFonts w:hint="eastAsia" w:ascii="宋体" w:hAnsi="宋体"/>
                <w:sz w:val="24"/>
              </w:rPr>
            </w:pPr>
            <w:r>
              <w:rPr>
                <w:rFonts w:hint="eastAsia" w:ascii="宋体" w:hAnsi="宋体"/>
                <w:sz w:val="24"/>
              </w:rPr>
              <w:t>施工过程中，</w:t>
            </w:r>
            <w:r>
              <w:rPr>
                <w:rFonts w:ascii="宋体" w:hAnsi="宋体"/>
                <w:sz w:val="24"/>
              </w:rPr>
              <w:t>承包人应向监理人指定的代表呈递一份每日的日进度报表</w:t>
            </w:r>
            <w:r>
              <w:rPr>
                <w:rFonts w:hint="eastAsia" w:ascii="宋体" w:hAnsi="宋体"/>
                <w:sz w:val="24"/>
              </w:rPr>
              <w:t>、</w:t>
            </w:r>
            <w:r>
              <w:rPr>
                <w:rFonts w:ascii="宋体" w:hAnsi="宋体"/>
                <w:sz w:val="24"/>
              </w:rPr>
              <w:t>每周的周进度报表</w:t>
            </w:r>
            <w:r>
              <w:rPr>
                <w:rFonts w:hint="eastAsia" w:ascii="宋体" w:hAnsi="宋体"/>
                <w:sz w:val="24"/>
              </w:rPr>
              <w:t>和每月的月进度报表。</w:t>
            </w:r>
            <w:r>
              <w:rPr>
                <w:rFonts w:ascii="宋体" w:hAnsi="宋体"/>
                <w:sz w:val="24"/>
              </w:rPr>
              <w:t>除非监理人同意，日进度报表应在次日上午九点前递交，周进度报表应在次周的周一上午九时前递交</w:t>
            </w:r>
            <w:r>
              <w:rPr>
                <w:rFonts w:hint="eastAsia" w:ascii="宋体" w:hAnsi="宋体"/>
                <w:sz w:val="24"/>
              </w:rPr>
              <w:t>，月进度报表应随合同条款第17.3.2项约定的进度付款申请单一并递交</w:t>
            </w:r>
            <w:r>
              <w:rPr>
                <w:rFonts w:ascii="宋体" w:hAnsi="宋体"/>
                <w:sz w:val="24"/>
              </w:rPr>
              <w:t>。</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2</w:t>
            </w:r>
          </w:p>
        </w:tc>
        <w:tc>
          <w:tcPr>
            <w:tcW w:w="7391" w:type="dxa"/>
            <w:noWrap w:val="0"/>
            <w:vAlign w:val="top"/>
          </w:tcPr>
          <w:p>
            <w:pPr>
              <w:spacing w:line="360" w:lineRule="auto"/>
              <w:rPr>
                <w:rFonts w:hint="eastAsia" w:ascii="宋体" w:hAnsi="宋体"/>
                <w:sz w:val="24"/>
              </w:rPr>
            </w:pPr>
            <w:r>
              <w:rPr>
                <w:rFonts w:ascii="宋体" w:hAnsi="宋体"/>
                <w:sz w:val="24"/>
              </w:rPr>
              <w:t>日</w:t>
            </w:r>
            <w:r>
              <w:rPr>
                <w:rFonts w:hint="eastAsia" w:ascii="宋体" w:hAnsi="宋体"/>
                <w:sz w:val="24"/>
              </w:rPr>
              <w:t>和</w:t>
            </w:r>
            <w:r>
              <w:rPr>
                <w:rFonts w:ascii="宋体" w:hAnsi="宋体"/>
                <w:sz w:val="24"/>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Pr>
                <w:rFonts w:hint="eastAsia" w:ascii="宋体" w:hAnsi="宋体"/>
                <w:sz w:val="24"/>
              </w:rPr>
              <w:t>以及</w:t>
            </w:r>
            <w:r>
              <w:rPr>
                <w:rFonts w:ascii="宋体" w:hAnsi="宋体"/>
                <w:sz w:val="24"/>
              </w:rPr>
              <w:t>工程进度情况、天气情况记录、停工、</w:t>
            </w:r>
            <w:r>
              <w:rPr>
                <w:rFonts w:hint="eastAsia" w:ascii="宋体" w:hAnsi="宋体"/>
                <w:sz w:val="24"/>
              </w:rPr>
              <w:t>质量和安全</w:t>
            </w:r>
            <w:r>
              <w:rPr>
                <w:rFonts w:ascii="宋体" w:hAnsi="宋体"/>
                <w:sz w:val="24"/>
              </w:rPr>
              <w:t>事故等特别事项说明；此外，应附上每日进场材料、物品或设备的分类汇总表、用于次日</w:t>
            </w:r>
            <w:r>
              <w:rPr>
                <w:rFonts w:hint="eastAsia" w:ascii="宋体" w:hAnsi="宋体"/>
                <w:sz w:val="24"/>
              </w:rPr>
              <w:t>或</w:t>
            </w:r>
            <w:r>
              <w:rPr>
                <w:rFonts w:ascii="宋体" w:hAnsi="宋体"/>
                <w:sz w:val="24"/>
              </w:rPr>
              <w:t>次周的工程进度计划等。</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3</w:t>
            </w:r>
          </w:p>
        </w:tc>
        <w:tc>
          <w:tcPr>
            <w:tcW w:w="7391" w:type="dxa"/>
            <w:noWrap w:val="0"/>
            <w:vAlign w:val="top"/>
          </w:tcPr>
          <w:p>
            <w:pPr>
              <w:spacing w:line="360" w:lineRule="auto"/>
              <w:rPr>
                <w:rFonts w:hint="eastAsia" w:ascii="宋体" w:hAnsi="宋体"/>
                <w:sz w:val="24"/>
              </w:rPr>
            </w:pPr>
            <w:r>
              <w:rPr>
                <w:rFonts w:hint="eastAsia" w:ascii="宋体" w:hAnsi="宋体"/>
                <w:sz w:val="24"/>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hint="eastAsia" w:ascii="宋体" w:hAnsi="宋体"/>
                <w:sz w:val="24"/>
              </w:rPr>
              <w:t>11.1.4</w:t>
            </w:r>
          </w:p>
        </w:tc>
        <w:tc>
          <w:tcPr>
            <w:tcW w:w="7391" w:type="dxa"/>
            <w:noWrap w:val="0"/>
            <w:vAlign w:val="top"/>
          </w:tcPr>
          <w:p>
            <w:pPr>
              <w:spacing w:line="360" w:lineRule="auto"/>
              <w:rPr>
                <w:rFonts w:hint="eastAsia" w:ascii="宋体" w:hAnsi="宋体"/>
                <w:sz w:val="24"/>
              </w:rPr>
            </w:pPr>
            <w:r>
              <w:rPr>
                <w:rFonts w:hint="eastAsia" w:ascii="宋体" w:hAnsi="宋体"/>
                <w:sz w:val="24"/>
              </w:rPr>
              <w:t>月进度报告还应附有一组充分显示工程形象进度的定点摄影照片。照片应当</w:t>
            </w:r>
            <w:r>
              <w:rPr>
                <w:rFonts w:ascii="宋体" w:hAnsi="宋体"/>
                <w:sz w:val="24"/>
              </w:rPr>
              <w:t>在经监理人批准的不同位置定期拍摄，每张照片都应标上相应的拍摄日期和简要文字说明</w:t>
            </w:r>
            <w:r>
              <w:rPr>
                <w:rFonts w:hint="eastAsia" w:ascii="宋体" w:hAnsi="宋体"/>
                <w:sz w:val="24"/>
              </w:rPr>
              <w:t>，</w:t>
            </w:r>
            <w:r>
              <w:rPr>
                <w:rFonts w:ascii="宋体" w:hAnsi="宋体"/>
                <w:sz w:val="24"/>
              </w:rPr>
              <w:t>且应用经发包人和监理人批准的标准或格式装裱后呈交。</w:t>
            </w:r>
          </w:p>
        </w:tc>
      </w:tr>
      <w:tr>
        <w:tblPrEx>
          <w:tblCellMar>
            <w:top w:w="0" w:type="dxa"/>
            <w:left w:w="108" w:type="dxa"/>
            <w:bottom w:w="0" w:type="dxa"/>
            <w:right w:w="108" w:type="dxa"/>
          </w:tblCellMar>
        </w:tblPrEx>
        <w:trPr>
          <w:gridAfter w:val="1"/>
          <w:wAfter w:w="57" w:type="dxa"/>
        </w:trPr>
        <w:tc>
          <w:tcPr>
            <w:tcW w:w="1398" w:type="dxa"/>
            <w:noWrap w:val="0"/>
            <w:vAlign w:val="top"/>
          </w:tcPr>
          <w:p>
            <w:pPr>
              <w:spacing w:line="36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5</w:t>
            </w:r>
          </w:p>
        </w:tc>
        <w:tc>
          <w:tcPr>
            <w:tcW w:w="7391" w:type="dxa"/>
            <w:noWrap w:val="0"/>
            <w:vAlign w:val="top"/>
          </w:tcPr>
          <w:p>
            <w:pPr>
              <w:spacing w:line="360" w:lineRule="auto"/>
              <w:rPr>
                <w:rFonts w:hint="eastAsia" w:ascii="宋体" w:hAnsi="宋体"/>
                <w:sz w:val="24"/>
              </w:rPr>
            </w:pPr>
            <w:r>
              <w:rPr>
                <w:rFonts w:hint="eastAsia" w:ascii="宋体" w:hAnsi="宋体"/>
                <w:sz w:val="24"/>
              </w:rPr>
              <w:t>各个</w:t>
            </w:r>
            <w:r>
              <w:rPr>
                <w:rFonts w:ascii="宋体" w:hAnsi="宋体"/>
                <w:sz w:val="24"/>
              </w:rPr>
              <w:t>进度报表的格式和内容应经过监理人的审批。进度报表应如实填写，由承包人授权代表签名，并报监理人的指定代表签名确认后再行分发。</w:t>
            </w:r>
          </w:p>
        </w:tc>
      </w:tr>
      <w:tr>
        <w:tblPrEx>
          <w:tblCellMar>
            <w:top w:w="0" w:type="dxa"/>
            <w:left w:w="108" w:type="dxa"/>
            <w:bottom w:w="0" w:type="dxa"/>
            <w:right w:w="108" w:type="dxa"/>
          </w:tblCellMar>
        </w:tblPrEx>
        <w:trPr>
          <w:trHeight w:val="7797" w:hRule="atLeast"/>
        </w:trPr>
        <w:tc>
          <w:tcPr>
            <w:tcW w:w="8846" w:type="dxa"/>
            <w:gridSpan w:val="3"/>
            <w:noWrap w:val="0"/>
            <w:vAlign w:val="top"/>
          </w:tcPr>
          <w:p>
            <w:pPr>
              <w:rPr>
                <w:rFonts w:hint="eastAsia" w:ascii="宋体" w:hAnsi="宋体"/>
                <w:sz w:val="24"/>
              </w:rPr>
            </w:pPr>
          </w:p>
          <w:tbl>
            <w:tblPr>
              <w:tblStyle w:val="61"/>
              <w:tblW w:w="0" w:type="auto"/>
              <w:tblInd w:w="108" w:type="dxa"/>
              <w:tblLayout w:type="fixed"/>
              <w:tblCellMar>
                <w:top w:w="0" w:type="dxa"/>
                <w:left w:w="108" w:type="dxa"/>
                <w:bottom w:w="0" w:type="dxa"/>
                <w:right w:w="108" w:type="dxa"/>
              </w:tblCellMar>
            </w:tblPr>
            <w:tblGrid>
              <w:gridCol w:w="993"/>
              <w:gridCol w:w="7580"/>
            </w:tblGrid>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bookmarkStart w:id="733" w:name="_Toc448915694"/>
                  <w:bookmarkStart w:id="734" w:name="_Toc241459805"/>
                  <w:bookmarkStart w:id="735" w:name="_Toc342296562"/>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6</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如果监理人认为必要，</w:t>
                  </w:r>
                  <w:r>
                    <w:rPr>
                      <w:rFonts w:ascii="宋体" w:hAnsi="宋体"/>
                      <w:sz w:val="24"/>
                    </w:rPr>
                    <w:t>进度报告和进度照片应同时以存储在磁盘或光盘中的数据文件的形式递交给发包人和监理人。数据文件采用的应用软件及其版本应经过监理人的审批。</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1.</w:t>
                  </w:r>
                  <w:r>
                    <w:rPr>
                      <w:rFonts w:ascii="宋体" w:hAnsi="宋体"/>
                      <w:sz w:val="24"/>
                    </w:rPr>
                    <w:t>7</w:t>
                  </w:r>
                </w:p>
              </w:tc>
              <w:tc>
                <w:tcPr>
                  <w:tcW w:w="7580" w:type="dxa"/>
                  <w:noWrap w:val="0"/>
                  <w:vAlign w:val="top"/>
                </w:tcPr>
                <w:p>
                  <w:pPr>
                    <w:spacing w:after="120" w:afterLines="50" w:line="300" w:lineRule="auto"/>
                    <w:rPr>
                      <w:rFonts w:hint="eastAsia" w:ascii="宋体" w:hAnsi="宋体"/>
                      <w:sz w:val="24"/>
                    </w:rPr>
                  </w:pPr>
                  <w:bookmarkStart w:id="736" w:name="_Toc448915688"/>
                  <w:bookmarkStart w:id="737" w:name="_Toc448914596"/>
                  <w:r>
                    <w:rPr>
                      <w:rFonts w:hint="eastAsia" w:ascii="宋体" w:hAnsi="宋体"/>
                      <w:sz w:val="24"/>
                    </w:rPr>
                    <w:t>有关进度报告的其他要求：</w:t>
                  </w:r>
                  <w:bookmarkEnd w:id="736"/>
                  <w:bookmarkEnd w:id="737"/>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c>
                <w:tcPr>
                  <w:tcW w:w="993" w:type="dxa"/>
                  <w:noWrap w:val="0"/>
                  <w:vAlign w:val="top"/>
                </w:tcPr>
                <w:p>
                  <w:pPr>
                    <w:spacing w:after="120" w:afterLines="50" w:line="300" w:lineRule="auto"/>
                    <w:outlineLvl w:val="3"/>
                    <w:rPr>
                      <w:rFonts w:hint="eastAsia" w:ascii="宋体" w:hAnsi="宋体"/>
                      <w:b/>
                      <w:bCs/>
                      <w:sz w:val="24"/>
                    </w:rPr>
                  </w:pPr>
                  <w:bookmarkStart w:id="738" w:name="_Toc263259823"/>
                  <w:r>
                    <w:rPr>
                      <w:rFonts w:ascii="宋体" w:hAnsi="宋体"/>
                      <w:b/>
                      <w:bCs/>
                      <w:sz w:val="24"/>
                    </w:rPr>
                    <w:t>1</w:t>
                  </w:r>
                  <w:r>
                    <w:rPr>
                      <w:rFonts w:hint="eastAsia" w:ascii="宋体" w:hAnsi="宋体"/>
                      <w:b/>
                      <w:bCs/>
                      <w:sz w:val="24"/>
                    </w:rPr>
                    <w:t>1</w:t>
                  </w:r>
                  <w:r>
                    <w:rPr>
                      <w:rFonts w:ascii="宋体" w:hAnsi="宋体"/>
                      <w:b/>
                      <w:bCs/>
                      <w:sz w:val="24"/>
                    </w:rPr>
                    <w:t>.</w:t>
                  </w:r>
                  <w:r>
                    <w:rPr>
                      <w:rFonts w:hint="eastAsia" w:ascii="宋体" w:hAnsi="宋体"/>
                      <w:b/>
                      <w:bCs/>
                      <w:sz w:val="24"/>
                    </w:rPr>
                    <w:t>2</w:t>
                  </w:r>
                  <w:bookmarkEnd w:id="738"/>
                </w:p>
              </w:tc>
              <w:tc>
                <w:tcPr>
                  <w:tcW w:w="7580" w:type="dxa"/>
                  <w:noWrap w:val="0"/>
                  <w:vAlign w:val="top"/>
                </w:tcPr>
                <w:p>
                  <w:pPr>
                    <w:spacing w:after="120" w:afterLines="50" w:line="300" w:lineRule="auto"/>
                    <w:outlineLvl w:val="3"/>
                    <w:rPr>
                      <w:rFonts w:hint="eastAsia" w:ascii="宋体" w:hAnsi="宋体"/>
                      <w:b/>
                      <w:bCs/>
                      <w:sz w:val="24"/>
                    </w:rPr>
                  </w:pPr>
                  <w:bookmarkStart w:id="739" w:name="_Toc263259824"/>
                  <w:r>
                    <w:rPr>
                      <w:rFonts w:hint="eastAsia" w:ascii="宋体" w:hAnsi="宋体"/>
                      <w:b/>
                      <w:bCs/>
                      <w:sz w:val="24"/>
                    </w:rPr>
                    <w:t>进度例会</w:t>
                  </w:r>
                  <w:bookmarkEnd w:id="739"/>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进度例会的内容将涉及合同管理、进度协调和工程管理的各个方面，由监理人准备的会议议题将随会议通知在会议召开前至少24小时发给各参会方</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3</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4</w:t>
                  </w:r>
                </w:p>
              </w:tc>
              <w:tc>
                <w:tcPr>
                  <w:tcW w:w="7580" w:type="dxa"/>
                  <w:noWrap w:val="0"/>
                  <w:vAlign w:val="top"/>
                </w:tcPr>
                <w:p>
                  <w:pPr>
                    <w:spacing w:after="120" w:afterLines="50" w:line="300" w:lineRule="auto"/>
                    <w:rPr>
                      <w:rFonts w:hint="eastAsia" w:ascii="宋体" w:hAnsi="宋体"/>
                      <w:sz w:val="24"/>
                    </w:rPr>
                  </w:pPr>
                  <w:bookmarkStart w:id="740" w:name="_Toc448914597"/>
                  <w:bookmarkStart w:id="741" w:name="_Toc448915689"/>
                  <w:r>
                    <w:rPr>
                      <w:rFonts w:hint="eastAsia" w:ascii="宋体" w:hAnsi="宋体"/>
                      <w:sz w:val="24"/>
                    </w:rPr>
                    <w:t>有关进度例会的其他要求：</w:t>
                  </w:r>
                  <w:bookmarkEnd w:id="740"/>
                  <w:bookmarkEnd w:id="741"/>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c>
                <w:tcPr>
                  <w:tcW w:w="8573" w:type="dxa"/>
                  <w:gridSpan w:val="2"/>
                  <w:noWrap w:val="0"/>
                  <w:vAlign w:val="top"/>
                </w:tcPr>
                <w:p>
                  <w:pPr>
                    <w:keepNext/>
                    <w:keepLines/>
                    <w:spacing w:before="260" w:after="260" w:line="416" w:lineRule="auto"/>
                    <w:outlineLvl w:val="2"/>
                    <w:rPr>
                      <w:rFonts w:hint="eastAsia" w:ascii="宋体" w:hAnsi="宋体"/>
                      <w:b/>
                      <w:bCs/>
                      <w:sz w:val="24"/>
                    </w:rPr>
                  </w:pPr>
                  <w:bookmarkStart w:id="742" w:name="_Toc342296558"/>
                  <w:bookmarkStart w:id="743" w:name="_Toc97744708"/>
                  <w:bookmarkStart w:id="744" w:name="_Toc448915690"/>
                  <w:bookmarkStart w:id="745" w:name="_Toc241459801"/>
                  <w:bookmarkStart w:id="746" w:name="_Toc26471960"/>
                  <w:bookmarkStart w:id="747" w:name="_Toc27414234"/>
                  <w:r>
                    <w:rPr>
                      <w:rFonts w:hint="eastAsia" w:ascii="宋体" w:hAnsi="宋体"/>
                      <w:b/>
                      <w:bCs/>
                      <w:sz w:val="24"/>
                    </w:rPr>
                    <w:t>12.试验和检验</w:t>
                  </w:r>
                  <w:bookmarkEnd w:id="742"/>
                  <w:bookmarkEnd w:id="743"/>
                  <w:bookmarkEnd w:id="744"/>
                  <w:bookmarkEnd w:id="745"/>
                  <w:bookmarkEnd w:id="746"/>
                  <w:bookmarkEnd w:id="747"/>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b/>
                      <w:bCs/>
                      <w:sz w:val="24"/>
                    </w:rPr>
                  </w:pPr>
                  <w:r>
                    <w:rPr>
                      <w:rFonts w:ascii="宋体" w:hAnsi="宋体"/>
                      <w:sz w:val="24"/>
                    </w:rPr>
                    <w:t>1</w:t>
                  </w:r>
                  <w:r>
                    <w:rPr>
                      <w:rFonts w:hint="eastAsia" w:ascii="宋体" w:hAnsi="宋体"/>
                      <w:sz w:val="24"/>
                    </w:rPr>
                    <w:t>2</w:t>
                  </w:r>
                  <w:r>
                    <w:rPr>
                      <w:rFonts w:ascii="宋体" w:hAnsi="宋体"/>
                      <w:sz w:val="24"/>
                    </w:rPr>
                    <w:t>.1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承包人应当按照工程施工验收规范和标准的规定和通用合同条款第14条的约定，对用于永久工程的主要材料、半成品、成品、建筑构配件、工程设备等进行试验和检验。</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12.2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本工程需要承包人进行试验和检验的材料、工程设备和工艺如下：</w:t>
                  </w:r>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p>
                  <w:pPr>
                    <w:rPr>
                      <w:rFonts w:hint="eastAsia" w:ascii="宋体" w:hAnsi="宋体"/>
                      <w:sz w:val="24"/>
                    </w:rPr>
                  </w:pPr>
                  <w:r>
                    <w:rPr>
                      <w:rFonts w:hint="eastAsia" w:ascii="宋体" w:hAnsi="宋体"/>
                      <w:sz w:val="24"/>
                    </w:rPr>
                    <w:t>监理人可以根据工程需要，指示承包人进行其他现场材料和工艺的试验和检验。</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.3</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本工程需要由监理人和承包人共同进行试验和检验的材料、工程设备和工艺如下：</w:t>
                  </w:r>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.4</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本条上述</w:t>
                  </w:r>
                  <w:r>
                    <w:rPr>
                      <w:rFonts w:ascii="宋体" w:hAnsi="宋体"/>
                      <w:sz w:val="24"/>
                    </w:rPr>
                    <w:t>约定</w:t>
                  </w:r>
                  <w:r>
                    <w:rPr>
                      <w:rFonts w:hint="eastAsia" w:ascii="宋体" w:hAnsi="宋体"/>
                      <w:sz w:val="24"/>
                    </w:rPr>
                    <w:t>需要</w:t>
                  </w:r>
                  <w:r>
                    <w:rPr>
                      <w:rFonts w:ascii="宋体" w:hAnsi="宋体"/>
                      <w:sz w:val="24"/>
                    </w:rPr>
                    <w:t>进行检验的材料</w:t>
                  </w:r>
                  <w:r>
                    <w:rPr>
                      <w:rFonts w:hint="eastAsia" w:ascii="宋体" w:hAnsi="宋体"/>
                      <w:sz w:val="24"/>
                    </w:rPr>
                    <w:t>、</w:t>
                  </w:r>
                  <w:r>
                    <w:rPr>
                      <w:rFonts w:ascii="宋体" w:hAnsi="宋体"/>
                      <w:sz w:val="24"/>
                    </w:rPr>
                    <w:t>工程设备</w:t>
                  </w:r>
                  <w:r>
                    <w:rPr>
                      <w:rFonts w:hint="eastAsia" w:ascii="宋体" w:hAnsi="宋体"/>
                      <w:sz w:val="24"/>
                    </w:rPr>
                    <w:t>和工艺</w:t>
                  </w:r>
                  <w:r>
                    <w:rPr>
                      <w:rFonts w:ascii="宋体" w:hAnsi="宋体"/>
                      <w:sz w:val="24"/>
                    </w:rPr>
                    <w:t>在经过检验并获得监理人批准以前，不得用于任何永久工程。</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5</w:t>
                  </w:r>
                </w:p>
              </w:tc>
              <w:tc>
                <w:tcPr>
                  <w:tcW w:w="7580" w:type="dxa"/>
                  <w:noWrap w:val="0"/>
                  <w:vAlign w:val="top"/>
                </w:tcPr>
                <w:p>
                  <w:pPr>
                    <w:spacing w:after="120" w:afterLines="50" w:line="300" w:lineRule="auto"/>
                    <w:rPr>
                      <w:rFonts w:hint="eastAsia" w:ascii="宋体" w:hAnsi="宋体"/>
                      <w:sz w:val="24"/>
                    </w:rPr>
                  </w:pPr>
                  <w:r>
                    <w:rPr>
                      <w:rFonts w:ascii="宋体" w:hAnsi="宋体"/>
                      <w:sz w:val="24"/>
                    </w:rPr>
                    <w:t>承包人应为任何材料</w:t>
                  </w:r>
                  <w:r>
                    <w:rPr>
                      <w:rFonts w:hint="eastAsia" w:ascii="宋体" w:hAnsi="宋体"/>
                      <w:sz w:val="24"/>
                    </w:rPr>
                    <w:t>、</w:t>
                  </w:r>
                  <w:r>
                    <w:rPr>
                      <w:rFonts w:ascii="宋体" w:hAnsi="宋体"/>
                      <w:sz w:val="24"/>
                    </w:rPr>
                    <w:t>工程设备</w:t>
                  </w:r>
                  <w:r>
                    <w:rPr>
                      <w:rFonts w:hint="eastAsia" w:ascii="宋体" w:hAnsi="宋体"/>
                      <w:sz w:val="24"/>
                    </w:rPr>
                    <w:t>和工艺</w:t>
                  </w:r>
                  <w:r>
                    <w:rPr>
                      <w:rFonts w:ascii="宋体" w:hAnsi="宋体"/>
                      <w:sz w:val="24"/>
                    </w:rPr>
                    <w:t>的检查、检测和检验提供劳务、电力、燃料、备用品、</w:t>
                  </w:r>
                  <w:r>
                    <w:rPr>
                      <w:rFonts w:hint="eastAsia" w:ascii="宋体" w:hAnsi="宋体"/>
                      <w:sz w:val="24"/>
                    </w:rPr>
                    <w:t>设备和</w:t>
                  </w:r>
                  <w:r>
                    <w:rPr>
                      <w:rFonts w:ascii="宋体" w:hAnsi="宋体"/>
                      <w:sz w:val="24"/>
                    </w:rPr>
                    <w:t>仪器</w:t>
                  </w:r>
                  <w:r>
                    <w:rPr>
                      <w:rFonts w:hint="eastAsia" w:ascii="宋体" w:hAnsi="宋体"/>
                      <w:sz w:val="24"/>
                    </w:rPr>
                    <w:t>以</w:t>
                  </w:r>
                  <w:r>
                    <w:rPr>
                      <w:rFonts w:ascii="宋体" w:hAnsi="宋体"/>
                      <w:sz w:val="24"/>
                    </w:rPr>
                    <w:t>及必要的协助。监理人及</w:t>
                  </w:r>
                  <w:r>
                    <w:rPr>
                      <w:rFonts w:hint="eastAsia" w:ascii="宋体" w:hAnsi="宋体"/>
                      <w:sz w:val="24"/>
                    </w:rPr>
                    <w:t>其</w:t>
                  </w:r>
                  <w:r>
                    <w:rPr>
                      <w:rFonts w:ascii="宋体" w:hAnsi="宋体"/>
                      <w:sz w:val="24"/>
                    </w:rPr>
                    <w:t>任何授权人员应能够在任何时候进入现场及正在为工程制造、装配、准备材料</w:t>
                  </w:r>
                  <w:r>
                    <w:rPr>
                      <w:rFonts w:hint="eastAsia" w:ascii="宋体" w:hAnsi="宋体"/>
                      <w:sz w:val="24"/>
                    </w:rPr>
                    <w:t>和（</w:t>
                  </w:r>
                  <w:r>
                    <w:rPr>
                      <w:rFonts w:ascii="宋体" w:hAnsi="宋体"/>
                      <w:sz w:val="24"/>
                    </w:rPr>
                    <w:t>或</w:t>
                  </w:r>
                  <w:r>
                    <w:rPr>
                      <w:rFonts w:hint="eastAsia" w:ascii="宋体" w:hAnsi="宋体"/>
                      <w:sz w:val="24"/>
                    </w:rPr>
                    <w:t>）</w:t>
                  </w:r>
                  <w:r>
                    <w:rPr>
                      <w:rFonts w:ascii="宋体" w:hAnsi="宋体"/>
                      <w:sz w:val="24"/>
                    </w:rPr>
                    <w:t>工程设备的车间和场所进行任何必要的检查。无论这些车间和场所是否属于承包人，承包人都应提供一切便利，并协助其取得相应的权力</w:t>
                  </w:r>
                  <w:r>
                    <w:rPr>
                      <w:rFonts w:hint="eastAsia" w:ascii="宋体" w:hAnsi="宋体"/>
                      <w:sz w:val="24"/>
                    </w:rPr>
                    <w:t>和（</w:t>
                  </w:r>
                  <w:r>
                    <w:rPr>
                      <w:rFonts w:ascii="宋体" w:hAnsi="宋体"/>
                      <w:sz w:val="24"/>
                    </w:rPr>
                    <w:t>或</w:t>
                  </w:r>
                  <w:r>
                    <w:rPr>
                      <w:rFonts w:hint="eastAsia" w:ascii="宋体" w:hAnsi="宋体"/>
                      <w:sz w:val="24"/>
                    </w:rPr>
                    <w:t>）</w:t>
                  </w:r>
                  <w:r>
                    <w:rPr>
                      <w:rFonts w:ascii="宋体" w:hAnsi="宋体"/>
                      <w:sz w:val="24"/>
                    </w:rPr>
                    <w:t>许可。</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6</w:t>
                  </w:r>
                </w:p>
              </w:tc>
              <w:tc>
                <w:tcPr>
                  <w:tcW w:w="7580" w:type="dxa"/>
                  <w:noWrap w:val="0"/>
                  <w:vAlign w:val="top"/>
                </w:tcPr>
                <w:p>
                  <w:pPr>
                    <w:spacing w:after="120" w:afterLines="50" w:line="300" w:lineRule="auto"/>
                    <w:rPr>
                      <w:rFonts w:hint="eastAsia" w:ascii="宋体" w:hAnsi="宋体"/>
                      <w:sz w:val="24"/>
                    </w:rPr>
                  </w:pPr>
                  <w:r>
                    <w:rPr>
                      <w:rFonts w:ascii="宋体" w:hAnsi="宋体"/>
                      <w:sz w:val="24"/>
                    </w:rPr>
                    <w:t>如果检查、检测、检验或试验的结果表明，材料</w:t>
                  </w:r>
                  <w:r>
                    <w:rPr>
                      <w:rFonts w:hint="eastAsia" w:ascii="宋体" w:hAnsi="宋体"/>
                      <w:sz w:val="24"/>
                    </w:rPr>
                    <w:t>、</w:t>
                  </w:r>
                  <w:r>
                    <w:rPr>
                      <w:rFonts w:ascii="宋体" w:hAnsi="宋体"/>
                      <w:sz w:val="24"/>
                    </w:rPr>
                    <w:t>工程设备</w:t>
                  </w:r>
                  <w:r>
                    <w:rPr>
                      <w:rFonts w:hint="eastAsia" w:ascii="宋体" w:hAnsi="宋体"/>
                      <w:sz w:val="24"/>
                    </w:rPr>
                    <w:t>和工艺</w:t>
                  </w:r>
                  <w:r>
                    <w:rPr>
                      <w:rFonts w:ascii="宋体" w:hAnsi="宋体"/>
                      <w:sz w:val="24"/>
                    </w:rPr>
                    <w:t>有缺陷或不符合合同约定，监理人</w:t>
                  </w:r>
                  <w:r>
                    <w:rPr>
                      <w:rFonts w:hint="eastAsia" w:ascii="宋体" w:hAnsi="宋体"/>
                      <w:sz w:val="24"/>
                    </w:rPr>
                    <w:t>和</w:t>
                  </w:r>
                  <w:r>
                    <w:rPr>
                      <w:rFonts w:ascii="宋体" w:hAnsi="宋体"/>
                      <w:sz w:val="24"/>
                    </w:rPr>
                    <w:t>发包人可拒收此类材料</w:t>
                  </w:r>
                  <w:r>
                    <w:rPr>
                      <w:rFonts w:hint="eastAsia" w:ascii="宋体" w:hAnsi="宋体"/>
                      <w:sz w:val="24"/>
                    </w:rPr>
                    <w:t>、</w:t>
                  </w:r>
                  <w:r>
                    <w:rPr>
                      <w:rFonts w:ascii="宋体" w:hAnsi="宋体"/>
                      <w:sz w:val="24"/>
                    </w:rPr>
                    <w:t>工程设备</w:t>
                  </w:r>
                  <w:r>
                    <w:rPr>
                      <w:rFonts w:hint="eastAsia" w:ascii="宋体" w:hAnsi="宋体"/>
                      <w:sz w:val="24"/>
                    </w:rPr>
                    <w:t>和工艺</w:t>
                  </w:r>
                  <w:r>
                    <w:rPr>
                      <w:rFonts w:ascii="宋体" w:hAnsi="宋体"/>
                      <w:sz w:val="24"/>
                    </w:rPr>
                    <w:t>，并应立即通知承包人同时说明理由。承包人应立即修复上述缺陷并保证其符合合同约定。若监理人或发包人要求对此类工程设备、材料、设计或工艺</w:t>
                  </w:r>
                  <w:r>
                    <w:rPr>
                      <w:rFonts w:hint="eastAsia" w:ascii="宋体" w:hAnsi="宋体"/>
                      <w:sz w:val="24"/>
                    </w:rPr>
                    <w:t>重新</w:t>
                  </w:r>
                  <w:r>
                    <w:rPr>
                      <w:rFonts w:ascii="宋体" w:hAnsi="宋体"/>
                      <w:sz w:val="24"/>
                    </w:rPr>
                    <w:t>进行检验，则此类检验应按相同条款和条件重新进行。如果此类拒收和</w:t>
                  </w:r>
                  <w:r>
                    <w:rPr>
                      <w:rFonts w:hint="eastAsia" w:ascii="宋体" w:hAnsi="宋体"/>
                      <w:sz w:val="24"/>
                    </w:rPr>
                    <w:t>重新</w:t>
                  </w:r>
                  <w:r>
                    <w:rPr>
                      <w:rFonts w:ascii="宋体" w:hAnsi="宋体"/>
                      <w:sz w:val="24"/>
                    </w:rPr>
                    <w:t>检验致使发包人产生了</w:t>
                  </w:r>
                  <w:r>
                    <w:rPr>
                      <w:rFonts w:hint="eastAsia" w:ascii="宋体" w:hAnsi="宋体"/>
                      <w:sz w:val="24"/>
                    </w:rPr>
                    <w:t>额外</w:t>
                  </w:r>
                  <w:r>
                    <w:rPr>
                      <w:rFonts w:ascii="宋体" w:hAnsi="宋体"/>
                      <w:sz w:val="24"/>
                    </w:rPr>
                    <w:t>费用，则此类费用应由承包人支付给发包人，或从</w:t>
                  </w:r>
                  <w:r>
                    <w:rPr>
                      <w:rFonts w:hint="eastAsia" w:ascii="宋体" w:hAnsi="宋体"/>
                      <w:sz w:val="24"/>
                    </w:rPr>
                    <w:t>发包人应支付给</w:t>
                  </w:r>
                  <w:r>
                    <w:rPr>
                      <w:rFonts w:ascii="宋体" w:hAnsi="宋体"/>
                      <w:sz w:val="24"/>
                    </w:rPr>
                    <w:t>承包人的款项中扣除。</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7</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承包人应在监理人的监督下，对涉及结构安全的试块、试件以及有关材料进行现场取样，并送</w:t>
                  </w:r>
                  <w:r>
                    <w:rPr>
                      <w:rFonts w:hint="eastAsia" w:ascii="宋体" w:hAnsi="宋体"/>
                      <w:sz w:val="24"/>
                      <w:u w:val="single"/>
                    </w:rPr>
                    <w:t>/</w:t>
                  </w:r>
                  <w:r>
                    <w:rPr>
                      <w:rFonts w:hint="eastAsia" w:ascii="宋体" w:hAnsi="宋体"/>
                      <w:sz w:val="24"/>
                    </w:rPr>
                    <w:t>质量检测单位进行检测。</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8</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除合同另有约定外，</w:t>
                  </w:r>
                  <w:r>
                    <w:rPr>
                      <w:rFonts w:ascii="宋体" w:hAnsi="宋体"/>
                      <w:sz w:val="24"/>
                    </w:rPr>
                    <w:t>承包人应负担本合同项下的所有材料</w:t>
                  </w:r>
                  <w:r>
                    <w:rPr>
                      <w:rFonts w:hint="eastAsia" w:ascii="宋体" w:hAnsi="宋体"/>
                      <w:sz w:val="24"/>
                    </w:rPr>
                    <w:t>、</w:t>
                  </w:r>
                  <w:r>
                    <w:rPr>
                      <w:rFonts w:ascii="宋体" w:hAnsi="宋体"/>
                      <w:sz w:val="24"/>
                    </w:rPr>
                    <w:t>工程设备</w:t>
                  </w:r>
                  <w:r>
                    <w:rPr>
                      <w:rFonts w:hint="eastAsia" w:ascii="宋体" w:hAnsi="宋体"/>
                      <w:sz w:val="24"/>
                    </w:rPr>
                    <w:t>和工艺</w:t>
                  </w:r>
                  <w:r>
                    <w:rPr>
                      <w:rFonts w:ascii="宋体" w:hAnsi="宋体"/>
                      <w:sz w:val="24"/>
                    </w:rPr>
                    <w:t>检验的费用。</w:t>
                  </w:r>
                </w:p>
              </w:tc>
            </w:tr>
            <w:tr>
              <w:tblPrEx>
                <w:tblCellMar>
                  <w:top w:w="0" w:type="dxa"/>
                  <w:left w:w="108" w:type="dxa"/>
                  <w:bottom w:w="0" w:type="dxa"/>
                  <w:right w:w="108" w:type="dxa"/>
                </w:tblCellMar>
              </w:tblPrEx>
              <w:tc>
                <w:tcPr>
                  <w:tcW w:w="8573" w:type="dxa"/>
                  <w:gridSpan w:val="2"/>
                  <w:noWrap w:val="0"/>
                  <w:vAlign w:val="top"/>
                </w:tcPr>
                <w:p>
                  <w:pPr>
                    <w:keepNext/>
                    <w:keepLines/>
                    <w:spacing w:before="260" w:after="260" w:line="416" w:lineRule="auto"/>
                    <w:outlineLvl w:val="2"/>
                    <w:rPr>
                      <w:rFonts w:hint="eastAsia" w:ascii="宋体" w:hAnsi="宋体"/>
                      <w:b/>
                      <w:bCs/>
                      <w:sz w:val="24"/>
                    </w:rPr>
                  </w:pPr>
                  <w:bookmarkStart w:id="748" w:name="_Toc241459802"/>
                  <w:bookmarkStart w:id="749" w:name="_Toc26471961"/>
                  <w:bookmarkStart w:id="750" w:name="_Toc27414235"/>
                  <w:bookmarkStart w:id="751" w:name="_Toc342296559"/>
                  <w:bookmarkStart w:id="752" w:name="_Toc448915691"/>
                  <w:bookmarkStart w:id="753" w:name="_Toc97744709"/>
                  <w:r>
                    <w:rPr>
                      <w:rFonts w:hint="eastAsia" w:ascii="宋体" w:hAnsi="宋体"/>
                      <w:b/>
                      <w:bCs/>
                      <w:sz w:val="24"/>
                    </w:rPr>
                    <w:t>13.计日工</w:t>
                  </w:r>
                  <w:bookmarkEnd w:id="748"/>
                  <w:bookmarkEnd w:id="749"/>
                  <w:bookmarkEnd w:id="750"/>
                  <w:bookmarkEnd w:id="751"/>
                  <w:bookmarkEnd w:id="752"/>
                  <w:bookmarkEnd w:id="753"/>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在工程实际开工后14天内，承包人应当按通用合同条款第15.7.2项约定的计日工报表内容，准备一份计日工日报表的格式，报送监理人审批，监理人应当在收到之日后7天内给予批复或提出修改意见。</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13.3</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按计日工实施相关变更的过程中，承包人应当按经监理人批准的计日工日报表格式，每天提交计日工报表和有关凭证，报送监理人审批，监理人应当在收到相关报表和凭证后24小时内给予批复。</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13.4</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13.5</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13.6</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13.7</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关于计日工的其他约定：</w:t>
                  </w:r>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c>
                <w:tcPr>
                  <w:tcW w:w="8573" w:type="dxa"/>
                  <w:gridSpan w:val="2"/>
                  <w:noWrap w:val="0"/>
                  <w:vAlign w:val="top"/>
                </w:tcPr>
                <w:p>
                  <w:pPr>
                    <w:keepNext/>
                    <w:keepLines/>
                    <w:spacing w:before="260" w:after="260" w:line="416" w:lineRule="auto"/>
                    <w:outlineLvl w:val="2"/>
                    <w:rPr>
                      <w:rFonts w:hint="eastAsia" w:ascii="宋体" w:hAnsi="宋体"/>
                      <w:b/>
                      <w:bCs/>
                      <w:sz w:val="24"/>
                    </w:rPr>
                  </w:pPr>
                  <w:bookmarkStart w:id="754" w:name="_Toc448915692"/>
                  <w:bookmarkStart w:id="755" w:name="_Toc97744710"/>
                  <w:bookmarkStart w:id="756" w:name="_Toc342296560"/>
                  <w:bookmarkStart w:id="757" w:name="_Toc27414236"/>
                  <w:bookmarkStart w:id="758" w:name="_Toc241459803"/>
                  <w:bookmarkStart w:id="759" w:name="_Toc26471962"/>
                  <w:r>
                    <w:rPr>
                      <w:rFonts w:hint="eastAsia" w:ascii="宋体" w:hAnsi="宋体"/>
                      <w:b/>
                      <w:bCs/>
                      <w:sz w:val="24"/>
                    </w:rPr>
                    <w:t>14.计量与支付</w:t>
                  </w:r>
                  <w:bookmarkEnd w:id="754"/>
                  <w:bookmarkEnd w:id="755"/>
                  <w:bookmarkEnd w:id="756"/>
                  <w:bookmarkEnd w:id="757"/>
                  <w:bookmarkEnd w:id="758"/>
                  <w:bookmarkEnd w:id="759"/>
                </w:p>
              </w:tc>
            </w:tr>
            <w:tr>
              <w:tblPrEx>
                <w:tblCellMar>
                  <w:top w:w="0" w:type="dxa"/>
                  <w:left w:w="108" w:type="dxa"/>
                  <w:bottom w:w="0" w:type="dxa"/>
                  <w:right w:w="108" w:type="dxa"/>
                </w:tblCellMar>
              </w:tblPrEx>
              <w:tc>
                <w:tcPr>
                  <w:tcW w:w="993" w:type="dxa"/>
                  <w:noWrap w:val="0"/>
                  <w:vAlign w:val="top"/>
                </w:tcPr>
                <w:p>
                  <w:pPr>
                    <w:spacing w:after="120" w:afterLines="50" w:line="300" w:lineRule="auto"/>
                    <w:outlineLvl w:val="3"/>
                    <w:rPr>
                      <w:rFonts w:hint="eastAsia" w:ascii="宋体" w:hAnsi="宋体"/>
                      <w:b/>
                      <w:bCs/>
                      <w:sz w:val="24"/>
                    </w:rPr>
                  </w:pPr>
                  <w:bookmarkStart w:id="760" w:name="_Toc263259828"/>
                  <w:r>
                    <w:rPr>
                      <w:rFonts w:ascii="宋体" w:hAnsi="宋体"/>
                      <w:b/>
                      <w:bCs/>
                      <w:sz w:val="24"/>
                    </w:rPr>
                    <w:t>1</w:t>
                  </w:r>
                  <w:r>
                    <w:rPr>
                      <w:rFonts w:hint="eastAsia" w:ascii="宋体" w:hAnsi="宋体"/>
                      <w:b/>
                      <w:bCs/>
                      <w:sz w:val="24"/>
                    </w:rPr>
                    <w:t>4</w:t>
                  </w:r>
                  <w:r>
                    <w:rPr>
                      <w:rFonts w:ascii="宋体" w:hAnsi="宋体"/>
                      <w:b/>
                      <w:bCs/>
                      <w:sz w:val="24"/>
                    </w:rPr>
                    <w:t>.</w:t>
                  </w:r>
                  <w:r>
                    <w:rPr>
                      <w:rFonts w:hint="eastAsia" w:ascii="宋体" w:hAnsi="宋体"/>
                      <w:b/>
                      <w:bCs/>
                      <w:sz w:val="24"/>
                    </w:rPr>
                    <w:t>1</w:t>
                  </w:r>
                  <w:bookmarkEnd w:id="760"/>
                </w:p>
              </w:tc>
              <w:tc>
                <w:tcPr>
                  <w:tcW w:w="7580" w:type="dxa"/>
                  <w:noWrap w:val="0"/>
                  <w:vAlign w:val="top"/>
                </w:tcPr>
                <w:p>
                  <w:pPr>
                    <w:spacing w:after="120" w:afterLines="50" w:line="300" w:lineRule="auto"/>
                    <w:outlineLvl w:val="3"/>
                    <w:rPr>
                      <w:rFonts w:hint="eastAsia" w:ascii="宋体" w:hAnsi="宋体"/>
                      <w:b/>
                      <w:bCs/>
                      <w:sz w:val="24"/>
                    </w:rPr>
                  </w:pPr>
                  <w:bookmarkStart w:id="761" w:name="_Toc263259829"/>
                  <w:r>
                    <w:rPr>
                      <w:rFonts w:hint="eastAsia" w:ascii="宋体" w:hAnsi="宋体"/>
                      <w:b/>
                      <w:bCs/>
                      <w:sz w:val="24"/>
                    </w:rPr>
                    <w:t>付款申请单</w:t>
                  </w:r>
                  <w:bookmarkEnd w:id="761"/>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14.1.1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14.1.2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根据合同条款第17.1款和第17.3款，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14.1.3</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1.4</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竣工结算总价（合同价格）应当按以下内容梳理：</w:t>
                  </w:r>
                </w:p>
                <w:p>
                  <w:pPr>
                    <w:numPr>
                      <w:ilvl w:val="0"/>
                      <w:numId w:val="27"/>
                    </w:numPr>
                    <w:spacing w:after="120" w:afterLines="50" w:line="300" w:lineRule="auto"/>
                    <w:rPr>
                      <w:rFonts w:hint="eastAsia" w:ascii="宋体" w:hAnsi="宋体"/>
                      <w:sz w:val="24"/>
                    </w:rPr>
                  </w:pPr>
                  <w:r>
                    <w:rPr>
                      <w:rFonts w:hint="eastAsia" w:ascii="宋体" w:hAnsi="宋体"/>
                      <w:sz w:val="24"/>
                    </w:rPr>
                    <w:t>签约合同价；</w:t>
                  </w:r>
                </w:p>
                <w:p>
                  <w:pPr>
                    <w:numPr>
                      <w:ilvl w:val="0"/>
                      <w:numId w:val="27"/>
                    </w:numPr>
                    <w:spacing w:after="120" w:afterLines="50" w:line="300" w:lineRule="auto"/>
                    <w:rPr>
                      <w:rFonts w:hint="eastAsia" w:ascii="宋体" w:hAnsi="宋体"/>
                      <w:sz w:val="24"/>
                    </w:rPr>
                  </w:pPr>
                  <w:r>
                    <w:rPr>
                      <w:rFonts w:hint="eastAsia" w:ascii="宋体" w:hAnsi="宋体"/>
                      <w:sz w:val="24"/>
                    </w:rPr>
                    <w:t>应当扣减的项目：</w:t>
                  </w:r>
                </w:p>
                <w:p>
                  <w:pPr>
                    <w:numPr>
                      <w:ilvl w:val="1"/>
                      <w:numId w:val="27"/>
                    </w:numPr>
                    <w:spacing w:after="120" w:afterLines="50" w:line="300" w:lineRule="auto"/>
                    <w:rPr>
                      <w:rFonts w:hint="eastAsia" w:ascii="宋体" w:hAnsi="宋体"/>
                      <w:sz w:val="24"/>
                    </w:rPr>
                  </w:pPr>
                  <w:r>
                    <w:rPr>
                      <w:rFonts w:hint="eastAsia" w:ascii="宋体" w:hAnsi="宋体"/>
                      <w:sz w:val="24"/>
                    </w:rPr>
                    <w:t>所有暂列金额；</w:t>
                  </w:r>
                </w:p>
                <w:p>
                  <w:pPr>
                    <w:numPr>
                      <w:ilvl w:val="1"/>
                      <w:numId w:val="27"/>
                    </w:numPr>
                    <w:spacing w:after="120" w:afterLines="50" w:line="300" w:lineRule="auto"/>
                    <w:rPr>
                      <w:rFonts w:hint="eastAsia" w:ascii="宋体" w:hAnsi="宋体"/>
                      <w:sz w:val="24"/>
                    </w:rPr>
                  </w:pPr>
                  <w:r>
                    <w:rPr>
                      <w:rFonts w:hint="eastAsia" w:ascii="宋体" w:hAnsi="宋体"/>
                      <w:sz w:val="24"/>
                    </w:rPr>
                    <w:t>所有暂估价；</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根据合同条款第15条应扣减的变更金额；</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根据合同条款第16条应扣减的价格调整（下调部分）；</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根据合同条款第23.4款应扣减的发包人索赔金额；</w:t>
                  </w:r>
                </w:p>
                <w:p>
                  <w:pPr>
                    <w:numPr>
                      <w:ilvl w:val="1"/>
                      <w:numId w:val="27"/>
                    </w:numPr>
                    <w:spacing w:after="120" w:afterLines="50" w:line="300" w:lineRule="auto"/>
                    <w:rPr>
                      <w:rFonts w:hint="eastAsia" w:ascii="宋体" w:hAnsi="宋体"/>
                      <w:sz w:val="24"/>
                    </w:rPr>
                  </w:pPr>
                  <w:r>
                    <w:rPr>
                      <w:rFonts w:hint="eastAsia" w:ascii="宋体" w:hAnsi="宋体"/>
                      <w:sz w:val="24"/>
                    </w:rPr>
                    <w:t>甩项工程的合同价值（如果有）；</w:t>
                  </w:r>
                </w:p>
                <w:p>
                  <w:pPr>
                    <w:numPr>
                      <w:ilvl w:val="1"/>
                      <w:numId w:val="27"/>
                    </w:numPr>
                    <w:spacing w:after="120" w:afterLines="50" w:line="300" w:lineRule="auto"/>
                    <w:rPr>
                      <w:rFonts w:hint="eastAsia" w:ascii="宋体" w:hAnsi="宋体"/>
                      <w:sz w:val="24"/>
                    </w:rPr>
                  </w:pPr>
                  <w:r>
                    <w:rPr>
                      <w:rFonts w:hint="eastAsia" w:ascii="宋体" w:hAnsi="宋体"/>
                      <w:sz w:val="24"/>
                    </w:rPr>
                    <w:t>根据合同约定发包人应扣减的其他金额。</w:t>
                  </w:r>
                </w:p>
                <w:p>
                  <w:pPr>
                    <w:numPr>
                      <w:ilvl w:val="0"/>
                      <w:numId w:val="27"/>
                    </w:numPr>
                    <w:spacing w:after="120" w:afterLines="50" w:line="300" w:lineRule="auto"/>
                    <w:rPr>
                      <w:rFonts w:hint="eastAsia" w:ascii="宋体" w:hAnsi="宋体"/>
                      <w:sz w:val="24"/>
                    </w:rPr>
                  </w:pPr>
                  <w:r>
                    <w:rPr>
                      <w:rFonts w:hint="eastAsia" w:ascii="宋体" w:hAnsi="宋体"/>
                      <w:sz w:val="24"/>
                    </w:rPr>
                    <w:t>应当增加的项目：</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p>
              </w:tc>
              <w:tc>
                <w:tcPr>
                  <w:tcW w:w="7580" w:type="dxa"/>
                  <w:noWrap w:val="0"/>
                  <w:vAlign w:val="top"/>
                </w:tcPr>
                <w:p>
                  <w:pPr>
                    <w:numPr>
                      <w:ilvl w:val="1"/>
                      <w:numId w:val="27"/>
                    </w:numPr>
                    <w:spacing w:after="120" w:afterLines="50" w:line="300" w:lineRule="auto"/>
                    <w:rPr>
                      <w:rFonts w:hint="eastAsia" w:ascii="宋体" w:hAnsi="宋体"/>
                      <w:sz w:val="24"/>
                    </w:rPr>
                  </w:pPr>
                  <w:r>
                    <w:rPr>
                      <w:rFonts w:hint="eastAsia" w:ascii="宋体" w:hAnsi="宋体"/>
                      <w:sz w:val="24"/>
                    </w:rPr>
                    <w:t>实际发生的暂列金额（包括计日工）；</w:t>
                  </w:r>
                </w:p>
                <w:p>
                  <w:pPr>
                    <w:numPr>
                      <w:ilvl w:val="1"/>
                      <w:numId w:val="27"/>
                    </w:numPr>
                    <w:spacing w:after="120" w:afterLines="50" w:line="300" w:lineRule="auto"/>
                    <w:rPr>
                      <w:rFonts w:hint="eastAsia" w:ascii="宋体" w:hAnsi="宋体"/>
                      <w:sz w:val="24"/>
                    </w:rPr>
                  </w:pPr>
                  <w:r>
                    <w:rPr>
                      <w:rFonts w:hint="eastAsia" w:ascii="宋体" w:hAnsi="宋体"/>
                      <w:sz w:val="24"/>
                    </w:rPr>
                    <w:t>实际发生的暂估价；</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根据合同条款第15条应增加的变更金额；</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根据合同条款第16条应增加的价格调整（上调部分）；</w:t>
                  </w:r>
                </w:p>
                <w:p>
                  <w:pPr>
                    <w:numPr>
                      <w:ilvl w:val="1"/>
                      <w:numId w:val="27"/>
                    </w:numPr>
                    <w:spacing w:after="120" w:afterLines="50" w:line="300" w:lineRule="auto"/>
                    <w:rPr>
                      <w:rFonts w:hint="eastAsia" w:ascii="宋体" w:hAnsi="宋体"/>
                      <w:sz w:val="24"/>
                    </w:rPr>
                  </w:pPr>
                  <w:r>
                    <w:rPr>
                      <w:rFonts w:hint="eastAsia" w:ascii="宋体" w:hAnsi="宋体"/>
                      <w:sz w:val="24"/>
                    </w:rPr>
                    <w:t>根据合同条款第23.2款应增加的承包人索赔金额；</w:t>
                  </w:r>
                </w:p>
                <w:p>
                  <w:pPr>
                    <w:numPr>
                      <w:ilvl w:val="1"/>
                      <w:numId w:val="27"/>
                    </w:numPr>
                    <w:spacing w:after="120" w:afterLines="50" w:line="300" w:lineRule="auto"/>
                    <w:rPr>
                      <w:rFonts w:hint="eastAsia" w:ascii="宋体" w:hAnsi="宋体"/>
                      <w:sz w:val="24"/>
                    </w:rPr>
                  </w:pPr>
                  <w:r>
                    <w:rPr>
                      <w:rFonts w:hint="eastAsia" w:ascii="宋体" w:hAnsi="宋体"/>
                      <w:sz w:val="24"/>
                    </w:rPr>
                    <w:t>根据合同约定承包人应当得到的其他金额。</w:t>
                  </w:r>
                </w:p>
                <w:p>
                  <w:pPr>
                    <w:spacing w:after="120" w:afterLines="50" w:line="300" w:lineRule="auto"/>
                    <w:rPr>
                      <w:rFonts w:hint="eastAsia" w:ascii="宋体" w:hAnsi="宋体"/>
                      <w:sz w:val="24"/>
                    </w:rPr>
                  </w:pPr>
                  <w:r>
                    <w:rPr>
                      <w:rFonts w:hint="eastAsia" w:ascii="宋体" w:hAnsi="宋体"/>
                      <w:sz w:val="24"/>
                    </w:rPr>
                    <w:t>（4）规费和税金差额部分。</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1.5</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最终结清申请单的应付金额应当按下列内容梳理：</w:t>
                  </w:r>
                </w:p>
                <w:p>
                  <w:pPr>
                    <w:numPr>
                      <w:ilvl w:val="0"/>
                      <w:numId w:val="28"/>
                    </w:numPr>
                    <w:spacing w:after="120" w:afterLines="50" w:line="300" w:lineRule="auto"/>
                    <w:rPr>
                      <w:rFonts w:hint="eastAsia" w:ascii="宋体" w:hAnsi="宋体"/>
                      <w:sz w:val="24"/>
                    </w:rPr>
                  </w:pPr>
                  <w:r>
                    <w:rPr>
                      <w:rFonts w:hint="eastAsia" w:ascii="宋体" w:hAnsi="宋体"/>
                      <w:sz w:val="24"/>
                    </w:rPr>
                    <w:t>按合同约定扣留的质量保证金</w:t>
                  </w:r>
                </w:p>
                <w:p>
                  <w:pPr>
                    <w:numPr>
                      <w:ilvl w:val="0"/>
                      <w:numId w:val="28"/>
                    </w:numPr>
                    <w:spacing w:after="120" w:afterLines="50" w:line="300" w:lineRule="auto"/>
                    <w:rPr>
                      <w:rFonts w:hint="eastAsia" w:ascii="宋体" w:hAnsi="宋体"/>
                      <w:sz w:val="24"/>
                    </w:rPr>
                  </w:pPr>
                  <w:r>
                    <w:rPr>
                      <w:rFonts w:hint="eastAsia" w:ascii="宋体" w:hAnsi="宋体"/>
                      <w:sz w:val="24"/>
                    </w:rPr>
                    <w:t>应当扣除的金额：</w:t>
                  </w:r>
                </w:p>
                <w:p>
                  <w:pPr>
                    <w:numPr>
                      <w:ilvl w:val="1"/>
                      <w:numId w:val="28"/>
                    </w:numPr>
                    <w:spacing w:after="120" w:afterLines="50" w:line="300" w:lineRule="auto"/>
                    <w:rPr>
                      <w:rFonts w:hint="eastAsia" w:ascii="宋体" w:hAnsi="宋体"/>
                      <w:sz w:val="24"/>
                    </w:rPr>
                  </w:pPr>
                  <w:r>
                    <w:rPr>
                      <w:rFonts w:hint="eastAsia" w:ascii="宋体" w:hAnsi="宋体"/>
                      <w:sz w:val="24"/>
                    </w:rPr>
                    <w:t>按通用合同条款17.4.3项约定扣留的质量保证金；</w:t>
                  </w:r>
                </w:p>
                <w:p>
                  <w:pPr>
                    <w:numPr>
                      <w:ilvl w:val="1"/>
                      <w:numId w:val="28"/>
                    </w:numPr>
                    <w:spacing w:after="120" w:afterLines="50" w:line="300" w:lineRule="auto"/>
                    <w:rPr>
                      <w:rFonts w:hint="eastAsia" w:ascii="宋体" w:hAnsi="宋体"/>
                      <w:sz w:val="24"/>
                    </w:rPr>
                  </w:pPr>
                  <w:r>
                    <w:rPr>
                      <w:rFonts w:hint="eastAsia" w:ascii="宋体" w:hAnsi="宋体"/>
                      <w:sz w:val="24"/>
                    </w:rPr>
                    <w:t>按通用合同条款19.2.4项约定扣除的质量保证金；</w:t>
                  </w:r>
                </w:p>
                <w:p>
                  <w:pPr>
                    <w:numPr>
                      <w:ilvl w:val="1"/>
                      <w:numId w:val="28"/>
                    </w:numPr>
                    <w:spacing w:after="120" w:afterLines="50" w:line="300" w:lineRule="auto"/>
                    <w:rPr>
                      <w:rFonts w:hint="eastAsia" w:ascii="宋体" w:hAnsi="宋体"/>
                      <w:sz w:val="24"/>
                    </w:rPr>
                  </w:pPr>
                  <w:r>
                    <w:rPr>
                      <w:rFonts w:hint="eastAsia" w:ascii="宋体" w:hAnsi="宋体"/>
                      <w:sz w:val="24"/>
                    </w:rPr>
                    <w:t>根据合同条款第23.4款应扣减的缺陷责任期内发生的发包人索赔金额；</w:t>
                  </w:r>
                </w:p>
                <w:p>
                  <w:pPr>
                    <w:numPr>
                      <w:ilvl w:val="1"/>
                      <w:numId w:val="28"/>
                    </w:numPr>
                    <w:spacing w:after="120" w:afterLines="50" w:line="300" w:lineRule="auto"/>
                    <w:rPr>
                      <w:rFonts w:hint="eastAsia" w:ascii="宋体" w:hAnsi="宋体"/>
                      <w:sz w:val="24"/>
                    </w:rPr>
                  </w:pPr>
                  <w:r>
                    <w:rPr>
                      <w:rFonts w:hint="eastAsia" w:ascii="宋体" w:hAnsi="宋体"/>
                      <w:sz w:val="24"/>
                    </w:rPr>
                    <w:t>根据合同约定应扣减的其他金额。</w:t>
                  </w:r>
                </w:p>
                <w:p>
                  <w:pPr>
                    <w:numPr>
                      <w:ilvl w:val="0"/>
                      <w:numId w:val="28"/>
                    </w:numPr>
                    <w:spacing w:after="120" w:afterLines="50" w:line="300" w:lineRule="auto"/>
                    <w:rPr>
                      <w:rFonts w:hint="eastAsia" w:ascii="宋体" w:hAnsi="宋体"/>
                      <w:sz w:val="24"/>
                    </w:rPr>
                  </w:pPr>
                  <w:r>
                    <w:rPr>
                      <w:rFonts w:hint="eastAsia" w:ascii="宋体" w:hAnsi="宋体"/>
                      <w:sz w:val="24"/>
                    </w:rPr>
                    <w:t>应当增加的金额：</w:t>
                  </w:r>
                </w:p>
                <w:p>
                  <w:pPr>
                    <w:numPr>
                      <w:ilvl w:val="1"/>
                      <w:numId w:val="28"/>
                    </w:numPr>
                    <w:spacing w:after="120" w:afterLines="50" w:line="300" w:lineRule="auto"/>
                    <w:rPr>
                      <w:rFonts w:hint="eastAsia" w:ascii="宋体" w:hAnsi="宋体"/>
                      <w:sz w:val="24"/>
                    </w:rPr>
                  </w:pPr>
                  <w:r>
                    <w:rPr>
                      <w:rFonts w:hint="eastAsia" w:ascii="宋体" w:hAnsi="宋体"/>
                      <w:sz w:val="24"/>
                    </w:rPr>
                    <w:t>已完且符合合同约定的甩项工程的价值；</w:t>
                  </w:r>
                </w:p>
                <w:p>
                  <w:pPr>
                    <w:numPr>
                      <w:ilvl w:val="1"/>
                      <w:numId w:val="28"/>
                    </w:numPr>
                    <w:spacing w:after="120" w:afterLines="50" w:line="300" w:lineRule="auto"/>
                    <w:rPr>
                      <w:rFonts w:hint="eastAsia" w:ascii="宋体" w:hAnsi="宋体"/>
                      <w:sz w:val="24"/>
                    </w:rPr>
                  </w:pPr>
                  <w:r>
                    <w:rPr>
                      <w:rFonts w:hint="eastAsia" w:ascii="宋体" w:hAnsi="宋体"/>
                      <w:sz w:val="24"/>
                    </w:rPr>
                    <w:t>按通用合同条款19.2.3项约定由承包人修复的发包人原因造成的缺陷的价值；</w:t>
                  </w:r>
                </w:p>
                <w:p>
                  <w:pPr>
                    <w:numPr>
                      <w:ilvl w:val="1"/>
                      <w:numId w:val="28"/>
                    </w:numPr>
                    <w:spacing w:after="120" w:afterLines="50" w:line="300" w:lineRule="auto"/>
                    <w:rPr>
                      <w:rFonts w:hint="eastAsia" w:ascii="宋体" w:hAnsi="宋体"/>
                      <w:sz w:val="24"/>
                    </w:rPr>
                  </w:pPr>
                  <w:r>
                    <w:rPr>
                      <w:rFonts w:hint="eastAsia" w:ascii="宋体" w:hAnsi="宋体"/>
                      <w:sz w:val="24"/>
                    </w:rPr>
                    <w:t>根据合同条款第23.2款应增加的缺陷责任期内发生的承包人索赔金额；</w:t>
                  </w:r>
                </w:p>
                <w:p>
                  <w:pPr>
                    <w:numPr>
                      <w:ilvl w:val="1"/>
                      <w:numId w:val="28"/>
                    </w:numPr>
                    <w:spacing w:after="120" w:afterLines="50" w:line="300" w:lineRule="auto"/>
                    <w:rPr>
                      <w:rFonts w:hint="eastAsia" w:ascii="宋体" w:hAnsi="宋体"/>
                      <w:sz w:val="24"/>
                    </w:rPr>
                  </w:pPr>
                  <w:r>
                    <w:rPr>
                      <w:rFonts w:hint="eastAsia" w:ascii="宋体" w:hAnsi="宋体"/>
                      <w:sz w:val="24"/>
                    </w:rPr>
                    <w:t>根据合同约定承包人应当得到的其他金额。</w:t>
                  </w:r>
                </w:p>
                <w:p>
                  <w:pPr>
                    <w:spacing w:after="120" w:afterLines="50" w:line="300" w:lineRule="auto"/>
                    <w:rPr>
                      <w:rFonts w:hint="eastAsia" w:ascii="宋体" w:hAnsi="宋体"/>
                      <w:sz w:val="24"/>
                    </w:rPr>
                  </w:pPr>
                  <w:r>
                    <w:rPr>
                      <w:rFonts w:hint="eastAsia" w:ascii="宋体" w:hAnsi="宋体"/>
                      <w:sz w:val="24"/>
                    </w:rPr>
                    <w:t>最终结清应当由发包人和承包人按照“多退少补”的原则办理。</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1.6</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竣工付款申请单和最终结清申请单应当比照进度付款申请单的格式准备，并提供相关证明材料。</w:t>
                  </w:r>
                </w:p>
              </w:tc>
            </w:tr>
            <w:tr>
              <w:tblPrEx>
                <w:tblCellMar>
                  <w:top w:w="0" w:type="dxa"/>
                  <w:left w:w="108" w:type="dxa"/>
                  <w:bottom w:w="0" w:type="dxa"/>
                  <w:right w:w="108" w:type="dxa"/>
                </w:tblCellMar>
              </w:tblPrEx>
              <w:tc>
                <w:tcPr>
                  <w:tcW w:w="993" w:type="dxa"/>
                  <w:noWrap w:val="0"/>
                  <w:vAlign w:val="top"/>
                </w:tcPr>
                <w:p>
                  <w:pPr>
                    <w:spacing w:after="120" w:afterLines="50" w:line="300" w:lineRule="auto"/>
                    <w:outlineLvl w:val="3"/>
                    <w:rPr>
                      <w:rFonts w:hint="eastAsia" w:ascii="宋体" w:hAnsi="宋体"/>
                      <w:b/>
                      <w:bCs/>
                      <w:sz w:val="24"/>
                    </w:rPr>
                  </w:pPr>
                  <w:bookmarkStart w:id="762" w:name="_Toc263259830"/>
                  <w:r>
                    <w:rPr>
                      <w:rFonts w:hint="eastAsia" w:ascii="宋体" w:hAnsi="宋体"/>
                      <w:b/>
                      <w:bCs/>
                      <w:sz w:val="24"/>
                    </w:rPr>
                    <w:t>14.2</w:t>
                  </w:r>
                  <w:bookmarkEnd w:id="762"/>
                </w:p>
              </w:tc>
              <w:tc>
                <w:tcPr>
                  <w:tcW w:w="7580" w:type="dxa"/>
                  <w:noWrap w:val="0"/>
                  <w:vAlign w:val="top"/>
                </w:tcPr>
                <w:p>
                  <w:pPr>
                    <w:spacing w:after="120" w:afterLines="50" w:line="300" w:lineRule="auto"/>
                    <w:outlineLvl w:val="3"/>
                    <w:rPr>
                      <w:rFonts w:hint="eastAsia" w:ascii="宋体" w:hAnsi="宋体"/>
                      <w:b/>
                      <w:bCs/>
                      <w:sz w:val="24"/>
                    </w:rPr>
                  </w:pPr>
                  <w:bookmarkStart w:id="763" w:name="_Toc263259831"/>
                  <w:r>
                    <w:rPr>
                      <w:rFonts w:hint="eastAsia" w:ascii="宋体" w:hAnsi="宋体"/>
                      <w:b/>
                      <w:bCs/>
                      <w:sz w:val="24"/>
                    </w:rPr>
                    <w:t>其他约定</w:t>
                  </w:r>
                  <w:bookmarkEnd w:id="763"/>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其他约定内容：</w:t>
                  </w:r>
                </w:p>
                <w:p>
                  <w:pPr>
                    <w:spacing w:after="120" w:afterLines="50" w:line="300" w:lineRule="auto"/>
                    <w:rPr>
                      <w:rFonts w:hint="eastAsia" w:ascii="宋体" w:hAnsi="宋体"/>
                      <w:sz w:val="24"/>
                    </w:rPr>
                  </w:pPr>
                  <w:r>
                    <w:rPr>
                      <w:rFonts w:hint="eastAsia" w:ascii="宋体" w:hAnsi="宋体"/>
                      <w:sz w:val="24"/>
                      <w:u w:val="single"/>
                    </w:rPr>
                    <w:t>/</w:t>
                  </w:r>
                  <w:r>
                    <w:rPr>
                      <w:rFonts w:hint="eastAsia" w:ascii="宋体" w:hAnsi="宋体"/>
                      <w:sz w:val="24"/>
                    </w:rPr>
                    <w:t>。</w:t>
                  </w:r>
                </w:p>
              </w:tc>
            </w:tr>
            <w:tr>
              <w:tblPrEx>
                <w:tblCellMar>
                  <w:top w:w="0" w:type="dxa"/>
                  <w:left w:w="108" w:type="dxa"/>
                  <w:bottom w:w="0" w:type="dxa"/>
                  <w:right w:w="108" w:type="dxa"/>
                </w:tblCellMar>
              </w:tblPrEx>
              <w:tc>
                <w:tcPr>
                  <w:tcW w:w="8573" w:type="dxa"/>
                  <w:gridSpan w:val="2"/>
                  <w:noWrap w:val="0"/>
                  <w:vAlign w:val="top"/>
                </w:tcPr>
                <w:p>
                  <w:pPr>
                    <w:keepNext/>
                    <w:keepLines/>
                    <w:spacing w:before="260" w:after="260" w:line="416" w:lineRule="auto"/>
                    <w:outlineLvl w:val="2"/>
                    <w:rPr>
                      <w:rFonts w:hint="eastAsia" w:ascii="宋体" w:hAnsi="宋体"/>
                      <w:b/>
                      <w:bCs/>
                      <w:sz w:val="24"/>
                    </w:rPr>
                  </w:pPr>
                  <w:bookmarkStart w:id="764" w:name="_Toc26471963"/>
                  <w:bookmarkStart w:id="765" w:name="_Toc97744711"/>
                  <w:bookmarkStart w:id="766" w:name="_Toc27414237"/>
                  <w:bookmarkStart w:id="767" w:name="_Toc448915693"/>
                  <w:bookmarkStart w:id="768" w:name="_Toc241459804"/>
                  <w:bookmarkStart w:id="769" w:name="_Toc342296561"/>
                  <w:r>
                    <w:rPr>
                      <w:rFonts w:hint="eastAsia" w:ascii="宋体" w:hAnsi="宋体"/>
                      <w:b/>
                      <w:bCs/>
                      <w:sz w:val="24"/>
                    </w:rPr>
                    <w:t>15.竣工验收和工程移交</w:t>
                  </w:r>
                  <w:bookmarkEnd w:id="764"/>
                  <w:bookmarkEnd w:id="765"/>
                  <w:bookmarkEnd w:id="766"/>
                  <w:bookmarkEnd w:id="767"/>
                  <w:bookmarkEnd w:id="768"/>
                  <w:bookmarkEnd w:id="769"/>
                </w:p>
              </w:tc>
            </w:tr>
            <w:tr>
              <w:tblPrEx>
                <w:tblCellMar>
                  <w:top w:w="0" w:type="dxa"/>
                  <w:left w:w="108" w:type="dxa"/>
                  <w:bottom w:w="0" w:type="dxa"/>
                  <w:right w:w="108" w:type="dxa"/>
                </w:tblCellMar>
              </w:tblPrEx>
              <w:tc>
                <w:tcPr>
                  <w:tcW w:w="993" w:type="dxa"/>
                  <w:noWrap w:val="0"/>
                  <w:vAlign w:val="top"/>
                </w:tcPr>
                <w:p>
                  <w:pPr>
                    <w:spacing w:after="120" w:afterLines="50" w:line="300" w:lineRule="auto"/>
                    <w:outlineLvl w:val="3"/>
                    <w:rPr>
                      <w:rFonts w:hint="eastAsia" w:ascii="宋体" w:hAnsi="宋体"/>
                      <w:b/>
                      <w:bCs/>
                      <w:sz w:val="24"/>
                    </w:rPr>
                  </w:pPr>
                  <w:bookmarkStart w:id="770" w:name="_Toc263259833"/>
                  <w:r>
                    <w:rPr>
                      <w:rFonts w:hint="eastAsia" w:ascii="宋体" w:hAnsi="宋体"/>
                      <w:b/>
                      <w:bCs/>
                      <w:sz w:val="24"/>
                    </w:rPr>
                    <w:t>15.1</w:t>
                  </w:r>
                  <w:bookmarkEnd w:id="770"/>
                </w:p>
              </w:tc>
              <w:tc>
                <w:tcPr>
                  <w:tcW w:w="7580" w:type="dxa"/>
                  <w:noWrap w:val="0"/>
                  <w:vAlign w:val="top"/>
                </w:tcPr>
                <w:p>
                  <w:pPr>
                    <w:spacing w:after="120" w:afterLines="50" w:line="300" w:lineRule="auto"/>
                    <w:outlineLvl w:val="3"/>
                    <w:rPr>
                      <w:rFonts w:hint="eastAsia" w:ascii="宋体" w:hAnsi="宋体"/>
                      <w:b/>
                      <w:bCs/>
                      <w:sz w:val="24"/>
                    </w:rPr>
                  </w:pPr>
                  <w:bookmarkStart w:id="771" w:name="_Toc263259834"/>
                  <w:r>
                    <w:rPr>
                      <w:rFonts w:hint="eastAsia" w:ascii="宋体" w:hAnsi="宋体"/>
                      <w:b/>
                      <w:bCs/>
                      <w:sz w:val="24"/>
                    </w:rPr>
                    <w:t>竣工验收前的清理</w:t>
                  </w:r>
                  <w:bookmarkEnd w:id="771"/>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15.1.1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在向监理人提交竣工验收申请报告前，承包人应当完成竣工验收前的清理工作，包括但不限于：</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p>
              </w:tc>
              <w:tc>
                <w:tcPr>
                  <w:tcW w:w="7580" w:type="dxa"/>
                  <w:noWrap w:val="0"/>
                  <w:vAlign w:val="top"/>
                </w:tcPr>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从永久工程内清除所有剩余材料、杂物、垃圾等等；</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清洗工程的所有地面、墙面、楼面、路面等表面；</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清洗和擦洗所有玻璃、磁砖、石材和所有金属面；</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修缮所有损坏、清除所有污迹、替换所有需更换的材料；</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所有表面完成约定的装修和装饰；</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检查和调试所有的门、窗、抽屉等以确保他们开启的顺畅；</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检查和调试所有的五金件并上油；</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检查、测试和确保所有服务系统、设施和设备达到良好的运行状态和效果；</w:t>
                  </w:r>
                </w:p>
                <w:p>
                  <w:pPr>
                    <w:numPr>
                      <w:ilvl w:val="0"/>
                      <w:numId w:val="22"/>
                    </w:numPr>
                    <w:tabs>
                      <w:tab w:val="left" w:pos="720"/>
                      <w:tab w:val="clear" w:pos="4941"/>
                    </w:tabs>
                    <w:spacing w:after="120" w:afterLines="50" w:line="300" w:lineRule="auto"/>
                    <w:ind w:left="720" w:hanging="720"/>
                    <w:rPr>
                      <w:rFonts w:hint="eastAsia" w:ascii="宋体" w:hAnsi="宋体"/>
                      <w:sz w:val="24"/>
                    </w:rPr>
                  </w:pPr>
                  <w:r>
                    <w:rPr>
                      <w:rFonts w:hint="eastAsia" w:ascii="宋体" w:hAnsi="宋体"/>
                      <w:sz w:val="24"/>
                    </w:rPr>
                    <w:t>所有钥匙（如果有）贴上标签并固定到钥匙排上随时可以交给监理人。</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15.1.2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清理工作所需费用由承包人承担。</w:t>
                  </w:r>
                </w:p>
              </w:tc>
            </w:tr>
            <w:tr>
              <w:tblPrEx>
                <w:tblCellMar>
                  <w:top w:w="0" w:type="dxa"/>
                  <w:left w:w="108" w:type="dxa"/>
                  <w:bottom w:w="0" w:type="dxa"/>
                  <w:right w:w="108" w:type="dxa"/>
                </w:tblCellMar>
              </w:tblPrEx>
              <w:tc>
                <w:tcPr>
                  <w:tcW w:w="993" w:type="dxa"/>
                  <w:noWrap w:val="0"/>
                  <w:vAlign w:val="top"/>
                </w:tcPr>
                <w:p>
                  <w:pPr>
                    <w:spacing w:after="120" w:afterLines="50" w:line="300" w:lineRule="auto"/>
                    <w:outlineLvl w:val="3"/>
                    <w:rPr>
                      <w:rFonts w:hint="eastAsia" w:ascii="宋体" w:hAnsi="宋体"/>
                      <w:b/>
                      <w:bCs/>
                      <w:sz w:val="24"/>
                    </w:rPr>
                  </w:pPr>
                  <w:bookmarkStart w:id="772" w:name="_Toc263259835"/>
                  <w:r>
                    <w:rPr>
                      <w:rFonts w:hint="eastAsia" w:ascii="宋体" w:hAnsi="宋体"/>
                      <w:b/>
                      <w:bCs/>
                      <w:sz w:val="24"/>
                    </w:rPr>
                    <w:t>15.2</w:t>
                  </w:r>
                  <w:bookmarkEnd w:id="772"/>
                </w:p>
              </w:tc>
              <w:tc>
                <w:tcPr>
                  <w:tcW w:w="7580" w:type="dxa"/>
                  <w:noWrap w:val="0"/>
                  <w:vAlign w:val="top"/>
                </w:tcPr>
                <w:p>
                  <w:pPr>
                    <w:spacing w:after="120" w:afterLines="50" w:line="300" w:lineRule="auto"/>
                    <w:outlineLvl w:val="3"/>
                    <w:rPr>
                      <w:rFonts w:hint="eastAsia" w:ascii="宋体" w:hAnsi="宋体"/>
                      <w:b/>
                      <w:bCs/>
                      <w:sz w:val="24"/>
                    </w:rPr>
                  </w:pPr>
                  <w:bookmarkStart w:id="773" w:name="_Toc263259836"/>
                  <w:r>
                    <w:rPr>
                      <w:rFonts w:hint="eastAsia" w:ascii="宋体" w:hAnsi="宋体"/>
                      <w:b/>
                      <w:bCs/>
                      <w:sz w:val="24"/>
                    </w:rPr>
                    <w:t>竣工验收申请报告</w:t>
                  </w:r>
                  <w:bookmarkEnd w:id="773"/>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15.2.1</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15.2.2</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tc>
            </w:tr>
            <w:tr>
              <w:tblPrEx>
                <w:tblCellMar>
                  <w:top w:w="0" w:type="dxa"/>
                  <w:left w:w="108" w:type="dxa"/>
                  <w:bottom w:w="0" w:type="dxa"/>
                  <w:right w:w="108" w:type="dxa"/>
                </w:tblCellMar>
              </w:tblPrEx>
              <w:tc>
                <w:tcPr>
                  <w:tcW w:w="993" w:type="dxa"/>
                  <w:noWrap w:val="0"/>
                  <w:vAlign w:val="top"/>
                </w:tcPr>
                <w:p>
                  <w:pPr>
                    <w:spacing w:after="120" w:afterLines="50" w:line="300" w:lineRule="auto"/>
                    <w:rPr>
                      <w:rFonts w:hint="eastAsia" w:ascii="宋体" w:hAnsi="宋体"/>
                      <w:sz w:val="24"/>
                    </w:rPr>
                  </w:pPr>
                  <w:r>
                    <w:rPr>
                      <w:rFonts w:hint="eastAsia" w:ascii="宋体" w:hAnsi="宋体"/>
                      <w:sz w:val="24"/>
                    </w:rPr>
                    <w:t>15.2.3</w:t>
                  </w:r>
                </w:p>
              </w:tc>
              <w:tc>
                <w:tcPr>
                  <w:tcW w:w="7580" w:type="dxa"/>
                  <w:noWrap w:val="0"/>
                  <w:vAlign w:val="top"/>
                </w:tcPr>
                <w:p>
                  <w:pPr>
                    <w:spacing w:after="120" w:afterLines="50" w:line="300" w:lineRule="auto"/>
                    <w:rPr>
                      <w:rFonts w:hint="eastAsia" w:ascii="宋体" w:hAnsi="宋体"/>
                      <w:sz w:val="24"/>
                    </w:rPr>
                  </w:pPr>
                  <w:r>
                    <w:rPr>
                      <w:rFonts w:hint="eastAsia" w:ascii="宋体" w:hAnsi="宋体"/>
                      <w:sz w:val="24"/>
                    </w:rPr>
                    <w:t>竣工验收申请报告应当按通用合同条款第18.2款附上下列内容：</w:t>
                  </w:r>
                </w:p>
                <w:p>
                  <w:pPr>
                    <w:numPr>
                      <w:ilvl w:val="0"/>
                      <w:numId w:val="29"/>
                    </w:numPr>
                    <w:spacing w:after="120" w:afterLines="50" w:line="300" w:lineRule="auto"/>
                    <w:rPr>
                      <w:rFonts w:hint="eastAsia" w:ascii="宋体" w:hAnsi="宋体"/>
                      <w:sz w:val="24"/>
                    </w:rPr>
                  </w:pPr>
                  <w:r>
                    <w:rPr>
                      <w:rFonts w:hint="eastAsia" w:ascii="宋体" w:hAnsi="宋体"/>
                      <w:sz w:val="24"/>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pPr>
                    <w:numPr>
                      <w:ilvl w:val="0"/>
                      <w:numId w:val="29"/>
                    </w:numPr>
                    <w:spacing w:after="120" w:afterLines="50" w:line="300" w:lineRule="auto"/>
                    <w:rPr>
                      <w:rFonts w:hint="eastAsia" w:ascii="宋体" w:hAnsi="宋体"/>
                      <w:sz w:val="24"/>
                    </w:rPr>
                  </w:pPr>
                  <w:r>
                    <w:rPr>
                      <w:rFonts w:hint="eastAsia" w:ascii="宋体" w:hAnsi="宋体"/>
                      <w:sz w:val="24"/>
                    </w:rPr>
                    <w:t>按专用合同条款第18.2（2）目约定的内容和份数整理的符合要求的竣工资料；</w:t>
                  </w:r>
                </w:p>
                <w:p>
                  <w:pPr>
                    <w:numPr>
                      <w:ilvl w:val="0"/>
                      <w:numId w:val="29"/>
                    </w:numPr>
                    <w:spacing w:after="120" w:afterLines="50" w:line="300" w:lineRule="auto"/>
                    <w:rPr>
                      <w:rFonts w:hint="eastAsia" w:ascii="宋体" w:hAnsi="宋体"/>
                      <w:sz w:val="24"/>
                    </w:rPr>
                  </w:pPr>
                  <w:r>
                    <w:rPr>
                      <w:rFonts w:hint="eastAsia" w:ascii="宋体" w:hAnsi="宋体"/>
                      <w:sz w:val="24"/>
                    </w:rPr>
                    <w:t>按监理人的要求编制了在缺陷责任期内完成的尾工（甩项）工程和缺陷修补工作清单以及相应施工计划；</w:t>
                  </w:r>
                </w:p>
                <w:p>
                  <w:pPr>
                    <w:numPr>
                      <w:ilvl w:val="0"/>
                      <w:numId w:val="29"/>
                    </w:numPr>
                    <w:spacing w:after="120" w:afterLines="50" w:line="300" w:lineRule="auto"/>
                    <w:rPr>
                      <w:rFonts w:hint="eastAsia" w:ascii="宋体" w:hAnsi="宋体"/>
                      <w:sz w:val="24"/>
                    </w:rPr>
                  </w:pPr>
                  <w:r>
                    <w:rPr>
                      <w:rFonts w:hint="eastAsia" w:ascii="宋体" w:hAnsi="宋体"/>
                      <w:sz w:val="24"/>
                    </w:rPr>
                    <w:t>监理人要求在竣工验收前应完成的其他工作的证明材料；</w:t>
                  </w:r>
                </w:p>
                <w:p>
                  <w:pPr>
                    <w:numPr>
                      <w:ilvl w:val="0"/>
                      <w:numId w:val="29"/>
                    </w:numPr>
                    <w:spacing w:after="120" w:afterLines="50" w:line="300" w:lineRule="auto"/>
                    <w:rPr>
                      <w:rFonts w:hint="eastAsia" w:ascii="宋体" w:hAnsi="宋体"/>
                      <w:sz w:val="24"/>
                    </w:rPr>
                  </w:pPr>
                  <w:r>
                    <w:rPr>
                      <w:rFonts w:hint="eastAsia" w:ascii="宋体" w:hAnsi="宋体"/>
                      <w:sz w:val="24"/>
                    </w:rPr>
                    <w:t>监理人要求提交的竣工验收资料清单；</w:t>
                  </w:r>
                </w:p>
                <w:p>
                  <w:pPr>
                    <w:numPr>
                      <w:ilvl w:val="0"/>
                      <w:numId w:val="29"/>
                    </w:numPr>
                    <w:spacing w:after="120" w:afterLines="50" w:line="300" w:lineRule="auto"/>
                    <w:rPr>
                      <w:rFonts w:hint="eastAsia" w:ascii="宋体" w:hAnsi="宋体"/>
                      <w:sz w:val="24"/>
                    </w:rPr>
                  </w:pPr>
                  <w:r>
                    <w:rPr>
                      <w:rFonts w:hint="eastAsia" w:ascii="宋体" w:hAnsi="宋体"/>
                      <w:sz w:val="24"/>
                    </w:rPr>
                    <w:t>通用合同条款第18.4.1项约定的单位工程竣工验收成果和结论文件（如果有）；</w:t>
                  </w:r>
                </w:p>
                <w:p>
                  <w:pPr>
                    <w:numPr>
                      <w:ilvl w:val="0"/>
                      <w:numId w:val="29"/>
                    </w:numPr>
                    <w:spacing w:after="120" w:afterLines="50" w:line="300" w:lineRule="auto"/>
                    <w:rPr>
                      <w:rFonts w:hint="eastAsia" w:ascii="宋体" w:hAnsi="宋体"/>
                      <w:sz w:val="24"/>
                    </w:rPr>
                  </w:pPr>
                  <w:r>
                    <w:rPr>
                      <w:rFonts w:hint="eastAsia" w:ascii="宋体" w:hAnsi="宋体"/>
                      <w:sz w:val="24"/>
                    </w:rPr>
                    <w:t>专用合同条款第19.7款约定的质量保修书（此前已经提交的不再提交）；</w:t>
                  </w:r>
                </w:p>
                <w:p>
                  <w:pPr>
                    <w:numPr>
                      <w:ilvl w:val="0"/>
                      <w:numId w:val="29"/>
                    </w:numPr>
                    <w:spacing w:after="120" w:afterLines="50" w:line="300" w:lineRule="auto"/>
                    <w:rPr>
                      <w:rFonts w:hint="eastAsia" w:ascii="宋体" w:hAnsi="宋体"/>
                      <w:sz w:val="24"/>
                    </w:rPr>
                  </w:pPr>
                  <w:r>
                    <w:rPr>
                      <w:rFonts w:hint="eastAsia" w:ascii="宋体" w:hAnsi="宋体"/>
                      <w:sz w:val="24"/>
                    </w:rPr>
                    <w:t>其他：</w:t>
                  </w:r>
                  <w:r>
                    <w:rPr>
                      <w:rFonts w:hint="eastAsia" w:ascii="宋体" w:hAnsi="宋体"/>
                      <w:sz w:val="24"/>
                      <w:u w:val="single"/>
                    </w:rPr>
                    <w:t>/</w:t>
                  </w:r>
                  <w:r>
                    <w:rPr>
                      <w:rFonts w:hint="eastAsia" w:ascii="宋体" w:hAnsi="宋体"/>
                      <w:sz w:val="24"/>
                    </w:rPr>
                    <w:t>。</w:t>
                  </w:r>
                </w:p>
              </w:tc>
            </w:tr>
          </w:tbl>
          <w:p>
            <w:pPr>
              <w:pStyle w:val="7"/>
              <w:rPr>
                <w:rFonts w:hint="eastAsia" w:hAnsi="宋体" w:cs="Arial"/>
                <w:szCs w:val="24"/>
              </w:rPr>
            </w:pPr>
            <w:bookmarkStart w:id="774" w:name="_Toc27414238"/>
            <w:bookmarkStart w:id="775" w:name="_Toc97744712"/>
            <w:bookmarkStart w:id="776" w:name="_Toc26471964"/>
            <w:r>
              <w:rPr>
                <w:rFonts w:hAnsi="宋体" w:cs="Arial"/>
                <w:szCs w:val="24"/>
                <w:u w:val="none"/>
              </w:rPr>
              <w:t>1</w:t>
            </w:r>
            <w:r>
              <w:rPr>
                <w:rFonts w:hint="eastAsia" w:hAnsi="宋体" w:cs="Arial"/>
                <w:szCs w:val="24"/>
                <w:u w:val="none"/>
              </w:rPr>
              <w:t>6</w:t>
            </w:r>
            <w:r>
              <w:rPr>
                <w:rFonts w:hAnsi="宋体" w:cs="Arial"/>
                <w:szCs w:val="24"/>
                <w:u w:val="none"/>
              </w:rPr>
              <w:t>.</w:t>
            </w:r>
            <w:r>
              <w:rPr>
                <w:rFonts w:hint="eastAsia" w:hAnsi="宋体" w:cs="Arial"/>
                <w:szCs w:val="24"/>
                <w:u w:val="none"/>
              </w:rPr>
              <w:t>其他要求</w:t>
            </w:r>
            <w:bookmarkEnd w:id="733"/>
            <w:bookmarkEnd w:id="734"/>
            <w:bookmarkEnd w:id="735"/>
            <w:bookmarkEnd w:id="774"/>
            <w:bookmarkEnd w:id="775"/>
            <w:bookmarkEnd w:id="776"/>
          </w:p>
          <w:p>
            <w:pPr>
              <w:spacing w:line="360" w:lineRule="auto"/>
              <w:ind w:firstLine="283" w:firstLineChars="118"/>
              <w:rPr>
                <w:rFonts w:hint="eastAsia" w:ascii="宋体" w:hAnsi="宋体" w:cs="宋体"/>
                <w:spacing w:val="-1"/>
                <w:sz w:val="24"/>
              </w:rPr>
            </w:pPr>
            <w:bookmarkStart w:id="777" w:name="_Hlk203062260"/>
            <w:r>
              <w:rPr>
                <w:rFonts w:hint="eastAsia" w:ascii="宋体" w:hAnsi="宋体" w:cs="Segoe UI Symbol"/>
                <w:kern w:val="0"/>
                <w:sz w:val="24"/>
              </w:rPr>
              <w:t>16.1</w:t>
            </w:r>
            <w:r>
              <w:rPr>
                <w:rFonts w:ascii="宋体" w:hAnsi="宋体" w:cs="Segoe UI Symbol"/>
                <w:kern w:val="0"/>
                <w:sz w:val="24"/>
              </w:rPr>
              <w:t>★</w:t>
            </w:r>
            <w:r>
              <w:rPr>
                <w:rFonts w:hint="eastAsia" w:ascii="宋体" w:hAnsi="宋体" w:cs="Segoe UI Symbol"/>
                <w:kern w:val="0"/>
                <w:sz w:val="24"/>
              </w:rPr>
              <w:t>应承诺</w:t>
            </w:r>
            <w:r>
              <w:rPr>
                <w:rFonts w:hint="eastAsia" w:ascii="宋体" w:hAnsi="宋体" w:cs="宋体"/>
                <w:spacing w:val="-1"/>
                <w:sz w:val="24"/>
              </w:rPr>
              <w:t>本项目于</w:t>
            </w:r>
            <w:r>
              <w:rPr>
                <w:rFonts w:hint="eastAsia" w:ascii="宋体" w:hAnsi="宋体" w:cs="宋体"/>
                <w:spacing w:val="-1"/>
                <w:sz w:val="24"/>
                <w:u w:val="single"/>
              </w:rPr>
              <w:t>2025年8月20日</w:t>
            </w:r>
            <w:r>
              <w:rPr>
                <w:rFonts w:hint="eastAsia" w:ascii="宋体" w:hAnsi="宋体" w:cs="宋体"/>
                <w:spacing w:val="-1"/>
                <w:sz w:val="24"/>
              </w:rPr>
              <w:t>前全部完工并移交给发包人</w:t>
            </w:r>
            <w:bookmarkEnd w:id="777"/>
            <w:r>
              <w:rPr>
                <w:rFonts w:hint="eastAsia" w:ascii="宋体" w:hAnsi="宋体" w:cs="宋体"/>
                <w:spacing w:val="-1"/>
                <w:sz w:val="24"/>
              </w:rPr>
              <w:t xml:space="preserve">。 </w:t>
            </w:r>
          </w:p>
          <w:p>
            <w:pPr>
              <w:spacing w:line="360" w:lineRule="auto"/>
              <w:ind w:firstLine="360" w:firstLineChars="150"/>
              <w:rPr>
                <w:rFonts w:hint="eastAsia" w:ascii="宋体" w:hAnsi="宋体"/>
                <w:sz w:val="24"/>
              </w:rPr>
            </w:pPr>
            <w:r>
              <w:rPr>
                <w:rFonts w:hint="eastAsia" w:ascii="宋体" w:hAnsi="宋体"/>
                <w:sz w:val="24"/>
              </w:rPr>
              <w:t>16.2负责阻止与本工程无关的任何未经授权的人员进入现场；</w:t>
            </w:r>
          </w:p>
          <w:p>
            <w:pPr>
              <w:spacing w:line="360" w:lineRule="auto"/>
              <w:ind w:firstLine="360" w:firstLineChars="150"/>
              <w:rPr>
                <w:rFonts w:hint="eastAsia" w:ascii="宋体" w:hAnsi="宋体"/>
                <w:sz w:val="24"/>
              </w:rPr>
            </w:pPr>
            <w:r>
              <w:rPr>
                <w:rFonts w:hint="eastAsia" w:ascii="宋体" w:hAnsi="宋体"/>
                <w:sz w:val="24"/>
              </w:rPr>
              <w:t>16.3采取合理的预防措施，防止现场内发生任何违法暴乱或妨害治安的行为，并保护工程周围公众和其他人员及其财产不受现场内上述行为的危害。</w:t>
            </w:r>
          </w:p>
          <w:p>
            <w:pPr>
              <w:pStyle w:val="7"/>
              <w:rPr>
                <w:rFonts w:hint="eastAsia" w:hAnsi="宋体" w:cs="Arial"/>
                <w:sz w:val="28"/>
                <w:szCs w:val="28"/>
              </w:rPr>
            </w:pPr>
            <w:r>
              <w:rPr>
                <w:rFonts w:hint="eastAsia" w:hAnsi="宋体" w:cs="Arial"/>
                <w:sz w:val="28"/>
                <w:szCs w:val="28"/>
                <w:u w:val="none"/>
              </w:rPr>
              <w:t>17.图纸和工程量清单（另附）</w:t>
            </w:r>
          </w:p>
          <w:p>
            <w:pPr>
              <w:pStyle w:val="6"/>
              <w:ind w:firstLine="480"/>
              <w:rPr>
                <w:rFonts w:hint="eastAsia" w:hAnsi="宋体"/>
              </w:rPr>
            </w:pPr>
          </w:p>
          <w:p>
            <w:pPr>
              <w:pStyle w:val="6"/>
              <w:ind w:firstLine="480"/>
              <w:rPr>
                <w:rFonts w:hint="eastAsia" w:hAnsi="宋体"/>
              </w:rPr>
            </w:pPr>
          </w:p>
          <w:p>
            <w:pPr>
              <w:pStyle w:val="6"/>
              <w:ind w:firstLine="480"/>
              <w:rPr>
                <w:rFonts w:hint="eastAsia" w:hAnsi="宋体"/>
              </w:rPr>
            </w:pPr>
          </w:p>
          <w:p>
            <w:pPr>
              <w:pStyle w:val="6"/>
              <w:ind w:firstLine="480"/>
              <w:rPr>
                <w:rFonts w:hint="eastAsia" w:hAnsi="宋体"/>
              </w:rPr>
            </w:pPr>
          </w:p>
        </w:tc>
      </w:tr>
    </w:tbl>
    <w:p>
      <w:pPr>
        <w:spacing w:line="360" w:lineRule="auto"/>
        <w:jc w:val="center"/>
        <w:outlineLvl w:val="0"/>
        <w:rPr>
          <w:rFonts w:ascii="宋体" w:hAnsi="宋体"/>
          <w:b/>
          <w:sz w:val="36"/>
          <w:szCs w:val="36"/>
        </w:rPr>
        <w:sectPr>
          <w:pgSz w:w="11907" w:h="16839"/>
          <w:pgMar w:top="1418" w:right="1134" w:bottom="1134" w:left="1418" w:header="720" w:footer="720" w:gutter="0"/>
          <w:cols w:space="720" w:num="1"/>
        </w:sectPr>
      </w:pPr>
    </w:p>
    <w:p>
      <w:pPr>
        <w:spacing w:line="360" w:lineRule="auto"/>
        <w:jc w:val="center"/>
        <w:outlineLvl w:val="0"/>
        <w:rPr>
          <w:rFonts w:ascii="宋体" w:hAnsi="宋体"/>
          <w:b/>
          <w:sz w:val="36"/>
          <w:szCs w:val="36"/>
        </w:rPr>
      </w:pPr>
      <w:r>
        <w:rPr>
          <w:rFonts w:ascii="宋体" w:hAnsi="宋体"/>
          <w:b/>
          <w:sz w:val="36"/>
          <w:szCs w:val="36"/>
        </w:rPr>
        <w:t xml:space="preserve">第五章   </w:t>
      </w:r>
      <w:bookmarkEnd w:id="668"/>
      <w:r>
        <w:rPr>
          <w:rFonts w:ascii="宋体" w:hAnsi="宋体"/>
          <w:b/>
          <w:sz w:val="36"/>
          <w:szCs w:val="36"/>
        </w:rPr>
        <w:t>合同</w:t>
      </w:r>
      <w:r>
        <w:rPr>
          <w:rFonts w:hint="eastAsia" w:ascii="宋体" w:hAnsi="宋体"/>
          <w:b/>
          <w:sz w:val="36"/>
          <w:szCs w:val="36"/>
        </w:rPr>
        <w:t>草案条款</w:t>
      </w:r>
    </w:p>
    <w:p>
      <w:pPr>
        <w:jc w:val="center"/>
        <w:rPr>
          <w:rFonts w:hint="eastAsia" w:ascii="宋体" w:hAnsi="宋体"/>
          <w:sz w:val="32"/>
          <w:szCs w:val="32"/>
        </w:rPr>
      </w:pPr>
    </w:p>
    <w:p>
      <w:pPr>
        <w:spacing w:line="360" w:lineRule="auto"/>
        <w:jc w:val="center"/>
        <w:outlineLvl w:val="0"/>
        <w:rPr>
          <w:rFonts w:ascii="宋体" w:hAnsi="宋体"/>
          <w:b/>
          <w:sz w:val="36"/>
          <w:szCs w:val="36"/>
        </w:rPr>
      </w:pPr>
      <w:r>
        <w:rPr>
          <w:rFonts w:hint="eastAsia" w:ascii="宋体" w:hAnsi="宋体"/>
          <w:b/>
          <w:sz w:val="24"/>
        </w:rPr>
        <w:t xml:space="preserve"> </w:t>
      </w:r>
      <w:r>
        <w:rPr>
          <w:rFonts w:hint="eastAsia" w:ascii="宋体" w:hAnsi="宋体"/>
          <w:b/>
          <w:sz w:val="36"/>
          <w:szCs w:val="36"/>
        </w:rPr>
        <w:t>施工合同文件</w:t>
      </w: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sz w:val="28"/>
          <w:szCs w:val="36"/>
        </w:rPr>
      </w:pPr>
      <w:r>
        <w:rPr>
          <w:rFonts w:hint="eastAsia" w:ascii="宋体" w:hAnsi="宋体"/>
          <w:sz w:val="28"/>
          <w:szCs w:val="36"/>
        </w:rPr>
        <w:t>发包人：</w:t>
      </w:r>
    </w:p>
    <w:p>
      <w:pPr>
        <w:spacing w:after="160" w:line="278" w:lineRule="auto"/>
        <w:rPr>
          <w:rFonts w:ascii="宋体" w:hAnsi="宋体"/>
          <w:sz w:val="28"/>
          <w:szCs w:val="36"/>
        </w:rPr>
      </w:pPr>
    </w:p>
    <w:p>
      <w:pPr>
        <w:spacing w:after="160" w:line="278" w:lineRule="auto"/>
        <w:rPr>
          <w:rFonts w:ascii="宋体" w:hAnsi="宋体"/>
          <w:sz w:val="28"/>
          <w:szCs w:val="36"/>
        </w:rPr>
      </w:pPr>
      <w:r>
        <w:rPr>
          <w:rFonts w:hint="eastAsia" w:ascii="宋体" w:hAnsi="宋体"/>
          <w:sz w:val="28"/>
          <w:szCs w:val="36"/>
        </w:rPr>
        <w:t>承包人：</w:t>
      </w:r>
    </w:p>
    <w:p>
      <w:pPr>
        <w:spacing w:after="160" w:line="278" w:lineRule="auto"/>
        <w:rPr>
          <w:rFonts w:ascii="宋体" w:hAnsi="宋体"/>
          <w:sz w:val="28"/>
          <w:szCs w:val="36"/>
        </w:rPr>
      </w:pPr>
    </w:p>
    <w:p>
      <w:pPr>
        <w:spacing w:after="160" w:line="278" w:lineRule="auto"/>
        <w:rPr>
          <w:rFonts w:ascii="宋体" w:hAnsi="宋体"/>
          <w:sz w:val="28"/>
          <w:szCs w:val="36"/>
        </w:rPr>
      </w:pPr>
    </w:p>
    <w:p>
      <w:pPr>
        <w:spacing w:after="160" w:line="278" w:lineRule="auto"/>
        <w:jc w:val="center"/>
        <w:rPr>
          <w:rFonts w:ascii="宋体" w:hAnsi="宋体"/>
          <w:sz w:val="28"/>
          <w:szCs w:val="36"/>
        </w:rPr>
      </w:pPr>
      <w:r>
        <w:rPr>
          <w:rFonts w:hint="eastAsia" w:ascii="宋体" w:hAnsi="宋体"/>
          <w:sz w:val="28"/>
          <w:szCs w:val="36"/>
        </w:rPr>
        <w:t>2025年  月</w:t>
      </w:r>
    </w:p>
    <w:p>
      <w:pPr>
        <w:spacing w:after="160" w:line="278" w:lineRule="auto"/>
        <w:rPr>
          <w:rFonts w:ascii="宋体" w:hAnsi="宋体"/>
        </w:rPr>
      </w:pPr>
      <w:r>
        <w:rPr>
          <w:rFonts w:ascii="宋体" w:hAnsi="宋体"/>
        </w:rPr>
        <w:br w:type="page"/>
      </w:r>
    </w:p>
    <w:p>
      <w:pPr>
        <w:spacing w:after="160" w:line="278" w:lineRule="auto"/>
        <w:rPr>
          <w:rFonts w:ascii="宋体" w:hAnsi="宋体"/>
        </w:rPr>
      </w:pPr>
    </w:p>
    <w:p>
      <w:pPr>
        <w:spacing w:after="160" w:line="278" w:lineRule="auto"/>
        <w:jc w:val="center"/>
        <w:rPr>
          <w:rFonts w:ascii="宋体" w:hAnsi="宋体"/>
          <w:b/>
          <w:bCs/>
          <w:sz w:val="28"/>
          <w:szCs w:val="36"/>
        </w:rPr>
      </w:pPr>
      <w:r>
        <w:rPr>
          <w:rFonts w:hint="eastAsia" w:ascii="宋体" w:hAnsi="宋体"/>
          <w:b/>
          <w:bCs/>
          <w:sz w:val="28"/>
          <w:szCs w:val="36"/>
        </w:rPr>
        <w:t>目    录</w:t>
      </w:r>
    </w:p>
    <w:p>
      <w:pPr>
        <w:spacing w:after="160" w:line="278" w:lineRule="auto"/>
        <w:rPr>
          <w:rFonts w:ascii="宋体" w:hAnsi="宋体"/>
          <w:b/>
          <w:bCs/>
        </w:rPr>
      </w:pPr>
      <w:r>
        <w:rPr>
          <w:rFonts w:ascii="宋体" w:hAnsi="宋体"/>
          <w:b/>
          <w:bCs/>
        </w:rPr>
        <w:t>第一</w:t>
      </w:r>
      <w:r>
        <w:rPr>
          <w:rFonts w:hint="eastAsia" w:ascii="宋体" w:hAnsi="宋体"/>
          <w:b/>
          <w:bCs/>
        </w:rPr>
        <w:t xml:space="preserve">节 </w:t>
      </w:r>
      <w:r>
        <w:rPr>
          <w:rFonts w:ascii="宋体" w:hAnsi="宋体"/>
          <w:b/>
          <w:bCs/>
        </w:rPr>
        <w:t>合同协议书</w:t>
      </w:r>
    </w:p>
    <w:p>
      <w:pPr>
        <w:spacing w:after="160" w:line="278" w:lineRule="auto"/>
        <w:rPr>
          <w:rFonts w:ascii="宋体" w:hAnsi="宋体"/>
          <w:b/>
          <w:bCs/>
        </w:rPr>
      </w:pPr>
      <w:r>
        <w:rPr>
          <w:rFonts w:hint="eastAsia" w:ascii="宋体" w:hAnsi="宋体"/>
          <w:b/>
          <w:bCs/>
        </w:rPr>
        <w:t>第二节 合同条款通用部分</w:t>
      </w:r>
    </w:p>
    <w:p>
      <w:pPr>
        <w:spacing w:after="160" w:line="278" w:lineRule="auto"/>
        <w:rPr>
          <w:rFonts w:ascii="宋体" w:hAnsi="宋体"/>
          <w:b/>
          <w:bCs/>
        </w:rPr>
      </w:pPr>
      <w:r>
        <w:rPr>
          <w:rFonts w:hint="eastAsia" w:ascii="宋体" w:hAnsi="宋体"/>
          <w:b/>
          <w:bCs/>
        </w:rPr>
        <w:t>第三节 合同条款专用部分</w:t>
      </w:r>
    </w:p>
    <w:p>
      <w:pPr>
        <w:spacing w:after="160" w:line="278" w:lineRule="auto"/>
        <w:rPr>
          <w:rFonts w:ascii="宋体" w:hAnsi="宋体"/>
          <w:b/>
          <w:bCs/>
        </w:rPr>
      </w:pPr>
      <w:r>
        <w:rPr>
          <w:rFonts w:hint="eastAsia" w:ascii="宋体" w:hAnsi="宋体"/>
          <w:b/>
          <w:bCs/>
        </w:rPr>
        <w:t>第四节 工程质量保证书</w:t>
      </w:r>
    </w:p>
    <w:p>
      <w:pPr>
        <w:spacing w:after="160" w:line="278" w:lineRule="auto"/>
        <w:rPr>
          <w:rFonts w:ascii="宋体" w:hAnsi="宋体"/>
          <w:b/>
          <w:bCs/>
        </w:rPr>
      </w:pPr>
      <w:r>
        <w:rPr>
          <w:rFonts w:hint="eastAsia" w:ascii="宋体" w:hAnsi="宋体"/>
          <w:b/>
          <w:bCs/>
        </w:rPr>
        <w:t>第五节 工程廉政责任书</w:t>
      </w:r>
    </w:p>
    <w:p>
      <w:pPr>
        <w:spacing w:after="160" w:line="278" w:lineRule="auto"/>
        <w:rPr>
          <w:rFonts w:ascii="宋体" w:hAnsi="宋体"/>
          <w:b/>
          <w:bCs/>
        </w:rPr>
      </w:pPr>
      <w:r>
        <w:rPr>
          <w:rFonts w:hint="eastAsia" w:ascii="宋体" w:hAnsi="宋体"/>
          <w:b/>
          <w:bCs/>
        </w:rPr>
        <w:t>第六节 中标通知书</w:t>
      </w:r>
    </w:p>
    <w:p>
      <w:pPr>
        <w:spacing w:after="160" w:line="278" w:lineRule="auto"/>
        <w:rPr>
          <w:rFonts w:ascii="宋体" w:hAnsi="宋体"/>
          <w:b/>
          <w:bCs/>
        </w:rPr>
      </w:pPr>
      <w:r>
        <w:rPr>
          <w:rFonts w:hint="eastAsia" w:ascii="宋体" w:hAnsi="宋体"/>
          <w:b/>
          <w:bCs/>
        </w:rPr>
        <w:t>第七节 施工安全协议书</w:t>
      </w:r>
    </w:p>
    <w:p>
      <w:pPr>
        <w:spacing w:after="160" w:line="278" w:lineRule="auto"/>
        <w:rPr>
          <w:rFonts w:ascii="宋体" w:hAnsi="宋体"/>
          <w:b/>
          <w:bCs/>
        </w:rPr>
      </w:pPr>
      <w:r>
        <w:rPr>
          <w:rFonts w:hint="eastAsia" w:ascii="宋体" w:hAnsi="宋体"/>
          <w:b/>
          <w:bCs/>
        </w:rPr>
        <w:t>第八节 合同附件</w:t>
      </w:r>
    </w:p>
    <w:p>
      <w:pPr>
        <w:spacing w:after="160" w:line="278" w:lineRule="auto"/>
        <w:rPr>
          <w:rFonts w:ascii="宋体" w:hAnsi="宋体"/>
        </w:rPr>
      </w:pPr>
      <w:r>
        <w:rPr>
          <w:rFonts w:ascii="宋体" w:hAnsi="宋体"/>
        </w:rPr>
        <w:br w:type="page"/>
      </w:r>
    </w:p>
    <w:p>
      <w:pPr>
        <w:spacing w:after="160" w:line="278" w:lineRule="auto"/>
        <w:outlineLvl w:val="1"/>
        <w:rPr>
          <w:rFonts w:ascii="宋体" w:hAnsi="宋体"/>
          <w:b/>
          <w:bCs/>
          <w:sz w:val="24"/>
          <w:szCs w:val="32"/>
        </w:rPr>
      </w:pPr>
      <w:r>
        <w:rPr>
          <w:rFonts w:ascii="宋体" w:hAnsi="宋体"/>
          <w:b/>
          <w:bCs/>
          <w:sz w:val="24"/>
          <w:szCs w:val="32"/>
        </w:rPr>
        <w:t>第一</w:t>
      </w:r>
      <w:r>
        <w:rPr>
          <w:rFonts w:hint="eastAsia" w:ascii="宋体" w:hAnsi="宋体"/>
          <w:b/>
          <w:bCs/>
          <w:sz w:val="24"/>
          <w:szCs w:val="32"/>
        </w:rPr>
        <w:t xml:space="preserve">节 </w:t>
      </w:r>
      <w:r>
        <w:rPr>
          <w:rFonts w:ascii="宋体" w:hAnsi="宋体"/>
          <w:b/>
          <w:bCs/>
          <w:sz w:val="24"/>
          <w:szCs w:val="32"/>
        </w:rPr>
        <w:t>合同协议书</w:t>
      </w:r>
    </w:p>
    <w:p>
      <w:pPr>
        <w:spacing w:after="160" w:line="278" w:lineRule="auto"/>
        <w:rPr>
          <w:rFonts w:ascii="宋体" w:hAnsi="宋体"/>
          <w:b/>
          <w:bCs/>
          <w:sz w:val="24"/>
          <w:szCs w:val="32"/>
        </w:rPr>
      </w:pPr>
    </w:p>
    <w:p>
      <w:pPr>
        <w:spacing w:after="160" w:line="278" w:lineRule="auto"/>
        <w:jc w:val="center"/>
        <w:rPr>
          <w:rFonts w:ascii="宋体" w:hAnsi="宋体"/>
          <w:b/>
          <w:bCs/>
          <w:sz w:val="24"/>
          <w:szCs w:val="32"/>
        </w:rPr>
      </w:pPr>
      <w:bookmarkStart w:id="778" w:name="_Toc142385525"/>
      <w:r>
        <w:rPr>
          <w:rFonts w:hint="eastAsia" w:ascii="宋体" w:hAnsi="宋体"/>
          <w:b/>
          <w:bCs/>
          <w:sz w:val="24"/>
          <w:szCs w:val="32"/>
        </w:rPr>
        <w:t>合同协议书</w:t>
      </w:r>
      <w:bookmarkEnd w:id="778"/>
    </w:p>
    <w:p>
      <w:pPr>
        <w:spacing w:after="160" w:line="278" w:lineRule="auto"/>
        <w:rPr>
          <w:rFonts w:ascii="宋体" w:hAnsi="宋体"/>
        </w:rPr>
      </w:pPr>
      <w:r>
        <w:rPr>
          <w:rFonts w:ascii="宋体" w:hAnsi="宋体"/>
        </w:rPr>
        <w:t xml:space="preserve">                                                    </w:t>
      </w:r>
    </w:p>
    <w:p>
      <w:pPr>
        <w:spacing w:after="160" w:line="278" w:lineRule="auto"/>
        <w:rPr>
          <w:rFonts w:ascii="宋体" w:hAnsi="宋体"/>
          <w:sz w:val="22"/>
          <w:szCs w:val="28"/>
        </w:rPr>
      </w:pPr>
      <w:r>
        <w:rPr>
          <w:rFonts w:ascii="宋体" w:hAnsi="宋体"/>
          <w:sz w:val="22"/>
          <w:szCs w:val="28"/>
        </w:rPr>
        <w:t>发包人</w:t>
      </w:r>
      <w:r>
        <w:rPr>
          <w:rFonts w:hint="eastAsia" w:ascii="宋体" w:hAnsi="宋体"/>
          <w:sz w:val="22"/>
          <w:szCs w:val="28"/>
        </w:rPr>
        <w:t>（甲方）</w:t>
      </w:r>
      <w:r>
        <w:rPr>
          <w:rFonts w:ascii="宋体" w:hAnsi="宋体"/>
          <w:sz w:val="22"/>
          <w:szCs w:val="28"/>
        </w:rPr>
        <w:t>（全称）：</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承包人</w:t>
      </w:r>
      <w:r>
        <w:rPr>
          <w:rFonts w:hint="eastAsia" w:ascii="宋体" w:hAnsi="宋体"/>
          <w:sz w:val="22"/>
          <w:szCs w:val="28"/>
        </w:rPr>
        <w:t>（乙方）</w:t>
      </w:r>
      <w:r>
        <w:rPr>
          <w:rFonts w:ascii="宋体" w:hAnsi="宋体"/>
          <w:sz w:val="22"/>
          <w:szCs w:val="28"/>
        </w:rPr>
        <w:t xml:space="preserve">（全称）： </w:t>
      </w:r>
      <w:r>
        <w:rPr>
          <w:rFonts w:hint="eastAsia" w:ascii="宋体" w:hAnsi="宋体"/>
          <w:sz w:val="22"/>
          <w:szCs w:val="28"/>
        </w:rPr>
        <w:t xml:space="preserve">            </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发包人为建设</w:t>
      </w:r>
      <w:r>
        <w:rPr>
          <w:rFonts w:hint="eastAsia" w:ascii="宋体" w:hAnsi="宋体"/>
          <w:sz w:val="22"/>
          <w:szCs w:val="28"/>
          <w:u w:val="single"/>
        </w:rPr>
        <w:t xml:space="preserve">                             </w:t>
      </w:r>
      <w:r>
        <w:rPr>
          <w:rFonts w:hint="eastAsia" w:ascii="宋体" w:hAnsi="宋体"/>
          <w:sz w:val="22"/>
          <w:szCs w:val="28"/>
        </w:rPr>
        <w:t xml:space="preserve">工程 </w:t>
      </w:r>
      <w:r>
        <w:rPr>
          <w:rFonts w:ascii="宋体" w:hAnsi="宋体"/>
          <w:sz w:val="22"/>
          <w:szCs w:val="28"/>
        </w:rPr>
        <w:t>（以下简称“本工程”）。依照《中华人民共和国招标投标法》、《中华人民共和国</w:t>
      </w:r>
      <w:r>
        <w:rPr>
          <w:rFonts w:hint="eastAsia" w:ascii="宋体" w:hAnsi="宋体"/>
          <w:sz w:val="22"/>
          <w:szCs w:val="28"/>
        </w:rPr>
        <w:t>民法典</w:t>
      </w:r>
      <w:r>
        <w:rPr>
          <w:rFonts w:ascii="宋体" w:hAnsi="宋体"/>
          <w:sz w:val="22"/>
          <w:szCs w:val="28"/>
        </w:rPr>
        <w:t>》、《中华人民共和国建筑法》、及其他有关法律、行政法规，遵循平等、自愿、公平和诚实信用的原则，双方共同达成并订立如下协议。</w:t>
      </w:r>
    </w:p>
    <w:p>
      <w:pPr>
        <w:spacing w:after="160" w:line="278" w:lineRule="auto"/>
        <w:rPr>
          <w:rFonts w:ascii="宋体" w:hAnsi="宋体"/>
          <w:sz w:val="22"/>
          <w:szCs w:val="28"/>
        </w:rPr>
      </w:pPr>
      <w:r>
        <w:rPr>
          <w:rFonts w:hint="eastAsia" w:ascii="宋体" w:hAnsi="宋体"/>
          <w:sz w:val="22"/>
          <w:szCs w:val="28"/>
        </w:rPr>
        <w:t>一、工程概况</w:t>
      </w:r>
    </w:p>
    <w:p>
      <w:pPr>
        <w:spacing w:after="160" w:line="278" w:lineRule="auto"/>
        <w:rPr>
          <w:rFonts w:ascii="宋体" w:hAnsi="宋体"/>
          <w:sz w:val="22"/>
          <w:szCs w:val="28"/>
        </w:rPr>
      </w:pPr>
      <w:r>
        <w:rPr>
          <w:rFonts w:ascii="宋体" w:hAnsi="宋体"/>
          <w:sz w:val="22"/>
          <w:szCs w:val="28"/>
        </w:rPr>
        <w:t>工程名称：</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工程地点：</w:t>
      </w:r>
      <w:r>
        <w:rPr>
          <w:rFonts w:hint="eastAsia" w:ascii="宋体" w:hAnsi="宋体"/>
          <w:sz w:val="22"/>
          <w:szCs w:val="28"/>
          <w:u w:val="single"/>
        </w:rPr>
        <w:t xml:space="preserve">              </w:t>
      </w:r>
    </w:p>
    <w:p>
      <w:pPr>
        <w:spacing w:after="160" w:line="278" w:lineRule="auto"/>
        <w:rPr>
          <w:rFonts w:ascii="宋体" w:hAnsi="宋体"/>
          <w:sz w:val="22"/>
          <w:szCs w:val="28"/>
        </w:rPr>
      </w:pPr>
      <w:r>
        <w:rPr>
          <w:rFonts w:ascii="宋体" w:hAnsi="宋体"/>
          <w:sz w:val="22"/>
          <w:szCs w:val="28"/>
        </w:rPr>
        <w:t>工程内容：</w:t>
      </w:r>
      <w:r>
        <w:rPr>
          <w:rFonts w:hint="eastAsia" w:ascii="宋体" w:hAnsi="宋体"/>
          <w:sz w:val="22"/>
          <w:szCs w:val="28"/>
        </w:rPr>
        <w:t>包括但不限于电气工程、给排水工程、建筑工程、弱电工程、通风空调工程、消防工程、室内装修工程等工程量清单及图纸所示范围内的全部工作内容。</w:t>
      </w:r>
    </w:p>
    <w:p>
      <w:pPr>
        <w:spacing w:after="160" w:line="278" w:lineRule="auto"/>
        <w:rPr>
          <w:rFonts w:ascii="宋体" w:hAnsi="宋体"/>
          <w:sz w:val="22"/>
          <w:szCs w:val="28"/>
        </w:rPr>
      </w:pPr>
      <w:r>
        <w:rPr>
          <w:rFonts w:ascii="宋体" w:hAnsi="宋体"/>
          <w:sz w:val="22"/>
          <w:szCs w:val="28"/>
        </w:rPr>
        <w:t>工程立项批准文号：</w:t>
      </w:r>
      <w:r>
        <w:rPr>
          <w:rFonts w:ascii="宋体" w:hAnsi="宋体"/>
          <w:sz w:val="22"/>
          <w:szCs w:val="28"/>
          <w:u w:val="single"/>
        </w:rPr>
        <w:t xml:space="preserve">             /             </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资金来源：</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二、工程承包范围</w:t>
      </w:r>
    </w:p>
    <w:p>
      <w:pPr>
        <w:spacing w:after="160" w:line="278" w:lineRule="auto"/>
        <w:rPr>
          <w:rFonts w:ascii="宋体" w:hAnsi="宋体"/>
          <w:sz w:val="22"/>
          <w:szCs w:val="28"/>
        </w:rPr>
      </w:pPr>
      <w:r>
        <w:rPr>
          <w:rFonts w:ascii="宋体" w:hAnsi="宋体"/>
          <w:sz w:val="22"/>
          <w:szCs w:val="28"/>
        </w:rPr>
        <w:t>承包范围：完成工程量清单所列内容。</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详细承包范围见“技术标准和要求”。</w:t>
      </w:r>
    </w:p>
    <w:p>
      <w:pPr>
        <w:spacing w:after="160" w:line="278" w:lineRule="auto"/>
        <w:rPr>
          <w:rFonts w:ascii="宋体" w:hAnsi="宋体"/>
          <w:sz w:val="22"/>
          <w:szCs w:val="28"/>
        </w:rPr>
      </w:pPr>
      <w:r>
        <w:rPr>
          <w:rFonts w:hint="eastAsia" w:ascii="宋体" w:hAnsi="宋体"/>
          <w:sz w:val="22"/>
          <w:szCs w:val="28"/>
        </w:rPr>
        <w:t>三、合同工期</w:t>
      </w:r>
    </w:p>
    <w:p>
      <w:pPr>
        <w:spacing w:after="160" w:line="278" w:lineRule="auto"/>
        <w:rPr>
          <w:rFonts w:ascii="宋体" w:hAnsi="宋体"/>
          <w:sz w:val="22"/>
          <w:szCs w:val="28"/>
        </w:rPr>
      </w:pPr>
      <w:r>
        <w:rPr>
          <w:rFonts w:ascii="宋体" w:hAnsi="宋体"/>
          <w:sz w:val="22"/>
          <w:szCs w:val="28"/>
        </w:rPr>
        <w:t xml:space="preserve">计划开工日期： </w:t>
      </w:r>
      <w:r>
        <w:rPr>
          <w:rFonts w:ascii="宋体" w:hAnsi="宋体"/>
          <w:sz w:val="22"/>
          <w:szCs w:val="28"/>
          <w:u w:val="single"/>
        </w:rPr>
        <w:t xml:space="preserve"> </w:t>
      </w:r>
      <w:r>
        <w:rPr>
          <w:rFonts w:hint="eastAsia" w:ascii="宋体" w:hAnsi="宋体"/>
          <w:sz w:val="22"/>
          <w:szCs w:val="28"/>
          <w:u w:val="single"/>
        </w:rPr>
        <w:t>2025</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rPr>
        <w:t>年</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月</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rPr>
        <w:t>日</w:t>
      </w:r>
    </w:p>
    <w:p>
      <w:pPr>
        <w:spacing w:after="160" w:line="278" w:lineRule="auto"/>
        <w:rPr>
          <w:rFonts w:ascii="宋体" w:hAnsi="宋体"/>
          <w:sz w:val="22"/>
          <w:szCs w:val="28"/>
        </w:rPr>
      </w:pPr>
      <w:r>
        <w:rPr>
          <w:rFonts w:ascii="宋体" w:hAnsi="宋体"/>
          <w:sz w:val="22"/>
          <w:szCs w:val="28"/>
        </w:rPr>
        <w:t>计划竣工日期：</w:t>
      </w:r>
      <w:r>
        <w:rPr>
          <w:rFonts w:ascii="宋体" w:hAnsi="宋体"/>
          <w:sz w:val="22"/>
          <w:szCs w:val="28"/>
          <w:u w:val="single"/>
        </w:rPr>
        <w:t xml:space="preserve">  </w:t>
      </w:r>
      <w:r>
        <w:rPr>
          <w:rFonts w:hint="eastAsia" w:ascii="宋体" w:hAnsi="宋体"/>
          <w:sz w:val="22"/>
          <w:szCs w:val="28"/>
          <w:u w:val="single"/>
        </w:rPr>
        <w:t>2025</w:t>
      </w:r>
      <w:r>
        <w:rPr>
          <w:rFonts w:ascii="宋体" w:hAnsi="宋体"/>
          <w:sz w:val="22"/>
          <w:szCs w:val="28"/>
          <w:u w:val="single"/>
        </w:rPr>
        <w:t xml:space="preserve"> </w:t>
      </w:r>
      <w:r>
        <w:rPr>
          <w:rFonts w:ascii="宋体" w:hAnsi="宋体"/>
          <w:sz w:val="22"/>
          <w:szCs w:val="28"/>
        </w:rPr>
        <w:t>年</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月</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日</w:t>
      </w:r>
    </w:p>
    <w:p>
      <w:pPr>
        <w:spacing w:after="160" w:line="278" w:lineRule="auto"/>
        <w:rPr>
          <w:rFonts w:ascii="宋体" w:hAnsi="宋体"/>
          <w:sz w:val="22"/>
          <w:szCs w:val="28"/>
        </w:rPr>
      </w:pPr>
      <w:r>
        <w:rPr>
          <w:rFonts w:ascii="宋体" w:hAnsi="宋体"/>
          <w:sz w:val="22"/>
          <w:szCs w:val="28"/>
        </w:rPr>
        <w:t>工期总日历天数</w:t>
      </w:r>
      <w:r>
        <w:rPr>
          <w:rFonts w:ascii="宋体" w:hAnsi="宋体"/>
          <w:sz w:val="22"/>
          <w:szCs w:val="28"/>
          <w:u w:val="single"/>
        </w:rPr>
        <w:t xml:space="preserve">    </w:t>
      </w:r>
      <w:r>
        <w:rPr>
          <w:rFonts w:ascii="宋体" w:hAnsi="宋体"/>
          <w:sz w:val="22"/>
          <w:szCs w:val="28"/>
        </w:rPr>
        <w:t>天，自监理人发出的开工通知中载明的开工日期起算。</w:t>
      </w:r>
    </w:p>
    <w:p>
      <w:pPr>
        <w:spacing w:after="160" w:line="278" w:lineRule="auto"/>
        <w:rPr>
          <w:rFonts w:ascii="宋体" w:hAnsi="宋体"/>
          <w:sz w:val="22"/>
          <w:szCs w:val="28"/>
        </w:rPr>
      </w:pPr>
      <w:r>
        <w:rPr>
          <w:rFonts w:hint="eastAsia" w:ascii="宋体" w:hAnsi="宋体"/>
          <w:sz w:val="22"/>
          <w:szCs w:val="28"/>
        </w:rPr>
        <w:t>四、质量标准</w:t>
      </w:r>
    </w:p>
    <w:p>
      <w:pPr>
        <w:spacing w:after="160" w:line="278" w:lineRule="auto"/>
        <w:rPr>
          <w:rFonts w:ascii="宋体" w:hAnsi="宋体"/>
          <w:sz w:val="22"/>
          <w:szCs w:val="28"/>
        </w:rPr>
      </w:pPr>
      <w:r>
        <w:rPr>
          <w:rFonts w:ascii="宋体" w:hAnsi="宋体"/>
          <w:sz w:val="22"/>
          <w:szCs w:val="28"/>
        </w:rPr>
        <w:t>工程质量标准：</w:t>
      </w:r>
      <w:r>
        <w:rPr>
          <w:rFonts w:ascii="宋体" w:hAnsi="宋体"/>
          <w:sz w:val="22"/>
          <w:szCs w:val="28"/>
          <w:u w:val="single"/>
        </w:rPr>
        <w:t xml:space="preserve">    合格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五、合同形式</w:t>
      </w:r>
    </w:p>
    <w:p>
      <w:pPr>
        <w:spacing w:after="160" w:line="278" w:lineRule="auto"/>
        <w:rPr>
          <w:rFonts w:ascii="宋体" w:hAnsi="宋体"/>
          <w:sz w:val="22"/>
          <w:szCs w:val="28"/>
        </w:rPr>
      </w:pPr>
      <w:r>
        <w:rPr>
          <w:rFonts w:ascii="宋体" w:hAnsi="宋体"/>
          <w:sz w:val="22"/>
          <w:szCs w:val="28"/>
        </w:rPr>
        <w:t>本合同采用</w:t>
      </w:r>
      <w:r>
        <w:rPr>
          <w:rFonts w:ascii="宋体" w:hAnsi="宋体"/>
          <w:sz w:val="22"/>
          <w:szCs w:val="28"/>
          <w:u w:val="single"/>
        </w:rPr>
        <w:t xml:space="preserve">    </w:t>
      </w:r>
      <w:r>
        <w:rPr>
          <w:rFonts w:hint="eastAsia" w:ascii="宋体" w:hAnsi="宋体"/>
          <w:sz w:val="22"/>
          <w:szCs w:val="28"/>
          <w:u w:val="single"/>
        </w:rPr>
        <w:t>固定单价合同</w:t>
      </w:r>
      <w:r>
        <w:rPr>
          <w:rFonts w:ascii="宋体" w:hAnsi="宋体"/>
          <w:sz w:val="22"/>
          <w:szCs w:val="28"/>
          <w:u w:val="single"/>
        </w:rPr>
        <w:t xml:space="preserve">   </w:t>
      </w:r>
      <w:r>
        <w:rPr>
          <w:rFonts w:ascii="宋体" w:hAnsi="宋体"/>
          <w:sz w:val="22"/>
          <w:szCs w:val="28"/>
        </w:rPr>
        <w:t>合同形式。</w:t>
      </w:r>
    </w:p>
    <w:p>
      <w:pPr>
        <w:spacing w:after="160" w:line="278" w:lineRule="auto"/>
        <w:rPr>
          <w:rFonts w:ascii="宋体" w:hAnsi="宋体"/>
          <w:sz w:val="22"/>
          <w:szCs w:val="28"/>
        </w:rPr>
      </w:pPr>
      <w:r>
        <w:rPr>
          <w:rFonts w:hint="eastAsia" w:ascii="宋体" w:hAnsi="宋体"/>
          <w:sz w:val="22"/>
          <w:szCs w:val="28"/>
        </w:rPr>
        <w:t>六、签约合同价</w:t>
      </w:r>
    </w:p>
    <w:p>
      <w:pPr>
        <w:spacing w:after="160" w:line="278" w:lineRule="auto"/>
        <w:rPr>
          <w:rFonts w:ascii="宋体" w:hAnsi="宋体"/>
          <w:sz w:val="22"/>
          <w:szCs w:val="28"/>
        </w:rPr>
      </w:pPr>
      <w:r>
        <w:rPr>
          <w:rFonts w:ascii="宋体" w:hAnsi="宋体"/>
          <w:sz w:val="22"/>
          <w:szCs w:val="28"/>
        </w:rPr>
        <w:t>1.签约合同价为：</w:t>
      </w:r>
    </w:p>
    <w:p>
      <w:pPr>
        <w:spacing w:after="160" w:line="278" w:lineRule="auto"/>
        <w:rPr>
          <w:rFonts w:ascii="宋体" w:hAnsi="宋体"/>
          <w:sz w:val="22"/>
          <w:szCs w:val="28"/>
        </w:rPr>
      </w:pPr>
      <w:r>
        <w:rPr>
          <w:rFonts w:hint="eastAsia" w:ascii="宋体" w:hAnsi="宋体"/>
          <w:sz w:val="22"/>
          <w:szCs w:val="28"/>
        </w:rPr>
        <w:t>人民币（大写）</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元)；</w:t>
      </w:r>
    </w:p>
    <w:p>
      <w:pPr>
        <w:spacing w:after="160" w:line="278" w:lineRule="auto"/>
        <w:rPr>
          <w:rFonts w:ascii="宋体" w:hAnsi="宋体"/>
          <w:sz w:val="22"/>
          <w:szCs w:val="28"/>
        </w:rPr>
      </w:pPr>
      <w:r>
        <w:rPr>
          <w:rFonts w:hint="eastAsia" w:ascii="宋体" w:hAnsi="宋体"/>
          <w:sz w:val="22"/>
          <w:szCs w:val="28"/>
        </w:rPr>
        <w:t>其中：</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1）安全文明施工费：</w:t>
      </w:r>
    </w:p>
    <w:p>
      <w:pPr>
        <w:spacing w:after="160" w:line="278" w:lineRule="auto"/>
        <w:rPr>
          <w:rFonts w:ascii="宋体" w:hAnsi="宋体"/>
          <w:sz w:val="22"/>
          <w:szCs w:val="28"/>
        </w:rPr>
      </w:pPr>
      <w:r>
        <w:rPr>
          <w:rFonts w:hint="eastAsia" w:ascii="宋体" w:hAnsi="宋体"/>
          <w:sz w:val="22"/>
          <w:szCs w:val="28"/>
        </w:rPr>
        <w:t>人民币（大写）</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元，含税)；</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2）材料和工程设备暂估价金额：</w:t>
      </w:r>
    </w:p>
    <w:p>
      <w:pPr>
        <w:spacing w:after="160" w:line="278" w:lineRule="auto"/>
        <w:rPr>
          <w:rFonts w:ascii="宋体" w:hAnsi="宋体"/>
          <w:sz w:val="22"/>
          <w:szCs w:val="28"/>
        </w:rPr>
      </w:pPr>
      <w:r>
        <w:rPr>
          <w:rFonts w:hint="eastAsia" w:ascii="宋体" w:hAnsi="宋体"/>
          <w:sz w:val="22"/>
          <w:szCs w:val="28"/>
        </w:rPr>
        <w:t>人民币（大写）</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元)；</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3）专业工程暂估价金额：</w:t>
      </w:r>
    </w:p>
    <w:p>
      <w:pPr>
        <w:spacing w:after="160" w:line="278" w:lineRule="auto"/>
        <w:rPr>
          <w:rFonts w:ascii="宋体" w:hAnsi="宋体"/>
          <w:sz w:val="22"/>
          <w:szCs w:val="28"/>
        </w:rPr>
      </w:pPr>
      <w:r>
        <w:rPr>
          <w:rFonts w:hint="eastAsia" w:ascii="宋体" w:hAnsi="宋体"/>
          <w:sz w:val="22"/>
          <w:szCs w:val="28"/>
        </w:rPr>
        <w:t>人民币（大写）</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元)；</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4）暂列金额：</w:t>
      </w:r>
    </w:p>
    <w:p>
      <w:pPr>
        <w:spacing w:after="160" w:line="278" w:lineRule="auto"/>
        <w:rPr>
          <w:rFonts w:ascii="宋体" w:hAnsi="宋体"/>
          <w:sz w:val="22"/>
          <w:szCs w:val="28"/>
        </w:rPr>
      </w:pPr>
      <w:r>
        <w:rPr>
          <w:rFonts w:hint="eastAsia" w:ascii="宋体" w:hAnsi="宋体"/>
          <w:sz w:val="22"/>
          <w:szCs w:val="28"/>
        </w:rPr>
        <w:t>人民币（大写）</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元，含税)。</w:t>
      </w:r>
    </w:p>
    <w:p>
      <w:pPr>
        <w:spacing w:after="160" w:line="278" w:lineRule="auto"/>
        <w:rPr>
          <w:rFonts w:ascii="宋体" w:hAnsi="宋体"/>
          <w:sz w:val="22"/>
          <w:szCs w:val="28"/>
        </w:rPr>
      </w:pPr>
      <w:r>
        <w:rPr>
          <w:rFonts w:hint="eastAsia" w:ascii="宋体" w:hAnsi="宋体"/>
          <w:sz w:val="22"/>
          <w:szCs w:val="28"/>
        </w:rPr>
        <w:t>七、承包人项目经理：</w:t>
      </w:r>
    </w:p>
    <w:p>
      <w:pPr>
        <w:spacing w:after="160" w:line="278" w:lineRule="auto"/>
        <w:rPr>
          <w:rFonts w:ascii="宋体" w:hAnsi="宋体"/>
          <w:sz w:val="22"/>
          <w:szCs w:val="28"/>
        </w:rPr>
      </w:pPr>
      <w:r>
        <w:rPr>
          <w:rFonts w:ascii="宋体" w:hAnsi="宋体"/>
          <w:sz w:val="22"/>
          <w:szCs w:val="28"/>
        </w:rPr>
        <w:t>姓名：</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职称：</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 xml:space="preserve">身份证号： </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建造师执业资格证书号：</w:t>
      </w:r>
      <w:r>
        <w:rPr>
          <w:rFonts w:hint="eastAsia" w:ascii="宋体" w:hAnsi="宋体"/>
          <w:sz w:val="22"/>
          <w:szCs w:val="28"/>
          <w:u w:val="single"/>
        </w:rPr>
        <w:t xml:space="preserve">           </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建造师注册证书号:</w:t>
      </w:r>
      <w:r>
        <w:rPr>
          <w:rFonts w:hint="eastAsia"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安全生产考核合格证书号：</w:t>
      </w:r>
      <w:bookmarkStart w:id="779" w:name="OLE_LINK3"/>
      <w:r>
        <w:rPr>
          <w:rFonts w:hint="eastAsia" w:ascii="宋体" w:hAnsi="宋体"/>
          <w:sz w:val="22"/>
          <w:szCs w:val="28"/>
          <w:u w:val="single"/>
        </w:rPr>
        <w:t xml:space="preserve">           </w:t>
      </w:r>
      <w:bookmarkEnd w:id="779"/>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关于项目经理每月在施工现场的时间要求：每月到场时间不少于</w:t>
      </w:r>
      <w:r>
        <w:rPr>
          <w:rFonts w:ascii="宋体" w:hAnsi="宋体"/>
          <w:sz w:val="22"/>
          <w:szCs w:val="28"/>
        </w:rPr>
        <w:t>22</w:t>
      </w:r>
      <w:r>
        <w:rPr>
          <w:rFonts w:hint="eastAsia" w:ascii="宋体" w:hAnsi="宋体"/>
          <w:sz w:val="22"/>
          <w:szCs w:val="28"/>
        </w:rPr>
        <w:t>天</w:t>
      </w:r>
    </w:p>
    <w:p>
      <w:pPr>
        <w:spacing w:after="160" w:line="278" w:lineRule="auto"/>
        <w:rPr>
          <w:rFonts w:ascii="宋体" w:hAnsi="宋体"/>
          <w:sz w:val="22"/>
          <w:szCs w:val="28"/>
        </w:rPr>
      </w:pPr>
      <w:r>
        <w:rPr>
          <w:rFonts w:hint="eastAsia" w:ascii="宋体" w:hAnsi="宋体"/>
          <w:sz w:val="22"/>
          <w:szCs w:val="28"/>
        </w:rPr>
        <w:t>八、合同文件的组成</w:t>
      </w:r>
    </w:p>
    <w:p>
      <w:pPr>
        <w:spacing w:after="160" w:line="278" w:lineRule="auto"/>
        <w:rPr>
          <w:rFonts w:ascii="宋体" w:hAnsi="宋体"/>
          <w:sz w:val="22"/>
          <w:szCs w:val="28"/>
        </w:rPr>
      </w:pPr>
      <w:r>
        <w:rPr>
          <w:rFonts w:ascii="宋体" w:hAnsi="宋体"/>
          <w:sz w:val="22"/>
          <w:szCs w:val="28"/>
        </w:rPr>
        <w:t xml:space="preserve"> 下列文件共同构成合同文件：</w:t>
      </w:r>
    </w:p>
    <w:p>
      <w:pPr>
        <w:spacing w:after="160" w:line="278" w:lineRule="auto"/>
        <w:rPr>
          <w:rFonts w:ascii="宋体" w:hAnsi="宋体"/>
          <w:sz w:val="22"/>
          <w:szCs w:val="28"/>
        </w:rPr>
      </w:pPr>
      <w:r>
        <w:rPr>
          <w:rFonts w:ascii="宋体" w:hAnsi="宋体"/>
          <w:sz w:val="22"/>
          <w:szCs w:val="28"/>
        </w:rPr>
        <w:t>1、中标通知书；</w:t>
      </w:r>
    </w:p>
    <w:p>
      <w:pPr>
        <w:spacing w:after="160" w:line="278" w:lineRule="auto"/>
        <w:rPr>
          <w:rFonts w:ascii="宋体" w:hAnsi="宋体"/>
          <w:sz w:val="22"/>
          <w:szCs w:val="28"/>
        </w:rPr>
      </w:pPr>
      <w:r>
        <w:rPr>
          <w:rFonts w:ascii="宋体" w:hAnsi="宋体"/>
          <w:sz w:val="22"/>
          <w:szCs w:val="28"/>
        </w:rPr>
        <w:t>2、投标函及投标函附录；</w:t>
      </w:r>
    </w:p>
    <w:p>
      <w:pPr>
        <w:spacing w:after="160" w:line="278" w:lineRule="auto"/>
        <w:rPr>
          <w:rFonts w:ascii="宋体" w:hAnsi="宋体"/>
          <w:sz w:val="22"/>
          <w:szCs w:val="28"/>
        </w:rPr>
      </w:pPr>
      <w:r>
        <w:rPr>
          <w:rFonts w:ascii="宋体" w:hAnsi="宋体"/>
          <w:sz w:val="22"/>
          <w:szCs w:val="28"/>
        </w:rPr>
        <w:t>3、专用合同条款；</w:t>
      </w:r>
    </w:p>
    <w:p>
      <w:pPr>
        <w:spacing w:after="160" w:line="278" w:lineRule="auto"/>
        <w:rPr>
          <w:rFonts w:ascii="宋体" w:hAnsi="宋体"/>
          <w:sz w:val="22"/>
          <w:szCs w:val="28"/>
        </w:rPr>
      </w:pPr>
      <w:r>
        <w:rPr>
          <w:rFonts w:ascii="宋体" w:hAnsi="宋体"/>
          <w:sz w:val="22"/>
          <w:szCs w:val="28"/>
        </w:rPr>
        <w:t>4、通用合同条款；</w:t>
      </w:r>
    </w:p>
    <w:p>
      <w:pPr>
        <w:spacing w:after="160" w:line="278" w:lineRule="auto"/>
        <w:rPr>
          <w:rFonts w:ascii="宋体" w:hAnsi="宋体"/>
          <w:sz w:val="22"/>
          <w:szCs w:val="28"/>
        </w:rPr>
      </w:pPr>
      <w:r>
        <w:rPr>
          <w:rFonts w:ascii="宋体" w:hAnsi="宋体"/>
          <w:sz w:val="22"/>
          <w:szCs w:val="28"/>
        </w:rPr>
        <w:t>5、技术标准和要求；</w:t>
      </w:r>
    </w:p>
    <w:p>
      <w:pPr>
        <w:spacing w:after="160" w:line="278" w:lineRule="auto"/>
        <w:rPr>
          <w:rFonts w:ascii="宋体" w:hAnsi="宋体"/>
          <w:sz w:val="22"/>
          <w:szCs w:val="28"/>
        </w:rPr>
      </w:pPr>
      <w:r>
        <w:rPr>
          <w:rFonts w:ascii="宋体" w:hAnsi="宋体"/>
          <w:sz w:val="22"/>
          <w:szCs w:val="28"/>
        </w:rPr>
        <w:t>6、图纸；</w:t>
      </w:r>
    </w:p>
    <w:p>
      <w:pPr>
        <w:spacing w:after="160" w:line="278" w:lineRule="auto"/>
        <w:rPr>
          <w:rFonts w:ascii="宋体" w:hAnsi="宋体"/>
          <w:sz w:val="22"/>
          <w:szCs w:val="28"/>
        </w:rPr>
      </w:pPr>
      <w:r>
        <w:rPr>
          <w:rFonts w:ascii="宋体" w:hAnsi="宋体"/>
          <w:sz w:val="22"/>
          <w:szCs w:val="28"/>
        </w:rPr>
        <w:t>7、已标价工程量清单；</w:t>
      </w:r>
    </w:p>
    <w:p>
      <w:pPr>
        <w:spacing w:after="160" w:line="278" w:lineRule="auto"/>
        <w:rPr>
          <w:rFonts w:ascii="宋体" w:hAnsi="宋体"/>
          <w:sz w:val="22"/>
          <w:szCs w:val="28"/>
        </w:rPr>
      </w:pPr>
      <w:r>
        <w:rPr>
          <w:rFonts w:ascii="宋体" w:hAnsi="宋体"/>
          <w:sz w:val="22"/>
          <w:szCs w:val="28"/>
        </w:rPr>
        <w:t>8、其他合同文件。</w:t>
      </w:r>
    </w:p>
    <w:p>
      <w:pPr>
        <w:spacing w:after="160" w:line="278" w:lineRule="auto"/>
        <w:rPr>
          <w:rFonts w:ascii="宋体" w:hAnsi="宋体"/>
          <w:sz w:val="22"/>
          <w:szCs w:val="28"/>
        </w:rPr>
      </w:pPr>
      <w:r>
        <w:rPr>
          <w:rFonts w:ascii="宋体" w:hAnsi="宋体"/>
          <w:sz w:val="22"/>
          <w:szCs w:val="28"/>
        </w:rPr>
        <w:t>上述文件互相补充和解释，如有不明确或不一致之处，以合同约定次序在先者为准。</w:t>
      </w:r>
    </w:p>
    <w:p>
      <w:pPr>
        <w:spacing w:after="160" w:line="278" w:lineRule="auto"/>
        <w:rPr>
          <w:rFonts w:ascii="宋体" w:hAnsi="宋体"/>
          <w:sz w:val="22"/>
          <w:szCs w:val="28"/>
        </w:rPr>
      </w:pPr>
      <w:r>
        <w:rPr>
          <w:rFonts w:ascii="宋体" w:hAnsi="宋体"/>
          <w:sz w:val="22"/>
          <w:szCs w:val="28"/>
        </w:rPr>
        <w:t>九、本协议书中有关词语定义与合同条款中的定义相同。</w:t>
      </w:r>
    </w:p>
    <w:p>
      <w:pPr>
        <w:spacing w:after="160" w:line="278" w:lineRule="auto"/>
        <w:rPr>
          <w:rFonts w:ascii="宋体" w:hAnsi="宋体"/>
          <w:sz w:val="22"/>
          <w:szCs w:val="28"/>
        </w:rPr>
      </w:pPr>
      <w:r>
        <w:rPr>
          <w:rFonts w:ascii="宋体" w:hAnsi="宋体"/>
          <w:sz w:val="22"/>
          <w:szCs w:val="28"/>
        </w:rPr>
        <w:t>十、承包人承诺按照合同约定进行施工、竣工、交付并承担质量缺陷保修责任。</w:t>
      </w:r>
    </w:p>
    <w:p>
      <w:pPr>
        <w:spacing w:after="160" w:line="278" w:lineRule="auto"/>
        <w:rPr>
          <w:rFonts w:ascii="宋体" w:hAnsi="宋体"/>
          <w:sz w:val="22"/>
          <w:szCs w:val="28"/>
        </w:rPr>
      </w:pPr>
      <w:r>
        <w:rPr>
          <w:rFonts w:ascii="宋体" w:hAnsi="宋体"/>
          <w:sz w:val="22"/>
          <w:szCs w:val="28"/>
        </w:rPr>
        <w:t>十一、发包人承诺按照合同约定的条件、期限和方式向承包人支付合同价款。</w:t>
      </w:r>
    </w:p>
    <w:p>
      <w:pPr>
        <w:spacing w:after="160" w:line="278" w:lineRule="auto"/>
        <w:rPr>
          <w:rFonts w:ascii="宋体" w:hAnsi="宋体"/>
          <w:sz w:val="22"/>
          <w:szCs w:val="28"/>
        </w:rPr>
      </w:pPr>
      <w:r>
        <w:rPr>
          <w:rFonts w:ascii="宋体" w:hAnsi="宋体"/>
          <w:sz w:val="22"/>
          <w:szCs w:val="28"/>
        </w:rPr>
        <w:t>十二、本协议书连同其他合同文件正本一式</w:t>
      </w:r>
      <w:r>
        <w:rPr>
          <w:rFonts w:hint="eastAsia" w:ascii="宋体" w:hAnsi="宋体"/>
          <w:sz w:val="22"/>
          <w:szCs w:val="28"/>
        </w:rPr>
        <w:t xml:space="preserve"> </w:t>
      </w:r>
      <w:r>
        <w:rPr>
          <w:rFonts w:ascii="宋体" w:hAnsi="宋体"/>
          <w:sz w:val="22"/>
          <w:szCs w:val="28"/>
        </w:rPr>
        <w:t>两份</w:t>
      </w:r>
      <w:r>
        <w:rPr>
          <w:rFonts w:hint="eastAsia" w:ascii="宋体" w:hAnsi="宋体"/>
          <w:sz w:val="22"/>
          <w:szCs w:val="28"/>
        </w:rPr>
        <w:t xml:space="preserve"> </w:t>
      </w:r>
      <w:r>
        <w:rPr>
          <w:rFonts w:ascii="宋体" w:hAnsi="宋体"/>
          <w:sz w:val="22"/>
          <w:szCs w:val="28"/>
        </w:rPr>
        <w:t xml:space="preserve">，合同双方各执一份；副本一式 </w:t>
      </w:r>
      <w:r>
        <w:rPr>
          <w:rFonts w:hint="eastAsia" w:ascii="宋体" w:hAnsi="宋体"/>
          <w:sz w:val="22"/>
          <w:szCs w:val="28"/>
        </w:rPr>
        <w:t>四份</w:t>
      </w:r>
      <w:r>
        <w:rPr>
          <w:rFonts w:ascii="宋体" w:hAnsi="宋体"/>
          <w:sz w:val="22"/>
          <w:szCs w:val="28"/>
        </w:rPr>
        <w:t xml:space="preserve"> </w:t>
      </w:r>
      <w:r>
        <w:rPr>
          <w:rFonts w:hint="eastAsia" w:ascii="宋体" w:hAnsi="宋体"/>
          <w:sz w:val="22"/>
          <w:szCs w:val="28"/>
        </w:rPr>
        <w:t>，甲乙合同</w:t>
      </w:r>
      <w:r>
        <w:rPr>
          <w:rFonts w:ascii="宋体" w:hAnsi="宋体"/>
          <w:sz w:val="22"/>
          <w:szCs w:val="28"/>
        </w:rPr>
        <w:t>双方各执</w:t>
      </w:r>
      <w:r>
        <w:rPr>
          <w:rFonts w:hint="eastAsia" w:ascii="宋体" w:hAnsi="宋体"/>
          <w:sz w:val="22"/>
          <w:szCs w:val="28"/>
        </w:rPr>
        <w:t>两</w:t>
      </w:r>
      <w:r>
        <w:rPr>
          <w:rFonts w:ascii="宋体" w:hAnsi="宋体"/>
          <w:sz w:val="22"/>
          <w:szCs w:val="28"/>
        </w:rPr>
        <w:t>份。</w:t>
      </w:r>
    </w:p>
    <w:p>
      <w:pPr>
        <w:spacing w:after="160" w:line="278" w:lineRule="auto"/>
        <w:rPr>
          <w:rFonts w:ascii="宋体" w:hAnsi="宋体"/>
          <w:sz w:val="22"/>
          <w:szCs w:val="28"/>
        </w:rPr>
      </w:pPr>
      <w:r>
        <w:rPr>
          <w:rFonts w:ascii="宋体" w:hAnsi="宋体"/>
          <w:sz w:val="22"/>
          <w:szCs w:val="28"/>
        </w:rPr>
        <w:t>十三、合同未尽事宜，双方另行签订补充协议，但不得背离本协议第八条所约定的合同文件的实质性内容。补充协议是合同文件的组成部分。</w:t>
      </w:r>
    </w:p>
    <w:p>
      <w:pPr>
        <w:spacing w:after="160" w:line="278" w:lineRule="auto"/>
        <w:rPr>
          <w:rFonts w:ascii="宋体" w:hAnsi="宋体"/>
          <w:sz w:val="22"/>
          <w:szCs w:val="28"/>
        </w:rPr>
      </w:pPr>
      <w:r>
        <w:rPr>
          <w:rFonts w:hint="eastAsia" w:ascii="宋体" w:hAnsi="宋体"/>
          <w:sz w:val="22"/>
          <w:szCs w:val="28"/>
        </w:rPr>
        <w:t>十四、本合同由双方法定代表人或授权委托人签字并盖章后生效。</w:t>
      </w: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发包人：（公章）</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 xml:space="preserve"> 承包人：（公章）</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住所：</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住所：</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法定代表人：</w:t>
      </w:r>
      <w:r>
        <w:rPr>
          <w:rFonts w:hint="eastAsia" w:ascii="宋体" w:hAnsi="宋体"/>
          <w:sz w:val="22"/>
          <w:szCs w:val="28"/>
        </w:rPr>
        <w:t xml:space="preserve">                         </w:t>
      </w:r>
      <w:r>
        <w:rPr>
          <w:rFonts w:ascii="宋体" w:hAnsi="宋体"/>
          <w:sz w:val="22"/>
          <w:szCs w:val="28"/>
        </w:rPr>
        <w:t>法定代表人：</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或委托代表人：</w:t>
      </w:r>
      <w:r>
        <w:rPr>
          <w:rFonts w:hint="eastAsia" w:ascii="宋体" w:hAnsi="宋体"/>
          <w:sz w:val="22"/>
          <w:szCs w:val="28"/>
        </w:rPr>
        <w:t xml:space="preserve">                     </w:t>
      </w:r>
      <w:r>
        <w:rPr>
          <w:rFonts w:ascii="宋体" w:hAnsi="宋体"/>
          <w:sz w:val="22"/>
          <w:szCs w:val="28"/>
        </w:rPr>
        <w:t xml:space="preserve">  或委托代表人：</w:t>
      </w:r>
      <w:r>
        <w:rPr>
          <w:rFonts w:hint="eastAsia"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电话：        </w:t>
      </w:r>
      <w:r>
        <w:rPr>
          <w:rFonts w:hint="eastAsia" w:ascii="宋体" w:hAnsi="宋体"/>
          <w:sz w:val="22"/>
          <w:szCs w:val="28"/>
        </w:rPr>
        <w:t xml:space="preserve">                           </w:t>
      </w:r>
      <w:r>
        <w:rPr>
          <w:rFonts w:ascii="宋体" w:hAnsi="宋体"/>
          <w:sz w:val="22"/>
          <w:szCs w:val="28"/>
        </w:rPr>
        <w:t xml:space="preserve"> 电话：                </w:t>
      </w:r>
    </w:p>
    <w:p>
      <w:pPr>
        <w:spacing w:after="160" w:line="278" w:lineRule="auto"/>
        <w:rPr>
          <w:rFonts w:ascii="宋体" w:hAnsi="宋体"/>
          <w:sz w:val="22"/>
          <w:szCs w:val="28"/>
        </w:rPr>
      </w:pPr>
      <w:r>
        <w:rPr>
          <w:rFonts w:ascii="宋体" w:hAnsi="宋体"/>
          <w:sz w:val="22"/>
          <w:szCs w:val="28"/>
        </w:rPr>
        <w:t xml:space="preserve">传真：                         </w:t>
      </w:r>
      <w:r>
        <w:rPr>
          <w:rFonts w:hint="eastAsia" w:ascii="宋体" w:hAnsi="宋体"/>
          <w:sz w:val="22"/>
          <w:szCs w:val="28"/>
        </w:rPr>
        <w:t xml:space="preserve">          </w:t>
      </w:r>
      <w:r>
        <w:rPr>
          <w:rFonts w:ascii="宋体" w:hAnsi="宋体"/>
          <w:sz w:val="22"/>
          <w:szCs w:val="28"/>
        </w:rPr>
        <w:t xml:space="preserve"> 传真：</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开户银行：</w:t>
      </w:r>
      <w:r>
        <w:rPr>
          <w:rFonts w:hint="eastAsia" w:ascii="宋体" w:hAnsi="宋体"/>
          <w:sz w:val="22"/>
          <w:szCs w:val="28"/>
        </w:rPr>
        <w:t xml:space="preserve">             </w:t>
      </w:r>
      <w:r>
        <w:rPr>
          <w:rFonts w:ascii="宋体" w:hAnsi="宋体"/>
          <w:sz w:val="22"/>
          <w:szCs w:val="28"/>
        </w:rPr>
        <w:t xml:space="preserve">                  开户银行：</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账号：</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 xml:space="preserve">      账号：</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邮政编码：          </w:t>
      </w:r>
      <w:r>
        <w:rPr>
          <w:rFonts w:hint="eastAsia" w:ascii="宋体" w:hAnsi="宋体"/>
          <w:sz w:val="22"/>
          <w:szCs w:val="28"/>
        </w:rPr>
        <w:t xml:space="preserve">                     </w:t>
      </w:r>
      <w:r>
        <w:rPr>
          <w:rFonts w:ascii="宋体" w:hAnsi="宋体"/>
          <w:sz w:val="22"/>
          <w:szCs w:val="28"/>
        </w:rPr>
        <w:t xml:space="preserve">邮政编码：         </w:t>
      </w: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sectPr>
          <w:pgSz w:w="11906" w:h="16838"/>
          <w:pgMar w:top="1440" w:right="1797" w:bottom="1440" w:left="1797" w:header="851" w:footer="992" w:gutter="0"/>
          <w:cols w:space="720" w:num="1"/>
          <w:docGrid w:linePitch="312" w:charSpace="0"/>
        </w:sectPr>
      </w:pPr>
      <w:r>
        <w:rPr>
          <w:rFonts w:hint="eastAsia" w:ascii="宋体" w:hAnsi="宋体"/>
          <w:sz w:val="22"/>
          <w:szCs w:val="28"/>
        </w:rPr>
        <w:t>合同签订日期：  2025</w:t>
      </w:r>
      <w:r>
        <w:rPr>
          <w:rFonts w:ascii="宋体" w:hAnsi="宋体"/>
          <w:sz w:val="22"/>
          <w:szCs w:val="28"/>
        </w:rPr>
        <w:t xml:space="preserve">    </w:t>
      </w:r>
      <w:r>
        <w:rPr>
          <w:rFonts w:hint="eastAsia" w:ascii="宋体" w:hAnsi="宋体"/>
          <w:sz w:val="22"/>
          <w:szCs w:val="28"/>
        </w:rPr>
        <w:t xml:space="preserve">年  </w:t>
      </w:r>
      <w:r>
        <w:rPr>
          <w:rFonts w:ascii="宋体" w:hAnsi="宋体"/>
          <w:sz w:val="22"/>
          <w:szCs w:val="28"/>
        </w:rPr>
        <w:t xml:space="preserve">    </w:t>
      </w:r>
      <w:r>
        <w:rPr>
          <w:rFonts w:hint="eastAsia" w:ascii="宋体" w:hAnsi="宋体"/>
          <w:sz w:val="22"/>
          <w:szCs w:val="28"/>
        </w:rPr>
        <w:t>月      日</w:t>
      </w:r>
    </w:p>
    <w:p>
      <w:pPr>
        <w:spacing w:after="160" w:line="278" w:lineRule="auto"/>
        <w:outlineLvl w:val="1"/>
        <w:rPr>
          <w:rFonts w:ascii="宋体" w:hAnsi="宋体"/>
          <w:b/>
          <w:bCs/>
          <w:sz w:val="28"/>
          <w:szCs w:val="36"/>
        </w:rPr>
      </w:pPr>
      <w:r>
        <w:rPr>
          <w:rFonts w:ascii="宋体" w:hAnsi="宋体"/>
          <w:b/>
          <w:bCs/>
          <w:sz w:val="28"/>
          <w:szCs w:val="36"/>
        </w:rPr>
        <w:t>第</w:t>
      </w:r>
      <w:r>
        <w:rPr>
          <w:rFonts w:hint="eastAsia" w:ascii="宋体" w:hAnsi="宋体"/>
          <w:b/>
          <w:bCs/>
          <w:sz w:val="28"/>
          <w:szCs w:val="36"/>
        </w:rPr>
        <w:t>二节 合同条款通用部分</w:t>
      </w:r>
    </w:p>
    <w:p>
      <w:pPr>
        <w:spacing w:after="160" w:line="278" w:lineRule="auto"/>
        <w:jc w:val="center"/>
        <w:rPr>
          <w:rFonts w:ascii="宋体" w:hAnsi="宋体"/>
          <w:b/>
          <w:bCs/>
          <w:sz w:val="28"/>
          <w:szCs w:val="36"/>
        </w:rPr>
      </w:pPr>
      <w:bookmarkStart w:id="780" w:name="_Toc142385526"/>
      <w:r>
        <w:rPr>
          <w:rFonts w:hint="eastAsia" w:ascii="宋体" w:hAnsi="宋体"/>
          <w:b/>
          <w:bCs/>
          <w:sz w:val="28"/>
          <w:szCs w:val="36"/>
        </w:rPr>
        <w:t>通用合同条款</w:t>
      </w:r>
      <w:bookmarkEnd w:id="780"/>
    </w:p>
    <w:p>
      <w:pPr>
        <w:spacing w:after="160" w:line="278" w:lineRule="auto"/>
        <w:rPr>
          <w:rFonts w:ascii="宋体" w:hAnsi="宋体"/>
          <w:sz w:val="22"/>
          <w:szCs w:val="28"/>
        </w:rPr>
      </w:pPr>
    </w:p>
    <w:p>
      <w:pPr>
        <w:spacing w:after="160" w:line="278" w:lineRule="auto"/>
        <w:rPr>
          <w:rFonts w:ascii="宋体" w:hAnsi="宋体"/>
          <w:sz w:val="22"/>
          <w:szCs w:val="28"/>
        </w:rPr>
      </w:pPr>
      <w:bookmarkStart w:id="781" w:name="_Toc448758422"/>
      <w:bookmarkStart w:id="782" w:name="_Toc142385527"/>
      <w:bookmarkStart w:id="783" w:name="_Toc448758522"/>
      <w:bookmarkStart w:id="784" w:name="_Toc129798240"/>
      <w:bookmarkStart w:id="785" w:name="_Toc132618598"/>
      <w:bookmarkStart w:id="786" w:name="_Toc132618989"/>
      <w:bookmarkStart w:id="787" w:name="_Toc109914305"/>
      <w:bookmarkStart w:id="788" w:name="_Toc469660017"/>
      <w:bookmarkStart w:id="789" w:name="_Toc342296262"/>
      <w:bookmarkStart w:id="790" w:name="_Toc338944704"/>
      <w:bookmarkStart w:id="791" w:name="_Toc442365614"/>
      <w:r>
        <w:rPr>
          <w:rFonts w:ascii="宋体" w:hAnsi="宋体"/>
          <w:sz w:val="22"/>
          <w:szCs w:val="28"/>
        </w:rPr>
        <w:t>1. 一般约定</w:t>
      </w:r>
      <w:bookmarkEnd w:id="781"/>
      <w:bookmarkEnd w:id="782"/>
      <w:bookmarkEnd w:id="783"/>
      <w:bookmarkEnd w:id="784"/>
      <w:bookmarkEnd w:id="785"/>
      <w:bookmarkEnd w:id="786"/>
      <w:bookmarkEnd w:id="787"/>
      <w:bookmarkEnd w:id="788"/>
      <w:bookmarkEnd w:id="789"/>
      <w:bookmarkEnd w:id="790"/>
      <w:bookmarkEnd w:id="791"/>
    </w:p>
    <w:p>
      <w:pPr>
        <w:spacing w:after="160" w:line="278" w:lineRule="auto"/>
        <w:rPr>
          <w:rFonts w:ascii="宋体" w:hAnsi="宋体"/>
          <w:sz w:val="22"/>
          <w:szCs w:val="28"/>
        </w:rPr>
      </w:pPr>
      <w:bookmarkStart w:id="792" w:name="_Toc132618990"/>
      <w:bookmarkStart w:id="793" w:name="_Toc109914306"/>
      <w:bookmarkStart w:id="794" w:name="_Toc132618599"/>
      <w:bookmarkStart w:id="795" w:name="_Toc129798241"/>
      <w:bookmarkStart w:id="796" w:name="_Toc342296263"/>
      <w:bookmarkStart w:id="797" w:name="_Toc338944705"/>
      <w:bookmarkStart w:id="798" w:name="_Toc142385528"/>
      <w:r>
        <w:rPr>
          <w:rFonts w:ascii="宋体" w:hAnsi="宋体"/>
          <w:sz w:val="22"/>
          <w:szCs w:val="28"/>
        </w:rPr>
        <w:t>1.1 词语定义</w:t>
      </w:r>
      <w:bookmarkEnd w:id="792"/>
      <w:bookmarkEnd w:id="793"/>
      <w:bookmarkEnd w:id="794"/>
      <w:bookmarkEnd w:id="795"/>
      <w:bookmarkEnd w:id="796"/>
      <w:bookmarkEnd w:id="797"/>
      <w:bookmarkEnd w:id="798"/>
    </w:p>
    <w:p>
      <w:pPr>
        <w:spacing w:after="160" w:line="278" w:lineRule="auto"/>
        <w:rPr>
          <w:rFonts w:ascii="宋体" w:hAnsi="宋体"/>
          <w:sz w:val="22"/>
          <w:szCs w:val="28"/>
        </w:rPr>
      </w:pPr>
      <w:r>
        <w:rPr>
          <w:rFonts w:ascii="宋体" w:hAnsi="宋体"/>
          <w:sz w:val="22"/>
          <w:szCs w:val="28"/>
        </w:rPr>
        <w:t>通用合同条款、专用合同条款中的下列词语应具有本款所赋予的含义。</w:t>
      </w:r>
    </w:p>
    <w:p>
      <w:pPr>
        <w:spacing w:after="160" w:line="278" w:lineRule="auto"/>
        <w:rPr>
          <w:rFonts w:ascii="宋体" w:hAnsi="宋体"/>
          <w:sz w:val="22"/>
          <w:szCs w:val="28"/>
        </w:rPr>
      </w:pPr>
      <w:r>
        <w:rPr>
          <w:rFonts w:ascii="宋体" w:hAnsi="宋体"/>
          <w:sz w:val="22"/>
          <w:szCs w:val="28"/>
        </w:rPr>
        <w:t xml:space="preserve">1.1.1 </w:t>
      </w:r>
      <w:r>
        <w:rPr>
          <w:rFonts w:hint="eastAsia" w:ascii="宋体" w:hAnsi="宋体"/>
          <w:sz w:val="22"/>
          <w:szCs w:val="28"/>
        </w:rPr>
        <w:t>合同</w:t>
      </w:r>
    </w:p>
    <w:p>
      <w:pPr>
        <w:spacing w:after="160" w:line="278" w:lineRule="auto"/>
        <w:rPr>
          <w:rFonts w:ascii="宋体" w:hAnsi="宋体"/>
          <w:sz w:val="22"/>
          <w:szCs w:val="28"/>
        </w:rPr>
      </w:pPr>
      <w:r>
        <w:rPr>
          <w:rFonts w:ascii="宋体" w:hAnsi="宋体"/>
          <w:sz w:val="22"/>
          <w:szCs w:val="28"/>
        </w:rPr>
        <w:t>1.1.1.1 合同文件（或称合同）：指合同协议书、中标通知书、投标函及投标函附录、专用合同条款、通用合同条款、技术标准和要求、图纸、已标价工程量清单，以及其他合同文件。</w:t>
      </w:r>
    </w:p>
    <w:p>
      <w:pPr>
        <w:spacing w:after="160" w:line="278" w:lineRule="auto"/>
        <w:rPr>
          <w:rFonts w:ascii="宋体" w:hAnsi="宋体"/>
          <w:sz w:val="22"/>
          <w:szCs w:val="28"/>
        </w:rPr>
      </w:pPr>
      <w:r>
        <w:rPr>
          <w:rFonts w:ascii="宋体" w:hAnsi="宋体"/>
          <w:sz w:val="22"/>
          <w:szCs w:val="28"/>
        </w:rPr>
        <w:t>1.1.1.2 合同协议书：指第1.5款所指的合同协议书。</w:t>
      </w:r>
    </w:p>
    <w:p>
      <w:pPr>
        <w:spacing w:after="160" w:line="278" w:lineRule="auto"/>
        <w:rPr>
          <w:rFonts w:ascii="宋体" w:hAnsi="宋体"/>
          <w:sz w:val="22"/>
          <w:szCs w:val="28"/>
        </w:rPr>
      </w:pPr>
      <w:r>
        <w:rPr>
          <w:rFonts w:ascii="宋体" w:hAnsi="宋体"/>
          <w:sz w:val="22"/>
          <w:szCs w:val="28"/>
        </w:rPr>
        <w:t>1.1.1.3 中标通知书：指发包人通知承包人中标的函件。</w:t>
      </w:r>
    </w:p>
    <w:p>
      <w:pPr>
        <w:spacing w:after="160" w:line="278" w:lineRule="auto"/>
        <w:rPr>
          <w:rFonts w:ascii="宋体" w:hAnsi="宋体"/>
          <w:sz w:val="22"/>
          <w:szCs w:val="28"/>
        </w:rPr>
      </w:pPr>
      <w:r>
        <w:rPr>
          <w:rFonts w:ascii="宋体" w:hAnsi="宋体"/>
          <w:sz w:val="22"/>
          <w:szCs w:val="28"/>
        </w:rPr>
        <w:t>1.1.1.4 投标函：指构成合同文件组成部分的由承包人填写并签署的投标函。</w:t>
      </w:r>
    </w:p>
    <w:p>
      <w:pPr>
        <w:spacing w:after="160" w:line="278" w:lineRule="auto"/>
        <w:rPr>
          <w:rFonts w:ascii="宋体" w:hAnsi="宋体"/>
          <w:sz w:val="22"/>
          <w:szCs w:val="28"/>
        </w:rPr>
      </w:pPr>
      <w:r>
        <w:rPr>
          <w:rFonts w:ascii="宋体" w:hAnsi="宋体"/>
          <w:sz w:val="22"/>
          <w:szCs w:val="28"/>
        </w:rPr>
        <w:t>1.1.1.5 投标函附录：指附在投标函后构成合同文件的投标函附录。</w:t>
      </w:r>
    </w:p>
    <w:p>
      <w:pPr>
        <w:spacing w:after="160" w:line="278" w:lineRule="auto"/>
        <w:rPr>
          <w:rFonts w:ascii="宋体" w:hAnsi="宋体"/>
          <w:sz w:val="22"/>
          <w:szCs w:val="28"/>
        </w:rPr>
      </w:pPr>
      <w:r>
        <w:rPr>
          <w:rFonts w:ascii="宋体" w:hAnsi="宋体"/>
          <w:sz w:val="22"/>
          <w:szCs w:val="28"/>
        </w:rPr>
        <w:t>1.1.1.6 技术标准和要求：指构成合同文件组成部分的名为技术标准和要求的文件，包括合同双方当事人约定对其所作的修改或补充。</w:t>
      </w:r>
    </w:p>
    <w:p>
      <w:pPr>
        <w:spacing w:after="160" w:line="278" w:lineRule="auto"/>
        <w:rPr>
          <w:rFonts w:ascii="宋体" w:hAnsi="宋体"/>
          <w:sz w:val="22"/>
          <w:szCs w:val="28"/>
        </w:rPr>
      </w:pPr>
      <w:r>
        <w:rPr>
          <w:rFonts w:ascii="宋体" w:hAnsi="宋体"/>
          <w:sz w:val="22"/>
          <w:szCs w:val="28"/>
        </w:rPr>
        <w:t>1.1.1.7图纸：指包含在合同中的工程图纸，以及由发包人按合同约定提供的任何补充和修改的图纸，包括配套的说明。</w:t>
      </w:r>
    </w:p>
    <w:p>
      <w:pPr>
        <w:spacing w:after="160" w:line="278" w:lineRule="auto"/>
        <w:rPr>
          <w:rFonts w:ascii="宋体" w:hAnsi="宋体"/>
          <w:sz w:val="22"/>
          <w:szCs w:val="28"/>
        </w:rPr>
      </w:pPr>
      <w:r>
        <w:rPr>
          <w:rFonts w:ascii="宋体" w:hAnsi="宋体"/>
          <w:sz w:val="22"/>
          <w:szCs w:val="28"/>
        </w:rPr>
        <w:t>1.1.1.8 已标价工程量清单：指构成合同文件组成部分的由承包人按照规定的格式和要求填写并标明价格的工程量清单。</w:t>
      </w:r>
    </w:p>
    <w:p>
      <w:pPr>
        <w:spacing w:after="160" w:line="278" w:lineRule="auto"/>
        <w:rPr>
          <w:rFonts w:ascii="宋体" w:hAnsi="宋体"/>
          <w:sz w:val="22"/>
          <w:szCs w:val="28"/>
        </w:rPr>
      </w:pPr>
      <w:r>
        <w:rPr>
          <w:rFonts w:ascii="宋体" w:hAnsi="宋体"/>
          <w:sz w:val="22"/>
          <w:szCs w:val="28"/>
        </w:rPr>
        <w:t>1.1.1.9 其他合同文件：指经合同双方当事人确认构成合同文件的其他文件。</w:t>
      </w:r>
    </w:p>
    <w:p>
      <w:pPr>
        <w:spacing w:after="160" w:line="278" w:lineRule="auto"/>
        <w:rPr>
          <w:rFonts w:ascii="宋体" w:hAnsi="宋体"/>
          <w:sz w:val="22"/>
          <w:szCs w:val="28"/>
        </w:rPr>
      </w:pPr>
      <w:r>
        <w:rPr>
          <w:rFonts w:ascii="宋体" w:hAnsi="宋体"/>
          <w:sz w:val="22"/>
          <w:szCs w:val="28"/>
        </w:rPr>
        <w:t xml:space="preserve">1.1.2 </w:t>
      </w:r>
      <w:r>
        <w:rPr>
          <w:rFonts w:hint="eastAsia" w:ascii="宋体" w:hAnsi="宋体"/>
          <w:sz w:val="22"/>
          <w:szCs w:val="28"/>
        </w:rPr>
        <w:t>合同当事人和人员</w:t>
      </w:r>
    </w:p>
    <w:p>
      <w:pPr>
        <w:spacing w:after="160" w:line="278" w:lineRule="auto"/>
        <w:rPr>
          <w:rFonts w:ascii="宋体" w:hAnsi="宋体"/>
          <w:sz w:val="22"/>
          <w:szCs w:val="28"/>
        </w:rPr>
      </w:pPr>
      <w:r>
        <w:rPr>
          <w:rFonts w:ascii="宋体" w:hAnsi="宋体"/>
          <w:sz w:val="22"/>
          <w:szCs w:val="28"/>
        </w:rPr>
        <w:t>1.1.2.1 合同当事人:指发包人和（或）承包人。</w:t>
      </w:r>
    </w:p>
    <w:p>
      <w:pPr>
        <w:spacing w:after="160" w:line="278" w:lineRule="auto"/>
        <w:rPr>
          <w:rFonts w:ascii="宋体" w:hAnsi="宋体"/>
          <w:sz w:val="22"/>
          <w:szCs w:val="28"/>
        </w:rPr>
      </w:pPr>
      <w:r>
        <w:rPr>
          <w:rFonts w:ascii="宋体" w:hAnsi="宋体"/>
          <w:sz w:val="22"/>
          <w:szCs w:val="28"/>
        </w:rPr>
        <w:t>1.1.2.2 发包人：指专用合同条款中指明并与承包人在合同协议书中签字的当事人。</w:t>
      </w:r>
    </w:p>
    <w:p>
      <w:pPr>
        <w:spacing w:after="160" w:line="278" w:lineRule="auto"/>
        <w:rPr>
          <w:rFonts w:ascii="宋体" w:hAnsi="宋体"/>
          <w:sz w:val="22"/>
          <w:szCs w:val="28"/>
        </w:rPr>
      </w:pPr>
      <w:r>
        <w:rPr>
          <w:rFonts w:ascii="宋体" w:hAnsi="宋体"/>
          <w:sz w:val="22"/>
          <w:szCs w:val="28"/>
        </w:rPr>
        <w:t>1.1.2.3 承包人：指与发包人签订合同协议书的当事人。</w:t>
      </w:r>
    </w:p>
    <w:p>
      <w:pPr>
        <w:spacing w:after="160" w:line="278" w:lineRule="auto"/>
        <w:rPr>
          <w:rFonts w:ascii="宋体" w:hAnsi="宋体"/>
          <w:sz w:val="22"/>
          <w:szCs w:val="28"/>
        </w:rPr>
      </w:pPr>
      <w:r>
        <w:rPr>
          <w:rFonts w:ascii="宋体" w:hAnsi="宋体"/>
          <w:sz w:val="22"/>
          <w:szCs w:val="28"/>
        </w:rPr>
        <w:t>1.1.2.4 承包人项目经理：指承包人派驻施工场地的全权负责人。</w:t>
      </w:r>
    </w:p>
    <w:p>
      <w:pPr>
        <w:spacing w:after="160" w:line="278" w:lineRule="auto"/>
        <w:rPr>
          <w:rFonts w:ascii="宋体" w:hAnsi="宋体"/>
          <w:sz w:val="22"/>
          <w:szCs w:val="28"/>
        </w:rPr>
      </w:pPr>
      <w:r>
        <w:rPr>
          <w:rFonts w:ascii="宋体" w:hAnsi="宋体"/>
          <w:sz w:val="22"/>
          <w:szCs w:val="28"/>
        </w:rPr>
        <w:t>1.1.2.5 分包人：指从承包人处分包合同中某一部分工程，并与其签订分包合同的分包人。</w:t>
      </w:r>
    </w:p>
    <w:p>
      <w:pPr>
        <w:spacing w:after="160" w:line="278" w:lineRule="auto"/>
        <w:rPr>
          <w:rFonts w:ascii="宋体" w:hAnsi="宋体"/>
          <w:sz w:val="22"/>
          <w:szCs w:val="28"/>
        </w:rPr>
      </w:pPr>
      <w:r>
        <w:rPr>
          <w:rFonts w:ascii="宋体" w:hAnsi="宋体"/>
          <w:sz w:val="22"/>
          <w:szCs w:val="28"/>
        </w:rPr>
        <w:t>1.1.2.6 监理人：指在专用合同条款中指明的，受发包人委托对合同履行实施管理的法人或其他组织。</w:t>
      </w:r>
    </w:p>
    <w:p>
      <w:pPr>
        <w:spacing w:after="160" w:line="278" w:lineRule="auto"/>
        <w:rPr>
          <w:rFonts w:ascii="宋体" w:hAnsi="宋体"/>
          <w:sz w:val="22"/>
          <w:szCs w:val="28"/>
        </w:rPr>
      </w:pPr>
      <w:r>
        <w:rPr>
          <w:rFonts w:ascii="宋体" w:hAnsi="宋体"/>
          <w:sz w:val="22"/>
          <w:szCs w:val="28"/>
        </w:rPr>
        <w:t>1.1.2.7 总监理工程师（总监）：指由监理人委派常驻施工场地对合同履行实施管理的全权负责人。</w:t>
      </w:r>
    </w:p>
    <w:p>
      <w:pPr>
        <w:spacing w:after="160" w:line="278" w:lineRule="auto"/>
        <w:rPr>
          <w:rFonts w:ascii="宋体" w:hAnsi="宋体"/>
          <w:sz w:val="22"/>
          <w:szCs w:val="28"/>
        </w:rPr>
      </w:pPr>
      <w:r>
        <w:rPr>
          <w:rFonts w:ascii="宋体" w:hAnsi="宋体"/>
          <w:sz w:val="22"/>
          <w:szCs w:val="28"/>
        </w:rPr>
        <w:t xml:space="preserve">1.1.3 </w:t>
      </w:r>
      <w:r>
        <w:rPr>
          <w:rFonts w:hint="eastAsia" w:ascii="宋体" w:hAnsi="宋体"/>
          <w:sz w:val="22"/>
          <w:szCs w:val="28"/>
        </w:rPr>
        <w:t>工程和设备</w:t>
      </w:r>
    </w:p>
    <w:p>
      <w:pPr>
        <w:spacing w:after="160" w:line="278" w:lineRule="auto"/>
        <w:rPr>
          <w:rFonts w:ascii="宋体" w:hAnsi="宋体"/>
          <w:sz w:val="22"/>
          <w:szCs w:val="28"/>
        </w:rPr>
      </w:pPr>
      <w:r>
        <w:rPr>
          <w:rFonts w:ascii="宋体" w:hAnsi="宋体"/>
          <w:sz w:val="22"/>
          <w:szCs w:val="28"/>
        </w:rPr>
        <w:t>1.1.3.1 工程：指永久工程和（或）临时工程。</w:t>
      </w:r>
    </w:p>
    <w:p>
      <w:pPr>
        <w:spacing w:after="160" w:line="278" w:lineRule="auto"/>
        <w:rPr>
          <w:rFonts w:ascii="宋体" w:hAnsi="宋体"/>
          <w:sz w:val="22"/>
          <w:szCs w:val="28"/>
        </w:rPr>
      </w:pPr>
      <w:r>
        <w:rPr>
          <w:rFonts w:ascii="宋体" w:hAnsi="宋体"/>
          <w:sz w:val="22"/>
          <w:szCs w:val="28"/>
        </w:rPr>
        <w:t>1.1.3.2 永久工程：指按合同约定建造并移交给发包人的工程，包括工程设备。</w:t>
      </w:r>
    </w:p>
    <w:p>
      <w:pPr>
        <w:spacing w:after="160" w:line="278" w:lineRule="auto"/>
        <w:rPr>
          <w:rFonts w:ascii="宋体" w:hAnsi="宋体"/>
          <w:sz w:val="22"/>
          <w:szCs w:val="28"/>
        </w:rPr>
      </w:pPr>
      <w:r>
        <w:rPr>
          <w:rFonts w:ascii="宋体" w:hAnsi="宋体"/>
          <w:sz w:val="22"/>
          <w:szCs w:val="28"/>
        </w:rPr>
        <w:t>1.1.3.3 临时工程：指为完成合同约定的永久工程所修建的各类临时性工程，不包括施工设备。</w:t>
      </w:r>
    </w:p>
    <w:p>
      <w:pPr>
        <w:spacing w:after="160" w:line="278" w:lineRule="auto"/>
        <w:rPr>
          <w:rFonts w:ascii="宋体" w:hAnsi="宋体"/>
          <w:sz w:val="22"/>
          <w:szCs w:val="28"/>
        </w:rPr>
      </w:pPr>
      <w:r>
        <w:rPr>
          <w:rFonts w:ascii="宋体" w:hAnsi="宋体"/>
          <w:sz w:val="22"/>
          <w:szCs w:val="28"/>
        </w:rPr>
        <w:t>1.1.3.4 单位工程：指专用合同条款中指明特定范围的永久工程。</w:t>
      </w:r>
    </w:p>
    <w:p>
      <w:pPr>
        <w:spacing w:after="160" w:line="278" w:lineRule="auto"/>
        <w:rPr>
          <w:rFonts w:ascii="宋体" w:hAnsi="宋体"/>
          <w:sz w:val="22"/>
          <w:szCs w:val="28"/>
        </w:rPr>
      </w:pPr>
      <w:r>
        <w:rPr>
          <w:rFonts w:ascii="宋体" w:hAnsi="宋体"/>
          <w:sz w:val="22"/>
          <w:szCs w:val="28"/>
        </w:rPr>
        <w:t>1.1.3.5 工程设备：指构成或计划构成永久工程一部分的机电设备、金属结构设备、仪器装置及其他类似的设备和装置。</w:t>
      </w:r>
    </w:p>
    <w:p>
      <w:pPr>
        <w:spacing w:after="160" w:line="278" w:lineRule="auto"/>
        <w:rPr>
          <w:rFonts w:ascii="宋体" w:hAnsi="宋体"/>
          <w:sz w:val="22"/>
          <w:szCs w:val="28"/>
        </w:rPr>
      </w:pPr>
      <w:r>
        <w:rPr>
          <w:rFonts w:ascii="宋体" w:hAnsi="宋体"/>
          <w:sz w:val="22"/>
          <w:szCs w:val="28"/>
        </w:rPr>
        <w:t>1.1.3.6 施工设备：指为完成合同约定的各项工作所需的设备、器具和其他物品，不包括临时工程和材料。</w:t>
      </w:r>
    </w:p>
    <w:p>
      <w:pPr>
        <w:spacing w:after="160" w:line="278" w:lineRule="auto"/>
        <w:rPr>
          <w:rFonts w:ascii="宋体" w:hAnsi="宋体"/>
          <w:sz w:val="22"/>
          <w:szCs w:val="28"/>
        </w:rPr>
      </w:pPr>
      <w:r>
        <w:rPr>
          <w:rFonts w:ascii="宋体" w:hAnsi="宋体"/>
          <w:sz w:val="22"/>
          <w:szCs w:val="28"/>
        </w:rPr>
        <w:t>1.1.3.7 临时设施：指为完成合同约定的各项工作所服务的临时性生产和生活设施。</w:t>
      </w:r>
    </w:p>
    <w:p>
      <w:pPr>
        <w:spacing w:after="160" w:line="278" w:lineRule="auto"/>
        <w:rPr>
          <w:rFonts w:ascii="宋体" w:hAnsi="宋体"/>
          <w:sz w:val="22"/>
          <w:szCs w:val="28"/>
        </w:rPr>
      </w:pPr>
      <w:r>
        <w:rPr>
          <w:rFonts w:ascii="宋体" w:hAnsi="宋体"/>
          <w:sz w:val="22"/>
          <w:szCs w:val="28"/>
        </w:rPr>
        <w:t>1.1.3.8 承包人设备：指承包人自带的施工设备。</w:t>
      </w:r>
    </w:p>
    <w:p>
      <w:pPr>
        <w:spacing w:after="160" w:line="278" w:lineRule="auto"/>
        <w:rPr>
          <w:rFonts w:ascii="宋体" w:hAnsi="宋体"/>
          <w:sz w:val="22"/>
          <w:szCs w:val="28"/>
        </w:rPr>
      </w:pPr>
      <w:r>
        <w:rPr>
          <w:rFonts w:ascii="宋体" w:hAnsi="宋体"/>
          <w:sz w:val="22"/>
          <w:szCs w:val="28"/>
        </w:rPr>
        <w:t>1.1.3.9 施工场地（或称工地、现场）：指用于合同工程施工的场所，以及在合同中指定作为施工场地组成部分的其他场所，包括永久占地和临时占地。</w:t>
      </w:r>
    </w:p>
    <w:p>
      <w:pPr>
        <w:spacing w:after="160" w:line="278" w:lineRule="auto"/>
        <w:rPr>
          <w:rFonts w:ascii="宋体" w:hAnsi="宋体"/>
          <w:sz w:val="22"/>
          <w:szCs w:val="28"/>
        </w:rPr>
      </w:pPr>
      <w:r>
        <w:rPr>
          <w:rFonts w:ascii="宋体" w:hAnsi="宋体"/>
          <w:sz w:val="22"/>
          <w:szCs w:val="28"/>
        </w:rPr>
        <w:t>1.1.3.10 永久占地：指专用合同条款中指明为实施合同工程需永久占用的土地。</w:t>
      </w:r>
    </w:p>
    <w:p>
      <w:pPr>
        <w:spacing w:after="160" w:line="278" w:lineRule="auto"/>
        <w:rPr>
          <w:rFonts w:ascii="宋体" w:hAnsi="宋体"/>
          <w:sz w:val="22"/>
          <w:szCs w:val="28"/>
        </w:rPr>
      </w:pPr>
      <w:r>
        <w:rPr>
          <w:rFonts w:ascii="宋体" w:hAnsi="宋体"/>
          <w:sz w:val="22"/>
          <w:szCs w:val="28"/>
        </w:rPr>
        <w:t>1.1.3.11 临时占地：指专用合同条款中指明为实施合同工程需临时占用的土地。</w:t>
      </w:r>
    </w:p>
    <w:p>
      <w:pPr>
        <w:spacing w:after="160" w:line="278" w:lineRule="auto"/>
        <w:rPr>
          <w:rFonts w:ascii="宋体" w:hAnsi="宋体"/>
          <w:sz w:val="22"/>
          <w:szCs w:val="28"/>
        </w:rPr>
      </w:pPr>
      <w:r>
        <w:rPr>
          <w:rFonts w:ascii="宋体" w:hAnsi="宋体"/>
          <w:sz w:val="22"/>
          <w:szCs w:val="28"/>
        </w:rPr>
        <w:t xml:space="preserve">1.1.4 </w:t>
      </w:r>
      <w:r>
        <w:rPr>
          <w:rFonts w:hint="eastAsia" w:ascii="宋体" w:hAnsi="宋体"/>
          <w:sz w:val="22"/>
          <w:szCs w:val="28"/>
        </w:rPr>
        <w:t>日期</w:t>
      </w:r>
    </w:p>
    <w:p>
      <w:pPr>
        <w:spacing w:after="160" w:line="278" w:lineRule="auto"/>
        <w:rPr>
          <w:rFonts w:ascii="宋体" w:hAnsi="宋体"/>
          <w:sz w:val="22"/>
          <w:szCs w:val="28"/>
        </w:rPr>
      </w:pPr>
      <w:r>
        <w:rPr>
          <w:rFonts w:ascii="宋体" w:hAnsi="宋体"/>
          <w:sz w:val="22"/>
          <w:szCs w:val="28"/>
        </w:rPr>
        <w:t>1.1.4.1 开工通知：指监理人按第11.1款通知承包人开工的函件。</w:t>
      </w:r>
    </w:p>
    <w:p>
      <w:pPr>
        <w:spacing w:after="160" w:line="278" w:lineRule="auto"/>
        <w:rPr>
          <w:rFonts w:ascii="宋体" w:hAnsi="宋体"/>
          <w:sz w:val="22"/>
          <w:szCs w:val="28"/>
        </w:rPr>
      </w:pPr>
      <w:r>
        <w:rPr>
          <w:rFonts w:ascii="宋体" w:hAnsi="宋体"/>
          <w:sz w:val="22"/>
          <w:szCs w:val="28"/>
        </w:rPr>
        <w:t>1.1.4.2 开工日期：指监理人按第11.1款发出的开工通知中写明的开工日期。</w:t>
      </w:r>
    </w:p>
    <w:p>
      <w:pPr>
        <w:spacing w:after="160" w:line="278" w:lineRule="auto"/>
        <w:rPr>
          <w:rFonts w:ascii="宋体" w:hAnsi="宋体"/>
          <w:sz w:val="22"/>
          <w:szCs w:val="28"/>
        </w:rPr>
      </w:pPr>
      <w:r>
        <w:rPr>
          <w:rFonts w:ascii="宋体" w:hAnsi="宋体"/>
          <w:sz w:val="22"/>
          <w:szCs w:val="28"/>
        </w:rPr>
        <w:t>1.1.4.3工期：指承包人在投标函中承诺的完成合同工程所需的期限，包括按第11.3款、第11.4款和第11.6款约定所作的变更。</w:t>
      </w:r>
    </w:p>
    <w:p>
      <w:pPr>
        <w:spacing w:after="160" w:line="278" w:lineRule="auto"/>
        <w:rPr>
          <w:rFonts w:ascii="宋体" w:hAnsi="宋体"/>
          <w:sz w:val="22"/>
          <w:szCs w:val="28"/>
        </w:rPr>
      </w:pPr>
      <w:r>
        <w:rPr>
          <w:rFonts w:ascii="宋体" w:hAnsi="宋体"/>
          <w:sz w:val="22"/>
          <w:szCs w:val="28"/>
        </w:rPr>
        <w:t>1.1.4.4 竣工日期：指第1.1.4.3目约定工期届满时的日期。实际竣工日期以工程接收证书中写明的日期为准。</w:t>
      </w:r>
    </w:p>
    <w:p>
      <w:pPr>
        <w:spacing w:after="160" w:line="278" w:lineRule="auto"/>
        <w:rPr>
          <w:rFonts w:ascii="宋体" w:hAnsi="宋体"/>
          <w:sz w:val="22"/>
          <w:szCs w:val="28"/>
        </w:rPr>
      </w:pPr>
      <w:r>
        <w:rPr>
          <w:rFonts w:ascii="宋体" w:hAnsi="宋体"/>
          <w:sz w:val="22"/>
          <w:szCs w:val="28"/>
        </w:rPr>
        <w:t>1.1.4.5 缺陷责任期：指履行第19.2款约定的缺陷责任的期限，具体期限由专用合同条款约定，包括根据第19.3款约定所作的延长。</w:t>
      </w:r>
    </w:p>
    <w:p>
      <w:pPr>
        <w:spacing w:after="160" w:line="278" w:lineRule="auto"/>
        <w:rPr>
          <w:rFonts w:ascii="宋体" w:hAnsi="宋体"/>
          <w:sz w:val="22"/>
          <w:szCs w:val="28"/>
        </w:rPr>
      </w:pPr>
      <w:r>
        <w:rPr>
          <w:rFonts w:ascii="宋体" w:hAnsi="宋体"/>
          <w:sz w:val="22"/>
          <w:szCs w:val="28"/>
        </w:rPr>
        <w:t>1.1.4.6 基准日期：指投标截止时间前28天的日期。</w:t>
      </w:r>
    </w:p>
    <w:p>
      <w:pPr>
        <w:spacing w:after="160" w:line="278" w:lineRule="auto"/>
        <w:rPr>
          <w:rFonts w:ascii="宋体" w:hAnsi="宋体"/>
          <w:sz w:val="22"/>
          <w:szCs w:val="28"/>
        </w:rPr>
      </w:pPr>
      <w:r>
        <w:rPr>
          <w:rFonts w:ascii="宋体" w:hAnsi="宋体"/>
          <w:sz w:val="22"/>
          <w:szCs w:val="28"/>
        </w:rPr>
        <w:t>1.1.4.7 天：除特别指明外，指日历天。合同中按天计算时间的，开始当天不计入，从次日开始计算。期限最后一天的截止时间为当天24:00。</w:t>
      </w:r>
    </w:p>
    <w:p>
      <w:pPr>
        <w:spacing w:after="160" w:line="278" w:lineRule="auto"/>
        <w:rPr>
          <w:rFonts w:ascii="宋体" w:hAnsi="宋体"/>
          <w:sz w:val="22"/>
          <w:szCs w:val="28"/>
        </w:rPr>
      </w:pPr>
      <w:r>
        <w:rPr>
          <w:rFonts w:ascii="宋体" w:hAnsi="宋体"/>
          <w:sz w:val="22"/>
          <w:szCs w:val="28"/>
        </w:rPr>
        <w:t xml:space="preserve">1.1.5 </w:t>
      </w:r>
      <w:r>
        <w:rPr>
          <w:rFonts w:hint="eastAsia" w:ascii="宋体" w:hAnsi="宋体"/>
          <w:sz w:val="22"/>
          <w:szCs w:val="28"/>
        </w:rPr>
        <w:t>合同价格和费用</w:t>
      </w:r>
    </w:p>
    <w:p>
      <w:pPr>
        <w:spacing w:after="160" w:line="278" w:lineRule="auto"/>
        <w:rPr>
          <w:rFonts w:ascii="宋体" w:hAnsi="宋体"/>
          <w:sz w:val="22"/>
          <w:szCs w:val="28"/>
        </w:rPr>
      </w:pPr>
      <w:r>
        <w:rPr>
          <w:rFonts w:ascii="宋体" w:hAnsi="宋体"/>
          <w:sz w:val="22"/>
          <w:szCs w:val="28"/>
        </w:rPr>
        <w:t>1.1.5.1 签约合同价：指签定合同时合同协议书中写明的，包括了暂列金额、暂估价的合同总金额。</w:t>
      </w:r>
    </w:p>
    <w:p>
      <w:pPr>
        <w:spacing w:after="160" w:line="278" w:lineRule="auto"/>
        <w:rPr>
          <w:rFonts w:ascii="宋体" w:hAnsi="宋体"/>
          <w:sz w:val="22"/>
          <w:szCs w:val="28"/>
        </w:rPr>
      </w:pPr>
      <w:r>
        <w:rPr>
          <w:rFonts w:ascii="宋体" w:hAnsi="宋体"/>
          <w:sz w:val="22"/>
          <w:szCs w:val="28"/>
        </w:rPr>
        <w:t>1.1.5.2 合同价格：指承包人按合同约定完成了包括缺陷责任期内的全部承包工作后，发包人应付给承包人的金额，包括在履行合同过程中按合同约定进行的变更和调整。</w:t>
      </w:r>
    </w:p>
    <w:p>
      <w:pPr>
        <w:spacing w:after="160" w:line="278" w:lineRule="auto"/>
        <w:rPr>
          <w:rFonts w:ascii="宋体" w:hAnsi="宋体"/>
          <w:sz w:val="22"/>
          <w:szCs w:val="28"/>
        </w:rPr>
      </w:pPr>
      <w:r>
        <w:rPr>
          <w:rFonts w:ascii="宋体" w:hAnsi="宋体"/>
          <w:sz w:val="22"/>
          <w:szCs w:val="28"/>
        </w:rPr>
        <w:t>1.1.5.3 费用：指为履行合同所发生的或将要发生的所有合理开支，包括管理费和应分摊的其他费用，但不包括利润。</w:t>
      </w:r>
    </w:p>
    <w:p>
      <w:pPr>
        <w:spacing w:after="160" w:line="278" w:lineRule="auto"/>
        <w:rPr>
          <w:rFonts w:ascii="宋体" w:hAnsi="宋体"/>
          <w:sz w:val="22"/>
          <w:szCs w:val="28"/>
        </w:rPr>
      </w:pPr>
      <w:r>
        <w:rPr>
          <w:rFonts w:ascii="宋体" w:hAnsi="宋体"/>
          <w:sz w:val="22"/>
          <w:szCs w:val="28"/>
        </w:rPr>
        <w:t>1.1.5.4 暂列金额：指已标价工程量清单中所列的暂列金额，用于在签订协议书时尚未确定或不可预见变更的施工及其所需材料、工程设备、服务等的金额，包括以计日工方式支付的金额。</w:t>
      </w:r>
    </w:p>
    <w:p>
      <w:pPr>
        <w:spacing w:after="160" w:line="278" w:lineRule="auto"/>
        <w:rPr>
          <w:rFonts w:ascii="宋体" w:hAnsi="宋体"/>
          <w:sz w:val="22"/>
          <w:szCs w:val="28"/>
        </w:rPr>
      </w:pPr>
      <w:r>
        <w:rPr>
          <w:rFonts w:ascii="宋体" w:hAnsi="宋体"/>
          <w:sz w:val="22"/>
          <w:szCs w:val="28"/>
        </w:rPr>
        <w:t>1.1.5.5暂估价：指发包人在工程量清单中给定的用于支付必然发生但暂时不能确定价格的材料、设备以及专业工程的金额。</w:t>
      </w:r>
    </w:p>
    <w:p>
      <w:pPr>
        <w:spacing w:after="160" w:line="278" w:lineRule="auto"/>
        <w:rPr>
          <w:rFonts w:ascii="宋体" w:hAnsi="宋体"/>
          <w:sz w:val="22"/>
          <w:szCs w:val="28"/>
        </w:rPr>
      </w:pPr>
      <w:r>
        <w:rPr>
          <w:rFonts w:ascii="宋体" w:hAnsi="宋体"/>
          <w:sz w:val="22"/>
          <w:szCs w:val="28"/>
        </w:rPr>
        <w:t>1.1.5.6 计日工：指对零星工作采取的一种计价方式，按合同中的计日工子目及其单价计价付款。</w:t>
      </w:r>
    </w:p>
    <w:p>
      <w:pPr>
        <w:spacing w:after="160" w:line="278" w:lineRule="auto"/>
        <w:rPr>
          <w:rFonts w:ascii="宋体" w:hAnsi="宋体"/>
          <w:sz w:val="22"/>
          <w:szCs w:val="28"/>
        </w:rPr>
      </w:pPr>
      <w:r>
        <w:rPr>
          <w:rFonts w:ascii="宋体" w:hAnsi="宋体"/>
          <w:sz w:val="22"/>
          <w:szCs w:val="28"/>
        </w:rPr>
        <w:t>1.1.5.7 质量保证金（或称保留金）：指按第17.4.1项约定用于保证在缺陷责任期内履行缺陷修复义务的金额。</w:t>
      </w:r>
    </w:p>
    <w:p>
      <w:pPr>
        <w:spacing w:after="160" w:line="278" w:lineRule="auto"/>
        <w:rPr>
          <w:rFonts w:ascii="宋体" w:hAnsi="宋体"/>
          <w:sz w:val="22"/>
          <w:szCs w:val="28"/>
        </w:rPr>
      </w:pPr>
      <w:r>
        <w:rPr>
          <w:rFonts w:ascii="宋体" w:hAnsi="宋体"/>
          <w:sz w:val="22"/>
          <w:szCs w:val="28"/>
        </w:rPr>
        <w:t xml:space="preserve">1.1.6 </w:t>
      </w:r>
      <w:r>
        <w:rPr>
          <w:rFonts w:hint="eastAsia" w:ascii="宋体" w:hAnsi="宋体"/>
          <w:sz w:val="22"/>
          <w:szCs w:val="28"/>
        </w:rPr>
        <w:t>其他</w:t>
      </w:r>
    </w:p>
    <w:p>
      <w:pPr>
        <w:spacing w:after="160" w:line="278" w:lineRule="auto"/>
        <w:rPr>
          <w:rFonts w:ascii="宋体" w:hAnsi="宋体"/>
          <w:sz w:val="22"/>
          <w:szCs w:val="28"/>
        </w:rPr>
      </w:pPr>
      <w:r>
        <w:rPr>
          <w:rFonts w:ascii="宋体" w:hAnsi="宋体"/>
          <w:sz w:val="22"/>
          <w:szCs w:val="28"/>
        </w:rPr>
        <w:t>1.1.6.1 书面形式：指合同文件、信函、电报、传真等可以有形地表现所载内容的形式。</w:t>
      </w:r>
    </w:p>
    <w:p>
      <w:pPr>
        <w:spacing w:after="160" w:line="278" w:lineRule="auto"/>
        <w:rPr>
          <w:rFonts w:ascii="宋体" w:hAnsi="宋体"/>
          <w:sz w:val="22"/>
          <w:szCs w:val="28"/>
        </w:rPr>
      </w:pPr>
      <w:bookmarkStart w:id="799" w:name="_Toc132618600"/>
      <w:bookmarkStart w:id="800" w:name="_Toc129798242"/>
      <w:bookmarkStart w:id="801" w:name="_Toc132618991"/>
      <w:bookmarkStart w:id="802" w:name="_Toc109914307"/>
      <w:bookmarkStart w:id="803" w:name="_Toc144974581"/>
      <w:bookmarkStart w:id="804" w:name="_Toc179632631"/>
      <w:bookmarkStart w:id="805" w:name="_Toc142385529"/>
      <w:bookmarkStart w:id="806" w:name="_Toc152045613"/>
      <w:bookmarkStart w:id="807" w:name="_Toc342296264"/>
      <w:bookmarkStart w:id="808" w:name="_Toc338944706"/>
      <w:bookmarkStart w:id="809" w:name="_Toc152042391"/>
      <w:r>
        <w:rPr>
          <w:rFonts w:ascii="宋体" w:hAnsi="宋体"/>
          <w:sz w:val="22"/>
          <w:szCs w:val="28"/>
        </w:rPr>
        <w:t>1.2 语言文字</w:t>
      </w:r>
      <w:bookmarkEnd w:id="799"/>
      <w:bookmarkEnd w:id="800"/>
      <w:bookmarkEnd w:id="801"/>
      <w:bookmarkEnd w:id="802"/>
      <w:bookmarkEnd w:id="803"/>
      <w:bookmarkEnd w:id="804"/>
      <w:bookmarkEnd w:id="805"/>
      <w:bookmarkEnd w:id="806"/>
      <w:bookmarkEnd w:id="807"/>
      <w:bookmarkEnd w:id="808"/>
      <w:bookmarkEnd w:id="809"/>
    </w:p>
    <w:p>
      <w:pPr>
        <w:spacing w:after="160" w:line="278" w:lineRule="auto"/>
        <w:rPr>
          <w:rFonts w:ascii="宋体" w:hAnsi="宋体"/>
          <w:sz w:val="22"/>
          <w:szCs w:val="28"/>
        </w:rPr>
      </w:pPr>
      <w:r>
        <w:rPr>
          <w:rFonts w:ascii="宋体" w:hAnsi="宋体"/>
          <w:sz w:val="22"/>
          <w:szCs w:val="28"/>
        </w:rPr>
        <w:t>除专用术语外，合同使用的语言文字为中文。必要时专用术语应附有中文注释。</w:t>
      </w:r>
    </w:p>
    <w:p>
      <w:pPr>
        <w:spacing w:after="160" w:line="278" w:lineRule="auto"/>
        <w:rPr>
          <w:rFonts w:ascii="宋体" w:hAnsi="宋体"/>
          <w:sz w:val="22"/>
          <w:szCs w:val="28"/>
        </w:rPr>
      </w:pPr>
      <w:bookmarkStart w:id="810" w:name="_Toc132618601"/>
      <w:bookmarkStart w:id="811" w:name="_Toc132618992"/>
      <w:bookmarkStart w:id="812" w:name="_Toc342296265"/>
      <w:bookmarkStart w:id="813" w:name="_Toc152045614"/>
      <w:bookmarkStart w:id="814" w:name="_Toc152042392"/>
      <w:bookmarkStart w:id="815" w:name="_Toc144974582"/>
      <w:bookmarkStart w:id="816" w:name="_Toc109914308"/>
      <w:bookmarkStart w:id="817" w:name="_Toc179632632"/>
      <w:bookmarkStart w:id="818" w:name="_Toc142385530"/>
      <w:bookmarkStart w:id="819" w:name="_Toc338944707"/>
      <w:bookmarkStart w:id="820" w:name="_Toc129798243"/>
      <w:r>
        <w:rPr>
          <w:rFonts w:ascii="宋体" w:hAnsi="宋体"/>
          <w:sz w:val="22"/>
          <w:szCs w:val="28"/>
        </w:rPr>
        <w:t>1.3 法律</w:t>
      </w:r>
      <w:bookmarkEnd w:id="810"/>
      <w:bookmarkEnd w:id="811"/>
      <w:bookmarkEnd w:id="812"/>
      <w:bookmarkEnd w:id="813"/>
      <w:bookmarkEnd w:id="814"/>
      <w:bookmarkEnd w:id="815"/>
      <w:bookmarkEnd w:id="816"/>
      <w:bookmarkEnd w:id="817"/>
      <w:bookmarkEnd w:id="818"/>
      <w:bookmarkEnd w:id="819"/>
      <w:bookmarkEnd w:id="820"/>
    </w:p>
    <w:p>
      <w:pPr>
        <w:spacing w:after="160" w:line="278" w:lineRule="auto"/>
        <w:rPr>
          <w:rFonts w:ascii="宋体" w:hAnsi="宋体"/>
          <w:sz w:val="22"/>
          <w:szCs w:val="28"/>
        </w:rPr>
      </w:pPr>
      <w:r>
        <w:rPr>
          <w:rFonts w:ascii="宋体" w:hAnsi="宋体"/>
          <w:sz w:val="22"/>
          <w:szCs w:val="28"/>
        </w:rPr>
        <w:t>适用于合同的法律包括中华人民共和国法律、行政法规、部门规章，以及工程所在地的地方法规、自治条例、单行条例和地方政府规章。</w:t>
      </w:r>
    </w:p>
    <w:p>
      <w:pPr>
        <w:spacing w:after="160" w:line="278" w:lineRule="auto"/>
        <w:rPr>
          <w:rFonts w:ascii="宋体" w:hAnsi="宋体"/>
          <w:sz w:val="22"/>
          <w:szCs w:val="28"/>
        </w:rPr>
      </w:pPr>
      <w:bookmarkStart w:id="821" w:name="_Toc129798244"/>
      <w:bookmarkStart w:id="822" w:name="_Toc109914309"/>
      <w:bookmarkStart w:id="823" w:name="_Toc142385531"/>
      <w:bookmarkStart w:id="824" w:name="_Toc338944708"/>
      <w:bookmarkStart w:id="825" w:name="_Toc132618993"/>
      <w:bookmarkStart w:id="826" w:name="_Toc342296266"/>
      <w:bookmarkStart w:id="827" w:name="_Toc132618602"/>
      <w:r>
        <w:rPr>
          <w:rFonts w:ascii="宋体" w:hAnsi="宋体"/>
          <w:sz w:val="22"/>
          <w:szCs w:val="28"/>
        </w:rPr>
        <w:t>1.4 合同文件的优先顺序</w:t>
      </w:r>
      <w:bookmarkEnd w:id="821"/>
      <w:bookmarkEnd w:id="822"/>
      <w:bookmarkEnd w:id="823"/>
      <w:bookmarkEnd w:id="824"/>
      <w:bookmarkEnd w:id="825"/>
      <w:bookmarkEnd w:id="826"/>
      <w:bookmarkEnd w:id="827"/>
    </w:p>
    <w:p>
      <w:pPr>
        <w:spacing w:after="160" w:line="278" w:lineRule="auto"/>
        <w:rPr>
          <w:rFonts w:ascii="宋体" w:hAnsi="宋体"/>
          <w:sz w:val="22"/>
          <w:szCs w:val="28"/>
        </w:rPr>
      </w:pPr>
      <w:r>
        <w:rPr>
          <w:rFonts w:ascii="宋体" w:hAnsi="宋体"/>
          <w:sz w:val="22"/>
          <w:szCs w:val="28"/>
        </w:rPr>
        <w:t>组成合同的各项文件应互相解释，互为说明。除专用合同条款另有约定外，解释合同文件的优先顺序如下：</w:t>
      </w:r>
    </w:p>
    <w:p>
      <w:pPr>
        <w:spacing w:after="160" w:line="278" w:lineRule="auto"/>
        <w:rPr>
          <w:rFonts w:ascii="宋体" w:hAnsi="宋体"/>
          <w:sz w:val="22"/>
          <w:szCs w:val="28"/>
        </w:rPr>
      </w:pPr>
      <w:r>
        <w:rPr>
          <w:rFonts w:ascii="宋体" w:hAnsi="宋体"/>
          <w:sz w:val="22"/>
          <w:szCs w:val="28"/>
        </w:rPr>
        <w:t>（1）合同协议书；</w:t>
      </w:r>
    </w:p>
    <w:p>
      <w:pPr>
        <w:spacing w:after="160" w:line="278" w:lineRule="auto"/>
        <w:rPr>
          <w:rFonts w:ascii="宋体" w:hAnsi="宋体"/>
          <w:sz w:val="22"/>
          <w:szCs w:val="28"/>
        </w:rPr>
      </w:pPr>
      <w:r>
        <w:rPr>
          <w:rFonts w:ascii="宋体" w:hAnsi="宋体"/>
          <w:sz w:val="22"/>
          <w:szCs w:val="28"/>
        </w:rPr>
        <w:t>（2）中标通知书；</w:t>
      </w:r>
    </w:p>
    <w:p>
      <w:pPr>
        <w:spacing w:after="160" w:line="278" w:lineRule="auto"/>
        <w:rPr>
          <w:rFonts w:ascii="宋体" w:hAnsi="宋体"/>
          <w:sz w:val="22"/>
          <w:szCs w:val="28"/>
        </w:rPr>
      </w:pPr>
      <w:r>
        <w:rPr>
          <w:rFonts w:ascii="宋体" w:hAnsi="宋体"/>
          <w:sz w:val="22"/>
          <w:szCs w:val="28"/>
        </w:rPr>
        <w:t>（3）投标函及投标函附录；</w:t>
      </w:r>
    </w:p>
    <w:p>
      <w:pPr>
        <w:spacing w:after="160" w:line="278" w:lineRule="auto"/>
        <w:rPr>
          <w:rFonts w:ascii="宋体" w:hAnsi="宋体"/>
          <w:sz w:val="22"/>
          <w:szCs w:val="28"/>
        </w:rPr>
      </w:pPr>
      <w:r>
        <w:rPr>
          <w:rFonts w:ascii="宋体" w:hAnsi="宋体"/>
          <w:sz w:val="22"/>
          <w:szCs w:val="28"/>
        </w:rPr>
        <w:t>（4）专用合同条款；</w:t>
      </w:r>
    </w:p>
    <w:p>
      <w:pPr>
        <w:spacing w:after="160" w:line="278" w:lineRule="auto"/>
        <w:rPr>
          <w:rFonts w:ascii="宋体" w:hAnsi="宋体"/>
          <w:sz w:val="22"/>
          <w:szCs w:val="28"/>
        </w:rPr>
      </w:pPr>
      <w:r>
        <w:rPr>
          <w:rFonts w:ascii="宋体" w:hAnsi="宋体"/>
          <w:sz w:val="22"/>
          <w:szCs w:val="28"/>
        </w:rPr>
        <w:t>（5）通用合同条款；</w:t>
      </w:r>
    </w:p>
    <w:p>
      <w:pPr>
        <w:spacing w:after="160" w:line="278" w:lineRule="auto"/>
        <w:rPr>
          <w:rFonts w:ascii="宋体" w:hAnsi="宋体"/>
          <w:sz w:val="22"/>
          <w:szCs w:val="28"/>
        </w:rPr>
      </w:pPr>
      <w:r>
        <w:rPr>
          <w:rFonts w:ascii="宋体" w:hAnsi="宋体"/>
          <w:sz w:val="22"/>
          <w:szCs w:val="28"/>
        </w:rPr>
        <w:t>（6）技术标准和要求；</w:t>
      </w:r>
    </w:p>
    <w:p>
      <w:pPr>
        <w:spacing w:after="160" w:line="278" w:lineRule="auto"/>
        <w:rPr>
          <w:rFonts w:ascii="宋体" w:hAnsi="宋体"/>
          <w:sz w:val="22"/>
          <w:szCs w:val="28"/>
        </w:rPr>
      </w:pPr>
      <w:r>
        <w:rPr>
          <w:rFonts w:ascii="宋体" w:hAnsi="宋体"/>
          <w:sz w:val="22"/>
          <w:szCs w:val="28"/>
        </w:rPr>
        <w:t>（7）图纸；</w:t>
      </w:r>
    </w:p>
    <w:p>
      <w:pPr>
        <w:spacing w:after="160" w:line="278" w:lineRule="auto"/>
        <w:rPr>
          <w:rFonts w:ascii="宋体" w:hAnsi="宋体"/>
          <w:sz w:val="22"/>
          <w:szCs w:val="28"/>
        </w:rPr>
      </w:pPr>
      <w:r>
        <w:rPr>
          <w:rFonts w:ascii="宋体" w:hAnsi="宋体"/>
          <w:sz w:val="22"/>
          <w:szCs w:val="28"/>
        </w:rPr>
        <w:t>（8）已标价工程量清单；</w:t>
      </w:r>
    </w:p>
    <w:p>
      <w:pPr>
        <w:spacing w:after="160" w:line="278" w:lineRule="auto"/>
        <w:rPr>
          <w:rFonts w:ascii="宋体" w:hAnsi="宋体"/>
          <w:sz w:val="22"/>
          <w:szCs w:val="28"/>
        </w:rPr>
      </w:pPr>
      <w:r>
        <w:rPr>
          <w:rFonts w:ascii="宋体" w:hAnsi="宋体"/>
          <w:sz w:val="22"/>
          <w:szCs w:val="28"/>
        </w:rPr>
        <w:t>（9）其他合同文件。</w:t>
      </w:r>
    </w:p>
    <w:p>
      <w:pPr>
        <w:spacing w:after="160" w:line="278" w:lineRule="auto"/>
        <w:rPr>
          <w:rFonts w:ascii="宋体" w:hAnsi="宋体"/>
          <w:sz w:val="22"/>
          <w:szCs w:val="28"/>
        </w:rPr>
      </w:pPr>
      <w:bookmarkStart w:id="828" w:name="_Toc129798245"/>
      <w:bookmarkStart w:id="829" w:name="_Toc109914310"/>
      <w:bookmarkStart w:id="830" w:name="_Toc342296267"/>
      <w:bookmarkStart w:id="831" w:name="_Toc142385532"/>
      <w:bookmarkStart w:id="832" w:name="_Toc132618994"/>
      <w:bookmarkStart w:id="833" w:name="_Toc132618603"/>
      <w:bookmarkStart w:id="834" w:name="_Toc338944709"/>
      <w:r>
        <w:rPr>
          <w:rFonts w:ascii="宋体" w:hAnsi="宋体"/>
          <w:sz w:val="22"/>
          <w:szCs w:val="28"/>
        </w:rPr>
        <w:t>1.5 合同协议书</w:t>
      </w:r>
      <w:bookmarkEnd w:id="828"/>
      <w:bookmarkEnd w:id="829"/>
      <w:bookmarkEnd w:id="830"/>
      <w:bookmarkEnd w:id="831"/>
      <w:bookmarkEnd w:id="832"/>
      <w:bookmarkEnd w:id="833"/>
      <w:bookmarkEnd w:id="834"/>
    </w:p>
    <w:p>
      <w:pPr>
        <w:spacing w:after="160" w:line="278" w:lineRule="auto"/>
        <w:rPr>
          <w:rFonts w:ascii="宋体" w:hAnsi="宋体"/>
          <w:sz w:val="22"/>
          <w:szCs w:val="28"/>
        </w:rPr>
      </w:pPr>
      <w:r>
        <w:rPr>
          <w:rFonts w:ascii="宋体" w:hAnsi="宋体"/>
          <w:sz w:val="22"/>
          <w:szCs w:val="28"/>
        </w:rPr>
        <w:t>承包人按中标通知书规定的时间与发包人签订合同协议书。除法律另有规定或合同另有约定外，发包人和承包人的法定代表人或其委托代理人在合同协议书上签字并盖单位章后，合同生效。</w:t>
      </w:r>
    </w:p>
    <w:p>
      <w:pPr>
        <w:spacing w:after="160" w:line="278" w:lineRule="auto"/>
        <w:rPr>
          <w:rFonts w:ascii="宋体" w:hAnsi="宋体"/>
          <w:sz w:val="22"/>
          <w:szCs w:val="28"/>
        </w:rPr>
      </w:pPr>
      <w:bookmarkStart w:id="835" w:name="_Toc129798246"/>
      <w:bookmarkStart w:id="836" w:name="_Toc142385533"/>
      <w:bookmarkStart w:id="837" w:name="_Toc342296268"/>
      <w:bookmarkStart w:id="838" w:name="_Toc132618995"/>
      <w:bookmarkStart w:id="839" w:name="_Toc132618604"/>
      <w:bookmarkStart w:id="840" w:name="_Toc109914311"/>
      <w:bookmarkStart w:id="841" w:name="_Toc338944710"/>
      <w:r>
        <w:rPr>
          <w:rFonts w:ascii="宋体" w:hAnsi="宋体"/>
          <w:sz w:val="22"/>
          <w:szCs w:val="28"/>
        </w:rPr>
        <w:t>1.6 图纸和承包人文件</w:t>
      </w:r>
      <w:bookmarkEnd w:id="835"/>
      <w:bookmarkEnd w:id="836"/>
      <w:bookmarkEnd w:id="837"/>
      <w:bookmarkEnd w:id="838"/>
      <w:bookmarkEnd w:id="839"/>
      <w:bookmarkEnd w:id="840"/>
      <w:bookmarkEnd w:id="841"/>
    </w:p>
    <w:p>
      <w:pPr>
        <w:spacing w:after="160" w:line="278" w:lineRule="auto"/>
        <w:rPr>
          <w:rFonts w:ascii="宋体" w:hAnsi="宋体"/>
          <w:sz w:val="22"/>
          <w:szCs w:val="28"/>
        </w:rPr>
      </w:pPr>
      <w:r>
        <w:rPr>
          <w:rFonts w:ascii="宋体" w:hAnsi="宋体"/>
          <w:sz w:val="22"/>
          <w:szCs w:val="28"/>
        </w:rPr>
        <w:t>1.6.1</w:t>
      </w:r>
      <w:r>
        <w:rPr>
          <w:rFonts w:hint="eastAsia" w:ascii="宋体" w:hAnsi="宋体"/>
          <w:sz w:val="22"/>
          <w:szCs w:val="28"/>
        </w:rPr>
        <w:t>图纸的提供和交底</w:t>
      </w:r>
    </w:p>
    <w:p>
      <w:pPr>
        <w:spacing w:after="160" w:line="278" w:lineRule="auto"/>
        <w:rPr>
          <w:rFonts w:ascii="宋体" w:hAnsi="宋体"/>
          <w:sz w:val="22"/>
          <w:szCs w:val="28"/>
        </w:rPr>
      </w:pPr>
      <w:r>
        <w:rPr>
          <w:rFonts w:hint="eastAsia" w:ascii="宋体" w:hAnsi="宋体"/>
          <w:sz w:val="22"/>
          <w:szCs w:val="28"/>
        </w:rPr>
        <w:t>发包人应按照专用合同条款约定的期限、数量和内容向承包人免费提供图纸，并组织承包人、监理人和设计人进行图纸会审和设计交底。</w:t>
      </w:r>
      <w:r>
        <w:rPr>
          <w:rFonts w:ascii="宋体" w:hAnsi="宋体"/>
          <w:sz w:val="22"/>
          <w:szCs w:val="28"/>
        </w:rPr>
        <w:t xml:space="preserve">。由于发包人未按时提供图纸造成工期延误的，按第11.3款的约定办理。1.6.2 </w:t>
      </w:r>
      <w:r>
        <w:rPr>
          <w:rFonts w:hint="eastAsia" w:ascii="宋体" w:hAnsi="宋体"/>
          <w:sz w:val="22"/>
          <w:szCs w:val="28"/>
        </w:rPr>
        <w:t>承包人提供的文件</w:t>
      </w:r>
    </w:p>
    <w:p>
      <w:pPr>
        <w:spacing w:after="160" w:line="278" w:lineRule="auto"/>
        <w:rPr>
          <w:rFonts w:ascii="宋体" w:hAnsi="宋体"/>
          <w:sz w:val="22"/>
          <w:szCs w:val="28"/>
        </w:rPr>
      </w:pPr>
      <w:r>
        <w:rPr>
          <w:rFonts w:ascii="宋体" w:hAnsi="宋体"/>
          <w:sz w:val="22"/>
          <w:szCs w:val="28"/>
        </w:rPr>
        <w:t>　　</w:t>
      </w:r>
      <w:r>
        <w:rPr>
          <w:rFonts w:hint="eastAsia" w:ascii="宋体" w:hAnsi="宋体"/>
          <w:sz w:val="22"/>
          <w:szCs w:val="28"/>
        </w:rPr>
        <w:t>承包人应按照专用合同条款的约定提供应当由其编制的与工程施工有关的文件，其中应</w:t>
      </w:r>
      <w:r>
        <w:rPr>
          <w:rFonts w:ascii="宋体" w:hAnsi="宋体"/>
          <w:sz w:val="22"/>
          <w:szCs w:val="28"/>
        </w:rPr>
        <w:t>包括部分工程的大样图、加工图等</w:t>
      </w:r>
      <w:r>
        <w:rPr>
          <w:rFonts w:hint="eastAsia" w:ascii="宋体" w:hAnsi="宋体"/>
          <w:sz w:val="22"/>
          <w:szCs w:val="28"/>
        </w:rPr>
        <w:t>。同时按照专用合同条款约定的期限、数量和形式提交监理人，由监理人报送发包人。除专用合同条款另有约定外，监理人应在收到承包人文件后</w:t>
      </w:r>
      <w:r>
        <w:rPr>
          <w:rFonts w:ascii="宋体" w:hAnsi="宋体"/>
          <w:sz w:val="22"/>
          <w:szCs w:val="28"/>
        </w:rPr>
        <w:t>7天内审查完毕，监理人对承包人文件有异议的，承包人应予以修改，并重新报送监理人</w:t>
      </w:r>
      <w:r>
        <w:rPr>
          <w:rFonts w:hint="eastAsia" w:ascii="宋体" w:hAnsi="宋体"/>
          <w:sz w:val="22"/>
          <w:szCs w:val="28"/>
        </w:rPr>
        <w:t>。</w:t>
      </w:r>
    </w:p>
    <w:p>
      <w:pPr>
        <w:spacing w:after="160" w:line="278" w:lineRule="auto"/>
        <w:rPr>
          <w:rFonts w:ascii="宋体" w:hAnsi="宋体"/>
          <w:sz w:val="22"/>
          <w:szCs w:val="28"/>
        </w:rPr>
      </w:pPr>
      <w:r>
        <w:rPr>
          <w:rFonts w:ascii="宋体" w:hAnsi="宋体"/>
          <w:sz w:val="22"/>
          <w:szCs w:val="28"/>
        </w:rPr>
        <w:t xml:space="preserve">1.6.3 </w:t>
      </w:r>
      <w:r>
        <w:rPr>
          <w:rFonts w:hint="eastAsia" w:ascii="宋体" w:hAnsi="宋体"/>
          <w:sz w:val="22"/>
          <w:szCs w:val="28"/>
        </w:rPr>
        <w:t>图纸的修改</w:t>
      </w:r>
    </w:p>
    <w:p>
      <w:pPr>
        <w:spacing w:after="160" w:line="278" w:lineRule="auto"/>
        <w:rPr>
          <w:rFonts w:ascii="宋体" w:hAnsi="宋体"/>
          <w:sz w:val="22"/>
          <w:szCs w:val="28"/>
        </w:rPr>
      </w:pPr>
      <w:r>
        <w:rPr>
          <w:rFonts w:ascii="宋体" w:hAnsi="宋体"/>
          <w:sz w:val="22"/>
          <w:szCs w:val="28"/>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after="160" w:line="278" w:lineRule="auto"/>
        <w:rPr>
          <w:rFonts w:ascii="宋体" w:hAnsi="宋体"/>
          <w:sz w:val="22"/>
          <w:szCs w:val="28"/>
        </w:rPr>
      </w:pPr>
      <w:r>
        <w:rPr>
          <w:rFonts w:ascii="宋体" w:hAnsi="宋体"/>
          <w:sz w:val="22"/>
          <w:szCs w:val="28"/>
        </w:rPr>
        <w:t xml:space="preserve">1.6.4 </w:t>
      </w:r>
      <w:r>
        <w:rPr>
          <w:rFonts w:hint="eastAsia" w:ascii="宋体" w:hAnsi="宋体"/>
          <w:sz w:val="22"/>
          <w:szCs w:val="28"/>
        </w:rPr>
        <w:t>图纸的错误</w:t>
      </w:r>
    </w:p>
    <w:p>
      <w:pPr>
        <w:spacing w:after="160" w:line="278" w:lineRule="auto"/>
        <w:rPr>
          <w:rFonts w:ascii="宋体" w:hAnsi="宋体"/>
          <w:sz w:val="22"/>
          <w:szCs w:val="28"/>
        </w:rPr>
      </w:pPr>
      <w:r>
        <w:rPr>
          <w:rFonts w:hint="eastAsia" w:ascii="宋体" w:hAnsi="宋体"/>
          <w:sz w:val="22"/>
          <w:szCs w:val="28"/>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r>
        <w:rPr>
          <w:rFonts w:ascii="宋体" w:hAnsi="宋体"/>
          <w:sz w:val="22"/>
          <w:szCs w:val="28"/>
        </w:rPr>
        <w:t xml:space="preserve">1.6.5 </w:t>
      </w:r>
      <w:r>
        <w:rPr>
          <w:rFonts w:hint="eastAsia" w:ascii="宋体" w:hAnsi="宋体"/>
          <w:sz w:val="22"/>
          <w:szCs w:val="28"/>
        </w:rPr>
        <w:t>图纸和承包人文件的保管</w:t>
      </w:r>
    </w:p>
    <w:p>
      <w:pPr>
        <w:spacing w:after="160" w:line="278" w:lineRule="auto"/>
        <w:rPr>
          <w:rFonts w:ascii="宋体" w:hAnsi="宋体"/>
          <w:sz w:val="22"/>
          <w:szCs w:val="28"/>
        </w:rPr>
      </w:pPr>
      <w:r>
        <w:rPr>
          <w:rFonts w:ascii="宋体" w:hAnsi="宋体"/>
          <w:sz w:val="22"/>
          <w:szCs w:val="28"/>
        </w:rPr>
        <w:t>监理人和承包人均应在施工场地各保存一套完整的包含第1.6.1项、第1.6.2项、第1.6.3项约定内容的图纸和承包人文件</w:t>
      </w:r>
      <w:r>
        <w:rPr>
          <w:rFonts w:hint="eastAsia" w:ascii="宋体" w:hAnsi="宋体"/>
          <w:sz w:val="22"/>
          <w:szCs w:val="28"/>
        </w:rPr>
        <w:t>，，供发包人、监理人及有关人员进行工程检查时使用。</w:t>
      </w:r>
    </w:p>
    <w:p>
      <w:pPr>
        <w:spacing w:after="160" w:line="278" w:lineRule="auto"/>
        <w:rPr>
          <w:rFonts w:ascii="宋体" w:hAnsi="宋体"/>
          <w:sz w:val="22"/>
          <w:szCs w:val="28"/>
        </w:rPr>
      </w:pPr>
      <w:bookmarkStart w:id="842" w:name="_Toc129798247"/>
      <w:bookmarkStart w:id="843" w:name="_Toc109914312"/>
      <w:bookmarkStart w:id="844" w:name="_Toc342296269"/>
      <w:bookmarkStart w:id="845" w:name="_Toc132618996"/>
      <w:bookmarkStart w:id="846" w:name="_Toc338944711"/>
      <w:bookmarkStart w:id="847" w:name="_Toc142385534"/>
      <w:bookmarkStart w:id="848" w:name="_Toc132618605"/>
      <w:r>
        <w:rPr>
          <w:rFonts w:ascii="宋体" w:hAnsi="宋体"/>
          <w:sz w:val="22"/>
          <w:szCs w:val="28"/>
        </w:rPr>
        <w:t>1.7 联络</w:t>
      </w:r>
      <w:bookmarkEnd w:id="842"/>
      <w:bookmarkEnd w:id="843"/>
      <w:bookmarkEnd w:id="844"/>
      <w:bookmarkEnd w:id="845"/>
      <w:bookmarkEnd w:id="846"/>
      <w:bookmarkEnd w:id="847"/>
      <w:bookmarkEnd w:id="848"/>
    </w:p>
    <w:p>
      <w:pPr>
        <w:spacing w:after="160" w:line="278" w:lineRule="auto"/>
        <w:rPr>
          <w:rFonts w:ascii="宋体" w:hAnsi="宋体"/>
          <w:sz w:val="22"/>
          <w:szCs w:val="28"/>
        </w:rPr>
      </w:pPr>
      <w:r>
        <w:rPr>
          <w:rFonts w:ascii="宋体" w:hAnsi="宋体"/>
          <w:sz w:val="22"/>
          <w:szCs w:val="28"/>
        </w:rPr>
        <w:t>1.7.1 与合同有关的通知、批准、证明、证书、指示、要求、请求、同意、意见、确定和决定等，均应采用书面形式。</w:t>
      </w:r>
    </w:p>
    <w:p>
      <w:pPr>
        <w:spacing w:after="160" w:line="278" w:lineRule="auto"/>
        <w:rPr>
          <w:rFonts w:ascii="宋体" w:hAnsi="宋体"/>
          <w:sz w:val="22"/>
          <w:szCs w:val="28"/>
        </w:rPr>
      </w:pPr>
      <w:r>
        <w:rPr>
          <w:rFonts w:ascii="宋体" w:hAnsi="宋体"/>
          <w:sz w:val="22"/>
          <w:szCs w:val="28"/>
        </w:rPr>
        <w:t>1.7.2 第1.7.1项中的通知、批准、证明、证书、指示、要求、请求、同意、意见、确定和决定等来往函件，均应在合同约定的期限内送达指定地点和接收人，并办理签收手续。</w:t>
      </w:r>
    </w:p>
    <w:p>
      <w:pPr>
        <w:spacing w:after="160" w:line="278" w:lineRule="auto"/>
        <w:rPr>
          <w:rFonts w:ascii="宋体" w:hAnsi="宋体"/>
          <w:sz w:val="22"/>
          <w:szCs w:val="28"/>
        </w:rPr>
      </w:pPr>
      <w:bookmarkStart w:id="849" w:name="_Toc132618606"/>
      <w:bookmarkStart w:id="850" w:name="_Toc142385535"/>
      <w:bookmarkStart w:id="851" w:name="_Toc129798248"/>
      <w:bookmarkStart w:id="852" w:name="_Toc342296270"/>
      <w:bookmarkStart w:id="853" w:name="_Toc132618997"/>
      <w:bookmarkStart w:id="854" w:name="_Toc152045619"/>
      <w:bookmarkStart w:id="855" w:name="_Toc338944712"/>
      <w:bookmarkStart w:id="856" w:name="_Toc109914313"/>
      <w:bookmarkStart w:id="857" w:name="_Toc179632637"/>
      <w:bookmarkStart w:id="858" w:name="_Toc152042397"/>
      <w:bookmarkStart w:id="859" w:name="_Toc144974587"/>
      <w:r>
        <w:rPr>
          <w:rFonts w:ascii="宋体" w:hAnsi="宋体"/>
          <w:sz w:val="22"/>
          <w:szCs w:val="28"/>
        </w:rPr>
        <w:t>1.8 转让</w:t>
      </w:r>
      <w:bookmarkEnd w:id="849"/>
      <w:bookmarkEnd w:id="850"/>
      <w:bookmarkEnd w:id="851"/>
      <w:bookmarkEnd w:id="852"/>
      <w:bookmarkEnd w:id="853"/>
      <w:bookmarkEnd w:id="854"/>
      <w:bookmarkEnd w:id="855"/>
      <w:bookmarkEnd w:id="856"/>
      <w:bookmarkEnd w:id="857"/>
      <w:bookmarkEnd w:id="858"/>
      <w:bookmarkEnd w:id="859"/>
    </w:p>
    <w:p>
      <w:pPr>
        <w:spacing w:after="160" w:line="278" w:lineRule="auto"/>
        <w:rPr>
          <w:rFonts w:ascii="宋体" w:hAnsi="宋体"/>
          <w:sz w:val="22"/>
          <w:szCs w:val="28"/>
        </w:rPr>
      </w:pPr>
      <w:r>
        <w:rPr>
          <w:rFonts w:ascii="宋体" w:hAnsi="宋体"/>
          <w:sz w:val="22"/>
          <w:szCs w:val="28"/>
        </w:rPr>
        <w:t>除合同另有约定外，未经对方当事人同意，一方当事人不得将合同权利全部或部分转让给第三人，也不得全部或部分转移合同义务。</w:t>
      </w:r>
    </w:p>
    <w:p>
      <w:pPr>
        <w:spacing w:after="160" w:line="278" w:lineRule="auto"/>
        <w:rPr>
          <w:rFonts w:ascii="宋体" w:hAnsi="宋体"/>
          <w:sz w:val="22"/>
          <w:szCs w:val="28"/>
        </w:rPr>
      </w:pPr>
      <w:bookmarkStart w:id="860" w:name="_Toc132618607"/>
      <w:bookmarkStart w:id="861" w:name="_Toc179632638"/>
      <w:bookmarkStart w:id="862" w:name="_Toc109914314"/>
      <w:bookmarkStart w:id="863" w:name="_Toc152045620"/>
      <w:bookmarkStart w:id="864" w:name="_Toc129798249"/>
      <w:bookmarkStart w:id="865" w:name="_Toc144974588"/>
      <w:bookmarkStart w:id="866" w:name="_Toc338944713"/>
      <w:bookmarkStart w:id="867" w:name="_Toc342296271"/>
      <w:bookmarkStart w:id="868" w:name="_Toc142385536"/>
      <w:bookmarkStart w:id="869" w:name="_Toc152042398"/>
      <w:bookmarkStart w:id="870" w:name="_Toc132618998"/>
      <w:r>
        <w:rPr>
          <w:rFonts w:ascii="宋体" w:hAnsi="宋体"/>
          <w:sz w:val="22"/>
          <w:szCs w:val="28"/>
        </w:rPr>
        <w:t>1.9 严禁贿赂</w:t>
      </w:r>
      <w:bookmarkEnd w:id="860"/>
      <w:bookmarkEnd w:id="861"/>
      <w:bookmarkEnd w:id="862"/>
      <w:bookmarkEnd w:id="863"/>
      <w:bookmarkEnd w:id="864"/>
      <w:bookmarkEnd w:id="865"/>
      <w:bookmarkEnd w:id="866"/>
      <w:bookmarkEnd w:id="867"/>
      <w:bookmarkEnd w:id="868"/>
      <w:bookmarkEnd w:id="869"/>
      <w:bookmarkEnd w:id="870"/>
    </w:p>
    <w:p>
      <w:pPr>
        <w:spacing w:after="160" w:line="278" w:lineRule="auto"/>
        <w:rPr>
          <w:rFonts w:ascii="宋体" w:hAnsi="宋体"/>
          <w:sz w:val="22"/>
          <w:szCs w:val="28"/>
        </w:rPr>
      </w:pPr>
      <w:r>
        <w:rPr>
          <w:rFonts w:ascii="宋体" w:hAnsi="宋体"/>
          <w:sz w:val="22"/>
          <w:szCs w:val="28"/>
        </w:rPr>
        <w:t>合同双方当事人不得以贿赂或变相贿赂的方式，谋取不当利益或损害对方权益。因贿赂造成对方损失的，行为人应赔偿损失，并承担相应的法律责任。</w:t>
      </w:r>
    </w:p>
    <w:p>
      <w:pPr>
        <w:spacing w:after="160" w:line="278" w:lineRule="auto"/>
        <w:rPr>
          <w:rFonts w:ascii="宋体" w:hAnsi="宋体"/>
          <w:sz w:val="22"/>
          <w:szCs w:val="28"/>
        </w:rPr>
      </w:pPr>
      <w:r>
        <w:rPr>
          <w:rFonts w:hint="eastAsia" w:ascii="宋体" w:hAnsi="宋体"/>
          <w:sz w:val="22"/>
          <w:szCs w:val="28"/>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after="160" w:line="278" w:lineRule="auto"/>
        <w:rPr>
          <w:rFonts w:ascii="宋体" w:hAnsi="宋体"/>
          <w:sz w:val="22"/>
          <w:szCs w:val="28"/>
        </w:rPr>
      </w:pPr>
      <w:bookmarkStart w:id="871" w:name="_Toc109914315"/>
      <w:bookmarkStart w:id="872" w:name="_Toc132618999"/>
      <w:bookmarkStart w:id="873" w:name="_Toc152045621"/>
      <w:bookmarkStart w:id="874" w:name="_Toc338944714"/>
      <w:bookmarkStart w:id="875" w:name="_Toc142385537"/>
      <w:bookmarkStart w:id="876" w:name="_Toc132618608"/>
      <w:bookmarkStart w:id="877" w:name="_Toc152042399"/>
      <w:bookmarkStart w:id="878" w:name="_Toc179632639"/>
      <w:bookmarkStart w:id="879" w:name="_Toc144974589"/>
      <w:bookmarkStart w:id="880" w:name="_Toc129798250"/>
      <w:bookmarkStart w:id="881" w:name="_Toc342296272"/>
      <w:r>
        <w:rPr>
          <w:rFonts w:ascii="宋体" w:hAnsi="宋体"/>
          <w:sz w:val="22"/>
          <w:szCs w:val="28"/>
        </w:rPr>
        <w:t>1.10 化石、文物</w:t>
      </w:r>
      <w:bookmarkEnd w:id="871"/>
      <w:bookmarkEnd w:id="872"/>
      <w:bookmarkEnd w:id="873"/>
      <w:bookmarkEnd w:id="874"/>
      <w:bookmarkEnd w:id="875"/>
      <w:bookmarkEnd w:id="876"/>
      <w:bookmarkEnd w:id="877"/>
      <w:bookmarkEnd w:id="878"/>
      <w:bookmarkEnd w:id="879"/>
      <w:bookmarkEnd w:id="880"/>
      <w:bookmarkEnd w:id="881"/>
    </w:p>
    <w:p>
      <w:pPr>
        <w:spacing w:after="160" w:line="278" w:lineRule="auto"/>
        <w:rPr>
          <w:rFonts w:ascii="宋体" w:hAnsi="宋体"/>
          <w:sz w:val="22"/>
          <w:szCs w:val="28"/>
        </w:rPr>
      </w:pPr>
      <w:r>
        <w:rPr>
          <w:rFonts w:ascii="宋体" w:hAnsi="宋体"/>
          <w:sz w:val="22"/>
          <w:szCs w:val="28"/>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after="160" w:line="278" w:lineRule="auto"/>
        <w:rPr>
          <w:rFonts w:ascii="宋体" w:hAnsi="宋体"/>
          <w:sz w:val="22"/>
          <w:szCs w:val="28"/>
        </w:rPr>
      </w:pPr>
      <w:r>
        <w:rPr>
          <w:rFonts w:ascii="宋体" w:hAnsi="宋体"/>
          <w:sz w:val="22"/>
          <w:szCs w:val="28"/>
        </w:rPr>
        <w:t>1.10.2 承包人发现文物后不及时报告或隐瞒不报，致使文物丢失或损坏的，应赔偿损失，并承担相应的法律责任。</w:t>
      </w:r>
    </w:p>
    <w:p>
      <w:pPr>
        <w:spacing w:after="160" w:line="278" w:lineRule="auto"/>
        <w:rPr>
          <w:rFonts w:ascii="宋体" w:hAnsi="宋体"/>
          <w:sz w:val="22"/>
          <w:szCs w:val="28"/>
        </w:rPr>
      </w:pPr>
      <w:bookmarkStart w:id="882" w:name="_Toc142385538"/>
      <w:bookmarkStart w:id="883" w:name="_Toc109914316"/>
      <w:bookmarkStart w:id="884" w:name="_Toc342296273"/>
      <w:bookmarkStart w:id="885" w:name="_Toc152045622"/>
      <w:bookmarkStart w:id="886" w:name="_Toc338944715"/>
      <w:bookmarkStart w:id="887" w:name="_Toc144974590"/>
      <w:bookmarkStart w:id="888" w:name="_Toc132619000"/>
      <w:bookmarkStart w:id="889" w:name="_Toc179632640"/>
      <w:bookmarkStart w:id="890" w:name="_Toc129798251"/>
      <w:bookmarkStart w:id="891" w:name="_Toc152042400"/>
      <w:r>
        <w:rPr>
          <w:rFonts w:ascii="宋体" w:hAnsi="宋体"/>
          <w:sz w:val="22"/>
          <w:szCs w:val="28"/>
        </w:rPr>
        <w:t>1.11 专利技术</w:t>
      </w:r>
      <w:bookmarkEnd w:id="882"/>
      <w:bookmarkEnd w:id="883"/>
      <w:bookmarkEnd w:id="884"/>
      <w:bookmarkEnd w:id="885"/>
      <w:bookmarkEnd w:id="886"/>
      <w:bookmarkEnd w:id="887"/>
      <w:bookmarkEnd w:id="888"/>
      <w:bookmarkEnd w:id="889"/>
      <w:bookmarkEnd w:id="890"/>
      <w:bookmarkEnd w:id="891"/>
    </w:p>
    <w:p>
      <w:pPr>
        <w:spacing w:after="160" w:line="278" w:lineRule="auto"/>
        <w:rPr>
          <w:rFonts w:ascii="宋体" w:hAnsi="宋体"/>
          <w:sz w:val="22"/>
          <w:szCs w:val="28"/>
        </w:rPr>
      </w:pPr>
      <w:r>
        <w:rPr>
          <w:rFonts w:ascii="宋体" w:hAnsi="宋体"/>
          <w:sz w:val="22"/>
          <w:szCs w:val="28"/>
        </w:rPr>
        <w:t>1.11.1 承包人在使用任何材料、承包人设备、工程设备或采用施工工艺时，因侵犯专利权或其他知识产权所引起的责任，由承包人承担，但由于遵照发包人提供的设计或技术标准和要求引起的除外。</w:t>
      </w:r>
    </w:p>
    <w:p>
      <w:pPr>
        <w:spacing w:after="160" w:line="278" w:lineRule="auto"/>
        <w:rPr>
          <w:rFonts w:ascii="宋体" w:hAnsi="宋体"/>
          <w:sz w:val="22"/>
          <w:szCs w:val="28"/>
        </w:rPr>
      </w:pPr>
      <w:r>
        <w:rPr>
          <w:rFonts w:ascii="宋体" w:hAnsi="宋体"/>
          <w:sz w:val="22"/>
          <w:szCs w:val="28"/>
        </w:rPr>
        <w:t>1.11.2 承包人在投标文件中采用专利技术的，专利技术的使用费包含在投标报价内。</w:t>
      </w:r>
    </w:p>
    <w:p>
      <w:pPr>
        <w:spacing w:after="160" w:line="278" w:lineRule="auto"/>
        <w:rPr>
          <w:rFonts w:ascii="宋体" w:hAnsi="宋体"/>
          <w:sz w:val="22"/>
          <w:szCs w:val="28"/>
        </w:rPr>
      </w:pPr>
      <w:r>
        <w:rPr>
          <w:rFonts w:ascii="宋体" w:hAnsi="宋体"/>
          <w:sz w:val="22"/>
          <w:szCs w:val="28"/>
        </w:rPr>
        <w:t>1.11.3 承包人的技术秘密和声明需要保密的资料和信息，发包人和监理人不得为合同以外的目的泄露给他人。</w:t>
      </w:r>
    </w:p>
    <w:p>
      <w:pPr>
        <w:spacing w:after="160" w:line="278" w:lineRule="auto"/>
        <w:rPr>
          <w:rFonts w:ascii="宋体" w:hAnsi="宋体"/>
          <w:sz w:val="22"/>
          <w:szCs w:val="28"/>
        </w:rPr>
      </w:pPr>
      <w:bookmarkStart w:id="892" w:name="_Toc129798252"/>
      <w:bookmarkStart w:id="893" w:name="_Toc342296274"/>
      <w:bookmarkStart w:id="894" w:name="_Toc338944716"/>
      <w:bookmarkStart w:id="895" w:name="_Toc179632641"/>
      <w:bookmarkStart w:id="896" w:name="_Toc142385539"/>
      <w:bookmarkStart w:id="897" w:name="_Toc109914317"/>
      <w:bookmarkStart w:id="898" w:name="_Toc152045623"/>
      <w:bookmarkStart w:id="899" w:name="_Toc132619001"/>
      <w:bookmarkStart w:id="900" w:name="_Toc144974591"/>
      <w:bookmarkStart w:id="901" w:name="_Toc152042401"/>
      <w:r>
        <w:rPr>
          <w:rFonts w:ascii="宋体" w:hAnsi="宋体"/>
          <w:sz w:val="22"/>
          <w:szCs w:val="28"/>
        </w:rPr>
        <w:t>1.12 图纸和文件的保密</w:t>
      </w:r>
      <w:bookmarkEnd w:id="892"/>
      <w:bookmarkEnd w:id="893"/>
      <w:bookmarkEnd w:id="894"/>
      <w:bookmarkEnd w:id="895"/>
      <w:bookmarkEnd w:id="896"/>
      <w:bookmarkEnd w:id="897"/>
      <w:bookmarkEnd w:id="898"/>
      <w:bookmarkEnd w:id="899"/>
      <w:bookmarkEnd w:id="900"/>
      <w:bookmarkEnd w:id="901"/>
    </w:p>
    <w:p>
      <w:pPr>
        <w:spacing w:after="160" w:line="278" w:lineRule="auto"/>
        <w:rPr>
          <w:rFonts w:ascii="宋体" w:hAnsi="宋体"/>
          <w:sz w:val="22"/>
          <w:szCs w:val="28"/>
        </w:rPr>
      </w:pPr>
      <w:r>
        <w:rPr>
          <w:rFonts w:ascii="宋体" w:hAnsi="宋体"/>
          <w:sz w:val="22"/>
          <w:szCs w:val="28"/>
        </w:rPr>
        <w:t>1.12.1 发包人提供的图纸和文件，未经发包人同意，承包人不得为合同以外的目的泄露给他人或公开发表与引用。</w:t>
      </w:r>
    </w:p>
    <w:p>
      <w:pPr>
        <w:spacing w:after="160" w:line="278" w:lineRule="auto"/>
        <w:rPr>
          <w:rFonts w:ascii="宋体" w:hAnsi="宋体"/>
          <w:sz w:val="22"/>
          <w:szCs w:val="28"/>
        </w:rPr>
      </w:pPr>
      <w:r>
        <w:rPr>
          <w:rFonts w:ascii="宋体" w:hAnsi="宋体"/>
          <w:sz w:val="22"/>
          <w:szCs w:val="28"/>
        </w:rPr>
        <w:t>1.12.2 承包人提供的文件，未经承包人同意，发包人和监理人不得为合同以外的目的泄露给他人或公开发表与引用。</w:t>
      </w:r>
    </w:p>
    <w:p>
      <w:pPr>
        <w:spacing w:after="160" w:line="278" w:lineRule="auto"/>
        <w:rPr>
          <w:rFonts w:ascii="宋体" w:hAnsi="宋体"/>
          <w:sz w:val="22"/>
          <w:szCs w:val="28"/>
        </w:rPr>
      </w:pPr>
      <w:bookmarkStart w:id="902" w:name="_Toc132618611"/>
      <w:bookmarkStart w:id="903" w:name="_Toc109914318"/>
      <w:bookmarkStart w:id="904" w:name="_Toc142385540"/>
      <w:bookmarkStart w:id="905" w:name="_Toc132619002"/>
      <w:bookmarkStart w:id="906" w:name="_Toc129798253"/>
      <w:r>
        <w:rPr>
          <w:rFonts w:ascii="宋体" w:hAnsi="宋体"/>
          <w:sz w:val="22"/>
          <w:szCs w:val="28"/>
        </w:rPr>
        <w:t>1.13</w:t>
      </w:r>
      <w:r>
        <w:rPr>
          <w:rFonts w:hint="eastAsia" w:ascii="宋体" w:hAnsi="宋体"/>
          <w:sz w:val="22"/>
          <w:szCs w:val="28"/>
        </w:rPr>
        <w:t>交通运输</w:t>
      </w:r>
      <w:bookmarkEnd w:id="902"/>
      <w:bookmarkEnd w:id="903"/>
      <w:bookmarkEnd w:id="904"/>
      <w:bookmarkEnd w:id="905"/>
      <w:bookmarkEnd w:id="906"/>
    </w:p>
    <w:p>
      <w:pPr>
        <w:spacing w:after="160" w:line="278" w:lineRule="auto"/>
        <w:rPr>
          <w:rFonts w:ascii="宋体" w:hAnsi="宋体"/>
          <w:sz w:val="22"/>
          <w:szCs w:val="28"/>
        </w:rPr>
      </w:pPr>
      <w:r>
        <w:rPr>
          <w:rFonts w:ascii="宋体" w:hAnsi="宋体"/>
          <w:sz w:val="22"/>
          <w:szCs w:val="28"/>
        </w:rPr>
        <w:t xml:space="preserve">1.13.1 </w:t>
      </w:r>
      <w:r>
        <w:rPr>
          <w:rFonts w:hint="eastAsia" w:ascii="宋体" w:hAnsi="宋体"/>
          <w:sz w:val="22"/>
          <w:szCs w:val="28"/>
        </w:rPr>
        <w:t>除专用合同条款另有约定外，发包人应根据施工需要，负责取得出入施工现场所需的校内手续，承包人应协助发包人办理修建场内外道路等其他基础设施的手续。</w:t>
      </w:r>
    </w:p>
    <w:p>
      <w:pPr>
        <w:spacing w:after="160" w:line="278" w:lineRule="auto"/>
        <w:rPr>
          <w:rFonts w:ascii="宋体" w:hAnsi="宋体"/>
          <w:sz w:val="22"/>
          <w:szCs w:val="28"/>
        </w:rPr>
      </w:pPr>
      <w:r>
        <w:rPr>
          <w:rFonts w:ascii="宋体" w:hAnsi="宋体"/>
          <w:sz w:val="22"/>
          <w:szCs w:val="28"/>
        </w:rPr>
        <w:t>1.13.2</w:t>
      </w:r>
      <w:r>
        <w:rPr>
          <w:rFonts w:hint="eastAsia" w:ascii="宋体" w:hAnsi="宋体"/>
          <w:sz w:val="22"/>
          <w:szCs w:val="28"/>
        </w:rPr>
        <w:t>承包人应在投标、订立合同前查勘施工现场，并根据工程规模及技术参数合理预见工程施工所需的进出施工现场的方式、手段、路径等，并在投标文件中体现。因承包人未合理预见所增加的费用和（或）延误的工期由承包人自行承担。</w:t>
      </w:r>
      <w:bookmarkStart w:id="907" w:name="_Toc342296275"/>
      <w:bookmarkStart w:id="908" w:name="_Toc469660018"/>
      <w:bookmarkStart w:id="909" w:name="_Toc442365615"/>
      <w:bookmarkStart w:id="910" w:name="_Toc448758523"/>
      <w:bookmarkStart w:id="911" w:name="_Toc448758423"/>
      <w:bookmarkStart w:id="912" w:name="_Toc338944717"/>
    </w:p>
    <w:p>
      <w:pPr>
        <w:spacing w:after="160" w:line="278" w:lineRule="auto"/>
        <w:rPr>
          <w:rFonts w:ascii="宋体" w:hAnsi="宋体"/>
          <w:sz w:val="22"/>
          <w:szCs w:val="28"/>
        </w:rPr>
      </w:pPr>
      <w:bookmarkStart w:id="913" w:name="_Toc132619003"/>
      <w:bookmarkStart w:id="914" w:name="_Toc109914319"/>
      <w:bookmarkStart w:id="915" w:name="_Toc132618612"/>
      <w:bookmarkStart w:id="916" w:name="_Toc129798254"/>
      <w:bookmarkStart w:id="917" w:name="_Toc142385541"/>
      <w:r>
        <w:rPr>
          <w:rFonts w:ascii="宋体" w:hAnsi="宋体"/>
          <w:sz w:val="22"/>
          <w:szCs w:val="28"/>
        </w:rPr>
        <w:t>2. 发包人义务</w:t>
      </w:r>
      <w:bookmarkEnd w:id="907"/>
      <w:bookmarkEnd w:id="908"/>
      <w:bookmarkEnd w:id="909"/>
      <w:bookmarkEnd w:id="910"/>
      <w:bookmarkEnd w:id="911"/>
      <w:bookmarkEnd w:id="912"/>
      <w:bookmarkEnd w:id="913"/>
      <w:bookmarkEnd w:id="914"/>
      <w:bookmarkEnd w:id="915"/>
      <w:bookmarkEnd w:id="916"/>
      <w:bookmarkEnd w:id="917"/>
    </w:p>
    <w:p>
      <w:pPr>
        <w:spacing w:after="160" w:line="278" w:lineRule="auto"/>
        <w:rPr>
          <w:rFonts w:ascii="宋体" w:hAnsi="宋体"/>
          <w:sz w:val="22"/>
          <w:szCs w:val="28"/>
        </w:rPr>
      </w:pPr>
      <w:bookmarkStart w:id="918" w:name="_Toc129798255"/>
      <w:bookmarkStart w:id="919" w:name="_Toc109914320"/>
      <w:bookmarkStart w:id="920" w:name="_Toc342296276"/>
      <w:bookmarkStart w:id="921" w:name="_Toc132618613"/>
      <w:bookmarkStart w:id="922" w:name="_Toc179632643"/>
      <w:bookmarkStart w:id="923" w:name="_Toc152042403"/>
      <w:bookmarkStart w:id="924" w:name="_Toc144974593"/>
      <w:bookmarkStart w:id="925" w:name="_Toc132619004"/>
      <w:bookmarkStart w:id="926" w:name="_Toc338944718"/>
      <w:bookmarkStart w:id="927" w:name="_Toc142385542"/>
      <w:bookmarkStart w:id="928" w:name="_Toc152045625"/>
      <w:r>
        <w:rPr>
          <w:rFonts w:ascii="宋体" w:hAnsi="宋体"/>
          <w:sz w:val="22"/>
          <w:szCs w:val="28"/>
        </w:rPr>
        <w:t>2.1 遵守法律</w:t>
      </w:r>
      <w:bookmarkEnd w:id="918"/>
      <w:bookmarkEnd w:id="919"/>
      <w:bookmarkEnd w:id="920"/>
      <w:bookmarkEnd w:id="921"/>
      <w:bookmarkEnd w:id="922"/>
      <w:bookmarkEnd w:id="923"/>
      <w:bookmarkEnd w:id="924"/>
      <w:bookmarkEnd w:id="925"/>
      <w:bookmarkEnd w:id="926"/>
      <w:bookmarkEnd w:id="927"/>
      <w:bookmarkEnd w:id="928"/>
    </w:p>
    <w:p>
      <w:pPr>
        <w:spacing w:after="160" w:line="278" w:lineRule="auto"/>
        <w:rPr>
          <w:rFonts w:ascii="宋体" w:hAnsi="宋体"/>
          <w:sz w:val="22"/>
          <w:szCs w:val="28"/>
        </w:rPr>
      </w:pPr>
      <w:r>
        <w:rPr>
          <w:rFonts w:hint="eastAsia" w:ascii="宋体" w:hAnsi="宋体"/>
          <w:sz w:val="22"/>
          <w:szCs w:val="28"/>
        </w:rPr>
        <w:t>发包人应要求在施工现场的发包人人员遵守法律及有关安全、质量、环境保护、文明施工等规定，并保障承包人免于承受因发包人人员未遵守上述要求给承包人造成的损失和责任。</w:t>
      </w:r>
    </w:p>
    <w:p>
      <w:pPr>
        <w:spacing w:after="160" w:line="278" w:lineRule="auto"/>
        <w:rPr>
          <w:rFonts w:ascii="宋体" w:hAnsi="宋体"/>
          <w:sz w:val="22"/>
          <w:szCs w:val="28"/>
        </w:rPr>
      </w:pPr>
      <w:r>
        <w:rPr>
          <w:rFonts w:hint="eastAsia" w:ascii="宋体" w:hAnsi="宋体"/>
          <w:sz w:val="22"/>
          <w:szCs w:val="28"/>
        </w:rPr>
        <w:t>发包人人员包括发包人代表及其他由发包人派驻施工现场的人员。</w:t>
      </w:r>
    </w:p>
    <w:p>
      <w:pPr>
        <w:spacing w:after="160" w:line="278" w:lineRule="auto"/>
        <w:rPr>
          <w:rFonts w:ascii="宋体" w:hAnsi="宋体"/>
          <w:sz w:val="22"/>
          <w:szCs w:val="28"/>
        </w:rPr>
      </w:pPr>
      <w:bookmarkStart w:id="929" w:name="_Toc342296277"/>
      <w:bookmarkStart w:id="930" w:name="_Toc109914321"/>
      <w:bookmarkStart w:id="931" w:name="_Toc179632644"/>
      <w:bookmarkStart w:id="932" w:name="_Toc142385543"/>
      <w:bookmarkStart w:id="933" w:name="_Toc152045626"/>
      <w:bookmarkStart w:id="934" w:name="_Toc338944719"/>
      <w:bookmarkStart w:id="935" w:name="_Toc132618614"/>
      <w:bookmarkStart w:id="936" w:name="_Toc132619005"/>
      <w:bookmarkStart w:id="937" w:name="_Toc152042404"/>
      <w:bookmarkStart w:id="938" w:name="_Toc129798256"/>
      <w:bookmarkStart w:id="939" w:name="_Toc144974594"/>
      <w:r>
        <w:rPr>
          <w:rFonts w:ascii="宋体" w:hAnsi="宋体"/>
          <w:sz w:val="22"/>
          <w:szCs w:val="28"/>
        </w:rPr>
        <w:t>2.2 发出开工通知</w:t>
      </w:r>
      <w:bookmarkEnd w:id="929"/>
      <w:bookmarkEnd w:id="930"/>
      <w:bookmarkEnd w:id="931"/>
      <w:bookmarkEnd w:id="932"/>
      <w:bookmarkEnd w:id="933"/>
      <w:bookmarkEnd w:id="934"/>
      <w:bookmarkEnd w:id="935"/>
      <w:bookmarkEnd w:id="936"/>
      <w:bookmarkEnd w:id="937"/>
      <w:bookmarkEnd w:id="938"/>
      <w:bookmarkEnd w:id="939"/>
    </w:p>
    <w:p>
      <w:pPr>
        <w:spacing w:after="160" w:line="278" w:lineRule="auto"/>
        <w:rPr>
          <w:rFonts w:ascii="宋体" w:hAnsi="宋体"/>
          <w:sz w:val="22"/>
          <w:szCs w:val="28"/>
        </w:rPr>
      </w:pPr>
      <w:r>
        <w:rPr>
          <w:rFonts w:ascii="宋体" w:hAnsi="宋体"/>
          <w:sz w:val="22"/>
          <w:szCs w:val="28"/>
        </w:rPr>
        <w:t>发包人应委托监理人按第11.1款的约定向承包人发出开工通知。</w:t>
      </w:r>
    </w:p>
    <w:p>
      <w:pPr>
        <w:spacing w:after="160" w:line="278" w:lineRule="auto"/>
        <w:rPr>
          <w:rFonts w:ascii="宋体" w:hAnsi="宋体"/>
          <w:sz w:val="22"/>
          <w:szCs w:val="28"/>
        </w:rPr>
      </w:pPr>
      <w:bookmarkStart w:id="940" w:name="_Toc109914322"/>
      <w:bookmarkStart w:id="941" w:name="_Toc132619006"/>
      <w:bookmarkStart w:id="942" w:name="_Toc142385544"/>
      <w:bookmarkStart w:id="943" w:name="_Toc132618615"/>
      <w:bookmarkStart w:id="944" w:name="_Toc342296278"/>
      <w:bookmarkStart w:id="945" w:name="_Toc338944720"/>
      <w:bookmarkStart w:id="946" w:name="_Toc129798257"/>
      <w:r>
        <w:rPr>
          <w:rFonts w:ascii="宋体" w:hAnsi="宋体"/>
          <w:sz w:val="22"/>
          <w:szCs w:val="28"/>
        </w:rPr>
        <w:t>2.3 提供施工场地</w:t>
      </w:r>
      <w:bookmarkEnd w:id="940"/>
      <w:bookmarkEnd w:id="941"/>
      <w:bookmarkEnd w:id="942"/>
      <w:bookmarkEnd w:id="943"/>
      <w:bookmarkEnd w:id="944"/>
      <w:bookmarkEnd w:id="945"/>
      <w:bookmarkEnd w:id="946"/>
    </w:p>
    <w:p>
      <w:pPr>
        <w:spacing w:after="160" w:line="278" w:lineRule="auto"/>
        <w:rPr>
          <w:rFonts w:ascii="宋体" w:hAnsi="宋体"/>
          <w:sz w:val="22"/>
          <w:szCs w:val="28"/>
        </w:rPr>
      </w:pPr>
      <w:r>
        <w:rPr>
          <w:rFonts w:ascii="宋体" w:hAnsi="宋体"/>
          <w:sz w:val="22"/>
          <w:szCs w:val="28"/>
        </w:rPr>
        <w:t>发包人应按专用合同条款约定向承包人提供施工场地，以及施工场地内地下管线和地下设施等有关资料，并保证资料的真实、准确、完整。</w:t>
      </w:r>
    </w:p>
    <w:p>
      <w:pPr>
        <w:spacing w:after="160" w:line="278" w:lineRule="auto"/>
        <w:rPr>
          <w:rFonts w:ascii="宋体" w:hAnsi="宋体"/>
          <w:sz w:val="22"/>
          <w:szCs w:val="28"/>
        </w:rPr>
      </w:pPr>
      <w:bookmarkStart w:id="947" w:name="_Toc152042406"/>
      <w:bookmarkStart w:id="948" w:name="_Toc109914323"/>
      <w:bookmarkStart w:id="949" w:name="_Toc142385545"/>
      <w:bookmarkStart w:id="950" w:name="_Toc179632646"/>
      <w:bookmarkStart w:id="951" w:name="_Toc338944721"/>
      <w:bookmarkStart w:id="952" w:name="_Toc342296279"/>
      <w:bookmarkStart w:id="953" w:name="_Toc132619007"/>
      <w:bookmarkStart w:id="954" w:name="_Toc152045628"/>
      <w:bookmarkStart w:id="955" w:name="_Toc129798258"/>
      <w:bookmarkStart w:id="956" w:name="_Toc144974596"/>
      <w:bookmarkStart w:id="957" w:name="_Toc132618616"/>
      <w:r>
        <w:rPr>
          <w:rFonts w:ascii="宋体" w:hAnsi="宋体"/>
          <w:sz w:val="22"/>
          <w:szCs w:val="28"/>
        </w:rPr>
        <w:t>2.4 协助承包人办理证件和批件</w:t>
      </w:r>
      <w:bookmarkEnd w:id="947"/>
      <w:bookmarkEnd w:id="948"/>
      <w:bookmarkEnd w:id="949"/>
      <w:bookmarkEnd w:id="950"/>
      <w:bookmarkEnd w:id="951"/>
      <w:bookmarkEnd w:id="952"/>
      <w:bookmarkEnd w:id="953"/>
      <w:bookmarkEnd w:id="954"/>
      <w:bookmarkEnd w:id="955"/>
      <w:bookmarkEnd w:id="956"/>
      <w:bookmarkEnd w:id="957"/>
    </w:p>
    <w:p>
      <w:pPr>
        <w:spacing w:after="160" w:line="278" w:lineRule="auto"/>
        <w:rPr>
          <w:rFonts w:ascii="宋体" w:hAnsi="宋体"/>
          <w:sz w:val="22"/>
          <w:szCs w:val="28"/>
        </w:rPr>
      </w:pPr>
      <w:r>
        <w:rPr>
          <w:rFonts w:ascii="宋体" w:hAnsi="宋体"/>
          <w:sz w:val="22"/>
          <w:szCs w:val="28"/>
        </w:rPr>
        <w:t>发包人应协助承包人办理法律规定的有关施工证件和批件。</w:t>
      </w:r>
    </w:p>
    <w:p>
      <w:pPr>
        <w:spacing w:after="160" w:line="278" w:lineRule="auto"/>
        <w:rPr>
          <w:rFonts w:ascii="宋体" w:hAnsi="宋体"/>
          <w:sz w:val="22"/>
          <w:szCs w:val="28"/>
        </w:rPr>
      </w:pPr>
      <w:bookmarkStart w:id="958" w:name="_Toc342296280"/>
      <w:bookmarkStart w:id="959" w:name="_Toc338944722"/>
      <w:bookmarkStart w:id="960" w:name="_Toc129798259"/>
      <w:bookmarkStart w:id="961" w:name="_Toc142385546"/>
      <w:bookmarkStart w:id="962" w:name="_Toc132618617"/>
      <w:bookmarkStart w:id="963" w:name="_Toc132619008"/>
      <w:bookmarkStart w:id="964" w:name="_Toc109914324"/>
      <w:r>
        <w:rPr>
          <w:rFonts w:ascii="宋体" w:hAnsi="宋体"/>
          <w:sz w:val="22"/>
          <w:szCs w:val="28"/>
        </w:rPr>
        <w:t>2.5 组织设计交底</w:t>
      </w:r>
      <w:bookmarkEnd w:id="958"/>
      <w:bookmarkEnd w:id="959"/>
      <w:bookmarkEnd w:id="960"/>
      <w:bookmarkEnd w:id="961"/>
      <w:bookmarkEnd w:id="962"/>
      <w:bookmarkEnd w:id="963"/>
      <w:bookmarkEnd w:id="964"/>
    </w:p>
    <w:p>
      <w:pPr>
        <w:spacing w:after="160" w:line="278" w:lineRule="auto"/>
        <w:rPr>
          <w:rFonts w:ascii="宋体" w:hAnsi="宋体"/>
          <w:sz w:val="22"/>
          <w:szCs w:val="28"/>
        </w:rPr>
      </w:pPr>
      <w:r>
        <w:rPr>
          <w:rFonts w:ascii="宋体" w:hAnsi="宋体"/>
          <w:sz w:val="22"/>
          <w:szCs w:val="28"/>
        </w:rPr>
        <w:t>发包人应根据合同进度计划，组织设计单位向承包人进行设计交底。</w:t>
      </w:r>
    </w:p>
    <w:p>
      <w:pPr>
        <w:spacing w:after="160" w:line="278" w:lineRule="auto"/>
        <w:rPr>
          <w:rFonts w:ascii="宋体" w:hAnsi="宋体"/>
          <w:sz w:val="22"/>
          <w:szCs w:val="28"/>
        </w:rPr>
      </w:pPr>
      <w:bookmarkStart w:id="965" w:name="_Toc338944723"/>
      <w:bookmarkStart w:id="966" w:name="_Toc129798260"/>
      <w:bookmarkStart w:id="967" w:name="_Toc132618618"/>
      <w:bookmarkStart w:id="968" w:name="_Toc132619009"/>
      <w:bookmarkStart w:id="969" w:name="_Toc342296281"/>
      <w:bookmarkStart w:id="970" w:name="_Toc142385547"/>
      <w:bookmarkStart w:id="971" w:name="_Toc109914325"/>
      <w:r>
        <w:rPr>
          <w:rFonts w:ascii="宋体" w:hAnsi="宋体"/>
          <w:sz w:val="22"/>
          <w:szCs w:val="28"/>
        </w:rPr>
        <w:t>2.6 支付合同价款</w:t>
      </w:r>
      <w:bookmarkEnd w:id="965"/>
      <w:bookmarkEnd w:id="966"/>
      <w:bookmarkEnd w:id="967"/>
      <w:bookmarkEnd w:id="968"/>
      <w:bookmarkEnd w:id="969"/>
      <w:bookmarkEnd w:id="970"/>
      <w:bookmarkEnd w:id="971"/>
    </w:p>
    <w:p>
      <w:pPr>
        <w:spacing w:after="160" w:line="278" w:lineRule="auto"/>
        <w:rPr>
          <w:rFonts w:ascii="宋体" w:hAnsi="宋体"/>
          <w:sz w:val="22"/>
          <w:szCs w:val="28"/>
        </w:rPr>
      </w:pPr>
      <w:r>
        <w:rPr>
          <w:rFonts w:ascii="宋体" w:hAnsi="宋体"/>
          <w:sz w:val="22"/>
          <w:szCs w:val="28"/>
        </w:rPr>
        <w:t>发包人应按合同约定向承包人及时支付合同价款。</w:t>
      </w:r>
    </w:p>
    <w:p>
      <w:pPr>
        <w:spacing w:after="160" w:line="278" w:lineRule="auto"/>
        <w:rPr>
          <w:rFonts w:ascii="宋体" w:hAnsi="宋体"/>
          <w:sz w:val="22"/>
          <w:szCs w:val="28"/>
        </w:rPr>
      </w:pPr>
      <w:bookmarkStart w:id="972" w:name="_Toc338944724"/>
      <w:bookmarkStart w:id="973" w:name="_Toc152042409"/>
      <w:bookmarkStart w:id="974" w:name="_Toc179632649"/>
      <w:bookmarkStart w:id="975" w:name="_Toc142385548"/>
      <w:bookmarkStart w:id="976" w:name="_Toc152045631"/>
      <w:bookmarkStart w:id="977" w:name="_Toc144974599"/>
      <w:bookmarkStart w:id="978" w:name="_Toc129798261"/>
      <w:bookmarkStart w:id="979" w:name="_Toc132618619"/>
      <w:bookmarkStart w:id="980" w:name="_Toc132619010"/>
      <w:bookmarkStart w:id="981" w:name="_Toc342296282"/>
      <w:bookmarkStart w:id="982" w:name="_Toc109914326"/>
      <w:r>
        <w:rPr>
          <w:rFonts w:ascii="宋体" w:hAnsi="宋体"/>
          <w:sz w:val="22"/>
          <w:szCs w:val="28"/>
        </w:rPr>
        <w:t>2.7 组织竣工验收</w:t>
      </w:r>
      <w:bookmarkEnd w:id="972"/>
      <w:bookmarkEnd w:id="973"/>
      <w:bookmarkEnd w:id="974"/>
      <w:bookmarkEnd w:id="975"/>
      <w:bookmarkEnd w:id="976"/>
      <w:bookmarkEnd w:id="977"/>
      <w:bookmarkEnd w:id="978"/>
      <w:bookmarkEnd w:id="979"/>
      <w:bookmarkEnd w:id="980"/>
      <w:bookmarkEnd w:id="981"/>
      <w:bookmarkEnd w:id="982"/>
    </w:p>
    <w:p>
      <w:pPr>
        <w:spacing w:after="160" w:line="278" w:lineRule="auto"/>
        <w:rPr>
          <w:rFonts w:ascii="宋体" w:hAnsi="宋体"/>
          <w:sz w:val="22"/>
          <w:szCs w:val="28"/>
        </w:rPr>
      </w:pPr>
      <w:r>
        <w:rPr>
          <w:rFonts w:ascii="宋体" w:hAnsi="宋体"/>
          <w:sz w:val="22"/>
          <w:szCs w:val="28"/>
        </w:rPr>
        <w:t>发包人应按合同约定及时组织竣工验收。</w:t>
      </w:r>
    </w:p>
    <w:p>
      <w:pPr>
        <w:spacing w:after="160" w:line="278" w:lineRule="auto"/>
        <w:rPr>
          <w:rFonts w:ascii="宋体" w:hAnsi="宋体"/>
          <w:sz w:val="22"/>
          <w:szCs w:val="28"/>
        </w:rPr>
      </w:pPr>
      <w:bookmarkStart w:id="983" w:name="_Toc129798262"/>
      <w:bookmarkStart w:id="984" w:name="_Toc132618620"/>
      <w:bookmarkStart w:id="985" w:name="_Toc142385549"/>
      <w:bookmarkStart w:id="986" w:name="_Toc109914327"/>
      <w:bookmarkStart w:id="987" w:name="_Toc342296283"/>
      <w:bookmarkStart w:id="988" w:name="_Toc132619011"/>
      <w:bookmarkStart w:id="989" w:name="_Toc338944725"/>
      <w:r>
        <w:rPr>
          <w:rFonts w:ascii="宋体" w:hAnsi="宋体"/>
          <w:sz w:val="22"/>
          <w:szCs w:val="28"/>
        </w:rPr>
        <w:t>2.8 其他义务</w:t>
      </w:r>
      <w:bookmarkEnd w:id="983"/>
      <w:bookmarkEnd w:id="984"/>
      <w:bookmarkEnd w:id="985"/>
      <w:bookmarkEnd w:id="986"/>
      <w:bookmarkEnd w:id="987"/>
      <w:bookmarkEnd w:id="988"/>
      <w:bookmarkEnd w:id="989"/>
    </w:p>
    <w:p>
      <w:pPr>
        <w:spacing w:after="160" w:line="278" w:lineRule="auto"/>
        <w:rPr>
          <w:rFonts w:ascii="宋体" w:hAnsi="宋体"/>
          <w:sz w:val="22"/>
          <w:szCs w:val="28"/>
        </w:rPr>
      </w:pPr>
      <w:r>
        <w:rPr>
          <w:rFonts w:ascii="宋体" w:hAnsi="宋体"/>
          <w:sz w:val="22"/>
          <w:szCs w:val="28"/>
        </w:rPr>
        <w:t>发包人应履行合同约定的其他义务。</w:t>
      </w:r>
    </w:p>
    <w:p>
      <w:pPr>
        <w:spacing w:after="160" w:line="278" w:lineRule="auto"/>
        <w:rPr>
          <w:rFonts w:ascii="宋体" w:hAnsi="宋体"/>
          <w:sz w:val="22"/>
          <w:szCs w:val="28"/>
        </w:rPr>
      </w:pPr>
      <w:bookmarkStart w:id="990" w:name="_Toc132618621"/>
      <w:bookmarkStart w:id="991" w:name="_Toc338944726"/>
      <w:bookmarkStart w:id="992" w:name="_Toc142385550"/>
      <w:bookmarkStart w:id="993" w:name="_Toc469660019"/>
      <w:bookmarkStart w:id="994" w:name="_Toc448758424"/>
      <w:bookmarkStart w:id="995" w:name="_Toc442365616"/>
      <w:bookmarkStart w:id="996" w:name="_Toc132619012"/>
      <w:bookmarkStart w:id="997" w:name="_Toc129798263"/>
      <w:bookmarkStart w:id="998" w:name="_Toc109914328"/>
      <w:bookmarkStart w:id="999" w:name="_Toc342296284"/>
      <w:bookmarkStart w:id="1000" w:name="_Toc448758524"/>
      <w:r>
        <w:rPr>
          <w:rFonts w:ascii="宋体" w:hAnsi="宋体"/>
          <w:sz w:val="22"/>
          <w:szCs w:val="28"/>
        </w:rPr>
        <w:t>3. 监理人</w:t>
      </w:r>
      <w:bookmarkEnd w:id="990"/>
      <w:bookmarkEnd w:id="991"/>
      <w:bookmarkEnd w:id="992"/>
      <w:bookmarkEnd w:id="993"/>
      <w:bookmarkEnd w:id="994"/>
      <w:bookmarkEnd w:id="995"/>
      <w:bookmarkEnd w:id="996"/>
      <w:bookmarkEnd w:id="997"/>
      <w:bookmarkEnd w:id="998"/>
      <w:bookmarkEnd w:id="999"/>
      <w:bookmarkEnd w:id="1000"/>
    </w:p>
    <w:p>
      <w:pPr>
        <w:spacing w:after="160" w:line="278" w:lineRule="auto"/>
        <w:rPr>
          <w:rFonts w:ascii="宋体" w:hAnsi="宋体"/>
          <w:sz w:val="22"/>
          <w:szCs w:val="28"/>
        </w:rPr>
      </w:pPr>
      <w:bookmarkStart w:id="1001" w:name="_Toc129798264"/>
      <w:bookmarkStart w:id="1002" w:name="_Toc142385551"/>
      <w:bookmarkStart w:id="1003" w:name="_Toc132618622"/>
      <w:bookmarkStart w:id="1004" w:name="_Toc342296285"/>
      <w:bookmarkStart w:id="1005" w:name="_Toc338944727"/>
      <w:bookmarkStart w:id="1006" w:name="_Toc109914329"/>
      <w:bookmarkStart w:id="1007" w:name="_Toc132619013"/>
      <w:r>
        <w:rPr>
          <w:rFonts w:ascii="宋体" w:hAnsi="宋体"/>
          <w:sz w:val="22"/>
          <w:szCs w:val="28"/>
        </w:rPr>
        <w:t>3.1 监理人的职责和权力</w:t>
      </w:r>
      <w:bookmarkEnd w:id="1001"/>
      <w:bookmarkEnd w:id="1002"/>
      <w:bookmarkEnd w:id="1003"/>
      <w:bookmarkEnd w:id="1004"/>
      <w:bookmarkEnd w:id="1005"/>
      <w:bookmarkEnd w:id="1006"/>
      <w:bookmarkEnd w:id="1007"/>
    </w:p>
    <w:p>
      <w:pPr>
        <w:spacing w:after="160" w:line="278" w:lineRule="auto"/>
        <w:rPr>
          <w:rFonts w:ascii="宋体" w:hAnsi="宋体"/>
          <w:sz w:val="22"/>
          <w:szCs w:val="28"/>
        </w:rPr>
      </w:pPr>
      <w:r>
        <w:rPr>
          <w:rFonts w:ascii="宋体" w:hAnsi="宋体"/>
          <w:sz w:val="22"/>
          <w:szCs w:val="28"/>
        </w:rPr>
        <w:t>3.1.1 监理人受发包人委托，享有合同约定的权力。监理人在行使某项权力前需要经发包人事先批准而通用合同条款没有指明的，应在专用合同条款中指明。</w:t>
      </w:r>
    </w:p>
    <w:p>
      <w:pPr>
        <w:spacing w:after="160" w:line="278" w:lineRule="auto"/>
        <w:rPr>
          <w:rFonts w:ascii="宋体" w:hAnsi="宋体"/>
          <w:sz w:val="22"/>
          <w:szCs w:val="28"/>
        </w:rPr>
      </w:pPr>
      <w:r>
        <w:rPr>
          <w:rFonts w:ascii="宋体" w:hAnsi="宋体"/>
          <w:sz w:val="22"/>
          <w:szCs w:val="28"/>
        </w:rPr>
        <w:t>3.1.2 监理人发出的任何指示应视为已得到发包人的批准，但监理人无权免除或变更合同约定的发包人和承包人的权利、义务和责任。</w:t>
      </w:r>
    </w:p>
    <w:p>
      <w:pPr>
        <w:spacing w:after="160" w:line="278" w:lineRule="auto"/>
        <w:rPr>
          <w:rFonts w:ascii="宋体" w:hAnsi="宋体"/>
          <w:sz w:val="22"/>
          <w:szCs w:val="28"/>
        </w:rPr>
      </w:pPr>
      <w:r>
        <w:rPr>
          <w:rFonts w:ascii="宋体" w:hAnsi="宋体"/>
          <w:sz w:val="22"/>
          <w:szCs w:val="28"/>
        </w:rPr>
        <w:t>3.1.3 合同约定应由承包人承担的义务和责任，不因监理人对承包人提交文件的审查或批准，对工程、材料和设备的检查和检验，以及为实施监理作出的指示等职务行为而减轻或解除。</w:t>
      </w:r>
    </w:p>
    <w:p>
      <w:pPr>
        <w:spacing w:after="160" w:line="278" w:lineRule="auto"/>
        <w:rPr>
          <w:rFonts w:ascii="宋体" w:hAnsi="宋体"/>
          <w:sz w:val="22"/>
          <w:szCs w:val="28"/>
        </w:rPr>
      </w:pPr>
      <w:bookmarkStart w:id="1008" w:name="_Toc142385552"/>
      <w:bookmarkStart w:id="1009" w:name="_Toc109914330"/>
      <w:bookmarkStart w:id="1010" w:name="_Toc132618623"/>
      <w:bookmarkStart w:id="1011" w:name="_Toc152045635"/>
      <w:bookmarkStart w:id="1012" w:name="_Toc129798265"/>
      <w:bookmarkStart w:id="1013" w:name="_Toc342296286"/>
      <w:bookmarkStart w:id="1014" w:name="_Toc144974603"/>
      <w:bookmarkStart w:id="1015" w:name="_Toc152042413"/>
      <w:bookmarkStart w:id="1016" w:name="_Toc179632653"/>
      <w:bookmarkStart w:id="1017" w:name="_Toc132619014"/>
      <w:bookmarkStart w:id="1018" w:name="_Toc338944728"/>
      <w:r>
        <w:rPr>
          <w:rFonts w:ascii="宋体" w:hAnsi="宋体"/>
          <w:sz w:val="22"/>
          <w:szCs w:val="28"/>
        </w:rPr>
        <w:t>3.2 总监理工程师</w:t>
      </w:r>
      <w:bookmarkEnd w:id="1008"/>
      <w:bookmarkEnd w:id="1009"/>
      <w:bookmarkEnd w:id="1010"/>
      <w:bookmarkEnd w:id="1011"/>
      <w:bookmarkEnd w:id="1012"/>
      <w:bookmarkEnd w:id="1013"/>
      <w:bookmarkEnd w:id="1014"/>
      <w:bookmarkEnd w:id="1015"/>
      <w:bookmarkEnd w:id="1016"/>
      <w:bookmarkEnd w:id="1017"/>
      <w:bookmarkEnd w:id="1018"/>
    </w:p>
    <w:p>
      <w:pPr>
        <w:spacing w:after="160" w:line="278" w:lineRule="auto"/>
        <w:rPr>
          <w:rFonts w:ascii="宋体" w:hAnsi="宋体"/>
          <w:sz w:val="22"/>
          <w:szCs w:val="28"/>
        </w:rPr>
      </w:pPr>
      <w:r>
        <w:rPr>
          <w:rFonts w:ascii="宋体" w:hAnsi="宋体"/>
          <w:sz w:val="22"/>
          <w:szCs w:val="28"/>
        </w:rPr>
        <w:t>发包人应在发出开工通知前将总监理工程师的任命通知承包人。总监理工程师更换时，应在调离14天前通知承包人。总监理工程师短期离开施工场地的，应委派代表代行其职责，并通知承包人。</w:t>
      </w:r>
    </w:p>
    <w:p>
      <w:pPr>
        <w:spacing w:after="160" w:line="278" w:lineRule="auto"/>
        <w:rPr>
          <w:rFonts w:ascii="宋体" w:hAnsi="宋体"/>
          <w:sz w:val="22"/>
          <w:szCs w:val="28"/>
        </w:rPr>
      </w:pPr>
      <w:bookmarkStart w:id="1019" w:name="_Toc129798266"/>
      <w:bookmarkStart w:id="1020" w:name="_Toc132619015"/>
      <w:bookmarkStart w:id="1021" w:name="_Toc142385553"/>
      <w:bookmarkStart w:id="1022" w:name="_Toc109914331"/>
      <w:bookmarkStart w:id="1023" w:name="_Toc132618624"/>
      <w:bookmarkStart w:id="1024" w:name="_Toc338944729"/>
      <w:bookmarkStart w:id="1025" w:name="_Toc342296287"/>
      <w:r>
        <w:rPr>
          <w:rFonts w:ascii="宋体" w:hAnsi="宋体"/>
          <w:sz w:val="22"/>
          <w:szCs w:val="28"/>
        </w:rPr>
        <w:t>3.3 监理人员</w:t>
      </w:r>
      <w:bookmarkEnd w:id="1019"/>
      <w:bookmarkEnd w:id="1020"/>
      <w:bookmarkEnd w:id="1021"/>
      <w:bookmarkEnd w:id="1022"/>
      <w:bookmarkEnd w:id="1023"/>
      <w:bookmarkEnd w:id="1024"/>
      <w:bookmarkEnd w:id="1025"/>
    </w:p>
    <w:p>
      <w:pPr>
        <w:spacing w:after="160" w:line="278" w:lineRule="auto"/>
        <w:rPr>
          <w:rFonts w:ascii="宋体" w:hAnsi="宋体"/>
          <w:sz w:val="22"/>
          <w:szCs w:val="28"/>
        </w:rPr>
      </w:pPr>
      <w:r>
        <w:rPr>
          <w:rFonts w:ascii="宋体" w:hAnsi="宋体"/>
          <w:sz w:val="22"/>
          <w:szCs w:val="28"/>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after="160" w:line="278" w:lineRule="auto"/>
        <w:rPr>
          <w:rFonts w:ascii="宋体" w:hAnsi="宋体"/>
          <w:sz w:val="22"/>
          <w:szCs w:val="28"/>
        </w:rPr>
      </w:pPr>
      <w:r>
        <w:rPr>
          <w:rFonts w:ascii="宋体" w:hAnsi="宋体"/>
          <w:sz w:val="22"/>
          <w:szCs w:val="28"/>
        </w:rPr>
        <w:t>3.3.2 监理人员对承包人的任何工作、工程或其采用的材料和工程设备未在约定的或合理的期限内提出否定意见的，视为已获批准，但不影响监理人在以后拒绝该项工作、工程、材料或工程设备的权利。</w:t>
      </w:r>
    </w:p>
    <w:p>
      <w:pPr>
        <w:spacing w:after="160" w:line="278" w:lineRule="auto"/>
        <w:rPr>
          <w:rFonts w:ascii="宋体" w:hAnsi="宋体"/>
          <w:sz w:val="22"/>
          <w:szCs w:val="28"/>
        </w:rPr>
      </w:pPr>
      <w:r>
        <w:rPr>
          <w:rFonts w:ascii="宋体" w:hAnsi="宋体"/>
          <w:sz w:val="22"/>
          <w:szCs w:val="28"/>
        </w:rPr>
        <w:t>3.3.3 承包人对总监理工程师授权的监理人员发出的指示有疑问的，可向总监理工程师提出书面异议，总监理工程师应在48小时内对该指示予以确认、更改或撤销。</w:t>
      </w:r>
    </w:p>
    <w:p>
      <w:pPr>
        <w:spacing w:after="160" w:line="278" w:lineRule="auto"/>
        <w:rPr>
          <w:rFonts w:ascii="宋体" w:hAnsi="宋体"/>
          <w:sz w:val="22"/>
          <w:szCs w:val="28"/>
        </w:rPr>
      </w:pPr>
      <w:r>
        <w:rPr>
          <w:rFonts w:ascii="宋体" w:hAnsi="宋体"/>
          <w:sz w:val="22"/>
          <w:szCs w:val="28"/>
        </w:rPr>
        <w:t>3.3.4 除专用合同条款另有约定外，总监理工程师不应将第3.5款约定应由总监理工程师作出确定的权力授权或委托给其他监理人员。</w:t>
      </w:r>
    </w:p>
    <w:p>
      <w:pPr>
        <w:spacing w:after="160" w:line="278" w:lineRule="auto"/>
        <w:rPr>
          <w:rFonts w:ascii="宋体" w:hAnsi="宋体"/>
          <w:sz w:val="22"/>
          <w:szCs w:val="28"/>
        </w:rPr>
      </w:pPr>
      <w:bookmarkStart w:id="1026" w:name="_Toc132618625"/>
      <w:bookmarkStart w:id="1027" w:name="_Toc342296288"/>
      <w:bookmarkStart w:id="1028" w:name="_Toc109914332"/>
      <w:bookmarkStart w:id="1029" w:name="_Toc129798267"/>
      <w:bookmarkStart w:id="1030" w:name="_Toc142385554"/>
      <w:bookmarkStart w:id="1031" w:name="_Toc338944730"/>
      <w:bookmarkStart w:id="1032" w:name="_Toc132619016"/>
      <w:r>
        <w:rPr>
          <w:rFonts w:ascii="宋体" w:hAnsi="宋体"/>
          <w:sz w:val="22"/>
          <w:szCs w:val="28"/>
        </w:rPr>
        <w:t>3.4 监理人的指示</w:t>
      </w:r>
      <w:bookmarkEnd w:id="1026"/>
      <w:bookmarkEnd w:id="1027"/>
      <w:bookmarkEnd w:id="1028"/>
      <w:bookmarkEnd w:id="1029"/>
      <w:bookmarkEnd w:id="1030"/>
      <w:bookmarkEnd w:id="1031"/>
      <w:bookmarkEnd w:id="1032"/>
    </w:p>
    <w:p>
      <w:pPr>
        <w:spacing w:after="160" w:line="278" w:lineRule="auto"/>
        <w:rPr>
          <w:rFonts w:ascii="宋体" w:hAnsi="宋体"/>
          <w:sz w:val="22"/>
          <w:szCs w:val="28"/>
        </w:rPr>
      </w:pPr>
      <w:r>
        <w:rPr>
          <w:rFonts w:ascii="宋体" w:hAnsi="宋体"/>
          <w:sz w:val="22"/>
          <w:szCs w:val="28"/>
        </w:rPr>
        <w:t>3.4.1 监理人应按第3.1款的约定向承包人发出指示，监理人的指示应盖有监理人授权的施工场地机构章，并由总监理工程师或总监理工程师按第3.3.1项约定授权的监理人员签字。</w:t>
      </w:r>
    </w:p>
    <w:p>
      <w:pPr>
        <w:spacing w:after="160" w:line="278" w:lineRule="auto"/>
        <w:rPr>
          <w:rFonts w:ascii="宋体" w:hAnsi="宋体"/>
          <w:sz w:val="22"/>
          <w:szCs w:val="28"/>
        </w:rPr>
      </w:pPr>
      <w:r>
        <w:rPr>
          <w:rFonts w:ascii="宋体" w:hAnsi="宋体"/>
          <w:sz w:val="22"/>
          <w:szCs w:val="28"/>
        </w:rPr>
        <w:t>3.4.2 承包人收到监理人按第3.4.1项作出的指示后应遵照执行。指示构成变更的，应按第15条处理。</w:t>
      </w:r>
    </w:p>
    <w:p>
      <w:pPr>
        <w:spacing w:after="160" w:line="278" w:lineRule="auto"/>
        <w:rPr>
          <w:rFonts w:ascii="宋体" w:hAnsi="宋体"/>
          <w:sz w:val="22"/>
          <w:szCs w:val="28"/>
        </w:rPr>
      </w:pPr>
      <w:r>
        <w:rPr>
          <w:rFonts w:ascii="宋体" w:hAnsi="宋体"/>
          <w:sz w:val="22"/>
          <w:szCs w:val="28"/>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after="160" w:line="278" w:lineRule="auto"/>
        <w:rPr>
          <w:rFonts w:ascii="宋体" w:hAnsi="宋体"/>
          <w:sz w:val="22"/>
          <w:szCs w:val="28"/>
        </w:rPr>
      </w:pPr>
      <w:r>
        <w:rPr>
          <w:rFonts w:ascii="宋体" w:hAnsi="宋体"/>
          <w:sz w:val="22"/>
          <w:szCs w:val="28"/>
        </w:rPr>
        <w:t>3.4.4 除合同另有约定外，承包人只从总监理工程师或按第3.3.1项被授权的监理人员处取得指示。</w:t>
      </w:r>
    </w:p>
    <w:p>
      <w:pPr>
        <w:spacing w:after="160" w:line="278" w:lineRule="auto"/>
        <w:rPr>
          <w:rFonts w:ascii="宋体" w:hAnsi="宋体"/>
          <w:sz w:val="22"/>
          <w:szCs w:val="28"/>
        </w:rPr>
      </w:pPr>
      <w:r>
        <w:rPr>
          <w:rFonts w:ascii="宋体" w:hAnsi="宋体"/>
          <w:sz w:val="22"/>
          <w:szCs w:val="28"/>
        </w:rPr>
        <w:t xml:space="preserve">3.4.5 由于监理人未能按合同约定发出指示、指示延误或指示错误而导致承包人费用增加和（或）工期延误的，由发包人承担赔偿责任。 </w:t>
      </w:r>
    </w:p>
    <w:p>
      <w:pPr>
        <w:spacing w:after="160" w:line="278" w:lineRule="auto"/>
        <w:rPr>
          <w:rFonts w:ascii="宋体" w:hAnsi="宋体"/>
          <w:sz w:val="22"/>
          <w:szCs w:val="28"/>
        </w:rPr>
      </w:pPr>
      <w:bookmarkStart w:id="1033" w:name="_Toc152042416"/>
      <w:bookmarkStart w:id="1034" w:name="_Toc152045638"/>
      <w:bookmarkStart w:id="1035" w:name="_Toc342296289"/>
      <w:bookmarkStart w:id="1036" w:name="_Toc129798268"/>
      <w:bookmarkStart w:id="1037" w:name="_Toc132619017"/>
      <w:bookmarkStart w:id="1038" w:name="_Toc179632656"/>
      <w:bookmarkStart w:id="1039" w:name="_Toc132618626"/>
      <w:bookmarkStart w:id="1040" w:name="_Toc109914333"/>
      <w:bookmarkStart w:id="1041" w:name="_Toc142385555"/>
      <w:bookmarkStart w:id="1042" w:name="_Toc338944731"/>
      <w:bookmarkStart w:id="1043" w:name="_Toc144974606"/>
      <w:r>
        <w:rPr>
          <w:rFonts w:ascii="宋体" w:hAnsi="宋体"/>
          <w:sz w:val="22"/>
          <w:szCs w:val="28"/>
        </w:rPr>
        <w:t>3.5 商定或确定</w:t>
      </w:r>
      <w:bookmarkEnd w:id="1033"/>
      <w:bookmarkEnd w:id="1034"/>
      <w:bookmarkEnd w:id="1035"/>
      <w:bookmarkEnd w:id="1036"/>
      <w:bookmarkEnd w:id="1037"/>
      <w:bookmarkEnd w:id="1038"/>
      <w:bookmarkEnd w:id="1039"/>
      <w:bookmarkEnd w:id="1040"/>
      <w:bookmarkEnd w:id="1041"/>
      <w:bookmarkEnd w:id="1042"/>
      <w:bookmarkEnd w:id="1043"/>
    </w:p>
    <w:p>
      <w:pPr>
        <w:spacing w:after="160" w:line="278" w:lineRule="auto"/>
        <w:rPr>
          <w:rFonts w:ascii="宋体" w:hAnsi="宋体"/>
          <w:sz w:val="22"/>
          <w:szCs w:val="28"/>
        </w:rPr>
      </w:pPr>
      <w:r>
        <w:rPr>
          <w:rFonts w:ascii="宋体" w:hAnsi="宋体"/>
          <w:sz w:val="22"/>
          <w:szCs w:val="28"/>
        </w:rPr>
        <w:t>3.5.1合同约定总监理工程师应按照本款对任何事项进行商定或确定时，总监理工程师应与合同当事人协商，尽量达成一致。不能达成一致的，总监理工程师应认真研究后审慎确定。</w:t>
      </w:r>
    </w:p>
    <w:p>
      <w:pPr>
        <w:spacing w:after="160" w:line="278" w:lineRule="auto"/>
        <w:rPr>
          <w:rFonts w:ascii="宋体" w:hAnsi="宋体"/>
          <w:sz w:val="22"/>
          <w:szCs w:val="28"/>
        </w:rPr>
      </w:pPr>
      <w:r>
        <w:rPr>
          <w:rFonts w:ascii="宋体" w:hAnsi="宋体"/>
          <w:sz w:val="22"/>
          <w:szCs w:val="28"/>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spacing w:after="160" w:line="278" w:lineRule="auto"/>
        <w:rPr>
          <w:rFonts w:ascii="宋体" w:hAnsi="宋体"/>
          <w:sz w:val="22"/>
          <w:szCs w:val="28"/>
        </w:rPr>
      </w:pPr>
      <w:bookmarkStart w:id="1044" w:name="_Toc132619018"/>
      <w:bookmarkStart w:id="1045" w:name="_Toc129798269"/>
      <w:bookmarkStart w:id="1046" w:name="_Toc109914334"/>
      <w:bookmarkStart w:id="1047" w:name="_Toc442365617"/>
      <w:bookmarkStart w:id="1048" w:name="_Toc142385556"/>
      <w:bookmarkStart w:id="1049" w:name="_Toc338944732"/>
      <w:bookmarkStart w:id="1050" w:name="_Toc469660020"/>
      <w:bookmarkStart w:id="1051" w:name="_Toc132618627"/>
      <w:bookmarkStart w:id="1052" w:name="_Toc342296290"/>
      <w:bookmarkStart w:id="1053" w:name="_Toc448758425"/>
      <w:bookmarkStart w:id="1054" w:name="_Toc448758525"/>
      <w:r>
        <w:rPr>
          <w:rFonts w:ascii="宋体" w:hAnsi="宋体"/>
          <w:sz w:val="22"/>
          <w:szCs w:val="28"/>
        </w:rPr>
        <w:t>4. 承包人</w:t>
      </w:r>
      <w:bookmarkEnd w:id="1044"/>
      <w:bookmarkEnd w:id="1045"/>
      <w:bookmarkEnd w:id="1046"/>
      <w:bookmarkEnd w:id="1047"/>
      <w:bookmarkEnd w:id="1048"/>
      <w:bookmarkEnd w:id="1049"/>
      <w:bookmarkEnd w:id="1050"/>
      <w:bookmarkEnd w:id="1051"/>
      <w:bookmarkEnd w:id="1052"/>
      <w:bookmarkEnd w:id="1053"/>
      <w:bookmarkEnd w:id="1054"/>
    </w:p>
    <w:p>
      <w:pPr>
        <w:spacing w:after="160" w:line="278" w:lineRule="auto"/>
        <w:rPr>
          <w:rFonts w:ascii="宋体" w:hAnsi="宋体"/>
          <w:sz w:val="22"/>
          <w:szCs w:val="28"/>
        </w:rPr>
      </w:pPr>
      <w:bookmarkStart w:id="1055" w:name="_Toc109914335"/>
      <w:bookmarkStart w:id="1056" w:name="_Toc338944733"/>
      <w:bookmarkStart w:id="1057" w:name="_Toc132619019"/>
      <w:bookmarkStart w:id="1058" w:name="_Toc129798270"/>
      <w:bookmarkStart w:id="1059" w:name="_Toc132618628"/>
      <w:bookmarkStart w:id="1060" w:name="_Toc142385557"/>
      <w:bookmarkStart w:id="1061" w:name="_Toc342296291"/>
      <w:r>
        <w:rPr>
          <w:rFonts w:ascii="宋体" w:hAnsi="宋体"/>
          <w:sz w:val="22"/>
          <w:szCs w:val="28"/>
        </w:rPr>
        <w:t>4.1 承包人的一般义务</w:t>
      </w:r>
      <w:bookmarkEnd w:id="1055"/>
      <w:bookmarkEnd w:id="1056"/>
      <w:bookmarkEnd w:id="1057"/>
      <w:bookmarkEnd w:id="1058"/>
      <w:bookmarkEnd w:id="1059"/>
      <w:bookmarkEnd w:id="1060"/>
      <w:bookmarkEnd w:id="1061"/>
    </w:p>
    <w:p>
      <w:pPr>
        <w:spacing w:after="160" w:line="278" w:lineRule="auto"/>
        <w:rPr>
          <w:rFonts w:ascii="宋体" w:hAnsi="宋体"/>
          <w:sz w:val="22"/>
          <w:szCs w:val="28"/>
        </w:rPr>
      </w:pPr>
      <w:r>
        <w:rPr>
          <w:rFonts w:ascii="宋体" w:hAnsi="宋体"/>
          <w:sz w:val="22"/>
          <w:szCs w:val="28"/>
        </w:rPr>
        <w:t xml:space="preserve">4.1.1 </w:t>
      </w:r>
      <w:r>
        <w:rPr>
          <w:rFonts w:hint="eastAsia" w:ascii="宋体" w:hAnsi="宋体"/>
          <w:sz w:val="22"/>
          <w:szCs w:val="28"/>
        </w:rPr>
        <w:t>遵守法律</w:t>
      </w:r>
    </w:p>
    <w:p>
      <w:pPr>
        <w:spacing w:after="160" w:line="278" w:lineRule="auto"/>
        <w:rPr>
          <w:rFonts w:ascii="宋体" w:hAnsi="宋体"/>
          <w:sz w:val="22"/>
          <w:szCs w:val="28"/>
        </w:rPr>
      </w:pPr>
      <w:r>
        <w:rPr>
          <w:rFonts w:ascii="宋体" w:hAnsi="宋体"/>
          <w:sz w:val="22"/>
          <w:szCs w:val="28"/>
        </w:rPr>
        <w:t>承包人在履行合同过程中应遵守法律，并保证发包人免于承担因承包人违反法律而引起的任何责任。</w:t>
      </w:r>
    </w:p>
    <w:p>
      <w:pPr>
        <w:spacing w:after="160" w:line="278" w:lineRule="auto"/>
        <w:rPr>
          <w:rFonts w:ascii="宋体" w:hAnsi="宋体"/>
          <w:sz w:val="22"/>
          <w:szCs w:val="28"/>
        </w:rPr>
      </w:pPr>
      <w:r>
        <w:rPr>
          <w:rFonts w:ascii="宋体" w:hAnsi="宋体"/>
          <w:sz w:val="22"/>
          <w:szCs w:val="28"/>
        </w:rPr>
        <w:t xml:space="preserve">4.1.2 </w:t>
      </w:r>
      <w:r>
        <w:rPr>
          <w:rFonts w:hint="eastAsia" w:ascii="宋体" w:hAnsi="宋体"/>
          <w:sz w:val="22"/>
          <w:szCs w:val="28"/>
        </w:rPr>
        <w:t>依法纳税</w:t>
      </w:r>
    </w:p>
    <w:p>
      <w:pPr>
        <w:spacing w:after="160" w:line="278" w:lineRule="auto"/>
        <w:rPr>
          <w:rFonts w:ascii="宋体" w:hAnsi="宋体"/>
          <w:sz w:val="22"/>
          <w:szCs w:val="28"/>
        </w:rPr>
      </w:pPr>
      <w:r>
        <w:rPr>
          <w:rFonts w:ascii="宋体" w:hAnsi="宋体"/>
          <w:sz w:val="22"/>
          <w:szCs w:val="28"/>
        </w:rPr>
        <w:t>承包人应按有关法律规定纳税，应缴纳的税金包括在合同价格内。</w:t>
      </w:r>
    </w:p>
    <w:p>
      <w:pPr>
        <w:spacing w:after="160" w:line="278" w:lineRule="auto"/>
        <w:rPr>
          <w:rFonts w:ascii="宋体" w:hAnsi="宋体"/>
          <w:sz w:val="22"/>
          <w:szCs w:val="28"/>
        </w:rPr>
      </w:pPr>
      <w:r>
        <w:rPr>
          <w:rFonts w:ascii="宋体" w:hAnsi="宋体"/>
          <w:sz w:val="22"/>
          <w:szCs w:val="28"/>
        </w:rPr>
        <w:t xml:space="preserve">4.1.3 </w:t>
      </w:r>
      <w:r>
        <w:rPr>
          <w:rFonts w:hint="eastAsia" w:ascii="宋体" w:hAnsi="宋体"/>
          <w:sz w:val="22"/>
          <w:szCs w:val="28"/>
        </w:rPr>
        <w:t>完成各项承包工作</w:t>
      </w:r>
    </w:p>
    <w:p>
      <w:pPr>
        <w:spacing w:after="160" w:line="278" w:lineRule="auto"/>
        <w:rPr>
          <w:rFonts w:ascii="宋体" w:hAnsi="宋体"/>
          <w:sz w:val="22"/>
          <w:szCs w:val="28"/>
        </w:rPr>
      </w:pPr>
      <w:r>
        <w:rPr>
          <w:rFonts w:hint="eastAsia" w:ascii="宋体" w:hAnsi="宋体"/>
          <w:sz w:val="22"/>
          <w:szCs w:val="28"/>
        </w:rPr>
        <w:t>承包人应</w:t>
      </w:r>
      <w:r>
        <w:rPr>
          <w:rFonts w:ascii="宋体" w:hAnsi="宋体"/>
          <w:sz w:val="22"/>
          <w:szCs w:val="28"/>
        </w:rPr>
        <w:t>办理法律规定应由承包人办理的许可和批准，并将办理结果书面报送发包人留存；按法律规定和合同约定完成工程，并在保修期内承担保修义务</w:t>
      </w:r>
      <w:r>
        <w:rPr>
          <w:rFonts w:hint="eastAsia" w:ascii="宋体" w:hAnsi="宋体"/>
          <w:sz w:val="22"/>
          <w:szCs w:val="28"/>
        </w:rPr>
        <w:t>。除专用合同条款另有约定外，承包人应提供为完成合同工作所需的劳务、材料、施工设备、工程设备和其他物品，并按合同约定负责临时设施的设计、建造、运行、维护、管理和拆除。</w:t>
      </w:r>
    </w:p>
    <w:p>
      <w:pPr>
        <w:spacing w:after="160" w:line="278" w:lineRule="auto"/>
        <w:rPr>
          <w:rFonts w:ascii="宋体" w:hAnsi="宋体"/>
          <w:sz w:val="22"/>
          <w:szCs w:val="28"/>
        </w:rPr>
      </w:pPr>
      <w:r>
        <w:rPr>
          <w:rFonts w:ascii="宋体" w:hAnsi="宋体"/>
          <w:sz w:val="22"/>
          <w:szCs w:val="28"/>
        </w:rPr>
        <w:t xml:space="preserve">4.1.4 </w:t>
      </w:r>
      <w:r>
        <w:rPr>
          <w:rFonts w:hint="eastAsia" w:ascii="宋体" w:hAnsi="宋体"/>
          <w:sz w:val="22"/>
          <w:szCs w:val="28"/>
        </w:rPr>
        <w:t>对施工作业和施工方法的完备性负责</w:t>
      </w:r>
    </w:p>
    <w:p>
      <w:pPr>
        <w:spacing w:after="160" w:line="278" w:lineRule="auto"/>
        <w:rPr>
          <w:rFonts w:ascii="宋体" w:hAnsi="宋体"/>
          <w:sz w:val="22"/>
          <w:szCs w:val="28"/>
        </w:rPr>
      </w:pPr>
      <w:r>
        <w:rPr>
          <w:rFonts w:ascii="宋体" w:hAnsi="宋体"/>
          <w:sz w:val="22"/>
          <w:szCs w:val="28"/>
        </w:rPr>
        <w:t>承包人应按合同约定的工作内容和施工进度要求，编制施工组织设计和施工措施计划，并对所有施工作业和施工方法的完备性和安全可靠性负责。</w:t>
      </w:r>
    </w:p>
    <w:p>
      <w:pPr>
        <w:spacing w:after="160" w:line="278" w:lineRule="auto"/>
        <w:rPr>
          <w:rFonts w:ascii="宋体" w:hAnsi="宋体"/>
          <w:sz w:val="22"/>
          <w:szCs w:val="28"/>
        </w:rPr>
      </w:pPr>
      <w:r>
        <w:rPr>
          <w:rFonts w:ascii="宋体" w:hAnsi="宋体"/>
          <w:sz w:val="22"/>
          <w:szCs w:val="28"/>
        </w:rPr>
        <w:t xml:space="preserve">4.1.5 </w:t>
      </w:r>
      <w:r>
        <w:rPr>
          <w:rFonts w:hint="eastAsia" w:ascii="宋体" w:hAnsi="宋体"/>
          <w:sz w:val="22"/>
          <w:szCs w:val="28"/>
        </w:rPr>
        <w:t>保证工程施工和人员的安全</w:t>
      </w:r>
    </w:p>
    <w:p>
      <w:pPr>
        <w:spacing w:after="160" w:line="278" w:lineRule="auto"/>
        <w:rPr>
          <w:rFonts w:ascii="宋体" w:hAnsi="宋体"/>
          <w:sz w:val="22"/>
          <w:szCs w:val="28"/>
        </w:rPr>
      </w:pPr>
      <w:r>
        <w:rPr>
          <w:rFonts w:ascii="宋体" w:hAnsi="宋体"/>
          <w:sz w:val="22"/>
          <w:szCs w:val="28"/>
        </w:rPr>
        <w:t>承包人应按法律规定和合同约定采取施工安全和环境保护措施，办理工伤保险，确保工程及人员、材料、设备和设施的安全；防止因工程施工造成的人身伤害和财产损失。</w:t>
      </w:r>
    </w:p>
    <w:p>
      <w:pPr>
        <w:spacing w:after="160" w:line="278" w:lineRule="auto"/>
        <w:rPr>
          <w:rFonts w:ascii="宋体" w:hAnsi="宋体"/>
          <w:sz w:val="22"/>
          <w:szCs w:val="28"/>
        </w:rPr>
      </w:pPr>
      <w:r>
        <w:rPr>
          <w:rFonts w:ascii="宋体" w:hAnsi="宋体"/>
          <w:sz w:val="22"/>
          <w:szCs w:val="28"/>
        </w:rPr>
        <w:t xml:space="preserve">4.1.6 </w:t>
      </w:r>
      <w:r>
        <w:rPr>
          <w:rFonts w:hint="eastAsia" w:ascii="宋体" w:hAnsi="宋体"/>
          <w:sz w:val="22"/>
          <w:szCs w:val="28"/>
        </w:rPr>
        <w:t>负责施工场地及其周边环境与生态的保护工作</w:t>
      </w:r>
    </w:p>
    <w:p>
      <w:pPr>
        <w:spacing w:after="160" w:line="278" w:lineRule="auto"/>
        <w:rPr>
          <w:rFonts w:ascii="宋体" w:hAnsi="宋体"/>
          <w:sz w:val="22"/>
          <w:szCs w:val="28"/>
        </w:rPr>
      </w:pPr>
      <w:r>
        <w:rPr>
          <w:rFonts w:ascii="宋体" w:hAnsi="宋体"/>
          <w:sz w:val="22"/>
          <w:szCs w:val="28"/>
        </w:rPr>
        <w:t>承包人应按照第9.4款约定负责施工场地及其周边环境与生态的保护工作。</w:t>
      </w:r>
    </w:p>
    <w:p>
      <w:pPr>
        <w:spacing w:after="160" w:line="278" w:lineRule="auto"/>
        <w:rPr>
          <w:rFonts w:ascii="宋体" w:hAnsi="宋体"/>
          <w:sz w:val="22"/>
          <w:szCs w:val="28"/>
        </w:rPr>
      </w:pPr>
      <w:r>
        <w:rPr>
          <w:rFonts w:ascii="宋体" w:hAnsi="宋体"/>
          <w:sz w:val="22"/>
          <w:szCs w:val="28"/>
        </w:rPr>
        <w:t xml:space="preserve">4.1.7 </w:t>
      </w:r>
      <w:r>
        <w:rPr>
          <w:rFonts w:hint="eastAsia" w:ascii="宋体" w:hAnsi="宋体"/>
          <w:sz w:val="22"/>
          <w:szCs w:val="28"/>
        </w:rPr>
        <w:t>避免施工对公众与他人的利益造成损害</w:t>
      </w:r>
    </w:p>
    <w:p>
      <w:pPr>
        <w:spacing w:after="160" w:line="278" w:lineRule="auto"/>
        <w:rPr>
          <w:rFonts w:ascii="宋体" w:hAnsi="宋体"/>
          <w:sz w:val="22"/>
          <w:szCs w:val="28"/>
        </w:rPr>
      </w:pPr>
      <w:r>
        <w:rPr>
          <w:rFonts w:ascii="宋体" w:hAnsi="宋体"/>
          <w:sz w:val="22"/>
          <w:szCs w:val="28"/>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after="160" w:line="278" w:lineRule="auto"/>
        <w:rPr>
          <w:rFonts w:ascii="宋体" w:hAnsi="宋体"/>
          <w:sz w:val="22"/>
          <w:szCs w:val="28"/>
        </w:rPr>
      </w:pPr>
      <w:r>
        <w:rPr>
          <w:rFonts w:ascii="宋体" w:hAnsi="宋体"/>
          <w:sz w:val="22"/>
          <w:szCs w:val="28"/>
        </w:rPr>
        <w:t xml:space="preserve">4.1.8 </w:t>
      </w:r>
      <w:r>
        <w:rPr>
          <w:rFonts w:hint="eastAsia" w:ascii="宋体" w:hAnsi="宋体"/>
          <w:sz w:val="22"/>
          <w:szCs w:val="28"/>
        </w:rPr>
        <w:t>为他人提供方便</w:t>
      </w:r>
    </w:p>
    <w:p>
      <w:pPr>
        <w:spacing w:after="160" w:line="278" w:lineRule="auto"/>
        <w:rPr>
          <w:rFonts w:ascii="宋体" w:hAnsi="宋体"/>
          <w:sz w:val="22"/>
          <w:szCs w:val="28"/>
        </w:rPr>
      </w:pPr>
      <w:r>
        <w:rPr>
          <w:rFonts w:ascii="宋体" w:hAnsi="宋体"/>
          <w:sz w:val="22"/>
          <w:szCs w:val="28"/>
        </w:rPr>
        <w:t>承包人应按监理人的指示为他人在施工场地或附近实施与工程有关的其他各项工作提供可能的条件。除合同另有约定外，提供有关条件的内容和可能发生的费用，由监理人按第3.5款商定或确定。</w:t>
      </w:r>
    </w:p>
    <w:p>
      <w:pPr>
        <w:spacing w:after="160" w:line="278" w:lineRule="auto"/>
        <w:rPr>
          <w:rFonts w:ascii="宋体" w:hAnsi="宋体"/>
          <w:sz w:val="22"/>
          <w:szCs w:val="28"/>
        </w:rPr>
      </w:pPr>
      <w:r>
        <w:rPr>
          <w:rFonts w:ascii="宋体" w:hAnsi="宋体"/>
          <w:sz w:val="22"/>
          <w:szCs w:val="28"/>
        </w:rPr>
        <w:t xml:space="preserve">4.1.9 </w:t>
      </w:r>
      <w:r>
        <w:rPr>
          <w:rFonts w:hint="eastAsia" w:ascii="宋体" w:hAnsi="宋体"/>
          <w:sz w:val="22"/>
          <w:szCs w:val="28"/>
        </w:rPr>
        <w:t>工程的维护和照管</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1）除专用合同条款另有约定外，自发包人向承包人移交施工现场之日起，承</w:t>
      </w:r>
      <w:r>
        <w:rPr>
          <w:rFonts w:hint="eastAsia" w:ascii="宋体" w:hAnsi="宋体"/>
          <w:sz w:val="22"/>
          <w:szCs w:val="28"/>
        </w:rPr>
        <w:t>包人应负责照管工程及工程相关的材料、工程设备，直到颁发工程接收证书之日止。</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2）在承包人负责照管期间，因承包人原因造成工程、材料、工程设备损坏的，由承包人负责修复或更换，并承担由此增加的费用和（或）延误的工期。</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3）对合同内分期完成的成品和半成品，在工程接收证书颁发前，由承包人承担保护责任。因承包人原因造成成品或半成品损坏的，由承包人负责修复或更换，并承担由此增加的费用和（或）延误的工期。</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4.1.10 工程</w:t>
      </w:r>
      <w:r>
        <w:rPr>
          <w:rFonts w:hint="eastAsia" w:ascii="宋体" w:hAnsi="宋体"/>
          <w:sz w:val="22"/>
          <w:szCs w:val="28"/>
        </w:rPr>
        <w:t>款的使用</w:t>
      </w:r>
    </w:p>
    <w:p>
      <w:pPr>
        <w:spacing w:after="160" w:line="278" w:lineRule="auto"/>
        <w:rPr>
          <w:rFonts w:ascii="宋体" w:hAnsi="宋体"/>
          <w:sz w:val="22"/>
          <w:szCs w:val="28"/>
        </w:rPr>
      </w:pPr>
      <w:r>
        <w:rPr>
          <w:rFonts w:hint="eastAsia" w:ascii="宋体" w:hAnsi="宋体"/>
          <w:sz w:val="22"/>
          <w:szCs w:val="28"/>
        </w:rPr>
        <w:t>将发包人按合同约定支付的各项价款专用于合同工程，且应及时支付其雇用人员工资，并及时向分包人支付合同价款；</w:t>
      </w:r>
    </w:p>
    <w:p>
      <w:pPr>
        <w:spacing w:after="160" w:line="278" w:lineRule="auto"/>
        <w:rPr>
          <w:rFonts w:ascii="宋体" w:hAnsi="宋体"/>
          <w:sz w:val="22"/>
          <w:szCs w:val="28"/>
        </w:rPr>
      </w:pPr>
      <w:r>
        <w:rPr>
          <w:rFonts w:ascii="宋体" w:hAnsi="宋体"/>
          <w:sz w:val="22"/>
          <w:szCs w:val="28"/>
        </w:rPr>
        <w:t>4.1.11 工程</w:t>
      </w:r>
      <w:r>
        <w:rPr>
          <w:rFonts w:hint="eastAsia" w:ascii="宋体" w:hAnsi="宋体"/>
          <w:sz w:val="22"/>
          <w:szCs w:val="28"/>
        </w:rPr>
        <w:t>资料管理</w:t>
      </w:r>
    </w:p>
    <w:p>
      <w:pPr>
        <w:spacing w:after="160" w:line="278" w:lineRule="auto"/>
        <w:rPr>
          <w:rFonts w:ascii="宋体" w:hAnsi="宋体"/>
          <w:sz w:val="22"/>
          <w:szCs w:val="28"/>
        </w:rPr>
      </w:pPr>
      <w:r>
        <w:rPr>
          <w:rFonts w:hint="eastAsia" w:ascii="宋体" w:hAnsi="宋体"/>
          <w:sz w:val="22"/>
          <w:szCs w:val="28"/>
        </w:rPr>
        <w:t>承包人应按照法律规定和合同约定编制竣工资料，及时按照双方合同约定时间，配合发包人完成竣工所需资料立卷及归档，并按专用合同条款约定的竣工资料的套数、内容、时间等要求移交发包人，并保证其真实可靠性。</w:t>
      </w:r>
      <w:r>
        <w:rPr>
          <w:rFonts w:ascii="宋体" w:hAnsi="宋体"/>
          <w:sz w:val="22"/>
          <w:szCs w:val="28"/>
        </w:rPr>
        <w:t xml:space="preserve">4.1.12 </w:t>
      </w:r>
      <w:r>
        <w:rPr>
          <w:rFonts w:hint="eastAsia" w:ascii="宋体" w:hAnsi="宋体"/>
          <w:sz w:val="22"/>
          <w:szCs w:val="28"/>
        </w:rPr>
        <w:t>其他义务</w:t>
      </w:r>
    </w:p>
    <w:p>
      <w:pPr>
        <w:spacing w:after="160" w:line="278" w:lineRule="auto"/>
        <w:rPr>
          <w:rFonts w:ascii="宋体" w:hAnsi="宋体"/>
          <w:sz w:val="22"/>
          <w:szCs w:val="28"/>
        </w:rPr>
      </w:pPr>
      <w:r>
        <w:rPr>
          <w:rFonts w:ascii="宋体" w:hAnsi="宋体"/>
          <w:sz w:val="22"/>
          <w:szCs w:val="28"/>
        </w:rPr>
        <w:t>承包人应履行合同约定的其他义务。</w:t>
      </w:r>
    </w:p>
    <w:p>
      <w:pPr>
        <w:spacing w:after="160" w:line="278" w:lineRule="auto"/>
        <w:rPr>
          <w:rFonts w:ascii="宋体" w:hAnsi="宋体"/>
          <w:sz w:val="22"/>
          <w:szCs w:val="28"/>
        </w:rPr>
      </w:pPr>
      <w:bookmarkStart w:id="1062" w:name="_Toc142385558"/>
      <w:bookmarkStart w:id="1063" w:name="_Toc338944734"/>
      <w:bookmarkStart w:id="1064" w:name="_Toc144974609"/>
      <w:bookmarkStart w:id="1065" w:name="_Toc179632659"/>
      <w:bookmarkStart w:id="1066" w:name="_Toc129798271"/>
      <w:bookmarkStart w:id="1067" w:name="_Toc132619020"/>
      <w:bookmarkStart w:id="1068" w:name="_Toc109914336"/>
      <w:bookmarkStart w:id="1069" w:name="_Toc152045641"/>
      <w:bookmarkStart w:id="1070" w:name="_Toc152042419"/>
      <w:bookmarkStart w:id="1071" w:name="_Toc132618629"/>
      <w:bookmarkStart w:id="1072" w:name="_Toc342296292"/>
      <w:r>
        <w:rPr>
          <w:rFonts w:ascii="宋体" w:hAnsi="宋体"/>
          <w:sz w:val="22"/>
          <w:szCs w:val="28"/>
        </w:rPr>
        <w:t>4.2 履约担保</w:t>
      </w:r>
      <w:bookmarkEnd w:id="1062"/>
      <w:bookmarkEnd w:id="1063"/>
      <w:bookmarkEnd w:id="1064"/>
      <w:bookmarkEnd w:id="1065"/>
      <w:bookmarkEnd w:id="1066"/>
      <w:bookmarkEnd w:id="1067"/>
      <w:bookmarkEnd w:id="1068"/>
      <w:bookmarkEnd w:id="1069"/>
      <w:bookmarkEnd w:id="1070"/>
      <w:bookmarkEnd w:id="1071"/>
      <w:bookmarkEnd w:id="1072"/>
    </w:p>
    <w:p>
      <w:pPr>
        <w:spacing w:after="160" w:line="278" w:lineRule="auto"/>
        <w:rPr>
          <w:rFonts w:ascii="宋体" w:hAnsi="宋体"/>
          <w:sz w:val="22"/>
          <w:szCs w:val="28"/>
        </w:rPr>
      </w:pPr>
      <w:r>
        <w:rPr>
          <w:rFonts w:ascii="宋体" w:hAnsi="宋体"/>
          <w:sz w:val="22"/>
          <w:szCs w:val="28"/>
        </w:rPr>
        <w:t>承包人应保证其履约担保在发包人颁发工程接收证书前一直有效。发包人应在工程接收证书颁发后28天内把履约担保退还给承包人。</w:t>
      </w:r>
    </w:p>
    <w:p>
      <w:pPr>
        <w:spacing w:after="160" w:line="278" w:lineRule="auto"/>
        <w:rPr>
          <w:rFonts w:ascii="宋体" w:hAnsi="宋体"/>
          <w:sz w:val="22"/>
          <w:szCs w:val="28"/>
        </w:rPr>
      </w:pPr>
      <w:bookmarkStart w:id="1073" w:name="_Toc142385559"/>
      <w:bookmarkStart w:id="1074" w:name="_Toc342296293"/>
      <w:bookmarkStart w:id="1075" w:name="_Toc338944735"/>
      <w:bookmarkStart w:id="1076" w:name="_Toc129798272"/>
      <w:bookmarkStart w:id="1077" w:name="_Toc132619021"/>
      <w:bookmarkStart w:id="1078" w:name="_Toc109914337"/>
      <w:bookmarkStart w:id="1079" w:name="_Toc132618630"/>
      <w:r>
        <w:rPr>
          <w:rFonts w:ascii="宋体" w:hAnsi="宋体"/>
          <w:sz w:val="22"/>
          <w:szCs w:val="28"/>
        </w:rPr>
        <w:t>4.3 分包</w:t>
      </w:r>
      <w:bookmarkEnd w:id="1073"/>
      <w:bookmarkEnd w:id="1074"/>
      <w:bookmarkEnd w:id="1075"/>
      <w:bookmarkEnd w:id="1076"/>
      <w:bookmarkEnd w:id="1077"/>
      <w:bookmarkEnd w:id="1078"/>
      <w:bookmarkEnd w:id="1079"/>
    </w:p>
    <w:p>
      <w:pPr>
        <w:spacing w:after="160" w:line="278" w:lineRule="auto"/>
        <w:rPr>
          <w:rFonts w:ascii="宋体" w:hAnsi="宋体"/>
          <w:sz w:val="22"/>
          <w:szCs w:val="28"/>
        </w:rPr>
      </w:pPr>
      <w:r>
        <w:rPr>
          <w:rFonts w:ascii="宋体" w:hAnsi="宋体"/>
          <w:sz w:val="22"/>
          <w:szCs w:val="28"/>
        </w:rPr>
        <w:t>4.3.1 承包人不得将其承包的全部工程转包给第三人，或将其承包的全部工程肢解后以分包的名义转包给第三人。</w:t>
      </w:r>
    </w:p>
    <w:p>
      <w:pPr>
        <w:spacing w:after="160" w:line="278" w:lineRule="auto"/>
        <w:rPr>
          <w:rFonts w:ascii="宋体" w:hAnsi="宋体"/>
          <w:sz w:val="22"/>
          <w:szCs w:val="28"/>
        </w:rPr>
      </w:pPr>
      <w:r>
        <w:rPr>
          <w:rFonts w:ascii="宋体" w:hAnsi="宋体"/>
          <w:sz w:val="22"/>
          <w:szCs w:val="28"/>
        </w:rPr>
        <w:t>4.3.2 承包人不得将工程主体、关键性工作分包给第三人。除专用合同条款另有约定外，未经发包人同意，承包人不得将工程的其他部分或工作分包给第三人。</w:t>
      </w:r>
    </w:p>
    <w:p>
      <w:pPr>
        <w:spacing w:after="160" w:line="278" w:lineRule="auto"/>
        <w:rPr>
          <w:rFonts w:ascii="宋体" w:hAnsi="宋体"/>
          <w:sz w:val="22"/>
          <w:szCs w:val="28"/>
        </w:rPr>
      </w:pPr>
      <w:r>
        <w:rPr>
          <w:rFonts w:ascii="宋体" w:hAnsi="宋体"/>
          <w:sz w:val="22"/>
          <w:szCs w:val="28"/>
        </w:rPr>
        <w:t>4.3.3 分包人的资格能力应与其分包工程的标准和规模相适应。</w:t>
      </w:r>
    </w:p>
    <w:p>
      <w:pPr>
        <w:spacing w:after="160" w:line="278" w:lineRule="auto"/>
        <w:rPr>
          <w:rFonts w:ascii="宋体" w:hAnsi="宋体"/>
          <w:sz w:val="22"/>
          <w:szCs w:val="28"/>
        </w:rPr>
      </w:pPr>
      <w:r>
        <w:rPr>
          <w:rFonts w:ascii="宋体" w:hAnsi="宋体"/>
          <w:sz w:val="22"/>
          <w:szCs w:val="28"/>
        </w:rPr>
        <w:t>4.3.4 按投标函附录约定分包工程的，承包人应向发包人和监理人提交分包合同副本。</w:t>
      </w:r>
    </w:p>
    <w:p>
      <w:pPr>
        <w:spacing w:after="160" w:line="278" w:lineRule="auto"/>
        <w:rPr>
          <w:rFonts w:ascii="宋体" w:hAnsi="宋体"/>
          <w:sz w:val="22"/>
          <w:szCs w:val="28"/>
        </w:rPr>
      </w:pPr>
      <w:r>
        <w:rPr>
          <w:rFonts w:ascii="宋体" w:hAnsi="宋体"/>
          <w:sz w:val="22"/>
          <w:szCs w:val="28"/>
        </w:rPr>
        <w:t>4.3.5 承包人应与分包人就分包工程向发包人承担连带责任。</w:t>
      </w:r>
    </w:p>
    <w:p>
      <w:pPr>
        <w:spacing w:after="160" w:line="278" w:lineRule="auto"/>
        <w:rPr>
          <w:rFonts w:ascii="宋体" w:hAnsi="宋体"/>
          <w:sz w:val="22"/>
          <w:szCs w:val="28"/>
        </w:rPr>
      </w:pPr>
      <w:bookmarkStart w:id="1080" w:name="_Toc132619022"/>
      <w:bookmarkStart w:id="1081" w:name="_Toc129798273"/>
      <w:bookmarkStart w:id="1082" w:name="_Toc132618631"/>
      <w:bookmarkStart w:id="1083" w:name="_Toc109914338"/>
      <w:bookmarkStart w:id="1084" w:name="_Toc142385560"/>
      <w:r>
        <w:rPr>
          <w:rFonts w:ascii="宋体" w:hAnsi="宋体"/>
          <w:sz w:val="22"/>
          <w:szCs w:val="28"/>
        </w:rPr>
        <w:t>4.3.6</w:t>
      </w:r>
      <w:r>
        <w:rPr>
          <w:rFonts w:hint="eastAsia" w:ascii="宋体" w:hAnsi="宋体"/>
          <w:sz w:val="22"/>
          <w:szCs w:val="28"/>
        </w:rPr>
        <w:t>承包人应向监理人提交分包人的主要施工管理人员表，并对分包人的施工人员进行实名制管理。</w:t>
      </w:r>
      <w:bookmarkEnd w:id="1080"/>
      <w:bookmarkEnd w:id="1081"/>
      <w:bookmarkEnd w:id="1082"/>
      <w:bookmarkEnd w:id="1083"/>
      <w:bookmarkEnd w:id="1084"/>
      <w:bookmarkStart w:id="1085" w:name="_Toc342296294"/>
      <w:bookmarkStart w:id="1086" w:name="_Toc152042421"/>
      <w:bookmarkStart w:id="1087" w:name="_Toc152045643"/>
      <w:bookmarkStart w:id="1088" w:name="_Toc144974611"/>
      <w:bookmarkStart w:id="1089" w:name="_Toc179632661"/>
      <w:bookmarkStart w:id="1090" w:name="_Toc338944736"/>
    </w:p>
    <w:p>
      <w:pPr>
        <w:spacing w:after="160" w:line="278" w:lineRule="auto"/>
        <w:rPr>
          <w:rFonts w:ascii="宋体" w:hAnsi="宋体"/>
          <w:sz w:val="22"/>
          <w:szCs w:val="28"/>
        </w:rPr>
      </w:pPr>
      <w:bookmarkStart w:id="1091" w:name="_Toc142385561"/>
      <w:bookmarkStart w:id="1092" w:name="_Toc132618632"/>
      <w:bookmarkStart w:id="1093" w:name="_Toc129798274"/>
      <w:bookmarkStart w:id="1094" w:name="_Toc109914339"/>
      <w:bookmarkStart w:id="1095" w:name="_Toc132619023"/>
      <w:r>
        <w:rPr>
          <w:rFonts w:ascii="宋体" w:hAnsi="宋体"/>
          <w:sz w:val="22"/>
          <w:szCs w:val="28"/>
        </w:rPr>
        <w:t>4.4 联合体</w:t>
      </w:r>
      <w:bookmarkEnd w:id="1085"/>
      <w:bookmarkEnd w:id="1086"/>
      <w:bookmarkEnd w:id="1087"/>
      <w:bookmarkEnd w:id="1088"/>
      <w:bookmarkEnd w:id="1089"/>
      <w:bookmarkEnd w:id="1090"/>
      <w:bookmarkEnd w:id="1091"/>
      <w:bookmarkEnd w:id="1092"/>
      <w:bookmarkEnd w:id="1093"/>
      <w:bookmarkEnd w:id="1094"/>
      <w:bookmarkEnd w:id="1095"/>
    </w:p>
    <w:p>
      <w:pPr>
        <w:spacing w:after="160" w:line="278" w:lineRule="auto"/>
        <w:rPr>
          <w:rFonts w:ascii="宋体" w:hAnsi="宋体"/>
          <w:sz w:val="22"/>
          <w:szCs w:val="28"/>
        </w:rPr>
      </w:pPr>
      <w:r>
        <w:rPr>
          <w:rFonts w:ascii="宋体" w:hAnsi="宋体"/>
          <w:sz w:val="22"/>
          <w:szCs w:val="28"/>
        </w:rPr>
        <w:t>4.4.1 联合体各方应共同与发包人签订合同协议书。联合体各方应为履行合同承担连带责任。</w:t>
      </w:r>
    </w:p>
    <w:p>
      <w:pPr>
        <w:spacing w:after="160" w:line="278" w:lineRule="auto"/>
        <w:rPr>
          <w:rFonts w:ascii="宋体" w:hAnsi="宋体"/>
          <w:sz w:val="22"/>
          <w:szCs w:val="28"/>
        </w:rPr>
      </w:pPr>
      <w:r>
        <w:rPr>
          <w:rFonts w:ascii="宋体" w:hAnsi="宋体"/>
          <w:sz w:val="22"/>
          <w:szCs w:val="28"/>
        </w:rPr>
        <w:t>4.4.2 联合体协议经发包人确认后作为合同附件。在履行合同过程中，未经发包人同意，不得修改联合体协议。</w:t>
      </w:r>
    </w:p>
    <w:p>
      <w:pPr>
        <w:spacing w:after="160" w:line="278" w:lineRule="auto"/>
        <w:rPr>
          <w:rFonts w:ascii="宋体" w:hAnsi="宋体"/>
          <w:sz w:val="22"/>
          <w:szCs w:val="28"/>
        </w:rPr>
      </w:pPr>
      <w:r>
        <w:rPr>
          <w:rFonts w:ascii="宋体" w:hAnsi="宋体"/>
          <w:sz w:val="22"/>
          <w:szCs w:val="28"/>
        </w:rPr>
        <w:t>4.4.3 联合体牵头人负责与发包人和监理人联系，并接受指示，负责组织联合体各成员全面履行合同。</w:t>
      </w:r>
    </w:p>
    <w:p>
      <w:pPr>
        <w:spacing w:after="160" w:line="278" w:lineRule="auto"/>
        <w:rPr>
          <w:rFonts w:ascii="宋体" w:hAnsi="宋体"/>
          <w:sz w:val="22"/>
          <w:szCs w:val="28"/>
        </w:rPr>
      </w:pPr>
      <w:bookmarkStart w:id="1096" w:name="_Toc338944737"/>
      <w:bookmarkStart w:id="1097" w:name="_Toc132618633"/>
      <w:bookmarkStart w:id="1098" w:name="_Toc142385562"/>
      <w:bookmarkStart w:id="1099" w:name="_Toc109914340"/>
      <w:bookmarkStart w:id="1100" w:name="_Toc129798275"/>
      <w:bookmarkStart w:id="1101" w:name="_Toc342296295"/>
      <w:bookmarkStart w:id="1102" w:name="_Toc132619024"/>
      <w:r>
        <w:rPr>
          <w:rFonts w:ascii="宋体" w:hAnsi="宋体"/>
          <w:sz w:val="22"/>
          <w:szCs w:val="28"/>
        </w:rPr>
        <w:t>4.5 承包人项目经理</w:t>
      </w:r>
      <w:bookmarkEnd w:id="1096"/>
      <w:bookmarkEnd w:id="1097"/>
      <w:bookmarkEnd w:id="1098"/>
      <w:bookmarkEnd w:id="1099"/>
      <w:bookmarkEnd w:id="1100"/>
      <w:bookmarkEnd w:id="1101"/>
      <w:bookmarkEnd w:id="1102"/>
    </w:p>
    <w:p>
      <w:pPr>
        <w:spacing w:after="160" w:line="278" w:lineRule="auto"/>
        <w:rPr>
          <w:rFonts w:ascii="宋体" w:hAnsi="宋体"/>
          <w:sz w:val="22"/>
          <w:szCs w:val="28"/>
        </w:rPr>
      </w:pPr>
      <w:r>
        <w:rPr>
          <w:rFonts w:ascii="宋体" w:hAnsi="宋体"/>
          <w:sz w:val="22"/>
          <w:szCs w:val="28"/>
        </w:rPr>
        <w:t>4.5.1</w:t>
      </w:r>
      <w:r>
        <w:rPr>
          <w:rFonts w:hint="eastAsia" w:ascii="宋体" w:hAnsi="宋体"/>
          <w:sz w:val="22"/>
          <w:szCs w:val="28"/>
        </w:rPr>
        <w:t>项目经理应为合同当事人所确认的人选，</w:t>
      </w:r>
      <w:r>
        <w:rPr>
          <w:rFonts w:ascii="宋体" w:hAnsi="宋体"/>
          <w:sz w:val="22"/>
          <w:szCs w:val="28"/>
        </w:rPr>
        <w:t>并在约定的期限内到职</w:t>
      </w:r>
      <w:r>
        <w:rPr>
          <w:rFonts w:hint="eastAsia" w:ascii="宋体" w:hAnsi="宋体"/>
          <w:sz w:val="22"/>
          <w:szCs w:val="28"/>
        </w:rPr>
        <w:t>。项目经理的姓名、职称、注册执业证书编号、联系方式及授权范围等应在专用合同条款中明确。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after="160" w:line="278" w:lineRule="auto"/>
        <w:rPr>
          <w:rFonts w:ascii="宋体" w:hAnsi="宋体"/>
          <w:sz w:val="22"/>
          <w:szCs w:val="28"/>
        </w:rPr>
      </w:pPr>
      <w:r>
        <w:rPr>
          <w:rFonts w:hint="eastAsia" w:ascii="宋体" w:hAnsi="宋体"/>
          <w:sz w:val="22"/>
          <w:szCs w:val="28"/>
        </w:rPr>
        <w:t>项目经理应常驻施工现场，且每月在施工现场时间不得少于专用合同条款约定的天数。项目经理不得同时担任其他项目的项目经理。项目经理确需离开施工现场时，应事先14天通知监理人，并取得发包人的书面同意。项目经理的通知中应当载明临时代行其职责的人员的注册执业资格、管理经验等资料，该人员应具备履行相应职责的能力。</w:t>
      </w:r>
    </w:p>
    <w:p>
      <w:pPr>
        <w:spacing w:after="160" w:line="278" w:lineRule="auto"/>
        <w:rPr>
          <w:rFonts w:ascii="宋体" w:hAnsi="宋体"/>
          <w:sz w:val="22"/>
          <w:szCs w:val="28"/>
        </w:rPr>
      </w:pPr>
      <w:r>
        <w:rPr>
          <w:rFonts w:ascii="宋体" w:hAnsi="宋体"/>
          <w:sz w:val="22"/>
          <w:szCs w:val="28"/>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after="160" w:line="278" w:lineRule="auto"/>
        <w:rPr>
          <w:rFonts w:ascii="宋体" w:hAnsi="宋体"/>
          <w:sz w:val="22"/>
          <w:szCs w:val="28"/>
        </w:rPr>
      </w:pPr>
      <w:r>
        <w:rPr>
          <w:rFonts w:ascii="宋体" w:hAnsi="宋体"/>
          <w:sz w:val="22"/>
          <w:szCs w:val="28"/>
        </w:rPr>
        <w:t>4.5.3承包人为履行合同发出的一切函件均应盖有承包人授权的施工场地管理机构章，并由承包人项目经理或其授权代表签字。</w:t>
      </w:r>
    </w:p>
    <w:p>
      <w:pPr>
        <w:spacing w:after="160" w:line="278" w:lineRule="auto"/>
        <w:rPr>
          <w:rFonts w:ascii="宋体" w:hAnsi="宋体"/>
          <w:sz w:val="22"/>
          <w:szCs w:val="28"/>
        </w:rPr>
      </w:pPr>
      <w:r>
        <w:rPr>
          <w:rFonts w:ascii="宋体" w:hAnsi="宋体"/>
          <w:sz w:val="22"/>
          <w:szCs w:val="28"/>
        </w:rPr>
        <w:t>4.5.4 承包人项目经理可以授权其下属人员履行其某项职责，但事先应将这些人员的姓名和授权范围通知监理人。</w:t>
      </w:r>
    </w:p>
    <w:p>
      <w:pPr>
        <w:spacing w:after="160" w:line="278" w:lineRule="auto"/>
        <w:rPr>
          <w:rFonts w:ascii="宋体" w:hAnsi="宋体"/>
          <w:sz w:val="22"/>
          <w:szCs w:val="28"/>
        </w:rPr>
      </w:pPr>
      <w:bookmarkStart w:id="1103" w:name="_Toc338944738"/>
      <w:bookmarkStart w:id="1104" w:name="_Toc342296296"/>
      <w:bookmarkStart w:id="1105" w:name="_Toc144974613"/>
      <w:bookmarkStart w:id="1106" w:name="_Toc132619025"/>
      <w:bookmarkStart w:id="1107" w:name="_Toc129798276"/>
      <w:bookmarkStart w:id="1108" w:name="_Toc142385563"/>
      <w:bookmarkStart w:id="1109" w:name="_Toc152042423"/>
      <w:bookmarkStart w:id="1110" w:name="_Toc152045645"/>
      <w:bookmarkStart w:id="1111" w:name="_Toc132618634"/>
      <w:bookmarkStart w:id="1112" w:name="_Toc109914341"/>
      <w:bookmarkStart w:id="1113" w:name="_Toc179632663"/>
      <w:r>
        <w:rPr>
          <w:rFonts w:ascii="宋体" w:hAnsi="宋体"/>
          <w:sz w:val="22"/>
          <w:szCs w:val="28"/>
        </w:rPr>
        <w:t>4.6 承包人人员的管理</w:t>
      </w:r>
      <w:bookmarkEnd w:id="1103"/>
      <w:bookmarkEnd w:id="1104"/>
      <w:bookmarkEnd w:id="1105"/>
      <w:bookmarkEnd w:id="1106"/>
      <w:bookmarkEnd w:id="1107"/>
      <w:bookmarkEnd w:id="1108"/>
      <w:bookmarkEnd w:id="1109"/>
      <w:bookmarkEnd w:id="1110"/>
      <w:bookmarkEnd w:id="1111"/>
      <w:bookmarkEnd w:id="1112"/>
      <w:bookmarkEnd w:id="1113"/>
    </w:p>
    <w:p>
      <w:pPr>
        <w:spacing w:after="160" w:line="278" w:lineRule="auto"/>
        <w:rPr>
          <w:rFonts w:ascii="宋体" w:hAnsi="宋体"/>
          <w:sz w:val="22"/>
          <w:szCs w:val="28"/>
        </w:rPr>
      </w:pPr>
      <w:r>
        <w:rPr>
          <w:rFonts w:ascii="宋体" w:hAnsi="宋体"/>
          <w:sz w:val="22"/>
          <w:szCs w:val="28"/>
        </w:rPr>
        <w:t>4.6.1 承包人应在接到开工通知后28天内，向监理人提交承包人在施工场地的管理机构以及人员安排的报告，其内容应包括管理机构的设置、各主要岗位的技术和管理人员名单及其资格，以及各工种技术工人的安排状况。</w:t>
      </w:r>
      <w:r>
        <w:rPr>
          <w:rFonts w:hint="eastAsia" w:ascii="宋体" w:hAnsi="宋体"/>
          <w:sz w:val="22"/>
          <w:szCs w:val="28"/>
        </w:rPr>
        <w:t>并同时提交主要施工管理人员与承包人之间的劳动关系证明和缴纳社会保险的有效证明。</w:t>
      </w:r>
      <w:r>
        <w:rPr>
          <w:rFonts w:ascii="宋体" w:hAnsi="宋体"/>
          <w:sz w:val="22"/>
          <w:szCs w:val="28"/>
        </w:rPr>
        <w:t>承包人应向监理人提交施工场地人员变动情况的报告。</w:t>
      </w:r>
    </w:p>
    <w:p>
      <w:pPr>
        <w:spacing w:after="160" w:line="278" w:lineRule="auto"/>
        <w:rPr>
          <w:rFonts w:ascii="宋体" w:hAnsi="宋体"/>
          <w:sz w:val="22"/>
          <w:szCs w:val="28"/>
        </w:rPr>
      </w:pPr>
      <w:r>
        <w:rPr>
          <w:rFonts w:ascii="宋体" w:hAnsi="宋体"/>
          <w:sz w:val="22"/>
          <w:szCs w:val="28"/>
        </w:rPr>
        <w:t>4.6.2 为完成合同约定的各项工作，承包人应向施工场地派遣或雇佣足够数量的下列人员：</w:t>
      </w:r>
    </w:p>
    <w:p>
      <w:pPr>
        <w:spacing w:after="160" w:line="278" w:lineRule="auto"/>
        <w:rPr>
          <w:rFonts w:ascii="宋体" w:hAnsi="宋体"/>
          <w:sz w:val="22"/>
          <w:szCs w:val="28"/>
        </w:rPr>
      </w:pPr>
      <w:r>
        <w:rPr>
          <w:rFonts w:ascii="宋体" w:hAnsi="宋体"/>
          <w:sz w:val="22"/>
          <w:szCs w:val="28"/>
        </w:rPr>
        <w:t>（1）具有相应资格的专业技工和合格的普工；</w:t>
      </w:r>
    </w:p>
    <w:p>
      <w:pPr>
        <w:spacing w:after="160" w:line="278" w:lineRule="auto"/>
        <w:rPr>
          <w:rFonts w:ascii="宋体" w:hAnsi="宋体"/>
          <w:sz w:val="22"/>
          <w:szCs w:val="28"/>
        </w:rPr>
      </w:pPr>
      <w:r>
        <w:rPr>
          <w:rFonts w:ascii="宋体" w:hAnsi="宋体"/>
          <w:sz w:val="22"/>
          <w:szCs w:val="28"/>
        </w:rPr>
        <w:t>（2）具有相应施工经验的技术人员；</w:t>
      </w:r>
    </w:p>
    <w:p>
      <w:pPr>
        <w:spacing w:after="160" w:line="278" w:lineRule="auto"/>
        <w:rPr>
          <w:rFonts w:ascii="宋体" w:hAnsi="宋体"/>
          <w:sz w:val="22"/>
          <w:szCs w:val="28"/>
        </w:rPr>
      </w:pPr>
      <w:r>
        <w:rPr>
          <w:rFonts w:ascii="宋体" w:hAnsi="宋体"/>
          <w:sz w:val="22"/>
          <w:szCs w:val="28"/>
        </w:rPr>
        <w:t>（3）具有相应岗位资格的各级管理人员。4.6.3 承包人安排在施工场地的主要管理人员和技术骨干应相对稳定。承包人更换主要管理人员和技术骨干时，应取得监理人的同意。</w:t>
      </w:r>
    </w:p>
    <w:p>
      <w:pPr>
        <w:spacing w:after="160" w:line="278" w:lineRule="auto"/>
        <w:rPr>
          <w:rFonts w:ascii="宋体" w:hAnsi="宋体"/>
          <w:sz w:val="22"/>
          <w:szCs w:val="28"/>
        </w:rPr>
      </w:pPr>
      <w:r>
        <w:rPr>
          <w:rFonts w:ascii="宋体" w:hAnsi="宋体"/>
          <w:sz w:val="22"/>
          <w:szCs w:val="28"/>
        </w:rPr>
        <w:t>4.6.4 特殊岗位的工作人员均应持有相应的资格证明，监理人有权随时检查。监理人认为有必要时，可进行现场考核。</w:t>
      </w:r>
    </w:p>
    <w:p>
      <w:pPr>
        <w:spacing w:after="160" w:line="278" w:lineRule="auto"/>
        <w:rPr>
          <w:rFonts w:ascii="宋体" w:hAnsi="宋体"/>
          <w:sz w:val="22"/>
          <w:szCs w:val="28"/>
        </w:rPr>
      </w:pPr>
      <w:bookmarkStart w:id="1114" w:name="_Toc342296297"/>
      <w:bookmarkStart w:id="1115" w:name="_Toc144974614"/>
      <w:bookmarkStart w:id="1116" w:name="_Toc152042424"/>
      <w:bookmarkStart w:id="1117" w:name="_Toc129798277"/>
      <w:bookmarkStart w:id="1118" w:name="_Toc142385564"/>
      <w:bookmarkStart w:id="1119" w:name="_Toc152045646"/>
      <w:bookmarkStart w:id="1120" w:name="_Toc109914342"/>
      <w:bookmarkStart w:id="1121" w:name="_Toc132619026"/>
      <w:bookmarkStart w:id="1122" w:name="_Toc338944739"/>
      <w:bookmarkStart w:id="1123" w:name="_Toc132618635"/>
      <w:bookmarkStart w:id="1124" w:name="_Toc179632664"/>
      <w:r>
        <w:rPr>
          <w:rFonts w:ascii="宋体" w:hAnsi="宋体"/>
          <w:sz w:val="22"/>
          <w:szCs w:val="28"/>
        </w:rPr>
        <w:t>4.7 撤换承包人项目经理和其他人员</w:t>
      </w:r>
      <w:bookmarkEnd w:id="1114"/>
      <w:bookmarkEnd w:id="1115"/>
      <w:bookmarkEnd w:id="1116"/>
      <w:bookmarkEnd w:id="1117"/>
      <w:bookmarkEnd w:id="1118"/>
      <w:bookmarkEnd w:id="1119"/>
      <w:bookmarkEnd w:id="1120"/>
      <w:bookmarkEnd w:id="1121"/>
      <w:bookmarkEnd w:id="1122"/>
      <w:bookmarkEnd w:id="1123"/>
      <w:bookmarkEnd w:id="1124"/>
    </w:p>
    <w:p>
      <w:pPr>
        <w:spacing w:after="160" w:line="278" w:lineRule="auto"/>
        <w:rPr>
          <w:rFonts w:ascii="宋体" w:hAnsi="宋体"/>
          <w:sz w:val="22"/>
          <w:szCs w:val="28"/>
        </w:rPr>
      </w:pPr>
      <w:r>
        <w:rPr>
          <w:rFonts w:ascii="宋体" w:hAnsi="宋体"/>
          <w:sz w:val="22"/>
          <w:szCs w:val="28"/>
        </w:rPr>
        <w:t>承包人应对其项目经理和其他人员进行有效管理。</w:t>
      </w:r>
      <w:r>
        <w:rPr>
          <w:rFonts w:hint="eastAsia" w:ascii="宋体" w:hAnsi="宋体"/>
          <w:sz w:val="22"/>
          <w:szCs w:val="28"/>
        </w:rPr>
        <w:t>发包人对于承包人主要施工管理人员的资格或能力有异议的，要求撤换不能按照合同约定履行职责及义务的主要施工管理人员的，承包人应当撤换。承包人无正当理由拒绝撤换的，应按照专用合同条款的约定承担违约责任。</w:t>
      </w:r>
    </w:p>
    <w:p>
      <w:pPr>
        <w:spacing w:after="160" w:line="278" w:lineRule="auto"/>
        <w:rPr>
          <w:rFonts w:ascii="宋体" w:hAnsi="宋体"/>
          <w:sz w:val="22"/>
          <w:szCs w:val="28"/>
        </w:rPr>
      </w:pPr>
      <w:r>
        <w:rPr>
          <w:rFonts w:ascii="宋体" w:hAnsi="宋体"/>
          <w:sz w:val="22"/>
          <w:szCs w:val="28"/>
        </w:rPr>
        <w:t>监理人要求撤换不能胜任本职工作、行为不端或玩忽职守的承包人项目经理和其他人员的，承包人应予以撤换。</w:t>
      </w:r>
    </w:p>
    <w:p>
      <w:pPr>
        <w:spacing w:after="160" w:line="278" w:lineRule="auto"/>
        <w:rPr>
          <w:rFonts w:ascii="宋体" w:hAnsi="宋体"/>
          <w:sz w:val="22"/>
          <w:szCs w:val="28"/>
        </w:rPr>
      </w:pPr>
      <w:bookmarkStart w:id="1125" w:name="_Toc179632665"/>
      <w:bookmarkStart w:id="1126" w:name="_Toc132618636"/>
      <w:bookmarkStart w:id="1127" w:name="_Toc144974615"/>
      <w:bookmarkStart w:id="1128" w:name="_Toc152042425"/>
      <w:bookmarkStart w:id="1129" w:name="_Toc338944740"/>
      <w:bookmarkStart w:id="1130" w:name="_Toc342296298"/>
      <w:bookmarkStart w:id="1131" w:name="_Toc152045647"/>
      <w:bookmarkStart w:id="1132" w:name="_Toc132619027"/>
      <w:bookmarkStart w:id="1133" w:name="_Toc109914343"/>
      <w:bookmarkStart w:id="1134" w:name="_Toc129798278"/>
      <w:bookmarkStart w:id="1135" w:name="_Toc142385565"/>
      <w:r>
        <w:rPr>
          <w:rFonts w:ascii="宋体" w:hAnsi="宋体"/>
          <w:sz w:val="22"/>
          <w:szCs w:val="28"/>
        </w:rPr>
        <w:t>4.8 保障承包人人员的合法权益</w:t>
      </w:r>
      <w:bookmarkEnd w:id="1125"/>
      <w:bookmarkEnd w:id="1126"/>
      <w:bookmarkEnd w:id="1127"/>
      <w:bookmarkEnd w:id="1128"/>
      <w:bookmarkEnd w:id="1129"/>
      <w:bookmarkEnd w:id="1130"/>
      <w:bookmarkEnd w:id="1131"/>
      <w:bookmarkEnd w:id="1132"/>
      <w:bookmarkEnd w:id="1133"/>
      <w:bookmarkEnd w:id="1134"/>
      <w:bookmarkEnd w:id="1135"/>
    </w:p>
    <w:p>
      <w:pPr>
        <w:spacing w:after="160" w:line="278" w:lineRule="auto"/>
        <w:rPr>
          <w:rFonts w:ascii="宋体" w:hAnsi="宋体"/>
          <w:sz w:val="22"/>
          <w:szCs w:val="28"/>
        </w:rPr>
      </w:pPr>
      <w:r>
        <w:rPr>
          <w:rFonts w:ascii="宋体" w:hAnsi="宋体"/>
          <w:sz w:val="22"/>
          <w:szCs w:val="28"/>
        </w:rPr>
        <w:t>4.8.1 承包人应与其雇佣的人员签订劳动合同，并按时发放工资。</w:t>
      </w:r>
    </w:p>
    <w:p>
      <w:pPr>
        <w:spacing w:after="160" w:line="278" w:lineRule="auto"/>
        <w:rPr>
          <w:rFonts w:ascii="宋体" w:hAnsi="宋体"/>
          <w:sz w:val="22"/>
          <w:szCs w:val="28"/>
        </w:rPr>
      </w:pPr>
      <w:r>
        <w:rPr>
          <w:rFonts w:ascii="宋体" w:hAnsi="宋体"/>
          <w:sz w:val="22"/>
          <w:szCs w:val="28"/>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after="160" w:line="278" w:lineRule="auto"/>
        <w:rPr>
          <w:rFonts w:ascii="宋体" w:hAnsi="宋体"/>
          <w:sz w:val="22"/>
          <w:szCs w:val="28"/>
        </w:rPr>
      </w:pPr>
      <w:r>
        <w:rPr>
          <w:rFonts w:ascii="宋体" w:hAnsi="宋体"/>
          <w:sz w:val="22"/>
          <w:szCs w:val="28"/>
        </w:rPr>
        <w:t>4.8.3 承包人应为其雇佣人员提供必要的食宿条件，以及符合环境保护和卫生要求的生活环境，在远离城镇的施工场地，还应配备必要的伤病防治和急救的医务人员与医疗设施。</w:t>
      </w:r>
    </w:p>
    <w:p>
      <w:pPr>
        <w:spacing w:after="160" w:line="278" w:lineRule="auto"/>
        <w:rPr>
          <w:rFonts w:ascii="宋体" w:hAnsi="宋体"/>
          <w:sz w:val="22"/>
          <w:szCs w:val="28"/>
        </w:rPr>
      </w:pPr>
      <w:r>
        <w:rPr>
          <w:rFonts w:ascii="宋体" w:hAnsi="宋体"/>
          <w:sz w:val="22"/>
          <w:szCs w:val="28"/>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after="160" w:line="278" w:lineRule="auto"/>
        <w:rPr>
          <w:rFonts w:ascii="宋体" w:hAnsi="宋体"/>
          <w:sz w:val="22"/>
          <w:szCs w:val="28"/>
        </w:rPr>
      </w:pPr>
      <w:r>
        <w:rPr>
          <w:rFonts w:ascii="宋体" w:hAnsi="宋体"/>
          <w:sz w:val="22"/>
          <w:szCs w:val="28"/>
        </w:rPr>
        <w:t>4.8.5 承包人应按有关法律规定和合同约定，为其雇佣人员办理保险。</w:t>
      </w:r>
    </w:p>
    <w:p>
      <w:pPr>
        <w:spacing w:after="160" w:line="278" w:lineRule="auto"/>
        <w:rPr>
          <w:rFonts w:ascii="宋体" w:hAnsi="宋体"/>
          <w:sz w:val="22"/>
          <w:szCs w:val="28"/>
        </w:rPr>
      </w:pPr>
      <w:r>
        <w:rPr>
          <w:rFonts w:ascii="宋体" w:hAnsi="宋体"/>
          <w:sz w:val="22"/>
          <w:szCs w:val="28"/>
        </w:rPr>
        <w:t>4.8.6 承包人应负责处理其雇佣人员因工伤亡事故的善后事宜。</w:t>
      </w:r>
    </w:p>
    <w:p>
      <w:pPr>
        <w:spacing w:after="160" w:line="278" w:lineRule="auto"/>
        <w:rPr>
          <w:rFonts w:ascii="宋体" w:hAnsi="宋体"/>
          <w:sz w:val="22"/>
          <w:szCs w:val="28"/>
        </w:rPr>
      </w:pPr>
      <w:bookmarkStart w:id="1136" w:name="_Toc152045648"/>
      <w:bookmarkStart w:id="1137" w:name="_Toc179632666"/>
      <w:bookmarkStart w:id="1138" w:name="_Toc142385566"/>
      <w:bookmarkStart w:id="1139" w:name="_Toc132619028"/>
      <w:bookmarkStart w:id="1140" w:name="_Toc342296299"/>
      <w:bookmarkStart w:id="1141" w:name="_Toc152042426"/>
      <w:bookmarkStart w:id="1142" w:name="_Toc132618637"/>
      <w:bookmarkStart w:id="1143" w:name="_Toc338944741"/>
      <w:bookmarkStart w:id="1144" w:name="_Toc144974616"/>
      <w:bookmarkStart w:id="1145" w:name="_Toc109914344"/>
      <w:bookmarkStart w:id="1146" w:name="_Toc129798279"/>
      <w:r>
        <w:rPr>
          <w:rFonts w:ascii="宋体" w:hAnsi="宋体"/>
          <w:sz w:val="22"/>
          <w:szCs w:val="28"/>
        </w:rPr>
        <w:t>4.9 工程价款应专款专用</w:t>
      </w:r>
      <w:bookmarkEnd w:id="1136"/>
      <w:bookmarkEnd w:id="1137"/>
      <w:bookmarkEnd w:id="1138"/>
      <w:bookmarkEnd w:id="1139"/>
      <w:bookmarkEnd w:id="1140"/>
      <w:bookmarkEnd w:id="1141"/>
      <w:bookmarkEnd w:id="1142"/>
      <w:bookmarkEnd w:id="1143"/>
      <w:bookmarkEnd w:id="1144"/>
      <w:bookmarkEnd w:id="1145"/>
      <w:bookmarkEnd w:id="1146"/>
    </w:p>
    <w:p>
      <w:pPr>
        <w:spacing w:after="160" w:line="278" w:lineRule="auto"/>
        <w:rPr>
          <w:rFonts w:ascii="宋体" w:hAnsi="宋体"/>
          <w:sz w:val="22"/>
          <w:szCs w:val="28"/>
        </w:rPr>
      </w:pPr>
      <w:r>
        <w:rPr>
          <w:rFonts w:ascii="宋体" w:hAnsi="宋体"/>
          <w:sz w:val="22"/>
          <w:szCs w:val="28"/>
        </w:rPr>
        <w:t>发包人按合同约定支付给承包人的各项价款应专用于合同工程。</w:t>
      </w:r>
    </w:p>
    <w:p>
      <w:pPr>
        <w:spacing w:after="160" w:line="278" w:lineRule="auto"/>
        <w:rPr>
          <w:rFonts w:ascii="宋体" w:hAnsi="宋体"/>
          <w:sz w:val="22"/>
          <w:szCs w:val="28"/>
        </w:rPr>
      </w:pPr>
      <w:bookmarkStart w:id="1147" w:name="_Toc342296300"/>
      <w:bookmarkStart w:id="1148" w:name="_Toc142385567"/>
      <w:bookmarkStart w:id="1149" w:name="_Toc132619029"/>
      <w:bookmarkStart w:id="1150" w:name="_Toc109914345"/>
      <w:bookmarkStart w:id="1151" w:name="_Toc144974617"/>
      <w:bookmarkStart w:id="1152" w:name="_Toc338944742"/>
      <w:bookmarkStart w:id="1153" w:name="_Toc179632667"/>
      <w:bookmarkStart w:id="1154" w:name="_Toc129798280"/>
      <w:bookmarkStart w:id="1155" w:name="_Toc152042427"/>
      <w:bookmarkStart w:id="1156" w:name="_Toc152045649"/>
      <w:bookmarkStart w:id="1157" w:name="_Toc132618638"/>
      <w:r>
        <w:rPr>
          <w:rFonts w:ascii="宋体" w:hAnsi="宋体"/>
          <w:sz w:val="22"/>
          <w:szCs w:val="28"/>
        </w:rPr>
        <w:t>4.10 承包人现场查勘</w:t>
      </w:r>
      <w:bookmarkEnd w:id="1147"/>
      <w:bookmarkEnd w:id="1148"/>
      <w:bookmarkEnd w:id="1149"/>
      <w:bookmarkEnd w:id="1150"/>
      <w:bookmarkEnd w:id="1151"/>
      <w:bookmarkEnd w:id="1152"/>
      <w:bookmarkEnd w:id="1153"/>
      <w:bookmarkEnd w:id="1154"/>
      <w:bookmarkEnd w:id="1155"/>
      <w:bookmarkEnd w:id="1156"/>
      <w:bookmarkEnd w:id="1157"/>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4.10.1 发包人应将其持有的现场地质勘探资料、水文气象资料提供给承包人，并对其准确性负责。但承包人应对其阅读上述有关资料后所作出的解释和推断负责。</w:t>
      </w:r>
    </w:p>
    <w:p>
      <w:pPr>
        <w:spacing w:after="160" w:line="278" w:lineRule="auto"/>
        <w:rPr>
          <w:rFonts w:ascii="宋体" w:hAnsi="宋体"/>
          <w:sz w:val="22"/>
          <w:szCs w:val="28"/>
        </w:rPr>
      </w:pPr>
      <w:r>
        <w:rPr>
          <w:rFonts w:ascii="宋体" w:hAnsi="宋体"/>
          <w:sz w:val="22"/>
          <w:szCs w:val="28"/>
        </w:rPr>
        <w:t>4.10.2 承包人应对施工场地和周围环境进行查勘，并收集有关地质、水文、气象条件、交通条件、风俗习惯以及其他为完成合同工作有关的当地资料。在全部合同工作中，应视为承包人已充分估计了应承担的责任和风险。</w:t>
      </w:r>
      <w:r>
        <w:rPr>
          <w:rFonts w:hint="eastAsia" w:ascii="宋体" w:hAnsi="宋体"/>
          <w:sz w:val="22"/>
          <w:szCs w:val="28"/>
        </w:rPr>
        <w:t>因承包人未能充分查勘、了解前述情况或未能充分估计前述情况所可能产生后果的，承包人承担由此增加的费用和（或）延误的工期。</w:t>
      </w:r>
    </w:p>
    <w:p>
      <w:pPr>
        <w:spacing w:after="160" w:line="278" w:lineRule="auto"/>
        <w:rPr>
          <w:rFonts w:ascii="宋体" w:hAnsi="宋体"/>
          <w:sz w:val="22"/>
          <w:szCs w:val="28"/>
        </w:rPr>
      </w:pPr>
      <w:r>
        <w:rPr>
          <w:rFonts w:ascii="宋体" w:hAnsi="宋体"/>
          <w:sz w:val="22"/>
          <w:szCs w:val="28"/>
        </w:rPr>
        <w:t>4.10.3</w:t>
      </w:r>
      <w:r>
        <w:rPr>
          <w:rFonts w:hint="eastAsia" w:ascii="宋体" w:hAnsi="宋体"/>
          <w:sz w:val="22"/>
          <w:szCs w:val="28"/>
        </w:rPr>
        <w:t>承包人应对施工场地区域内的天气进行实时监控，发包人有义务对恶劣天气对承包人进行提醒管理。若遭遇风雨雷电等天气，发包人应提前做好防护准备与措施，保证恶劣天气对施工现场的损害达到最小。若因承包人无视天气因素或没有做好充足准备导致施工现场破坏严重、工期拖延情况严重，应有承包人承担相应责任。</w:t>
      </w:r>
    </w:p>
    <w:p>
      <w:pPr>
        <w:spacing w:after="160" w:line="278" w:lineRule="auto"/>
        <w:rPr>
          <w:rFonts w:ascii="宋体" w:hAnsi="宋体"/>
          <w:sz w:val="22"/>
          <w:szCs w:val="28"/>
        </w:rPr>
      </w:pPr>
      <w:bookmarkStart w:id="1158" w:name="_Toc342296301"/>
      <w:bookmarkStart w:id="1159" w:name="_Toc338944743"/>
      <w:r>
        <w:rPr>
          <w:rFonts w:ascii="宋体" w:hAnsi="宋体"/>
          <w:sz w:val="22"/>
          <w:szCs w:val="28"/>
        </w:rPr>
        <w:t>4.11 不利物质条件</w:t>
      </w:r>
      <w:bookmarkEnd w:id="1158"/>
      <w:bookmarkEnd w:id="1159"/>
    </w:p>
    <w:p>
      <w:pPr>
        <w:spacing w:after="160" w:line="278" w:lineRule="auto"/>
        <w:rPr>
          <w:rFonts w:ascii="宋体" w:hAnsi="宋体"/>
          <w:sz w:val="22"/>
          <w:szCs w:val="28"/>
        </w:rPr>
      </w:pPr>
      <w:r>
        <w:rPr>
          <w:rFonts w:ascii="宋体" w:hAnsi="宋体"/>
          <w:sz w:val="22"/>
          <w:szCs w:val="28"/>
        </w:rPr>
        <w:t>4.11.1 不利物质条件，除专用合同条款另有约定外，是指承包人在施工场地遇到的不可预见的自然物质条件、非自然的物质障碍和污染物，包括地下和水文条件，但不包括气候条件。</w:t>
      </w:r>
    </w:p>
    <w:p>
      <w:pPr>
        <w:spacing w:after="160" w:line="278" w:lineRule="auto"/>
        <w:rPr>
          <w:rFonts w:ascii="宋体" w:hAnsi="宋体"/>
          <w:sz w:val="22"/>
          <w:szCs w:val="28"/>
        </w:rPr>
      </w:pPr>
      <w:r>
        <w:rPr>
          <w:rFonts w:ascii="宋体" w:hAnsi="宋体"/>
          <w:sz w:val="22"/>
          <w:szCs w:val="28"/>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after="160" w:line="278" w:lineRule="auto"/>
        <w:rPr>
          <w:rFonts w:ascii="宋体" w:hAnsi="宋体"/>
          <w:sz w:val="22"/>
          <w:szCs w:val="28"/>
        </w:rPr>
      </w:pPr>
      <w:bookmarkStart w:id="1160" w:name="_Toc442365618"/>
      <w:bookmarkStart w:id="1161" w:name="_Toc129798281"/>
      <w:bookmarkStart w:id="1162" w:name="_Toc342296302"/>
      <w:bookmarkStart w:id="1163" w:name="_Toc338944744"/>
      <w:bookmarkStart w:id="1164" w:name="_Toc448758526"/>
      <w:bookmarkStart w:id="1165" w:name="_Toc142385568"/>
      <w:bookmarkStart w:id="1166" w:name="_Toc469660021"/>
      <w:bookmarkStart w:id="1167" w:name="_Toc448758426"/>
      <w:bookmarkStart w:id="1168" w:name="_Toc109914346"/>
      <w:bookmarkStart w:id="1169" w:name="_Toc132619030"/>
      <w:bookmarkStart w:id="1170" w:name="_Toc132618639"/>
      <w:r>
        <w:rPr>
          <w:rFonts w:ascii="宋体" w:hAnsi="宋体"/>
          <w:sz w:val="22"/>
          <w:szCs w:val="28"/>
        </w:rPr>
        <w:t>5. 材料和工程设备</w:t>
      </w:r>
      <w:bookmarkEnd w:id="1160"/>
      <w:bookmarkEnd w:id="1161"/>
      <w:bookmarkEnd w:id="1162"/>
      <w:bookmarkEnd w:id="1163"/>
      <w:bookmarkEnd w:id="1164"/>
      <w:bookmarkEnd w:id="1165"/>
      <w:bookmarkEnd w:id="1166"/>
      <w:bookmarkEnd w:id="1167"/>
      <w:bookmarkEnd w:id="1168"/>
      <w:bookmarkEnd w:id="1169"/>
      <w:bookmarkEnd w:id="1170"/>
    </w:p>
    <w:p>
      <w:pPr>
        <w:spacing w:after="160" w:line="278" w:lineRule="auto"/>
        <w:rPr>
          <w:rFonts w:ascii="宋体" w:hAnsi="宋体"/>
          <w:sz w:val="22"/>
          <w:szCs w:val="28"/>
        </w:rPr>
      </w:pPr>
      <w:bookmarkStart w:id="1171" w:name="_Toc132619031"/>
      <w:bookmarkStart w:id="1172" w:name="_Toc338944745"/>
      <w:bookmarkStart w:id="1173" w:name="_Toc142385569"/>
      <w:bookmarkStart w:id="1174" w:name="_Toc109914347"/>
      <w:bookmarkStart w:id="1175" w:name="_Toc132618640"/>
      <w:bookmarkStart w:id="1176" w:name="_Toc129798282"/>
      <w:bookmarkStart w:id="1177" w:name="_Toc342296303"/>
      <w:r>
        <w:rPr>
          <w:rFonts w:ascii="宋体" w:hAnsi="宋体"/>
          <w:sz w:val="22"/>
          <w:szCs w:val="28"/>
        </w:rPr>
        <w:t>5.1 承包人提供的材料和工程设备</w:t>
      </w:r>
      <w:bookmarkEnd w:id="1171"/>
      <w:bookmarkEnd w:id="1172"/>
      <w:bookmarkEnd w:id="1173"/>
      <w:bookmarkEnd w:id="1174"/>
      <w:bookmarkEnd w:id="1175"/>
      <w:bookmarkEnd w:id="1176"/>
      <w:bookmarkEnd w:id="1177"/>
    </w:p>
    <w:p>
      <w:pPr>
        <w:spacing w:after="160" w:line="278" w:lineRule="auto"/>
        <w:rPr>
          <w:rFonts w:ascii="宋体" w:hAnsi="宋体"/>
          <w:sz w:val="22"/>
          <w:szCs w:val="28"/>
        </w:rPr>
      </w:pPr>
      <w:r>
        <w:rPr>
          <w:rFonts w:ascii="宋体" w:hAnsi="宋体"/>
          <w:sz w:val="22"/>
          <w:szCs w:val="28"/>
        </w:rPr>
        <w:t>5.1.1 除专用合同条款另有约定外，承包人提供的材料和工程设备均由承包人负责采购、运输和保管。承包人应对其采购的材料和工程设备负责。</w:t>
      </w:r>
    </w:p>
    <w:p>
      <w:pPr>
        <w:spacing w:after="160" w:line="278" w:lineRule="auto"/>
        <w:rPr>
          <w:rFonts w:ascii="宋体" w:hAnsi="宋体"/>
          <w:sz w:val="22"/>
          <w:szCs w:val="28"/>
        </w:rPr>
      </w:pPr>
      <w:r>
        <w:rPr>
          <w:rFonts w:ascii="宋体" w:hAnsi="宋体"/>
          <w:sz w:val="22"/>
          <w:szCs w:val="28"/>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after="160" w:line="278" w:lineRule="auto"/>
        <w:rPr>
          <w:rFonts w:ascii="宋体" w:hAnsi="宋体"/>
          <w:sz w:val="22"/>
          <w:szCs w:val="28"/>
        </w:rPr>
      </w:pPr>
      <w:r>
        <w:rPr>
          <w:rFonts w:ascii="宋体" w:hAnsi="宋体"/>
          <w:sz w:val="22"/>
          <w:szCs w:val="28"/>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after="160" w:line="278" w:lineRule="auto"/>
        <w:rPr>
          <w:rFonts w:ascii="宋体" w:hAnsi="宋体"/>
          <w:sz w:val="22"/>
          <w:szCs w:val="28"/>
        </w:rPr>
      </w:pPr>
      <w:bookmarkStart w:id="1178" w:name="_Toc109914348"/>
      <w:bookmarkStart w:id="1179" w:name="_Toc129798283"/>
      <w:bookmarkStart w:id="1180" w:name="_Toc338944746"/>
      <w:bookmarkStart w:id="1181" w:name="_Toc342296304"/>
      <w:bookmarkStart w:id="1182" w:name="_Toc142385570"/>
      <w:bookmarkStart w:id="1183" w:name="_Toc132619032"/>
      <w:bookmarkStart w:id="1184" w:name="_Toc132618641"/>
      <w:r>
        <w:rPr>
          <w:rFonts w:ascii="宋体" w:hAnsi="宋体"/>
          <w:sz w:val="22"/>
          <w:szCs w:val="28"/>
        </w:rPr>
        <w:t>5.2 发包人提供的材料和工程设备</w:t>
      </w:r>
      <w:bookmarkEnd w:id="1178"/>
      <w:bookmarkEnd w:id="1179"/>
      <w:bookmarkEnd w:id="1180"/>
      <w:bookmarkEnd w:id="1181"/>
      <w:bookmarkEnd w:id="1182"/>
      <w:bookmarkEnd w:id="1183"/>
      <w:bookmarkEnd w:id="1184"/>
    </w:p>
    <w:p>
      <w:pPr>
        <w:spacing w:after="160" w:line="278" w:lineRule="auto"/>
        <w:rPr>
          <w:rFonts w:ascii="宋体" w:hAnsi="宋体"/>
          <w:sz w:val="22"/>
          <w:szCs w:val="28"/>
        </w:rPr>
      </w:pPr>
      <w:r>
        <w:rPr>
          <w:rFonts w:ascii="宋体" w:hAnsi="宋体"/>
          <w:sz w:val="22"/>
          <w:szCs w:val="28"/>
        </w:rPr>
        <w:t>5.2.1 发包人提供的材料和工程设备，应在专用合同条款中写明材料和工程设备的名称、规格、数量、价格、交货方式、交货地点和计划交货日期等。</w:t>
      </w:r>
    </w:p>
    <w:p>
      <w:pPr>
        <w:spacing w:after="160" w:line="278" w:lineRule="auto"/>
        <w:rPr>
          <w:rFonts w:ascii="宋体" w:hAnsi="宋体"/>
          <w:sz w:val="22"/>
          <w:szCs w:val="28"/>
        </w:rPr>
      </w:pPr>
      <w:r>
        <w:rPr>
          <w:rFonts w:ascii="宋体" w:hAnsi="宋体"/>
          <w:sz w:val="22"/>
          <w:szCs w:val="28"/>
        </w:rPr>
        <w:t>5.2.2 承包人应根据合同进度计划的安排，向监理人报送要求发包人交货的日期计划。发包人应按照监理人与合同双方当事人商定的交货日期，向承包人提交材料和工程设备。</w:t>
      </w:r>
    </w:p>
    <w:p>
      <w:pPr>
        <w:spacing w:after="160" w:line="278" w:lineRule="auto"/>
        <w:rPr>
          <w:rFonts w:ascii="宋体" w:hAnsi="宋体"/>
          <w:sz w:val="22"/>
          <w:szCs w:val="28"/>
        </w:rPr>
      </w:pPr>
      <w:r>
        <w:rPr>
          <w:rFonts w:ascii="宋体" w:hAnsi="宋体"/>
          <w:sz w:val="22"/>
          <w:szCs w:val="28"/>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after="160" w:line="278" w:lineRule="auto"/>
        <w:rPr>
          <w:rFonts w:ascii="宋体" w:hAnsi="宋体"/>
          <w:sz w:val="22"/>
          <w:szCs w:val="28"/>
        </w:rPr>
      </w:pPr>
      <w:r>
        <w:rPr>
          <w:rFonts w:ascii="宋体" w:hAnsi="宋体"/>
          <w:sz w:val="22"/>
          <w:szCs w:val="28"/>
        </w:rPr>
        <w:t xml:space="preserve">5.2.4 发包人要求向承包人提前交货的，承包人不得拒绝，但发包人应承担承包人由此增加的费用。 </w:t>
      </w:r>
    </w:p>
    <w:p>
      <w:pPr>
        <w:spacing w:after="160" w:line="278" w:lineRule="auto"/>
        <w:rPr>
          <w:rFonts w:ascii="宋体" w:hAnsi="宋体"/>
          <w:sz w:val="22"/>
          <w:szCs w:val="28"/>
        </w:rPr>
      </w:pPr>
      <w:r>
        <w:rPr>
          <w:rFonts w:ascii="宋体" w:hAnsi="宋体"/>
          <w:sz w:val="22"/>
          <w:szCs w:val="28"/>
        </w:rPr>
        <w:t xml:space="preserve">5.2.5 承包人要求更改交货日期或地点的，应事先报请监理人批准。由于承包人要求更改交货时间或地点所增加的费用和（或）工期延误由承包人承担。 </w:t>
      </w:r>
    </w:p>
    <w:p>
      <w:pPr>
        <w:spacing w:after="160" w:line="278" w:lineRule="auto"/>
        <w:rPr>
          <w:rFonts w:ascii="宋体" w:hAnsi="宋体"/>
          <w:sz w:val="22"/>
          <w:szCs w:val="28"/>
        </w:rPr>
      </w:pPr>
      <w:r>
        <w:rPr>
          <w:rFonts w:ascii="宋体" w:hAnsi="宋体"/>
          <w:sz w:val="22"/>
          <w:szCs w:val="28"/>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after="160" w:line="278" w:lineRule="auto"/>
        <w:rPr>
          <w:rFonts w:ascii="宋体" w:hAnsi="宋体"/>
          <w:sz w:val="22"/>
          <w:szCs w:val="28"/>
        </w:rPr>
      </w:pPr>
      <w:bookmarkStart w:id="1185" w:name="_Toc338944747"/>
      <w:bookmarkStart w:id="1186" w:name="_Toc342296305"/>
      <w:bookmarkStart w:id="1187" w:name="_Toc129798284"/>
      <w:bookmarkStart w:id="1188" w:name="_Toc132618642"/>
      <w:bookmarkStart w:id="1189" w:name="_Toc152042432"/>
      <w:bookmarkStart w:id="1190" w:name="_Toc132619033"/>
      <w:bookmarkStart w:id="1191" w:name="_Toc144974622"/>
      <w:bookmarkStart w:id="1192" w:name="_Toc109914349"/>
      <w:bookmarkStart w:id="1193" w:name="_Toc152045654"/>
      <w:bookmarkStart w:id="1194" w:name="_Toc142385571"/>
      <w:bookmarkStart w:id="1195" w:name="_Toc179632672"/>
      <w:r>
        <w:rPr>
          <w:rFonts w:ascii="宋体" w:hAnsi="宋体"/>
          <w:sz w:val="22"/>
          <w:szCs w:val="28"/>
        </w:rPr>
        <w:t>5.3 材料和工程设备专用于合同工程</w:t>
      </w:r>
      <w:bookmarkEnd w:id="1185"/>
      <w:bookmarkEnd w:id="1186"/>
      <w:bookmarkEnd w:id="1187"/>
      <w:bookmarkEnd w:id="1188"/>
      <w:bookmarkEnd w:id="1189"/>
      <w:bookmarkEnd w:id="1190"/>
      <w:bookmarkEnd w:id="1191"/>
      <w:bookmarkEnd w:id="1192"/>
      <w:bookmarkEnd w:id="1193"/>
      <w:bookmarkEnd w:id="1194"/>
      <w:bookmarkEnd w:id="1195"/>
    </w:p>
    <w:p>
      <w:pPr>
        <w:spacing w:after="160" w:line="278" w:lineRule="auto"/>
        <w:rPr>
          <w:rFonts w:ascii="宋体" w:hAnsi="宋体"/>
          <w:sz w:val="22"/>
          <w:szCs w:val="28"/>
        </w:rPr>
      </w:pPr>
      <w:r>
        <w:rPr>
          <w:rFonts w:ascii="宋体" w:hAnsi="宋体"/>
          <w:sz w:val="22"/>
          <w:szCs w:val="28"/>
        </w:rPr>
        <w:t>5.3.1运入施工场地的材料、工程设备，包括备品备件、安装专用工器具与随机资料，必须专用于合同工程，</w:t>
      </w:r>
      <w:r>
        <w:rPr>
          <w:rFonts w:hint="eastAsia" w:ascii="宋体" w:hAnsi="宋体"/>
          <w:sz w:val="22"/>
          <w:szCs w:val="28"/>
        </w:rPr>
        <w:t>且入场前均要通知监理人与发包人工程师进行检查。且</w:t>
      </w:r>
      <w:r>
        <w:rPr>
          <w:rFonts w:ascii="宋体" w:hAnsi="宋体"/>
          <w:sz w:val="22"/>
          <w:szCs w:val="28"/>
        </w:rPr>
        <w:t>未经监理人同意，承包人不得</w:t>
      </w:r>
      <w:r>
        <w:rPr>
          <w:rFonts w:hint="eastAsia" w:ascii="宋体" w:hAnsi="宋体"/>
          <w:sz w:val="22"/>
          <w:szCs w:val="28"/>
        </w:rPr>
        <w:t>将5.3.1条涉及的材料设备等</w:t>
      </w:r>
      <w:r>
        <w:rPr>
          <w:rFonts w:ascii="宋体" w:hAnsi="宋体"/>
          <w:sz w:val="22"/>
          <w:szCs w:val="28"/>
        </w:rPr>
        <w:t>运出施工场地或挪作他用。</w:t>
      </w:r>
    </w:p>
    <w:p>
      <w:pPr>
        <w:spacing w:after="160" w:line="278" w:lineRule="auto"/>
        <w:rPr>
          <w:rFonts w:ascii="宋体" w:hAnsi="宋体"/>
          <w:sz w:val="22"/>
          <w:szCs w:val="28"/>
        </w:rPr>
      </w:pPr>
      <w:r>
        <w:rPr>
          <w:rFonts w:ascii="宋体" w:hAnsi="宋体"/>
          <w:sz w:val="22"/>
          <w:szCs w:val="28"/>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after="160" w:line="278" w:lineRule="auto"/>
        <w:rPr>
          <w:rFonts w:ascii="宋体" w:hAnsi="宋体"/>
          <w:sz w:val="22"/>
          <w:szCs w:val="28"/>
        </w:rPr>
      </w:pPr>
      <w:bookmarkStart w:id="1196" w:name="_Toc152042433"/>
      <w:bookmarkStart w:id="1197" w:name="_Toc142385572"/>
      <w:bookmarkStart w:id="1198" w:name="_Toc342296306"/>
      <w:bookmarkStart w:id="1199" w:name="_Toc132619034"/>
      <w:bookmarkStart w:id="1200" w:name="_Toc132618643"/>
      <w:bookmarkStart w:id="1201" w:name="_Toc144974623"/>
      <w:bookmarkStart w:id="1202" w:name="_Toc129798285"/>
      <w:bookmarkStart w:id="1203" w:name="_Toc338944748"/>
      <w:bookmarkStart w:id="1204" w:name="_Toc179632673"/>
      <w:bookmarkStart w:id="1205" w:name="_Toc152045655"/>
      <w:bookmarkStart w:id="1206" w:name="_Toc109914350"/>
      <w:r>
        <w:rPr>
          <w:rFonts w:ascii="宋体" w:hAnsi="宋体"/>
          <w:sz w:val="22"/>
          <w:szCs w:val="28"/>
        </w:rPr>
        <w:t>5.4 禁止使用不合格的材料和工程设备</w:t>
      </w:r>
      <w:bookmarkEnd w:id="1196"/>
      <w:bookmarkEnd w:id="1197"/>
      <w:bookmarkEnd w:id="1198"/>
      <w:bookmarkEnd w:id="1199"/>
      <w:bookmarkEnd w:id="1200"/>
      <w:bookmarkEnd w:id="1201"/>
      <w:bookmarkEnd w:id="1202"/>
      <w:bookmarkEnd w:id="1203"/>
      <w:bookmarkEnd w:id="1204"/>
      <w:bookmarkEnd w:id="1205"/>
      <w:bookmarkEnd w:id="1206"/>
    </w:p>
    <w:p>
      <w:pPr>
        <w:spacing w:after="160" w:line="278" w:lineRule="auto"/>
        <w:rPr>
          <w:rFonts w:ascii="宋体" w:hAnsi="宋体"/>
          <w:sz w:val="22"/>
          <w:szCs w:val="28"/>
        </w:rPr>
      </w:pPr>
      <w:r>
        <w:rPr>
          <w:rFonts w:ascii="宋体" w:hAnsi="宋体"/>
          <w:sz w:val="22"/>
          <w:szCs w:val="28"/>
        </w:rPr>
        <w:t>5.4.1 监理人有权拒绝承包人提供的不合格材料或工程设备，并要求承包人立即进行更换。监理人应在更换后再次进行检查和检验，由此增加的费用和（或）工期延误由承包人承担。</w:t>
      </w:r>
    </w:p>
    <w:p>
      <w:pPr>
        <w:spacing w:after="160" w:line="278" w:lineRule="auto"/>
        <w:rPr>
          <w:rFonts w:ascii="宋体" w:hAnsi="宋体"/>
          <w:sz w:val="22"/>
          <w:szCs w:val="28"/>
        </w:rPr>
      </w:pPr>
      <w:r>
        <w:rPr>
          <w:rFonts w:ascii="宋体" w:hAnsi="宋体"/>
          <w:sz w:val="22"/>
          <w:szCs w:val="28"/>
        </w:rPr>
        <w:t>5.4.2 监理人发现承包人使用了不合格的材料和工程设备，应即时发出指示要求承包人立即改正，并禁止在工程中继续使用不合格的材料和工程设备。</w:t>
      </w:r>
    </w:p>
    <w:p>
      <w:pPr>
        <w:spacing w:after="160" w:line="278" w:lineRule="auto"/>
        <w:rPr>
          <w:rFonts w:ascii="宋体" w:hAnsi="宋体"/>
          <w:sz w:val="22"/>
          <w:szCs w:val="28"/>
        </w:rPr>
      </w:pPr>
      <w:r>
        <w:rPr>
          <w:rFonts w:ascii="宋体" w:hAnsi="宋体"/>
          <w:sz w:val="22"/>
          <w:szCs w:val="28"/>
        </w:rPr>
        <w:t>5.4.3 发包人提供的材料或工程设备不符合合同要求的，承包人有权拒绝，并可要求发包人更换，由此增加的费用和（或）工期延误由发包人承担。</w:t>
      </w:r>
    </w:p>
    <w:p>
      <w:pPr>
        <w:spacing w:after="160" w:line="278" w:lineRule="auto"/>
        <w:rPr>
          <w:rFonts w:ascii="宋体" w:hAnsi="宋体"/>
          <w:sz w:val="22"/>
          <w:szCs w:val="28"/>
        </w:rPr>
      </w:pPr>
      <w:bookmarkStart w:id="1207" w:name="_Toc442365619"/>
      <w:bookmarkStart w:id="1208" w:name="_Toc142385573"/>
      <w:bookmarkStart w:id="1209" w:name="_Toc132618644"/>
      <w:bookmarkStart w:id="1210" w:name="_Toc448758527"/>
      <w:bookmarkStart w:id="1211" w:name="_Toc132619035"/>
      <w:bookmarkStart w:id="1212" w:name="_Toc338944749"/>
      <w:bookmarkStart w:id="1213" w:name="_Toc448758427"/>
      <w:bookmarkStart w:id="1214" w:name="_Toc129798286"/>
      <w:bookmarkStart w:id="1215" w:name="_Toc342296307"/>
      <w:bookmarkStart w:id="1216" w:name="_Toc469660022"/>
      <w:bookmarkStart w:id="1217" w:name="_Toc109914351"/>
      <w:r>
        <w:rPr>
          <w:rFonts w:ascii="宋体" w:hAnsi="宋体"/>
          <w:sz w:val="22"/>
          <w:szCs w:val="28"/>
        </w:rPr>
        <w:t>6. 施工设备和临时设施</w:t>
      </w:r>
      <w:bookmarkEnd w:id="1207"/>
      <w:bookmarkEnd w:id="1208"/>
      <w:bookmarkEnd w:id="1209"/>
      <w:bookmarkEnd w:id="1210"/>
      <w:bookmarkEnd w:id="1211"/>
      <w:bookmarkEnd w:id="1212"/>
      <w:bookmarkEnd w:id="1213"/>
      <w:bookmarkEnd w:id="1214"/>
      <w:bookmarkEnd w:id="1215"/>
      <w:bookmarkEnd w:id="1216"/>
      <w:bookmarkEnd w:id="1217"/>
    </w:p>
    <w:p>
      <w:pPr>
        <w:spacing w:after="160" w:line="278" w:lineRule="auto"/>
        <w:rPr>
          <w:rFonts w:ascii="宋体" w:hAnsi="宋体"/>
          <w:sz w:val="22"/>
          <w:szCs w:val="28"/>
        </w:rPr>
      </w:pPr>
      <w:bookmarkStart w:id="1218" w:name="_Toc132618645"/>
      <w:bookmarkStart w:id="1219" w:name="_Toc338944750"/>
      <w:bookmarkStart w:id="1220" w:name="_Toc109914352"/>
      <w:bookmarkStart w:id="1221" w:name="_Toc342296308"/>
      <w:bookmarkStart w:id="1222" w:name="_Toc132619036"/>
      <w:bookmarkStart w:id="1223" w:name="_Toc129798287"/>
      <w:bookmarkStart w:id="1224" w:name="_Toc142385574"/>
      <w:r>
        <w:rPr>
          <w:rFonts w:ascii="宋体" w:hAnsi="宋体"/>
          <w:sz w:val="22"/>
          <w:szCs w:val="28"/>
        </w:rPr>
        <w:t>6.1 承包人提供的施工设备和临时设施</w:t>
      </w:r>
      <w:bookmarkEnd w:id="1218"/>
      <w:bookmarkEnd w:id="1219"/>
      <w:bookmarkEnd w:id="1220"/>
      <w:bookmarkEnd w:id="1221"/>
      <w:bookmarkEnd w:id="1222"/>
      <w:bookmarkEnd w:id="1223"/>
      <w:bookmarkEnd w:id="1224"/>
    </w:p>
    <w:p>
      <w:pPr>
        <w:spacing w:after="160" w:line="278" w:lineRule="auto"/>
        <w:rPr>
          <w:rFonts w:ascii="宋体" w:hAnsi="宋体"/>
          <w:sz w:val="22"/>
          <w:szCs w:val="28"/>
        </w:rPr>
      </w:pPr>
      <w:r>
        <w:rPr>
          <w:rFonts w:ascii="宋体" w:hAnsi="宋体"/>
          <w:sz w:val="22"/>
          <w:szCs w:val="28"/>
        </w:rPr>
        <w:t>6.1.1 承包人应按合同进度计划的要求，及时配置施工设备和修建临时设施。进入施工场地的承包人设备需经监理人核查后才能投入使用。承包人更换合同约定的承包人设备的，应报监理人批准。</w:t>
      </w:r>
    </w:p>
    <w:p>
      <w:pPr>
        <w:spacing w:after="160" w:line="278" w:lineRule="auto"/>
        <w:rPr>
          <w:rFonts w:ascii="宋体" w:hAnsi="宋体"/>
          <w:sz w:val="22"/>
          <w:szCs w:val="28"/>
        </w:rPr>
      </w:pPr>
      <w:r>
        <w:rPr>
          <w:rFonts w:ascii="宋体" w:hAnsi="宋体"/>
          <w:sz w:val="22"/>
          <w:szCs w:val="28"/>
        </w:rPr>
        <w:t>6.1.2除专用合同条款另有约定外，承包人应自行承担修建临时设施的费用，需要临时占地的，应由发包人办理申请手续并承担相应费用。</w:t>
      </w:r>
    </w:p>
    <w:p>
      <w:pPr>
        <w:spacing w:after="160" w:line="278" w:lineRule="auto"/>
        <w:rPr>
          <w:rFonts w:ascii="宋体" w:hAnsi="宋体"/>
          <w:sz w:val="22"/>
          <w:szCs w:val="28"/>
        </w:rPr>
      </w:pPr>
      <w:bookmarkStart w:id="1225" w:name="_Toc142385575"/>
      <w:bookmarkStart w:id="1226" w:name="_Toc132619037"/>
      <w:bookmarkStart w:id="1227" w:name="_Toc132618646"/>
      <w:bookmarkStart w:id="1228" w:name="_Toc342296309"/>
      <w:bookmarkStart w:id="1229" w:name="_Toc338944751"/>
      <w:bookmarkStart w:id="1230" w:name="_Toc129798288"/>
      <w:bookmarkStart w:id="1231" w:name="_Toc109914353"/>
      <w:r>
        <w:rPr>
          <w:rFonts w:ascii="宋体" w:hAnsi="宋体"/>
          <w:sz w:val="22"/>
          <w:szCs w:val="28"/>
        </w:rPr>
        <w:t>6.2 发包人提供的施工设备和临时设施</w:t>
      </w:r>
      <w:bookmarkEnd w:id="1225"/>
      <w:bookmarkEnd w:id="1226"/>
      <w:bookmarkEnd w:id="1227"/>
      <w:bookmarkEnd w:id="1228"/>
      <w:bookmarkEnd w:id="1229"/>
      <w:bookmarkEnd w:id="1230"/>
      <w:bookmarkEnd w:id="1231"/>
    </w:p>
    <w:p>
      <w:pPr>
        <w:spacing w:after="160" w:line="278" w:lineRule="auto"/>
        <w:rPr>
          <w:rFonts w:ascii="宋体" w:hAnsi="宋体"/>
          <w:sz w:val="22"/>
          <w:szCs w:val="28"/>
        </w:rPr>
      </w:pPr>
      <w:r>
        <w:rPr>
          <w:rFonts w:ascii="宋体" w:hAnsi="宋体"/>
          <w:sz w:val="22"/>
          <w:szCs w:val="28"/>
        </w:rPr>
        <w:t>发包人提供的施工设备或临时设施在专用合同条款中约定。</w:t>
      </w:r>
    </w:p>
    <w:p>
      <w:pPr>
        <w:spacing w:after="160" w:line="278" w:lineRule="auto"/>
        <w:rPr>
          <w:rFonts w:ascii="宋体" w:hAnsi="宋体"/>
          <w:sz w:val="22"/>
          <w:szCs w:val="28"/>
        </w:rPr>
      </w:pPr>
      <w:bookmarkStart w:id="1232" w:name="_Toc152045659"/>
      <w:bookmarkStart w:id="1233" w:name="_Toc179632677"/>
      <w:bookmarkStart w:id="1234" w:name="_Toc144974627"/>
      <w:bookmarkStart w:id="1235" w:name="_Toc152042437"/>
      <w:bookmarkStart w:id="1236" w:name="_Toc338944752"/>
      <w:bookmarkStart w:id="1237" w:name="_Toc342296310"/>
      <w:bookmarkStart w:id="1238" w:name="_Toc129798289"/>
      <w:bookmarkStart w:id="1239" w:name="_Toc109914354"/>
      <w:bookmarkStart w:id="1240" w:name="_Toc132619038"/>
      <w:bookmarkStart w:id="1241" w:name="_Toc142385576"/>
      <w:bookmarkStart w:id="1242" w:name="_Toc132618647"/>
      <w:r>
        <w:rPr>
          <w:rFonts w:ascii="宋体" w:hAnsi="宋体"/>
          <w:sz w:val="22"/>
          <w:szCs w:val="28"/>
        </w:rPr>
        <w:t>6.3 要求承包人增加或更换施工设备</w:t>
      </w:r>
      <w:bookmarkEnd w:id="1232"/>
      <w:bookmarkEnd w:id="1233"/>
      <w:bookmarkEnd w:id="1234"/>
      <w:bookmarkEnd w:id="1235"/>
      <w:bookmarkEnd w:id="1236"/>
      <w:bookmarkEnd w:id="1237"/>
      <w:bookmarkEnd w:id="1238"/>
      <w:bookmarkEnd w:id="1239"/>
      <w:bookmarkEnd w:id="1240"/>
      <w:bookmarkEnd w:id="1241"/>
      <w:bookmarkEnd w:id="1242"/>
    </w:p>
    <w:p>
      <w:pPr>
        <w:spacing w:after="160" w:line="278" w:lineRule="auto"/>
        <w:rPr>
          <w:rFonts w:ascii="宋体" w:hAnsi="宋体"/>
          <w:sz w:val="22"/>
          <w:szCs w:val="28"/>
        </w:rPr>
      </w:pPr>
      <w:r>
        <w:rPr>
          <w:rFonts w:ascii="宋体" w:hAnsi="宋体"/>
          <w:sz w:val="22"/>
          <w:szCs w:val="28"/>
        </w:rPr>
        <w:t>承包人使用的施工设备不能满足合同进度计划和（或）质量要求时，监理人有权要求承包人增加或更换施工设备，承包人应及时增加或更换，由此增加的费用和（或）工期延误由承包人承担。</w:t>
      </w:r>
    </w:p>
    <w:p>
      <w:pPr>
        <w:spacing w:after="160" w:line="278" w:lineRule="auto"/>
        <w:rPr>
          <w:rFonts w:ascii="宋体" w:hAnsi="宋体"/>
          <w:sz w:val="22"/>
          <w:szCs w:val="28"/>
        </w:rPr>
      </w:pPr>
      <w:bookmarkStart w:id="1243" w:name="_Toc132618648"/>
      <w:bookmarkStart w:id="1244" w:name="_Toc142385577"/>
      <w:bookmarkStart w:id="1245" w:name="_Toc338944753"/>
      <w:bookmarkStart w:id="1246" w:name="_Toc129798290"/>
      <w:bookmarkStart w:id="1247" w:name="_Toc132619039"/>
      <w:bookmarkStart w:id="1248" w:name="_Toc109914355"/>
      <w:bookmarkStart w:id="1249" w:name="_Toc342296311"/>
      <w:r>
        <w:rPr>
          <w:rFonts w:ascii="宋体" w:hAnsi="宋体"/>
          <w:sz w:val="22"/>
          <w:szCs w:val="28"/>
        </w:rPr>
        <w:t>6.4 施工设备和临时设施专用于合同工程</w:t>
      </w:r>
      <w:bookmarkEnd w:id="1243"/>
      <w:bookmarkEnd w:id="1244"/>
      <w:bookmarkEnd w:id="1245"/>
      <w:bookmarkEnd w:id="1246"/>
      <w:bookmarkEnd w:id="1247"/>
      <w:bookmarkEnd w:id="1248"/>
      <w:bookmarkEnd w:id="1249"/>
    </w:p>
    <w:p>
      <w:pPr>
        <w:spacing w:after="160" w:line="278" w:lineRule="auto"/>
        <w:rPr>
          <w:rFonts w:ascii="宋体" w:hAnsi="宋体"/>
          <w:sz w:val="22"/>
          <w:szCs w:val="28"/>
        </w:rPr>
      </w:pPr>
      <w:r>
        <w:rPr>
          <w:rFonts w:ascii="宋体" w:hAnsi="宋体"/>
          <w:sz w:val="22"/>
          <w:szCs w:val="28"/>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after="160" w:line="278" w:lineRule="auto"/>
        <w:rPr>
          <w:rFonts w:ascii="宋体" w:hAnsi="宋体"/>
          <w:sz w:val="22"/>
          <w:szCs w:val="28"/>
        </w:rPr>
      </w:pPr>
      <w:r>
        <w:rPr>
          <w:rFonts w:ascii="宋体" w:hAnsi="宋体"/>
          <w:sz w:val="22"/>
          <w:szCs w:val="28"/>
        </w:rPr>
        <w:t>6.4.2 经监理人同意，承包人可根据合同进度计划撤走闲置的施工设备。</w:t>
      </w:r>
    </w:p>
    <w:p>
      <w:pPr>
        <w:spacing w:after="160" w:line="278" w:lineRule="auto"/>
        <w:rPr>
          <w:rFonts w:ascii="宋体" w:hAnsi="宋体"/>
          <w:sz w:val="22"/>
          <w:szCs w:val="28"/>
        </w:rPr>
      </w:pPr>
      <w:bookmarkStart w:id="1250" w:name="_Toc448758428"/>
      <w:bookmarkStart w:id="1251" w:name="_Toc469660023"/>
      <w:bookmarkStart w:id="1252" w:name="_Toc142385578"/>
      <w:bookmarkStart w:id="1253" w:name="_Toc342296312"/>
      <w:bookmarkStart w:id="1254" w:name="_Toc109914356"/>
      <w:bookmarkStart w:id="1255" w:name="_Toc132619040"/>
      <w:bookmarkStart w:id="1256" w:name="_Toc338944754"/>
      <w:bookmarkStart w:id="1257" w:name="_Toc129798291"/>
      <w:bookmarkStart w:id="1258" w:name="_Toc442365620"/>
      <w:bookmarkStart w:id="1259" w:name="_Toc448758528"/>
      <w:bookmarkStart w:id="1260" w:name="_Toc132618649"/>
      <w:r>
        <w:rPr>
          <w:rFonts w:ascii="宋体" w:hAnsi="宋体"/>
          <w:sz w:val="22"/>
          <w:szCs w:val="28"/>
        </w:rPr>
        <w:t>7. 交通运输</w:t>
      </w:r>
      <w:bookmarkEnd w:id="1250"/>
      <w:bookmarkEnd w:id="1251"/>
      <w:bookmarkEnd w:id="1252"/>
      <w:bookmarkEnd w:id="1253"/>
      <w:bookmarkEnd w:id="1254"/>
      <w:bookmarkEnd w:id="1255"/>
      <w:bookmarkEnd w:id="1256"/>
      <w:bookmarkEnd w:id="1257"/>
      <w:bookmarkEnd w:id="1258"/>
      <w:bookmarkEnd w:id="1259"/>
      <w:bookmarkEnd w:id="1260"/>
    </w:p>
    <w:p>
      <w:pPr>
        <w:spacing w:after="160" w:line="278" w:lineRule="auto"/>
        <w:rPr>
          <w:rFonts w:ascii="宋体" w:hAnsi="宋体"/>
          <w:sz w:val="22"/>
          <w:szCs w:val="28"/>
        </w:rPr>
      </w:pPr>
      <w:bookmarkStart w:id="1261" w:name="_Toc109914357"/>
      <w:bookmarkStart w:id="1262" w:name="_Toc132619041"/>
      <w:bookmarkStart w:id="1263" w:name="_Toc129798292"/>
      <w:bookmarkStart w:id="1264" w:name="_Toc142385579"/>
      <w:bookmarkStart w:id="1265" w:name="_Toc342296313"/>
      <w:bookmarkStart w:id="1266" w:name="_Toc338944755"/>
      <w:bookmarkStart w:id="1267" w:name="_Toc132618650"/>
      <w:r>
        <w:rPr>
          <w:rFonts w:ascii="宋体" w:hAnsi="宋体"/>
          <w:sz w:val="22"/>
          <w:szCs w:val="28"/>
        </w:rPr>
        <w:t>7.1 道路通行权和场外设施</w:t>
      </w:r>
      <w:bookmarkEnd w:id="1261"/>
      <w:bookmarkEnd w:id="1262"/>
      <w:bookmarkEnd w:id="1263"/>
      <w:bookmarkEnd w:id="1264"/>
      <w:bookmarkEnd w:id="1265"/>
      <w:bookmarkEnd w:id="1266"/>
      <w:bookmarkEnd w:id="1267"/>
    </w:p>
    <w:p>
      <w:pPr>
        <w:spacing w:after="160" w:line="278" w:lineRule="auto"/>
        <w:rPr>
          <w:rFonts w:ascii="宋体" w:hAnsi="宋体"/>
          <w:sz w:val="22"/>
          <w:szCs w:val="28"/>
        </w:rPr>
      </w:pPr>
      <w:r>
        <w:rPr>
          <w:rFonts w:ascii="宋体" w:hAnsi="宋体"/>
          <w:sz w:val="22"/>
          <w:szCs w:val="28"/>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spacing w:after="160" w:line="278" w:lineRule="auto"/>
        <w:rPr>
          <w:rFonts w:ascii="宋体" w:hAnsi="宋体"/>
          <w:sz w:val="22"/>
          <w:szCs w:val="28"/>
        </w:rPr>
      </w:pPr>
      <w:bookmarkStart w:id="1268" w:name="_Toc109914358"/>
      <w:bookmarkStart w:id="1269" w:name="_Toc132618651"/>
      <w:bookmarkStart w:id="1270" w:name="_Toc129798293"/>
      <w:bookmarkStart w:id="1271" w:name="_Toc142385580"/>
      <w:bookmarkStart w:id="1272" w:name="_Toc132619042"/>
      <w:bookmarkStart w:id="1273" w:name="_Toc338944756"/>
      <w:bookmarkStart w:id="1274" w:name="_Toc342296314"/>
      <w:r>
        <w:rPr>
          <w:rFonts w:ascii="宋体" w:hAnsi="宋体"/>
          <w:sz w:val="22"/>
          <w:szCs w:val="28"/>
        </w:rPr>
        <w:t>7.2 场内施工道路</w:t>
      </w:r>
      <w:bookmarkEnd w:id="1268"/>
      <w:bookmarkEnd w:id="1269"/>
      <w:bookmarkEnd w:id="1270"/>
      <w:bookmarkEnd w:id="1271"/>
      <w:bookmarkEnd w:id="1272"/>
      <w:bookmarkEnd w:id="1273"/>
      <w:bookmarkEnd w:id="1274"/>
    </w:p>
    <w:p>
      <w:pPr>
        <w:spacing w:after="160" w:line="278" w:lineRule="auto"/>
        <w:rPr>
          <w:rFonts w:ascii="宋体" w:hAnsi="宋体"/>
          <w:sz w:val="22"/>
          <w:szCs w:val="28"/>
        </w:rPr>
      </w:pPr>
      <w:r>
        <w:rPr>
          <w:rFonts w:ascii="宋体" w:hAnsi="宋体"/>
          <w:sz w:val="22"/>
          <w:szCs w:val="28"/>
        </w:rPr>
        <w:t>7.2.1 除专用合同条款另有约定外，承包人应负责修建、维修、养护和管理施工所需的临时道路和交通设施，包括维修、养护和管理发包人提供的道路和交通设施，并承担相应费用。</w:t>
      </w:r>
    </w:p>
    <w:p>
      <w:pPr>
        <w:spacing w:after="160" w:line="278" w:lineRule="auto"/>
        <w:rPr>
          <w:rFonts w:ascii="宋体" w:hAnsi="宋体"/>
          <w:sz w:val="22"/>
          <w:szCs w:val="28"/>
        </w:rPr>
      </w:pPr>
      <w:r>
        <w:rPr>
          <w:rFonts w:ascii="宋体" w:hAnsi="宋体"/>
          <w:sz w:val="22"/>
          <w:szCs w:val="28"/>
        </w:rPr>
        <w:t>7.2.2 除专用合同条款另有约定外，承包人修建的临时道路和交通设施应免费提供发包人和监理人使用。</w:t>
      </w:r>
    </w:p>
    <w:p>
      <w:pPr>
        <w:spacing w:after="160" w:line="278" w:lineRule="auto"/>
        <w:rPr>
          <w:rFonts w:ascii="宋体" w:hAnsi="宋体"/>
          <w:sz w:val="22"/>
          <w:szCs w:val="28"/>
        </w:rPr>
      </w:pPr>
      <w:bookmarkStart w:id="1275" w:name="_Toc132618652"/>
      <w:bookmarkStart w:id="1276" w:name="_Toc338944757"/>
      <w:bookmarkStart w:id="1277" w:name="_Toc144974632"/>
      <w:bookmarkStart w:id="1278" w:name="_Toc152045664"/>
      <w:bookmarkStart w:id="1279" w:name="_Toc152042442"/>
      <w:bookmarkStart w:id="1280" w:name="_Toc132619043"/>
      <w:bookmarkStart w:id="1281" w:name="_Toc179632682"/>
      <w:bookmarkStart w:id="1282" w:name="_Toc109914359"/>
      <w:bookmarkStart w:id="1283" w:name="_Toc142385581"/>
      <w:bookmarkStart w:id="1284" w:name="_Toc129798294"/>
      <w:bookmarkStart w:id="1285" w:name="_Toc342296315"/>
      <w:r>
        <w:rPr>
          <w:rFonts w:ascii="宋体" w:hAnsi="宋体"/>
          <w:sz w:val="22"/>
          <w:szCs w:val="28"/>
        </w:rPr>
        <w:t>7.3 场外交通</w:t>
      </w:r>
      <w:bookmarkEnd w:id="1275"/>
      <w:bookmarkEnd w:id="1276"/>
      <w:bookmarkEnd w:id="1277"/>
      <w:bookmarkEnd w:id="1278"/>
      <w:bookmarkEnd w:id="1279"/>
      <w:bookmarkEnd w:id="1280"/>
      <w:bookmarkEnd w:id="1281"/>
      <w:bookmarkEnd w:id="1282"/>
      <w:bookmarkEnd w:id="1283"/>
      <w:bookmarkEnd w:id="1284"/>
      <w:bookmarkEnd w:id="1285"/>
    </w:p>
    <w:p>
      <w:pPr>
        <w:spacing w:after="160" w:line="278" w:lineRule="auto"/>
        <w:rPr>
          <w:rFonts w:ascii="宋体" w:hAnsi="宋体"/>
          <w:sz w:val="22"/>
          <w:szCs w:val="28"/>
        </w:rPr>
      </w:pPr>
      <w:r>
        <w:rPr>
          <w:rFonts w:ascii="宋体" w:hAnsi="宋体"/>
          <w:sz w:val="22"/>
          <w:szCs w:val="28"/>
        </w:rPr>
        <w:t>7.3.1 承包人车辆外出行驶所需的场外公共道路的通行费、养路费和税款等由承包人承担。</w:t>
      </w:r>
    </w:p>
    <w:p>
      <w:pPr>
        <w:spacing w:after="160" w:line="278" w:lineRule="auto"/>
        <w:rPr>
          <w:rFonts w:ascii="宋体" w:hAnsi="宋体"/>
          <w:sz w:val="22"/>
          <w:szCs w:val="28"/>
        </w:rPr>
      </w:pPr>
      <w:r>
        <w:rPr>
          <w:rFonts w:ascii="宋体" w:hAnsi="宋体"/>
          <w:sz w:val="22"/>
          <w:szCs w:val="28"/>
        </w:rPr>
        <w:t>7.3.2 承包人应遵守有关交通法规，严格按照道路和桥梁的限制荷重安全行驶，并服从交通管理部门的检查和监督。</w:t>
      </w:r>
    </w:p>
    <w:p>
      <w:pPr>
        <w:spacing w:after="160" w:line="278" w:lineRule="auto"/>
        <w:rPr>
          <w:rFonts w:ascii="宋体" w:hAnsi="宋体"/>
          <w:sz w:val="22"/>
          <w:szCs w:val="28"/>
        </w:rPr>
      </w:pPr>
      <w:bookmarkStart w:id="1286" w:name="_Toc142385582"/>
      <w:bookmarkStart w:id="1287" w:name="_Toc132619044"/>
      <w:bookmarkStart w:id="1288" w:name="_Toc109914360"/>
      <w:bookmarkStart w:id="1289" w:name="_Toc132618653"/>
      <w:bookmarkStart w:id="1290" w:name="_Toc342296316"/>
      <w:bookmarkStart w:id="1291" w:name="_Toc129798295"/>
      <w:bookmarkStart w:id="1292" w:name="_Toc338944758"/>
      <w:r>
        <w:rPr>
          <w:rFonts w:ascii="宋体" w:hAnsi="宋体"/>
          <w:sz w:val="22"/>
          <w:szCs w:val="28"/>
        </w:rPr>
        <w:t>7.4 超大件和超重件的运输</w:t>
      </w:r>
      <w:bookmarkEnd w:id="1286"/>
      <w:bookmarkEnd w:id="1287"/>
      <w:bookmarkEnd w:id="1288"/>
      <w:bookmarkEnd w:id="1289"/>
      <w:bookmarkEnd w:id="1290"/>
      <w:bookmarkEnd w:id="1291"/>
      <w:bookmarkEnd w:id="1292"/>
    </w:p>
    <w:p>
      <w:pPr>
        <w:spacing w:after="160" w:line="278" w:lineRule="auto"/>
        <w:rPr>
          <w:rFonts w:ascii="宋体" w:hAnsi="宋体"/>
          <w:sz w:val="22"/>
          <w:szCs w:val="28"/>
        </w:rPr>
      </w:pPr>
      <w:r>
        <w:rPr>
          <w:rFonts w:ascii="宋体" w:hAnsi="宋体"/>
          <w:sz w:val="22"/>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after="160" w:line="278" w:lineRule="auto"/>
        <w:rPr>
          <w:rFonts w:ascii="宋体" w:hAnsi="宋体"/>
          <w:sz w:val="22"/>
          <w:szCs w:val="28"/>
        </w:rPr>
      </w:pPr>
      <w:bookmarkStart w:id="1293" w:name="_Toc338944759"/>
      <w:bookmarkStart w:id="1294" w:name="_Toc342296317"/>
      <w:bookmarkStart w:id="1295" w:name="_Toc129798296"/>
      <w:bookmarkStart w:id="1296" w:name="_Toc142385583"/>
      <w:bookmarkStart w:id="1297" w:name="_Toc132618654"/>
      <w:bookmarkStart w:id="1298" w:name="_Toc132619045"/>
      <w:bookmarkStart w:id="1299" w:name="_Toc109914361"/>
      <w:r>
        <w:rPr>
          <w:rFonts w:ascii="宋体" w:hAnsi="宋体"/>
          <w:sz w:val="22"/>
          <w:szCs w:val="28"/>
        </w:rPr>
        <w:t>7.5 道路和桥梁的损坏责任</w:t>
      </w:r>
      <w:bookmarkEnd w:id="1293"/>
      <w:bookmarkEnd w:id="1294"/>
      <w:bookmarkEnd w:id="1295"/>
      <w:bookmarkEnd w:id="1296"/>
      <w:bookmarkEnd w:id="1297"/>
      <w:bookmarkEnd w:id="1298"/>
      <w:bookmarkEnd w:id="1299"/>
    </w:p>
    <w:p>
      <w:pPr>
        <w:spacing w:after="160" w:line="278" w:lineRule="auto"/>
        <w:rPr>
          <w:rFonts w:ascii="宋体" w:hAnsi="宋体"/>
          <w:sz w:val="22"/>
          <w:szCs w:val="28"/>
        </w:rPr>
      </w:pPr>
      <w:r>
        <w:rPr>
          <w:rFonts w:ascii="宋体" w:hAnsi="宋体"/>
          <w:sz w:val="22"/>
          <w:szCs w:val="28"/>
        </w:rPr>
        <w:t>因承包人运输造成施工场地内外公共道路和桥梁损坏的，由承包人承担修复损坏的全部费用和可能引起的赔偿。</w:t>
      </w:r>
    </w:p>
    <w:p>
      <w:pPr>
        <w:spacing w:after="160" w:line="278" w:lineRule="auto"/>
        <w:rPr>
          <w:rFonts w:ascii="宋体" w:hAnsi="宋体"/>
          <w:sz w:val="22"/>
          <w:szCs w:val="28"/>
        </w:rPr>
      </w:pPr>
      <w:bookmarkStart w:id="1300" w:name="_Toc338944760"/>
      <w:bookmarkStart w:id="1301" w:name="_Toc129798297"/>
      <w:bookmarkStart w:id="1302" w:name="_Toc142385584"/>
      <w:bookmarkStart w:id="1303" w:name="_Toc179632685"/>
      <w:bookmarkStart w:id="1304" w:name="_Toc132619046"/>
      <w:bookmarkStart w:id="1305" w:name="_Toc132618655"/>
      <w:bookmarkStart w:id="1306" w:name="_Toc342296318"/>
      <w:bookmarkStart w:id="1307" w:name="_Toc144974635"/>
      <w:bookmarkStart w:id="1308" w:name="_Toc152042445"/>
      <w:bookmarkStart w:id="1309" w:name="_Toc109914362"/>
      <w:bookmarkStart w:id="1310" w:name="_Toc152045667"/>
      <w:r>
        <w:rPr>
          <w:rFonts w:ascii="宋体" w:hAnsi="宋体"/>
          <w:sz w:val="22"/>
          <w:szCs w:val="28"/>
        </w:rPr>
        <w:t>7.6 水路和航空运输</w:t>
      </w:r>
      <w:bookmarkEnd w:id="1300"/>
      <w:bookmarkEnd w:id="1301"/>
      <w:bookmarkEnd w:id="1302"/>
      <w:bookmarkEnd w:id="1303"/>
      <w:bookmarkEnd w:id="1304"/>
      <w:bookmarkEnd w:id="1305"/>
      <w:bookmarkEnd w:id="1306"/>
      <w:bookmarkEnd w:id="1307"/>
      <w:bookmarkEnd w:id="1308"/>
      <w:bookmarkEnd w:id="1309"/>
      <w:bookmarkEnd w:id="1310"/>
    </w:p>
    <w:p>
      <w:pPr>
        <w:spacing w:after="160" w:line="278" w:lineRule="auto"/>
        <w:rPr>
          <w:rFonts w:ascii="宋体" w:hAnsi="宋体"/>
          <w:sz w:val="22"/>
          <w:szCs w:val="28"/>
        </w:rPr>
      </w:pPr>
      <w:r>
        <w:rPr>
          <w:rFonts w:ascii="宋体" w:hAnsi="宋体"/>
          <w:sz w:val="22"/>
          <w:szCs w:val="28"/>
        </w:rPr>
        <w:t xml:space="preserve">本条上述各款的内容适用于水路运输和航空运输，其中“道路”一词的涵义包括河道、航线、船闸、机场、码头、堤防以及水路或航空运输中其他相似结构物；“车辆”一词的涵义包括船舶和飞机等。 </w:t>
      </w:r>
    </w:p>
    <w:p>
      <w:pPr>
        <w:spacing w:after="160" w:line="278" w:lineRule="auto"/>
        <w:rPr>
          <w:rFonts w:ascii="宋体" w:hAnsi="宋体"/>
          <w:sz w:val="22"/>
          <w:szCs w:val="28"/>
        </w:rPr>
      </w:pPr>
      <w:bookmarkStart w:id="1311" w:name="_Toc448758429"/>
      <w:bookmarkStart w:id="1312" w:name="_Toc142385585"/>
      <w:bookmarkStart w:id="1313" w:name="_Toc448758529"/>
      <w:bookmarkStart w:id="1314" w:name="_Toc342296319"/>
      <w:bookmarkStart w:id="1315" w:name="_Toc132618656"/>
      <w:bookmarkStart w:id="1316" w:name="_Toc442365621"/>
      <w:bookmarkStart w:id="1317" w:name="_Toc469660024"/>
      <w:bookmarkStart w:id="1318" w:name="_Toc109914363"/>
      <w:bookmarkStart w:id="1319" w:name="_Toc129798298"/>
      <w:bookmarkStart w:id="1320" w:name="_Toc132619047"/>
      <w:bookmarkStart w:id="1321" w:name="_Toc338944761"/>
      <w:r>
        <w:rPr>
          <w:rFonts w:ascii="宋体" w:hAnsi="宋体"/>
          <w:sz w:val="22"/>
          <w:szCs w:val="28"/>
        </w:rPr>
        <w:t>8. 测量放线</w:t>
      </w:r>
      <w:bookmarkEnd w:id="1311"/>
      <w:bookmarkEnd w:id="1312"/>
      <w:bookmarkEnd w:id="1313"/>
      <w:bookmarkEnd w:id="1314"/>
      <w:bookmarkEnd w:id="1315"/>
      <w:bookmarkEnd w:id="1316"/>
      <w:bookmarkEnd w:id="1317"/>
      <w:bookmarkEnd w:id="1318"/>
      <w:bookmarkEnd w:id="1319"/>
      <w:bookmarkEnd w:id="1320"/>
      <w:bookmarkEnd w:id="1321"/>
    </w:p>
    <w:p>
      <w:pPr>
        <w:spacing w:after="160" w:line="278" w:lineRule="auto"/>
        <w:rPr>
          <w:rFonts w:ascii="宋体" w:hAnsi="宋体"/>
          <w:sz w:val="22"/>
          <w:szCs w:val="28"/>
        </w:rPr>
      </w:pPr>
      <w:bookmarkStart w:id="1322" w:name="_Toc342296320"/>
      <w:bookmarkStart w:id="1323" w:name="_Toc132619048"/>
      <w:bookmarkStart w:id="1324" w:name="_Toc109914364"/>
      <w:bookmarkStart w:id="1325" w:name="_Toc132618657"/>
      <w:bookmarkStart w:id="1326" w:name="_Toc338944762"/>
      <w:bookmarkStart w:id="1327" w:name="_Toc142385586"/>
      <w:bookmarkStart w:id="1328" w:name="_Toc129798299"/>
      <w:r>
        <w:rPr>
          <w:rFonts w:ascii="宋体" w:hAnsi="宋体"/>
          <w:sz w:val="22"/>
          <w:szCs w:val="28"/>
        </w:rPr>
        <w:t>8.1 施工控制网</w:t>
      </w:r>
      <w:bookmarkEnd w:id="1322"/>
      <w:bookmarkEnd w:id="1323"/>
      <w:bookmarkEnd w:id="1324"/>
      <w:bookmarkEnd w:id="1325"/>
      <w:bookmarkEnd w:id="1326"/>
      <w:bookmarkEnd w:id="1327"/>
      <w:bookmarkEnd w:id="1328"/>
    </w:p>
    <w:p>
      <w:pPr>
        <w:spacing w:after="160" w:line="278" w:lineRule="auto"/>
        <w:rPr>
          <w:rFonts w:ascii="宋体" w:hAnsi="宋体"/>
          <w:sz w:val="22"/>
          <w:szCs w:val="28"/>
        </w:rPr>
      </w:pPr>
      <w:r>
        <w:rPr>
          <w:rFonts w:ascii="宋体" w:hAnsi="宋体"/>
          <w:sz w:val="22"/>
          <w:szCs w:val="28"/>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after="160" w:line="278" w:lineRule="auto"/>
        <w:rPr>
          <w:rFonts w:ascii="宋体" w:hAnsi="宋体"/>
          <w:sz w:val="22"/>
          <w:szCs w:val="28"/>
        </w:rPr>
      </w:pPr>
      <w:r>
        <w:rPr>
          <w:rFonts w:ascii="宋体" w:hAnsi="宋体"/>
          <w:sz w:val="22"/>
          <w:szCs w:val="28"/>
        </w:rPr>
        <w:t>8.1.2承包人应负责管理施工控制网点。施工控制网点丢失或损坏的，承包人应及时修复。承包人应承担施工控制网点的管理与修复费用，并在工程竣工后将施工控制网点移交发包人。</w:t>
      </w:r>
    </w:p>
    <w:p>
      <w:pPr>
        <w:spacing w:after="160" w:line="278" w:lineRule="auto"/>
        <w:rPr>
          <w:rFonts w:ascii="宋体" w:hAnsi="宋体"/>
          <w:sz w:val="22"/>
          <w:szCs w:val="28"/>
        </w:rPr>
      </w:pPr>
      <w:bookmarkStart w:id="1329" w:name="_Toc179632688"/>
      <w:bookmarkStart w:id="1330" w:name="_Toc129798300"/>
      <w:bookmarkStart w:id="1331" w:name="_Toc152045670"/>
      <w:bookmarkStart w:id="1332" w:name="_Toc152042448"/>
      <w:bookmarkStart w:id="1333" w:name="_Toc109914365"/>
      <w:bookmarkStart w:id="1334" w:name="_Toc144974638"/>
      <w:bookmarkStart w:id="1335" w:name="_Toc132619049"/>
      <w:bookmarkStart w:id="1336" w:name="_Toc342296321"/>
      <w:bookmarkStart w:id="1337" w:name="_Toc338944763"/>
      <w:bookmarkStart w:id="1338" w:name="_Toc142385587"/>
      <w:bookmarkStart w:id="1339" w:name="_Toc132618658"/>
      <w:r>
        <w:rPr>
          <w:rFonts w:ascii="宋体" w:hAnsi="宋体"/>
          <w:sz w:val="22"/>
          <w:szCs w:val="28"/>
        </w:rPr>
        <w:t>8.2 施工测量</w:t>
      </w:r>
      <w:bookmarkEnd w:id="1329"/>
      <w:bookmarkEnd w:id="1330"/>
      <w:bookmarkEnd w:id="1331"/>
      <w:bookmarkEnd w:id="1332"/>
      <w:bookmarkEnd w:id="1333"/>
      <w:bookmarkEnd w:id="1334"/>
      <w:bookmarkEnd w:id="1335"/>
      <w:bookmarkEnd w:id="1336"/>
      <w:bookmarkEnd w:id="1337"/>
      <w:bookmarkEnd w:id="1338"/>
      <w:bookmarkEnd w:id="1339"/>
    </w:p>
    <w:p>
      <w:pPr>
        <w:spacing w:after="160" w:line="278" w:lineRule="auto"/>
        <w:rPr>
          <w:rFonts w:ascii="宋体" w:hAnsi="宋体"/>
          <w:sz w:val="22"/>
          <w:szCs w:val="28"/>
        </w:rPr>
      </w:pPr>
      <w:r>
        <w:rPr>
          <w:rFonts w:ascii="宋体" w:hAnsi="宋体"/>
          <w:sz w:val="22"/>
          <w:szCs w:val="28"/>
        </w:rPr>
        <w:t>8.2.1承包人应负责施工过程中的全部施工测量放线工作，并配置合格的人员、仪器、设备和其他物品。</w:t>
      </w:r>
    </w:p>
    <w:p>
      <w:pPr>
        <w:spacing w:after="160" w:line="278" w:lineRule="auto"/>
        <w:rPr>
          <w:rFonts w:ascii="宋体" w:hAnsi="宋体"/>
          <w:sz w:val="22"/>
          <w:szCs w:val="28"/>
        </w:rPr>
      </w:pPr>
      <w:r>
        <w:rPr>
          <w:rFonts w:ascii="宋体" w:hAnsi="宋体"/>
          <w:sz w:val="22"/>
          <w:szCs w:val="28"/>
        </w:rPr>
        <w:t>8.2.2监理人可以指示承包人进行抽样复测，当复测中发现错误或出现超过合同约定的误差时，承包人应按监理人指示进行修正或补测，并承担相应的复测费用。</w:t>
      </w:r>
    </w:p>
    <w:p>
      <w:pPr>
        <w:spacing w:after="160" w:line="278" w:lineRule="auto"/>
        <w:rPr>
          <w:rFonts w:ascii="宋体" w:hAnsi="宋体"/>
          <w:sz w:val="22"/>
          <w:szCs w:val="28"/>
        </w:rPr>
      </w:pPr>
      <w:bookmarkStart w:id="1340" w:name="_Toc152045671"/>
      <w:bookmarkStart w:id="1341" w:name="_Toc129798301"/>
      <w:bookmarkStart w:id="1342" w:name="_Toc338944764"/>
      <w:bookmarkStart w:id="1343" w:name="_Toc342296322"/>
      <w:bookmarkStart w:id="1344" w:name="_Toc132619050"/>
      <w:bookmarkStart w:id="1345" w:name="_Toc152042449"/>
      <w:bookmarkStart w:id="1346" w:name="_Toc144974639"/>
      <w:bookmarkStart w:id="1347" w:name="_Toc142385588"/>
      <w:bookmarkStart w:id="1348" w:name="_Toc179632689"/>
      <w:bookmarkStart w:id="1349" w:name="_Toc109914366"/>
      <w:bookmarkStart w:id="1350" w:name="_Toc132618659"/>
      <w:r>
        <w:rPr>
          <w:rFonts w:ascii="宋体" w:hAnsi="宋体"/>
          <w:sz w:val="22"/>
          <w:szCs w:val="28"/>
        </w:rPr>
        <w:t>8.3 基准资料错误的责任</w:t>
      </w:r>
      <w:bookmarkEnd w:id="1340"/>
      <w:bookmarkEnd w:id="1341"/>
      <w:bookmarkEnd w:id="1342"/>
      <w:bookmarkEnd w:id="1343"/>
      <w:bookmarkEnd w:id="1344"/>
      <w:bookmarkEnd w:id="1345"/>
      <w:bookmarkEnd w:id="1346"/>
      <w:bookmarkEnd w:id="1347"/>
      <w:bookmarkEnd w:id="1348"/>
      <w:bookmarkEnd w:id="1349"/>
      <w:bookmarkEnd w:id="1350"/>
    </w:p>
    <w:p>
      <w:pPr>
        <w:spacing w:after="160" w:line="278" w:lineRule="auto"/>
        <w:rPr>
          <w:rFonts w:ascii="宋体" w:hAnsi="宋体"/>
          <w:sz w:val="22"/>
          <w:szCs w:val="28"/>
        </w:rPr>
      </w:pPr>
      <w:r>
        <w:rPr>
          <w:rFonts w:ascii="宋体" w:hAnsi="宋体"/>
          <w:sz w:val="22"/>
          <w:szCs w:val="28"/>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after="160" w:line="278" w:lineRule="auto"/>
        <w:rPr>
          <w:rFonts w:ascii="宋体" w:hAnsi="宋体"/>
          <w:sz w:val="22"/>
          <w:szCs w:val="28"/>
        </w:rPr>
      </w:pPr>
      <w:bookmarkStart w:id="1351" w:name="_Toc109914367"/>
      <w:bookmarkStart w:id="1352" w:name="_Toc342296323"/>
      <w:bookmarkStart w:id="1353" w:name="_Toc144974640"/>
      <w:bookmarkStart w:id="1354" w:name="_Toc152045672"/>
      <w:bookmarkStart w:id="1355" w:name="_Toc338944765"/>
      <w:bookmarkStart w:id="1356" w:name="_Toc132618660"/>
      <w:bookmarkStart w:id="1357" w:name="_Toc129798302"/>
      <w:bookmarkStart w:id="1358" w:name="_Toc142385589"/>
      <w:bookmarkStart w:id="1359" w:name="_Toc152042450"/>
      <w:bookmarkStart w:id="1360" w:name="_Toc132619051"/>
      <w:bookmarkStart w:id="1361" w:name="_Toc179632690"/>
      <w:r>
        <w:rPr>
          <w:rFonts w:ascii="宋体" w:hAnsi="宋体"/>
          <w:sz w:val="22"/>
          <w:szCs w:val="28"/>
        </w:rPr>
        <w:t>8.4 监理人使用施工控制网</w:t>
      </w:r>
      <w:bookmarkEnd w:id="1351"/>
      <w:bookmarkEnd w:id="1352"/>
      <w:bookmarkEnd w:id="1353"/>
      <w:bookmarkEnd w:id="1354"/>
      <w:bookmarkEnd w:id="1355"/>
      <w:bookmarkEnd w:id="1356"/>
      <w:bookmarkEnd w:id="1357"/>
      <w:bookmarkEnd w:id="1358"/>
      <w:bookmarkEnd w:id="1359"/>
      <w:bookmarkEnd w:id="1360"/>
      <w:bookmarkEnd w:id="1361"/>
    </w:p>
    <w:p>
      <w:pPr>
        <w:spacing w:after="160" w:line="278" w:lineRule="auto"/>
        <w:rPr>
          <w:rFonts w:ascii="宋体" w:hAnsi="宋体"/>
          <w:sz w:val="22"/>
          <w:szCs w:val="28"/>
        </w:rPr>
      </w:pPr>
      <w:r>
        <w:rPr>
          <w:rFonts w:ascii="宋体" w:hAnsi="宋体"/>
          <w:sz w:val="22"/>
          <w:szCs w:val="28"/>
        </w:rPr>
        <w:t>监理人需要使用施工控制网的，承包人应提供必要的协助，发包人不再为此支付费用。</w:t>
      </w:r>
    </w:p>
    <w:p>
      <w:pPr>
        <w:spacing w:after="160" w:line="278" w:lineRule="auto"/>
        <w:rPr>
          <w:rFonts w:ascii="宋体" w:hAnsi="宋体"/>
          <w:sz w:val="22"/>
          <w:szCs w:val="28"/>
        </w:rPr>
      </w:pPr>
      <w:bookmarkStart w:id="1362" w:name="_Toc442365622"/>
      <w:bookmarkStart w:id="1363" w:name="_Toc448758430"/>
      <w:bookmarkStart w:id="1364" w:name="_Toc342296324"/>
      <w:bookmarkStart w:id="1365" w:name="_Toc338944766"/>
      <w:bookmarkStart w:id="1366" w:name="_Toc448758530"/>
      <w:bookmarkStart w:id="1367" w:name="_Toc469660025"/>
      <w:bookmarkStart w:id="1368" w:name="_Toc129798303"/>
      <w:bookmarkStart w:id="1369" w:name="_Toc132618661"/>
      <w:bookmarkStart w:id="1370" w:name="_Toc132619052"/>
      <w:bookmarkStart w:id="1371" w:name="_Toc109914368"/>
      <w:bookmarkStart w:id="1372" w:name="_Toc142385590"/>
      <w:r>
        <w:rPr>
          <w:rFonts w:ascii="宋体" w:hAnsi="宋体"/>
          <w:sz w:val="22"/>
          <w:szCs w:val="28"/>
        </w:rPr>
        <w:t>9. 施工安全、治安保卫</w:t>
      </w:r>
      <w:r>
        <w:rPr>
          <w:rFonts w:hint="eastAsia" w:ascii="宋体" w:hAnsi="宋体"/>
          <w:sz w:val="22"/>
          <w:szCs w:val="28"/>
        </w:rPr>
        <w:t>，</w:t>
      </w:r>
      <w:r>
        <w:rPr>
          <w:rFonts w:ascii="宋体" w:hAnsi="宋体"/>
          <w:sz w:val="22"/>
          <w:szCs w:val="28"/>
        </w:rPr>
        <w:t>环境保护</w:t>
      </w:r>
      <w:bookmarkEnd w:id="1362"/>
      <w:bookmarkEnd w:id="1363"/>
      <w:bookmarkEnd w:id="1364"/>
      <w:bookmarkEnd w:id="1365"/>
      <w:bookmarkEnd w:id="1366"/>
      <w:bookmarkEnd w:id="1367"/>
      <w:r>
        <w:rPr>
          <w:rFonts w:hint="eastAsia" w:ascii="宋体" w:hAnsi="宋体"/>
          <w:sz w:val="22"/>
          <w:szCs w:val="28"/>
        </w:rPr>
        <w:t>以及安全文明施工</w:t>
      </w:r>
      <w:bookmarkEnd w:id="1368"/>
      <w:bookmarkEnd w:id="1369"/>
      <w:bookmarkEnd w:id="1370"/>
      <w:bookmarkEnd w:id="1371"/>
      <w:bookmarkEnd w:id="1372"/>
    </w:p>
    <w:p>
      <w:pPr>
        <w:spacing w:after="160" w:line="278" w:lineRule="auto"/>
        <w:rPr>
          <w:rFonts w:ascii="宋体" w:hAnsi="宋体"/>
          <w:sz w:val="22"/>
          <w:szCs w:val="28"/>
        </w:rPr>
      </w:pPr>
      <w:bookmarkStart w:id="1373" w:name="_Toc132618662"/>
      <w:bookmarkStart w:id="1374" w:name="_Toc132619053"/>
      <w:bookmarkStart w:id="1375" w:name="_Toc142385591"/>
      <w:bookmarkStart w:id="1376" w:name="_Toc152042452"/>
      <w:bookmarkStart w:id="1377" w:name="_Toc144974642"/>
      <w:bookmarkStart w:id="1378" w:name="_Toc179632692"/>
      <w:bookmarkStart w:id="1379" w:name="_Toc342296325"/>
      <w:bookmarkStart w:id="1380" w:name="_Toc338944767"/>
      <w:bookmarkStart w:id="1381" w:name="_Toc109914369"/>
      <w:bookmarkStart w:id="1382" w:name="_Toc129798304"/>
      <w:bookmarkStart w:id="1383" w:name="_Toc152045674"/>
      <w:r>
        <w:rPr>
          <w:rFonts w:ascii="宋体" w:hAnsi="宋体"/>
          <w:sz w:val="22"/>
          <w:szCs w:val="28"/>
        </w:rPr>
        <w:t>9.1 发包人的施工安全责任</w:t>
      </w:r>
      <w:bookmarkEnd w:id="1373"/>
      <w:bookmarkEnd w:id="1374"/>
      <w:bookmarkEnd w:id="1375"/>
      <w:bookmarkEnd w:id="1376"/>
      <w:bookmarkEnd w:id="1377"/>
      <w:bookmarkEnd w:id="1378"/>
      <w:bookmarkEnd w:id="1379"/>
      <w:bookmarkEnd w:id="1380"/>
      <w:bookmarkEnd w:id="1381"/>
      <w:bookmarkEnd w:id="1382"/>
      <w:bookmarkEnd w:id="1383"/>
    </w:p>
    <w:p>
      <w:pPr>
        <w:spacing w:after="160" w:line="278" w:lineRule="auto"/>
        <w:rPr>
          <w:rFonts w:ascii="宋体" w:hAnsi="宋体"/>
          <w:sz w:val="22"/>
          <w:szCs w:val="28"/>
        </w:rPr>
      </w:pPr>
      <w:r>
        <w:rPr>
          <w:rFonts w:ascii="宋体" w:hAnsi="宋体"/>
          <w:sz w:val="22"/>
          <w:szCs w:val="28"/>
        </w:rPr>
        <w:t>9.1.1 发包人应按合同约定履行安全职责，授权监理人按合同约定的安全工作内容监督、检查承包人安全工作的实施，组织承包人和有关单位进行安全检查。</w:t>
      </w:r>
    </w:p>
    <w:p>
      <w:pPr>
        <w:spacing w:after="160" w:line="278" w:lineRule="auto"/>
        <w:rPr>
          <w:rFonts w:ascii="宋体" w:hAnsi="宋体"/>
          <w:sz w:val="22"/>
          <w:szCs w:val="28"/>
        </w:rPr>
      </w:pPr>
      <w:r>
        <w:rPr>
          <w:rFonts w:ascii="宋体" w:hAnsi="宋体"/>
          <w:sz w:val="22"/>
          <w:szCs w:val="28"/>
        </w:rPr>
        <w:t>9.1.2 发包人应对其现场机构雇佣的全部人员的工伤事故承担责任，但由于承包人原因造成发包人人员工伤的，应由承包人承担责任。</w:t>
      </w:r>
    </w:p>
    <w:p>
      <w:pPr>
        <w:spacing w:after="160" w:line="278" w:lineRule="auto"/>
        <w:rPr>
          <w:rFonts w:ascii="宋体" w:hAnsi="宋体"/>
          <w:sz w:val="22"/>
          <w:szCs w:val="28"/>
        </w:rPr>
      </w:pPr>
      <w:r>
        <w:rPr>
          <w:rFonts w:ascii="宋体" w:hAnsi="宋体"/>
          <w:sz w:val="22"/>
          <w:szCs w:val="28"/>
        </w:rPr>
        <w:t>9.1.3 发包人应负责赔偿以下各种情况造成的第三者人身伤亡和财产损失：</w:t>
      </w:r>
    </w:p>
    <w:p>
      <w:pPr>
        <w:spacing w:after="160" w:line="278" w:lineRule="auto"/>
        <w:rPr>
          <w:rFonts w:ascii="宋体" w:hAnsi="宋体"/>
          <w:sz w:val="22"/>
          <w:szCs w:val="28"/>
        </w:rPr>
      </w:pPr>
      <w:r>
        <w:rPr>
          <w:rFonts w:ascii="宋体" w:hAnsi="宋体"/>
          <w:sz w:val="22"/>
          <w:szCs w:val="28"/>
        </w:rPr>
        <w:t>（1） 工程或工程的任何部分对土地的占用所造成的第三者财产损失；</w:t>
      </w:r>
    </w:p>
    <w:p>
      <w:pPr>
        <w:spacing w:after="160" w:line="278" w:lineRule="auto"/>
        <w:rPr>
          <w:rFonts w:ascii="宋体" w:hAnsi="宋体"/>
          <w:sz w:val="22"/>
          <w:szCs w:val="28"/>
        </w:rPr>
      </w:pPr>
      <w:r>
        <w:rPr>
          <w:rFonts w:ascii="宋体" w:hAnsi="宋体"/>
          <w:sz w:val="22"/>
          <w:szCs w:val="28"/>
        </w:rPr>
        <w:t>（2） 由于发包人原因在施工场地及其毗邻地带造成的第三者人身伤亡和财产损失。</w:t>
      </w:r>
    </w:p>
    <w:p>
      <w:pPr>
        <w:spacing w:after="160" w:line="278" w:lineRule="auto"/>
        <w:rPr>
          <w:rFonts w:ascii="宋体" w:hAnsi="宋体"/>
          <w:sz w:val="22"/>
          <w:szCs w:val="28"/>
        </w:rPr>
      </w:pPr>
      <w:bookmarkStart w:id="1384" w:name="_Toc129798305"/>
      <w:bookmarkStart w:id="1385" w:name="_Toc142385592"/>
      <w:bookmarkStart w:id="1386" w:name="_Toc342296326"/>
      <w:bookmarkStart w:id="1387" w:name="_Toc132619054"/>
      <w:bookmarkStart w:id="1388" w:name="_Toc132618663"/>
      <w:bookmarkStart w:id="1389" w:name="_Toc338944768"/>
      <w:bookmarkStart w:id="1390" w:name="_Toc109914370"/>
      <w:r>
        <w:rPr>
          <w:rFonts w:ascii="宋体" w:hAnsi="宋体"/>
          <w:sz w:val="22"/>
          <w:szCs w:val="28"/>
        </w:rPr>
        <w:t>9.2 承包人的施工安全责任</w:t>
      </w:r>
      <w:bookmarkEnd w:id="1384"/>
      <w:bookmarkEnd w:id="1385"/>
      <w:bookmarkEnd w:id="1386"/>
      <w:bookmarkEnd w:id="1387"/>
      <w:bookmarkEnd w:id="1388"/>
      <w:bookmarkEnd w:id="1389"/>
      <w:bookmarkEnd w:id="1390"/>
    </w:p>
    <w:p>
      <w:pPr>
        <w:spacing w:after="160" w:line="278" w:lineRule="auto"/>
        <w:rPr>
          <w:rFonts w:ascii="宋体" w:hAnsi="宋体"/>
          <w:sz w:val="22"/>
          <w:szCs w:val="28"/>
        </w:rPr>
      </w:pPr>
      <w:r>
        <w:rPr>
          <w:rFonts w:ascii="宋体" w:hAnsi="宋体"/>
          <w:sz w:val="22"/>
          <w:szCs w:val="28"/>
        </w:rPr>
        <w:t>9.2.1 承包人应按合同约定履行安全职责,执行监理人有关安全工作的指示,并在专用合同条款约定的期限内，按合同约定的安全工作内容，编制施工安全措施计划报送监理人审批。</w:t>
      </w:r>
    </w:p>
    <w:p>
      <w:pPr>
        <w:spacing w:after="160" w:line="278" w:lineRule="auto"/>
        <w:rPr>
          <w:rFonts w:ascii="宋体" w:hAnsi="宋体"/>
          <w:sz w:val="22"/>
          <w:szCs w:val="28"/>
        </w:rPr>
      </w:pPr>
      <w:r>
        <w:rPr>
          <w:rFonts w:ascii="宋体" w:hAnsi="宋体"/>
          <w:sz w:val="22"/>
          <w:szCs w:val="28"/>
        </w:rPr>
        <w:t>9.2.2 承包人应加强施工作业安全管理，特别应加强易燃、易爆材料、火工器材、有毒与腐蚀性材料和其他危险品的管理，以及对爆破作业和地下工程施工等危险作业的管理。</w:t>
      </w:r>
    </w:p>
    <w:p>
      <w:pPr>
        <w:spacing w:after="160" w:line="278" w:lineRule="auto"/>
        <w:rPr>
          <w:rFonts w:ascii="宋体" w:hAnsi="宋体"/>
          <w:sz w:val="22"/>
          <w:szCs w:val="28"/>
        </w:rPr>
      </w:pPr>
      <w:r>
        <w:rPr>
          <w:rFonts w:ascii="宋体" w:hAnsi="宋体"/>
          <w:sz w:val="22"/>
          <w:szCs w:val="28"/>
        </w:rPr>
        <w:t>9.2.3 承包人应严格按照国家安全标准制定施工安全操作规程，配备必要的安全生产和劳动保护设施，加强对承包人人员的安全教育，并发放安全工作手册和劳动保护用具。</w:t>
      </w:r>
    </w:p>
    <w:p>
      <w:pPr>
        <w:spacing w:after="160" w:line="278" w:lineRule="auto"/>
        <w:rPr>
          <w:rFonts w:ascii="宋体" w:hAnsi="宋体"/>
          <w:sz w:val="22"/>
          <w:szCs w:val="28"/>
        </w:rPr>
      </w:pPr>
      <w:r>
        <w:rPr>
          <w:rFonts w:ascii="宋体" w:hAnsi="宋体"/>
          <w:sz w:val="22"/>
          <w:szCs w:val="28"/>
        </w:rPr>
        <w:t>9.2.4 承包人应按监理人的指示制定应对灾害的紧急预案，报送监理人审批。承包人还应按预案做好安全检查，配置必要的救助物资和器材，切实保护好有关人员的人身和财产安全。</w:t>
      </w:r>
    </w:p>
    <w:p>
      <w:pPr>
        <w:spacing w:after="160" w:line="278" w:lineRule="auto"/>
        <w:rPr>
          <w:rFonts w:ascii="宋体" w:hAnsi="宋体"/>
          <w:sz w:val="22"/>
          <w:szCs w:val="28"/>
        </w:rPr>
      </w:pPr>
      <w:r>
        <w:rPr>
          <w:rFonts w:ascii="宋体" w:hAnsi="宋体"/>
          <w:sz w:val="22"/>
          <w:szCs w:val="28"/>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after="160" w:line="278" w:lineRule="auto"/>
        <w:rPr>
          <w:rFonts w:ascii="宋体" w:hAnsi="宋体"/>
          <w:sz w:val="22"/>
          <w:szCs w:val="28"/>
        </w:rPr>
      </w:pPr>
      <w:r>
        <w:rPr>
          <w:rFonts w:ascii="宋体" w:hAnsi="宋体"/>
          <w:sz w:val="22"/>
          <w:szCs w:val="28"/>
        </w:rPr>
        <w:t>9.2.6 承包人应对其履行合同所雇佣的全部人员，包括分包人人员的工伤事故承担责任，但由于发包人原因造成承包人人员工伤事故的，应由发包人承担责任。</w:t>
      </w:r>
    </w:p>
    <w:p>
      <w:pPr>
        <w:spacing w:after="160" w:line="278" w:lineRule="auto"/>
        <w:rPr>
          <w:rFonts w:ascii="宋体" w:hAnsi="宋体"/>
          <w:sz w:val="22"/>
          <w:szCs w:val="28"/>
        </w:rPr>
      </w:pPr>
      <w:r>
        <w:rPr>
          <w:rFonts w:ascii="宋体" w:hAnsi="宋体"/>
          <w:sz w:val="22"/>
          <w:szCs w:val="28"/>
        </w:rPr>
        <w:t>9.2.7 由于承包人原因在施工场地内及其毗邻地带造成的第三者人员伤亡和财产损失，由承包人负责赔偿。</w:t>
      </w:r>
    </w:p>
    <w:p>
      <w:pPr>
        <w:spacing w:after="160" w:line="278" w:lineRule="auto"/>
        <w:rPr>
          <w:rFonts w:ascii="宋体" w:hAnsi="宋体"/>
          <w:sz w:val="22"/>
          <w:szCs w:val="28"/>
        </w:rPr>
      </w:pPr>
      <w:r>
        <w:rPr>
          <w:rFonts w:hint="eastAsia" w:ascii="宋体" w:hAnsi="宋体"/>
          <w:sz w:val="22"/>
          <w:szCs w:val="28"/>
        </w:rPr>
        <w:t>9.2.8 承包人应签署《施工安全协议书》（第七节），并严格按照第七节《施工安全协议书》中内容执行。</w:t>
      </w:r>
    </w:p>
    <w:p>
      <w:pPr>
        <w:spacing w:after="160" w:line="278" w:lineRule="auto"/>
        <w:rPr>
          <w:rFonts w:ascii="宋体" w:hAnsi="宋体"/>
          <w:sz w:val="22"/>
          <w:szCs w:val="28"/>
        </w:rPr>
      </w:pPr>
      <w:bookmarkStart w:id="1391" w:name="_Toc342296327"/>
      <w:bookmarkStart w:id="1392" w:name="_Toc132619055"/>
      <w:bookmarkStart w:id="1393" w:name="_Toc109914371"/>
      <w:bookmarkStart w:id="1394" w:name="_Toc142385593"/>
      <w:bookmarkStart w:id="1395" w:name="_Toc338944769"/>
      <w:bookmarkStart w:id="1396" w:name="_Toc132618664"/>
      <w:bookmarkStart w:id="1397" w:name="_Toc129798306"/>
      <w:r>
        <w:rPr>
          <w:rFonts w:ascii="宋体" w:hAnsi="宋体"/>
          <w:sz w:val="22"/>
          <w:szCs w:val="28"/>
        </w:rPr>
        <w:t>9.3 治安保卫</w:t>
      </w:r>
      <w:bookmarkEnd w:id="1391"/>
      <w:bookmarkEnd w:id="1392"/>
      <w:bookmarkEnd w:id="1393"/>
      <w:bookmarkEnd w:id="1394"/>
      <w:bookmarkEnd w:id="1395"/>
      <w:bookmarkEnd w:id="1396"/>
      <w:bookmarkEnd w:id="1397"/>
    </w:p>
    <w:p>
      <w:pPr>
        <w:spacing w:after="160" w:line="278" w:lineRule="auto"/>
        <w:rPr>
          <w:rFonts w:ascii="宋体" w:hAnsi="宋体"/>
          <w:sz w:val="22"/>
          <w:szCs w:val="28"/>
        </w:rPr>
      </w:pPr>
      <w:r>
        <w:rPr>
          <w:rFonts w:ascii="宋体" w:hAnsi="宋体"/>
          <w:sz w:val="22"/>
          <w:szCs w:val="28"/>
        </w:rPr>
        <w:t>9.3.1 除合同另有约定外，发包人应与当地公安部门协商，在现场建立治安管理机构或联防组织，统一管理施工场地的治安保卫事项，履行合同工程的治安保卫职责。</w:t>
      </w:r>
    </w:p>
    <w:p>
      <w:pPr>
        <w:spacing w:after="160" w:line="278" w:lineRule="auto"/>
        <w:rPr>
          <w:rFonts w:ascii="宋体" w:hAnsi="宋体"/>
          <w:sz w:val="22"/>
          <w:szCs w:val="28"/>
        </w:rPr>
      </w:pPr>
      <w:r>
        <w:rPr>
          <w:rFonts w:ascii="宋体" w:hAnsi="宋体"/>
          <w:sz w:val="22"/>
          <w:szCs w:val="28"/>
        </w:rPr>
        <w:t>9.3.2 发包人和承包人除应协助现场治安管理机构或联防组织维护施工场地的社会治安外，还应做好包括生活区在内的各自管辖区的治安保卫工作。</w:t>
      </w:r>
    </w:p>
    <w:p>
      <w:pPr>
        <w:spacing w:after="160" w:line="278" w:lineRule="auto"/>
        <w:rPr>
          <w:rFonts w:ascii="宋体" w:hAnsi="宋体"/>
          <w:sz w:val="22"/>
          <w:szCs w:val="28"/>
        </w:rPr>
      </w:pPr>
      <w:r>
        <w:rPr>
          <w:rFonts w:ascii="宋体" w:hAnsi="宋体"/>
          <w:sz w:val="22"/>
          <w:szCs w:val="28"/>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after="160" w:line="278" w:lineRule="auto"/>
        <w:rPr>
          <w:rFonts w:ascii="宋体" w:hAnsi="宋体"/>
          <w:sz w:val="22"/>
          <w:szCs w:val="28"/>
        </w:rPr>
      </w:pPr>
      <w:bookmarkStart w:id="1398" w:name="_Toc132618665"/>
      <w:bookmarkStart w:id="1399" w:name="_Toc129798307"/>
      <w:bookmarkStart w:id="1400" w:name="_Toc338944770"/>
      <w:bookmarkStart w:id="1401" w:name="_Toc342296328"/>
      <w:bookmarkStart w:id="1402" w:name="_Toc109914372"/>
      <w:bookmarkStart w:id="1403" w:name="_Toc142385594"/>
      <w:bookmarkStart w:id="1404" w:name="_Toc132619056"/>
      <w:r>
        <w:rPr>
          <w:rFonts w:ascii="宋体" w:hAnsi="宋体"/>
          <w:sz w:val="22"/>
          <w:szCs w:val="28"/>
        </w:rPr>
        <w:t>9.4 环境保护</w:t>
      </w:r>
      <w:bookmarkEnd w:id="1398"/>
      <w:bookmarkEnd w:id="1399"/>
      <w:bookmarkEnd w:id="1400"/>
      <w:bookmarkEnd w:id="1401"/>
      <w:bookmarkEnd w:id="1402"/>
      <w:bookmarkEnd w:id="1403"/>
      <w:bookmarkEnd w:id="1404"/>
    </w:p>
    <w:p>
      <w:pPr>
        <w:spacing w:after="160" w:line="278" w:lineRule="auto"/>
        <w:rPr>
          <w:rFonts w:ascii="宋体" w:hAnsi="宋体"/>
          <w:sz w:val="22"/>
          <w:szCs w:val="28"/>
        </w:rPr>
      </w:pPr>
      <w:r>
        <w:rPr>
          <w:rFonts w:ascii="宋体" w:hAnsi="宋体"/>
          <w:sz w:val="22"/>
          <w:szCs w:val="28"/>
        </w:rPr>
        <w:t>9.4.1 承包人在施工过程中，应遵守有关环境保护的法律，履行合同约定的环境保护义务，并对违反法律和合同约定义务所造成的环境破坏、人身伤害和财产损失负责。</w:t>
      </w:r>
    </w:p>
    <w:p>
      <w:pPr>
        <w:spacing w:after="160" w:line="278" w:lineRule="auto"/>
        <w:rPr>
          <w:rFonts w:ascii="宋体" w:hAnsi="宋体"/>
          <w:sz w:val="22"/>
          <w:szCs w:val="28"/>
        </w:rPr>
      </w:pPr>
      <w:r>
        <w:rPr>
          <w:rFonts w:ascii="宋体" w:hAnsi="宋体"/>
          <w:sz w:val="22"/>
          <w:szCs w:val="28"/>
        </w:rPr>
        <w:t>9.4.2 承包人应按合同约定的环保工作内容，编制施工环保措施计划，报送监理人审批。</w:t>
      </w:r>
    </w:p>
    <w:p>
      <w:pPr>
        <w:spacing w:after="160" w:line="278" w:lineRule="auto"/>
        <w:rPr>
          <w:rFonts w:ascii="宋体" w:hAnsi="宋体"/>
          <w:sz w:val="22"/>
          <w:szCs w:val="28"/>
        </w:rPr>
      </w:pPr>
      <w:r>
        <w:rPr>
          <w:rFonts w:ascii="宋体" w:hAnsi="宋体"/>
          <w:sz w:val="22"/>
          <w:szCs w:val="28"/>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after="160" w:line="278" w:lineRule="auto"/>
        <w:rPr>
          <w:rFonts w:ascii="宋体" w:hAnsi="宋体"/>
          <w:sz w:val="22"/>
          <w:szCs w:val="28"/>
        </w:rPr>
      </w:pPr>
      <w:r>
        <w:rPr>
          <w:rFonts w:ascii="宋体" w:hAnsi="宋体"/>
          <w:sz w:val="22"/>
          <w:szCs w:val="28"/>
        </w:rPr>
        <w:t>9.4.4 承包人应按合同约定采取有效措施，对施工开挖的边坡及时进行支护,维护排水设施，并进行水土保护，避免因施工造成的地质灾害。</w:t>
      </w:r>
    </w:p>
    <w:p>
      <w:pPr>
        <w:spacing w:after="160" w:line="278" w:lineRule="auto"/>
        <w:rPr>
          <w:rFonts w:ascii="宋体" w:hAnsi="宋体"/>
          <w:sz w:val="22"/>
          <w:szCs w:val="28"/>
        </w:rPr>
      </w:pPr>
      <w:r>
        <w:rPr>
          <w:rFonts w:ascii="宋体" w:hAnsi="宋体"/>
          <w:sz w:val="22"/>
          <w:szCs w:val="28"/>
        </w:rPr>
        <w:t>9.4.5 承包人应按国家饮用水管理标准定期对饮用水源进行监测，防止施工活动污染饮用水源。</w:t>
      </w:r>
    </w:p>
    <w:p>
      <w:pPr>
        <w:spacing w:after="160" w:line="278" w:lineRule="auto"/>
        <w:rPr>
          <w:rFonts w:ascii="宋体" w:hAnsi="宋体"/>
          <w:sz w:val="22"/>
          <w:szCs w:val="28"/>
        </w:rPr>
      </w:pPr>
      <w:r>
        <w:rPr>
          <w:rFonts w:ascii="宋体" w:hAnsi="宋体"/>
          <w:sz w:val="22"/>
          <w:szCs w:val="28"/>
        </w:rPr>
        <w:t>9.4.6 承包人应按合同约定，加强对噪声、粉尘、废气、废水和废油的控制，努力降低噪声，控制粉尘和废气浓度，做好废水和废油的治理和排放。</w:t>
      </w:r>
    </w:p>
    <w:p>
      <w:pPr>
        <w:spacing w:after="160" w:line="278" w:lineRule="auto"/>
        <w:rPr>
          <w:rFonts w:ascii="宋体" w:hAnsi="宋体"/>
          <w:sz w:val="22"/>
          <w:szCs w:val="28"/>
        </w:rPr>
      </w:pPr>
      <w:bookmarkStart w:id="1405" w:name="_Toc338944771"/>
      <w:bookmarkStart w:id="1406" w:name="_Toc179632696"/>
      <w:bookmarkStart w:id="1407" w:name="_Toc129798308"/>
      <w:bookmarkStart w:id="1408" w:name="_Toc144974646"/>
      <w:bookmarkStart w:id="1409" w:name="_Toc342296329"/>
      <w:bookmarkStart w:id="1410" w:name="_Toc132618666"/>
      <w:bookmarkStart w:id="1411" w:name="_Toc142385595"/>
      <w:bookmarkStart w:id="1412" w:name="_Toc109914373"/>
      <w:bookmarkStart w:id="1413" w:name="_Toc152042456"/>
      <w:bookmarkStart w:id="1414" w:name="_Toc152045678"/>
      <w:bookmarkStart w:id="1415" w:name="_Toc132619057"/>
      <w:r>
        <w:rPr>
          <w:rFonts w:ascii="宋体" w:hAnsi="宋体"/>
          <w:sz w:val="22"/>
          <w:szCs w:val="28"/>
        </w:rPr>
        <w:t>9.5 事故处理</w:t>
      </w:r>
      <w:bookmarkEnd w:id="1405"/>
      <w:bookmarkEnd w:id="1406"/>
      <w:bookmarkEnd w:id="1407"/>
      <w:bookmarkEnd w:id="1408"/>
      <w:bookmarkEnd w:id="1409"/>
      <w:bookmarkEnd w:id="1410"/>
      <w:bookmarkEnd w:id="1411"/>
      <w:bookmarkEnd w:id="1412"/>
      <w:bookmarkEnd w:id="1413"/>
      <w:bookmarkEnd w:id="1414"/>
      <w:bookmarkEnd w:id="1415"/>
    </w:p>
    <w:p>
      <w:pPr>
        <w:spacing w:after="160" w:line="278" w:lineRule="auto"/>
        <w:rPr>
          <w:rFonts w:ascii="宋体" w:hAnsi="宋体"/>
          <w:sz w:val="22"/>
          <w:szCs w:val="28"/>
        </w:rPr>
      </w:pPr>
      <w:r>
        <w:rPr>
          <w:rFonts w:ascii="宋体" w:hAnsi="宋体"/>
          <w:sz w:val="22"/>
          <w:szCs w:val="2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after="160" w:line="278" w:lineRule="auto"/>
        <w:rPr>
          <w:rFonts w:ascii="宋体" w:hAnsi="宋体"/>
          <w:sz w:val="22"/>
          <w:szCs w:val="28"/>
        </w:rPr>
      </w:pPr>
      <w:bookmarkStart w:id="1416" w:name="_Toc129798309"/>
      <w:bookmarkStart w:id="1417" w:name="_Toc109914374"/>
      <w:bookmarkStart w:id="1418" w:name="_Toc132619058"/>
      <w:bookmarkStart w:id="1419" w:name="_Toc142385596"/>
      <w:bookmarkStart w:id="1420" w:name="_Toc132618667"/>
      <w:r>
        <w:rPr>
          <w:rFonts w:ascii="宋体" w:hAnsi="宋体"/>
          <w:sz w:val="22"/>
          <w:szCs w:val="28"/>
        </w:rPr>
        <w:t xml:space="preserve">9.5 </w:t>
      </w:r>
      <w:r>
        <w:rPr>
          <w:rFonts w:hint="eastAsia" w:ascii="宋体" w:hAnsi="宋体"/>
          <w:sz w:val="22"/>
          <w:szCs w:val="28"/>
        </w:rPr>
        <w:t>安全文明施工</w:t>
      </w:r>
      <w:bookmarkEnd w:id="1416"/>
      <w:bookmarkEnd w:id="1417"/>
      <w:bookmarkEnd w:id="1418"/>
      <w:bookmarkEnd w:id="1419"/>
      <w:bookmarkEnd w:id="1420"/>
    </w:p>
    <w:p>
      <w:pPr>
        <w:spacing w:after="160" w:line="278" w:lineRule="auto"/>
        <w:rPr>
          <w:rFonts w:ascii="宋体" w:hAnsi="宋体"/>
          <w:sz w:val="22"/>
          <w:szCs w:val="28"/>
        </w:rPr>
      </w:pPr>
      <w:r>
        <w:rPr>
          <w:rFonts w:ascii="宋体" w:hAnsi="宋体"/>
          <w:sz w:val="22"/>
          <w:szCs w:val="28"/>
        </w:rPr>
        <w:t xml:space="preserve">9.5.1 </w:t>
      </w:r>
      <w:r>
        <w:rPr>
          <w:rFonts w:hint="eastAsia" w:ascii="宋体" w:hAnsi="宋体"/>
          <w:sz w:val="22"/>
          <w:szCs w:val="28"/>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after="160" w:line="278" w:lineRule="auto"/>
        <w:rPr>
          <w:rFonts w:ascii="宋体" w:hAnsi="宋体"/>
          <w:sz w:val="22"/>
          <w:szCs w:val="28"/>
        </w:rPr>
      </w:pPr>
      <w:r>
        <w:rPr>
          <w:rFonts w:hint="eastAsia" w:ascii="宋体" w:hAnsi="宋体"/>
          <w:sz w:val="22"/>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after="160" w:line="278" w:lineRule="auto"/>
        <w:rPr>
          <w:rFonts w:ascii="宋体" w:hAnsi="宋体"/>
          <w:sz w:val="22"/>
          <w:szCs w:val="28"/>
        </w:rPr>
      </w:pPr>
      <w:r>
        <w:rPr>
          <w:rFonts w:ascii="宋体" w:hAnsi="宋体"/>
          <w:sz w:val="22"/>
          <w:szCs w:val="28"/>
        </w:rPr>
        <w:t xml:space="preserve">9.5.2 </w:t>
      </w:r>
      <w:r>
        <w:rPr>
          <w:rFonts w:hint="eastAsia" w:ascii="宋体" w:hAnsi="宋体"/>
          <w:sz w:val="22"/>
          <w:szCs w:val="28"/>
        </w:rPr>
        <w:t>安全文明施工费由发包人承担，发包人不得以任何形式扣减该部分费用。因基准日期后合同所适用的法律或政府有关规定发生变化，增加的安全文明施工费由发包人承担。</w:t>
      </w:r>
    </w:p>
    <w:p>
      <w:pPr>
        <w:spacing w:after="160" w:line="278" w:lineRule="auto"/>
        <w:rPr>
          <w:rFonts w:ascii="宋体" w:hAnsi="宋体"/>
          <w:sz w:val="22"/>
          <w:szCs w:val="28"/>
        </w:rPr>
      </w:pPr>
      <w:r>
        <w:rPr>
          <w:rFonts w:hint="eastAsia" w:ascii="宋体" w:hAnsi="宋体"/>
          <w:sz w:val="22"/>
          <w:szCs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after="160" w:line="278" w:lineRule="auto"/>
        <w:rPr>
          <w:rFonts w:ascii="宋体" w:hAnsi="宋体"/>
          <w:sz w:val="22"/>
          <w:szCs w:val="28"/>
        </w:rPr>
      </w:pPr>
      <w:r>
        <w:rPr>
          <w:rFonts w:hint="eastAsia" w:ascii="宋体" w:hAnsi="宋体"/>
          <w:sz w:val="22"/>
          <w:szCs w:val="28"/>
        </w:rPr>
        <w:t>除专用合同条款另有约定外，发包人应在开工后</w:t>
      </w:r>
      <w:r>
        <w:rPr>
          <w:rFonts w:ascii="宋体" w:hAnsi="宋体"/>
          <w:sz w:val="22"/>
          <w:szCs w:val="28"/>
        </w:rPr>
        <w:t>28天内预付安全文明施工费总额的50%，其余部分与进度款同期支付。发包人逾期支付安全文明施工费超过7天的，承包人有权向发包人发出要求预付的催告通知，发包人收到通知后7天内仍未支付的，承包人有权暂停施工。</w:t>
      </w:r>
    </w:p>
    <w:p>
      <w:pPr>
        <w:spacing w:after="160" w:line="278" w:lineRule="auto"/>
        <w:rPr>
          <w:rFonts w:ascii="宋体" w:hAnsi="宋体"/>
          <w:sz w:val="22"/>
          <w:szCs w:val="28"/>
        </w:rPr>
      </w:pPr>
      <w:r>
        <w:rPr>
          <w:rFonts w:hint="eastAsia" w:ascii="宋体" w:hAnsi="宋体"/>
          <w:sz w:val="22"/>
          <w:szCs w:val="28"/>
        </w:rPr>
        <w:t>安全文明施工费应专款专用，应在财务账目中单独列项备查，不得挪作他用，否则发包人有权责令其限期改正；逾期未改正的，可以责令其暂停施工，由此增加的费用和（或）延误的工期由承包人承担。且安全文明施工费应根据相关施工措施和市场价格测算确定，但不得低于北京市建设工程安全文明施工费管理办法（试行）中规定的费用标准（费率）计算的金额，且不得作为让利因素。施工现场安全生产标准化管理目标应符合合同约定中等级要求，且不得低于京建发〔</w:t>
      </w:r>
      <w:r>
        <w:rPr>
          <w:rFonts w:ascii="宋体" w:hAnsi="宋体"/>
          <w:sz w:val="22"/>
          <w:szCs w:val="28"/>
        </w:rPr>
        <w:t>2019〕13号《图集》中达标（合格）标准。</w:t>
      </w:r>
    </w:p>
    <w:p>
      <w:pPr>
        <w:spacing w:after="160" w:line="278" w:lineRule="auto"/>
        <w:rPr>
          <w:rFonts w:ascii="宋体" w:hAnsi="宋体"/>
          <w:sz w:val="22"/>
          <w:szCs w:val="28"/>
        </w:rPr>
      </w:pPr>
      <w:bookmarkStart w:id="1421" w:name="_Toc342296330"/>
      <w:bookmarkStart w:id="1422" w:name="_Toc129798310"/>
      <w:bookmarkStart w:id="1423" w:name="_Toc109914375"/>
      <w:bookmarkStart w:id="1424" w:name="_Toc448758431"/>
      <w:bookmarkStart w:id="1425" w:name="_Toc338944772"/>
      <w:bookmarkStart w:id="1426" w:name="_Toc448758531"/>
      <w:bookmarkStart w:id="1427" w:name="_Toc469660026"/>
      <w:bookmarkStart w:id="1428" w:name="_Toc442365623"/>
      <w:bookmarkStart w:id="1429" w:name="_Toc132619059"/>
      <w:bookmarkStart w:id="1430" w:name="_Toc142385597"/>
      <w:bookmarkStart w:id="1431" w:name="_Toc132618668"/>
      <w:r>
        <w:rPr>
          <w:rFonts w:ascii="宋体" w:hAnsi="宋体"/>
          <w:sz w:val="22"/>
          <w:szCs w:val="28"/>
        </w:rPr>
        <w:t>10. 进度计划</w:t>
      </w:r>
      <w:bookmarkEnd w:id="1421"/>
      <w:bookmarkEnd w:id="1422"/>
      <w:bookmarkEnd w:id="1423"/>
      <w:bookmarkEnd w:id="1424"/>
      <w:bookmarkEnd w:id="1425"/>
      <w:bookmarkEnd w:id="1426"/>
      <w:bookmarkEnd w:id="1427"/>
      <w:bookmarkEnd w:id="1428"/>
      <w:bookmarkEnd w:id="1429"/>
      <w:bookmarkEnd w:id="1430"/>
      <w:bookmarkEnd w:id="1431"/>
    </w:p>
    <w:p>
      <w:pPr>
        <w:spacing w:after="160" w:line="278" w:lineRule="auto"/>
        <w:rPr>
          <w:rFonts w:ascii="宋体" w:hAnsi="宋体"/>
          <w:sz w:val="22"/>
          <w:szCs w:val="28"/>
        </w:rPr>
      </w:pPr>
      <w:bookmarkStart w:id="1432" w:name="_Toc142385598"/>
      <w:bookmarkStart w:id="1433" w:name="_Toc109914376"/>
      <w:bookmarkStart w:id="1434" w:name="_Toc338944773"/>
      <w:bookmarkStart w:id="1435" w:name="_Toc132619060"/>
      <w:bookmarkStart w:id="1436" w:name="_Toc342296331"/>
      <w:bookmarkStart w:id="1437" w:name="_Toc129798311"/>
      <w:bookmarkStart w:id="1438" w:name="_Toc132618669"/>
      <w:r>
        <w:rPr>
          <w:rFonts w:ascii="宋体" w:hAnsi="宋体"/>
          <w:sz w:val="22"/>
          <w:szCs w:val="28"/>
        </w:rPr>
        <w:t>10.1 合同进度计划</w:t>
      </w:r>
      <w:bookmarkEnd w:id="1432"/>
      <w:bookmarkEnd w:id="1433"/>
      <w:bookmarkEnd w:id="1434"/>
      <w:bookmarkEnd w:id="1435"/>
      <w:bookmarkEnd w:id="1436"/>
      <w:bookmarkEnd w:id="1437"/>
      <w:bookmarkEnd w:id="1438"/>
    </w:p>
    <w:p>
      <w:pPr>
        <w:spacing w:after="160" w:line="278" w:lineRule="auto"/>
        <w:rPr>
          <w:rFonts w:ascii="宋体" w:hAnsi="宋体"/>
          <w:sz w:val="22"/>
          <w:szCs w:val="28"/>
        </w:rPr>
      </w:pPr>
      <w:r>
        <w:rPr>
          <w:rFonts w:ascii="宋体" w:hAnsi="宋体"/>
          <w:sz w:val="22"/>
          <w:szCs w:val="28"/>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spacing w:after="160" w:line="278" w:lineRule="auto"/>
        <w:rPr>
          <w:rFonts w:ascii="宋体" w:hAnsi="宋体"/>
          <w:sz w:val="22"/>
          <w:szCs w:val="28"/>
        </w:rPr>
      </w:pPr>
      <w:bookmarkStart w:id="1439" w:name="_Toc129798312"/>
      <w:bookmarkStart w:id="1440" w:name="_Toc132618670"/>
      <w:bookmarkStart w:id="1441" w:name="_Toc342296332"/>
      <w:bookmarkStart w:id="1442" w:name="_Toc109914377"/>
      <w:bookmarkStart w:id="1443" w:name="_Toc142385599"/>
      <w:bookmarkStart w:id="1444" w:name="_Toc338944774"/>
      <w:bookmarkStart w:id="1445" w:name="_Toc132619061"/>
      <w:r>
        <w:rPr>
          <w:rFonts w:ascii="宋体" w:hAnsi="宋体"/>
          <w:sz w:val="22"/>
          <w:szCs w:val="28"/>
        </w:rPr>
        <w:t>10.2 合同进度计划的修订</w:t>
      </w:r>
      <w:bookmarkEnd w:id="1439"/>
      <w:bookmarkEnd w:id="1440"/>
      <w:bookmarkEnd w:id="1441"/>
      <w:bookmarkEnd w:id="1442"/>
      <w:bookmarkEnd w:id="1443"/>
      <w:bookmarkEnd w:id="1444"/>
      <w:bookmarkEnd w:id="1445"/>
    </w:p>
    <w:p>
      <w:pPr>
        <w:spacing w:after="160" w:line="278" w:lineRule="auto"/>
        <w:rPr>
          <w:rFonts w:ascii="宋体" w:hAnsi="宋体"/>
          <w:sz w:val="22"/>
          <w:szCs w:val="28"/>
        </w:rPr>
      </w:pPr>
      <w:r>
        <w:rPr>
          <w:rFonts w:ascii="宋体" w:hAnsi="宋体"/>
          <w:sz w:val="22"/>
          <w:szCs w:val="28"/>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spacing w:after="160" w:line="278" w:lineRule="auto"/>
        <w:rPr>
          <w:rFonts w:ascii="宋体" w:hAnsi="宋体"/>
          <w:sz w:val="22"/>
          <w:szCs w:val="28"/>
        </w:rPr>
      </w:pPr>
      <w:bookmarkStart w:id="1446" w:name="_Toc109914378"/>
      <w:bookmarkStart w:id="1447" w:name="_Toc338944775"/>
      <w:bookmarkStart w:id="1448" w:name="_Toc469660027"/>
      <w:bookmarkStart w:id="1449" w:name="_Toc342296333"/>
      <w:bookmarkStart w:id="1450" w:name="_Toc448758432"/>
      <w:bookmarkStart w:id="1451" w:name="_Toc142385600"/>
      <w:bookmarkStart w:id="1452" w:name="_Toc448758532"/>
      <w:bookmarkStart w:id="1453" w:name="_Toc132619062"/>
      <w:bookmarkStart w:id="1454" w:name="_Toc129798313"/>
      <w:bookmarkStart w:id="1455" w:name="_Toc442365624"/>
      <w:bookmarkStart w:id="1456" w:name="_Toc132618671"/>
      <w:r>
        <w:rPr>
          <w:rFonts w:ascii="宋体" w:hAnsi="宋体"/>
          <w:sz w:val="22"/>
          <w:szCs w:val="28"/>
        </w:rPr>
        <w:t>11. 开工和竣工</w:t>
      </w:r>
      <w:bookmarkEnd w:id="1446"/>
      <w:bookmarkEnd w:id="1447"/>
      <w:bookmarkEnd w:id="1448"/>
      <w:bookmarkEnd w:id="1449"/>
      <w:bookmarkEnd w:id="1450"/>
      <w:bookmarkEnd w:id="1451"/>
      <w:bookmarkEnd w:id="1452"/>
      <w:bookmarkEnd w:id="1453"/>
      <w:bookmarkEnd w:id="1454"/>
      <w:bookmarkEnd w:id="1455"/>
      <w:bookmarkEnd w:id="1456"/>
    </w:p>
    <w:p>
      <w:pPr>
        <w:spacing w:after="160" w:line="278" w:lineRule="auto"/>
        <w:rPr>
          <w:rFonts w:ascii="宋体" w:hAnsi="宋体"/>
          <w:sz w:val="22"/>
          <w:szCs w:val="28"/>
        </w:rPr>
      </w:pPr>
      <w:bookmarkStart w:id="1457" w:name="_Toc132618672"/>
      <w:bookmarkStart w:id="1458" w:name="_Toc179632701"/>
      <w:bookmarkStart w:id="1459" w:name="_Toc132619063"/>
      <w:bookmarkStart w:id="1460" w:name="_Toc109914379"/>
      <w:bookmarkStart w:id="1461" w:name="_Toc129798314"/>
      <w:bookmarkStart w:id="1462" w:name="_Toc142385601"/>
      <w:bookmarkStart w:id="1463" w:name="_Toc152042461"/>
      <w:bookmarkStart w:id="1464" w:name="_Toc144974651"/>
      <w:bookmarkStart w:id="1465" w:name="_Toc152045683"/>
      <w:bookmarkStart w:id="1466" w:name="_Toc342296334"/>
      <w:bookmarkStart w:id="1467" w:name="_Toc338944776"/>
      <w:r>
        <w:rPr>
          <w:rFonts w:ascii="宋体" w:hAnsi="宋体"/>
          <w:sz w:val="22"/>
          <w:szCs w:val="28"/>
        </w:rPr>
        <w:t>11.1 开工</w:t>
      </w:r>
      <w:bookmarkEnd w:id="1457"/>
      <w:bookmarkEnd w:id="1458"/>
      <w:bookmarkEnd w:id="1459"/>
      <w:bookmarkEnd w:id="1460"/>
      <w:bookmarkEnd w:id="1461"/>
      <w:bookmarkEnd w:id="1462"/>
      <w:bookmarkEnd w:id="1463"/>
      <w:bookmarkEnd w:id="1464"/>
      <w:bookmarkEnd w:id="1465"/>
      <w:bookmarkEnd w:id="1466"/>
      <w:bookmarkEnd w:id="1467"/>
    </w:p>
    <w:p>
      <w:pPr>
        <w:spacing w:after="160" w:line="278" w:lineRule="auto"/>
        <w:rPr>
          <w:rFonts w:ascii="宋体" w:hAnsi="宋体"/>
          <w:sz w:val="22"/>
          <w:szCs w:val="28"/>
        </w:rPr>
      </w:pPr>
      <w:r>
        <w:rPr>
          <w:rFonts w:ascii="宋体" w:hAnsi="宋体"/>
          <w:sz w:val="22"/>
          <w:szCs w:val="28"/>
        </w:rPr>
        <w:t>11.1.1 监理人应在开工日期7天前向承包人发出开工通知。监理人在发出开工通知前应获得发包人同意。工期自监理人发出的开工通知中载明的开工日期起计算。承包人应在开工日期后尽快施工。</w:t>
      </w:r>
    </w:p>
    <w:p>
      <w:pPr>
        <w:spacing w:after="160" w:line="278" w:lineRule="auto"/>
        <w:rPr>
          <w:rFonts w:ascii="宋体" w:hAnsi="宋体"/>
          <w:sz w:val="22"/>
          <w:szCs w:val="28"/>
        </w:rPr>
      </w:pPr>
      <w:r>
        <w:rPr>
          <w:rFonts w:ascii="宋体" w:hAnsi="宋体"/>
          <w:sz w:val="22"/>
          <w:szCs w:val="28"/>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after="160" w:line="278" w:lineRule="auto"/>
        <w:rPr>
          <w:rFonts w:ascii="宋体" w:hAnsi="宋体"/>
          <w:sz w:val="22"/>
          <w:szCs w:val="28"/>
        </w:rPr>
      </w:pPr>
      <w:bookmarkStart w:id="1468" w:name="_Toc152045684"/>
      <w:bookmarkStart w:id="1469" w:name="_Toc129798315"/>
      <w:bookmarkStart w:id="1470" w:name="_Toc152042462"/>
      <w:bookmarkStart w:id="1471" w:name="_Toc142385602"/>
      <w:bookmarkStart w:id="1472" w:name="_Toc342296335"/>
      <w:bookmarkStart w:id="1473" w:name="_Toc144974652"/>
      <w:bookmarkStart w:id="1474" w:name="_Toc338944777"/>
      <w:bookmarkStart w:id="1475" w:name="_Toc109914380"/>
      <w:bookmarkStart w:id="1476" w:name="_Toc179632702"/>
      <w:bookmarkStart w:id="1477" w:name="_Toc132619064"/>
      <w:bookmarkStart w:id="1478" w:name="_Toc132618673"/>
      <w:r>
        <w:rPr>
          <w:rFonts w:ascii="宋体" w:hAnsi="宋体"/>
          <w:sz w:val="22"/>
          <w:szCs w:val="28"/>
        </w:rPr>
        <w:t>11.2 竣工</w:t>
      </w:r>
      <w:bookmarkEnd w:id="1468"/>
      <w:bookmarkEnd w:id="1469"/>
      <w:bookmarkEnd w:id="1470"/>
      <w:bookmarkEnd w:id="1471"/>
      <w:bookmarkEnd w:id="1472"/>
      <w:bookmarkEnd w:id="1473"/>
      <w:bookmarkEnd w:id="1474"/>
      <w:bookmarkEnd w:id="1475"/>
      <w:bookmarkEnd w:id="1476"/>
      <w:bookmarkEnd w:id="1477"/>
      <w:bookmarkEnd w:id="1478"/>
    </w:p>
    <w:p>
      <w:pPr>
        <w:spacing w:after="160" w:line="278" w:lineRule="auto"/>
        <w:rPr>
          <w:rFonts w:ascii="宋体" w:hAnsi="宋体"/>
          <w:sz w:val="22"/>
          <w:szCs w:val="28"/>
        </w:rPr>
      </w:pPr>
      <w:r>
        <w:rPr>
          <w:rFonts w:ascii="宋体" w:hAnsi="宋体"/>
          <w:sz w:val="22"/>
          <w:szCs w:val="28"/>
        </w:rPr>
        <w:t>承包人应在第1.1.4.3目约定的期限内完成合同工程。实际竣工日期在接收证书中写明。</w:t>
      </w:r>
    </w:p>
    <w:p>
      <w:pPr>
        <w:spacing w:after="160" w:line="278" w:lineRule="auto"/>
        <w:rPr>
          <w:rFonts w:ascii="宋体" w:hAnsi="宋体"/>
          <w:sz w:val="22"/>
          <w:szCs w:val="28"/>
        </w:rPr>
      </w:pPr>
      <w:bookmarkStart w:id="1479" w:name="_Toc132619065"/>
      <w:bookmarkStart w:id="1480" w:name="_Toc338944778"/>
      <w:bookmarkStart w:id="1481" w:name="_Toc342296336"/>
      <w:bookmarkStart w:id="1482" w:name="_Toc109914381"/>
      <w:bookmarkStart w:id="1483" w:name="_Toc129798316"/>
      <w:bookmarkStart w:id="1484" w:name="_Toc132618674"/>
      <w:bookmarkStart w:id="1485" w:name="_Toc142385603"/>
      <w:r>
        <w:rPr>
          <w:rFonts w:ascii="宋体" w:hAnsi="宋体"/>
          <w:sz w:val="22"/>
          <w:szCs w:val="28"/>
        </w:rPr>
        <w:t>11.3 发包人的工期延误</w:t>
      </w:r>
      <w:bookmarkEnd w:id="1479"/>
      <w:bookmarkEnd w:id="1480"/>
      <w:bookmarkEnd w:id="1481"/>
      <w:bookmarkEnd w:id="1482"/>
      <w:bookmarkEnd w:id="1483"/>
      <w:bookmarkEnd w:id="1484"/>
      <w:bookmarkEnd w:id="1485"/>
    </w:p>
    <w:p>
      <w:pPr>
        <w:spacing w:after="160" w:line="278" w:lineRule="auto"/>
        <w:rPr>
          <w:rFonts w:ascii="宋体" w:hAnsi="宋体"/>
          <w:sz w:val="22"/>
          <w:szCs w:val="28"/>
        </w:rPr>
      </w:pPr>
      <w:r>
        <w:rPr>
          <w:rFonts w:ascii="宋体" w:hAnsi="宋体"/>
          <w:sz w:val="22"/>
          <w:szCs w:val="28"/>
        </w:rPr>
        <w:t>在履行合同过程中，由于发包人的下列原因造成工期延误的，承包人有权要求发包人延长工期和（或）增加费用，并支付合理利润。需要修订合同进度计划的，按照第10.2款的约定办理。</w:t>
      </w:r>
    </w:p>
    <w:p>
      <w:pPr>
        <w:spacing w:after="160" w:line="278" w:lineRule="auto"/>
        <w:rPr>
          <w:rFonts w:ascii="宋体" w:hAnsi="宋体"/>
          <w:sz w:val="22"/>
          <w:szCs w:val="28"/>
        </w:rPr>
      </w:pPr>
      <w:r>
        <w:rPr>
          <w:rFonts w:ascii="宋体" w:hAnsi="宋体"/>
          <w:sz w:val="22"/>
          <w:szCs w:val="28"/>
        </w:rPr>
        <w:t>（1）增加合同工作内容；</w:t>
      </w:r>
    </w:p>
    <w:p>
      <w:pPr>
        <w:spacing w:after="160" w:line="278" w:lineRule="auto"/>
        <w:rPr>
          <w:rFonts w:ascii="宋体" w:hAnsi="宋体"/>
          <w:sz w:val="22"/>
          <w:szCs w:val="28"/>
        </w:rPr>
      </w:pPr>
      <w:r>
        <w:rPr>
          <w:rFonts w:ascii="宋体" w:hAnsi="宋体"/>
          <w:sz w:val="22"/>
          <w:szCs w:val="28"/>
        </w:rPr>
        <w:t>（2）改变合同中任何一项工作的质量要求或其他特性；</w:t>
      </w:r>
    </w:p>
    <w:p>
      <w:pPr>
        <w:spacing w:after="160" w:line="278" w:lineRule="auto"/>
        <w:rPr>
          <w:rFonts w:ascii="宋体" w:hAnsi="宋体"/>
          <w:sz w:val="22"/>
          <w:szCs w:val="28"/>
        </w:rPr>
      </w:pPr>
      <w:r>
        <w:rPr>
          <w:rFonts w:ascii="宋体" w:hAnsi="宋体"/>
          <w:sz w:val="22"/>
          <w:szCs w:val="28"/>
        </w:rPr>
        <w:t>（3）发包人迟延提供材料、工程设备或变更交货地点的；</w:t>
      </w:r>
    </w:p>
    <w:p>
      <w:pPr>
        <w:spacing w:after="160" w:line="278" w:lineRule="auto"/>
        <w:rPr>
          <w:rFonts w:ascii="宋体" w:hAnsi="宋体"/>
          <w:sz w:val="22"/>
          <w:szCs w:val="28"/>
        </w:rPr>
      </w:pPr>
      <w:r>
        <w:rPr>
          <w:rFonts w:ascii="宋体" w:hAnsi="宋体"/>
          <w:sz w:val="22"/>
          <w:szCs w:val="28"/>
        </w:rPr>
        <w:t>（4）因发包人原因导致的暂停施工；</w:t>
      </w:r>
    </w:p>
    <w:p>
      <w:pPr>
        <w:spacing w:after="160" w:line="278" w:lineRule="auto"/>
        <w:rPr>
          <w:rFonts w:ascii="宋体" w:hAnsi="宋体"/>
          <w:sz w:val="22"/>
          <w:szCs w:val="28"/>
        </w:rPr>
      </w:pPr>
      <w:r>
        <w:rPr>
          <w:rFonts w:ascii="宋体" w:hAnsi="宋体"/>
          <w:sz w:val="22"/>
          <w:szCs w:val="28"/>
        </w:rPr>
        <w:t>（5）提供图纸延误；</w:t>
      </w:r>
    </w:p>
    <w:p>
      <w:pPr>
        <w:spacing w:after="160" w:line="278" w:lineRule="auto"/>
        <w:rPr>
          <w:rFonts w:ascii="宋体" w:hAnsi="宋体"/>
          <w:sz w:val="22"/>
          <w:szCs w:val="28"/>
        </w:rPr>
      </w:pPr>
      <w:r>
        <w:rPr>
          <w:rFonts w:ascii="宋体" w:hAnsi="宋体"/>
          <w:sz w:val="22"/>
          <w:szCs w:val="28"/>
        </w:rPr>
        <w:t>（6）未按合同约定及时支付预付款、进度款；</w:t>
      </w:r>
    </w:p>
    <w:p>
      <w:pPr>
        <w:spacing w:after="160" w:line="278" w:lineRule="auto"/>
        <w:rPr>
          <w:rFonts w:ascii="宋体" w:hAnsi="宋体"/>
          <w:sz w:val="22"/>
          <w:szCs w:val="28"/>
        </w:rPr>
      </w:pPr>
      <w:r>
        <w:rPr>
          <w:rFonts w:ascii="宋体" w:hAnsi="宋体"/>
          <w:sz w:val="22"/>
          <w:szCs w:val="28"/>
        </w:rPr>
        <w:t>（7）发包人造成工期延误的其他原因。</w:t>
      </w:r>
    </w:p>
    <w:p>
      <w:pPr>
        <w:spacing w:after="160" w:line="278" w:lineRule="auto"/>
        <w:rPr>
          <w:rFonts w:ascii="宋体" w:hAnsi="宋体"/>
          <w:sz w:val="22"/>
          <w:szCs w:val="28"/>
        </w:rPr>
      </w:pPr>
      <w:bookmarkStart w:id="1486" w:name="_Toc129798317"/>
      <w:bookmarkStart w:id="1487" w:name="_Toc342296337"/>
      <w:bookmarkStart w:id="1488" w:name="_Toc132619066"/>
      <w:bookmarkStart w:id="1489" w:name="_Toc338944779"/>
      <w:bookmarkStart w:id="1490" w:name="_Toc142385604"/>
      <w:bookmarkStart w:id="1491" w:name="_Toc109914382"/>
      <w:bookmarkStart w:id="1492" w:name="_Toc132618675"/>
      <w:r>
        <w:rPr>
          <w:rFonts w:ascii="宋体" w:hAnsi="宋体"/>
          <w:sz w:val="22"/>
          <w:szCs w:val="28"/>
        </w:rPr>
        <w:t>11.4 异常恶劣的气候条件</w:t>
      </w:r>
      <w:bookmarkEnd w:id="1486"/>
      <w:bookmarkEnd w:id="1487"/>
      <w:bookmarkEnd w:id="1488"/>
      <w:bookmarkEnd w:id="1489"/>
      <w:bookmarkEnd w:id="1490"/>
      <w:bookmarkEnd w:id="1491"/>
      <w:bookmarkEnd w:id="1492"/>
    </w:p>
    <w:p>
      <w:pPr>
        <w:spacing w:after="160" w:line="278" w:lineRule="auto"/>
        <w:rPr>
          <w:rFonts w:ascii="宋体" w:hAnsi="宋体"/>
          <w:sz w:val="22"/>
          <w:szCs w:val="28"/>
        </w:rPr>
      </w:pPr>
      <w:r>
        <w:rPr>
          <w:rFonts w:ascii="宋体" w:hAnsi="宋体"/>
          <w:sz w:val="22"/>
          <w:szCs w:val="28"/>
        </w:rPr>
        <w:t>由于出现专用合同条款规定的异常恶劣气候的条件导致工期延误的，承包人有权要求发包人延长工期。</w:t>
      </w:r>
    </w:p>
    <w:p>
      <w:pPr>
        <w:spacing w:after="160" w:line="278" w:lineRule="auto"/>
        <w:rPr>
          <w:rFonts w:ascii="宋体" w:hAnsi="宋体"/>
          <w:sz w:val="22"/>
          <w:szCs w:val="28"/>
        </w:rPr>
      </w:pPr>
      <w:bookmarkStart w:id="1493" w:name="_Toc129798318"/>
      <w:bookmarkStart w:id="1494" w:name="_Toc109914383"/>
      <w:bookmarkStart w:id="1495" w:name="_Toc342296338"/>
      <w:bookmarkStart w:id="1496" w:name="_Toc142385605"/>
      <w:bookmarkStart w:id="1497" w:name="_Toc338944780"/>
      <w:bookmarkStart w:id="1498" w:name="_Toc132618676"/>
      <w:bookmarkStart w:id="1499" w:name="_Toc132619067"/>
      <w:r>
        <w:rPr>
          <w:rFonts w:ascii="宋体" w:hAnsi="宋体"/>
          <w:sz w:val="22"/>
          <w:szCs w:val="28"/>
        </w:rPr>
        <w:t>11.5 承包人的工期延误</w:t>
      </w:r>
      <w:bookmarkEnd w:id="1493"/>
      <w:bookmarkEnd w:id="1494"/>
      <w:bookmarkEnd w:id="1495"/>
      <w:bookmarkEnd w:id="1496"/>
      <w:bookmarkEnd w:id="1497"/>
      <w:bookmarkEnd w:id="1498"/>
      <w:bookmarkEnd w:id="1499"/>
    </w:p>
    <w:p>
      <w:pPr>
        <w:spacing w:after="160" w:line="278" w:lineRule="auto"/>
        <w:rPr>
          <w:rFonts w:ascii="宋体" w:hAnsi="宋体"/>
          <w:sz w:val="22"/>
          <w:szCs w:val="28"/>
        </w:rPr>
      </w:pPr>
      <w:r>
        <w:rPr>
          <w:rFonts w:ascii="宋体" w:hAnsi="宋体"/>
          <w:sz w:val="22"/>
          <w:szCs w:val="28"/>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spacing w:after="160" w:line="278" w:lineRule="auto"/>
        <w:rPr>
          <w:rFonts w:ascii="宋体" w:hAnsi="宋体"/>
          <w:sz w:val="22"/>
          <w:szCs w:val="28"/>
        </w:rPr>
      </w:pPr>
      <w:bookmarkStart w:id="1500" w:name="_Toc132619068"/>
      <w:bookmarkStart w:id="1501" w:name="_Toc109914384"/>
      <w:bookmarkStart w:id="1502" w:name="_Toc129798319"/>
      <w:bookmarkStart w:id="1503" w:name="_Toc338944781"/>
      <w:bookmarkStart w:id="1504" w:name="_Toc342296339"/>
      <w:bookmarkStart w:id="1505" w:name="_Toc142385606"/>
      <w:bookmarkStart w:id="1506" w:name="_Toc132618677"/>
      <w:r>
        <w:rPr>
          <w:rFonts w:ascii="宋体" w:hAnsi="宋体"/>
          <w:sz w:val="22"/>
          <w:szCs w:val="28"/>
        </w:rPr>
        <w:t>11.6 工期提前</w:t>
      </w:r>
      <w:bookmarkEnd w:id="1500"/>
      <w:bookmarkEnd w:id="1501"/>
      <w:bookmarkEnd w:id="1502"/>
      <w:bookmarkEnd w:id="1503"/>
      <w:bookmarkEnd w:id="1504"/>
      <w:bookmarkEnd w:id="1505"/>
      <w:bookmarkEnd w:id="1506"/>
    </w:p>
    <w:p>
      <w:pPr>
        <w:spacing w:after="160" w:line="278" w:lineRule="auto"/>
        <w:rPr>
          <w:rFonts w:ascii="宋体" w:hAnsi="宋体"/>
          <w:sz w:val="22"/>
          <w:szCs w:val="28"/>
        </w:rPr>
      </w:pPr>
      <w:r>
        <w:rPr>
          <w:rFonts w:ascii="宋体" w:hAnsi="宋体"/>
          <w:sz w:val="22"/>
          <w:szCs w:val="28"/>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spacing w:after="160" w:line="278" w:lineRule="auto"/>
        <w:rPr>
          <w:rFonts w:ascii="宋体" w:hAnsi="宋体"/>
          <w:sz w:val="22"/>
          <w:szCs w:val="28"/>
        </w:rPr>
      </w:pPr>
      <w:bookmarkStart w:id="1507" w:name="_Toc448758433"/>
      <w:bookmarkStart w:id="1508" w:name="_Toc442365625"/>
      <w:bookmarkStart w:id="1509" w:name="_Toc338944782"/>
      <w:bookmarkStart w:id="1510" w:name="_Toc132618678"/>
      <w:bookmarkStart w:id="1511" w:name="_Toc129798320"/>
      <w:bookmarkStart w:id="1512" w:name="_Toc142385607"/>
      <w:bookmarkStart w:id="1513" w:name="_Toc132619069"/>
      <w:bookmarkStart w:id="1514" w:name="_Toc109914385"/>
      <w:bookmarkStart w:id="1515" w:name="_Toc342296340"/>
      <w:bookmarkStart w:id="1516" w:name="_Toc469660028"/>
      <w:bookmarkStart w:id="1517" w:name="_Toc448758533"/>
      <w:r>
        <w:rPr>
          <w:rFonts w:ascii="宋体" w:hAnsi="宋体"/>
          <w:sz w:val="22"/>
          <w:szCs w:val="28"/>
        </w:rPr>
        <w:t>12. 暂停施工</w:t>
      </w:r>
      <w:bookmarkEnd w:id="1507"/>
      <w:bookmarkEnd w:id="1508"/>
      <w:bookmarkEnd w:id="1509"/>
      <w:bookmarkEnd w:id="1510"/>
      <w:bookmarkEnd w:id="1511"/>
      <w:bookmarkEnd w:id="1512"/>
      <w:bookmarkEnd w:id="1513"/>
      <w:bookmarkEnd w:id="1514"/>
      <w:bookmarkEnd w:id="1515"/>
      <w:bookmarkEnd w:id="1516"/>
      <w:bookmarkEnd w:id="1517"/>
    </w:p>
    <w:p>
      <w:pPr>
        <w:spacing w:after="160" w:line="278" w:lineRule="auto"/>
        <w:rPr>
          <w:rFonts w:ascii="宋体" w:hAnsi="宋体"/>
          <w:sz w:val="22"/>
          <w:szCs w:val="28"/>
        </w:rPr>
      </w:pPr>
      <w:bookmarkStart w:id="1518" w:name="_Toc342296341"/>
      <w:bookmarkStart w:id="1519" w:name="_Toc132618679"/>
      <w:bookmarkStart w:id="1520" w:name="_Toc129798321"/>
      <w:bookmarkStart w:id="1521" w:name="_Toc142385608"/>
      <w:bookmarkStart w:id="1522" w:name="_Toc109914386"/>
      <w:bookmarkStart w:id="1523" w:name="_Toc132619070"/>
      <w:bookmarkStart w:id="1524" w:name="_Toc338944783"/>
      <w:r>
        <w:rPr>
          <w:rFonts w:ascii="宋体" w:hAnsi="宋体"/>
          <w:sz w:val="22"/>
          <w:szCs w:val="28"/>
        </w:rPr>
        <w:t>12.1 承包人暂停施工的责任</w:t>
      </w:r>
      <w:bookmarkEnd w:id="1518"/>
      <w:bookmarkEnd w:id="1519"/>
      <w:bookmarkEnd w:id="1520"/>
      <w:bookmarkEnd w:id="1521"/>
      <w:bookmarkEnd w:id="1522"/>
      <w:bookmarkEnd w:id="1523"/>
      <w:bookmarkEnd w:id="1524"/>
    </w:p>
    <w:p>
      <w:pPr>
        <w:spacing w:after="160" w:line="278" w:lineRule="auto"/>
        <w:rPr>
          <w:rFonts w:ascii="宋体" w:hAnsi="宋体"/>
          <w:sz w:val="22"/>
          <w:szCs w:val="28"/>
        </w:rPr>
      </w:pPr>
      <w:r>
        <w:rPr>
          <w:rFonts w:ascii="宋体" w:hAnsi="宋体"/>
          <w:sz w:val="22"/>
          <w:szCs w:val="28"/>
        </w:rPr>
        <w:t>因下列暂停施工增加的费用和（或）工期延误由承包人承担：</w:t>
      </w:r>
    </w:p>
    <w:p>
      <w:pPr>
        <w:spacing w:after="160" w:line="278" w:lineRule="auto"/>
        <w:rPr>
          <w:rFonts w:ascii="宋体" w:hAnsi="宋体"/>
          <w:sz w:val="22"/>
          <w:szCs w:val="28"/>
        </w:rPr>
      </w:pPr>
      <w:r>
        <w:rPr>
          <w:rFonts w:ascii="宋体" w:hAnsi="宋体"/>
          <w:sz w:val="22"/>
          <w:szCs w:val="28"/>
        </w:rPr>
        <w:t>（1）承包人违约引起的暂停施工；</w:t>
      </w:r>
    </w:p>
    <w:p>
      <w:pPr>
        <w:spacing w:after="160" w:line="278" w:lineRule="auto"/>
        <w:rPr>
          <w:rFonts w:ascii="宋体" w:hAnsi="宋体"/>
          <w:sz w:val="22"/>
          <w:szCs w:val="28"/>
        </w:rPr>
      </w:pPr>
      <w:r>
        <w:rPr>
          <w:rFonts w:ascii="宋体" w:hAnsi="宋体"/>
          <w:sz w:val="22"/>
          <w:szCs w:val="28"/>
        </w:rPr>
        <w:t>（2）由于承包人原因为工程合理施工和安全保障所必需的暂停施工；</w:t>
      </w:r>
    </w:p>
    <w:p>
      <w:pPr>
        <w:spacing w:after="160" w:line="278" w:lineRule="auto"/>
        <w:rPr>
          <w:rFonts w:ascii="宋体" w:hAnsi="宋体"/>
          <w:sz w:val="22"/>
          <w:szCs w:val="28"/>
        </w:rPr>
      </w:pPr>
      <w:r>
        <w:rPr>
          <w:rFonts w:ascii="宋体" w:hAnsi="宋体"/>
          <w:sz w:val="22"/>
          <w:szCs w:val="28"/>
        </w:rPr>
        <w:t>（3）承包人擅自暂停施工；</w:t>
      </w:r>
    </w:p>
    <w:p>
      <w:pPr>
        <w:spacing w:after="160" w:line="278" w:lineRule="auto"/>
        <w:rPr>
          <w:rFonts w:ascii="宋体" w:hAnsi="宋体"/>
          <w:sz w:val="22"/>
          <w:szCs w:val="28"/>
        </w:rPr>
      </w:pPr>
      <w:r>
        <w:rPr>
          <w:rFonts w:ascii="宋体" w:hAnsi="宋体"/>
          <w:sz w:val="22"/>
          <w:szCs w:val="28"/>
        </w:rPr>
        <w:t>（4）承包人其他原因引起的暂停施工；</w:t>
      </w:r>
    </w:p>
    <w:p>
      <w:pPr>
        <w:spacing w:after="160" w:line="278" w:lineRule="auto"/>
        <w:rPr>
          <w:rFonts w:ascii="宋体" w:hAnsi="宋体"/>
          <w:sz w:val="22"/>
          <w:szCs w:val="28"/>
        </w:rPr>
      </w:pPr>
      <w:r>
        <w:rPr>
          <w:rFonts w:ascii="宋体" w:hAnsi="宋体"/>
          <w:sz w:val="22"/>
          <w:szCs w:val="28"/>
        </w:rPr>
        <w:t>（5）专用合同条款约定由承包人承担的其他暂停施工。</w:t>
      </w:r>
    </w:p>
    <w:p>
      <w:pPr>
        <w:spacing w:after="160" w:line="278" w:lineRule="auto"/>
        <w:rPr>
          <w:rFonts w:ascii="宋体" w:hAnsi="宋体"/>
          <w:sz w:val="22"/>
          <w:szCs w:val="28"/>
        </w:rPr>
      </w:pPr>
      <w:bookmarkStart w:id="1525" w:name="_Toc132619071"/>
      <w:bookmarkStart w:id="1526" w:name="_Toc152045691"/>
      <w:bookmarkStart w:id="1527" w:name="_Toc342296342"/>
      <w:bookmarkStart w:id="1528" w:name="_Toc109914387"/>
      <w:bookmarkStart w:id="1529" w:name="_Toc129798322"/>
      <w:bookmarkStart w:id="1530" w:name="_Toc152042469"/>
      <w:bookmarkStart w:id="1531" w:name="_Toc144974660"/>
      <w:bookmarkStart w:id="1532" w:name="_Toc338944784"/>
      <w:bookmarkStart w:id="1533" w:name="_Toc132618680"/>
      <w:bookmarkStart w:id="1534" w:name="_Toc179632709"/>
      <w:bookmarkStart w:id="1535" w:name="_Toc142385609"/>
      <w:r>
        <w:rPr>
          <w:rFonts w:ascii="宋体" w:hAnsi="宋体"/>
          <w:sz w:val="22"/>
          <w:szCs w:val="28"/>
        </w:rPr>
        <w:t>12.2 发包人暂停施工的责任</w:t>
      </w:r>
      <w:bookmarkEnd w:id="1525"/>
      <w:bookmarkEnd w:id="1526"/>
      <w:bookmarkEnd w:id="1527"/>
      <w:bookmarkEnd w:id="1528"/>
      <w:bookmarkEnd w:id="1529"/>
      <w:bookmarkEnd w:id="1530"/>
      <w:bookmarkEnd w:id="1531"/>
      <w:bookmarkEnd w:id="1532"/>
      <w:bookmarkEnd w:id="1533"/>
      <w:bookmarkEnd w:id="1534"/>
      <w:bookmarkEnd w:id="1535"/>
    </w:p>
    <w:p>
      <w:pPr>
        <w:spacing w:after="160" w:line="278" w:lineRule="auto"/>
        <w:rPr>
          <w:rFonts w:ascii="宋体" w:hAnsi="宋体"/>
          <w:sz w:val="22"/>
          <w:szCs w:val="28"/>
        </w:rPr>
      </w:pPr>
      <w:r>
        <w:rPr>
          <w:rFonts w:ascii="宋体" w:hAnsi="宋体"/>
          <w:sz w:val="22"/>
          <w:szCs w:val="28"/>
        </w:rPr>
        <w:t>由于发包人原因引起的暂停施工造成工期延误的，承包人有权要求发包人延长工期和（或）增加费用，并支付合理利润。</w:t>
      </w:r>
    </w:p>
    <w:p>
      <w:pPr>
        <w:spacing w:after="160" w:line="278" w:lineRule="auto"/>
        <w:rPr>
          <w:rFonts w:ascii="宋体" w:hAnsi="宋体"/>
          <w:sz w:val="22"/>
          <w:szCs w:val="28"/>
        </w:rPr>
      </w:pPr>
      <w:bookmarkStart w:id="1536" w:name="_Toc179632710"/>
      <w:bookmarkStart w:id="1537" w:name="_Toc129798323"/>
      <w:bookmarkStart w:id="1538" w:name="_Toc142385610"/>
      <w:bookmarkStart w:id="1539" w:name="_Toc342296343"/>
      <w:bookmarkStart w:id="1540" w:name="_Toc109914388"/>
      <w:bookmarkStart w:id="1541" w:name="_Toc132618681"/>
      <w:bookmarkStart w:id="1542" w:name="_Toc144974661"/>
      <w:bookmarkStart w:id="1543" w:name="_Toc152042470"/>
      <w:bookmarkStart w:id="1544" w:name="_Toc338944785"/>
      <w:bookmarkStart w:id="1545" w:name="_Toc152045692"/>
      <w:bookmarkStart w:id="1546" w:name="_Toc132619072"/>
      <w:r>
        <w:rPr>
          <w:rFonts w:ascii="宋体" w:hAnsi="宋体"/>
          <w:sz w:val="22"/>
          <w:szCs w:val="28"/>
        </w:rPr>
        <w:t>12.3 监理人暂停施工指示</w:t>
      </w:r>
      <w:bookmarkEnd w:id="1536"/>
      <w:bookmarkEnd w:id="1537"/>
      <w:bookmarkEnd w:id="1538"/>
      <w:bookmarkEnd w:id="1539"/>
      <w:bookmarkEnd w:id="1540"/>
      <w:bookmarkEnd w:id="1541"/>
      <w:bookmarkEnd w:id="1542"/>
      <w:bookmarkEnd w:id="1543"/>
      <w:bookmarkEnd w:id="1544"/>
      <w:bookmarkEnd w:id="1545"/>
      <w:bookmarkEnd w:id="1546"/>
    </w:p>
    <w:p>
      <w:pPr>
        <w:spacing w:after="160" w:line="278" w:lineRule="auto"/>
        <w:rPr>
          <w:rFonts w:ascii="宋体" w:hAnsi="宋体"/>
          <w:sz w:val="22"/>
          <w:szCs w:val="28"/>
        </w:rPr>
      </w:pPr>
      <w:r>
        <w:rPr>
          <w:rFonts w:ascii="宋体" w:hAnsi="宋体"/>
          <w:sz w:val="22"/>
          <w:szCs w:val="28"/>
        </w:rPr>
        <w:t>12.3.1 监理人认为有必要时，可向承包人作出暂停施工的指示，承包人应按监理人指示暂停施工。不论由于何种原因引起的暂停施工，暂停施工期间承包人应负责妥善保护工程并提供安全保障。</w:t>
      </w:r>
    </w:p>
    <w:p>
      <w:pPr>
        <w:spacing w:after="160" w:line="278" w:lineRule="auto"/>
        <w:rPr>
          <w:rFonts w:ascii="宋体" w:hAnsi="宋体"/>
          <w:sz w:val="22"/>
          <w:szCs w:val="28"/>
        </w:rPr>
      </w:pPr>
      <w:r>
        <w:rPr>
          <w:rFonts w:ascii="宋体" w:hAnsi="宋体"/>
          <w:sz w:val="22"/>
          <w:szCs w:val="28"/>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spacing w:after="160" w:line="278" w:lineRule="auto"/>
        <w:rPr>
          <w:rFonts w:ascii="宋体" w:hAnsi="宋体"/>
          <w:sz w:val="22"/>
          <w:szCs w:val="28"/>
        </w:rPr>
      </w:pPr>
      <w:bookmarkStart w:id="1547" w:name="_Toc179632711"/>
      <w:bookmarkStart w:id="1548" w:name="_Toc132619073"/>
      <w:bookmarkStart w:id="1549" w:name="_Toc342296344"/>
      <w:bookmarkStart w:id="1550" w:name="_Toc142385611"/>
      <w:bookmarkStart w:id="1551" w:name="_Toc109914389"/>
      <w:bookmarkStart w:id="1552" w:name="_Toc338944786"/>
      <w:bookmarkStart w:id="1553" w:name="_Toc152042471"/>
      <w:bookmarkStart w:id="1554" w:name="_Toc129798324"/>
      <w:bookmarkStart w:id="1555" w:name="_Toc152045693"/>
      <w:bookmarkStart w:id="1556" w:name="_Toc132618682"/>
      <w:bookmarkStart w:id="1557" w:name="_Toc144974662"/>
      <w:r>
        <w:rPr>
          <w:rFonts w:ascii="宋体" w:hAnsi="宋体"/>
          <w:sz w:val="22"/>
          <w:szCs w:val="28"/>
        </w:rPr>
        <w:t>12.4 暂停施工后的复工</w:t>
      </w:r>
      <w:bookmarkEnd w:id="1547"/>
      <w:bookmarkEnd w:id="1548"/>
      <w:bookmarkEnd w:id="1549"/>
      <w:bookmarkEnd w:id="1550"/>
      <w:bookmarkEnd w:id="1551"/>
      <w:bookmarkEnd w:id="1552"/>
      <w:bookmarkEnd w:id="1553"/>
      <w:bookmarkEnd w:id="1554"/>
      <w:bookmarkEnd w:id="1555"/>
      <w:bookmarkEnd w:id="1556"/>
      <w:bookmarkEnd w:id="1557"/>
    </w:p>
    <w:p>
      <w:pPr>
        <w:spacing w:after="160" w:line="278" w:lineRule="auto"/>
        <w:rPr>
          <w:rFonts w:ascii="宋体" w:hAnsi="宋体"/>
          <w:sz w:val="22"/>
          <w:szCs w:val="28"/>
        </w:rPr>
      </w:pPr>
      <w:r>
        <w:rPr>
          <w:rFonts w:ascii="宋体" w:hAnsi="宋体"/>
          <w:sz w:val="22"/>
          <w:szCs w:val="28"/>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after="160" w:line="278" w:lineRule="auto"/>
        <w:rPr>
          <w:rFonts w:ascii="宋体" w:hAnsi="宋体"/>
          <w:sz w:val="22"/>
          <w:szCs w:val="28"/>
        </w:rPr>
      </w:pPr>
      <w:r>
        <w:rPr>
          <w:rFonts w:ascii="宋体" w:hAnsi="宋体"/>
          <w:sz w:val="22"/>
          <w:szCs w:val="28"/>
        </w:rPr>
        <w:t>12.4.2 承包人无故拖延和拒绝复工的，由此增加的费用和工期延误由承包人承担；因发包人原因无法按时复工的，承包人有权要求发包人延长工期和（或）增加费用，并支付合理利润。</w:t>
      </w:r>
    </w:p>
    <w:p>
      <w:pPr>
        <w:spacing w:after="160" w:line="278" w:lineRule="auto"/>
        <w:rPr>
          <w:rFonts w:ascii="宋体" w:hAnsi="宋体"/>
          <w:sz w:val="22"/>
          <w:szCs w:val="28"/>
        </w:rPr>
      </w:pPr>
      <w:bookmarkStart w:id="1558" w:name="_Toc179632712"/>
      <w:bookmarkStart w:id="1559" w:name="_Toc152042472"/>
      <w:bookmarkStart w:id="1560" w:name="_Toc132618683"/>
      <w:bookmarkStart w:id="1561" w:name="_Toc109914390"/>
      <w:bookmarkStart w:id="1562" w:name="_Toc144974663"/>
      <w:bookmarkStart w:id="1563" w:name="_Toc132619074"/>
      <w:bookmarkStart w:id="1564" w:name="_Toc338944787"/>
      <w:bookmarkStart w:id="1565" w:name="_Toc152045694"/>
      <w:bookmarkStart w:id="1566" w:name="_Toc342296345"/>
      <w:bookmarkStart w:id="1567" w:name="_Toc142385612"/>
      <w:bookmarkStart w:id="1568" w:name="_Toc129798325"/>
      <w:r>
        <w:rPr>
          <w:rFonts w:ascii="宋体" w:hAnsi="宋体"/>
          <w:sz w:val="22"/>
          <w:szCs w:val="28"/>
        </w:rPr>
        <w:t>12.5 暂停施工持续56天以上</w:t>
      </w:r>
      <w:bookmarkEnd w:id="1558"/>
      <w:bookmarkEnd w:id="1559"/>
      <w:bookmarkEnd w:id="1560"/>
      <w:bookmarkEnd w:id="1561"/>
      <w:bookmarkEnd w:id="1562"/>
      <w:bookmarkEnd w:id="1563"/>
      <w:bookmarkEnd w:id="1564"/>
      <w:bookmarkEnd w:id="1565"/>
      <w:bookmarkEnd w:id="1566"/>
      <w:bookmarkEnd w:id="1567"/>
      <w:bookmarkEnd w:id="1568"/>
    </w:p>
    <w:p>
      <w:pPr>
        <w:spacing w:after="160" w:line="278" w:lineRule="auto"/>
        <w:rPr>
          <w:rFonts w:ascii="宋体" w:hAnsi="宋体"/>
          <w:sz w:val="22"/>
          <w:szCs w:val="28"/>
        </w:rPr>
      </w:pPr>
      <w:r>
        <w:rPr>
          <w:rFonts w:ascii="宋体" w:hAnsi="宋体"/>
          <w:sz w:val="22"/>
          <w:szCs w:val="28"/>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after="160" w:line="278" w:lineRule="auto"/>
        <w:rPr>
          <w:rFonts w:ascii="宋体" w:hAnsi="宋体"/>
          <w:sz w:val="22"/>
          <w:szCs w:val="28"/>
        </w:rPr>
      </w:pPr>
      <w:r>
        <w:rPr>
          <w:rFonts w:ascii="宋体" w:hAnsi="宋体"/>
          <w:sz w:val="22"/>
          <w:szCs w:val="28"/>
        </w:rPr>
        <w:t>12.5.2 由于承包人责任引起的暂停施工，如承包人在收到监理人暂停施工指示后56天内不认真采取有效的复工措施，造成工期延误，可视为承包人违约，应按第22.1款的规定办理。</w:t>
      </w:r>
    </w:p>
    <w:p>
      <w:pPr>
        <w:spacing w:after="160" w:line="278" w:lineRule="auto"/>
        <w:rPr>
          <w:rFonts w:ascii="宋体" w:hAnsi="宋体"/>
          <w:sz w:val="22"/>
          <w:szCs w:val="28"/>
        </w:rPr>
      </w:pPr>
      <w:r>
        <w:rPr>
          <w:rFonts w:hint="eastAsia" w:ascii="宋体" w:hAnsi="宋体"/>
          <w:sz w:val="22"/>
          <w:szCs w:val="28"/>
        </w:rPr>
        <w:t>12.6暂停施工期间的工程照管和措施</w:t>
      </w:r>
    </w:p>
    <w:p>
      <w:pPr>
        <w:spacing w:after="160" w:line="278" w:lineRule="auto"/>
        <w:rPr>
          <w:rFonts w:ascii="宋体" w:hAnsi="宋体"/>
          <w:sz w:val="22"/>
          <w:szCs w:val="28"/>
        </w:rPr>
      </w:pPr>
      <w:r>
        <w:rPr>
          <w:rFonts w:ascii="宋体" w:hAnsi="宋体"/>
          <w:sz w:val="22"/>
          <w:szCs w:val="28"/>
        </w:rPr>
        <w:t>12.5.1</w:t>
      </w:r>
      <w:r>
        <w:rPr>
          <w:rFonts w:hint="eastAsia" w:ascii="宋体" w:hAnsi="宋体"/>
          <w:sz w:val="22"/>
          <w:szCs w:val="28"/>
        </w:rPr>
        <w:t>暂停施工期间，承包人应负责妥善照管工程并提供安全保障，由此增加的费用由责任方承担。</w:t>
      </w:r>
    </w:p>
    <w:p>
      <w:pPr>
        <w:spacing w:after="160" w:line="278" w:lineRule="auto"/>
        <w:rPr>
          <w:rFonts w:ascii="宋体" w:hAnsi="宋体"/>
          <w:sz w:val="22"/>
          <w:szCs w:val="28"/>
        </w:rPr>
      </w:pPr>
      <w:r>
        <w:rPr>
          <w:rFonts w:hint="eastAsia" w:ascii="宋体" w:hAnsi="宋体"/>
          <w:sz w:val="22"/>
          <w:szCs w:val="28"/>
        </w:rPr>
        <w:t>12.5.2暂停施工期间，发包人和承包人均应采取必要的措施确保工程质量及安全，防止因暂停施工扩大损失。</w:t>
      </w:r>
    </w:p>
    <w:p>
      <w:pPr>
        <w:spacing w:after="160" w:line="278" w:lineRule="auto"/>
        <w:rPr>
          <w:rFonts w:ascii="宋体" w:hAnsi="宋体"/>
          <w:sz w:val="22"/>
          <w:szCs w:val="28"/>
        </w:rPr>
      </w:pPr>
      <w:bookmarkStart w:id="1569" w:name="_Toc132619075"/>
      <w:bookmarkStart w:id="1570" w:name="_Toc448758434"/>
      <w:bookmarkStart w:id="1571" w:name="_Toc142385613"/>
      <w:bookmarkStart w:id="1572" w:name="_Toc129798326"/>
      <w:bookmarkStart w:id="1573" w:name="_Toc442365626"/>
      <w:bookmarkStart w:id="1574" w:name="_Toc448758534"/>
      <w:bookmarkStart w:id="1575" w:name="_Toc132618684"/>
      <w:bookmarkStart w:id="1576" w:name="_Toc109914391"/>
      <w:bookmarkStart w:id="1577" w:name="_Toc469660029"/>
      <w:bookmarkStart w:id="1578" w:name="_Toc342296346"/>
      <w:bookmarkStart w:id="1579" w:name="_Toc338944788"/>
      <w:r>
        <w:rPr>
          <w:rFonts w:ascii="宋体" w:hAnsi="宋体"/>
          <w:sz w:val="22"/>
          <w:szCs w:val="28"/>
        </w:rPr>
        <w:t>13. 工程质量</w:t>
      </w:r>
      <w:bookmarkEnd w:id="1569"/>
      <w:bookmarkEnd w:id="1570"/>
      <w:bookmarkEnd w:id="1571"/>
      <w:bookmarkEnd w:id="1572"/>
      <w:bookmarkEnd w:id="1573"/>
      <w:bookmarkEnd w:id="1574"/>
      <w:bookmarkEnd w:id="1575"/>
      <w:bookmarkEnd w:id="1576"/>
      <w:bookmarkEnd w:id="1577"/>
      <w:bookmarkEnd w:id="1578"/>
      <w:bookmarkEnd w:id="1579"/>
    </w:p>
    <w:p>
      <w:pPr>
        <w:spacing w:after="160" w:line="278" w:lineRule="auto"/>
        <w:rPr>
          <w:rFonts w:ascii="宋体" w:hAnsi="宋体"/>
          <w:sz w:val="22"/>
          <w:szCs w:val="28"/>
        </w:rPr>
      </w:pPr>
      <w:bookmarkStart w:id="1580" w:name="_Toc132619076"/>
      <w:bookmarkStart w:id="1581" w:name="_Toc179632714"/>
      <w:bookmarkStart w:id="1582" w:name="_Toc338944789"/>
      <w:bookmarkStart w:id="1583" w:name="_Toc129798327"/>
      <w:bookmarkStart w:id="1584" w:name="_Toc342296347"/>
      <w:bookmarkStart w:id="1585" w:name="_Toc109914392"/>
      <w:bookmarkStart w:id="1586" w:name="_Toc144974665"/>
      <w:bookmarkStart w:id="1587" w:name="_Toc152042474"/>
      <w:bookmarkStart w:id="1588" w:name="_Toc142385614"/>
      <w:bookmarkStart w:id="1589" w:name="_Toc152045696"/>
      <w:bookmarkStart w:id="1590" w:name="_Toc132618685"/>
      <w:r>
        <w:rPr>
          <w:rFonts w:ascii="宋体" w:hAnsi="宋体"/>
          <w:sz w:val="22"/>
          <w:szCs w:val="28"/>
        </w:rPr>
        <w:t>13.1 工程质量要求</w:t>
      </w:r>
      <w:bookmarkEnd w:id="1580"/>
      <w:bookmarkEnd w:id="1581"/>
      <w:bookmarkEnd w:id="1582"/>
      <w:bookmarkEnd w:id="1583"/>
      <w:bookmarkEnd w:id="1584"/>
      <w:bookmarkEnd w:id="1585"/>
      <w:bookmarkEnd w:id="1586"/>
      <w:bookmarkEnd w:id="1587"/>
      <w:bookmarkEnd w:id="1588"/>
      <w:bookmarkEnd w:id="1589"/>
      <w:bookmarkEnd w:id="1590"/>
    </w:p>
    <w:p>
      <w:pPr>
        <w:spacing w:after="160" w:line="278" w:lineRule="auto"/>
        <w:rPr>
          <w:rFonts w:ascii="宋体" w:hAnsi="宋体"/>
          <w:sz w:val="22"/>
          <w:szCs w:val="28"/>
        </w:rPr>
      </w:pPr>
      <w:r>
        <w:rPr>
          <w:rFonts w:ascii="宋体" w:hAnsi="宋体"/>
          <w:sz w:val="22"/>
          <w:szCs w:val="28"/>
        </w:rPr>
        <w:t>13.1.1 工程质量验收按合同约定验收标准执行。</w:t>
      </w:r>
    </w:p>
    <w:p>
      <w:pPr>
        <w:spacing w:after="160" w:line="278" w:lineRule="auto"/>
        <w:rPr>
          <w:rFonts w:ascii="宋体" w:hAnsi="宋体"/>
          <w:sz w:val="22"/>
          <w:szCs w:val="28"/>
        </w:rPr>
      </w:pPr>
      <w:r>
        <w:rPr>
          <w:rFonts w:ascii="宋体" w:hAnsi="宋体"/>
          <w:sz w:val="22"/>
          <w:szCs w:val="28"/>
        </w:rPr>
        <w:t>13.1.2 因承包人原因造成工程质量达不到合同约定验收标准的，监理人有权要求承包人返工直至符合合同要求为止，由此造成的费用增加和（或）工期延误由承包人承担。</w:t>
      </w:r>
    </w:p>
    <w:p>
      <w:pPr>
        <w:spacing w:after="160" w:line="278" w:lineRule="auto"/>
        <w:rPr>
          <w:rFonts w:ascii="宋体" w:hAnsi="宋体"/>
          <w:sz w:val="22"/>
          <w:szCs w:val="28"/>
        </w:rPr>
      </w:pPr>
      <w:r>
        <w:rPr>
          <w:rFonts w:ascii="宋体" w:hAnsi="宋体"/>
          <w:sz w:val="22"/>
          <w:szCs w:val="28"/>
        </w:rPr>
        <w:t>13.1.3 因发包人原因造成工程质量达不到合同约定验收标准的，发包人应承担由于承包人返工造成的费用增加和（或）工期延误，并支付承包人合理利润。</w:t>
      </w:r>
    </w:p>
    <w:p>
      <w:pPr>
        <w:spacing w:after="160" w:line="278" w:lineRule="auto"/>
        <w:rPr>
          <w:rFonts w:ascii="宋体" w:hAnsi="宋体"/>
          <w:sz w:val="22"/>
          <w:szCs w:val="28"/>
        </w:rPr>
      </w:pPr>
      <w:bookmarkStart w:id="1591" w:name="_Toc132619077"/>
      <w:bookmarkStart w:id="1592" w:name="_Toc142385615"/>
      <w:bookmarkStart w:id="1593" w:name="_Toc109914393"/>
      <w:bookmarkStart w:id="1594" w:name="_Toc129798328"/>
      <w:bookmarkStart w:id="1595" w:name="_Toc342296348"/>
      <w:bookmarkStart w:id="1596" w:name="_Toc338944790"/>
      <w:bookmarkStart w:id="1597" w:name="_Toc132618686"/>
      <w:r>
        <w:rPr>
          <w:rFonts w:ascii="宋体" w:hAnsi="宋体"/>
          <w:sz w:val="22"/>
          <w:szCs w:val="28"/>
        </w:rPr>
        <w:t>13.2 承包人的质量管理</w:t>
      </w:r>
      <w:bookmarkEnd w:id="1591"/>
      <w:bookmarkEnd w:id="1592"/>
      <w:bookmarkEnd w:id="1593"/>
      <w:bookmarkEnd w:id="1594"/>
      <w:bookmarkEnd w:id="1595"/>
      <w:bookmarkEnd w:id="1596"/>
      <w:bookmarkEnd w:id="1597"/>
    </w:p>
    <w:p>
      <w:pPr>
        <w:spacing w:after="160" w:line="278" w:lineRule="auto"/>
        <w:rPr>
          <w:rFonts w:ascii="宋体" w:hAnsi="宋体"/>
          <w:sz w:val="22"/>
          <w:szCs w:val="28"/>
        </w:rPr>
      </w:pPr>
      <w:r>
        <w:rPr>
          <w:rFonts w:ascii="宋体" w:hAnsi="宋体"/>
          <w:sz w:val="22"/>
          <w:szCs w:val="28"/>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after="160" w:line="278" w:lineRule="auto"/>
        <w:rPr>
          <w:rFonts w:ascii="宋体" w:hAnsi="宋体"/>
          <w:sz w:val="22"/>
          <w:szCs w:val="28"/>
        </w:rPr>
      </w:pPr>
      <w:r>
        <w:rPr>
          <w:rFonts w:ascii="宋体" w:hAnsi="宋体"/>
          <w:sz w:val="22"/>
          <w:szCs w:val="28"/>
        </w:rPr>
        <w:t>13.2.2 承包人应加强对施工人员的质量教育和技术培训，定期考核施工人员的劳动技能，严格执行规范和操作规程。</w:t>
      </w:r>
    </w:p>
    <w:p>
      <w:pPr>
        <w:spacing w:after="160" w:line="278" w:lineRule="auto"/>
        <w:rPr>
          <w:rFonts w:ascii="宋体" w:hAnsi="宋体"/>
          <w:sz w:val="22"/>
          <w:szCs w:val="28"/>
        </w:rPr>
      </w:pPr>
      <w:bookmarkStart w:id="1598" w:name="_Toc132619078"/>
      <w:bookmarkStart w:id="1599" w:name="_Toc129798329"/>
      <w:bookmarkStart w:id="1600" w:name="_Toc342296349"/>
      <w:bookmarkStart w:id="1601" w:name="_Toc338944791"/>
      <w:bookmarkStart w:id="1602" w:name="_Toc109914394"/>
      <w:bookmarkStart w:id="1603" w:name="_Toc132618687"/>
      <w:bookmarkStart w:id="1604" w:name="_Toc142385616"/>
      <w:r>
        <w:rPr>
          <w:rFonts w:ascii="宋体" w:hAnsi="宋体"/>
          <w:sz w:val="22"/>
          <w:szCs w:val="28"/>
        </w:rPr>
        <w:t>13.3 承包人的质量检查</w:t>
      </w:r>
      <w:bookmarkEnd w:id="1598"/>
      <w:bookmarkEnd w:id="1599"/>
      <w:bookmarkEnd w:id="1600"/>
      <w:bookmarkEnd w:id="1601"/>
      <w:bookmarkEnd w:id="1602"/>
      <w:bookmarkEnd w:id="1603"/>
      <w:bookmarkEnd w:id="1604"/>
    </w:p>
    <w:p>
      <w:pPr>
        <w:spacing w:after="160" w:line="278" w:lineRule="auto"/>
        <w:rPr>
          <w:rFonts w:ascii="宋体" w:hAnsi="宋体"/>
          <w:sz w:val="22"/>
          <w:szCs w:val="28"/>
        </w:rPr>
      </w:pPr>
      <w:r>
        <w:rPr>
          <w:rFonts w:ascii="宋体" w:hAnsi="宋体"/>
          <w:sz w:val="22"/>
          <w:szCs w:val="28"/>
        </w:rPr>
        <w:t>承包人应按合同约定对材料、工程设备以及工程的所有部位及其施工工艺进行全过程的质量检查和检验，并作详细记录，编制工程质量报表，报送监理人审查。</w:t>
      </w:r>
    </w:p>
    <w:p>
      <w:pPr>
        <w:spacing w:after="160" w:line="278" w:lineRule="auto"/>
        <w:rPr>
          <w:rFonts w:ascii="宋体" w:hAnsi="宋体"/>
          <w:sz w:val="22"/>
          <w:szCs w:val="28"/>
        </w:rPr>
      </w:pPr>
      <w:bookmarkStart w:id="1605" w:name="_Toc132619079"/>
      <w:bookmarkStart w:id="1606" w:name="_Toc342296350"/>
      <w:bookmarkStart w:id="1607" w:name="_Toc132618688"/>
      <w:bookmarkStart w:id="1608" w:name="_Toc142385617"/>
      <w:bookmarkStart w:id="1609" w:name="_Toc129798330"/>
      <w:bookmarkStart w:id="1610" w:name="_Toc109914395"/>
      <w:bookmarkStart w:id="1611" w:name="_Toc338944792"/>
      <w:r>
        <w:rPr>
          <w:rFonts w:ascii="宋体" w:hAnsi="宋体"/>
          <w:sz w:val="22"/>
          <w:szCs w:val="28"/>
        </w:rPr>
        <w:t>13.4 监理人的质量检查</w:t>
      </w:r>
      <w:bookmarkEnd w:id="1605"/>
      <w:bookmarkEnd w:id="1606"/>
      <w:bookmarkEnd w:id="1607"/>
      <w:bookmarkEnd w:id="1608"/>
      <w:bookmarkEnd w:id="1609"/>
      <w:bookmarkEnd w:id="1610"/>
      <w:bookmarkEnd w:id="1611"/>
    </w:p>
    <w:p>
      <w:pPr>
        <w:spacing w:after="160" w:line="278" w:lineRule="auto"/>
        <w:rPr>
          <w:rFonts w:ascii="宋体" w:hAnsi="宋体"/>
          <w:sz w:val="22"/>
          <w:szCs w:val="28"/>
        </w:rPr>
      </w:pPr>
      <w:r>
        <w:rPr>
          <w:rFonts w:ascii="宋体" w:hAnsi="宋体"/>
          <w:sz w:val="22"/>
          <w:szCs w:val="28"/>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after="160" w:line="278" w:lineRule="auto"/>
        <w:rPr>
          <w:rFonts w:ascii="宋体" w:hAnsi="宋体"/>
          <w:sz w:val="22"/>
          <w:szCs w:val="28"/>
        </w:rPr>
      </w:pPr>
      <w:bookmarkStart w:id="1612" w:name="_Toc132619080"/>
      <w:bookmarkStart w:id="1613" w:name="_Toc109914396"/>
      <w:bookmarkStart w:id="1614" w:name="_Toc342296351"/>
      <w:bookmarkStart w:id="1615" w:name="_Toc142385618"/>
      <w:bookmarkStart w:id="1616" w:name="_Toc338944793"/>
      <w:bookmarkStart w:id="1617" w:name="_Toc129798331"/>
      <w:bookmarkStart w:id="1618" w:name="_Toc132618689"/>
      <w:r>
        <w:rPr>
          <w:rFonts w:ascii="宋体" w:hAnsi="宋体"/>
          <w:sz w:val="22"/>
          <w:szCs w:val="28"/>
        </w:rPr>
        <w:t>13.5 工程隐蔽部位覆盖前的检查</w:t>
      </w:r>
      <w:bookmarkEnd w:id="1612"/>
      <w:bookmarkEnd w:id="1613"/>
      <w:bookmarkEnd w:id="1614"/>
      <w:bookmarkEnd w:id="1615"/>
      <w:bookmarkEnd w:id="1616"/>
      <w:bookmarkEnd w:id="1617"/>
      <w:bookmarkEnd w:id="1618"/>
    </w:p>
    <w:p>
      <w:pPr>
        <w:spacing w:after="160" w:line="278" w:lineRule="auto"/>
        <w:rPr>
          <w:rFonts w:ascii="宋体" w:hAnsi="宋体"/>
          <w:sz w:val="22"/>
          <w:szCs w:val="28"/>
        </w:rPr>
      </w:pPr>
      <w:r>
        <w:rPr>
          <w:rFonts w:ascii="宋体" w:hAnsi="宋体"/>
          <w:sz w:val="22"/>
          <w:szCs w:val="28"/>
        </w:rPr>
        <w:t xml:space="preserve">13.5.1 </w:t>
      </w:r>
      <w:r>
        <w:rPr>
          <w:rFonts w:hint="eastAsia" w:ascii="宋体" w:hAnsi="宋体"/>
          <w:sz w:val="22"/>
          <w:szCs w:val="28"/>
        </w:rPr>
        <w:t>通知监理人检查</w:t>
      </w:r>
    </w:p>
    <w:p>
      <w:pPr>
        <w:spacing w:after="160" w:line="278" w:lineRule="auto"/>
        <w:rPr>
          <w:rFonts w:ascii="宋体" w:hAnsi="宋体"/>
          <w:sz w:val="22"/>
          <w:szCs w:val="28"/>
        </w:rPr>
      </w:pPr>
      <w:r>
        <w:rPr>
          <w:rFonts w:ascii="宋体" w:hAnsi="宋体"/>
          <w:sz w:val="22"/>
          <w:szCs w:val="28"/>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after="160" w:line="278" w:lineRule="auto"/>
        <w:rPr>
          <w:rFonts w:ascii="宋体" w:hAnsi="宋体"/>
          <w:sz w:val="22"/>
          <w:szCs w:val="28"/>
        </w:rPr>
      </w:pPr>
      <w:r>
        <w:rPr>
          <w:rFonts w:ascii="宋体" w:hAnsi="宋体"/>
          <w:sz w:val="22"/>
          <w:szCs w:val="28"/>
        </w:rPr>
        <w:t xml:space="preserve">13.5.2 </w:t>
      </w:r>
      <w:r>
        <w:rPr>
          <w:rFonts w:hint="eastAsia" w:ascii="宋体" w:hAnsi="宋体"/>
          <w:sz w:val="22"/>
          <w:szCs w:val="28"/>
        </w:rPr>
        <w:t>监理人未到场检查</w:t>
      </w:r>
    </w:p>
    <w:p>
      <w:pPr>
        <w:spacing w:after="160" w:line="278" w:lineRule="auto"/>
        <w:rPr>
          <w:rFonts w:ascii="宋体" w:hAnsi="宋体"/>
          <w:sz w:val="22"/>
          <w:szCs w:val="28"/>
        </w:rPr>
      </w:pPr>
      <w:r>
        <w:rPr>
          <w:rFonts w:ascii="宋体" w:hAnsi="宋体"/>
          <w:sz w:val="22"/>
          <w:szCs w:val="28"/>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after="160" w:line="278" w:lineRule="auto"/>
        <w:rPr>
          <w:rFonts w:ascii="宋体" w:hAnsi="宋体"/>
          <w:sz w:val="22"/>
          <w:szCs w:val="28"/>
        </w:rPr>
      </w:pPr>
      <w:r>
        <w:rPr>
          <w:rFonts w:ascii="宋体" w:hAnsi="宋体"/>
          <w:sz w:val="22"/>
          <w:szCs w:val="28"/>
        </w:rPr>
        <w:t xml:space="preserve">13.5.3 </w:t>
      </w:r>
      <w:r>
        <w:rPr>
          <w:rFonts w:hint="eastAsia" w:ascii="宋体" w:hAnsi="宋体"/>
          <w:sz w:val="22"/>
          <w:szCs w:val="28"/>
        </w:rPr>
        <w:t>监理人重新检查</w:t>
      </w:r>
    </w:p>
    <w:p>
      <w:pPr>
        <w:spacing w:after="160" w:line="278" w:lineRule="auto"/>
        <w:rPr>
          <w:rFonts w:ascii="宋体" w:hAnsi="宋体"/>
          <w:sz w:val="22"/>
          <w:szCs w:val="28"/>
        </w:rPr>
      </w:pPr>
      <w:r>
        <w:rPr>
          <w:rFonts w:ascii="宋体" w:hAnsi="宋体"/>
          <w:sz w:val="22"/>
          <w:szCs w:val="28"/>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after="160" w:line="278" w:lineRule="auto"/>
        <w:rPr>
          <w:rFonts w:ascii="宋体" w:hAnsi="宋体"/>
          <w:sz w:val="22"/>
          <w:szCs w:val="28"/>
        </w:rPr>
      </w:pPr>
      <w:r>
        <w:rPr>
          <w:rFonts w:ascii="宋体" w:hAnsi="宋体"/>
          <w:sz w:val="22"/>
          <w:szCs w:val="28"/>
        </w:rPr>
        <w:t xml:space="preserve">13.5.4 </w:t>
      </w:r>
      <w:r>
        <w:rPr>
          <w:rFonts w:hint="eastAsia" w:ascii="宋体" w:hAnsi="宋体"/>
          <w:sz w:val="22"/>
          <w:szCs w:val="28"/>
        </w:rPr>
        <w:t>承包人私自覆盖</w:t>
      </w:r>
    </w:p>
    <w:p>
      <w:pPr>
        <w:spacing w:after="160" w:line="278" w:lineRule="auto"/>
        <w:rPr>
          <w:rFonts w:ascii="宋体" w:hAnsi="宋体"/>
          <w:sz w:val="22"/>
          <w:szCs w:val="28"/>
        </w:rPr>
      </w:pPr>
      <w:r>
        <w:rPr>
          <w:rFonts w:ascii="宋体" w:hAnsi="宋体"/>
          <w:sz w:val="22"/>
          <w:szCs w:val="28"/>
        </w:rPr>
        <w:t>承包人未通知监理人到场检查，私自将工程隐蔽部位覆盖的，监理人有权指示承包人钻孔探测或揭开检查，由此增加的费用和（或）工期延误由承包人承担。</w:t>
      </w:r>
    </w:p>
    <w:p>
      <w:pPr>
        <w:spacing w:after="160" w:line="278" w:lineRule="auto"/>
        <w:rPr>
          <w:rFonts w:ascii="宋体" w:hAnsi="宋体"/>
          <w:sz w:val="22"/>
          <w:szCs w:val="28"/>
        </w:rPr>
      </w:pPr>
      <w:bookmarkStart w:id="1619" w:name="_Toc179632719"/>
      <w:bookmarkStart w:id="1620" w:name="_Toc144974670"/>
      <w:bookmarkStart w:id="1621" w:name="_Toc129798332"/>
      <w:bookmarkStart w:id="1622" w:name="_Toc338944794"/>
      <w:bookmarkStart w:id="1623" w:name="_Toc132618690"/>
      <w:bookmarkStart w:id="1624" w:name="_Toc152042479"/>
      <w:bookmarkStart w:id="1625" w:name="_Toc132619081"/>
      <w:bookmarkStart w:id="1626" w:name="_Toc142385619"/>
      <w:bookmarkStart w:id="1627" w:name="_Toc342296352"/>
      <w:bookmarkStart w:id="1628" w:name="_Toc152045701"/>
      <w:bookmarkStart w:id="1629" w:name="_Toc109914397"/>
      <w:r>
        <w:rPr>
          <w:rFonts w:ascii="宋体" w:hAnsi="宋体"/>
          <w:sz w:val="22"/>
          <w:szCs w:val="28"/>
        </w:rPr>
        <w:t>13.6 清除不合格工程</w:t>
      </w:r>
      <w:bookmarkEnd w:id="1619"/>
      <w:bookmarkEnd w:id="1620"/>
      <w:bookmarkEnd w:id="1621"/>
      <w:bookmarkEnd w:id="1622"/>
      <w:bookmarkEnd w:id="1623"/>
      <w:bookmarkEnd w:id="1624"/>
      <w:bookmarkEnd w:id="1625"/>
      <w:bookmarkEnd w:id="1626"/>
      <w:bookmarkEnd w:id="1627"/>
      <w:bookmarkEnd w:id="1628"/>
      <w:bookmarkEnd w:id="1629"/>
    </w:p>
    <w:p>
      <w:pPr>
        <w:spacing w:after="160" w:line="278" w:lineRule="auto"/>
        <w:rPr>
          <w:rFonts w:ascii="宋体" w:hAnsi="宋体"/>
          <w:sz w:val="22"/>
          <w:szCs w:val="28"/>
        </w:rPr>
      </w:pPr>
      <w:r>
        <w:rPr>
          <w:rFonts w:ascii="宋体" w:hAnsi="宋体"/>
          <w:sz w:val="22"/>
          <w:szCs w:val="28"/>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after="160" w:line="278" w:lineRule="auto"/>
        <w:rPr>
          <w:rFonts w:ascii="宋体" w:hAnsi="宋体"/>
          <w:sz w:val="22"/>
          <w:szCs w:val="28"/>
        </w:rPr>
      </w:pPr>
      <w:r>
        <w:rPr>
          <w:rFonts w:ascii="宋体" w:hAnsi="宋体"/>
          <w:sz w:val="22"/>
          <w:szCs w:val="28"/>
        </w:rPr>
        <w:t>13.6.2 由于发包人提供的材料或工程设备不合格造成的工程不合格，需要承包人采取措施补救的，发包人应承担由此增加的费用和（或）工期延误，并支付承包人合理利润。</w:t>
      </w:r>
    </w:p>
    <w:p>
      <w:pPr>
        <w:spacing w:after="160" w:line="278" w:lineRule="auto"/>
        <w:rPr>
          <w:rFonts w:ascii="宋体" w:hAnsi="宋体"/>
          <w:sz w:val="22"/>
          <w:szCs w:val="28"/>
        </w:rPr>
      </w:pPr>
      <w:bookmarkStart w:id="1630" w:name="_Toc152045702"/>
      <w:bookmarkStart w:id="1631" w:name="_Toc342296353"/>
      <w:bookmarkStart w:id="1632" w:name="_Toc142385620"/>
      <w:bookmarkStart w:id="1633" w:name="_Toc448758435"/>
      <w:bookmarkStart w:id="1634" w:name="_Toc144974671"/>
      <w:bookmarkStart w:id="1635" w:name="_Toc469660030"/>
      <w:bookmarkStart w:id="1636" w:name="_Toc132619082"/>
      <w:bookmarkStart w:id="1637" w:name="_Toc338944795"/>
      <w:bookmarkStart w:id="1638" w:name="_Toc129798333"/>
      <w:bookmarkStart w:id="1639" w:name="_Toc442365627"/>
      <w:bookmarkStart w:id="1640" w:name="_Toc152042480"/>
      <w:bookmarkStart w:id="1641" w:name="_Toc179632720"/>
      <w:bookmarkStart w:id="1642" w:name="_Toc109914398"/>
      <w:bookmarkStart w:id="1643" w:name="_Toc448758535"/>
      <w:bookmarkStart w:id="1644" w:name="_Toc132618691"/>
      <w:r>
        <w:rPr>
          <w:rFonts w:ascii="宋体" w:hAnsi="宋体"/>
          <w:sz w:val="22"/>
          <w:szCs w:val="28"/>
        </w:rPr>
        <w:t>14. 试验和检验</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spacing w:after="160" w:line="278" w:lineRule="auto"/>
        <w:rPr>
          <w:rFonts w:ascii="宋体" w:hAnsi="宋体"/>
          <w:sz w:val="22"/>
          <w:szCs w:val="28"/>
        </w:rPr>
      </w:pPr>
      <w:bookmarkStart w:id="1645" w:name="_Toc342296354"/>
      <w:bookmarkStart w:id="1646" w:name="_Toc132618692"/>
      <w:bookmarkStart w:id="1647" w:name="_Toc109914399"/>
      <w:bookmarkStart w:id="1648" w:name="_Toc338944796"/>
      <w:bookmarkStart w:id="1649" w:name="_Toc179632721"/>
      <w:bookmarkStart w:id="1650" w:name="_Toc129798334"/>
      <w:bookmarkStart w:id="1651" w:name="_Toc152042481"/>
      <w:bookmarkStart w:id="1652" w:name="_Toc152045703"/>
      <w:bookmarkStart w:id="1653" w:name="_Toc142385621"/>
      <w:bookmarkStart w:id="1654" w:name="_Toc144974672"/>
      <w:bookmarkStart w:id="1655" w:name="_Toc132619083"/>
      <w:r>
        <w:rPr>
          <w:rFonts w:ascii="宋体" w:hAnsi="宋体"/>
          <w:sz w:val="22"/>
          <w:szCs w:val="28"/>
        </w:rPr>
        <w:t>14.1 材料、工程设备和工程的试验和检验</w:t>
      </w:r>
      <w:bookmarkEnd w:id="1645"/>
      <w:bookmarkEnd w:id="1646"/>
      <w:bookmarkEnd w:id="1647"/>
      <w:bookmarkEnd w:id="1648"/>
      <w:bookmarkEnd w:id="1649"/>
      <w:bookmarkEnd w:id="1650"/>
      <w:bookmarkEnd w:id="1651"/>
      <w:bookmarkEnd w:id="1652"/>
      <w:bookmarkEnd w:id="1653"/>
      <w:bookmarkEnd w:id="1654"/>
      <w:bookmarkEnd w:id="1655"/>
    </w:p>
    <w:p>
      <w:pPr>
        <w:spacing w:after="160" w:line="278" w:lineRule="auto"/>
        <w:rPr>
          <w:rFonts w:ascii="宋体" w:hAnsi="宋体"/>
          <w:sz w:val="22"/>
          <w:szCs w:val="28"/>
        </w:rPr>
      </w:pPr>
      <w:r>
        <w:rPr>
          <w:rFonts w:ascii="宋体" w:hAnsi="宋体"/>
          <w:sz w:val="22"/>
          <w:szCs w:val="28"/>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after="160" w:line="278" w:lineRule="auto"/>
        <w:rPr>
          <w:rFonts w:ascii="宋体" w:hAnsi="宋体"/>
          <w:sz w:val="22"/>
          <w:szCs w:val="28"/>
        </w:rPr>
      </w:pPr>
      <w:r>
        <w:rPr>
          <w:rFonts w:ascii="宋体" w:hAnsi="宋体"/>
          <w:sz w:val="22"/>
          <w:szCs w:val="28"/>
        </w:rPr>
        <w:t>14.1.2 监理人未按合同约定派员参加试验和检验的，除监理人另有指示外，承包人可自行试验和检验，并应立即将试验和检验结果报送监理人，监理人应签字确认。</w:t>
      </w:r>
    </w:p>
    <w:p>
      <w:pPr>
        <w:spacing w:after="160" w:line="278" w:lineRule="auto"/>
        <w:rPr>
          <w:rFonts w:ascii="宋体" w:hAnsi="宋体"/>
          <w:sz w:val="22"/>
          <w:szCs w:val="28"/>
        </w:rPr>
      </w:pPr>
      <w:r>
        <w:rPr>
          <w:rFonts w:ascii="宋体" w:hAnsi="宋体"/>
          <w:sz w:val="22"/>
          <w:szCs w:val="28"/>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after="160" w:line="278" w:lineRule="auto"/>
        <w:rPr>
          <w:rFonts w:ascii="宋体" w:hAnsi="宋体"/>
          <w:sz w:val="22"/>
          <w:szCs w:val="28"/>
        </w:rPr>
      </w:pPr>
      <w:bookmarkStart w:id="1656" w:name="_Toc338944797"/>
      <w:bookmarkStart w:id="1657" w:name="_Toc109914400"/>
      <w:bookmarkStart w:id="1658" w:name="_Toc132618693"/>
      <w:bookmarkStart w:id="1659" w:name="_Toc152045704"/>
      <w:bookmarkStart w:id="1660" w:name="_Toc179632722"/>
      <w:bookmarkStart w:id="1661" w:name="_Toc152042482"/>
      <w:bookmarkStart w:id="1662" w:name="_Toc342296355"/>
      <w:bookmarkStart w:id="1663" w:name="_Toc144974673"/>
      <w:bookmarkStart w:id="1664" w:name="_Toc129798335"/>
      <w:bookmarkStart w:id="1665" w:name="_Toc142385622"/>
      <w:bookmarkStart w:id="1666" w:name="_Toc132619084"/>
      <w:r>
        <w:rPr>
          <w:rFonts w:ascii="宋体" w:hAnsi="宋体"/>
          <w:sz w:val="22"/>
          <w:szCs w:val="28"/>
        </w:rPr>
        <w:t>14.2 现场材料试验</w:t>
      </w:r>
      <w:bookmarkEnd w:id="1656"/>
      <w:bookmarkEnd w:id="1657"/>
      <w:bookmarkEnd w:id="1658"/>
      <w:bookmarkEnd w:id="1659"/>
      <w:bookmarkEnd w:id="1660"/>
      <w:bookmarkEnd w:id="1661"/>
      <w:bookmarkEnd w:id="1662"/>
      <w:bookmarkEnd w:id="1663"/>
      <w:bookmarkEnd w:id="1664"/>
      <w:bookmarkEnd w:id="1665"/>
      <w:bookmarkEnd w:id="1666"/>
    </w:p>
    <w:p>
      <w:pPr>
        <w:spacing w:after="160" w:line="278" w:lineRule="auto"/>
        <w:rPr>
          <w:rFonts w:ascii="宋体" w:hAnsi="宋体"/>
          <w:sz w:val="22"/>
          <w:szCs w:val="28"/>
        </w:rPr>
      </w:pPr>
      <w:r>
        <w:rPr>
          <w:rFonts w:ascii="宋体" w:hAnsi="宋体"/>
          <w:sz w:val="22"/>
          <w:szCs w:val="28"/>
        </w:rPr>
        <w:t>14.2.1 承包人根据合同约定或监理人指示进行的现场材料试验，应由承包人提供试验场所、试验人员、试验设备器材以及其他必要的试验条件。</w:t>
      </w:r>
    </w:p>
    <w:p>
      <w:pPr>
        <w:spacing w:after="160" w:line="278" w:lineRule="auto"/>
        <w:rPr>
          <w:rFonts w:ascii="宋体" w:hAnsi="宋体"/>
          <w:sz w:val="22"/>
          <w:szCs w:val="28"/>
        </w:rPr>
      </w:pPr>
      <w:r>
        <w:rPr>
          <w:rFonts w:ascii="宋体" w:hAnsi="宋体"/>
          <w:sz w:val="22"/>
          <w:szCs w:val="28"/>
        </w:rPr>
        <w:t>14.2.2 监理人在必要时可以使用承包人的试验场所、试验设备器材以及其他试验条件，进行以工程质量检查为目的的复核性材料试验，承包人应予以协助。</w:t>
      </w:r>
    </w:p>
    <w:p>
      <w:pPr>
        <w:spacing w:after="160" w:line="278" w:lineRule="auto"/>
        <w:rPr>
          <w:rFonts w:ascii="宋体" w:hAnsi="宋体"/>
          <w:sz w:val="22"/>
          <w:szCs w:val="28"/>
        </w:rPr>
      </w:pPr>
      <w:bookmarkStart w:id="1667" w:name="_Toc132619085"/>
      <w:bookmarkStart w:id="1668" w:name="_Toc144974674"/>
      <w:bookmarkStart w:id="1669" w:name="_Toc132618694"/>
      <w:bookmarkStart w:id="1670" w:name="_Toc142385623"/>
      <w:bookmarkStart w:id="1671" w:name="_Toc129798336"/>
      <w:bookmarkStart w:id="1672" w:name="_Toc109914401"/>
      <w:bookmarkStart w:id="1673" w:name="_Toc152042483"/>
      <w:bookmarkStart w:id="1674" w:name="_Toc179632723"/>
      <w:bookmarkStart w:id="1675" w:name="_Toc338944798"/>
      <w:bookmarkStart w:id="1676" w:name="_Toc152045705"/>
      <w:bookmarkStart w:id="1677" w:name="_Toc342296356"/>
      <w:r>
        <w:rPr>
          <w:rFonts w:ascii="宋体" w:hAnsi="宋体"/>
          <w:sz w:val="22"/>
          <w:szCs w:val="28"/>
        </w:rPr>
        <w:t>14.3 现场工艺试验</w:t>
      </w:r>
      <w:bookmarkEnd w:id="1667"/>
      <w:bookmarkEnd w:id="1668"/>
      <w:bookmarkEnd w:id="1669"/>
      <w:bookmarkEnd w:id="1670"/>
      <w:bookmarkEnd w:id="1671"/>
      <w:bookmarkEnd w:id="1672"/>
      <w:bookmarkEnd w:id="1673"/>
      <w:bookmarkEnd w:id="1674"/>
      <w:bookmarkEnd w:id="1675"/>
      <w:bookmarkEnd w:id="1676"/>
      <w:bookmarkEnd w:id="1677"/>
    </w:p>
    <w:p>
      <w:pPr>
        <w:spacing w:after="160" w:line="278" w:lineRule="auto"/>
        <w:rPr>
          <w:rFonts w:ascii="宋体" w:hAnsi="宋体"/>
          <w:sz w:val="22"/>
          <w:szCs w:val="28"/>
        </w:rPr>
      </w:pPr>
      <w:r>
        <w:rPr>
          <w:rFonts w:ascii="宋体" w:hAnsi="宋体"/>
          <w:sz w:val="22"/>
          <w:szCs w:val="28"/>
        </w:rPr>
        <w:t>承包人应按合同约定或监理人指示进行现场工艺试验。对大型的现场工艺试验，监理人认为必要时，应由承包人根据监理人提出的工艺试验要求，编制工艺试验措施计划，报送监理人审批。</w:t>
      </w:r>
    </w:p>
    <w:p>
      <w:pPr>
        <w:spacing w:after="160" w:line="278" w:lineRule="auto"/>
        <w:rPr>
          <w:rFonts w:ascii="宋体" w:hAnsi="宋体"/>
          <w:sz w:val="22"/>
          <w:szCs w:val="28"/>
        </w:rPr>
      </w:pPr>
      <w:bookmarkStart w:id="1678" w:name="_Toc132618695"/>
      <w:bookmarkStart w:id="1679" w:name="_Toc469660031"/>
      <w:bookmarkStart w:id="1680" w:name="_Toc109914402"/>
      <w:bookmarkStart w:id="1681" w:name="_Toc129798337"/>
      <w:bookmarkStart w:id="1682" w:name="_Toc448758536"/>
      <w:bookmarkStart w:id="1683" w:name="_Toc142385624"/>
      <w:bookmarkStart w:id="1684" w:name="_Toc132619086"/>
      <w:bookmarkStart w:id="1685" w:name="_Toc442365628"/>
      <w:bookmarkStart w:id="1686" w:name="_Toc448758436"/>
      <w:bookmarkStart w:id="1687" w:name="_Toc342296357"/>
      <w:bookmarkStart w:id="1688" w:name="_Toc338944799"/>
      <w:r>
        <w:rPr>
          <w:rFonts w:ascii="宋体" w:hAnsi="宋体"/>
          <w:sz w:val="22"/>
          <w:szCs w:val="28"/>
        </w:rPr>
        <w:t>15. 变更</w:t>
      </w:r>
      <w:bookmarkEnd w:id="1678"/>
      <w:bookmarkEnd w:id="1679"/>
      <w:bookmarkEnd w:id="1680"/>
      <w:bookmarkEnd w:id="1681"/>
      <w:bookmarkEnd w:id="1682"/>
      <w:bookmarkEnd w:id="1683"/>
      <w:bookmarkEnd w:id="1684"/>
      <w:bookmarkEnd w:id="1685"/>
      <w:bookmarkEnd w:id="1686"/>
      <w:bookmarkEnd w:id="1687"/>
      <w:bookmarkEnd w:id="1688"/>
    </w:p>
    <w:p>
      <w:pPr>
        <w:spacing w:after="160" w:line="278" w:lineRule="auto"/>
        <w:rPr>
          <w:rFonts w:ascii="宋体" w:hAnsi="宋体"/>
          <w:sz w:val="22"/>
          <w:szCs w:val="28"/>
        </w:rPr>
      </w:pPr>
      <w:bookmarkStart w:id="1689" w:name="_Toc129798338"/>
      <w:bookmarkStart w:id="1690" w:name="_Toc342296358"/>
      <w:bookmarkStart w:id="1691" w:name="_Toc142385625"/>
      <w:bookmarkStart w:id="1692" w:name="_Toc338944800"/>
      <w:bookmarkStart w:id="1693" w:name="_Toc132619087"/>
      <w:bookmarkStart w:id="1694" w:name="_Toc109914403"/>
      <w:bookmarkStart w:id="1695" w:name="_Toc132618696"/>
      <w:r>
        <w:rPr>
          <w:rFonts w:ascii="宋体" w:hAnsi="宋体"/>
          <w:sz w:val="22"/>
          <w:szCs w:val="28"/>
        </w:rPr>
        <w:t>15.1 变更的范围和内容</w:t>
      </w:r>
      <w:bookmarkEnd w:id="1689"/>
      <w:bookmarkEnd w:id="1690"/>
      <w:bookmarkEnd w:id="1691"/>
      <w:bookmarkEnd w:id="1692"/>
      <w:bookmarkEnd w:id="1693"/>
      <w:bookmarkEnd w:id="1694"/>
      <w:bookmarkEnd w:id="1695"/>
    </w:p>
    <w:p>
      <w:pPr>
        <w:spacing w:after="160" w:line="278" w:lineRule="auto"/>
        <w:rPr>
          <w:rFonts w:ascii="宋体" w:hAnsi="宋体"/>
          <w:sz w:val="22"/>
          <w:szCs w:val="28"/>
        </w:rPr>
      </w:pPr>
      <w:r>
        <w:rPr>
          <w:rFonts w:ascii="宋体" w:hAnsi="宋体"/>
          <w:sz w:val="22"/>
          <w:szCs w:val="28"/>
        </w:rPr>
        <w:t>除专用合同条款另有约定外，在履行合同中发生以下情形之一，应按照本条规定进行变更。</w:t>
      </w:r>
    </w:p>
    <w:p>
      <w:pPr>
        <w:spacing w:after="160" w:line="278" w:lineRule="auto"/>
        <w:rPr>
          <w:rFonts w:ascii="宋体" w:hAnsi="宋体"/>
          <w:sz w:val="22"/>
          <w:szCs w:val="28"/>
        </w:rPr>
      </w:pPr>
      <w:r>
        <w:rPr>
          <w:rFonts w:ascii="宋体" w:hAnsi="宋体"/>
          <w:sz w:val="22"/>
          <w:szCs w:val="28"/>
        </w:rPr>
        <w:t>（1）取消合同中任何一项工作，但被取消的工作不能转由发包人或其他人实施；</w:t>
      </w:r>
    </w:p>
    <w:p>
      <w:pPr>
        <w:spacing w:after="160" w:line="278" w:lineRule="auto"/>
        <w:rPr>
          <w:rFonts w:ascii="宋体" w:hAnsi="宋体"/>
          <w:sz w:val="22"/>
          <w:szCs w:val="28"/>
        </w:rPr>
      </w:pPr>
      <w:r>
        <w:rPr>
          <w:rFonts w:ascii="宋体" w:hAnsi="宋体"/>
          <w:sz w:val="22"/>
          <w:szCs w:val="28"/>
        </w:rPr>
        <w:t>（2）改变合同中任何一项工作的质量或其他特性；</w:t>
      </w:r>
    </w:p>
    <w:p>
      <w:pPr>
        <w:spacing w:after="160" w:line="278" w:lineRule="auto"/>
        <w:rPr>
          <w:rFonts w:ascii="宋体" w:hAnsi="宋体"/>
          <w:sz w:val="22"/>
          <w:szCs w:val="28"/>
        </w:rPr>
      </w:pPr>
      <w:r>
        <w:rPr>
          <w:rFonts w:ascii="宋体" w:hAnsi="宋体"/>
          <w:sz w:val="22"/>
          <w:szCs w:val="28"/>
        </w:rPr>
        <w:t>（3）改变合同工程的基线、标高、位置或尺寸；</w:t>
      </w:r>
    </w:p>
    <w:p>
      <w:pPr>
        <w:spacing w:after="160" w:line="278" w:lineRule="auto"/>
        <w:rPr>
          <w:rFonts w:ascii="宋体" w:hAnsi="宋体"/>
          <w:sz w:val="22"/>
          <w:szCs w:val="28"/>
        </w:rPr>
      </w:pPr>
      <w:r>
        <w:rPr>
          <w:rFonts w:ascii="宋体" w:hAnsi="宋体"/>
          <w:sz w:val="22"/>
          <w:szCs w:val="28"/>
        </w:rPr>
        <w:t>（4）改变合同中任何一项工作的施工时间或改变已批准的施工工艺或顺序；</w:t>
      </w:r>
    </w:p>
    <w:p>
      <w:pPr>
        <w:spacing w:after="160" w:line="278" w:lineRule="auto"/>
        <w:rPr>
          <w:rFonts w:ascii="宋体" w:hAnsi="宋体"/>
          <w:sz w:val="22"/>
          <w:szCs w:val="28"/>
        </w:rPr>
      </w:pPr>
      <w:r>
        <w:rPr>
          <w:rFonts w:ascii="宋体" w:hAnsi="宋体"/>
          <w:sz w:val="22"/>
          <w:szCs w:val="28"/>
        </w:rPr>
        <w:t>（5）为完成工程需要追加的额外工作。</w:t>
      </w:r>
    </w:p>
    <w:p>
      <w:pPr>
        <w:spacing w:after="160" w:line="278" w:lineRule="auto"/>
        <w:rPr>
          <w:rFonts w:ascii="宋体" w:hAnsi="宋体"/>
          <w:sz w:val="22"/>
          <w:szCs w:val="28"/>
        </w:rPr>
      </w:pPr>
      <w:bookmarkStart w:id="1696" w:name="_Toc152042486"/>
      <w:bookmarkStart w:id="1697" w:name="_Toc109914404"/>
      <w:bookmarkStart w:id="1698" w:name="_Toc132619088"/>
      <w:bookmarkStart w:id="1699" w:name="_Toc132618697"/>
      <w:bookmarkStart w:id="1700" w:name="_Toc342296359"/>
      <w:bookmarkStart w:id="1701" w:name="_Toc144974677"/>
      <w:bookmarkStart w:id="1702" w:name="_Toc179632726"/>
      <w:bookmarkStart w:id="1703" w:name="_Toc338944801"/>
      <w:bookmarkStart w:id="1704" w:name="_Toc152045708"/>
      <w:bookmarkStart w:id="1705" w:name="_Toc142385626"/>
      <w:bookmarkStart w:id="1706" w:name="_Toc129798339"/>
      <w:r>
        <w:rPr>
          <w:rFonts w:ascii="宋体" w:hAnsi="宋体"/>
          <w:sz w:val="22"/>
          <w:szCs w:val="28"/>
        </w:rPr>
        <w:t>15.2 变更权</w:t>
      </w:r>
      <w:bookmarkEnd w:id="1696"/>
      <w:bookmarkEnd w:id="1697"/>
      <w:bookmarkEnd w:id="1698"/>
      <w:bookmarkEnd w:id="1699"/>
      <w:bookmarkEnd w:id="1700"/>
      <w:bookmarkEnd w:id="1701"/>
      <w:bookmarkEnd w:id="1702"/>
      <w:bookmarkEnd w:id="1703"/>
      <w:bookmarkEnd w:id="1704"/>
      <w:bookmarkEnd w:id="1705"/>
      <w:bookmarkEnd w:id="1706"/>
    </w:p>
    <w:p>
      <w:pPr>
        <w:spacing w:after="160" w:line="278" w:lineRule="auto"/>
        <w:rPr>
          <w:rFonts w:ascii="宋体" w:hAnsi="宋体"/>
          <w:sz w:val="22"/>
          <w:szCs w:val="28"/>
        </w:rPr>
      </w:pPr>
      <w:r>
        <w:rPr>
          <w:rFonts w:ascii="宋体" w:hAnsi="宋体"/>
          <w:sz w:val="22"/>
          <w:szCs w:val="28"/>
        </w:rPr>
        <w:t>在履行合同过程中，经发包人同意，监理人可按第15.3款约定的变更程序向承包人作出变更指示，承包人应遵照执行。没有监理人的变更指示，承包人不得擅自变更。</w:t>
      </w:r>
    </w:p>
    <w:p>
      <w:pPr>
        <w:spacing w:after="160" w:line="278" w:lineRule="auto"/>
        <w:rPr>
          <w:rFonts w:ascii="宋体" w:hAnsi="宋体"/>
          <w:sz w:val="22"/>
          <w:szCs w:val="28"/>
        </w:rPr>
      </w:pPr>
      <w:bookmarkStart w:id="1707" w:name="_Toc142385627"/>
      <w:bookmarkStart w:id="1708" w:name="_Toc109914405"/>
      <w:bookmarkStart w:id="1709" w:name="_Toc132618698"/>
      <w:bookmarkStart w:id="1710" w:name="_Toc129798340"/>
      <w:bookmarkStart w:id="1711" w:name="_Toc338944802"/>
      <w:bookmarkStart w:id="1712" w:name="_Toc132619089"/>
      <w:bookmarkStart w:id="1713" w:name="_Toc342296360"/>
      <w:r>
        <w:rPr>
          <w:rFonts w:ascii="宋体" w:hAnsi="宋体"/>
          <w:sz w:val="22"/>
          <w:szCs w:val="28"/>
        </w:rPr>
        <w:t>15.3 变更程序</w:t>
      </w:r>
      <w:bookmarkEnd w:id="1707"/>
      <w:bookmarkEnd w:id="1708"/>
      <w:bookmarkEnd w:id="1709"/>
      <w:bookmarkEnd w:id="1710"/>
      <w:bookmarkEnd w:id="1711"/>
      <w:bookmarkEnd w:id="1712"/>
      <w:bookmarkEnd w:id="1713"/>
    </w:p>
    <w:p>
      <w:pPr>
        <w:spacing w:after="160" w:line="278" w:lineRule="auto"/>
        <w:rPr>
          <w:rFonts w:ascii="宋体" w:hAnsi="宋体"/>
          <w:sz w:val="22"/>
          <w:szCs w:val="28"/>
        </w:rPr>
      </w:pPr>
      <w:r>
        <w:rPr>
          <w:rFonts w:ascii="宋体" w:hAnsi="宋体"/>
          <w:sz w:val="22"/>
          <w:szCs w:val="28"/>
        </w:rPr>
        <w:t xml:space="preserve">15.3.1 </w:t>
      </w:r>
      <w:r>
        <w:rPr>
          <w:rFonts w:hint="eastAsia" w:ascii="宋体" w:hAnsi="宋体"/>
          <w:sz w:val="22"/>
          <w:szCs w:val="28"/>
        </w:rPr>
        <w:t>变更的提出</w:t>
      </w:r>
    </w:p>
    <w:p>
      <w:pPr>
        <w:spacing w:after="160" w:line="278" w:lineRule="auto"/>
        <w:rPr>
          <w:rFonts w:ascii="宋体" w:hAnsi="宋体"/>
          <w:sz w:val="22"/>
          <w:szCs w:val="28"/>
        </w:rPr>
      </w:pPr>
      <w:r>
        <w:rPr>
          <w:rFonts w:ascii="宋体" w:hAnsi="宋体"/>
          <w:sz w:val="22"/>
          <w:szCs w:val="28"/>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after="160" w:line="278" w:lineRule="auto"/>
        <w:rPr>
          <w:rFonts w:ascii="宋体" w:hAnsi="宋体"/>
          <w:sz w:val="22"/>
          <w:szCs w:val="28"/>
        </w:rPr>
      </w:pPr>
      <w:r>
        <w:rPr>
          <w:rFonts w:ascii="宋体" w:hAnsi="宋体"/>
          <w:sz w:val="22"/>
          <w:szCs w:val="28"/>
        </w:rPr>
        <w:t>（2）在合同履行过程中，发生第15.1款约定情形的，监理人应按照第15.3.3项约定向承包人发出变更指示。</w:t>
      </w:r>
    </w:p>
    <w:p>
      <w:pPr>
        <w:spacing w:after="160" w:line="278" w:lineRule="auto"/>
        <w:rPr>
          <w:rFonts w:ascii="宋体" w:hAnsi="宋体"/>
          <w:sz w:val="22"/>
          <w:szCs w:val="28"/>
        </w:rPr>
      </w:pPr>
      <w:r>
        <w:rPr>
          <w:rFonts w:ascii="宋体" w:hAnsi="宋体"/>
          <w:sz w:val="22"/>
          <w:szCs w:val="28"/>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after="160" w:line="278" w:lineRule="auto"/>
        <w:rPr>
          <w:rFonts w:ascii="宋体" w:hAnsi="宋体"/>
          <w:sz w:val="22"/>
          <w:szCs w:val="28"/>
        </w:rPr>
      </w:pPr>
      <w:r>
        <w:rPr>
          <w:rFonts w:ascii="宋体" w:hAnsi="宋体"/>
          <w:sz w:val="22"/>
          <w:szCs w:val="28"/>
        </w:rPr>
        <w:t>（4）若承包人收到监理人的变更意向书后认为难以实施此项变更，应立即通知监理人，说明原因并附详细依据。监理人与承包人和发包人协商后确定撤销、改变或不改变原变更意向书。</w:t>
      </w:r>
    </w:p>
    <w:p>
      <w:pPr>
        <w:spacing w:after="160" w:line="278" w:lineRule="auto"/>
        <w:rPr>
          <w:rFonts w:ascii="宋体" w:hAnsi="宋体"/>
          <w:sz w:val="22"/>
          <w:szCs w:val="28"/>
        </w:rPr>
      </w:pPr>
      <w:r>
        <w:rPr>
          <w:rFonts w:ascii="宋体" w:hAnsi="宋体"/>
          <w:sz w:val="22"/>
          <w:szCs w:val="28"/>
        </w:rPr>
        <w:t xml:space="preserve">15.3.2 </w:t>
      </w:r>
      <w:r>
        <w:rPr>
          <w:rFonts w:hint="eastAsia" w:ascii="宋体" w:hAnsi="宋体"/>
          <w:sz w:val="22"/>
          <w:szCs w:val="28"/>
        </w:rPr>
        <w:t>变更估价</w:t>
      </w:r>
    </w:p>
    <w:p>
      <w:pPr>
        <w:spacing w:after="160" w:line="278" w:lineRule="auto"/>
        <w:rPr>
          <w:rFonts w:ascii="宋体" w:hAnsi="宋体"/>
          <w:sz w:val="22"/>
          <w:szCs w:val="28"/>
        </w:rPr>
      </w:pPr>
      <w:r>
        <w:rPr>
          <w:rFonts w:ascii="宋体" w:hAnsi="宋体"/>
          <w:sz w:val="22"/>
          <w:szCs w:val="28"/>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after="160" w:line="278" w:lineRule="auto"/>
        <w:rPr>
          <w:rFonts w:ascii="宋体" w:hAnsi="宋体"/>
          <w:sz w:val="22"/>
          <w:szCs w:val="28"/>
        </w:rPr>
      </w:pPr>
      <w:r>
        <w:rPr>
          <w:rFonts w:ascii="宋体" w:hAnsi="宋体"/>
          <w:sz w:val="22"/>
          <w:szCs w:val="28"/>
        </w:rPr>
        <w:t>（2）变更工作影响工期的，承包人应提出调整工期的具体细节。监理人认为有必要时，可要求承包人提交要求提前或延长工期的施工进度计划及相应施工措施等详细资料。</w:t>
      </w:r>
    </w:p>
    <w:p>
      <w:pPr>
        <w:spacing w:after="160" w:line="278" w:lineRule="auto"/>
        <w:rPr>
          <w:rFonts w:ascii="宋体" w:hAnsi="宋体"/>
          <w:sz w:val="22"/>
          <w:szCs w:val="28"/>
        </w:rPr>
      </w:pPr>
      <w:r>
        <w:rPr>
          <w:rFonts w:ascii="宋体" w:hAnsi="宋体"/>
          <w:sz w:val="22"/>
          <w:szCs w:val="28"/>
        </w:rPr>
        <w:t>（3）除专用合同条款对期限另有约定外，监理人收到承包人变更报价书后的14天内，根据第15.4款约定的估价原则，按照第3.5款商定或确定变更价格。</w:t>
      </w:r>
    </w:p>
    <w:p>
      <w:pPr>
        <w:spacing w:after="160" w:line="278" w:lineRule="auto"/>
        <w:rPr>
          <w:rFonts w:ascii="宋体" w:hAnsi="宋体"/>
          <w:sz w:val="22"/>
          <w:szCs w:val="28"/>
        </w:rPr>
      </w:pPr>
      <w:r>
        <w:rPr>
          <w:rFonts w:ascii="宋体" w:hAnsi="宋体"/>
          <w:sz w:val="22"/>
          <w:szCs w:val="28"/>
        </w:rPr>
        <w:t xml:space="preserve">15.3.3 </w:t>
      </w:r>
      <w:r>
        <w:rPr>
          <w:rFonts w:hint="eastAsia" w:ascii="宋体" w:hAnsi="宋体"/>
          <w:sz w:val="22"/>
          <w:szCs w:val="28"/>
        </w:rPr>
        <w:t>变更指示</w:t>
      </w:r>
    </w:p>
    <w:p>
      <w:pPr>
        <w:spacing w:after="160" w:line="278" w:lineRule="auto"/>
        <w:rPr>
          <w:rFonts w:ascii="宋体" w:hAnsi="宋体"/>
          <w:sz w:val="22"/>
          <w:szCs w:val="28"/>
        </w:rPr>
      </w:pPr>
      <w:r>
        <w:rPr>
          <w:rFonts w:ascii="宋体" w:hAnsi="宋体"/>
          <w:sz w:val="22"/>
          <w:szCs w:val="28"/>
        </w:rPr>
        <w:t>（1）变更指示只能由监理人发出。</w:t>
      </w:r>
    </w:p>
    <w:p>
      <w:pPr>
        <w:spacing w:after="160" w:line="278" w:lineRule="auto"/>
        <w:rPr>
          <w:rFonts w:ascii="宋体" w:hAnsi="宋体"/>
          <w:sz w:val="22"/>
          <w:szCs w:val="28"/>
        </w:rPr>
      </w:pPr>
      <w:r>
        <w:rPr>
          <w:rFonts w:ascii="宋体" w:hAnsi="宋体"/>
          <w:sz w:val="22"/>
          <w:szCs w:val="28"/>
        </w:rPr>
        <w:t>（2）变更指示应说明变更的目的、范围、变更内容以及变更的工程量及其进度和技术要求，并附有关图纸和文件。承包人收到变更指示后，应按变更指示进行变更工作。</w:t>
      </w:r>
    </w:p>
    <w:p>
      <w:pPr>
        <w:spacing w:after="160" w:line="278" w:lineRule="auto"/>
        <w:rPr>
          <w:rFonts w:ascii="宋体" w:hAnsi="宋体"/>
          <w:sz w:val="22"/>
          <w:szCs w:val="28"/>
        </w:rPr>
      </w:pPr>
      <w:bookmarkStart w:id="1714" w:name="_Toc342296361"/>
      <w:bookmarkStart w:id="1715" w:name="_Toc132618699"/>
      <w:bookmarkStart w:id="1716" w:name="_Toc109914406"/>
      <w:bookmarkStart w:id="1717" w:name="_Toc129798341"/>
      <w:bookmarkStart w:id="1718" w:name="_Toc142385628"/>
      <w:bookmarkStart w:id="1719" w:name="_Toc132619090"/>
      <w:bookmarkStart w:id="1720" w:name="_Toc338944803"/>
      <w:r>
        <w:rPr>
          <w:rFonts w:ascii="宋体" w:hAnsi="宋体"/>
          <w:sz w:val="22"/>
          <w:szCs w:val="28"/>
        </w:rPr>
        <w:t>15.4 变更的估价原则</w:t>
      </w:r>
      <w:bookmarkEnd w:id="1714"/>
      <w:bookmarkEnd w:id="1715"/>
      <w:bookmarkEnd w:id="1716"/>
      <w:bookmarkEnd w:id="1717"/>
      <w:bookmarkEnd w:id="1718"/>
      <w:bookmarkEnd w:id="1719"/>
      <w:bookmarkEnd w:id="1720"/>
    </w:p>
    <w:p>
      <w:pPr>
        <w:spacing w:after="160" w:line="278" w:lineRule="auto"/>
        <w:rPr>
          <w:rFonts w:ascii="宋体" w:hAnsi="宋体"/>
          <w:sz w:val="22"/>
          <w:szCs w:val="28"/>
        </w:rPr>
      </w:pPr>
      <w:r>
        <w:rPr>
          <w:rFonts w:ascii="宋体" w:hAnsi="宋体"/>
          <w:sz w:val="22"/>
          <w:szCs w:val="28"/>
        </w:rPr>
        <w:t>除专用合同条款另有约定外，因变更引起的价格调整按照本款约定处理。</w:t>
      </w:r>
    </w:p>
    <w:p>
      <w:pPr>
        <w:spacing w:after="160" w:line="278" w:lineRule="auto"/>
        <w:rPr>
          <w:rFonts w:ascii="宋体" w:hAnsi="宋体"/>
          <w:sz w:val="22"/>
          <w:szCs w:val="28"/>
        </w:rPr>
      </w:pPr>
      <w:r>
        <w:rPr>
          <w:rFonts w:ascii="宋体" w:hAnsi="宋体"/>
          <w:sz w:val="22"/>
          <w:szCs w:val="28"/>
        </w:rPr>
        <w:t>15.4.1 已标价工程量清单中有适用于变更工作的子目的，采用该子目的单价。</w:t>
      </w:r>
    </w:p>
    <w:p>
      <w:pPr>
        <w:spacing w:after="160" w:line="278" w:lineRule="auto"/>
        <w:rPr>
          <w:rFonts w:ascii="宋体" w:hAnsi="宋体"/>
          <w:sz w:val="22"/>
          <w:szCs w:val="28"/>
        </w:rPr>
      </w:pPr>
      <w:r>
        <w:rPr>
          <w:rFonts w:ascii="宋体" w:hAnsi="宋体"/>
          <w:sz w:val="22"/>
          <w:szCs w:val="28"/>
        </w:rPr>
        <w:t>15.4.2 已标价工程量清单中无适用于变更工作的子目，但有类似子目的，可在合理范围内参照类似子目的单价，由监理人按第3.5款商定或确定变更工作的单价。</w:t>
      </w:r>
    </w:p>
    <w:p>
      <w:pPr>
        <w:spacing w:after="160" w:line="278" w:lineRule="auto"/>
        <w:rPr>
          <w:rFonts w:ascii="宋体" w:hAnsi="宋体"/>
          <w:sz w:val="22"/>
          <w:szCs w:val="28"/>
        </w:rPr>
      </w:pPr>
      <w:r>
        <w:rPr>
          <w:rFonts w:ascii="宋体" w:hAnsi="宋体"/>
          <w:sz w:val="22"/>
          <w:szCs w:val="28"/>
        </w:rPr>
        <w:t>15.4.3 已标价工程量清单中无适用或类似子目的单价，可按照成本加利润的原则，由监理人按第3.5款商定或确定变更工作的单价。</w:t>
      </w:r>
    </w:p>
    <w:p>
      <w:pPr>
        <w:spacing w:after="160" w:line="278" w:lineRule="auto"/>
        <w:rPr>
          <w:rFonts w:ascii="宋体" w:hAnsi="宋体"/>
          <w:sz w:val="22"/>
          <w:szCs w:val="28"/>
        </w:rPr>
      </w:pPr>
      <w:bookmarkStart w:id="1721" w:name="_Toc132618700"/>
      <w:bookmarkStart w:id="1722" w:name="_Toc129798342"/>
      <w:bookmarkStart w:id="1723" w:name="_Toc342296362"/>
      <w:bookmarkStart w:id="1724" w:name="_Toc338944804"/>
      <w:bookmarkStart w:id="1725" w:name="_Toc142385629"/>
      <w:bookmarkStart w:id="1726" w:name="_Toc109914407"/>
      <w:bookmarkStart w:id="1727" w:name="_Toc132619091"/>
      <w:r>
        <w:rPr>
          <w:rFonts w:ascii="宋体" w:hAnsi="宋体"/>
          <w:sz w:val="22"/>
          <w:szCs w:val="28"/>
        </w:rPr>
        <w:t>15.5 承包人的合理化建议</w:t>
      </w:r>
      <w:bookmarkEnd w:id="1721"/>
      <w:bookmarkEnd w:id="1722"/>
      <w:bookmarkEnd w:id="1723"/>
      <w:bookmarkEnd w:id="1724"/>
      <w:bookmarkEnd w:id="1725"/>
      <w:bookmarkEnd w:id="1726"/>
      <w:bookmarkEnd w:id="1727"/>
    </w:p>
    <w:p>
      <w:pPr>
        <w:spacing w:after="160" w:line="278" w:lineRule="auto"/>
        <w:rPr>
          <w:rFonts w:ascii="宋体" w:hAnsi="宋体"/>
          <w:sz w:val="22"/>
          <w:szCs w:val="28"/>
        </w:rPr>
      </w:pPr>
      <w:r>
        <w:rPr>
          <w:rFonts w:ascii="宋体" w:hAnsi="宋体"/>
          <w:sz w:val="22"/>
          <w:szCs w:val="28"/>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after="160" w:line="278" w:lineRule="auto"/>
        <w:rPr>
          <w:rFonts w:ascii="宋体" w:hAnsi="宋体"/>
          <w:sz w:val="22"/>
          <w:szCs w:val="28"/>
        </w:rPr>
      </w:pPr>
      <w:r>
        <w:rPr>
          <w:rFonts w:ascii="宋体" w:hAnsi="宋体"/>
          <w:sz w:val="22"/>
          <w:szCs w:val="28"/>
        </w:rPr>
        <w:t>15.5.2 承包人提出的合理化建议降低了合同价格、缩短了工期或者提高了工程经济效益的，发包人可按国家有关规定在专用合同条款中约定给予奖励。</w:t>
      </w:r>
    </w:p>
    <w:p>
      <w:pPr>
        <w:spacing w:after="160" w:line="278" w:lineRule="auto"/>
        <w:rPr>
          <w:rFonts w:ascii="宋体" w:hAnsi="宋体"/>
          <w:sz w:val="22"/>
          <w:szCs w:val="28"/>
        </w:rPr>
      </w:pPr>
      <w:bookmarkStart w:id="1728" w:name="_Toc142385630"/>
      <w:bookmarkStart w:id="1729" w:name="_Toc342296363"/>
      <w:bookmarkStart w:id="1730" w:name="_Toc129798343"/>
      <w:bookmarkStart w:id="1731" w:name="_Toc152045712"/>
      <w:bookmarkStart w:id="1732" w:name="_Toc144974681"/>
      <w:bookmarkStart w:id="1733" w:name="_Toc338944805"/>
      <w:bookmarkStart w:id="1734" w:name="_Toc132619092"/>
      <w:bookmarkStart w:id="1735" w:name="_Toc109914408"/>
      <w:bookmarkStart w:id="1736" w:name="_Toc132618701"/>
      <w:bookmarkStart w:id="1737" w:name="_Toc152042490"/>
      <w:bookmarkStart w:id="1738" w:name="_Toc179632730"/>
      <w:r>
        <w:rPr>
          <w:rFonts w:ascii="宋体" w:hAnsi="宋体"/>
          <w:sz w:val="22"/>
          <w:szCs w:val="28"/>
        </w:rPr>
        <w:t>15.6 暂列金额</w:t>
      </w:r>
      <w:bookmarkEnd w:id="1728"/>
      <w:bookmarkEnd w:id="1729"/>
      <w:bookmarkEnd w:id="1730"/>
      <w:bookmarkEnd w:id="1731"/>
      <w:bookmarkEnd w:id="1732"/>
      <w:bookmarkEnd w:id="1733"/>
      <w:bookmarkEnd w:id="1734"/>
      <w:bookmarkEnd w:id="1735"/>
      <w:bookmarkEnd w:id="1736"/>
      <w:bookmarkEnd w:id="1737"/>
      <w:bookmarkEnd w:id="1738"/>
    </w:p>
    <w:p>
      <w:pPr>
        <w:spacing w:after="160" w:line="278" w:lineRule="auto"/>
        <w:rPr>
          <w:rFonts w:ascii="宋体" w:hAnsi="宋体"/>
          <w:sz w:val="22"/>
          <w:szCs w:val="28"/>
        </w:rPr>
      </w:pPr>
      <w:r>
        <w:rPr>
          <w:rFonts w:ascii="宋体" w:hAnsi="宋体"/>
          <w:sz w:val="22"/>
          <w:szCs w:val="28"/>
        </w:rPr>
        <w:t>暂列金额只能按照监理人的指示使用，并对合同价格进行相应调整。</w:t>
      </w:r>
    </w:p>
    <w:p>
      <w:pPr>
        <w:spacing w:after="160" w:line="278" w:lineRule="auto"/>
        <w:rPr>
          <w:rFonts w:ascii="宋体" w:hAnsi="宋体"/>
          <w:sz w:val="22"/>
          <w:szCs w:val="28"/>
        </w:rPr>
      </w:pPr>
      <w:bookmarkStart w:id="1739" w:name="_Toc129798344"/>
      <w:bookmarkStart w:id="1740" w:name="_Toc179632731"/>
      <w:bookmarkStart w:id="1741" w:name="_Toc109914409"/>
      <w:bookmarkStart w:id="1742" w:name="_Toc132619093"/>
      <w:bookmarkStart w:id="1743" w:name="_Toc144974682"/>
      <w:bookmarkStart w:id="1744" w:name="_Toc338944806"/>
      <w:bookmarkStart w:id="1745" w:name="_Toc152042491"/>
      <w:bookmarkStart w:id="1746" w:name="_Toc342296364"/>
      <w:bookmarkStart w:id="1747" w:name="_Toc142385631"/>
      <w:bookmarkStart w:id="1748" w:name="_Toc152045713"/>
      <w:bookmarkStart w:id="1749" w:name="_Toc132618702"/>
      <w:r>
        <w:rPr>
          <w:rFonts w:ascii="宋体" w:hAnsi="宋体"/>
          <w:sz w:val="22"/>
          <w:szCs w:val="28"/>
        </w:rPr>
        <w:t>15.7 计日工</w:t>
      </w:r>
      <w:bookmarkEnd w:id="1739"/>
      <w:bookmarkEnd w:id="1740"/>
      <w:bookmarkEnd w:id="1741"/>
      <w:bookmarkEnd w:id="1742"/>
      <w:bookmarkEnd w:id="1743"/>
      <w:bookmarkEnd w:id="1744"/>
      <w:bookmarkEnd w:id="1745"/>
      <w:bookmarkEnd w:id="1746"/>
      <w:bookmarkEnd w:id="1747"/>
      <w:bookmarkEnd w:id="1748"/>
      <w:bookmarkEnd w:id="1749"/>
    </w:p>
    <w:p>
      <w:pPr>
        <w:spacing w:after="160" w:line="278" w:lineRule="auto"/>
        <w:rPr>
          <w:rFonts w:ascii="宋体" w:hAnsi="宋体"/>
          <w:sz w:val="22"/>
          <w:szCs w:val="28"/>
        </w:rPr>
      </w:pPr>
      <w:r>
        <w:rPr>
          <w:rFonts w:ascii="宋体" w:hAnsi="宋体"/>
          <w:sz w:val="22"/>
          <w:szCs w:val="28"/>
        </w:rPr>
        <w:t>15.7.1 发包人认为有必要时，由监理人通知承包人以计日工方式实施变更的零星工作。其价款按列入已标价工程量清单中的计日工计价子目及其单价进行计算。</w:t>
      </w:r>
    </w:p>
    <w:p>
      <w:pPr>
        <w:spacing w:after="160" w:line="278" w:lineRule="auto"/>
        <w:rPr>
          <w:rFonts w:ascii="宋体" w:hAnsi="宋体"/>
          <w:sz w:val="22"/>
          <w:szCs w:val="28"/>
        </w:rPr>
      </w:pPr>
      <w:r>
        <w:rPr>
          <w:rFonts w:ascii="宋体" w:hAnsi="宋体"/>
          <w:sz w:val="22"/>
          <w:szCs w:val="28"/>
        </w:rPr>
        <w:t>15.7.2 采用计日工计价的任何一项变更工作，应从暂列金额中支付，承包人应在该项变更的实施过程中，每天提交以下报表和有关凭证报送监理人审批：</w:t>
      </w:r>
    </w:p>
    <w:p>
      <w:pPr>
        <w:spacing w:after="160" w:line="278" w:lineRule="auto"/>
        <w:rPr>
          <w:rFonts w:ascii="宋体" w:hAnsi="宋体"/>
          <w:sz w:val="22"/>
          <w:szCs w:val="28"/>
        </w:rPr>
      </w:pPr>
      <w:r>
        <w:rPr>
          <w:rFonts w:ascii="宋体" w:hAnsi="宋体"/>
          <w:sz w:val="22"/>
          <w:szCs w:val="28"/>
        </w:rPr>
        <w:t>（1）工作名称、内容和数量；</w:t>
      </w:r>
    </w:p>
    <w:p>
      <w:pPr>
        <w:spacing w:after="160" w:line="278" w:lineRule="auto"/>
        <w:rPr>
          <w:rFonts w:ascii="宋体" w:hAnsi="宋体"/>
          <w:sz w:val="22"/>
          <w:szCs w:val="28"/>
        </w:rPr>
      </w:pPr>
      <w:r>
        <w:rPr>
          <w:rFonts w:ascii="宋体" w:hAnsi="宋体"/>
          <w:sz w:val="22"/>
          <w:szCs w:val="28"/>
        </w:rPr>
        <w:t>（2）投入该工作所有人员的姓名、工种、级别和耗用工时；</w:t>
      </w:r>
    </w:p>
    <w:p>
      <w:pPr>
        <w:spacing w:after="160" w:line="278" w:lineRule="auto"/>
        <w:rPr>
          <w:rFonts w:ascii="宋体" w:hAnsi="宋体"/>
          <w:sz w:val="22"/>
          <w:szCs w:val="28"/>
        </w:rPr>
      </w:pPr>
      <w:r>
        <w:rPr>
          <w:rFonts w:ascii="宋体" w:hAnsi="宋体"/>
          <w:sz w:val="22"/>
          <w:szCs w:val="28"/>
        </w:rPr>
        <w:t>（3）投入该工作的材料类别和数量；</w:t>
      </w:r>
    </w:p>
    <w:p>
      <w:pPr>
        <w:spacing w:after="160" w:line="278" w:lineRule="auto"/>
        <w:rPr>
          <w:rFonts w:ascii="宋体" w:hAnsi="宋体"/>
          <w:sz w:val="22"/>
          <w:szCs w:val="28"/>
        </w:rPr>
      </w:pPr>
      <w:r>
        <w:rPr>
          <w:rFonts w:ascii="宋体" w:hAnsi="宋体"/>
          <w:sz w:val="22"/>
          <w:szCs w:val="28"/>
        </w:rPr>
        <w:t>（4）投入该工作的施工设备型号、台数和耗用台时；</w:t>
      </w:r>
    </w:p>
    <w:p>
      <w:pPr>
        <w:spacing w:after="160" w:line="278" w:lineRule="auto"/>
        <w:rPr>
          <w:rFonts w:ascii="宋体" w:hAnsi="宋体"/>
          <w:sz w:val="22"/>
          <w:szCs w:val="28"/>
        </w:rPr>
      </w:pPr>
      <w:r>
        <w:rPr>
          <w:rFonts w:ascii="宋体" w:hAnsi="宋体"/>
          <w:sz w:val="22"/>
          <w:szCs w:val="28"/>
        </w:rPr>
        <w:t>（5）监理人要求提交的其他资料和凭证。</w:t>
      </w:r>
    </w:p>
    <w:p>
      <w:pPr>
        <w:spacing w:after="160" w:line="278" w:lineRule="auto"/>
        <w:rPr>
          <w:rFonts w:ascii="宋体" w:hAnsi="宋体"/>
          <w:sz w:val="22"/>
          <w:szCs w:val="28"/>
        </w:rPr>
      </w:pPr>
      <w:r>
        <w:rPr>
          <w:rFonts w:ascii="宋体" w:hAnsi="宋体"/>
          <w:sz w:val="22"/>
          <w:szCs w:val="28"/>
        </w:rPr>
        <w:t>15.7.3 计日工由承包人汇总后，按第17.3.2项的约定列入进度付款申请单，由监理人复核并经发包人同意后列入进度付款。</w:t>
      </w:r>
    </w:p>
    <w:p>
      <w:pPr>
        <w:spacing w:after="160" w:line="278" w:lineRule="auto"/>
        <w:rPr>
          <w:rFonts w:ascii="宋体" w:hAnsi="宋体"/>
          <w:sz w:val="22"/>
          <w:szCs w:val="28"/>
        </w:rPr>
      </w:pPr>
      <w:bookmarkStart w:id="1750" w:name="_Toc338944807"/>
      <w:bookmarkStart w:id="1751" w:name="_Toc132619094"/>
      <w:bookmarkStart w:id="1752" w:name="_Toc109914410"/>
      <w:bookmarkStart w:id="1753" w:name="_Toc129798345"/>
      <w:bookmarkStart w:id="1754" w:name="_Toc142385632"/>
      <w:bookmarkStart w:id="1755" w:name="_Toc132618703"/>
      <w:bookmarkStart w:id="1756" w:name="_Toc342296365"/>
      <w:r>
        <w:rPr>
          <w:rFonts w:ascii="宋体" w:hAnsi="宋体"/>
          <w:sz w:val="22"/>
          <w:szCs w:val="28"/>
        </w:rPr>
        <w:t>15.8 暂估价</w:t>
      </w:r>
      <w:bookmarkEnd w:id="1750"/>
      <w:bookmarkEnd w:id="1751"/>
      <w:bookmarkEnd w:id="1752"/>
      <w:bookmarkEnd w:id="1753"/>
      <w:bookmarkEnd w:id="1754"/>
      <w:bookmarkEnd w:id="1755"/>
      <w:bookmarkEnd w:id="1756"/>
    </w:p>
    <w:p>
      <w:pPr>
        <w:spacing w:after="160" w:line="278" w:lineRule="auto"/>
        <w:rPr>
          <w:rFonts w:ascii="宋体" w:hAnsi="宋体"/>
          <w:sz w:val="22"/>
          <w:szCs w:val="28"/>
        </w:rPr>
      </w:pPr>
      <w:r>
        <w:rPr>
          <w:rFonts w:ascii="宋体" w:hAnsi="宋体"/>
          <w:sz w:val="22"/>
          <w:szCs w:val="28"/>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after="160" w:line="278" w:lineRule="auto"/>
        <w:rPr>
          <w:rFonts w:ascii="宋体" w:hAnsi="宋体"/>
          <w:sz w:val="22"/>
          <w:szCs w:val="28"/>
        </w:rPr>
      </w:pPr>
      <w:r>
        <w:rPr>
          <w:rFonts w:ascii="宋体" w:hAnsi="宋体"/>
          <w:sz w:val="22"/>
          <w:szCs w:val="28"/>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after="160" w:line="278" w:lineRule="auto"/>
        <w:rPr>
          <w:rFonts w:ascii="宋体" w:hAnsi="宋体"/>
          <w:sz w:val="22"/>
          <w:szCs w:val="28"/>
        </w:rPr>
      </w:pPr>
      <w:r>
        <w:rPr>
          <w:rFonts w:ascii="宋体" w:hAnsi="宋体"/>
          <w:sz w:val="22"/>
          <w:szCs w:val="28"/>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spacing w:after="160" w:line="278" w:lineRule="auto"/>
        <w:rPr>
          <w:rFonts w:ascii="宋体" w:hAnsi="宋体"/>
          <w:sz w:val="22"/>
          <w:szCs w:val="28"/>
        </w:rPr>
      </w:pPr>
      <w:bookmarkStart w:id="1757" w:name="_Toc142385633"/>
      <w:bookmarkStart w:id="1758" w:name="_Toc132618704"/>
      <w:bookmarkStart w:id="1759" w:name="_Toc109914411"/>
      <w:bookmarkStart w:id="1760" w:name="_Toc338944808"/>
      <w:bookmarkStart w:id="1761" w:name="_Toc448758437"/>
      <w:bookmarkStart w:id="1762" w:name="_Toc129798346"/>
      <w:bookmarkStart w:id="1763" w:name="_Toc132619095"/>
      <w:bookmarkStart w:id="1764" w:name="_Toc448758537"/>
      <w:bookmarkStart w:id="1765" w:name="_Toc442365629"/>
      <w:bookmarkStart w:id="1766" w:name="_Toc469660032"/>
      <w:bookmarkStart w:id="1767" w:name="_Toc342296366"/>
      <w:r>
        <w:rPr>
          <w:rFonts w:ascii="宋体" w:hAnsi="宋体"/>
          <w:sz w:val="22"/>
          <w:szCs w:val="28"/>
        </w:rPr>
        <w:t>16. 价格调整</w:t>
      </w:r>
      <w:bookmarkEnd w:id="1757"/>
      <w:bookmarkEnd w:id="1758"/>
      <w:bookmarkEnd w:id="1759"/>
      <w:bookmarkEnd w:id="1760"/>
      <w:bookmarkEnd w:id="1761"/>
      <w:bookmarkEnd w:id="1762"/>
      <w:bookmarkEnd w:id="1763"/>
      <w:bookmarkEnd w:id="1764"/>
      <w:bookmarkEnd w:id="1765"/>
      <w:bookmarkEnd w:id="1766"/>
      <w:bookmarkEnd w:id="1767"/>
    </w:p>
    <w:p>
      <w:pPr>
        <w:spacing w:after="160" w:line="278" w:lineRule="auto"/>
        <w:rPr>
          <w:rFonts w:ascii="宋体" w:hAnsi="宋体"/>
          <w:sz w:val="22"/>
          <w:szCs w:val="28"/>
        </w:rPr>
      </w:pPr>
      <w:bookmarkStart w:id="1768" w:name="_Toc338944809"/>
      <w:bookmarkStart w:id="1769" w:name="_Toc132619096"/>
      <w:bookmarkStart w:id="1770" w:name="_Toc129798347"/>
      <w:bookmarkStart w:id="1771" w:name="_Toc342296367"/>
      <w:bookmarkStart w:id="1772" w:name="_Toc142385634"/>
      <w:bookmarkStart w:id="1773" w:name="_Toc132618705"/>
      <w:bookmarkStart w:id="1774" w:name="_Toc109914412"/>
      <w:r>
        <w:rPr>
          <w:rFonts w:ascii="宋体" w:hAnsi="宋体"/>
          <w:sz w:val="22"/>
          <w:szCs w:val="28"/>
        </w:rPr>
        <w:t>16.1 物价波动引起的价格调整</w:t>
      </w:r>
      <w:bookmarkEnd w:id="1768"/>
      <w:bookmarkEnd w:id="1769"/>
      <w:bookmarkEnd w:id="1770"/>
      <w:bookmarkEnd w:id="1771"/>
      <w:bookmarkEnd w:id="1772"/>
      <w:bookmarkEnd w:id="1773"/>
      <w:bookmarkEnd w:id="1774"/>
    </w:p>
    <w:p>
      <w:pPr>
        <w:spacing w:after="160" w:line="278" w:lineRule="auto"/>
        <w:rPr>
          <w:rFonts w:ascii="宋体" w:hAnsi="宋体"/>
          <w:sz w:val="22"/>
          <w:szCs w:val="28"/>
        </w:rPr>
      </w:pPr>
      <w:r>
        <w:rPr>
          <w:rFonts w:ascii="宋体" w:hAnsi="宋体"/>
          <w:sz w:val="22"/>
          <w:szCs w:val="28"/>
        </w:rPr>
        <w:t>除专用合同条款另有约定外，因物价波动引起的价格调整按照本款约定处理。</w:t>
      </w:r>
    </w:p>
    <w:p>
      <w:pPr>
        <w:spacing w:after="160" w:line="278" w:lineRule="auto"/>
        <w:rPr>
          <w:rFonts w:ascii="宋体" w:hAnsi="宋体"/>
          <w:sz w:val="22"/>
          <w:szCs w:val="28"/>
        </w:rPr>
      </w:pPr>
      <w:r>
        <w:rPr>
          <w:rFonts w:ascii="宋体" w:hAnsi="宋体"/>
          <w:sz w:val="22"/>
          <w:szCs w:val="28"/>
        </w:rPr>
        <w:t xml:space="preserve">16.1.1 </w:t>
      </w:r>
      <w:r>
        <w:rPr>
          <w:rFonts w:hint="eastAsia" w:ascii="宋体" w:hAnsi="宋体"/>
          <w:sz w:val="22"/>
          <w:szCs w:val="28"/>
        </w:rPr>
        <w:t>采用价格指数调整价格差额</w:t>
      </w:r>
    </w:p>
    <w:p>
      <w:pPr>
        <w:spacing w:after="160" w:line="278" w:lineRule="auto"/>
        <w:rPr>
          <w:rFonts w:ascii="宋体" w:hAnsi="宋体"/>
          <w:sz w:val="22"/>
          <w:szCs w:val="28"/>
        </w:rPr>
      </w:pPr>
      <w:r>
        <w:rPr>
          <w:rFonts w:ascii="宋体" w:hAnsi="宋体"/>
          <w:sz w:val="22"/>
          <w:szCs w:val="28"/>
        </w:rPr>
        <w:t>16.1.1.1 价格调整公式</w:t>
      </w:r>
    </w:p>
    <w:p>
      <w:pPr>
        <w:spacing w:after="160" w:line="278" w:lineRule="auto"/>
        <w:rPr>
          <w:rFonts w:ascii="宋体" w:hAnsi="宋体"/>
          <w:sz w:val="22"/>
          <w:szCs w:val="28"/>
        </w:rPr>
      </w:pPr>
      <w:r>
        <w:rPr>
          <w:rFonts w:ascii="宋体" w:hAnsi="宋体"/>
          <w:sz w:val="22"/>
          <w:szCs w:val="28"/>
        </w:rPr>
        <w:t>因人工、材料和设备等价格波动影响合同价格时，根据投标函附录中的价格指数和权重表约定的数据，按以下公式计算差额并调整合同价格。</w:t>
      </w:r>
    </w:p>
    <w:p>
      <w:pPr>
        <w:spacing w:after="160" w:line="278" w:lineRule="auto"/>
        <w:rPr>
          <w:rFonts w:ascii="宋体" w:hAnsi="宋体"/>
          <w:sz w:val="22"/>
          <w:szCs w:val="28"/>
        </w:rPr>
      </w:pPr>
      <w:r>
        <w:rPr>
          <w:rFonts w:ascii="宋体" w:hAnsi="宋体"/>
          <w:sz w:val="22"/>
          <w:szCs w:val="28"/>
        </w:rPr>
        <w:t xml:space="preserve">        </w:t>
      </w:r>
      <w:r>
        <w:rPr>
          <w:rFonts w:ascii="宋体" w:hAnsi="宋体"/>
          <w:sz w:val="22"/>
          <w:szCs w:val="28"/>
        </w:rPr>
        <w:drawing>
          <wp:inline distT="0" distB="0" distL="114300" distR="114300">
            <wp:extent cx="3901440" cy="509270"/>
            <wp:effectExtent l="0" t="0" r="10160" b="11430"/>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
                    <pic:cNvPicPr>
                      <a:picLocks noChangeAspect="1"/>
                    </pic:cNvPicPr>
                  </pic:nvPicPr>
                  <pic:blipFill>
                    <a:blip r:embed="rId41"/>
                    <a:stretch>
                      <a:fillRect/>
                    </a:stretch>
                  </pic:blipFill>
                  <pic:spPr>
                    <a:xfrm>
                      <a:off x="0" y="0"/>
                      <a:ext cx="3901440" cy="509270"/>
                    </a:xfrm>
                    <a:prstGeom prst="rect">
                      <a:avLst/>
                    </a:prstGeom>
                    <a:noFill/>
                    <a:ln>
                      <a:noFill/>
                    </a:ln>
                  </pic:spPr>
                </pic:pic>
              </a:graphicData>
            </a:graphic>
          </wp:inline>
        </w:drawing>
      </w:r>
    </w:p>
    <w:p>
      <w:pPr>
        <w:spacing w:after="160" w:line="278" w:lineRule="auto"/>
        <w:rPr>
          <w:rFonts w:ascii="宋体" w:hAnsi="宋体"/>
          <w:sz w:val="22"/>
          <w:szCs w:val="28"/>
        </w:rPr>
      </w:pP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式中： </w:t>
      </w:r>
      <w:r>
        <w:rPr>
          <w:rFonts w:hint="eastAsia" w:ascii="宋体" w:hAnsi="宋体"/>
          <w:sz w:val="22"/>
          <w:szCs w:val="28"/>
        </w:rPr>
        <w:t>△</w:t>
      </w:r>
      <w:r>
        <w:rPr>
          <w:rFonts w:ascii="宋体" w:hAnsi="宋体"/>
          <w:sz w:val="22"/>
          <w:szCs w:val="28"/>
        </w:rPr>
        <w:t>P -- 需调整的价格差额；</w:t>
      </w:r>
    </w:p>
    <w:p>
      <w:pPr>
        <w:spacing w:after="160" w:line="278" w:lineRule="auto"/>
        <w:rPr>
          <w:rFonts w:ascii="宋体" w:hAnsi="宋体"/>
          <w:sz w:val="22"/>
          <w:szCs w:val="28"/>
        </w:rPr>
      </w:pPr>
      <w:r>
        <w:rPr>
          <w:rFonts w:ascii="宋体" w:hAnsi="宋体"/>
          <w:sz w:val="22"/>
          <w:szCs w:val="28"/>
        </w:rPr>
        <w:tab/>
      </w:r>
      <w:r>
        <w:rPr>
          <w:rFonts w:ascii="宋体" w:hAnsi="宋体"/>
          <w:sz w:val="22"/>
          <w:szCs w:val="28"/>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spacing w:after="160" w:line="278" w:lineRule="auto"/>
        <w:rPr>
          <w:rFonts w:ascii="宋体" w:hAnsi="宋体"/>
          <w:sz w:val="22"/>
          <w:szCs w:val="28"/>
        </w:rPr>
      </w:pPr>
      <w:r>
        <w:rPr>
          <w:rFonts w:ascii="宋体" w:hAnsi="宋体"/>
          <w:sz w:val="22"/>
          <w:szCs w:val="28"/>
        </w:rPr>
        <w:tab/>
      </w:r>
      <w:bookmarkStart w:id="1775" w:name="_Toc144974686"/>
      <w:bookmarkStart w:id="1776" w:name="_Toc152042495"/>
      <w:r>
        <w:rPr>
          <w:rFonts w:ascii="宋体" w:hAnsi="宋体"/>
          <w:sz w:val="22"/>
          <w:szCs w:val="28"/>
        </w:rPr>
        <w:t>A -- 定值权重(即不调部分的权重)；</w:t>
      </w:r>
      <w:bookmarkEnd w:id="1775"/>
      <w:bookmarkEnd w:id="1776"/>
    </w:p>
    <w:p>
      <w:pPr>
        <w:spacing w:after="160" w:line="278" w:lineRule="auto"/>
        <w:rPr>
          <w:rFonts w:ascii="宋体" w:hAnsi="宋体"/>
          <w:sz w:val="22"/>
          <w:szCs w:val="28"/>
        </w:rPr>
      </w:pPr>
      <w:r>
        <w:rPr>
          <w:rFonts w:ascii="宋体" w:hAnsi="宋体"/>
          <w:sz w:val="22"/>
          <w:szCs w:val="28"/>
        </w:rPr>
        <w:tab/>
      </w:r>
      <w:r>
        <w:rPr>
          <w:rFonts w:ascii="宋体" w:hAnsi="宋体"/>
          <w:sz w:val="22"/>
          <w:szCs w:val="28"/>
        </w:rPr>
        <w:t>B1; B2 ;B3·····Bn -- 各可调因子的变值权重(即可调部分的权重)为各可调因子在投标函投标总报价中所占的比例；</w:t>
      </w:r>
    </w:p>
    <w:p>
      <w:pPr>
        <w:spacing w:after="160" w:line="278" w:lineRule="auto"/>
        <w:rPr>
          <w:rFonts w:ascii="宋体" w:hAnsi="宋体"/>
          <w:sz w:val="22"/>
          <w:szCs w:val="28"/>
        </w:rPr>
      </w:pPr>
      <w:r>
        <w:rPr>
          <w:rFonts w:ascii="宋体" w:hAnsi="宋体"/>
          <w:sz w:val="22"/>
          <w:szCs w:val="28"/>
        </w:rPr>
        <w:tab/>
      </w:r>
      <w:r>
        <w:rPr>
          <w:rFonts w:ascii="宋体" w:hAnsi="宋体"/>
          <w:sz w:val="22"/>
          <w:szCs w:val="28"/>
        </w:rPr>
        <w:t>Ft1 ;Ft2 ;Ft3·····Ftn -- 各可调因子的现行价格指数，指第17.3.3项、第17.5.2项和第17.6.2项约定的付款证书相关周期最后一天的前42天的各可调因子的价格指数；</w:t>
      </w:r>
    </w:p>
    <w:p>
      <w:pPr>
        <w:spacing w:after="160" w:line="278" w:lineRule="auto"/>
        <w:rPr>
          <w:rFonts w:ascii="宋体" w:hAnsi="宋体"/>
          <w:sz w:val="22"/>
          <w:szCs w:val="28"/>
        </w:rPr>
      </w:pPr>
      <w:r>
        <w:rPr>
          <w:rFonts w:ascii="宋体" w:hAnsi="宋体"/>
          <w:sz w:val="22"/>
          <w:szCs w:val="28"/>
        </w:rPr>
        <w:tab/>
      </w:r>
      <w:r>
        <w:rPr>
          <w:rFonts w:ascii="宋体" w:hAnsi="宋体"/>
          <w:sz w:val="22"/>
          <w:szCs w:val="28"/>
        </w:rPr>
        <w:t>Fo1; Fo2; Fo3·····Fon -- 各可调因子的基本价格指数，指基准日期的各可调因子的价格指数。</w:t>
      </w:r>
    </w:p>
    <w:p>
      <w:pPr>
        <w:spacing w:after="160" w:line="278" w:lineRule="auto"/>
        <w:rPr>
          <w:rFonts w:ascii="宋体" w:hAnsi="宋体"/>
          <w:sz w:val="22"/>
          <w:szCs w:val="28"/>
        </w:rPr>
      </w:pPr>
      <w:r>
        <w:rPr>
          <w:rFonts w:ascii="宋体" w:hAnsi="宋体"/>
          <w:sz w:val="22"/>
          <w:szCs w:val="28"/>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after="160" w:line="278" w:lineRule="auto"/>
        <w:rPr>
          <w:rFonts w:ascii="宋体" w:hAnsi="宋体"/>
          <w:sz w:val="22"/>
          <w:szCs w:val="28"/>
        </w:rPr>
      </w:pPr>
      <w:r>
        <w:rPr>
          <w:rFonts w:ascii="宋体" w:hAnsi="宋体"/>
          <w:sz w:val="22"/>
          <w:szCs w:val="28"/>
        </w:rPr>
        <w:t>16.1.1.2 暂时确定调整差额</w:t>
      </w:r>
    </w:p>
    <w:p>
      <w:pPr>
        <w:spacing w:after="160" w:line="278" w:lineRule="auto"/>
        <w:rPr>
          <w:rFonts w:ascii="宋体" w:hAnsi="宋体"/>
          <w:sz w:val="22"/>
          <w:szCs w:val="28"/>
        </w:rPr>
      </w:pPr>
      <w:r>
        <w:rPr>
          <w:rFonts w:ascii="宋体" w:hAnsi="宋体"/>
          <w:sz w:val="22"/>
          <w:szCs w:val="28"/>
        </w:rPr>
        <w:t>在计算调整差额时得不到现行价格指数的，可暂用上一次价格指数计算，并在以后的付款中再按实际价格指数进行调整。</w:t>
      </w:r>
    </w:p>
    <w:p>
      <w:pPr>
        <w:spacing w:after="160" w:line="278" w:lineRule="auto"/>
        <w:rPr>
          <w:rFonts w:ascii="宋体" w:hAnsi="宋体"/>
          <w:sz w:val="22"/>
          <w:szCs w:val="28"/>
        </w:rPr>
      </w:pPr>
      <w:r>
        <w:rPr>
          <w:rFonts w:ascii="宋体" w:hAnsi="宋体"/>
          <w:sz w:val="22"/>
          <w:szCs w:val="28"/>
        </w:rPr>
        <w:t>16.1.1.3 权重的调整</w:t>
      </w:r>
    </w:p>
    <w:p>
      <w:pPr>
        <w:spacing w:after="160" w:line="278" w:lineRule="auto"/>
        <w:rPr>
          <w:rFonts w:ascii="宋体" w:hAnsi="宋体"/>
          <w:sz w:val="22"/>
          <w:szCs w:val="28"/>
        </w:rPr>
      </w:pPr>
      <w:r>
        <w:rPr>
          <w:rFonts w:ascii="宋体" w:hAnsi="宋体"/>
          <w:sz w:val="22"/>
          <w:szCs w:val="28"/>
        </w:rPr>
        <w:t>按第15.1款约定的变更导致原定合同中的权重不合理时，由监理人与承包人和发包人协商后进行调整。</w:t>
      </w:r>
    </w:p>
    <w:p>
      <w:pPr>
        <w:spacing w:after="160" w:line="278" w:lineRule="auto"/>
        <w:rPr>
          <w:rFonts w:ascii="宋体" w:hAnsi="宋体"/>
          <w:sz w:val="22"/>
          <w:szCs w:val="28"/>
        </w:rPr>
      </w:pPr>
      <w:r>
        <w:rPr>
          <w:rFonts w:ascii="宋体" w:hAnsi="宋体"/>
          <w:sz w:val="22"/>
          <w:szCs w:val="28"/>
        </w:rPr>
        <w:t>16.1.1.4 承包人工期延误后的价格调整</w:t>
      </w:r>
    </w:p>
    <w:p>
      <w:pPr>
        <w:spacing w:after="160" w:line="278" w:lineRule="auto"/>
        <w:rPr>
          <w:rFonts w:ascii="宋体" w:hAnsi="宋体"/>
          <w:sz w:val="22"/>
          <w:szCs w:val="28"/>
        </w:rPr>
      </w:pPr>
      <w:r>
        <w:rPr>
          <w:rFonts w:ascii="宋体" w:hAnsi="宋体"/>
          <w:sz w:val="22"/>
          <w:szCs w:val="28"/>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after="160" w:line="278" w:lineRule="auto"/>
        <w:rPr>
          <w:rFonts w:ascii="宋体" w:hAnsi="宋体"/>
          <w:sz w:val="22"/>
          <w:szCs w:val="28"/>
        </w:rPr>
      </w:pPr>
      <w:r>
        <w:rPr>
          <w:rFonts w:ascii="宋体" w:hAnsi="宋体"/>
          <w:sz w:val="22"/>
          <w:szCs w:val="28"/>
        </w:rPr>
        <w:t xml:space="preserve">16.1.2 </w:t>
      </w:r>
      <w:r>
        <w:rPr>
          <w:rFonts w:hint="eastAsia" w:ascii="宋体" w:hAnsi="宋体"/>
          <w:sz w:val="22"/>
          <w:szCs w:val="28"/>
        </w:rPr>
        <w:t>采用造价信息调整价格差额</w:t>
      </w:r>
    </w:p>
    <w:p>
      <w:pPr>
        <w:spacing w:after="160" w:line="278" w:lineRule="auto"/>
        <w:rPr>
          <w:rFonts w:ascii="宋体" w:hAnsi="宋体"/>
          <w:sz w:val="22"/>
          <w:szCs w:val="28"/>
        </w:rPr>
      </w:pPr>
      <w:r>
        <w:rPr>
          <w:rFonts w:ascii="宋体" w:hAnsi="宋体"/>
          <w:sz w:val="22"/>
          <w:szCs w:val="28"/>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after="160" w:line="278" w:lineRule="auto"/>
        <w:rPr>
          <w:rFonts w:ascii="宋体" w:hAnsi="宋体"/>
          <w:sz w:val="22"/>
          <w:szCs w:val="28"/>
        </w:rPr>
      </w:pPr>
      <w:bookmarkStart w:id="1777" w:name="_Toc152042496"/>
      <w:bookmarkStart w:id="1778" w:name="_Toc132619097"/>
      <w:bookmarkStart w:id="1779" w:name="_Toc342296368"/>
      <w:bookmarkStart w:id="1780" w:name="_Toc109914413"/>
      <w:bookmarkStart w:id="1781" w:name="_Toc152045717"/>
      <w:bookmarkStart w:id="1782" w:name="_Toc179632735"/>
      <w:bookmarkStart w:id="1783" w:name="_Toc142385635"/>
      <w:bookmarkStart w:id="1784" w:name="_Toc338944810"/>
      <w:bookmarkStart w:id="1785" w:name="_Toc144974688"/>
      <w:bookmarkStart w:id="1786" w:name="_Toc132618706"/>
      <w:bookmarkStart w:id="1787" w:name="_Toc129798348"/>
      <w:r>
        <w:rPr>
          <w:rFonts w:ascii="宋体" w:hAnsi="宋体"/>
          <w:sz w:val="22"/>
          <w:szCs w:val="28"/>
        </w:rPr>
        <w:t>16.2 法律变化引起的价格调整</w:t>
      </w:r>
      <w:bookmarkEnd w:id="1777"/>
      <w:bookmarkEnd w:id="1778"/>
      <w:bookmarkEnd w:id="1779"/>
      <w:bookmarkEnd w:id="1780"/>
      <w:bookmarkEnd w:id="1781"/>
      <w:bookmarkEnd w:id="1782"/>
      <w:bookmarkEnd w:id="1783"/>
      <w:bookmarkEnd w:id="1784"/>
      <w:bookmarkEnd w:id="1785"/>
      <w:bookmarkEnd w:id="1786"/>
      <w:bookmarkEnd w:id="1787"/>
    </w:p>
    <w:p>
      <w:pPr>
        <w:spacing w:after="160" w:line="278" w:lineRule="auto"/>
        <w:rPr>
          <w:rFonts w:ascii="宋体" w:hAnsi="宋体"/>
          <w:sz w:val="22"/>
          <w:szCs w:val="28"/>
        </w:rPr>
      </w:pPr>
      <w:r>
        <w:rPr>
          <w:rFonts w:ascii="宋体" w:hAnsi="宋体"/>
          <w:sz w:val="22"/>
          <w:szCs w:val="28"/>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spacing w:after="160" w:line="278" w:lineRule="auto"/>
        <w:rPr>
          <w:rFonts w:ascii="宋体" w:hAnsi="宋体"/>
          <w:sz w:val="22"/>
          <w:szCs w:val="28"/>
        </w:rPr>
      </w:pPr>
      <w:bookmarkStart w:id="1788" w:name="_Toc448758438"/>
      <w:bookmarkStart w:id="1789" w:name="_Toc469660033"/>
      <w:bookmarkStart w:id="1790" w:name="_Toc142385636"/>
      <w:bookmarkStart w:id="1791" w:name="_Toc448758538"/>
      <w:bookmarkStart w:id="1792" w:name="_Toc342296369"/>
      <w:bookmarkStart w:id="1793" w:name="_Toc442365630"/>
      <w:bookmarkStart w:id="1794" w:name="_Toc338944811"/>
      <w:bookmarkStart w:id="1795" w:name="_Toc132619098"/>
      <w:bookmarkStart w:id="1796" w:name="_Toc109914414"/>
      <w:bookmarkStart w:id="1797" w:name="_Toc129798349"/>
      <w:bookmarkStart w:id="1798" w:name="_Toc132618707"/>
      <w:r>
        <w:rPr>
          <w:rFonts w:ascii="宋体" w:hAnsi="宋体"/>
          <w:sz w:val="22"/>
          <w:szCs w:val="28"/>
        </w:rPr>
        <w:t>17. 计量与支付</w:t>
      </w:r>
      <w:bookmarkEnd w:id="1788"/>
      <w:bookmarkEnd w:id="1789"/>
      <w:bookmarkEnd w:id="1790"/>
      <w:bookmarkEnd w:id="1791"/>
      <w:bookmarkEnd w:id="1792"/>
      <w:bookmarkEnd w:id="1793"/>
      <w:bookmarkEnd w:id="1794"/>
      <w:bookmarkEnd w:id="1795"/>
      <w:bookmarkEnd w:id="1796"/>
      <w:bookmarkEnd w:id="1797"/>
      <w:bookmarkEnd w:id="1798"/>
    </w:p>
    <w:p>
      <w:pPr>
        <w:spacing w:after="160" w:line="278" w:lineRule="auto"/>
        <w:rPr>
          <w:rFonts w:ascii="宋体" w:hAnsi="宋体"/>
          <w:sz w:val="22"/>
          <w:szCs w:val="28"/>
        </w:rPr>
      </w:pPr>
      <w:bookmarkStart w:id="1799" w:name="_Toc342296370"/>
      <w:bookmarkStart w:id="1800" w:name="_Toc109914415"/>
      <w:bookmarkStart w:id="1801" w:name="_Toc142385637"/>
      <w:bookmarkStart w:id="1802" w:name="_Toc132618708"/>
      <w:bookmarkStart w:id="1803" w:name="_Toc338944812"/>
      <w:bookmarkStart w:id="1804" w:name="_Toc132619099"/>
      <w:bookmarkStart w:id="1805" w:name="_Toc129798350"/>
      <w:r>
        <w:rPr>
          <w:rFonts w:ascii="宋体" w:hAnsi="宋体"/>
          <w:sz w:val="22"/>
          <w:szCs w:val="28"/>
        </w:rPr>
        <w:t>17.1 计量</w:t>
      </w:r>
      <w:bookmarkEnd w:id="1799"/>
      <w:bookmarkEnd w:id="1800"/>
      <w:bookmarkEnd w:id="1801"/>
      <w:bookmarkEnd w:id="1802"/>
      <w:bookmarkEnd w:id="1803"/>
      <w:bookmarkEnd w:id="1804"/>
      <w:bookmarkEnd w:id="1805"/>
    </w:p>
    <w:p>
      <w:pPr>
        <w:spacing w:after="160" w:line="278" w:lineRule="auto"/>
        <w:rPr>
          <w:rFonts w:ascii="宋体" w:hAnsi="宋体"/>
          <w:sz w:val="22"/>
          <w:szCs w:val="28"/>
        </w:rPr>
      </w:pPr>
      <w:r>
        <w:rPr>
          <w:rFonts w:ascii="宋体" w:hAnsi="宋体"/>
          <w:sz w:val="22"/>
          <w:szCs w:val="28"/>
        </w:rPr>
        <w:t xml:space="preserve">17.1.1 </w:t>
      </w:r>
      <w:r>
        <w:rPr>
          <w:rFonts w:hint="eastAsia" w:ascii="宋体" w:hAnsi="宋体"/>
          <w:sz w:val="22"/>
          <w:szCs w:val="28"/>
        </w:rPr>
        <w:t>计量单位</w:t>
      </w:r>
    </w:p>
    <w:p>
      <w:pPr>
        <w:spacing w:after="160" w:line="278" w:lineRule="auto"/>
        <w:rPr>
          <w:rFonts w:ascii="宋体" w:hAnsi="宋体"/>
          <w:sz w:val="22"/>
          <w:szCs w:val="28"/>
        </w:rPr>
      </w:pPr>
      <w:r>
        <w:rPr>
          <w:rFonts w:ascii="宋体" w:hAnsi="宋体"/>
          <w:sz w:val="22"/>
          <w:szCs w:val="28"/>
        </w:rPr>
        <w:t>计量采用国家法定的计量单位。</w:t>
      </w:r>
    </w:p>
    <w:p>
      <w:pPr>
        <w:spacing w:after="160" w:line="278" w:lineRule="auto"/>
        <w:rPr>
          <w:rFonts w:ascii="宋体" w:hAnsi="宋体"/>
          <w:sz w:val="22"/>
          <w:szCs w:val="28"/>
        </w:rPr>
      </w:pPr>
      <w:r>
        <w:rPr>
          <w:rFonts w:ascii="宋体" w:hAnsi="宋体"/>
          <w:sz w:val="22"/>
          <w:szCs w:val="28"/>
        </w:rPr>
        <w:t xml:space="preserve">17.1.2 </w:t>
      </w:r>
      <w:r>
        <w:rPr>
          <w:rFonts w:hint="eastAsia" w:ascii="宋体" w:hAnsi="宋体"/>
          <w:sz w:val="22"/>
          <w:szCs w:val="28"/>
        </w:rPr>
        <w:t>计量方法</w:t>
      </w:r>
    </w:p>
    <w:p>
      <w:pPr>
        <w:spacing w:after="160" w:line="278" w:lineRule="auto"/>
        <w:rPr>
          <w:rFonts w:ascii="宋体" w:hAnsi="宋体"/>
          <w:sz w:val="22"/>
          <w:szCs w:val="28"/>
        </w:rPr>
      </w:pPr>
      <w:r>
        <w:rPr>
          <w:rFonts w:ascii="宋体" w:hAnsi="宋体"/>
          <w:sz w:val="22"/>
          <w:szCs w:val="28"/>
        </w:rPr>
        <w:t>工程量清单中的工程量计算规则应按有关国家标准、行业标准的规定，并在合同中约定执行。</w:t>
      </w:r>
    </w:p>
    <w:p>
      <w:pPr>
        <w:spacing w:after="160" w:line="278" w:lineRule="auto"/>
        <w:rPr>
          <w:rFonts w:ascii="宋体" w:hAnsi="宋体"/>
          <w:sz w:val="22"/>
          <w:szCs w:val="28"/>
        </w:rPr>
      </w:pPr>
      <w:r>
        <w:rPr>
          <w:rFonts w:ascii="宋体" w:hAnsi="宋体"/>
          <w:sz w:val="22"/>
          <w:szCs w:val="28"/>
        </w:rPr>
        <w:t xml:space="preserve">17.1.3 </w:t>
      </w:r>
      <w:r>
        <w:rPr>
          <w:rFonts w:hint="eastAsia" w:ascii="宋体" w:hAnsi="宋体"/>
          <w:sz w:val="22"/>
          <w:szCs w:val="28"/>
        </w:rPr>
        <w:t>计量周期</w:t>
      </w:r>
    </w:p>
    <w:p>
      <w:pPr>
        <w:spacing w:after="160" w:line="278" w:lineRule="auto"/>
        <w:rPr>
          <w:rFonts w:ascii="宋体" w:hAnsi="宋体"/>
          <w:sz w:val="22"/>
          <w:szCs w:val="28"/>
        </w:rPr>
      </w:pPr>
      <w:r>
        <w:rPr>
          <w:rFonts w:ascii="宋体" w:hAnsi="宋体"/>
          <w:sz w:val="22"/>
          <w:szCs w:val="28"/>
        </w:rPr>
        <w:t>除专用合同条款另有约定外，单价子目已完成工程量按月计量，总价子目的计量周期按批准的支付分解报告确定。</w:t>
      </w:r>
    </w:p>
    <w:p>
      <w:pPr>
        <w:spacing w:after="160" w:line="278" w:lineRule="auto"/>
        <w:rPr>
          <w:rFonts w:ascii="宋体" w:hAnsi="宋体"/>
          <w:sz w:val="22"/>
          <w:szCs w:val="28"/>
        </w:rPr>
      </w:pPr>
      <w:r>
        <w:rPr>
          <w:rFonts w:ascii="宋体" w:hAnsi="宋体"/>
          <w:sz w:val="22"/>
          <w:szCs w:val="28"/>
        </w:rPr>
        <w:t xml:space="preserve">17.1.4 </w:t>
      </w:r>
      <w:r>
        <w:rPr>
          <w:rFonts w:hint="eastAsia" w:ascii="宋体" w:hAnsi="宋体"/>
          <w:sz w:val="22"/>
          <w:szCs w:val="28"/>
        </w:rPr>
        <w:t>单价子目的计量</w:t>
      </w:r>
    </w:p>
    <w:p>
      <w:pPr>
        <w:spacing w:after="160" w:line="278" w:lineRule="auto"/>
        <w:rPr>
          <w:rFonts w:ascii="宋体" w:hAnsi="宋体"/>
          <w:sz w:val="22"/>
          <w:szCs w:val="28"/>
        </w:rPr>
      </w:pPr>
      <w:r>
        <w:rPr>
          <w:rFonts w:ascii="宋体" w:hAnsi="宋体"/>
          <w:sz w:val="22"/>
          <w:szCs w:val="28"/>
        </w:rPr>
        <w:t>（1）已标价工程量清单中的单价子目工程量为估算工程量。结算工程量是承包人实际完成的，并按合同约定的计量方法进行计量的工程量。</w:t>
      </w:r>
    </w:p>
    <w:p>
      <w:pPr>
        <w:spacing w:after="160" w:line="278" w:lineRule="auto"/>
        <w:rPr>
          <w:rFonts w:ascii="宋体" w:hAnsi="宋体"/>
          <w:sz w:val="22"/>
          <w:szCs w:val="28"/>
        </w:rPr>
      </w:pPr>
      <w:r>
        <w:rPr>
          <w:rFonts w:ascii="宋体" w:hAnsi="宋体"/>
          <w:sz w:val="22"/>
          <w:szCs w:val="28"/>
        </w:rPr>
        <w:t>（2）承包人对已完成的工程进行计量，向监理人提交进度付款申请单、已完成工程量报表和有关计量资料。</w:t>
      </w:r>
    </w:p>
    <w:p>
      <w:pPr>
        <w:spacing w:after="160" w:line="278" w:lineRule="auto"/>
        <w:rPr>
          <w:rFonts w:ascii="宋体" w:hAnsi="宋体"/>
          <w:sz w:val="22"/>
          <w:szCs w:val="28"/>
        </w:rPr>
      </w:pPr>
      <w:r>
        <w:rPr>
          <w:rFonts w:ascii="宋体" w:hAnsi="宋体"/>
          <w:sz w:val="22"/>
          <w:szCs w:val="28"/>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after="160" w:line="278" w:lineRule="auto"/>
        <w:rPr>
          <w:rFonts w:ascii="宋体" w:hAnsi="宋体"/>
          <w:sz w:val="22"/>
          <w:szCs w:val="28"/>
        </w:rPr>
      </w:pPr>
      <w:r>
        <w:rPr>
          <w:rFonts w:ascii="宋体" w:hAnsi="宋体"/>
          <w:sz w:val="22"/>
          <w:szCs w:val="28"/>
        </w:rPr>
        <w:t>（4）监理人认为有必要时，可通知承包人共同进行联合测量、计量，承包人应遵照执行。</w:t>
      </w:r>
    </w:p>
    <w:p>
      <w:pPr>
        <w:spacing w:after="160" w:line="278" w:lineRule="auto"/>
        <w:rPr>
          <w:rFonts w:ascii="宋体" w:hAnsi="宋体"/>
          <w:sz w:val="22"/>
          <w:szCs w:val="28"/>
        </w:rPr>
      </w:pPr>
      <w:r>
        <w:rPr>
          <w:rFonts w:ascii="宋体" w:hAnsi="宋体"/>
          <w:sz w:val="22"/>
          <w:szCs w:val="28"/>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after="160" w:line="278" w:lineRule="auto"/>
        <w:rPr>
          <w:rFonts w:ascii="宋体" w:hAnsi="宋体"/>
          <w:sz w:val="22"/>
          <w:szCs w:val="28"/>
        </w:rPr>
      </w:pPr>
      <w:r>
        <w:rPr>
          <w:rFonts w:ascii="宋体" w:hAnsi="宋体"/>
          <w:sz w:val="22"/>
          <w:szCs w:val="28"/>
        </w:rPr>
        <w:t>（6）监理人应在收到承包人提交的工程量报表后的7天内进行复核，监理人未在约定时间内复核的，承包人提交的工程量报表中的工程量视为承包人实际完成的工程量，据此计算工程价款。</w:t>
      </w:r>
    </w:p>
    <w:p>
      <w:pPr>
        <w:spacing w:after="160" w:line="278" w:lineRule="auto"/>
        <w:rPr>
          <w:rFonts w:ascii="宋体" w:hAnsi="宋体"/>
          <w:sz w:val="22"/>
          <w:szCs w:val="28"/>
        </w:rPr>
      </w:pPr>
      <w:r>
        <w:rPr>
          <w:rFonts w:ascii="宋体" w:hAnsi="宋体"/>
          <w:sz w:val="22"/>
          <w:szCs w:val="28"/>
        </w:rPr>
        <w:t xml:space="preserve">17.1.5 </w:t>
      </w:r>
      <w:r>
        <w:rPr>
          <w:rFonts w:hint="eastAsia" w:ascii="宋体" w:hAnsi="宋体"/>
          <w:sz w:val="22"/>
          <w:szCs w:val="28"/>
        </w:rPr>
        <w:t>总价子目的计量</w:t>
      </w:r>
    </w:p>
    <w:p>
      <w:pPr>
        <w:spacing w:after="160" w:line="278" w:lineRule="auto"/>
        <w:rPr>
          <w:rFonts w:ascii="宋体" w:hAnsi="宋体"/>
          <w:sz w:val="22"/>
          <w:szCs w:val="28"/>
        </w:rPr>
      </w:pPr>
      <w:r>
        <w:rPr>
          <w:rFonts w:ascii="宋体" w:hAnsi="宋体"/>
          <w:sz w:val="22"/>
          <w:szCs w:val="28"/>
        </w:rPr>
        <w:t>除专用合同条款另有约定外，总价子目的分解和计量按照下述约定进行。</w:t>
      </w:r>
    </w:p>
    <w:p>
      <w:pPr>
        <w:spacing w:after="160" w:line="278" w:lineRule="auto"/>
        <w:rPr>
          <w:rFonts w:ascii="宋体" w:hAnsi="宋体"/>
          <w:sz w:val="22"/>
          <w:szCs w:val="28"/>
        </w:rPr>
      </w:pPr>
      <w:r>
        <w:rPr>
          <w:rFonts w:ascii="宋体" w:hAnsi="宋体"/>
          <w:sz w:val="22"/>
          <w:szCs w:val="28"/>
        </w:rPr>
        <w:t>（1）总价子目的计量和支付应以总价为基础，不因第16.1款中的因素而进行调整。承包人实际完成的工程量，是进行工程目标管理和控制进度支付的依据。</w:t>
      </w:r>
    </w:p>
    <w:p>
      <w:pPr>
        <w:spacing w:after="160" w:line="278" w:lineRule="auto"/>
        <w:rPr>
          <w:rFonts w:ascii="宋体" w:hAnsi="宋体"/>
          <w:sz w:val="22"/>
          <w:szCs w:val="28"/>
        </w:rPr>
      </w:pPr>
      <w:r>
        <w:rPr>
          <w:rFonts w:ascii="宋体" w:hAnsi="宋体"/>
          <w:sz w:val="22"/>
          <w:szCs w:val="28"/>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after="160" w:line="278" w:lineRule="auto"/>
        <w:rPr>
          <w:rFonts w:ascii="宋体" w:hAnsi="宋体"/>
          <w:sz w:val="22"/>
          <w:szCs w:val="28"/>
        </w:rPr>
      </w:pPr>
      <w:r>
        <w:rPr>
          <w:rFonts w:ascii="宋体" w:hAnsi="宋体"/>
          <w:sz w:val="22"/>
          <w:szCs w:val="28"/>
        </w:rPr>
        <w:t>（3）监理人对承包人提交的上述资料进行复核，以确定分阶段实际完成的工程量和工程形象目标。对其有异议的，可要求承包人按第8.2款约定进行共同复核和抽样复测。</w:t>
      </w:r>
    </w:p>
    <w:p>
      <w:pPr>
        <w:spacing w:after="160" w:line="278" w:lineRule="auto"/>
        <w:rPr>
          <w:rFonts w:ascii="宋体" w:hAnsi="宋体"/>
          <w:sz w:val="22"/>
          <w:szCs w:val="28"/>
        </w:rPr>
      </w:pPr>
      <w:r>
        <w:rPr>
          <w:rFonts w:ascii="宋体" w:hAnsi="宋体"/>
          <w:sz w:val="22"/>
          <w:szCs w:val="28"/>
        </w:rPr>
        <w:t xml:space="preserve">（4）除按照第15条约定的变更外，总价子目的工程量是承包人用于结算的最终工程量。 </w:t>
      </w:r>
    </w:p>
    <w:p>
      <w:pPr>
        <w:spacing w:after="160" w:line="278" w:lineRule="auto"/>
        <w:rPr>
          <w:rFonts w:ascii="宋体" w:hAnsi="宋体"/>
          <w:sz w:val="22"/>
          <w:szCs w:val="28"/>
        </w:rPr>
      </w:pPr>
      <w:bookmarkStart w:id="1806" w:name="_Toc109914416"/>
      <w:bookmarkStart w:id="1807" w:name="_Toc132618709"/>
      <w:bookmarkStart w:id="1808" w:name="_Toc142385638"/>
      <w:bookmarkStart w:id="1809" w:name="_Toc129798351"/>
      <w:bookmarkStart w:id="1810" w:name="_Toc132619100"/>
      <w:bookmarkStart w:id="1811" w:name="_Toc338944813"/>
      <w:bookmarkStart w:id="1812" w:name="_Toc342296371"/>
      <w:r>
        <w:rPr>
          <w:rFonts w:ascii="宋体" w:hAnsi="宋体"/>
          <w:sz w:val="22"/>
          <w:szCs w:val="28"/>
        </w:rPr>
        <w:t>17.2 预付款</w:t>
      </w:r>
      <w:bookmarkEnd w:id="1806"/>
      <w:bookmarkEnd w:id="1807"/>
      <w:bookmarkEnd w:id="1808"/>
      <w:bookmarkEnd w:id="1809"/>
      <w:bookmarkEnd w:id="1810"/>
      <w:bookmarkEnd w:id="1811"/>
      <w:bookmarkEnd w:id="1812"/>
    </w:p>
    <w:p>
      <w:pPr>
        <w:spacing w:after="160" w:line="278" w:lineRule="auto"/>
        <w:rPr>
          <w:rFonts w:ascii="宋体" w:hAnsi="宋体"/>
          <w:sz w:val="22"/>
          <w:szCs w:val="28"/>
        </w:rPr>
      </w:pPr>
      <w:r>
        <w:rPr>
          <w:rFonts w:ascii="宋体" w:hAnsi="宋体"/>
          <w:sz w:val="22"/>
          <w:szCs w:val="28"/>
        </w:rPr>
        <w:t xml:space="preserve">17.2.1 </w:t>
      </w:r>
      <w:r>
        <w:rPr>
          <w:rFonts w:hint="eastAsia" w:ascii="宋体" w:hAnsi="宋体"/>
          <w:sz w:val="22"/>
          <w:szCs w:val="28"/>
        </w:rPr>
        <w:t>预付款</w:t>
      </w:r>
    </w:p>
    <w:p>
      <w:pPr>
        <w:spacing w:after="160" w:line="278" w:lineRule="auto"/>
        <w:rPr>
          <w:rFonts w:ascii="宋体" w:hAnsi="宋体"/>
          <w:sz w:val="22"/>
          <w:szCs w:val="28"/>
        </w:rPr>
      </w:pPr>
      <w:r>
        <w:rPr>
          <w:rFonts w:ascii="宋体" w:hAnsi="宋体"/>
          <w:sz w:val="22"/>
          <w:szCs w:val="28"/>
        </w:rPr>
        <w:t>预付款用于承包人为合同工程施工购置材料、工程设备、施工设备、修建临时设施以及组织施工队伍进场等。预付款的额度和预付办法在专用合同条款中约定。预付款必须专用于合同工程。</w:t>
      </w:r>
    </w:p>
    <w:p>
      <w:pPr>
        <w:spacing w:after="160" w:line="278" w:lineRule="auto"/>
        <w:rPr>
          <w:rFonts w:ascii="宋体" w:hAnsi="宋体"/>
          <w:sz w:val="22"/>
          <w:szCs w:val="28"/>
        </w:rPr>
      </w:pPr>
      <w:r>
        <w:rPr>
          <w:rFonts w:ascii="宋体" w:hAnsi="宋体"/>
          <w:sz w:val="22"/>
          <w:szCs w:val="28"/>
        </w:rPr>
        <w:t xml:space="preserve">17.2.2 </w:t>
      </w:r>
      <w:r>
        <w:rPr>
          <w:rFonts w:hint="eastAsia" w:ascii="宋体" w:hAnsi="宋体"/>
          <w:sz w:val="22"/>
          <w:szCs w:val="28"/>
        </w:rPr>
        <w:t>预付款保函</w:t>
      </w:r>
    </w:p>
    <w:p>
      <w:pPr>
        <w:spacing w:after="160" w:line="278" w:lineRule="auto"/>
        <w:rPr>
          <w:rFonts w:ascii="宋体" w:hAnsi="宋体"/>
          <w:sz w:val="22"/>
          <w:szCs w:val="28"/>
        </w:rPr>
      </w:pPr>
      <w:r>
        <w:rPr>
          <w:rFonts w:ascii="宋体" w:hAnsi="宋体"/>
          <w:sz w:val="22"/>
          <w:szCs w:val="28"/>
        </w:rPr>
        <w:t>除专用合同条款另有约定外，承包人应在收到预付款的同时向发包人提交预付款保函，预付款保函的担保金额应与预付款金额相同。保函的担保金额可根据预付款扣回的金额相应递减。</w:t>
      </w:r>
    </w:p>
    <w:p>
      <w:pPr>
        <w:spacing w:after="160" w:line="278" w:lineRule="auto"/>
        <w:rPr>
          <w:rFonts w:ascii="宋体" w:hAnsi="宋体"/>
          <w:sz w:val="22"/>
          <w:szCs w:val="28"/>
        </w:rPr>
      </w:pPr>
      <w:r>
        <w:rPr>
          <w:rFonts w:ascii="宋体" w:hAnsi="宋体"/>
          <w:sz w:val="22"/>
          <w:szCs w:val="28"/>
        </w:rPr>
        <w:t xml:space="preserve">17.2.3 </w:t>
      </w:r>
      <w:r>
        <w:rPr>
          <w:rFonts w:hint="eastAsia" w:ascii="宋体" w:hAnsi="宋体"/>
          <w:sz w:val="22"/>
          <w:szCs w:val="28"/>
        </w:rPr>
        <w:t>预付款的扣回与还清</w:t>
      </w:r>
    </w:p>
    <w:p>
      <w:pPr>
        <w:spacing w:after="160" w:line="278" w:lineRule="auto"/>
        <w:rPr>
          <w:rFonts w:ascii="宋体" w:hAnsi="宋体"/>
          <w:sz w:val="22"/>
          <w:szCs w:val="28"/>
        </w:rPr>
      </w:pPr>
      <w:r>
        <w:rPr>
          <w:rFonts w:ascii="宋体" w:hAnsi="宋体"/>
          <w:sz w:val="22"/>
          <w:szCs w:val="28"/>
        </w:rPr>
        <w:t>预付款在进度付款中扣回，扣回办法在专用合同条款中约定。在颁发工程接收证书前，由于不可抗力或其他原因解除合同时，预付款尚未扣清的，尚未扣清的预付款余额应作为承包人的到期应付款。</w:t>
      </w:r>
    </w:p>
    <w:p>
      <w:pPr>
        <w:spacing w:after="160" w:line="278" w:lineRule="auto"/>
        <w:rPr>
          <w:rFonts w:ascii="宋体" w:hAnsi="宋体"/>
          <w:sz w:val="22"/>
          <w:szCs w:val="28"/>
        </w:rPr>
      </w:pPr>
      <w:bookmarkStart w:id="1813" w:name="_Toc142385639"/>
      <w:bookmarkStart w:id="1814" w:name="_Toc338944814"/>
      <w:bookmarkStart w:id="1815" w:name="_Toc132618710"/>
      <w:bookmarkStart w:id="1816" w:name="_Toc342296372"/>
      <w:bookmarkStart w:id="1817" w:name="_Toc109914417"/>
      <w:bookmarkStart w:id="1818" w:name="_Toc132619101"/>
      <w:bookmarkStart w:id="1819" w:name="_Toc129798352"/>
      <w:r>
        <w:rPr>
          <w:rFonts w:ascii="宋体" w:hAnsi="宋体"/>
          <w:sz w:val="22"/>
          <w:szCs w:val="28"/>
        </w:rPr>
        <w:t>17.3 工程进度付款</w:t>
      </w:r>
      <w:bookmarkEnd w:id="1813"/>
      <w:bookmarkEnd w:id="1814"/>
      <w:bookmarkEnd w:id="1815"/>
      <w:bookmarkEnd w:id="1816"/>
      <w:bookmarkEnd w:id="1817"/>
      <w:bookmarkEnd w:id="1818"/>
      <w:bookmarkEnd w:id="1819"/>
    </w:p>
    <w:p>
      <w:pPr>
        <w:spacing w:after="160" w:line="278" w:lineRule="auto"/>
        <w:rPr>
          <w:rFonts w:ascii="宋体" w:hAnsi="宋体"/>
          <w:sz w:val="22"/>
          <w:szCs w:val="28"/>
        </w:rPr>
      </w:pPr>
      <w:r>
        <w:rPr>
          <w:rFonts w:ascii="宋体" w:hAnsi="宋体"/>
          <w:sz w:val="22"/>
          <w:szCs w:val="28"/>
        </w:rPr>
        <w:t xml:space="preserve">17.3.1 </w:t>
      </w:r>
      <w:r>
        <w:rPr>
          <w:rFonts w:hint="eastAsia" w:ascii="宋体" w:hAnsi="宋体"/>
          <w:sz w:val="22"/>
          <w:szCs w:val="28"/>
        </w:rPr>
        <w:t>付款周期</w:t>
      </w:r>
    </w:p>
    <w:p>
      <w:pPr>
        <w:spacing w:after="160" w:line="278" w:lineRule="auto"/>
        <w:rPr>
          <w:rFonts w:ascii="宋体" w:hAnsi="宋体"/>
          <w:sz w:val="22"/>
          <w:szCs w:val="28"/>
        </w:rPr>
      </w:pPr>
      <w:r>
        <w:rPr>
          <w:rFonts w:ascii="宋体" w:hAnsi="宋体"/>
          <w:sz w:val="22"/>
          <w:szCs w:val="28"/>
        </w:rPr>
        <w:t>付款周期同计量周期。</w:t>
      </w:r>
    </w:p>
    <w:p>
      <w:pPr>
        <w:spacing w:after="160" w:line="278" w:lineRule="auto"/>
        <w:rPr>
          <w:rFonts w:ascii="宋体" w:hAnsi="宋体"/>
          <w:sz w:val="22"/>
          <w:szCs w:val="28"/>
        </w:rPr>
      </w:pPr>
      <w:r>
        <w:rPr>
          <w:rFonts w:ascii="宋体" w:hAnsi="宋体"/>
          <w:sz w:val="22"/>
          <w:szCs w:val="28"/>
        </w:rPr>
        <w:t xml:space="preserve">17.3.2 </w:t>
      </w:r>
      <w:r>
        <w:rPr>
          <w:rFonts w:hint="eastAsia" w:ascii="宋体" w:hAnsi="宋体"/>
          <w:sz w:val="22"/>
          <w:szCs w:val="28"/>
        </w:rPr>
        <w:t>进度付款申请单</w:t>
      </w:r>
    </w:p>
    <w:p>
      <w:pPr>
        <w:spacing w:after="160" w:line="278" w:lineRule="auto"/>
        <w:rPr>
          <w:rFonts w:ascii="宋体" w:hAnsi="宋体"/>
          <w:sz w:val="22"/>
          <w:szCs w:val="28"/>
        </w:rPr>
      </w:pPr>
      <w:r>
        <w:rPr>
          <w:rFonts w:ascii="宋体" w:hAnsi="宋体"/>
          <w:sz w:val="22"/>
          <w:szCs w:val="28"/>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after="160" w:line="278" w:lineRule="auto"/>
        <w:rPr>
          <w:rFonts w:ascii="宋体" w:hAnsi="宋体"/>
          <w:sz w:val="22"/>
          <w:szCs w:val="28"/>
        </w:rPr>
      </w:pPr>
      <w:r>
        <w:rPr>
          <w:rFonts w:ascii="宋体" w:hAnsi="宋体"/>
          <w:sz w:val="22"/>
          <w:szCs w:val="28"/>
        </w:rPr>
        <w:t>（1）截至本次付款周期末已实施工程的价款；</w:t>
      </w:r>
    </w:p>
    <w:p>
      <w:pPr>
        <w:spacing w:after="160" w:line="278" w:lineRule="auto"/>
        <w:rPr>
          <w:rFonts w:ascii="宋体" w:hAnsi="宋体"/>
          <w:sz w:val="22"/>
          <w:szCs w:val="28"/>
        </w:rPr>
      </w:pPr>
      <w:r>
        <w:rPr>
          <w:rFonts w:ascii="宋体" w:hAnsi="宋体"/>
          <w:sz w:val="22"/>
          <w:szCs w:val="28"/>
        </w:rPr>
        <w:t>（2）根据第15条应增加和扣减的变更金额；</w:t>
      </w:r>
    </w:p>
    <w:p>
      <w:pPr>
        <w:spacing w:after="160" w:line="278" w:lineRule="auto"/>
        <w:rPr>
          <w:rFonts w:ascii="宋体" w:hAnsi="宋体"/>
          <w:sz w:val="22"/>
          <w:szCs w:val="28"/>
        </w:rPr>
      </w:pPr>
      <w:r>
        <w:rPr>
          <w:rFonts w:ascii="宋体" w:hAnsi="宋体"/>
          <w:sz w:val="22"/>
          <w:szCs w:val="28"/>
        </w:rPr>
        <w:t>（3）根据第23条应增加和扣减的索赔金额；</w:t>
      </w:r>
    </w:p>
    <w:p>
      <w:pPr>
        <w:spacing w:after="160" w:line="278" w:lineRule="auto"/>
        <w:rPr>
          <w:rFonts w:ascii="宋体" w:hAnsi="宋体"/>
          <w:sz w:val="22"/>
          <w:szCs w:val="28"/>
        </w:rPr>
      </w:pPr>
      <w:r>
        <w:rPr>
          <w:rFonts w:ascii="宋体" w:hAnsi="宋体"/>
          <w:sz w:val="22"/>
          <w:szCs w:val="28"/>
        </w:rPr>
        <w:t>（4）根据第17.2款约定应支付的预付款和扣减的返还预付款；</w:t>
      </w:r>
    </w:p>
    <w:p>
      <w:pPr>
        <w:spacing w:after="160" w:line="278" w:lineRule="auto"/>
        <w:rPr>
          <w:rFonts w:ascii="宋体" w:hAnsi="宋体"/>
          <w:sz w:val="22"/>
          <w:szCs w:val="28"/>
        </w:rPr>
      </w:pPr>
      <w:r>
        <w:rPr>
          <w:rFonts w:ascii="宋体" w:hAnsi="宋体"/>
          <w:sz w:val="22"/>
          <w:szCs w:val="28"/>
        </w:rPr>
        <w:t>（5）根据第17.4.1项约定应扣减的质量保证金；</w:t>
      </w:r>
    </w:p>
    <w:p>
      <w:pPr>
        <w:spacing w:after="160" w:line="278" w:lineRule="auto"/>
        <w:rPr>
          <w:rFonts w:ascii="宋体" w:hAnsi="宋体"/>
          <w:sz w:val="22"/>
          <w:szCs w:val="28"/>
        </w:rPr>
      </w:pPr>
      <w:r>
        <w:rPr>
          <w:rFonts w:ascii="宋体" w:hAnsi="宋体"/>
          <w:sz w:val="22"/>
          <w:szCs w:val="28"/>
        </w:rPr>
        <w:t>（6）根据合同应增加和扣减的其他金额。</w:t>
      </w:r>
    </w:p>
    <w:p>
      <w:pPr>
        <w:spacing w:after="160" w:line="278" w:lineRule="auto"/>
        <w:rPr>
          <w:rFonts w:ascii="宋体" w:hAnsi="宋体"/>
          <w:sz w:val="22"/>
          <w:szCs w:val="28"/>
        </w:rPr>
      </w:pPr>
      <w:r>
        <w:rPr>
          <w:rFonts w:ascii="宋体" w:hAnsi="宋体"/>
          <w:sz w:val="22"/>
          <w:szCs w:val="28"/>
        </w:rPr>
        <w:t xml:space="preserve">17.3.3 </w:t>
      </w:r>
      <w:r>
        <w:rPr>
          <w:rFonts w:hint="eastAsia" w:ascii="宋体" w:hAnsi="宋体"/>
          <w:sz w:val="22"/>
          <w:szCs w:val="28"/>
        </w:rPr>
        <w:t>进度付款证书和支付时间</w:t>
      </w:r>
    </w:p>
    <w:p>
      <w:pPr>
        <w:spacing w:after="160" w:line="278" w:lineRule="auto"/>
        <w:rPr>
          <w:rFonts w:ascii="宋体" w:hAnsi="宋体"/>
          <w:sz w:val="22"/>
          <w:szCs w:val="28"/>
        </w:rPr>
      </w:pPr>
      <w:r>
        <w:rPr>
          <w:rFonts w:ascii="宋体" w:hAnsi="宋体"/>
          <w:sz w:val="22"/>
          <w:szCs w:val="28"/>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after="160" w:line="278" w:lineRule="auto"/>
        <w:rPr>
          <w:rFonts w:ascii="宋体" w:hAnsi="宋体"/>
          <w:sz w:val="22"/>
          <w:szCs w:val="28"/>
        </w:rPr>
      </w:pPr>
      <w:r>
        <w:rPr>
          <w:rFonts w:ascii="宋体" w:hAnsi="宋体"/>
          <w:sz w:val="22"/>
          <w:szCs w:val="28"/>
        </w:rPr>
        <w:t>（2）发包人应在监理人收到进度付款申请单后的28天内，将进度应付款支付给承包人。发包人不按期支付的，按专用合同条款的约定支付逾期付款违约金。</w:t>
      </w:r>
    </w:p>
    <w:p>
      <w:pPr>
        <w:spacing w:after="160" w:line="278" w:lineRule="auto"/>
        <w:rPr>
          <w:rFonts w:ascii="宋体" w:hAnsi="宋体"/>
          <w:sz w:val="22"/>
          <w:szCs w:val="28"/>
        </w:rPr>
      </w:pPr>
      <w:r>
        <w:rPr>
          <w:rFonts w:ascii="宋体" w:hAnsi="宋体"/>
          <w:sz w:val="22"/>
          <w:szCs w:val="28"/>
        </w:rPr>
        <w:t>（3）监理人出具进度付款证书，不应视为监理人已同意、批准或接受了承包人完成的该部分工作。</w:t>
      </w:r>
    </w:p>
    <w:p>
      <w:pPr>
        <w:spacing w:after="160" w:line="278" w:lineRule="auto"/>
        <w:rPr>
          <w:rFonts w:ascii="宋体" w:hAnsi="宋体"/>
          <w:sz w:val="22"/>
          <w:szCs w:val="28"/>
        </w:rPr>
      </w:pPr>
      <w:r>
        <w:rPr>
          <w:rFonts w:ascii="宋体" w:hAnsi="宋体"/>
          <w:sz w:val="22"/>
          <w:szCs w:val="28"/>
        </w:rPr>
        <w:t>（4）进度付款涉及政府投资资金的，按照国库集中支付等国家相关规定和专用合同条款的约定办理。</w:t>
      </w:r>
    </w:p>
    <w:p>
      <w:pPr>
        <w:spacing w:after="160" w:line="278" w:lineRule="auto"/>
        <w:rPr>
          <w:rFonts w:ascii="宋体" w:hAnsi="宋体"/>
          <w:sz w:val="22"/>
          <w:szCs w:val="28"/>
        </w:rPr>
      </w:pPr>
      <w:r>
        <w:rPr>
          <w:rFonts w:ascii="宋体" w:hAnsi="宋体"/>
          <w:sz w:val="22"/>
          <w:szCs w:val="28"/>
        </w:rPr>
        <w:t xml:space="preserve">17.3.4 </w:t>
      </w:r>
      <w:r>
        <w:rPr>
          <w:rFonts w:hint="eastAsia" w:ascii="宋体" w:hAnsi="宋体"/>
          <w:sz w:val="22"/>
          <w:szCs w:val="28"/>
        </w:rPr>
        <w:t>工程进度付款的修正</w:t>
      </w:r>
    </w:p>
    <w:p>
      <w:pPr>
        <w:spacing w:after="160" w:line="278" w:lineRule="auto"/>
        <w:rPr>
          <w:rFonts w:ascii="宋体" w:hAnsi="宋体"/>
          <w:sz w:val="22"/>
          <w:szCs w:val="28"/>
        </w:rPr>
      </w:pPr>
      <w:r>
        <w:rPr>
          <w:rFonts w:ascii="宋体" w:hAnsi="宋体"/>
          <w:sz w:val="22"/>
          <w:szCs w:val="28"/>
        </w:rPr>
        <w:t>在对以往历次已签发的进度付款证书进行汇总和复核中发现错、漏或重复的，监理人有权予以修正，承包人也有权提出修正申请。经双方复核同意的修正，应在本次进度付款中支付或扣除。</w:t>
      </w:r>
    </w:p>
    <w:p>
      <w:pPr>
        <w:spacing w:after="160" w:line="278" w:lineRule="auto"/>
        <w:rPr>
          <w:rFonts w:ascii="宋体" w:hAnsi="宋体"/>
          <w:sz w:val="22"/>
          <w:szCs w:val="28"/>
        </w:rPr>
      </w:pPr>
      <w:bookmarkStart w:id="1820" w:name="_Toc109914418"/>
      <w:bookmarkStart w:id="1821" w:name="_Toc338944815"/>
      <w:bookmarkStart w:id="1822" w:name="_Toc342296373"/>
      <w:bookmarkStart w:id="1823" w:name="_Toc142385640"/>
      <w:bookmarkStart w:id="1824" w:name="_Toc129798353"/>
      <w:bookmarkStart w:id="1825" w:name="_Toc132619102"/>
      <w:bookmarkStart w:id="1826" w:name="_Toc132618711"/>
      <w:r>
        <w:rPr>
          <w:rFonts w:ascii="宋体" w:hAnsi="宋体"/>
          <w:sz w:val="22"/>
          <w:szCs w:val="28"/>
        </w:rPr>
        <w:t>17.4 质量保证金</w:t>
      </w:r>
      <w:bookmarkEnd w:id="1820"/>
      <w:bookmarkEnd w:id="1821"/>
      <w:bookmarkEnd w:id="1822"/>
      <w:bookmarkEnd w:id="1823"/>
      <w:bookmarkEnd w:id="1824"/>
      <w:bookmarkEnd w:id="1825"/>
      <w:bookmarkEnd w:id="1826"/>
    </w:p>
    <w:p>
      <w:pPr>
        <w:spacing w:after="160" w:line="278" w:lineRule="auto"/>
        <w:rPr>
          <w:rFonts w:ascii="宋体" w:hAnsi="宋体"/>
          <w:sz w:val="22"/>
          <w:szCs w:val="28"/>
        </w:rPr>
      </w:pPr>
      <w:r>
        <w:rPr>
          <w:rFonts w:ascii="宋体" w:hAnsi="宋体"/>
          <w:sz w:val="22"/>
          <w:szCs w:val="28"/>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after="160" w:line="278" w:lineRule="auto"/>
        <w:rPr>
          <w:rFonts w:ascii="宋体" w:hAnsi="宋体"/>
          <w:sz w:val="22"/>
          <w:szCs w:val="28"/>
        </w:rPr>
      </w:pPr>
      <w:r>
        <w:rPr>
          <w:rFonts w:ascii="宋体" w:hAnsi="宋体"/>
          <w:sz w:val="22"/>
          <w:szCs w:val="28"/>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after="160" w:line="278" w:lineRule="auto"/>
        <w:rPr>
          <w:rFonts w:ascii="宋体" w:hAnsi="宋体"/>
          <w:sz w:val="22"/>
          <w:szCs w:val="28"/>
        </w:rPr>
      </w:pPr>
      <w:r>
        <w:rPr>
          <w:rFonts w:ascii="宋体" w:hAnsi="宋体"/>
          <w:sz w:val="22"/>
          <w:szCs w:val="28"/>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spacing w:after="160" w:line="278" w:lineRule="auto"/>
        <w:rPr>
          <w:rFonts w:ascii="宋体" w:hAnsi="宋体"/>
          <w:sz w:val="22"/>
          <w:szCs w:val="28"/>
        </w:rPr>
      </w:pPr>
      <w:bookmarkStart w:id="1827" w:name="_Toc109914419"/>
      <w:bookmarkStart w:id="1828" w:name="_Toc132619103"/>
      <w:bookmarkStart w:id="1829" w:name="_Toc342296374"/>
      <w:bookmarkStart w:id="1830" w:name="_Toc132618712"/>
      <w:bookmarkStart w:id="1831" w:name="_Toc338944816"/>
      <w:bookmarkStart w:id="1832" w:name="_Toc142385641"/>
      <w:bookmarkStart w:id="1833" w:name="_Toc129798354"/>
      <w:r>
        <w:rPr>
          <w:rFonts w:ascii="宋体" w:hAnsi="宋体"/>
          <w:sz w:val="22"/>
          <w:szCs w:val="28"/>
        </w:rPr>
        <w:t>17.5 竣工结算</w:t>
      </w:r>
      <w:bookmarkEnd w:id="1827"/>
      <w:bookmarkEnd w:id="1828"/>
      <w:bookmarkEnd w:id="1829"/>
      <w:bookmarkEnd w:id="1830"/>
      <w:bookmarkEnd w:id="1831"/>
      <w:bookmarkEnd w:id="1832"/>
      <w:bookmarkEnd w:id="1833"/>
    </w:p>
    <w:p>
      <w:pPr>
        <w:spacing w:after="160" w:line="278" w:lineRule="auto"/>
        <w:rPr>
          <w:rFonts w:ascii="宋体" w:hAnsi="宋体"/>
          <w:sz w:val="22"/>
          <w:szCs w:val="28"/>
        </w:rPr>
      </w:pPr>
      <w:r>
        <w:rPr>
          <w:rFonts w:ascii="宋体" w:hAnsi="宋体"/>
          <w:sz w:val="22"/>
          <w:szCs w:val="28"/>
        </w:rPr>
        <w:t xml:space="preserve">17.5.1 </w:t>
      </w:r>
      <w:r>
        <w:rPr>
          <w:rFonts w:hint="eastAsia" w:ascii="宋体" w:hAnsi="宋体"/>
          <w:sz w:val="22"/>
          <w:szCs w:val="28"/>
        </w:rPr>
        <w:t>竣工付款申请单</w:t>
      </w:r>
    </w:p>
    <w:p>
      <w:pPr>
        <w:spacing w:after="160" w:line="278" w:lineRule="auto"/>
        <w:rPr>
          <w:rFonts w:ascii="宋体" w:hAnsi="宋体"/>
          <w:sz w:val="22"/>
          <w:szCs w:val="28"/>
        </w:rPr>
      </w:pPr>
      <w:r>
        <w:rPr>
          <w:rFonts w:ascii="宋体" w:hAnsi="宋体"/>
          <w:sz w:val="22"/>
          <w:szCs w:val="28"/>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after="160" w:line="278" w:lineRule="auto"/>
        <w:rPr>
          <w:rFonts w:ascii="宋体" w:hAnsi="宋体"/>
          <w:sz w:val="22"/>
          <w:szCs w:val="28"/>
        </w:rPr>
      </w:pPr>
      <w:r>
        <w:rPr>
          <w:rFonts w:ascii="宋体" w:hAnsi="宋体"/>
          <w:sz w:val="22"/>
          <w:szCs w:val="28"/>
        </w:rPr>
        <w:t>（2）监理人对竣工付款申请单有异议的，有权要求承包人进行修正和提供补充资料。经监理人和承包人协商后，由承包人向监理人提交修正后的竣工付款申请单。</w:t>
      </w:r>
    </w:p>
    <w:p>
      <w:pPr>
        <w:spacing w:after="160" w:line="278" w:lineRule="auto"/>
        <w:rPr>
          <w:rFonts w:ascii="宋体" w:hAnsi="宋体"/>
          <w:sz w:val="22"/>
          <w:szCs w:val="28"/>
        </w:rPr>
      </w:pPr>
      <w:r>
        <w:rPr>
          <w:rFonts w:ascii="宋体" w:hAnsi="宋体"/>
          <w:sz w:val="22"/>
          <w:szCs w:val="28"/>
        </w:rPr>
        <w:t xml:space="preserve">17.5.2 </w:t>
      </w:r>
      <w:r>
        <w:rPr>
          <w:rFonts w:hint="eastAsia" w:ascii="宋体" w:hAnsi="宋体"/>
          <w:sz w:val="22"/>
          <w:szCs w:val="28"/>
        </w:rPr>
        <w:t>竣工付款证书及支付时间</w:t>
      </w:r>
    </w:p>
    <w:p>
      <w:pPr>
        <w:spacing w:after="160" w:line="278" w:lineRule="auto"/>
        <w:rPr>
          <w:rFonts w:ascii="宋体" w:hAnsi="宋体"/>
          <w:sz w:val="22"/>
          <w:szCs w:val="28"/>
        </w:rPr>
      </w:pPr>
      <w:r>
        <w:rPr>
          <w:rFonts w:ascii="宋体" w:hAnsi="宋体"/>
          <w:sz w:val="22"/>
          <w:szCs w:val="28"/>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after="160" w:line="278" w:lineRule="auto"/>
        <w:rPr>
          <w:rFonts w:ascii="宋体" w:hAnsi="宋体"/>
          <w:sz w:val="22"/>
          <w:szCs w:val="28"/>
        </w:rPr>
      </w:pPr>
      <w:r>
        <w:rPr>
          <w:rFonts w:ascii="宋体" w:hAnsi="宋体"/>
          <w:sz w:val="22"/>
          <w:szCs w:val="28"/>
        </w:rPr>
        <w:t>（2）发包人应在监理人出具竣工付款证书后的14天内，将应支付款支付给承包人。发包人不按期支付的，按第17.3.3（2）目的约定，将逾期付款违约金支付给承包人。</w:t>
      </w:r>
    </w:p>
    <w:p>
      <w:pPr>
        <w:spacing w:after="160" w:line="278" w:lineRule="auto"/>
        <w:rPr>
          <w:rFonts w:ascii="宋体" w:hAnsi="宋体"/>
          <w:sz w:val="22"/>
          <w:szCs w:val="28"/>
        </w:rPr>
      </w:pPr>
      <w:r>
        <w:rPr>
          <w:rFonts w:ascii="宋体" w:hAnsi="宋体"/>
          <w:sz w:val="22"/>
          <w:szCs w:val="28"/>
        </w:rPr>
        <w:t>（3）承包人对发包人签认的竣工付款证书有异议的，发包人可出具竣工付款申请单中承包人已同意部分的临时付款证书。存在争议的部分，按第24条的约定办理。</w:t>
      </w:r>
    </w:p>
    <w:p>
      <w:pPr>
        <w:spacing w:after="160" w:line="278" w:lineRule="auto"/>
        <w:rPr>
          <w:rFonts w:ascii="宋体" w:hAnsi="宋体"/>
          <w:sz w:val="22"/>
          <w:szCs w:val="28"/>
        </w:rPr>
      </w:pPr>
      <w:r>
        <w:rPr>
          <w:rFonts w:ascii="宋体" w:hAnsi="宋体"/>
          <w:sz w:val="22"/>
          <w:szCs w:val="28"/>
        </w:rPr>
        <w:t>（4）竣工付款涉及政府投资资金的，按第17.3.3（４）目的约定办理。</w:t>
      </w:r>
    </w:p>
    <w:p>
      <w:pPr>
        <w:spacing w:after="160" w:line="278" w:lineRule="auto"/>
        <w:rPr>
          <w:rFonts w:ascii="宋体" w:hAnsi="宋体"/>
          <w:sz w:val="22"/>
          <w:szCs w:val="28"/>
        </w:rPr>
      </w:pPr>
      <w:bookmarkStart w:id="1834" w:name="_Toc142385642"/>
      <w:bookmarkStart w:id="1835" w:name="_Toc132619104"/>
      <w:bookmarkStart w:id="1836" w:name="_Toc132618713"/>
      <w:bookmarkStart w:id="1837" w:name="_Toc129798355"/>
      <w:bookmarkStart w:id="1838" w:name="_Toc109914420"/>
      <w:bookmarkStart w:id="1839" w:name="_Toc342296375"/>
      <w:bookmarkStart w:id="1840" w:name="_Toc338944817"/>
      <w:r>
        <w:rPr>
          <w:rFonts w:ascii="宋体" w:hAnsi="宋体"/>
          <w:sz w:val="22"/>
          <w:szCs w:val="28"/>
        </w:rPr>
        <w:t>17.6 最终结清</w:t>
      </w:r>
      <w:bookmarkEnd w:id="1834"/>
      <w:bookmarkEnd w:id="1835"/>
      <w:bookmarkEnd w:id="1836"/>
      <w:bookmarkEnd w:id="1837"/>
      <w:bookmarkEnd w:id="1838"/>
      <w:bookmarkEnd w:id="1839"/>
      <w:bookmarkEnd w:id="1840"/>
    </w:p>
    <w:p>
      <w:pPr>
        <w:spacing w:after="160" w:line="278" w:lineRule="auto"/>
        <w:rPr>
          <w:rFonts w:ascii="宋体" w:hAnsi="宋体"/>
          <w:sz w:val="22"/>
          <w:szCs w:val="28"/>
        </w:rPr>
      </w:pPr>
      <w:r>
        <w:rPr>
          <w:rFonts w:ascii="宋体" w:hAnsi="宋体"/>
          <w:sz w:val="22"/>
          <w:szCs w:val="28"/>
        </w:rPr>
        <w:t xml:space="preserve">17.6.1 </w:t>
      </w:r>
      <w:r>
        <w:rPr>
          <w:rFonts w:hint="eastAsia" w:ascii="宋体" w:hAnsi="宋体"/>
          <w:sz w:val="22"/>
          <w:szCs w:val="28"/>
        </w:rPr>
        <w:t>最终结清申请单</w:t>
      </w:r>
    </w:p>
    <w:p>
      <w:pPr>
        <w:spacing w:after="160" w:line="278" w:lineRule="auto"/>
        <w:rPr>
          <w:rFonts w:ascii="宋体" w:hAnsi="宋体"/>
          <w:sz w:val="22"/>
          <w:szCs w:val="28"/>
        </w:rPr>
      </w:pPr>
      <w:r>
        <w:rPr>
          <w:rFonts w:ascii="宋体" w:hAnsi="宋体"/>
          <w:sz w:val="22"/>
          <w:szCs w:val="28"/>
        </w:rPr>
        <w:t>（1）缺陷责任期终止证书签发后，承包人可按专用合同条款约定的份数和期限向监理人提交最终结清申请单，并提供相关证明材料。</w:t>
      </w:r>
    </w:p>
    <w:p>
      <w:pPr>
        <w:spacing w:after="160" w:line="278" w:lineRule="auto"/>
        <w:rPr>
          <w:rFonts w:ascii="宋体" w:hAnsi="宋体"/>
          <w:sz w:val="22"/>
          <w:szCs w:val="28"/>
        </w:rPr>
      </w:pPr>
      <w:r>
        <w:rPr>
          <w:rFonts w:ascii="宋体" w:hAnsi="宋体"/>
          <w:sz w:val="22"/>
          <w:szCs w:val="28"/>
        </w:rPr>
        <w:t>（2）发包人对最终结清申请单内容有异议的，有权要求承包人进行修正和提供补充资料，由承包人向监理人提交修正后的最终结清申请单。</w:t>
      </w:r>
    </w:p>
    <w:p>
      <w:pPr>
        <w:spacing w:after="160" w:line="278" w:lineRule="auto"/>
        <w:rPr>
          <w:rFonts w:ascii="宋体" w:hAnsi="宋体"/>
          <w:sz w:val="22"/>
          <w:szCs w:val="28"/>
        </w:rPr>
      </w:pPr>
      <w:r>
        <w:rPr>
          <w:rFonts w:ascii="宋体" w:hAnsi="宋体"/>
          <w:sz w:val="22"/>
          <w:szCs w:val="28"/>
        </w:rPr>
        <w:t xml:space="preserve">17.6.2 </w:t>
      </w:r>
      <w:r>
        <w:rPr>
          <w:rFonts w:hint="eastAsia" w:ascii="宋体" w:hAnsi="宋体"/>
          <w:sz w:val="22"/>
          <w:szCs w:val="28"/>
        </w:rPr>
        <w:t>最终结清证书和支付时间</w:t>
      </w:r>
    </w:p>
    <w:p>
      <w:pPr>
        <w:spacing w:after="160" w:line="278" w:lineRule="auto"/>
        <w:rPr>
          <w:rFonts w:ascii="宋体" w:hAnsi="宋体"/>
          <w:sz w:val="22"/>
          <w:szCs w:val="28"/>
        </w:rPr>
      </w:pPr>
      <w:r>
        <w:rPr>
          <w:rFonts w:ascii="宋体" w:hAnsi="宋体"/>
          <w:sz w:val="22"/>
          <w:szCs w:val="28"/>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after="160" w:line="278" w:lineRule="auto"/>
        <w:rPr>
          <w:rFonts w:ascii="宋体" w:hAnsi="宋体"/>
          <w:sz w:val="22"/>
          <w:szCs w:val="28"/>
        </w:rPr>
      </w:pPr>
      <w:r>
        <w:rPr>
          <w:rFonts w:ascii="宋体" w:hAnsi="宋体"/>
          <w:sz w:val="22"/>
          <w:szCs w:val="28"/>
        </w:rPr>
        <w:t>（2）发包人应在监理人出具最终结清证书后的14天内，将应支付款支付给承包人。发包人不按期支付的，按第17.3.3（2）目的约定，将逾期付款违约金支付给承包人。</w:t>
      </w:r>
    </w:p>
    <w:p>
      <w:pPr>
        <w:spacing w:after="160" w:line="278" w:lineRule="auto"/>
        <w:rPr>
          <w:rFonts w:ascii="宋体" w:hAnsi="宋体"/>
          <w:sz w:val="22"/>
          <w:szCs w:val="28"/>
        </w:rPr>
      </w:pPr>
      <w:r>
        <w:rPr>
          <w:rFonts w:ascii="宋体" w:hAnsi="宋体"/>
          <w:sz w:val="22"/>
          <w:szCs w:val="28"/>
        </w:rPr>
        <w:t>（3）承包人对发包人签认的最终结清证书有异议的，按第24条的约定办理。</w:t>
      </w:r>
    </w:p>
    <w:p>
      <w:pPr>
        <w:spacing w:after="160" w:line="278" w:lineRule="auto"/>
        <w:rPr>
          <w:rFonts w:ascii="宋体" w:hAnsi="宋体"/>
          <w:sz w:val="22"/>
          <w:szCs w:val="28"/>
        </w:rPr>
      </w:pPr>
      <w:r>
        <w:rPr>
          <w:rFonts w:ascii="宋体" w:hAnsi="宋体"/>
          <w:sz w:val="22"/>
          <w:szCs w:val="28"/>
        </w:rPr>
        <w:t>（4）最终结清付款涉及政府投资资金的，按第17.3.3（４）目的约定办理。</w:t>
      </w:r>
    </w:p>
    <w:p>
      <w:pPr>
        <w:spacing w:after="160" w:line="278" w:lineRule="auto"/>
        <w:rPr>
          <w:rFonts w:ascii="宋体" w:hAnsi="宋体"/>
          <w:sz w:val="22"/>
          <w:szCs w:val="28"/>
        </w:rPr>
      </w:pPr>
      <w:bookmarkStart w:id="1841" w:name="_Toc338944818"/>
      <w:bookmarkStart w:id="1842" w:name="_Toc109914421"/>
      <w:bookmarkStart w:id="1843" w:name="_Toc448758439"/>
      <w:bookmarkStart w:id="1844" w:name="_Toc132619105"/>
      <w:bookmarkStart w:id="1845" w:name="_Toc142385643"/>
      <w:bookmarkStart w:id="1846" w:name="_Toc448758539"/>
      <w:bookmarkStart w:id="1847" w:name="_Toc132618714"/>
      <w:bookmarkStart w:id="1848" w:name="_Toc129798356"/>
      <w:bookmarkStart w:id="1849" w:name="_Toc469660034"/>
      <w:bookmarkStart w:id="1850" w:name="_Toc442365631"/>
      <w:bookmarkStart w:id="1851" w:name="_Toc342296376"/>
      <w:r>
        <w:rPr>
          <w:rFonts w:ascii="宋体" w:hAnsi="宋体"/>
          <w:sz w:val="22"/>
          <w:szCs w:val="28"/>
        </w:rPr>
        <w:t>18. 竣工验收</w:t>
      </w:r>
      <w:bookmarkEnd w:id="1841"/>
      <w:bookmarkEnd w:id="1842"/>
      <w:bookmarkEnd w:id="1843"/>
      <w:bookmarkEnd w:id="1844"/>
      <w:bookmarkEnd w:id="1845"/>
      <w:bookmarkEnd w:id="1846"/>
      <w:bookmarkEnd w:id="1847"/>
      <w:bookmarkEnd w:id="1848"/>
      <w:bookmarkEnd w:id="1849"/>
      <w:bookmarkEnd w:id="1850"/>
      <w:bookmarkEnd w:id="1851"/>
    </w:p>
    <w:p>
      <w:pPr>
        <w:spacing w:after="160" w:line="278" w:lineRule="auto"/>
        <w:rPr>
          <w:rFonts w:ascii="宋体" w:hAnsi="宋体"/>
          <w:sz w:val="22"/>
          <w:szCs w:val="28"/>
        </w:rPr>
      </w:pPr>
      <w:bookmarkStart w:id="1852" w:name="_Toc152042505"/>
      <w:bookmarkStart w:id="1853" w:name="_Toc144974697"/>
      <w:bookmarkStart w:id="1854" w:name="_Toc338944819"/>
      <w:bookmarkStart w:id="1855" w:name="_Toc152045726"/>
      <w:bookmarkStart w:id="1856" w:name="_Toc142385644"/>
      <w:bookmarkStart w:id="1857" w:name="_Toc132619106"/>
      <w:bookmarkStart w:id="1858" w:name="_Toc109914422"/>
      <w:bookmarkStart w:id="1859" w:name="_Toc179632744"/>
      <w:bookmarkStart w:id="1860" w:name="_Toc342296377"/>
      <w:bookmarkStart w:id="1861" w:name="_Toc132618715"/>
      <w:bookmarkStart w:id="1862" w:name="_Toc129798357"/>
      <w:r>
        <w:rPr>
          <w:rFonts w:ascii="宋体" w:hAnsi="宋体"/>
          <w:sz w:val="22"/>
          <w:szCs w:val="28"/>
        </w:rPr>
        <w:t>18.1 竣工验收的含义</w:t>
      </w:r>
      <w:bookmarkEnd w:id="1852"/>
      <w:bookmarkEnd w:id="1853"/>
      <w:bookmarkEnd w:id="1854"/>
      <w:bookmarkEnd w:id="1855"/>
      <w:bookmarkEnd w:id="1856"/>
      <w:bookmarkEnd w:id="1857"/>
      <w:bookmarkEnd w:id="1858"/>
      <w:bookmarkEnd w:id="1859"/>
      <w:bookmarkEnd w:id="1860"/>
      <w:bookmarkEnd w:id="1861"/>
      <w:bookmarkEnd w:id="1862"/>
    </w:p>
    <w:p>
      <w:pPr>
        <w:spacing w:after="160" w:line="278" w:lineRule="auto"/>
        <w:rPr>
          <w:rFonts w:ascii="宋体" w:hAnsi="宋体"/>
          <w:sz w:val="22"/>
          <w:szCs w:val="28"/>
        </w:rPr>
      </w:pPr>
      <w:r>
        <w:rPr>
          <w:rFonts w:ascii="宋体" w:hAnsi="宋体"/>
          <w:sz w:val="22"/>
          <w:szCs w:val="28"/>
        </w:rPr>
        <w:t>18.1.1 竣工验收指承包人完成了全部合同工作后，发包人按合同要求进行的验收。</w:t>
      </w:r>
    </w:p>
    <w:p>
      <w:pPr>
        <w:spacing w:after="160" w:line="278" w:lineRule="auto"/>
        <w:rPr>
          <w:rFonts w:ascii="宋体" w:hAnsi="宋体"/>
          <w:sz w:val="22"/>
          <w:szCs w:val="28"/>
        </w:rPr>
      </w:pPr>
      <w:r>
        <w:rPr>
          <w:rFonts w:ascii="宋体" w:hAnsi="宋体"/>
          <w:sz w:val="22"/>
          <w:szCs w:val="28"/>
        </w:rPr>
        <w:t>18.1.2 国家验收是政府有关部门根据法律、规范、规程和政策要求，针对发包人全面组织实施的整个工程正式交付投运前的验收。</w:t>
      </w:r>
    </w:p>
    <w:p>
      <w:pPr>
        <w:spacing w:after="160" w:line="278" w:lineRule="auto"/>
        <w:rPr>
          <w:rFonts w:ascii="宋体" w:hAnsi="宋体"/>
          <w:sz w:val="22"/>
          <w:szCs w:val="28"/>
        </w:rPr>
      </w:pPr>
      <w:r>
        <w:rPr>
          <w:rFonts w:ascii="宋体" w:hAnsi="宋体"/>
          <w:sz w:val="22"/>
          <w:szCs w:val="28"/>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spacing w:after="160" w:line="278" w:lineRule="auto"/>
        <w:rPr>
          <w:rFonts w:ascii="宋体" w:hAnsi="宋体"/>
          <w:sz w:val="22"/>
          <w:szCs w:val="28"/>
        </w:rPr>
      </w:pPr>
      <w:bookmarkStart w:id="1863" w:name="_Toc129798358"/>
      <w:bookmarkStart w:id="1864" w:name="_Toc338944820"/>
      <w:bookmarkStart w:id="1865" w:name="_Toc132618716"/>
      <w:bookmarkStart w:id="1866" w:name="_Toc342296378"/>
      <w:bookmarkStart w:id="1867" w:name="_Toc132619107"/>
      <w:bookmarkStart w:id="1868" w:name="_Toc142385645"/>
      <w:bookmarkStart w:id="1869" w:name="_Toc109914423"/>
      <w:r>
        <w:rPr>
          <w:rFonts w:ascii="宋体" w:hAnsi="宋体"/>
          <w:sz w:val="22"/>
          <w:szCs w:val="28"/>
        </w:rPr>
        <w:t>18.2 竣工验收申请报告</w:t>
      </w:r>
      <w:bookmarkEnd w:id="1863"/>
      <w:bookmarkEnd w:id="1864"/>
      <w:bookmarkEnd w:id="1865"/>
      <w:bookmarkEnd w:id="1866"/>
      <w:bookmarkEnd w:id="1867"/>
      <w:bookmarkEnd w:id="1868"/>
      <w:bookmarkEnd w:id="1869"/>
    </w:p>
    <w:p>
      <w:pPr>
        <w:spacing w:after="160" w:line="278" w:lineRule="auto"/>
        <w:rPr>
          <w:rFonts w:ascii="宋体" w:hAnsi="宋体"/>
          <w:sz w:val="22"/>
          <w:szCs w:val="28"/>
        </w:rPr>
      </w:pPr>
      <w:r>
        <w:rPr>
          <w:rFonts w:ascii="宋体" w:hAnsi="宋体"/>
          <w:sz w:val="22"/>
          <w:szCs w:val="28"/>
        </w:rPr>
        <w:t>当工程具备以下条件时，承包人即可向监理人报送竣工验收申请报告：</w:t>
      </w:r>
    </w:p>
    <w:p>
      <w:pPr>
        <w:spacing w:after="160" w:line="278" w:lineRule="auto"/>
        <w:rPr>
          <w:rFonts w:ascii="宋体" w:hAnsi="宋体"/>
          <w:sz w:val="22"/>
          <w:szCs w:val="28"/>
        </w:rPr>
      </w:pPr>
      <w:r>
        <w:rPr>
          <w:rFonts w:ascii="宋体" w:hAnsi="宋体"/>
          <w:sz w:val="22"/>
          <w:szCs w:val="28"/>
        </w:rPr>
        <w:t>（1）除监理人同意列入缺陷责任期内完成的尾工（甩项）工程和缺陷修补工作外，合同范围内的全部单位工程以及有关工作，包括合同要求的试验、试运行以及检验和验收均已完成，并符合合同要求；</w:t>
      </w:r>
    </w:p>
    <w:p>
      <w:pPr>
        <w:spacing w:after="160" w:line="278" w:lineRule="auto"/>
        <w:rPr>
          <w:rFonts w:ascii="宋体" w:hAnsi="宋体"/>
          <w:sz w:val="22"/>
          <w:szCs w:val="28"/>
        </w:rPr>
      </w:pPr>
      <w:r>
        <w:rPr>
          <w:rFonts w:ascii="宋体" w:hAnsi="宋体"/>
          <w:sz w:val="22"/>
          <w:szCs w:val="28"/>
        </w:rPr>
        <w:t xml:space="preserve">（2）已按合同约定的内容和份数备齐了符合要求的竣工资料； </w:t>
      </w:r>
    </w:p>
    <w:p>
      <w:pPr>
        <w:spacing w:after="160" w:line="278" w:lineRule="auto"/>
        <w:rPr>
          <w:rFonts w:ascii="宋体" w:hAnsi="宋体"/>
          <w:sz w:val="22"/>
          <w:szCs w:val="28"/>
        </w:rPr>
      </w:pPr>
      <w:r>
        <w:rPr>
          <w:rFonts w:ascii="宋体" w:hAnsi="宋体"/>
          <w:sz w:val="22"/>
          <w:szCs w:val="28"/>
        </w:rPr>
        <w:t>（3）已按监理人的要求编制了在缺陷责任期内完成的尾工（甩项）工程和缺陷修补工作清单以及相应施工计划；</w:t>
      </w:r>
    </w:p>
    <w:p>
      <w:pPr>
        <w:spacing w:after="160" w:line="278" w:lineRule="auto"/>
        <w:rPr>
          <w:rFonts w:ascii="宋体" w:hAnsi="宋体"/>
          <w:sz w:val="22"/>
          <w:szCs w:val="28"/>
        </w:rPr>
      </w:pPr>
      <w:r>
        <w:rPr>
          <w:rFonts w:ascii="宋体" w:hAnsi="宋体"/>
          <w:sz w:val="22"/>
          <w:szCs w:val="28"/>
        </w:rPr>
        <w:t>（4）监理人要求在竣工验收前应完成的其他工作；</w:t>
      </w:r>
    </w:p>
    <w:p>
      <w:pPr>
        <w:spacing w:after="160" w:line="278" w:lineRule="auto"/>
        <w:rPr>
          <w:rFonts w:ascii="宋体" w:hAnsi="宋体"/>
          <w:sz w:val="22"/>
          <w:szCs w:val="28"/>
        </w:rPr>
      </w:pPr>
      <w:r>
        <w:rPr>
          <w:rFonts w:ascii="宋体" w:hAnsi="宋体"/>
          <w:sz w:val="22"/>
          <w:szCs w:val="28"/>
        </w:rPr>
        <w:t>（5）监理人要求提交的竣工验收资料清单。</w:t>
      </w:r>
    </w:p>
    <w:p>
      <w:pPr>
        <w:spacing w:after="160" w:line="278" w:lineRule="auto"/>
        <w:rPr>
          <w:rFonts w:ascii="宋体" w:hAnsi="宋体"/>
          <w:sz w:val="22"/>
          <w:szCs w:val="28"/>
        </w:rPr>
      </w:pPr>
      <w:bookmarkStart w:id="1870" w:name="_Toc109914424"/>
      <w:bookmarkStart w:id="1871" w:name="_Toc338944821"/>
      <w:bookmarkStart w:id="1872" w:name="_Toc132618717"/>
      <w:bookmarkStart w:id="1873" w:name="_Toc342296379"/>
      <w:bookmarkStart w:id="1874" w:name="_Toc132619108"/>
      <w:bookmarkStart w:id="1875" w:name="_Toc142385646"/>
      <w:bookmarkStart w:id="1876" w:name="_Toc129798359"/>
      <w:r>
        <w:rPr>
          <w:rFonts w:ascii="宋体" w:hAnsi="宋体"/>
          <w:sz w:val="22"/>
          <w:szCs w:val="28"/>
        </w:rPr>
        <w:t>18.3 验收</w:t>
      </w:r>
      <w:bookmarkEnd w:id="1870"/>
      <w:bookmarkEnd w:id="1871"/>
      <w:bookmarkEnd w:id="1872"/>
      <w:bookmarkEnd w:id="1873"/>
      <w:bookmarkEnd w:id="1874"/>
      <w:bookmarkEnd w:id="1875"/>
      <w:bookmarkEnd w:id="1876"/>
    </w:p>
    <w:p>
      <w:pPr>
        <w:spacing w:after="160" w:line="278" w:lineRule="auto"/>
        <w:rPr>
          <w:rFonts w:ascii="宋体" w:hAnsi="宋体"/>
          <w:sz w:val="22"/>
          <w:szCs w:val="28"/>
        </w:rPr>
      </w:pPr>
      <w:r>
        <w:rPr>
          <w:rFonts w:ascii="宋体" w:hAnsi="宋体"/>
          <w:sz w:val="22"/>
          <w:szCs w:val="28"/>
        </w:rPr>
        <w:t>监理人收到承包人按第18.2款约定提交的竣工验收申请报告后，应审查申请报告的各项内容，并按以下不同情况进行处理。</w:t>
      </w:r>
    </w:p>
    <w:p>
      <w:pPr>
        <w:spacing w:after="160" w:line="278" w:lineRule="auto"/>
        <w:rPr>
          <w:rFonts w:ascii="宋体" w:hAnsi="宋体"/>
          <w:sz w:val="22"/>
          <w:szCs w:val="28"/>
        </w:rPr>
      </w:pPr>
      <w:r>
        <w:rPr>
          <w:rFonts w:ascii="宋体" w:hAnsi="宋体"/>
          <w:sz w:val="22"/>
          <w:szCs w:val="28"/>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after="160" w:line="278" w:lineRule="auto"/>
        <w:rPr>
          <w:rFonts w:ascii="宋体" w:hAnsi="宋体"/>
          <w:sz w:val="22"/>
          <w:szCs w:val="28"/>
        </w:rPr>
      </w:pPr>
      <w:r>
        <w:rPr>
          <w:rFonts w:ascii="宋体" w:hAnsi="宋体"/>
          <w:sz w:val="22"/>
          <w:szCs w:val="28"/>
        </w:rPr>
        <w:t>18.3.2 监理人审查后认为已具备竣工验收条件的，应在收到竣工验收申请报告后的28天内提请发包人进行工程验收。</w:t>
      </w:r>
    </w:p>
    <w:p>
      <w:pPr>
        <w:spacing w:after="160" w:line="278" w:lineRule="auto"/>
        <w:rPr>
          <w:rFonts w:ascii="宋体" w:hAnsi="宋体"/>
          <w:sz w:val="22"/>
          <w:szCs w:val="28"/>
        </w:rPr>
      </w:pPr>
      <w:r>
        <w:rPr>
          <w:rFonts w:ascii="宋体" w:hAnsi="宋体"/>
          <w:sz w:val="22"/>
          <w:szCs w:val="28"/>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after="160" w:line="278" w:lineRule="auto"/>
        <w:rPr>
          <w:rFonts w:ascii="宋体" w:hAnsi="宋体"/>
          <w:sz w:val="22"/>
          <w:szCs w:val="28"/>
        </w:rPr>
      </w:pPr>
      <w:r>
        <w:rPr>
          <w:rFonts w:ascii="宋体" w:hAnsi="宋体"/>
          <w:sz w:val="22"/>
          <w:szCs w:val="28"/>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after="160" w:line="278" w:lineRule="auto"/>
        <w:rPr>
          <w:rFonts w:ascii="宋体" w:hAnsi="宋体"/>
          <w:sz w:val="22"/>
          <w:szCs w:val="28"/>
        </w:rPr>
      </w:pPr>
      <w:r>
        <w:rPr>
          <w:rFonts w:ascii="宋体" w:hAnsi="宋体"/>
          <w:sz w:val="22"/>
          <w:szCs w:val="28"/>
        </w:rPr>
        <w:t>18.3.5 除专用合同条款另有约定外，经验收合格工程的实际竣工日期，以提交竣工验收申请报告的日期为准，并在工程接收证书中写明。</w:t>
      </w:r>
    </w:p>
    <w:p>
      <w:pPr>
        <w:spacing w:after="160" w:line="278" w:lineRule="auto"/>
        <w:rPr>
          <w:rFonts w:ascii="宋体" w:hAnsi="宋体"/>
          <w:sz w:val="22"/>
          <w:szCs w:val="28"/>
        </w:rPr>
      </w:pPr>
      <w:r>
        <w:rPr>
          <w:rFonts w:ascii="宋体" w:hAnsi="宋体"/>
          <w:sz w:val="22"/>
          <w:szCs w:val="28"/>
        </w:rPr>
        <w:t>18.3.6 发包人在收到承包人竣工验收申请报告56天后未进行验收的，视为验收合格，实际竣工日期以提交竣工验收申请报告的日期为准，但发包人由于不可抗力不能进行验收的除外。</w:t>
      </w:r>
    </w:p>
    <w:p>
      <w:pPr>
        <w:spacing w:after="160" w:line="278" w:lineRule="auto"/>
        <w:rPr>
          <w:rFonts w:ascii="宋体" w:hAnsi="宋体"/>
          <w:sz w:val="22"/>
          <w:szCs w:val="28"/>
        </w:rPr>
      </w:pPr>
      <w:bookmarkStart w:id="1877" w:name="_Toc152045729"/>
      <w:bookmarkStart w:id="1878" w:name="_Toc152042508"/>
      <w:bookmarkStart w:id="1879" w:name="_Toc129798360"/>
      <w:bookmarkStart w:id="1880" w:name="_Toc132619109"/>
      <w:bookmarkStart w:id="1881" w:name="_Toc342296380"/>
      <w:bookmarkStart w:id="1882" w:name="_Toc109914425"/>
      <w:bookmarkStart w:id="1883" w:name="_Toc142385647"/>
      <w:bookmarkStart w:id="1884" w:name="_Toc132618718"/>
      <w:bookmarkStart w:id="1885" w:name="_Toc179632747"/>
      <w:bookmarkStart w:id="1886" w:name="_Toc144974700"/>
      <w:bookmarkStart w:id="1887" w:name="_Toc338944822"/>
      <w:r>
        <w:rPr>
          <w:rFonts w:ascii="宋体" w:hAnsi="宋体"/>
          <w:sz w:val="22"/>
          <w:szCs w:val="28"/>
        </w:rPr>
        <w:t>18.4 单位工程验收</w:t>
      </w:r>
      <w:bookmarkEnd w:id="1877"/>
      <w:bookmarkEnd w:id="1878"/>
      <w:bookmarkEnd w:id="1879"/>
      <w:bookmarkEnd w:id="1880"/>
      <w:bookmarkEnd w:id="1881"/>
      <w:bookmarkEnd w:id="1882"/>
      <w:bookmarkEnd w:id="1883"/>
      <w:bookmarkEnd w:id="1884"/>
      <w:bookmarkEnd w:id="1885"/>
      <w:bookmarkEnd w:id="1886"/>
      <w:bookmarkEnd w:id="1887"/>
    </w:p>
    <w:p>
      <w:pPr>
        <w:spacing w:after="160" w:line="278" w:lineRule="auto"/>
        <w:rPr>
          <w:rFonts w:ascii="宋体" w:hAnsi="宋体"/>
          <w:sz w:val="22"/>
          <w:szCs w:val="28"/>
        </w:rPr>
      </w:pPr>
      <w:r>
        <w:rPr>
          <w:rFonts w:ascii="宋体" w:hAnsi="宋体"/>
          <w:sz w:val="22"/>
          <w:szCs w:val="28"/>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after="160" w:line="278" w:lineRule="auto"/>
        <w:rPr>
          <w:rFonts w:ascii="宋体" w:hAnsi="宋体"/>
          <w:sz w:val="22"/>
          <w:szCs w:val="28"/>
        </w:rPr>
      </w:pPr>
      <w:r>
        <w:rPr>
          <w:rFonts w:ascii="宋体" w:hAnsi="宋体"/>
          <w:sz w:val="22"/>
          <w:szCs w:val="28"/>
        </w:rPr>
        <w:t>18.4.2 发包人在全部工程竣工前，使用已接收的单位工程导致承包人费用增加的，发包人应承担由此增加的费用和（或）工期延误，并支付承包人合理利润。</w:t>
      </w:r>
    </w:p>
    <w:p>
      <w:pPr>
        <w:spacing w:after="160" w:line="278" w:lineRule="auto"/>
        <w:rPr>
          <w:rFonts w:ascii="宋体" w:hAnsi="宋体"/>
          <w:sz w:val="22"/>
          <w:szCs w:val="28"/>
        </w:rPr>
      </w:pPr>
      <w:bookmarkStart w:id="1888" w:name="_Toc109914426"/>
      <w:bookmarkStart w:id="1889" w:name="_Toc338944823"/>
      <w:bookmarkStart w:id="1890" w:name="_Toc142385648"/>
      <w:bookmarkStart w:id="1891" w:name="_Toc129798361"/>
      <w:bookmarkStart w:id="1892" w:name="_Toc342296381"/>
      <w:bookmarkStart w:id="1893" w:name="_Toc132619110"/>
      <w:bookmarkStart w:id="1894" w:name="_Toc132618719"/>
      <w:r>
        <w:rPr>
          <w:rFonts w:ascii="宋体" w:hAnsi="宋体"/>
          <w:sz w:val="22"/>
          <w:szCs w:val="28"/>
        </w:rPr>
        <w:t>18.5 施工期运行</w:t>
      </w:r>
      <w:bookmarkEnd w:id="1888"/>
      <w:bookmarkEnd w:id="1889"/>
      <w:bookmarkEnd w:id="1890"/>
      <w:bookmarkEnd w:id="1891"/>
      <w:bookmarkEnd w:id="1892"/>
      <w:bookmarkEnd w:id="1893"/>
      <w:bookmarkEnd w:id="1894"/>
    </w:p>
    <w:p>
      <w:pPr>
        <w:spacing w:after="160" w:line="278" w:lineRule="auto"/>
        <w:rPr>
          <w:rFonts w:ascii="宋体" w:hAnsi="宋体"/>
          <w:sz w:val="22"/>
          <w:szCs w:val="28"/>
        </w:rPr>
      </w:pPr>
      <w:r>
        <w:rPr>
          <w:rFonts w:ascii="宋体" w:hAnsi="宋体"/>
          <w:sz w:val="22"/>
          <w:szCs w:val="28"/>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after="160" w:line="278" w:lineRule="auto"/>
        <w:rPr>
          <w:rFonts w:ascii="宋体" w:hAnsi="宋体"/>
          <w:sz w:val="22"/>
          <w:szCs w:val="28"/>
        </w:rPr>
      </w:pPr>
      <w:r>
        <w:rPr>
          <w:rFonts w:ascii="宋体" w:hAnsi="宋体"/>
          <w:sz w:val="22"/>
          <w:szCs w:val="28"/>
        </w:rPr>
        <w:t>18.5.2 在施工期运行中发现工程或工程设备损坏或存在缺陷的，由承包人按第19.2款约定进行修复。</w:t>
      </w:r>
    </w:p>
    <w:p>
      <w:pPr>
        <w:spacing w:after="160" w:line="278" w:lineRule="auto"/>
        <w:rPr>
          <w:rFonts w:ascii="宋体" w:hAnsi="宋体"/>
          <w:sz w:val="22"/>
          <w:szCs w:val="28"/>
        </w:rPr>
      </w:pPr>
      <w:bookmarkStart w:id="1895" w:name="_Toc132619111"/>
      <w:bookmarkStart w:id="1896" w:name="_Toc142385649"/>
      <w:bookmarkStart w:id="1897" w:name="_Toc109914427"/>
      <w:bookmarkStart w:id="1898" w:name="_Toc132618720"/>
      <w:bookmarkStart w:id="1899" w:name="_Toc129798362"/>
      <w:bookmarkStart w:id="1900" w:name="_Toc342296382"/>
      <w:bookmarkStart w:id="1901" w:name="_Toc338944824"/>
      <w:r>
        <w:rPr>
          <w:rFonts w:ascii="宋体" w:hAnsi="宋体"/>
          <w:sz w:val="22"/>
          <w:szCs w:val="28"/>
        </w:rPr>
        <w:t>18.6 试运行</w:t>
      </w:r>
      <w:bookmarkEnd w:id="1895"/>
      <w:bookmarkEnd w:id="1896"/>
      <w:bookmarkEnd w:id="1897"/>
      <w:bookmarkEnd w:id="1898"/>
      <w:bookmarkEnd w:id="1899"/>
      <w:bookmarkEnd w:id="1900"/>
      <w:bookmarkEnd w:id="1901"/>
    </w:p>
    <w:p>
      <w:pPr>
        <w:spacing w:after="160" w:line="278" w:lineRule="auto"/>
        <w:rPr>
          <w:rFonts w:ascii="宋体" w:hAnsi="宋体"/>
          <w:sz w:val="22"/>
          <w:szCs w:val="28"/>
        </w:rPr>
      </w:pPr>
      <w:r>
        <w:rPr>
          <w:rFonts w:ascii="宋体" w:hAnsi="宋体"/>
          <w:sz w:val="22"/>
          <w:szCs w:val="28"/>
        </w:rPr>
        <w:t>18.6.1 除专用合同条款另有约定外，承包人应按专用合同条款约定进行工程及工程设备试运行，负责提供试运行所需的人员、器材和必要的条件，并承担全部试运行费用。</w:t>
      </w:r>
    </w:p>
    <w:p>
      <w:pPr>
        <w:spacing w:after="160" w:line="278" w:lineRule="auto"/>
        <w:rPr>
          <w:rFonts w:ascii="宋体" w:hAnsi="宋体"/>
          <w:sz w:val="22"/>
          <w:szCs w:val="28"/>
        </w:rPr>
      </w:pPr>
      <w:r>
        <w:rPr>
          <w:rFonts w:ascii="宋体" w:hAnsi="宋体"/>
          <w:sz w:val="22"/>
          <w:szCs w:val="28"/>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after="160" w:line="278" w:lineRule="auto"/>
        <w:rPr>
          <w:rFonts w:ascii="宋体" w:hAnsi="宋体"/>
          <w:sz w:val="22"/>
          <w:szCs w:val="28"/>
        </w:rPr>
      </w:pPr>
      <w:bookmarkStart w:id="1902" w:name="_Toc338944825"/>
      <w:bookmarkStart w:id="1903" w:name="_Toc342296383"/>
      <w:bookmarkStart w:id="1904" w:name="_Toc129798363"/>
      <w:bookmarkStart w:id="1905" w:name="_Toc132619112"/>
      <w:bookmarkStart w:id="1906" w:name="_Toc142385650"/>
      <w:bookmarkStart w:id="1907" w:name="_Toc132618721"/>
      <w:bookmarkStart w:id="1908" w:name="_Toc109914428"/>
      <w:r>
        <w:rPr>
          <w:rFonts w:ascii="宋体" w:hAnsi="宋体"/>
          <w:sz w:val="22"/>
          <w:szCs w:val="28"/>
        </w:rPr>
        <w:t>18.7 竣工清场</w:t>
      </w:r>
      <w:bookmarkEnd w:id="1902"/>
      <w:bookmarkEnd w:id="1903"/>
      <w:bookmarkEnd w:id="1904"/>
      <w:bookmarkEnd w:id="1905"/>
      <w:bookmarkEnd w:id="1906"/>
      <w:bookmarkEnd w:id="1907"/>
      <w:bookmarkEnd w:id="1908"/>
    </w:p>
    <w:p>
      <w:pPr>
        <w:spacing w:after="160" w:line="278" w:lineRule="auto"/>
        <w:rPr>
          <w:rFonts w:ascii="宋体" w:hAnsi="宋体"/>
          <w:sz w:val="22"/>
          <w:szCs w:val="28"/>
        </w:rPr>
      </w:pPr>
      <w:r>
        <w:rPr>
          <w:rFonts w:ascii="宋体" w:hAnsi="宋体"/>
          <w:sz w:val="22"/>
          <w:szCs w:val="28"/>
        </w:rPr>
        <w:t>18.7.1 除合同另有约定外，工程接收证书颁发后，承包人应按以下要求对施工场地进行清理，直至监理人检验合格为止。竣工清场费用由承包人承担。</w:t>
      </w:r>
    </w:p>
    <w:p>
      <w:pPr>
        <w:spacing w:after="160" w:line="278" w:lineRule="auto"/>
        <w:rPr>
          <w:rFonts w:ascii="宋体" w:hAnsi="宋体"/>
          <w:sz w:val="22"/>
          <w:szCs w:val="28"/>
        </w:rPr>
      </w:pPr>
      <w:r>
        <w:rPr>
          <w:rFonts w:ascii="宋体" w:hAnsi="宋体"/>
          <w:sz w:val="22"/>
          <w:szCs w:val="28"/>
        </w:rPr>
        <w:t>（1）施工场地内残留的垃圾已全部清除出场；</w:t>
      </w:r>
    </w:p>
    <w:p>
      <w:pPr>
        <w:spacing w:after="160" w:line="278" w:lineRule="auto"/>
        <w:rPr>
          <w:rFonts w:ascii="宋体" w:hAnsi="宋体"/>
          <w:sz w:val="22"/>
          <w:szCs w:val="28"/>
        </w:rPr>
      </w:pPr>
      <w:r>
        <w:rPr>
          <w:rFonts w:ascii="宋体" w:hAnsi="宋体"/>
          <w:sz w:val="22"/>
          <w:szCs w:val="28"/>
        </w:rPr>
        <w:t>（2）临时工程已拆除，场地已按合同要求进行清理、平整或复原；</w:t>
      </w:r>
    </w:p>
    <w:p>
      <w:pPr>
        <w:spacing w:after="160" w:line="278" w:lineRule="auto"/>
        <w:rPr>
          <w:rFonts w:ascii="宋体" w:hAnsi="宋体"/>
          <w:sz w:val="22"/>
          <w:szCs w:val="28"/>
        </w:rPr>
      </w:pPr>
      <w:r>
        <w:rPr>
          <w:rFonts w:ascii="宋体" w:hAnsi="宋体"/>
          <w:sz w:val="22"/>
          <w:szCs w:val="28"/>
        </w:rPr>
        <w:t>（3）按合同约定应撤离的承包人设备和剩余的材料，包括废弃的施工设备和材料，已按计划撤离施工场地；</w:t>
      </w:r>
    </w:p>
    <w:p>
      <w:pPr>
        <w:spacing w:after="160" w:line="278" w:lineRule="auto"/>
        <w:rPr>
          <w:rFonts w:ascii="宋体" w:hAnsi="宋体"/>
          <w:sz w:val="22"/>
          <w:szCs w:val="28"/>
        </w:rPr>
      </w:pPr>
      <w:r>
        <w:rPr>
          <w:rFonts w:ascii="宋体" w:hAnsi="宋体"/>
          <w:sz w:val="22"/>
          <w:szCs w:val="28"/>
        </w:rPr>
        <w:t>（4）工程建筑物周边及其附近道路、河道的施工堆积物，已按监理人指示全部清理；</w:t>
      </w:r>
    </w:p>
    <w:p>
      <w:pPr>
        <w:spacing w:after="160" w:line="278" w:lineRule="auto"/>
        <w:rPr>
          <w:rFonts w:ascii="宋体" w:hAnsi="宋体"/>
          <w:sz w:val="22"/>
          <w:szCs w:val="28"/>
        </w:rPr>
      </w:pPr>
      <w:r>
        <w:rPr>
          <w:rFonts w:ascii="宋体" w:hAnsi="宋体"/>
          <w:sz w:val="22"/>
          <w:szCs w:val="28"/>
        </w:rPr>
        <w:t>（5）监理人指示的其他场地清理工作已全部完成。</w:t>
      </w:r>
    </w:p>
    <w:p>
      <w:pPr>
        <w:spacing w:after="160" w:line="278" w:lineRule="auto"/>
        <w:rPr>
          <w:rFonts w:ascii="宋体" w:hAnsi="宋体"/>
          <w:sz w:val="22"/>
          <w:szCs w:val="28"/>
        </w:rPr>
      </w:pPr>
      <w:r>
        <w:rPr>
          <w:rFonts w:ascii="宋体" w:hAnsi="宋体"/>
          <w:sz w:val="22"/>
          <w:szCs w:val="28"/>
        </w:rPr>
        <w:t>18.7.2 承包人未按监理人的要求恢复临时占地，或者场地清理未达到合同约定的，发包人有权委托其他人恢复或清理，所发生的金额从拟支付给承包人的款项中扣除。</w:t>
      </w:r>
    </w:p>
    <w:p>
      <w:pPr>
        <w:spacing w:after="160" w:line="278" w:lineRule="auto"/>
        <w:rPr>
          <w:rFonts w:ascii="宋体" w:hAnsi="宋体"/>
          <w:sz w:val="22"/>
          <w:szCs w:val="28"/>
        </w:rPr>
      </w:pPr>
      <w:bookmarkStart w:id="1909" w:name="_Toc132619113"/>
      <w:bookmarkStart w:id="1910" w:name="_Toc338944826"/>
      <w:bookmarkStart w:id="1911" w:name="_Toc129798364"/>
      <w:bookmarkStart w:id="1912" w:name="_Toc342296384"/>
      <w:bookmarkStart w:id="1913" w:name="_Toc142385651"/>
      <w:bookmarkStart w:id="1914" w:name="_Toc109914429"/>
      <w:bookmarkStart w:id="1915" w:name="_Toc132618722"/>
      <w:r>
        <w:rPr>
          <w:rFonts w:ascii="宋体" w:hAnsi="宋体"/>
          <w:sz w:val="22"/>
          <w:szCs w:val="28"/>
        </w:rPr>
        <w:t>18.8 施工队伍的撤离</w:t>
      </w:r>
      <w:bookmarkEnd w:id="1909"/>
      <w:bookmarkEnd w:id="1910"/>
      <w:bookmarkEnd w:id="1911"/>
      <w:bookmarkEnd w:id="1912"/>
      <w:bookmarkEnd w:id="1913"/>
      <w:bookmarkEnd w:id="1914"/>
      <w:bookmarkEnd w:id="1915"/>
    </w:p>
    <w:p>
      <w:pPr>
        <w:spacing w:after="160" w:line="278" w:lineRule="auto"/>
        <w:rPr>
          <w:rFonts w:ascii="宋体" w:hAnsi="宋体"/>
          <w:sz w:val="22"/>
          <w:szCs w:val="28"/>
        </w:rPr>
      </w:pPr>
      <w:r>
        <w:rPr>
          <w:rFonts w:ascii="宋体" w:hAnsi="宋体"/>
          <w:sz w:val="22"/>
          <w:szCs w:val="28"/>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after="160" w:line="278" w:lineRule="auto"/>
        <w:rPr>
          <w:rFonts w:ascii="宋体" w:hAnsi="宋体"/>
          <w:sz w:val="22"/>
          <w:szCs w:val="28"/>
        </w:rPr>
      </w:pPr>
      <w:bookmarkStart w:id="1916" w:name="_Toc109914430"/>
      <w:bookmarkStart w:id="1917" w:name="_Toc132619114"/>
      <w:bookmarkStart w:id="1918" w:name="_Toc338944827"/>
      <w:bookmarkStart w:id="1919" w:name="_Toc342296385"/>
      <w:bookmarkStart w:id="1920" w:name="_Toc442365632"/>
      <w:bookmarkStart w:id="1921" w:name="_Toc129798365"/>
      <w:bookmarkStart w:id="1922" w:name="_Toc469660035"/>
      <w:bookmarkStart w:id="1923" w:name="_Toc448758440"/>
      <w:bookmarkStart w:id="1924" w:name="_Toc142385652"/>
      <w:bookmarkStart w:id="1925" w:name="_Toc448758540"/>
      <w:bookmarkStart w:id="1926" w:name="_Toc132618723"/>
      <w:r>
        <w:rPr>
          <w:rFonts w:ascii="宋体" w:hAnsi="宋体"/>
          <w:sz w:val="22"/>
          <w:szCs w:val="28"/>
        </w:rPr>
        <w:t>19. 缺陷责任与保修责任</w:t>
      </w:r>
      <w:bookmarkEnd w:id="1916"/>
      <w:bookmarkEnd w:id="1917"/>
      <w:bookmarkEnd w:id="1918"/>
      <w:bookmarkEnd w:id="1919"/>
      <w:bookmarkEnd w:id="1920"/>
      <w:bookmarkEnd w:id="1921"/>
      <w:bookmarkEnd w:id="1922"/>
      <w:bookmarkEnd w:id="1923"/>
      <w:bookmarkEnd w:id="1924"/>
      <w:bookmarkEnd w:id="1925"/>
      <w:bookmarkEnd w:id="1926"/>
    </w:p>
    <w:p>
      <w:pPr>
        <w:spacing w:after="160" w:line="278" w:lineRule="auto"/>
        <w:rPr>
          <w:rFonts w:ascii="宋体" w:hAnsi="宋体"/>
          <w:sz w:val="22"/>
          <w:szCs w:val="28"/>
        </w:rPr>
      </w:pPr>
      <w:bookmarkStart w:id="1927" w:name="_Toc144974706"/>
      <w:bookmarkStart w:id="1928" w:name="_Toc152042514"/>
      <w:bookmarkStart w:id="1929" w:name="_Toc109914431"/>
      <w:bookmarkStart w:id="1930" w:name="_Toc132618724"/>
      <w:bookmarkStart w:id="1931" w:name="_Toc129798366"/>
      <w:bookmarkStart w:id="1932" w:name="_Toc152045735"/>
      <w:bookmarkStart w:id="1933" w:name="_Toc338944828"/>
      <w:bookmarkStart w:id="1934" w:name="_Toc132619115"/>
      <w:bookmarkStart w:id="1935" w:name="_Toc342296386"/>
      <w:bookmarkStart w:id="1936" w:name="_Toc179632753"/>
      <w:bookmarkStart w:id="1937" w:name="_Toc142385653"/>
      <w:r>
        <w:rPr>
          <w:rFonts w:ascii="宋体" w:hAnsi="宋体"/>
          <w:sz w:val="22"/>
          <w:szCs w:val="28"/>
        </w:rPr>
        <w:t>19.1 缺陷责任期的起算时间</w:t>
      </w:r>
      <w:bookmarkEnd w:id="1927"/>
      <w:bookmarkEnd w:id="1928"/>
      <w:bookmarkEnd w:id="1929"/>
      <w:bookmarkEnd w:id="1930"/>
      <w:bookmarkEnd w:id="1931"/>
      <w:bookmarkEnd w:id="1932"/>
      <w:bookmarkEnd w:id="1933"/>
      <w:bookmarkEnd w:id="1934"/>
      <w:bookmarkEnd w:id="1935"/>
      <w:bookmarkEnd w:id="1936"/>
      <w:bookmarkEnd w:id="1937"/>
    </w:p>
    <w:p>
      <w:pPr>
        <w:spacing w:after="160" w:line="278" w:lineRule="auto"/>
        <w:rPr>
          <w:rFonts w:ascii="宋体" w:hAnsi="宋体"/>
          <w:sz w:val="22"/>
          <w:szCs w:val="28"/>
        </w:rPr>
      </w:pPr>
      <w:r>
        <w:rPr>
          <w:rFonts w:ascii="宋体" w:hAnsi="宋体"/>
          <w:sz w:val="22"/>
          <w:szCs w:val="28"/>
        </w:rPr>
        <w:t>缺陷责任期自实际竣工日期起计算。在全部工程竣工验收前，已经发包人提前验收的单位工程，其缺陷责任期的起算日期相应提前。</w:t>
      </w:r>
    </w:p>
    <w:p>
      <w:pPr>
        <w:spacing w:after="160" w:line="278" w:lineRule="auto"/>
        <w:rPr>
          <w:rFonts w:ascii="宋体" w:hAnsi="宋体"/>
          <w:sz w:val="22"/>
          <w:szCs w:val="28"/>
        </w:rPr>
      </w:pPr>
      <w:bookmarkStart w:id="1938" w:name="_Toc179632754"/>
      <w:bookmarkStart w:id="1939" w:name="_Toc142385654"/>
      <w:bookmarkStart w:id="1940" w:name="_Toc152042515"/>
      <w:bookmarkStart w:id="1941" w:name="_Toc132619116"/>
      <w:bookmarkStart w:id="1942" w:name="_Toc109914432"/>
      <w:bookmarkStart w:id="1943" w:name="_Toc144974707"/>
      <w:bookmarkStart w:id="1944" w:name="_Toc129798367"/>
      <w:bookmarkStart w:id="1945" w:name="_Toc152045736"/>
      <w:bookmarkStart w:id="1946" w:name="_Toc132618725"/>
      <w:bookmarkStart w:id="1947" w:name="_Toc338944829"/>
      <w:bookmarkStart w:id="1948" w:name="_Toc342296387"/>
      <w:r>
        <w:rPr>
          <w:rFonts w:ascii="宋体" w:hAnsi="宋体"/>
          <w:sz w:val="22"/>
          <w:szCs w:val="28"/>
        </w:rPr>
        <w:t>19.2 缺陷责任</w:t>
      </w:r>
      <w:bookmarkEnd w:id="1938"/>
      <w:bookmarkEnd w:id="1939"/>
      <w:bookmarkEnd w:id="1940"/>
      <w:bookmarkEnd w:id="1941"/>
      <w:bookmarkEnd w:id="1942"/>
      <w:bookmarkEnd w:id="1943"/>
      <w:bookmarkEnd w:id="1944"/>
      <w:bookmarkEnd w:id="1945"/>
      <w:bookmarkEnd w:id="1946"/>
      <w:bookmarkEnd w:id="1947"/>
      <w:bookmarkEnd w:id="1948"/>
    </w:p>
    <w:p>
      <w:pPr>
        <w:spacing w:after="160" w:line="278" w:lineRule="auto"/>
        <w:rPr>
          <w:rFonts w:ascii="宋体" w:hAnsi="宋体"/>
          <w:sz w:val="22"/>
          <w:szCs w:val="28"/>
        </w:rPr>
      </w:pPr>
      <w:r>
        <w:rPr>
          <w:rFonts w:ascii="宋体" w:hAnsi="宋体"/>
          <w:sz w:val="22"/>
          <w:szCs w:val="28"/>
        </w:rPr>
        <w:t>19.2.1 承包人应在缺陷责任期内对已交付使用的工程承担缺陷责任。</w:t>
      </w:r>
    </w:p>
    <w:p>
      <w:pPr>
        <w:spacing w:after="160" w:line="278" w:lineRule="auto"/>
        <w:rPr>
          <w:rFonts w:ascii="宋体" w:hAnsi="宋体"/>
          <w:sz w:val="22"/>
          <w:szCs w:val="28"/>
        </w:rPr>
      </w:pPr>
      <w:r>
        <w:rPr>
          <w:rFonts w:ascii="宋体" w:hAnsi="宋体"/>
          <w:sz w:val="22"/>
          <w:szCs w:val="28"/>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after="160" w:line="278" w:lineRule="auto"/>
        <w:rPr>
          <w:rFonts w:ascii="宋体" w:hAnsi="宋体"/>
          <w:sz w:val="22"/>
          <w:szCs w:val="28"/>
        </w:rPr>
      </w:pPr>
      <w:r>
        <w:rPr>
          <w:rFonts w:ascii="宋体" w:hAnsi="宋体"/>
          <w:sz w:val="22"/>
          <w:szCs w:val="28"/>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after="160" w:line="278" w:lineRule="auto"/>
        <w:rPr>
          <w:rFonts w:ascii="宋体" w:hAnsi="宋体"/>
          <w:sz w:val="22"/>
          <w:szCs w:val="28"/>
        </w:rPr>
      </w:pPr>
      <w:r>
        <w:rPr>
          <w:rFonts w:ascii="宋体" w:hAnsi="宋体"/>
          <w:sz w:val="22"/>
          <w:szCs w:val="28"/>
        </w:rPr>
        <w:t>19.2.4 承包人不能在合理时间内修复缺陷的，发包人可自行修复或委托其他人修复，所需费用和利润的承担，按第19.2.3项约定办理。</w:t>
      </w:r>
    </w:p>
    <w:p>
      <w:pPr>
        <w:spacing w:after="160" w:line="278" w:lineRule="auto"/>
        <w:rPr>
          <w:rFonts w:ascii="宋体" w:hAnsi="宋体"/>
          <w:sz w:val="22"/>
          <w:szCs w:val="28"/>
        </w:rPr>
      </w:pPr>
      <w:bookmarkStart w:id="1949" w:name="_Toc109914433"/>
      <w:bookmarkStart w:id="1950" w:name="_Toc144974708"/>
      <w:bookmarkStart w:id="1951" w:name="_Toc142385655"/>
      <w:bookmarkStart w:id="1952" w:name="_Toc152042516"/>
      <w:bookmarkStart w:id="1953" w:name="_Toc338944830"/>
      <w:bookmarkStart w:id="1954" w:name="_Toc342296388"/>
      <w:bookmarkStart w:id="1955" w:name="_Toc179632755"/>
      <w:bookmarkStart w:id="1956" w:name="_Toc129798368"/>
      <w:bookmarkStart w:id="1957" w:name="_Toc132619117"/>
      <w:bookmarkStart w:id="1958" w:name="_Toc152045737"/>
      <w:r>
        <w:rPr>
          <w:rFonts w:ascii="宋体" w:hAnsi="宋体"/>
          <w:sz w:val="22"/>
          <w:szCs w:val="28"/>
        </w:rPr>
        <w:t>19.3 缺陷责任期的延长</w:t>
      </w:r>
      <w:bookmarkEnd w:id="1949"/>
      <w:bookmarkEnd w:id="1950"/>
      <w:bookmarkEnd w:id="1951"/>
      <w:bookmarkEnd w:id="1952"/>
      <w:bookmarkEnd w:id="1953"/>
      <w:bookmarkEnd w:id="1954"/>
      <w:bookmarkEnd w:id="1955"/>
      <w:bookmarkEnd w:id="1956"/>
      <w:bookmarkEnd w:id="1957"/>
      <w:bookmarkEnd w:id="1958"/>
    </w:p>
    <w:p>
      <w:pPr>
        <w:spacing w:after="160" w:line="278" w:lineRule="auto"/>
        <w:rPr>
          <w:rFonts w:ascii="宋体" w:hAnsi="宋体"/>
          <w:sz w:val="22"/>
          <w:szCs w:val="28"/>
        </w:rPr>
      </w:pPr>
      <w:r>
        <w:rPr>
          <w:rFonts w:ascii="宋体" w:hAnsi="宋体"/>
          <w:sz w:val="22"/>
          <w:szCs w:val="28"/>
        </w:rPr>
        <w:t>由于承包人原因造成某项缺陷或损坏使某项工程或工程设备不能按原定目标使用而需要再次检查、检验和修复的，发包人有权要求承包人相应延长缺陷责任期，但缺陷责任期最长不超过2年。</w:t>
      </w:r>
    </w:p>
    <w:p>
      <w:pPr>
        <w:spacing w:after="160" w:line="278" w:lineRule="auto"/>
        <w:rPr>
          <w:rFonts w:ascii="宋体" w:hAnsi="宋体"/>
          <w:sz w:val="22"/>
          <w:szCs w:val="28"/>
        </w:rPr>
      </w:pPr>
      <w:bookmarkStart w:id="1959" w:name="_Toc144974709"/>
      <w:bookmarkStart w:id="1960" w:name="_Toc152042517"/>
      <w:bookmarkStart w:id="1961" w:name="_Toc338944831"/>
      <w:bookmarkStart w:id="1962" w:name="_Toc179632756"/>
      <w:bookmarkStart w:id="1963" w:name="_Toc109914434"/>
      <w:bookmarkStart w:id="1964" w:name="_Toc132619118"/>
      <w:bookmarkStart w:id="1965" w:name="_Toc142385656"/>
      <w:bookmarkStart w:id="1966" w:name="_Toc152045738"/>
      <w:bookmarkStart w:id="1967" w:name="_Toc342296389"/>
      <w:bookmarkStart w:id="1968" w:name="_Toc129798369"/>
      <w:r>
        <w:rPr>
          <w:rFonts w:ascii="宋体" w:hAnsi="宋体"/>
          <w:sz w:val="22"/>
          <w:szCs w:val="28"/>
        </w:rPr>
        <w:t>19.4 进一步试验和试运行</w:t>
      </w:r>
      <w:bookmarkEnd w:id="1959"/>
      <w:bookmarkEnd w:id="1960"/>
      <w:bookmarkEnd w:id="1961"/>
      <w:bookmarkEnd w:id="1962"/>
      <w:bookmarkEnd w:id="1963"/>
      <w:bookmarkEnd w:id="1964"/>
      <w:bookmarkEnd w:id="1965"/>
      <w:bookmarkEnd w:id="1966"/>
      <w:bookmarkEnd w:id="1967"/>
      <w:bookmarkEnd w:id="1968"/>
    </w:p>
    <w:p>
      <w:pPr>
        <w:spacing w:after="160" w:line="278" w:lineRule="auto"/>
        <w:rPr>
          <w:rFonts w:ascii="宋体" w:hAnsi="宋体"/>
          <w:sz w:val="22"/>
          <w:szCs w:val="28"/>
        </w:rPr>
      </w:pPr>
      <w:r>
        <w:rPr>
          <w:rFonts w:ascii="宋体" w:hAnsi="宋体"/>
          <w:sz w:val="22"/>
          <w:szCs w:val="28"/>
        </w:rPr>
        <w:t>任何一项缺陷或损坏修复后，经检查证明其影响了工程或工程设备的使用性能，承包人应重新进行合同约定的试验和试运行，试验和试运行的全部费用应由责任方承担。</w:t>
      </w:r>
    </w:p>
    <w:p>
      <w:pPr>
        <w:spacing w:after="160" w:line="278" w:lineRule="auto"/>
        <w:rPr>
          <w:rFonts w:ascii="宋体" w:hAnsi="宋体"/>
          <w:sz w:val="22"/>
          <w:szCs w:val="28"/>
        </w:rPr>
      </w:pPr>
      <w:bookmarkStart w:id="1969" w:name="_Toc144974710"/>
      <w:bookmarkStart w:id="1970" w:name="_Toc129798370"/>
      <w:bookmarkStart w:id="1971" w:name="_Toc109914435"/>
      <w:bookmarkStart w:id="1972" w:name="_Toc342296390"/>
      <w:bookmarkStart w:id="1973" w:name="_Toc152042518"/>
      <w:bookmarkStart w:id="1974" w:name="_Toc142385657"/>
      <w:bookmarkStart w:id="1975" w:name="_Toc132619119"/>
      <w:bookmarkStart w:id="1976" w:name="_Toc338944832"/>
      <w:bookmarkStart w:id="1977" w:name="_Toc152045739"/>
      <w:bookmarkStart w:id="1978" w:name="_Toc179632757"/>
      <w:r>
        <w:rPr>
          <w:rFonts w:ascii="宋体" w:hAnsi="宋体"/>
          <w:sz w:val="22"/>
          <w:szCs w:val="28"/>
        </w:rPr>
        <w:t>19.5 承包人的进入权</w:t>
      </w:r>
      <w:bookmarkEnd w:id="1969"/>
      <w:bookmarkEnd w:id="1970"/>
      <w:bookmarkEnd w:id="1971"/>
      <w:bookmarkEnd w:id="1972"/>
      <w:bookmarkEnd w:id="1973"/>
      <w:bookmarkEnd w:id="1974"/>
      <w:bookmarkEnd w:id="1975"/>
      <w:bookmarkEnd w:id="1976"/>
      <w:bookmarkEnd w:id="1977"/>
      <w:bookmarkEnd w:id="1978"/>
    </w:p>
    <w:p>
      <w:pPr>
        <w:spacing w:after="160" w:line="278" w:lineRule="auto"/>
        <w:rPr>
          <w:rFonts w:ascii="宋体" w:hAnsi="宋体"/>
          <w:sz w:val="22"/>
          <w:szCs w:val="28"/>
        </w:rPr>
      </w:pPr>
      <w:r>
        <w:rPr>
          <w:rFonts w:ascii="宋体" w:hAnsi="宋体"/>
          <w:sz w:val="22"/>
          <w:szCs w:val="28"/>
        </w:rPr>
        <w:t>缺陷责任期内承包人为缺陷修复工作需要，有权进入工程现场，但应遵守发包人的保安和保密规定。</w:t>
      </w:r>
    </w:p>
    <w:p>
      <w:pPr>
        <w:spacing w:after="160" w:line="278" w:lineRule="auto"/>
        <w:rPr>
          <w:rFonts w:ascii="宋体" w:hAnsi="宋体"/>
          <w:sz w:val="22"/>
          <w:szCs w:val="28"/>
        </w:rPr>
      </w:pPr>
      <w:bookmarkStart w:id="1979" w:name="_Toc109914436"/>
      <w:bookmarkStart w:id="1980" w:name="_Toc132619120"/>
      <w:bookmarkStart w:id="1981" w:name="_Toc152042519"/>
      <w:bookmarkStart w:id="1982" w:name="_Toc338944833"/>
      <w:bookmarkStart w:id="1983" w:name="_Toc144974711"/>
      <w:bookmarkStart w:id="1984" w:name="_Toc342296391"/>
      <w:bookmarkStart w:id="1985" w:name="_Toc152045740"/>
      <w:bookmarkStart w:id="1986" w:name="_Toc129798371"/>
      <w:bookmarkStart w:id="1987" w:name="_Toc179632758"/>
      <w:bookmarkStart w:id="1988" w:name="_Toc142385658"/>
      <w:r>
        <w:rPr>
          <w:rFonts w:ascii="宋体" w:hAnsi="宋体"/>
          <w:sz w:val="22"/>
          <w:szCs w:val="28"/>
        </w:rPr>
        <w:t>19.6 缺陷责任期终止证书</w:t>
      </w:r>
      <w:bookmarkEnd w:id="1979"/>
      <w:bookmarkEnd w:id="1980"/>
      <w:bookmarkEnd w:id="1981"/>
      <w:bookmarkEnd w:id="1982"/>
      <w:bookmarkEnd w:id="1983"/>
      <w:bookmarkEnd w:id="1984"/>
      <w:bookmarkEnd w:id="1985"/>
      <w:bookmarkEnd w:id="1986"/>
      <w:bookmarkEnd w:id="1987"/>
      <w:bookmarkEnd w:id="1988"/>
    </w:p>
    <w:p>
      <w:pPr>
        <w:spacing w:after="160" w:line="278" w:lineRule="auto"/>
        <w:rPr>
          <w:rFonts w:ascii="宋体" w:hAnsi="宋体"/>
          <w:sz w:val="22"/>
          <w:szCs w:val="28"/>
        </w:rPr>
      </w:pPr>
      <w:r>
        <w:rPr>
          <w:rFonts w:ascii="宋体" w:hAnsi="宋体"/>
          <w:sz w:val="22"/>
          <w:szCs w:val="28"/>
        </w:rPr>
        <w:t>在第1.1.4.5目约定的缺陷责任期，包括根据第19.3款延长的期限终止后14天内，由监理人向承包人出具经发包人签认的缺陷责任期终止证书，并退还剩余的质量保证金。</w:t>
      </w:r>
    </w:p>
    <w:p>
      <w:pPr>
        <w:spacing w:after="160" w:line="278" w:lineRule="auto"/>
        <w:rPr>
          <w:rFonts w:ascii="宋体" w:hAnsi="宋体"/>
          <w:sz w:val="22"/>
          <w:szCs w:val="28"/>
        </w:rPr>
      </w:pPr>
      <w:bookmarkStart w:id="1989" w:name="_Toc129798372"/>
      <w:bookmarkStart w:id="1990" w:name="_Toc342296392"/>
      <w:bookmarkStart w:id="1991" w:name="_Toc338944834"/>
      <w:bookmarkStart w:id="1992" w:name="_Toc132619121"/>
      <w:bookmarkStart w:id="1993" w:name="_Toc109914437"/>
      <w:bookmarkStart w:id="1994" w:name="_Toc142385659"/>
      <w:r>
        <w:rPr>
          <w:rFonts w:ascii="宋体" w:hAnsi="宋体"/>
          <w:sz w:val="22"/>
          <w:szCs w:val="28"/>
        </w:rPr>
        <w:t>19.7 保修责任</w:t>
      </w:r>
      <w:bookmarkEnd w:id="1989"/>
      <w:bookmarkEnd w:id="1990"/>
      <w:bookmarkEnd w:id="1991"/>
      <w:bookmarkEnd w:id="1992"/>
      <w:bookmarkEnd w:id="1993"/>
      <w:bookmarkEnd w:id="1994"/>
    </w:p>
    <w:p>
      <w:pPr>
        <w:spacing w:after="160" w:line="278" w:lineRule="auto"/>
        <w:rPr>
          <w:rFonts w:ascii="宋体" w:hAnsi="宋体"/>
          <w:sz w:val="22"/>
          <w:szCs w:val="28"/>
        </w:rPr>
      </w:pPr>
      <w:r>
        <w:rPr>
          <w:rFonts w:ascii="宋体" w:hAnsi="宋体"/>
          <w:sz w:val="22"/>
          <w:szCs w:val="28"/>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spacing w:after="160" w:line="278" w:lineRule="auto"/>
        <w:rPr>
          <w:rFonts w:ascii="宋体" w:hAnsi="宋体"/>
          <w:sz w:val="22"/>
          <w:szCs w:val="28"/>
        </w:rPr>
      </w:pPr>
      <w:bookmarkStart w:id="1995" w:name="_Toc132619122"/>
      <w:bookmarkStart w:id="1996" w:name="_Toc142385660"/>
      <w:bookmarkStart w:id="1997" w:name="_Toc469660036"/>
      <w:bookmarkStart w:id="1998" w:name="_Toc129798373"/>
      <w:bookmarkStart w:id="1999" w:name="_Toc109914438"/>
      <w:bookmarkStart w:id="2000" w:name="_Toc442365633"/>
      <w:bookmarkStart w:id="2001" w:name="_Toc448758541"/>
      <w:bookmarkStart w:id="2002" w:name="_Toc342296393"/>
      <w:bookmarkStart w:id="2003" w:name="_Toc448758441"/>
      <w:bookmarkStart w:id="2004" w:name="_Toc338944835"/>
      <w:r>
        <w:rPr>
          <w:rFonts w:ascii="宋体" w:hAnsi="宋体"/>
          <w:sz w:val="22"/>
          <w:szCs w:val="28"/>
        </w:rPr>
        <w:t>20. 保险</w:t>
      </w:r>
      <w:bookmarkEnd w:id="1995"/>
      <w:bookmarkEnd w:id="1996"/>
      <w:bookmarkEnd w:id="1997"/>
      <w:bookmarkEnd w:id="1998"/>
      <w:bookmarkEnd w:id="1999"/>
      <w:bookmarkEnd w:id="2000"/>
      <w:bookmarkEnd w:id="2001"/>
      <w:bookmarkEnd w:id="2002"/>
      <w:bookmarkEnd w:id="2003"/>
      <w:bookmarkEnd w:id="2004"/>
    </w:p>
    <w:p>
      <w:pPr>
        <w:spacing w:after="160" w:line="278" w:lineRule="auto"/>
        <w:rPr>
          <w:rFonts w:ascii="宋体" w:hAnsi="宋体"/>
          <w:sz w:val="22"/>
          <w:szCs w:val="28"/>
        </w:rPr>
      </w:pPr>
      <w:bookmarkStart w:id="2005" w:name="_Toc129798374"/>
      <w:bookmarkStart w:id="2006" w:name="_Toc132619123"/>
      <w:bookmarkStart w:id="2007" w:name="_Toc142385661"/>
      <w:bookmarkStart w:id="2008" w:name="_Toc342296394"/>
      <w:bookmarkStart w:id="2009" w:name="_Toc338944836"/>
      <w:bookmarkStart w:id="2010" w:name="_Toc109914439"/>
      <w:r>
        <w:rPr>
          <w:rFonts w:ascii="宋体" w:hAnsi="宋体"/>
          <w:sz w:val="22"/>
          <w:szCs w:val="28"/>
        </w:rPr>
        <w:t>20.1 工程保险</w:t>
      </w:r>
      <w:bookmarkEnd w:id="2005"/>
      <w:bookmarkEnd w:id="2006"/>
      <w:bookmarkEnd w:id="2007"/>
      <w:bookmarkEnd w:id="2008"/>
      <w:bookmarkEnd w:id="2009"/>
      <w:bookmarkEnd w:id="2010"/>
    </w:p>
    <w:p>
      <w:pPr>
        <w:spacing w:after="160" w:line="278" w:lineRule="auto"/>
        <w:rPr>
          <w:rFonts w:ascii="宋体" w:hAnsi="宋体"/>
          <w:sz w:val="22"/>
          <w:szCs w:val="28"/>
        </w:rPr>
      </w:pPr>
      <w:r>
        <w:rPr>
          <w:rFonts w:ascii="宋体" w:hAnsi="宋体"/>
          <w:sz w:val="22"/>
          <w:szCs w:val="28"/>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after="160" w:line="278" w:lineRule="auto"/>
        <w:rPr>
          <w:rFonts w:ascii="宋体" w:hAnsi="宋体"/>
          <w:sz w:val="22"/>
          <w:szCs w:val="28"/>
        </w:rPr>
      </w:pPr>
      <w:bookmarkStart w:id="2011" w:name="_Toc142385662"/>
      <w:bookmarkStart w:id="2012" w:name="_Toc342296395"/>
      <w:bookmarkStart w:id="2013" w:name="_Toc338944837"/>
      <w:bookmarkStart w:id="2014" w:name="_Toc109914440"/>
      <w:bookmarkStart w:id="2015" w:name="_Toc129798375"/>
      <w:bookmarkStart w:id="2016" w:name="_Toc132619124"/>
      <w:r>
        <w:rPr>
          <w:rFonts w:ascii="宋体" w:hAnsi="宋体"/>
          <w:sz w:val="22"/>
          <w:szCs w:val="28"/>
        </w:rPr>
        <w:t>20.2 人员工伤事故的保险</w:t>
      </w:r>
      <w:bookmarkEnd w:id="2011"/>
      <w:bookmarkEnd w:id="2012"/>
      <w:bookmarkEnd w:id="2013"/>
      <w:bookmarkEnd w:id="2014"/>
      <w:bookmarkEnd w:id="2015"/>
      <w:bookmarkEnd w:id="2016"/>
    </w:p>
    <w:p>
      <w:pPr>
        <w:spacing w:after="160" w:line="278" w:lineRule="auto"/>
        <w:rPr>
          <w:rFonts w:ascii="宋体" w:hAnsi="宋体"/>
          <w:sz w:val="22"/>
          <w:szCs w:val="28"/>
        </w:rPr>
      </w:pPr>
      <w:r>
        <w:rPr>
          <w:rFonts w:ascii="宋体" w:hAnsi="宋体"/>
          <w:sz w:val="22"/>
          <w:szCs w:val="28"/>
        </w:rPr>
        <w:t xml:space="preserve">20.2.1 </w:t>
      </w:r>
      <w:r>
        <w:rPr>
          <w:rFonts w:hint="eastAsia" w:ascii="宋体" w:hAnsi="宋体"/>
          <w:sz w:val="22"/>
          <w:szCs w:val="28"/>
        </w:rPr>
        <w:t>承包人员工伤事故的保险</w:t>
      </w:r>
    </w:p>
    <w:p>
      <w:pPr>
        <w:spacing w:after="160" w:line="278" w:lineRule="auto"/>
        <w:rPr>
          <w:rFonts w:ascii="宋体" w:hAnsi="宋体"/>
          <w:sz w:val="22"/>
          <w:szCs w:val="28"/>
        </w:rPr>
      </w:pPr>
      <w:r>
        <w:rPr>
          <w:rFonts w:ascii="宋体" w:hAnsi="宋体"/>
          <w:sz w:val="22"/>
          <w:szCs w:val="28"/>
        </w:rPr>
        <w:t>承包人应依照有关法律规定参加工伤保险，为其履行合同所雇佣的全部人员，缴纳工伤保险费，并要求其分包人也进行此项保险。</w:t>
      </w:r>
    </w:p>
    <w:p>
      <w:pPr>
        <w:spacing w:after="160" w:line="278" w:lineRule="auto"/>
        <w:rPr>
          <w:rFonts w:ascii="宋体" w:hAnsi="宋体"/>
          <w:sz w:val="22"/>
          <w:szCs w:val="28"/>
        </w:rPr>
      </w:pPr>
      <w:r>
        <w:rPr>
          <w:rFonts w:ascii="宋体" w:hAnsi="宋体"/>
          <w:sz w:val="22"/>
          <w:szCs w:val="28"/>
        </w:rPr>
        <w:t xml:space="preserve">20.2.2 </w:t>
      </w:r>
      <w:r>
        <w:rPr>
          <w:rFonts w:hint="eastAsia" w:ascii="宋体" w:hAnsi="宋体"/>
          <w:sz w:val="22"/>
          <w:szCs w:val="28"/>
        </w:rPr>
        <w:t>发包人员工伤事故的保险</w:t>
      </w:r>
    </w:p>
    <w:p>
      <w:pPr>
        <w:spacing w:after="160" w:line="278" w:lineRule="auto"/>
        <w:rPr>
          <w:rFonts w:ascii="宋体" w:hAnsi="宋体"/>
          <w:sz w:val="22"/>
          <w:szCs w:val="28"/>
        </w:rPr>
      </w:pPr>
      <w:r>
        <w:rPr>
          <w:rFonts w:ascii="宋体" w:hAnsi="宋体"/>
          <w:sz w:val="22"/>
          <w:szCs w:val="28"/>
        </w:rPr>
        <w:t>发包人应依照有关法律规定参加工伤保险，为其现场机构雇佣的全部人员，缴纳工伤保险费，并要求其监理人也进行此项保险。</w:t>
      </w:r>
    </w:p>
    <w:p>
      <w:pPr>
        <w:spacing w:after="160" w:line="278" w:lineRule="auto"/>
        <w:rPr>
          <w:rFonts w:ascii="宋体" w:hAnsi="宋体"/>
          <w:sz w:val="22"/>
          <w:szCs w:val="28"/>
        </w:rPr>
      </w:pPr>
      <w:bookmarkStart w:id="2017" w:name="_Toc132619125"/>
      <w:bookmarkStart w:id="2018" w:name="_Toc179632763"/>
      <w:bookmarkStart w:id="2019" w:name="_Toc342296396"/>
      <w:bookmarkStart w:id="2020" w:name="_Toc109914441"/>
      <w:bookmarkStart w:id="2021" w:name="_Toc144974716"/>
      <w:bookmarkStart w:id="2022" w:name="_Toc152042524"/>
      <w:bookmarkStart w:id="2023" w:name="_Toc129798376"/>
      <w:bookmarkStart w:id="2024" w:name="_Toc152045745"/>
      <w:bookmarkStart w:id="2025" w:name="_Toc142385663"/>
      <w:bookmarkStart w:id="2026" w:name="_Toc338944838"/>
      <w:r>
        <w:rPr>
          <w:rFonts w:ascii="宋体" w:hAnsi="宋体"/>
          <w:sz w:val="22"/>
          <w:szCs w:val="28"/>
        </w:rPr>
        <w:t>20.3 人身意外伤害险</w:t>
      </w:r>
      <w:bookmarkEnd w:id="2017"/>
      <w:bookmarkEnd w:id="2018"/>
      <w:bookmarkEnd w:id="2019"/>
      <w:bookmarkEnd w:id="2020"/>
      <w:bookmarkEnd w:id="2021"/>
      <w:bookmarkEnd w:id="2022"/>
      <w:bookmarkEnd w:id="2023"/>
      <w:bookmarkEnd w:id="2024"/>
      <w:bookmarkEnd w:id="2025"/>
      <w:bookmarkEnd w:id="2026"/>
    </w:p>
    <w:p>
      <w:pPr>
        <w:spacing w:after="160" w:line="278" w:lineRule="auto"/>
        <w:rPr>
          <w:rFonts w:ascii="宋体" w:hAnsi="宋体"/>
          <w:sz w:val="22"/>
          <w:szCs w:val="28"/>
        </w:rPr>
      </w:pPr>
      <w:r>
        <w:rPr>
          <w:rFonts w:ascii="宋体" w:hAnsi="宋体"/>
          <w:sz w:val="22"/>
          <w:szCs w:val="28"/>
        </w:rPr>
        <w:t>20.3.1 发包人应在整个施工期间为其现场机构雇用的全部人员，投保人身意外伤害险，缴纳保险费，并要求其监理人也进行此项保险。</w:t>
      </w:r>
    </w:p>
    <w:p>
      <w:pPr>
        <w:spacing w:after="160" w:line="278" w:lineRule="auto"/>
        <w:rPr>
          <w:rFonts w:ascii="宋体" w:hAnsi="宋体"/>
          <w:sz w:val="22"/>
          <w:szCs w:val="28"/>
        </w:rPr>
      </w:pPr>
      <w:r>
        <w:rPr>
          <w:rFonts w:ascii="宋体" w:hAnsi="宋体"/>
          <w:sz w:val="22"/>
          <w:szCs w:val="28"/>
        </w:rPr>
        <w:t>20.3.2 承包人应在整个施工期间为其现场机构雇用的全部人员，投保人身意外伤害险，缴纳保险费，并要求其分包人也进行此项保险。</w:t>
      </w:r>
    </w:p>
    <w:p>
      <w:pPr>
        <w:spacing w:after="160" w:line="278" w:lineRule="auto"/>
        <w:rPr>
          <w:rFonts w:ascii="宋体" w:hAnsi="宋体"/>
          <w:sz w:val="22"/>
          <w:szCs w:val="28"/>
        </w:rPr>
      </w:pPr>
      <w:bookmarkStart w:id="2027" w:name="_Toc129798377"/>
      <w:bookmarkStart w:id="2028" w:name="_Toc342296397"/>
      <w:bookmarkStart w:id="2029" w:name="_Toc109914442"/>
      <w:bookmarkStart w:id="2030" w:name="_Toc132619126"/>
      <w:bookmarkStart w:id="2031" w:name="_Toc338944839"/>
      <w:bookmarkStart w:id="2032" w:name="_Toc142385664"/>
      <w:r>
        <w:rPr>
          <w:rFonts w:ascii="宋体" w:hAnsi="宋体"/>
          <w:sz w:val="22"/>
          <w:szCs w:val="28"/>
        </w:rPr>
        <w:t>20.4 第三者责任险</w:t>
      </w:r>
      <w:bookmarkEnd w:id="2027"/>
      <w:bookmarkEnd w:id="2028"/>
      <w:bookmarkEnd w:id="2029"/>
      <w:bookmarkEnd w:id="2030"/>
      <w:bookmarkEnd w:id="2031"/>
      <w:bookmarkEnd w:id="2032"/>
    </w:p>
    <w:p>
      <w:pPr>
        <w:spacing w:after="160" w:line="278" w:lineRule="auto"/>
        <w:rPr>
          <w:rFonts w:ascii="宋体" w:hAnsi="宋体"/>
          <w:sz w:val="22"/>
          <w:szCs w:val="28"/>
        </w:rPr>
      </w:pPr>
      <w:r>
        <w:rPr>
          <w:rFonts w:ascii="宋体" w:hAnsi="宋体"/>
          <w:sz w:val="22"/>
          <w:szCs w:val="28"/>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after="160" w:line="278" w:lineRule="auto"/>
        <w:rPr>
          <w:rFonts w:ascii="宋体" w:hAnsi="宋体"/>
          <w:sz w:val="22"/>
          <w:szCs w:val="28"/>
        </w:rPr>
      </w:pPr>
      <w:r>
        <w:rPr>
          <w:rFonts w:ascii="宋体" w:hAnsi="宋体"/>
          <w:sz w:val="22"/>
          <w:szCs w:val="28"/>
        </w:rPr>
        <w:t>20.4.2 在缺陷责任期终止证书颁发前，承包人应以承包人和发包人的共同名义，投保第20.4.1项约定的第三者责任险，其保险费率、保险金额等有关内容在专用合同条款中约定。</w:t>
      </w:r>
    </w:p>
    <w:p>
      <w:pPr>
        <w:spacing w:after="160" w:line="278" w:lineRule="auto"/>
        <w:rPr>
          <w:rFonts w:ascii="宋体" w:hAnsi="宋体"/>
          <w:sz w:val="22"/>
          <w:szCs w:val="28"/>
        </w:rPr>
      </w:pPr>
      <w:bookmarkStart w:id="2033" w:name="_Toc338944840"/>
      <w:bookmarkStart w:id="2034" w:name="_Toc109914443"/>
      <w:bookmarkStart w:id="2035" w:name="_Toc132619127"/>
      <w:bookmarkStart w:id="2036" w:name="_Toc342296398"/>
      <w:bookmarkStart w:id="2037" w:name="_Toc142385665"/>
      <w:bookmarkStart w:id="2038" w:name="_Toc129798378"/>
      <w:r>
        <w:rPr>
          <w:rFonts w:ascii="宋体" w:hAnsi="宋体"/>
          <w:sz w:val="22"/>
          <w:szCs w:val="28"/>
        </w:rPr>
        <w:t>20.5 其他保险</w:t>
      </w:r>
      <w:bookmarkEnd w:id="2033"/>
      <w:bookmarkEnd w:id="2034"/>
      <w:bookmarkEnd w:id="2035"/>
      <w:bookmarkEnd w:id="2036"/>
      <w:bookmarkEnd w:id="2037"/>
      <w:bookmarkEnd w:id="2038"/>
    </w:p>
    <w:p>
      <w:pPr>
        <w:spacing w:after="160" w:line="278" w:lineRule="auto"/>
        <w:rPr>
          <w:rFonts w:ascii="宋体" w:hAnsi="宋体"/>
          <w:sz w:val="22"/>
          <w:szCs w:val="28"/>
        </w:rPr>
      </w:pPr>
      <w:r>
        <w:rPr>
          <w:rFonts w:ascii="宋体" w:hAnsi="宋体"/>
          <w:sz w:val="22"/>
          <w:szCs w:val="28"/>
        </w:rPr>
        <w:t>除专用合同条款另有约定外，承包人应为其施工设备、进场的材料和工程设备等办理保险。</w:t>
      </w:r>
    </w:p>
    <w:p>
      <w:pPr>
        <w:spacing w:after="160" w:line="278" w:lineRule="auto"/>
        <w:rPr>
          <w:rFonts w:ascii="宋体" w:hAnsi="宋体"/>
          <w:sz w:val="22"/>
          <w:szCs w:val="28"/>
        </w:rPr>
      </w:pPr>
      <w:bookmarkStart w:id="2039" w:name="_Toc129798379"/>
      <w:bookmarkStart w:id="2040" w:name="_Toc142385666"/>
      <w:bookmarkStart w:id="2041" w:name="_Toc109914444"/>
      <w:bookmarkStart w:id="2042" w:name="_Toc338944841"/>
      <w:bookmarkStart w:id="2043" w:name="_Toc132619128"/>
      <w:bookmarkStart w:id="2044" w:name="_Toc342296399"/>
      <w:r>
        <w:rPr>
          <w:rFonts w:ascii="宋体" w:hAnsi="宋体"/>
          <w:sz w:val="22"/>
          <w:szCs w:val="28"/>
        </w:rPr>
        <w:t>20.6 对各项保险的一般要求</w:t>
      </w:r>
      <w:bookmarkEnd w:id="2039"/>
      <w:bookmarkEnd w:id="2040"/>
      <w:bookmarkEnd w:id="2041"/>
      <w:bookmarkEnd w:id="2042"/>
      <w:bookmarkEnd w:id="2043"/>
      <w:bookmarkEnd w:id="2044"/>
    </w:p>
    <w:p>
      <w:pPr>
        <w:spacing w:after="160" w:line="278" w:lineRule="auto"/>
        <w:rPr>
          <w:rFonts w:ascii="宋体" w:hAnsi="宋体"/>
          <w:sz w:val="22"/>
          <w:szCs w:val="28"/>
        </w:rPr>
      </w:pPr>
      <w:r>
        <w:rPr>
          <w:rFonts w:ascii="宋体" w:hAnsi="宋体"/>
          <w:sz w:val="22"/>
          <w:szCs w:val="28"/>
        </w:rPr>
        <w:t xml:space="preserve">20.6.1 </w:t>
      </w:r>
      <w:r>
        <w:rPr>
          <w:rFonts w:hint="eastAsia" w:ascii="宋体" w:hAnsi="宋体"/>
          <w:sz w:val="22"/>
          <w:szCs w:val="28"/>
        </w:rPr>
        <w:t>保险凭证</w:t>
      </w:r>
    </w:p>
    <w:p>
      <w:pPr>
        <w:spacing w:after="160" w:line="278" w:lineRule="auto"/>
        <w:rPr>
          <w:rFonts w:ascii="宋体" w:hAnsi="宋体"/>
          <w:sz w:val="22"/>
          <w:szCs w:val="28"/>
        </w:rPr>
      </w:pPr>
      <w:r>
        <w:rPr>
          <w:rFonts w:ascii="宋体" w:hAnsi="宋体"/>
          <w:sz w:val="22"/>
          <w:szCs w:val="28"/>
        </w:rPr>
        <w:t>承包人应在专用合同条款约定的期限内向发包人提交各项保险生效的证据和保险单副本，保险单必须与专用合同条款约定的条件保持一致。</w:t>
      </w:r>
    </w:p>
    <w:p>
      <w:pPr>
        <w:spacing w:after="160" w:line="278" w:lineRule="auto"/>
        <w:rPr>
          <w:rFonts w:ascii="宋体" w:hAnsi="宋体"/>
          <w:sz w:val="22"/>
          <w:szCs w:val="28"/>
        </w:rPr>
      </w:pPr>
      <w:r>
        <w:rPr>
          <w:rFonts w:ascii="宋体" w:hAnsi="宋体"/>
          <w:sz w:val="22"/>
          <w:szCs w:val="28"/>
        </w:rPr>
        <w:t xml:space="preserve">20.6.2 </w:t>
      </w:r>
      <w:r>
        <w:rPr>
          <w:rFonts w:hint="eastAsia" w:ascii="宋体" w:hAnsi="宋体"/>
          <w:sz w:val="22"/>
          <w:szCs w:val="28"/>
        </w:rPr>
        <w:t>保险合同条款的变动</w:t>
      </w:r>
    </w:p>
    <w:p>
      <w:pPr>
        <w:spacing w:after="160" w:line="278" w:lineRule="auto"/>
        <w:rPr>
          <w:rFonts w:ascii="宋体" w:hAnsi="宋体"/>
          <w:sz w:val="22"/>
          <w:szCs w:val="28"/>
        </w:rPr>
      </w:pPr>
      <w:r>
        <w:rPr>
          <w:rFonts w:ascii="宋体" w:hAnsi="宋体"/>
          <w:sz w:val="22"/>
          <w:szCs w:val="28"/>
        </w:rPr>
        <w:t>承包人需要变动保险合同条款时，应事先征得发包人同意，并通知监理人。保险人作出变动的，承包人应在收到保险人通知后立即通知发包人和监理人。</w:t>
      </w:r>
    </w:p>
    <w:p>
      <w:pPr>
        <w:spacing w:after="160" w:line="278" w:lineRule="auto"/>
        <w:rPr>
          <w:rFonts w:ascii="宋体" w:hAnsi="宋体"/>
          <w:sz w:val="22"/>
          <w:szCs w:val="28"/>
        </w:rPr>
      </w:pPr>
      <w:r>
        <w:rPr>
          <w:rFonts w:ascii="宋体" w:hAnsi="宋体"/>
          <w:sz w:val="22"/>
          <w:szCs w:val="28"/>
        </w:rPr>
        <w:t xml:space="preserve">20.6.3 </w:t>
      </w:r>
      <w:r>
        <w:rPr>
          <w:rFonts w:hint="eastAsia" w:ascii="宋体" w:hAnsi="宋体"/>
          <w:sz w:val="22"/>
          <w:szCs w:val="28"/>
        </w:rPr>
        <w:t>持续保险</w:t>
      </w:r>
    </w:p>
    <w:p>
      <w:pPr>
        <w:spacing w:after="160" w:line="278" w:lineRule="auto"/>
        <w:rPr>
          <w:rFonts w:ascii="宋体" w:hAnsi="宋体"/>
          <w:sz w:val="22"/>
          <w:szCs w:val="28"/>
        </w:rPr>
      </w:pPr>
      <w:r>
        <w:rPr>
          <w:rFonts w:ascii="宋体" w:hAnsi="宋体"/>
          <w:sz w:val="22"/>
          <w:szCs w:val="28"/>
        </w:rPr>
        <w:t>承包人应与保险人保持联系，使保险人能够随时了解工程实施中的变动，并确保按保险合同条款要求持续保险。</w:t>
      </w:r>
    </w:p>
    <w:p>
      <w:pPr>
        <w:spacing w:after="160" w:line="278" w:lineRule="auto"/>
        <w:rPr>
          <w:rFonts w:ascii="宋体" w:hAnsi="宋体"/>
          <w:sz w:val="22"/>
          <w:szCs w:val="28"/>
        </w:rPr>
      </w:pPr>
      <w:r>
        <w:rPr>
          <w:rFonts w:ascii="宋体" w:hAnsi="宋体"/>
          <w:sz w:val="22"/>
          <w:szCs w:val="28"/>
        </w:rPr>
        <w:t xml:space="preserve">20.6.4 </w:t>
      </w:r>
      <w:r>
        <w:rPr>
          <w:rFonts w:hint="eastAsia" w:ascii="宋体" w:hAnsi="宋体"/>
          <w:sz w:val="22"/>
          <w:szCs w:val="28"/>
        </w:rPr>
        <w:t>保险金不足的补偿</w:t>
      </w:r>
    </w:p>
    <w:p>
      <w:pPr>
        <w:spacing w:after="160" w:line="278" w:lineRule="auto"/>
        <w:rPr>
          <w:rFonts w:ascii="宋体" w:hAnsi="宋体"/>
          <w:sz w:val="22"/>
          <w:szCs w:val="28"/>
        </w:rPr>
      </w:pPr>
      <w:r>
        <w:rPr>
          <w:rFonts w:ascii="宋体" w:hAnsi="宋体"/>
          <w:sz w:val="22"/>
          <w:szCs w:val="28"/>
        </w:rPr>
        <w:t>保险金不足以补偿损失的，应由承包人和（或）发包人按合同约定负责补偿。</w:t>
      </w:r>
    </w:p>
    <w:p>
      <w:pPr>
        <w:spacing w:after="160" w:line="278" w:lineRule="auto"/>
        <w:rPr>
          <w:rFonts w:ascii="宋体" w:hAnsi="宋体"/>
          <w:sz w:val="22"/>
          <w:szCs w:val="28"/>
        </w:rPr>
      </w:pPr>
      <w:r>
        <w:rPr>
          <w:rFonts w:ascii="宋体" w:hAnsi="宋体"/>
          <w:sz w:val="22"/>
          <w:szCs w:val="28"/>
        </w:rPr>
        <w:t xml:space="preserve">20.6.5 </w:t>
      </w:r>
      <w:r>
        <w:rPr>
          <w:rFonts w:hint="eastAsia" w:ascii="宋体" w:hAnsi="宋体"/>
          <w:sz w:val="22"/>
          <w:szCs w:val="28"/>
        </w:rPr>
        <w:t>未按约定投保的补救</w:t>
      </w:r>
    </w:p>
    <w:p>
      <w:pPr>
        <w:spacing w:after="160" w:line="278" w:lineRule="auto"/>
        <w:rPr>
          <w:rFonts w:ascii="宋体" w:hAnsi="宋体"/>
          <w:sz w:val="22"/>
          <w:szCs w:val="28"/>
        </w:rPr>
      </w:pPr>
      <w:r>
        <w:rPr>
          <w:rFonts w:ascii="宋体" w:hAnsi="宋体"/>
          <w:sz w:val="22"/>
          <w:szCs w:val="28"/>
        </w:rPr>
        <w:t>（1）由于负有投保义务的一方当事人未按合同约定办理保险，或未能使保险持续有效的，另一方当事人可代为办理，所需费用由对方当事人承担。</w:t>
      </w:r>
    </w:p>
    <w:p>
      <w:pPr>
        <w:spacing w:after="160" w:line="278" w:lineRule="auto"/>
        <w:rPr>
          <w:rFonts w:ascii="宋体" w:hAnsi="宋体"/>
          <w:sz w:val="22"/>
          <w:szCs w:val="28"/>
        </w:rPr>
      </w:pPr>
      <w:r>
        <w:rPr>
          <w:rFonts w:ascii="宋体" w:hAnsi="宋体"/>
          <w:sz w:val="22"/>
          <w:szCs w:val="28"/>
        </w:rPr>
        <w:t>（2）由于负有投保义务的一方当事人未按合同约定办理某项保险，导致受益人未能得到保险人的赔偿，原应从该项保险得到的保险金应由负有投保义务的一方当事人支付。</w:t>
      </w:r>
    </w:p>
    <w:p>
      <w:pPr>
        <w:spacing w:after="160" w:line="278" w:lineRule="auto"/>
        <w:rPr>
          <w:rFonts w:ascii="宋体" w:hAnsi="宋体"/>
          <w:sz w:val="22"/>
          <w:szCs w:val="28"/>
        </w:rPr>
      </w:pPr>
      <w:r>
        <w:rPr>
          <w:rFonts w:ascii="宋体" w:hAnsi="宋体"/>
          <w:sz w:val="22"/>
          <w:szCs w:val="28"/>
        </w:rPr>
        <w:t xml:space="preserve">20.6.6 </w:t>
      </w:r>
      <w:r>
        <w:rPr>
          <w:rFonts w:hint="eastAsia" w:ascii="宋体" w:hAnsi="宋体"/>
          <w:sz w:val="22"/>
          <w:szCs w:val="28"/>
        </w:rPr>
        <w:t>报告义务</w:t>
      </w:r>
    </w:p>
    <w:p>
      <w:pPr>
        <w:spacing w:after="160" w:line="278" w:lineRule="auto"/>
        <w:rPr>
          <w:rFonts w:ascii="宋体" w:hAnsi="宋体"/>
          <w:sz w:val="22"/>
          <w:szCs w:val="28"/>
        </w:rPr>
      </w:pPr>
      <w:r>
        <w:rPr>
          <w:rFonts w:ascii="宋体" w:hAnsi="宋体"/>
          <w:sz w:val="22"/>
          <w:szCs w:val="28"/>
        </w:rPr>
        <w:t>当保险事故发生时，投保人应按照保险单规定的条件和期限及时向保险人报告。</w:t>
      </w:r>
    </w:p>
    <w:p>
      <w:pPr>
        <w:spacing w:after="160" w:line="278" w:lineRule="auto"/>
        <w:rPr>
          <w:rFonts w:ascii="宋体" w:hAnsi="宋体"/>
          <w:sz w:val="22"/>
          <w:szCs w:val="28"/>
        </w:rPr>
      </w:pPr>
      <w:bookmarkStart w:id="2045" w:name="_Toc342296400"/>
      <w:bookmarkStart w:id="2046" w:name="_Toc469660037"/>
      <w:bookmarkStart w:id="2047" w:name="_Toc109914445"/>
      <w:bookmarkStart w:id="2048" w:name="_Toc142385667"/>
      <w:bookmarkStart w:id="2049" w:name="_Toc129798380"/>
      <w:bookmarkStart w:id="2050" w:name="_Toc442365634"/>
      <w:bookmarkStart w:id="2051" w:name="_Toc448758542"/>
      <w:bookmarkStart w:id="2052" w:name="_Toc448758442"/>
      <w:bookmarkStart w:id="2053" w:name="_Toc132619129"/>
      <w:bookmarkStart w:id="2054" w:name="_Toc338944842"/>
      <w:r>
        <w:rPr>
          <w:rFonts w:ascii="宋体" w:hAnsi="宋体"/>
          <w:sz w:val="22"/>
          <w:szCs w:val="28"/>
        </w:rPr>
        <w:t>21. 不可抗力</w:t>
      </w:r>
      <w:bookmarkEnd w:id="2045"/>
      <w:bookmarkEnd w:id="2046"/>
      <w:bookmarkEnd w:id="2047"/>
      <w:bookmarkEnd w:id="2048"/>
      <w:bookmarkEnd w:id="2049"/>
      <w:bookmarkEnd w:id="2050"/>
      <w:bookmarkEnd w:id="2051"/>
      <w:bookmarkEnd w:id="2052"/>
      <w:bookmarkEnd w:id="2053"/>
      <w:bookmarkEnd w:id="2054"/>
    </w:p>
    <w:p>
      <w:pPr>
        <w:spacing w:after="160" w:line="278" w:lineRule="auto"/>
        <w:rPr>
          <w:rFonts w:ascii="宋体" w:hAnsi="宋体"/>
          <w:sz w:val="22"/>
          <w:szCs w:val="28"/>
        </w:rPr>
      </w:pPr>
      <w:bookmarkStart w:id="2055" w:name="_Toc109914446"/>
      <w:bookmarkStart w:id="2056" w:name="_Toc132619130"/>
      <w:bookmarkStart w:id="2057" w:name="_Toc142385668"/>
      <w:bookmarkStart w:id="2058" w:name="_Toc338944843"/>
      <w:bookmarkStart w:id="2059" w:name="_Toc342296401"/>
      <w:bookmarkStart w:id="2060" w:name="_Toc129798381"/>
      <w:r>
        <w:rPr>
          <w:rFonts w:ascii="宋体" w:hAnsi="宋体"/>
          <w:sz w:val="22"/>
          <w:szCs w:val="28"/>
        </w:rPr>
        <w:t>21.1 不可抗力的确认</w:t>
      </w:r>
      <w:bookmarkEnd w:id="2055"/>
      <w:bookmarkEnd w:id="2056"/>
      <w:bookmarkEnd w:id="2057"/>
      <w:bookmarkEnd w:id="2058"/>
      <w:bookmarkEnd w:id="2059"/>
      <w:bookmarkEnd w:id="2060"/>
    </w:p>
    <w:p>
      <w:pPr>
        <w:spacing w:after="160" w:line="278" w:lineRule="auto"/>
        <w:rPr>
          <w:rFonts w:ascii="宋体" w:hAnsi="宋体"/>
          <w:sz w:val="22"/>
          <w:szCs w:val="28"/>
        </w:rPr>
      </w:pPr>
      <w:r>
        <w:rPr>
          <w:rFonts w:ascii="宋体" w:hAnsi="宋体"/>
          <w:sz w:val="22"/>
          <w:szCs w:val="28"/>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after="160" w:line="278" w:lineRule="auto"/>
        <w:rPr>
          <w:rFonts w:ascii="宋体" w:hAnsi="宋体"/>
          <w:sz w:val="22"/>
          <w:szCs w:val="28"/>
        </w:rPr>
      </w:pPr>
      <w:r>
        <w:rPr>
          <w:rFonts w:ascii="宋体" w:hAnsi="宋体"/>
          <w:sz w:val="22"/>
          <w:szCs w:val="28"/>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spacing w:after="160" w:line="278" w:lineRule="auto"/>
        <w:rPr>
          <w:rFonts w:ascii="宋体" w:hAnsi="宋体"/>
          <w:sz w:val="22"/>
          <w:szCs w:val="28"/>
        </w:rPr>
      </w:pPr>
      <w:bookmarkStart w:id="2061" w:name="_Toc152045751"/>
      <w:bookmarkStart w:id="2062" w:name="_Toc338944844"/>
      <w:bookmarkStart w:id="2063" w:name="_Toc132619131"/>
      <w:bookmarkStart w:id="2064" w:name="_Toc144974722"/>
      <w:bookmarkStart w:id="2065" w:name="_Toc109914447"/>
      <w:bookmarkStart w:id="2066" w:name="_Toc142385669"/>
      <w:bookmarkStart w:id="2067" w:name="_Toc152042530"/>
      <w:bookmarkStart w:id="2068" w:name="_Toc179632769"/>
      <w:bookmarkStart w:id="2069" w:name="_Toc129798382"/>
      <w:bookmarkStart w:id="2070" w:name="_Toc342296402"/>
      <w:r>
        <w:rPr>
          <w:rFonts w:ascii="宋体" w:hAnsi="宋体"/>
          <w:sz w:val="22"/>
          <w:szCs w:val="28"/>
        </w:rPr>
        <w:t>21.2 不可抗力的通知</w:t>
      </w:r>
      <w:bookmarkEnd w:id="2061"/>
      <w:bookmarkEnd w:id="2062"/>
      <w:bookmarkEnd w:id="2063"/>
      <w:bookmarkEnd w:id="2064"/>
      <w:bookmarkEnd w:id="2065"/>
      <w:bookmarkEnd w:id="2066"/>
      <w:bookmarkEnd w:id="2067"/>
      <w:bookmarkEnd w:id="2068"/>
      <w:bookmarkEnd w:id="2069"/>
      <w:bookmarkEnd w:id="2070"/>
    </w:p>
    <w:p>
      <w:pPr>
        <w:spacing w:after="160" w:line="278" w:lineRule="auto"/>
        <w:rPr>
          <w:rFonts w:ascii="宋体" w:hAnsi="宋体"/>
          <w:sz w:val="22"/>
          <w:szCs w:val="28"/>
        </w:rPr>
      </w:pPr>
      <w:r>
        <w:rPr>
          <w:rFonts w:ascii="宋体" w:hAnsi="宋体"/>
          <w:sz w:val="22"/>
          <w:szCs w:val="28"/>
        </w:rPr>
        <w:t>21.2.1 合同一方当事人遇到不可抗力事件，使其履行合同义务受到阻碍时，应立即通知合同另一方当事人和监理人，书面说明不可抗力和受阻碍的详细情况，并提供必要的证明。</w:t>
      </w:r>
    </w:p>
    <w:p>
      <w:pPr>
        <w:spacing w:after="160" w:line="278" w:lineRule="auto"/>
        <w:rPr>
          <w:rFonts w:ascii="宋体" w:hAnsi="宋体"/>
          <w:sz w:val="22"/>
          <w:szCs w:val="28"/>
        </w:rPr>
      </w:pPr>
      <w:r>
        <w:rPr>
          <w:rFonts w:ascii="宋体" w:hAnsi="宋体"/>
          <w:sz w:val="22"/>
          <w:szCs w:val="28"/>
        </w:rPr>
        <w:t>21.2.2 如不可抗力持续发生，合同一方当事人应及时向合同另一方当事人和监理人提交中间报告，说明不可抗力和履行合同受阻的情况，并于不可抗力事件结束后28天内提交最终报告及有关资料。</w:t>
      </w:r>
    </w:p>
    <w:p>
      <w:pPr>
        <w:spacing w:after="160" w:line="278" w:lineRule="auto"/>
        <w:rPr>
          <w:rFonts w:ascii="宋体" w:hAnsi="宋体"/>
          <w:sz w:val="22"/>
          <w:szCs w:val="28"/>
        </w:rPr>
      </w:pPr>
      <w:bookmarkStart w:id="2071" w:name="_Toc342296403"/>
      <w:bookmarkStart w:id="2072" w:name="_Toc338944845"/>
      <w:bookmarkStart w:id="2073" w:name="_Toc142385670"/>
      <w:bookmarkStart w:id="2074" w:name="_Toc109914448"/>
      <w:bookmarkStart w:id="2075" w:name="_Toc132619132"/>
      <w:bookmarkStart w:id="2076" w:name="_Toc129798383"/>
      <w:r>
        <w:rPr>
          <w:rFonts w:ascii="宋体" w:hAnsi="宋体"/>
          <w:sz w:val="22"/>
          <w:szCs w:val="28"/>
        </w:rPr>
        <w:t>21.3 不可抗力后果及其处理</w:t>
      </w:r>
      <w:bookmarkEnd w:id="2071"/>
      <w:bookmarkEnd w:id="2072"/>
      <w:bookmarkEnd w:id="2073"/>
      <w:bookmarkEnd w:id="2074"/>
      <w:bookmarkEnd w:id="2075"/>
      <w:bookmarkEnd w:id="2076"/>
    </w:p>
    <w:p>
      <w:pPr>
        <w:spacing w:after="160" w:line="278" w:lineRule="auto"/>
        <w:rPr>
          <w:rFonts w:ascii="宋体" w:hAnsi="宋体"/>
          <w:sz w:val="22"/>
          <w:szCs w:val="28"/>
        </w:rPr>
      </w:pPr>
      <w:r>
        <w:rPr>
          <w:rFonts w:ascii="宋体" w:hAnsi="宋体"/>
          <w:sz w:val="22"/>
          <w:szCs w:val="28"/>
        </w:rPr>
        <w:t xml:space="preserve">21.3.1 </w:t>
      </w:r>
      <w:r>
        <w:rPr>
          <w:rFonts w:hint="eastAsia" w:ascii="宋体" w:hAnsi="宋体"/>
          <w:sz w:val="22"/>
          <w:szCs w:val="28"/>
        </w:rPr>
        <w:t>不可抗力造成损害的责任</w:t>
      </w:r>
    </w:p>
    <w:p>
      <w:pPr>
        <w:spacing w:after="160" w:line="278" w:lineRule="auto"/>
        <w:rPr>
          <w:rFonts w:ascii="宋体" w:hAnsi="宋体"/>
          <w:sz w:val="22"/>
          <w:szCs w:val="28"/>
        </w:rPr>
      </w:pPr>
      <w:r>
        <w:rPr>
          <w:rFonts w:ascii="宋体" w:hAnsi="宋体"/>
          <w:sz w:val="22"/>
          <w:szCs w:val="28"/>
        </w:rPr>
        <w:t>除专用合同条款另有约定外，不可抗力导致的人员伤亡、财产损失、费用增加和（或）工期延误等后果，由合同双方按以下原则承担：</w:t>
      </w:r>
    </w:p>
    <w:p>
      <w:pPr>
        <w:spacing w:after="160" w:line="278" w:lineRule="auto"/>
        <w:rPr>
          <w:rFonts w:ascii="宋体" w:hAnsi="宋体"/>
          <w:sz w:val="22"/>
          <w:szCs w:val="28"/>
        </w:rPr>
      </w:pPr>
      <w:r>
        <w:rPr>
          <w:rFonts w:ascii="宋体" w:hAnsi="宋体"/>
          <w:sz w:val="22"/>
          <w:szCs w:val="28"/>
        </w:rPr>
        <w:t>（1）永久工程，包括已运至施工场地的材料和工程设备的损害，以及因工程损害造成的第三者人员伤亡和财产损失由发包人承担；</w:t>
      </w:r>
    </w:p>
    <w:p>
      <w:pPr>
        <w:spacing w:after="160" w:line="278" w:lineRule="auto"/>
        <w:rPr>
          <w:rFonts w:ascii="宋体" w:hAnsi="宋体"/>
          <w:sz w:val="22"/>
          <w:szCs w:val="28"/>
        </w:rPr>
      </w:pPr>
      <w:r>
        <w:rPr>
          <w:rFonts w:ascii="宋体" w:hAnsi="宋体"/>
          <w:sz w:val="22"/>
          <w:szCs w:val="28"/>
        </w:rPr>
        <w:t>（2）承包人设备的损坏由承包人承担；</w:t>
      </w:r>
    </w:p>
    <w:p>
      <w:pPr>
        <w:spacing w:after="160" w:line="278" w:lineRule="auto"/>
        <w:rPr>
          <w:rFonts w:ascii="宋体" w:hAnsi="宋体"/>
          <w:sz w:val="22"/>
          <w:szCs w:val="28"/>
        </w:rPr>
      </w:pPr>
      <w:r>
        <w:rPr>
          <w:rFonts w:ascii="宋体" w:hAnsi="宋体"/>
          <w:sz w:val="22"/>
          <w:szCs w:val="28"/>
        </w:rPr>
        <w:t>（3）发包人和承包人各自承担其人员伤亡和其他财产损失及其相关费用；</w:t>
      </w:r>
    </w:p>
    <w:p>
      <w:pPr>
        <w:spacing w:after="160" w:line="278" w:lineRule="auto"/>
        <w:rPr>
          <w:rFonts w:ascii="宋体" w:hAnsi="宋体"/>
          <w:sz w:val="22"/>
          <w:szCs w:val="28"/>
        </w:rPr>
      </w:pPr>
      <w:r>
        <w:rPr>
          <w:rFonts w:ascii="宋体" w:hAnsi="宋体"/>
          <w:sz w:val="22"/>
          <w:szCs w:val="28"/>
        </w:rPr>
        <w:t>（4）承包人的停工损失由承包人承担，但停工期间应监理人要求照管工程和清理、修复工程的金额由发包人承担；</w:t>
      </w:r>
    </w:p>
    <w:p>
      <w:pPr>
        <w:spacing w:after="160" w:line="278" w:lineRule="auto"/>
        <w:rPr>
          <w:rFonts w:ascii="宋体" w:hAnsi="宋体"/>
          <w:sz w:val="22"/>
          <w:szCs w:val="28"/>
        </w:rPr>
      </w:pPr>
      <w:r>
        <w:rPr>
          <w:rFonts w:ascii="宋体" w:hAnsi="宋体"/>
          <w:sz w:val="22"/>
          <w:szCs w:val="28"/>
        </w:rPr>
        <w:t>（5）不能按期竣工的，应合理延长工期，承包人不需支付逾期竣工违约金。发包人要求赶工的，承包人应采取赶工措施，赶工费用由发包人承担。</w:t>
      </w:r>
    </w:p>
    <w:p>
      <w:pPr>
        <w:spacing w:after="160" w:line="278" w:lineRule="auto"/>
        <w:rPr>
          <w:rFonts w:ascii="宋体" w:hAnsi="宋体"/>
          <w:sz w:val="22"/>
          <w:szCs w:val="28"/>
        </w:rPr>
      </w:pPr>
      <w:r>
        <w:rPr>
          <w:rFonts w:ascii="宋体" w:hAnsi="宋体"/>
          <w:sz w:val="22"/>
          <w:szCs w:val="28"/>
        </w:rPr>
        <w:t xml:space="preserve">21.3.2 </w:t>
      </w:r>
      <w:r>
        <w:rPr>
          <w:rFonts w:hint="eastAsia" w:ascii="宋体" w:hAnsi="宋体"/>
          <w:sz w:val="22"/>
          <w:szCs w:val="28"/>
        </w:rPr>
        <w:t>延迟履行期间发生的不可抗力</w:t>
      </w:r>
    </w:p>
    <w:p>
      <w:pPr>
        <w:spacing w:after="160" w:line="278" w:lineRule="auto"/>
        <w:rPr>
          <w:rFonts w:ascii="宋体" w:hAnsi="宋体"/>
          <w:sz w:val="22"/>
          <w:szCs w:val="28"/>
        </w:rPr>
      </w:pPr>
      <w:r>
        <w:rPr>
          <w:rFonts w:ascii="宋体" w:hAnsi="宋体"/>
          <w:sz w:val="22"/>
          <w:szCs w:val="28"/>
        </w:rPr>
        <w:t>合同一方当事人延迟履行，在延迟履行期间发生不可抗力的，不免除其责任。</w:t>
      </w:r>
    </w:p>
    <w:p>
      <w:pPr>
        <w:spacing w:after="160" w:line="278" w:lineRule="auto"/>
        <w:rPr>
          <w:rFonts w:ascii="宋体" w:hAnsi="宋体"/>
          <w:sz w:val="22"/>
          <w:szCs w:val="28"/>
        </w:rPr>
      </w:pPr>
      <w:r>
        <w:rPr>
          <w:rFonts w:ascii="宋体" w:hAnsi="宋体"/>
          <w:sz w:val="22"/>
          <w:szCs w:val="28"/>
        </w:rPr>
        <w:t xml:space="preserve">21.3.3 </w:t>
      </w:r>
      <w:r>
        <w:rPr>
          <w:rFonts w:hint="eastAsia" w:ascii="宋体" w:hAnsi="宋体"/>
          <w:sz w:val="22"/>
          <w:szCs w:val="28"/>
        </w:rPr>
        <w:t>避免和减少不可抗力损失</w:t>
      </w:r>
    </w:p>
    <w:p>
      <w:pPr>
        <w:spacing w:after="160" w:line="278" w:lineRule="auto"/>
        <w:rPr>
          <w:rFonts w:ascii="宋体" w:hAnsi="宋体"/>
          <w:sz w:val="22"/>
          <w:szCs w:val="28"/>
        </w:rPr>
      </w:pPr>
      <w:r>
        <w:rPr>
          <w:rFonts w:ascii="宋体" w:hAnsi="宋体"/>
          <w:sz w:val="22"/>
          <w:szCs w:val="28"/>
        </w:rPr>
        <w:t>不可抗力发生后，发包人和承包人均应采取措施尽量避免和减少损失的扩大，任何一方没有采取有效措施导致损失扩大的，应对扩大的损失承担责任。</w:t>
      </w:r>
    </w:p>
    <w:p>
      <w:pPr>
        <w:spacing w:after="160" w:line="278" w:lineRule="auto"/>
        <w:rPr>
          <w:rFonts w:ascii="宋体" w:hAnsi="宋体"/>
          <w:sz w:val="22"/>
          <w:szCs w:val="28"/>
        </w:rPr>
      </w:pPr>
      <w:r>
        <w:rPr>
          <w:rFonts w:ascii="宋体" w:hAnsi="宋体"/>
          <w:sz w:val="22"/>
          <w:szCs w:val="28"/>
        </w:rPr>
        <w:t xml:space="preserve">21.3.4 </w:t>
      </w:r>
      <w:r>
        <w:rPr>
          <w:rFonts w:hint="eastAsia" w:ascii="宋体" w:hAnsi="宋体"/>
          <w:sz w:val="22"/>
          <w:szCs w:val="28"/>
        </w:rPr>
        <w:t>因不可抗力解除合同</w:t>
      </w:r>
    </w:p>
    <w:p>
      <w:pPr>
        <w:spacing w:after="160" w:line="278" w:lineRule="auto"/>
        <w:rPr>
          <w:rFonts w:ascii="宋体" w:hAnsi="宋体"/>
          <w:sz w:val="22"/>
          <w:szCs w:val="28"/>
        </w:rPr>
      </w:pPr>
      <w:r>
        <w:rPr>
          <w:rFonts w:ascii="宋体" w:hAnsi="宋体"/>
          <w:sz w:val="22"/>
          <w:szCs w:val="28"/>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spacing w:after="160" w:line="278" w:lineRule="auto"/>
        <w:rPr>
          <w:rFonts w:ascii="宋体" w:hAnsi="宋体"/>
          <w:sz w:val="22"/>
          <w:szCs w:val="28"/>
        </w:rPr>
      </w:pPr>
      <w:bookmarkStart w:id="2077" w:name="_Toc142385671"/>
      <w:bookmarkStart w:id="2078" w:name="_Toc469660038"/>
      <w:bookmarkStart w:id="2079" w:name="_Toc109914449"/>
      <w:bookmarkStart w:id="2080" w:name="_Toc448758443"/>
      <w:bookmarkStart w:id="2081" w:name="_Toc448758543"/>
      <w:bookmarkStart w:id="2082" w:name="_Toc144974724"/>
      <w:bookmarkStart w:id="2083" w:name="_Toc179632771"/>
      <w:bookmarkStart w:id="2084" w:name="_Toc152042532"/>
      <w:bookmarkStart w:id="2085" w:name="_Toc132619133"/>
      <w:bookmarkStart w:id="2086" w:name="_Toc338944846"/>
      <w:bookmarkStart w:id="2087" w:name="_Toc129798384"/>
      <w:bookmarkStart w:id="2088" w:name="_Toc442365635"/>
      <w:bookmarkStart w:id="2089" w:name="_Toc152045753"/>
      <w:bookmarkStart w:id="2090" w:name="_Toc342296404"/>
      <w:r>
        <w:rPr>
          <w:rFonts w:ascii="宋体" w:hAnsi="宋体"/>
          <w:sz w:val="22"/>
          <w:szCs w:val="28"/>
        </w:rPr>
        <w:t>22. 违约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pPr>
        <w:spacing w:after="160" w:line="278" w:lineRule="auto"/>
        <w:rPr>
          <w:rFonts w:ascii="宋体" w:hAnsi="宋体"/>
          <w:sz w:val="22"/>
          <w:szCs w:val="28"/>
        </w:rPr>
      </w:pPr>
      <w:bookmarkStart w:id="2091" w:name="_Toc144974725"/>
      <w:bookmarkStart w:id="2092" w:name="_Toc338944847"/>
      <w:bookmarkStart w:id="2093" w:name="_Toc179632772"/>
      <w:bookmarkStart w:id="2094" w:name="_Toc152042533"/>
      <w:bookmarkStart w:id="2095" w:name="_Toc152045754"/>
      <w:bookmarkStart w:id="2096" w:name="_Toc342296405"/>
      <w:bookmarkStart w:id="2097" w:name="_Toc109914450"/>
      <w:bookmarkStart w:id="2098" w:name="_Toc129798385"/>
      <w:bookmarkStart w:id="2099" w:name="_Toc132619134"/>
      <w:bookmarkStart w:id="2100" w:name="_Toc142385672"/>
      <w:r>
        <w:rPr>
          <w:rFonts w:ascii="宋体" w:hAnsi="宋体"/>
          <w:sz w:val="22"/>
          <w:szCs w:val="28"/>
        </w:rPr>
        <w:t>22.1 承包人违约</w:t>
      </w:r>
      <w:bookmarkEnd w:id="2091"/>
      <w:bookmarkEnd w:id="2092"/>
      <w:bookmarkEnd w:id="2093"/>
      <w:bookmarkEnd w:id="2094"/>
      <w:bookmarkEnd w:id="2095"/>
      <w:bookmarkEnd w:id="2096"/>
      <w:bookmarkEnd w:id="2097"/>
      <w:bookmarkEnd w:id="2098"/>
      <w:bookmarkEnd w:id="2099"/>
      <w:bookmarkEnd w:id="2100"/>
    </w:p>
    <w:p>
      <w:pPr>
        <w:spacing w:after="160" w:line="278" w:lineRule="auto"/>
        <w:rPr>
          <w:rFonts w:ascii="宋体" w:hAnsi="宋体"/>
          <w:sz w:val="22"/>
          <w:szCs w:val="28"/>
        </w:rPr>
      </w:pPr>
      <w:r>
        <w:rPr>
          <w:rFonts w:ascii="宋体" w:hAnsi="宋体"/>
          <w:sz w:val="22"/>
          <w:szCs w:val="28"/>
        </w:rPr>
        <w:t xml:space="preserve">22.1.1 </w:t>
      </w:r>
      <w:r>
        <w:rPr>
          <w:rFonts w:hint="eastAsia" w:ascii="宋体" w:hAnsi="宋体"/>
          <w:sz w:val="22"/>
          <w:szCs w:val="28"/>
        </w:rPr>
        <w:t>承包人违约的情形</w:t>
      </w:r>
    </w:p>
    <w:p>
      <w:pPr>
        <w:spacing w:after="160" w:line="278" w:lineRule="auto"/>
        <w:rPr>
          <w:rFonts w:ascii="宋体" w:hAnsi="宋体"/>
          <w:sz w:val="22"/>
          <w:szCs w:val="28"/>
        </w:rPr>
      </w:pPr>
      <w:r>
        <w:rPr>
          <w:rFonts w:ascii="宋体" w:hAnsi="宋体"/>
          <w:sz w:val="22"/>
          <w:szCs w:val="28"/>
        </w:rPr>
        <w:t>在履行合同过程中发生的下列情况属承包人违约：</w:t>
      </w:r>
    </w:p>
    <w:p>
      <w:pPr>
        <w:spacing w:after="160" w:line="278" w:lineRule="auto"/>
        <w:rPr>
          <w:rFonts w:ascii="宋体" w:hAnsi="宋体"/>
          <w:sz w:val="22"/>
          <w:szCs w:val="28"/>
        </w:rPr>
      </w:pPr>
      <w:r>
        <w:rPr>
          <w:rFonts w:ascii="宋体" w:hAnsi="宋体"/>
          <w:sz w:val="22"/>
          <w:szCs w:val="28"/>
        </w:rPr>
        <w:t>（1）承包人违反第1.8款或第4.3款的约定，私自将合同的全部或部分权利转让给其他人，或私自将合同的全部或部分义务转移给其他人；</w:t>
      </w:r>
    </w:p>
    <w:p>
      <w:pPr>
        <w:spacing w:after="160" w:line="278" w:lineRule="auto"/>
        <w:rPr>
          <w:rFonts w:ascii="宋体" w:hAnsi="宋体"/>
          <w:sz w:val="22"/>
          <w:szCs w:val="28"/>
        </w:rPr>
      </w:pPr>
      <w:r>
        <w:rPr>
          <w:rFonts w:ascii="宋体" w:hAnsi="宋体"/>
          <w:sz w:val="22"/>
          <w:szCs w:val="28"/>
        </w:rPr>
        <w:t>（2）承包人违反第5.3款或第6.4款的约定，未经监理人批准，私自将已按合同约定进入施工场地的施工设备、临时设施或材料撤离施工场地；</w:t>
      </w:r>
    </w:p>
    <w:p>
      <w:pPr>
        <w:spacing w:after="160" w:line="278" w:lineRule="auto"/>
        <w:rPr>
          <w:rFonts w:ascii="宋体" w:hAnsi="宋体"/>
          <w:sz w:val="22"/>
          <w:szCs w:val="28"/>
        </w:rPr>
      </w:pPr>
      <w:r>
        <w:rPr>
          <w:rFonts w:ascii="宋体" w:hAnsi="宋体"/>
          <w:sz w:val="22"/>
          <w:szCs w:val="28"/>
        </w:rPr>
        <w:t>（3）承包人违反第5.4款的约定使用了不合格材料或工程设备，工程质量达不到标准要求，又拒绝清除不合格工程；</w:t>
      </w:r>
    </w:p>
    <w:p>
      <w:pPr>
        <w:spacing w:after="160" w:line="278" w:lineRule="auto"/>
        <w:rPr>
          <w:rFonts w:ascii="宋体" w:hAnsi="宋体"/>
          <w:sz w:val="22"/>
          <w:szCs w:val="28"/>
        </w:rPr>
      </w:pPr>
      <w:r>
        <w:rPr>
          <w:rFonts w:ascii="宋体" w:hAnsi="宋体"/>
          <w:sz w:val="22"/>
          <w:szCs w:val="28"/>
        </w:rPr>
        <w:t>（4）承包人未能按合同进度计划及时完成合同约定的工作，已造成或预期造成工期延误；</w:t>
      </w:r>
    </w:p>
    <w:p>
      <w:pPr>
        <w:spacing w:after="160" w:line="278" w:lineRule="auto"/>
        <w:rPr>
          <w:rFonts w:ascii="宋体" w:hAnsi="宋体"/>
          <w:sz w:val="22"/>
          <w:szCs w:val="28"/>
        </w:rPr>
      </w:pPr>
      <w:r>
        <w:rPr>
          <w:rFonts w:ascii="宋体" w:hAnsi="宋体"/>
          <w:sz w:val="22"/>
          <w:szCs w:val="28"/>
        </w:rPr>
        <w:t>（5）承包人在缺陷责任期内，未能对工程接收证书所列的缺陷清单的内容或缺陷责任期内发生的缺陷进行修复，而又拒绝按监理人指示再进行修补；</w:t>
      </w:r>
    </w:p>
    <w:p>
      <w:pPr>
        <w:spacing w:after="160" w:line="278" w:lineRule="auto"/>
        <w:rPr>
          <w:rFonts w:ascii="宋体" w:hAnsi="宋体"/>
          <w:sz w:val="22"/>
          <w:szCs w:val="28"/>
        </w:rPr>
      </w:pPr>
      <w:r>
        <w:rPr>
          <w:rFonts w:ascii="宋体" w:hAnsi="宋体"/>
          <w:sz w:val="22"/>
          <w:szCs w:val="28"/>
        </w:rPr>
        <w:t>（6）承包人无法继续履行或明确表示不履行或实质上已停止履行合同；</w:t>
      </w:r>
    </w:p>
    <w:p>
      <w:pPr>
        <w:spacing w:after="160" w:line="278" w:lineRule="auto"/>
        <w:rPr>
          <w:rFonts w:ascii="宋体" w:hAnsi="宋体"/>
          <w:sz w:val="22"/>
          <w:szCs w:val="28"/>
        </w:rPr>
      </w:pPr>
      <w:r>
        <w:rPr>
          <w:rFonts w:ascii="宋体" w:hAnsi="宋体"/>
          <w:sz w:val="22"/>
          <w:szCs w:val="28"/>
        </w:rPr>
        <w:t>（7）承包人不按合同约定履行义务的其他情况。</w:t>
      </w:r>
    </w:p>
    <w:p>
      <w:pPr>
        <w:spacing w:after="160" w:line="278" w:lineRule="auto"/>
        <w:rPr>
          <w:rFonts w:ascii="宋体" w:hAnsi="宋体"/>
          <w:sz w:val="22"/>
          <w:szCs w:val="28"/>
        </w:rPr>
      </w:pPr>
      <w:r>
        <w:rPr>
          <w:rFonts w:ascii="宋体" w:hAnsi="宋体"/>
          <w:sz w:val="22"/>
          <w:szCs w:val="28"/>
        </w:rPr>
        <w:t xml:space="preserve">22.1.2 </w:t>
      </w:r>
      <w:r>
        <w:rPr>
          <w:rFonts w:hint="eastAsia" w:ascii="宋体" w:hAnsi="宋体"/>
          <w:sz w:val="22"/>
          <w:szCs w:val="28"/>
        </w:rPr>
        <w:t>对承包人违约的处理</w:t>
      </w:r>
    </w:p>
    <w:p>
      <w:pPr>
        <w:spacing w:after="160" w:line="278" w:lineRule="auto"/>
        <w:rPr>
          <w:rFonts w:ascii="宋体" w:hAnsi="宋体"/>
          <w:sz w:val="22"/>
          <w:szCs w:val="28"/>
        </w:rPr>
      </w:pPr>
      <w:r>
        <w:rPr>
          <w:rFonts w:ascii="宋体" w:hAnsi="宋体"/>
          <w:sz w:val="22"/>
          <w:szCs w:val="28"/>
        </w:rPr>
        <w:t>（1）承包人发生第22.1.1（6）目约定的违约情况时，发包人可通知承包人立即解除合同，并按有关法律处理。</w:t>
      </w:r>
    </w:p>
    <w:p>
      <w:pPr>
        <w:spacing w:after="160" w:line="278" w:lineRule="auto"/>
        <w:rPr>
          <w:rFonts w:ascii="宋体" w:hAnsi="宋体"/>
          <w:sz w:val="22"/>
          <w:szCs w:val="28"/>
        </w:rPr>
      </w:pPr>
      <w:r>
        <w:rPr>
          <w:rFonts w:ascii="宋体" w:hAnsi="宋体"/>
          <w:sz w:val="22"/>
          <w:szCs w:val="28"/>
        </w:rPr>
        <w:t>（2）承包人发生除第22.1.1（6）目约定以外的其他违约情况时，监理人可向承包人发出整改通知，要求其在指定的期限内改正。承包人应承担其违约所引起的费用增加和（或）工期延误。</w:t>
      </w:r>
    </w:p>
    <w:p>
      <w:pPr>
        <w:spacing w:after="160" w:line="278" w:lineRule="auto"/>
        <w:rPr>
          <w:rFonts w:ascii="宋体" w:hAnsi="宋体"/>
          <w:sz w:val="22"/>
          <w:szCs w:val="28"/>
        </w:rPr>
      </w:pPr>
      <w:r>
        <w:rPr>
          <w:rFonts w:ascii="宋体" w:hAnsi="宋体"/>
          <w:sz w:val="22"/>
          <w:szCs w:val="28"/>
        </w:rPr>
        <w:t>（3）经检查证明承包人已采取了有效措施纠正违约行为，具备复工条件的，可由监理人签发复工通知复工。</w:t>
      </w:r>
    </w:p>
    <w:p>
      <w:pPr>
        <w:spacing w:after="160" w:line="278" w:lineRule="auto"/>
        <w:rPr>
          <w:rFonts w:ascii="宋体" w:hAnsi="宋体"/>
          <w:sz w:val="22"/>
          <w:szCs w:val="28"/>
        </w:rPr>
      </w:pPr>
      <w:r>
        <w:rPr>
          <w:rFonts w:ascii="宋体" w:hAnsi="宋体"/>
          <w:sz w:val="22"/>
          <w:szCs w:val="28"/>
        </w:rPr>
        <w:t xml:space="preserve">22.1.3 </w:t>
      </w:r>
      <w:r>
        <w:rPr>
          <w:rFonts w:hint="eastAsia" w:ascii="宋体" w:hAnsi="宋体"/>
          <w:sz w:val="22"/>
          <w:szCs w:val="28"/>
        </w:rPr>
        <w:t>承包人违约解除合同</w:t>
      </w:r>
    </w:p>
    <w:p>
      <w:pPr>
        <w:spacing w:after="160" w:line="278" w:lineRule="auto"/>
        <w:rPr>
          <w:rFonts w:ascii="宋体" w:hAnsi="宋体"/>
          <w:sz w:val="22"/>
          <w:szCs w:val="28"/>
        </w:rPr>
      </w:pPr>
      <w:r>
        <w:rPr>
          <w:rFonts w:ascii="宋体" w:hAnsi="宋体"/>
          <w:sz w:val="22"/>
          <w:szCs w:val="28"/>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after="160" w:line="278" w:lineRule="auto"/>
        <w:rPr>
          <w:rFonts w:ascii="宋体" w:hAnsi="宋体"/>
          <w:sz w:val="22"/>
          <w:szCs w:val="28"/>
        </w:rPr>
      </w:pPr>
      <w:r>
        <w:rPr>
          <w:rFonts w:ascii="宋体" w:hAnsi="宋体"/>
          <w:sz w:val="22"/>
          <w:szCs w:val="28"/>
        </w:rPr>
        <w:t xml:space="preserve">22.1.4 </w:t>
      </w:r>
      <w:r>
        <w:rPr>
          <w:rFonts w:hint="eastAsia" w:ascii="宋体" w:hAnsi="宋体"/>
          <w:sz w:val="22"/>
          <w:szCs w:val="28"/>
        </w:rPr>
        <w:t>合同解除后的估价、付款和结清</w:t>
      </w:r>
    </w:p>
    <w:p>
      <w:pPr>
        <w:spacing w:after="160" w:line="278" w:lineRule="auto"/>
        <w:rPr>
          <w:rFonts w:ascii="宋体" w:hAnsi="宋体"/>
          <w:sz w:val="22"/>
          <w:szCs w:val="28"/>
        </w:rPr>
      </w:pPr>
      <w:r>
        <w:rPr>
          <w:rFonts w:ascii="宋体" w:hAnsi="宋体"/>
          <w:sz w:val="22"/>
          <w:szCs w:val="28"/>
        </w:rPr>
        <w:t xml:space="preserve">（1）合同解除后，监理人按第3.5款商定或确定承包人实际完成工作的价值，以及承包人已提供的材料、施工设备、工程设备和临时工程等的价值。 </w:t>
      </w:r>
    </w:p>
    <w:p>
      <w:pPr>
        <w:spacing w:after="160" w:line="278" w:lineRule="auto"/>
        <w:rPr>
          <w:rFonts w:ascii="宋体" w:hAnsi="宋体"/>
          <w:sz w:val="22"/>
          <w:szCs w:val="28"/>
        </w:rPr>
      </w:pPr>
      <w:r>
        <w:rPr>
          <w:rFonts w:ascii="宋体" w:hAnsi="宋体"/>
          <w:sz w:val="22"/>
          <w:szCs w:val="28"/>
        </w:rPr>
        <w:t xml:space="preserve">（2）合同解除后，发包人应暂停对承包人的一切付款，查清各项付款和已扣款金额，包括承包人应支付的违约金。 </w:t>
      </w:r>
    </w:p>
    <w:p>
      <w:pPr>
        <w:spacing w:after="160" w:line="278" w:lineRule="auto"/>
        <w:rPr>
          <w:rFonts w:ascii="宋体" w:hAnsi="宋体"/>
          <w:sz w:val="22"/>
          <w:szCs w:val="28"/>
        </w:rPr>
      </w:pPr>
      <w:r>
        <w:rPr>
          <w:rFonts w:ascii="宋体" w:hAnsi="宋体"/>
          <w:sz w:val="22"/>
          <w:szCs w:val="28"/>
        </w:rPr>
        <w:t>（3）合同解除后，发包人应按第23.4款的约定向承包人索赔由于解除合同给发包人造成的损失。</w:t>
      </w:r>
    </w:p>
    <w:p>
      <w:pPr>
        <w:spacing w:after="160" w:line="278" w:lineRule="auto"/>
        <w:rPr>
          <w:rFonts w:ascii="宋体" w:hAnsi="宋体"/>
          <w:sz w:val="22"/>
          <w:szCs w:val="28"/>
        </w:rPr>
      </w:pPr>
      <w:r>
        <w:rPr>
          <w:rFonts w:ascii="宋体" w:hAnsi="宋体"/>
          <w:sz w:val="22"/>
          <w:szCs w:val="28"/>
        </w:rPr>
        <w:t>（4）合同双方确认上述往来款项后，出具最终结清付款证书，结清全部合同款项。</w:t>
      </w:r>
    </w:p>
    <w:p>
      <w:pPr>
        <w:spacing w:after="160" w:line="278" w:lineRule="auto"/>
        <w:rPr>
          <w:rFonts w:ascii="宋体" w:hAnsi="宋体"/>
          <w:sz w:val="22"/>
          <w:szCs w:val="28"/>
        </w:rPr>
      </w:pPr>
      <w:r>
        <w:rPr>
          <w:rFonts w:ascii="宋体" w:hAnsi="宋体"/>
          <w:sz w:val="22"/>
          <w:szCs w:val="28"/>
        </w:rPr>
        <w:t>（5）发包人和承包人未能就解除合同后的结清达成一致而形成争议的，按第24条的约定办理。</w:t>
      </w:r>
    </w:p>
    <w:p>
      <w:pPr>
        <w:spacing w:after="160" w:line="278" w:lineRule="auto"/>
        <w:rPr>
          <w:rFonts w:ascii="宋体" w:hAnsi="宋体"/>
          <w:sz w:val="22"/>
          <w:szCs w:val="28"/>
        </w:rPr>
      </w:pPr>
      <w:r>
        <w:rPr>
          <w:rFonts w:ascii="宋体" w:hAnsi="宋体"/>
          <w:sz w:val="22"/>
          <w:szCs w:val="28"/>
        </w:rPr>
        <w:t xml:space="preserve">22.1.5 </w:t>
      </w:r>
      <w:r>
        <w:rPr>
          <w:rFonts w:hint="eastAsia" w:ascii="宋体" w:hAnsi="宋体"/>
          <w:sz w:val="22"/>
          <w:szCs w:val="28"/>
        </w:rPr>
        <w:t>协议利益的转让</w:t>
      </w:r>
    </w:p>
    <w:p>
      <w:pPr>
        <w:spacing w:after="160" w:line="278" w:lineRule="auto"/>
        <w:rPr>
          <w:rFonts w:ascii="宋体" w:hAnsi="宋体"/>
          <w:sz w:val="22"/>
          <w:szCs w:val="28"/>
        </w:rPr>
      </w:pPr>
      <w:r>
        <w:rPr>
          <w:rFonts w:ascii="宋体" w:hAnsi="宋体"/>
          <w:sz w:val="22"/>
          <w:szCs w:val="28"/>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after="160" w:line="278" w:lineRule="auto"/>
        <w:rPr>
          <w:rFonts w:ascii="宋体" w:hAnsi="宋体"/>
          <w:sz w:val="22"/>
          <w:szCs w:val="28"/>
        </w:rPr>
      </w:pPr>
      <w:r>
        <w:rPr>
          <w:rFonts w:ascii="宋体" w:hAnsi="宋体"/>
          <w:sz w:val="22"/>
          <w:szCs w:val="28"/>
        </w:rPr>
        <w:t xml:space="preserve">22.1.6 </w:t>
      </w:r>
      <w:r>
        <w:rPr>
          <w:rFonts w:hint="eastAsia" w:ascii="宋体" w:hAnsi="宋体"/>
          <w:sz w:val="22"/>
          <w:szCs w:val="28"/>
        </w:rPr>
        <w:t>紧急情况下无能力或不愿进行抢救</w:t>
      </w:r>
    </w:p>
    <w:p>
      <w:pPr>
        <w:spacing w:after="160" w:line="278" w:lineRule="auto"/>
        <w:rPr>
          <w:rFonts w:ascii="宋体" w:hAnsi="宋体"/>
          <w:sz w:val="22"/>
          <w:szCs w:val="28"/>
        </w:rPr>
      </w:pPr>
      <w:r>
        <w:rPr>
          <w:rFonts w:ascii="宋体" w:hAnsi="宋体"/>
          <w:sz w:val="22"/>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after="160" w:line="278" w:lineRule="auto"/>
        <w:rPr>
          <w:rFonts w:ascii="宋体" w:hAnsi="宋体"/>
          <w:sz w:val="22"/>
          <w:szCs w:val="28"/>
        </w:rPr>
      </w:pPr>
      <w:bookmarkStart w:id="2101" w:name="_Toc109914451"/>
      <w:bookmarkStart w:id="2102" w:name="_Toc152045755"/>
      <w:bookmarkStart w:id="2103" w:name="_Toc144974726"/>
      <w:bookmarkStart w:id="2104" w:name="_Toc338944848"/>
      <w:bookmarkStart w:id="2105" w:name="_Toc179632773"/>
      <w:bookmarkStart w:id="2106" w:name="_Toc152042534"/>
      <w:bookmarkStart w:id="2107" w:name="_Toc342296406"/>
      <w:bookmarkStart w:id="2108" w:name="_Toc132619135"/>
      <w:bookmarkStart w:id="2109" w:name="_Toc129798386"/>
      <w:bookmarkStart w:id="2110" w:name="_Toc142385673"/>
      <w:r>
        <w:rPr>
          <w:rFonts w:ascii="宋体" w:hAnsi="宋体"/>
          <w:sz w:val="22"/>
          <w:szCs w:val="28"/>
        </w:rPr>
        <w:t>22.2 发包人违约</w:t>
      </w:r>
      <w:bookmarkEnd w:id="2101"/>
      <w:bookmarkEnd w:id="2102"/>
      <w:bookmarkEnd w:id="2103"/>
      <w:bookmarkEnd w:id="2104"/>
      <w:bookmarkEnd w:id="2105"/>
      <w:bookmarkEnd w:id="2106"/>
      <w:bookmarkEnd w:id="2107"/>
      <w:bookmarkEnd w:id="2108"/>
      <w:bookmarkEnd w:id="2109"/>
      <w:bookmarkEnd w:id="2110"/>
    </w:p>
    <w:p>
      <w:pPr>
        <w:spacing w:after="160" w:line="278" w:lineRule="auto"/>
        <w:rPr>
          <w:rFonts w:ascii="宋体" w:hAnsi="宋体"/>
          <w:sz w:val="22"/>
          <w:szCs w:val="28"/>
        </w:rPr>
      </w:pPr>
      <w:r>
        <w:rPr>
          <w:rFonts w:ascii="宋体" w:hAnsi="宋体"/>
          <w:sz w:val="22"/>
          <w:szCs w:val="28"/>
        </w:rPr>
        <w:t xml:space="preserve">22.2.1 </w:t>
      </w:r>
      <w:r>
        <w:rPr>
          <w:rFonts w:hint="eastAsia" w:ascii="宋体" w:hAnsi="宋体"/>
          <w:sz w:val="22"/>
          <w:szCs w:val="28"/>
        </w:rPr>
        <w:t>发包人违约的情形</w:t>
      </w:r>
    </w:p>
    <w:p>
      <w:pPr>
        <w:spacing w:after="160" w:line="278" w:lineRule="auto"/>
        <w:rPr>
          <w:rFonts w:ascii="宋体" w:hAnsi="宋体"/>
          <w:sz w:val="22"/>
          <w:szCs w:val="28"/>
        </w:rPr>
      </w:pPr>
      <w:r>
        <w:rPr>
          <w:rFonts w:ascii="宋体" w:hAnsi="宋体"/>
          <w:sz w:val="22"/>
          <w:szCs w:val="28"/>
        </w:rPr>
        <w:t>在履行合同过程中发生的下列情形，属发包人违约：</w:t>
      </w:r>
    </w:p>
    <w:p>
      <w:pPr>
        <w:spacing w:after="160" w:line="278" w:lineRule="auto"/>
        <w:rPr>
          <w:rFonts w:ascii="宋体" w:hAnsi="宋体"/>
          <w:sz w:val="22"/>
          <w:szCs w:val="28"/>
        </w:rPr>
      </w:pPr>
      <w:r>
        <w:rPr>
          <w:rFonts w:ascii="宋体" w:hAnsi="宋体"/>
          <w:sz w:val="22"/>
          <w:szCs w:val="28"/>
        </w:rPr>
        <w:t>（1）</w:t>
      </w:r>
      <w:r>
        <w:rPr>
          <w:rFonts w:hint="eastAsia" w:ascii="宋体" w:hAnsi="宋体"/>
          <w:sz w:val="22"/>
          <w:szCs w:val="28"/>
        </w:rPr>
        <w:t>因发包人原因，</w:t>
      </w:r>
      <w:r>
        <w:rPr>
          <w:rFonts w:ascii="宋体" w:hAnsi="宋体"/>
          <w:sz w:val="22"/>
          <w:szCs w:val="28"/>
        </w:rPr>
        <w:t>发包人未能按合同约定支付预付款或合同价款，或拖延、拒绝批准付款申请和支付凭证，导致付款延误的；</w:t>
      </w:r>
    </w:p>
    <w:p>
      <w:pPr>
        <w:spacing w:after="160" w:line="278" w:lineRule="auto"/>
        <w:rPr>
          <w:rFonts w:ascii="宋体" w:hAnsi="宋体"/>
          <w:sz w:val="22"/>
          <w:szCs w:val="28"/>
        </w:rPr>
      </w:pPr>
      <w:r>
        <w:rPr>
          <w:rFonts w:ascii="宋体" w:hAnsi="宋体"/>
          <w:sz w:val="22"/>
          <w:szCs w:val="28"/>
        </w:rPr>
        <w:t>（2）发包人原因造成停工的；</w:t>
      </w:r>
    </w:p>
    <w:p>
      <w:pPr>
        <w:spacing w:after="160" w:line="278" w:lineRule="auto"/>
        <w:rPr>
          <w:rFonts w:ascii="宋体" w:hAnsi="宋体"/>
          <w:sz w:val="22"/>
          <w:szCs w:val="28"/>
        </w:rPr>
      </w:pPr>
      <w:r>
        <w:rPr>
          <w:rFonts w:ascii="宋体" w:hAnsi="宋体"/>
          <w:sz w:val="22"/>
          <w:szCs w:val="28"/>
        </w:rPr>
        <w:t>（3）监理人无正当理由没有在约定期限内发出复工指示，导致承包人无法复工的；</w:t>
      </w:r>
    </w:p>
    <w:p>
      <w:pPr>
        <w:spacing w:after="160" w:line="278" w:lineRule="auto"/>
        <w:rPr>
          <w:rFonts w:ascii="宋体" w:hAnsi="宋体"/>
          <w:sz w:val="22"/>
          <w:szCs w:val="28"/>
        </w:rPr>
      </w:pPr>
      <w:r>
        <w:rPr>
          <w:rFonts w:ascii="宋体" w:hAnsi="宋体"/>
          <w:sz w:val="22"/>
          <w:szCs w:val="28"/>
        </w:rPr>
        <w:t>（4）发包人无法继续履行或明确表示不履行或实质上已停止履行合同的；</w:t>
      </w:r>
    </w:p>
    <w:p>
      <w:pPr>
        <w:spacing w:after="160" w:line="278" w:lineRule="auto"/>
        <w:rPr>
          <w:rFonts w:ascii="宋体" w:hAnsi="宋体"/>
          <w:sz w:val="22"/>
          <w:szCs w:val="28"/>
        </w:rPr>
      </w:pPr>
      <w:r>
        <w:rPr>
          <w:rFonts w:ascii="宋体" w:hAnsi="宋体"/>
          <w:sz w:val="22"/>
          <w:szCs w:val="28"/>
        </w:rPr>
        <w:t>（5）发包人不履行合同约定其他义务的。</w:t>
      </w:r>
    </w:p>
    <w:p>
      <w:pPr>
        <w:spacing w:after="160" w:line="278" w:lineRule="auto"/>
        <w:rPr>
          <w:rFonts w:ascii="宋体" w:hAnsi="宋体"/>
          <w:sz w:val="22"/>
          <w:szCs w:val="28"/>
        </w:rPr>
      </w:pPr>
      <w:r>
        <w:rPr>
          <w:rFonts w:ascii="宋体" w:hAnsi="宋体"/>
          <w:sz w:val="22"/>
          <w:szCs w:val="28"/>
        </w:rPr>
        <w:t xml:space="preserve">22.2.2 </w:t>
      </w:r>
      <w:r>
        <w:rPr>
          <w:rFonts w:hint="eastAsia" w:ascii="宋体" w:hAnsi="宋体"/>
          <w:sz w:val="22"/>
          <w:szCs w:val="28"/>
        </w:rPr>
        <w:t>承包人有权暂停施工</w:t>
      </w:r>
    </w:p>
    <w:p>
      <w:pPr>
        <w:spacing w:after="160" w:line="278" w:lineRule="auto"/>
        <w:rPr>
          <w:rFonts w:ascii="宋体" w:hAnsi="宋体"/>
          <w:sz w:val="22"/>
          <w:szCs w:val="28"/>
        </w:rPr>
      </w:pPr>
      <w:r>
        <w:rPr>
          <w:rFonts w:ascii="宋体" w:hAnsi="宋体"/>
          <w:sz w:val="22"/>
          <w:szCs w:val="28"/>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after="160" w:line="278" w:lineRule="auto"/>
        <w:rPr>
          <w:rFonts w:ascii="宋体" w:hAnsi="宋体"/>
          <w:sz w:val="22"/>
          <w:szCs w:val="28"/>
        </w:rPr>
      </w:pPr>
      <w:r>
        <w:rPr>
          <w:rFonts w:ascii="宋体" w:hAnsi="宋体"/>
          <w:sz w:val="22"/>
          <w:szCs w:val="28"/>
        </w:rPr>
        <w:t xml:space="preserve">22.2.3 </w:t>
      </w:r>
      <w:r>
        <w:rPr>
          <w:rFonts w:hint="eastAsia" w:ascii="宋体" w:hAnsi="宋体"/>
          <w:sz w:val="22"/>
          <w:szCs w:val="28"/>
        </w:rPr>
        <w:t>发包人违约解除合同</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（1）发生第22.2.1（4）目的违约情况时，承包人可书面通知发包人解除合同。   </w:t>
      </w:r>
    </w:p>
    <w:p>
      <w:pPr>
        <w:spacing w:after="160" w:line="278" w:lineRule="auto"/>
        <w:rPr>
          <w:rFonts w:ascii="宋体" w:hAnsi="宋体"/>
          <w:sz w:val="22"/>
          <w:szCs w:val="28"/>
        </w:rPr>
      </w:pPr>
      <w:r>
        <w:rPr>
          <w:rFonts w:ascii="宋体" w:hAnsi="宋体"/>
          <w:sz w:val="22"/>
          <w:szCs w:val="28"/>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after="160" w:line="278" w:lineRule="auto"/>
        <w:rPr>
          <w:rFonts w:ascii="宋体" w:hAnsi="宋体"/>
          <w:sz w:val="22"/>
          <w:szCs w:val="28"/>
        </w:rPr>
      </w:pPr>
      <w:r>
        <w:rPr>
          <w:rFonts w:ascii="宋体" w:hAnsi="宋体"/>
          <w:sz w:val="22"/>
          <w:szCs w:val="28"/>
        </w:rPr>
        <w:t xml:space="preserve">22.2.4 </w:t>
      </w:r>
      <w:r>
        <w:rPr>
          <w:rFonts w:hint="eastAsia" w:ascii="宋体" w:hAnsi="宋体"/>
          <w:sz w:val="22"/>
          <w:szCs w:val="28"/>
        </w:rPr>
        <w:t>解除合同后的付款</w:t>
      </w:r>
    </w:p>
    <w:p>
      <w:pPr>
        <w:spacing w:after="160" w:line="278" w:lineRule="auto"/>
        <w:rPr>
          <w:rFonts w:ascii="宋体" w:hAnsi="宋体"/>
          <w:sz w:val="22"/>
          <w:szCs w:val="28"/>
        </w:rPr>
      </w:pPr>
      <w:r>
        <w:rPr>
          <w:rFonts w:ascii="宋体" w:hAnsi="宋体"/>
          <w:sz w:val="22"/>
          <w:szCs w:val="28"/>
        </w:rPr>
        <w:t>因发包人违约解除合同的，发包人应在解除合同后28天内向承包人支付下列金额，承包人应在此期限内及时向发包人提交要求支付下列金额的有关资料和凭证：</w:t>
      </w:r>
    </w:p>
    <w:p>
      <w:pPr>
        <w:spacing w:after="160" w:line="278" w:lineRule="auto"/>
        <w:rPr>
          <w:rFonts w:ascii="宋体" w:hAnsi="宋体"/>
          <w:sz w:val="22"/>
          <w:szCs w:val="28"/>
        </w:rPr>
      </w:pPr>
      <w:r>
        <w:rPr>
          <w:rFonts w:ascii="宋体" w:hAnsi="宋体"/>
          <w:sz w:val="22"/>
          <w:szCs w:val="28"/>
        </w:rPr>
        <w:t>（1）合同解除日以前所完成工作的价款；</w:t>
      </w:r>
    </w:p>
    <w:p>
      <w:pPr>
        <w:spacing w:after="160" w:line="278" w:lineRule="auto"/>
        <w:rPr>
          <w:rFonts w:ascii="宋体" w:hAnsi="宋体"/>
          <w:sz w:val="22"/>
          <w:szCs w:val="28"/>
        </w:rPr>
      </w:pPr>
      <w:r>
        <w:rPr>
          <w:rFonts w:ascii="宋体" w:hAnsi="宋体"/>
          <w:sz w:val="22"/>
          <w:szCs w:val="28"/>
        </w:rPr>
        <w:t>（2）承包人为该工程施工订购并已付款的材料、工程设备和其他物品的金额。发包人付还后，该材料、工程设备和其他物品归发包人所有；</w:t>
      </w:r>
    </w:p>
    <w:p>
      <w:pPr>
        <w:spacing w:after="160" w:line="278" w:lineRule="auto"/>
        <w:rPr>
          <w:rFonts w:ascii="宋体" w:hAnsi="宋体"/>
          <w:sz w:val="22"/>
          <w:szCs w:val="28"/>
        </w:rPr>
      </w:pPr>
      <w:r>
        <w:rPr>
          <w:rFonts w:ascii="宋体" w:hAnsi="宋体"/>
          <w:sz w:val="22"/>
          <w:szCs w:val="28"/>
        </w:rPr>
        <w:t>（3）承包人为完成工程所发生的，而发包人未支付的金额；</w:t>
      </w:r>
    </w:p>
    <w:p>
      <w:pPr>
        <w:spacing w:after="160" w:line="278" w:lineRule="auto"/>
        <w:rPr>
          <w:rFonts w:ascii="宋体" w:hAnsi="宋体"/>
          <w:sz w:val="22"/>
          <w:szCs w:val="28"/>
        </w:rPr>
      </w:pPr>
      <w:r>
        <w:rPr>
          <w:rFonts w:ascii="宋体" w:hAnsi="宋体"/>
          <w:sz w:val="22"/>
          <w:szCs w:val="28"/>
        </w:rPr>
        <w:t>（4）承包人撤离施工场地以及遣散承包人人员的金额；</w:t>
      </w:r>
    </w:p>
    <w:p>
      <w:pPr>
        <w:spacing w:after="160" w:line="278" w:lineRule="auto"/>
        <w:rPr>
          <w:rFonts w:ascii="宋体" w:hAnsi="宋体"/>
          <w:sz w:val="22"/>
          <w:szCs w:val="28"/>
        </w:rPr>
      </w:pPr>
      <w:r>
        <w:rPr>
          <w:rFonts w:ascii="宋体" w:hAnsi="宋体"/>
          <w:sz w:val="22"/>
          <w:szCs w:val="28"/>
        </w:rPr>
        <w:t>（5）由于解除合同应赔偿的承包人损失；</w:t>
      </w:r>
    </w:p>
    <w:p>
      <w:pPr>
        <w:spacing w:after="160" w:line="278" w:lineRule="auto"/>
        <w:rPr>
          <w:rFonts w:ascii="宋体" w:hAnsi="宋体"/>
          <w:sz w:val="22"/>
          <w:szCs w:val="28"/>
        </w:rPr>
      </w:pPr>
      <w:r>
        <w:rPr>
          <w:rFonts w:ascii="宋体" w:hAnsi="宋体"/>
          <w:sz w:val="22"/>
          <w:szCs w:val="28"/>
        </w:rPr>
        <w:t>（6）按合同约定在合同解除日前应支付给承包人的其他金额。</w:t>
      </w:r>
    </w:p>
    <w:p>
      <w:pPr>
        <w:spacing w:after="160" w:line="278" w:lineRule="auto"/>
        <w:rPr>
          <w:rFonts w:ascii="宋体" w:hAnsi="宋体"/>
          <w:sz w:val="22"/>
          <w:szCs w:val="28"/>
        </w:rPr>
      </w:pPr>
      <w:r>
        <w:rPr>
          <w:rFonts w:ascii="宋体" w:hAnsi="宋体"/>
          <w:sz w:val="22"/>
          <w:szCs w:val="28"/>
        </w:rPr>
        <w:t>发包人应按本项约定支付上述金额并退还质量保证金和履约担保，但有权要求承包人支付应偿还给发包人的各项金额。</w:t>
      </w:r>
    </w:p>
    <w:p>
      <w:pPr>
        <w:spacing w:after="160" w:line="278" w:lineRule="auto"/>
        <w:rPr>
          <w:rFonts w:ascii="宋体" w:hAnsi="宋体"/>
          <w:sz w:val="22"/>
          <w:szCs w:val="28"/>
        </w:rPr>
      </w:pPr>
      <w:r>
        <w:rPr>
          <w:rFonts w:ascii="宋体" w:hAnsi="宋体"/>
          <w:sz w:val="22"/>
          <w:szCs w:val="28"/>
        </w:rPr>
        <w:t xml:space="preserve">22.2.5 </w:t>
      </w:r>
      <w:r>
        <w:rPr>
          <w:rFonts w:hint="eastAsia" w:ascii="宋体" w:hAnsi="宋体"/>
          <w:sz w:val="22"/>
          <w:szCs w:val="28"/>
        </w:rPr>
        <w:t>解除合同后的承包人撤离</w:t>
      </w:r>
    </w:p>
    <w:p>
      <w:pPr>
        <w:spacing w:after="160" w:line="278" w:lineRule="auto"/>
        <w:rPr>
          <w:rFonts w:ascii="宋体" w:hAnsi="宋体"/>
          <w:sz w:val="22"/>
          <w:szCs w:val="28"/>
        </w:rPr>
      </w:pPr>
      <w:r>
        <w:rPr>
          <w:rFonts w:ascii="宋体" w:hAnsi="宋体"/>
          <w:sz w:val="22"/>
          <w:szCs w:val="28"/>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spacing w:after="160" w:line="278" w:lineRule="auto"/>
        <w:rPr>
          <w:rFonts w:ascii="宋体" w:hAnsi="宋体"/>
          <w:sz w:val="22"/>
          <w:szCs w:val="28"/>
        </w:rPr>
      </w:pPr>
      <w:bookmarkStart w:id="2111" w:name="_Toc142385674"/>
      <w:bookmarkStart w:id="2112" w:name="_Toc109914452"/>
      <w:bookmarkStart w:id="2113" w:name="_Toc129798387"/>
      <w:bookmarkStart w:id="2114" w:name="_Toc152042535"/>
      <w:bookmarkStart w:id="2115" w:name="_Toc338944849"/>
      <w:bookmarkStart w:id="2116" w:name="_Toc342296407"/>
      <w:bookmarkStart w:id="2117" w:name="_Toc152045756"/>
      <w:bookmarkStart w:id="2118" w:name="_Toc132619136"/>
      <w:bookmarkStart w:id="2119" w:name="_Toc179632774"/>
      <w:r>
        <w:rPr>
          <w:rFonts w:ascii="宋体" w:hAnsi="宋体"/>
          <w:sz w:val="22"/>
          <w:szCs w:val="28"/>
        </w:rPr>
        <w:t>22.3 第三人造成的违约</w:t>
      </w:r>
      <w:bookmarkEnd w:id="2111"/>
      <w:bookmarkEnd w:id="2112"/>
      <w:bookmarkEnd w:id="2113"/>
      <w:bookmarkEnd w:id="2114"/>
      <w:bookmarkEnd w:id="2115"/>
      <w:bookmarkEnd w:id="2116"/>
      <w:bookmarkEnd w:id="2117"/>
      <w:bookmarkEnd w:id="2118"/>
      <w:bookmarkEnd w:id="2119"/>
    </w:p>
    <w:p>
      <w:pPr>
        <w:spacing w:after="160" w:line="278" w:lineRule="auto"/>
        <w:rPr>
          <w:rFonts w:ascii="宋体" w:hAnsi="宋体"/>
          <w:sz w:val="22"/>
          <w:szCs w:val="28"/>
        </w:rPr>
      </w:pPr>
      <w:r>
        <w:rPr>
          <w:rFonts w:ascii="宋体" w:hAnsi="宋体"/>
          <w:sz w:val="22"/>
          <w:szCs w:val="28"/>
        </w:rPr>
        <w:t>在履行合同过程中，一方当事人因第三人的原因造成违约的，应当向对方当事人承担违约责任。一方当事人和第三人之间的纠纷，依照法律规定或者按照约定解决。</w:t>
      </w:r>
    </w:p>
    <w:p>
      <w:pPr>
        <w:spacing w:after="160" w:line="278" w:lineRule="auto"/>
        <w:rPr>
          <w:rFonts w:ascii="宋体" w:hAnsi="宋体"/>
          <w:sz w:val="22"/>
          <w:szCs w:val="28"/>
        </w:rPr>
      </w:pPr>
      <w:bookmarkStart w:id="2120" w:name="_Toc338944850"/>
      <w:bookmarkStart w:id="2121" w:name="_Toc448758544"/>
      <w:bookmarkStart w:id="2122" w:name="_Toc109914453"/>
      <w:bookmarkStart w:id="2123" w:name="_Toc129798388"/>
      <w:bookmarkStart w:id="2124" w:name="_Toc469660039"/>
      <w:bookmarkStart w:id="2125" w:name="_Toc342296408"/>
      <w:bookmarkStart w:id="2126" w:name="_Toc179632775"/>
      <w:bookmarkStart w:id="2127" w:name="_Toc448758444"/>
      <w:bookmarkStart w:id="2128" w:name="_Toc152042536"/>
      <w:bookmarkStart w:id="2129" w:name="_Toc144974727"/>
      <w:bookmarkStart w:id="2130" w:name="_Toc442365636"/>
      <w:bookmarkStart w:id="2131" w:name="_Toc152045757"/>
      <w:bookmarkStart w:id="2132" w:name="_Toc142385675"/>
      <w:bookmarkStart w:id="2133" w:name="_Toc132619137"/>
      <w:r>
        <w:rPr>
          <w:rFonts w:ascii="宋体" w:hAnsi="宋体"/>
          <w:sz w:val="22"/>
          <w:szCs w:val="28"/>
        </w:rPr>
        <w:t>23. 索赔</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pPr>
        <w:spacing w:after="160" w:line="278" w:lineRule="auto"/>
        <w:rPr>
          <w:rFonts w:ascii="宋体" w:hAnsi="宋体"/>
          <w:sz w:val="22"/>
          <w:szCs w:val="28"/>
        </w:rPr>
      </w:pPr>
      <w:bookmarkStart w:id="2134" w:name="_Toc152045758"/>
      <w:bookmarkStart w:id="2135" w:name="_Toc144974728"/>
      <w:bookmarkStart w:id="2136" w:name="_Toc338944851"/>
      <w:bookmarkStart w:id="2137" w:name="_Toc342296409"/>
      <w:bookmarkStart w:id="2138" w:name="_Toc152042537"/>
      <w:bookmarkStart w:id="2139" w:name="_Toc142385676"/>
      <w:bookmarkStart w:id="2140" w:name="_Toc179632776"/>
      <w:bookmarkStart w:id="2141" w:name="_Toc129798389"/>
      <w:bookmarkStart w:id="2142" w:name="_Toc109914454"/>
      <w:bookmarkStart w:id="2143" w:name="_Toc132619138"/>
      <w:r>
        <w:rPr>
          <w:rFonts w:ascii="宋体" w:hAnsi="宋体"/>
          <w:sz w:val="22"/>
          <w:szCs w:val="28"/>
        </w:rPr>
        <w:t>23.1 承包人索赔的提出</w:t>
      </w:r>
      <w:bookmarkEnd w:id="2134"/>
      <w:bookmarkEnd w:id="2135"/>
      <w:bookmarkEnd w:id="2136"/>
      <w:bookmarkEnd w:id="2137"/>
      <w:bookmarkEnd w:id="2138"/>
      <w:bookmarkEnd w:id="2139"/>
      <w:bookmarkEnd w:id="2140"/>
      <w:bookmarkEnd w:id="2141"/>
      <w:bookmarkEnd w:id="2142"/>
      <w:bookmarkEnd w:id="2143"/>
    </w:p>
    <w:p>
      <w:pPr>
        <w:spacing w:after="160" w:line="278" w:lineRule="auto"/>
        <w:rPr>
          <w:rFonts w:ascii="宋体" w:hAnsi="宋体"/>
          <w:sz w:val="22"/>
          <w:szCs w:val="28"/>
        </w:rPr>
      </w:pPr>
      <w:r>
        <w:rPr>
          <w:rFonts w:ascii="宋体" w:hAnsi="宋体"/>
          <w:sz w:val="22"/>
          <w:szCs w:val="28"/>
        </w:rPr>
        <w:t>根据合同约定，承包人认为有权得到追加付款和（或）延长工期的，应按以下程序向发包人提出索赔：</w:t>
      </w:r>
    </w:p>
    <w:p>
      <w:pPr>
        <w:spacing w:after="160" w:line="278" w:lineRule="auto"/>
        <w:rPr>
          <w:rFonts w:ascii="宋体" w:hAnsi="宋体"/>
          <w:sz w:val="22"/>
          <w:szCs w:val="28"/>
        </w:rPr>
      </w:pPr>
      <w:r>
        <w:rPr>
          <w:rFonts w:ascii="宋体" w:hAnsi="宋体"/>
          <w:sz w:val="22"/>
          <w:szCs w:val="28"/>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after="160" w:line="278" w:lineRule="auto"/>
        <w:rPr>
          <w:rFonts w:ascii="宋体" w:hAnsi="宋体"/>
          <w:sz w:val="22"/>
          <w:szCs w:val="28"/>
        </w:rPr>
      </w:pPr>
      <w:r>
        <w:rPr>
          <w:rFonts w:ascii="宋体" w:hAnsi="宋体"/>
          <w:sz w:val="22"/>
          <w:szCs w:val="28"/>
        </w:rPr>
        <w:t>（2）承包人应在发出索赔意向通知书后28天内，向监理人正式递交索赔通知书。索赔通知书应详细说明索赔理由以及要求追加的付款金额和（或）延长的工期，并附必要的记录和证明材料；</w:t>
      </w:r>
    </w:p>
    <w:p>
      <w:pPr>
        <w:spacing w:after="160" w:line="278" w:lineRule="auto"/>
        <w:rPr>
          <w:rFonts w:ascii="宋体" w:hAnsi="宋体"/>
          <w:sz w:val="22"/>
          <w:szCs w:val="28"/>
        </w:rPr>
      </w:pPr>
      <w:r>
        <w:rPr>
          <w:rFonts w:ascii="宋体" w:hAnsi="宋体"/>
          <w:sz w:val="22"/>
          <w:szCs w:val="28"/>
        </w:rPr>
        <w:t>（3）索赔事件具有连续影响的，承包人应按合理时间间隔继续递交延续索赔通知，说明连续影响的实际情况和记录，列出累计的追加付款金额和（或）工期延长天数；</w:t>
      </w:r>
    </w:p>
    <w:p>
      <w:pPr>
        <w:spacing w:after="160" w:line="278" w:lineRule="auto"/>
        <w:rPr>
          <w:rFonts w:ascii="宋体" w:hAnsi="宋体"/>
          <w:sz w:val="22"/>
          <w:szCs w:val="28"/>
        </w:rPr>
      </w:pPr>
      <w:r>
        <w:rPr>
          <w:rFonts w:ascii="宋体" w:hAnsi="宋体"/>
          <w:sz w:val="22"/>
          <w:szCs w:val="28"/>
        </w:rPr>
        <w:t>（4）在索赔事件影响结束后的28天内，承包人应向监理人递交最终索赔通知书，说明最终要求索赔的追加付款金额和延长的工期，并附必要的记录和证明材料。</w:t>
      </w:r>
    </w:p>
    <w:p>
      <w:pPr>
        <w:spacing w:after="160" w:line="278" w:lineRule="auto"/>
        <w:rPr>
          <w:rFonts w:ascii="宋体" w:hAnsi="宋体"/>
          <w:sz w:val="22"/>
          <w:szCs w:val="28"/>
        </w:rPr>
      </w:pPr>
      <w:bookmarkStart w:id="2144" w:name="_Toc132619139"/>
      <w:bookmarkStart w:id="2145" w:name="_Toc342296410"/>
      <w:bookmarkStart w:id="2146" w:name="_Toc152045759"/>
      <w:bookmarkStart w:id="2147" w:name="_Toc152042538"/>
      <w:bookmarkStart w:id="2148" w:name="_Toc179632777"/>
      <w:bookmarkStart w:id="2149" w:name="_Toc338944852"/>
      <w:bookmarkStart w:id="2150" w:name="_Toc129798390"/>
      <w:bookmarkStart w:id="2151" w:name="_Toc109914455"/>
      <w:bookmarkStart w:id="2152" w:name="_Toc144974729"/>
      <w:bookmarkStart w:id="2153" w:name="_Toc142385677"/>
      <w:r>
        <w:rPr>
          <w:rFonts w:ascii="宋体" w:hAnsi="宋体"/>
          <w:sz w:val="22"/>
          <w:szCs w:val="28"/>
        </w:rPr>
        <w:t>23.2 承包人索赔处理程序</w:t>
      </w:r>
      <w:bookmarkEnd w:id="2144"/>
      <w:bookmarkEnd w:id="2145"/>
      <w:bookmarkEnd w:id="2146"/>
      <w:bookmarkEnd w:id="2147"/>
      <w:bookmarkEnd w:id="2148"/>
      <w:bookmarkEnd w:id="2149"/>
      <w:bookmarkEnd w:id="2150"/>
      <w:bookmarkEnd w:id="2151"/>
      <w:bookmarkEnd w:id="2152"/>
      <w:bookmarkEnd w:id="2153"/>
    </w:p>
    <w:p>
      <w:pPr>
        <w:spacing w:after="160" w:line="278" w:lineRule="auto"/>
        <w:rPr>
          <w:rFonts w:ascii="宋体" w:hAnsi="宋体"/>
          <w:sz w:val="22"/>
          <w:szCs w:val="28"/>
        </w:rPr>
      </w:pPr>
      <w:r>
        <w:rPr>
          <w:rFonts w:ascii="宋体" w:hAnsi="宋体"/>
          <w:sz w:val="22"/>
          <w:szCs w:val="28"/>
        </w:rPr>
        <w:t>（1）监理人收到承包人提交的索赔通知书后，应及时审查索赔通知书的内容、查验承包人的记录和证明材料，必要时监理人可要求承包人提交全部原始记录副本。</w:t>
      </w:r>
    </w:p>
    <w:p>
      <w:pPr>
        <w:spacing w:after="160" w:line="278" w:lineRule="auto"/>
        <w:rPr>
          <w:rFonts w:ascii="宋体" w:hAnsi="宋体"/>
          <w:sz w:val="22"/>
          <w:szCs w:val="28"/>
        </w:rPr>
      </w:pPr>
      <w:r>
        <w:rPr>
          <w:rFonts w:ascii="宋体" w:hAnsi="宋体"/>
          <w:sz w:val="22"/>
          <w:szCs w:val="28"/>
        </w:rPr>
        <w:t>（2）监理人应按第3.5款商定或确定追加的付款和（或）延长的工期，并在收到上述索赔通知书或有关索赔的进一步证明材料后的42天内，将索赔处理结果答复承包人。</w:t>
      </w:r>
    </w:p>
    <w:p>
      <w:pPr>
        <w:spacing w:after="160" w:line="278" w:lineRule="auto"/>
        <w:rPr>
          <w:rFonts w:ascii="宋体" w:hAnsi="宋体"/>
          <w:sz w:val="22"/>
          <w:szCs w:val="28"/>
        </w:rPr>
      </w:pPr>
      <w:r>
        <w:rPr>
          <w:rFonts w:ascii="宋体" w:hAnsi="宋体"/>
          <w:sz w:val="22"/>
          <w:szCs w:val="28"/>
        </w:rPr>
        <w:t>（3）承包人接受索赔处理结果的，发包人应在作出索赔处理结果答复后28天内完成赔付。承包人不接受索赔处理结果的，按第24条的约定办理。</w:t>
      </w:r>
    </w:p>
    <w:p>
      <w:pPr>
        <w:spacing w:after="160" w:line="278" w:lineRule="auto"/>
        <w:rPr>
          <w:rFonts w:ascii="宋体" w:hAnsi="宋体"/>
          <w:sz w:val="22"/>
          <w:szCs w:val="28"/>
        </w:rPr>
      </w:pPr>
      <w:bookmarkStart w:id="2154" w:name="_Toc152045760"/>
      <w:bookmarkStart w:id="2155" w:name="_Toc132619140"/>
      <w:bookmarkStart w:id="2156" w:name="_Toc152042539"/>
      <w:bookmarkStart w:id="2157" w:name="_Toc129798391"/>
      <w:bookmarkStart w:id="2158" w:name="_Toc342296411"/>
      <w:bookmarkStart w:id="2159" w:name="_Toc109914456"/>
      <w:bookmarkStart w:id="2160" w:name="_Toc338944853"/>
      <w:bookmarkStart w:id="2161" w:name="_Toc179632778"/>
      <w:bookmarkStart w:id="2162" w:name="_Toc142385678"/>
      <w:bookmarkStart w:id="2163" w:name="_Toc144974730"/>
      <w:r>
        <w:rPr>
          <w:rFonts w:ascii="宋体" w:hAnsi="宋体"/>
          <w:sz w:val="22"/>
          <w:szCs w:val="28"/>
        </w:rPr>
        <w:t>23.3 承包人提出索赔的期限</w:t>
      </w:r>
      <w:bookmarkEnd w:id="2154"/>
      <w:bookmarkEnd w:id="2155"/>
      <w:bookmarkEnd w:id="2156"/>
      <w:bookmarkEnd w:id="2157"/>
      <w:bookmarkEnd w:id="2158"/>
      <w:bookmarkEnd w:id="2159"/>
      <w:bookmarkEnd w:id="2160"/>
      <w:bookmarkEnd w:id="2161"/>
      <w:bookmarkEnd w:id="2162"/>
      <w:bookmarkEnd w:id="2163"/>
    </w:p>
    <w:p>
      <w:pPr>
        <w:spacing w:after="160" w:line="278" w:lineRule="auto"/>
        <w:rPr>
          <w:rFonts w:ascii="宋体" w:hAnsi="宋体"/>
          <w:sz w:val="22"/>
          <w:szCs w:val="28"/>
        </w:rPr>
      </w:pPr>
      <w:r>
        <w:rPr>
          <w:rFonts w:ascii="宋体" w:hAnsi="宋体"/>
          <w:sz w:val="22"/>
          <w:szCs w:val="28"/>
        </w:rPr>
        <w:t>23.3.1 承包人按第17.5款的约定接受了竣工付款证书后，应被认为已无权再提出在合同工程接收证书颁发前所发生的任何索赔。</w:t>
      </w:r>
    </w:p>
    <w:p>
      <w:pPr>
        <w:spacing w:after="160" w:line="278" w:lineRule="auto"/>
        <w:rPr>
          <w:rFonts w:ascii="宋体" w:hAnsi="宋体"/>
          <w:sz w:val="22"/>
          <w:szCs w:val="28"/>
        </w:rPr>
      </w:pPr>
      <w:r>
        <w:rPr>
          <w:rFonts w:ascii="宋体" w:hAnsi="宋体"/>
          <w:sz w:val="22"/>
          <w:szCs w:val="28"/>
        </w:rPr>
        <w:t xml:space="preserve">23.3.2 承包人按第17.6款的约定提交的最终结清申请单中，只限于提出工程接收证书颁发后发生的索赔。提出索赔的期限自接受最终结清证书时终止。 </w:t>
      </w:r>
    </w:p>
    <w:p>
      <w:pPr>
        <w:spacing w:after="160" w:line="278" w:lineRule="auto"/>
        <w:rPr>
          <w:rFonts w:ascii="宋体" w:hAnsi="宋体"/>
          <w:sz w:val="22"/>
          <w:szCs w:val="28"/>
        </w:rPr>
      </w:pPr>
      <w:bookmarkStart w:id="2164" w:name="_Toc144974731"/>
      <w:bookmarkStart w:id="2165" w:name="_Toc129798392"/>
      <w:bookmarkStart w:id="2166" w:name="_Toc179632779"/>
      <w:bookmarkStart w:id="2167" w:name="_Toc142385679"/>
      <w:bookmarkStart w:id="2168" w:name="_Toc132619141"/>
      <w:bookmarkStart w:id="2169" w:name="_Toc152042540"/>
      <w:bookmarkStart w:id="2170" w:name="_Toc338944854"/>
      <w:bookmarkStart w:id="2171" w:name="_Toc342296412"/>
      <w:bookmarkStart w:id="2172" w:name="_Toc152045761"/>
      <w:bookmarkStart w:id="2173" w:name="_Toc109914457"/>
      <w:r>
        <w:rPr>
          <w:rFonts w:ascii="宋体" w:hAnsi="宋体"/>
          <w:sz w:val="22"/>
          <w:szCs w:val="28"/>
        </w:rPr>
        <w:t>23.4 发包人的索赔</w:t>
      </w:r>
      <w:bookmarkEnd w:id="2164"/>
      <w:bookmarkEnd w:id="2165"/>
      <w:bookmarkEnd w:id="2166"/>
      <w:bookmarkEnd w:id="2167"/>
      <w:bookmarkEnd w:id="2168"/>
      <w:bookmarkEnd w:id="2169"/>
      <w:bookmarkEnd w:id="2170"/>
      <w:bookmarkEnd w:id="2171"/>
      <w:bookmarkEnd w:id="2172"/>
      <w:bookmarkEnd w:id="2173"/>
    </w:p>
    <w:p>
      <w:pPr>
        <w:spacing w:after="160" w:line="278" w:lineRule="auto"/>
        <w:rPr>
          <w:rFonts w:ascii="宋体" w:hAnsi="宋体"/>
          <w:sz w:val="22"/>
          <w:szCs w:val="28"/>
        </w:rPr>
      </w:pPr>
      <w:r>
        <w:rPr>
          <w:rFonts w:ascii="宋体" w:hAnsi="宋体"/>
          <w:sz w:val="22"/>
          <w:szCs w:val="28"/>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after="160" w:line="278" w:lineRule="auto"/>
        <w:rPr>
          <w:rFonts w:ascii="宋体" w:hAnsi="宋体"/>
          <w:sz w:val="22"/>
          <w:szCs w:val="28"/>
        </w:rPr>
      </w:pPr>
      <w:r>
        <w:rPr>
          <w:rFonts w:ascii="宋体" w:hAnsi="宋体"/>
          <w:sz w:val="22"/>
          <w:szCs w:val="28"/>
        </w:rPr>
        <w:t>23.4.2 监理人按第3.5款商定或确定发包人从承包人处得到赔付的金额和（或）缺陷责任期的延长期。承包人应付给发包人的金额可从拟支付给承包人的合同价款中扣除，或由承包人以其他方式支付给发包人。</w:t>
      </w:r>
    </w:p>
    <w:p>
      <w:pPr>
        <w:spacing w:after="160" w:line="278" w:lineRule="auto"/>
        <w:rPr>
          <w:rFonts w:ascii="宋体" w:hAnsi="宋体"/>
          <w:sz w:val="22"/>
          <w:szCs w:val="28"/>
        </w:rPr>
      </w:pPr>
      <w:bookmarkStart w:id="2174" w:name="_Toc142385680"/>
      <w:bookmarkStart w:id="2175" w:name="_Toc109914458"/>
      <w:bookmarkStart w:id="2176" w:name="_Toc338944855"/>
      <w:bookmarkStart w:id="2177" w:name="_Toc132619142"/>
      <w:bookmarkStart w:id="2178" w:name="_Toc469660040"/>
      <w:bookmarkStart w:id="2179" w:name="_Toc342296413"/>
      <w:bookmarkStart w:id="2180" w:name="_Toc129798393"/>
      <w:bookmarkStart w:id="2181" w:name="_Toc448758445"/>
      <w:bookmarkStart w:id="2182" w:name="_Toc448758545"/>
      <w:bookmarkStart w:id="2183" w:name="_Toc442365637"/>
      <w:r>
        <w:rPr>
          <w:rFonts w:ascii="宋体" w:hAnsi="宋体"/>
          <w:sz w:val="22"/>
          <w:szCs w:val="28"/>
        </w:rPr>
        <w:t>24. 争议的解决</w:t>
      </w:r>
      <w:bookmarkEnd w:id="2174"/>
      <w:bookmarkEnd w:id="2175"/>
      <w:bookmarkEnd w:id="2176"/>
      <w:bookmarkEnd w:id="2177"/>
      <w:bookmarkEnd w:id="2178"/>
      <w:bookmarkEnd w:id="2179"/>
      <w:bookmarkEnd w:id="2180"/>
      <w:bookmarkEnd w:id="2181"/>
      <w:bookmarkEnd w:id="2182"/>
      <w:bookmarkEnd w:id="2183"/>
    </w:p>
    <w:p>
      <w:pPr>
        <w:spacing w:after="160" w:line="278" w:lineRule="auto"/>
        <w:rPr>
          <w:rFonts w:ascii="宋体" w:hAnsi="宋体"/>
          <w:sz w:val="22"/>
          <w:szCs w:val="28"/>
        </w:rPr>
      </w:pPr>
      <w:bookmarkStart w:id="2184" w:name="_Toc142385681"/>
      <w:bookmarkStart w:id="2185" w:name="_Toc132619143"/>
      <w:bookmarkStart w:id="2186" w:name="_Toc338944856"/>
      <w:bookmarkStart w:id="2187" w:name="_Toc109914459"/>
      <w:bookmarkStart w:id="2188" w:name="_Toc129798394"/>
      <w:bookmarkStart w:id="2189" w:name="_Toc342296414"/>
      <w:r>
        <w:rPr>
          <w:rFonts w:ascii="宋体" w:hAnsi="宋体"/>
          <w:sz w:val="22"/>
          <w:szCs w:val="28"/>
        </w:rPr>
        <w:t>24.1 争议的解决方式</w:t>
      </w:r>
      <w:bookmarkEnd w:id="2184"/>
      <w:bookmarkEnd w:id="2185"/>
      <w:bookmarkEnd w:id="2186"/>
      <w:bookmarkEnd w:id="2187"/>
      <w:bookmarkEnd w:id="2188"/>
      <w:bookmarkEnd w:id="2189"/>
    </w:p>
    <w:p>
      <w:pPr>
        <w:spacing w:after="160" w:line="278" w:lineRule="auto"/>
        <w:rPr>
          <w:rFonts w:ascii="宋体" w:hAnsi="宋体"/>
          <w:sz w:val="22"/>
          <w:szCs w:val="28"/>
        </w:rPr>
      </w:pPr>
      <w:r>
        <w:rPr>
          <w:rFonts w:ascii="宋体" w:hAnsi="宋体"/>
          <w:sz w:val="22"/>
          <w:szCs w:val="28"/>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after="160" w:line="278" w:lineRule="auto"/>
        <w:rPr>
          <w:rFonts w:ascii="宋体" w:hAnsi="宋体"/>
          <w:sz w:val="22"/>
          <w:szCs w:val="28"/>
        </w:rPr>
      </w:pPr>
      <w:r>
        <w:rPr>
          <w:rFonts w:ascii="宋体" w:hAnsi="宋体"/>
          <w:sz w:val="22"/>
          <w:szCs w:val="28"/>
        </w:rPr>
        <w:t>（1）向约定的仲裁委员会申请仲裁；</w:t>
      </w:r>
    </w:p>
    <w:p>
      <w:pPr>
        <w:spacing w:after="160" w:line="278" w:lineRule="auto"/>
        <w:rPr>
          <w:rFonts w:ascii="宋体" w:hAnsi="宋体"/>
          <w:sz w:val="22"/>
          <w:szCs w:val="28"/>
        </w:rPr>
      </w:pPr>
      <w:r>
        <w:rPr>
          <w:rFonts w:ascii="宋体" w:hAnsi="宋体"/>
          <w:sz w:val="22"/>
          <w:szCs w:val="28"/>
        </w:rPr>
        <w:t>（2）向有管辖权的人民法院提起诉讼。</w:t>
      </w:r>
    </w:p>
    <w:p>
      <w:pPr>
        <w:spacing w:after="160" w:line="278" w:lineRule="auto"/>
        <w:rPr>
          <w:rFonts w:ascii="宋体" w:hAnsi="宋体"/>
          <w:sz w:val="22"/>
          <w:szCs w:val="28"/>
        </w:rPr>
      </w:pPr>
      <w:bookmarkStart w:id="2190" w:name="_Toc342296415"/>
      <w:bookmarkStart w:id="2191" w:name="_Toc338944857"/>
      <w:bookmarkStart w:id="2192" w:name="_Toc132619144"/>
      <w:bookmarkStart w:id="2193" w:name="_Toc142385682"/>
      <w:bookmarkStart w:id="2194" w:name="_Toc109914460"/>
      <w:bookmarkStart w:id="2195" w:name="_Toc129798395"/>
      <w:r>
        <w:rPr>
          <w:rFonts w:ascii="宋体" w:hAnsi="宋体"/>
          <w:sz w:val="22"/>
          <w:szCs w:val="28"/>
        </w:rPr>
        <w:t>24.2 友好解决</w:t>
      </w:r>
      <w:bookmarkEnd w:id="2190"/>
      <w:bookmarkEnd w:id="2191"/>
      <w:bookmarkEnd w:id="2192"/>
      <w:bookmarkEnd w:id="2193"/>
      <w:bookmarkEnd w:id="2194"/>
      <w:bookmarkEnd w:id="2195"/>
    </w:p>
    <w:p>
      <w:pPr>
        <w:spacing w:after="160" w:line="278" w:lineRule="auto"/>
        <w:rPr>
          <w:rFonts w:ascii="宋体" w:hAnsi="宋体"/>
          <w:sz w:val="22"/>
          <w:szCs w:val="28"/>
        </w:rPr>
      </w:pPr>
      <w:r>
        <w:rPr>
          <w:rFonts w:ascii="宋体" w:hAnsi="宋体"/>
          <w:sz w:val="22"/>
          <w:szCs w:val="28"/>
        </w:rPr>
        <w:t>在提请争议评审、仲裁或者诉讼前，以及在争议评审、仲裁或诉讼过程中，发包人和承包人均可共同努力友好协商解决争议。</w:t>
      </w:r>
    </w:p>
    <w:p>
      <w:pPr>
        <w:spacing w:after="160" w:line="278" w:lineRule="auto"/>
        <w:rPr>
          <w:rFonts w:ascii="宋体" w:hAnsi="宋体"/>
          <w:sz w:val="22"/>
          <w:szCs w:val="28"/>
        </w:rPr>
      </w:pPr>
      <w:bookmarkStart w:id="2196" w:name="_Toc129798396"/>
      <w:bookmarkStart w:id="2197" w:name="_Toc342296416"/>
      <w:bookmarkStart w:id="2198" w:name="_Toc338944858"/>
      <w:bookmarkStart w:id="2199" w:name="_Toc132619145"/>
      <w:bookmarkStart w:id="2200" w:name="_Toc142385683"/>
      <w:bookmarkStart w:id="2201" w:name="_Toc109914461"/>
      <w:r>
        <w:rPr>
          <w:rFonts w:ascii="宋体" w:hAnsi="宋体"/>
          <w:sz w:val="22"/>
          <w:szCs w:val="28"/>
        </w:rPr>
        <w:t>24.3 争议评审</w:t>
      </w:r>
      <w:bookmarkEnd w:id="2196"/>
      <w:bookmarkEnd w:id="2197"/>
      <w:bookmarkEnd w:id="2198"/>
      <w:bookmarkEnd w:id="2199"/>
      <w:bookmarkEnd w:id="2200"/>
      <w:bookmarkEnd w:id="2201"/>
    </w:p>
    <w:p>
      <w:pPr>
        <w:spacing w:after="160" w:line="278" w:lineRule="auto"/>
        <w:rPr>
          <w:rFonts w:ascii="宋体" w:hAnsi="宋体"/>
          <w:sz w:val="22"/>
          <w:szCs w:val="28"/>
        </w:rPr>
      </w:pPr>
      <w:r>
        <w:rPr>
          <w:rFonts w:ascii="宋体" w:hAnsi="宋体"/>
          <w:sz w:val="22"/>
          <w:szCs w:val="28"/>
        </w:rPr>
        <w:t>24.3.1 采用争议评审的，发包人和承包人应在开工日后的28天内或在争议发生后，协商成立争议评审组。争议评审组由有合同管理和工程实践经验的专家组成。</w:t>
      </w:r>
    </w:p>
    <w:p>
      <w:pPr>
        <w:spacing w:after="160" w:line="278" w:lineRule="auto"/>
        <w:rPr>
          <w:rFonts w:ascii="宋体" w:hAnsi="宋体"/>
          <w:sz w:val="22"/>
          <w:szCs w:val="28"/>
        </w:rPr>
      </w:pPr>
      <w:r>
        <w:rPr>
          <w:rFonts w:ascii="宋体" w:hAnsi="宋体"/>
          <w:sz w:val="22"/>
          <w:szCs w:val="28"/>
        </w:rPr>
        <w:t>24.3.2 合同双方的争议，应首先由申请人向争议评审组提交一份详细的评审申请报告，并附必要的文件、图纸和证明材料，申请人还应将上述报告的副本同时提交给被申请人和监理人。</w:t>
      </w:r>
    </w:p>
    <w:p>
      <w:pPr>
        <w:spacing w:after="160" w:line="278" w:lineRule="auto"/>
        <w:rPr>
          <w:rFonts w:ascii="宋体" w:hAnsi="宋体"/>
          <w:sz w:val="22"/>
          <w:szCs w:val="28"/>
        </w:rPr>
      </w:pPr>
      <w:r>
        <w:rPr>
          <w:rFonts w:ascii="宋体" w:hAnsi="宋体"/>
          <w:sz w:val="22"/>
          <w:szCs w:val="28"/>
        </w:rPr>
        <w:t>24.3.3 被申请人在收到申请人评审申请报告副本后的28天内，向争议评审组提交一份答辩报告，并附证明材料。被申请人应将答辩报告的副本同时提交给申请人和监理人。</w:t>
      </w:r>
    </w:p>
    <w:p>
      <w:pPr>
        <w:spacing w:after="160" w:line="278" w:lineRule="auto"/>
        <w:rPr>
          <w:rFonts w:ascii="宋体" w:hAnsi="宋体"/>
          <w:sz w:val="22"/>
          <w:szCs w:val="28"/>
        </w:rPr>
      </w:pPr>
      <w:r>
        <w:rPr>
          <w:rFonts w:ascii="宋体" w:hAnsi="宋体"/>
          <w:sz w:val="22"/>
          <w:szCs w:val="28"/>
        </w:rPr>
        <w:t>24.3.4 除专用合同条款另有约定外，争议评审组在收到合同双方报告后的14天内，邀请双方代表和有关人员举行调查会，向双方调查争议细节；必要时争议评审组可要求双方进一步提供补充材料。</w:t>
      </w:r>
    </w:p>
    <w:p>
      <w:pPr>
        <w:spacing w:after="160" w:line="278" w:lineRule="auto"/>
        <w:rPr>
          <w:rFonts w:ascii="宋体" w:hAnsi="宋体"/>
          <w:sz w:val="22"/>
          <w:szCs w:val="28"/>
        </w:rPr>
      </w:pPr>
      <w:r>
        <w:rPr>
          <w:rFonts w:ascii="宋体" w:hAnsi="宋体"/>
          <w:sz w:val="22"/>
          <w:szCs w:val="28"/>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after="160" w:line="278" w:lineRule="auto"/>
        <w:rPr>
          <w:rFonts w:ascii="宋体" w:hAnsi="宋体"/>
          <w:sz w:val="22"/>
          <w:szCs w:val="28"/>
        </w:rPr>
      </w:pPr>
      <w:r>
        <w:rPr>
          <w:rFonts w:ascii="宋体" w:hAnsi="宋体"/>
          <w:sz w:val="22"/>
          <w:szCs w:val="28"/>
        </w:rPr>
        <w:t>24.3.6 发包人和承包人接受评审意见的，由监理人根据评审意见拟定执行协议，经争议双方签字后作为合同的补充文件，并遵照执行。</w:t>
      </w:r>
    </w:p>
    <w:p>
      <w:pPr>
        <w:spacing w:after="160" w:line="278" w:lineRule="auto"/>
        <w:rPr>
          <w:rFonts w:ascii="宋体" w:hAnsi="宋体"/>
          <w:sz w:val="22"/>
          <w:szCs w:val="28"/>
        </w:rPr>
      </w:pPr>
      <w:r>
        <w:rPr>
          <w:rFonts w:ascii="宋体" w:hAnsi="宋体"/>
          <w:sz w:val="22"/>
          <w:szCs w:val="28"/>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sectPr>
          <w:pgSz w:w="11906" w:h="16838"/>
          <w:pgMar w:top="1440" w:right="1797" w:bottom="1440" w:left="1797" w:header="851" w:footer="992" w:gutter="0"/>
          <w:cols w:space="720" w:num="1"/>
          <w:docGrid w:linePitch="312" w:charSpace="0"/>
        </w:sectPr>
      </w:pPr>
    </w:p>
    <w:p>
      <w:pPr>
        <w:spacing w:after="160" w:line="278" w:lineRule="auto"/>
        <w:outlineLvl w:val="1"/>
        <w:rPr>
          <w:rFonts w:ascii="宋体" w:hAnsi="宋体"/>
          <w:b/>
          <w:bCs/>
          <w:sz w:val="32"/>
          <w:szCs w:val="40"/>
        </w:rPr>
      </w:pPr>
      <w:r>
        <w:rPr>
          <w:rFonts w:ascii="宋体" w:hAnsi="宋体"/>
          <w:b/>
          <w:bCs/>
          <w:sz w:val="32"/>
          <w:szCs w:val="40"/>
        </w:rPr>
        <w:t>第</w:t>
      </w:r>
      <w:r>
        <w:rPr>
          <w:rFonts w:hint="eastAsia" w:ascii="宋体" w:hAnsi="宋体"/>
          <w:b/>
          <w:bCs/>
          <w:sz w:val="32"/>
          <w:szCs w:val="40"/>
        </w:rPr>
        <w:t xml:space="preserve">三节 </w:t>
      </w:r>
      <w:r>
        <w:rPr>
          <w:rFonts w:ascii="宋体" w:hAnsi="宋体"/>
          <w:b/>
          <w:bCs/>
          <w:sz w:val="32"/>
          <w:szCs w:val="40"/>
        </w:rPr>
        <w:t>合同</w:t>
      </w:r>
      <w:r>
        <w:rPr>
          <w:rFonts w:hint="eastAsia" w:ascii="宋体" w:hAnsi="宋体"/>
          <w:b/>
          <w:bCs/>
          <w:sz w:val="32"/>
          <w:szCs w:val="40"/>
        </w:rPr>
        <w:t>条款专用部分</w:t>
      </w:r>
    </w:p>
    <w:p>
      <w:pPr>
        <w:spacing w:after="160" w:line="278" w:lineRule="auto"/>
        <w:rPr>
          <w:rFonts w:ascii="宋体" w:hAnsi="宋体"/>
          <w:b/>
          <w:bCs/>
          <w:sz w:val="32"/>
          <w:szCs w:val="40"/>
        </w:rPr>
      </w:pPr>
    </w:p>
    <w:p>
      <w:pPr>
        <w:spacing w:after="160" w:line="278" w:lineRule="auto"/>
        <w:jc w:val="center"/>
        <w:rPr>
          <w:rFonts w:ascii="宋体" w:hAnsi="宋体"/>
          <w:b/>
          <w:bCs/>
          <w:sz w:val="32"/>
          <w:szCs w:val="40"/>
        </w:rPr>
      </w:pPr>
      <w:bookmarkStart w:id="2202" w:name="_Toc142385684"/>
      <w:r>
        <w:rPr>
          <w:rFonts w:hint="eastAsia" w:ascii="宋体" w:hAnsi="宋体"/>
          <w:b/>
          <w:bCs/>
          <w:sz w:val="32"/>
          <w:szCs w:val="40"/>
        </w:rPr>
        <w:t>专用合同条款</w:t>
      </w:r>
      <w:bookmarkEnd w:id="2202"/>
    </w:p>
    <w:p>
      <w:pPr>
        <w:spacing w:after="160" w:line="278" w:lineRule="auto"/>
        <w:rPr>
          <w:rFonts w:ascii="宋体" w:hAnsi="宋体"/>
          <w:sz w:val="22"/>
          <w:szCs w:val="28"/>
        </w:rPr>
      </w:pPr>
      <w:bookmarkStart w:id="2203" w:name="_Toc342296418"/>
      <w:bookmarkStart w:id="2204" w:name="_Toc448758447"/>
      <w:bookmarkStart w:id="2205" w:name="_Toc109914462"/>
      <w:bookmarkStart w:id="2206" w:name="_Toc469660042"/>
      <w:bookmarkStart w:id="2207" w:name="_Toc241459659"/>
      <w:bookmarkStart w:id="2208" w:name="_Toc132619146"/>
      <w:bookmarkStart w:id="2209" w:name="_Toc448758547"/>
      <w:bookmarkStart w:id="2210" w:name="_Toc442365639"/>
      <w:bookmarkStart w:id="2211" w:name="_Toc129798397"/>
      <w:bookmarkStart w:id="2212" w:name="_Toc142385685"/>
      <w:r>
        <w:rPr>
          <w:rFonts w:ascii="宋体" w:hAnsi="宋体"/>
          <w:sz w:val="22"/>
          <w:szCs w:val="28"/>
        </w:rPr>
        <w:t>1. 一般约定</w:t>
      </w:r>
      <w:bookmarkEnd w:id="2203"/>
      <w:bookmarkEnd w:id="2204"/>
      <w:bookmarkEnd w:id="2205"/>
      <w:bookmarkEnd w:id="2206"/>
      <w:bookmarkEnd w:id="2207"/>
      <w:bookmarkEnd w:id="2208"/>
      <w:bookmarkEnd w:id="2209"/>
      <w:bookmarkEnd w:id="2210"/>
      <w:bookmarkEnd w:id="2211"/>
      <w:bookmarkEnd w:id="2212"/>
    </w:p>
    <w:p>
      <w:pPr>
        <w:spacing w:after="160" w:line="278" w:lineRule="auto"/>
        <w:rPr>
          <w:rFonts w:ascii="宋体" w:hAnsi="宋体"/>
          <w:sz w:val="22"/>
          <w:szCs w:val="28"/>
        </w:rPr>
      </w:pPr>
      <w:bookmarkStart w:id="2213" w:name="_Toc241459660"/>
      <w:bookmarkStart w:id="2214" w:name="_Toc142385686"/>
      <w:bookmarkStart w:id="2215" w:name="_Toc132619147"/>
      <w:bookmarkStart w:id="2216" w:name="_Toc179632630"/>
      <w:bookmarkStart w:id="2217" w:name="_Toc109914463"/>
      <w:bookmarkStart w:id="2218" w:name="_Toc152042390"/>
      <w:bookmarkStart w:id="2219" w:name="_Toc129798398"/>
      <w:bookmarkStart w:id="2220" w:name="_Toc144974580"/>
      <w:bookmarkStart w:id="2221" w:name="_Toc152045612"/>
      <w:bookmarkStart w:id="2222" w:name="_Toc342296419"/>
      <w:r>
        <w:rPr>
          <w:rFonts w:ascii="宋体" w:hAnsi="宋体"/>
          <w:sz w:val="22"/>
          <w:szCs w:val="28"/>
        </w:rPr>
        <w:t>1.1 词语定义</w:t>
      </w:r>
      <w:bookmarkEnd w:id="2213"/>
      <w:bookmarkEnd w:id="2214"/>
      <w:bookmarkEnd w:id="2215"/>
      <w:bookmarkEnd w:id="2216"/>
      <w:bookmarkEnd w:id="2217"/>
      <w:bookmarkEnd w:id="2218"/>
      <w:bookmarkEnd w:id="2219"/>
      <w:bookmarkEnd w:id="2220"/>
      <w:bookmarkEnd w:id="2221"/>
      <w:bookmarkEnd w:id="2222"/>
    </w:p>
    <w:p>
      <w:pPr>
        <w:spacing w:after="160" w:line="278" w:lineRule="auto"/>
        <w:rPr>
          <w:rFonts w:ascii="宋体" w:hAnsi="宋体"/>
          <w:sz w:val="22"/>
          <w:szCs w:val="28"/>
        </w:rPr>
      </w:pPr>
      <w:r>
        <w:rPr>
          <w:rFonts w:ascii="宋体" w:hAnsi="宋体"/>
          <w:sz w:val="22"/>
          <w:szCs w:val="28"/>
        </w:rPr>
        <w:t>1.1.2</w:t>
      </w:r>
      <w:r>
        <w:rPr>
          <w:rFonts w:hint="eastAsia" w:ascii="宋体" w:hAnsi="宋体"/>
          <w:sz w:val="22"/>
          <w:szCs w:val="28"/>
        </w:rPr>
        <w:t>合同当事人和人员</w:t>
      </w:r>
    </w:p>
    <w:p>
      <w:pPr>
        <w:spacing w:after="160" w:line="278" w:lineRule="auto"/>
        <w:rPr>
          <w:rFonts w:ascii="宋体" w:hAnsi="宋体"/>
          <w:sz w:val="22"/>
          <w:szCs w:val="28"/>
        </w:rPr>
      </w:pPr>
      <w:r>
        <w:rPr>
          <w:rFonts w:ascii="宋体" w:hAnsi="宋体"/>
          <w:sz w:val="22"/>
          <w:szCs w:val="28"/>
        </w:rPr>
        <w:t xml:space="preserve">1.1.2.2发包人：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1.1.2.4发包人代表：指发包人指定的派驻施工场地（现场）的全权代表。</w:t>
      </w:r>
    </w:p>
    <w:p>
      <w:pPr>
        <w:spacing w:after="160" w:line="278" w:lineRule="auto"/>
        <w:rPr>
          <w:rFonts w:ascii="宋体" w:hAnsi="宋体"/>
          <w:sz w:val="22"/>
          <w:szCs w:val="28"/>
        </w:rPr>
      </w:pPr>
      <w:r>
        <w:rPr>
          <w:rFonts w:ascii="宋体" w:hAnsi="宋体"/>
          <w:sz w:val="22"/>
          <w:szCs w:val="28"/>
        </w:rPr>
        <w:t xml:space="preserve">姓    名：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职    称：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联系电话：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电子信箱：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通信地址：</w:t>
      </w:r>
      <w:r>
        <w:rPr>
          <w:rFonts w:hint="eastAsia"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1.1.2.6监理人：</w:t>
      </w:r>
    </w:p>
    <w:p>
      <w:pPr>
        <w:spacing w:after="160" w:line="278" w:lineRule="auto"/>
        <w:rPr>
          <w:rFonts w:ascii="宋体" w:hAnsi="宋体"/>
          <w:sz w:val="22"/>
          <w:szCs w:val="28"/>
        </w:rPr>
      </w:pPr>
      <w:r>
        <w:rPr>
          <w:rFonts w:hint="eastAsia" w:ascii="宋体" w:hAnsi="宋体"/>
          <w:sz w:val="22"/>
          <w:szCs w:val="28"/>
        </w:rPr>
        <w:t>名</w:t>
      </w:r>
      <w:r>
        <w:rPr>
          <w:rFonts w:ascii="宋体" w:hAnsi="宋体"/>
          <w:sz w:val="22"/>
          <w:szCs w:val="28"/>
        </w:rPr>
        <w:t xml:space="preserve">    称：</w:t>
      </w:r>
      <w:r>
        <w:rPr>
          <w:rFonts w:hint="eastAsia" w:ascii="宋体" w:hAnsi="宋体"/>
          <w:sz w:val="22"/>
          <w:szCs w:val="28"/>
        </w:rPr>
        <w:t xml:space="preserve"> </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资质类别和等级：</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联系电话：</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电子信箱：</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通信地址：</w:t>
      </w:r>
      <w:r>
        <w:rPr>
          <w:rFonts w:hint="eastAsia" w:ascii="宋体" w:hAnsi="宋体"/>
          <w:sz w:val="22"/>
          <w:szCs w:val="28"/>
          <w:u w:val="single"/>
        </w:rPr>
        <w:t xml:space="preserve">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1.1.2.8 设计人：</w:t>
      </w:r>
    </w:p>
    <w:p>
      <w:pPr>
        <w:spacing w:after="160" w:line="278" w:lineRule="auto"/>
        <w:rPr>
          <w:rFonts w:ascii="宋体" w:hAnsi="宋体"/>
          <w:sz w:val="22"/>
          <w:szCs w:val="28"/>
        </w:rPr>
      </w:pPr>
      <w:r>
        <w:rPr>
          <w:rFonts w:hint="eastAsia" w:ascii="宋体" w:hAnsi="宋体"/>
          <w:sz w:val="22"/>
          <w:szCs w:val="28"/>
        </w:rPr>
        <w:t>名</w:t>
      </w:r>
      <w:r>
        <w:rPr>
          <w:rFonts w:ascii="宋体" w:hAnsi="宋体"/>
          <w:sz w:val="22"/>
          <w:szCs w:val="28"/>
        </w:rPr>
        <w:t>   </w:t>
      </w:r>
      <w:r>
        <w:rPr>
          <w:rFonts w:hint="eastAsia" w:ascii="宋体" w:hAnsi="宋体"/>
          <w:sz w:val="22"/>
          <w:szCs w:val="28"/>
        </w:rPr>
        <w:t xml:space="preserve"> 称： </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     </w:t>
      </w:r>
      <w:r>
        <w:rPr>
          <w:rFonts w:hint="eastAsia"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资质类别和等级：</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     </w:t>
      </w:r>
      <w:r>
        <w:rPr>
          <w:rFonts w:hint="eastAsia" w:ascii="宋体" w:hAnsi="宋体"/>
          <w:sz w:val="22"/>
          <w:szCs w:val="28"/>
        </w:rPr>
        <w:t>；</w:t>
      </w:r>
    </w:p>
    <w:p>
      <w:pPr>
        <w:spacing w:after="160" w:line="278" w:lineRule="auto"/>
        <w:rPr>
          <w:rFonts w:ascii="宋体" w:hAnsi="宋体"/>
          <w:sz w:val="22"/>
          <w:szCs w:val="28"/>
        </w:rPr>
      </w:pPr>
      <w:r>
        <w:rPr>
          <w:rFonts w:hint="eastAsia" w:ascii="宋体" w:hAnsi="宋体"/>
          <w:sz w:val="22"/>
          <w:szCs w:val="28"/>
        </w:rPr>
        <w:t>联系电话：</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     </w:t>
      </w:r>
      <w:r>
        <w:rPr>
          <w:rFonts w:hint="eastAsia" w:ascii="宋体" w:hAnsi="宋体"/>
          <w:sz w:val="22"/>
          <w:szCs w:val="28"/>
        </w:rPr>
        <w:t>；</w:t>
      </w:r>
    </w:p>
    <w:p>
      <w:pPr>
        <w:spacing w:after="160" w:line="278" w:lineRule="auto"/>
        <w:rPr>
          <w:rFonts w:ascii="宋体" w:hAnsi="宋体"/>
          <w:sz w:val="22"/>
          <w:szCs w:val="28"/>
        </w:rPr>
      </w:pPr>
      <w:r>
        <w:rPr>
          <w:rFonts w:hint="eastAsia" w:ascii="宋体" w:hAnsi="宋体"/>
          <w:sz w:val="22"/>
          <w:szCs w:val="28"/>
        </w:rPr>
        <w:t>电子信箱：</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     </w:t>
      </w:r>
      <w:r>
        <w:rPr>
          <w:rFonts w:hint="eastAsia" w:ascii="宋体" w:hAnsi="宋体"/>
          <w:sz w:val="22"/>
          <w:szCs w:val="28"/>
        </w:rPr>
        <w:t>；</w:t>
      </w:r>
    </w:p>
    <w:p>
      <w:pPr>
        <w:spacing w:after="160" w:line="278" w:lineRule="auto"/>
        <w:rPr>
          <w:rFonts w:ascii="宋体" w:hAnsi="宋体"/>
          <w:sz w:val="22"/>
          <w:szCs w:val="28"/>
        </w:rPr>
      </w:pPr>
      <w:r>
        <w:rPr>
          <w:rFonts w:hint="eastAsia" w:ascii="宋体" w:hAnsi="宋体"/>
          <w:sz w:val="22"/>
          <w:szCs w:val="28"/>
        </w:rPr>
        <w:t>通信地址：</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     </w:t>
      </w:r>
      <w:r>
        <w:rPr>
          <w:rFonts w:hint="eastAsia" w:ascii="宋体" w:hAnsi="宋体"/>
          <w:sz w:val="22"/>
          <w:szCs w:val="28"/>
        </w:rPr>
        <w:t>。</w:t>
      </w:r>
    </w:p>
    <w:p>
      <w:pPr>
        <w:spacing w:after="160" w:line="278" w:lineRule="auto"/>
        <w:rPr>
          <w:rFonts w:ascii="宋体" w:hAnsi="宋体"/>
          <w:sz w:val="22"/>
          <w:szCs w:val="28"/>
        </w:rPr>
      </w:pPr>
      <w:r>
        <w:rPr>
          <w:rFonts w:hint="eastAsia" w:ascii="宋体" w:hAnsi="宋体"/>
          <w:sz w:val="22"/>
          <w:szCs w:val="28"/>
        </w:rPr>
        <w:t>1.1.2.9承包人：</w:t>
      </w:r>
    </w:p>
    <w:p>
      <w:pPr>
        <w:spacing w:after="160" w:line="278" w:lineRule="auto"/>
        <w:rPr>
          <w:rFonts w:ascii="宋体" w:hAnsi="宋体"/>
          <w:sz w:val="22"/>
          <w:szCs w:val="28"/>
        </w:rPr>
      </w:pPr>
      <w:r>
        <w:rPr>
          <w:rFonts w:hint="eastAsia" w:ascii="宋体" w:hAnsi="宋体"/>
          <w:sz w:val="22"/>
          <w:szCs w:val="28"/>
        </w:rPr>
        <w:t>承包人项目经理：</w:t>
      </w:r>
      <w:r>
        <w:rPr>
          <w:rFonts w:hint="eastAsia" w:ascii="宋体" w:hAnsi="宋体"/>
          <w:sz w:val="22"/>
          <w:szCs w:val="28"/>
          <w:u w:val="single"/>
        </w:rPr>
        <w:t xml:space="preserve">              </w:t>
      </w:r>
    </w:p>
    <w:p>
      <w:pPr>
        <w:spacing w:after="160" w:line="278" w:lineRule="auto"/>
        <w:rPr>
          <w:rFonts w:ascii="宋体" w:hAnsi="宋体"/>
          <w:sz w:val="22"/>
          <w:szCs w:val="28"/>
        </w:rPr>
      </w:pPr>
      <w:r>
        <w:rPr>
          <w:rFonts w:hint="eastAsia" w:ascii="宋体" w:hAnsi="宋体"/>
          <w:sz w:val="22"/>
          <w:szCs w:val="28"/>
        </w:rPr>
        <w:t>姓</w:t>
      </w:r>
      <w:r>
        <w:rPr>
          <w:rFonts w:ascii="宋体" w:hAnsi="宋体"/>
          <w:sz w:val="22"/>
          <w:szCs w:val="28"/>
        </w:rPr>
        <w:t xml:space="preserve">    名：</w:t>
      </w:r>
      <w:r>
        <w:rPr>
          <w:rFonts w:hint="eastAsia" w:ascii="宋体" w:hAnsi="宋体"/>
          <w:sz w:val="22"/>
          <w:szCs w:val="28"/>
          <w:u w:val="single"/>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身份证号：</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建造师执业资格等级：</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 xml:space="preserve">建造师注册证书号： </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建造师执业印章号：</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安全生产考核合格证书号：</w:t>
      </w:r>
      <w:r>
        <w:rPr>
          <w:rFonts w:ascii="宋体" w:hAnsi="宋体"/>
          <w:sz w:val="22"/>
          <w:szCs w:val="28"/>
        </w:rPr>
        <w:t xml:space="preserve">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联系电话：</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电子信箱：</w:t>
      </w:r>
      <w:r>
        <w:rPr>
          <w:rFonts w:ascii="宋体" w:hAnsi="宋体"/>
          <w:sz w:val="22"/>
          <w:szCs w:val="28"/>
        </w:rPr>
        <w:t xml:space="preserve"> </w:t>
      </w:r>
      <w:r>
        <w:rPr>
          <w:rFonts w:hint="eastAsia"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 xml:space="preserve">通信地址： </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承包人对项目经理的授权范围如下：严格规范施工，确保安全生产，按期完成并交付合格产品，参与项目招标、投标和合同签订，组建项目管理班子，指挥项目建设的生产经营活动</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关于项目经理每月在施工现场的时间要求：不得少于</w:t>
      </w:r>
      <w:r>
        <w:rPr>
          <w:rFonts w:ascii="宋体" w:hAnsi="宋体"/>
          <w:sz w:val="22"/>
          <w:szCs w:val="28"/>
        </w:rPr>
        <w:t>22</w:t>
      </w:r>
      <w:r>
        <w:rPr>
          <w:rFonts w:hint="eastAsia" w:ascii="宋体" w:hAnsi="宋体"/>
          <w:sz w:val="22"/>
          <w:szCs w:val="28"/>
        </w:rPr>
        <w:t>天，在监理人向承包人颁发（出具）工程接收证书前，项目经理不得同时担任其他项目的项目经理，项目经理确需离开施工现场，应事先通知监理人，并取得发包人的书面同意</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承包人未提交劳动合同以及没有为项目经理缴纳社会保险证明的违约责任：承包人支付发包人合同价款3%违约金，并立即改正，拒不改正解除劳动合同</w:t>
      </w:r>
      <w:r>
        <w:rPr>
          <w:rFonts w:ascii="宋体" w:hAnsi="宋体"/>
          <w:sz w:val="22"/>
          <w:szCs w:val="28"/>
        </w:rPr>
        <w:t>。</w:t>
      </w:r>
    </w:p>
    <w:p>
      <w:pPr>
        <w:spacing w:after="160" w:line="278" w:lineRule="auto"/>
        <w:rPr>
          <w:rFonts w:ascii="宋体" w:hAnsi="宋体"/>
          <w:sz w:val="22"/>
          <w:szCs w:val="28"/>
        </w:rPr>
      </w:pPr>
      <w:r>
        <w:rPr>
          <w:rFonts w:hint="eastAsia" w:ascii="宋体" w:hAnsi="宋体"/>
          <w:sz w:val="22"/>
          <w:szCs w:val="28"/>
        </w:rPr>
        <w:t>项目经理未经批准，擅自离开施工现场的违约责任：</w:t>
      </w:r>
      <w:r>
        <w:rPr>
          <w:rFonts w:ascii="宋体" w:hAnsi="宋体"/>
          <w:sz w:val="22"/>
          <w:szCs w:val="28"/>
        </w:rPr>
        <w:t xml:space="preserve"> </w:t>
      </w:r>
      <w:r>
        <w:rPr>
          <w:rFonts w:hint="eastAsia" w:ascii="宋体" w:hAnsi="宋体"/>
          <w:sz w:val="22"/>
          <w:szCs w:val="28"/>
        </w:rPr>
        <w:t>项目经理未按要求驻场、每月在施工现场天数未达到22天的，每少于1天，承包人支付违约金10000元</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承包人擅自更换项目经理的违约责任：</w:t>
      </w:r>
      <w:r>
        <w:rPr>
          <w:rFonts w:hint="eastAsia" w:ascii="宋体" w:hAnsi="宋体"/>
          <w:sz w:val="22"/>
          <w:szCs w:val="28"/>
        </w:rPr>
        <w:t>解除合同；双倍返还中标人的履约保证金；赔偿对发包人造成的损失</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1.1.2.9专业分包人：指根据合同条款第15.8.1项的约定，由发包人和承包人以招标方式选择的分包人。</w:t>
      </w:r>
    </w:p>
    <w:p>
      <w:pPr>
        <w:spacing w:after="160" w:line="278" w:lineRule="auto"/>
        <w:rPr>
          <w:rFonts w:ascii="宋体" w:hAnsi="宋体"/>
          <w:sz w:val="22"/>
          <w:szCs w:val="28"/>
        </w:rPr>
      </w:pPr>
      <w:r>
        <w:rPr>
          <w:rFonts w:ascii="宋体" w:hAnsi="宋体"/>
          <w:sz w:val="22"/>
          <w:szCs w:val="28"/>
        </w:rPr>
        <w:t>1.1.2.10专项供应商：指根据合同条款第15.8.1项的约定，由发包人和承包人以招标方式选择的供应商。</w:t>
      </w:r>
    </w:p>
    <w:p>
      <w:pPr>
        <w:spacing w:after="160" w:line="278" w:lineRule="auto"/>
        <w:rPr>
          <w:rFonts w:ascii="宋体" w:hAnsi="宋体"/>
          <w:sz w:val="22"/>
          <w:szCs w:val="28"/>
        </w:rPr>
      </w:pPr>
      <w:r>
        <w:rPr>
          <w:rFonts w:ascii="宋体" w:hAnsi="宋体"/>
          <w:sz w:val="22"/>
          <w:szCs w:val="28"/>
        </w:rPr>
        <w:t>1.1.2.11独立承包人：指与发包人直接订立工程承包合同，负责实施与工程有关的其他工作的当事人。</w:t>
      </w:r>
    </w:p>
    <w:p>
      <w:pPr>
        <w:spacing w:after="160" w:line="278" w:lineRule="auto"/>
        <w:rPr>
          <w:rFonts w:ascii="宋体" w:hAnsi="宋体"/>
          <w:sz w:val="22"/>
          <w:szCs w:val="28"/>
        </w:rPr>
      </w:pPr>
      <w:r>
        <w:rPr>
          <w:rFonts w:ascii="宋体" w:hAnsi="宋体"/>
          <w:sz w:val="22"/>
          <w:szCs w:val="28"/>
        </w:rPr>
        <w:t>1.1.3</w:t>
      </w:r>
      <w:r>
        <w:rPr>
          <w:rFonts w:hint="eastAsia" w:ascii="宋体" w:hAnsi="宋体"/>
          <w:sz w:val="22"/>
          <w:szCs w:val="28"/>
        </w:rPr>
        <w:t>工程和设备</w:t>
      </w:r>
    </w:p>
    <w:p>
      <w:pPr>
        <w:spacing w:after="160" w:line="278" w:lineRule="auto"/>
        <w:rPr>
          <w:rFonts w:ascii="宋体" w:hAnsi="宋体"/>
          <w:sz w:val="22"/>
          <w:szCs w:val="28"/>
        </w:rPr>
      </w:pPr>
      <w:r>
        <w:rPr>
          <w:rFonts w:hint="eastAsia" w:ascii="宋体" w:hAnsi="宋体"/>
          <w:sz w:val="22"/>
          <w:szCs w:val="28"/>
        </w:rPr>
        <w:t>1.1.3.2永久工程：指按合同约定建造并移交给发包人的工程，包括工程设备       。</w:t>
      </w:r>
    </w:p>
    <w:p>
      <w:pPr>
        <w:spacing w:after="160" w:line="278" w:lineRule="auto"/>
        <w:rPr>
          <w:rFonts w:ascii="宋体" w:hAnsi="宋体"/>
          <w:sz w:val="22"/>
          <w:szCs w:val="28"/>
        </w:rPr>
      </w:pPr>
      <w:r>
        <w:rPr>
          <w:rFonts w:hint="eastAsia" w:ascii="宋体" w:hAnsi="宋体"/>
          <w:sz w:val="22"/>
          <w:szCs w:val="28"/>
        </w:rPr>
        <w:t>1.1.3.3临时工程：承包人为完成永久工程所修建的临时性工程，并在本工程竣工后或在发包人要求时，承包人需予以全部拆除的工程。包括临时性围挡、施工照明工程等    。</w:t>
      </w:r>
    </w:p>
    <w:p>
      <w:pPr>
        <w:spacing w:after="160" w:line="278" w:lineRule="auto"/>
        <w:rPr>
          <w:rFonts w:ascii="宋体" w:hAnsi="宋体"/>
          <w:sz w:val="22"/>
          <w:szCs w:val="28"/>
        </w:rPr>
      </w:pPr>
      <w:r>
        <w:rPr>
          <w:rFonts w:ascii="宋体" w:hAnsi="宋体"/>
          <w:sz w:val="22"/>
          <w:szCs w:val="28"/>
        </w:rPr>
        <w:t>1.1.3.4单位工程：指具有相对独立的设计文件，能够独立组织施工并能形成独立使用功能的永久工程的组成部分。</w:t>
      </w:r>
    </w:p>
    <w:p>
      <w:pPr>
        <w:spacing w:after="160" w:line="278" w:lineRule="auto"/>
        <w:rPr>
          <w:rFonts w:ascii="宋体" w:hAnsi="宋体"/>
          <w:sz w:val="22"/>
          <w:szCs w:val="28"/>
        </w:rPr>
      </w:pPr>
      <w:r>
        <w:rPr>
          <w:rFonts w:hint="eastAsia" w:ascii="宋体" w:hAnsi="宋体"/>
          <w:sz w:val="22"/>
          <w:szCs w:val="28"/>
        </w:rPr>
        <w:t>1.1.3.10永久占地：指为实施本合同工程而需要的一切永久占用的土地，包括道路两侧路权范围内的用地  。</w:t>
      </w:r>
    </w:p>
    <w:p>
      <w:pPr>
        <w:spacing w:after="160" w:line="278" w:lineRule="auto"/>
        <w:rPr>
          <w:rFonts w:ascii="宋体" w:hAnsi="宋体"/>
          <w:sz w:val="22"/>
          <w:szCs w:val="28"/>
        </w:rPr>
      </w:pPr>
      <w:r>
        <w:rPr>
          <w:rFonts w:hint="eastAsia" w:ascii="宋体" w:hAnsi="宋体"/>
          <w:sz w:val="22"/>
          <w:szCs w:val="28"/>
        </w:rPr>
        <w:t>1.1.3.11临时占地：指为实施本合同工程而需要的一切临时占用的土地，包括施工所用的现场临时出入通道，以及生产(办公)、生活等临时设施用地等  。</w:t>
      </w:r>
    </w:p>
    <w:p>
      <w:pPr>
        <w:spacing w:after="160" w:line="278" w:lineRule="auto"/>
        <w:rPr>
          <w:rFonts w:ascii="宋体" w:hAnsi="宋体"/>
          <w:sz w:val="22"/>
          <w:szCs w:val="28"/>
        </w:rPr>
      </w:pPr>
      <w:r>
        <w:rPr>
          <w:rFonts w:ascii="宋体" w:hAnsi="宋体"/>
          <w:sz w:val="22"/>
          <w:szCs w:val="28"/>
        </w:rPr>
        <w:t>1.1.4</w:t>
      </w:r>
      <w:r>
        <w:rPr>
          <w:rFonts w:hint="eastAsia" w:ascii="宋体" w:hAnsi="宋体"/>
          <w:sz w:val="22"/>
          <w:szCs w:val="28"/>
        </w:rPr>
        <w:t>日期</w:t>
      </w:r>
    </w:p>
    <w:p>
      <w:pPr>
        <w:spacing w:after="160" w:line="278" w:lineRule="auto"/>
        <w:rPr>
          <w:rFonts w:ascii="宋体" w:hAnsi="宋体"/>
          <w:sz w:val="22"/>
          <w:szCs w:val="28"/>
        </w:rPr>
      </w:pPr>
      <w:r>
        <w:rPr>
          <w:rFonts w:ascii="宋体" w:hAnsi="宋体"/>
          <w:sz w:val="22"/>
          <w:szCs w:val="28"/>
        </w:rPr>
        <w:t>1.1.4.5缺陷责任期期限：</w:t>
      </w:r>
      <w:r>
        <w:rPr>
          <w:rFonts w:ascii="宋体" w:hAnsi="宋体"/>
          <w:sz w:val="22"/>
          <w:szCs w:val="28"/>
          <w:u w:val="single"/>
        </w:rPr>
        <w:t xml:space="preserve"> 24 个月</w:t>
      </w:r>
      <w:r>
        <w:rPr>
          <w:rFonts w:ascii="宋体" w:hAnsi="宋体"/>
          <w:sz w:val="22"/>
          <w:szCs w:val="28"/>
        </w:rPr>
        <w:t>，</w:t>
      </w:r>
      <w:r>
        <w:rPr>
          <w:rFonts w:hint="eastAsia" w:ascii="宋体" w:hAnsi="宋体"/>
          <w:sz w:val="22"/>
          <w:szCs w:val="28"/>
        </w:rPr>
        <w:t xml:space="preserve">涉及防水施工项目为 </w:t>
      </w:r>
      <w:r>
        <w:rPr>
          <w:rFonts w:hint="eastAsia" w:ascii="宋体" w:hAnsi="宋体"/>
          <w:sz w:val="22"/>
          <w:szCs w:val="28"/>
          <w:u w:val="single"/>
        </w:rPr>
        <w:t xml:space="preserve">    5    </w:t>
      </w:r>
      <w:r>
        <w:rPr>
          <w:rFonts w:hint="eastAsia" w:ascii="宋体" w:hAnsi="宋体"/>
          <w:sz w:val="22"/>
          <w:szCs w:val="28"/>
        </w:rPr>
        <w:t xml:space="preserve"> 年</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1.1.4.8保修期：是根据现行有关法律规定，在合同条款第19.7款中约定的由承包人负责对合同约定的保修范围内发生的质量问题履行保修义务并对造成的损失承担赔偿责任的期限。</w:t>
      </w:r>
    </w:p>
    <w:p>
      <w:pPr>
        <w:spacing w:after="160" w:line="278" w:lineRule="auto"/>
        <w:rPr>
          <w:rFonts w:ascii="宋体" w:hAnsi="宋体"/>
          <w:sz w:val="22"/>
          <w:szCs w:val="28"/>
        </w:rPr>
      </w:pPr>
      <w:r>
        <w:rPr>
          <w:rFonts w:ascii="宋体" w:hAnsi="宋体"/>
          <w:sz w:val="22"/>
          <w:szCs w:val="28"/>
        </w:rPr>
        <w:t>1.1.6</w:t>
      </w:r>
      <w:r>
        <w:rPr>
          <w:rFonts w:hint="eastAsia" w:ascii="宋体" w:hAnsi="宋体"/>
          <w:sz w:val="22"/>
          <w:szCs w:val="28"/>
        </w:rPr>
        <w:t>其他</w:t>
      </w:r>
    </w:p>
    <w:p>
      <w:pPr>
        <w:spacing w:after="160" w:line="278" w:lineRule="auto"/>
        <w:rPr>
          <w:rFonts w:ascii="宋体" w:hAnsi="宋体"/>
          <w:sz w:val="22"/>
          <w:szCs w:val="28"/>
        </w:rPr>
      </w:pPr>
      <w:r>
        <w:rPr>
          <w:rFonts w:ascii="宋体" w:hAnsi="宋体"/>
          <w:sz w:val="22"/>
          <w:szCs w:val="28"/>
        </w:rPr>
        <w:t>1.1.6.2材料：指构成或将构成永久工程组成部分的各类物品(工程设备除外)，包括合同中可能约定的承包人仅负责供应的材料。</w:t>
      </w:r>
    </w:p>
    <w:p>
      <w:pPr>
        <w:spacing w:after="160" w:line="278" w:lineRule="auto"/>
        <w:rPr>
          <w:rFonts w:ascii="宋体" w:hAnsi="宋体"/>
          <w:sz w:val="22"/>
          <w:szCs w:val="28"/>
        </w:rPr>
      </w:pPr>
      <w:r>
        <w:rPr>
          <w:rFonts w:ascii="宋体" w:hAnsi="宋体"/>
          <w:sz w:val="22"/>
          <w:szCs w:val="28"/>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after="160" w:line="278" w:lineRule="auto"/>
        <w:rPr>
          <w:rFonts w:ascii="宋体" w:hAnsi="宋体"/>
          <w:sz w:val="22"/>
          <w:szCs w:val="28"/>
        </w:rPr>
      </w:pPr>
      <w:r>
        <w:rPr>
          <w:rFonts w:ascii="宋体" w:hAnsi="宋体"/>
          <w:sz w:val="22"/>
          <w:szCs w:val="28"/>
        </w:rPr>
        <w:t>1.1.6.4 除另有特别指明外，专用合同条款中使用的措辞“合同条款”指通用合同条款和（或）专用合同条款。</w:t>
      </w:r>
    </w:p>
    <w:p>
      <w:pPr>
        <w:spacing w:after="160" w:line="278" w:lineRule="auto"/>
        <w:rPr>
          <w:rFonts w:ascii="宋体" w:hAnsi="宋体"/>
          <w:sz w:val="22"/>
          <w:szCs w:val="28"/>
        </w:rPr>
      </w:pPr>
      <w:bookmarkStart w:id="2223" w:name="_Toc109914464"/>
      <w:bookmarkStart w:id="2224" w:name="_Toc132619148"/>
      <w:bookmarkStart w:id="2225" w:name="_Toc152045615"/>
      <w:bookmarkStart w:id="2226" w:name="_Toc142385687"/>
      <w:bookmarkStart w:id="2227" w:name="_Toc179632633"/>
      <w:bookmarkStart w:id="2228" w:name="_Toc152042393"/>
      <w:bookmarkStart w:id="2229" w:name="_Toc129798399"/>
      <w:bookmarkStart w:id="2230" w:name="_Toc241459661"/>
      <w:bookmarkStart w:id="2231" w:name="_Toc342296420"/>
      <w:bookmarkStart w:id="2232" w:name="_Toc144974583"/>
      <w:r>
        <w:rPr>
          <w:rFonts w:ascii="宋体" w:hAnsi="宋体"/>
          <w:sz w:val="22"/>
          <w:szCs w:val="28"/>
        </w:rPr>
        <w:t>1.4 合同文件的优先顺序</w:t>
      </w:r>
      <w:bookmarkEnd w:id="2223"/>
      <w:bookmarkEnd w:id="2224"/>
      <w:bookmarkEnd w:id="2225"/>
      <w:bookmarkEnd w:id="2226"/>
      <w:bookmarkEnd w:id="2227"/>
      <w:bookmarkEnd w:id="2228"/>
      <w:bookmarkEnd w:id="2229"/>
      <w:bookmarkEnd w:id="2230"/>
      <w:bookmarkEnd w:id="2231"/>
      <w:bookmarkEnd w:id="2232"/>
    </w:p>
    <w:p>
      <w:pPr>
        <w:spacing w:after="160" w:line="278" w:lineRule="auto"/>
        <w:rPr>
          <w:rFonts w:ascii="宋体" w:hAnsi="宋体"/>
          <w:sz w:val="22"/>
          <w:szCs w:val="28"/>
        </w:rPr>
      </w:pPr>
      <w:r>
        <w:rPr>
          <w:rFonts w:ascii="宋体" w:hAnsi="宋体"/>
          <w:sz w:val="22"/>
          <w:szCs w:val="28"/>
        </w:rPr>
        <w:t>合同文件的优先解释顺序如下：</w:t>
      </w:r>
    </w:p>
    <w:p>
      <w:pPr>
        <w:spacing w:after="160" w:line="278" w:lineRule="auto"/>
        <w:rPr>
          <w:rFonts w:ascii="宋体" w:hAnsi="宋体"/>
          <w:sz w:val="22"/>
          <w:szCs w:val="28"/>
        </w:rPr>
      </w:pPr>
      <w:r>
        <w:rPr>
          <w:rFonts w:ascii="宋体" w:hAnsi="宋体"/>
          <w:sz w:val="22"/>
          <w:szCs w:val="28"/>
        </w:rPr>
        <w:t>（1）合同协议书；</w:t>
      </w:r>
    </w:p>
    <w:p>
      <w:pPr>
        <w:spacing w:after="160" w:line="278" w:lineRule="auto"/>
        <w:rPr>
          <w:rFonts w:ascii="宋体" w:hAnsi="宋体"/>
          <w:sz w:val="22"/>
          <w:szCs w:val="28"/>
        </w:rPr>
      </w:pPr>
      <w:r>
        <w:rPr>
          <w:rFonts w:ascii="宋体" w:hAnsi="宋体"/>
          <w:sz w:val="22"/>
          <w:szCs w:val="28"/>
        </w:rPr>
        <w:t>（2）中标通知书；</w:t>
      </w:r>
    </w:p>
    <w:p>
      <w:pPr>
        <w:spacing w:after="160" w:line="278" w:lineRule="auto"/>
        <w:rPr>
          <w:rFonts w:ascii="宋体" w:hAnsi="宋体"/>
          <w:sz w:val="22"/>
          <w:szCs w:val="28"/>
        </w:rPr>
      </w:pPr>
      <w:r>
        <w:rPr>
          <w:rFonts w:ascii="宋体" w:hAnsi="宋体"/>
          <w:sz w:val="22"/>
          <w:szCs w:val="28"/>
        </w:rPr>
        <w:t>（3）投标函及投标函附录；</w:t>
      </w:r>
    </w:p>
    <w:p>
      <w:pPr>
        <w:spacing w:after="160" w:line="278" w:lineRule="auto"/>
        <w:rPr>
          <w:rFonts w:ascii="宋体" w:hAnsi="宋体"/>
          <w:sz w:val="22"/>
          <w:szCs w:val="28"/>
        </w:rPr>
      </w:pPr>
      <w:r>
        <w:rPr>
          <w:rFonts w:ascii="宋体" w:hAnsi="宋体"/>
          <w:sz w:val="22"/>
          <w:szCs w:val="28"/>
        </w:rPr>
        <w:t>（4）专用合同条款；</w:t>
      </w:r>
    </w:p>
    <w:p>
      <w:pPr>
        <w:spacing w:after="160" w:line="278" w:lineRule="auto"/>
        <w:rPr>
          <w:rFonts w:ascii="宋体" w:hAnsi="宋体"/>
          <w:sz w:val="22"/>
          <w:szCs w:val="28"/>
        </w:rPr>
      </w:pPr>
      <w:r>
        <w:rPr>
          <w:rFonts w:ascii="宋体" w:hAnsi="宋体"/>
          <w:sz w:val="22"/>
          <w:szCs w:val="28"/>
        </w:rPr>
        <w:t>（5）通用合同条款；</w:t>
      </w:r>
    </w:p>
    <w:p>
      <w:pPr>
        <w:spacing w:after="160" w:line="278" w:lineRule="auto"/>
        <w:rPr>
          <w:rFonts w:ascii="宋体" w:hAnsi="宋体"/>
          <w:sz w:val="22"/>
          <w:szCs w:val="28"/>
        </w:rPr>
      </w:pPr>
      <w:r>
        <w:rPr>
          <w:rFonts w:ascii="宋体" w:hAnsi="宋体"/>
          <w:sz w:val="22"/>
          <w:szCs w:val="28"/>
        </w:rPr>
        <w:t>（6）已标价工程量清单    ；</w:t>
      </w:r>
    </w:p>
    <w:p>
      <w:pPr>
        <w:spacing w:after="160" w:line="278" w:lineRule="auto"/>
        <w:rPr>
          <w:rFonts w:ascii="宋体" w:hAnsi="宋体"/>
          <w:sz w:val="22"/>
          <w:szCs w:val="28"/>
        </w:rPr>
      </w:pPr>
      <w:r>
        <w:rPr>
          <w:rFonts w:ascii="宋体" w:hAnsi="宋体"/>
          <w:sz w:val="22"/>
          <w:szCs w:val="28"/>
        </w:rPr>
        <w:t>（7）技术标准和要求      ；</w:t>
      </w:r>
    </w:p>
    <w:p>
      <w:pPr>
        <w:spacing w:after="160" w:line="278" w:lineRule="auto"/>
        <w:rPr>
          <w:rFonts w:ascii="宋体" w:hAnsi="宋体"/>
          <w:sz w:val="22"/>
          <w:szCs w:val="28"/>
        </w:rPr>
      </w:pPr>
      <w:r>
        <w:rPr>
          <w:rFonts w:ascii="宋体" w:hAnsi="宋体"/>
          <w:sz w:val="22"/>
          <w:szCs w:val="28"/>
        </w:rPr>
        <w:t>（8）图纸</w:t>
      </w:r>
      <w:r>
        <w:rPr>
          <w:rFonts w:hint="eastAsia" w:ascii="宋体" w:hAnsi="宋体"/>
          <w:sz w:val="22"/>
          <w:szCs w:val="28"/>
        </w:rPr>
        <w:t>（含效果图）</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（9）施工组织设计        。</w:t>
      </w:r>
    </w:p>
    <w:p>
      <w:pPr>
        <w:spacing w:after="160" w:line="278" w:lineRule="auto"/>
        <w:rPr>
          <w:rFonts w:ascii="宋体" w:hAnsi="宋体"/>
          <w:sz w:val="22"/>
          <w:szCs w:val="28"/>
        </w:rPr>
      </w:pPr>
      <w:r>
        <w:rPr>
          <w:rFonts w:ascii="宋体" w:hAnsi="宋体"/>
          <w:sz w:val="22"/>
          <w:szCs w:val="28"/>
        </w:rPr>
        <w:t>（说明：（6）、（7）、（8）填空内容分别限于技术标准和要求、图纸、已标价工程量清单三者之一。）</w:t>
      </w:r>
    </w:p>
    <w:p>
      <w:pPr>
        <w:spacing w:after="160" w:line="278" w:lineRule="auto"/>
        <w:rPr>
          <w:rFonts w:ascii="宋体" w:hAnsi="宋体"/>
          <w:sz w:val="22"/>
          <w:szCs w:val="28"/>
        </w:rPr>
      </w:pPr>
      <w:r>
        <w:rPr>
          <w:rFonts w:ascii="宋体" w:hAnsi="宋体"/>
          <w:sz w:val="22"/>
          <w:szCs w:val="28"/>
        </w:rPr>
        <w:t>合同协议书中约定采用总价合同形式的，除非合同另有约定，已标价工程量清单中的各项工程量对合同双方不具合同约束力。</w:t>
      </w:r>
    </w:p>
    <w:p>
      <w:pPr>
        <w:spacing w:after="160" w:line="278" w:lineRule="auto"/>
        <w:rPr>
          <w:rFonts w:ascii="宋体" w:hAnsi="宋体"/>
          <w:sz w:val="22"/>
          <w:szCs w:val="28"/>
        </w:rPr>
      </w:pPr>
      <w:r>
        <w:rPr>
          <w:rFonts w:ascii="宋体" w:hAnsi="宋体"/>
          <w:sz w:val="22"/>
          <w:szCs w:val="28"/>
        </w:rPr>
        <w:t>图纸与技术标准和要求之间有矛盾或者不一致的，以其中要求较严格的标准为准。</w:t>
      </w:r>
    </w:p>
    <w:p>
      <w:pPr>
        <w:spacing w:after="160" w:line="278" w:lineRule="auto"/>
        <w:rPr>
          <w:rFonts w:ascii="宋体" w:hAnsi="宋体"/>
          <w:sz w:val="22"/>
          <w:szCs w:val="28"/>
        </w:rPr>
      </w:pPr>
      <w:r>
        <w:rPr>
          <w:rFonts w:ascii="宋体" w:hAnsi="宋体"/>
          <w:sz w:val="22"/>
          <w:szCs w:val="28"/>
        </w:rPr>
        <w:t>合同双方在合同履行过程中签订的补充协议亦构成合同文件的组成部分，其解释顺序视其内容与其他合同文件的相互关系而定。</w:t>
      </w:r>
    </w:p>
    <w:p>
      <w:pPr>
        <w:spacing w:after="160" w:line="278" w:lineRule="auto"/>
        <w:rPr>
          <w:rFonts w:ascii="宋体" w:hAnsi="宋体"/>
          <w:sz w:val="22"/>
          <w:szCs w:val="28"/>
        </w:rPr>
      </w:pPr>
      <w:bookmarkStart w:id="2233" w:name="_Toc342296421"/>
      <w:bookmarkStart w:id="2234" w:name="_Toc142385688"/>
      <w:bookmarkStart w:id="2235" w:name="_Toc152042394"/>
      <w:bookmarkStart w:id="2236" w:name="_Toc109914465"/>
      <w:bookmarkStart w:id="2237" w:name="_Toc129798400"/>
      <w:bookmarkStart w:id="2238" w:name="_Toc179632634"/>
      <w:bookmarkStart w:id="2239" w:name="_Toc132619149"/>
      <w:bookmarkStart w:id="2240" w:name="_Toc144974584"/>
      <w:bookmarkStart w:id="2241" w:name="_Toc241459662"/>
      <w:bookmarkStart w:id="2242" w:name="_Toc152045616"/>
      <w:r>
        <w:rPr>
          <w:rFonts w:ascii="宋体" w:hAnsi="宋体"/>
          <w:sz w:val="22"/>
          <w:szCs w:val="28"/>
        </w:rPr>
        <w:t>1.5 合同协议书</w:t>
      </w:r>
      <w:bookmarkEnd w:id="2233"/>
      <w:bookmarkEnd w:id="2234"/>
      <w:bookmarkEnd w:id="2235"/>
      <w:bookmarkEnd w:id="2236"/>
      <w:bookmarkEnd w:id="2237"/>
      <w:bookmarkEnd w:id="2238"/>
      <w:bookmarkEnd w:id="2239"/>
      <w:bookmarkEnd w:id="2240"/>
      <w:bookmarkEnd w:id="2241"/>
      <w:bookmarkEnd w:id="2242"/>
    </w:p>
    <w:p>
      <w:pPr>
        <w:spacing w:after="160" w:line="278" w:lineRule="auto"/>
        <w:rPr>
          <w:rFonts w:ascii="宋体" w:hAnsi="宋体"/>
          <w:sz w:val="22"/>
          <w:szCs w:val="28"/>
        </w:rPr>
      </w:pPr>
      <w:r>
        <w:rPr>
          <w:rFonts w:ascii="宋体" w:hAnsi="宋体"/>
          <w:sz w:val="22"/>
          <w:szCs w:val="28"/>
        </w:rPr>
        <w:t xml:space="preserve">合同生效的条件： </w:t>
      </w:r>
      <w:r>
        <w:rPr>
          <w:rFonts w:hint="eastAsia" w:ascii="宋体" w:hAnsi="宋体"/>
          <w:sz w:val="22"/>
          <w:szCs w:val="28"/>
        </w:rPr>
        <w:t>自发包人和承包人的法定代表人或其委托代理人在合同协议书上签字并盖单位章后</w:t>
      </w:r>
      <w:r>
        <w:rPr>
          <w:rFonts w:ascii="宋体" w:hAnsi="宋体"/>
          <w:sz w:val="22"/>
          <w:szCs w:val="28"/>
        </w:rPr>
        <w:t>。</w:t>
      </w:r>
    </w:p>
    <w:p>
      <w:pPr>
        <w:spacing w:after="160" w:line="278" w:lineRule="auto"/>
        <w:rPr>
          <w:rFonts w:ascii="宋体" w:hAnsi="宋体"/>
          <w:sz w:val="22"/>
          <w:szCs w:val="28"/>
        </w:rPr>
      </w:pPr>
      <w:bookmarkStart w:id="2243" w:name="_Toc152042395"/>
      <w:bookmarkStart w:id="2244" w:name="_Toc109914466"/>
      <w:bookmarkStart w:id="2245" w:name="_Toc241459663"/>
      <w:bookmarkStart w:id="2246" w:name="_Toc179632635"/>
      <w:bookmarkStart w:id="2247" w:name="_Toc342296422"/>
      <w:bookmarkStart w:id="2248" w:name="_Toc144974585"/>
      <w:bookmarkStart w:id="2249" w:name="_Toc142385689"/>
      <w:bookmarkStart w:id="2250" w:name="_Toc152045617"/>
      <w:bookmarkStart w:id="2251" w:name="_Toc132619150"/>
      <w:bookmarkStart w:id="2252" w:name="_Toc129798401"/>
      <w:r>
        <w:rPr>
          <w:rFonts w:ascii="宋体" w:hAnsi="宋体"/>
          <w:sz w:val="22"/>
          <w:szCs w:val="28"/>
        </w:rPr>
        <w:t>1.6 图纸和承包人文件</w:t>
      </w:r>
      <w:bookmarkEnd w:id="2243"/>
      <w:bookmarkEnd w:id="2244"/>
      <w:bookmarkEnd w:id="2245"/>
      <w:bookmarkEnd w:id="2246"/>
      <w:bookmarkEnd w:id="2247"/>
      <w:bookmarkEnd w:id="2248"/>
      <w:bookmarkEnd w:id="2249"/>
      <w:bookmarkEnd w:id="2250"/>
      <w:bookmarkEnd w:id="2251"/>
      <w:bookmarkEnd w:id="2252"/>
    </w:p>
    <w:p>
      <w:pPr>
        <w:spacing w:after="160" w:line="278" w:lineRule="auto"/>
        <w:rPr>
          <w:rFonts w:ascii="宋体" w:hAnsi="宋体"/>
          <w:sz w:val="22"/>
          <w:szCs w:val="28"/>
        </w:rPr>
      </w:pPr>
      <w:r>
        <w:rPr>
          <w:rFonts w:ascii="宋体" w:hAnsi="宋体"/>
          <w:sz w:val="22"/>
          <w:szCs w:val="28"/>
        </w:rPr>
        <w:t>1.6.1</w:t>
      </w:r>
      <w:r>
        <w:rPr>
          <w:rFonts w:hint="eastAsia" w:ascii="宋体" w:hAnsi="宋体"/>
          <w:sz w:val="22"/>
          <w:szCs w:val="28"/>
        </w:rPr>
        <w:t>图纸的提供</w:t>
      </w:r>
    </w:p>
    <w:p>
      <w:pPr>
        <w:spacing w:after="160" w:line="278" w:lineRule="auto"/>
        <w:rPr>
          <w:rFonts w:ascii="宋体" w:hAnsi="宋体"/>
          <w:sz w:val="22"/>
          <w:szCs w:val="28"/>
        </w:rPr>
      </w:pPr>
      <w:r>
        <w:rPr>
          <w:rFonts w:ascii="宋体" w:hAnsi="宋体"/>
          <w:sz w:val="22"/>
          <w:szCs w:val="28"/>
        </w:rPr>
        <w:t>（1） 发包人按照合同条款本项的约定向承包人提供图纸。承包人需要增加图纸套数的，发包人应代为复制，复制费用由承包人承担。</w:t>
      </w:r>
    </w:p>
    <w:p>
      <w:pPr>
        <w:spacing w:after="160" w:line="278" w:lineRule="auto"/>
        <w:rPr>
          <w:rFonts w:ascii="宋体" w:hAnsi="宋体"/>
          <w:sz w:val="22"/>
          <w:szCs w:val="28"/>
        </w:rPr>
      </w:pPr>
      <w:r>
        <w:rPr>
          <w:rFonts w:ascii="宋体" w:hAnsi="宋体"/>
          <w:sz w:val="22"/>
          <w:szCs w:val="28"/>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after="160" w:line="278" w:lineRule="auto"/>
        <w:rPr>
          <w:rFonts w:ascii="宋体" w:hAnsi="宋体"/>
          <w:sz w:val="22"/>
          <w:szCs w:val="28"/>
        </w:rPr>
      </w:pPr>
      <w:r>
        <w:rPr>
          <w:rFonts w:ascii="宋体" w:hAnsi="宋体"/>
          <w:sz w:val="22"/>
          <w:szCs w:val="28"/>
        </w:rPr>
        <w:t xml:space="preserve">（3）发包人提供图纸的期限：   </w:t>
      </w:r>
      <w:r>
        <w:rPr>
          <w:rFonts w:ascii="宋体" w:hAnsi="宋体"/>
          <w:sz w:val="22"/>
          <w:szCs w:val="28"/>
          <w:u w:val="single"/>
        </w:rPr>
        <w:t xml:space="preserve">   开工前10日内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（4）发包人提供图纸的数量：   </w:t>
      </w:r>
      <w:r>
        <w:rPr>
          <w:rFonts w:ascii="宋体" w:hAnsi="宋体"/>
          <w:sz w:val="22"/>
          <w:szCs w:val="28"/>
          <w:u w:val="single"/>
        </w:rPr>
        <w:t xml:space="preserve">   1套电子版</w:t>
      </w:r>
      <w:r>
        <w:rPr>
          <w:rFonts w:hint="eastAsia" w:ascii="宋体" w:hAnsi="宋体"/>
          <w:sz w:val="22"/>
          <w:szCs w:val="28"/>
          <w:u w:val="single"/>
        </w:rPr>
        <w:t xml:space="preserve">    </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1.6.2 </w:t>
      </w:r>
      <w:r>
        <w:rPr>
          <w:rFonts w:hint="eastAsia" w:ascii="宋体" w:hAnsi="宋体"/>
          <w:sz w:val="22"/>
          <w:szCs w:val="28"/>
        </w:rPr>
        <w:t>承包人提供的文件</w:t>
      </w:r>
    </w:p>
    <w:p>
      <w:pPr>
        <w:spacing w:after="160" w:line="278" w:lineRule="auto"/>
        <w:rPr>
          <w:rFonts w:ascii="宋体" w:hAnsi="宋体"/>
          <w:sz w:val="22"/>
          <w:szCs w:val="28"/>
        </w:rPr>
      </w:pPr>
      <w:r>
        <w:rPr>
          <w:rFonts w:ascii="宋体" w:hAnsi="宋体"/>
          <w:sz w:val="22"/>
          <w:szCs w:val="28"/>
        </w:rPr>
        <w:t>（1）本项约定的其他应由承包人提供的文件，包括必要的加工图和大样图，均不是合同计量与支付的依据文件。由承包人提供的文件范围：A:根据本项目实际情况调整后的施工组织设计、分包计划、分包及材料设备招标采购计划等。承包人所提交的施工组织设计不能低于承包人在投标施工方案内所说明的所有工程内容和承诺的标准。因承包人提交的施工方案不能通过监理工程师审查而造成工期延误，承包人自行承担。B: 承包人应按照监理人同意的格式和详细程度，提交工程进度计划，并获得监理人的批准。该进度计划不得对随投标文件提交的施工组织设计中相应内容做出实质性变动。C:工程竣工图纸，工程验收资料 。</w:t>
      </w:r>
    </w:p>
    <w:p>
      <w:pPr>
        <w:spacing w:after="160" w:line="278" w:lineRule="auto"/>
        <w:rPr>
          <w:rFonts w:ascii="宋体" w:hAnsi="宋体"/>
          <w:sz w:val="22"/>
          <w:szCs w:val="28"/>
        </w:rPr>
      </w:pPr>
      <w:r>
        <w:rPr>
          <w:rFonts w:ascii="宋体" w:hAnsi="宋体"/>
          <w:sz w:val="22"/>
          <w:szCs w:val="28"/>
        </w:rPr>
        <w:t>（2）承包人提供文件的期限：</w:t>
      </w:r>
      <w:r>
        <w:rPr>
          <w:rFonts w:ascii="宋体" w:hAnsi="宋体"/>
          <w:sz w:val="22"/>
          <w:szCs w:val="28"/>
          <w:u w:val="single"/>
        </w:rPr>
        <w:t xml:space="preserve">  合同签订后10日内；竣工验收完成后10个日内</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 xml:space="preserve">（3）承包人提供文件的数量：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一式三份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（4）监理人批复承包人提供文件的期限： </w:t>
      </w:r>
      <w:r>
        <w:rPr>
          <w:rFonts w:ascii="宋体" w:hAnsi="宋体"/>
          <w:sz w:val="22"/>
          <w:szCs w:val="28"/>
          <w:u w:val="single"/>
        </w:rPr>
        <w:t xml:space="preserve"> 收到承包人提供的文件后7日内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（5）其他约定： </w:t>
      </w:r>
      <w:r>
        <w:rPr>
          <w:rFonts w:ascii="宋体" w:hAnsi="宋体"/>
          <w:sz w:val="22"/>
          <w:szCs w:val="28"/>
          <w:u w:val="single"/>
        </w:rPr>
        <w:t>承包人应当在合同履行期间，每月25日提供当月工程统计报表及下月计划报表，其相应费用已包含在合同价款中。</w:t>
      </w:r>
    </w:p>
    <w:p>
      <w:pPr>
        <w:spacing w:after="160" w:line="278" w:lineRule="auto"/>
        <w:rPr>
          <w:rFonts w:ascii="宋体" w:hAnsi="宋体"/>
          <w:sz w:val="22"/>
          <w:szCs w:val="28"/>
        </w:rPr>
      </w:pPr>
      <w:bookmarkStart w:id="2253" w:name="_Toc241459664"/>
      <w:bookmarkStart w:id="2254" w:name="_Toc179632636"/>
      <w:bookmarkStart w:id="2255" w:name="_Toc129798402"/>
      <w:bookmarkStart w:id="2256" w:name="_Toc132619151"/>
      <w:bookmarkStart w:id="2257" w:name="_Toc142385690"/>
      <w:bookmarkStart w:id="2258" w:name="_Toc152042396"/>
      <w:bookmarkStart w:id="2259" w:name="_Toc342296423"/>
      <w:bookmarkStart w:id="2260" w:name="_Toc152045618"/>
      <w:bookmarkStart w:id="2261" w:name="_Toc144974586"/>
      <w:bookmarkStart w:id="2262" w:name="_Toc109914467"/>
      <w:r>
        <w:rPr>
          <w:rFonts w:ascii="宋体" w:hAnsi="宋体"/>
          <w:sz w:val="22"/>
          <w:szCs w:val="28"/>
        </w:rPr>
        <w:t>1.7 联 络</w:t>
      </w:r>
      <w:bookmarkEnd w:id="2253"/>
      <w:bookmarkEnd w:id="2254"/>
      <w:bookmarkEnd w:id="2255"/>
      <w:bookmarkEnd w:id="2256"/>
      <w:bookmarkEnd w:id="2257"/>
      <w:bookmarkEnd w:id="2258"/>
      <w:bookmarkEnd w:id="2259"/>
      <w:bookmarkEnd w:id="2260"/>
      <w:bookmarkEnd w:id="2261"/>
      <w:bookmarkEnd w:id="2262"/>
    </w:p>
    <w:p>
      <w:pPr>
        <w:spacing w:after="160" w:line="278" w:lineRule="auto"/>
        <w:rPr>
          <w:rFonts w:ascii="宋体" w:hAnsi="宋体"/>
          <w:sz w:val="22"/>
          <w:szCs w:val="28"/>
        </w:rPr>
      </w:pPr>
      <w:r>
        <w:rPr>
          <w:rFonts w:ascii="宋体" w:hAnsi="宋体"/>
          <w:sz w:val="22"/>
          <w:szCs w:val="28"/>
        </w:rPr>
        <w:t>1.7.2</w:t>
      </w:r>
      <w:r>
        <w:rPr>
          <w:rFonts w:hint="eastAsia" w:ascii="宋体" w:hAnsi="宋体"/>
          <w:sz w:val="22"/>
          <w:szCs w:val="28"/>
        </w:rPr>
        <w:t>联络来往函件的送达和接收</w:t>
      </w:r>
    </w:p>
    <w:p>
      <w:pPr>
        <w:spacing w:after="160" w:line="278" w:lineRule="auto"/>
        <w:rPr>
          <w:rFonts w:ascii="宋体" w:hAnsi="宋体"/>
          <w:sz w:val="22"/>
          <w:szCs w:val="28"/>
        </w:rPr>
      </w:pPr>
      <w:r>
        <w:rPr>
          <w:rFonts w:ascii="宋体" w:hAnsi="宋体"/>
          <w:sz w:val="22"/>
          <w:szCs w:val="28"/>
        </w:rPr>
        <w:t>（1）联络来往信函的送达期限：合同约定了发出期限的，送达期限为合同约定的发出期限后的24小时内；合同约定了通知、提供或者报送期限的，通知、提供或者报送期限即为送达期限。</w:t>
      </w:r>
    </w:p>
    <w:p>
      <w:pPr>
        <w:spacing w:after="160" w:line="278" w:lineRule="auto"/>
        <w:rPr>
          <w:rFonts w:ascii="宋体" w:hAnsi="宋体"/>
          <w:sz w:val="22"/>
          <w:szCs w:val="28"/>
        </w:rPr>
      </w:pPr>
      <w:r>
        <w:rPr>
          <w:rFonts w:ascii="宋体" w:hAnsi="宋体"/>
          <w:sz w:val="22"/>
          <w:szCs w:val="28"/>
        </w:rPr>
        <w:t xml:space="preserve">（2）发包人指定的接收地点：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（3）发包人指定的接收人为： </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（4）监理人指定的接收地点：</w:t>
      </w:r>
      <w:r>
        <w:rPr>
          <w:rFonts w:ascii="宋体" w:hAnsi="宋体"/>
          <w:sz w:val="22"/>
          <w:szCs w:val="28"/>
          <w:u w:val="single"/>
        </w:rPr>
        <w:t xml:space="preserve">   按发包人要求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（5）监理人指定的接收人为：</w:t>
      </w:r>
      <w:r>
        <w:rPr>
          <w:rFonts w:ascii="宋体" w:hAnsi="宋体"/>
          <w:sz w:val="22"/>
          <w:szCs w:val="28"/>
          <w:u w:val="single"/>
        </w:rPr>
        <w:t xml:space="preserve">   按发包人要求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after="160" w:line="278" w:lineRule="auto"/>
        <w:rPr>
          <w:rFonts w:ascii="宋体" w:hAnsi="宋体"/>
          <w:sz w:val="22"/>
          <w:szCs w:val="28"/>
        </w:rPr>
      </w:pPr>
      <w:r>
        <w:rPr>
          <w:rFonts w:ascii="宋体" w:hAnsi="宋体"/>
          <w:sz w:val="22"/>
          <w:szCs w:val="28"/>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after="160" w:line="278" w:lineRule="auto"/>
        <w:rPr>
          <w:rFonts w:ascii="宋体" w:hAnsi="宋体"/>
          <w:sz w:val="22"/>
          <w:szCs w:val="28"/>
        </w:rPr>
      </w:pPr>
      <w:r>
        <w:rPr>
          <w:rFonts w:ascii="宋体" w:hAnsi="宋体"/>
          <w:sz w:val="22"/>
          <w:szCs w:val="28"/>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after="160" w:line="278" w:lineRule="auto"/>
        <w:rPr>
          <w:rFonts w:ascii="宋体" w:hAnsi="宋体"/>
          <w:sz w:val="22"/>
          <w:szCs w:val="28"/>
        </w:rPr>
      </w:pPr>
      <w:bookmarkStart w:id="2263" w:name="_Toc179632642"/>
      <w:bookmarkStart w:id="2264" w:name="_Toc241459665"/>
      <w:bookmarkStart w:id="2265" w:name="_Toc152042402"/>
      <w:bookmarkStart w:id="2266" w:name="_Toc129798403"/>
      <w:bookmarkStart w:id="2267" w:name="_Toc469660043"/>
      <w:bookmarkStart w:id="2268" w:name="_Toc448758548"/>
      <w:bookmarkStart w:id="2269" w:name="_Toc109914468"/>
      <w:bookmarkStart w:id="2270" w:name="_Toc152045624"/>
      <w:bookmarkStart w:id="2271" w:name="_Toc448758448"/>
      <w:bookmarkStart w:id="2272" w:name="_Toc144974592"/>
      <w:bookmarkStart w:id="2273" w:name="_Toc132619152"/>
      <w:bookmarkStart w:id="2274" w:name="_Toc142385691"/>
      <w:bookmarkStart w:id="2275" w:name="_Toc342296424"/>
      <w:bookmarkStart w:id="2276" w:name="_Toc442365640"/>
      <w:r>
        <w:rPr>
          <w:rFonts w:ascii="宋体" w:hAnsi="宋体"/>
          <w:sz w:val="22"/>
          <w:szCs w:val="28"/>
        </w:rPr>
        <w:t>2. 发包人义务</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pPr>
        <w:spacing w:after="160" w:line="278" w:lineRule="auto"/>
        <w:rPr>
          <w:rFonts w:ascii="宋体" w:hAnsi="宋体"/>
          <w:sz w:val="22"/>
          <w:szCs w:val="28"/>
        </w:rPr>
      </w:pPr>
      <w:bookmarkStart w:id="2277" w:name="_Toc342296425"/>
      <w:bookmarkStart w:id="2278" w:name="_Toc152042405"/>
      <w:bookmarkStart w:id="2279" w:name="_Toc152045627"/>
      <w:bookmarkStart w:id="2280" w:name="_Toc179632645"/>
      <w:bookmarkStart w:id="2281" w:name="_Toc144974595"/>
      <w:bookmarkStart w:id="2282" w:name="_Toc241459666"/>
      <w:bookmarkStart w:id="2283" w:name="_Toc109914469"/>
      <w:bookmarkStart w:id="2284" w:name="_Toc129798404"/>
      <w:bookmarkStart w:id="2285" w:name="_Toc142385692"/>
      <w:bookmarkStart w:id="2286" w:name="_Toc132619153"/>
      <w:r>
        <w:rPr>
          <w:rFonts w:ascii="宋体" w:hAnsi="宋体"/>
          <w:sz w:val="22"/>
          <w:szCs w:val="28"/>
        </w:rPr>
        <w:t>2.3 提供施工场地</w:t>
      </w:r>
      <w:bookmarkEnd w:id="2277"/>
      <w:bookmarkEnd w:id="2278"/>
      <w:bookmarkEnd w:id="2279"/>
      <w:bookmarkEnd w:id="2280"/>
      <w:bookmarkEnd w:id="2281"/>
      <w:bookmarkEnd w:id="2282"/>
      <w:bookmarkEnd w:id="2283"/>
      <w:bookmarkEnd w:id="2284"/>
      <w:bookmarkEnd w:id="2285"/>
      <w:bookmarkEnd w:id="2286"/>
    </w:p>
    <w:p>
      <w:pPr>
        <w:spacing w:after="160" w:line="278" w:lineRule="auto"/>
        <w:rPr>
          <w:rFonts w:ascii="宋体" w:hAnsi="宋体"/>
          <w:sz w:val="22"/>
          <w:szCs w:val="28"/>
        </w:rPr>
      </w:pPr>
      <w:r>
        <w:rPr>
          <w:rFonts w:ascii="宋体" w:hAnsi="宋体"/>
          <w:sz w:val="22"/>
          <w:szCs w:val="28"/>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p>
    <w:p>
      <w:pPr>
        <w:spacing w:after="160" w:line="278" w:lineRule="auto"/>
        <w:rPr>
          <w:rFonts w:ascii="宋体" w:hAnsi="宋体"/>
          <w:sz w:val="22"/>
          <w:szCs w:val="28"/>
        </w:rPr>
      </w:pPr>
      <w:bookmarkStart w:id="2287" w:name="_Toc144974597"/>
      <w:bookmarkStart w:id="2288" w:name="_Toc241459667"/>
      <w:bookmarkStart w:id="2289" w:name="_Toc152042407"/>
      <w:bookmarkStart w:id="2290" w:name="_Toc109914470"/>
      <w:bookmarkStart w:id="2291" w:name="_Toc142385693"/>
      <w:bookmarkStart w:id="2292" w:name="_Toc129798405"/>
      <w:bookmarkStart w:id="2293" w:name="_Toc179632647"/>
      <w:bookmarkStart w:id="2294" w:name="_Toc342296426"/>
      <w:bookmarkStart w:id="2295" w:name="_Toc132619154"/>
      <w:bookmarkStart w:id="2296" w:name="_Toc152045629"/>
      <w:r>
        <w:rPr>
          <w:rFonts w:ascii="宋体" w:hAnsi="宋体"/>
          <w:sz w:val="22"/>
          <w:szCs w:val="28"/>
        </w:rPr>
        <w:t>2.5 组织设计交底</w:t>
      </w:r>
      <w:bookmarkEnd w:id="2287"/>
      <w:bookmarkEnd w:id="2288"/>
      <w:bookmarkEnd w:id="2289"/>
      <w:bookmarkEnd w:id="2290"/>
      <w:bookmarkEnd w:id="2291"/>
      <w:bookmarkEnd w:id="2292"/>
      <w:bookmarkEnd w:id="2293"/>
      <w:bookmarkEnd w:id="2294"/>
      <w:bookmarkEnd w:id="2295"/>
      <w:bookmarkEnd w:id="2296"/>
    </w:p>
    <w:p>
      <w:pPr>
        <w:spacing w:after="160" w:line="278" w:lineRule="auto"/>
        <w:rPr>
          <w:rFonts w:ascii="宋体" w:hAnsi="宋体"/>
          <w:sz w:val="22"/>
          <w:szCs w:val="28"/>
        </w:rPr>
      </w:pPr>
      <w:bookmarkStart w:id="2297" w:name="_Toc152042408"/>
      <w:bookmarkStart w:id="2298" w:name="_Toc144974598"/>
      <w:bookmarkStart w:id="2299" w:name="_Toc179632648"/>
      <w:bookmarkStart w:id="2300" w:name="_Toc152045630"/>
      <w:r>
        <w:rPr>
          <w:rFonts w:ascii="宋体" w:hAnsi="宋体"/>
          <w:sz w:val="22"/>
          <w:szCs w:val="28"/>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bookmarkEnd w:id="2297"/>
    <w:bookmarkEnd w:id="2298"/>
    <w:bookmarkEnd w:id="2299"/>
    <w:bookmarkEnd w:id="2300"/>
    <w:p>
      <w:pPr>
        <w:spacing w:after="160" w:line="278" w:lineRule="auto"/>
        <w:rPr>
          <w:rFonts w:ascii="宋体" w:hAnsi="宋体"/>
          <w:sz w:val="22"/>
          <w:szCs w:val="28"/>
        </w:rPr>
      </w:pPr>
      <w:bookmarkStart w:id="2301" w:name="_Toc179632650"/>
      <w:bookmarkStart w:id="2302" w:name="_Toc109914471"/>
      <w:bookmarkStart w:id="2303" w:name="_Toc152042410"/>
      <w:bookmarkStart w:id="2304" w:name="_Toc241459668"/>
      <w:bookmarkStart w:id="2305" w:name="_Toc129798406"/>
      <w:bookmarkStart w:id="2306" w:name="_Toc144974600"/>
      <w:bookmarkStart w:id="2307" w:name="_Toc142385694"/>
      <w:bookmarkStart w:id="2308" w:name="_Toc342296427"/>
      <w:bookmarkStart w:id="2309" w:name="_Toc152045632"/>
      <w:bookmarkStart w:id="2310" w:name="_Toc132619155"/>
      <w:r>
        <w:rPr>
          <w:rFonts w:ascii="宋体" w:hAnsi="宋体"/>
          <w:sz w:val="22"/>
          <w:szCs w:val="28"/>
        </w:rPr>
        <w:t>2.8 其他义务</w:t>
      </w:r>
      <w:bookmarkEnd w:id="2301"/>
      <w:bookmarkEnd w:id="2302"/>
      <w:bookmarkEnd w:id="2303"/>
      <w:bookmarkEnd w:id="2304"/>
      <w:bookmarkEnd w:id="2305"/>
      <w:bookmarkEnd w:id="2306"/>
      <w:bookmarkEnd w:id="2307"/>
      <w:bookmarkEnd w:id="2308"/>
      <w:bookmarkEnd w:id="2309"/>
      <w:bookmarkEnd w:id="2310"/>
    </w:p>
    <w:p>
      <w:pPr>
        <w:spacing w:after="160" w:line="278" w:lineRule="auto"/>
        <w:rPr>
          <w:rFonts w:ascii="宋体" w:hAnsi="宋体"/>
          <w:sz w:val="22"/>
          <w:szCs w:val="28"/>
        </w:rPr>
      </w:pPr>
      <w:r>
        <w:rPr>
          <w:rFonts w:ascii="宋体" w:hAnsi="宋体"/>
          <w:sz w:val="22"/>
          <w:szCs w:val="28"/>
        </w:rPr>
        <w:t>（</w:t>
      </w:r>
      <w:r>
        <w:rPr>
          <w:rFonts w:hint="eastAsia" w:ascii="宋体" w:hAnsi="宋体"/>
          <w:sz w:val="22"/>
          <w:szCs w:val="28"/>
        </w:rPr>
        <w:t>1</w:t>
      </w:r>
      <w:r>
        <w:rPr>
          <w:rFonts w:ascii="宋体" w:hAnsi="宋体"/>
          <w:sz w:val="22"/>
          <w:szCs w:val="28"/>
        </w:rPr>
        <w:t>）按有关规定及时办理工程质量监督手续。</w:t>
      </w:r>
    </w:p>
    <w:p>
      <w:pPr>
        <w:spacing w:after="160" w:line="278" w:lineRule="auto"/>
        <w:rPr>
          <w:rFonts w:ascii="宋体" w:hAnsi="宋体"/>
          <w:sz w:val="22"/>
          <w:szCs w:val="28"/>
        </w:rPr>
      </w:pPr>
      <w:r>
        <w:rPr>
          <w:rFonts w:ascii="宋体" w:hAnsi="宋体"/>
          <w:sz w:val="22"/>
          <w:szCs w:val="28"/>
        </w:rPr>
        <w:t>（</w:t>
      </w:r>
      <w:r>
        <w:rPr>
          <w:rFonts w:hint="eastAsia" w:ascii="宋体" w:hAnsi="宋体"/>
          <w:sz w:val="22"/>
          <w:szCs w:val="28"/>
        </w:rPr>
        <w:t>2</w:t>
      </w:r>
      <w:r>
        <w:rPr>
          <w:rFonts w:ascii="宋体" w:hAnsi="宋体"/>
          <w:sz w:val="22"/>
          <w:szCs w:val="28"/>
        </w:rPr>
        <w:t>）根据建设行政主管部门和（或）城市建设档案管理机构的规定，收集、整理、立卷、归档工程资料，并按规定时间向建设行政主管部门或者城市建设档案管理机构移交规定的工程档案。</w:t>
      </w:r>
    </w:p>
    <w:p>
      <w:pPr>
        <w:spacing w:after="160" w:line="278" w:lineRule="auto"/>
        <w:rPr>
          <w:rFonts w:ascii="宋体" w:hAnsi="宋体"/>
          <w:sz w:val="22"/>
          <w:szCs w:val="28"/>
        </w:rPr>
      </w:pPr>
      <w:r>
        <w:rPr>
          <w:rFonts w:ascii="宋体" w:hAnsi="宋体"/>
          <w:sz w:val="22"/>
          <w:szCs w:val="28"/>
        </w:rPr>
        <w:t>（</w:t>
      </w:r>
      <w:r>
        <w:rPr>
          <w:rFonts w:hint="eastAsia" w:ascii="宋体" w:hAnsi="宋体"/>
          <w:sz w:val="22"/>
          <w:szCs w:val="28"/>
        </w:rPr>
        <w:t>3</w:t>
      </w:r>
      <w:r>
        <w:rPr>
          <w:rFonts w:ascii="宋体" w:hAnsi="宋体"/>
          <w:sz w:val="22"/>
          <w:szCs w:val="28"/>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after="160" w:line="278" w:lineRule="auto"/>
        <w:rPr>
          <w:rFonts w:ascii="宋体" w:hAnsi="宋体"/>
          <w:sz w:val="22"/>
          <w:szCs w:val="28"/>
        </w:rPr>
      </w:pPr>
      <w:bookmarkStart w:id="2311" w:name="_Toc142385695"/>
      <w:bookmarkStart w:id="2312" w:name="_Toc132619156"/>
      <w:bookmarkStart w:id="2313" w:name="_Toc109914472"/>
      <w:bookmarkStart w:id="2314" w:name="_Toc152042411"/>
      <w:bookmarkStart w:id="2315" w:name="_Toc129798407"/>
      <w:bookmarkStart w:id="2316" w:name="_Toc448758549"/>
      <w:bookmarkStart w:id="2317" w:name="_Toc144974601"/>
      <w:bookmarkStart w:id="2318" w:name="_Toc152045633"/>
      <w:bookmarkStart w:id="2319" w:name="_Toc241459669"/>
      <w:bookmarkStart w:id="2320" w:name="_Toc342296428"/>
      <w:bookmarkStart w:id="2321" w:name="_Toc179632651"/>
      <w:bookmarkStart w:id="2322" w:name="_Toc469660044"/>
      <w:bookmarkStart w:id="2323" w:name="_Toc448758449"/>
      <w:bookmarkStart w:id="2324" w:name="_Toc442365641"/>
      <w:r>
        <w:rPr>
          <w:rFonts w:ascii="宋体" w:hAnsi="宋体"/>
          <w:sz w:val="22"/>
          <w:szCs w:val="28"/>
        </w:rPr>
        <w:t>3. 监理人</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pPr>
        <w:spacing w:after="160" w:line="278" w:lineRule="auto"/>
        <w:rPr>
          <w:rFonts w:ascii="宋体" w:hAnsi="宋体"/>
          <w:sz w:val="22"/>
          <w:szCs w:val="28"/>
        </w:rPr>
      </w:pPr>
      <w:bookmarkStart w:id="2325" w:name="_Toc152042412"/>
      <w:bookmarkStart w:id="2326" w:name="_Toc342296429"/>
      <w:bookmarkStart w:id="2327" w:name="_Toc142385696"/>
      <w:bookmarkStart w:id="2328" w:name="_Toc152045634"/>
      <w:bookmarkStart w:id="2329" w:name="_Toc129798408"/>
      <w:bookmarkStart w:id="2330" w:name="_Toc132619157"/>
      <w:bookmarkStart w:id="2331" w:name="_Toc241459670"/>
      <w:bookmarkStart w:id="2332" w:name="_Toc179632652"/>
      <w:bookmarkStart w:id="2333" w:name="_Toc109914473"/>
      <w:bookmarkStart w:id="2334" w:name="_Toc144974602"/>
      <w:r>
        <w:rPr>
          <w:rFonts w:ascii="宋体" w:hAnsi="宋体"/>
          <w:sz w:val="22"/>
          <w:szCs w:val="28"/>
        </w:rPr>
        <w:t>3.1 监理人的职责和权力</w:t>
      </w:r>
      <w:bookmarkEnd w:id="2325"/>
      <w:bookmarkEnd w:id="2326"/>
      <w:bookmarkEnd w:id="2327"/>
      <w:bookmarkEnd w:id="2328"/>
      <w:bookmarkEnd w:id="2329"/>
      <w:bookmarkEnd w:id="2330"/>
      <w:bookmarkEnd w:id="2331"/>
      <w:bookmarkEnd w:id="2332"/>
      <w:bookmarkEnd w:id="2333"/>
      <w:bookmarkEnd w:id="2334"/>
    </w:p>
    <w:p>
      <w:pPr>
        <w:spacing w:after="160" w:line="278" w:lineRule="auto"/>
        <w:rPr>
          <w:rFonts w:ascii="宋体" w:hAnsi="宋体"/>
          <w:sz w:val="22"/>
          <w:szCs w:val="28"/>
        </w:rPr>
      </w:pPr>
      <w:r>
        <w:rPr>
          <w:rFonts w:ascii="宋体" w:hAnsi="宋体"/>
          <w:sz w:val="22"/>
          <w:szCs w:val="28"/>
        </w:rPr>
        <w:t>3.1.1须经发包人批准行使的权力：</w:t>
      </w:r>
    </w:p>
    <w:p>
      <w:pPr>
        <w:spacing w:after="160" w:line="278" w:lineRule="auto"/>
        <w:rPr>
          <w:rFonts w:ascii="宋体" w:hAnsi="宋体"/>
          <w:sz w:val="22"/>
          <w:szCs w:val="28"/>
        </w:rPr>
      </w:pPr>
      <w:r>
        <w:rPr>
          <w:rFonts w:ascii="宋体" w:hAnsi="宋体"/>
          <w:sz w:val="22"/>
          <w:szCs w:val="28"/>
        </w:rPr>
        <w:t>（1）发布开工令、停工令、复工令；</w:t>
      </w:r>
    </w:p>
    <w:p>
      <w:pPr>
        <w:spacing w:after="160" w:line="278" w:lineRule="auto"/>
        <w:rPr>
          <w:rFonts w:ascii="宋体" w:hAnsi="宋体"/>
          <w:sz w:val="22"/>
          <w:szCs w:val="28"/>
        </w:rPr>
      </w:pPr>
      <w:r>
        <w:rPr>
          <w:rFonts w:ascii="宋体" w:hAnsi="宋体"/>
          <w:sz w:val="22"/>
          <w:szCs w:val="28"/>
        </w:rPr>
        <w:t>（2）凡涉影响工程造价的调整及涉及施工工期的延长等变化，须经发包人审核批准；</w:t>
      </w:r>
    </w:p>
    <w:p>
      <w:pPr>
        <w:spacing w:after="160" w:line="278" w:lineRule="auto"/>
        <w:rPr>
          <w:rFonts w:ascii="宋体" w:hAnsi="宋体"/>
          <w:sz w:val="22"/>
          <w:szCs w:val="28"/>
        </w:rPr>
      </w:pPr>
      <w:r>
        <w:rPr>
          <w:rFonts w:ascii="宋体" w:hAnsi="宋体"/>
          <w:sz w:val="22"/>
          <w:szCs w:val="28"/>
        </w:rPr>
        <w:t>（3）对承包人合同规定的义务建议变更等。</w:t>
      </w:r>
    </w:p>
    <w:p>
      <w:pPr>
        <w:spacing w:after="160" w:line="278" w:lineRule="auto"/>
        <w:rPr>
          <w:rFonts w:ascii="宋体" w:hAnsi="宋体"/>
          <w:sz w:val="22"/>
          <w:szCs w:val="28"/>
        </w:rPr>
      </w:pPr>
      <w:r>
        <w:rPr>
          <w:rFonts w:ascii="宋体" w:hAnsi="宋体"/>
          <w:sz w:val="22"/>
          <w:szCs w:val="28"/>
        </w:rPr>
        <w:t>不管通用合同条款第3.1.1项如何约定，监理人履行须经发包人批准行使的权力时，应当向承包人出示其行使该权力已经取得发包人批准的文件或者其他合法有效的证明。</w:t>
      </w:r>
    </w:p>
    <w:p>
      <w:pPr>
        <w:spacing w:after="160" w:line="278" w:lineRule="auto"/>
        <w:rPr>
          <w:rFonts w:ascii="宋体" w:hAnsi="宋体"/>
          <w:sz w:val="22"/>
          <w:szCs w:val="28"/>
        </w:rPr>
      </w:pPr>
      <w:bookmarkStart w:id="2335" w:name="_Toc241459671"/>
      <w:bookmarkStart w:id="2336" w:name="_Toc142385697"/>
      <w:bookmarkStart w:id="2337" w:name="_Toc109914474"/>
      <w:bookmarkStart w:id="2338" w:name="_Toc132619158"/>
      <w:bookmarkStart w:id="2339" w:name="_Toc144974604"/>
      <w:bookmarkStart w:id="2340" w:name="_Toc129798409"/>
      <w:bookmarkStart w:id="2341" w:name="_Toc152042414"/>
      <w:bookmarkStart w:id="2342" w:name="_Toc342296430"/>
      <w:bookmarkStart w:id="2343" w:name="_Toc152045636"/>
      <w:bookmarkStart w:id="2344" w:name="_Toc179632654"/>
      <w:r>
        <w:rPr>
          <w:rFonts w:ascii="宋体" w:hAnsi="宋体"/>
          <w:sz w:val="22"/>
          <w:szCs w:val="28"/>
        </w:rPr>
        <w:t>3.3 监理人员</w:t>
      </w:r>
      <w:bookmarkEnd w:id="2335"/>
      <w:bookmarkEnd w:id="2336"/>
      <w:bookmarkEnd w:id="2337"/>
      <w:bookmarkEnd w:id="2338"/>
      <w:bookmarkEnd w:id="2339"/>
      <w:bookmarkEnd w:id="2340"/>
      <w:bookmarkEnd w:id="2341"/>
      <w:bookmarkEnd w:id="2342"/>
      <w:bookmarkEnd w:id="2343"/>
      <w:bookmarkEnd w:id="2344"/>
    </w:p>
    <w:p>
      <w:pPr>
        <w:spacing w:after="160" w:line="278" w:lineRule="auto"/>
        <w:rPr>
          <w:rFonts w:ascii="宋体" w:hAnsi="宋体"/>
          <w:sz w:val="22"/>
          <w:szCs w:val="28"/>
        </w:rPr>
      </w:pPr>
      <w:r>
        <w:rPr>
          <w:rFonts w:ascii="宋体" w:hAnsi="宋体"/>
          <w:sz w:val="22"/>
          <w:szCs w:val="28"/>
        </w:rPr>
        <w:t>3.3.4 总监理工程师不应将第3.5款约定应由总监理工程师作出确定的权力授权或者委托给其他监理人员。</w:t>
      </w:r>
    </w:p>
    <w:p>
      <w:pPr>
        <w:spacing w:after="160" w:line="278" w:lineRule="auto"/>
        <w:rPr>
          <w:rFonts w:ascii="宋体" w:hAnsi="宋体"/>
          <w:sz w:val="22"/>
          <w:szCs w:val="28"/>
        </w:rPr>
      </w:pPr>
      <w:bookmarkStart w:id="2345" w:name="_Toc132619159"/>
      <w:bookmarkStart w:id="2346" w:name="_Toc144974605"/>
      <w:bookmarkStart w:id="2347" w:name="_Toc152042415"/>
      <w:bookmarkStart w:id="2348" w:name="_Toc152045637"/>
      <w:bookmarkStart w:id="2349" w:name="_Toc342296431"/>
      <w:bookmarkStart w:id="2350" w:name="_Toc179632655"/>
      <w:bookmarkStart w:id="2351" w:name="_Toc241459672"/>
      <w:bookmarkStart w:id="2352" w:name="_Toc142385698"/>
      <w:bookmarkStart w:id="2353" w:name="_Toc129798410"/>
      <w:bookmarkStart w:id="2354" w:name="_Toc109914475"/>
      <w:r>
        <w:rPr>
          <w:rFonts w:ascii="宋体" w:hAnsi="宋体"/>
          <w:sz w:val="22"/>
          <w:szCs w:val="28"/>
        </w:rPr>
        <w:t>3.4 监理人的指示</w:t>
      </w:r>
      <w:bookmarkEnd w:id="2345"/>
      <w:bookmarkEnd w:id="2346"/>
      <w:bookmarkEnd w:id="2347"/>
      <w:bookmarkEnd w:id="2348"/>
      <w:bookmarkEnd w:id="2349"/>
      <w:bookmarkEnd w:id="2350"/>
      <w:bookmarkEnd w:id="2351"/>
      <w:bookmarkEnd w:id="2352"/>
      <w:bookmarkEnd w:id="2353"/>
      <w:bookmarkEnd w:id="2354"/>
    </w:p>
    <w:p>
      <w:pPr>
        <w:spacing w:after="160" w:line="278" w:lineRule="auto"/>
        <w:rPr>
          <w:rFonts w:ascii="宋体" w:hAnsi="宋体"/>
          <w:sz w:val="22"/>
          <w:szCs w:val="28"/>
        </w:rPr>
      </w:pPr>
      <w:r>
        <w:rPr>
          <w:rFonts w:ascii="宋体" w:hAnsi="宋体"/>
          <w:sz w:val="22"/>
          <w:szCs w:val="28"/>
        </w:rPr>
        <w:t>3.4.4除通用合同条款已有的专门约定外，承包人只能从总监理工程师或按第3.3.1项授权的监理人员处取得指示，发包人应当通过监理人向承包人发出指示。</w:t>
      </w:r>
      <w:bookmarkStart w:id="2355" w:name="_Toc179632657"/>
      <w:bookmarkStart w:id="2356" w:name="_Toc152045639"/>
      <w:bookmarkStart w:id="2357" w:name="_Toc144974607"/>
      <w:bookmarkStart w:id="2358" w:name="_Toc152042417"/>
    </w:p>
    <w:p>
      <w:pPr>
        <w:spacing w:after="160" w:line="278" w:lineRule="auto"/>
        <w:rPr>
          <w:rFonts w:ascii="宋体" w:hAnsi="宋体"/>
          <w:sz w:val="22"/>
          <w:szCs w:val="28"/>
        </w:rPr>
      </w:pPr>
      <w:bookmarkStart w:id="2359" w:name="_Toc342296432"/>
      <w:bookmarkStart w:id="2360" w:name="_Toc129798411"/>
      <w:bookmarkStart w:id="2361" w:name="_Toc241459673"/>
      <w:bookmarkStart w:id="2362" w:name="_Toc109914476"/>
      <w:bookmarkStart w:id="2363" w:name="_Toc132619160"/>
      <w:bookmarkStart w:id="2364" w:name="_Toc142385699"/>
      <w:r>
        <w:rPr>
          <w:rFonts w:ascii="宋体" w:hAnsi="宋体"/>
          <w:sz w:val="22"/>
          <w:szCs w:val="28"/>
        </w:rPr>
        <w:t>3.6 监理人的宽恕</w:t>
      </w:r>
      <w:bookmarkEnd w:id="2359"/>
      <w:bookmarkEnd w:id="2360"/>
      <w:bookmarkEnd w:id="2361"/>
      <w:bookmarkEnd w:id="2362"/>
      <w:bookmarkEnd w:id="2363"/>
      <w:bookmarkEnd w:id="2364"/>
    </w:p>
    <w:p>
      <w:pPr>
        <w:spacing w:after="160" w:line="278" w:lineRule="auto"/>
        <w:rPr>
          <w:rFonts w:ascii="宋体" w:hAnsi="宋体"/>
          <w:sz w:val="22"/>
          <w:szCs w:val="28"/>
        </w:rPr>
      </w:pPr>
      <w:r>
        <w:rPr>
          <w:rFonts w:ascii="宋体" w:hAnsi="宋体"/>
          <w:sz w:val="22"/>
          <w:szCs w:val="28"/>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after="160" w:line="278" w:lineRule="auto"/>
        <w:rPr>
          <w:rFonts w:ascii="宋体" w:hAnsi="宋体"/>
          <w:sz w:val="22"/>
          <w:szCs w:val="28"/>
        </w:rPr>
      </w:pPr>
      <w:bookmarkStart w:id="2365" w:name="_Toc342296433"/>
      <w:bookmarkStart w:id="2366" w:name="_Toc442365642"/>
      <w:bookmarkStart w:id="2367" w:name="_Toc469660045"/>
      <w:bookmarkStart w:id="2368" w:name="_Toc132619161"/>
      <w:bookmarkStart w:id="2369" w:name="_Toc448758450"/>
      <w:bookmarkStart w:id="2370" w:name="_Toc448758550"/>
      <w:bookmarkStart w:id="2371" w:name="_Toc241459674"/>
      <w:bookmarkStart w:id="2372" w:name="_Toc109914477"/>
      <w:bookmarkStart w:id="2373" w:name="_Toc142385700"/>
      <w:bookmarkStart w:id="2374" w:name="_Toc129798412"/>
      <w:r>
        <w:rPr>
          <w:rFonts w:ascii="宋体" w:hAnsi="宋体"/>
          <w:sz w:val="22"/>
          <w:szCs w:val="28"/>
        </w:rPr>
        <w:t>4. 承包人</w:t>
      </w:r>
      <w:bookmarkEnd w:id="2355"/>
      <w:bookmarkEnd w:id="2356"/>
      <w:bookmarkEnd w:id="2357"/>
      <w:bookmarkEnd w:id="2358"/>
      <w:bookmarkEnd w:id="2365"/>
      <w:bookmarkEnd w:id="2366"/>
      <w:bookmarkEnd w:id="2367"/>
      <w:bookmarkEnd w:id="2368"/>
      <w:bookmarkEnd w:id="2369"/>
      <w:bookmarkEnd w:id="2370"/>
      <w:bookmarkEnd w:id="2371"/>
      <w:bookmarkEnd w:id="2372"/>
      <w:bookmarkEnd w:id="2373"/>
      <w:bookmarkEnd w:id="2374"/>
    </w:p>
    <w:p>
      <w:pPr>
        <w:spacing w:after="160" w:line="278" w:lineRule="auto"/>
        <w:rPr>
          <w:rFonts w:ascii="宋体" w:hAnsi="宋体"/>
          <w:sz w:val="22"/>
          <w:szCs w:val="28"/>
        </w:rPr>
      </w:pPr>
      <w:bookmarkStart w:id="2375" w:name="_Toc241459675"/>
      <w:bookmarkStart w:id="2376" w:name="_Toc342296434"/>
      <w:bookmarkStart w:id="2377" w:name="_Toc144974608"/>
      <w:bookmarkStart w:id="2378" w:name="_Toc152045640"/>
      <w:bookmarkStart w:id="2379" w:name="_Toc142385701"/>
      <w:bookmarkStart w:id="2380" w:name="_Toc132619162"/>
      <w:bookmarkStart w:id="2381" w:name="_Toc109914478"/>
      <w:bookmarkStart w:id="2382" w:name="_Toc179632658"/>
      <w:bookmarkStart w:id="2383" w:name="_Toc129798413"/>
      <w:bookmarkStart w:id="2384" w:name="_Toc152042418"/>
      <w:r>
        <w:rPr>
          <w:rFonts w:ascii="宋体" w:hAnsi="宋体"/>
          <w:sz w:val="22"/>
          <w:szCs w:val="28"/>
        </w:rPr>
        <w:t>4.1 承包人的一般义务</w:t>
      </w:r>
      <w:bookmarkEnd w:id="2375"/>
      <w:bookmarkEnd w:id="2376"/>
      <w:bookmarkEnd w:id="2377"/>
      <w:bookmarkEnd w:id="2378"/>
      <w:bookmarkEnd w:id="2379"/>
      <w:bookmarkEnd w:id="2380"/>
      <w:bookmarkEnd w:id="2381"/>
      <w:bookmarkEnd w:id="2382"/>
      <w:bookmarkEnd w:id="2383"/>
      <w:bookmarkEnd w:id="2384"/>
    </w:p>
    <w:p>
      <w:pPr>
        <w:spacing w:after="160" w:line="278" w:lineRule="auto"/>
        <w:rPr>
          <w:rFonts w:ascii="宋体" w:hAnsi="宋体"/>
          <w:sz w:val="22"/>
          <w:szCs w:val="28"/>
        </w:rPr>
      </w:pPr>
      <w:r>
        <w:rPr>
          <w:rFonts w:ascii="宋体" w:hAnsi="宋体"/>
          <w:sz w:val="22"/>
          <w:szCs w:val="28"/>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after="160" w:line="278" w:lineRule="auto"/>
        <w:rPr>
          <w:rFonts w:ascii="宋体" w:hAnsi="宋体"/>
          <w:sz w:val="22"/>
          <w:szCs w:val="28"/>
        </w:rPr>
      </w:pPr>
      <w:r>
        <w:rPr>
          <w:rFonts w:ascii="宋体" w:hAnsi="宋体"/>
          <w:sz w:val="22"/>
          <w:szCs w:val="28"/>
        </w:rPr>
        <w:t>4.1.8</w:t>
      </w:r>
      <w:r>
        <w:rPr>
          <w:rFonts w:hint="eastAsia" w:ascii="宋体" w:hAnsi="宋体"/>
          <w:sz w:val="22"/>
          <w:szCs w:val="28"/>
        </w:rPr>
        <w:t>为他人提供方便</w:t>
      </w:r>
    </w:p>
    <w:p>
      <w:pPr>
        <w:spacing w:after="160" w:line="278" w:lineRule="auto"/>
        <w:rPr>
          <w:rFonts w:ascii="宋体" w:hAnsi="宋体"/>
          <w:sz w:val="22"/>
          <w:szCs w:val="28"/>
        </w:rPr>
      </w:pPr>
      <w:r>
        <w:rPr>
          <w:rFonts w:ascii="宋体" w:hAnsi="宋体"/>
          <w:sz w:val="22"/>
          <w:szCs w:val="28"/>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为其他独立承包人在使用施工用地、道路和其他公用设施等方面提供方便</w:t>
      </w:r>
      <w:r>
        <w:rPr>
          <w:rFonts w:hint="eastAsia" w:ascii="宋体" w:hAnsi="宋体"/>
          <w:sz w:val="22"/>
          <w:szCs w:val="28"/>
        </w:rPr>
        <w:t>，避免对邻近的公共设施产生干扰。承包人占用或使用他人的施工场地，影响他人作业或生活的，应承担相应责任；</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（2）承包人还应按监理人指示为独立承包人以外的他人在施工场地或者附近实施与合同工程有关的其他工作提供可能的条件，可能发生费用由监理人按第3.5款商定或者确定。</w:t>
      </w:r>
    </w:p>
    <w:p>
      <w:pPr>
        <w:spacing w:after="160" w:line="278" w:lineRule="auto"/>
        <w:rPr>
          <w:rFonts w:ascii="宋体" w:hAnsi="宋体"/>
          <w:sz w:val="22"/>
          <w:szCs w:val="28"/>
        </w:rPr>
      </w:pPr>
      <w:r>
        <w:rPr>
          <w:rFonts w:ascii="宋体" w:hAnsi="宋体"/>
          <w:sz w:val="22"/>
          <w:szCs w:val="28"/>
        </w:rPr>
        <w:t>4.1.10</w:t>
      </w:r>
      <w:r>
        <w:rPr>
          <w:rFonts w:hint="eastAsia" w:ascii="宋体" w:hAnsi="宋体"/>
          <w:sz w:val="22"/>
          <w:szCs w:val="28"/>
        </w:rPr>
        <w:t>其他义务</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（1）根据发包人委托，在其设计资质等级和业务允许的范围内，完成施工图设计或与工程配套的设计，经监理人确认后使用，发包人承担由此发生的费用和合理利润</w:t>
      </w:r>
      <w:r>
        <w:rPr>
          <w:rFonts w:hint="eastAsia" w:ascii="宋体" w:hAnsi="宋体"/>
          <w:sz w:val="22"/>
          <w:szCs w:val="28"/>
        </w:rPr>
        <w:t>,</w:t>
      </w:r>
      <w:r>
        <w:rPr>
          <w:rFonts w:ascii="宋体" w:hAnsi="宋体"/>
          <w:sz w:val="22"/>
          <w:szCs w:val="28"/>
        </w:rPr>
        <w:t>由此发生的费用被认为已经包括在承包人的签约合同价（投标总报价）中。由承包人承担的施工图设计或与工程配套的设计工作内容</w:t>
      </w:r>
      <w:r>
        <w:rPr>
          <w:rFonts w:ascii="宋体" w:hAnsi="宋体"/>
          <w:sz w:val="22"/>
          <w:szCs w:val="28"/>
          <w:u w:val="single"/>
        </w:rPr>
        <w:t xml:space="preserve"> </w:t>
      </w:r>
      <w:r>
        <w:rPr>
          <w:rFonts w:hint="eastAsia" w:ascii="宋体" w:hAnsi="宋体"/>
          <w:sz w:val="22"/>
          <w:szCs w:val="28"/>
          <w:u w:val="single"/>
        </w:rPr>
        <w:t xml:space="preserve"> </w:t>
      </w:r>
      <w:r>
        <w:rPr>
          <w:rFonts w:ascii="宋体" w:hAnsi="宋体"/>
          <w:sz w:val="22"/>
          <w:szCs w:val="28"/>
          <w:u w:val="single"/>
        </w:rPr>
        <w:t>/</w:t>
      </w:r>
      <w:r>
        <w:rPr>
          <w:rFonts w:hint="eastAsia" w:ascii="宋体" w:hAnsi="宋体"/>
          <w:sz w:val="22"/>
          <w:szCs w:val="28"/>
          <w:u w:val="single"/>
        </w:rPr>
        <w:t xml:space="preserve">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（2）承包人应履行合同约定的其他义务以及下述义务：</w:t>
      </w:r>
    </w:p>
    <w:p>
      <w:pPr>
        <w:spacing w:after="160" w:line="278" w:lineRule="auto"/>
        <w:rPr>
          <w:rFonts w:ascii="宋体" w:hAnsi="宋体"/>
          <w:sz w:val="22"/>
          <w:szCs w:val="28"/>
        </w:rPr>
      </w:pPr>
      <w:r>
        <w:rPr>
          <w:rFonts w:ascii="宋体" w:hAnsi="宋体"/>
          <w:sz w:val="22"/>
          <w:szCs w:val="28"/>
        </w:rPr>
        <w:t>承担施工安全保卫工作及夜间施工照明的责任：由承包人负责并承担由此发生的费用。</w:t>
      </w:r>
    </w:p>
    <w:p>
      <w:pPr>
        <w:spacing w:after="160" w:line="278" w:lineRule="auto"/>
        <w:rPr>
          <w:rFonts w:ascii="宋体" w:hAnsi="宋体"/>
          <w:sz w:val="22"/>
          <w:szCs w:val="28"/>
        </w:rPr>
      </w:pPr>
      <w:r>
        <w:rPr>
          <w:rFonts w:ascii="宋体" w:hAnsi="宋体"/>
          <w:sz w:val="22"/>
          <w:szCs w:val="28"/>
        </w:rPr>
        <w:t>需承包人办理的有关施工场地交通、环卫和施工噪声管理等手续：按北京市有关规定办理，承包人负责处理并承担费用。</w:t>
      </w:r>
    </w:p>
    <w:p>
      <w:pPr>
        <w:spacing w:after="160" w:line="278" w:lineRule="auto"/>
        <w:rPr>
          <w:rFonts w:ascii="宋体" w:hAnsi="宋体"/>
          <w:sz w:val="22"/>
          <w:szCs w:val="28"/>
        </w:rPr>
      </w:pPr>
      <w:r>
        <w:rPr>
          <w:rFonts w:ascii="宋体" w:hAnsi="宋体"/>
          <w:sz w:val="22"/>
          <w:szCs w:val="28"/>
        </w:rPr>
        <w:t>施工场地清洁卫生的要求：对施工生产和生活垃圾应及时清运，承包人承担由此发生的费用。</w:t>
      </w:r>
    </w:p>
    <w:p>
      <w:pPr>
        <w:spacing w:after="160" w:line="278" w:lineRule="auto"/>
        <w:rPr>
          <w:rFonts w:ascii="宋体" w:hAnsi="宋体"/>
          <w:sz w:val="22"/>
          <w:szCs w:val="28"/>
        </w:rPr>
      </w:pPr>
      <w:r>
        <w:rPr>
          <w:rFonts w:ascii="宋体" w:hAnsi="宋体"/>
          <w:sz w:val="22"/>
          <w:szCs w:val="28"/>
        </w:rPr>
        <w:t>在施工期间，</w:t>
      </w:r>
      <w:r>
        <w:rPr>
          <w:rFonts w:hint="eastAsia" w:ascii="宋体" w:hAnsi="宋体"/>
          <w:sz w:val="22"/>
          <w:szCs w:val="28"/>
        </w:rPr>
        <w:t>发包人负责提供水电并承担水电费，</w:t>
      </w:r>
      <w:r>
        <w:rPr>
          <w:rFonts w:ascii="宋体" w:hAnsi="宋体"/>
          <w:sz w:val="22"/>
          <w:szCs w:val="28"/>
        </w:rPr>
        <w:t>承包人施工用水电费</w:t>
      </w:r>
      <w:r>
        <w:rPr>
          <w:rFonts w:hint="eastAsia" w:ascii="宋体" w:hAnsi="宋体"/>
          <w:sz w:val="22"/>
          <w:szCs w:val="28"/>
        </w:rPr>
        <w:t>无需缴纳，结算时应当扣除施工单位单独报送的工程水电费，且承包人应遵守节约用水、用电相关规定。</w:t>
      </w:r>
    </w:p>
    <w:p>
      <w:pPr>
        <w:spacing w:after="160" w:line="278" w:lineRule="auto"/>
        <w:rPr>
          <w:rFonts w:ascii="宋体" w:hAnsi="宋体"/>
          <w:sz w:val="22"/>
          <w:szCs w:val="28"/>
        </w:rPr>
      </w:pPr>
      <w:r>
        <w:rPr>
          <w:rFonts w:hint="eastAsia" w:ascii="宋体" w:hAnsi="宋体"/>
          <w:sz w:val="22"/>
          <w:szCs w:val="28"/>
        </w:rPr>
        <w:t>投标过程中承包人已综合考虑搬运施工场地内设施费用，如家具家电等的移位费用，承包人在投标报价时已一并考虑在报价中。</w:t>
      </w:r>
    </w:p>
    <w:p>
      <w:pPr>
        <w:spacing w:after="160" w:line="278" w:lineRule="auto"/>
        <w:rPr>
          <w:rFonts w:ascii="宋体" w:hAnsi="宋体"/>
          <w:sz w:val="22"/>
          <w:szCs w:val="28"/>
        </w:rPr>
      </w:pPr>
      <w:r>
        <w:rPr>
          <w:rFonts w:hint="eastAsia" w:ascii="宋体" w:hAnsi="宋体"/>
          <w:sz w:val="22"/>
          <w:szCs w:val="28"/>
        </w:rPr>
        <w:t>承包人在施工范围内进行拆除工作时，需对现场所需拆除的材料及设备提前向发包人报备，涉及学校资产、可回收利用的资源，承包人应妥善保管，并应交由发包人进行处置，承包人不得擅自变卖。对于其余经发包人查看后不可回收，且不涉及学校资产的设备、物品等，承包人负责对其进行运输和消纳，并在报价中进行体现。拆除的数量作为结算拆除工程量，实际拆除的可回收材料较原资源不足的，需像甲方说明理由，否则应按实际损失金额赔偿。</w:t>
      </w:r>
    </w:p>
    <w:p>
      <w:pPr>
        <w:spacing w:after="160" w:line="278" w:lineRule="auto"/>
        <w:rPr>
          <w:rFonts w:ascii="宋体" w:hAnsi="宋体"/>
          <w:sz w:val="22"/>
          <w:szCs w:val="28"/>
        </w:rPr>
      </w:pPr>
      <w:r>
        <w:rPr>
          <w:rFonts w:hint="eastAsia" w:ascii="宋体" w:hAnsi="宋体"/>
          <w:sz w:val="22"/>
          <w:szCs w:val="28"/>
        </w:rPr>
        <w:t>施工期间施工单位须配备合格造价人员，如在施工过程中发生洽商项，所有经济类洽商在实施前需及时报发包人协商，发包人批准后方可实施，否则所有经济增项不予承认。如有暂估价材料项目，投标文件按招标清单之中给定暂估材料价填报。</w:t>
      </w:r>
    </w:p>
    <w:p>
      <w:pPr>
        <w:spacing w:after="160" w:line="278" w:lineRule="auto"/>
        <w:rPr>
          <w:rFonts w:ascii="宋体" w:hAnsi="宋体"/>
          <w:sz w:val="22"/>
          <w:szCs w:val="28"/>
        </w:rPr>
      </w:pPr>
      <w:bookmarkStart w:id="2385" w:name="_Toc132619163"/>
      <w:bookmarkStart w:id="2386" w:name="_Toc342296435"/>
      <w:bookmarkStart w:id="2387" w:name="_Toc241459676"/>
      <w:bookmarkStart w:id="2388" w:name="_Toc142385702"/>
      <w:bookmarkStart w:id="2389" w:name="_Toc129798414"/>
      <w:bookmarkStart w:id="2390" w:name="_Toc109914479"/>
      <w:bookmarkStart w:id="2391" w:name="_Toc179632660"/>
      <w:bookmarkStart w:id="2392" w:name="_Toc144974610"/>
      <w:bookmarkStart w:id="2393" w:name="_Toc152045642"/>
      <w:bookmarkStart w:id="2394" w:name="_Toc152042420"/>
      <w:r>
        <w:rPr>
          <w:rFonts w:ascii="宋体" w:hAnsi="宋体"/>
          <w:sz w:val="22"/>
          <w:szCs w:val="28"/>
        </w:rPr>
        <w:t>4.2 履约担保</w:t>
      </w:r>
      <w:bookmarkEnd w:id="2385"/>
      <w:bookmarkEnd w:id="2386"/>
      <w:bookmarkEnd w:id="2387"/>
      <w:bookmarkEnd w:id="2388"/>
      <w:bookmarkEnd w:id="2389"/>
      <w:bookmarkEnd w:id="2390"/>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4.2.1 </w:t>
      </w:r>
      <w:r>
        <w:rPr>
          <w:rFonts w:hint="eastAsia" w:ascii="宋体" w:hAnsi="宋体"/>
          <w:sz w:val="22"/>
          <w:szCs w:val="28"/>
        </w:rPr>
        <w:t>履约担保的格式和金额</w:t>
      </w:r>
    </w:p>
    <w:p>
      <w:pPr>
        <w:spacing w:after="160" w:line="278" w:lineRule="auto"/>
        <w:rPr>
          <w:rFonts w:ascii="宋体" w:hAnsi="宋体"/>
          <w:sz w:val="22"/>
          <w:szCs w:val="28"/>
        </w:rPr>
      </w:pPr>
      <w:r>
        <w:rPr>
          <w:rFonts w:ascii="宋体" w:hAnsi="宋体"/>
          <w:sz w:val="22"/>
          <w:szCs w:val="28"/>
        </w:rPr>
        <w:t xml:space="preserve">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      </w:t>
      </w:r>
      <w:r>
        <w:rPr>
          <w:rFonts w:hint="eastAsia" w:ascii="宋体" w:hAnsi="宋体"/>
          <w:sz w:val="22"/>
          <w:szCs w:val="28"/>
          <w:u w:val="single"/>
        </w:rPr>
        <w:t>/</w:t>
      </w:r>
      <w:r>
        <w:rPr>
          <w:rFonts w:ascii="宋体" w:hAnsi="宋体"/>
          <w:sz w:val="22"/>
          <w:szCs w:val="28"/>
          <w:u w:val="single"/>
        </w:rPr>
        <w:t xml:space="preserve">    </w:t>
      </w:r>
      <w:r>
        <w:rPr>
          <w:rFonts w:ascii="宋体" w:hAnsi="宋体"/>
          <w:sz w:val="22"/>
          <w:szCs w:val="28"/>
        </w:rPr>
        <w:t xml:space="preserve">  。履约担保是本合同的附件。</w:t>
      </w:r>
    </w:p>
    <w:p>
      <w:pPr>
        <w:spacing w:after="160" w:line="278" w:lineRule="auto"/>
        <w:rPr>
          <w:rFonts w:ascii="宋体" w:hAnsi="宋体"/>
          <w:sz w:val="22"/>
          <w:szCs w:val="28"/>
        </w:rPr>
      </w:pPr>
      <w:r>
        <w:rPr>
          <w:rFonts w:ascii="宋体" w:hAnsi="宋体"/>
          <w:sz w:val="22"/>
          <w:szCs w:val="28"/>
        </w:rPr>
        <w:t xml:space="preserve">4.2.2 </w:t>
      </w:r>
      <w:r>
        <w:rPr>
          <w:rFonts w:hint="eastAsia" w:ascii="宋体" w:hAnsi="宋体"/>
          <w:sz w:val="22"/>
          <w:szCs w:val="28"/>
        </w:rPr>
        <w:t>履约担保的有效期</w:t>
      </w:r>
    </w:p>
    <w:p>
      <w:pPr>
        <w:spacing w:after="160" w:line="278" w:lineRule="auto"/>
        <w:rPr>
          <w:rFonts w:ascii="宋体" w:hAnsi="宋体"/>
          <w:sz w:val="22"/>
          <w:szCs w:val="28"/>
        </w:rPr>
      </w:pPr>
      <w:r>
        <w:rPr>
          <w:rFonts w:ascii="宋体" w:hAnsi="宋体"/>
          <w:sz w:val="22"/>
          <w:szCs w:val="28"/>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after="160" w:line="278" w:lineRule="auto"/>
        <w:rPr>
          <w:rFonts w:ascii="宋体" w:hAnsi="宋体"/>
          <w:sz w:val="22"/>
          <w:szCs w:val="28"/>
        </w:rPr>
      </w:pPr>
      <w:r>
        <w:rPr>
          <w:rFonts w:ascii="宋体" w:hAnsi="宋体"/>
          <w:sz w:val="22"/>
          <w:szCs w:val="28"/>
        </w:rPr>
        <w:t xml:space="preserve">4.2.3 </w:t>
      </w:r>
      <w:r>
        <w:rPr>
          <w:rFonts w:hint="eastAsia" w:ascii="宋体" w:hAnsi="宋体"/>
          <w:sz w:val="22"/>
          <w:szCs w:val="28"/>
        </w:rPr>
        <w:t>履约担保的退还</w:t>
      </w:r>
    </w:p>
    <w:p>
      <w:pPr>
        <w:spacing w:after="160" w:line="278" w:lineRule="auto"/>
        <w:rPr>
          <w:rFonts w:ascii="宋体" w:hAnsi="宋体"/>
          <w:sz w:val="22"/>
          <w:szCs w:val="28"/>
        </w:rPr>
      </w:pPr>
      <w:r>
        <w:rPr>
          <w:rFonts w:ascii="宋体" w:hAnsi="宋体"/>
          <w:sz w:val="22"/>
          <w:szCs w:val="28"/>
        </w:rPr>
        <w:t>履约担保应在监理人向承包人颁发（出具）工程接收证书之日后28天内退还给承包人。发包人不承担承包人与履约担保有关的任何利息或其它类似的费用或者收益。</w:t>
      </w:r>
    </w:p>
    <w:p>
      <w:pPr>
        <w:spacing w:after="160" w:line="278" w:lineRule="auto"/>
        <w:rPr>
          <w:rFonts w:ascii="宋体" w:hAnsi="宋体"/>
          <w:sz w:val="22"/>
          <w:szCs w:val="28"/>
        </w:rPr>
      </w:pPr>
      <w:r>
        <w:rPr>
          <w:rFonts w:ascii="宋体" w:hAnsi="宋体"/>
          <w:sz w:val="22"/>
          <w:szCs w:val="28"/>
        </w:rPr>
        <w:t xml:space="preserve">4.2.4 </w:t>
      </w:r>
      <w:r>
        <w:rPr>
          <w:rFonts w:hint="eastAsia" w:ascii="宋体" w:hAnsi="宋体"/>
          <w:sz w:val="22"/>
          <w:szCs w:val="28"/>
        </w:rPr>
        <w:t>通知义务</w:t>
      </w:r>
    </w:p>
    <w:p>
      <w:pPr>
        <w:spacing w:after="160" w:line="278" w:lineRule="auto"/>
        <w:rPr>
          <w:rFonts w:ascii="宋体" w:hAnsi="宋体"/>
          <w:sz w:val="22"/>
          <w:szCs w:val="28"/>
        </w:rPr>
      </w:pPr>
      <w:r>
        <w:rPr>
          <w:rFonts w:ascii="宋体" w:hAnsi="宋体"/>
          <w:sz w:val="22"/>
          <w:szCs w:val="28"/>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after="160" w:line="278" w:lineRule="auto"/>
        <w:rPr>
          <w:rFonts w:ascii="宋体" w:hAnsi="宋体"/>
          <w:sz w:val="22"/>
          <w:szCs w:val="28"/>
        </w:rPr>
      </w:pPr>
      <w:bookmarkStart w:id="2395" w:name="_Toc129798415"/>
      <w:bookmarkStart w:id="2396" w:name="_Toc109914480"/>
      <w:bookmarkStart w:id="2397" w:name="_Toc132619164"/>
      <w:bookmarkStart w:id="2398" w:name="_Toc142385703"/>
      <w:bookmarkStart w:id="2399" w:name="_Toc342296436"/>
      <w:bookmarkStart w:id="2400" w:name="_Toc241459677"/>
      <w:r>
        <w:rPr>
          <w:rFonts w:ascii="宋体" w:hAnsi="宋体"/>
          <w:sz w:val="22"/>
          <w:szCs w:val="28"/>
        </w:rPr>
        <w:t>4.3 分包</w:t>
      </w:r>
      <w:bookmarkEnd w:id="2391"/>
      <w:bookmarkEnd w:id="2392"/>
      <w:bookmarkEnd w:id="2393"/>
      <w:bookmarkEnd w:id="2394"/>
      <w:bookmarkEnd w:id="2395"/>
      <w:bookmarkEnd w:id="2396"/>
      <w:bookmarkEnd w:id="2397"/>
      <w:bookmarkEnd w:id="2398"/>
      <w:bookmarkEnd w:id="2399"/>
      <w:bookmarkEnd w:id="2400"/>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4.3.2发包人同意承包人分包的非主体、非关键性工作见投标函附录。除通用合同条款第4.3款的约定外，分包还应遵循以下约定：</w:t>
      </w:r>
    </w:p>
    <w:p>
      <w:pPr>
        <w:spacing w:after="160" w:line="278" w:lineRule="auto"/>
        <w:rPr>
          <w:rFonts w:ascii="宋体" w:hAnsi="宋体"/>
          <w:sz w:val="22"/>
          <w:szCs w:val="28"/>
        </w:rPr>
      </w:pPr>
      <w:r>
        <w:rPr>
          <w:rFonts w:ascii="宋体" w:hAnsi="宋体"/>
          <w:sz w:val="22"/>
          <w:szCs w:val="28"/>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after="160" w:line="278" w:lineRule="auto"/>
        <w:rPr>
          <w:rFonts w:ascii="宋体" w:hAnsi="宋体"/>
          <w:sz w:val="22"/>
          <w:szCs w:val="28"/>
        </w:rPr>
      </w:pPr>
      <w:r>
        <w:rPr>
          <w:rFonts w:ascii="宋体" w:hAnsi="宋体"/>
          <w:sz w:val="22"/>
          <w:szCs w:val="28"/>
        </w:rPr>
        <w:t>（2）发包人在工程量清单中给定暂估价的专业工程，包括从暂列金额开支的专业工程，达到依法应当招标的规模标准的，以及虽未达到规定的规模标准但合同中约定采用分包方式或者招标方式实施的，应由发包人和承包人以招标方式确定专业分包人。除项目审批部门有特别核准外，暂估价的专业工程的招标应当采用与施工总承包同样的招标方式。</w:t>
      </w:r>
    </w:p>
    <w:p>
      <w:pPr>
        <w:spacing w:after="160" w:line="278" w:lineRule="auto"/>
        <w:rPr>
          <w:rFonts w:ascii="宋体" w:hAnsi="宋体"/>
          <w:sz w:val="22"/>
          <w:szCs w:val="28"/>
        </w:rPr>
      </w:pPr>
      <w:r>
        <w:rPr>
          <w:rFonts w:ascii="宋体" w:hAnsi="宋体"/>
          <w:sz w:val="22"/>
          <w:szCs w:val="28"/>
        </w:rPr>
        <w:t>（3）在相关分包合同签订并报送有关建设行政主管部门备案后7天内，承包人应当将一份副本提交给监理人，承包人应保障分包工作不得再次分包。</w:t>
      </w:r>
    </w:p>
    <w:p>
      <w:pPr>
        <w:spacing w:after="160" w:line="278" w:lineRule="auto"/>
        <w:rPr>
          <w:rFonts w:ascii="宋体" w:hAnsi="宋体"/>
          <w:sz w:val="22"/>
          <w:szCs w:val="28"/>
        </w:rPr>
      </w:pPr>
      <w:r>
        <w:rPr>
          <w:rFonts w:ascii="宋体" w:hAnsi="宋体"/>
          <w:sz w:val="22"/>
          <w:szCs w:val="28"/>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after="160" w:line="278" w:lineRule="auto"/>
        <w:rPr>
          <w:rFonts w:ascii="宋体" w:hAnsi="宋体"/>
          <w:sz w:val="22"/>
          <w:szCs w:val="28"/>
        </w:rPr>
      </w:pPr>
      <w:bookmarkStart w:id="2401" w:name="_Toc152042422"/>
      <w:bookmarkStart w:id="2402" w:name="_Toc144974612"/>
      <w:bookmarkStart w:id="2403" w:name="_Toc179632662"/>
      <w:bookmarkStart w:id="2404" w:name="_Toc152045644"/>
      <w:r>
        <w:rPr>
          <w:rFonts w:ascii="宋体" w:hAnsi="宋体"/>
          <w:sz w:val="22"/>
          <w:szCs w:val="28"/>
        </w:rPr>
        <w:t>（5）未经发包人和监理人审批同意的分包工程和分包人，发包人有权拒绝验收分包工程和支付相应款项，由此引起的承包人费用增加和（或）延误的工期由承包人承担。</w:t>
      </w:r>
    </w:p>
    <w:p>
      <w:pPr>
        <w:spacing w:after="160" w:line="278" w:lineRule="auto"/>
        <w:rPr>
          <w:rFonts w:ascii="宋体" w:hAnsi="宋体"/>
          <w:sz w:val="22"/>
          <w:szCs w:val="28"/>
        </w:rPr>
      </w:pPr>
      <w:r>
        <w:rPr>
          <w:rFonts w:hint="eastAsia" w:ascii="宋体" w:hAnsi="宋体"/>
          <w:sz w:val="22"/>
          <w:szCs w:val="28"/>
        </w:rPr>
        <w:t>（6）因分包人的原因导致工程违约或造成人身财产损害的，承包人应当承担连带责任。</w:t>
      </w:r>
    </w:p>
    <w:p>
      <w:pPr>
        <w:spacing w:after="160" w:line="278" w:lineRule="auto"/>
        <w:rPr>
          <w:rFonts w:ascii="宋体" w:hAnsi="宋体"/>
          <w:sz w:val="22"/>
          <w:szCs w:val="28"/>
        </w:rPr>
      </w:pPr>
      <w:bookmarkStart w:id="2405" w:name="_Toc241459678"/>
      <w:bookmarkStart w:id="2406" w:name="_Toc132619165"/>
      <w:bookmarkStart w:id="2407" w:name="_Toc142385704"/>
      <w:bookmarkStart w:id="2408" w:name="_Toc342296437"/>
      <w:bookmarkStart w:id="2409" w:name="_Toc109914481"/>
      <w:bookmarkStart w:id="2410" w:name="_Toc129798416"/>
      <w:r>
        <w:rPr>
          <w:rFonts w:ascii="宋体" w:hAnsi="宋体"/>
          <w:sz w:val="22"/>
          <w:szCs w:val="28"/>
        </w:rPr>
        <w:t>4.5 承包人项目经理</w:t>
      </w:r>
      <w:bookmarkEnd w:id="2401"/>
      <w:bookmarkEnd w:id="2402"/>
      <w:bookmarkEnd w:id="2403"/>
      <w:bookmarkEnd w:id="2404"/>
      <w:bookmarkEnd w:id="2405"/>
      <w:bookmarkEnd w:id="2406"/>
      <w:bookmarkEnd w:id="2407"/>
      <w:bookmarkEnd w:id="2408"/>
      <w:bookmarkEnd w:id="2409"/>
      <w:bookmarkEnd w:id="2410"/>
    </w:p>
    <w:p>
      <w:pPr>
        <w:spacing w:after="160" w:line="278" w:lineRule="auto"/>
        <w:rPr>
          <w:rFonts w:ascii="宋体" w:hAnsi="宋体"/>
          <w:sz w:val="22"/>
          <w:szCs w:val="28"/>
        </w:rPr>
      </w:pPr>
      <w:r>
        <w:rPr>
          <w:rFonts w:ascii="宋体" w:hAnsi="宋体"/>
          <w:sz w:val="22"/>
          <w:szCs w:val="28"/>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after="160" w:line="278" w:lineRule="auto"/>
        <w:rPr>
          <w:rFonts w:ascii="宋体" w:hAnsi="宋体"/>
          <w:sz w:val="22"/>
          <w:szCs w:val="28"/>
        </w:rPr>
      </w:pPr>
      <w:bookmarkStart w:id="2411" w:name="_Toc129798417"/>
      <w:bookmarkStart w:id="2412" w:name="_Toc152042428"/>
      <w:bookmarkStart w:id="2413" w:name="_Toc142385705"/>
      <w:bookmarkStart w:id="2414" w:name="_Toc152045650"/>
      <w:bookmarkStart w:id="2415" w:name="_Toc144974618"/>
      <w:bookmarkStart w:id="2416" w:name="_Toc342296438"/>
      <w:bookmarkStart w:id="2417" w:name="_Toc179632668"/>
      <w:bookmarkStart w:id="2418" w:name="_Toc109914482"/>
      <w:bookmarkStart w:id="2419" w:name="_Toc132619166"/>
      <w:bookmarkStart w:id="2420" w:name="_Toc241459679"/>
      <w:r>
        <w:rPr>
          <w:rFonts w:ascii="宋体" w:hAnsi="宋体"/>
          <w:sz w:val="22"/>
          <w:szCs w:val="28"/>
        </w:rPr>
        <w:t>4.11 不利物质条件</w:t>
      </w:r>
      <w:bookmarkEnd w:id="2411"/>
      <w:bookmarkEnd w:id="2412"/>
      <w:bookmarkEnd w:id="2413"/>
      <w:bookmarkEnd w:id="2414"/>
      <w:bookmarkEnd w:id="2415"/>
      <w:bookmarkEnd w:id="2416"/>
      <w:bookmarkEnd w:id="2417"/>
      <w:bookmarkEnd w:id="2418"/>
      <w:bookmarkEnd w:id="2419"/>
      <w:bookmarkEnd w:id="2420"/>
    </w:p>
    <w:p>
      <w:pPr>
        <w:spacing w:after="160" w:line="278" w:lineRule="auto"/>
        <w:rPr>
          <w:rFonts w:ascii="宋体" w:hAnsi="宋体"/>
          <w:sz w:val="22"/>
          <w:szCs w:val="28"/>
        </w:rPr>
      </w:pPr>
      <w:bookmarkStart w:id="2421" w:name="_Toc152045651"/>
      <w:bookmarkStart w:id="2422" w:name="_Toc144974619"/>
      <w:bookmarkStart w:id="2423" w:name="_Toc179632669"/>
      <w:bookmarkStart w:id="2424" w:name="_Toc152042429"/>
      <w:r>
        <w:rPr>
          <w:rFonts w:ascii="宋体" w:hAnsi="宋体"/>
          <w:sz w:val="22"/>
          <w:szCs w:val="28"/>
        </w:rPr>
        <w:t>4.11.1不利物质条件的范围：</w:t>
      </w:r>
      <w:r>
        <w:rPr>
          <w:rFonts w:ascii="宋体" w:hAnsi="宋体"/>
          <w:sz w:val="22"/>
          <w:szCs w:val="28"/>
          <w:u w:val="single"/>
        </w:rPr>
        <w:t>执行通用合同条款</w:t>
      </w:r>
      <w:r>
        <w:rPr>
          <w:rFonts w:ascii="宋体" w:hAnsi="宋体"/>
          <w:sz w:val="22"/>
          <w:szCs w:val="28"/>
        </w:rPr>
        <w:t xml:space="preserve">。 </w:t>
      </w:r>
    </w:p>
    <w:p>
      <w:pPr>
        <w:spacing w:after="160" w:line="278" w:lineRule="auto"/>
        <w:rPr>
          <w:rFonts w:ascii="宋体" w:hAnsi="宋体"/>
          <w:sz w:val="22"/>
          <w:szCs w:val="28"/>
        </w:rPr>
      </w:pPr>
      <w:bookmarkStart w:id="2425" w:name="_Toc109914483"/>
      <w:bookmarkStart w:id="2426" w:name="_Toc241459680"/>
      <w:bookmarkStart w:id="2427" w:name="_Toc142385706"/>
      <w:bookmarkStart w:id="2428" w:name="_Toc132619167"/>
      <w:bookmarkStart w:id="2429" w:name="_Toc448758451"/>
      <w:bookmarkStart w:id="2430" w:name="_Toc342296439"/>
      <w:bookmarkStart w:id="2431" w:name="_Toc469660046"/>
      <w:bookmarkStart w:id="2432" w:name="_Toc129798418"/>
      <w:bookmarkStart w:id="2433" w:name="_Toc448758551"/>
      <w:bookmarkStart w:id="2434" w:name="_Toc442365643"/>
      <w:r>
        <w:rPr>
          <w:rFonts w:ascii="宋体" w:hAnsi="宋体"/>
          <w:sz w:val="22"/>
          <w:szCs w:val="28"/>
        </w:rPr>
        <w:t>5. 材料和工程设备</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pPr>
        <w:spacing w:after="160" w:line="278" w:lineRule="auto"/>
        <w:rPr>
          <w:rFonts w:ascii="宋体" w:hAnsi="宋体"/>
          <w:sz w:val="22"/>
          <w:szCs w:val="28"/>
        </w:rPr>
      </w:pPr>
      <w:bookmarkStart w:id="2435" w:name="_Toc152045652"/>
      <w:bookmarkStart w:id="2436" w:name="_Toc342296440"/>
      <w:bookmarkStart w:id="2437" w:name="_Toc179632670"/>
      <w:bookmarkStart w:id="2438" w:name="_Toc152042430"/>
      <w:bookmarkStart w:id="2439" w:name="_Toc241459681"/>
      <w:bookmarkStart w:id="2440" w:name="_Toc129798419"/>
      <w:bookmarkStart w:id="2441" w:name="_Toc132619168"/>
      <w:bookmarkStart w:id="2442" w:name="_Toc109914484"/>
      <w:bookmarkStart w:id="2443" w:name="_Toc142385707"/>
      <w:bookmarkStart w:id="2444" w:name="_Toc144974620"/>
      <w:r>
        <w:rPr>
          <w:rFonts w:ascii="宋体" w:hAnsi="宋体"/>
          <w:sz w:val="22"/>
          <w:szCs w:val="28"/>
        </w:rPr>
        <w:t>5.1 承包人提供的材料和工程设备</w:t>
      </w:r>
      <w:bookmarkEnd w:id="2435"/>
      <w:bookmarkEnd w:id="2436"/>
      <w:bookmarkEnd w:id="2437"/>
      <w:bookmarkEnd w:id="2438"/>
      <w:bookmarkEnd w:id="2439"/>
      <w:bookmarkEnd w:id="2440"/>
      <w:bookmarkEnd w:id="2441"/>
      <w:bookmarkEnd w:id="2442"/>
      <w:bookmarkEnd w:id="2443"/>
      <w:bookmarkEnd w:id="2444"/>
    </w:p>
    <w:p>
      <w:pPr>
        <w:spacing w:after="160" w:line="278" w:lineRule="auto"/>
        <w:rPr>
          <w:rFonts w:ascii="宋体" w:hAnsi="宋体"/>
          <w:sz w:val="22"/>
          <w:szCs w:val="28"/>
        </w:rPr>
      </w:pPr>
      <w:r>
        <w:rPr>
          <w:rFonts w:ascii="宋体" w:hAnsi="宋体"/>
          <w:sz w:val="22"/>
          <w:szCs w:val="28"/>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pPr>
        <w:spacing w:after="160" w:line="278" w:lineRule="auto"/>
        <w:rPr>
          <w:rFonts w:ascii="宋体" w:hAnsi="宋体"/>
          <w:sz w:val="22"/>
          <w:szCs w:val="28"/>
        </w:rPr>
      </w:pPr>
      <w:r>
        <w:rPr>
          <w:rFonts w:ascii="宋体" w:hAnsi="宋体"/>
          <w:sz w:val="22"/>
          <w:szCs w:val="28"/>
        </w:rPr>
        <w:t>5.1.2 承包人将由其提供的材料和工程设备的供货人及品种、规格、数量和供货时间等报送监理人审批的期限：材料和工程设备采购前15日内。</w:t>
      </w:r>
    </w:p>
    <w:p>
      <w:pPr>
        <w:spacing w:after="160" w:line="278" w:lineRule="auto"/>
        <w:rPr>
          <w:rFonts w:ascii="宋体" w:hAnsi="宋体"/>
          <w:sz w:val="22"/>
          <w:szCs w:val="28"/>
        </w:rPr>
      </w:pPr>
      <w:bookmarkStart w:id="2445" w:name="_Toc241459682"/>
      <w:bookmarkStart w:id="2446" w:name="_Toc109914485"/>
      <w:bookmarkStart w:id="2447" w:name="_Toc129798420"/>
      <w:bookmarkStart w:id="2448" w:name="_Toc152042431"/>
      <w:bookmarkStart w:id="2449" w:name="_Toc144974621"/>
      <w:bookmarkStart w:id="2450" w:name="_Toc132619169"/>
      <w:bookmarkStart w:id="2451" w:name="_Toc142385708"/>
      <w:bookmarkStart w:id="2452" w:name="_Toc179632671"/>
      <w:bookmarkStart w:id="2453" w:name="_Toc342296441"/>
      <w:bookmarkStart w:id="2454" w:name="_Toc152045653"/>
      <w:r>
        <w:rPr>
          <w:rFonts w:ascii="宋体" w:hAnsi="宋体"/>
          <w:sz w:val="22"/>
          <w:szCs w:val="28"/>
        </w:rPr>
        <w:t>5.2 发包人提供的材料和工程设备</w:t>
      </w:r>
      <w:bookmarkEnd w:id="2445"/>
      <w:bookmarkEnd w:id="2446"/>
      <w:bookmarkEnd w:id="2447"/>
      <w:bookmarkEnd w:id="2448"/>
      <w:bookmarkEnd w:id="2449"/>
      <w:bookmarkEnd w:id="2450"/>
      <w:bookmarkEnd w:id="2451"/>
      <w:bookmarkEnd w:id="2452"/>
      <w:bookmarkEnd w:id="2453"/>
      <w:bookmarkEnd w:id="2454"/>
    </w:p>
    <w:p>
      <w:pPr>
        <w:spacing w:after="160" w:line="278" w:lineRule="auto"/>
        <w:rPr>
          <w:rFonts w:ascii="宋体" w:hAnsi="宋体"/>
          <w:sz w:val="22"/>
          <w:szCs w:val="28"/>
        </w:rPr>
      </w:pPr>
      <w:r>
        <w:rPr>
          <w:rFonts w:ascii="宋体" w:hAnsi="宋体"/>
          <w:sz w:val="22"/>
          <w:szCs w:val="28"/>
        </w:rPr>
        <w:t xml:space="preserve">5.2.1由发包人提供的材料和工程设备验收后，由承包人负责接收、运输和保管。 </w:t>
      </w:r>
    </w:p>
    <w:p>
      <w:pPr>
        <w:spacing w:after="160" w:line="278" w:lineRule="auto"/>
        <w:rPr>
          <w:rFonts w:ascii="宋体" w:hAnsi="宋体"/>
          <w:sz w:val="22"/>
          <w:szCs w:val="28"/>
        </w:rPr>
      </w:pPr>
      <w:bookmarkStart w:id="2455" w:name="_Toc132619170"/>
      <w:bookmarkStart w:id="2456" w:name="_Toc241459683"/>
      <w:bookmarkStart w:id="2457" w:name="_Toc448758552"/>
      <w:bookmarkStart w:id="2458" w:name="_Toc469660047"/>
      <w:bookmarkStart w:id="2459" w:name="_Toc129798421"/>
      <w:bookmarkStart w:id="2460" w:name="_Toc342296442"/>
      <w:bookmarkStart w:id="2461" w:name="_Toc152045656"/>
      <w:bookmarkStart w:id="2462" w:name="_Toc142385709"/>
      <w:bookmarkStart w:id="2463" w:name="_Toc448758452"/>
      <w:bookmarkStart w:id="2464" w:name="_Toc442365644"/>
      <w:bookmarkStart w:id="2465" w:name="_Toc152042434"/>
      <w:bookmarkStart w:id="2466" w:name="_Toc179632674"/>
      <w:bookmarkStart w:id="2467" w:name="_Toc109914486"/>
      <w:bookmarkStart w:id="2468" w:name="_Toc144974624"/>
      <w:r>
        <w:rPr>
          <w:rFonts w:ascii="宋体" w:hAnsi="宋体"/>
          <w:sz w:val="22"/>
          <w:szCs w:val="28"/>
        </w:rPr>
        <w:t>6. 施工设备和临时设施</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pPr>
        <w:spacing w:after="160" w:line="278" w:lineRule="auto"/>
        <w:rPr>
          <w:rFonts w:ascii="宋体" w:hAnsi="宋体"/>
          <w:sz w:val="22"/>
          <w:szCs w:val="28"/>
        </w:rPr>
      </w:pPr>
      <w:bookmarkStart w:id="2469" w:name="_Toc129798422"/>
      <w:bookmarkStart w:id="2470" w:name="_Toc152042435"/>
      <w:bookmarkStart w:id="2471" w:name="_Toc142385710"/>
      <w:bookmarkStart w:id="2472" w:name="_Toc342296443"/>
      <w:bookmarkStart w:id="2473" w:name="_Toc152045657"/>
      <w:bookmarkStart w:id="2474" w:name="_Toc144974625"/>
      <w:bookmarkStart w:id="2475" w:name="_Toc132619171"/>
      <w:bookmarkStart w:id="2476" w:name="_Toc109914487"/>
      <w:bookmarkStart w:id="2477" w:name="_Toc241459684"/>
      <w:bookmarkStart w:id="2478" w:name="_Toc179632675"/>
      <w:r>
        <w:rPr>
          <w:rFonts w:ascii="宋体" w:hAnsi="宋体"/>
          <w:sz w:val="22"/>
          <w:szCs w:val="28"/>
        </w:rPr>
        <w:t>6.1 承包人提供的施工设备和临时设施</w:t>
      </w:r>
      <w:bookmarkEnd w:id="2469"/>
      <w:bookmarkEnd w:id="2470"/>
      <w:bookmarkEnd w:id="2471"/>
      <w:bookmarkEnd w:id="2472"/>
      <w:bookmarkEnd w:id="2473"/>
      <w:bookmarkEnd w:id="2474"/>
      <w:bookmarkEnd w:id="2475"/>
      <w:bookmarkEnd w:id="2476"/>
      <w:bookmarkEnd w:id="2477"/>
      <w:bookmarkEnd w:id="2478"/>
    </w:p>
    <w:p>
      <w:pPr>
        <w:spacing w:after="160" w:line="278" w:lineRule="auto"/>
        <w:rPr>
          <w:rFonts w:ascii="宋体" w:hAnsi="宋体"/>
          <w:sz w:val="22"/>
          <w:szCs w:val="28"/>
        </w:rPr>
      </w:pPr>
      <w:r>
        <w:rPr>
          <w:rFonts w:ascii="宋体" w:hAnsi="宋体"/>
          <w:sz w:val="22"/>
          <w:szCs w:val="28"/>
        </w:rPr>
        <w:t xml:space="preserve">6.1.2发包人承担修建临时设施的费用的范围：施工现场不允许搭建临时设施。 </w:t>
      </w:r>
    </w:p>
    <w:p>
      <w:pPr>
        <w:spacing w:after="160" w:line="278" w:lineRule="auto"/>
        <w:rPr>
          <w:rFonts w:ascii="宋体" w:hAnsi="宋体"/>
          <w:sz w:val="22"/>
          <w:szCs w:val="28"/>
        </w:rPr>
      </w:pPr>
      <w:r>
        <w:rPr>
          <w:rFonts w:ascii="宋体" w:hAnsi="宋体"/>
          <w:sz w:val="22"/>
          <w:szCs w:val="28"/>
        </w:rPr>
        <w:t xml:space="preserve">需要发包人办理申请手续和承担相关费用的临时占地：进场材料设备的检验检测费。 </w:t>
      </w:r>
    </w:p>
    <w:p>
      <w:pPr>
        <w:spacing w:after="160" w:line="278" w:lineRule="auto"/>
        <w:rPr>
          <w:rFonts w:ascii="宋体" w:hAnsi="宋体"/>
          <w:sz w:val="22"/>
          <w:szCs w:val="28"/>
        </w:rPr>
      </w:pPr>
      <w:bookmarkStart w:id="2479" w:name="_Toc152045658"/>
      <w:bookmarkStart w:id="2480" w:name="_Toc342296444"/>
      <w:bookmarkStart w:id="2481" w:name="_Toc129798423"/>
      <w:bookmarkStart w:id="2482" w:name="_Toc142385711"/>
      <w:bookmarkStart w:id="2483" w:name="_Toc144974626"/>
      <w:bookmarkStart w:id="2484" w:name="_Toc132619172"/>
      <w:bookmarkStart w:id="2485" w:name="_Toc109914488"/>
      <w:bookmarkStart w:id="2486" w:name="_Toc179632676"/>
      <w:bookmarkStart w:id="2487" w:name="_Toc241459685"/>
      <w:bookmarkStart w:id="2488" w:name="_Toc152042436"/>
      <w:r>
        <w:rPr>
          <w:rFonts w:ascii="宋体" w:hAnsi="宋体"/>
          <w:sz w:val="22"/>
          <w:szCs w:val="28"/>
        </w:rPr>
        <w:t>6.2 发包人提供的施工设备和临时设施</w:t>
      </w:r>
      <w:bookmarkEnd w:id="2479"/>
      <w:bookmarkEnd w:id="2480"/>
      <w:bookmarkEnd w:id="2481"/>
      <w:bookmarkEnd w:id="2482"/>
      <w:bookmarkEnd w:id="2483"/>
      <w:bookmarkEnd w:id="2484"/>
      <w:bookmarkEnd w:id="2485"/>
      <w:bookmarkEnd w:id="2486"/>
      <w:bookmarkEnd w:id="2487"/>
      <w:bookmarkEnd w:id="2488"/>
    </w:p>
    <w:p>
      <w:pPr>
        <w:spacing w:after="160" w:line="278" w:lineRule="auto"/>
        <w:rPr>
          <w:rFonts w:ascii="宋体" w:hAnsi="宋体"/>
          <w:sz w:val="22"/>
          <w:szCs w:val="28"/>
        </w:rPr>
      </w:pPr>
      <w:r>
        <w:rPr>
          <w:rFonts w:ascii="宋体" w:hAnsi="宋体"/>
          <w:sz w:val="22"/>
          <w:szCs w:val="28"/>
        </w:rPr>
        <w:t>发包人提供的施工设备和临时设施：不提供。</w:t>
      </w:r>
    </w:p>
    <w:p>
      <w:pPr>
        <w:spacing w:after="160" w:line="278" w:lineRule="auto"/>
        <w:rPr>
          <w:rFonts w:ascii="宋体" w:hAnsi="宋体"/>
          <w:sz w:val="22"/>
          <w:szCs w:val="28"/>
        </w:rPr>
      </w:pPr>
      <w:r>
        <w:rPr>
          <w:rFonts w:ascii="宋体" w:hAnsi="宋体"/>
          <w:sz w:val="22"/>
          <w:szCs w:val="28"/>
        </w:rPr>
        <w:t>发包人提供的施工设备和临时设施的运行、维护、拆除、清运费用的承担人：</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bookmarkStart w:id="2489" w:name="_Toc342296445"/>
      <w:bookmarkStart w:id="2490" w:name="_Toc109914489"/>
      <w:bookmarkStart w:id="2491" w:name="_Toc241459686"/>
      <w:bookmarkStart w:id="2492" w:name="_Toc152042438"/>
      <w:bookmarkStart w:id="2493" w:name="_Toc142385712"/>
      <w:bookmarkStart w:id="2494" w:name="_Toc179632678"/>
      <w:bookmarkStart w:id="2495" w:name="_Toc144974628"/>
      <w:bookmarkStart w:id="2496" w:name="_Toc132619173"/>
      <w:bookmarkStart w:id="2497" w:name="_Toc129798424"/>
      <w:bookmarkStart w:id="2498" w:name="_Toc152045660"/>
      <w:r>
        <w:rPr>
          <w:rFonts w:ascii="宋体" w:hAnsi="宋体"/>
          <w:sz w:val="22"/>
          <w:szCs w:val="28"/>
        </w:rPr>
        <w:t>6.4 施工设备和临时设施专用于合同工程</w:t>
      </w:r>
      <w:bookmarkEnd w:id="2489"/>
      <w:bookmarkEnd w:id="2490"/>
      <w:bookmarkEnd w:id="2491"/>
      <w:bookmarkEnd w:id="2492"/>
      <w:bookmarkEnd w:id="2493"/>
      <w:bookmarkEnd w:id="2494"/>
      <w:bookmarkEnd w:id="2495"/>
      <w:bookmarkEnd w:id="2496"/>
      <w:bookmarkEnd w:id="2497"/>
      <w:bookmarkEnd w:id="2498"/>
    </w:p>
    <w:p>
      <w:pPr>
        <w:spacing w:after="160" w:line="278" w:lineRule="auto"/>
        <w:rPr>
          <w:rFonts w:ascii="宋体" w:hAnsi="宋体"/>
          <w:sz w:val="22"/>
          <w:szCs w:val="28"/>
        </w:rPr>
      </w:pPr>
      <w:r>
        <w:rPr>
          <w:rFonts w:ascii="宋体" w:hAnsi="宋体"/>
          <w:sz w:val="22"/>
          <w:szCs w:val="28"/>
        </w:rPr>
        <w:t>6.4.1除为专用合同条款第4.1.8项约定的其他独立承包人和监理人指示的他人提供条件外,承包人运入施工场地的所有施工设备以及在施工场地建设的临时设施仅限于用于合同工程。</w:t>
      </w:r>
    </w:p>
    <w:p>
      <w:pPr>
        <w:spacing w:after="160" w:line="278" w:lineRule="auto"/>
        <w:rPr>
          <w:rFonts w:ascii="宋体" w:hAnsi="宋体"/>
          <w:sz w:val="22"/>
          <w:szCs w:val="28"/>
        </w:rPr>
      </w:pPr>
      <w:bookmarkStart w:id="2499" w:name="_Toc342296446"/>
      <w:bookmarkStart w:id="2500" w:name="_Toc241459687"/>
      <w:bookmarkStart w:id="2501" w:name="_Toc144974629"/>
      <w:bookmarkStart w:id="2502" w:name="_Toc109914490"/>
      <w:bookmarkStart w:id="2503" w:name="_Toc448758453"/>
      <w:bookmarkStart w:id="2504" w:name="_Toc132619174"/>
      <w:bookmarkStart w:id="2505" w:name="_Toc469660048"/>
      <w:bookmarkStart w:id="2506" w:name="_Toc442365645"/>
      <w:bookmarkStart w:id="2507" w:name="_Toc152045661"/>
      <w:bookmarkStart w:id="2508" w:name="_Toc448758553"/>
      <w:bookmarkStart w:id="2509" w:name="_Toc142385713"/>
      <w:bookmarkStart w:id="2510" w:name="_Toc129798425"/>
      <w:bookmarkStart w:id="2511" w:name="_Toc152042439"/>
      <w:bookmarkStart w:id="2512" w:name="_Toc179632679"/>
      <w:r>
        <w:rPr>
          <w:rFonts w:ascii="宋体" w:hAnsi="宋体"/>
          <w:sz w:val="22"/>
          <w:szCs w:val="28"/>
        </w:rPr>
        <w:t>7. 交通运输</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pPr>
        <w:spacing w:after="160" w:line="278" w:lineRule="auto"/>
        <w:rPr>
          <w:rFonts w:ascii="宋体" w:hAnsi="宋体"/>
          <w:sz w:val="22"/>
          <w:szCs w:val="28"/>
        </w:rPr>
      </w:pPr>
      <w:bookmarkStart w:id="2513" w:name="_Toc342296447"/>
      <w:bookmarkStart w:id="2514" w:name="_Toc179632680"/>
      <w:bookmarkStart w:id="2515" w:name="_Toc109914491"/>
      <w:bookmarkStart w:id="2516" w:name="_Toc129798426"/>
      <w:bookmarkStart w:id="2517" w:name="_Toc142385714"/>
      <w:bookmarkStart w:id="2518" w:name="_Toc132619175"/>
      <w:bookmarkStart w:id="2519" w:name="_Toc144974630"/>
      <w:bookmarkStart w:id="2520" w:name="_Toc152045662"/>
      <w:bookmarkStart w:id="2521" w:name="_Toc241459688"/>
      <w:bookmarkStart w:id="2522" w:name="_Toc152042440"/>
      <w:r>
        <w:rPr>
          <w:rFonts w:ascii="宋体" w:hAnsi="宋体"/>
          <w:sz w:val="22"/>
          <w:szCs w:val="28"/>
        </w:rPr>
        <w:t>7.1 道路通行权和场外设施</w:t>
      </w:r>
      <w:bookmarkEnd w:id="2513"/>
      <w:bookmarkEnd w:id="2514"/>
      <w:bookmarkEnd w:id="2515"/>
      <w:bookmarkEnd w:id="2516"/>
      <w:bookmarkEnd w:id="2517"/>
      <w:bookmarkEnd w:id="2518"/>
      <w:bookmarkEnd w:id="2519"/>
      <w:bookmarkEnd w:id="2520"/>
      <w:bookmarkEnd w:id="2521"/>
      <w:bookmarkEnd w:id="2522"/>
    </w:p>
    <w:p>
      <w:pPr>
        <w:spacing w:after="160" w:line="278" w:lineRule="auto"/>
        <w:rPr>
          <w:rFonts w:ascii="宋体" w:hAnsi="宋体"/>
          <w:sz w:val="22"/>
          <w:szCs w:val="28"/>
        </w:rPr>
      </w:pPr>
      <w:r>
        <w:rPr>
          <w:rFonts w:ascii="宋体" w:hAnsi="宋体"/>
          <w:sz w:val="22"/>
          <w:szCs w:val="28"/>
        </w:rPr>
        <w:t>取得道路通行权、场外设施修建权的办理人</w:t>
      </w:r>
      <w:r>
        <w:rPr>
          <w:rFonts w:hint="eastAsia" w:ascii="宋体" w:hAnsi="宋体"/>
          <w:sz w:val="22"/>
          <w:szCs w:val="28"/>
        </w:rPr>
        <w:t>：</w:t>
      </w:r>
      <w:r>
        <w:rPr>
          <w:rFonts w:ascii="宋体" w:hAnsi="宋体"/>
          <w:sz w:val="22"/>
          <w:szCs w:val="28"/>
          <w:u w:val="single"/>
        </w:rPr>
        <w:t>承包人</w:t>
      </w:r>
      <w:r>
        <w:rPr>
          <w:rFonts w:ascii="宋体" w:hAnsi="宋体"/>
          <w:sz w:val="22"/>
          <w:szCs w:val="28"/>
        </w:rPr>
        <w:t>，其相关费用由发包人承担。</w:t>
      </w:r>
    </w:p>
    <w:p>
      <w:pPr>
        <w:spacing w:after="160" w:line="278" w:lineRule="auto"/>
        <w:rPr>
          <w:rFonts w:ascii="宋体" w:hAnsi="宋体"/>
          <w:sz w:val="22"/>
          <w:szCs w:val="28"/>
        </w:rPr>
      </w:pPr>
      <w:bookmarkStart w:id="2523" w:name="_Toc152042441"/>
      <w:bookmarkStart w:id="2524" w:name="_Toc129798427"/>
      <w:bookmarkStart w:id="2525" w:name="_Toc152045663"/>
      <w:bookmarkStart w:id="2526" w:name="_Toc142385715"/>
      <w:bookmarkStart w:id="2527" w:name="_Toc132619176"/>
      <w:bookmarkStart w:id="2528" w:name="_Toc241459689"/>
      <w:bookmarkStart w:id="2529" w:name="_Toc109914492"/>
      <w:bookmarkStart w:id="2530" w:name="_Toc342296448"/>
      <w:bookmarkStart w:id="2531" w:name="_Toc144974631"/>
      <w:bookmarkStart w:id="2532" w:name="_Toc179632681"/>
      <w:r>
        <w:rPr>
          <w:rFonts w:ascii="宋体" w:hAnsi="宋体"/>
          <w:sz w:val="22"/>
          <w:szCs w:val="28"/>
        </w:rPr>
        <w:t>7.2 场内施工道路</w:t>
      </w:r>
      <w:bookmarkEnd w:id="2523"/>
      <w:bookmarkEnd w:id="2524"/>
      <w:bookmarkEnd w:id="2525"/>
      <w:bookmarkEnd w:id="2526"/>
      <w:bookmarkEnd w:id="2527"/>
      <w:bookmarkEnd w:id="2528"/>
      <w:bookmarkEnd w:id="2529"/>
      <w:bookmarkEnd w:id="2530"/>
      <w:bookmarkEnd w:id="2531"/>
      <w:bookmarkEnd w:id="2532"/>
    </w:p>
    <w:p>
      <w:pPr>
        <w:spacing w:after="160" w:line="278" w:lineRule="auto"/>
        <w:rPr>
          <w:rFonts w:ascii="宋体" w:hAnsi="宋体"/>
          <w:sz w:val="22"/>
          <w:szCs w:val="28"/>
        </w:rPr>
      </w:pPr>
      <w:r>
        <w:rPr>
          <w:rFonts w:ascii="宋体" w:hAnsi="宋体"/>
          <w:sz w:val="22"/>
          <w:szCs w:val="28"/>
        </w:rPr>
        <w:t>7.2.1施工所需的场内临时道路和交通设施的修建、维护、养护和管理人：</w:t>
      </w:r>
      <w:r>
        <w:rPr>
          <w:rFonts w:ascii="宋体" w:hAnsi="宋体"/>
          <w:sz w:val="22"/>
          <w:szCs w:val="28"/>
          <w:u w:val="single"/>
        </w:rPr>
        <w:t>承包人</w:t>
      </w:r>
      <w:r>
        <w:rPr>
          <w:rFonts w:ascii="宋体" w:hAnsi="宋体"/>
          <w:sz w:val="22"/>
          <w:szCs w:val="28"/>
        </w:rPr>
        <w:t>，相关费用由承包人承担。</w:t>
      </w:r>
    </w:p>
    <w:p>
      <w:pPr>
        <w:spacing w:after="160" w:line="278" w:lineRule="auto"/>
        <w:rPr>
          <w:rFonts w:ascii="宋体" w:hAnsi="宋体"/>
          <w:sz w:val="22"/>
          <w:szCs w:val="28"/>
        </w:rPr>
      </w:pPr>
      <w:r>
        <w:rPr>
          <w:rFonts w:ascii="宋体" w:hAnsi="宋体"/>
          <w:sz w:val="22"/>
          <w:szCs w:val="28"/>
        </w:rPr>
        <w:t>7.2.2发包人和监理人有权无偿使用承包人修建的临时道路和交通设施，不需要交纳任何费用。</w:t>
      </w:r>
    </w:p>
    <w:p>
      <w:pPr>
        <w:spacing w:after="160" w:line="278" w:lineRule="auto"/>
        <w:rPr>
          <w:rFonts w:ascii="宋体" w:hAnsi="宋体"/>
          <w:sz w:val="22"/>
          <w:szCs w:val="28"/>
        </w:rPr>
      </w:pPr>
      <w:bookmarkStart w:id="2533" w:name="_Toc152045665"/>
      <w:bookmarkStart w:id="2534" w:name="_Toc152042443"/>
      <w:bookmarkStart w:id="2535" w:name="_Toc179632683"/>
      <w:bookmarkStart w:id="2536" w:name="_Toc109914493"/>
      <w:bookmarkStart w:id="2537" w:name="_Toc132619177"/>
      <w:bookmarkStart w:id="2538" w:name="_Toc342296449"/>
      <w:bookmarkStart w:id="2539" w:name="_Toc144974633"/>
      <w:bookmarkStart w:id="2540" w:name="_Toc129798428"/>
      <w:bookmarkStart w:id="2541" w:name="_Toc142385716"/>
      <w:bookmarkStart w:id="2542" w:name="_Toc241459690"/>
      <w:r>
        <w:rPr>
          <w:rFonts w:ascii="宋体" w:hAnsi="宋体"/>
          <w:sz w:val="22"/>
          <w:szCs w:val="28"/>
        </w:rPr>
        <w:t>7.4 超大件和超重件的运输</w:t>
      </w:r>
      <w:bookmarkEnd w:id="2533"/>
      <w:bookmarkEnd w:id="2534"/>
      <w:bookmarkEnd w:id="2535"/>
      <w:bookmarkEnd w:id="2536"/>
      <w:bookmarkEnd w:id="2537"/>
      <w:bookmarkEnd w:id="2538"/>
      <w:bookmarkEnd w:id="2539"/>
      <w:bookmarkEnd w:id="2540"/>
      <w:bookmarkEnd w:id="2541"/>
      <w:bookmarkEnd w:id="2542"/>
    </w:p>
    <w:p>
      <w:pPr>
        <w:spacing w:after="160" w:line="278" w:lineRule="auto"/>
        <w:rPr>
          <w:rFonts w:ascii="宋体" w:hAnsi="宋体"/>
          <w:sz w:val="22"/>
          <w:szCs w:val="28"/>
        </w:rPr>
      </w:pPr>
      <w:bookmarkStart w:id="2543" w:name="_Toc152045666"/>
      <w:bookmarkStart w:id="2544" w:name="_Toc152042444"/>
      <w:bookmarkStart w:id="2545" w:name="_Toc144974634"/>
      <w:bookmarkStart w:id="2546" w:name="_Toc179632684"/>
      <w:r>
        <w:rPr>
          <w:rFonts w:ascii="宋体" w:hAnsi="宋体"/>
          <w:sz w:val="22"/>
          <w:szCs w:val="28"/>
        </w:rPr>
        <w:t>运输超大件或超重件所需的道路和桥梁临时加固改造等费用的承担人：承包人承担。</w:t>
      </w:r>
    </w:p>
    <w:bookmarkEnd w:id="2543"/>
    <w:bookmarkEnd w:id="2544"/>
    <w:bookmarkEnd w:id="2545"/>
    <w:bookmarkEnd w:id="2546"/>
    <w:p>
      <w:pPr>
        <w:spacing w:after="160" w:line="278" w:lineRule="auto"/>
        <w:rPr>
          <w:rFonts w:ascii="宋体" w:hAnsi="宋体"/>
          <w:sz w:val="22"/>
          <w:szCs w:val="28"/>
        </w:rPr>
      </w:pPr>
      <w:bookmarkStart w:id="2547" w:name="_Toc448758454"/>
      <w:bookmarkStart w:id="2548" w:name="_Toc241459691"/>
      <w:bookmarkStart w:id="2549" w:name="_Toc179632686"/>
      <w:bookmarkStart w:id="2550" w:name="_Toc109914494"/>
      <w:bookmarkStart w:id="2551" w:name="_Toc442365646"/>
      <w:bookmarkStart w:id="2552" w:name="_Toc152045668"/>
      <w:bookmarkStart w:id="2553" w:name="_Toc448758554"/>
      <w:bookmarkStart w:id="2554" w:name="_Toc129798429"/>
      <w:bookmarkStart w:id="2555" w:name="_Toc469660049"/>
      <w:bookmarkStart w:id="2556" w:name="_Toc142385717"/>
      <w:bookmarkStart w:id="2557" w:name="_Toc132619178"/>
      <w:bookmarkStart w:id="2558" w:name="_Toc152042446"/>
      <w:bookmarkStart w:id="2559" w:name="_Toc342296450"/>
      <w:bookmarkStart w:id="2560" w:name="_Toc144974636"/>
      <w:r>
        <w:rPr>
          <w:rFonts w:ascii="宋体" w:hAnsi="宋体"/>
          <w:sz w:val="22"/>
          <w:szCs w:val="28"/>
        </w:rPr>
        <w:t>8. 测量放线</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pPr>
        <w:spacing w:after="160" w:line="278" w:lineRule="auto"/>
        <w:rPr>
          <w:rFonts w:ascii="宋体" w:hAnsi="宋体"/>
          <w:sz w:val="22"/>
          <w:szCs w:val="28"/>
        </w:rPr>
      </w:pPr>
      <w:bookmarkStart w:id="2561" w:name="_Toc109914495"/>
      <w:bookmarkStart w:id="2562" w:name="_Toc152045669"/>
      <w:bookmarkStart w:id="2563" w:name="_Toc241459692"/>
      <w:bookmarkStart w:id="2564" w:name="_Toc129798430"/>
      <w:bookmarkStart w:id="2565" w:name="_Toc142385718"/>
      <w:bookmarkStart w:id="2566" w:name="_Toc152042447"/>
      <w:bookmarkStart w:id="2567" w:name="_Toc132619179"/>
      <w:bookmarkStart w:id="2568" w:name="_Toc179632687"/>
      <w:bookmarkStart w:id="2569" w:name="_Toc342296451"/>
      <w:bookmarkStart w:id="2570" w:name="_Toc144974637"/>
      <w:r>
        <w:rPr>
          <w:rFonts w:ascii="宋体" w:hAnsi="宋体"/>
          <w:sz w:val="22"/>
          <w:szCs w:val="28"/>
        </w:rPr>
        <w:t>8.1 施工控制网</w:t>
      </w:r>
      <w:bookmarkEnd w:id="2561"/>
      <w:bookmarkEnd w:id="2562"/>
      <w:bookmarkEnd w:id="2563"/>
      <w:bookmarkEnd w:id="2564"/>
      <w:bookmarkEnd w:id="2565"/>
      <w:bookmarkEnd w:id="2566"/>
      <w:bookmarkEnd w:id="2567"/>
      <w:bookmarkEnd w:id="2568"/>
      <w:bookmarkEnd w:id="2569"/>
      <w:bookmarkEnd w:id="2570"/>
    </w:p>
    <w:p>
      <w:pPr>
        <w:spacing w:after="160" w:line="278" w:lineRule="auto"/>
        <w:rPr>
          <w:rFonts w:ascii="宋体" w:hAnsi="宋体"/>
          <w:sz w:val="22"/>
          <w:szCs w:val="28"/>
        </w:rPr>
      </w:pPr>
      <w:r>
        <w:rPr>
          <w:rFonts w:ascii="宋体" w:hAnsi="宋体"/>
          <w:sz w:val="22"/>
          <w:szCs w:val="28"/>
        </w:rPr>
        <w:t xml:space="preserve">8.1.1发包人通过监理人提供测量基准点、基准线和水准点及其书面资料的期限： 合同签订后7日内 （如有）。 </w:t>
      </w:r>
    </w:p>
    <w:p>
      <w:pPr>
        <w:spacing w:after="160" w:line="278" w:lineRule="auto"/>
        <w:rPr>
          <w:rFonts w:ascii="宋体" w:hAnsi="宋体"/>
          <w:sz w:val="22"/>
          <w:szCs w:val="28"/>
        </w:rPr>
      </w:pPr>
      <w:r>
        <w:rPr>
          <w:rFonts w:ascii="宋体" w:hAnsi="宋体"/>
          <w:sz w:val="22"/>
          <w:szCs w:val="28"/>
        </w:rPr>
        <w:t xml:space="preserve">承包人测设施工控制网的要求：由承包人依据监理人提供的测量基准点、基准线和水准点以及国家的工程测量技术规范和合同要求的工程精度，测设自己的施工控制网  。 </w:t>
      </w:r>
    </w:p>
    <w:p>
      <w:pPr>
        <w:spacing w:after="160" w:line="278" w:lineRule="auto"/>
        <w:rPr>
          <w:rFonts w:ascii="宋体" w:hAnsi="宋体"/>
          <w:sz w:val="22"/>
          <w:szCs w:val="28"/>
        </w:rPr>
      </w:pPr>
      <w:r>
        <w:rPr>
          <w:rFonts w:ascii="宋体" w:hAnsi="宋体"/>
          <w:sz w:val="22"/>
          <w:szCs w:val="28"/>
        </w:rPr>
        <w:t xml:space="preserve">承包人将施工控制网资料报送监理人审批的期限：在收到监理人按照通用合同条款第11.1.1项发出的开工通知后7日内。 </w:t>
      </w:r>
    </w:p>
    <w:p>
      <w:pPr>
        <w:spacing w:after="160" w:line="278" w:lineRule="auto"/>
        <w:rPr>
          <w:rFonts w:ascii="宋体" w:hAnsi="宋体"/>
          <w:sz w:val="22"/>
          <w:szCs w:val="28"/>
        </w:rPr>
      </w:pPr>
      <w:bookmarkStart w:id="2571" w:name="_Toc152045673"/>
      <w:bookmarkStart w:id="2572" w:name="_Toc342296452"/>
      <w:bookmarkStart w:id="2573" w:name="_Toc469660050"/>
      <w:bookmarkStart w:id="2574" w:name="_Toc448758555"/>
      <w:bookmarkStart w:id="2575" w:name="_Toc144974641"/>
      <w:bookmarkStart w:id="2576" w:name="_Toc152042451"/>
      <w:bookmarkStart w:id="2577" w:name="_Toc179632691"/>
      <w:bookmarkStart w:id="2578" w:name="_Toc448758455"/>
      <w:bookmarkStart w:id="2579" w:name="_Toc132619180"/>
      <w:bookmarkStart w:id="2580" w:name="_Toc129798431"/>
      <w:bookmarkStart w:id="2581" w:name="_Toc142385719"/>
      <w:bookmarkStart w:id="2582" w:name="_Toc241459693"/>
      <w:bookmarkStart w:id="2583" w:name="_Toc109914496"/>
      <w:bookmarkStart w:id="2584" w:name="_Toc442365647"/>
      <w:r>
        <w:rPr>
          <w:rFonts w:ascii="宋体" w:hAnsi="宋体"/>
          <w:sz w:val="22"/>
          <w:szCs w:val="28"/>
        </w:rPr>
        <w:t>9. 施工安全、治安保卫和环境保护</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p>
    <w:p>
      <w:pPr>
        <w:spacing w:after="160" w:line="278" w:lineRule="auto"/>
        <w:rPr>
          <w:rFonts w:ascii="宋体" w:hAnsi="宋体"/>
          <w:sz w:val="22"/>
          <w:szCs w:val="28"/>
        </w:rPr>
      </w:pPr>
      <w:bookmarkStart w:id="2585" w:name="_Toc129798432"/>
      <w:bookmarkStart w:id="2586" w:name="_Toc241459694"/>
      <w:bookmarkStart w:id="2587" w:name="_Toc342296453"/>
      <w:bookmarkStart w:id="2588" w:name="_Toc152042453"/>
      <w:bookmarkStart w:id="2589" w:name="_Toc142385720"/>
      <w:bookmarkStart w:id="2590" w:name="_Toc179632693"/>
      <w:bookmarkStart w:id="2591" w:name="_Toc132619181"/>
      <w:bookmarkStart w:id="2592" w:name="_Toc152045675"/>
      <w:bookmarkStart w:id="2593" w:name="_Toc109914497"/>
      <w:bookmarkStart w:id="2594" w:name="_Toc144974643"/>
      <w:r>
        <w:rPr>
          <w:rFonts w:ascii="宋体" w:hAnsi="宋体"/>
          <w:sz w:val="22"/>
          <w:szCs w:val="28"/>
        </w:rPr>
        <w:t>9.2 承包人的施工安全责任</w:t>
      </w:r>
      <w:bookmarkEnd w:id="2585"/>
      <w:bookmarkEnd w:id="2586"/>
      <w:bookmarkEnd w:id="2587"/>
      <w:bookmarkEnd w:id="2588"/>
      <w:bookmarkEnd w:id="2589"/>
      <w:bookmarkEnd w:id="2590"/>
      <w:bookmarkEnd w:id="2591"/>
      <w:bookmarkEnd w:id="2592"/>
      <w:bookmarkEnd w:id="2593"/>
      <w:bookmarkEnd w:id="2594"/>
    </w:p>
    <w:p>
      <w:pPr>
        <w:spacing w:after="160" w:line="278" w:lineRule="auto"/>
        <w:rPr>
          <w:rFonts w:ascii="宋体" w:hAnsi="宋体"/>
          <w:sz w:val="22"/>
          <w:szCs w:val="28"/>
        </w:rPr>
      </w:pPr>
      <w:r>
        <w:rPr>
          <w:rFonts w:ascii="宋体" w:hAnsi="宋体"/>
          <w:sz w:val="22"/>
          <w:szCs w:val="28"/>
        </w:rPr>
        <w:t>9.2.1承包人向监理人报送施工安全措施计划的期限：在收到监理人按照通用合同条款第11.1.1项发出的开工通知后7日内。</w:t>
      </w:r>
    </w:p>
    <w:p>
      <w:pPr>
        <w:spacing w:after="160" w:line="278" w:lineRule="auto"/>
        <w:rPr>
          <w:rFonts w:ascii="宋体" w:hAnsi="宋体"/>
          <w:sz w:val="22"/>
          <w:szCs w:val="28"/>
        </w:rPr>
      </w:pPr>
      <w:r>
        <w:rPr>
          <w:rFonts w:ascii="宋体" w:hAnsi="宋体"/>
          <w:sz w:val="22"/>
          <w:szCs w:val="28"/>
        </w:rPr>
        <w:t>监理人收到承包人报送的施工安全措施计划后应当在7天内给予批复。</w:t>
      </w:r>
    </w:p>
    <w:p>
      <w:pPr>
        <w:spacing w:after="160" w:line="278" w:lineRule="auto"/>
        <w:rPr>
          <w:rFonts w:ascii="宋体" w:hAnsi="宋体"/>
          <w:sz w:val="22"/>
          <w:szCs w:val="28"/>
        </w:rPr>
      </w:pPr>
      <w:r>
        <w:rPr>
          <w:rFonts w:hint="eastAsia" w:ascii="宋体" w:hAnsi="宋体"/>
          <w:sz w:val="22"/>
          <w:szCs w:val="28"/>
        </w:rPr>
        <w:t>9.2.</w:t>
      </w:r>
      <w:r>
        <w:rPr>
          <w:rFonts w:ascii="宋体" w:hAnsi="宋体"/>
          <w:sz w:val="22"/>
          <w:szCs w:val="28"/>
        </w:rPr>
        <w:t>2</w:t>
      </w:r>
      <w:r>
        <w:rPr>
          <w:rFonts w:hint="eastAsia" w:ascii="宋体" w:hAnsi="宋体"/>
          <w:sz w:val="22"/>
          <w:szCs w:val="28"/>
        </w:rPr>
        <w:t xml:space="preserve"> 承包人应签署《施工安全协议书》（第七节），并严格按照第七节《施工安全协议书》中内容执行。</w:t>
      </w:r>
    </w:p>
    <w:p>
      <w:pPr>
        <w:spacing w:after="160" w:line="278" w:lineRule="auto"/>
        <w:rPr>
          <w:rFonts w:ascii="宋体" w:hAnsi="宋体"/>
          <w:sz w:val="22"/>
          <w:szCs w:val="28"/>
        </w:rPr>
      </w:pPr>
      <w:r>
        <w:rPr>
          <w:rFonts w:ascii="宋体" w:hAnsi="宋体"/>
          <w:sz w:val="22"/>
          <w:szCs w:val="28"/>
        </w:rPr>
        <w:t>9.2.3施工场</w:t>
      </w:r>
      <w:r>
        <w:rPr>
          <w:rFonts w:hint="eastAsia" w:ascii="宋体" w:hAnsi="宋体"/>
          <w:sz w:val="22"/>
          <w:szCs w:val="28"/>
        </w:rPr>
        <w:t>安全</w:t>
      </w:r>
      <w:r>
        <w:rPr>
          <w:rFonts w:ascii="宋体" w:hAnsi="宋体"/>
          <w:sz w:val="22"/>
          <w:szCs w:val="28"/>
        </w:rPr>
        <w:t>事件紧急预案的编制责任人：</w:t>
      </w:r>
      <w:r>
        <w:rPr>
          <w:rFonts w:ascii="宋体" w:hAnsi="宋体"/>
          <w:sz w:val="22"/>
          <w:szCs w:val="28"/>
          <w:u w:val="single"/>
        </w:rPr>
        <w:t>承包人</w:t>
      </w:r>
      <w:r>
        <w:rPr>
          <w:rFonts w:ascii="宋体" w:hAnsi="宋体"/>
          <w:sz w:val="22"/>
          <w:szCs w:val="28"/>
        </w:rPr>
        <w:t>。</w:t>
      </w:r>
    </w:p>
    <w:p>
      <w:pPr>
        <w:spacing w:after="160" w:line="278" w:lineRule="auto"/>
        <w:rPr>
          <w:rFonts w:ascii="宋体" w:hAnsi="宋体"/>
          <w:sz w:val="22"/>
          <w:szCs w:val="28"/>
        </w:rPr>
      </w:pPr>
      <w:bookmarkStart w:id="2595" w:name="_Toc241459695"/>
      <w:bookmarkStart w:id="2596" w:name="_Toc144974644"/>
      <w:bookmarkStart w:id="2597" w:name="_Toc109914498"/>
      <w:bookmarkStart w:id="2598" w:name="_Toc179632694"/>
      <w:bookmarkStart w:id="2599" w:name="_Toc132619182"/>
      <w:bookmarkStart w:id="2600" w:name="_Toc342296454"/>
      <w:bookmarkStart w:id="2601" w:name="_Toc142385721"/>
      <w:bookmarkStart w:id="2602" w:name="_Toc152042454"/>
      <w:bookmarkStart w:id="2603" w:name="_Toc152045676"/>
      <w:bookmarkStart w:id="2604" w:name="_Toc129798433"/>
      <w:r>
        <w:rPr>
          <w:rFonts w:ascii="宋体" w:hAnsi="宋体"/>
          <w:sz w:val="22"/>
          <w:szCs w:val="28"/>
        </w:rPr>
        <w:t>9.3 治安保卫</w:t>
      </w:r>
      <w:bookmarkEnd w:id="2595"/>
      <w:bookmarkEnd w:id="2596"/>
      <w:bookmarkEnd w:id="2597"/>
      <w:bookmarkEnd w:id="2598"/>
      <w:bookmarkEnd w:id="2599"/>
      <w:bookmarkEnd w:id="2600"/>
      <w:bookmarkEnd w:id="2601"/>
      <w:bookmarkEnd w:id="2602"/>
      <w:bookmarkEnd w:id="2603"/>
      <w:bookmarkEnd w:id="2604"/>
    </w:p>
    <w:p>
      <w:pPr>
        <w:spacing w:after="160" w:line="278" w:lineRule="auto"/>
        <w:rPr>
          <w:rFonts w:ascii="宋体" w:hAnsi="宋体"/>
          <w:sz w:val="22"/>
          <w:szCs w:val="28"/>
        </w:rPr>
      </w:pPr>
      <w:bookmarkStart w:id="2605" w:name="_Toc152045677"/>
      <w:bookmarkStart w:id="2606" w:name="_Toc152042455"/>
      <w:bookmarkStart w:id="2607" w:name="_Toc179632695"/>
      <w:bookmarkStart w:id="2608" w:name="_Toc144974645"/>
      <w:r>
        <w:rPr>
          <w:rFonts w:ascii="宋体" w:hAnsi="宋体"/>
          <w:sz w:val="22"/>
          <w:szCs w:val="28"/>
        </w:rPr>
        <w:t>9.3.1承包人应当负责统一管理施工场地的治安保卫事项，履行合同工程的治安保卫职责。</w:t>
      </w:r>
    </w:p>
    <w:p>
      <w:pPr>
        <w:spacing w:after="160" w:line="278" w:lineRule="auto"/>
        <w:rPr>
          <w:rFonts w:ascii="宋体" w:hAnsi="宋体"/>
          <w:sz w:val="22"/>
          <w:szCs w:val="28"/>
        </w:rPr>
      </w:pPr>
      <w:r>
        <w:rPr>
          <w:rFonts w:ascii="宋体" w:hAnsi="宋体"/>
          <w:sz w:val="22"/>
          <w:szCs w:val="28"/>
        </w:rPr>
        <w:t>9.3.3施工场地治安管理计划和突发治安事件紧急预案的编制责任人：</w:t>
      </w:r>
      <w:r>
        <w:rPr>
          <w:rFonts w:ascii="宋体" w:hAnsi="宋体"/>
          <w:sz w:val="22"/>
          <w:szCs w:val="28"/>
          <w:u w:val="single"/>
        </w:rPr>
        <w:t>承包人</w:t>
      </w:r>
      <w:r>
        <w:rPr>
          <w:rFonts w:ascii="宋体" w:hAnsi="宋体"/>
          <w:sz w:val="22"/>
          <w:szCs w:val="28"/>
        </w:rPr>
        <w:t>。</w:t>
      </w:r>
    </w:p>
    <w:bookmarkEnd w:id="2605"/>
    <w:bookmarkEnd w:id="2606"/>
    <w:bookmarkEnd w:id="2607"/>
    <w:bookmarkEnd w:id="2608"/>
    <w:p>
      <w:pPr>
        <w:spacing w:after="160" w:line="278" w:lineRule="auto"/>
        <w:rPr>
          <w:rFonts w:ascii="宋体" w:hAnsi="宋体"/>
          <w:sz w:val="22"/>
          <w:szCs w:val="28"/>
        </w:rPr>
      </w:pPr>
      <w:bookmarkStart w:id="2609" w:name="_Toc129798434"/>
      <w:bookmarkStart w:id="2610" w:name="_Toc109914499"/>
      <w:bookmarkStart w:id="2611" w:name="_Toc142385722"/>
      <w:bookmarkStart w:id="2612" w:name="_Toc241459696"/>
      <w:bookmarkStart w:id="2613" w:name="_Toc132619183"/>
      <w:bookmarkStart w:id="2614" w:name="_Toc342296455"/>
      <w:bookmarkStart w:id="2615" w:name="_Toc152042457"/>
      <w:bookmarkStart w:id="2616" w:name="_Toc152045679"/>
      <w:bookmarkStart w:id="2617" w:name="_Toc144974647"/>
      <w:bookmarkStart w:id="2618" w:name="_Toc179632697"/>
      <w:r>
        <w:rPr>
          <w:rFonts w:ascii="宋体" w:hAnsi="宋体"/>
          <w:sz w:val="22"/>
          <w:szCs w:val="28"/>
        </w:rPr>
        <w:t>9.4 环境保护</w:t>
      </w:r>
      <w:bookmarkEnd w:id="2609"/>
      <w:bookmarkEnd w:id="2610"/>
      <w:bookmarkEnd w:id="2611"/>
      <w:bookmarkEnd w:id="2612"/>
      <w:bookmarkEnd w:id="2613"/>
      <w:bookmarkEnd w:id="2614"/>
    </w:p>
    <w:p>
      <w:pPr>
        <w:spacing w:after="160" w:line="278" w:lineRule="auto"/>
        <w:rPr>
          <w:rFonts w:ascii="宋体" w:hAnsi="宋体"/>
          <w:sz w:val="22"/>
          <w:szCs w:val="28"/>
        </w:rPr>
      </w:pPr>
      <w:r>
        <w:rPr>
          <w:rFonts w:ascii="宋体" w:hAnsi="宋体"/>
          <w:sz w:val="22"/>
          <w:szCs w:val="28"/>
        </w:rPr>
        <w:t>9.4.2施工环保措施计划报送监理人审批的时间：在收到监理人按照通用合同条款第11.1.1项发出的开工通知后7日内。</w:t>
      </w:r>
    </w:p>
    <w:p>
      <w:pPr>
        <w:spacing w:after="160" w:line="278" w:lineRule="auto"/>
        <w:rPr>
          <w:rFonts w:ascii="宋体" w:hAnsi="宋体"/>
          <w:sz w:val="22"/>
          <w:szCs w:val="28"/>
        </w:rPr>
      </w:pPr>
      <w:r>
        <w:rPr>
          <w:rFonts w:ascii="宋体" w:hAnsi="宋体"/>
          <w:sz w:val="22"/>
          <w:szCs w:val="28"/>
        </w:rPr>
        <w:t>监理人收到承包人报送的施工环保措施计划后应当在7天内给予批复。</w:t>
      </w:r>
    </w:p>
    <w:p>
      <w:pPr>
        <w:spacing w:after="160" w:line="278" w:lineRule="auto"/>
        <w:rPr>
          <w:rFonts w:ascii="宋体" w:hAnsi="宋体"/>
          <w:sz w:val="22"/>
          <w:szCs w:val="28"/>
        </w:rPr>
      </w:pPr>
      <w:bookmarkStart w:id="2619" w:name="_Toc469660051"/>
      <w:bookmarkStart w:id="2620" w:name="_Toc132619184"/>
      <w:bookmarkStart w:id="2621" w:name="_Toc342296456"/>
      <w:bookmarkStart w:id="2622" w:name="_Toc142385723"/>
      <w:bookmarkStart w:id="2623" w:name="_Toc109914500"/>
      <w:bookmarkStart w:id="2624" w:name="_Toc442365648"/>
      <w:bookmarkStart w:id="2625" w:name="_Toc241459697"/>
      <w:bookmarkStart w:id="2626" w:name="_Toc448758556"/>
      <w:bookmarkStart w:id="2627" w:name="_Toc448758456"/>
      <w:bookmarkStart w:id="2628" w:name="_Toc129798435"/>
      <w:r>
        <w:rPr>
          <w:rFonts w:ascii="宋体" w:hAnsi="宋体"/>
          <w:sz w:val="22"/>
          <w:szCs w:val="28"/>
        </w:rPr>
        <w:t>10. 进度计划</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pPr>
        <w:spacing w:after="160" w:line="278" w:lineRule="auto"/>
        <w:rPr>
          <w:rFonts w:ascii="宋体" w:hAnsi="宋体"/>
          <w:sz w:val="22"/>
          <w:szCs w:val="28"/>
        </w:rPr>
      </w:pPr>
      <w:bookmarkStart w:id="2629" w:name="_Toc144974648"/>
      <w:bookmarkStart w:id="2630" w:name="_Toc179632698"/>
      <w:bookmarkStart w:id="2631" w:name="_Toc142385724"/>
      <w:bookmarkStart w:id="2632" w:name="_Toc109914501"/>
      <w:bookmarkStart w:id="2633" w:name="_Toc152045680"/>
      <w:bookmarkStart w:id="2634" w:name="_Toc152042458"/>
      <w:bookmarkStart w:id="2635" w:name="_Toc129798436"/>
      <w:bookmarkStart w:id="2636" w:name="_Toc132619185"/>
      <w:bookmarkStart w:id="2637" w:name="_Toc241459698"/>
      <w:bookmarkStart w:id="2638" w:name="_Toc342296457"/>
      <w:r>
        <w:rPr>
          <w:rFonts w:ascii="宋体" w:hAnsi="宋体"/>
          <w:sz w:val="22"/>
          <w:szCs w:val="28"/>
        </w:rPr>
        <w:t>10.1 合同进度计划</w:t>
      </w:r>
      <w:bookmarkEnd w:id="2629"/>
      <w:bookmarkEnd w:id="2630"/>
      <w:bookmarkEnd w:id="2631"/>
      <w:bookmarkEnd w:id="2632"/>
      <w:bookmarkEnd w:id="2633"/>
      <w:bookmarkEnd w:id="2634"/>
      <w:bookmarkEnd w:id="2635"/>
      <w:bookmarkEnd w:id="2636"/>
      <w:bookmarkEnd w:id="2637"/>
      <w:bookmarkEnd w:id="2638"/>
    </w:p>
    <w:p>
      <w:pPr>
        <w:spacing w:after="160" w:line="278" w:lineRule="auto"/>
        <w:rPr>
          <w:rFonts w:ascii="宋体" w:hAnsi="宋体"/>
          <w:sz w:val="22"/>
          <w:szCs w:val="28"/>
        </w:rPr>
      </w:pPr>
      <w:r>
        <w:rPr>
          <w:rFonts w:ascii="宋体" w:hAnsi="宋体"/>
          <w:sz w:val="22"/>
          <w:szCs w:val="28"/>
        </w:rPr>
        <w:t>（1）承包人应当在收到监理人按照通用合同条款第11.1.1项发出的开工通知后7天内，编制详细的施工进度计划和施工方案说明并报送监理人。承包人编制施工进度计划和施工方案说明的内容：承包人应按投标阶段承诺的总进度计划关键线路目标，以及施工顺序和方法要点，向监理人提交更准确更详细的施工进度计划和施工方案， 施工进度计划中还应载明要求发包人组织设计人进行阶段性工程设计交底的时间。</w:t>
      </w:r>
    </w:p>
    <w:p>
      <w:pPr>
        <w:spacing w:after="160" w:line="278" w:lineRule="auto"/>
        <w:rPr>
          <w:rFonts w:ascii="宋体" w:hAnsi="宋体"/>
          <w:sz w:val="22"/>
          <w:szCs w:val="28"/>
        </w:rPr>
      </w:pPr>
      <w:r>
        <w:rPr>
          <w:rFonts w:ascii="宋体" w:hAnsi="宋体"/>
          <w:sz w:val="22"/>
          <w:szCs w:val="28"/>
        </w:rPr>
        <w:t>（2）监理人批复或对施工进度计划和施工方案说明提出修改意见的期限：自监理人收到承包人报送的相关进度计划和施工方案说明后14天内。</w:t>
      </w:r>
    </w:p>
    <w:p>
      <w:pPr>
        <w:spacing w:after="160" w:line="278" w:lineRule="auto"/>
        <w:rPr>
          <w:rFonts w:ascii="宋体" w:hAnsi="宋体"/>
          <w:sz w:val="22"/>
          <w:szCs w:val="28"/>
        </w:rPr>
      </w:pPr>
      <w:r>
        <w:rPr>
          <w:rFonts w:ascii="宋体" w:hAnsi="宋体"/>
          <w:sz w:val="22"/>
          <w:szCs w:val="28"/>
        </w:rPr>
        <w:t xml:space="preserve">（3）承包人编制分阶段或分项施工进度计划和施工方案说明的内容： </w:t>
      </w:r>
      <w:r>
        <w:rPr>
          <w:rFonts w:ascii="宋体" w:hAnsi="宋体"/>
          <w:sz w:val="22"/>
          <w:szCs w:val="28"/>
          <w:u w:val="single"/>
        </w:rPr>
        <w:t xml:space="preserve">      /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 xml:space="preserve">承包人报送分阶段或分项施工进度计划和施工方案说明的期限： </w:t>
      </w:r>
      <w:r>
        <w:rPr>
          <w:rFonts w:ascii="宋体" w:hAnsi="宋体"/>
          <w:sz w:val="22"/>
          <w:szCs w:val="28"/>
          <w:u w:val="single"/>
        </w:rPr>
        <w:t xml:space="preserve">         /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 xml:space="preserve">（4）群体工程中单位工程分期进行施工的，承包人应按照发包人提供图纸及有关资料的时间，按单位工程编制进度计划和施工方案说明。群体工程中有关进度计划和施工方案说明的要求：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2639" w:name="_Toc342296458"/>
      <w:bookmarkStart w:id="2640" w:name="_Toc142385725"/>
      <w:bookmarkStart w:id="2641" w:name="_Toc144974649"/>
      <w:bookmarkStart w:id="2642" w:name="_Toc179632699"/>
      <w:bookmarkStart w:id="2643" w:name="_Toc109914502"/>
      <w:bookmarkStart w:id="2644" w:name="_Toc152042459"/>
      <w:bookmarkStart w:id="2645" w:name="_Toc132619186"/>
      <w:bookmarkStart w:id="2646" w:name="_Toc129798437"/>
      <w:bookmarkStart w:id="2647" w:name="_Toc241459699"/>
      <w:bookmarkStart w:id="2648" w:name="_Toc152045681"/>
      <w:r>
        <w:rPr>
          <w:rFonts w:ascii="宋体" w:hAnsi="宋体"/>
          <w:sz w:val="22"/>
          <w:szCs w:val="28"/>
        </w:rPr>
        <w:t>10.2 合同进度计划的修订</w:t>
      </w:r>
      <w:bookmarkEnd w:id="2639"/>
      <w:bookmarkEnd w:id="2640"/>
      <w:bookmarkEnd w:id="2641"/>
      <w:bookmarkEnd w:id="2642"/>
      <w:bookmarkEnd w:id="2643"/>
      <w:bookmarkEnd w:id="2644"/>
      <w:bookmarkEnd w:id="2645"/>
      <w:bookmarkEnd w:id="2646"/>
      <w:bookmarkEnd w:id="2647"/>
      <w:bookmarkEnd w:id="2648"/>
    </w:p>
    <w:p>
      <w:pPr>
        <w:spacing w:after="160" w:line="278" w:lineRule="auto"/>
        <w:rPr>
          <w:rFonts w:ascii="宋体" w:hAnsi="宋体"/>
          <w:sz w:val="22"/>
          <w:szCs w:val="28"/>
        </w:rPr>
      </w:pPr>
      <w:r>
        <w:rPr>
          <w:rFonts w:ascii="宋体" w:hAnsi="宋体"/>
          <w:sz w:val="22"/>
          <w:szCs w:val="28"/>
        </w:rPr>
        <w:t>（1）承包人报送修订合同进度计划申请报告和相关资料的期限： 合同签订后7日内。</w:t>
      </w:r>
    </w:p>
    <w:p>
      <w:pPr>
        <w:spacing w:after="160" w:line="278" w:lineRule="auto"/>
        <w:rPr>
          <w:rFonts w:ascii="宋体" w:hAnsi="宋体"/>
          <w:sz w:val="22"/>
          <w:szCs w:val="28"/>
        </w:rPr>
      </w:pPr>
      <w:r>
        <w:rPr>
          <w:rFonts w:ascii="宋体" w:hAnsi="宋体"/>
          <w:sz w:val="22"/>
          <w:szCs w:val="28"/>
        </w:rPr>
        <w:t>（2）监理人批复修订合同进度计划申请报告的期限： 收到承包人报送的修订合同进度计划申请报告和相关资料后7日内。</w:t>
      </w:r>
    </w:p>
    <w:p>
      <w:pPr>
        <w:spacing w:after="160" w:line="278" w:lineRule="auto"/>
        <w:rPr>
          <w:rFonts w:ascii="宋体" w:hAnsi="宋体"/>
          <w:sz w:val="22"/>
          <w:szCs w:val="28"/>
        </w:rPr>
      </w:pPr>
      <w:r>
        <w:rPr>
          <w:rFonts w:ascii="宋体" w:hAnsi="宋体"/>
          <w:sz w:val="22"/>
          <w:szCs w:val="28"/>
        </w:rPr>
        <w:t>（3）监理人批复修订合同进度计划的期限：收到承包人报送的修订合同进度计划和相关资料后7日内。</w:t>
      </w:r>
    </w:p>
    <w:p>
      <w:pPr>
        <w:spacing w:after="160" w:line="278" w:lineRule="auto"/>
        <w:rPr>
          <w:rFonts w:ascii="宋体" w:hAnsi="宋体"/>
          <w:sz w:val="22"/>
          <w:szCs w:val="28"/>
        </w:rPr>
      </w:pPr>
      <w:bookmarkStart w:id="2649" w:name="_Toc442365649"/>
      <w:bookmarkStart w:id="2650" w:name="_Toc342296459"/>
      <w:bookmarkStart w:id="2651" w:name="_Toc142385726"/>
      <w:bookmarkStart w:id="2652" w:name="_Toc132619187"/>
      <w:bookmarkStart w:id="2653" w:name="_Toc241459700"/>
      <w:bookmarkStart w:id="2654" w:name="_Toc152042460"/>
      <w:bookmarkStart w:id="2655" w:name="_Toc469660052"/>
      <w:bookmarkStart w:id="2656" w:name="_Toc144974650"/>
      <w:bookmarkStart w:id="2657" w:name="_Toc179632700"/>
      <w:bookmarkStart w:id="2658" w:name="_Toc152045682"/>
      <w:bookmarkStart w:id="2659" w:name="_Toc448758557"/>
      <w:bookmarkStart w:id="2660" w:name="_Toc109914503"/>
      <w:bookmarkStart w:id="2661" w:name="_Toc448758457"/>
      <w:bookmarkStart w:id="2662" w:name="_Toc129798438"/>
      <w:r>
        <w:rPr>
          <w:rFonts w:ascii="宋体" w:hAnsi="宋体"/>
          <w:sz w:val="22"/>
          <w:szCs w:val="28"/>
        </w:rPr>
        <w:t>11. 开工和竣工</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pPr>
        <w:spacing w:after="160" w:line="278" w:lineRule="auto"/>
        <w:rPr>
          <w:rFonts w:ascii="宋体" w:hAnsi="宋体"/>
          <w:sz w:val="22"/>
          <w:szCs w:val="28"/>
        </w:rPr>
      </w:pPr>
      <w:bookmarkStart w:id="2663" w:name="_Toc152045685"/>
      <w:bookmarkStart w:id="2664" w:name="_Toc142385727"/>
      <w:bookmarkStart w:id="2665" w:name="_Toc179632703"/>
      <w:bookmarkStart w:id="2666" w:name="_Toc241459701"/>
      <w:bookmarkStart w:id="2667" w:name="_Toc132619188"/>
      <w:bookmarkStart w:id="2668" w:name="_Toc109914504"/>
      <w:bookmarkStart w:id="2669" w:name="_Toc144974653"/>
      <w:bookmarkStart w:id="2670" w:name="_Toc152042463"/>
      <w:bookmarkStart w:id="2671" w:name="_Toc129798439"/>
      <w:bookmarkStart w:id="2672" w:name="_Toc342296460"/>
      <w:r>
        <w:rPr>
          <w:rFonts w:ascii="宋体" w:hAnsi="宋体"/>
          <w:sz w:val="22"/>
          <w:szCs w:val="28"/>
        </w:rPr>
        <w:t>11.3 发包人的工期延误</w:t>
      </w:r>
      <w:bookmarkEnd w:id="2663"/>
      <w:bookmarkEnd w:id="2664"/>
      <w:bookmarkEnd w:id="2665"/>
      <w:bookmarkEnd w:id="2666"/>
      <w:bookmarkEnd w:id="2667"/>
      <w:bookmarkEnd w:id="2668"/>
      <w:bookmarkEnd w:id="2669"/>
      <w:bookmarkEnd w:id="2670"/>
      <w:bookmarkEnd w:id="2671"/>
      <w:bookmarkEnd w:id="2672"/>
    </w:p>
    <w:p>
      <w:pPr>
        <w:spacing w:after="160" w:line="278" w:lineRule="auto"/>
        <w:rPr>
          <w:rFonts w:ascii="宋体" w:hAnsi="宋体"/>
          <w:sz w:val="22"/>
          <w:szCs w:val="28"/>
        </w:rPr>
      </w:pPr>
      <w:r>
        <w:rPr>
          <w:rFonts w:ascii="宋体" w:hAnsi="宋体"/>
          <w:sz w:val="22"/>
          <w:szCs w:val="28"/>
        </w:rPr>
        <w:t>(7) 因发包人原因不能按照监理人发出的开工通知中载明的开工日期开工。除发包人原因延期开工外，发包人造成工期延误的其他原因还包括：发包人和承包人双方共同认为必须延长工期的(以书面文件为准)等延误承包人关键线路工作的情况。</w:t>
      </w:r>
    </w:p>
    <w:p>
      <w:pPr>
        <w:spacing w:after="160" w:line="278" w:lineRule="auto"/>
        <w:rPr>
          <w:rFonts w:ascii="宋体" w:hAnsi="宋体"/>
          <w:sz w:val="22"/>
          <w:szCs w:val="28"/>
        </w:rPr>
      </w:pPr>
      <w:bookmarkStart w:id="2673" w:name="_Toc152042464"/>
      <w:bookmarkStart w:id="2674" w:name="_Toc144974654"/>
      <w:bookmarkStart w:id="2675" w:name="_Toc241459702"/>
      <w:bookmarkStart w:id="2676" w:name="_Toc342296461"/>
      <w:bookmarkStart w:id="2677" w:name="_Toc109914505"/>
      <w:bookmarkStart w:id="2678" w:name="_Toc132619189"/>
      <w:bookmarkStart w:id="2679" w:name="_Toc142385728"/>
      <w:bookmarkStart w:id="2680" w:name="_Toc152045686"/>
      <w:bookmarkStart w:id="2681" w:name="_Toc129798440"/>
      <w:bookmarkStart w:id="2682" w:name="_Toc179632704"/>
      <w:r>
        <w:rPr>
          <w:rFonts w:ascii="宋体" w:hAnsi="宋体"/>
          <w:sz w:val="22"/>
          <w:szCs w:val="28"/>
        </w:rPr>
        <w:t>11.4 异常恶劣的气候条件</w:t>
      </w:r>
      <w:bookmarkEnd w:id="2673"/>
      <w:bookmarkEnd w:id="2674"/>
      <w:bookmarkEnd w:id="2675"/>
      <w:bookmarkEnd w:id="2676"/>
      <w:bookmarkEnd w:id="2677"/>
      <w:bookmarkEnd w:id="2678"/>
      <w:bookmarkEnd w:id="2679"/>
      <w:bookmarkEnd w:id="2680"/>
      <w:bookmarkEnd w:id="2681"/>
      <w:bookmarkEnd w:id="2682"/>
    </w:p>
    <w:p>
      <w:pPr>
        <w:spacing w:after="160" w:line="278" w:lineRule="auto"/>
        <w:rPr>
          <w:rFonts w:ascii="宋体" w:hAnsi="宋体"/>
          <w:sz w:val="22"/>
          <w:szCs w:val="28"/>
        </w:rPr>
      </w:pPr>
      <w:bookmarkStart w:id="2683" w:name="_Toc152045687"/>
      <w:bookmarkStart w:id="2684" w:name="_Toc144974655"/>
      <w:bookmarkStart w:id="2685" w:name="_Toc152042465"/>
      <w:bookmarkStart w:id="2686" w:name="_Toc179632705"/>
      <w:r>
        <w:rPr>
          <w:rFonts w:ascii="宋体" w:hAnsi="宋体"/>
          <w:sz w:val="22"/>
          <w:szCs w:val="28"/>
        </w:rPr>
        <w:t>异常恶劣的气候条件的范围和标准：</w:t>
      </w:r>
      <w:r>
        <w:rPr>
          <w:rFonts w:hint="eastAsia" w:ascii="宋体" w:hAnsi="宋体"/>
          <w:sz w:val="22"/>
          <w:szCs w:val="28"/>
        </w:rPr>
        <w:t>暴雨橙色预警信号、大风黄色预警信号、沙尘暴橙色预警信号。由于恶劣的气候条件导致工期延误的，承包人有权要求发包人延长工期，但不增加费用 。</w:t>
      </w:r>
    </w:p>
    <w:p>
      <w:pPr>
        <w:spacing w:after="160" w:line="278" w:lineRule="auto"/>
        <w:rPr>
          <w:rFonts w:ascii="宋体" w:hAnsi="宋体"/>
          <w:sz w:val="22"/>
          <w:szCs w:val="28"/>
        </w:rPr>
      </w:pPr>
      <w:bookmarkStart w:id="2687" w:name="_Toc241459703"/>
      <w:bookmarkStart w:id="2688" w:name="_Toc132619190"/>
      <w:bookmarkStart w:id="2689" w:name="_Toc109914506"/>
      <w:bookmarkStart w:id="2690" w:name="_Toc342296462"/>
      <w:bookmarkStart w:id="2691" w:name="_Toc129798441"/>
      <w:bookmarkStart w:id="2692" w:name="_Toc142385729"/>
      <w:r>
        <w:rPr>
          <w:rFonts w:ascii="宋体" w:hAnsi="宋体"/>
          <w:sz w:val="22"/>
          <w:szCs w:val="28"/>
        </w:rPr>
        <w:t>11.5 承包人的工期延误</w:t>
      </w:r>
      <w:bookmarkEnd w:id="2683"/>
      <w:bookmarkEnd w:id="2684"/>
      <w:bookmarkEnd w:id="2685"/>
      <w:bookmarkEnd w:id="2686"/>
      <w:bookmarkEnd w:id="2687"/>
      <w:bookmarkEnd w:id="2688"/>
      <w:bookmarkEnd w:id="2689"/>
      <w:bookmarkEnd w:id="2690"/>
      <w:bookmarkEnd w:id="2691"/>
      <w:bookmarkEnd w:id="2692"/>
    </w:p>
    <w:p>
      <w:pPr>
        <w:spacing w:after="160" w:line="278" w:lineRule="auto"/>
        <w:rPr>
          <w:rFonts w:ascii="宋体" w:hAnsi="宋体"/>
          <w:sz w:val="22"/>
          <w:szCs w:val="28"/>
        </w:rPr>
      </w:pPr>
      <w:bookmarkStart w:id="2693" w:name="_Toc144974656"/>
      <w:bookmarkStart w:id="2694" w:name="_Toc179632706"/>
      <w:bookmarkStart w:id="2695" w:name="_Toc152045688"/>
      <w:bookmarkStart w:id="2696" w:name="_Toc152042466"/>
      <w:r>
        <w:rPr>
          <w:rFonts w:ascii="宋体" w:hAnsi="宋体"/>
          <w:sz w:val="22"/>
          <w:szCs w:val="28"/>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after="160" w:line="278" w:lineRule="auto"/>
        <w:rPr>
          <w:rFonts w:ascii="宋体" w:hAnsi="宋体"/>
          <w:b/>
          <w:bCs/>
          <w:sz w:val="22"/>
          <w:szCs w:val="28"/>
        </w:rPr>
      </w:pPr>
      <w:r>
        <w:rPr>
          <w:rFonts w:hint="eastAsia" w:ascii="宋体" w:hAnsi="宋体"/>
          <w:b/>
          <w:bCs/>
          <w:sz w:val="22"/>
          <w:szCs w:val="28"/>
        </w:rPr>
        <w:t>本项目</w:t>
      </w:r>
      <w:r>
        <w:rPr>
          <w:rFonts w:hint="eastAsia" w:ascii="宋体" w:hAnsi="宋体"/>
          <w:b/>
          <w:bCs/>
          <w:sz w:val="22"/>
          <w:szCs w:val="28"/>
          <w:u w:val="single"/>
        </w:rPr>
        <w:t>2025年8月20日</w:t>
      </w:r>
      <w:r>
        <w:rPr>
          <w:rFonts w:hint="eastAsia" w:ascii="宋体" w:hAnsi="宋体"/>
          <w:b/>
          <w:bCs/>
          <w:sz w:val="22"/>
          <w:szCs w:val="28"/>
        </w:rPr>
        <w:t>前必须全部完工并移交给发包人。</w:t>
      </w:r>
    </w:p>
    <w:p>
      <w:pPr>
        <w:spacing w:after="160" w:line="278" w:lineRule="auto"/>
        <w:rPr>
          <w:rFonts w:ascii="宋体" w:hAnsi="宋体"/>
          <w:sz w:val="22"/>
          <w:szCs w:val="28"/>
        </w:rPr>
      </w:pPr>
      <w:r>
        <w:rPr>
          <w:rFonts w:ascii="宋体" w:hAnsi="宋体"/>
          <w:sz w:val="22"/>
          <w:szCs w:val="28"/>
        </w:rPr>
        <w:t>逾期竣工违约金的计算标准：</w:t>
      </w:r>
      <w:r>
        <w:rPr>
          <w:rFonts w:ascii="宋体" w:hAnsi="宋体"/>
          <w:sz w:val="22"/>
          <w:szCs w:val="28"/>
          <w:u w:val="single"/>
        </w:rPr>
        <w:t>合同额的万分之二/天。</w:t>
      </w:r>
    </w:p>
    <w:p>
      <w:pPr>
        <w:spacing w:after="160" w:line="278" w:lineRule="auto"/>
        <w:rPr>
          <w:rFonts w:ascii="宋体" w:hAnsi="宋体"/>
          <w:sz w:val="22"/>
          <w:szCs w:val="28"/>
        </w:rPr>
      </w:pPr>
      <w:r>
        <w:rPr>
          <w:rFonts w:ascii="宋体" w:hAnsi="宋体"/>
          <w:sz w:val="22"/>
          <w:szCs w:val="28"/>
        </w:rPr>
        <w:t>逾期竣工违约金的计算方法：</w:t>
      </w:r>
      <w:r>
        <w:rPr>
          <w:rFonts w:ascii="宋体" w:hAnsi="宋体"/>
          <w:sz w:val="22"/>
          <w:szCs w:val="28"/>
          <w:u w:val="single"/>
        </w:rPr>
        <w:t>每延误一天，承包人应当向发包人赔偿合同额的万分之二/天整，不足一天按一天计。</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逾期竣工违约金最高限额：</w:t>
      </w:r>
      <w:r>
        <w:rPr>
          <w:rFonts w:ascii="宋体" w:hAnsi="宋体"/>
          <w:sz w:val="22"/>
          <w:szCs w:val="28"/>
          <w:u w:val="single"/>
        </w:rPr>
        <w:t>总额不超过合同结算价的百分之三</w:t>
      </w:r>
      <w:r>
        <w:rPr>
          <w:rFonts w:ascii="宋体" w:hAnsi="宋体"/>
          <w:sz w:val="22"/>
          <w:szCs w:val="28"/>
        </w:rPr>
        <w:t>。</w:t>
      </w:r>
    </w:p>
    <w:p>
      <w:pPr>
        <w:spacing w:after="160" w:line="278" w:lineRule="auto"/>
        <w:rPr>
          <w:rFonts w:ascii="宋体" w:hAnsi="宋体"/>
          <w:sz w:val="22"/>
          <w:szCs w:val="28"/>
        </w:rPr>
      </w:pPr>
      <w:bookmarkStart w:id="2697" w:name="_Toc142385730"/>
      <w:bookmarkStart w:id="2698" w:name="_Toc129798442"/>
      <w:bookmarkStart w:id="2699" w:name="_Toc342296463"/>
      <w:bookmarkStart w:id="2700" w:name="_Toc132619191"/>
      <w:bookmarkStart w:id="2701" w:name="_Toc241459704"/>
      <w:bookmarkStart w:id="2702" w:name="_Toc109914507"/>
      <w:r>
        <w:rPr>
          <w:rFonts w:ascii="宋体" w:hAnsi="宋体"/>
          <w:sz w:val="22"/>
          <w:szCs w:val="28"/>
        </w:rPr>
        <w:t>11.6</w:t>
      </w:r>
      <w:bookmarkEnd w:id="2693"/>
      <w:bookmarkStart w:id="2703" w:name="_Toc144974657"/>
      <w:r>
        <w:rPr>
          <w:rFonts w:ascii="宋体" w:hAnsi="宋体"/>
          <w:sz w:val="22"/>
          <w:szCs w:val="28"/>
        </w:rPr>
        <w:t xml:space="preserve"> 工期提前</w:t>
      </w:r>
      <w:bookmarkEnd w:id="2694"/>
      <w:bookmarkEnd w:id="2695"/>
      <w:bookmarkEnd w:id="2696"/>
      <w:bookmarkEnd w:id="2697"/>
      <w:bookmarkEnd w:id="2698"/>
      <w:bookmarkEnd w:id="2699"/>
      <w:bookmarkEnd w:id="2700"/>
      <w:bookmarkEnd w:id="2701"/>
      <w:bookmarkEnd w:id="2702"/>
      <w:bookmarkEnd w:id="2703"/>
    </w:p>
    <w:p>
      <w:pPr>
        <w:spacing w:after="160" w:line="278" w:lineRule="auto"/>
        <w:rPr>
          <w:rFonts w:ascii="宋体" w:hAnsi="宋体"/>
          <w:sz w:val="22"/>
          <w:szCs w:val="28"/>
        </w:rPr>
      </w:pPr>
      <w:bookmarkStart w:id="2704" w:name="_Toc179632707"/>
      <w:bookmarkStart w:id="2705" w:name="_Toc144974658"/>
      <w:bookmarkStart w:id="2706" w:name="_Toc152042467"/>
      <w:bookmarkStart w:id="2707" w:name="_Toc152045689"/>
      <w:r>
        <w:rPr>
          <w:rFonts w:ascii="宋体" w:hAnsi="宋体"/>
          <w:sz w:val="22"/>
          <w:szCs w:val="28"/>
        </w:rPr>
        <w:t xml:space="preserve">提前竣工的奖励办法：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2708" w:name="_Toc132619192"/>
      <w:bookmarkStart w:id="2709" w:name="_Toc142385731"/>
      <w:bookmarkStart w:id="2710" w:name="_Toc469660053"/>
      <w:bookmarkStart w:id="2711" w:name="_Toc442365650"/>
      <w:bookmarkStart w:id="2712" w:name="_Toc109914508"/>
      <w:bookmarkStart w:id="2713" w:name="_Toc448758558"/>
      <w:bookmarkStart w:id="2714" w:name="_Toc241459705"/>
      <w:bookmarkStart w:id="2715" w:name="_Toc448758458"/>
      <w:bookmarkStart w:id="2716" w:name="_Toc342296464"/>
      <w:bookmarkStart w:id="2717" w:name="_Toc241484601"/>
      <w:bookmarkStart w:id="2718" w:name="_Toc129798443"/>
      <w:r>
        <w:rPr>
          <w:rFonts w:ascii="宋体" w:hAnsi="宋体"/>
          <w:sz w:val="22"/>
          <w:szCs w:val="28"/>
        </w:rPr>
        <w:t>12. 暂停施工</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pPr>
        <w:spacing w:after="160" w:line="278" w:lineRule="auto"/>
        <w:rPr>
          <w:rFonts w:ascii="宋体" w:hAnsi="宋体"/>
          <w:sz w:val="22"/>
          <w:szCs w:val="28"/>
        </w:rPr>
      </w:pPr>
      <w:bookmarkStart w:id="2719" w:name="_Toc241459706"/>
      <w:bookmarkStart w:id="2720" w:name="_Toc342296465"/>
      <w:bookmarkStart w:id="2721" w:name="_Toc109914509"/>
      <w:bookmarkStart w:id="2722" w:name="_Toc132619193"/>
      <w:bookmarkStart w:id="2723" w:name="_Toc179632708"/>
      <w:bookmarkStart w:id="2724" w:name="_Toc144974659"/>
      <w:bookmarkStart w:id="2725" w:name="_Toc142385732"/>
      <w:bookmarkStart w:id="2726" w:name="_Toc129798444"/>
      <w:bookmarkStart w:id="2727" w:name="_Toc152042468"/>
      <w:bookmarkStart w:id="2728" w:name="_Toc152045690"/>
      <w:r>
        <w:rPr>
          <w:rFonts w:ascii="宋体" w:hAnsi="宋体"/>
          <w:sz w:val="22"/>
          <w:szCs w:val="28"/>
        </w:rPr>
        <w:t>12.1 承包人暂停施工的责任</w:t>
      </w:r>
      <w:bookmarkEnd w:id="2719"/>
      <w:bookmarkEnd w:id="2720"/>
      <w:bookmarkEnd w:id="2721"/>
      <w:bookmarkEnd w:id="2722"/>
      <w:bookmarkEnd w:id="2723"/>
      <w:bookmarkEnd w:id="2724"/>
      <w:bookmarkEnd w:id="2725"/>
      <w:bookmarkEnd w:id="2726"/>
      <w:bookmarkEnd w:id="2727"/>
      <w:bookmarkEnd w:id="2728"/>
    </w:p>
    <w:p>
      <w:pPr>
        <w:spacing w:after="160" w:line="278" w:lineRule="auto"/>
        <w:rPr>
          <w:rFonts w:ascii="宋体" w:hAnsi="宋体"/>
          <w:sz w:val="22"/>
          <w:szCs w:val="28"/>
        </w:rPr>
      </w:pPr>
      <w:r>
        <w:rPr>
          <w:rFonts w:ascii="宋体" w:hAnsi="宋体"/>
          <w:sz w:val="22"/>
          <w:szCs w:val="28"/>
        </w:rPr>
        <w:t xml:space="preserve">（5）承包人承担暂停施工责任的其他情形：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2729" w:name="_Toc132619194"/>
      <w:bookmarkStart w:id="2730" w:name="_Toc142385733"/>
      <w:bookmarkStart w:id="2731" w:name="_Toc342296466"/>
      <w:bookmarkStart w:id="2732" w:name="_Toc241459707"/>
      <w:bookmarkStart w:id="2733" w:name="_Toc129798445"/>
      <w:bookmarkStart w:id="2734" w:name="_Toc109914510"/>
      <w:r>
        <w:rPr>
          <w:rFonts w:ascii="宋体" w:hAnsi="宋体"/>
          <w:sz w:val="22"/>
          <w:szCs w:val="28"/>
        </w:rPr>
        <w:t>12.4 暂停施工后的复工</w:t>
      </w:r>
      <w:bookmarkEnd w:id="2729"/>
      <w:bookmarkEnd w:id="2730"/>
      <w:bookmarkEnd w:id="2731"/>
      <w:bookmarkEnd w:id="2732"/>
      <w:bookmarkEnd w:id="2733"/>
      <w:bookmarkEnd w:id="2734"/>
    </w:p>
    <w:p>
      <w:pPr>
        <w:spacing w:after="160" w:line="278" w:lineRule="auto"/>
        <w:rPr>
          <w:rFonts w:ascii="宋体" w:hAnsi="宋体"/>
          <w:sz w:val="22"/>
          <w:szCs w:val="28"/>
        </w:rPr>
      </w:pPr>
      <w:r>
        <w:rPr>
          <w:rFonts w:ascii="宋体" w:hAnsi="宋体"/>
          <w:sz w:val="22"/>
          <w:szCs w:val="28"/>
        </w:rPr>
        <w:t>12.4.3 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after="160" w:line="278" w:lineRule="auto"/>
        <w:rPr>
          <w:rFonts w:ascii="宋体" w:hAnsi="宋体"/>
          <w:sz w:val="22"/>
          <w:szCs w:val="28"/>
        </w:rPr>
      </w:pPr>
      <w:r>
        <w:rPr>
          <w:rFonts w:ascii="宋体" w:hAnsi="宋体"/>
          <w:sz w:val="22"/>
          <w:szCs w:val="28"/>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2735" w:name="_Toc152042473"/>
      <w:bookmarkStart w:id="2736" w:name="_Toc241459708"/>
      <w:bookmarkStart w:id="2737" w:name="_Toc179632713"/>
      <w:bookmarkStart w:id="2738" w:name="_Toc152045695"/>
      <w:bookmarkStart w:id="2739" w:name="_Toc144974664"/>
    </w:p>
    <w:p>
      <w:pPr>
        <w:spacing w:after="160" w:line="278" w:lineRule="auto"/>
        <w:rPr>
          <w:rFonts w:ascii="宋体" w:hAnsi="宋体"/>
          <w:sz w:val="22"/>
          <w:szCs w:val="28"/>
        </w:rPr>
      </w:pPr>
      <w:bookmarkStart w:id="2740" w:name="_Toc448758459"/>
      <w:bookmarkStart w:id="2741" w:name="_Toc129798446"/>
      <w:bookmarkStart w:id="2742" w:name="_Toc132619195"/>
      <w:bookmarkStart w:id="2743" w:name="_Toc469660054"/>
      <w:bookmarkStart w:id="2744" w:name="_Toc342296467"/>
      <w:bookmarkStart w:id="2745" w:name="_Toc109914511"/>
      <w:bookmarkStart w:id="2746" w:name="_Toc142385734"/>
      <w:bookmarkStart w:id="2747" w:name="_Toc448758559"/>
      <w:bookmarkStart w:id="2748" w:name="_Toc442365651"/>
      <w:r>
        <w:rPr>
          <w:rFonts w:ascii="宋体" w:hAnsi="宋体"/>
          <w:sz w:val="22"/>
          <w:szCs w:val="28"/>
        </w:rPr>
        <w:t>13. 工程质量</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Start w:id="2749" w:name="_Toc179632715"/>
      <w:bookmarkStart w:id="2750" w:name="_Toc152042475"/>
      <w:bookmarkStart w:id="2751" w:name="_Toc144974666"/>
      <w:bookmarkStart w:id="2752" w:name="_Toc152045697"/>
    </w:p>
    <w:p>
      <w:pPr>
        <w:spacing w:after="160" w:line="278" w:lineRule="auto"/>
        <w:rPr>
          <w:rFonts w:ascii="宋体" w:hAnsi="宋体"/>
          <w:sz w:val="22"/>
          <w:szCs w:val="28"/>
        </w:rPr>
      </w:pPr>
      <w:bookmarkStart w:id="2753" w:name="_Toc142385735"/>
      <w:bookmarkStart w:id="2754" w:name="_Toc241459709"/>
      <w:bookmarkStart w:id="2755" w:name="_Toc342296468"/>
      <w:bookmarkStart w:id="2756" w:name="_Toc109914512"/>
      <w:bookmarkStart w:id="2757" w:name="_Toc129798447"/>
      <w:bookmarkStart w:id="2758" w:name="_Toc132619196"/>
      <w:r>
        <w:rPr>
          <w:rFonts w:ascii="宋体" w:hAnsi="宋体"/>
          <w:sz w:val="22"/>
          <w:szCs w:val="28"/>
        </w:rPr>
        <w:t>13.2 承包人的质量管理</w:t>
      </w:r>
      <w:bookmarkEnd w:id="2749"/>
      <w:bookmarkEnd w:id="2750"/>
      <w:bookmarkEnd w:id="2751"/>
      <w:bookmarkEnd w:id="2752"/>
      <w:bookmarkEnd w:id="2753"/>
      <w:bookmarkEnd w:id="2754"/>
      <w:bookmarkEnd w:id="2755"/>
      <w:bookmarkEnd w:id="2756"/>
      <w:bookmarkEnd w:id="2757"/>
      <w:bookmarkEnd w:id="2758"/>
    </w:p>
    <w:p>
      <w:pPr>
        <w:spacing w:after="160" w:line="278" w:lineRule="auto"/>
        <w:rPr>
          <w:rFonts w:ascii="宋体" w:hAnsi="宋体"/>
          <w:sz w:val="22"/>
          <w:szCs w:val="28"/>
        </w:rPr>
      </w:pPr>
      <w:bookmarkStart w:id="2759" w:name="_Toc152042476"/>
      <w:bookmarkStart w:id="2760" w:name="_Toc144974667"/>
      <w:bookmarkStart w:id="2761" w:name="_Toc179632716"/>
      <w:bookmarkStart w:id="2762" w:name="_Toc152045698"/>
      <w:r>
        <w:rPr>
          <w:rFonts w:ascii="宋体" w:hAnsi="宋体"/>
          <w:sz w:val="22"/>
          <w:szCs w:val="28"/>
        </w:rPr>
        <w:t>13.2.1承包人向监理人提交工程质量保证措施文件的期限：合同签订后7日内 。</w:t>
      </w:r>
    </w:p>
    <w:p>
      <w:pPr>
        <w:spacing w:after="160" w:line="278" w:lineRule="auto"/>
        <w:rPr>
          <w:rFonts w:ascii="宋体" w:hAnsi="宋体"/>
          <w:sz w:val="22"/>
          <w:szCs w:val="28"/>
        </w:rPr>
      </w:pPr>
      <w:r>
        <w:rPr>
          <w:rFonts w:ascii="宋体" w:hAnsi="宋体"/>
          <w:sz w:val="22"/>
          <w:szCs w:val="28"/>
        </w:rPr>
        <w:t>监理人审批工程质量保证措施文件的期限：收到承包人提交的工程质量保证措施文件7日内。</w:t>
      </w:r>
    </w:p>
    <w:p>
      <w:pPr>
        <w:spacing w:after="160" w:line="278" w:lineRule="auto"/>
        <w:rPr>
          <w:rFonts w:ascii="宋体" w:hAnsi="宋体"/>
          <w:sz w:val="22"/>
          <w:szCs w:val="28"/>
        </w:rPr>
      </w:pPr>
      <w:bookmarkStart w:id="2763" w:name="_Toc109914513"/>
      <w:bookmarkStart w:id="2764" w:name="_Toc142385736"/>
      <w:bookmarkStart w:id="2765" w:name="_Toc129798448"/>
      <w:bookmarkStart w:id="2766" w:name="_Toc132619197"/>
      <w:bookmarkStart w:id="2767" w:name="_Toc241459710"/>
      <w:bookmarkStart w:id="2768" w:name="_Toc342296469"/>
      <w:r>
        <w:rPr>
          <w:rFonts w:ascii="宋体" w:hAnsi="宋体"/>
          <w:sz w:val="22"/>
          <w:szCs w:val="28"/>
        </w:rPr>
        <w:t>13.3 承包人的质量检查</w:t>
      </w:r>
      <w:bookmarkEnd w:id="2759"/>
      <w:bookmarkEnd w:id="2760"/>
      <w:bookmarkEnd w:id="2761"/>
      <w:bookmarkEnd w:id="2762"/>
      <w:bookmarkEnd w:id="2763"/>
      <w:bookmarkEnd w:id="2764"/>
      <w:bookmarkEnd w:id="2765"/>
      <w:bookmarkEnd w:id="2766"/>
      <w:bookmarkEnd w:id="2767"/>
      <w:bookmarkEnd w:id="2768"/>
    </w:p>
    <w:p>
      <w:pPr>
        <w:spacing w:after="160" w:line="278" w:lineRule="auto"/>
        <w:rPr>
          <w:rFonts w:ascii="宋体" w:hAnsi="宋体"/>
          <w:sz w:val="22"/>
          <w:szCs w:val="28"/>
        </w:rPr>
      </w:pPr>
      <w:bookmarkStart w:id="2769" w:name="_Toc144974668"/>
      <w:bookmarkStart w:id="2770" w:name="_Toc152045699"/>
      <w:bookmarkStart w:id="2771" w:name="_Toc179632717"/>
      <w:bookmarkStart w:id="2772" w:name="_Toc152042477"/>
      <w:r>
        <w:rPr>
          <w:rFonts w:ascii="宋体" w:hAnsi="宋体"/>
          <w:sz w:val="22"/>
          <w:szCs w:val="28"/>
        </w:rPr>
        <w:t>承包人向监理人报送工程质量报表的期限：需监理人查验前48小时。</w:t>
      </w:r>
    </w:p>
    <w:bookmarkEnd w:id="2769"/>
    <w:bookmarkEnd w:id="2770"/>
    <w:bookmarkEnd w:id="2771"/>
    <w:bookmarkEnd w:id="2772"/>
    <w:p>
      <w:pPr>
        <w:spacing w:after="160" w:line="278" w:lineRule="auto"/>
        <w:rPr>
          <w:rFonts w:ascii="宋体" w:hAnsi="宋体"/>
          <w:sz w:val="22"/>
          <w:szCs w:val="28"/>
        </w:rPr>
      </w:pPr>
      <w:bookmarkStart w:id="2773" w:name="_Toc144974669"/>
      <w:bookmarkStart w:id="2774" w:name="_Toc179632718"/>
      <w:bookmarkStart w:id="2775" w:name="_Toc152042478"/>
      <w:bookmarkStart w:id="2776" w:name="_Toc152045700"/>
      <w:r>
        <w:rPr>
          <w:rFonts w:ascii="宋体" w:hAnsi="宋体"/>
          <w:sz w:val="22"/>
          <w:szCs w:val="28"/>
        </w:rPr>
        <w:t>承包人向监理人报送工程质量报表的要求：表中至少包含：各方责任主体质量行为情况、第三方监测质量行为情况；重要部位、关键工序工程质量存在的主要问题及整改情况；材料进场验收及原材料试验情况。</w:t>
      </w:r>
    </w:p>
    <w:p>
      <w:pPr>
        <w:spacing w:after="160" w:line="278" w:lineRule="auto"/>
        <w:rPr>
          <w:rFonts w:ascii="宋体" w:hAnsi="宋体"/>
          <w:sz w:val="22"/>
          <w:szCs w:val="28"/>
        </w:rPr>
      </w:pPr>
      <w:r>
        <w:rPr>
          <w:rFonts w:ascii="宋体" w:hAnsi="宋体"/>
          <w:sz w:val="22"/>
          <w:szCs w:val="28"/>
        </w:rPr>
        <w:t>监理人审查工程质量报表的期限：收到工程质量报表后5日内。</w:t>
      </w:r>
    </w:p>
    <w:p>
      <w:pPr>
        <w:spacing w:after="160" w:line="278" w:lineRule="auto"/>
        <w:rPr>
          <w:rFonts w:ascii="宋体" w:hAnsi="宋体"/>
          <w:sz w:val="22"/>
          <w:szCs w:val="28"/>
        </w:rPr>
      </w:pPr>
      <w:bookmarkStart w:id="2777" w:name="_Toc142385737"/>
      <w:bookmarkStart w:id="2778" w:name="_Toc132619198"/>
      <w:bookmarkStart w:id="2779" w:name="_Toc241459711"/>
      <w:bookmarkStart w:id="2780" w:name="_Toc129798449"/>
      <w:bookmarkStart w:id="2781" w:name="_Toc342296470"/>
      <w:bookmarkStart w:id="2782" w:name="_Toc109914514"/>
      <w:r>
        <w:rPr>
          <w:rFonts w:ascii="宋体" w:hAnsi="宋体"/>
          <w:sz w:val="22"/>
          <w:szCs w:val="28"/>
        </w:rPr>
        <w:t>13.4 监理人的质量检查</w:t>
      </w:r>
      <w:bookmarkEnd w:id="2777"/>
      <w:bookmarkEnd w:id="2778"/>
      <w:bookmarkEnd w:id="2779"/>
      <w:bookmarkEnd w:id="2780"/>
      <w:bookmarkEnd w:id="2781"/>
      <w:bookmarkEnd w:id="2782"/>
    </w:p>
    <w:p>
      <w:pPr>
        <w:spacing w:after="160" w:line="278" w:lineRule="auto"/>
        <w:rPr>
          <w:rFonts w:ascii="宋体" w:hAnsi="宋体"/>
          <w:sz w:val="22"/>
          <w:szCs w:val="28"/>
        </w:rPr>
      </w:pPr>
      <w:r>
        <w:rPr>
          <w:rFonts w:ascii="宋体" w:hAnsi="宋体"/>
          <w:sz w:val="22"/>
          <w:szCs w:val="28"/>
        </w:rPr>
        <w:t>承包人应当为监理人的检查和检验提供方便，监理人可以进行察看和查阅施工原始记录的其他地方包括：施工场地、承包人的现场试验场所、承包人的预制构件制作车间、承包人门窗制作车间等重要材料设备制作场地。</w:t>
      </w:r>
    </w:p>
    <w:p>
      <w:pPr>
        <w:spacing w:after="160" w:line="278" w:lineRule="auto"/>
        <w:rPr>
          <w:rFonts w:ascii="宋体" w:hAnsi="宋体"/>
          <w:sz w:val="22"/>
          <w:szCs w:val="28"/>
        </w:rPr>
      </w:pPr>
      <w:bookmarkStart w:id="2783" w:name="_Toc132619199"/>
      <w:bookmarkStart w:id="2784" w:name="_Toc241459712"/>
      <w:bookmarkStart w:id="2785" w:name="_Toc142385738"/>
      <w:bookmarkStart w:id="2786" w:name="_Toc342296471"/>
      <w:bookmarkStart w:id="2787" w:name="_Toc109914515"/>
      <w:bookmarkStart w:id="2788" w:name="_Toc129798450"/>
      <w:r>
        <w:rPr>
          <w:rFonts w:ascii="宋体" w:hAnsi="宋体"/>
          <w:sz w:val="22"/>
          <w:szCs w:val="28"/>
        </w:rPr>
        <w:t>13.5 工程隐蔽部位覆盖前的检查</w:t>
      </w:r>
      <w:bookmarkEnd w:id="2773"/>
      <w:bookmarkEnd w:id="2774"/>
      <w:bookmarkEnd w:id="2775"/>
      <w:bookmarkEnd w:id="2776"/>
      <w:bookmarkEnd w:id="2783"/>
      <w:bookmarkEnd w:id="2784"/>
      <w:bookmarkEnd w:id="2785"/>
      <w:bookmarkEnd w:id="2786"/>
      <w:bookmarkEnd w:id="2787"/>
      <w:bookmarkEnd w:id="2788"/>
    </w:p>
    <w:p>
      <w:pPr>
        <w:spacing w:after="160" w:line="278" w:lineRule="auto"/>
        <w:rPr>
          <w:rFonts w:ascii="宋体" w:hAnsi="宋体"/>
          <w:sz w:val="22"/>
          <w:szCs w:val="28"/>
        </w:rPr>
      </w:pPr>
      <w:r>
        <w:rPr>
          <w:rFonts w:ascii="宋体" w:hAnsi="宋体"/>
          <w:sz w:val="22"/>
          <w:szCs w:val="28"/>
        </w:rPr>
        <w:t>13.5.1 监理人对工程隐蔽部位进行检查的期限：收到承包人的检查通知后12小时内。</w:t>
      </w:r>
    </w:p>
    <w:p>
      <w:pPr>
        <w:spacing w:after="160" w:line="278" w:lineRule="auto"/>
        <w:rPr>
          <w:rFonts w:ascii="宋体" w:hAnsi="宋体"/>
          <w:sz w:val="22"/>
          <w:szCs w:val="28"/>
        </w:rPr>
      </w:pPr>
      <w:bookmarkStart w:id="2789" w:name="_Toc109914516"/>
      <w:bookmarkStart w:id="2790" w:name="_Toc142385739"/>
      <w:bookmarkStart w:id="2791" w:name="_Toc342296472"/>
      <w:bookmarkStart w:id="2792" w:name="_Toc132619200"/>
      <w:bookmarkStart w:id="2793" w:name="_Toc241459713"/>
      <w:bookmarkStart w:id="2794" w:name="_Toc129798451"/>
      <w:bookmarkStart w:id="2795" w:name="_Toc179632724"/>
      <w:bookmarkStart w:id="2796" w:name="_Toc152042484"/>
      <w:bookmarkStart w:id="2797" w:name="_Toc152045706"/>
      <w:bookmarkStart w:id="2798" w:name="_Toc144974675"/>
      <w:r>
        <w:rPr>
          <w:rFonts w:ascii="宋体" w:hAnsi="宋体"/>
          <w:sz w:val="22"/>
          <w:szCs w:val="28"/>
        </w:rPr>
        <w:t>13.7 质量争议</w:t>
      </w:r>
      <w:bookmarkEnd w:id="2789"/>
      <w:bookmarkEnd w:id="2790"/>
      <w:bookmarkEnd w:id="2791"/>
      <w:bookmarkEnd w:id="2792"/>
      <w:bookmarkEnd w:id="2793"/>
      <w:bookmarkEnd w:id="2794"/>
    </w:p>
    <w:p>
      <w:pPr>
        <w:spacing w:after="160" w:line="278" w:lineRule="auto"/>
        <w:rPr>
          <w:rFonts w:ascii="宋体" w:hAnsi="宋体"/>
          <w:sz w:val="22"/>
          <w:szCs w:val="28"/>
        </w:rPr>
      </w:pPr>
      <w:r>
        <w:rPr>
          <w:rFonts w:ascii="宋体" w:hAnsi="宋体"/>
          <w:sz w:val="22"/>
          <w:szCs w:val="28"/>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after="160" w:line="278" w:lineRule="auto"/>
        <w:rPr>
          <w:rFonts w:ascii="宋体" w:hAnsi="宋体"/>
          <w:sz w:val="22"/>
          <w:szCs w:val="28"/>
        </w:rPr>
      </w:pPr>
      <w:bookmarkStart w:id="2799" w:name="_Toc109914517"/>
      <w:bookmarkStart w:id="2800" w:name="_Toc129798452"/>
      <w:bookmarkStart w:id="2801" w:name="_Toc132619201"/>
      <w:bookmarkStart w:id="2802" w:name="_Toc469660055"/>
      <w:bookmarkStart w:id="2803" w:name="_Toc241459714"/>
      <w:bookmarkStart w:id="2804" w:name="_Toc448758460"/>
      <w:bookmarkStart w:id="2805" w:name="_Toc448758560"/>
      <w:bookmarkStart w:id="2806" w:name="_Toc442365652"/>
      <w:bookmarkStart w:id="2807" w:name="_Toc142385740"/>
      <w:bookmarkStart w:id="2808" w:name="_Toc342296473"/>
      <w:r>
        <w:rPr>
          <w:rFonts w:ascii="宋体" w:hAnsi="宋体"/>
          <w:sz w:val="22"/>
          <w:szCs w:val="28"/>
        </w:rPr>
        <w:t>15. 变更</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pPr>
        <w:spacing w:after="160" w:line="278" w:lineRule="auto"/>
        <w:rPr>
          <w:rFonts w:ascii="宋体" w:hAnsi="宋体"/>
          <w:sz w:val="22"/>
          <w:szCs w:val="28"/>
        </w:rPr>
      </w:pPr>
      <w:bookmarkStart w:id="2809" w:name="_Toc152045707"/>
      <w:bookmarkStart w:id="2810" w:name="_Toc342296474"/>
      <w:bookmarkStart w:id="2811" w:name="_Toc179632725"/>
      <w:bookmarkStart w:id="2812" w:name="_Toc129798453"/>
      <w:bookmarkStart w:id="2813" w:name="_Toc241459715"/>
      <w:bookmarkStart w:id="2814" w:name="_Toc144974676"/>
      <w:bookmarkStart w:id="2815" w:name="_Toc109914518"/>
      <w:bookmarkStart w:id="2816" w:name="_Toc152042485"/>
      <w:bookmarkStart w:id="2817" w:name="_Toc142385741"/>
      <w:bookmarkStart w:id="2818" w:name="_Toc132619202"/>
      <w:r>
        <w:rPr>
          <w:rFonts w:ascii="宋体" w:hAnsi="宋体"/>
          <w:sz w:val="22"/>
          <w:szCs w:val="28"/>
        </w:rPr>
        <w:t>15.1 变更的范围和内容</w:t>
      </w:r>
      <w:bookmarkEnd w:id="2809"/>
      <w:bookmarkEnd w:id="2810"/>
      <w:bookmarkEnd w:id="2811"/>
      <w:bookmarkEnd w:id="2812"/>
      <w:bookmarkEnd w:id="2813"/>
      <w:bookmarkEnd w:id="2814"/>
      <w:bookmarkEnd w:id="2815"/>
      <w:bookmarkEnd w:id="2816"/>
      <w:bookmarkEnd w:id="2817"/>
      <w:bookmarkEnd w:id="2818"/>
    </w:p>
    <w:p>
      <w:pPr>
        <w:spacing w:after="160" w:line="278" w:lineRule="auto"/>
        <w:rPr>
          <w:rFonts w:ascii="宋体" w:hAnsi="宋体"/>
          <w:sz w:val="22"/>
          <w:szCs w:val="28"/>
        </w:rPr>
      </w:pPr>
      <w:r>
        <w:rPr>
          <w:rFonts w:ascii="宋体" w:hAnsi="宋体"/>
          <w:sz w:val="22"/>
          <w:szCs w:val="28"/>
        </w:rPr>
        <w:t>应当进行变更的其他情形：</w:t>
      </w:r>
      <w:r>
        <w:rPr>
          <w:rFonts w:ascii="宋体" w:hAnsi="宋体"/>
          <w:sz w:val="22"/>
          <w:szCs w:val="28"/>
          <w:u w:val="single"/>
        </w:rPr>
        <w:t>招标图纸和清单范围之外的工作内容。</w:t>
      </w:r>
    </w:p>
    <w:p>
      <w:pPr>
        <w:spacing w:after="160" w:line="278" w:lineRule="auto"/>
        <w:rPr>
          <w:rFonts w:ascii="宋体" w:hAnsi="宋体"/>
          <w:sz w:val="22"/>
          <w:szCs w:val="28"/>
        </w:rPr>
      </w:pPr>
      <w:r>
        <w:rPr>
          <w:rFonts w:ascii="宋体" w:hAnsi="宋体"/>
          <w:sz w:val="22"/>
          <w:szCs w:val="28"/>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spacing w:after="160" w:line="278" w:lineRule="auto"/>
        <w:rPr>
          <w:rFonts w:ascii="宋体" w:hAnsi="宋体"/>
          <w:sz w:val="22"/>
          <w:szCs w:val="28"/>
        </w:rPr>
      </w:pPr>
      <w:bookmarkStart w:id="2819" w:name="_Toc132619203"/>
      <w:bookmarkStart w:id="2820" w:name="_Toc109914519"/>
      <w:bookmarkStart w:id="2821" w:name="_Toc241459716"/>
      <w:bookmarkStart w:id="2822" w:name="_Toc342296475"/>
      <w:bookmarkStart w:id="2823" w:name="_Toc144974678"/>
      <w:bookmarkStart w:id="2824" w:name="_Toc129798454"/>
      <w:bookmarkStart w:id="2825" w:name="_Toc152042487"/>
      <w:bookmarkStart w:id="2826" w:name="_Toc179632727"/>
      <w:bookmarkStart w:id="2827" w:name="_Toc152045709"/>
      <w:bookmarkStart w:id="2828" w:name="_Toc142385742"/>
      <w:r>
        <w:rPr>
          <w:rFonts w:ascii="宋体" w:hAnsi="宋体"/>
          <w:sz w:val="22"/>
          <w:szCs w:val="28"/>
        </w:rPr>
        <w:t>15.3 变更程序</w:t>
      </w:r>
      <w:bookmarkEnd w:id="2819"/>
      <w:bookmarkEnd w:id="2820"/>
      <w:bookmarkEnd w:id="2821"/>
      <w:bookmarkEnd w:id="2822"/>
      <w:bookmarkEnd w:id="2823"/>
      <w:bookmarkEnd w:id="2824"/>
      <w:bookmarkEnd w:id="2825"/>
      <w:bookmarkEnd w:id="2826"/>
      <w:bookmarkEnd w:id="2827"/>
      <w:bookmarkEnd w:id="2828"/>
    </w:p>
    <w:p>
      <w:pPr>
        <w:spacing w:after="160" w:line="278" w:lineRule="auto"/>
        <w:rPr>
          <w:rFonts w:ascii="宋体" w:hAnsi="宋体"/>
          <w:sz w:val="22"/>
          <w:szCs w:val="28"/>
        </w:rPr>
      </w:pPr>
      <w:r>
        <w:rPr>
          <w:rFonts w:ascii="宋体" w:hAnsi="宋体"/>
          <w:sz w:val="22"/>
          <w:szCs w:val="28"/>
        </w:rPr>
        <w:t xml:space="preserve">15.3.2 </w:t>
      </w:r>
      <w:r>
        <w:rPr>
          <w:rFonts w:hint="eastAsia" w:ascii="宋体" w:hAnsi="宋体"/>
          <w:sz w:val="22"/>
          <w:szCs w:val="28"/>
        </w:rPr>
        <w:t>变更估价</w:t>
      </w:r>
    </w:p>
    <w:p>
      <w:pPr>
        <w:spacing w:after="160" w:line="278" w:lineRule="auto"/>
        <w:rPr>
          <w:rFonts w:ascii="宋体" w:hAnsi="宋体"/>
          <w:sz w:val="22"/>
          <w:szCs w:val="28"/>
        </w:rPr>
      </w:pPr>
      <w:r>
        <w:rPr>
          <w:rFonts w:ascii="宋体" w:hAnsi="宋体"/>
          <w:sz w:val="22"/>
          <w:szCs w:val="28"/>
        </w:rPr>
        <w:t>（1）承包人提交变更报价书的期限：承包人收到变更指示或变更意向书后7日内。</w:t>
      </w:r>
    </w:p>
    <w:p>
      <w:pPr>
        <w:spacing w:after="160" w:line="278" w:lineRule="auto"/>
        <w:rPr>
          <w:rFonts w:ascii="宋体" w:hAnsi="宋体"/>
          <w:sz w:val="22"/>
          <w:szCs w:val="28"/>
        </w:rPr>
      </w:pPr>
      <w:r>
        <w:rPr>
          <w:rFonts w:ascii="宋体" w:hAnsi="宋体"/>
          <w:sz w:val="22"/>
          <w:szCs w:val="28"/>
        </w:rPr>
        <w:t>（3）监理人商定或确定变更价格的期限：监理人收到承包人变更报价书后7日内。</w:t>
      </w:r>
    </w:p>
    <w:p>
      <w:pPr>
        <w:spacing w:after="160" w:line="278" w:lineRule="auto"/>
        <w:rPr>
          <w:rFonts w:ascii="宋体" w:hAnsi="宋体"/>
          <w:sz w:val="22"/>
          <w:szCs w:val="28"/>
        </w:rPr>
      </w:pPr>
      <w:r>
        <w:rPr>
          <w:rFonts w:ascii="宋体" w:hAnsi="宋体"/>
          <w:sz w:val="22"/>
          <w:szCs w:val="28"/>
        </w:rPr>
        <w:t>（4）收到变更指示后，如承包人未在规定的期限内提交变更报价书的，监理人可自行决定是否调整合同价款以及如果监理人决定调整合同价款时，相应调整的具体金额。</w:t>
      </w:r>
    </w:p>
    <w:p>
      <w:pPr>
        <w:spacing w:after="160" w:line="278" w:lineRule="auto"/>
        <w:rPr>
          <w:rFonts w:ascii="宋体" w:hAnsi="宋体"/>
          <w:sz w:val="22"/>
          <w:szCs w:val="28"/>
        </w:rPr>
      </w:pPr>
      <w:bookmarkStart w:id="2829" w:name="_Toc152042488"/>
      <w:bookmarkStart w:id="2830" w:name="_Toc109914520"/>
      <w:bookmarkStart w:id="2831" w:name="_Toc241459717"/>
      <w:bookmarkStart w:id="2832" w:name="_Toc132619204"/>
      <w:bookmarkStart w:id="2833" w:name="_Toc129798455"/>
      <w:bookmarkStart w:id="2834" w:name="_Toc142385743"/>
      <w:bookmarkStart w:id="2835" w:name="_Toc152045710"/>
      <w:bookmarkStart w:id="2836" w:name="_Toc144974679"/>
      <w:bookmarkStart w:id="2837" w:name="_Toc179632728"/>
      <w:bookmarkStart w:id="2838" w:name="_Toc342296476"/>
      <w:r>
        <w:rPr>
          <w:rFonts w:ascii="宋体" w:hAnsi="宋体"/>
          <w:sz w:val="22"/>
          <w:szCs w:val="28"/>
        </w:rPr>
        <w:t>15.4 变更的估价原则</w:t>
      </w:r>
      <w:bookmarkEnd w:id="2829"/>
      <w:bookmarkEnd w:id="2830"/>
      <w:bookmarkEnd w:id="2831"/>
      <w:bookmarkEnd w:id="2832"/>
      <w:bookmarkEnd w:id="2833"/>
      <w:bookmarkEnd w:id="2834"/>
      <w:bookmarkEnd w:id="2835"/>
      <w:bookmarkEnd w:id="2836"/>
      <w:bookmarkEnd w:id="2837"/>
      <w:bookmarkEnd w:id="2838"/>
    </w:p>
    <w:p>
      <w:pPr>
        <w:spacing w:after="160" w:line="278" w:lineRule="auto"/>
        <w:rPr>
          <w:rFonts w:ascii="宋体" w:hAnsi="宋体"/>
          <w:sz w:val="22"/>
          <w:szCs w:val="28"/>
        </w:rPr>
      </w:pPr>
      <w:r>
        <w:rPr>
          <w:rFonts w:ascii="宋体" w:hAnsi="宋体"/>
          <w:sz w:val="22"/>
          <w:szCs w:val="28"/>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after="160" w:line="278" w:lineRule="auto"/>
        <w:rPr>
          <w:rFonts w:ascii="宋体" w:hAnsi="宋体"/>
          <w:sz w:val="22"/>
          <w:szCs w:val="28"/>
        </w:rPr>
      </w:pPr>
      <w:r>
        <w:rPr>
          <w:rFonts w:ascii="宋体" w:hAnsi="宋体"/>
          <w:sz w:val="22"/>
          <w:szCs w:val="28"/>
        </w:rPr>
        <w:t>15.4.5 合同协议书约定采用单价合同形式时，因非承包人原因引起已标价工程量清单中列明的工程量发生增减，且单个子目工程量变化幅度在</w:t>
      </w:r>
      <w:r>
        <w:rPr>
          <w:rFonts w:ascii="宋体" w:hAnsi="宋体"/>
          <w:sz w:val="22"/>
          <w:szCs w:val="28"/>
          <w:u w:val="single"/>
        </w:rPr>
        <w:t xml:space="preserve">   /   </w:t>
      </w:r>
      <w:r>
        <w:rPr>
          <w:rFonts w:ascii="宋体" w:hAnsi="宋体"/>
          <w:sz w:val="22"/>
          <w:szCs w:val="28"/>
        </w:rPr>
        <w:t>%以内（含）时，应执行已标价工程量清单中列明的该子目的单价；单个子目工程量变化幅度在</w:t>
      </w:r>
      <w:r>
        <w:rPr>
          <w:rFonts w:ascii="宋体" w:hAnsi="宋体"/>
          <w:sz w:val="22"/>
          <w:szCs w:val="28"/>
          <w:u w:val="single"/>
        </w:rPr>
        <w:t xml:space="preserve">   /   </w:t>
      </w:r>
      <w:r>
        <w:rPr>
          <w:rFonts w:ascii="宋体" w:hAnsi="宋体"/>
          <w:sz w:val="22"/>
          <w:szCs w:val="28"/>
        </w:rPr>
        <w:t xml:space="preserve">%以外（不含），且导致分部分项工程费总额变化幅度超过  </w:t>
      </w:r>
      <w:r>
        <w:rPr>
          <w:rFonts w:ascii="宋体" w:hAnsi="宋体"/>
          <w:sz w:val="22"/>
          <w:szCs w:val="28"/>
          <w:u w:val="single"/>
        </w:rPr>
        <w:t xml:space="preserve">  /   </w:t>
      </w:r>
      <w:r>
        <w:rPr>
          <w:rFonts w:ascii="宋体" w:hAnsi="宋体"/>
          <w:sz w:val="22"/>
          <w:szCs w:val="28"/>
        </w:rPr>
        <w:t xml:space="preserve"> %时，由承包人提出并由监理人按第3.5款商定或确定新的单价，该子目按修正后的新的单价计价。</w:t>
      </w:r>
    </w:p>
    <w:p>
      <w:pPr>
        <w:spacing w:after="160" w:line="278" w:lineRule="auto"/>
        <w:rPr>
          <w:rFonts w:ascii="宋体" w:hAnsi="宋体"/>
          <w:sz w:val="22"/>
          <w:szCs w:val="28"/>
        </w:rPr>
      </w:pPr>
      <w:r>
        <w:rPr>
          <w:rFonts w:ascii="宋体" w:hAnsi="宋体"/>
          <w:sz w:val="22"/>
          <w:szCs w:val="28"/>
        </w:rPr>
        <w:t xml:space="preserve">5.4.6 因变更引起价格调整的其他处理方式：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2839" w:name="_Toc142385744"/>
      <w:bookmarkStart w:id="2840" w:name="_Toc132619205"/>
      <w:bookmarkStart w:id="2841" w:name="_Toc129798456"/>
      <w:bookmarkStart w:id="2842" w:name="_Toc342296477"/>
      <w:bookmarkStart w:id="2843" w:name="_Toc179632729"/>
      <w:bookmarkStart w:id="2844" w:name="_Toc109914521"/>
      <w:bookmarkStart w:id="2845" w:name="_Toc144974680"/>
      <w:bookmarkStart w:id="2846" w:name="_Toc152042489"/>
      <w:bookmarkStart w:id="2847" w:name="_Toc241459718"/>
      <w:bookmarkStart w:id="2848" w:name="_Toc152045711"/>
      <w:r>
        <w:rPr>
          <w:rFonts w:ascii="宋体" w:hAnsi="宋体"/>
          <w:sz w:val="22"/>
          <w:szCs w:val="28"/>
        </w:rPr>
        <w:t>15.5 承包人的合理化建议</w:t>
      </w:r>
      <w:bookmarkEnd w:id="2839"/>
      <w:bookmarkEnd w:id="2840"/>
      <w:bookmarkEnd w:id="2841"/>
      <w:bookmarkEnd w:id="2842"/>
      <w:bookmarkEnd w:id="2843"/>
      <w:bookmarkEnd w:id="2844"/>
      <w:bookmarkEnd w:id="2845"/>
      <w:bookmarkEnd w:id="2846"/>
      <w:bookmarkEnd w:id="2847"/>
      <w:bookmarkEnd w:id="2848"/>
    </w:p>
    <w:p>
      <w:pPr>
        <w:spacing w:after="160" w:line="278" w:lineRule="auto"/>
        <w:rPr>
          <w:rFonts w:ascii="宋体" w:hAnsi="宋体"/>
          <w:sz w:val="22"/>
          <w:szCs w:val="28"/>
        </w:rPr>
      </w:pPr>
      <w:r>
        <w:rPr>
          <w:rFonts w:ascii="宋体" w:hAnsi="宋体"/>
          <w:sz w:val="22"/>
          <w:szCs w:val="28"/>
        </w:rPr>
        <w:t xml:space="preserve">15.5.2对承包人提出合理化建议的奖励方法：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2849" w:name="_Toc129798457"/>
      <w:bookmarkStart w:id="2850" w:name="_Toc152045714"/>
      <w:bookmarkStart w:id="2851" w:name="_Toc144974683"/>
      <w:bookmarkStart w:id="2852" w:name="_Toc342296478"/>
      <w:bookmarkStart w:id="2853" w:name="_Toc142385745"/>
      <w:bookmarkStart w:id="2854" w:name="_Toc179632732"/>
      <w:bookmarkStart w:id="2855" w:name="_Toc152042492"/>
      <w:bookmarkStart w:id="2856" w:name="_Toc109914522"/>
      <w:bookmarkStart w:id="2857" w:name="_Toc241459719"/>
      <w:bookmarkStart w:id="2858" w:name="_Toc132619206"/>
      <w:r>
        <w:rPr>
          <w:rFonts w:ascii="宋体" w:hAnsi="宋体"/>
          <w:sz w:val="22"/>
          <w:szCs w:val="28"/>
        </w:rPr>
        <w:t>15.8 暂估价</w:t>
      </w:r>
      <w:bookmarkEnd w:id="2849"/>
      <w:bookmarkEnd w:id="2850"/>
      <w:bookmarkEnd w:id="2851"/>
      <w:bookmarkEnd w:id="2852"/>
      <w:bookmarkEnd w:id="2853"/>
      <w:bookmarkEnd w:id="2854"/>
      <w:bookmarkEnd w:id="2855"/>
      <w:bookmarkEnd w:id="2856"/>
      <w:bookmarkEnd w:id="2857"/>
      <w:bookmarkEnd w:id="2858"/>
    </w:p>
    <w:p>
      <w:pPr>
        <w:spacing w:after="160" w:line="278" w:lineRule="auto"/>
        <w:rPr>
          <w:rFonts w:ascii="宋体" w:hAnsi="宋体"/>
          <w:sz w:val="22"/>
          <w:szCs w:val="28"/>
        </w:rPr>
      </w:pPr>
      <w:r>
        <w:rPr>
          <w:rFonts w:ascii="宋体" w:hAnsi="宋体"/>
          <w:sz w:val="22"/>
          <w:szCs w:val="28"/>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after="160" w:line="278" w:lineRule="auto"/>
        <w:rPr>
          <w:rFonts w:ascii="宋体" w:hAnsi="宋体"/>
          <w:sz w:val="22"/>
          <w:szCs w:val="28"/>
        </w:rPr>
      </w:pPr>
      <w:r>
        <w:rPr>
          <w:rFonts w:ascii="宋体" w:hAnsi="宋体"/>
          <w:sz w:val="22"/>
          <w:szCs w:val="28"/>
        </w:rPr>
        <w:t>（1）在任何招标工作启动前，承包人应当提前至少 7 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 3 天内给予批准或者提出修改意见。承包人应当严格按照经过发包人批准的招标工作计划开展招标工作。</w:t>
      </w:r>
    </w:p>
    <w:p>
      <w:pPr>
        <w:spacing w:after="160" w:line="278" w:lineRule="auto"/>
        <w:rPr>
          <w:rFonts w:ascii="宋体" w:hAnsi="宋体"/>
          <w:sz w:val="22"/>
          <w:szCs w:val="28"/>
        </w:rPr>
      </w:pPr>
      <w:r>
        <w:rPr>
          <w:rFonts w:ascii="宋体" w:hAnsi="宋体"/>
          <w:sz w:val="22"/>
          <w:szCs w:val="28"/>
        </w:rPr>
        <w:t>（2）承包人应当在发出招标公告（或者资格预审公告或者投标邀请书）、资格预审文件和招标文件前至少 7 天，分别将相关文件通过监理人报请发包人审批，发包人应当在监理人收到承包人报送的相关文件后 3 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after="160" w:line="278" w:lineRule="auto"/>
        <w:rPr>
          <w:rFonts w:ascii="宋体" w:hAnsi="宋体"/>
          <w:sz w:val="22"/>
          <w:szCs w:val="28"/>
        </w:rPr>
      </w:pPr>
      <w:r>
        <w:rPr>
          <w:rFonts w:ascii="宋体" w:hAnsi="宋体"/>
          <w:sz w:val="22"/>
          <w:szCs w:val="28"/>
        </w:rPr>
        <w:t>（3）如果发、承包任何一方委派评标代表，评标委员会应当由七人以上单数构成。</w:t>
      </w:r>
    </w:p>
    <w:p>
      <w:pPr>
        <w:spacing w:after="160" w:line="278" w:lineRule="auto"/>
        <w:rPr>
          <w:rFonts w:ascii="宋体" w:hAnsi="宋体"/>
          <w:sz w:val="22"/>
          <w:szCs w:val="28"/>
        </w:rPr>
      </w:pPr>
      <w:r>
        <w:rPr>
          <w:rFonts w:ascii="宋体" w:hAnsi="宋体"/>
          <w:sz w:val="22"/>
          <w:szCs w:val="28"/>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after="160" w:line="278" w:lineRule="auto"/>
        <w:rPr>
          <w:rFonts w:ascii="宋体" w:hAnsi="宋体"/>
          <w:sz w:val="22"/>
          <w:szCs w:val="28"/>
        </w:rPr>
      </w:pPr>
      <w:r>
        <w:rPr>
          <w:rFonts w:ascii="宋体" w:hAnsi="宋体"/>
          <w:sz w:val="22"/>
          <w:szCs w:val="28"/>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after="160" w:line="278" w:lineRule="auto"/>
        <w:rPr>
          <w:rFonts w:ascii="宋体" w:hAnsi="宋体"/>
          <w:sz w:val="22"/>
          <w:szCs w:val="28"/>
        </w:rPr>
      </w:pPr>
      <w:r>
        <w:rPr>
          <w:rFonts w:ascii="宋体" w:hAnsi="宋体"/>
          <w:sz w:val="22"/>
          <w:szCs w:val="28"/>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after="160" w:line="278" w:lineRule="auto"/>
        <w:rPr>
          <w:rFonts w:ascii="宋体" w:hAnsi="宋体"/>
          <w:sz w:val="22"/>
          <w:szCs w:val="28"/>
        </w:rPr>
      </w:pPr>
      <w:r>
        <w:rPr>
          <w:rFonts w:ascii="宋体" w:hAnsi="宋体"/>
          <w:sz w:val="22"/>
          <w:szCs w:val="28"/>
        </w:rPr>
        <w:t>（7）承包人与专业分包人或者专项供应商订立合同前 10 天，应当将准备用于正式签订的合同文件通过监理人报发包人审核，发包人应当在监理人收到相关文件后 7 天内给予批准或者提出修改意见，承包人应当按照发包人批准的合同文件签订相关合同，合同订立后  7 天内，承包人应当将其中的两份副本报送监理人，其中一份由监理人报发包人留存。</w:t>
      </w:r>
    </w:p>
    <w:p>
      <w:pPr>
        <w:spacing w:after="160" w:line="278" w:lineRule="auto"/>
        <w:rPr>
          <w:rFonts w:ascii="宋体" w:hAnsi="宋体"/>
          <w:sz w:val="22"/>
          <w:szCs w:val="28"/>
        </w:rPr>
      </w:pPr>
      <w:r>
        <w:rPr>
          <w:rFonts w:ascii="宋体" w:hAnsi="宋体"/>
          <w:sz w:val="22"/>
          <w:szCs w:val="28"/>
        </w:rPr>
        <w:t>（8）发包人对承包人报送文件进行审批或提出的修改意见应当合理，并符合现行有关法律法规的规定。</w:t>
      </w:r>
    </w:p>
    <w:p>
      <w:pPr>
        <w:spacing w:after="160" w:line="278" w:lineRule="auto"/>
        <w:rPr>
          <w:rFonts w:ascii="宋体" w:hAnsi="宋体"/>
          <w:sz w:val="22"/>
          <w:szCs w:val="28"/>
        </w:rPr>
      </w:pPr>
      <w:r>
        <w:rPr>
          <w:rFonts w:ascii="宋体" w:hAnsi="宋体"/>
          <w:sz w:val="22"/>
          <w:szCs w:val="28"/>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after="160" w:line="278" w:lineRule="auto"/>
        <w:rPr>
          <w:rFonts w:ascii="宋体" w:hAnsi="宋体"/>
          <w:sz w:val="22"/>
          <w:szCs w:val="28"/>
        </w:rPr>
      </w:pPr>
      <w:r>
        <w:rPr>
          <w:rFonts w:ascii="宋体" w:hAnsi="宋体"/>
          <w:sz w:val="22"/>
          <w:szCs w:val="28"/>
        </w:rPr>
        <w:t>15.8.3发包人在工程量清单中给定暂估价的专业工程不属于依法必须招标的范围或者未达到依法必须招标的规模标准的，其最终价格的估价人为：发包人或者按照下列约定：</w:t>
      </w:r>
      <w:r>
        <w:rPr>
          <w:rFonts w:hint="eastAsia" w:ascii="宋体" w:hAnsi="宋体"/>
          <w:sz w:val="22"/>
          <w:szCs w:val="28"/>
        </w:rPr>
        <w:t xml:space="preserve"> </w:t>
      </w:r>
      <w:r>
        <w:rPr>
          <w:rFonts w:ascii="宋体" w:hAnsi="宋体"/>
          <w:sz w:val="22"/>
          <w:szCs w:val="28"/>
        </w:rPr>
        <w:t>/</w:t>
      </w:r>
      <w:r>
        <w:rPr>
          <w:rFonts w:hint="eastAsia" w:ascii="宋体" w:hAnsi="宋体"/>
          <w:sz w:val="22"/>
          <w:szCs w:val="28"/>
        </w:rPr>
        <w:t xml:space="preserve"> </w:t>
      </w:r>
      <w:r>
        <w:rPr>
          <w:rFonts w:ascii="宋体" w:hAnsi="宋体"/>
          <w:sz w:val="22"/>
          <w:szCs w:val="28"/>
        </w:rPr>
        <w:t>。</w:t>
      </w:r>
    </w:p>
    <w:p>
      <w:pPr>
        <w:spacing w:after="160" w:line="278" w:lineRule="auto"/>
        <w:rPr>
          <w:rFonts w:ascii="宋体" w:hAnsi="宋体"/>
          <w:sz w:val="22"/>
          <w:szCs w:val="28"/>
        </w:rPr>
      </w:pPr>
      <w:bookmarkStart w:id="2859" w:name="_Toc144974684"/>
      <w:bookmarkStart w:id="2860" w:name="_Toc152045715"/>
      <w:bookmarkStart w:id="2861" w:name="_Toc442365653"/>
      <w:bookmarkStart w:id="2862" w:name="_Toc142385746"/>
      <w:bookmarkStart w:id="2863" w:name="_Toc152042493"/>
      <w:bookmarkStart w:id="2864" w:name="_Toc132619207"/>
      <w:bookmarkStart w:id="2865" w:name="_Toc342296479"/>
      <w:bookmarkStart w:id="2866" w:name="_Toc448758461"/>
      <w:bookmarkStart w:id="2867" w:name="_Toc241459720"/>
      <w:bookmarkStart w:id="2868" w:name="_Toc469660056"/>
      <w:bookmarkStart w:id="2869" w:name="_Toc109914523"/>
      <w:bookmarkStart w:id="2870" w:name="_Toc448758561"/>
      <w:bookmarkStart w:id="2871" w:name="_Toc179632733"/>
      <w:bookmarkStart w:id="2872" w:name="_Toc129798458"/>
      <w:r>
        <w:rPr>
          <w:rFonts w:ascii="宋体" w:hAnsi="宋体"/>
          <w:sz w:val="22"/>
          <w:szCs w:val="28"/>
        </w:rPr>
        <w:t>16. 价格调整</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p>
    <w:p>
      <w:pPr>
        <w:spacing w:after="160" w:line="278" w:lineRule="auto"/>
        <w:rPr>
          <w:rFonts w:ascii="宋体" w:hAnsi="宋体"/>
          <w:sz w:val="22"/>
          <w:szCs w:val="28"/>
        </w:rPr>
      </w:pPr>
      <w:bookmarkStart w:id="2873" w:name="_Toc179632734"/>
      <w:bookmarkStart w:id="2874" w:name="_Toc142385747"/>
      <w:bookmarkStart w:id="2875" w:name="_Toc109914524"/>
      <w:bookmarkStart w:id="2876" w:name="_Toc342296480"/>
      <w:bookmarkStart w:id="2877" w:name="_Toc152042494"/>
      <w:bookmarkStart w:id="2878" w:name="_Toc144974685"/>
      <w:bookmarkStart w:id="2879" w:name="_Toc132619208"/>
      <w:bookmarkStart w:id="2880" w:name="_Toc241459721"/>
      <w:bookmarkStart w:id="2881" w:name="_Toc152045716"/>
      <w:bookmarkStart w:id="2882" w:name="_Toc129798459"/>
      <w:r>
        <w:rPr>
          <w:rFonts w:ascii="宋体" w:hAnsi="宋体"/>
          <w:sz w:val="22"/>
          <w:szCs w:val="28"/>
        </w:rPr>
        <w:t>16.1 物价波动引起的价格调整</w:t>
      </w:r>
      <w:bookmarkEnd w:id="2873"/>
      <w:bookmarkEnd w:id="2874"/>
      <w:bookmarkEnd w:id="2875"/>
      <w:bookmarkEnd w:id="2876"/>
      <w:bookmarkEnd w:id="2877"/>
      <w:bookmarkEnd w:id="2878"/>
      <w:bookmarkEnd w:id="2879"/>
      <w:bookmarkEnd w:id="2880"/>
      <w:bookmarkEnd w:id="2881"/>
      <w:bookmarkEnd w:id="2882"/>
    </w:p>
    <w:p>
      <w:pPr>
        <w:spacing w:after="160" w:line="278" w:lineRule="auto"/>
        <w:rPr>
          <w:rFonts w:ascii="宋体" w:hAnsi="宋体"/>
          <w:sz w:val="22"/>
          <w:szCs w:val="28"/>
        </w:rPr>
      </w:pPr>
      <w:r>
        <w:rPr>
          <w:rFonts w:ascii="宋体" w:hAnsi="宋体"/>
          <w:sz w:val="22"/>
          <w:szCs w:val="28"/>
        </w:rPr>
        <w:t>物价波动引起的价格调整方法：采用造价信息调整价格差额，具体约定如下。</w:t>
      </w:r>
    </w:p>
    <w:p>
      <w:pPr>
        <w:spacing w:after="160" w:line="278" w:lineRule="auto"/>
        <w:rPr>
          <w:rFonts w:ascii="宋体" w:hAnsi="宋体"/>
          <w:sz w:val="22"/>
          <w:szCs w:val="28"/>
        </w:rPr>
      </w:pPr>
      <w:r>
        <w:rPr>
          <w:rFonts w:ascii="宋体" w:hAnsi="宋体"/>
          <w:sz w:val="22"/>
          <w:szCs w:val="28"/>
        </w:rPr>
        <w:t>（1）风险范围：</w:t>
      </w:r>
    </w:p>
    <w:p>
      <w:pPr>
        <w:spacing w:after="160" w:line="278" w:lineRule="auto"/>
        <w:rPr>
          <w:rFonts w:ascii="宋体" w:hAnsi="宋体"/>
          <w:sz w:val="22"/>
          <w:szCs w:val="28"/>
        </w:rPr>
      </w:pPr>
      <w:r>
        <w:rPr>
          <w:rFonts w:ascii="宋体" w:hAnsi="宋体"/>
          <w:sz w:val="22"/>
          <w:szCs w:val="28"/>
        </w:rPr>
        <w:t>本工程人工、预拌混凝土、钢筋、木材、电线、电缆市场价格的涨落在±5%（含±5%）以内的风险，以及其他材料和机械使用费价格变化的全部风险。</w:t>
      </w:r>
    </w:p>
    <w:p>
      <w:pPr>
        <w:spacing w:after="160" w:line="278" w:lineRule="auto"/>
        <w:rPr>
          <w:rFonts w:ascii="宋体" w:hAnsi="宋体"/>
          <w:sz w:val="22"/>
          <w:szCs w:val="28"/>
        </w:rPr>
      </w:pPr>
      <w:r>
        <w:rPr>
          <w:rFonts w:ascii="宋体" w:hAnsi="宋体"/>
          <w:sz w:val="22"/>
          <w:szCs w:val="28"/>
        </w:rPr>
        <w:t>(2）市场价格变化幅度确定的原则：</w:t>
      </w:r>
    </w:p>
    <w:p>
      <w:pPr>
        <w:spacing w:after="160" w:line="278" w:lineRule="auto"/>
        <w:rPr>
          <w:rFonts w:ascii="宋体" w:hAnsi="宋体"/>
          <w:sz w:val="22"/>
          <w:szCs w:val="28"/>
        </w:rPr>
      </w:pPr>
      <w:r>
        <w:rPr>
          <w:rFonts w:ascii="宋体" w:hAnsi="宋体"/>
          <w:sz w:val="22"/>
          <w:szCs w:val="28"/>
        </w:rPr>
        <w:t>a）以本市建设工程造价管理机构施工当期发布的《北京工程造价信息》中的市场信息价格 （以下简称造价信息价格）为依据，造价信息价格中有上、下限的，以下限为准，造价信息价格中没有的，按发包人、承包人共同确认的市场价格为准；</w:t>
      </w:r>
    </w:p>
    <w:p>
      <w:pPr>
        <w:spacing w:after="160" w:line="278" w:lineRule="auto"/>
        <w:rPr>
          <w:rFonts w:ascii="宋体" w:hAnsi="宋体"/>
          <w:sz w:val="22"/>
          <w:szCs w:val="28"/>
        </w:rPr>
      </w:pPr>
      <w:r>
        <w:rPr>
          <w:rFonts w:ascii="宋体" w:hAnsi="宋体"/>
          <w:sz w:val="22"/>
          <w:szCs w:val="28"/>
        </w:rPr>
        <w:t>b) 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pPr>
        <w:spacing w:after="160" w:line="278" w:lineRule="auto"/>
        <w:rPr>
          <w:rFonts w:ascii="宋体" w:hAnsi="宋体"/>
          <w:sz w:val="22"/>
          <w:szCs w:val="28"/>
        </w:rPr>
      </w:pPr>
      <w:r>
        <w:rPr>
          <w:rFonts w:ascii="宋体" w:hAnsi="宋体"/>
          <w:sz w:val="22"/>
          <w:szCs w:val="28"/>
        </w:rPr>
        <w:t>变化幅度的确定：</w:t>
      </w:r>
    </w:p>
    <w:p>
      <w:pPr>
        <w:spacing w:after="160" w:line="278" w:lineRule="auto"/>
        <w:rPr>
          <w:rFonts w:ascii="宋体" w:hAnsi="宋体"/>
          <w:sz w:val="22"/>
          <w:szCs w:val="28"/>
        </w:rPr>
      </w:pPr>
      <w:r>
        <w:rPr>
          <w:rFonts w:ascii="宋体" w:hAnsi="宋体"/>
          <w:sz w:val="22"/>
          <w:szCs w:val="28"/>
        </w:rPr>
        <w:t>当报价≤基价时，变化幅度=（施工期价-基价）/基价。</w:t>
      </w:r>
    </w:p>
    <w:p>
      <w:pPr>
        <w:spacing w:after="160" w:line="278" w:lineRule="auto"/>
        <w:rPr>
          <w:rFonts w:ascii="宋体" w:hAnsi="宋体"/>
          <w:sz w:val="22"/>
          <w:szCs w:val="28"/>
        </w:rPr>
      </w:pPr>
      <w:r>
        <w:rPr>
          <w:rFonts w:ascii="宋体" w:hAnsi="宋体"/>
          <w:sz w:val="22"/>
          <w:szCs w:val="28"/>
        </w:rPr>
        <w:t>当报价＞基价时，变化幅度=（施工期价-报价）/报价。</w:t>
      </w:r>
    </w:p>
    <w:p>
      <w:pPr>
        <w:spacing w:after="160" w:line="278" w:lineRule="auto"/>
        <w:rPr>
          <w:rFonts w:ascii="宋体" w:hAnsi="宋体"/>
          <w:sz w:val="22"/>
          <w:szCs w:val="28"/>
        </w:rPr>
      </w:pPr>
      <w:r>
        <w:rPr>
          <w:rFonts w:ascii="宋体" w:hAnsi="宋体"/>
          <w:sz w:val="22"/>
          <w:szCs w:val="28"/>
        </w:rPr>
        <w:t>注：以下关于“基价、施工期价、报价”的定义仅适用于本工程</w:t>
      </w:r>
    </w:p>
    <w:p>
      <w:pPr>
        <w:spacing w:after="160" w:line="278" w:lineRule="auto"/>
        <w:rPr>
          <w:rFonts w:ascii="宋体" w:hAnsi="宋体"/>
          <w:sz w:val="22"/>
          <w:szCs w:val="28"/>
        </w:rPr>
      </w:pPr>
      <w:r>
        <w:rPr>
          <w:rFonts w:ascii="宋体" w:hAnsi="宋体"/>
          <w:sz w:val="22"/>
          <w:szCs w:val="28"/>
        </w:rPr>
        <w:t>基价：指开标之日前一月的北京市建设工程造价管理机构发布的《北京工程造价信息》中的市场信息价格。</w:t>
      </w:r>
    </w:p>
    <w:p>
      <w:pPr>
        <w:spacing w:after="160" w:line="278" w:lineRule="auto"/>
        <w:rPr>
          <w:rFonts w:ascii="宋体" w:hAnsi="宋体"/>
          <w:sz w:val="22"/>
          <w:szCs w:val="28"/>
        </w:rPr>
      </w:pPr>
      <w:r>
        <w:rPr>
          <w:rFonts w:ascii="宋体" w:hAnsi="宋体"/>
          <w:sz w:val="22"/>
          <w:szCs w:val="28"/>
        </w:rPr>
        <w:t>报价：指投标人的投标文件中“工程量清单综合单价分析表”中的报价。</w:t>
      </w:r>
    </w:p>
    <w:p>
      <w:pPr>
        <w:spacing w:after="160" w:line="278" w:lineRule="auto"/>
        <w:rPr>
          <w:rFonts w:ascii="宋体" w:hAnsi="宋体"/>
          <w:sz w:val="22"/>
          <w:szCs w:val="28"/>
        </w:rPr>
      </w:pPr>
      <w:r>
        <w:rPr>
          <w:rFonts w:ascii="宋体" w:hAnsi="宋体"/>
          <w:sz w:val="22"/>
          <w:szCs w:val="28"/>
        </w:rPr>
        <w:t>(3) 各项合同风险范围之外物价波动引起的价格调整方法</w:t>
      </w:r>
    </w:p>
    <w:p>
      <w:pPr>
        <w:spacing w:after="160" w:line="278" w:lineRule="auto"/>
        <w:rPr>
          <w:rFonts w:ascii="宋体" w:hAnsi="宋体"/>
          <w:sz w:val="22"/>
          <w:szCs w:val="28"/>
        </w:rPr>
      </w:pPr>
      <w:r>
        <w:rPr>
          <w:rFonts w:ascii="宋体" w:hAnsi="宋体"/>
          <w:sz w:val="22"/>
          <w:szCs w:val="28"/>
        </w:rPr>
        <w:t>a）人工、预拌混凝土、钢筋、木材、电线、电缆价格的变化幅度大于</w:t>
      </w:r>
      <w:r>
        <w:rPr>
          <w:rFonts w:ascii="宋体" w:hAnsi="宋体"/>
          <w:sz w:val="22"/>
          <w:szCs w:val="28"/>
          <w:u w:val="single"/>
        </w:rPr>
        <w:t>±5%</w:t>
      </w:r>
      <w:r>
        <w:rPr>
          <w:rFonts w:ascii="宋体" w:hAnsi="宋体"/>
          <w:sz w:val="22"/>
          <w:szCs w:val="28"/>
        </w:rPr>
        <w:t>（含±5%）时，应当计算超过部分的价差，其价差由发包人承担或受益，差价仅计取税金。</w:t>
      </w:r>
    </w:p>
    <w:p>
      <w:pPr>
        <w:spacing w:after="160" w:line="278" w:lineRule="auto"/>
        <w:rPr>
          <w:rFonts w:ascii="宋体" w:hAnsi="宋体"/>
          <w:sz w:val="22"/>
          <w:szCs w:val="28"/>
        </w:rPr>
      </w:pPr>
      <w:r>
        <w:rPr>
          <w:rFonts w:ascii="宋体" w:hAnsi="宋体"/>
          <w:sz w:val="22"/>
          <w:szCs w:val="28"/>
        </w:rPr>
        <w:t>b) 如合同规定的调整情况发生，承包人应当于每月15日将调整原因、金额以书面形式通知发包人及监理人，经监理人、发包人确认调整金额后将其作为追加合同价款，与工程进度同期同比例支付；发包人收到承包人通知后14天内未予确认也未提出异议的，视为已经同意该项调整</w:t>
      </w:r>
      <w:r>
        <w:rPr>
          <w:rFonts w:hint="eastAsia" w:ascii="宋体" w:hAnsi="宋体"/>
          <w:sz w:val="22"/>
          <w:szCs w:val="28"/>
        </w:rPr>
        <w:t>；</w:t>
      </w:r>
      <w:r>
        <w:rPr>
          <w:rFonts w:ascii="宋体" w:hAnsi="宋体"/>
          <w:sz w:val="22"/>
          <w:szCs w:val="28"/>
        </w:rPr>
        <w:t>如材料价格变化大于</w:t>
      </w:r>
      <w:r>
        <w:rPr>
          <w:rFonts w:hint="eastAsia" w:ascii="宋体" w:hAnsi="宋体"/>
          <w:sz w:val="22"/>
          <w:szCs w:val="28"/>
        </w:rPr>
        <w:t>-</w:t>
      </w:r>
      <w:r>
        <w:rPr>
          <w:rFonts w:ascii="宋体" w:hAnsi="宋体"/>
          <w:sz w:val="22"/>
          <w:szCs w:val="28"/>
        </w:rPr>
        <w:t>5</w:t>
      </w:r>
      <w:r>
        <w:rPr>
          <w:rFonts w:hint="eastAsia" w:ascii="宋体" w:hAnsi="宋体"/>
          <w:sz w:val="22"/>
          <w:szCs w:val="28"/>
        </w:rPr>
        <w:t>%时，由发包人或发包人责成承包人计算调整金额，</w:t>
      </w:r>
      <w:r>
        <w:rPr>
          <w:rFonts w:ascii="宋体" w:hAnsi="宋体"/>
          <w:sz w:val="22"/>
          <w:szCs w:val="28"/>
        </w:rPr>
        <w:t>承包人</w:t>
      </w:r>
      <w:r>
        <w:rPr>
          <w:rFonts w:hint="eastAsia" w:ascii="宋体" w:hAnsi="宋体"/>
          <w:sz w:val="22"/>
          <w:szCs w:val="28"/>
        </w:rPr>
        <w:t>收到</w:t>
      </w:r>
      <w:r>
        <w:rPr>
          <w:rFonts w:ascii="宋体" w:hAnsi="宋体"/>
          <w:sz w:val="22"/>
          <w:szCs w:val="28"/>
        </w:rPr>
        <w:t>通知后14天内未予确认也未提出异议的，视为已经同意该项调整。</w:t>
      </w:r>
    </w:p>
    <w:p>
      <w:pPr>
        <w:spacing w:after="160" w:line="278" w:lineRule="auto"/>
        <w:rPr>
          <w:rFonts w:ascii="宋体" w:hAnsi="宋体"/>
          <w:sz w:val="22"/>
          <w:szCs w:val="28"/>
        </w:rPr>
      </w:pPr>
      <w:r>
        <w:rPr>
          <w:rFonts w:ascii="宋体" w:hAnsi="宋体"/>
          <w:sz w:val="22"/>
          <w:szCs w:val="28"/>
        </w:rPr>
        <w:t>c）当合同规定的调整合同价款的调整情况发生后，承包人未在规定的时间内通知发包人、监理人，或者未在规定的时间内提出调整报告，发包人可以根据有关资料，决定是否调整和调整的金额，并经监理人书面通知承包人。</w:t>
      </w:r>
    </w:p>
    <w:p>
      <w:pPr>
        <w:spacing w:after="160" w:line="278" w:lineRule="auto"/>
        <w:rPr>
          <w:rFonts w:ascii="宋体" w:hAnsi="宋体"/>
          <w:sz w:val="22"/>
          <w:szCs w:val="28"/>
        </w:rPr>
      </w:pPr>
      <w:r>
        <w:rPr>
          <w:rFonts w:ascii="宋体" w:hAnsi="宋体"/>
          <w:sz w:val="22"/>
          <w:szCs w:val="28"/>
        </w:rPr>
        <w:t>d）工程量按调整期内完成的相应工程量计算。</w:t>
      </w:r>
    </w:p>
    <w:p>
      <w:pPr>
        <w:spacing w:after="160" w:line="278" w:lineRule="auto"/>
        <w:rPr>
          <w:rFonts w:ascii="宋体" w:hAnsi="宋体"/>
          <w:sz w:val="22"/>
          <w:szCs w:val="28"/>
        </w:rPr>
      </w:pPr>
      <w:r>
        <w:rPr>
          <w:rFonts w:ascii="宋体" w:hAnsi="宋体"/>
          <w:sz w:val="22"/>
          <w:szCs w:val="28"/>
        </w:rPr>
        <w:t>其他约定：</w:t>
      </w:r>
    </w:p>
    <w:p>
      <w:pPr>
        <w:spacing w:after="160" w:line="278" w:lineRule="auto"/>
        <w:rPr>
          <w:rFonts w:ascii="宋体" w:hAnsi="宋体"/>
          <w:sz w:val="22"/>
          <w:szCs w:val="28"/>
        </w:rPr>
      </w:pPr>
      <w:r>
        <w:rPr>
          <w:rFonts w:ascii="宋体" w:hAnsi="宋体"/>
          <w:sz w:val="22"/>
          <w:szCs w:val="28"/>
        </w:rPr>
        <w:t>1)在发、承包双方履行合同过程中，当国家的法律、法规、规章及政策发生变化，国家或省级、行业建设主管部门或其授权的工程造价管理机构据此发布工程造价调整文件，工程价款应当进行调整。</w:t>
      </w:r>
    </w:p>
    <w:p>
      <w:pPr>
        <w:spacing w:after="160" w:line="278" w:lineRule="auto"/>
        <w:rPr>
          <w:rFonts w:ascii="宋体" w:hAnsi="宋体"/>
          <w:sz w:val="22"/>
          <w:szCs w:val="28"/>
        </w:rPr>
      </w:pPr>
      <w:r>
        <w:rPr>
          <w:rFonts w:ascii="宋体" w:hAnsi="宋体"/>
          <w:sz w:val="22"/>
          <w:szCs w:val="28"/>
        </w:rPr>
        <w:t>2)当施工中施工图纸(含设计变更)与工程量清单项目特征描述不一致时，发、承包双方按实际施工的项目特征重新确定综合单价。</w:t>
      </w:r>
    </w:p>
    <w:p>
      <w:pPr>
        <w:spacing w:after="160" w:line="278" w:lineRule="auto"/>
        <w:rPr>
          <w:rFonts w:ascii="宋体" w:hAnsi="宋体"/>
          <w:sz w:val="22"/>
          <w:szCs w:val="28"/>
        </w:rPr>
      </w:pPr>
      <w:r>
        <w:rPr>
          <w:rFonts w:ascii="宋体" w:hAnsi="宋体"/>
          <w:sz w:val="22"/>
          <w:szCs w:val="28"/>
        </w:rPr>
        <w:t>3）因地质条件引起施工工艺的改变，按照新工艺进行调整。</w:t>
      </w:r>
    </w:p>
    <w:p>
      <w:pPr>
        <w:spacing w:after="160" w:line="278" w:lineRule="auto"/>
        <w:rPr>
          <w:rFonts w:ascii="宋体" w:hAnsi="宋体"/>
          <w:sz w:val="22"/>
          <w:szCs w:val="28"/>
        </w:rPr>
      </w:pPr>
      <w:r>
        <w:rPr>
          <w:rFonts w:ascii="宋体" w:hAnsi="宋体"/>
          <w:sz w:val="22"/>
          <w:szCs w:val="28"/>
        </w:rPr>
        <w:t>4）发包人不接受承包人基于任何工作子目单价在投标时的组价不当（包括但不限于工作子目对应的工作内容理解的偏差、工料机消耗量水平的确定、生产要素市场价格的判断、取费等）或任何其他差错而主张的任何损失或索赔。</w:t>
      </w:r>
    </w:p>
    <w:p>
      <w:pPr>
        <w:spacing w:after="160" w:line="278" w:lineRule="auto"/>
        <w:rPr>
          <w:rFonts w:ascii="宋体" w:hAnsi="宋体"/>
          <w:sz w:val="22"/>
          <w:szCs w:val="28"/>
        </w:rPr>
      </w:pPr>
      <w:bookmarkStart w:id="2883" w:name="_Toc442365654"/>
      <w:bookmarkStart w:id="2884" w:name="_Toc152045718"/>
      <w:bookmarkStart w:id="2885" w:name="_Toc448758562"/>
      <w:bookmarkStart w:id="2886" w:name="_Toc144974689"/>
      <w:bookmarkStart w:id="2887" w:name="_Toc129798460"/>
      <w:bookmarkStart w:id="2888" w:name="_Toc109914525"/>
      <w:bookmarkStart w:id="2889" w:name="_Toc142385748"/>
      <w:bookmarkStart w:id="2890" w:name="_Toc448758462"/>
      <w:bookmarkStart w:id="2891" w:name="_Toc152042497"/>
      <w:bookmarkStart w:id="2892" w:name="_Toc241459722"/>
      <w:bookmarkStart w:id="2893" w:name="_Toc132619209"/>
      <w:bookmarkStart w:id="2894" w:name="_Toc342296481"/>
      <w:bookmarkStart w:id="2895" w:name="_Toc469660057"/>
      <w:bookmarkStart w:id="2896" w:name="_Toc179632736"/>
      <w:r>
        <w:rPr>
          <w:rFonts w:ascii="宋体" w:hAnsi="宋体"/>
          <w:sz w:val="22"/>
          <w:szCs w:val="28"/>
        </w:rPr>
        <w:t>17. 计量与支付</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p>
    <w:p>
      <w:pPr>
        <w:spacing w:after="160" w:line="278" w:lineRule="auto"/>
        <w:rPr>
          <w:rFonts w:ascii="宋体" w:hAnsi="宋体"/>
          <w:sz w:val="22"/>
          <w:szCs w:val="28"/>
        </w:rPr>
      </w:pPr>
      <w:bookmarkStart w:id="2897" w:name="_Toc342296482"/>
      <w:bookmarkStart w:id="2898" w:name="_Toc132619210"/>
      <w:bookmarkStart w:id="2899" w:name="_Toc144974690"/>
      <w:bookmarkStart w:id="2900" w:name="_Toc152045719"/>
      <w:bookmarkStart w:id="2901" w:name="_Toc179632737"/>
      <w:bookmarkStart w:id="2902" w:name="_Toc129798461"/>
      <w:bookmarkStart w:id="2903" w:name="_Toc241459723"/>
      <w:bookmarkStart w:id="2904" w:name="_Toc109914526"/>
      <w:bookmarkStart w:id="2905" w:name="_Toc152042498"/>
      <w:bookmarkStart w:id="2906" w:name="_Toc142385749"/>
      <w:r>
        <w:rPr>
          <w:rFonts w:ascii="宋体" w:hAnsi="宋体"/>
          <w:sz w:val="22"/>
          <w:szCs w:val="28"/>
        </w:rPr>
        <w:t>17.1 计量</w:t>
      </w:r>
      <w:bookmarkEnd w:id="2897"/>
      <w:bookmarkEnd w:id="2898"/>
      <w:bookmarkEnd w:id="2899"/>
      <w:bookmarkEnd w:id="2900"/>
      <w:bookmarkEnd w:id="2901"/>
      <w:bookmarkEnd w:id="2902"/>
      <w:bookmarkEnd w:id="2903"/>
      <w:bookmarkEnd w:id="2904"/>
      <w:bookmarkEnd w:id="2905"/>
      <w:bookmarkEnd w:id="2906"/>
    </w:p>
    <w:p>
      <w:pPr>
        <w:spacing w:after="160" w:line="278" w:lineRule="auto"/>
        <w:rPr>
          <w:rFonts w:ascii="宋体" w:hAnsi="宋体"/>
          <w:sz w:val="22"/>
          <w:szCs w:val="28"/>
        </w:rPr>
      </w:pPr>
      <w:r>
        <w:rPr>
          <w:rFonts w:ascii="宋体" w:hAnsi="宋体"/>
          <w:sz w:val="22"/>
          <w:szCs w:val="28"/>
        </w:rPr>
        <w:t xml:space="preserve">17.1.2 </w:t>
      </w:r>
      <w:r>
        <w:rPr>
          <w:rFonts w:hint="eastAsia" w:ascii="宋体" w:hAnsi="宋体"/>
          <w:sz w:val="22"/>
          <w:szCs w:val="28"/>
        </w:rPr>
        <w:t>计量方法</w:t>
      </w:r>
    </w:p>
    <w:p>
      <w:pPr>
        <w:spacing w:after="160" w:line="278" w:lineRule="auto"/>
        <w:rPr>
          <w:rFonts w:ascii="宋体" w:hAnsi="宋体"/>
          <w:sz w:val="22"/>
          <w:szCs w:val="28"/>
        </w:rPr>
      </w:pPr>
      <w:r>
        <w:rPr>
          <w:rFonts w:ascii="宋体" w:hAnsi="宋体"/>
          <w:sz w:val="22"/>
          <w:szCs w:val="28"/>
        </w:rPr>
        <w:t>工程量计算规则执行国家标准《建设工程工程量清单计价规范》（GB50500</w:t>
      </w:r>
      <w:r>
        <w:rPr>
          <w:rFonts w:hint="eastAsia" w:ascii="宋体" w:hAnsi="宋体"/>
          <w:sz w:val="22"/>
          <w:szCs w:val="28"/>
        </w:rPr>
        <w:t>-2016</w:t>
      </w:r>
      <w:r>
        <w:rPr>
          <w:rFonts w:ascii="宋体" w:hAnsi="宋体"/>
          <w:sz w:val="22"/>
          <w:szCs w:val="28"/>
        </w:rPr>
        <w:t>）或其适用的修订版本。除合同另有约定外，承包人实际完成的工程量按约定的工程量计算规则和有合同约束力的图纸进行计量。</w:t>
      </w:r>
    </w:p>
    <w:p>
      <w:pPr>
        <w:spacing w:after="160" w:line="278" w:lineRule="auto"/>
        <w:rPr>
          <w:rFonts w:ascii="宋体" w:hAnsi="宋体"/>
          <w:sz w:val="22"/>
          <w:szCs w:val="28"/>
        </w:rPr>
      </w:pPr>
      <w:r>
        <w:rPr>
          <w:rFonts w:ascii="宋体" w:hAnsi="宋体"/>
          <w:sz w:val="22"/>
          <w:szCs w:val="28"/>
        </w:rPr>
        <w:t xml:space="preserve">17.1.3 </w:t>
      </w:r>
      <w:r>
        <w:rPr>
          <w:rFonts w:hint="eastAsia" w:ascii="宋体" w:hAnsi="宋体"/>
          <w:sz w:val="22"/>
          <w:szCs w:val="28"/>
        </w:rPr>
        <w:t>计量周期</w:t>
      </w:r>
    </w:p>
    <w:p>
      <w:pPr>
        <w:spacing w:after="160" w:line="278" w:lineRule="auto"/>
        <w:rPr>
          <w:rFonts w:ascii="宋体" w:hAnsi="宋体"/>
          <w:sz w:val="22"/>
          <w:szCs w:val="28"/>
        </w:rPr>
      </w:pPr>
      <w:r>
        <w:rPr>
          <w:rFonts w:ascii="宋体" w:hAnsi="宋体"/>
          <w:sz w:val="22"/>
          <w:szCs w:val="28"/>
        </w:rPr>
        <w:t>（1）本合同的计量周期为月，每月</w:t>
      </w:r>
      <w:r>
        <w:rPr>
          <w:rFonts w:ascii="宋体" w:hAnsi="宋体"/>
          <w:sz w:val="22"/>
          <w:szCs w:val="28"/>
          <w:u w:val="single"/>
        </w:rPr>
        <w:t xml:space="preserve"> 25 日</w:t>
      </w:r>
      <w:r>
        <w:rPr>
          <w:rFonts w:ascii="宋体" w:hAnsi="宋体"/>
          <w:sz w:val="22"/>
          <w:szCs w:val="28"/>
        </w:rPr>
        <w:t>为当月计量截止日期（不含当日）和下月计量起始日期（含当日）。</w:t>
      </w:r>
    </w:p>
    <w:p>
      <w:pPr>
        <w:spacing w:after="160" w:line="278" w:lineRule="auto"/>
        <w:rPr>
          <w:rFonts w:ascii="宋体" w:hAnsi="宋体"/>
          <w:sz w:val="22"/>
          <w:szCs w:val="28"/>
        </w:rPr>
      </w:pPr>
      <w:r>
        <w:rPr>
          <w:rFonts w:ascii="宋体" w:hAnsi="宋体"/>
          <w:sz w:val="22"/>
          <w:szCs w:val="28"/>
        </w:rPr>
        <w:t>（2）本合同 采用</w:t>
      </w:r>
      <w:r>
        <w:rPr>
          <w:rFonts w:hint="eastAsia" w:ascii="宋体" w:hAnsi="宋体"/>
          <w:sz w:val="22"/>
          <w:szCs w:val="28"/>
        </w:rPr>
        <w:t xml:space="preserve"> </w:t>
      </w:r>
      <w:r>
        <w:rPr>
          <w:rFonts w:hint="eastAsia" w:ascii="宋体" w:hAnsi="宋体"/>
          <w:sz w:val="22"/>
          <w:szCs w:val="28"/>
          <w:u w:val="single"/>
        </w:rPr>
        <w:t>固定单</w:t>
      </w:r>
      <w:r>
        <w:rPr>
          <w:rFonts w:ascii="宋体" w:hAnsi="宋体"/>
          <w:sz w:val="22"/>
          <w:szCs w:val="28"/>
          <w:u w:val="single"/>
        </w:rPr>
        <w:t>价</w:t>
      </w:r>
      <w:r>
        <w:rPr>
          <w:rFonts w:hint="eastAsia" w:ascii="宋体" w:hAnsi="宋体"/>
          <w:sz w:val="22"/>
          <w:szCs w:val="28"/>
        </w:rPr>
        <w:t xml:space="preserve"> </w:t>
      </w:r>
      <w:r>
        <w:rPr>
          <w:rFonts w:ascii="宋体" w:hAnsi="宋体"/>
          <w:sz w:val="22"/>
          <w:szCs w:val="28"/>
        </w:rPr>
        <w:t>合同形式</w:t>
      </w:r>
      <w:r>
        <w:rPr>
          <w:rFonts w:hint="eastAsia" w:ascii="宋体" w:hAnsi="宋体"/>
          <w:sz w:val="22"/>
          <w:szCs w:val="28"/>
        </w:rPr>
        <w:t xml:space="preserve"> </w:t>
      </w:r>
      <w:r>
        <w:rPr>
          <w:rFonts w:ascii="宋体" w:hAnsi="宋体"/>
          <w:sz w:val="22"/>
          <w:szCs w:val="28"/>
        </w:rPr>
        <w:t>通用合同条款本项约定的单价子目计量。总价子目计量方法按专用合同条款第17.1.5项总价子目的计量--支付分解报告（支付分解报告/按实际完成工程量计量）。</w:t>
      </w:r>
      <w:r>
        <w:rPr>
          <w:rFonts w:hint="eastAsia" w:ascii="宋体" w:hAnsi="宋体"/>
          <w:sz w:val="22"/>
          <w:szCs w:val="28"/>
        </w:rPr>
        <w:t>包括但不限于完成设计图纸及招标清单内所含内容，单项清单项工程量增加6%以内不作调整，减项及工程量减少按实调减，超出图纸及清单内增加工程量6%以内不作调整，减项及工程量减少按实调减。</w:t>
      </w:r>
    </w:p>
    <w:p>
      <w:pPr>
        <w:spacing w:after="160" w:line="278" w:lineRule="auto"/>
        <w:rPr>
          <w:rFonts w:ascii="宋体" w:hAnsi="宋体"/>
          <w:sz w:val="22"/>
          <w:szCs w:val="28"/>
        </w:rPr>
      </w:pPr>
      <w:r>
        <w:rPr>
          <w:rFonts w:ascii="宋体" w:hAnsi="宋体"/>
          <w:sz w:val="22"/>
          <w:szCs w:val="28"/>
        </w:rPr>
        <w:t xml:space="preserve">17.1.5 </w:t>
      </w:r>
      <w:r>
        <w:rPr>
          <w:rFonts w:hint="eastAsia" w:ascii="宋体" w:hAnsi="宋体"/>
          <w:sz w:val="22"/>
          <w:szCs w:val="28"/>
        </w:rPr>
        <w:t>总价子目的计量</w:t>
      </w:r>
      <w:r>
        <w:rPr>
          <w:rFonts w:ascii="宋体" w:hAnsi="宋体"/>
          <w:sz w:val="22"/>
          <w:szCs w:val="28"/>
        </w:rPr>
        <w:t>—</w:t>
      </w:r>
      <w:r>
        <w:rPr>
          <w:rFonts w:hint="eastAsia" w:ascii="宋体" w:hAnsi="宋体"/>
          <w:sz w:val="22"/>
          <w:szCs w:val="28"/>
        </w:rPr>
        <w:t>支付分解报告</w:t>
      </w:r>
    </w:p>
    <w:p>
      <w:pPr>
        <w:spacing w:after="160" w:line="278" w:lineRule="auto"/>
        <w:rPr>
          <w:rFonts w:ascii="宋体" w:hAnsi="宋体"/>
          <w:sz w:val="22"/>
          <w:szCs w:val="28"/>
        </w:rPr>
      </w:pPr>
      <w:r>
        <w:rPr>
          <w:rFonts w:ascii="宋体" w:hAnsi="宋体"/>
          <w:sz w:val="22"/>
          <w:szCs w:val="28"/>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after="160" w:line="278" w:lineRule="auto"/>
        <w:rPr>
          <w:rFonts w:ascii="宋体" w:hAnsi="宋体"/>
          <w:sz w:val="22"/>
          <w:szCs w:val="28"/>
        </w:rPr>
      </w:pPr>
      <w:r>
        <w:rPr>
          <w:rFonts w:ascii="宋体" w:hAnsi="宋体"/>
          <w:sz w:val="22"/>
          <w:szCs w:val="28"/>
        </w:rPr>
        <w:t>（1）总价子目的价格调整方法：</w:t>
      </w:r>
      <w:r>
        <w:rPr>
          <w:rFonts w:hint="eastAsia" w:ascii="宋体" w:hAnsi="宋体"/>
          <w:sz w:val="22"/>
          <w:szCs w:val="28"/>
        </w:rPr>
        <w:t>因非承包人原因引起已标价工程量清单中某个子目工程量变化幅度超过 15%(不含)且承包人或监理人认为该变化引起相关措施项目发生变化的承包人或监理人要求承包人针对措施项目的变化提交施工调整方案及价格调整报告,监理人批准后确定需调整的措施项目价款</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（2）列入每月进度付款申请单中各总价子目的价值为有合同约束力的支付分解表中对应月份的总价子目总价值。</w:t>
      </w:r>
    </w:p>
    <w:p>
      <w:pPr>
        <w:spacing w:after="160" w:line="278" w:lineRule="auto"/>
        <w:rPr>
          <w:rFonts w:ascii="宋体" w:hAnsi="宋体"/>
          <w:sz w:val="22"/>
          <w:szCs w:val="28"/>
        </w:rPr>
      </w:pPr>
      <w:r>
        <w:rPr>
          <w:rFonts w:ascii="宋体" w:hAnsi="宋体"/>
          <w:sz w:val="22"/>
          <w:szCs w:val="28"/>
        </w:rPr>
        <w:t>（3）监理人根据有合同约束力的支付分解表复核列入每月进度付款申请单中的总价子目的总价值。</w:t>
      </w:r>
    </w:p>
    <w:p>
      <w:pPr>
        <w:spacing w:after="160" w:line="278" w:lineRule="auto"/>
        <w:rPr>
          <w:rFonts w:ascii="宋体" w:hAnsi="宋体"/>
          <w:sz w:val="22"/>
          <w:szCs w:val="28"/>
        </w:rPr>
      </w:pPr>
      <w:r>
        <w:rPr>
          <w:rFonts w:ascii="宋体" w:hAnsi="宋体"/>
          <w:sz w:val="22"/>
          <w:szCs w:val="28"/>
        </w:rPr>
        <w:t>（4）除按照第15条约定的变更外，在竣工结算时总价子目的工程量不应当重新计量，签约合同价所基于的工程量即是用于竣工结算的最终工程量。</w:t>
      </w:r>
    </w:p>
    <w:p>
      <w:pPr>
        <w:spacing w:after="160" w:line="278" w:lineRule="auto"/>
        <w:rPr>
          <w:rFonts w:ascii="宋体" w:hAnsi="宋体"/>
          <w:sz w:val="22"/>
          <w:szCs w:val="28"/>
        </w:rPr>
      </w:pPr>
      <w:bookmarkStart w:id="2907" w:name="_Toc152045720"/>
      <w:bookmarkStart w:id="2908" w:name="_Toc179632738"/>
      <w:bookmarkStart w:id="2909" w:name="_Toc152042499"/>
      <w:bookmarkStart w:id="2910" w:name="_Toc144974691"/>
      <w:r>
        <w:rPr>
          <w:rFonts w:ascii="宋体" w:hAnsi="宋体"/>
          <w:sz w:val="22"/>
          <w:szCs w:val="28"/>
        </w:rPr>
        <w:t xml:space="preserve">17.1.5 </w:t>
      </w:r>
      <w:r>
        <w:rPr>
          <w:rFonts w:hint="eastAsia" w:ascii="宋体" w:hAnsi="宋体"/>
          <w:sz w:val="22"/>
          <w:szCs w:val="28"/>
        </w:rPr>
        <w:t>总价</w:t>
      </w:r>
      <w:r>
        <w:rPr>
          <w:rFonts w:ascii="宋体" w:hAnsi="宋体"/>
          <w:sz w:val="22"/>
          <w:szCs w:val="28"/>
        </w:rPr>
        <w:t>子目</w:t>
      </w:r>
      <w:r>
        <w:rPr>
          <w:rFonts w:hint="eastAsia" w:ascii="宋体" w:hAnsi="宋体"/>
          <w:sz w:val="22"/>
          <w:szCs w:val="28"/>
        </w:rPr>
        <w:t>的计量</w:t>
      </w:r>
      <w:r>
        <w:rPr>
          <w:rFonts w:ascii="宋体" w:hAnsi="宋体"/>
          <w:sz w:val="22"/>
          <w:szCs w:val="28"/>
        </w:rPr>
        <w:t>--</w:t>
      </w:r>
      <w:r>
        <w:rPr>
          <w:rFonts w:hint="eastAsia" w:ascii="宋体" w:hAnsi="宋体"/>
          <w:sz w:val="22"/>
          <w:szCs w:val="28"/>
        </w:rPr>
        <w:t>按实际完成工程量计量</w:t>
      </w:r>
    </w:p>
    <w:p>
      <w:pPr>
        <w:spacing w:after="160" w:line="278" w:lineRule="auto"/>
        <w:rPr>
          <w:rFonts w:ascii="宋体" w:hAnsi="宋体"/>
          <w:sz w:val="22"/>
          <w:szCs w:val="28"/>
        </w:rPr>
      </w:pPr>
      <w:r>
        <w:rPr>
          <w:rFonts w:ascii="宋体" w:hAnsi="宋体"/>
          <w:sz w:val="22"/>
          <w:szCs w:val="28"/>
        </w:rPr>
        <w:t>（1）总价子目的价格调整方法：因非承包人原因引起已标价工程量清单中某个子目工程量变化，且承包人或监理人认为该变化引起相关措施项目发生变化的，承包人或监理人要求承包人针对措施项目的变化提交施工调整方案及价格调整报告，监理人批准后确定需调整的措施项目价款。总价子目的计量和支付应以总价为基础，对承包人实际完成的工程量进行计量，是进行工程目标管理和控制进度款支付的依据。</w:t>
      </w:r>
    </w:p>
    <w:p>
      <w:pPr>
        <w:spacing w:after="160" w:line="278" w:lineRule="auto"/>
        <w:rPr>
          <w:rFonts w:ascii="宋体" w:hAnsi="宋体"/>
          <w:sz w:val="22"/>
          <w:szCs w:val="28"/>
        </w:rPr>
      </w:pPr>
      <w:r>
        <w:rPr>
          <w:rFonts w:ascii="宋体" w:hAnsi="宋体"/>
          <w:sz w:val="22"/>
          <w:szCs w:val="28"/>
        </w:rPr>
        <w:t>（2）承包人在专用合同条款第17.1.3（1）目约定的每月计量截止日期后，对已完成的分部分项工程和单价措施项目的子目，按照专用合同条款第17.1.2项约定的计量方法进行计量，对已完成的总价措施项目的相关子目，按其总价构成、费用性质和实际发生比例进行计量，向监理人提交进度付款申请单、已完成工程量报表和有关计量资料。</w:t>
      </w:r>
    </w:p>
    <w:p>
      <w:pPr>
        <w:spacing w:after="160" w:line="278" w:lineRule="auto"/>
        <w:rPr>
          <w:rFonts w:ascii="宋体" w:hAnsi="宋体"/>
          <w:sz w:val="22"/>
          <w:szCs w:val="28"/>
        </w:rPr>
      </w:pPr>
      <w:r>
        <w:rPr>
          <w:rFonts w:ascii="宋体" w:hAnsi="宋体"/>
          <w:sz w:val="22"/>
          <w:szCs w:val="28"/>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after="160" w:line="278" w:lineRule="auto"/>
        <w:rPr>
          <w:rFonts w:ascii="宋体" w:hAnsi="宋体"/>
          <w:sz w:val="22"/>
          <w:szCs w:val="28"/>
        </w:rPr>
      </w:pPr>
      <w:r>
        <w:rPr>
          <w:rFonts w:ascii="宋体" w:hAnsi="宋体"/>
          <w:sz w:val="22"/>
          <w:szCs w:val="28"/>
        </w:rPr>
        <w:t>（4）监理人应在收到承包人提交的工程量报表后的7天内进行复核，监理人未在约定时间内复核的，承包人提交的工程量报表中的工程量视为承包人实际完成的工程量，据此计算工程价款。</w:t>
      </w:r>
    </w:p>
    <w:p>
      <w:pPr>
        <w:spacing w:after="160" w:line="278" w:lineRule="auto"/>
        <w:rPr>
          <w:rFonts w:ascii="宋体" w:hAnsi="宋体"/>
          <w:sz w:val="22"/>
          <w:szCs w:val="28"/>
        </w:rPr>
      </w:pPr>
      <w:r>
        <w:rPr>
          <w:rFonts w:ascii="宋体" w:hAnsi="宋体"/>
          <w:sz w:val="22"/>
          <w:szCs w:val="28"/>
        </w:rPr>
        <w:t>（5）除按照第15条约定的变更外，在竣工结算时总价子目的工程量不应当重新计量，签约合同价所基于的工程量即是用于竣工结算的最终工程量。</w:t>
      </w:r>
    </w:p>
    <w:p>
      <w:pPr>
        <w:spacing w:after="160" w:line="278" w:lineRule="auto"/>
        <w:rPr>
          <w:rFonts w:ascii="宋体" w:hAnsi="宋体"/>
          <w:sz w:val="22"/>
          <w:szCs w:val="28"/>
        </w:rPr>
      </w:pPr>
      <w:bookmarkStart w:id="2911" w:name="_Toc342296483"/>
      <w:bookmarkStart w:id="2912" w:name="_Toc109914527"/>
      <w:bookmarkStart w:id="2913" w:name="_Toc142385750"/>
      <w:bookmarkStart w:id="2914" w:name="_Toc132619211"/>
      <w:bookmarkStart w:id="2915" w:name="_Toc241459724"/>
      <w:bookmarkStart w:id="2916" w:name="_Toc129798462"/>
      <w:r>
        <w:rPr>
          <w:rFonts w:ascii="宋体" w:hAnsi="宋体"/>
          <w:sz w:val="22"/>
          <w:szCs w:val="28"/>
        </w:rPr>
        <w:t>17.2 预付款</w:t>
      </w:r>
      <w:bookmarkEnd w:id="2907"/>
      <w:bookmarkEnd w:id="2908"/>
      <w:bookmarkEnd w:id="2909"/>
      <w:bookmarkEnd w:id="2910"/>
      <w:bookmarkEnd w:id="2911"/>
      <w:bookmarkEnd w:id="2912"/>
      <w:bookmarkEnd w:id="2913"/>
      <w:bookmarkEnd w:id="2914"/>
      <w:bookmarkEnd w:id="2915"/>
      <w:bookmarkEnd w:id="2916"/>
    </w:p>
    <w:p>
      <w:pPr>
        <w:spacing w:after="160" w:line="278" w:lineRule="auto"/>
        <w:rPr>
          <w:rFonts w:ascii="宋体" w:hAnsi="宋体"/>
          <w:sz w:val="22"/>
          <w:szCs w:val="28"/>
        </w:rPr>
      </w:pPr>
      <w:r>
        <w:rPr>
          <w:rFonts w:ascii="宋体" w:hAnsi="宋体"/>
          <w:sz w:val="22"/>
          <w:szCs w:val="28"/>
        </w:rPr>
        <w:t xml:space="preserve">17.2.1 </w:t>
      </w:r>
      <w:r>
        <w:rPr>
          <w:rFonts w:hint="eastAsia" w:ascii="宋体" w:hAnsi="宋体"/>
          <w:sz w:val="22"/>
          <w:szCs w:val="28"/>
        </w:rPr>
        <w:t>预付款</w:t>
      </w:r>
    </w:p>
    <w:p>
      <w:pPr>
        <w:spacing w:after="160" w:line="278" w:lineRule="auto"/>
        <w:rPr>
          <w:rFonts w:ascii="宋体" w:hAnsi="宋体"/>
          <w:sz w:val="22"/>
          <w:szCs w:val="28"/>
        </w:rPr>
      </w:pPr>
      <w:r>
        <w:rPr>
          <w:rFonts w:hint="eastAsia" w:ascii="宋体" w:hAnsi="宋体"/>
          <w:sz w:val="22"/>
          <w:szCs w:val="28"/>
        </w:rPr>
        <w:t>（</w:t>
      </w:r>
      <w:r>
        <w:rPr>
          <w:rFonts w:ascii="宋体" w:hAnsi="宋体"/>
          <w:sz w:val="22"/>
          <w:szCs w:val="28"/>
        </w:rPr>
        <w:t>1</w:t>
      </w:r>
      <w:r>
        <w:rPr>
          <w:rFonts w:hint="eastAsia" w:ascii="宋体" w:hAnsi="宋体"/>
          <w:sz w:val="22"/>
          <w:szCs w:val="28"/>
        </w:rPr>
        <w:t>）预付款额度</w:t>
      </w:r>
    </w:p>
    <w:p>
      <w:pPr>
        <w:spacing w:after="160" w:line="278" w:lineRule="auto"/>
        <w:rPr>
          <w:rFonts w:ascii="宋体" w:hAnsi="宋体"/>
          <w:sz w:val="22"/>
          <w:szCs w:val="28"/>
          <w:u w:val="single"/>
        </w:rPr>
      </w:pPr>
      <w:r>
        <w:rPr>
          <w:rFonts w:hint="eastAsia" w:ascii="宋体" w:hAnsi="宋体"/>
          <w:sz w:val="22"/>
          <w:szCs w:val="28"/>
        </w:rPr>
        <w:t>预付款额度：</w:t>
      </w:r>
      <w:r>
        <w:rPr>
          <w:rFonts w:hint="eastAsia" w:ascii="宋体" w:hAnsi="宋体"/>
          <w:sz w:val="22"/>
          <w:szCs w:val="28"/>
          <w:u w:val="single"/>
        </w:rPr>
        <w:t>合同额扣除暂列金（含税）后的50%</w:t>
      </w:r>
    </w:p>
    <w:p>
      <w:pPr>
        <w:spacing w:after="160" w:line="278" w:lineRule="auto"/>
        <w:rPr>
          <w:rFonts w:ascii="宋体" w:hAnsi="宋体"/>
          <w:sz w:val="22"/>
          <w:szCs w:val="28"/>
        </w:rPr>
      </w:pPr>
      <w:r>
        <w:rPr>
          <w:rFonts w:hint="eastAsia" w:ascii="宋体" w:hAnsi="宋体"/>
          <w:sz w:val="22"/>
          <w:szCs w:val="28"/>
        </w:rPr>
        <w:t>其中包含：</w:t>
      </w:r>
    </w:p>
    <w:p>
      <w:pPr>
        <w:spacing w:after="160" w:line="278" w:lineRule="auto"/>
        <w:rPr>
          <w:rFonts w:ascii="宋体" w:hAnsi="宋体"/>
          <w:sz w:val="22"/>
          <w:szCs w:val="28"/>
          <w:u w:val="single"/>
        </w:rPr>
      </w:pPr>
      <w:r>
        <w:rPr>
          <w:rFonts w:ascii="宋体" w:hAnsi="宋体"/>
          <w:sz w:val="22"/>
          <w:szCs w:val="28"/>
          <w:u w:val="single"/>
        </w:rPr>
        <w:t>措施项目部分预付款额度：</w:t>
      </w:r>
      <w:r>
        <w:rPr>
          <w:rFonts w:hint="eastAsia" w:ascii="宋体" w:hAnsi="宋体"/>
          <w:sz w:val="22"/>
          <w:szCs w:val="28"/>
          <w:u w:val="single"/>
        </w:rPr>
        <w:t xml:space="preserve">(措施项目费-安全文明施工费)×30% </w:t>
      </w:r>
      <w:r>
        <w:rPr>
          <w:rFonts w:ascii="宋体" w:hAnsi="宋体"/>
          <w:sz w:val="22"/>
          <w:szCs w:val="28"/>
          <w:u w:val="single"/>
        </w:rPr>
        <w:t xml:space="preserve">。 </w:t>
      </w:r>
    </w:p>
    <w:p>
      <w:pPr>
        <w:spacing w:after="160" w:line="278" w:lineRule="auto"/>
        <w:rPr>
          <w:rFonts w:ascii="宋体" w:hAnsi="宋体"/>
          <w:sz w:val="22"/>
          <w:szCs w:val="28"/>
          <w:u w:val="single"/>
        </w:rPr>
      </w:pPr>
      <w:bookmarkStart w:id="2917" w:name="OLE_LINK18"/>
      <w:bookmarkStart w:id="2918" w:name="OLE_LINK12"/>
      <w:r>
        <w:rPr>
          <w:rFonts w:ascii="宋体" w:hAnsi="宋体"/>
          <w:sz w:val="22"/>
          <w:szCs w:val="28"/>
          <w:u w:val="single"/>
        </w:rPr>
        <w:t>安全文明施工费用预付额度</w:t>
      </w:r>
      <w:bookmarkEnd w:id="2917"/>
      <w:bookmarkEnd w:id="2918"/>
      <w:r>
        <w:rPr>
          <w:rFonts w:ascii="宋体" w:hAnsi="宋体"/>
          <w:sz w:val="22"/>
          <w:szCs w:val="28"/>
          <w:u w:val="single"/>
        </w:rPr>
        <w:t>：</w:t>
      </w:r>
      <w:r>
        <w:rPr>
          <w:rFonts w:hint="eastAsia" w:ascii="宋体" w:hAnsi="宋体"/>
          <w:sz w:val="22"/>
          <w:szCs w:val="28"/>
          <w:u w:val="single"/>
        </w:rPr>
        <w:t>全部安全文明施工费总额的100%</w:t>
      </w:r>
      <w:r>
        <w:rPr>
          <w:rFonts w:ascii="宋体" w:hAnsi="宋体"/>
          <w:sz w:val="22"/>
          <w:szCs w:val="28"/>
          <w:u w:val="single"/>
        </w:rPr>
        <w:t>。</w:t>
      </w:r>
    </w:p>
    <w:p>
      <w:pPr>
        <w:spacing w:after="160" w:line="278" w:lineRule="auto"/>
        <w:rPr>
          <w:rFonts w:ascii="宋体" w:hAnsi="宋体"/>
          <w:sz w:val="22"/>
          <w:szCs w:val="28"/>
        </w:rPr>
      </w:pPr>
      <w:r>
        <w:rPr>
          <w:rFonts w:ascii="宋体" w:hAnsi="宋体"/>
          <w:sz w:val="22"/>
          <w:szCs w:val="28"/>
        </w:rPr>
        <w:t>预付款预付办法：</w:t>
      </w:r>
      <w:r>
        <w:rPr>
          <w:rFonts w:hint="eastAsia" w:ascii="宋体" w:hAnsi="宋体"/>
          <w:sz w:val="22"/>
          <w:szCs w:val="28"/>
          <w:u w:val="single"/>
        </w:rPr>
        <w:t>在收到承包人的正式发票后，发包人一次性向承包人支付预付款</w:t>
      </w:r>
      <w:r>
        <w:rPr>
          <w:rFonts w:ascii="宋体" w:hAnsi="宋体"/>
          <w:sz w:val="22"/>
          <w:szCs w:val="28"/>
          <w:u w:val="single"/>
        </w:rPr>
        <w:t>。</w:t>
      </w:r>
      <w:r>
        <w:rPr>
          <w:rFonts w:ascii="宋体" w:hAnsi="宋体"/>
          <w:sz w:val="22"/>
          <w:szCs w:val="28"/>
        </w:rPr>
        <w:t xml:space="preserve">                           </w:t>
      </w:r>
    </w:p>
    <w:p>
      <w:pPr>
        <w:spacing w:after="160" w:line="278" w:lineRule="auto"/>
        <w:rPr>
          <w:rFonts w:ascii="宋体" w:hAnsi="宋体"/>
          <w:sz w:val="22"/>
          <w:szCs w:val="28"/>
          <w:u w:val="single"/>
        </w:rPr>
      </w:pPr>
      <w:r>
        <w:rPr>
          <w:rFonts w:ascii="宋体" w:hAnsi="宋体"/>
          <w:sz w:val="22"/>
          <w:szCs w:val="28"/>
        </w:rPr>
        <w:t>预付款的支付时间：</w:t>
      </w:r>
      <w:r>
        <w:rPr>
          <w:rFonts w:hint="eastAsia" w:ascii="宋体" w:hAnsi="宋体"/>
          <w:sz w:val="22"/>
          <w:szCs w:val="28"/>
          <w:u w:val="single"/>
        </w:rPr>
        <w:t>合同签订并收到承包人开具的正式的税务发票（普票或专票均可）后</w:t>
      </w:r>
      <w:r>
        <w:rPr>
          <w:rFonts w:ascii="宋体" w:hAnsi="宋体"/>
          <w:sz w:val="22"/>
          <w:szCs w:val="28"/>
          <w:u w:val="single"/>
        </w:rPr>
        <w:t>。</w:t>
      </w:r>
    </w:p>
    <w:p>
      <w:pPr>
        <w:spacing w:after="160" w:line="278" w:lineRule="auto"/>
        <w:rPr>
          <w:rFonts w:ascii="宋体" w:hAnsi="宋体"/>
          <w:sz w:val="22"/>
          <w:szCs w:val="28"/>
          <w:u w:val="single"/>
        </w:rPr>
      </w:pPr>
      <w:r>
        <w:rPr>
          <w:rFonts w:ascii="宋体" w:hAnsi="宋体"/>
          <w:sz w:val="22"/>
          <w:szCs w:val="28"/>
          <w:u w:val="single"/>
        </w:rPr>
        <w:t>安全文明施工费用的预付不受上述预付办法和支付时间约定的制约，发包人应当在不迟于通用合同条款第11.1.1项约定的开工日期前的7天内将安全文明施工费用的预付款一次性拨付给承包人。</w:t>
      </w:r>
    </w:p>
    <w:p>
      <w:pPr>
        <w:spacing w:after="160" w:line="278" w:lineRule="auto"/>
        <w:rPr>
          <w:rFonts w:ascii="宋体" w:hAnsi="宋体"/>
          <w:sz w:val="22"/>
          <w:szCs w:val="28"/>
        </w:rPr>
      </w:pPr>
      <w:r>
        <w:rPr>
          <w:rFonts w:ascii="宋体" w:hAnsi="宋体"/>
          <w:sz w:val="22"/>
          <w:szCs w:val="28"/>
        </w:rPr>
        <w:t>发包人逾期支付合同约定的预付款，除承担通用合同条款第22.2款约定的违约责任外，还应向承包人支付按专用合同条款第17.3.3(2)目约定的标准和方法计算的逾期付款违约金。</w:t>
      </w:r>
    </w:p>
    <w:p>
      <w:pPr>
        <w:spacing w:after="160" w:line="278" w:lineRule="auto"/>
        <w:rPr>
          <w:rFonts w:ascii="宋体" w:hAnsi="宋体"/>
          <w:sz w:val="22"/>
          <w:szCs w:val="28"/>
        </w:rPr>
      </w:pPr>
      <w:r>
        <w:rPr>
          <w:rFonts w:ascii="宋体" w:hAnsi="宋体"/>
          <w:sz w:val="22"/>
          <w:szCs w:val="28"/>
        </w:rPr>
        <w:t xml:space="preserve">17.2.2 </w:t>
      </w:r>
      <w:r>
        <w:rPr>
          <w:rFonts w:hint="eastAsia" w:ascii="宋体" w:hAnsi="宋体"/>
          <w:sz w:val="22"/>
          <w:szCs w:val="28"/>
        </w:rPr>
        <w:t>预付款保函</w:t>
      </w:r>
    </w:p>
    <w:p>
      <w:pPr>
        <w:spacing w:after="160" w:line="278" w:lineRule="auto"/>
        <w:rPr>
          <w:rFonts w:ascii="宋体" w:hAnsi="宋体"/>
          <w:sz w:val="22"/>
          <w:szCs w:val="28"/>
        </w:rPr>
      </w:pPr>
      <w:r>
        <w:rPr>
          <w:rFonts w:ascii="宋体" w:hAnsi="宋体"/>
          <w:sz w:val="22"/>
          <w:szCs w:val="28"/>
        </w:rPr>
        <w:t xml:space="preserve">预付款保函的金额与预付款金额相同。预付款保函的提交时间：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after="160" w:line="278" w:lineRule="auto"/>
        <w:rPr>
          <w:rFonts w:ascii="宋体" w:hAnsi="宋体"/>
          <w:sz w:val="22"/>
          <w:szCs w:val="28"/>
        </w:rPr>
      </w:pPr>
      <w:bookmarkStart w:id="2919" w:name="_Toc342296484"/>
      <w:bookmarkStart w:id="2920" w:name="_Toc109914528"/>
      <w:bookmarkStart w:id="2921" w:name="_Toc152045721"/>
      <w:bookmarkStart w:id="2922" w:name="_Toc144974692"/>
      <w:bookmarkStart w:id="2923" w:name="_Toc142385751"/>
      <w:bookmarkStart w:id="2924" w:name="_Toc152042500"/>
      <w:bookmarkStart w:id="2925" w:name="_Toc132619212"/>
      <w:bookmarkStart w:id="2926" w:name="_Toc241459725"/>
      <w:bookmarkStart w:id="2927" w:name="_Toc129798463"/>
      <w:bookmarkStart w:id="2928" w:name="_Toc179632739"/>
      <w:r>
        <w:rPr>
          <w:rFonts w:ascii="宋体" w:hAnsi="宋体"/>
          <w:sz w:val="22"/>
          <w:szCs w:val="28"/>
        </w:rPr>
        <w:t>17.3 工程进度付款</w:t>
      </w:r>
      <w:bookmarkEnd w:id="2919"/>
      <w:bookmarkEnd w:id="2920"/>
      <w:bookmarkEnd w:id="2921"/>
      <w:bookmarkEnd w:id="2922"/>
      <w:bookmarkEnd w:id="2923"/>
      <w:bookmarkEnd w:id="2924"/>
      <w:bookmarkEnd w:id="2925"/>
      <w:bookmarkEnd w:id="2926"/>
      <w:bookmarkEnd w:id="2927"/>
      <w:bookmarkEnd w:id="2928"/>
    </w:p>
    <w:p>
      <w:pPr>
        <w:spacing w:after="160" w:line="278" w:lineRule="auto"/>
        <w:rPr>
          <w:rFonts w:ascii="宋体" w:hAnsi="宋体"/>
          <w:sz w:val="22"/>
          <w:szCs w:val="28"/>
        </w:rPr>
      </w:pPr>
      <w:r>
        <w:rPr>
          <w:rFonts w:ascii="宋体" w:hAnsi="宋体"/>
          <w:sz w:val="22"/>
          <w:szCs w:val="28"/>
        </w:rPr>
        <w:t>17.3.2</w:t>
      </w:r>
      <w:r>
        <w:rPr>
          <w:rFonts w:hint="eastAsia" w:ascii="宋体" w:hAnsi="宋体"/>
          <w:sz w:val="22"/>
          <w:szCs w:val="28"/>
        </w:rPr>
        <w:t>进度付款申请单</w:t>
      </w:r>
    </w:p>
    <w:p>
      <w:pPr>
        <w:spacing w:after="160" w:line="278" w:lineRule="auto"/>
        <w:rPr>
          <w:rFonts w:ascii="宋体" w:hAnsi="宋体"/>
          <w:sz w:val="22"/>
          <w:szCs w:val="28"/>
        </w:rPr>
      </w:pPr>
      <w:r>
        <w:rPr>
          <w:rFonts w:ascii="宋体" w:hAnsi="宋体"/>
          <w:sz w:val="22"/>
          <w:szCs w:val="28"/>
        </w:rPr>
        <w:t>进度付款申请单的份数：</w:t>
      </w:r>
      <w:r>
        <w:rPr>
          <w:rFonts w:ascii="宋体" w:hAnsi="宋体"/>
          <w:sz w:val="22"/>
          <w:szCs w:val="28"/>
          <w:u w:val="single"/>
        </w:rPr>
        <w:t>一式五份。</w:t>
      </w:r>
    </w:p>
    <w:p>
      <w:pPr>
        <w:spacing w:after="160" w:line="278" w:lineRule="auto"/>
        <w:rPr>
          <w:rFonts w:ascii="宋体" w:hAnsi="宋体"/>
          <w:sz w:val="22"/>
          <w:szCs w:val="28"/>
        </w:rPr>
      </w:pPr>
      <w:r>
        <w:rPr>
          <w:rFonts w:ascii="宋体" w:hAnsi="宋体"/>
          <w:sz w:val="22"/>
          <w:szCs w:val="28"/>
        </w:rPr>
        <w:t xml:space="preserve">进度付款申请单的内容：按照发包人规定的格式和内容填写，应包括但不限于如下内容（1）付款次数或编号；（2）截至本次付款周期末已实施工程的价款；（3）变更金额；（4）索赔金额；（5）本次应支付的预付款和（或）应抵扣的预付款；（6）本次扣减的质量保证金；（7）根据合同增加和扣减的其他金额。 </w:t>
      </w:r>
    </w:p>
    <w:p>
      <w:pPr>
        <w:spacing w:after="160" w:line="278" w:lineRule="auto"/>
        <w:rPr>
          <w:rFonts w:ascii="宋体" w:hAnsi="宋体"/>
          <w:sz w:val="22"/>
          <w:szCs w:val="28"/>
        </w:rPr>
      </w:pPr>
      <w:r>
        <w:rPr>
          <w:rFonts w:ascii="宋体" w:hAnsi="宋体"/>
          <w:sz w:val="22"/>
          <w:szCs w:val="28"/>
        </w:rPr>
        <w:t>17.3.3</w:t>
      </w:r>
      <w:r>
        <w:rPr>
          <w:rFonts w:hint="eastAsia" w:ascii="宋体" w:hAnsi="宋体"/>
          <w:sz w:val="22"/>
          <w:szCs w:val="28"/>
        </w:rPr>
        <w:t>进度付款证书和支付时间</w:t>
      </w:r>
    </w:p>
    <w:p>
      <w:pPr>
        <w:spacing w:after="160" w:line="278" w:lineRule="auto"/>
        <w:rPr>
          <w:rFonts w:ascii="宋体" w:hAnsi="宋体"/>
          <w:sz w:val="22"/>
          <w:szCs w:val="28"/>
        </w:rPr>
      </w:pPr>
      <w:r>
        <w:rPr>
          <w:rFonts w:ascii="宋体" w:hAnsi="宋体"/>
          <w:sz w:val="22"/>
          <w:szCs w:val="28"/>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after="160" w:line="278" w:lineRule="auto"/>
        <w:rPr>
          <w:rFonts w:ascii="宋体" w:hAnsi="宋体"/>
          <w:sz w:val="22"/>
          <w:szCs w:val="28"/>
        </w:rPr>
      </w:pPr>
      <w:r>
        <w:rPr>
          <w:rFonts w:ascii="宋体" w:hAnsi="宋体"/>
          <w:sz w:val="22"/>
          <w:szCs w:val="28"/>
        </w:rPr>
        <w:t>逾期付款违约金的计算标准为：</w:t>
      </w:r>
      <w:r>
        <w:rPr>
          <w:rFonts w:ascii="宋体" w:hAnsi="宋体"/>
          <w:sz w:val="22"/>
          <w:szCs w:val="28"/>
          <w:u w:val="single"/>
        </w:rPr>
        <w:t xml:space="preserve">  </w:t>
      </w:r>
      <w:r>
        <w:rPr>
          <w:rFonts w:hint="eastAsia" w:ascii="宋体" w:hAnsi="宋体"/>
          <w:sz w:val="22"/>
          <w:szCs w:val="28"/>
          <w:u w:val="single"/>
        </w:rPr>
        <w:t>按当期银行存款利率计算</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逾期付款违约金的计算方法为：</w:t>
      </w:r>
      <w:r>
        <w:rPr>
          <w:rFonts w:ascii="宋体" w:hAnsi="宋体"/>
          <w:sz w:val="22"/>
          <w:szCs w:val="28"/>
          <w:u w:val="single"/>
        </w:rPr>
        <w:t xml:space="preserve">  执行通用条款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（4）进度付款支付方法</w:t>
      </w:r>
      <w:r>
        <w:rPr>
          <w:rFonts w:hint="eastAsia" w:ascii="宋体" w:hAnsi="宋体"/>
          <w:sz w:val="22"/>
          <w:szCs w:val="28"/>
        </w:rPr>
        <w:t>：项目发包人按照上述约定及流程办理工程款支付审核应视为项目发包人按合同约定支付工程款，履行了工程款支付义务</w:t>
      </w:r>
      <w:r>
        <w:rPr>
          <w:rFonts w:ascii="宋体" w:hAnsi="宋体"/>
          <w:sz w:val="22"/>
          <w:szCs w:val="28"/>
        </w:rPr>
        <w:t>。</w:t>
      </w:r>
    </w:p>
    <w:p>
      <w:pPr>
        <w:spacing w:after="160" w:line="278" w:lineRule="auto"/>
        <w:rPr>
          <w:rFonts w:ascii="宋体" w:hAnsi="宋体"/>
          <w:sz w:val="22"/>
          <w:szCs w:val="28"/>
          <w:u w:val="single"/>
        </w:rPr>
      </w:pPr>
      <w:r>
        <w:rPr>
          <w:rFonts w:ascii="宋体" w:hAnsi="宋体"/>
          <w:sz w:val="22"/>
          <w:szCs w:val="28"/>
          <w:u w:val="single"/>
        </w:rPr>
        <w:t>工程进度款支付比例：</w:t>
      </w:r>
      <w:r>
        <w:rPr>
          <w:rFonts w:hint="eastAsia" w:ascii="宋体" w:hAnsi="宋体"/>
          <w:sz w:val="22"/>
          <w:szCs w:val="28"/>
          <w:u w:val="single"/>
        </w:rPr>
        <w:t>竣工验收合格后支付至合同总价的80%，之后按最终竣工决算金额结清尾款。合同总价的3%作为履约保证金（保函形式），待工程缺陷责任期结束后返还</w:t>
      </w:r>
      <w:r>
        <w:rPr>
          <w:rFonts w:ascii="宋体" w:hAnsi="宋体"/>
          <w:sz w:val="22"/>
          <w:szCs w:val="28"/>
          <w:u w:val="single"/>
        </w:rPr>
        <w:t>。</w:t>
      </w:r>
    </w:p>
    <w:p>
      <w:pPr>
        <w:spacing w:after="160" w:line="278" w:lineRule="auto"/>
        <w:rPr>
          <w:rFonts w:hint="eastAsia" w:ascii="宋体" w:hAnsi="宋体"/>
          <w:sz w:val="22"/>
          <w:szCs w:val="28"/>
          <w:u w:val="single"/>
        </w:rPr>
      </w:pPr>
      <w:r>
        <w:rPr>
          <w:rFonts w:hint="eastAsia" w:ascii="宋体" w:hAnsi="宋体"/>
          <w:sz w:val="22"/>
          <w:szCs w:val="28"/>
          <w:u w:val="single"/>
        </w:rPr>
        <w:t>如财政资金到位时间晚于工程竣工验收时间或项目结算审计时间，可一次性支付剩余款项。</w:t>
      </w:r>
    </w:p>
    <w:p>
      <w:pPr>
        <w:spacing w:after="160" w:line="278" w:lineRule="auto"/>
        <w:rPr>
          <w:rFonts w:ascii="宋体" w:hAnsi="宋体"/>
          <w:sz w:val="22"/>
          <w:szCs w:val="28"/>
        </w:rPr>
      </w:pPr>
      <w:r>
        <w:rPr>
          <w:rFonts w:hint="eastAsia" w:ascii="宋体" w:hAnsi="宋体"/>
          <w:sz w:val="22"/>
          <w:szCs w:val="28"/>
        </w:rPr>
        <w:t>（5）承包人申报的竣工结算价格要合理，不能虚报。若发包人审核或审计机构审核后审减额超过结算价10%的，超过10%部分所发生的审计费用由承包人承担，承包人同意发包人从最终结算价款中直接扣除。</w:t>
      </w:r>
    </w:p>
    <w:p>
      <w:pPr>
        <w:spacing w:after="160" w:line="278" w:lineRule="auto"/>
        <w:rPr>
          <w:rFonts w:ascii="宋体" w:hAnsi="宋体"/>
          <w:sz w:val="22"/>
          <w:szCs w:val="28"/>
        </w:rPr>
      </w:pPr>
      <w:bookmarkStart w:id="2929" w:name="_Toc144974693"/>
      <w:bookmarkStart w:id="2930" w:name="_Toc152045722"/>
      <w:bookmarkStart w:id="2931" w:name="_Toc152042501"/>
      <w:bookmarkStart w:id="2932" w:name="_Toc179632740"/>
      <w:r>
        <w:rPr>
          <w:rFonts w:ascii="宋体" w:hAnsi="宋体"/>
          <w:sz w:val="22"/>
          <w:szCs w:val="28"/>
        </w:rPr>
        <w:t xml:space="preserve">17.3.5 </w:t>
      </w:r>
      <w:r>
        <w:rPr>
          <w:rFonts w:hint="eastAsia" w:ascii="宋体" w:hAnsi="宋体"/>
          <w:sz w:val="22"/>
          <w:szCs w:val="28"/>
        </w:rPr>
        <w:t>临时付款证书</w:t>
      </w:r>
    </w:p>
    <w:p>
      <w:pPr>
        <w:spacing w:after="160" w:line="278" w:lineRule="auto"/>
        <w:rPr>
          <w:rFonts w:ascii="宋体" w:hAnsi="宋体"/>
          <w:sz w:val="22"/>
          <w:szCs w:val="28"/>
        </w:rPr>
      </w:pPr>
      <w:r>
        <w:rPr>
          <w:rFonts w:ascii="宋体" w:hAnsi="宋体"/>
          <w:sz w:val="22"/>
          <w:szCs w:val="28"/>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after="160" w:line="278" w:lineRule="auto"/>
        <w:rPr>
          <w:rFonts w:ascii="宋体" w:hAnsi="宋体"/>
          <w:sz w:val="22"/>
          <w:szCs w:val="28"/>
        </w:rPr>
      </w:pPr>
      <w:r>
        <w:rPr>
          <w:rFonts w:ascii="宋体" w:hAnsi="宋体"/>
          <w:sz w:val="22"/>
          <w:szCs w:val="28"/>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after="160" w:line="278" w:lineRule="auto"/>
        <w:rPr>
          <w:rFonts w:ascii="宋体" w:hAnsi="宋体"/>
          <w:sz w:val="22"/>
          <w:szCs w:val="28"/>
        </w:rPr>
      </w:pPr>
      <w:r>
        <w:rPr>
          <w:rFonts w:ascii="宋体" w:hAnsi="宋体"/>
          <w:sz w:val="22"/>
          <w:szCs w:val="28"/>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spacing w:after="160" w:line="278" w:lineRule="auto"/>
        <w:rPr>
          <w:rFonts w:ascii="宋体" w:hAnsi="宋体"/>
          <w:sz w:val="22"/>
          <w:szCs w:val="28"/>
        </w:rPr>
      </w:pPr>
      <w:bookmarkStart w:id="2933" w:name="_Toc142385752"/>
      <w:bookmarkStart w:id="2934" w:name="_Toc129798464"/>
      <w:bookmarkStart w:id="2935" w:name="_Toc342296485"/>
      <w:bookmarkStart w:id="2936" w:name="_Toc132619213"/>
      <w:bookmarkStart w:id="2937" w:name="_Toc241459726"/>
      <w:bookmarkStart w:id="2938" w:name="_Toc109914529"/>
      <w:r>
        <w:rPr>
          <w:rFonts w:ascii="宋体" w:hAnsi="宋体"/>
          <w:sz w:val="22"/>
          <w:szCs w:val="28"/>
        </w:rPr>
        <w:t xml:space="preserve">17.4 </w:t>
      </w:r>
      <w:bookmarkEnd w:id="2929"/>
      <w:bookmarkEnd w:id="2930"/>
      <w:bookmarkEnd w:id="2931"/>
      <w:r>
        <w:rPr>
          <w:rFonts w:hint="eastAsia" w:ascii="宋体" w:hAnsi="宋体"/>
          <w:sz w:val="22"/>
          <w:szCs w:val="28"/>
        </w:rPr>
        <w:t>履约</w:t>
      </w:r>
      <w:r>
        <w:rPr>
          <w:rFonts w:ascii="宋体" w:hAnsi="宋体"/>
          <w:sz w:val="22"/>
          <w:szCs w:val="28"/>
        </w:rPr>
        <w:t>保证金</w:t>
      </w:r>
      <w:bookmarkEnd w:id="2932"/>
      <w:bookmarkEnd w:id="2933"/>
      <w:bookmarkEnd w:id="2934"/>
      <w:bookmarkEnd w:id="2935"/>
      <w:bookmarkEnd w:id="2936"/>
      <w:bookmarkEnd w:id="2937"/>
      <w:bookmarkEnd w:id="2938"/>
    </w:p>
    <w:p>
      <w:pPr>
        <w:spacing w:after="160" w:line="278" w:lineRule="auto"/>
        <w:rPr>
          <w:rFonts w:ascii="宋体" w:hAnsi="宋体"/>
          <w:sz w:val="22"/>
          <w:szCs w:val="28"/>
        </w:rPr>
      </w:pPr>
      <w:bookmarkStart w:id="2939" w:name="_Toc144974694"/>
      <w:bookmarkStart w:id="2940" w:name="_Toc152045723"/>
      <w:bookmarkStart w:id="2941" w:name="_Toc179632741"/>
      <w:bookmarkStart w:id="2942" w:name="_Toc152042502"/>
      <w:r>
        <w:rPr>
          <w:rFonts w:ascii="宋体" w:hAnsi="宋体"/>
          <w:sz w:val="22"/>
          <w:szCs w:val="28"/>
        </w:rPr>
        <w:t>17.4.1</w:t>
      </w:r>
      <w:r>
        <w:rPr>
          <w:rFonts w:hint="eastAsia" w:ascii="宋体" w:hAnsi="宋体"/>
          <w:sz w:val="22"/>
          <w:szCs w:val="28"/>
        </w:rPr>
        <w:t>履约保证金应在结算审定3</w:t>
      </w:r>
      <w:r>
        <w:rPr>
          <w:rFonts w:ascii="宋体" w:hAnsi="宋体"/>
          <w:sz w:val="22"/>
          <w:szCs w:val="28"/>
        </w:rPr>
        <w:t>0</w:t>
      </w:r>
      <w:r>
        <w:rPr>
          <w:rFonts w:hint="eastAsia" w:ascii="宋体" w:hAnsi="宋体"/>
          <w:sz w:val="22"/>
          <w:szCs w:val="28"/>
        </w:rPr>
        <w:t>日内由承包方缴纳，金额为合同总价的3</w:t>
      </w:r>
      <w:r>
        <w:rPr>
          <w:rFonts w:ascii="宋体" w:hAnsi="宋体"/>
          <w:sz w:val="22"/>
          <w:szCs w:val="28"/>
        </w:rPr>
        <w:t>%</w:t>
      </w:r>
      <w:r>
        <w:rPr>
          <w:rFonts w:hint="eastAsia" w:ascii="宋体" w:hAnsi="宋体"/>
          <w:sz w:val="22"/>
          <w:szCs w:val="28"/>
        </w:rPr>
        <w:t>。履约</w:t>
      </w:r>
      <w:r>
        <w:rPr>
          <w:rFonts w:ascii="宋体" w:hAnsi="宋体"/>
          <w:sz w:val="22"/>
          <w:szCs w:val="28"/>
        </w:rPr>
        <w:t>保证金</w:t>
      </w:r>
      <w:r>
        <w:rPr>
          <w:rFonts w:hint="eastAsia" w:ascii="宋体" w:hAnsi="宋体"/>
          <w:sz w:val="22"/>
          <w:szCs w:val="28"/>
        </w:rPr>
        <w:t>返还时间为验收合格后2年，不计利息。若涉及保修责任，参照第1</w:t>
      </w:r>
      <w:r>
        <w:rPr>
          <w:rFonts w:ascii="宋体" w:hAnsi="宋体"/>
          <w:sz w:val="22"/>
          <w:szCs w:val="28"/>
        </w:rPr>
        <w:t>9.7</w:t>
      </w:r>
      <w:r>
        <w:rPr>
          <w:rFonts w:hint="eastAsia" w:ascii="宋体" w:hAnsi="宋体"/>
          <w:sz w:val="22"/>
          <w:szCs w:val="28"/>
        </w:rPr>
        <w:t>条款执行。</w:t>
      </w:r>
    </w:p>
    <w:p>
      <w:pPr>
        <w:spacing w:after="160" w:line="278" w:lineRule="auto"/>
        <w:rPr>
          <w:rFonts w:ascii="宋体" w:hAnsi="宋体"/>
          <w:sz w:val="22"/>
          <w:szCs w:val="28"/>
        </w:rPr>
      </w:pPr>
      <w:bookmarkStart w:id="2943" w:name="_Toc342296486"/>
      <w:bookmarkStart w:id="2944" w:name="_Toc241459727"/>
      <w:bookmarkStart w:id="2945" w:name="_Toc132619214"/>
      <w:bookmarkStart w:id="2946" w:name="_Toc142385753"/>
      <w:bookmarkStart w:id="2947" w:name="_Toc129798465"/>
      <w:bookmarkStart w:id="2948" w:name="_Toc109914530"/>
      <w:r>
        <w:rPr>
          <w:rFonts w:ascii="宋体" w:hAnsi="宋体"/>
          <w:sz w:val="22"/>
          <w:szCs w:val="28"/>
        </w:rPr>
        <w:t>17.5 竣工结算</w:t>
      </w:r>
      <w:bookmarkEnd w:id="2939"/>
      <w:bookmarkEnd w:id="2940"/>
      <w:bookmarkEnd w:id="2941"/>
      <w:bookmarkEnd w:id="2942"/>
      <w:bookmarkEnd w:id="2943"/>
      <w:bookmarkEnd w:id="2944"/>
      <w:bookmarkEnd w:id="2945"/>
      <w:bookmarkEnd w:id="2946"/>
      <w:bookmarkEnd w:id="2947"/>
      <w:bookmarkEnd w:id="2948"/>
    </w:p>
    <w:p>
      <w:pPr>
        <w:spacing w:after="160" w:line="278" w:lineRule="auto"/>
        <w:rPr>
          <w:rFonts w:ascii="宋体" w:hAnsi="宋体"/>
          <w:sz w:val="22"/>
          <w:szCs w:val="28"/>
        </w:rPr>
      </w:pPr>
      <w:bookmarkStart w:id="2949" w:name="_Toc179632742"/>
      <w:bookmarkStart w:id="2950" w:name="_Toc152042503"/>
      <w:bookmarkStart w:id="2951" w:name="_Toc144974695"/>
      <w:bookmarkStart w:id="2952" w:name="_Toc152045724"/>
      <w:r>
        <w:rPr>
          <w:rFonts w:ascii="宋体" w:hAnsi="宋体"/>
          <w:sz w:val="22"/>
          <w:szCs w:val="28"/>
        </w:rPr>
        <w:t>17.5.1</w:t>
      </w:r>
      <w:r>
        <w:rPr>
          <w:rFonts w:hint="eastAsia" w:ascii="宋体" w:hAnsi="宋体"/>
          <w:sz w:val="22"/>
          <w:szCs w:val="28"/>
        </w:rPr>
        <w:t>竣工付款申请单</w:t>
      </w:r>
    </w:p>
    <w:p>
      <w:pPr>
        <w:spacing w:after="160" w:line="278" w:lineRule="auto"/>
        <w:rPr>
          <w:rFonts w:ascii="宋体" w:hAnsi="宋体"/>
          <w:sz w:val="22"/>
          <w:szCs w:val="28"/>
        </w:rPr>
      </w:pPr>
      <w:r>
        <w:rPr>
          <w:rFonts w:ascii="宋体" w:hAnsi="宋体"/>
          <w:sz w:val="22"/>
          <w:szCs w:val="28"/>
        </w:rPr>
        <w:t>承包人提交竣工付款申请单的份数：</w:t>
      </w:r>
      <w:r>
        <w:rPr>
          <w:rFonts w:ascii="宋体" w:hAnsi="宋体"/>
          <w:sz w:val="22"/>
          <w:szCs w:val="28"/>
          <w:u w:val="single"/>
        </w:rPr>
        <w:t>一式五份</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承包人提交竣工付款申请单的期限：</w:t>
      </w:r>
      <w:r>
        <w:rPr>
          <w:rFonts w:hint="eastAsia" w:ascii="宋体" w:hAnsi="宋体"/>
          <w:sz w:val="22"/>
          <w:szCs w:val="28"/>
        </w:rPr>
        <w:t>工程</w:t>
      </w:r>
      <w:r>
        <w:rPr>
          <w:rFonts w:ascii="宋体" w:hAnsi="宋体"/>
          <w:sz w:val="22"/>
          <w:szCs w:val="28"/>
        </w:rPr>
        <w:t>竣工后</w:t>
      </w:r>
      <w:r>
        <w:rPr>
          <w:rFonts w:hint="eastAsia" w:ascii="宋体" w:hAnsi="宋体"/>
          <w:sz w:val="22"/>
          <w:szCs w:val="28"/>
        </w:rPr>
        <w:t>28日内提交结算报告及完整的结算资料。</w:t>
      </w:r>
    </w:p>
    <w:p>
      <w:pPr>
        <w:spacing w:after="160" w:line="278" w:lineRule="auto"/>
        <w:rPr>
          <w:rFonts w:ascii="宋体" w:hAnsi="宋体"/>
          <w:sz w:val="22"/>
          <w:szCs w:val="28"/>
        </w:rPr>
      </w:pPr>
      <w:r>
        <w:rPr>
          <w:rFonts w:ascii="宋体" w:hAnsi="宋体"/>
          <w:sz w:val="22"/>
          <w:szCs w:val="28"/>
        </w:rPr>
        <w:t>竣工付款申请单的内容：按照发包人规定的格式和内容填写，应包括但不限于竣工结算合同总价、已支付的工程价款、应扣回的预付款、应扣留的质量保证金、应支付的竣工付款金额、工程变更、工程洽商、现场签证等。</w:t>
      </w:r>
    </w:p>
    <w:p>
      <w:pPr>
        <w:spacing w:after="160" w:line="278" w:lineRule="auto"/>
        <w:rPr>
          <w:rFonts w:ascii="宋体" w:hAnsi="宋体"/>
          <w:sz w:val="22"/>
          <w:szCs w:val="28"/>
        </w:rPr>
      </w:pPr>
      <w:r>
        <w:rPr>
          <w:rFonts w:ascii="宋体" w:hAnsi="宋体"/>
          <w:sz w:val="22"/>
          <w:szCs w:val="28"/>
        </w:rPr>
        <w:t xml:space="preserve">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   </w:t>
      </w:r>
    </w:p>
    <w:p>
      <w:pPr>
        <w:spacing w:after="160" w:line="278" w:lineRule="auto"/>
        <w:rPr>
          <w:rFonts w:ascii="宋体" w:hAnsi="宋体"/>
          <w:sz w:val="22"/>
          <w:szCs w:val="28"/>
        </w:rPr>
      </w:pPr>
      <w:r>
        <w:rPr>
          <w:rFonts w:ascii="宋体" w:hAnsi="宋体"/>
          <w:sz w:val="22"/>
          <w:szCs w:val="28"/>
        </w:rPr>
        <w:t>不管通用合同条款17.5.2项如何约定，发包人和承包人应当在监理人颁发（出具）工程接收证书</w:t>
      </w:r>
      <w:r>
        <w:rPr>
          <w:rFonts w:hint="eastAsia" w:ascii="宋体" w:hAnsi="宋体"/>
          <w:sz w:val="22"/>
          <w:szCs w:val="28"/>
        </w:rPr>
        <w:t>且验收通过后</w:t>
      </w:r>
      <w:r>
        <w:rPr>
          <w:rFonts w:ascii="宋体" w:hAnsi="宋体"/>
          <w:sz w:val="22"/>
          <w:szCs w:val="28"/>
        </w:rPr>
        <w:t>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pPr>
        <w:spacing w:after="160" w:line="278" w:lineRule="auto"/>
        <w:rPr>
          <w:rFonts w:ascii="宋体" w:hAnsi="宋体"/>
          <w:sz w:val="22"/>
          <w:szCs w:val="28"/>
        </w:rPr>
      </w:pPr>
      <w:bookmarkStart w:id="2953" w:name="_Toc342296487"/>
      <w:bookmarkStart w:id="2954" w:name="_Toc129798466"/>
      <w:bookmarkStart w:id="2955" w:name="_Toc241459728"/>
      <w:bookmarkStart w:id="2956" w:name="_Toc109914531"/>
      <w:bookmarkStart w:id="2957" w:name="_Toc142385754"/>
      <w:bookmarkStart w:id="2958" w:name="_Toc132619215"/>
      <w:r>
        <w:rPr>
          <w:rFonts w:ascii="宋体" w:hAnsi="宋体"/>
          <w:sz w:val="22"/>
          <w:szCs w:val="28"/>
        </w:rPr>
        <w:t>17.6 最终结清</w:t>
      </w:r>
      <w:bookmarkEnd w:id="2949"/>
      <w:bookmarkEnd w:id="2950"/>
      <w:bookmarkEnd w:id="2951"/>
      <w:bookmarkEnd w:id="2952"/>
      <w:bookmarkEnd w:id="2953"/>
      <w:bookmarkEnd w:id="2954"/>
      <w:bookmarkEnd w:id="2955"/>
      <w:bookmarkEnd w:id="2956"/>
      <w:bookmarkEnd w:id="2957"/>
      <w:bookmarkEnd w:id="2958"/>
    </w:p>
    <w:p>
      <w:pPr>
        <w:spacing w:after="160" w:line="278" w:lineRule="auto"/>
        <w:rPr>
          <w:rFonts w:ascii="宋体" w:hAnsi="宋体"/>
          <w:sz w:val="22"/>
          <w:szCs w:val="28"/>
        </w:rPr>
      </w:pPr>
      <w:r>
        <w:rPr>
          <w:rFonts w:ascii="宋体" w:hAnsi="宋体"/>
          <w:sz w:val="22"/>
          <w:szCs w:val="28"/>
        </w:rPr>
        <w:t>17.6.1</w:t>
      </w:r>
      <w:r>
        <w:rPr>
          <w:rFonts w:hint="eastAsia" w:ascii="宋体" w:hAnsi="宋体"/>
          <w:sz w:val="22"/>
          <w:szCs w:val="28"/>
        </w:rPr>
        <w:t>最终结清申请单</w:t>
      </w:r>
    </w:p>
    <w:p>
      <w:pPr>
        <w:spacing w:after="160" w:line="278" w:lineRule="auto"/>
        <w:rPr>
          <w:rFonts w:ascii="宋体" w:hAnsi="宋体"/>
          <w:sz w:val="22"/>
          <w:szCs w:val="28"/>
        </w:rPr>
      </w:pPr>
      <w:r>
        <w:rPr>
          <w:rFonts w:ascii="宋体" w:hAnsi="宋体"/>
          <w:sz w:val="22"/>
          <w:szCs w:val="28"/>
        </w:rPr>
        <w:t>承包人提交最终结清申请单的份数：</w:t>
      </w:r>
      <w:r>
        <w:rPr>
          <w:rFonts w:ascii="宋体" w:hAnsi="宋体"/>
          <w:sz w:val="22"/>
          <w:szCs w:val="28"/>
          <w:u w:val="single"/>
        </w:rPr>
        <w:t>一式五份</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承包人提交最终结清申请单的期限：</w:t>
      </w:r>
      <w:r>
        <w:rPr>
          <w:rFonts w:ascii="宋体" w:hAnsi="宋体"/>
          <w:sz w:val="22"/>
          <w:szCs w:val="28"/>
          <w:u w:val="single"/>
        </w:rPr>
        <w:t>在缺陷责任期终止证书颁发后28日内</w:t>
      </w:r>
      <w:r>
        <w:rPr>
          <w:rFonts w:ascii="宋体" w:hAnsi="宋体"/>
          <w:sz w:val="22"/>
          <w:szCs w:val="28"/>
        </w:rPr>
        <w:t>。</w:t>
      </w:r>
    </w:p>
    <w:p>
      <w:pPr>
        <w:spacing w:after="160" w:line="278" w:lineRule="auto"/>
        <w:rPr>
          <w:rFonts w:ascii="宋体" w:hAnsi="宋体"/>
          <w:sz w:val="22"/>
          <w:szCs w:val="28"/>
        </w:rPr>
      </w:pPr>
      <w:bookmarkStart w:id="2959" w:name="_Toc109914532"/>
      <w:bookmarkStart w:id="2960" w:name="_Toc144974696"/>
      <w:bookmarkStart w:id="2961" w:name="_Toc448758463"/>
      <w:bookmarkStart w:id="2962" w:name="_Toc342296488"/>
      <w:bookmarkStart w:id="2963" w:name="_Toc179632743"/>
      <w:bookmarkStart w:id="2964" w:name="_Toc469660058"/>
      <w:bookmarkStart w:id="2965" w:name="_Toc442365655"/>
      <w:bookmarkStart w:id="2966" w:name="_Toc142385755"/>
      <w:bookmarkStart w:id="2967" w:name="_Toc132619216"/>
      <w:bookmarkStart w:id="2968" w:name="_Toc241459729"/>
      <w:bookmarkStart w:id="2969" w:name="_Toc448758563"/>
      <w:bookmarkStart w:id="2970" w:name="_Toc152042504"/>
      <w:bookmarkStart w:id="2971" w:name="_Toc152045725"/>
      <w:bookmarkStart w:id="2972" w:name="_Toc129798467"/>
      <w:r>
        <w:rPr>
          <w:rFonts w:ascii="宋体" w:hAnsi="宋体"/>
          <w:sz w:val="22"/>
          <w:szCs w:val="28"/>
        </w:rPr>
        <w:t>18. 竣工验收</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pPr>
        <w:spacing w:after="160" w:line="278" w:lineRule="auto"/>
        <w:rPr>
          <w:rFonts w:ascii="宋体" w:hAnsi="宋体"/>
          <w:sz w:val="22"/>
          <w:szCs w:val="28"/>
        </w:rPr>
      </w:pPr>
      <w:bookmarkStart w:id="2973" w:name="_Toc142385756"/>
      <w:bookmarkStart w:id="2974" w:name="_Toc132619217"/>
      <w:bookmarkStart w:id="2975" w:name="_Toc179632745"/>
      <w:bookmarkStart w:id="2976" w:name="_Toc152042506"/>
      <w:bookmarkStart w:id="2977" w:name="_Toc241459730"/>
      <w:bookmarkStart w:id="2978" w:name="_Toc342296489"/>
      <w:bookmarkStart w:id="2979" w:name="_Toc109914533"/>
      <w:bookmarkStart w:id="2980" w:name="_Toc152045727"/>
      <w:bookmarkStart w:id="2981" w:name="_Toc144974698"/>
      <w:bookmarkStart w:id="2982" w:name="_Toc129798468"/>
      <w:r>
        <w:rPr>
          <w:rFonts w:ascii="宋体" w:hAnsi="宋体"/>
          <w:sz w:val="22"/>
          <w:szCs w:val="28"/>
        </w:rPr>
        <w:t>18.2 竣工验收申请报告</w:t>
      </w:r>
      <w:bookmarkEnd w:id="2973"/>
      <w:bookmarkEnd w:id="2974"/>
      <w:bookmarkEnd w:id="2975"/>
      <w:bookmarkEnd w:id="2976"/>
      <w:bookmarkEnd w:id="2977"/>
      <w:bookmarkEnd w:id="2978"/>
      <w:bookmarkEnd w:id="2979"/>
      <w:bookmarkEnd w:id="2980"/>
      <w:bookmarkEnd w:id="2981"/>
      <w:bookmarkEnd w:id="2982"/>
    </w:p>
    <w:p>
      <w:pPr>
        <w:spacing w:after="160" w:line="278" w:lineRule="auto"/>
        <w:rPr>
          <w:rFonts w:ascii="宋体" w:hAnsi="宋体"/>
          <w:sz w:val="22"/>
          <w:szCs w:val="28"/>
        </w:rPr>
      </w:pPr>
      <w:r>
        <w:rPr>
          <w:rFonts w:ascii="宋体" w:hAnsi="宋体"/>
          <w:sz w:val="22"/>
          <w:szCs w:val="28"/>
        </w:rPr>
        <w:t>（2）承包人负责整理和提交的竣工验收资料应当符合工程所在地建设行政主管部门和（或）城市建设档案管理机构有关施工资料的要求，具体内容包括：除监理人同意列入缺陷责任期内完成的尾工（甩项）工程和缺陷修补工作外，合同范围内的全部单位工程以及有关工作，包括合同要求的试验，试运行以及检验和验收均已完成，并符合合同要求；已按合同约定的内容和份数备齐了符合要求的竣工资料；已按监理人的要求编制了在缺陷责任期内完成的尾工（甩项）工程和缺陷修补工作清单以及相应施工计划；监理人要求在竣工验收前应完成的其他工作；监理人要求提交的竣工验收资料清单；由监理人确认的工程相关项目管理系统电子版竣工验收资料。归档要求及范围详见发包方要求。</w:t>
      </w:r>
    </w:p>
    <w:p>
      <w:pPr>
        <w:spacing w:after="160" w:line="278" w:lineRule="auto"/>
        <w:rPr>
          <w:rFonts w:ascii="宋体" w:hAnsi="宋体"/>
          <w:sz w:val="22"/>
          <w:szCs w:val="28"/>
        </w:rPr>
      </w:pPr>
      <w:r>
        <w:rPr>
          <w:rFonts w:ascii="宋体" w:hAnsi="宋体"/>
          <w:sz w:val="22"/>
          <w:szCs w:val="28"/>
        </w:rPr>
        <w:t>竣工验收资料的份数：</w:t>
      </w:r>
      <w:r>
        <w:rPr>
          <w:rFonts w:ascii="宋体" w:hAnsi="宋体"/>
          <w:sz w:val="22"/>
          <w:szCs w:val="28"/>
          <w:u w:val="single"/>
        </w:rPr>
        <w:t>6套竣工图及2套工程档案资料</w:t>
      </w:r>
      <w:r>
        <w:rPr>
          <w:rFonts w:ascii="宋体" w:hAnsi="宋体"/>
          <w:sz w:val="22"/>
          <w:szCs w:val="28"/>
        </w:rPr>
        <w:t>。</w:t>
      </w:r>
    </w:p>
    <w:p>
      <w:pPr>
        <w:spacing w:after="160" w:line="278" w:lineRule="auto"/>
        <w:rPr>
          <w:rFonts w:ascii="宋体" w:hAnsi="宋体"/>
          <w:sz w:val="22"/>
          <w:szCs w:val="28"/>
        </w:rPr>
      </w:pPr>
      <w:bookmarkStart w:id="2983" w:name="_Toc152045728"/>
      <w:bookmarkStart w:id="2984" w:name="_Toc179632746"/>
      <w:bookmarkStart w:id="2985" w:name="_Toc144974699"/>
      <w:bookmarkStart w:id="2986" w:name="_Toc152042507"/>
      <w:r>
        <w:rPr>
          <w:rFonts w:ascii="宋体" w:hAnsi="宋体"/>
          <w:sz w:val="22"/>
          <w:szCs w:val="28"/>
        </w:rPr>
        <w:t>竣工验收资料的费用支付方式：已包含在合同价款中，由承包人承担。</w:t>
      </w:r>
    </w:p>
    <w:p>
      <w:pPr>
        <w:spacing w:after="160" w:line="278" w:lineRule="auto"/>
        <w:rPr>
          <w:rFonts w:ascii="宋体" w:hAnsi="宋体"/>
          <w:sz w:val="22"/>
          <w:szCs w:val="28"/>
        </w:rPr>
      </w:pPr>
      <w:bookmarkStart w:id="2987" w:name="_Toc342296490"/>
      <w:bookmarkStart w:id="2988" w:name="_Toc109914534"/>
      <w:bookmarkStart w:id="2989" w:name="_Toc142385757"/>
      <w:bookmarkStart w:id="2990" w:name="_Toc129798469"/>
      <w:bookmarkStart w:id="2991" w:name="_Toc132619218"/>
      <w:bookmarkStart w:id="2992" w:name="_Toc241459731"/>
      <w:r>
        <w:rPr>
          <w:rFonts w:ascii="宋体" w:hAnsi="宋体"/>
          <w:sz w:val="22"/>
          <w:szCs w:val="28"/>
        </w:rPr>
        <w:t>18.3 验 收</w:t>
      </w:r>
      <w:bookmarkEnd w:id="2983"/>
      <w:bookmarkEnd w:id="2984"/>
      <w:bookmarkEnd w:id="2985"/>
      <w:bookmarkEnd w:id="2986"/>
      <w:bookmarkEnd w:id="2987"/>
      <w:bookmarkEnd w:id="2988"/>
      <w:bookmarkEnd w:id="2989"/>
      <w:bookmarkEnd w:id="2990"/>
      <w:bookmarkEnd w:id="2991"/>
      <w:bookmarkEnd w:id="2992"/>
    </w:p>
    <w:p>
      <w:pPr>
        <w:spacing w:after="160" w:line="278" w:lineRule="auto"/>
        <w:rPr>
          <w:rFonts w:ascii="宋体" w:hAnsi="宋体"/>
          <w:sz w:val="22"/>
          <w:szCs w:val="28"/>
        </w:rPr>
      </w:pPr>
      <w:r>
        <w:rPr>
          <w:rFonts w:ascii="宋体" w:hAnsi="宋体"/>
          <w:sz w:val="22"/>
          <w:szCs w:val="28"/>
        </w:rPr>
        <w:t>18.3.5经验收合格的工程, 实际竣工日期为承包人按照第18.2款提交竣工验收申请报告或按照本款重新提交竣工验收申请报告的日期（以两者中时间在后者为准）。</w:t>
      </w:r>
    </w:p>
    <w:p>
      <w:pPr>
        <w:spacing w:after="160" w:line="278" w:lineRule="auto"/>
        <w:rPr>
          <w:rFonts w:ascii="宋体" w:hAnsi="宋体"/>
          <w:sz w:val="22"/>
          <w:szCs w:val="28"/>
        </w:rPr>
      </w:pPr>
      <w:bookmarkStart w:id="2993" w:name="_Toc241459732"/>
      <w:bookmarkStart w:id="2994" w:name="_Toc132619219"/>
      <w:bookmarkStart w:id="2995" w:name="_Toc152042509"/>
      <w:bookmarkStart w:id="2996" w:name="_Toc109914535"/>
      <w:bookmarkStart w:id="2997" w:name="_Toc179632748"/>
      <w:bookmarkStart w:id="2998" w:name="_Toc142385758"/>
      <w:bookmarkStart w:id="2999" w:name="_Toc342296491"/>
      <w:bookmarkStart w:id="3000" w:name="_Toc152045730"/>
      <w:bookmarkStart w:id="3001" w:name="_Toc129798470"/>
      <w:bookmarkStart w:id="3002" w:name="_Toc144974701"/>
      <w:r>
        <w:rPr>
          <w:rFonts w:ascii="宋体" w:hAnsi="宋体"/>
          <w:sz w:val="22"/>
          <w:szCs w:val="28"/>
        </w:rPr>
        <w:t>18.5 施工期运行</w:t>
      </w:r>
      <w:bookmarkEnd w:id="2993"/>
      <w:bookmarkEnd w:id="2994"/>
      <w:bookmarkEnd w:id="2995"/>
      <w:bookmarkEnd w:id="2996"/>
      <w:bookmarkEnd w:id="2997"/>
      <w:bookmarkEnd w:id="2998"/>
      <w:bookmarkEnd w:id="2999"/>
      <w:bookmarkEnd w:id="3000"/>
      <w:bookmarkEnd w:id="3001"/>
      <w:bookmarkEnd w:id="3002"/>
    </w:p>
    <w:p>
      <w:pPr>
        <w:spacing w:after="160" w:line="278" w:lineRule="auto"/>
        <w:rPr>
          <w:rFonts w:ascii="宋体" w:hAnsi="宋体"/>
          <w:sz w:val="22"/>
          <w:szCs w:val="28"/>
        </w:rPr>
      </w:pPr>
      <w:bookmarkStart w:id="3003" w:name="_Toc144974702"/>
      <w:bookmarkStart w:id="3004" w:name="_Toc179632749"/>
      <w:bookmarkStart w:id="3005" w:name="_Toc152042510"/>
      <w:bookmarkStart w:id="3006" w:name="_Toc152045731"/>
      <w:r>
        <w:rPr>
          <w:rFonts w:ascii="宋体" w:hAnsi="宋体"/>
          <w:sz w:val="22"/>
          <w:szCs w:val="28"/>
        </w:rPr>
        <w:t xml:space="preserve">18.5.1需要施工期运行的单位工程或设备安装工程： </w:t>
      </w:r>
      <w:r>
        <w:rPr>
          <w:rFonts w:ascii="宋体" w:hAnsi="宋体"/>
          <w:sz w:val="22"/>
          <w:szCs w:val="28"/>
          <w:u w:val="single"/>
        </w:rPr>
        <w:t xml:space="preserve">    /    </w:t>
      </w:r>
      <w:r>
        <w:rPr>
          <w:rFonts w:ascii="宋体" w:hAnsi="宋体"/>
          <w:sz w:val="22"/>
          <w:szCs w:val="28"/>
        </w:rPr>
        <w:t xml:space="preserve">  。</w:t>
      </w:r>
    </w:p>
    <w:p>
      <w:pPr>
        <w:spacing w:after="160" w:line="278" w:lineRule="auto"/>
        <w:rPr>
          <w:rFonts w:ascii="宋体" w:hAnsi="宋体"/>
          <w:sz w:val="22"/>
          <w:szCs w:val="28"/>
        </w:rPr>
      </w:pPr>
      <w:bookmarkStart w:id="3007" w:name="_Toc109914536"/>
      <w:bookmarkStart w:id="3008" w:name="_Toc129798471"/>
      <w:bookmarkStart w:id="3009" w:name="_Toc342296492"/>
      <w:bookmarkStart w:id="3010" w:name="_Toc132619220"/>
      <w:bookmarkStart w:id="3011" w:name="_Toc241459733"/>
      <w:bookmarkStart w:id="3012" w:name="_Toc142385759"/>
      <w:r>
        <w:rPr>
          <w:rFonts w:ascii="宋体" w:hAnsi="宋体"/>
          <w:sz w:val="22"/>
          <w:szCs w:val="28"/>
        </w:rPr>
        <w:t>18.6 试运行</w:t>
      </w:r>
      <w:bookmarkEnd w:id="3003"/>
      <w:bookmarkEnd w:id="3004"/>
      <w:bookmarkEnd w:id="3005"/>
      <w:bookmarkEnd w:id="3006"/>
      <w:bookmarkEnd w:id="3007"/>
      <w:bookmarkEnd w:id="3008"/>
      <w:bookmarkEnd w:id="3009"/>
      <w:bookmarkEnd w:id="3010"/>
      <w:bookmarkEnd w:id="3011"/>
      <w:bookmarkEnd w:id="3012"/>
    </w:p>
    <w:p>
      <w:pPr>
        <w:spacing w:after="160" w:line="278" w:lineRule="auto"/>
        <w:rPr>
          <w:rFonts w:ascii="宋体" w:hAnsi="宋体"/>
          <w:sz w:val="22"/>
          <w:szCs w:val="28"/>
        </w:rPr>
      </w:pPr>
      <w:bookmarkStart w:id="3013" w:name="_Toc144974703"/>
      <w:bookmarkStart w:id="3014" w:name="_Toc179632750"/>
      <w:bookmarkStart w:id="3015" w:name="_Toc152042511"/>
      <w:bookmarkStart w:id="3016" w:name="_Toc152045732"/>
      <w:r>
        <w:rPr>
          <w:rFonts w:ascii="宋体" w:hAnsi="宋体"/>
          <w:sz w:val="22"/>
          <w:szCs w:val="28"/>
        </w:rPr>
        <w:t>18.6.1工程及工程设备试运行的组织与费用承担</w:t>
      </w:r>
    </w:p>
    <w:p>
      <w:pPr>
        <w:spacing w:after="160" w:line="278" w:lineRule="auto"/>
        <w:rPr>
          <w:rFonts w:ascii="宋体" w:hAnsi="宋体"/>
          <w:sz w:val="22"/>
          <w:szCs w:val="28"/>
        </w:rPr>
      </w:pPr>
      <w:r>
        <w:rPr>
          <w:rFonts w:ascii="宋体" w:hAnsi="宋体"/>
          <w:sz w:val="22"/>
          <w:szCs w:val="28"/>
        </w:rPr>
        <w:t>（1）工程设备安装具备单机无负荷试运行条件，由承包人组织试运行，费用由承包人承担。</w:t>
      </w:r>
    </w:p>
    <w:p>
      <w:pPr>
        <w:spacing w:after="160" w:line="278" w:lineRule="auto"/>
        <w:rPr>
          <w:rFonts w:ascii="宋体" w:hAnsi="宋体"/>
          <w:sz w:val="22"/>
          <w:szCs w:val="28"/>
        </w:rPr>
      </w:pPr>
      <w:r>
        <w:rPr>
          <w:rFonts w:ascii="宋体" w:hAnsi="宋体"/>
          <w:sz w:val="22"/>
          <w:szCs w:val="28"/>
        </w:rPr>
        <w:t>（2） 工程设备安装具备无负荷联动试运行条件，由发包人组织试运行，费用由发包人承担。</w:t>
      </w:r>
    </w:p>
    <w:p>
      <w:pPr>
        <w:spacing w:after="160" w:line="278" w:lineRule="auto"/>
        <w:rPr>
          <w:rFonts w:ascii="宋体" w:hAnsi="宋体"/>
          <w:sz w:val="22"/>
          <w:szCs w:val="28"/>
        </w:rPr>
      </w:pPr>
      <w:r>
        <w:rPr>
          <w:rFonts w:ascii="宋体" w:hAnsi="宋体"/>
          <w:sz w:val="22"/>
          <w:szCs w:val="28"/>
        </w:rPr>
        <w:t>（3）投料试运行应在工程竣工验收后由发包人负责，如发包人要求在工程竣工验收前进行或需要承包人配合时，应征得承包人同意，另行签订补充协议。</w:t>
      </w:r>
    </w:p>
    <w:p>
      <w:pPr>
        <w:spacing w:after="160" w:line="278" w:lineRule="auto"/>
        <w:rPr>
          <w:rFonts w:ascii="宋体" w:hAnsi="宋体"/>
          <w:sz w:val="22"/>
          <w:szCs w:val="28"/>
        </w:rPr>
      </w:pPr>
      <w:bookmarkStart w:id="3017" w:name="_Toc109914537"/>
      <w:bookmarkStart w:id="3018" w:name="_Toc241459734"/>
      <w:bookmarkStart w:id="3019" w:name="_Toc142385760"/>
      <w:bookmarkStart w:id="3020" w:name="_Toc132619221"/>
      <w:bookmarkStart w:id="3021" w:name="_Toc129798472"/>
      <w:bookmarkStart w:id="3022" w:name="_Toc342296493"/>
      <w:r>
        <w:rPr>
          <w:rFonts w:ascii="宋体" w:hAnsi="宋体"/>
          <w:sz w:val="22"/>
          <w:szCs w:val="28"/>
        </w:rPr>
        <w:t>18.7 竣工清场</w:t>
      </w:r>
      <w:bookmarkEnd w:id="3013"/>
      <w:bookmarkEnd w:id="3014"/>
      <w:bookmarkEnd w:id="3015"/>
      <w:bookmarkEnd w:id="3016"/>
      <w:bookmarkEnd w:id="3017"/>
      <w:bookmarkEnd w:id="3018"/>
      <w:bookmarkEnd w:id="3019"/>
      <w:bookmarkEnd w:id="3020"/>
      <w:bookmarkEnd w:id="3021"/>
      <w:bookmarkEnd w:id="3022"/>
    </w:p>
    <w:p>
      <w:pPr>
        <w:spacing w:after="160" w:line="278" w:lineRule="auto"/>
        <w:rPr>
          <w:rFonts w:ascii="宋体" w:hAnsi="宋体"/>
          <w:sz w:val="22"/>
          <w:szCs w:val="28"/>
        </w:rPr>
      </w:pPr>
      <w:r>
        <w:rPr>
          <w:rFonts w:ascii="宋体" w:hAnsi="宋体"/>
          <w:sz w:val="22"/>
          <w:szCs w:val="28"/>
        </w:rPr>
        <w:t>18.7.1监理人颁发（出具）工程接收证书后，承包人负责按照通用合同条款本项约定的要求对施工场地进行清理并承担相关费用，直至监理人检验合格为止。</w:t>
      </w:r>
    </w:p>
    <w:p>
      <w:pPr>
        <w:spacing w:after="160" w:line="278" w:lineRule="auto"/>
        <w:rPr>
          <w:rFonts w:ascii="宋体" w:hAnsi="宋体"/>
          <w:sz w:val="22"/>
          <w:szCs w:val="28"/>
        </w:rPr>
      </w:pPr>
      <w:bookmarkStart w:id="3023" w:name="_Toc179632751"/>
      <w:bookmarkStart w:id="3024" w:name="_Toc152045733"/>
      <w:bookmarkStart w:id="3025" w:name="_Toc132619222"/>
      <w:bookmarkStart w:id="3026" w:name="_Toc109914538"/>
      <w:bookmarkStart w:id="3027" w:name="_Toc144974704"/>
      <w:bookmarkStart w:id="3028" w:name="_Toc241459735"/>
      <w:bookmarkStart w:id="3029" w:name="_Toc142385761"/>
      <w:bookmarkStart w:id="3030" w:name="_Toc129798473"/>
      <w:bookmarkStart w:id="3031" w:name="_Toc342296494"/>
      <w:bookmarkStart w:id="3032" w:name="_Toc152042512"/>
      <w:r>
        <w:rPr>
          <w:rFonts w:ascii="宋体" w:hAnsi="宋体"/>
          <w:sz w:val="22"/>
          <w:szCs w:val="28"/>
        </w:rPr>
        <w:t>18.8 施工队伍的撤离</w:t>
      </w:r>
      <w:bookmarkEnd w:id="3023"/>
      <w:bookmarkEnd w:id="3024"/>
      <w:bookmarkEnd w:id="3025"/>
      <w:bookmarkEnd w:id="3026"/>
      <w:bookmarkEnd w:id="3027"/>
      <w:bookmarkEnd w:id="3028"/>
      <w:bookmarkEnd w:id="3029"/>
      <w:bookmarkEnd w:id="3030"/>
      <w:bookmarkEnd w:id="3031"/>
      <w:bookmarkEnd w:id="3032"/>
    </w:p>
    <w:p>
      <w:pPr>
        <w:spacing w:after="160" w:line="278" w:lineRule="auto"/>
        <w:rPr>
          <w:rFonts w:ascii="宋体" w:hAnsi="宋体"/>
          <w:sz w:val="22"/>
          <w:szCs w:val="28"/>
        </w:rPr>
      </w:pPr>
      <w:bookmarkStart w:id="3033" w:name="_Toc152045734"/>
      <w:bookmarkStart w:id="3034" w:name="_Toc179632752"/>
      <w:bookmarkStart w:id="3035" w:name="_Toc152042513"/>
      <w:bookmarkStart w:id="3036" w:name="_Toc144974705"/>
      <w:r>
        <w:rPr>
          <w:rFonts w:ascii="宋体" w:hAnsi="宋体"/>
          <w:sz w:val="22"/>
          <w:szCs w:val="28"/>
        </w:rPr>
        <w:t>承包人按照通用合同条款第18.8款约定撤离施工场地（现场）时，监理人和承包人应当办理永久工程和施工场地移交手续，移交手续以书面方式出具，并分别经过发包人、监理人和承包人的签认。</w:t>
      </w:r>
    </w:p>
    <w:p>
      <w:pPr>
        <w:spacing w:after="160" w:line="278" w:lineRule="auto"/>
        <w:rPr>
          <w:rFonts w:ascii="宋体" w:hAnsi="宋体"/>
          <w:sz w:val="22"/>
          <w:szCs w:val="28"/>
        </w:rPr>
      </w:pPr>
      <w:r>
        <w:rPr>
          <w:rFonts w:ascii="宋体" w:hAnsi="宋体"/>
          <w:sz w:val="22"/>
          <w:szCs w:val="28"/>
        </w:rPr>
        <w:t>缺陷责任期满时，承包人可以继续在施工场地保留的人员和施工设备以及最终撤离的期限：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spacing w:after="160" w:line="278" w:lineRule="auto"/>
        <w:rPr>
          <w:rFonts w:ascii="宋体" w:hAnsi="宋体"/>
          <w:sz w:val="22"/>
          <w:szCs w:val="28"/>
        </w:rPr>
      </w:pPr>
      <w:bookmarkStart w:id="3037" w:name="_Toc109914539"/>
      <w:bookmarkStart w:id="3038" w:name="_Toc129798474"/>
      <w:bookmarkStart w:id="3039" w:name="_Toc142385762"/>
      <w:bookmarkStart w:id="3040" w:name="_Toc342296495"/>
      <w:bookmarkStart w:id="3041" w:name="_Toc132619223"/>
      <w:bookmarkStart w:id="3042" w:name="_Toc241459736"/>
      <w:r>
        <w:rPr>
          <w:rFonts w:ascii="宋体" w:hAnsi="宋体"/>
          <w:sz w:val="22"/>
          <w:szCs w:val="28"/>
        </w:rPr>
        <w:t>18.9 中间验收</w:t>
      </w:r>
      <w:bookmarkEnd w:id="3037"/>
      <w:bookmarkEnd w:id="3038"/>
      <w:bookmarkEnd w:id="3039"/>
      <w:bookmarkEnd w:id="3040"/>
      <w:bookmarkEnd w:id="3041"/>
      <w:bookmarkEnd w:id="3042"/>
    </w:p>
    <w:p>
      <w:pPr>
        <w:spacing w:after="160" w:line="278" w:lineRule="auto"/>
        <w:rPr>
          <w:rFonts w:ascii="宋体" w:hAnsi="宋体"/>
          <w:sz w:val="22"/>
          <w:szCs w:val="28"/>
        </w:rPr>
      </w:pPr>
      <w:r>
        <w:rPr>
          <w:rFonts w:ascii="宋体" w:hAnsi="宋体"/>
          <w:sz w:val="22"/>
          <w:szCs w:val="28"/>
        </w:rPr>
        <w:t>本工程需要进行中间验收的部位如下：</w:t>
      </w:r>
      <w:r>
        <w:rPr>
          <w:rFonts w:ascii="宋体" w:hAnsi="宋体"/>
          <w:sz w:val="22"/>
          <w:szCs w:val="28"/>
          <w:u w:val="single"/>
        </w:rPr>
        <w:t xml:space="preserve">   /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sz w:val="22"/>
          <w:szCs w:val="28"/>
          <w:u w:val="single"/>
        </w:rPr>
        <w:t xml:space="preserve">      /      </w:t>
      </w:r>
      <w:r>
        <w:rPr>
          <w:rFonts w:ascii="宋体" w:hAnsi="宋体"/>
          <w:sz w:val="22"/>
          <w:szCs w:val="28"/>
        </w:rPr>
        <w:t>期限内进行修改后重新验收。</w:t>
      </w:r>
    </w:p>
    <w:p>
      <w:pPr>
        <w:spacing w:after="160" w:line="278" w:lineRule="auto"/>
        <w:rPr>
          <w:rFonts w:ascii="宋体" w:hAnsi="宋体"/>
          <w:sz w:val="22"/>
          <w:szCs w:val="28"/>
        </w:rPr>
      </w:pPr>
      <w:r>
        <w:rPr>
          <w:rFonts w:ascii="宋体" w:hAnsi="宋体"/>
          <w:sz w:val="22"/>
          <w:szCs w:val="28"/>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after="160" w:line="278" w:lineRule="auto"/>
        <w:rPr>
          <w:rFonts w:ascii="宋体" w:hAnsi="宋体"/>
          <w:sz w:val="22"/>
          <w:szCs w:val="28"/>
        </w:rPr>
      </w:pPr>
      <w:r>
        <w:rPr>
          <w:rFonts w:ascii="宋体" w:hAnsi="宋体"/>
          <w:sz w:val="22"/>
          <w:szCs w:val="28"/>
        </w:rPr>
        <w:t>经监理人验收后工程质量符合约定的验收标准，但验收24小时后监理人仍不在验收记录上签字的，视为监理人已经认可验收记录，承包人可继续施工。</w:t>
      </w:r>
    </w:p>
    <w:p>
      <w:pPr>
        <w:spacing w:after="160" w:line="278" w:lineRule="auto"/>
        <w:rPr>
          <w:rFonts w:ascii="宋体" w:hAnsi="宋体"/>
          <w:sz w:val="22"/>
          <w:szCs w:val="28"/>
        </w:rPr>
      </w:pPr>
      <w:bookmarkStart w:id="3043" w:name="_Toc132619224"/>
      <w:bookmarkStart w:id="3044" w:name="_Toc448758564"/>
      <w:bookmarkStart w:id="3045" w:name="_Toc469660059"/>
      <w:bookmarkStart w:id="3046" w:name="_Toc241459737"/>
      <w:bookmarkStart w:id="3047" w:name="_Toc448758464"/>
      <w:bookmarkStart w:id="3048" w:name="_Toc442365656"/>
      <w:bookmarkStart w:id="3049" w:name="_Toc142385763"/>
      <w:bookmarkStart w:id="3050" w:name="_Toc129798475"/>
      <w:bookmarkStart w:id="3051" w:name="_Toc342296496"/>
      <w:bookmarkStart w:id="3052" w:name="_Toc109914540"/>
      <w:r>
        <w:rPr>
          <w:rFonts w:ascii="宋体" w:hAnsi="宋体"/>
          <w:sz w:val="22"/>
          <w:szCs w:val="28"/>
        </w:rPr>
        <w:t>19. 缺陷责任与保修责任</w:t>
      </w:r>
      <w:bookmarkEnd w:id="3033"/>
      <w:bookmarkEnd w:id="3034"/>
      <w:bookmarkEnd w:id="3035"/>
      <w:bookmarkEnd w:id="3036"/>
      <w:bookmarkEnd w:id="3043"/>
      <w:bookmarkEnd w:id="3044"/>
      <w:bookmarkEnd w:id="3045"/>
      <w:bookmarkEnd w:id="3046"/>
      <w:bookmarkEnd w:id="3047"/>
      <w:bookmarkEnd w:id="3048"/>
      <w:bookmarkEnd w:id="3049"/>
      <w:bookmarkEnd w:id="3050"/>
      <w:bookmarkEnd w:id="3051"/>
      <w:bookmarkEnd w:id="3052"/>
    </w:p>
    <w:p>
      <w:pPr>
        <w:spacing w:after="160" w:line="278" w:lineRule="auto"/>
        <w:rPr>
          <w:rFonts w:ascii="宋体" w:hAnsi="宋体"/>
          <w:sz w:val="22"/>
          <w:szCs w:val="28"/>
        </w:rPr>
      </w:pPr>
      <w:bookmarkStart w:id="3053" w:name="_Toc179632759"/>
      <w:bookmarkStart w:id="3054" w:name="_Toc132619225"/>
      <w:bookmarkStart w:id="3055" w:name="_Toc129798476"/>
      <w:bookmarkStart w:id="3056" w:name="_Toc142385764"/>
      <w:bookmarkStart w:id="3057" w:name="_Toc109914541"/>
      <w:bookmarkStart w:id="3058" w:name="_Toc152045741"/>
      <w:bookmarkStart w:id="3059" w:name="_Toc241459738"/>
      <w:bookmarkStart w:id="3060" w:name="_Toc152042520"/>
      <w:bookmarkStart w:id="3061" w:name="_Toc342296497"/>
      <w:bookmarkStart w:id="3062" w:name="_Toc144974712"/>
      <w:r>
        <w:rPr>
          <w:rFonts w:ascii="宋体" w:hAnsi="宋体"/>
          <w:sz w:val="22"/>
          <w:szCs w:val="28"/>
        </w:rPr>
        <w:t>19.7 保修责任</w:t>
      </w:r>
      <w:bookmarkEnd w:id="3053"/>
      <w:bookmarkEnd w:id="3054"/>
      <w:bookmarkEnd w:id="3055"/>
      <w:bookmarkEnd w:id="3056"/>
      <w:bookmarkEnd w:id="3057"/>
      <w:bookmarkEnd w:id="3058"/>
      <w:bookmarkEnd w:id="3059"/>
      <w:bookmarkEnd w:id="3060"/>
      <w:bookmarkEnd w:id="3061"/>
      <w:bookmarkEnd w:id="3062"/>
    </w:p>
    <w:p>
      <w:pPr>
        <w:spacing w:after="160" w:line="278" w:lineRule="auto"/>
        <w:rPr>
          <w:rFonts w:ascii="宋体" w:hAnsi="宋体"/>
          <w:sz w:val="22"/>
          <w:szCs w:val="28"/>
        </w:rPr>
      </w:pPr>
      <w:r>
        <w:rPr>
          <w:rFonts w:ascii="宋体" w:hAnsi="宋体"/>
          <w:sz w:val="22"/>
          <w:szCs w:val="28"/>
        </w:rPr>
        <w:t>（1）工程质量保修范围：</w:t>
      </w:r>
      <w:r>
        <w:rPr>
          <w:rFonts w:hint="eastAsia" w:ascii="宋体" w:hAnsi="宋体"/>
          <w:sz w:val="22"/>
          <w:szCs w:val="28"/>
          <w:u w:val="single"/>
        </w:rPr>
        <w:t>由施工单位负责实施的所有项目</w:t>
      </w:r>
      <w:r>
        <w:rPr>
          <w:rFonts w:ascii="宋体" w:hAnsi="宋体"/>
          <w:sz w:val="22"/>
          <w:szCs w:val="28"/>
          <w:u w:val="single"/>
        </w:rPr>
        <w:t>。</w:t>
      </w:r>
    </w:p>
    <w:p>
      <w:pPr>
        <w:spacing w:after="160" w:line="278" w:lineRule="auto"/>
        <w:rPr>
          <w:rFonts w:ascii="宋体" w:hAnsi="宋体"/>
          <w:sz w:val="22"/>
          <w:szCs w:val="28"/>
        </w:rPr>
      </w:pPr>
      <w:r>
        <w:rPr>
          <w:rFonts w:ascii="宋体" w:hAnsi="宋体"/>
          <w:sz w:val="22"/>
          <w:szCs w:val="28"/>
        </w:rPr>
        <w:t>（2）工程质量保修期限：根据《建设工程质量管理条例》的规定，供热与供冷系统，为两个采暖期、供冷期；电气管线、给排水管道、设备安装和装修工程为两年；其他工程的保修期限为两年。</w:t>
      </w:r>
      <w:r>
        <w:rPr>
          <w:rFonts w:hint="eastAsia" w:ascii="宋体" w:hAnsi="宋体"/>
          <w:sz w:val="22"/>
          <w:szCs w:val="28"/>
        </w:rPr>
        <w:t>本项目供热部分质保期2个采暖期，防水部分质保期5年，</w:t>
      </w:r>
      <w:r>
        <w:rPr>
          <w:rFonts w:ascii="宋体" w:hAnsi="宋体"/>
          <w:sz w:val="22"/>
          <w:szCs w:val="28"/>
        </w:rPr>
        <w:t>建设工程的保修期，自竣工验收合格之日起计算。</w:t>
      </w:r>
    </w:p>
    <w:p>
      <w:pPr>
        <w:spacing w:after="160" w:line="278" w:lineRule="auto"/>
        <w:rPr>
          <w:rFonts w:ascii="宋体" w:hAnsi="宋体"/>
          <w:sz w:val="22"/>
          <w:szCs w:val="28"/>
        </w:rPr>
      </w:pPr>
      <w:r>
        <w:rPr>
          <w:rFonts w:ascii="宋体" w:hAnsi="宋体"/>
          <w:sz w:val="22"/>
          <w:szCs w:val="28"/>
        </w:rPr>
        <w:t>（3）工程质量保修责任：缺陷责任期内，由承包人原因造成的缺陷，承包人应负责维修，并承担鉴定及维修费用。并承担鉴定及维修费用。如承包人不维修</w:t>
      </w:r>
      <w:r>
        <w:rPr>
          <w:rFonts w:hint="eastAsia" w:ascii="宋体" w:hAnsi="宋体"/>
          <w:sz w:val="22"/>
          <w:szCs w:val="28"/>
        </w:rPr>
        <w:t>或</w:t>
      </w:r>
      <w:r>
        <w:rPr>
          <w:rFonts w:ascii="宋体" w:hAnsi="宋体"/>
          <w:sz w:val="22"/>
          <w:szCs w:val="28"/>
        </w:rPr>
        <w:t>不承担费用，发包人可扣除保证金，并由承包人承担违约责任，保证金不足以支付维修费用的，承包人仍应承担全部差额。承包人维修并承担相应费用后，不免除对工程的一般损失赔偿责任。</w:t>
      </w:r>
    </w:p>
    <w:p>
      <w:pPr>
        <w:spacing w:after="160" w:line="278" w:lineRule="auto"/>
        <w:rPr>
          <w:rFonts w:ascii="宋体" w:hAnsi="宋体"/>
          <w:sz w:val="22"/>
          <w:szCs w:val="28"/>
        </w:rPr>
      </w:pPr>
      <w:r>
        <w:rPr>
          <w:rFonts w:ascii="宋体" w:hAnsi="宋体"/>
          <w:sz w:val="22"/>
          <w:szCs w:val="28"/>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spacing w:after="160" w:line="278" w:lineRule="auto"/>
        <w:rPr>
          <w:rFonts w:ascii="宋体" w:hAnsi="宋体"/>
          <w:sz w:val="22"/>
          <w:szCs w:val="28"/>
        </w:rPr>
      </w:pPr>
      <w:bookmarkStart w:id="3063" w:name="_Toc241459739"/>
      <w:bookmarkStart w:id="3064" w:name="_Toc179632760"/>
      <w:bookmarkStart w:id="3065" w:name="_Toc152042521"/>
      <w:bookmarkStart w:id="3066" w:name="_Toc342296498"/>
      <w:bookmarkStart w:id="3067" w:name="_Toc144974713"/>
      <w:bookmarkStart w:id="3068" w:name="_Toc152045742"/>
      <w:bookmarkStart w:id="3069" w:name="_Toc129798477"/>
      <w:bookmarkStart w:id="3070" w:name="_Toc448758565"/>
      <w:bookmarkStart w:id="3071" w:name="_Toc109914542"/>
      <w:bookmarkStart w:id="3072" w:name="_Toc142385765"/>
      <w:bookmarkStart w:id="3073" w:name="_Toc469660060"/>
      <w:bookmarkStart w:id="3074" w:name="_Toc448758465"/>
      <w:bookmarkStart w:id="3075" w:name="_Toc442365657"/>
      <w:bookmarkStart w:id="3076" w:name="_Toc132619226"/>
      <w:r>
        <w:rPr>
          <w:rFonts w:ascii="宋体" w:hAnsi="宋体"/>
          <w:sz w:val="22"/>
          <w:szCs w:val="28"/>
        </w:rPr>
        <w:t>20. 保险</w:t>
      </w:r>
      <w:bookmarkEnd w:id="3063"/>
      <w:bookmarkEnd w:id="3064"/>
      <w:bookmarkEnd w:id="3065"/>
      <w:bookmarkEnd w:id="3066"/>
      <w:bookmarkEnd w:id="3067"/>
      <w:bookmarkEnd w:id="3068"/>
      <w:r>
        <w:rPr>
          <w:rFonts w:ascii="宋体" w:hAnsi="宋体"/>
          <w:sz w:val="22"/>
          <w:szCs w:val="28"/>
        </w:rPr>
        <w:t xml:space="preserve"> （本项目不适用）</w:t>
      </w:r>
      <w:bookmarkEnd w:id="3069"/>
      <w:bookmarkEnd w:id="3070"/>
      <w:bookmarkEnd w:id="3071"/>
      <w:bookmarkEnd w:id="3072"/>
      <w:bookmarkEnd w:id="3073"/>
      <w:bookmarkEnd w:id="3074"/>
      <w:bookmarkEnd w:id="3075"/>
      <w:bookmarkEnd w:id="3076"/>
    </w:p>
    <w:p>
      <w:pPr>
        <w:spacing w:after="160" w:line="278" w:lineRule="auto"/>
        <w:rPr>
          <w:rFonts w:ascii="宋体" w:hAnsi="宋体"/>
          <w:sz w:val="22"/>
          <w:szCs w:val="28"/>
        </w:rPr>
      </w:pPr>
      <w:bookmarkStart w:id="3077" w:name="_Toc129798478"/>
      <w:bookmarkStart w:id="3078" w:name="_Toc152045743"/>
      <w:bookmarkStart w:id="3079" w:name="_Toc152042522"/>
      <w:bookmarkStart w:id="3080" w:name="_Toc142385766"/>
      <w:bookmarkStart w:id="3081" w:name="_Toc241459740"/>
      <w:bookmarkStart w:id="3082" w:name="_Toc179632761"/>
      <w:bookmarkStart w:id="3083" w:name="_Toc342296499"/>
      <w:bookmarkStart w:id="3084" w:name="_Toc144974714"/>
      <w:bookmarkStart w:id="3085" w:name="_Toc132619227"/>
      <w:bookmarkStart w:id="3086" w:name="_Toc109914543"/>
      <w:r>
        <w:rPr>
          <w:rFonts w:ascii="宋体" w:hAnsi="宋体"/>
          <w:sz w:val="22"/>
          <w:szCs w:val="28"/>
        </w:rPr>
        <w:t>20.1 工程保险</w:t>
      </w:r>
      <w:bookmarkEnd w:id="3077"/>
      <w:bookmarkEnd w:id="3078"/>
      <w:bookmarkEnd w:id="3079"/>
      <w:bookmarkEnd w:id="3080"/>
      <w:bookmarkEnd w:id="3081"/>
      <w:bookmarkEnd w:id="3082"/>
      <w:bookmarkEnd w:id="3083"/>
      <w:bookmarkEnd w:id="3084"/>
      <w:bookmarkEnd w:id="3085"/>
      <w:bookmarkEnd w:id="3086"/>
    </w:p>
    <w:p>
      <w:pPr>
        <w:spacing w:after="160" w:line="278" w:lineRule="auto"/>
        <w:rPr>
          <w:rFonts w:ascii="宋体" w:hAnsi="宋体"/>
          <w:sz w:val="22"/>
          <w:szCs w:val="28"/>
        </w:rPr>
      </w:pPr>
      <w:bookmarkStart w:id="3087" w:name="_Toc144974715"/>
      <w:bookmarkStart w:id="3088" w:name="_Toc152042523"/>
      <w:bookmarkStart w:id="3089" w:name="_Toc179632762"/>
      <w:bookmarkStart w:id="3090" w:name="_Toc152045744"/>
      <w:r>
        <w:rPr>
          <w:rFonts w:ascii="宋体" w:hAnsi="宋体"/>
          <w:sz w:val="22"/>
          <w:szCs w:val="28"/>
        </w:rPr>
        <w:t>本工程</w:t>
      </w:r>
      <w:r>
        <w:rPr>
          <w:rFonts w:ascii="宋体" w:hAnsi="宋体"/>
          <w:sz w:val="22"/>
          <w:szCs w:val="28"/>
          <w:u w:val="single"/>
        </w:rPr>
        <w:t xml:space="preserve">         (投保/不投保)</w:t>
      </w:r>
      <w:r>
        <w:rPr>
          <w:rFonts w:ascii="宋体" w:hAnsi="宋体"/>
          <w:sz w:val="22"/>
          <w:szCs w:val="28"/>
        </w:rPr>
        <w:t>工程保险。投保工程保险时，险种为：</w:t>
      </w:r>
      <w:r>
        <w:rPr>
          <w:rFonts w:ascii="宋体" w:hAnsi="宋体"/>
          <w:sz w:val="22"/>
          <w:szCs w:val="28"/>
          <w:u w:val="single"/>
        </w:rPr>
        <w:t xml:space="preserve">               </w:t>
      </w:r>
      <w:r>
        <w:rPr>
          <w:rFonts w:ascii="宋体" w:hAnsi="宋体"/>
          <w:sz w:val="22"/>
          <w:szCs w:val="28"/>
        </w:rPr>
        <w:t xml:space="preserve">  ，并符合以下约定。</w:t>
      </w:r>
    </w:p>
    <w:p>
      <w:pPr>
        <w:spacing w:after="160" w:line="278" w:lineRule="auto"/>
        <w:rPr>
          <w:rFonts w:ascii="宋体" w:hAnsi="宋体"/>
          <w:sz w:val="22"/>
          <w:szCs w:val="28"/>
        </w:rPr>
      </w:pPr>
      <w:r>
        <w:rPr>
          <w:rFonts w:ascii="宋体" w:hAnsi="宋体"/>
          <w:sz w:val="22"/>
          <w:szCs w:val="28"/>
        </w:rPr>
        <w:t>（1）投保人：</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（2）投保内容：</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（3）保险费率：由投保人与合同双方同意的保险人商定。</w:t>
      </w:r>
    </w:p>
    <w:p>
      <w:pPr>
        <w:spacing w:after="160" w:line="278" w:lineRule="auto"/>
        <w:rPr>
          <w:rFonts w:ascii="宋体" w:hAnsi="宋体"/>
          <w:sz w:val="22"/>
          <w:szCs w:val="28"/>
        </w:rPr>
      </w:pPr>
      <w:r>
        <w:rPr>
          <w:rFonts w:ascii="宋体" w:hAnsi="宋体"/>
          <w:sz w:val="22"/>
          <w:szCs w:val="28"/>
        </w:rPr>
        <w:t xml:space="preserve">（4）保险金额： </w:t>
      </w:r>
      <w:r>
        <w:rPr>
          <w:rFonts w:ascii="宋体" w:hAnsi="宋体"/>
          <w:sz w:val="22"/>
          <w:szCs w:val="28"/>
          <w:u w:val="single"/>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 xml:space="preserve">（5）保险期限：   </w:t>
      </w:r>
      <w:r>
        <w:rPr>
          <w:rFonts w:ascii="宋体" w:hAnsi="宋体"/>
          <w:sz w:val="22"/>
          <w:szCs w:val="28"/>
          <w:u w:val="single"/>
        </w:rPr>
        <w:t xml:space="preserve">                          </w:t>
      </w:r>
      <w:r>
        <w:rPr>
          <w:rFonts w:ascii="宋体" w:hAnsi="宋体"/>
          <w:sz w:val="22"/>
          <w:szCs w:val="28"/>
        </w:rPr>
        <w:t xml:space="preserve">                               。</w:t>
      </w:r>
    </w:p>
    <w:bookmarkEnd w:id="3087"/>
    <w:bookmarkEnd w:id="3088"/>
    <w:bookmarkEnd w:id="3089"/>
    <w:bookmarkEnd w:id="3090"/>
    <w:p>
      <w:pPr>
        <w:spacing w:after="160" w:line="278" w:lineRule="auto"/>
        <w:rPr>
          <w:rFonts w:ascii="宋体" w:hAnsi="宋体"/>
          <w:sz w:val="22"/>
          <w:szCs w:val="28"/>
        </w:rPr>
      </w:pPr>
      <w:bookmarkStart w:id="3091" w:name="_Toc109914544"/>
      <w:bookmarkStart w:id="3092" w:name="_Toc152042525"/>
      <w:bookmarkStart w:id="3093" w:name="_Toc241459741"/>
      <w:bookmarkStart w:id="3094" w:name="_Toc142385767"/>
      <w:bookmarkStart w:id="3095" w:name="_Toc342296500"/>
      <w:bookmarkStart w:id="3096" w:name="_Toc132619228"/>
      <w:bookmarkStart w:id="3097" w:name="_Toc144974717"/>
      <w:bookmarkStart w:id="3098" w:name="_Toc152045746"/>
      <w:bookmarkStart w:id="3099" w:name="_Toc129798479"/>
      <w:bookmarkStart w:id="3100" w:name="_Toc179632764"/>
      <w:r>
        <w:rPr>
          <w:rFonts w:ascii="宋体" w:hAnsi="宋体"/>
          <w:sz w:val="22"/>
          <w:szCs w:val="28"/>
        </w:rPr>
        <w:t>20.4 第三者责任险</w:t>
      </w:r>
      <w:bookmarkEnd w:id="3091"/>
      <w:bookmarkEnd w:id="3092"/>
      <w:bookmarkEnd w:id="3093"/>
      <w:bookmarkEnd w:id="3094"/>
      <w:bookmarkEnd w:id="3095"/>
      <w:bookmarkEnd w:id="3096"/>
      <w:bookmarkEnd w:id="3097"/>
      <w:bookmarkEnd w:id="3098"/>
      <w:bookmarkEnd w:id="3099"/>
      <w:bookmarkEnd w:id="3100"/>
    </w:p>
    <w:p>
      <w:pPr>
        <w:spacing w:after="160" w:line="278" w:lineRule="auto"/>
        <w:rPr>
          <w:rFonts w:ascii="宋体" w:hAnsi="宋体"/>
          <w:sz w:val="22"/>
          <w:szCs w:val="28"/>
        </w:rPr>
      </w:pPr>
      <w:r>
        <w:rPr>
          <w:rFonts w:ascii="宋体" w:hAnsi="宋体"/>
          <w:sz w:val="22"/>
          <w:szCs w:val="28"/>
        </w:rPr>
        <w:t xml:space="preserve">20.4.2保险金额： </w:t>
      </w:r>
      <w:r>
        <w:rPr>
          <w:rFonts w:ascii="宋体" w:hAnsi="宋体"/>
          <w:sz w:val="22"/>
          <w:szCs w:val="28"/>
          <w:u w:val="single"/>
        </w:rPr>
        <w:t xml:space="preserve">                             </w:t>
      </w:r>
      <w:r>
        <w:rPr>
          <w:rFonts w:ascii="宋体" w:hAnsi="宋体"/>
          <w:sz w:val="22"/>
          <w:szCs w:val="28"/>
        </w:rPr>
        <w:t>，保险费率由承包人与发包人同意的保险人商定，相关保险费由</w:t>
      </w:r>
      <w:r>
        <w:rPr>
          <w:rFonts w:ascii="宋体" w:hAnsi="宋体"/>
          <w:sz w:val="22"/>
          <w:szCs w:val="28"/>
          <w:u w:val="single"/>
        </w:rPr>
        <w:t xml:space="preserve">             </w:t>
      </w:r>
      <w:r>
        <w:rPr>
          <w:rFonts w:ascii="宋体" w:hAnsi="宋体"/>
          <w:sz w:val="22"/>
          <w:szCs w:val="28"/>
        </w:rPr>
        <w:t>承担。</w:t>
      </w:r>
    </w:p>
    <w:p>
      <w:pPr>
        <w:spacing w:after="160" w:line="278" w:lineRule="auto"/>
        <w:rPr>
          <w:rFonts w:ascii="宋体" w:hAnsi="宋体"/>
          <w:sz w:val="22"/>
          <w:szCs w:val="28"/>
        </w:rPr>
      </w:pPr>
      <w:bookmarkStart w:id="3101" w:name="_Toc144974718"/>
      <w:bookmarkStart w:id="3102" w:name="_Toc241459742"/>
      <w:bookmarkStart w:id="3103" w:name="_Toc152045747"/>
      <w:bookmarkStart w:id="3104" w:name="_Toc142385768"/>
      <w:bookmarkStart w:id="3105" w:name="_Toc152042526"/>
      <w:bookmarkStart w:id="3106" w:name="_Toc342296501"/>
      <w:bookmarkStart w:id="3107" w:name="_Toc132619229"/>
      <w:bookmarkStart w:id="3108" w:name="_Toc179632765"/>
      <w:bookmarkStart w:id="3109" w:name="_Toc109914545"/>
      <w:bookmarkStart w:id="3110" w:name="_Toc129798480"/>
      <w:r>
        <w:rPr>
          <w:rFonts w:ascii="宋体" w:hAnsi="宋体"/>
          <w:sz w:val="22"/>
          <w:szCs w:val="28"/>
        </w:rPr>
        <w:t>20.5 其他保险</w:t>
      </w:r>
      <w:bookmarkEnd w:id="3101"/>
      <w:bookmarkEnd w:id="3102"/>
      <w:bookmarkEnd w:id="3103"/>
      <w:bookmarkEnd w:id="3104"/>
      <w:bookmarkEnd w:id="3105"/>
      <w:bookmarkEnd w:id="3106"/>
      <w:bookmarkEnd w:id="3107"/>
      <w:bookmarkEnd w:id="3108"/>
      <w:bookmarkEnd w:id="3109"/>
      <w:bookmarkEnd w:id="3110"/>
    </w:p>
    <w:p>
      <w:pPr>
        <w:spacing w:after="160" w:line="278" w:lineRule="auto"/>
        <w:rPr>
          <w:rFonts w:ascii="宋体" w:hAnsi="宋体"/>
          <w:sz w:val="22"/>
          <w:szCs w:val="28"/>
        </w:rPr>
      </w:pPr>
      <w:r>
        <w:rPr>
          <w:rFonts w:ascii="宋体" w:hAnsi="宋体"/>
          <w:sz w:val="22"/>
          <w:szCs w:val="28"/>
        </w:rPr>
        <w:t xml:space="preserve">承包人应为其施工设备、进场材料和工程设备等办理的保险：                    </w:t>
      </w:r>
    </w:p>
    <w:p>
      <w:pPr>
        <w:spacing w:after="160" w:line="278" w:lineRule="auto"/>
        <w:rPr>
          <w:rFonts w:ascii="宋体" w:hAnsi="宋体"/>
          <w:sz w:val="22"/>
          <w:szCs w:val="28"/>
        </w:rPr>
      </w:pPr>
      <w:r>
        <w:rPr>
          <w:rFonts w:ascii="宋体" w:hAnsi="宋体"/>
          <w:sz w:val="22"/>
          <w:szCs w:val="28"/>
        </w:rPr>
        <w:t xml:space="preserve">                                                                          。</w:t>
      </w:r>
    </w:p>
    <w:p>
      <w:pPr>
        <w:spacing w:after="160" w:line="278" w:lineRule="auto"/>
        <w:rPr>
          <w:rFonts w:ascii="宋体" w:hAnsi="宋体"/>
          <w:sz w:val="22"/>
          <w:szCs w:val="28"/>
        </w:rPr>
      </w:pPr>
      <w:bookmarkStart w:id="3111" w:name="_Toc129798481"/>
      <w:bookmarkStart w:id="3112" w:name="_Toc152045748"/>
      <w:bookmarkStart w:id="3113" w:name="_Toc152042527"/>
      <w:bookmarkStart w:id="3114" w:name="_Toc144974719"/>
      <w:bookmarkStart w:id="3115" w:name="_Toc179632766"/>
      <w:bookmarkStart w:id="3116" w:name="_Toc109914546"/>
      <w:bookmarkStart w:id="3117" w:name="_Toc342296502"/>
      <w:bookmarkStart w:id="3118" w:name="_Toc241459743"/>
      <w:bookmarkStart w:id="3119" w:name="_Toc132619230"/>
      <w:bookmarkStart w:id="3120" w:name="_Toc142385769"/>
      <w:r>
        <w:rPr>
          <w:rFonts w:ascii="宋体" w:hAnsi="宋体"/>
          <w:sz w:val="22"/>
          <w:szCs w:val="28"/>
        </w:rPr>
        <w:t>20.6 对各项保险的一般要求</w:t>
      </w:r>
      <w:bookmarkEnd w:id="3111"/>
      <w:bookmarkEnd w:id="3112"/>
      <w:bookmarkEnd w:id="3113"/>
      <w:bookmarkEnd w:id="3114"/>
      <w:bookmarkEnd w:id="3115"/>
      <w:bookmarkEnd w:id="3116"/>
      <w:bookmarkEnd w:id="3117"/>
      <w:bookmarkEnd w:id="3118"/>
      <w:bookmarkEnd w:id="3119"/>
      <w:bookmarkEnd w:id="3120"/>
    </w:p>
    <w:p>
      <w:pPr>
        <w:spacing w:after="160" w:line="278" w:lineRule="auto"/>
        <w:rPr>
          <w:rFonts w:ascii="宋体" w:hAnsi="宋体"/>
          <w:sz w:val="22"/>
          <w:szCs w:val="28"/>
        </w:rPr>
      </w:pPr>
      <w:r>
        <w:rPr>
          <w:rFonts w:ascii="宋体" w:hAnsi="宋体"/>
          <w:sz w:val="22"/>
          <w:szCs w:val="28"/>
        </w:rPr>
        <w:t>20.6.1</w:t>
      </w:r>
      <w:r>
        <w:rPr>
          <w:rFonts w:hint="eastAsia" w:ascii="宋体" w:hAnsi="宋体"/>
          <w:sz w:val="22"/>
          <w:szCs w:val="28"/>
        </w:rPr>
        <w:t>保险凭证</w:t>
      </w:r>
    </w:p>
    <w:p>
      <w:pPr>
        <w:spacing w:after="160" w:line="278" w:lineRule="auto"/>
        <w:rPr>
          <w:rFonts w:ascii="宋体" w:hAnsi="宋体"/>
          <w:sz w:val="22"/>
          <w:szCs w:val="28"/>
        </w:rPr>
      </w:pPr>
      <w:r>
        <w:rPr>
          <w:rFonts w:ascii="宋体" w:hAnsi="宋体"/>
          <w:sz w:val="22"/>
          <w:szCs w:val="28"/>
        </w:rPr>
        <w:t xml:space="preserve">承包人向发包人提交各项保险生效的证据和保险单副本的期限：                 </w:t>
      </w:r>
    </w:p>
    <w:p>
      <w:pPr>
        <w:spacing w:after="160" w:line="278" w:lineRule="auto"/>
        <w:rPr>
          <w:rFonts w:ascii="宋体" w:hAnsi="宋体"/>
          <w:sz w:val="22"/>
          <w:szCs w:val="28"/>
        </w:rPr>
      </w:pP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t>20.6.4</w:t>
      </w:r>
      <w:r>
        <w:rPr>
          <w:rFonts w:hint="eastAsia" w:ascii="宋体" w:hAnsi="宋体"/>
          <w:sz w:val="22"/>
          <w:szCs w:val="28"/>
        </w:rPr>
        <w:t>保险金不足的补偿</w:t>
      </w:r>
    </w:p>
    <w:p>
      <w:pPr>
        <w:spacing w:after="160" w:line="278" w:lineRule="auto"/>
        <w:rPr>
          <w:rFonts w:ascii="宋体" w:hAnsi="宋体"/>
          <w:sz w:val="22"/>
          <w:szCs w:val="28"/>
        </w:rPr>
      </w:pPr>
      <w:r>
        <w:rPr>
          <w:rFonts w:ascii="宋体" w:hAnsi="宋体"/>
          <w:sz w:val="22"/>
          <w:szCs w:val="28"/>
        </w:rPr>
        <w:t xml:space="preserve">保险金不足以补偿损失时，承包人和发包人负责补偿的责任分摊：               </w:t>
      </w:r>
    </w:p>
    <w:p>
      <w:pPr>
        <w:spacing w:after="160" w:line="278" w:lineRule="auto"/>
        <w:rPr>
          <w:rFonts w:ascii="宋体" w:hAnsi="宋体"/>
          <w:sz w:val="22"/>
          <w:szCs w:val="28"/>
        </w:rPr>
      </w:pPr>
      <w:r>
        <w:rPr>
          <w:rFonts w:ascii="宋体" w:hAnsi="宋体"/>
          <w:sz w:val="22"/>
          <w:szCs w:val="28"/>
        </w:rPr>
        <w:t xml:space="preserve">                                                                              。</w:t>
      </w:r>
    </w:p>
    <w:p>
      <w:pPr>
        <w:spacing w:after="160" w:line="278" w:lineRule="auto"/>
        <w:rPr>
          <w:rFonts w:ascii="宋体" w:hAnsi="宋体"/>
          <w:sz w:val="22"/>
          <w:szCs w:val="28"/>
        </w:rPr>
      </w:pPr>
      <w:bookmarkStart w:id="3121" w:name="_Toc144974720"/>
      <w:bookmarkStart w:id="3122" w:name="_Toc129798482"/>
      <w:bookmarkStart w:id="3123" w:name="_Toc132619231"/>
      <w:bookmarkStart w:id="3124" w:name="_Toc448758466"/>
      <w:bookmarkStart w:id="3125" w:name="_Toc448758566"/>
      <w:bookmarkStart w:id="3126" w:name="_Toc442365658"/>
      <w:bookmarkStart w:id="3127" w:name="_Toc469660061"/>
      <w:bookmarkStart w:id="3128" w:name="_Toc342296503"/>
      <w:bookmarkStart w:id="3129" w:name="_Toc179632767"/>
      <w:bookmarkStart w:id="3130" w:name="_Toc142385770"/>
      <w:bookmarkStart w:id="3131" w:name="_Toc152045749"/>
      <w:bookmarkStart w:id="3132" w:name="_Toc152042528"/>
      <w:bookmarkStart w:id="3133" w:name="_Toc109914547"/>
      <w:bookmarkStart w:id="3134" w:name="_Toc241459744"/>
      <w:r>
        <w:rPr>
          <w:rFonts w:ascii="宋体" w:hAnsi="宋体"/>
          <w:sz w:val="22"/>
          <w:szCs w:val="28"/>
        </w:rPr>
        <w:t>21. 不可抗力</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pPr>
        <w:spacing w:after="160" w:line="278" w:lineRule="auto"/>
        <w:rPr>
          <w:rFonts w:ascii="宋体" w:hAnsi="宋体"/>
          <w:sz w:val="22"/>
          <w:szCs w:val="28"/>
        </w:rPr>
      </w:pPr>
      <w:bookmarkStart w:id="3135" w:name="_Toc132619232"/>
      <w:bookmarkStart w:id="3136" w:name="_Toc241459745"/>
      <w:bookmarkStart w:id="3137" w:name="_Toc144974721"/>
      <w:bookmarkStart w:id="3138" w:name="_Toc142385771"/>
      <w:bookmarkStart w:id="3139" w:name="_Toc152042529"/>
      <w:bookmarkStart w:id="3140" w:name="_Toc109914548"/>
      <w:bookmarkStart w:id="3141" w:name="_Toc179632768"/>
      <w:bookmarkStart w:id="3142" w:name="_Toc152045750"/>
      <w:bookmarkStart w:id="3143" w:name="_Toc342296504"/>
      <w:bookmarkStart w:id="3144" w:name="_Toc129798483"/>
      <w:r>
        <w:rPr>
          <w:rFonts w:ascii="宋体" w:hAnsi="宋体"/>
          <w:sz w:val="22"/>
          <w:szCs w:val="28"/>
        </w:rPr>
        <w:t>21.1 不可抗力的确认</w:t>
      </w:r>
      <w:bookmarkEnd w:id="3135"/>
      <w:bookmarkEnd w:id="3136"/>
      <w:bookmarkEnd w:id="3137"/>
      <w:bookmarkEnd w:id="3138"/>
      <w:bookmarkEnd w:id="3139"/>
      <w:bookmarkEnd w:id="3140"/>
      <w:bookmarkEnd w:id="3141"/>
      <w:bookmarkEnd w:id="3142"/>
      <w:bookmarkEnd w:id="3143"/>
      <w:bookmarkEnd w:id="3144"/>
    </w:p>
    <w:p>
      <w:pPr>
        <w:spacing w:after="160" w:line="278" w:lineRule="auto"/>
        <w:rPr>
          <w:rFonts w:ascii="宋体" w:hAnsi="宋体"/>
          <w:sz w:val="22"/>
          <w:szCs w:val="28"/>
        </w:rPr>
      </w:pPr>
      <w:r>
        <w:rPr>
          <w:rFonts w:ascii="宋体" w:hAnsi="宋体"/>
          <w:sz w:val="22"/>
          <w:szCs w:val="28"/>
        </w:rPr>
        <w:t>21.1.1通用合同条款第21.1.1项约定的不可抗力以外的其他情形：</w:t>
      </w:r>
      <w:r>
        <w:rPr>
          <w:rFonts w:ascii="宋体" w:hAnsi="宋体"/>
          <w:sz w:val="22"/>
          <w:szCs w:val="28"/>
          <w:u w:val="single"/>
        </w:rPr>
        <w:t xml:space="preserve">        /     </w:t>
      </w:r>
      <w:r>
        <w:rPr>
          <w:rFonts w:ascii="宋体" w:hAnsi="宋体"/>
          <w:sz w:val="22"/>
          <w:szCs w:val="28"/>
        </w:rPr>
        <w:t>。</w:t>
      </w:r>
    </w:p>
    <w:p>
      <w:pPr>
        <w:spacing w:after="160" w:line="278" w:lineRule="auto"/>
        <w:rPr>
          <w:rFonts w:ascii="宋体" w:hAnsi="宋体"/>
          <w:sz w:val="22"/>
          <w:szCs w:val="28"/>
        </w:rPr>
      </w:pPr>
      <w:r>
        <w:rPr>
          <w:rFonts w:ascii="宋体" w:hAnsi="宋体"/>
          <w:sz w:val="22"/>
          <w:szCs w:val="28"/>
        </w:rPr>
        <w:t>不可抗力的等级范围约定：烈度7度（不含7度）以上地震，10级以上（不含10级）台风，日雨量60mm以上暴雨（以国家县（市）级以上气象局（台）、地震局（台）等专门机构公布为准），以及县市级以上政府公告不允许在本场地施工的时段。</w:t>
      </w:r>
    </w:p>
    <w:p>
      <w:pPr>
        <w:spacing w:after="160" w:line="278" w:lineRule="auto"/>
        <w:rPr>
          <w:rFonts w:ascii="宋体" w:hAnsi="宋体"/>
          <w:sz w:val="22"/>
          <w:szCs w:val="28"/>
        </w:rPr>
      </w:pPr>
      <w:bookmarkStart w:id="3145" w:name="_Toc342296505"/>
      <w:bookmarkStart w:id="3146" w:name="_Toc152045752"/>
      <w:bookmarkStart w:id="3147" w:name="_Toc132619233"/>
      <w:bookmarkStart w:id="3148" w:name="_Toc144974723"/>
      <w:bookmarkStart w:id="3149" w:name="_Toc142385772"/>
      <w:bookmarkStart w:id="3150" w:name="_Toc179632770"/>
      <w:bookmarkStart w:id="3151" w:name="_Toc129798484"/>
      <w:bookmarkStart w:id="3152" w:name="_Toc241459746"/>
      <w:bookmarkStart w:id="3153" w:name="_Toc109914549"/>
      <w:bookmarkStart w:id="3154" w:name="_Toc152042531"/>
      <w:r>
        <w:rPr>
          <w:rFonts w:ascii="宋体" w:hAnsi="宋体"/>
          <w:sz w:val="22"/>
          <w:szCs w:val="28"/>
        </w:rPr>
        <w:t>21.3 不可抗力后果及其处理</w:t>
      </w:r>
      <w:bookmarkEnd w:id="3145"/>
      <w:bookmarkEnd w:id="3146"/>
      <w:bookmarkEnd w:id="3147"/>
      <w:bookmarkEnd w:id="3148"/>
      <w:bookmarkEnd w:id="3149"/>
      <w:bookmarkEnd w:id="3150"/>
      <w:bookmarkEnd w:id="3151"/>
      <w:bookmarkEnd w:id="3152"/>
      <w:bookmarkEnd w:id="3153"/>
      <w:bookmarkEnd w:id="3154"/>
    </w:p>
    <w:p>
      <w:pPr>
        <w:spacing w:after="160" w:line="278" w:lineRule="auto"/>
        <w:rPr>
          <w:rFonts w:ascii="宋体" w:hAnsi="宋体"/>
          <w:sz w:val="22"/>
          <w:szCs w:val="28"/>
        </w:rPr>
      </w:pPr>
      <w:r>
        <w:rPr>
          <w:rFonts w:ascii="宋体" w:hAnsi="宋体"/>
          <w:sz w:val="22"/>
          <w:szCs w:val="28"/>
        </w:rPr>
        <w:t>21.3.1</w:t>
      </w:r>
      <w:r>
        <w:rPr>
          <w:rFonts w:hint="eastAsia" w:ascii="宋体" w:hAnsi="宋体"/>
          <w:sz w:val="22"/>
          <w:szCs w:val="28"/>
        </w:rPr>
        <w:t>不可抗力造成损害的责任</w:t>
      </w:r>
    </w:p>
    <w:p>
      <w:pPr>
        <w:spacing w:after="160" w:line="278" w:lineRule="auto"/>
        <w:rPr>
          <w:rFonts w:ascii="宋体" w:hAnsi="宋体"/>
          <w:sz w:val="22"/>
          <w:szCs w:val="28"/>
        </w:rPr>
      </w:pPr>
      <w:r>
        <w:rPr>
          <w:rFonts w:ascii="宋体" w:hAnsi="宋体"/>
          <w:sz w:val="22"/>
          <w:szCs w:val="28"/>
        </w:rPr>
        <w:t xml:space="preserve">不可抗力导致的人员伤亡、财产损失、费用增加和（或）工期延误等后果，由合同双方按通用合同条款第21.3.1项约定的原则承担。                                                                      </w:t>
      </w:r>
    </w:p>
    <w:p>
      <w:pPr>
        <w:spacing w:after="160" w:line="278" w:lineRule="auto"/>
        <w:rPr>
          <w:rFonts w:ascii="宋体" w:hAnsi="宋体"/>
          <w:sz w:val="22"/>
          <w:szCs w:val="28"/>
        </w:rPr>
      </w:pPr>
      <w:bookmarkStart w:id="3155" w:name="_Toc342296506"/>
      <w:bookmarkStart w:id="3156" w:name="_Toc179632780"/>
      <w:bookmarkStart w:id="3157" w:name="_Toc132619234"/>
      <w:bookmarkStart w:id="3158" w:name="_Toc129798485"/>
      <w:bookmarkStart w:id="3159" w:name="_Toc144974732"/>
      <w:bookmarkStart w:id="3160" w:name="_Toc448758567"/>
      <w:bookmarkStart w:id="3161" w:name="_Toc152042541"/>
      <w:bookmarkStart w:id="3162" w:name="_Toc142385773"/>
      <w:bookmarkStart w:id="3163" w:name="_Toc152045762"/>
      <w:bookmarkStart w:id="3164" w:name="_Toc442365659"/>
      <w:bookmarkStart w:id="3165" w:name="_Toc241459747"/>
      <w:bookmarkStart w:id="3166" w:name="_Toc448758467"/>
      <w:bookmarkStart w:id="3167" w:name="_Toc109914550"/>
      <w:bookmarkStart w:id="3168" w:name="_Toc469660062"/>
      <w:r>
        <w:rPr>
          <w:rFonts w:ascii="宋体" w:hAnsi="宋体"/>
          <w:sz w:val="22"/>
          <w:szCs w:val="28"/>
        </w:rPr>
        <w:t>24. 争议的解决</w:t>
      </w:r>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spacing w:after="160" w:line="278" w:lineRule="auto"/>
        <w:rPr>
          <w:rFonts w:ascii="宋体" w:hAnsi="宋体"/>
          <w:sz w:val="22"/>
          <w:szCs w:val="28"/>
        </w:rPr>
      </w:pPr>
      <w:bookmarkStart w:id="3169" w:name="_Toc129798486"/>
      <w:bookmarkStart w:id="3170" w:name="_Toc342296507"/>
      <w:bookmarkStart w:id="3171" w:name="_Toc142385774"/>
      <w:bookmarkStart w:id="3172" w:name="_Toc179632781"/>
      <w:bookmarkStart w:id="3173" w:name="_Toc152042542"/>
      <w:bookmarkStart w:id="3174" w:name="_Toc144974733"/>
      <w:bookmarkStart w:id="3175" w:name="_Toc109914551"/>
      <w:bookmarkStart w:id="3176" w:name="_Toc241459748"/>
      <w:bookmarkStart w:id="3177" w:name="_Toc132619235"/>
      <w:bookmarkStart w:id="3178" w:name="_Toc152045763"/>
      <w:r>
        <w:rPr>
          <w:rFonts w:ascii="宋体" w:hAnsi="宋体"/>
          <w:sz w:val="22"/>
          <w:szCs w:val="28"/>
        </w:rPr>
        <w:t>24.1 争议的解决方式</w:t>
      </w:r>
      <w:bookmarkEnd w:id="3169"/>
      <w:bookmarkEnd w:id="3170"/>
      <w:bookmarkEnd w:id="3171"/>
      <w:bookmarkEnd w:id="3172"/>
      <w:bookmarkEnd w:id="3173"/>
      <w:bookmarkEnd w:id="3174"/>
      <w:bookmarkEnd w:id="3175"/>
      <w:bookmarkEnd w:id="3176"/>
      <w:bookmarkEnd w:id="3177"/>
      <w:bookmarkEnd w:id="3178"/>
    </w:p>
    <w:p>
      <w:pPr>
        <w:spacing w:after="160" w:line="278" w:lineRule="auto"/>
        <w:rPr>
          <w:rFonts w:ascii="宋体" w:hAnsi="宋体"/>
          <w:sz w:val="22"/>
          <w:szCs w:val="28"/>
        </w:rPr>
      </w:pPr>
      <w:bookmarkStart w:id="3179" w:name="_Toc144974734"/>
      <w:bookmarkStart w:id="3180" w:name="_Toc152042543"/>
      <w:bookmarkStart w:id="3181" w:name="_Toc179632782"/>
      <w:bookmarkStart w:id="3182" w:name="_Toc152045764"/>
      <w:r>
        <w:rPr>
          <w:rFonts w:ascii="宋体" w:hAnsi="宋体"/>
          <w:sz w:val="22"/>
          <w:szCs w:val="28"/>
        </w:rPr>
        <w:t xml:space="preserve">因本合同引起的或与本合同有关的任何争议，合同双方友好协商不成、不愿提请争议组评审或者不愿接受争议评审组意见的，选择下列第 </w:t>
      </w:r>
      <w:r>
        <w:rPr>
          <w:rFonts w:hint="eastAsia" w:ascii="宋体" w:hAnsi="宋体"/>
          <w:sz w:val="22"/>
          <w:szCs w:val="28"/>
        </w:rPr>
        <w:t>2</w:t>
      </w:r>
      <w:r>
        <w:rPr>
          <w:rFonts w:ascii="宋体" w:hAnsi="宋体"/>
          <w:sz w:val="22"/>
          <w:szCs w:val="28"/>
        </w:rPr>
        <w:t xml:space="preserve"> 种方式解决：</w:t>
      </w:r>
    </w:p>
    <w:p>
      <w:pPr>
        <w:spacing w:after="160" w:line="278" w:lineRule="auto"/>
        <w:rPr>
          <w:rFonts w:ascii="宋体" w:hAnsi="宋体"/>
          <w:sz w:val="22"/>
          <w:szCs w:val="28"/>
        </w:rPr>
      </w:pPr>
      <w:r>
        <w:rPr>
          <w:rFonts w:ascii="宋体" w:hAnsi="宋体"/>
          <w:sz w:val="22"/>
          <w:szCs w:val="28"/>
        </w:rPr>
        <w:t>（</w:t>
      </w:r>
      <w:r>
        <w:rPr>
          <w:rFonts w:hint="eastAsia" w:ascii="宋体" w:hAnsi="宋体"/>
          <w:sz w:val="22"/>
          <w:szCs w:val="28"/>
        </w:rPr>
        <w:t>1</w:t>
      </w:r>
      <w:r>
        <w:rPr>
          <w:rFonts w:ascii="宋体" w:hAnsi="宋体"/>
          <w:sz w:val="22"/>
          <w:szCs w:val="28"/>
        </w:rPr>
        <w:t>）提请 北京仲裁委员会按照该会仲裁规则进行仲裁，仲裁裁决是终局的，对合同双方均有约束力。</w:t>
      </w:r>
    </w:p>
    <w:p>
      <w:pPr>
        <w:spacing w:after="160" w:line="278" w:lineRule="auto"/>
        <w:rPr>
          <w:rFonts w:ascii="宋体" w:hAnsi="宋体"/>
          <w:sz w:val="22"/>
          <w:szCs w:val="28"/>
        </w:rPr>
      </w:pPr>
      <w:r>
        <w:rPr>
          <w:rFonts w:ascii="宋体" w:hAnsi="宋体"/>
          <w:sz w:val="22"/>
          <w:szCs w:val="28"/>
        </w:rPr>
        <w:t>（</w:t>
      </w:r>
      <w:r>
        <w:rPr>
          <w:rFonts w:hint="eastAsia" w:ascii="宋体" w:hAnsi="宋体"/>
          <w:sz w:val="22"/>
          <w:szCs w:val="28"/>
        </w:rPr>
        <w:t>2</w:t>
      </w:r>
      <w:r>
        <w:rPr>
          <w:rFonts w:ascii="宋体" w:hAnsi="宋体"/>
          <w:sz w:val="22"/>
          <w:szCs w:val="28"/>
        </w:rPr>
        <w:t>）向</w:t>
      </w:r>
      <w:r>
        <w:rPr>
          <w:rFonts w:hint="eastAsia" w:ascii="宋体" w:hAnsi="宋体"/>
          <w:sz w:val="22"/>
          <w:szCs w:val="28"/>
        </w:rPr>
        <w:t>房山区</w:t>
      </w:r>
      <w:r>
        <w:rPr>
          <w:rFonts w:ascii="宋体" w:hAnsi="宋体"/>
          <w:sz w:val="22"/>
          <w:szCs w:val="28"/>
        </w:rPr>
        <w:t>人民法院提起诉讼。</w:t>
      </w:r>
    </w:p>
    <w:bookmarkEnd w:id="3179"/>
    <w:bookmarkEnd w:id="3180"/>
    <w:bookmarkEnd w:id="3181"/>
    <w:bookmarkEnd w:id="3182"/>
    <w:p>
      <w:pPr>
        <w:spacing w:after="160" w:line="278" w:lineRule="auto"/>
        <w:rPr>
          <w:rFonts w:ascii="宋体" w:hAnsi="宋体"/>
          <w:sz w:val="22"/>
          <w:szCs w:val="28"/>
        </w:rPr>
      </w:pPr>
      <w:bookmarkStart w:id="3183" w:name="_Toc129798487"/>
      <w:bookmarkStart w:id="3184" w:name="_Toc144974735"/>
      <w:bookmarkStart w:id="3185" w:name="_Toc109914552"/>
      <w:bookmarkStart w:id="3186" w:name="_Toc179632783"/>
      <w:bookmarkStart w:id="3187" w:name="_Toc132619236"/>
      <w:bookmarkStart w:id="3188" w:name="_Toc152045765"/>
      <w:bookmarkStart w:id="3189" w:name="_Toc142385775"/>
      <w:bookmarkStart w:id="3190" w:name="_Toc152042544"/>
      <w:bookmarkStart w:id="3191" w:name="_Toc241459749"/>
      <w:bookmarkStart w:id="3192" w:name="_Toc342296508"/>
      <w:r>
        <w:rPr>
          <w:rFonts w:ascii="宋体" w:hAnsi="宋体"/>
          <w:sz w:val="22"/>
          <w:szCs w:val="28"/>
        </w:rPr>
        <w:t>24.3 争议评审</w:t>
      </w:r>
      <w:bookmarkEnd w:id="3183"/>
      <w:bookmarkEnd w:id="3184"/>
      <w:bookmarkEnd w:id="3185"/>
      <w:bookmarkEnd w:id="3186"/>
      <w:bookmarkEnd w:id="3187"/>
      <w:bookmarkEnd w:id="3188"/>
      <w:bookmarkEnd w:id="3189"/>
      <w:bookmarkEnd w:id="3190"/>
      <w:bookmarkEnd w:id="3191"/>
      <w:bookmarkEnd w:id="3192"/>
    </w:p>
    <w:p>
      <w:pPr>
        <w:spacing w:after="160" w:line="278" w:lineRule="auto"/>
        <w:rPr>
          <w:rFonts w:ascii="宋体" w:hAnsi="宋体"/>
          <w:sz w:val="22"/>
          <w:szCs w:val="28"/>
        </w:rPr>
      </w:pPr>
      <w:r>
        <w:rPr>
          <w:rFonts w:ascii="宋体" w:hAnsi="宋体"/>
          <w:sz w:val="22"/>
          <w:szCs w:val="28"/>
        </w:rPr>
        <w:t>24.3.4争议评审组邀请合同双方代表人和有关人员举行调查会的期限：14日内。</w:t>
      </w:r>
    </w:p>
    <w:p>
      <w:pPr>
        <w:spacing w:after="160" w:line="278" w:lineRule="auto"/>
        <w:rPr>
          <w:rFonts w:ascii="宋体" w:hAnsi="宋体"/>
          <w:sz w:val="22"/>
          <w:szCs w:val="28"/>
        </w:rPr>
      </w:pPr>
      <w:r>
        <w:rPr>
          <w:rFonts w:ascii="宋体" w:hAnsi="宋体"/>
          <w:sz w:val="22"/>
          <w:szCs w:val="28"/>
        </w:rPr>
        <w:t>24.3.5争议评审组在调查会后作出争议评审意见的期限：14日内。</w:t>
      </w:r>
    </w:p>
    <w:p>
      <w:pPr>
        <w:spacing w:after="160" w:line="278" w:lineRule="auto"/>
        <w:rPr>
          <w:rFonts w:ascii="宋体" w:hAnsi="宋体"/>
          <w:sz w:val="22"/>
          <w:szCs w:val="28"/>
        </w:rPr>
      </w:pPr>
    </w:p>
    <w:p>
      <w:pPr>
        <w:spacing w:after="160" w:line="278" w:lineRule="auto"/>
        <w:rPr>
          <w:rFonts w:ascii="宋体" w:hAnsi="宋体"/>
          <w:sz w:val="22"/>
          <w:szCs w:val="28"/>
        </w:rPr>
      </w:pPr>
      <w:bookmarkStart w:id="3193" w:name="_Toc12149"/>
      <w:bookmarkStart w:id="3194" w:name="_Toc17524"/>
      <w:bookmarkStart w:id="3195" w:name="_Toc129798488"/>
      <w:bookmarkStart w:id="3196" w:name="_Toc109914553"/>
      <w:bookmarkStart w:id="3197" w:name="_Toc132619237"/>
      <w:bookmarkStart w:id="3198" w:name="_Toc142385776"/>
      <w:bookmarkStart w:id="3199" w:name="OLE_LINK31"/>
      <w:bookmarkStart w:id="3200" w:name="OLE_LINK32"/>
      <w:r>
        <w:rPr>
          <w:rFonts w:hint="eastAsia" w:ascii="宋体" w:hAnsi="宋体"/>
          <w:sz w:val="22"/>
          <w:szCs w:val="28"/>
        </w:rPr>
        <w:t>25．其他</w:t>
      </w:r>
      <w:bookmarkEnd w:id="3193"/>
      <w:bookmarkEnd w:id="3194"/>
      <w:bookmarkEnd w:id="3195"/>
      <w:bookmarkEnd w:id="3196"/>
      <w:bookmarkEnd w:id="3197"/>
      <w:bookmarkEnd w:id="3198"/>
    </w:p>
    <w:p>
      <w:pPr>
        <w:spacing w:after="160" w:line="278" w:lineRule="auto"/>
        <w:rPr>
          <w:rFonts w:ascii="宋体" w:hAnsi="宋体"/>
          <w:sz w:val="22"/>
          <w:szCs w:val="28"/>
        </w:rPr>
      </w:pPr>
      <w:bookmarkStart w:id="3201" w:name="_Toc109914554"/>
      <w:bookmarkStart w:id="3202" w:name="_Toc142385777"/>
      <w:bookmarkStart w:id="3203" w:name="_Toc129798489"/>
      <w:bookmarkStart w:id="3204" w:name="_Toc132619238"/>
      <w:bookmarkStart w:id="3205" w:name="_Toc5847"/>
      <w:bookmarkStart w:id="3206" w:name="_Toc22737"/>
      <w:r>
        <w:rPr>
          <w:rFonts w:hint="eastAsia" w:ascii="宋体" w:hAnsi="宋体"/>
          <w:sz w:val="22"/>
          <w:szCs w:val="28"/>
        </w:rPr>
        <w:t>施工单位应注意事项</w:t>
      </w:r>
      <w:bookmarkEnd w:id="3201"/>
      <w:bookmarkEnd w:id="3202"/>
      <w:bookmarkEnd w:id="3203"/>
      <w:bookmarkEnd w:id="3204"/>
      <w:bookmarkEnd w:id="3205"/>
      <w:bookmarkEnd w:id="3206"/>
      <w:r>
        <w:rPr>
          <w:rFonts w:hint="eastAsia"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施工过程中可能会对周边设备及器具进行移位，以现场踏勘为准，此项内容已投标报价中综合考虑，不再单独计取。</w:t>
      </w:r>
    </w:p>
    <w:bookmarkEnd w:id="3199"/>
    <w:bookmarkEnd w:id="3200"/>
    <w:p>
      <w:pPr>
        <w:spacing w:after="160" w:line="278" w:lineRule="auto"/>
        <w:rPr>
          <w:rFonts w:ascii="宋体" w:hAnsi="宋体"/>
          <w:sz w:val="22"/>
          <w:szCs w:val="28"/>
        </w:rPr>
      </w:pPr>
    </w:p>
    <w:p>
      <w:pPr>
        <w:spacing w:after="160" w:line="278" w:lineRule="auto"/>
        <w:rPr>
          <w:rFonts w:ascii="宋体" w:hAnsi="宋体"/>
          <w:sz w:val="22"/>
          <w:szCs w:val="28"/>
        </w:rPr>
        <w:sectPr>
          <w:headerReference r:id="rId21" w:type="default"/>
          <w:headerReference r:id="rId22" w:type="even"/>
          <w:footerReference r:id="rId23" w:type="even"/>
          <w:pgSz w:w="11906" w:h="16838"/>
          <w:pgMar w:top="1440" w:right="1797" w:bottom="1440" w:left="1797" w:header="851" w:footer="992" w:gutter="0"/>
          <w:cols w:space="720" w:num="1"/>
          <w:docGrid w:linePitch="312" w:charSpace="0"/>
        </w:sectPr>
      </w:pPr>
    </w:p>
    <w:p>
      <w:pPr>
        <w:spacing w:after="160" w:line="278" w:lineRule="auto"/>
        <w:rPr>
          <w:rFonts w:ascii="宋体" w:hAnsi="宋体"/>
          <w:b/>
          <w:bCs/>
          <w:sz w:val="28"/>
          <w:szCs w:val="36"/>
        </w:rPr>
      </w:pPr>
      <w:r>
        <w:rPr>
          <w:rFonts w:ascii="宋体" w:hAnsi="宋体"/>
          <w:b/>
          <w:bCs/>
          <w:sz w:val="28"/>
          <w:szCs w:val="36"/>
        </w:rPr>
        <w:t>第</w:t>
      </w:r>
      <w:r>
        <w:rPr>
          <w:rFonts w:hint="eastAsia" w:ascii="宋体" w:hAnsi="宋体"/>
          <w:b/>
          <w:bCs/>
          <w:sz w:val="28"/>
          <w:szCs w:val="36"/>
        </w:rPr>
        <w:t>四节 工程质量保修书</w:t>
      </w:r>
    </w:p>
    <w:p>
      <w:pPr>
        <w:spacing w:after="160" w:line="278" w:lineRule="auto"/>
        <w:rPr>
          <w:rFonts w:ascii="宋体" w:hAnsi="宋体"/>
          <w:sz w:val="22"/>
          <w:szCs w:val="28"/>
        </w:rPr>
      </w:pPr>
    </w:p>
    <w:p>
      <w:pPr>
        <w:spacing w:after="160" w:line="278" w:lineRule="auto"/>
        <w:jc w:val="center"/>
        <w:rPr>
          <w:rFonts w:ascii="宋体" w:hAnsi="宋体"/>
          <w:b/>
          <w:bCs/>
          <w:sz w:val="28"/>
          <w:szCs w:val="36"/>
        </w:rPr>
      </w:pPr>
      <w:r>
        <w:rPr>
          <w:rFonts w:hint="eastAsia" w:ascii="宋体" w:hAnsi="宋体"/>
          <w:b/>
          <w:bCs/>
          <w:sz w:val="28"/>
          <w:szCs w:val="36"/>
        </w:rPr>
        <w:t>工程质量保修书</w:t>
      </w: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 xml:space="preserve">建设单位： </w:t>
      </w:r>
    </w:p>
    <w:p>
      <w:pPr>
        <w:spacing w:after="160" w:line="278" w:lineRule="auto"/>
        <w:rPr>
          <w:rFonts w:ascii="宋体" w:hAnsi="宋体"/>
          <w:sz w:val="22"/>
          <w:szCs w:val="28"/>
        </w:rPr>
      </w:pPr>
      <w:r>
        <w:rPr>
          <w:rFonts w:hint="eastAsia" w:ascii="宋体" w:hAnsi="宋体"/>
          <w:sz w:val="22"/>
          <w:szCs w:val="28"/>
        </w:rPr>
        <w:t xml:space="preserve">承 包 人：                     </w:t>
      </w:r>
    </w:p>
    <w:p>
      <w:pPr>
        <w:spacing w:after="160" w:line="278" w:lineRule="auto"/>
        <w:rPr>
          <w:rFonts w:ascii="宋体" w:hAnsi="宋体"/>
          <w:sz w:val="22"/>
          <w:szCs w:val="28"/>
        </w:rPr>
      </w:pPr>
      <w:r>
        <w:rPr>
          <w:rFonts w:hint="eastAsia" w:ascii="宋体" w:hAnsi="宋体"/>
          <w:sz w:val="22"/>
          <w:szCs w:val="28"/>
        </w:rPr>
        <w:t>为保证</w:t>
      </w:r>
      <w:r>
        <w:rPr>
          <w:rFonts w:hint="eastAsia" w:ascii="宋体" w:hAnsi="宋体"/>
          <w:sz w:val="22"/>
          <w:szCs w:val="28"/>
          <w:u w:val="single"/>
        </w:rPr>
        <w:t xml:space="preserve">                   </w:t>
      </w:r>
      <w:r>
        <w:rPr>
          <w:rFonts w:hint="eastAsia" w:ascii="宋体" w:hAnsi="宋体"/>
          <w:sz w:val="22"/>
          <w:szCs w:val="28"/>
        </w:rPr>
        <w:t>在合理使用期限内正常使用，经甲、乙双方协商一致并签定本工程质量保修书。承包人在质量保修期内按照《建设工程质量管理条例》、《房屋建筑工程质量保修办法》和国家、北京市有关管理规定承担工程质量保修责任。</w:t>
      </w:r>
    </w:p>
    <w:p>
      <w:pPr>
        <w:spacing w:after="160" w:line="278" w:lineRule="auto"/>
        <w:rPr>
          <w:rFonts w:ascii="宋体" w:hAnsi="宋体"/>
          <w:sz w:val="22"/>
          <w:szCs w:val="28"/>
        </w:rPr>
      </w:pPr>
      <w:bookmarkStart w:id="3207" w:name="_Toc115802048"/>
      <w:bookmarkStart w:id="3208" w:name="_Toc129798491"/>
      <w:bookmarkStart w:id="3209" w:name="_Toc132619239"/>
      <w:bookmarkStart w:id="3210" w:name="_Toc142385778"/>
      <w:bookmarkStart w:id="3211" w:name="_Toc109914556"/>
      <w:r>
        <w:rPr>
          <w:rFonts w:hint="eastAsia" w:ascii="宋体" w:hAnsi="宋体"/>
          <w:sz w:val="22"/>
          <w:szCs w:val="28"/>
        </w:rPr>
        <w:t>一、工程质量保修范围和内容</w:t>
      </w:r>
      <w:bookmarkEnd w:id="3207"/>
      <w:bookmarkEnd w:id="3208"/>
      <w:bookmarkEnd w:id="3209"/>
      <w:bookmarkEnd w:id="3210"/>
      <w:bookmarkEnd w:id="3211"/>
    </w:p>
    <w:p>
      <w:pPr>
        <w:spacing w:after="160" w:line="278" w:lineRule="auto"/>
        <w:rPr>
          <w:rFonts w:ascii="宋体" w:hAnsi="宋体"/>
          <w:sz w:val="22"/>
          <w:szCs w:val="28"/>
        </w:rPr>
      </w:pPr>
      <w:r>
        <w:rPr>
          <w:rFonts w:hint="eastAsia" w:ascii="宋体" w:hAnsi="宋体"/>
          <w:sz w:val="22"/>
          <w:szCs w:val="28"/>
        </w:rPr>
        <w:t>质量保修范围包括： 根据清单及洽商范围内所有相关内容。</w:t>
      </w:r>
    </w:p>
    <w:p>
      <w:pPr>
        <w:spacing w:after="160" w:line="278" w:lineRule="auto"/>
        <w:rPr>
          <w:rFonts w:ascii="宋体" w:hAnsi="宋体"/>
          <w:sz w:val="22"/>
          <w:szCs w:val="28"/>
        </w:rPr>
      </w:pPr>
      <w:r>
        <w:rPr>
          <w:rFonts w:hint="eastAsia" w:ascii="宋体" w:hAnsi="宋体"/>
          <w:sz w:val="22"/>
          <w:szCs w:val="28"/>
        </w:rPr>
        <w:t>具体质量保修内容双方约定如下:</w:t>
      </w:r>
    </w:p>
    <w:p>
      <w:pPr>
        <w:spacing w:after="160" w:line="278" w:lineRule="auto"/>
        <w:rPr>
          <w:rFonts w:ascii="宋体" w:hAnsi="宋体"/>
          <w:sz w:val="22"/>
          <w:szCs w:val="28"/>
        </w:rPr>
      </w:pPr>
      <w:r>
        <w:rPr>
          <w:rFonts w:hint="eastAsia" w:ascii="宋体" w:hAnsi="宋体"/>
          <w:sz w:val="22"/>
          <w:szCs w:val="28"/>
        </w:rPr>
        <w:t xml:space="preserve">承包人在施工过程中所实际发生的全部施工内容。                        </w:t>
      </w:r>
    </w:p>
    <w:p>
      <w:pPr>
        <w:spacing w:after="160" w:line="278" w:lineRule="auto"/>
        <w:rPr>
          <w:rFonts w:ascii="宋体" w:hAnsi="宋体"/>
          <w:sz w:val="22"/>
          <w:szCs w:val="28"/>
        </w:rPr>
      </w:pPr>
      <w:bookmarkStart w:id="3212" w:name="_Toc132619240"/>
      <w:bookmarkStart w:id="3213" w:name="_Toc129798492"/>
      <w:bookmarkStart w:id="3214" w:name="_Toc115802049"/>
      <w:bookmarkStart w:id="3215" w:name="_Toc142385779"/>
      <w:bookmarkStart w:id="3216" w:name="_Toc109914557"/>
      <w:r>
        <w:rPr>
          <w:rFonts w:hint="eastAsia" w:ascii="宋体" w:hAnsi="宋体"/>
          <w:sz w:val="22"/>
          <w:szCs w:val="28"/>
        </w:rPr>
        <w:t>二、质量保修期</w:t>
      </w:r>
      <w:bookmarkEnd w:id="3212"/>
      <w:bookmarkEnd w:id="3213"/>
      <w:bookmarkEnd w:id="3214"/>
      <w:bookmarkEnd w:id="3215"/>
      <w:bookmarkEnd w:id="3216"/>
    </w:p>
    <w:p>
      <w:pPr>
        <w:spacing w:after="160" w:line="278" w:lineRule="auto"/>
        <w:rPr>
          <w:rFonts w:ascii="宋体" w:hAnsi="宋体"/>
          <w:sz w:val="22"/>
          <w:szCs w:val="28"/>
        </w:rPr>
      </w:pPr>
      <w:r>
        <w:rPr>
          <w:rFonts w:hint="eastAsia" w:ascii="宋体" w:hAnsi="宋体"/>
          <w:sz w:val="22"/>
          <w:szCs w:val="28"/>
        </w:rPr>
        <w:t>本工程质量保修期限从本工程竣工验收合格之日（颁发竣工验收证书之日）起计算。双方根据国家有关规定，约定供热部分质保期2个采暖期，防水部分质量保修期限为5年。</w:t>
      </w:r>
    </w:p>
    <w:p>
      <w:pPr>
        <w:spacing w:after="160" w:line="278" w:lineRule="auto"/>
        <w:rPr>
          <w:rFonts w:ascii="宋体" w:hAnsi="宋体"/>
          <w:sz w:val="22"/>
          <w:szCs w:val="28"/>
        </w:rPr>
      </w:pPr>
      <w:bookmarkStart w:id="3217" w:name="_Toc142385780"/>
      <w:bookmarkStart w:id="3218" w:name="_Toc129798493"/>
      <w:bookmarkStart w:id="3219" w:name="_Toc132619241"/>
      <w:bookmarkStart w:id="3220" w:name="_Toc109914558"/>
      <w:bookmarkStart w:id="3221" w:name="_Toc115802050"/>
      <w:r>
        <w:rPr>
          <w:rFonts w:hint="eastAsia" w:ascii="宋体" w:hAnsi="宋体"/>
          <w:sz w:val="22"/>
          <w:szCs w:val="28"/>
        </w:rPr>
        <w:t>三、质量保修责任</w:t>
      </w:r>
      <w:bookmarkEnd w:id="3217"/>
      <w:bookmarkEnd w:id="3218"/>
      <w:bookmarkEnd w:id="3219"/>
      <w:bookmarkEnd w:id="3220"/>
      <w:bookmarkEnd w:id="3221"/>
    </w:p>
    <w:p>
      <w:pPr>
        <w:spacing w:after="160" w:line="278" w:lineRule="auto"/>
        <w:rPr>
          <w:rFonts w:ascii="宋体" w:hAnsi="宋体"/>
          <w:sz w:val="22"/>
          <w:szCs w:val="28"/>
        </w:rPr>
      </w:pPr>
      <w:r>
        <w:rPr>
          <w:rFonts w:hint="eastAsia" w:ascii="宋体" w:hAnsi="宋体"/>
          <w:sz w:val="22"/>
          <w:szCs w:val="28"/>
        </w:rPr>
        <w:t>1、本工程在保修期限出现质量缺陷，建设单位应当向承包人发出保修通知。承包人接到保修通知后24小时内，应当到现场核查情况并派人修理。承包人不在约定期限内派人修理，建设单位可委托其他人员修理，修理费用从承包人质量保留金内支付。</w:t>
      </w:r>
    </w:p>
    <w:p>
      <w:pPr>
        <w:spacing w:after="160" w:line="278" w:lineRule="auto"/>
        <w:rPr>
          <w:rFonts w:ascii="宋体" w:hAnsi="宋体"/>
          <w:sz w:val="22"/>
          <w:szCs w:val="28"/>
        </w:rPr>
      </w:pPr>
      <w:r>
        <w:rPr>
          <w:rFonts w:hint="eastAsia" w:ascii="宋体" w:hAnsi="宋体"/>
          <w:sz w:val="22"/>
          <w:szCs w:val="28"/>
        </w:rPr>
        <w:t>2、发生紧急抢修事故（龙骨、支架脱落、玻璃爆裂等），承包人接到事故通知后，应立即到达事故现场抢修。非承包人施工质量引起的事故，抢修费用由责任人承担。</w:t>
      </w:r>
    </w:p>
    <w:p>
      <w:pPr>
        <w:spacing w:after="160" w:line="278" w:lineRule="auto"/>
        <w:rPr>
          <w:rFonts w:ascii="宋体" w:hAnsi="宋体"/>
          <w:sz w:val="22"/>
          <w:szCs w:val="28"/>
        </w:rPr>
      </w:pPr>
      <w:r>
        <w:rPr>
          <w:rFonts w:hint="eastAsia" w:ascii="宋体" w:hAnsi="宋体"/>
          <w:sz w:val="22"/>
          <w:szCs w:val="28"/>
        </w:rPr>
        <w:t>3、在国家规定的工程合理使用期限内，承包人确保工程的质量。因承包人原因致使工程在合理使用期限内造成人身和财产损害的，承包人应承担损害赔偿责任。</w:t>
      </w:r>
    </w:p>
    <w:p>
      <w:pPr>
        <w:spacing w:after="160" w:line="278" w:lineRule="auto"/>
        <w:rPr>
          <w:rFonts w:ascii="宋体" w:hAnsi="宋体"/>
          <w:sz w:val="22"/>
          <w:szCs w:val="28"/>
        </w:rPr>
      </w:pPr>
      <w:bookmarkStart w:id="3222" w:name="_Toc115802051"/>
      <w:bookmarkStart w:id="3223" w:name="_Toc142385781"/>
      <w:bookmarkStart w:id="3224" w:name="_Toc109914559"/>
      <w:bookmarkStart w:id="3225" w:name="_Toc132619242"/>
      <w:bookmarkStart w:id="3226" w:name="_Toc129798494"/>
      <w:r>
        <w:rPr>
          <w:rFonts w:hint="eastAsia" w:ascii="宋体" w:hAnsi="宋体"/>
          <w:sz w:val="22"/>
          <w:szCs w:val="28"/>
        </w:rPr>
        <w:t>四、</w:t>
      </w:r>
      <w:bookmarkEnd w:id="3222"/>
      <w:r>
        <w:rPr>
          <w:rFonts w:hint="eastAsia" w:ascii="宋体" w:hAnsi="宋体"/>
          <w:sz w:val="22"/>
          <w:szCs w:val="28"/>
        </w:rPr>
        <w:t>质量保证金金额及支付</w:t>
      </w:r>
      <w:bookmarkEnd w:id="3223"/>
      <w:bookmarkEnd w:id="3224"/>
      <w:bookmarkEnd w:id="3225"/>
      <w:bookmarkEnd w:id="3226"/>
    </w:p>
    <w:p>
      <w:pPr>
        <w:spacing w:after="160" w:line="278" w:lineRule="auto"/>
        <w:rPr>
          <w:rFonts w:ascii="宋体" w:hAnsi="宋体"/>
          <w:sz w:val="22"/>
          <w:szCs w:val="28"/>
        </w:rPr>
      </w:pPr>
      <w:r>
        <w:rPr>
          <w:rFonts w:hint="eastAsia" w:ascii="宋体" w:hAnsi="宋体"/>
          <w:sz w:val="22"/>
          <w:szCs w:val="28"/>
        </w:rPr>
        <w:t>1、本工程约定的工程质量保修金为本工程竣工决算金额的3%。</w:t>
      </w:r>
    </w:p>
    <w:p>
      <w:pPr>
        <w:spacing w:after="160" w:line="278" w:lineRule="auto"/>
        <w:rPr>
          <w:rFonts w:ascii="宋体" w:hAnsi="宋体"/>
          <w:sz w:val="22"/>
          <w:szCs w:val="28"/>
        </w:rPr>
      </w:pPr>
      <w:r>
        <w:rPr>
          <w:rFonts w:hint="eastAsia" w:ascii="宋体" w:hAnsi="宋体"/>
          <w:sz w:val="22"/>
          <w:szCs w:val="28"/>
        </w:rPr>
        <w:t>2、在承包人已经完成本合同所规定的保修义务，并已得到建设单位向承包人颁发的保修责任终止证书之日后56天内，建设单位将剩余的质量保证金金额全部支付给承包人。</w:t>
      </w:r>
      <w:bookmarkStart w:id="3227" w:name="_Toc115802053"/>
    </w:p>
    <w:p>
      <w:pPr>
        <w:spacing w:after="160" w:line="278" w:lineRule="auto"/>
        <w:rPr>
          <w:rFonts w:ascii="宋体" w:hAnsi="宋体"/>
          <w:sz w:val="22"/>
          <w:szCs w:val="28"/>
        </w:rPr>
      </w:pPr>
      <w:bookmarkStart w:id="3228" w:name="_Toc109914560"/>
      <w:bookmarkStart w:id="3229" w:name="_Toc142385782"/>
      <w:bookmarkStart w:id="3230" w:name="_Toc129798495"/>
      <w:bookmarkStart w:id="3231" w:name="_Toc132619243"/>
      <w:r>
        <w:rPr>
          <w:rFonts w:hint="eastAsia" w:ascii="宋体" w:hAnsi="宋体"/>
          <w:sz w:val="22"/>
          <w:szCs w:val="28"/>
        </w:rPr>
        <w:t>五、其他</w:t>
      </w:r>
      <w:bookmarkEnd w:id="3227"/>
      <w:bookmarkEnd w:id="3228"/>
      <w:bookmarkEnd w:id="3229"/>
      <w:bookmarkEnd w:id="3230"/>
      <w:bookmarkEnd w:id="3231"/>
    </w:p>
    <w:p>
      <w:pPr>
        <w:spacing w:after="160" w:line="278" w:lineRule="auto"/>
        <w:rPr>
          <w:rFonts w:ascii="宋体" w:hAnsi="宋体"/>
          <w:sz w:val="22"/>
          <w:szCs w:val="28"/>
        </w:rPr>
      </w:pPr>
      <w:r>
        <w:rPr>
          <w:rFonts w:hint="eastAsia" w:ascii="宋体" w:hAnsi="宋体"/>
          <w:sz w:val="22"/>
          <w:szCs w:val="28"/>
        </w:rPr>
        <w:t>双方约定的其他工程质量保修事项：如果国家和项目发包人对该工程的质量保修有特殊要求时则按特殊要求执行。</w:t>
      </w:r>
    </w:p>
    <w:p>
      <w:pPr>
        <w:spacing w:after="160" w:line="278" w:lineRule="auto"/>
        <w:rPr>
          <w:rFonts w:ascii="宋体" w:hAnsi="宋体"/>
          <w:sz w:val="22"/>
          <w:szCs w:val="28"/>
        </w:rPr>
      </w:pPr>
      <w:r>
        <w:rPr>
          <w:rFonts w:hint="eastAsia" w:ascii="宋体" w:hAnsi="宋体"/>
          <w:sz w:val="22"/>
          <w:szCs w:val="28"/>
        </w:rPr>
        <w:t xml:space="preserve">       </w:t>
      </w: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（此页无正文）</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发包人：               （盖单位章） 承包人：</w:t>
      </w:r>
      <w:r>
        <w:rPr>
          <w:rFonts w:hint="eastAsia" w:ascii="宋体" w:hAnsi="宋体"/>
          <w:sz w:val="22"/>
          <w:szCs w:val="28"/>
        </w:rPr>
        <w:t xml:space="preserve">            </w:t>
      </w:r>
      <w:r>
        <w:rPr>
          <w:rFonts w:ascii="宋体" w:hAnsi="宋体"/>
          <w:sz w:val="22"/>
          <w:szCs w:val="28"/>
        </w:rPr>
        <w:t>（盖单位章）</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法定代表人或其                      法定代表人或其</w:t>
      </w:r>
    </w:p>
    <w:p>
      <w:pPr>
        <w:spacing w:after="160" w:line="278" w:lineRule="auto"/>
        <w:rPr>
          <w:rFonts w:ascii="宋体" w:hAnsi="宋体"/>
          <w:sz w:val="22"/>
          <w:szCs w:val="28"/>
        </w:rPr>
      </w:pPr>
      <w:r>
        <w:rPr>
          <w:rFonts w:ascii="宋体" w:hAnsi="宋体"/>
          <w:sz w:val="22"/>
          <w:szCs w:val="28"/>
        </w:rPr>
        <w:t>委托代理人：              （签字）  委托代理人：                   （签字）</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 xml:space="preserve">        年      月   </w:t>
      </w:r>
      <w:r>
        <w:rPr>
          <w:rFonts w:hint="eastAsia" w:ascii="宋体" w:hAnsi="宋体"/>
          <w:sz w:val="22"/>
          <w:szCs w:val="28"/>
        </w:rPr>
        <w:t xml:space="preserve">   </w:t>
      </w:r>
      <w:r>
        <w:rPr>
          <w:rFonts w:ascii="宋体" w:hAnsi="宋体"/>
          <w:sz w:val="22"/>
          <w:szCs w:val="28"/>
        </w:rPr>
        <w:t xml:space="preserve"> 日      </w:t>
      </w:r>
      <w:r>
        <w:rPr>
          <w:rFonts w:hint="eastAsia" w:ascii="宋体" w:hAnsi="宋体"/>
          <w:sz w:val="22"/>
          <w:szCs w:val="28"/>
        </w:rPr>
        <w:t xml:space="preserve"> </w:t>
      </w:r>
      <w:r>
        <w:rPr>
          <w:rFonts w:ascii="宋体" w:hAnsi="宋体"/>
          <w:sz w:val="22"/>
          <w:szCs w:val="28"/>
        </w:rPr>
        <w:t xml:space="preserve">      年     月      日</w:t>
      </w:r>
    </w:p>
    <w:p>
      <w:pPr>
        <w:spacing w:after="160" w:line="278" w:lineRule="auto"/>
        <w:rPr>
          <w:rFonts w:ascii="宋体" w:hAnsi="宋体"/>
          <w:sz w:val="22"/>
          <w:szCs w:val="28"/>
        </w:rPr>
      </w:pPr>
    </w:p>
    <w:p>
      <w:pPr>
        <w:spacing w:after="160" w:line="278" w:lineRule="auto"/>
        <w:rPr>
          <w:rFonts w:ascii="宋体" w:hAnsi="宋体"/>
          <w:sz w:val="22"/>
          <w:szCs w:val="28"/>
        </w:rPr>
      </w:pPr>
      <w:r>
        <w:rPr>
          <w:rFonts w:ascii="宋体" w:hAnsi="宋体"/>
          <w:sz w:val="22"/>
          <w:szCs w:val="28"/>
        </w:rPr>
        <w:t xml:space="preserve">签约地点： </w:t>
      </w:r>
      <w:r>
        <w:rPr>
          <w:rFonts w:hint="eastAsia" w:ascii="宋体" w:hAnsi="宋体"/>
          <w:sz w:val="22"/>
          <w:szCs w:val="28"/>
        </w:rPr>
        <w:t xml:space="preserve"> </w:t>
      </w:r>
      <w:r>
        <w:rPr>
          <w:rFonts w:ascii="宋体" w:hAnsi="宋体"/>
          <w:sz w:val="22"/>
          <w:szCs w:val="28"/>
        </w:rPr>
        <w:t xml:space="preserve">             </w:t>
      </w:r>
    </w:p>
    <w:p>
      <w:pPr>
        <w:spacing w:after="160" w:line="278" w:lineRule="auto"/>
        <w:rPr>
          <w:rFonts w:ascii="宋体" w:hAnsi="宋体"/>
          <w:sz w:val="22"/>
          <w:szCs w:val="28"/>
        </w:rPr>
      </w:pPr>
      <w:r>
        <w:rPr>
          <w:rFonts w:ascii="宋体" w:hAnsi="宋体"/>
          <w:sz w:val="22"/>
          <w:szCs w:val="28"/>
        </w:rPr>
        <w:br w:type="page"/>
      </w:r>
    </w:p>
    <w:p>
      <w:pPr>
        <w:spacing w:after="160" w:line="278" w:lineRule="auto"/>
        <w:rPr>
          <w:rFonts w:ascii="宋体" w:hAnsi="宋体"/>
          <w:b/>
          <w:bCs/>
          <w:sz w:val="28"/>
          <w:szCs w:val="36"/>
        </w:rPr>
      </w:pPr>
      <w:r>
        <w:rPr>
          <w:rFonts w:ascii="宋体" w:hAnsi="宋体"/>
          <w:b/>
          <w:bCs/>
          <w:sz w:val="28"/>
          <w:szCs w:val="36"/>
        </w:rPr>
        <w:t>第</w:t>
      </w:r>
      <w:r>
        <w:rPr>
          <w:rFonts w:hint="eastAsia" w:ascii="宋体" w:hAnsi="宋体"/>
          <w:b/>
          <w:bCs/>
          <w:sz w:val="28"/>
          <w:szCs w:val="36"/>
        </w:rPr>
        <w:t>五节 工程建设项目廉政责任书</w:t>
      </w:r>
    </w:p>
    <w:p>
      <w:pPr>
        <w:spacing w:after="160" w:line="278" w:lineRule="auto"/>
        <w:jc w:val="center"/>
        <w:rPr>
          <w:rFonts w:ascii="宋体" w:hAnsi="宋体"/>
          <w:b/>
          <w:bCs/>
          <w:sz w:val="28"/>
          <w:szCs w:val="36"/>
        </w:rPr>
      </w:pPr>
      <w:r>
        <w:rPr>
          <w:rFonts w:hint="eastAsia" w:ascii="宋体" w:hAnsi="宋体"/>
          <w:b/>
          <w:bCs/>
          <w:sz w:val="28"/>
          <w:szCs w:val="36"/>
        </w:rPr>
        <w:t>工程建设项目廉政责任书</w:t>
      </w: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 xml:space="preserve">工程项目名称： </w:t>
      </w:r>
    </w:p>
    <w:p>
      <w:pPr>
        <w:spacing w:after="160" w:line="278" w:lineRule="auto"/>
        <w:rPr>
          <w:rFonts w:ascii="宋体" w:hAnsi="宋体"/>
          <w:sz w:val="22"/>
          <w:szCs w:val="28"/>
        </w:rPr>
      </w:pPr>
      <w:r>
        <w:rPr>
          <w:rFonts w:hint="eastAsia" w:ascii="宋体" w:hAnsi="宋体"/>
          <w:sz w:val="22"/>
          <w:szCs w:val="28"/>
        </w:rPr>
        <w:t xml:space="preserve">工程项目地址： </w:t>
      </w:r>
    </w:p>
    <w:p>
      <w:pPr>
        <w:spacing w:after="160" w:line="278" w:lineRule="auto"/>
        <w:rPr>
          <w:rFonts w:ascii="宋体" w:hAnsi="宋体"/>
          <w:sz w:val="22"/>
          <w:szCs w:val="28"/>
        </w:rPr>
      </w:pPr>
      <w:r>
        <w:rPr>
          <w:rFonts w:hint="eastAsia" w:ascii="宋体" w:hAnsi="宋体"/>
          <w:sz w:val="22"/>
          <w:szCs w:val="28"/>
        </w:rPr>
        <w:t xml:space="preserve">发包人（甲方）： </w:t>
      </w:r>
    </w:p>
    <w:p>
      <w:pPr>
        <w:spacing w:after="160" w:line="278" w:lineRule="auto"/>
        <w:rPr>
          <w:rFonts w:ascii="宋体" w:hAnsi="宋体"/>
          <w:sz w:val="22"/>
          <w:szCs w:val="28"/>
        </w:rPr>
      </w:pPr>
      <w:r>
        <w:rPr>
          <w:rFonts w:hint="eastAsia" w:ascii="宋体" w:hAnsi="宋体"/>
          <w:sz w:val="22"/>
          <w:szCs w:val="28"/>
        </w:rPr>
        <w:t xml:space="preserve">承包人（乙方）：           </w:t>
      </w:r>
      <w:r>
        <w:rPr>
          <w:rFonts w:ascii="宋体" w:hAnsi="宋体"/>
          <w:sz w:val="22"/>
          <w:szCs w:val="28"/>
        </w:rPr>
        <w:t xml:space="preserve">    </w:t>
      </w:r>
      <w:r>
        <w:rPr>
          <w:rFonts w:hint="eastAsia" w:ascii="宋体" w:hAnsi="宋体"/>
          <w:sz w:val="22"/>
          <w:szCs w:val="28"/>
        </w:rPr>
        <w:t xml:space="preserve">       </w:t>
      </w:r>
    </w:p>
    <w:p>
      <w:pPr>
        <w:spacing w:after="160" w:line="278" w:lineRule="auto"/>
        <w:rPr>
          <w:rFonts w:ascii="宋体" w:hAnsi="宋体"/>
          <w:sz w:val="22"/>
          <w:szCs w:val="28"/>
        </w:rPr>
      </w:pPr>
      <w:r>
        <w:rPr>
          <w:rFonts w:hint="eastAsia" w:ascii="宋体" w:hAnsi="宋体"/>
          <w:sz w:val="22"/>
          <w:szCs w:val="28"/>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after="160" w:line="278" w:lineRule="auto"/>
        <w:rPr>
          <w:rFonts w:ascii="宋体" w:hAnsi="宋体"/>
          <w:sz w:val="22"/>
          <w:szCs w:val="28"/>
        </w:rPr>
      </w:pPr>
      <w:r>
        <w:rPr>
          <w:rFonts w:hint="eastAsia" w:ascii="宋体" w:hAnsi="宋体"/>
          <w:sz w:val="22"/>
          <w:szCs w:val="28"/>
        </w:rPr>
        <w:t>第一条  甲乙双方的责任</w:t>
      </w:r>
    </w:p>
    <w:p>
      <w:pPr>
        <w:spacing w:after="160" w:line="278" w:lineRule="auto"/>
        <w:rPr>
          <w:rFonts w:ascii="宋体" w:hAnsi="宋体"/>
          <w:sz w:val="22"/>
          <w:szCs w:val="28"/>
        </w:rPr>
      </w:pPr>
      <w:r>
        <w:rPr>
          <w:rFonts w:hint="eastAsia" w:ascii="宋体" w:hAnsi="宋体"/>
          <w:sz w:val="22"/>
          <w:szCs w:val="28"/>
        </w:rPr>
        <w:t>（一）应严格遵守国家关于市场准入、项目招标投标、工程建设、施工安装和市场活动的有关法律、法规，相关政策，以及廉政建设的各项规定。</w:t>
      </w:r>
    </w:p>
    <w:p>
      <w:pPr>
        <w:spacing w:after="160" w:line="278" w:lineRule="auto"/>
        <w:rPr>
          <w:rFonts w:ascii="宋体" w:hAnsi="宋体"/>
          <w:sz w:val="22"/>
          <w:szCs w:val="28"/>
        </w:rPr>
      </w:pPr>
      <w:r>
        <w:rPr>
          <w:rFonts w:hint="eastAsia" w:ascii="宋体" w:hAnsi="宋体"/>
          <w:sz w:val="22"/>
          <w:szCs w:val="28"/>
        </w:rPr>
        <w:t>（二）严格执行建设工程项目承发包合同文件，自觉按合同办事。</w:t>
      </w:r>
    </w:p>
    <w:p>
      <w:pPr>
        <w:spacing w:after="160" w:line="278" w:lineRule="auto"/>
        <w:rPr>
          <w:rFonts w:ascii="宋体" w:hAnsi="宋体"/>
          <w:sz w:val="22"/>
          <w:szCs w:val="28"/>
        </w:rPr>
      </w:pPr>
      <w:r>
        <w:rPr>
          <w:rFonts w:hint="eastAsia" w:ascii="宋体" w:hAnsi="宋体"/>
          <w:sz w:val="22"/>
          <w:szCs w:val="28"/>
        </w:rPr>
        <w:t>（三）业务活动必须坚持公开、公平、公正、诚信、透明的原则（除法律法规另有规定者外），不得为获取不正当的利益，损害国家、集体和对方利益，不得违反工程建设管理、施工安装的规章制度。</w:t>
      </w:r>
    </w:p>
    <w:p>
      <w:pPr>
        <w:spacing w:after="160" w:line="278" w:lineRule="auto"/>
        <w:rPr>
          <w:rFonts w:ascii="宋体" w:hAnsi="宋体"/>
          <w:sz w:val="22"/>
          <w:szCs w:val="28"/>
        </w:rPr>
      </w:pPr>
      <w:r>
        <w:rPr>
          <w:rFonts w:hint="eastAsia" w:ascii="宋体" w:hAnsi="宋体"/>
          <w:sz w:val="22"/>
          <w:szCs w:val="28"/>
        </w:rPr>
        <w:t xml:space="preserve">    （四）发现对方在业务活动中有违规、违纪、违法行为的，应及时提醒对方，情节严重的，应向其上级主管部门或纪检监察、司法等有关机关举报。</w:t>
      </w:r>
    </w:p>
    <w:p>
      <w:pPr>
        <w:spacing w:after="160" w:line="278" w:lineRule="auto"/>
        <w:rPr>
          <w:rFonts w:ascii="宋体" w:hAnsi="宋体"/>
          <w:sz w:val="22"/>
          <w:szCs w:val="28"/>
        </w:rPr>
      </w:pPr>
      <w:r>
        <w:rPr>
          <w:rFonts w:hint="eastAsia" w:ascii="宋体" w:hAnsi="宋体"/>
          <w:sz w:val="22"/>
          <w:szCs w:val="28"/>
        </w:rPr>
        <w:t>第二条 甲方的责任</w:t>
      </w:r>
    </w:p>
    <w:p>
      <w:pPr>
        <w:spacing w:after="160" w:line="278" w:lineRule="auto"/>
        <w:rPr>
          <w:rFonts w:ascii="宋体" w:hAnsi="宋体"/>
          <w:sz w:val="22"/>
          <w:szCs w:val="28"/>
        </w:rPr>
      </w:pPr>
      <w:r>
        <w:rPr>
          <w:rFonts w:hint="eastAsia" w:ascii="宋体" w:hAnsi="宋体"/>
          <w:sz w:val="22"/>
          <w:szCs w:val="28"/>
        </w:rPr>
        <w:t>甲方的领导和从事该建设工程项目的工作人员，在工程建设的事前、事中、事后应遵守以下规定：</w:t>
      </w:r>
    </w:p>
    <w:p>
      <w:pPr>
        <w:spacing w:after="160" w:line="278" w:lineRule="auto"/>
        <w:rPr>
          <w:rFonts w:ascii="宋体" w:hAnsi="宋体"/>
          <w:sz w:val="22"/>
          <w:szCs w:val="28"/>
        </w:rPr>
      </w:pPr>
      <w:r>
        <w:rPr>
          <w:rFonts w:hint="eastAsia" w:ascii="宋体" w:hAnsi="宋体"/>
          <w:sz w:val="22"/>
          <w:szCs w:val="28"/>
        </w:rPr>
        <w:t>（一）不准向乙方和相关单位索要或接受回扣、礼金、有价证券、贵重物品和好处费、感谢费等。</w:t>
      </w:r>
    </w:p>
    <w:p>
      <w:pPr>
        <w:spacing w:after="160" w:line="278" w:lineRule="auto"/>
        <w:rPr>
          <w:rFonts w:ascii="宋体" w:hAnsi="宋体"/>
          <w:sz w:val="22"/>
          <w:szCs w:val="28"/>
        </w:rPr>
      </w:pPr>
      <w:r>
        <w:rPr>
          <w:rFonts w:hint="eastAsia" w:ascii="宋体" w:hAnsi="宋体"/>
          <w:sz w:val="22"/>
          <w:szCs w:val="28"/>
        </w:rPr>
        <w:t>（二）不准在乙方和相关单位报销任何应由甲方或个人支付的费用。</w:t>
      </w:r>
    </w:p>
    <w:p>
      <w:pPr>
        <w:spacing w:after="160" w:line="278" w:lineRule="auto"/>
        <w:rPr>
          <w:rFonts w:ascii="宋体" w:hAnsi="宋体"/>
          <w:sz w:val="22"/>
          <w:szCs w:val="28"/>
        </w:rPr>
      </w:pPr>
      <w:r>
        <w:rPr>
          <w:rFonts w:hint="eastAsia" w:ascii="宋体" w:hAnsi="宋体"/>
          <w:sz w:val="22"/>
          <w:szCs w:val="28"/>
        </w:rPr>
        <w:t>（三）不准要求、暗示或接受乙方和相关单位为个人装修住房、婚丧嫁娶、配偶子女的工作安排以及出国（境）、旅游等提供方便。</w:t>
      </w:r>
    </w:p>
    <w:p>
      <w:pPr>
        <w:spacing w:after="160" w:line="278" w:lineRule="auto"/>
        <w:rPr>
          <w:rFonts w:ascii="宋体" w:hAnsi="宋体"/>
          <w:sz w:val="22"/>
          <w:szCs w:val="28"/>
        </w:rPr>
      </w:pPr>
      <w:r>
        <w:rPr>
          <w:rFonts w:hint="eastAsia" w:ascii="宋体" w:hAnsi="宋体"/>
          <w:sz w:val="22"/>
          <w:szCs w:val="28"/>
        </w:rPr>
        <w:t>（四）不准参加有可能影响公正执行公务的乙方和相关单位的宴请、健身、娱乐等活动。</w:t>
      </w:r>
    </w:p>
    <w:p>
      <w:pPr>
        <w:spacing w:after="160" w:line="278" w:lineRule="auto"/>
        <w:rPr>
          <w:rFonts w:ascii="宋体" w:hAnsi="宋体"/>
          <w:sz w:val="22"/>
          <w:szCs w:val="28"/>
        </w:rPr>
      </w:pPr>
      <w:r>
        <w:rPr>
          <w:rFonts w:hint="eastAsia" w:ascii="宋体" w:hAnsi="宋体"/>
          <w:sz w:val="22"/>
          <w:szCs w:val="28"/>
        </w:rPr>
        <w:t>（五）不准向乙方介绍或为配偶、子女、亲属参与同甲方项目工程施工合同有关的设备、材料工程分包、劳务等经济活动。不得以任何理由要求乙方和相关单位推荐分包单位和要求乙方购买项目工程施工合同约定以外的材料、设备等。</w:t>
      </w:r>
    </w:p>
    <w:p>
      <w:pPr>
        <w:spacing w:after="160" w:line="278" w:lineRule="auto"/>
        <w:rPr>
          <w:rFonts w:ascii="宋体" w:hAnsi="宋体"/>
          <w:sz w:val="22"/>
          <w:szCs w:val="28"/>
        </w:rPr>
      </w:pPr>
      <w:r>
        <w:rPr>
          <w:rFonts w:hint="eastAsia" w:ascii="宋体" w:hAnsi="宋体"/>
          <w:sz w:val="22"/>
          <w:szCs w:val="28"/>
        </w:rPr>
        <w:t>第三条 乙方的责任</w:t>
      </w:r>
    </w:p>
    <w:p>
      <w:pPr>
        <w:spacing w:after="160" w:line="278" w:lineRule="auto"/>
        <w:rPr>
          <w:rFonts w:ascii="宋体" w:hAnsi="宋体"/>
          <w:sz w:val="22"/>
          <w:szCs w:val="28"/>
        </w:rPr>
      </w:pPr>
      <w:r>
        <w:rPr>
          <w:rFonts w:hint="eastAsia" w:ascii="宋体" w:hAnsi="宋体"/>
          <w:sz w:val="22"/>
          <w:szCs w:val="28"/>
        </w:rPr>
        <w:t>应与甲方保持正常的业务交往，按照有关法律法规和程序开展业务工作，严格执行工程建设的有关方针、政策，尤其是有关建筑施工安装的强制性标准和规范，并遵守以下规定：</w:t>
      </w:r>
    </w:p>
    <w:p>
      <w:pPr>
        <w:spacing w:after="160" w:line="278" w:lineRule="auto"/>
        <w:rPr>
          <w:rFonts w:ascii="宋体" w:hAnsi="宋体"/>
          <w:sz w:val="22"/>
          <w:szCs w:val="28"/>
        </w:rPr>
      </w:pPr>
      <w:r>
        <w:rPr>
          <w:rFonts w:hint="eastAsia" w:ascii="宋体" w:hAnsi="宋体"/>
          <w:sz w:val="22"/>
          <w:szCs w:val="28"/>
        </w:rPr>
        <w:t>（一）不准以任何理由向甲方、相关单位及其工作人员索要、接受或赠送礼金、有价证券、贵重物品和回扣、好处费、感谢费等。</w:t>
      </w:r>
    </w:p>
    <w:p>
      <w:pPr>
        <w:spacing w:after="160" w:line="278" w:lineRule="auto"/>
        <w:rPr>
          <w:rFonts w:ascii="宋体" w:hAnsi="宋体"/>
          <w:sz w:val="22"/>
          <w:szCs w:val="28"/>
        </w:rPr>
      </w:pPr>
      <w:r>
        <w:rPr>
          <w:rFonts w:hint="eastAsia" w:ascii="宋体" w:hAnsi="宋体"/>
          <w:sz w:val="22"/>
          <w:szCs w:val="28"/>
        </w:rPr>
        <w:t>（二）不准以任何理由为甲方和相关单位报销应由对方或个人支付的费用。</w:t>
      </w:r>
    </w:p>
    <w:p>
      <w:pPr>
        <w:spacing w:after="160" w:line="278" w:lineRule="auto"/>
        <w:rPr>
          <w:rFonts w:ascii="宋体" w:hAnsi="宋体"/>
          <w:sz w:val="22"/>
          <w:szCs w:val="28"/>
        </w:rPr>
      </w:pPr>
      <w:r>
        <w:rPr>
          <w:rFonts w:hint="eastAsia" w:ascii="宋体" w:hAnsi="宋体"/>
          <w:sz w:val="22"/>
          <w:szCs w:val="28"/>
        </w:rPr>
        <w:t>（三）不准接受或暗示为甲方、相关单位或个人装修住房、婚丧嫁娶、配偶子女的工作安排以及出国（境）、旅游等提供方便。</w:t>
      </w:r>
    </w:p>
    <w:p>
      <w:pPr>
        <w:spacing w:after="160" w:line="278" w:lineRule="auto"/>
        <w:rPr>
          <w:rFonts w:ascii="宋体" w:hAnsi="宋体"/>
          <w:sz w:val="22"/>
          <w:szCs w:val="28"/>
        </w:rPr>
      </w:pPr>
      <w:r>
        <w:rPr>
          <w:rFonts w:hint="eastAsia" w:ascii="宋体" w:hAnsi="宋体"/>
          <w:sz w:val="22"/>
          <w:szCs w:val="28"/>
        </w:rPr>
        <w:t>（四）不准以任何理由为甲方、相关单位或个人组织有可能影响公正执行公务的宴请、健身、娱乐等活动。</w:t>
      </w:r>
    </w:p>
    <w:p>
      <w:pPr>
        <w:spacing w:after="160" w:line="278" w:lineRule="auto"/>
        <w:rPr>
          <w:rFonts w:ascii="宋体" w:hAnsi="宋体"/>
          <w:sz w:val="22"/>
          <w:szCs w:val="28"/>
        </w:rPr>
      </w:pPr>
      <w:r>
        <w:rPr>
          <w:rFonts w:hint="eastAsia" w:ascii="宋体" w:hAnsi="宋体"/>
          <w:sz w:val="22"/>
          <w:szCs w:val="28"/>
        </w:rPr>
        <w:t xml:space="preserve">第四条  违约责任 </w:t>
      </w:r>
    </w:p>
    <w:p>
      <w:pPr>
        <w:spacing w:after="160" w:line="278" w:lineRule="auto"/>
        <w:rPr>
          <w:rFonts w:ascii="宋体" w:hAnsi="宋体"/>
          <w:sz w:val="22"/>
          <w:szCs w:val="28"/>
        </w:rPr>
      </w:pPr>
      <w:r>
        <w:rPr>
          <w:rFonts w:hint="eastAsia" w:ascii="宋体" w:hAnsi="宋体"/>
          <w:sz w:val="22"/>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after="160" w:line="278" w:lineRule="auto"/>
        <w:rPr>
          <w:rFonts w:ascii="宋体" w:hAnsi="宋体"/>
          <w:sz w:val="22"/>
          <w:szCs w:val="28"/>
        </w:rPr>
      </w:pPr>
      <w:r>
        <w:rPr>
          <w:rFonts w:hint="eastAsia" w:ascii="宋体" w:hAnsi="宋体"/>
          <w:sz w:val="22"/>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after="160" w:line="278" w:lineRule="auto"/>
        <w:rPr>
          <w:rFonts w:ascii="宋体" w:hAnsi="宋体"/>
          <w:sz w:val="22"/>
          <w:szCs w:val="28"/>
        </w:rPr>
      </w:pPr>
      <w:r>
        <w:rPr>
          <w:rFonts w:hint="eastAsia" w:ascii="宋体" w:hAnsi="宋体"/>
          <w:sz w:val="22"/>
          <w:szCs w:val="28"/>
        </w:rPr>
        <w:t xml:space="preserve">    第五条  本责任书作为工程施工合同的附件，与工程施工合同具有同等法律效力。经双方签署后立即生效。</w:t>
      </w:r>
    </w:p>
    <w:p>
      <w:pPr>
        <w:spacing w:after="160" w:line="278" w:lineRule="auto"/>
        <w:rPr>
          <w:rFonts w:ascii="宋体" w:hAnsi="宋体"/>
          <w:sz w:val="22"/>
          <w:szCs w:val="28"/>
        </w:rPr>
      </w:pPr>
      <w:r>
        <w:rPr>
          <w:rFonts w:hint="eastAsia" w:ascii="宋体" w:hAnsi="宋体"/>
          <w:sz w:val="22"/>
          <w:szCs w:val="28"/>
        </w:rPr>
        <w:t>第六条  本责任书的有效期为双方签署之日起至该工程项目竣工验收合格时止。</w:t>
      </w: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甲方单位：（盖章）                         乙方单位：</w:t>
      </w:r>
      <w:r>
        <w:rPr>
          <w:rFonts w:ascii="宋体" w:hAnsi="宋体"/>
          <w:sz w:val="22"/>
          <w:szCs w:val="28"/>
        </w:rPr>
        <w:t xml:space="preserve"> </w:t>
      </w: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法定代表人或委托代理人（签字或盖章）：    法定代表人或委托代理人（签字或盖章）：</w:t>
      </w:r>
    </w:p>
    <w:p>
      <w:pPr>
        <w:spacing w:after="160" w:line="278" w:lineRule="auto"/>
        <w:rPr>
          <w:rFonts w:ascii="宋体" w:hAnsi="宋体"/>
          <w:sz w:val="22"/>
          <w:szCs w:val="28"/>
        </w:rPr>
      </w:pP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 xml:space="preserve">地址： </w:t>
      </w:r>
      <w:r>
        <w:rPr>
          <w:rFonts w:ascii="宋体" w:hAnsi="宋体"/>
          <w:sz w:val="22"/>
          <w:szCs w:val="28"/>
        </w:rPr>
        <w:t xml:space="preserve">                      </w:t>
      </w:r>
      <w:r>
        <w:rPr>
          <w:rFonts w:hint="eastAsia" w:ascii="宋体" w:hAnsi="宋体"/>
          <w:sz w:val="22"/>
          <w:szCs w:val="28"/>
        </w:rPr>
        <w:t xml:space="preserve">             地址：</w:t>
      </w:r>
      <w:r>
        <w:rPr>
          <w:rFonts w:ascii="宋体" w:hAnsi="宋体"/>
          <w:sz w:val="22"/>
          <w:szCs w:val="28"/>
        </w:rPr>
        <w:t xml:space="preserve"> </w:t>
      </w:r>
    </w:p>
    <w:p>
      <w:pPr>
        <w:spacing w:after="160" w:line="278" w:lineRule="auto"/>
        <w:rPr>
          <w:rFonts w:ascii="宋体" w:hAnsi="宋体"/>
          <w:sz w:val="22"/>
          <w:szCs w:val="28"/>
        </w:rPr>
      </w:pPr>
    </w:p>
    <w:p>
      <w:pPr>
        <w:spacing w:after="160" w:line="278" w:lineRule="auto"/>
        <w:rPr>
          <w:rFonts w:ascii="宋体" w:hAnsi="宋体"/>
          <w:sz w:val="22"/>
          <w:szCs w:val="28"/>
        </w:rPr>
      </w:pPr>
      <w:r>
        <w:rPr>
          <w:rFonts w:hint="eastAsia" w:ascii="宋体" w:hAnsi="宋体"/>
          <w:sz w:val="22"/>
          <w:szCs w:val="28"/>
        </w:rPr>
        <w:t>电话：                                    电话：</w:t>
      </w:r>
    </w:p>
    <w:p>
      <w:pPr>
        <w:spacing w:after="160" w:line="278" w:lineRule="auto"/>
        <w:rPr>
          <w:rFonts w:ascii="宋体" w:hAnsi="宋体"/>
        </w:rPr>
      </w:pPr>
      <w:r>
        <w:rPr>
          <w:rFonts w:hint="eastAsia" w:ascii="宋体" w:hAnsi="宋体"/>
          <w:sz w:val="22"/>
          <w:szCs w:val="28"/>
        </w:rPr>
        <w:t xml:space="preserve">年    月  </w:t>
      </w:r>
      <w:r>
        <w:rPr>
          <w:rFonts w:ascii="宋体" w:hAnsi="宋体"/>
          <w:sz w:val="22"/>
          <w:szCs w:val="28"/>
        </w:rPr>
        <w:t xml:space="preserve"> </w:t>
      </w:r>
      <w:r>
        <w:rPr>
          <w:rFonts w:hint="eastAsia" w:ascii="宋体" w:hAnsi="宋体"/>
          <w:sz w:val="22"/>
          <w:szCs w:val="28"/>
        </w:rPr>
        <w:t xml:space="preserve"> 日                                 年    月  </w:t>
      </w:r>
      <w:r>
        <w:rPr>
          <w:rFonts w:ascii="宋体" w:hAnsi="宋体"/>
          <w:sz w:val="22"/>
          <w:szCs w:val="28"/>
        </w:rPr>
        <w:t xml:space="preserve"> </w:t>
      </w:r>
      <w:r>
        <w:rPr>
          <w:rFonts w:hint="eastAsia" w:ascii="宋体" w:hAnsi="宋体"/>
          <w:sz w:val="22"/>
          <w:szCs w:val="28"/>
        </w:rPr>
        <w:t xml:space="preserve"> 日</w:t>
      </w: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pPr>
    </w:p>
    <w:p>
      <w:pPr>
        <w:spacing w:after="160" w:line="278" w:lineRule="auto"/>
        <w:rPr>
          <w:rFonts w:ascii="宋体" w:hAnsi="宋体"/>
        </w:rPr>
        <w:sectPr>
          <w:headerReference r:id="rId24" w:type="default"/>
          <w:footerReference r:id="rId25" w:type="default"/>
          <w:pgSz w:w="11906" w:h="16838"/>
          <w:pgMar w:top="1440" w:right="1486" w:bottom="1440" w:left="1800" w:header="851" w:footer="992" w:gutter="0"/>
          <w:cols w:space="720" w:num="1"/>
          <w:titlePg/>
          <w:docGrid w:type="lines" w:linePitch="312" w:charSpace="0"/>
        </w:sectPr>
      </w:pPr>
    </w:p>
    <w:p>
      <w:pPr>
        <w:spacing w:after="160" w:line="278" w:lineRule="auto"/>
        <w:rPr>
          <w:rFonts w:ascii="宋体" w:hAnsi="宋体"/>
        </w:rPr>
      </w:pPr>
    </w:p>
    <w:p>
      <w:pPr>
        <w:spacing w:after="160" w:line="278" w:lineRule="auto"/>
        <w:rPr>
          <w:rFonts w:ascii="宋体" w:hAnsi="宋体"/>
          <w:b/>
          <w:bCs/>
          <w:sz w:val="24"/>
          <w:szCs w:val="32"/>
        </w:rPr>
      </w:pPr>
      <w:r>
        <w:rPr>
          <w:rFonts w:ascii="宋体" w:hAnsi="宋体"/>
          <w:b/>
          <w:bCs/>
          <w:sz w:val="24"/>
          <w:szCs w:val="32"/>
        </w:rPr>
        <w:t>第</w:t>
      </w:r>
      <w:r>
        <w:rPr>
          <w:rFonts w:hint="eastAsia" w:ascii="宋体" w:hAnsi="宋体"/>
          <w:b/>
          <w:bCs/>
          <w:sz w:val="24"/>
          <w:szCs w:val="32"/>
        </w:rPr>
        <w:t>六节 中标通知书</w:t>
      </w:r>
    </w:p>
    <w:p>
      <w:pPr>
        <w:spacing w:after="160" w:line="278" w:lineRule="auto"/>
        <w:rPr>
          <w:rFonts w:ascii="宋体" w:hAnsi="宋体"/>
          <w:b/>
          <w:bCs/>
          <w:sz w:val="24"/>
          <w:szCs w:val="32"/>
        </w:rPr>
      </w:pPr>
    </w:p>
    <w:p>
      <w:pPr>
        <w:spacing w:after="160" w:line="278" w:lineRule="auto"/>
        <w:rPr>
          <w:rFonts w:ascii="宋体" w:hAnsi="宋体"/>
          <w:b/>
          <w:bCs/>
          <w:sz w:val="24"/>
          <w:szCs w:val="32"/>
        </w:rPr>
      </w:pPr>
      <w:r>
        <w:rPr>
          <w:rFonts w:ascii="宋体" w:hAnsi="宋体"/>
          <w:b/>
          <w:bCs/>
          <w:sz w:val="24"/>
          <w:szCs w:val="32"/>
        </w:rPr>
        <w:t>第</w:t>
      </w:r>
      <w:r>
        <w:rPr>
          <w:rFonts w:hint="eastAsia" w:ascii="宋体" w:hAnsi="宋体"/>
          <w:b/>
          <w:bCs/>
          <w:sz w:val="24"/>
          <w:szCs w:val="32"/>
        </w:rPr>
        <w:t>七节 施工安全协议书</w:t>
      </w:r>
    </w:p>
    <w:p>
      <w:pPr>
        <w:spacing w:after="160" w:line="278" w:lineRule="auto"/>
        <w:jc w:val="center"/>
        <w:rPr>
          <w:rFonts w:ascii="宋体" w:hAnsi="宋体"/>
          <w:sz w:val="24"/>
          <w:szCs w:val="32"/>
        </w:rPr>
      </w:pPr>
    </w:p>
    <w:p>
      <w:pPr>
        <w:spacing w:after="160" w:line="278" w:lineRule="auto"/>
        <w:jc w:val="center"/>
        <w:rPr>
          <w:rFonts w:ascii="宋体" w:hAnsi="宋体"/>
          <w:sz w:val="24"/>
          <w:szCs w:val="32"/>
        </w:rPr>
      </w:pPr>
      <w:r>
        <w:rPr>
          <w:rFonts w:ascii="宋体" w:hAnsi="宋体"/>
          <w:sz w:val="24"/>
          <w:szCs w:val="32"/>
        </w:rPr>
        <w:t>工程施工安全协议书</w:t>
      </w:r>
    </w:p>
    <w:p>
      <w:pPr>
        <w:widowControl/>
        <w:adjustRightInd w:val="0"/>
        <w:snapToGrid w:val="0"/>
        <w:spacing w:after="160" w:line="480" w:lineRule="exact"/>
        <w:ind w:firstLine="567"/>
        <w:rPr>
          <w:rFonts w:ascii="宋体" w:hAnsi="宋体"/>
          <w:snapToGrid w:val="0"/>
          <w:kern w:val="28"/>
          <w:sz w:val="28"/>
          <w:szCs w:val="20"/>
        </w:rPr>
      </w:pPr>
    </w:p>
    <w:p>
      <w:pPr>
        <w:spacing w:after="160" w:line="278" w:lineRule="auto"/>
        <w:rPr>
          <w:rFonts w:ascii="宋体" w:hAnsi="宋体"/>
        </w:rPr>
      </w:pPr>
      <w:r>
        <w:rPr>
          <w:rFonts w:ascii="宋体" w:hAnsi="宋体"/>
        </w:rPr>
        <w:t>为贯彻</w:t>
      </w:r>
      <w:r>
        <w:rPr>
          <w:rFonts w:hint="eastAsia" w:ascii="宋体" w:hAnsi="宋体"/>
        </w:rPr>
        <w:t>“</w:t>
      </w:r>
      <w:r>
        <w:rPr>
          <w:rFonts w:ascii="宋体" w:hAnsi="宋体"/>
        </w:rPr>
        <w:t>安全第一，预防为主</w:t>
      </w:r>
      <w:r>
        <w:rPr>
          <w:rFonts w:hint="eastAsia" w:ascii="宋体" w:hAnsi="宋体"/>
        </w:rPr>
        <w:t>”</w:t>
      </w:r>
      <w:r>
        <w:rPr>
          <w:rFonts w:ascii="宋体" w:hAnsi="宋体"/>
        </w:rPr>
        <w:t>方针，明确双方的安全责任，确保施工中人身、</w:t>
      </w:r>
      <w:r>
        <w:rPr>
          <w:rFonts w:hint="eastAsia" w:ascii="宋体" w:hAnsi="宋体"/>
        </w:rPr>
        <w:t>机械</w:t>
      </w:r>
      <w:r>
        <w:rPr>
          <w:rFonts w:ascii="宋体" w:hAnsi="宋体"/>
        </w:rPr>
        <w:t>和设备安全，根据国家有关法律法规，经双方协商一致签订本协议。</w:t>
      </w:r>
    </w:p>
    <w:p>
      <w:pPr>
        <w:spacing w:after="160" w:line="278" w:lineRule="auto"/>
        <w:rPr>
          <w:rFonts w:ascii="宋体" w:hAnsi="宋体"/>
        </w:rPr>
      </w:pPr>
      <w:r>
        <w:rPr>
          <w:rFonts w:hint="eastAsia" w:ascii="宋体" w:hAnsi="宋体"/>
        </w:rPr>
        <w:t xml:space="preserve">第一条 </w:t>
      </w:r>
      <w:r>
        <w:rPr>
          <w:rFonts w:ascii="宋体" w:hAnsi="宋体"/>
        </w:rPr>
        <w:t>工程项目：</w:t>
      </w:r>
      <w:r>
        <w:rPr>
          <w:rFonts w:hint="eastAsia" w:ascii="宋体" w:hAnsi="宋体"/>
        </w:rPr>
        <w:t xml:space="preserve"> </w:t>
      </w:r>
    </w:p>
    <w:p>
      <w:pPr>
        <w:spacing w:after="160" w:line="278" w:lineRule="auto"/>
        <w:rPr>
          <w:rFonts w:ascii="宋体" w:hAnsi="宋体"/>
        </w:rPr>
      </w:pPr>
      <w:r>
        <w:rPr>
          <w:rFonts w:hint="eastAsia" w:ascii="宋体" w:hAnsi="宋体"/>
        </w:rPr>
        <w:t>第二</w:t>
      </w:r>
      <w:r>
        <w:rPr>
          <w:rFonts w:ascii="宋体" w:hAnsi="宋体"/>
        </w:rPr>
        <w:t>条 施工地址：</w:t>
      </w:r>
    </w:p>
    <w:p>
      <w:pPr>
        <w:spacing w:after="160" w:line="278" w:lineRule="auto"/>
        <w:rPr>
          <w:rFonts w:ascii="宋体" w:hAnsi="宋体"/>
        </w:rPr>
      </w:pPr>
      <w:r>
        <w:rPr>
          <w:rFonts w:ascii="宋体" w:hAnsi="宋体"/>
        </w:rPr>
        <w:t>第三条</w:t>
      </w:r>
      <w:r>
        <w:rPr>
          <w:rFonts w:hint="eastAsia" w:ascii="宋体" w:hAnsi="宋体"/>
        </w:rPr>
        <w:t xml:space="preserve"> </w:t>
      </w:r>
      <w:r>
        <w:rPr>
          <w:rFonts w:ascii="宋体" w:hAnsi="宋体"/>
        </w:rPr>
        <w:t>甲方安全责任</w:t>
      </w:r>
    </w:p>
    <w:p>
      <w:pPr>
        <w:spacing w:after="160" w:line="278" w:lineRule="auto"/>
        <w:rPr>
          <w:rFonts w:ascii="宋体" w:hAnsi="宋体"/>
        </w:rPr>
      </w:pPr>
      <w:r>
        <w:rPr>
          <w:rFonts w:ascii="宋体" w:hAnsi="宋体"/>
        </w:rPr>
        <w:t>1、开工前甲方对乙方进行施工安全技术交底，并应有书面记录或资料。</w:t>
      </w:r>
    </w:p>
    <w:p>
      <w:pPr>
        <w:spacing w:after="160" w:line="278" w:lineRule="auto"/>
        <w:rPr>
          <w:rFonts w:ascii="宋体" w:hAnsi="宋体"/>
        </w:rPr>
      </w:pPr>
      <w:r>
        <w:rPr>
          <w:rFonts w:ascii="宋体" w:hAnsi="宋体"/>
        </w:rPr>
        <w:t>2、甲方应要求乙方制定施工安全措施，在开始施工前报甲方备案。</w:t>
      </w:r>
    </w:p>
    <w:p>
      <w:pPr>
        <w:spacing w:after="160" w:line="278" w:lineRule="auto"/>
        <w:rPr>
          <w:rFonts w:ascii="宋体" w:hAnsi="宋体"/>
        </w:rPr>
      </w:pPr>
      <w:r>
        <w:rPr>
          <w:rFonts w:ascii="宋体" w:hAnsi="宋体"/>
        </w:rPr>
        <w:t>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spacing w:after="160" w:line="278" w:lineRule="auto"/>
        <w:rPr>
          <w:rFonts w:ascii="宋体" w:hAnsi="宋体"/>
        </w:rPr>
      </w:pPr>
      <w:r>
        <w:rPr>
          <w:rFonts w:ascii="宋体" w:hAnsi="宋体"/>
        </w:rPr>
        <w:t>4、甲方指派</w:t>
      </w:r>
      <w:r>
        <w:rPr>
          <w:rFonts w:hint="eastAsia" w:ascii="宋体" w:hAnsi="宋体"/>
        </w:rPr>
        <w:t xml:space="preserve">     </w:t>
      </w:r>
      <w:r>
        <w:rPr>
          <w:rFonts w:ascii="宋体" w:hAnsi="宋体"/>
        </w:rPr>
        <w:t>同志负责与乙方联系安全生产方面的工作。</w:t>
      </w:r>
    </w:p>
    <w:p>
      <w:pPr>
        <w:spacing w:after="160" w:line="278" w:lineRule="auto"/>
        <w:rPr>
          <w:rFonts w:ascii="宋体" w:hAnsi="宋体"/>
        </w:rPr>
      </w:pPr>
      <w:r>
        <w:rPr>
          <w:rFonts w:ascii="宋体" w:hAnsi="宋体"/>
        </w:rPr>
        <w:t>5、甲方负责签发工作票，对工作票所填写的安全措施是否正确完备负责，并履行工作票许可手续。</w:t>
      </w:r>
    </w:p>
    <w:p>
      <w:pPr>
        <w:spacing w:after="160" w:line="278" w:lineRule="auto"/>
        <w:rPr>
          <w:rFonts w:ascii="宋体" w:hAnsi="宋体"/>
        </w:rPr>
      </w:pPr>
      <w:r>
        <w:rPr>
          <w:rFonts w:ascii="宋体" w:hAnsi="宋体"/>
        </w:rPr>
        <w:t>6、甲方有权对乙方参与施工的人员进行安全技术知识和安全工作规程的抽考。</w:t>
      </w:r>
    </w:p>
    <w:p>
      <w:pPr>
        <w:spacing w:after="160" w:line="278" w:lineRule="auto"/>
        <w:rPr>
          <w:rFonts w:ascii="宋体" w:hAnsi="宋体"/>
        </w:rPr>
      </w:pPr>
      <w:r>
        <w:rPr>
          <w:rFonts w:ascii="宋体" w:hAnsi="宋体"/>
        </w:rPr>
        <w:t>7、乙方在施工中发生的</w:t>
      </w:r>
      <w:r>
        <w:rPr>
          <w:rFonts w:hint="eastAsia" w:ascii="宋体" w:hAnsi="宋体"/>
        </w:rPr>
        <w:t>任何</w:t>
      </w:r>
      <w:r>
        <w:rPr>
          <w:rFonts w:ascii="宋体" w:hAnsi="宋体"/>
        </w:rPr>
        <w:t>事故，甲方有责任负责调查、统计上报。乙方在施工中如发生国务院《</w:t>
      </w:r>
      <w:r>
        <w:rPr>
          <w:rFonts w:hint="eastAsia" w:ascii="宋体" w:hAnsi="宋体"/>
        </w:rPr>
        <w:t>生产安全事故报告和调查处理条例</w:t>
      </w:r>
      <w:r>
        <w:rPr>
          <w:rFonts w:ascii="宋体" w:hAnsi="宋体"/>
        </w:rPr>
        <w:t>》所规定的</w:t>
      </w:r>
      <w:r>
        <w:rPr>
          <w:rFonts w:hint="eastAsia" w:ascii="宋体" w:hAnsi="宋体"/>
        </w:rPr>
        <w:t>特别重大</w:t>
      </w:r>
      <w:r>
        <w:rPr>
          <w:rFonts w:ascii="宋体" w:hAnsi="宋体"/>
        </w:rPr>
        <w:t>事故，甲方有权督促乙方立即通知当地政府和公安部门，要求派人保护现场；并有权要求乙方提供事故调查书面结论及处理意见。</w:t>
      </w:r>
    </w:p>
    <w:p>
      <w:pPr>
        <w:spacing w:after="160" w:line="278" w:lineRule="auto"/>
        <w:rPr>
          <w:rFonts w:ascii="宋体" w:hAnsi="宋体"/>
        </w:rPr>
      </w:pPr>
      <w:r>
        <w:rPr>
          <w:rFonts w:ascii="宋体" w:hAnsi="宋体"/>
        </w:rPr>
        <w:t>8、甲方不得要求乙方违反安全管理规定进行施工。因甲方原因导致的事故由甲方承担责任。</w:t>
      </w:r>
    </w:p>
    <w:p>
      <w:pPr>
        <w:spacing w:after="160" w:line="278" w:lineRule="auto"/>
        <w:rPr>
          <w:rFonts w:ascii="宋体" w:hAnsi="宋体"/>
        </w:rPr>
      </w:pPr>
      <w:r>
        <w:rPr>
          <w:rFonts w:ascii="宋体" w:hAnsi="宋体"/>
        </w:rPr>
        <w:t>9、发生以下情况停工整顿，因停工造成的违约责任由乙方承担：</w:t>
      </w:r>
    </w:p>
    <w:p>
      <w:pPr>
        <w:spacing w:after="160" w:line="278" w:lineRule="auto"/>
        <w:rPr>
          <w:rFonts w:ascii="宋体" w:hAnsi="宋体"/>
        </w:rPr>
      </w:pPr>
      <w:r>
        <w:rPr>
          <w:rFonts w:ascii="宋体" w:hAnsi="宋体"/>
        </w:rPr>
        <w:t>（1）人身伤亡事故；</w:t>
      </w:r>
    </w:p>
    <w:p>
      <w:pPr>
        <w:spacing w:after="160" w:line="278" w:lineRule="auto"/>
        <w:rPr>
          <w:rFonts w:ascii="宋体" w:hAnsi="宋体"/>
        </w:rPr>
      </w:pPr>
      <w:r>
        <w:rPr>
          <w:rFonts w:ascii="宋体" w:hAnsi="宋体"/>
        </w:rPr>
        <w:t>（2）发生施工机械、生产主设备严重损坏事故；</w:t>
      </w:r>
    </w:p>
    <w:p>
      <w:pPr>
        <w:spacing w:after="160" w:line="278" w:lineRule="auto"/>
        <w:rPr>
          <w:rFonts w:ascii="宋体" w:hAnsi="宋体"/>
        </w:rPr>
      </w:pPr>
      <w:r>
        <w:rPr>
          <w:rFonts w:ascii="宋体" w:hAnsi="宋体"/>
        </w:rPr>
        <w:t>（3）发生</w:t>
      </w:r>
      <w:r>
        <w:rPr>
          <w:rFonts w:hint="eastAsia" w:ascii="宋体" w:hAnsi="宋体"/>
        </w:rPr>
        <w:t>工地</w:t>
      </w:r>
      <w:r>
        <w:rPr>
          <w:rFonts w:ascii="宋体" w:hAnsi="宋体"/>
        </w:rPr>
        <w:t>火灾事故；</w:t>
      </w:r>
    </w:p>
    <w:p>
      <w:pPr>
        <w:spacing w:after="160" w:line="278" w:lineRule="auto"/>
        <w:rPr>
          <w:rFonts w:ascii="宋体" w:hAnsi="宋体"/>
        </w:rPr>
      </w:pPr>
      <w:r>
        <w:rPr>
          <w:rFonts w:ascii="宋体" w:hAnsi="宋体"/>
        </w:rPr>
        <w:t>（4）发生违章作业、冒险作业不听劝告的；</w:t>
      </w:r>
    </w:p>
    <w:p>
      <w:pPr>
        <w:spacing w:after="160" w:line="278" w:lineRule="auto"/>
        <w:rPr>
          <w:rFonts w:ascii="宋体" w:hAnsi="宋体"/>
        </w:rPr>
      </w:pPr>
      <w:r>
        <w:rPr>
          <w:rFonts w:ascii="宋体" w:hAnsi="宋体"/>
        </w:rPr>
        <w:t>（5）施工现场脏、乱、差，不能满足安全和文明施工要求的。</w:t>
      </w:r>
    </w:p>
    <w:p>
      <w:pPr>
        <w:spacing w:after="160" w:line="278" w:lineRule="auto"/>
        <w:rPr>
          <w:rFonts w:ascii="宋体" w:hAnsi="宋体"/>
        </w:rPr>
      </w:pPr>
      <w:r>
        <w:rPr>
          <w:rFonts w:ascii="宋体" w:hAnsi="宋体"/>
        </w:rPr>
        <w:t>第四条 乙方安全责任</w:t>
      </w:r>
    </w:p>
    <w:p>
      <w:pPr>
        <w:spacing w:after="160" w:line="278" w:lineRule="auto"/>
        <w:rPr>
          <w:rFonts w:ascii="宋体" w:hAnsi="宋体"/>
        </w:rPr>
      </w:pPr>
      <w:r>
        <w:rPr>
          <w:rFonts w:ascii="宋体" w:hAnsi="宋体"/>
        </w:rPr>
        <w:t>乙方作为工程项目的承包单位，对工程施工过程中发生的人身伤害、设备损坏事故承担安全责任。</w:t>
      </w:r>
    </w:p>
    <w:p>
      <w:pPr>
        <w:spacing w:after="160" w:line="278" w:lineRule="auto"/>
        <w:rPr>
          <w:rFonts w:ascii="宋体" w:hAnsi="宋体"/>
        </w:rPr>
      </w:pPr>
      <w:r>
        <w:rPr>
          <w:rFonts w:hint="eastAsia" w:ascii="宋体" w:hAnsi="宋体"/>
        </w:rPr>
        <w:t>乙方作为施工总承包单位是工程施工安全第一责任人。</w:t>
      </w:r>
      <w:r>
        <w:rPr>
          <w:rFonts w:ascii="宋体" w:hAnsi="宋体"/>
        </w:rPr>
        <w:t>乙方应切实履行以下安全责任：</w:t>
      </w:r>
    </w:p>
    <w:p>
      <w:pPr>
        <w:spacing w:after="160" w:line="278" w:lineRule="auto"/>
        <w:rPr>
          <w:rFonts w:ascii="宋体" w:hAnsi="宋体"/>
        </w:rPr>
      </w:pPr>
      <w:r>
        <w:rPr>
          <w:rFonts w:ascii="宋体" w:hAnsi="宋体"/>
        </w:rPr>
        <w:t>1、乙方所提供的承包工程要求的相关资质证明材料应真实、合法、有效。</w:t>
      </w:r>
    </w:p>
    <w:p>
      <w:pPr>
        <w:spacing w:after="160" w:line="278" w:lineRule="auto"/>
        <w:rPr>
          <w:rFonts w:ascii="宋体" w:hAnsi="宋体"/>
        </w:rPr>
      </w:pPr>
      <w:r>
        <w:rPr>
          <w:rFonts w:ascii="宋体" w:hAnsi="宋体"/>
        </w:rPr>
        <w:t>2、乙方必须贯彻执行国家有关安全生产的法律法规，必须制定相应的安全管理制度</w:t>
      </w:r>
      <w:r>
        <w:rPr>
          <w:rFonts w:hint="eastAsia" w:ascii="宋体" w:hAnsi="宋体"/>
        </w:rPr>
        <w:t>。</w:t>
      </w:r>
    </w:p>
    <w:p>
      <w:pPr>
        <w:spacing w:after="160" w:line="278" w:lineRule="auto"/>
        <w:rPr>
          <w:rFonts w:ascii="宋体" w:hAnsi="宋体"/>
        </w:rPr>
      </w:pPr>
      <w:r>
        <w:rPr>
          <w:rFonts w:ascii="宋体" w:hAnsi="宋体"/>
        </w:rPr>
        <w:t>3、现场施工应遵守国家和地方关于劳动安全，劳务用工法律法规及规章制度，保证其用工的合法性。乙方必须按国家有关规定，为施工人员进行人身保险，配备合格的劳动防护用品、安全用具。</w:t>
      </w:r>
    </w:p>
    <w:p>
      <w:pPr>
        <w:spacing w:after="160" w:line="278" w:lineRule="auto"/>
        <w:rPr>
          <w:rFonts w:ascii="宋体" w:hAnsi="宋体"/>
        </w:rPr>
      </w:pPr>
      <w:r>
        <w:rPr>
          <w:rFonts w:ascii="宋体" w:hAnsi="宋体"/>
        </w:rPr>
        <w:t>4、施工期间，乙方应设有专职安监人员（少于30人者设兼职）。乙方指派</w:t>
      </w:r>
      <w:r>
        <w:rPr>
          <w:rFonts w:hint="eastAsia" w:ascii="宋体" w:hAnsi="宋体"/>
        </w:rPr>
        <w:t xml:space="preserve">     （身份证号码</w:t>
      </w:r>
      <w:r>
        <w:rPr>
          <w:rFonts w:ascii="宋体" w:hAnsi="宋体"/>
        </w:rPr>
        <w:t xml:space="preserve">         </w:t>
      </w:r>
      <w:r>
        <w:rPr>
          <w:rFonts w:hint="eastAsia" w:ascii="宋体" w:hAnsi="宋体"/>
        </w:rPr>
        <w:t>）</w:t>
      </w:r>
      <w:r>
        <w:rPr>
          <w:rFonts w:ascii="宋体" w:hAnsi="宋体"/>
        </w:rPr>
        <w:t>作为</w:t>
      </w:r>
      <w:r>
        <w:rPr>
          <w:rFonts w:hint="eastAsia" w:ascii="宋体" w:hAnsi="宋体"/>
        </w:rPr>
        <w:t>现场专职安全员</w:t>
      </w:r>
      <w:r>
        <w:rPr>
          <w:rFonts w:ascii="宋体" w:hAnsi="宋体"/>
        </w:rPr>
        <w:t>。</w:t>
      </w:r>
      <w:r>
        <w:rPr>
          <w:rFonts w:hint="eastAsia" w:ascii="宋体" w:hAnsi="宋体"/>
        </w:rPr>
        <w:t>承包方安全员、技术员进场时应提供不少于3个月社保证明，安全员要求施工驻场，技术员要求驻场不少于2</w:t>
      </w:r>
      <w:r>
        <w:rPr>
          <w:rFonts w:ascii="宋体" w:hAnsi="宋体"/>
        </w:rPr>
        <w:t>2</w:t>
      </w:r>
      <w:r>
        <w:rPr>
          <w:rFonts w:hint="eastAsia" w:ascii="宋体" w:hAnsi="宋体"/>
        </w:rPr>
        <w:t>天，安全员、技术员未按要求驻场、每月在施工现场天数未达到要求的，每少于1天，承包人支付违约金10000元。</w:t>
      </w:r>
    </w:p>
    <w:p>
      <w:pPr>
        <w:spacing w:after="160" w:line="278" w:lineRule="auto"/>
        <w:rPr>
          <w:rFonts w:ascii="宋体" w:hAnsi="宋体"/>
        </w:rPr>
      </w:pPr>
      <w:r>
        <w:rPr>
          <w:rFonts w:ascii="宋体" w:hAnsi="宋体"/>
        </w:rPr>
        <w:t>5、乙方一切施工活动，必须编制安全施工措施，施工前对全体施工人员进行全面的安全技术交底，并在整个施工过程正确、完整地执行，无措施或未交底严禁施工。</w:t>
      </w:r>
    </w:p>
    <w:p>
      <w:pPr>
        <w:spacing w:after="160" w:line="278" w:lineRule="auto"/>
        <w:rPr>
          <w:rFonts w:ascii="宋体" w:hAnsi="宋体"/>
        </w:rPr>
      </w:pPr>
      <w:r>
        <w:rPr>
          <w:rFonts w:ascii="宋体" w:hAnsi="宋体"/>
        </w:rPr>
        <w:t>6、乙方用于本工程项目的施工机械、工器具及安全防护用具的数量和质量必须满足施工需要，并经有资质检验单位检验符合安全规定，乙方对因使用工器具不当所造成的人员伤害及设备损坏负责。</w:t>
      </w:r>
    </w:p>
    <w:p>
      <w:pPr>
        <w:spacing w:after="160" w:line="278" w:lineRule="auto"/>
        <w:rPr>
          <w:rFonts w:ascii="宋体" w:hAnsi="宋体"/>
        </w:rPr>
      </w:pPr>
      <w:r>
        <w:rPr>
          <w:rFonts w:ascii="宋体" w:hAnsi="宋体"/>
        </w:rPr>
        <w:t>7、开工前，乙方应组织全体施工人员进行安全教育，并将参加安全教育人员名单（包括临时增补或调换人员）与考试成绩报给甲方备案。特种作业人员必须有有关部门核发的合格有效的上岗资格证书。</w:t>
      </w:r>
    </w:p>
    <w:p>
      <w:pPr>
        <w:spacing w:after="160" w:line="278" w:lineRule="auto"/>
        <w:rPr>
          <w:rFonts w:ascii="宋体" w:hAnsi="宋体"/>
        </w:rPr>
      </w:pPr>
      <w:r>
        <w:rPr>
          <w:rFonts w:ascii="宋体" w:hAnsi="宋体"/>
        </w:rPr>
        <w:t>开工前，乙方应到甲方办理临时出入证并佩戴出入证进入施工现场，出入证严禁转借他人。</w:t>
      </w:r>
    </w:p>
    <w:p>
      <w:pPr>
        <w:spacing w:after="160" w:line="278" w:lineRule="auto"/>
        <w:rPr>
          <w:rFonts w:ascii="宋体" w:hAnsi="宋体"/>
        </w:rPr>
      </w:pPr>
      <w:r>
        <w:rPr>
          <w:rFonts w:ascii="宋体" w:hAnsi="宋体"/>
        </w:rPr>
        <w:t>8、开工前，乙方应组织人员对施工区域、作业环境进行检查，确认符合安全要求，一经开工，就表示乙方已确认施工现场、作业环境符合安全要求并处于安全状态。</w:t>
      </w:r>
    </w:p>
    <w:p>
      <w:pPr>
        <w:spacing w:after="160" w:line="278" w:lineRule="auto"/>
        <w:rPr>
          <w:rFonts w:ascii="宋体" w:hAnsi="宋体"/>
        </w:rPr>
      </w:pPr>
      <w:r>
        <w:rPr>
          <w:rFonts w:ascii="宋体" w:hAnsi="宋体"/>
        </w:rPr>
        <w:t>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spacing w:after="160" w:line="278" w:lineRule="auto"/>
        <w:rPr>
          <w:rFonts w:ascii="宋体" w:hAnsi="宋体"/>
        </w:rPr>
      </w:pPr>
      <w:r>
        <w:rPr>
          <w:rFonts w:ascii="宋体" w:hAnsi="宋体"/>
        </w:rPr>
        <w:t>10、乙方施工过程中需使用电、水源，应事先与甲方取得联系，不得私拉乱接。中断作业或遇故障应立即切断有关开关。</w:t>
      </w:r>
    </w:p>
    <w:p>
      <w:pPr>
        <w:spacing w:after="160" w:line="278" w:lineRule="auto"/>
        <w:rPr>
          <w:rFonts w:ascii="宋体" w:hAnsi="宋体"/>
        </w:rPr>
      </w:pPr>
      <w:r>
        <w:rPr>
          <w:rFonts w:ascii="宋体" w:hAnsi="宋体"/>
        </w:rPr>
        <w:t>11、乙方施工过程中应做到工完、料尽、场地清，确保安全文明施工。</w:t>
      </w:r>
    </w:p>
    <w:p>
      <w:pPr>
        <w:spacing w:after="160" w:line="278" w:lineRule="auto"/>
        <w:rPr>
          <w:rFonts w:ascii="宋体" w:hAnsi="宋体"/>
        </w:rPr>
      </w:pPr>
      <w:r>
        <w:rPr>
          <w:rFonts w:ascii="宋体" w:hAnsi="宋体"/>
        </w:rPr>
        <w:t>12、乙方必须接受甲方的监督、检查，对甲方提出的安全整改意见必须及时整改。</w:t>
      </w:r>
    </w:p>
    <w:p>
      <w:pPr>
        <w:spacing w:after="160" w:line="278" w:lineRule="auto"/>
        <w:rPr>
          <w:rFonts w:ascii="宋体" w:hAnsi="宋体"/>
        </w:rPr>
      </w:pPr>
      <w:r>
        <w:rPr>
          <w:rFonts w:ascii="宋体" w:hAnsi="宋体"/>
        </w:rPr>
        <w:t>13、乙方施工过程中发生人生伤亡、</w:t>
      </w:r>
      <w:r>
        <w:rPr>
          <w:rFonts w:hint="eastAsia" w:ascii="宋体" w:hAnsi="宋体"/>
        </w:rPr>
        <w:t>任何</w:t>
      </w:r>
      <w:r>
        <w:rPr>
          <w:rFonts w:ascii="宋体" w:hAnsi="宋体"/>
        </w:rPr>
        <w:t>事故，应立即报告甲方，并积极配合调查。</w:t>
      </w:r>
    </w:p>
    <w:p>
      <w:pPr>
        <w:spacing w:after="160" w:line="278" w:lineRule="auto"/>
        <w:rPr>
          <w:rFonts w:ascii="宋体" w:hAnsi="宋体"/>
        </w:rPr>
      </w:pPr>
      <w:r>
        <w:rPr>
          <w:rFonts w:ascii="宋体" w:hAnsi="宋体"/>
        </w:rPr>
        <w:t>乙方应执行国务院</w:t>
      </w:r>
      <w:r>
        <w:rPr>
          <w:rFonts w:hint="eastAsia" w:ascii="宋体" w:hAnsi="宋体"/>
        </w:rPr>
        <w:t>《生产安全事故报告和调查处理条例》</w:t>
      </w:r>
      <w:r>
        <w:rPr>
          <w:rFonts w:ascii="宋体" w:hAnsi="宋体"/>
        </w:rPr>
        <w:t>。对人员在施工中发生的人身伤亡事故，还必须立即用电话、电传或电报等向事故所在地的政府安全管理部门、公安部门报告，按规定组织调查处理，并由乙方统计上报；如发生国务院</w:t>
      </w:r>
      <w:r>
        <w:rPr>
          <w:rFonts w:hint="eastAsia" w:ascii="宋体" w:hAnsi="宋体"/>
        </w:rPr>
        <w:t>《生产安全事故报告和调查处理条例》</w:t>
      </w:r>
      <w:r>
        <w:rPr>
          <w:rFonts w:ascii="宋体" w:hAnsi="宋体"/>
        </w:rPr>
        <w:t>所规定的特大事故，还应立即通知当地政府、公安部门，并要求派人保护现场。</w:t>
      </w:r>
    </w:p>
    <w:p>
      <w:pPr>
        <w:spacing w:after="160" w:line="278" w:lineRule="auto"/>
        <w:rPr>
          <w:rFonts w:ascii="宋体" w:hAnsi="宋体"/>
        </w:rPr>
      </w:pPr>
      <w:r>
        <w:rPr>
          <w:rFonts w:ascii="宋体" w:hAnsi="宋体"/>
        </w:rPr>
        <w:t>乙方应将事故调查组的事故调查报告及乙方事故处理意见提交甲方备案。</w:t>
      </w:r>
    </w:p>
    <w:p>
      <w:pPr>
        <w:spacing w:after="160" w:line="278" w:lineRule="auto"/>
        <w:rPr>
          <w:rFonts w:ascii="宋体" w:hAnsi="宋体"/>
        </w:rPr>
      </w:pPr>
      <w:r>
        <w:rPr>
          <w:rFonts w:ascii="宋体" w:hAnsi="宋体"/>
        </w:rPr>
        <w:t>第五条 甲乙双方联系方式及响应时间</w:t>
      </w:r>
    </w:p>
    <w:p>
      <w:pPr>
        <w:spacing w:after="160" w:line="278" w:lineRule="auto"/>
        <w:rPr>
          <w:rFonts w:ascii="宋体" w:hAnsi="宋体"/>
        </w:rPr>
      </w:pPr>
      <w:r>
        <w:rPr>
          <w:rFonts w:ascii="宋体" w:hAnsi="宋体"/>
        </w:rPr>
        <w:t>甲乙双方应以工作联系单、传真、电传等书面形式送达对方。双方在接到对方的书面联系时，应于4小时内予以响应。</w:t>
      </w:r>
    </w:p>
    <w:p>
      <w:pPr>
        <w:spacing w:after="160" w:line="278" w:lineRule="auto"/>
        <w:rPr>
          <w:rFonts w:ascii="宋体" w:hAnsi="宋体"/>
        </w:rPr>
      </w:pPr>
      <w:r>
        <w:rPr>
          <w:rFonts w:ascii="宋体" w:hAnsi="宋体"/>
        </w:rPr>
        <w:t>第六条 施工安全保证金</w:t>
      </w:r>
    </w:p>
    <w:p>
      <w:pPr>
        <w:spacing w:after="160" w:line="278" w:lineRule="auto"/>
        <w:rPr>
          <w:rFonts w:ascii="宋体" w:hAnsi="宋体"/>
        </w:rPr>
      </w:pPr>
      <w:r>
        <w:rPr>
          <w:rFonts w:hint="eastAsia" w:ascii="宋体" w:hAnsi="宋体"/>
        </w:rPr>
        <w:t>甲乙双方约定</w:t>
      </w:r>
      <w:r>
        <w:rPr>
          <w:rFonts w:ascii="宋体" w:hAnsi="宋体"/>
        </w:rPr>
        <w:t>工程款的10%作为安全保证金。乙方在施工过程中未发生人身重伤</w:t>
      </w:r>
      <w:r>
        <w:rPr>
          <w:rFonts w:hint="eastAsia" w:ascii="宋体" w:hAnsi="宋体"/>
        </w:rPr>
        <w:t>及任何</w:t>
      </w:r>
      <w:r>
        <w:rPr>
          <w:rFonts w:ascii="宋体" w:hAnsi="宋体"/>
        </w:rPr>
        <w:t>事故，于工程竣工验收后将该保证金全额退还；若施工过程中发生下列有乙方责任的安全事故，扣除相应数额的安全保证金：</w:t>
      </w:r>
    </w:p>
    <w:p>
      <w:pPr>
        <w:spacing w:after="160" w:line="278" w:lineRule="auto"/>
        <w:rPr>
          <w:rFonts w:ascii="宋体" w:hAnsi="宋体"/>
        </w:rPr>
      </w:pPr>
      <w:r>
        <w:rPr>
          <w:rFonts w:ascii="宋体" w:hAnsi="宋体"/>
        </w:rPr>
        <w:t>（1）发生人身死亡事故，扣除全部安全保证金；</w:t>
      </w:r>
    </w:p>
    <w:p>
      <w:pPr>
        <w:spacing w:after="160" w:line="278" w:lineRule="auto"/>
        <w:rPr>
          <w:rFonts w:ascii="宋体" w:hAnsi="宋体"/>
        </w:rPr>
      </w:pPr>
      <w:r>
        <w:rPr>
          <w:rFonts w:ascii="宋体" w:hAnsi="宋体"/>
        </w:rPr>
        <w:t>（2）发生人身重伤事故，扣除50%安全保证金；</w:t>
      </w:r>
    </w:p>
    <w:p>
      <w:pPr>
        <w:spacing w:after="160" w:line="278" w:lineRule="auto"/>
        <w:rPr>
          <w:rFonts w:ascii="宋体" w:hAnsi="宋体"/>
        </w:rPr>
      </w:pPr>
      <w:r>
        <w:rPr>
          <w:rFonts w:ascii="宋体" w:hAnsi="宋体"/>
        </w:rPr>
        <w:t>（3）乙方人员发生违章行为的经济处罚，按处罚规定从安全保证金内扣除。</w:t>
      </w:r>
    </w:p>
    <w:p>
      <w:pPr>
        <w:spacing w:after="160" w:line="278" w:lineRule="auto"/>
        <w:rPr>
          <w:rFonts w:ascii="宋体" w:hAnsi="宋体"/>
        </w:rPr>
      </w:pPr>
      <w:r>
        <w:rPr>
          <w:rFonts w:ascii="宋体" w:hAnsi="宋体"/>
        </w:rPr>
        <w:t>第七条 违约责任</w:t>
      </w:r>
    </w:p>
    <w:p>
      <w:pPr>
        <w:spacing w:after="160" w:line="278" w:lineRule="auto"/>
        <w:rPr>
          <w:rFonts w:ascii="宋体" w:hAnsi="宋体"/>
        </w:rPr>
      </w:pPr>
      <w:r>
        <w:rPr>
          <w:rFonts w:ascii="宋体" w:hAnsi="宋体"/>
        </w:rPr>
        <w:t>1、由于甲方或乙方责任造成对方或第三方的人身伤害、设备损坏等财产损失，由责任方承担相应责任，并赔偿对方或第三方因此造成的全部损失。</w:t>
      </w:r>
    </w:p>
    <w:p>
      <w:pPr>
        <w:spacing w:after="160" w:line="278" w:lineRule="auto"/>
        <w:rPr>
          <w:rFonts w:ascii="宋体" w:hAnsi="宋体"/>
        </w:rPr>
      </w:pPr>
      <w:r>
        <w:rPr>
          <w:rFonts w:ascii="宋体" w:hAnsi="宋体"/>
        </w:rPr>
        <w:t>2、合同履行中，发现乙方提供的有关资质材料无效，甲方有权解除合同，并由乙方承担由此造成的一切损失。</w:t>
      </w:r>
    </w:p>
    <w:p>
      <w:pPr>
        <w:spacing w:after="160" w:line="278" w:lineRule="auto"/>
        <w:rPr>
          <w:rFonts w:ascii="宋体" w:hAnsi="宋体"/>
        </w:rPr>
      </w:pPr>
      <w:r>
        <w:rPr>
          <w:rFonts w:ascii="宋体" w:hAnsi="宋体"/>
        </w:rPr>
        <w:t>3、发现乙方现场作业人员有违章行为的，</w:t>
      </w:r>
      <w:r>
        <w:rPr>
          <w:rFonts w:hint="eastAsia" w:ascii="宋体" w:hAnsi="宋体"/>
        </w:rPr>
        <w:t>造成经济损失或人员伤害的</w:t>
      </w:r>
      <w:r>
        <w:rPr>
          <w:rFonts w:ascii="宋体" w:hAnsi="宋体"/>
        </w:rPr>
        <w:t>，承担相应的违约金。</w:t>
      </w:r>
    </w:p>
    <w:p>
      <w:pPr>
        <w:spacing w:after="160" w:line="278" w:lineRule="auto"/>
        <w:rPr>
          <w:rFonts w:ascii="宋体" w:hAnsi="宋体"/>
        </w:rPr>
      </w:pPr>
      <w:r>
        <w:rPr>
          <w:rFonts w:ascii="宋体" w:hAnsi="宋体"/>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spacing w:after="160" w:line="278" w:lineRule="auto"/>
        <w:rPr>
          <w:rFonts w:ascii="宋体" w:hAnsi="宋体"/>
        </w:rPr>
      </w:pPr>
      <w:r>
        <w:rPr>
          <w:rFonts w:ascii="宋体" w:hAnsi="宋体"/>
        </w:rPr>
        <w:t>5、乙方人员安全工作规程抽考不合格，乙方应承担50元/人次的违约责任；特种人员无证上岗乙方应承担100元/人次的违约责任。</w:t>
      </w:r>
    </w:p>
    <w:p>
      <w:pPr>
        <w:spacing w:after="160" w:line="278" w:lineRule="auto"/>
        <w:rPr>
          <w:rFonts w:ascii="宋体" w:hAnsi="宋体"/>
        </w:rPr>
      </w:pPr>
      <w:r>
        <w:rPr>
          <w:rFonts w:ascii="宋体" w:hAnsi="宋体"/>
        </w:rPr>
        <w:t>6、乙方使用甲方提供的设施设备、工器具等造成损坏的，应照价赔偿。</w:t>
      </w:r>
    </w:p>
    <w:p>
      <w:pPr>
        <w:spacing w:after="160" w:line="278" w:lineRule="auto"/>
        <w:rPr>
          <w:rFonts w:ascii="宋体" w:hAnsi="宋体"/>
        </w:rPr>
      </w:pPr>
      <w:r>
        <w:rPr>
          <w:rFonts w:ascii="宋体" w:hAnsi="宋体"/>
        </w:rPr>
        <w:t>7、乙方人员无故到其他生产区域或擅自动用甲方的设施设备等，乙方按100元至500元/人次承担违约责任。</w:t>
      </w:r>
    </w:p>
    <w:p>
      <w:pPr>
        <w:spacing w:after="160" w:line="278" w:lineRule="auto"/>
        <w:rPr>
          <w:rFonts w:ascii="宋体" w:hAnsi="宋体"/>
        </w:rPr>
      </w:pPr>
      <w:r>
        <w:rPr>
          <w:rFonts w:ascii="宋体" w:hAnsi="宋体"/>
        </w:rPr>
        <w:t>8、乙方对甲方提出的安全整改意见不及时整改的，每逾期一天，乙方按200元至1000元/天承担违约责任。</w:t>
      </w:r>
    </w:p>
    <w:p>
      <w:pPr>
        <w:spacing w:after="160" w:line="278" w:lineRule="auto"/>
        <w:rPr>
          <w:rFonts w:ascii="宋体" w:hAnsi="宋体"/>
        </w:rPr>
      </w:pPr>
      <w:r>
        <w:rPr>
          <w:rFonts w:ascii="宋体" w:hAnsi="宋体"/>
        </w:rPr>
        <w:t>9、施工过程中发生人身伤亡事故有隐瞒行为的，除接受政府有关部门处理外，过错方应承担3000元至10000元/次的违约责任。</w:t>
      </w:r>
    </w:p>
    <w:p>
      <w:pPr>
        <w:spacing w:after="160" w:line="278" w:lineRule="auto"/>
        <w:rPr>
          <w:rFonts w:ascii="宋体" w:hAnsi="宋体"/>
        </w:rPr>
      </w:pPr>
      <w:r>
        <w:rPr>
          <w:rFonts w:ascii="宋体" w:hAnsi="宋体"/>
        </w:rPr>
        <w:t>第八条 甲乙双方约定的其他事项：无</w:t>
      </w:r>
    </w:p>
    <w:p>
      <w:pPr>
        <w:spacing w:after="160" w:line="278" w:lineRule="auto"/>
        <w:rPr>
          <w:rFonts w:ascii="宋体" w:hAnsi="宋体"/>
        </w:rPr>
      </w:pPr>
      <w:r>
        <w:rPr>
          <w:rFonts w:ascii="宋体" w:hAnsi="宋体"/>
        </w:rPr>
        <w:t>第九条 本协议执行过程中，如发生争议，由双方协商、调解解决；若经协商、调解不能解决争议的，任何一方可以向</w:t>
      </w:r>
      <w:r>
        <w:rPr>
          <w:rFonts w:hint="eastAsia" w:ascii="宋体" w:hAnsi="宋体"/>
        </w:rPr>
        <w:t>施工地</w:t>
      </w:r>
      <w:r>
        <w:rPr>
          <w:rFonts w:ascii="宋体" w:hAnsi="宋体"/>
        </w:rPr>
        <w:t>人民法院提起诉讼。</w:t>
      </w:r>
    </w:p>
    <w:p>
      <w:pPr>
        <w:spacing w:after="160" w:line="278" w:lineRule="auto"/>
        <w:rPr>
          <w:rFonts w:ascii="宋体" w:hAnsi="宋体"/>
        </w:rPr>
      </w:pPr>
      <w:r>
        <w:rPr>
          <w:rFonts w:ascii="宋体" w:hAnsi="宋体"/>
        </w:rPr>
        <w:t>第十条 甲乙双方必须严格执行本协议，本协议的法律效力独立于主合同。</w:t>
      </w:r>
    </w:p>
    <w:p>
      <w:pPr>
        <w:spacing w:after="160" w:line="278" w:lineRule="auto"/>
        <w:rPr>
          <w:rFonts w:ascii="宋体" w:hAnsi="宋体"/>
        </w:rPr>
      </w:pPr>
      <w:r>
        <w:rPr>
          <w:rFonts w:ascii="宋体" w:hAnsi="宋体"/>
        </w:rPr>
        <w:t>第十一条 本协议有效期限：自</w:t>
      </w:r>
      <w:r>
        <w:rPr>
          <w:rFonts w:hint="eastAsia" w:ascii="宋体" w:hAnsi="宋体"/>
        </w:rPr>
        <w:t>工程项目开工施工单位进场日</w:t>
      </w:r>
      <w:r>
        <w:rPr>
          <w:rFonts w:ascii="宋体" w:hAnsi="宋体"/>
        </w:rPr>
        <w:t>起至</w:t>
      </w:r>
      <w:r>
        <w:rPr>
          <w:rFonts w:hint="eastAsia" w:ascii="宋体" w:hAnsi="宋体"/>
        </w:rPr>
        <w:t>项目完工验收合格日</w:t>
      </w:r>
      <w:r>
        <w:rPr>
          <w:rFonts w:ascii="宋体" w:hAnsi="宋体"/>
        </w:rPr>
        <w:t>止。</w:t>
      </w:r>
    </w:p>
    <w:p>
      <w:pPr>
        <w:spacing w:after="160" w:line="278" w:lineRule="auto"/>
        <w:rPr>
          <w:rFonts w:ascii="宋体" w:hAnsi="宋体"/>
        </w:rPr>
      </w:pPr>
      <w:r>
        <w:rPr>
          <w:rFonts w:ascii="宋体" w:hAnsi="宋体"/>
        </w:rPr>
        <w:t>第十二条 本协议经双方法定代表人或委托代理人签字盖章后生效。</w:t>
      </w:r>
    </w:p>
    <w:p>
      <w:pPr>
        <w:spacing w:after="160" w:line="278" w:lineRule="auto"/>
        <w:rPr>
          <w:rFonts w:ascii="宋体" w:hAnsi="宋体"/>
        </w:rPr>
      </w:pPr>
      <w:r>
        <w:rPr>
          <w:rFonts w:ascii="宋体" w:hAnsi="宋体"/>
        </w:rPr>
        <w:t>第十三条 本协议一式</w:t>
      </w:r>
      <w:r>
        <w:rPr>
          <w:rFonts w:hint="eastAsia" w:ascii="宋体" w:hAnsi="宋体"/>
        </w:rPr>
        <w:t>四</w:t>
      </w:r>
      <w:r>
        <w:rPr>
          <w:rFonts w:ascii="宋体" w:hAnsi="宋体"/>
        </w:rPr>
        <w:t>份，甲乙双方各执</w:t>
      </w:r>
      <w:r>
        <w:rPr>
          <w:rFonts w:hint="eastAsia" w:ascii="宋体" w:hAnsi="宋体"/>
        </w:rPr>
        <w:t>两</w:t>
      </w:r>
      <w:r>
        <w:rPr>
          <w:rFonts w:ascii="宋体" w:hAnsi="宋体"/>
        </w:rPr>
        <w:t>份。</w:t>
      </w:r>
    </w:p>
    <w:p>
      <w:pPr>
        <w:spacing w:after="160" w:line="278" w:lineRule="auto"/>
        <w:rPr>
          <w:rFonts w:ascii="宋体" w:hAnsi="宋体"/>
        </w:rPr>
      </w:pPr>
      <w:r>
        <w:rPr>
          <w:rFonts w:ascii="宋体" w:hAnsi="宋体"/>
        </w:rPr>
        <w:t>第十四条 本协议签订地点在甲方</w:t>
      </w:r>
      <w:r>
        <w:rPr>
          <w:rFonts w:hint="eastAsia" w:ascii="宋体" w:hAnsi="宋体"/>
        </w:rPr>
        <w:t>办公场地</w:t>
      </w:r>
      <w:r>
        <w:rPr>
          <w:rFonts w:ascii="宋体" w:hAnsi="宋体"/>
        </w:rPr>
        <w:t>。</w:t>
      </w:r>
    </w:p>
    <w:p>
      <w:pPr>
        <w:spacing w:after="160" w:line="278" w:lineRule="auto"/>
        <w:rPr>
          <w:rFonts w:ascii="宋体" w:hAnsi="宋体"/>
        </w:rPr>
      </w:pPr>
    </w:p>
    <w:p>
      <w:pPr>
        <w:spacing w:after="160" w:line="278" w:lineRule="auto"/>
        <w:rPr>
          <w:rFonts w:ascii="宋体" w:hAnsi="宋体"/>
        </w:rPr>
      </w:pPr>
      <w:r>
        <w:rPr>
          <w:rFonts w:ascii="宋体" w:hAnsi="宋体"/>
        </w:rPr>
        <w:t xml:space="preserve">  甲方：                                          </w:t>
      </w:r>
      <w:r>
        <w:rPr>
          <w:rFonts w:hint="eastAsia" w:ascii="宋体" w:hAnsi="宋体"/>
        </w:rPr>
        <w:t xml:space="preserve">   </w:t>
      </w:r>
      <w:r>
        <w:rPr>
          <w:rFonts w:ascii="宋体" w:hAnsi="宋体"/>
        </w:rPr>
        <w:t>乙方：</w:t>
      </w:r>
      <w:r>
        <w:rPr>
          <w:rFonts w:hint="eastAsia" w:ascii="宋体" w:hAnsi="宋体"/>
        </w:rPr>
        <w:t xml:space="preserve">                                               </w:t>
      </w:r>
    </w:p>
    <w:p>
      <w:pPr>
        <w:spacing w:after="160" w:line="278" w:lineRule="auto"/>
        <w:rPr>
          <w:rFonts w:ascii="宋体" w:hAnsi="宋体"/>
        </w:rPr>
      </w:pPr>
      <w:r>
        <w:rPr>
          <w:rFonts w:hint="eastAsia" w:ascii="宋体" w:hAnsi="宋体"/>
        </w:rPr>
        <w:t xml:space="preserve">                               乙方分包:</w:t>
      </w:r>
      <w:r>
        <w:rPr>
          <w:rFonts w:ascii="宋体" w:hAnsi="宋体"/>
        </w:rPr>
        <w:t xml:space="preserve">  </w:t>
      </w:r>
      <w:r>
        <w:rPr>
          <w:rFonts w:hint="eastAsia" w:ascii="宋体" w:hAnsi="宋体"/>
        </w:rPr>
        <w:t xml:space="preserve"> </w:t>
      </w:r>
      <w:r>
        <w:rPr>
          <w:rFonts w:ascii="宋体" w:hAnsi="宋体"/>
        </w:rPr>
        <w:t xml:space="preserve">          </w:t>
      </w:r>
    </w:p>
    <w:p>
      <w:pPr>
        <w:spacing w:after="160" w:line="278" w:lineRule="auto"/>
        <w:rPr>
          <w:rFonts w:ascii="宋体" w:hAnsi="宋体"/>
        </w:rPr>
      </w:pPr>
      <w:r>
        <w:rPr>
          <w:rFonts w:ascii="宋体" w:hAnsi="宋体"/>
        </w:rPr>
        <w:t>联系电话：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联系电话：</w:t>
      </w:r>
      <w:r>
        <w:rPr>
          <w:rFonts w:hint="eastAsia" w:ascii="宋体" w:hAnsi="宋体"/>
        </w:rPr>
        <w:t xml:space="preserve"> </w:t>
      </w:r>
    </w:p>
    <w:p>
      <w:pPr>
        <w:spacing w:after="160" w:line="278" w:lineRule="auto"/>
        <w:rPr>
          <w:rFonts w:ascii="宋体" w:hAnsi="宋体"/>
        </w:rPr>
      </w:pPr>
      <w:r>
        <w:rPr>
          <w:rFonts w:ascii="宋体" w:hAnsi="宋体"/>
        </w:rPr>
        <w:t> </w:t>
      </w:r>
    </w:p>
    <w:p>
      <w:pPr>
        <w:spacing w:after="160" w:line="278" w:lineRule="auto"/>
        <w:rPr>
          <w:rFonts w:ascii="宋体" w:hAnsi="宋体"/>
        </w:rPr>
      </w:pPr>
      <w:r>
        <w:rPr>
          <w:rFonts w:ascii="宋体" w:hAnsi="宋体"/>
        </w:rPr>
        <w:t>签订时间：     年</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日</w:t>
      </w:r>
    </w:p>
    <w:p>
      <w:pPr>
        <w:spacing w:after="160" w:line="278" w:lineRule="auto"/>
        <w:rPr>
          <w:rFonts w:ascii="宋体" w:hAnsi="宋体"/>
        </w:rPr>
      </w:pPr>
    </w:p>
    <w:p>
      <w:pPr>
        <w:widowControl/>
        <w:jc w:val="left"/>
        <w:rPr>
          <w:rFonts w:ascii="宋体" w:hAnsi="宋体"/>
          <w:b/>
          <w:sz w:val="24"/>
        </w:rPr>
      </w:pPr>
    </w:p>
    <w:p>
      <w:pPr>
        <w:spacing w:line="360" w:lineRule="auto"/>
        <w:jc w:val="center"/>
        <w:outlineLvl w:val="0"/>
        <w:rPr>
          <w:rFonts w:ascii="宋体" w:hAnsi="宋体"/>
          <w:b/>
          <w:sz w:val="36"/>
          <w:szCs w:val="36"/>
        </w:rPr>
      </w:pPr>
      <w:r>
        <w:rPr>
          <w:rFonts w:ascii="宋体" w:hAnsi="宋体"/>
          <w:b/>
          <w:sz w:val="36"/>
          <w:szCs w:val="36"/>
        </w:rPr>
        <w:br w:type="page"/>
      </w:r>
      <w:bookmarkStart w:id="3232" w:name="_Toc97371947"/>
      <w:r>
        <w:rPr>
          <w:rFonts w:ascii="宋体" w:hAnsi="宋体"/>
          <w:b/>
          <w:sz w:val="36"/>
          <w:szCs w:val="36"/>
        </w:rPr>
        <w:t>第六章   响应文件格式</w:t>
      </w:r>
      <w:bookmarkEnd w:id="3232"/>
    </w:p>
    <w:p>
      <w:pPr>
        <w:widowControl/>
        <w:spacing w:line="360" w:lineRule="auto"/>
        <w:jc w:val="left"/>
        <w:rPr>
          <w:rFonts w:ascii="宋体" w:hAnsi="宋体"/>
          <w:b/>
          <w:sz w:val="24"/>
        </w:rPr>
      </w:pPr>
    </w:p>
    <w:p>
      <w:pPr>
        <w:widowControl/>
        <w:spacing w:line="360" w:lineRule="auto"/>
        <w:jc w:val="left"/>
        <w:rPr>
          <w:rFonts w:ascii="宋体" w:hAnsi="宋体"/>
          <w:b/>
          <w:sz w:val="24"/>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pPr>
        <w:tabs>
          <w:tab w:val="left" w:pos="900"/>
          <w:tab w:val="left" w:pos="1980"/>
        </w:tabs>
        <w:snapToGrid w:val="0"/>
        <w:spacing w:line="360" w:lineRule="auto"/>
        <w:ind w:left="142"/>
        <w:rPr>
          <w:rFonts w:ascii="宋体" w:hAnsi="宋体"/>
          <w:sz w:val="24"/>
        </w:rPr>
      </w:pPr>
    </w:p>
    <w:p>
      <w:pPr>
        <w:widowControl/>
        <w:jc w:val="left"/>
        <w:rPr>
          <w:rFonts w:ascii="宋体" w:hAnsi="宋体"/>
          <w:sz w:val="24"/>
        </w:rPr>
      </w:pPr>
      <w:r>
        <w:rPr>
          <w:rFonts w:ascii="宋体" w:hAnsi="宋体"/>
          <w:sz w:val="24"/>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Pr>
        <w:rPr>
          <w:rFonts w:ascii="宋体" w:hAnsi="宋体"/>
          <w:b/>
          <w:spacing w:val="20"/>
          <w:szCs w:val="21"/>
        </w:rPr>
      </w:pPr>
    </w:p>
    <w:p>
      <w:pPr>
        <w:rPr>
          <w:rFonts w:ascii="宋体" w:hAnsi="宋体"/>
          <w:b/>
          <w:sz w:val="24"/>
        </w:rPr>
      </w:pPr>
      <w:r>
        <w:rPr>
          <w:rFonts w:ascii="宋体" w:hAnsi="宋体"/>
          <w:b/>
          <w:spacing w:val="20"/>
          <w:sz w:val="24"/>
        </w:rPr>
        <w:t>响应文件</w:t>
      </w:r>
      <w:r>
        <w:rPr>
          <w:rFonts w:ascii="宋体" w:hAnsi="宋体"/>
          <w:b/>
          <w:sz w:val="24"/>
        </w:rPr>
        <w:t>封面（非实质性格式）</w:t>
      </w:r>
    </w:p>
    <w:p>
      <w:pPr>
        <w:jc w:val="center"/>
        <w:rPr>
          <w:rFonts w:hint="eastAsia" w:ascii="宋体" w:hAnsi="宋体"/>
          <w:szCs w:val="21"/>
        </w:rPr>
      </w:pPr>
    </w:p>
    <w:p>
      <w:pPr>
        <w:jc w:val="center"/>
        <w:rPr>
          <w:rFonts w:ascii="宋体" w:hAnsi="宋体"/>
          <w:szCs w:val="21"/>
        </w:rPr>
      </w:pPr>
    </w:p>
    <w:p>
      <w:pPr>
        <w:jc w:val="center"/>
        <w:rPr>
          <w:rFonts w:ascii="宋体" w:hAnsi="宋体"/>
          <w:b/>
          <w:spacing w:val="60"/>
          <w:sz w:val="84"/>
          <w:szCs w:val="84"/>
        </w:rPr>
      </w:pPr>
      <w:r>
        <w:rPr>
          <w:rFonts w:ascii="宋体" w:hAnsi="宋体"/>
          <w:b/>
          <w:spacing w:val="60"/>
          <w:sz w:val="84"/>
          <w:szCs w:val="84"/>
        </w:rPr>
        <w:t>响 应 文 件</w:t>
      </w:r>
    </w:p>
    <w:p>
      <w:pPr>
        <w:jc w:val="center"/>
        <w:rPr>
          <w:rFonts w:ascii="宋体" w:hAnsi="宋体"/>
          <w:b/>
          <w:spacing w:val="60"/>
          <w:sz w:val="52"/>
          <w:szCs w:val="5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r>
        <w:rPr>
          <w:rFonts w:ascii="宋体" w:hAnsi="宋体"/>
          <w:b/>
          <w:spacing w:val="20"/>
          <w:sz w:val="32"/>
          <w:szCs w:val="32"/>
        </w:rPr>
        <w:t>项目名称:</w:t>
      </w:r>
    </w:p>
    <w:p>
      <w:pPr>
        <w:ind w:firstLine="542" w:firstLineChars="150"/>
        <w:rPr>
          <w:rFonts w:ascii="宋体" w:hAnsi="宋体"/>
          <w:b/>
          <w:spacing w:val="20"/>
          <w:sz w:val="32"/>
          <w:szCs w:val="32"/>
        </w:rPr>
      </w:pPr>
      <w:r>
        <w:rPr>
          <w:rFonts w:ascii="宋体" w:hAnsi="宋体"/>
          <w:b/>
          <w:spacing w:val="20"/>
          <w:sz w:val="32"/>
          <w:szCs w:val="32"/>
        </w:rPr>
        <w:t>项目编号/包号：</w:t>
      </w:r>
    </w:p>
    <w:p>
      <w:pPr>
        <w:ind w:firstLine="542" w:firstLineChars="150"/>
        <w:rPr>
          <w:rFonts w:ascii="宋体" w:hAnsi="宋体"/>
          <w:b/>
          <w:spacing w:val="20"/>
          <w:sz w:val="32"/>
          <w:szCs w:val="32"/>
        </w:rPr>
      </w:pPr>
    </w:p>
    <w:p>
      <w:pPr>
        <w:ind w:firstLine="542" w:firstLineChars="150"/>
        <w:rPr>
          <w:rFonts w:ascii="宋体" w:hAnsi="宋体"/>
          <w:b/>
          <w:spacing w:val="20"/>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jc w:val="center"/>
        <w:rPr>
          <w:rFonts w:ascii="宋体" w:hAnsi="宋体"/>
          <w:b/>
          <w:spacing w:val="20"/>
          <w:sz w:val="32"/>
          <w:szCs w:val="32"/>
        </w:rPr>
      </w:pPr>
    </w:p>
    <w:p>
      <w:pPr>
        <w:spacing w:line="360" w:lineRule="auto"/>
        <w:ind w:firstLine="1445" w:firstLineChars="400"/>
        <w:jc w:val="left"/>
        <w:rPr>
          <w:rFonts w:ascii="宋体" w:hAnsi="宋体"/>
          <w:b/>
          <w:spacing w:val="20"/>
          <w:sz w:val="32"/>
          <w:szCs w:val="32"/>
        </w:rPr>
      </w:pPr>
      <w:r>
        <w:rPr>
          <w:rFonts w:ascii="宋体" w:hAnsi="宋体"/>
          <w:b/>
          <w:spacing w:val="20"/>
          <w:sz w:val="32"/>
          <w:szCs w:val="32"/>
        </w:rPr>
        <w:t>供应商名称：</w:t>
      </w:r>
    </w:p>
    <w:p>
      <w:pPr>
        <w:jc w:val="center"/>
        <w:rPr>
          <w:rFonts w:ascii="宋体" w:hAnsi="宋体"/>
          <w:b/>
          <w:sz w:val="32"/>
          <w:szCs w:val="32"/>
        </w:rPr>
      </w:pPr>
    </w:p>
    <w:p>
      <w:pPr>
        <w:rPr>
          <w:rFonts w:ascii="宋体" w:hAnsi="宋体"/>
          <w:b/>
        </w:rPr>
      </w:pPr>
      <w:r>
        <w:rPr>
          <w:rFonts w:ascii="宋体" w:hAnsi="宋体"/>
          <w:b/>
          <w:spacing w:val="20"/>
          <w:sz w:val="32"/>
          <w:szCs w:val="32"/>
        </w:rPr>
        <w:br w:type="page"/>
      </w:r>
    </w:p>
    <w:p>
      <w:pPr>
        <w:tabs>
          <w:tab w:val="left" w:pos="360"/>
        </w:tabs>
        <w:snapToGrid w:val="0"/>
        <w:spacing w:line="360" w:lineRule="auto"/>
        <w:outlineLvl w:val="1"/>
        <w:rPr>
          <w:rFonts w:ascii="宋体" w:hAnsi="宋体"/>
          <w:sz w:val="24"/>
        </w:rPr>
      </w:pPr>
      <w:r>
        <w:rPr>
          <w:rFonts w:ascii="宋体" w:hAnsi="宋体"/>
          <w:sz w:val="24"/>
        </w:rPr>
        <w:t>1 满足《中华人民共和国政府采购法》第二十二条规定</w:t>
      </w:r>
    </w:p>
    <w:p>
      <w:pPr>
        <w:spacing w:line="360" w:lineRule="auto"/>
        <w:outlineLvl w:val="2"/>
        <w:rPr>
          <w:rFonts w:ascii="宋体" w:hAnsi="宋体"/>
          <w:sz w:val="24"/>
        </w:rPr>
      </w:pPr>
      <w:r>
        <w:rPr>
          <w:rFonts w:ascii="宋体" w:hAnsi="宋体"/>
          <w:sz w:val="24"/>
        </w:rPr>
        <w:t>1-1营业执照等证明文件</w:t>
      </w:r>
    </w:p>
    <w:p>
      <w:pPr>
        <w:tabs>
          <w:tab w:val="left" w:pos="1080"/>
        </w:tabs>
        <w:snapToGrid w:val="0"/>
        <w:rPr>
          <w:rFonts w:ascii="宋体" w:hAnsi="宋体"/>
          <w:sz w:val="24"/>
        </w:rPr>
      </w:pPr>
    </w:p>
    <w:p>
      <w:pPr>
        <w:widowControl/>
        <w:jc w:val="left"/>
        <w:outlineLvl w:val="2"/>
        <w:rPr>
          <w:rFonts w:ascii="宋体" w:hAnsi="宋体"/>
          <w:bCs/>
        </w:rPr>
      </w:pPr>
      <w:r>
        <w:rPr>
          <w:rFonts w:ascii="宋体" w:hAnsi="宋体"/>
          <w:sz w:val="24"/>
        </w:rPr>
        <w:br w:type="page"/>
      </w:r>
      <w:r>
        <w:rPr>
          <w:rFonts w:hint="eastAsia" w:ascii="宋体" w:hAnsi="宋体" w:cs="宋体"/>
          <w:sz w:val="24"/>
        </w:rPr>
        <w:t>1-2 供应商资格声明书</w:t>
      </w:r>
    </w:p>
    <w:p>
      <w:pPr>
        <w:jc w:val="center"/>
        <w:rPr>
          <w:rFonts w:ascii="宋体" w:hAnsi="宋体"/>
          <w:b/>
          <w:sz w:val="36"/>
          <w:szCs w:val="36"/>
        </w:rPr>
      </w:pPr>
      <w:r>
        <w:rPr>
          <w:rFonts w:hint="eastAsia" w:ascii="宋体" w:hAnsi="宋体"/>
          <w:b/>
          <w:sz w:val="36"/>
          <w:szCs w:val="36"/>
        </w:rPr>
        <w:t>供应商资格声明书</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ascii="宋体" w:hAnsi="宋体"/>
          <w:sz w:val="24"/>
        </w:rPr>
      </w:pPr>
      <w:r>
        <w:rPr>
          <w:rFonts w:ascii="宋体" w:hAnsi="宋体"/>
          <w:sz w:val="24"/>
        </w:rPr>
        <w:t>在参与本次项目磋商中，我单位承诺：</w:t>
      </w:r>
    </w:p>
    <w:p>
      <w:pPr>
        <w:numPr>
          <w:ilvl w:val="0"/>
          <w:numId w:val="30"/>
        </w:numPr>
        <w:spacing w:line="360" w:lineRule="auto"/>
        <w:ind w:left="1134"/>
        <w:rPr>
          <w:rFonts w:ascii="宋体" w:hAnsi="宋体"/>
          <w:sz w:val="24"/>
          <w:szCs w:val="22"/>
        </w:rPr>
      </w:pPr>
      <w:r>
        <w:rPr>
          <w:rFonts w:ascii="宋体" w:hAnsi="宋体"/>
          <w:sz w:val="24"/>
          <w:szCs w:val="22"/>
        </w:rPr>
        <w:t>具有良好的商业信誉和健全的财务会计制度；</w:t>
      </w:r>
    </w:p>
    <w:p>
      <w:pPr>
        <w:numPr>
          <w:ilvl w:val="0"/>
          <w:numId w:val="30"/>
        </w:numPr>
        <w:spacing w:line="360" w:lineRule="auto"/>
        <w:ind w:left="1134"/>
        <w:rPr>
          <w:rFonts w:ascii="宋体" w:hAnsi="宋体"/>
          <w:sz w:val="24"/>
          <w:szCs w:val="22"/>
        </w:rPr>
      </w:pPr>
      <w:r>
        <w:rPr>
          <w:rFonts w:ascii="宋体" w:hAnsi="宋体"/>
          <w:sz w:val="24"/>
          <w:szCs w:val="22"/>
        </w:rPr>
        <w:t>具有履行合同所必需的设备和专业技术能力；</w:t>
      </w:r>
    </w:p>
    <w:p>
      <w:pPr>
        <w:numPr>
          <w:ilvl w:val="0"/>
          <w:numId w:val="30"/>
        </w:numPr>
        <w:spacing w:line="360" w:lineRule="auto"/>
        <w:ind w:left="1134"/>
        <w:rPr>
          <w:rFonts w:ascii="宋体" w:hAnsi="宋体"/>
          <w:sz w:val="24"/>
          <w:szCs w:val="22"/>
        </w:rPr>
      </w:pPr>
      <w:r>
        <w:rPr>
          <w:rFonts w:ascii="宋体" w:hAnsi="宋体"/>
          <w:sz w:val="24"/>
          <w:szCs w:val="22"/>
        </w:rPr>
        <w:t>有依法缴纳税收和社会保障资金的良好记录；</w:t>
      </w:r>
    </w:p>
    <w:p>
      <w:pPr>
        <w:numPr>
          <w:ilvl w:val="0"/>
          <w:numId w:val="30"/>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30"/>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pPr>
        <w:numPr>
          <w:ilvl w:val="0"/>
          <w:numId w:val="30"/>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pPr>
        <w:numPr>
          <w:ilvl w:val="0"/>
          <w:numId w:val="30"/>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ascii="宋体" w:hAnsi="宋体"/>
                <w:sz w:val="24"/>
              </w:rPr>
            </w:pPr>
            <w:r>
              <w:rPr>
                <w:rFonts w:ascii="宋体" w:hAnsi="宋体"/>
                <w:sz w:val="24"/>
              </w:rPr>
              <w:t>序号</w:t>
            </w:r>
          </w:p>
        </w:tc>
        <w:tc>
          <w:tcPr>
            <w:tcW w:w="4574" w:type="dxa"/>
            <w:noWrap w:val="0"/>
            <w:vAlign w:val="center"/>
          </w:tcPr>
          <w:p>
            <w:pPr>
              <w:jc w:val="center"/>
              <w:rPr>
                <w:rFonts w:ascii="宋体" w:hAnsi="宋体"/>
                <w:sz w:val="24"/>
              </w:rPr>
            </w:pPr>
            <w:r>
              <w:rPr>
                <w:rFonts w:ascii="宋体" w:hAnsi="宋体"/>
                <w:sz w:val="24"/>
              </w:rPr>
              <w:t>单位名称</w:t>
            </w:r>
          </w:p>
        </w:tc>
        <w:tc>
          <w:tcPr>
            <w:tcW w:w="2976" w:type="dxa"/>
            <w:noWrap w:val="0"/>
            <w:vAlign w:val="center"/>
          </w:tcPr>
          <w:p>
            <w:pPr>
              <w:jc w:val="center"/>
              <w:rPr>
                <w:rFonts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ascii="宋体" w:hAnsi="宋体"/>
                <w:sz w:val="24"/>
              </w:rPr>
            </w:pPr>
            <w:r>
              <w:rPr>
                <w:rFonts w:ascii="宋体" w:hAnsi="宋体"/>
                <w:sz w:val="24"/>
              </w:rPr>
              <w:t>1</w:t>
            </w:r>
          </w:p>
        </w:tc>
        <w:tc>
          <w:tcPr>
            <w:tcW w:w="4574" w:type="dxa"/>
            <w:noWrap w:val="0"/>
            <w:vAlign w:val="center"/>
          </w:tcPr>
          <w:p>
            <w:pPr>
              <w:jc w:val="center"/>
              <w:rPr>
                <w:rFonts w:ascii="宋体" w:hAnsi="宋体"/>
                <w:sz w:val="24"/>
              </w:rPr>
            </w:pPr>
          </w:p>
        </w:tc>
        <w:tc>
          <w:tcPr>
            <w:tcW w:w="2976" w:type="dxa"/>
            <w:noWrap w:val="0"/>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ascii="宋体" w:hAnsi="宋体"/>
                <w:sz w:val="24"/>
              </w:rPr>
            </w:pPr>
            <w:r>
              <w:rPr>
                <w:rFonts w:ascii="宋体" w:hAnsi="宋体"/>
                <w:sz w:val="24"/>
              </w:rPr>
              <w:t>2</w:t>
            </w:r>
          </w:p>
        </w:tc>
        <w:tc>
          <w:tcPr>
            <w:tcW w:w="4574" w:type="dxa"/>
            <w:noWrap w:val="0"/>
            <w:vAlign w:val="center"/>
          </w:tcPr>
          <w:p>
            <w:pPr>
              <w:jc w:val="center"/>
              <w:rPr>
                <w:rFonts w:ascii="宋体" w:hAnsi="宋体"/>
                <w:sz w:val="24"/>
              </w:rPr>
            </w:pPr>
          </w:p>
        </w:tc>
        <w:tc>
          <w:tcPr>
            <w:tcW w:w="2976" w:type="dxa"/>
            <w:noWrap w:val="0"/>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ascii="宋体" w:hAnsi="宋体"/>
                <w:sz w:val="24"/>
              </w:rPr>
            </w:pPr>
            <w:r>
              <w:rPr>
                <w:rFonts w:ascii="宋体" w:hAnsi="宋体"/>
                <w:sz w:val="24"/>
              </w:rPr>
              <w:t>…</w:t>
            </w:r>
          </w:p>
        </w:tc>
        <w:tc>
          <w:tcPr>
            <w:tcW w:w="4574" w:type="dxa"/>
            <w:noWrap w:val="0"/>
            <w:vAlign w:val="center"/>
          </w:tcPr>
          <w:p>
            <w:pPr>
              <w:jc w:val="center"/>
              <w:rPr>
                <w:rFonts w:ascii="宋体" w:hAnsi="宋体"/>
                <w:sz w:val="24"/>
              </w:rPr>
            </w:pPr>
          </w:p>
        </w:tc>
        <w:tc>
          <w:tcPr>
            <w:tcW w:w="2976" w:type="dxa"/>
            <w:noWrap w:val="0"/>
            <w:vAlign w:val="center"/>
          </w:tcPr>
          <w:p>
            <w:pPr>
              <w:jc w:val="center"/>
              <w:rPr>
                <w:rFonts w:ascii="宋体" w:hAnsi="宋体"/>
                <w:sz w:val="24"/>
              </w:rPr>
            </w:pPr>
          </w:p>
        </w:tc>
      </w:tr>
    </w:tbl>
    <w:p>
      <w:pPr>
        <w:rPr>
          <w:rFonts w:ascii="宋体" w:hAnsi="宋体"/>
        </w:rPr>
      </w:pPr>
    </w:p>
    <w:p>
      <w:pPr>
        <w:ind w:firstLine="480" w:firstLineChars="200"/>
        <w:rPr>
          <w:rFonts w:ascii="宋体" w:hAnsi="宋体"/>
          <w:sz w:val="24"/>
          <w:szCs w:val="22"/>
        </w:rPr>
      </w:pPr>
      <w:r>
        <w:rPr>
          <w:rFonts w:ascii="宋体" w:hAnsi="宋体"/>
          <w:sz w:val="24"/>
        </w:rPr>
        <w:t>上述声明真实有效，否则我方负全部责任。</w:t>
      </w:r>
    </w:p>
    <w:p>
      <w:pPr>
        <w:spacing w:line="360" w:lineRule="auto"/>
        <w:rPr>
          <w:rFonts w:ascii="宋体" w:hAnsi="宋体"/>
          <w:sz w:val="24"/>
        </w:rPr>
      </w:pPr>
    </w:p>
    <w:p>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360" w:firstLine="480"/>
        <w:jc w:val="right"/>
        <w:rPr>
          <w:rFonts w:ascii="宋体" w:hAnsi="宋体"/>
          <w:sz w:val="24"/>
        </w:rPr>
      </w:pPr>
      <w:r>
        <w:rPr>
          <w:rFonts w:ascii="宋体" w:hAnsi="宋体"/>
          <w:sz w:val="24"/>
          <w:szCs w:val="20"/>
        </w:rPr>
        <w:t xml:space="preserve">日期：____年____月____日   </w:t>
      </w:r>
    </w:p>
    <w:p>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pPr>
        <w:tabs>
          <w:tab w:val="left" w:pos="5580"/>
        </w:tabs>
        <w:spacing w:line="360" w:lineRule="auto"/>
        <w:rPr>
          <w:rFonts w:ascii="宋体" w:hAnsi="宋体"/>
          <w:sz w:val="24"/>
        </w:rPr>
        <w:sectPr>
          <w:headerReference r:id="rId26" w:type="default"/>
          <w:footerReference r:id="rId27"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ascii="宋体" w:hAnsi="宋体"/>
          <w:sz w:val="24"/>
        </w:rPr>
      </w:pPr>
      <w:r>
        <w:rPr>
          <w:rFonts w:ascii="宋体" w:hAnsi="宋体"/>
          <w:sz w:val="24"/>
        </w:rPr>
        <w:t>2 落实政府采购政策需满足的资格要求（如有）</w:t>
      </w:r>
    </w:p>
    <w:p>
      <w:pPr>
        <w:spacing w:line="360" w:lineRule="auto"/>
        <w:outlineLvl w:val="2"/>
        <w:rPr>
          <w:rFonts w:hint="eastAsia" w:ascii="宋体" w:hAnsi="宋体"/>
          <w:sz w:val="24"/>
          <w:szCs w:val="20"/>
        </w:rPr>
      </w:pPr>
      <w:r>
        <w:rPr>
          <w:rFonts w:ascii="宋体" w:hAnsi="宋体"/>
          <w:sz w:val="24"/>
          <w:szCs w:val="20"/>
        </w:rPr>
        <w:t>2-1中小企业</w:t>
      </w:r>
      <w:r>
        <w:rPr>
          <w:rFonts w:hint="eastAsia" w:ascii="宋体" w:hAnsi="宋体"/>
          <w:sz w:val="24"/>
          <w:szCs w:val="20"/>
        </w:rPr>
        <w:t>证明文件</w:t>
      </w:r>
    </w:p>
    <w:p>
      <w:pPr>
        <w:tabs>
          <w:tab w:val="left" w:pos="5580"/>
        </w:tabs>
        <w:spacing w:line="360" w:lineRule="auto"/>
        <w:rPr>
          <w:rFonts w:ascii="宋体" w:hAnsi="宋体"/>
          <w:sz w:val="24"/>
        </w:rPr>
      </w:pPr>
    </w:p>
    <w:p>
      <w:pPr>
        <w:tabs>
          <w:tab w:val="left" w:pos="5580"/>
        </w:tabs>
        <w:spacing w:line="360" w:lineRule="auto"/>
        <w:rPr>
          <w:rFonts w:ascii="宋体" w:hAnsi="宋体"/>
          <w:sz w:val="24"/>
        </w:rPr>
      </w:pPr>
      <w:r>
        <w:rPr>
          <w:rFonts w:ascii="宋体" w:hAnsi="宋体"/>
          <w:sz w:val="24"/>
        </w:rPr>
        <w:t>说明：</w:t>
      </w:r>
    </w:p>
    <w:p>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供应商无须</w:t>
      </w:r>
      <w:r>
        <w:rPr>
          <w:rFonts w:ascii="宋体" w:hAnsi="宋体"/>
          <w:sz w:val="24"/>
        </w:rPr>
        <w:t>提供</w:t>
      </w:r>
      <w:r>
        <w:rPr>
          <w:rFonts w:hint="eastAsia" w:ascii="宋体" w:hAnsi="宋体"/>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rFonts w:ascii="宋体" w:hAnsi="宋体"/>
          <w:sz w:val="24"/>
        </w:rPr>
        <w:t>否则不享受相关中小企业扶持政策。</w:t>
      </w:r>
    </w:p>
    <w:p>
      <w:pPr>
        <w:tabs>
          <w:tab w:val="left" w:pos="5580"/>
        </w:tabs>
        <w:spacing w:line="360" w:lineRule="auto"/>
        <w:rPr>
          <w:rFonts w:ascii="宋体" w:hAnsi="宋体"/>
          <w:sz w:val="24"/>
        </w:rPr>
      </w:pPr>
      <w:r>
        <w:rPr>
          <w:rFonts w:ascii="宋体" w:hAnsi="宋体"/>
          <w:sz w:val="24"/>
        </w:rPr>
        <w:t>（2）如本项目（包）专门面向中小企业采购，</w:t>
      </w:r>
      <w:r>
        <w:rPr>
          <w:rFonts w:hint="eastAsia" w:ascii="宋体" w:hAnsi="宋体"/>
          <w:sz w:val="24"/>
        </w:rPr>
        <w:t>响应文件中</w:t>
      </w:r>
      <w:r>
        <w:rPr>
          <w:rFonts w:ascii="宋体" w:hAnsi="宋体"/>
          <w:sz w:val="24"/>
        </w:rPr>
        <w:t>须提供《中小企业声明函》</w:t>
      </w:r>
      <w:r>
        <w:rPr>
          <w:rFonts w:hint="eastAsia" w:ascii="宋体" w:hAnsi="宋体"/>
          <w:sz w:val="24"/>
        </w:rPr>
        <w:t>或《残疾人福利性单位声明函》，或提供由省级以上监狱管理局、戒毒管理局（含新疆生产建设兵团）出具的属于监狱企业的证明文件。</w:t>
      </w:r>
    </w:p>
    <w:p>
      <w:pPr>
        <w:tabs>
          <w:tab w:val="left" w:pos="5580"/>
        </w:tabs>
        <w:spacing w:line="360" w:lineRule="auto"/>
        <w:rPr>
          <w:rFonts w:hint="eastAsia" w:ascii="宋体" w:hAnsi="宋体"/>
          <w:sz w:val="24"/>
        </w:rPr>
      </w:pPr>
      <w:r>
        <w:rPr>
          <w:rFonts w:ascii="宋体" w:hAnsi="宋体"/>
          <w:sz w:val="24"/>
        </w:rPr>
        <w:t>（3）如本项目（包）预留部分采购项目预算专门面向中小企业采购，</w:t>
      </w:r>
      <w:r>
        <w:rPr>
          <w:rFonts w:hint="eastAsia" w:ascii="宋体" w:hAnsi="宋体"/>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ascii="宋体" w:hAnsi="宋体"/>
          <w:sz w:val="24"/>
        </w:rPr>
      </w:pPr>
      <w:r>
        <w:rPr>
          <w:rFonts w:ascii="宋体" w:hAnsi="宋体"/>
          <w:sz w:val="24"/>
        </w:rPr>
        <w:t>（4）</w:t>
      </w:r>
      <w:r>
        <w:rPr>
          <w:rFonts w:hint="eastAsia" w:ascii="宋体" w:hAnsi="宋体"/>
          <w:sz w:val="24"/>
        </w:rPr>
        <w:t>中小企业声明函填写注意事项 1）《中小企业声明函》由参加政府采购活动的供应</w:t>
      </w:r>
    </w:p>
    <w:p>
      <w:pPr>
        <w:tabs>
          <w:tab w:val="left" w:pos="5580"/>
        </w:tabs>
        <w:spacing w:line="360" w:lineRule="auto"/>
        <w:rPr>
          <w:rFonts w:hint="eastAsia" w:ascii="宋体" w:hAnsi="宋体"/>
          <w:sz w:val="24"/>
        </w:rPr>
      </w:pPr>
      <w:r>
        <w:rPr>
          <w:rFonts w:hint="eastAsia" w:ascii="宋体" w:hAnsi="宋体"/>
          <w:sz w:val="24"/>
        </w:rPr>
        <w:t>商出具。联合体参与的，《中小企业声明函》可由牵头人出具。</w:t>
      </w:r>
    </w:p>
    <w:p>
      <w:pPr>
        <w:tabs>
          <w:tab w:val="left" w:pos="5580"/>
        </w:tabs>
        <w:spacing w:line="360" w:lineRule="auto"/>
        <w:rPr>
          <w:rFonts w:hint="eastAsia" w:ascii="宋体" w:hAnsi="宋体"/>
          <w:sz w:val="24"/>
        </w:rPr>
      </w:pPr>
      <w:r>
        <w:rPr>
          <w:rFonts w:hint="eastAsia" w:ascii="宋体" w:hAnsi="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hint="eastAsia" w:ascii="宋体" w:hAnsi="宋体"/>
          <w:sz w:val="24"/>
        </w:rPr>
      </w:pPr>
      <w:r>
        <w:rPr>
          <w:rFonts w:hint="eastAsia" w:ascii="宋体" w:hAnsi="宋体"/>
          <w:sz w:val="24"/>
        </w:rPr>
        <w:t>3）对于多标的采购项目，供应商应充分、准确地了解所提供货物的制造企业、提供服</w:t>
      </w:r>
    </w:p>
    <w:p>
      <w:pPr>
        <w:tabs>
          <w:tab w:val="left" w:pos="5580"/>
        </w:tabs>
        <w:spacing w:line="360" w:lineRule="auto"/>
        <w:rPr>
          <w:rFonts w:hint="eastAsia" w:ascii="宋体" w:hAnsi="宋体"/>
          <w:sz w:val="24"/>
        </w:rPr>
      </w:pPr>
      <w:r>
        <w:rPr>
          <w:rFonts w:hint="eastAsia" w:ascii="宋体" w:hAnsi="宋体"/>
          <w:sz w:val="24"/>
        </w:rPr>
        <w:t>务的承接企业信息。对相关情况了解不清楚的，不建议填报本声明函。</w:t>
      </w:r>
    </w:p>
    <w:p>
      <w:pPr>
        <w:tabs>
          <w:tab w:val="left" w:pos="5580"/>
        </w:tabs>
        <w:spacing w:line="360" w:lineRule="auto"/>
        <w:rPr>
          <w:rFonts w:ascii="宋体" w:hAnsi="宋体"/>
          <w:sz w:val="24"/>
        </w:rPr>
      </w:pPr>
      <w:r>
        <w:rPr>
          <w:rFonts w:hint="eastAsia"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outlineLvl w:val="2"/>
        <w:rPr>
          <w:rFonts w:ascii="宋体" w:hAnsi="宋体"/>
          <w:sz w:val="24"/>
        </w:rPr>
      </w:pPr>
      <w:r>
        <w:rPr>
          <w:rFonts w:ascii="宋体" w:hAnsi="宋体"/>
          <w:sz w:val="24"/>
        </w:rPr>
        <w:br w:type="page"/>
      </w:r>
      <w:r>
        <w:rPr>
          <w:rFonts w:hint="eastAsia" w:ascii="宋体" w:hAnsi="宋体"/>
          <w:b/>
          <w:bCs/>
          <w:sz w:val="24"/>
        </w:rPr>
        <w:t>2-1-1  中小企业声明函及残疾人福利性单位声明函格式</w:t>
      </w:r>
    </w:p>
    <w:p>
      <w:pPr>
        <w:spacing w:before="240" w:beforeLines="100" w:after="240" w:afterLines="100" w:line="360" w:lineRule="auto"/>
        <w:jc w:val="center"/>
        <w:rPr>
          <w:rFonts w:ascii="宋体" w:hAnsi="宋体"/>
          <w:b/>
          <w:sz w:val="36"/>
          <w:szCs w:val="36"/>
        </w:rPr>
      </w:pPr>
      <w:r>
        <w:rPr>
          <w:rFonts w:ascii="宋体" w:hAnsi="宋体"/>
          <w:b/>
          <w:bCs/>
          <w:sz w:val="36"/>
          <w:szCs w:val="36"/>
        </w:rPr>
        <w:t>中小企业声明函（货物）格式</w:t>
      </w:r>
    </w:p>
    <w:p>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w:t>
      </w:r>
      <w:r>
        <w:rPr>
          <w:rFonts w:hint="eastAsia" w:ascii="宋体" w:hAnsi="宋体"/>
          <w:spacing w:val="6"/>
          <w:sz w:val="24"/>
          <w:u w:val="single"/>
        </w:rPr>
        <w:t>采购</w:t>
      </w:r>
      <w:r>
        <w:rPr>
          <w:rFonts w:ascii="宋体" w:hAnsi="宋体"/>
          <w:spacing w:val="6"/>
          <w:sz w:val="24"/>
          <w:u w:val="single"/>
        </w:rPr>
        <w:t>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w:t>
      </w:r>
      <w:r>
        <w:rPr>
          <w:rFonts w:hint="eastAsia" w:ascii="宋体" w:hAnsi="宋体"/>
          <w:spacing w:val="6"/>
          <w:sz w:val="24"/>
          <w:u w:val="single"/>
        </w:rPr>
        <w:t>采购</w:t>
      </w:r>
      <w:r>
        <w:rPr>
          <w:rFonts w:ascii="宋体" w:hAnsi="宋体"/>
          <w:spacing w:val="6"/>
          <w:sz w:val="24"/>
          <w:u w:val="single"/>
        </w:rPr>
        <w:t>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firstLine="504"/>
        <w:rPr>
          <w:rFonts w:ascii="宋体" w:hAnsi="宋体"/>
          <w:spacing w:val="6"/>
          <w:sz w:val="24"/>
        </w:rPr>
      </w:pPr>
    </w:p>
    <w:p>
      <w:pPr>
        <w:spacing w:line="360" w:lineRule="auto"/>
        <w:ind w:right="360" w:firstLine="480"/>
        <w:jc w:val="right"/>
        <w:rPr>
          <w:rFonts w:ascii="宋体" w:hAnsi="宋体"/>
          <w:sz w:val="24"/>
        </w:rPr>
      </w:pPr>
      <w:r>
        <w:rPr>
          <w:rFonts w:ascii="宋体" w:hAnsi="宋体"/>
          <w:sz w:val="24"/>
        </w:rPr>
        <w:t>企业名称（盖章）：______</w:t>
      </w:r>
    </w:p>
    <w:p>
      <w:pPr>
        <w:spacing w:line="360" w:lineRule="auto"/>
        <w:ind w:right="360" w:firstLine="480"/>
        <w:jc w:val="right"/>
        <w:rPr>
          <w:rFonts w:ascii="宋体" w:hAnsi="宋体"/>
          <w:sz w:val="24"/>
        </w:rPr>
      </w:pPr>
      <w:r>
        <w:rPr>
          <w:rFonts w:ascii="宋体" w:hAnsi="宋体"/>
          <w:sz w:val="24"/>
        </w:rPr>
        <w:t>日 期：______</w:t>
      </w:r>
    </w:p>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p>
    <w:tbl>
      <w:tblPr>
        <w:tblStyle w:val="6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pPr>
        <w:autoSpaceDE w:val="0"/>
        <w:autoSpaceDN w:val="0"/>
        <w:adjustRightInd w:val="0"/>
        <w:ind w:firstLine="420"/>
        <w:jc w:val="left"/>
        <w:rPr>
          <w:rFonts w:ascii="宋体" w:hAnsi="宋体"/>
          <w:sz w:val="24"/>
        </w:rPr>
      </w:pPr>
    </w:p>
    <w:p>
      <w:pPr>
        <w:spacing w:line="360" w:lineRule="auto"/>
        <w:rPr>
          <w:rFonts w:ascii="宋体" w:hAnsi="宋体"/>
          <w:sz w:val="24"/>
        </w:rPr>
      </w:pPr>
    </w:p>
    <w:p>
      <w:pPr>
        <w:spacing w:before="240" w:beforeLines="100" w:after="240" w:afterLines="100" w:line="360" w:lineRule="auto"/>
        <w:jc w:val="center"/>
        <w:rPr>
          <w:rFonts w:ascii="宋体" w:hAnsi="宋体"/>
          <w:b/>
          <w:bCs/>
          <w:sz w:val="36"/>
          <w:szCs w:val="36"/>
        </w:rPr>
      </w:pPr>
      <w:r>
        <w:rPr>
          <w:rFonts w:ascii="宋体" w:hAnsi="宋体"/>
          <w:sz w:val="24"/>
        </w:rPr>
        <w:br w:type="page"/>
      </w:r>
      <w:r>
        <w:rPr>
          <w:rFonts w:ascii="宋体" w:hAnsi="宋体"/>
          <w:b/>
          <w:bCs/>
          <w:sz w:val="36"/>
          <w:szCs w:val="36"/>
        </w:rPr>
        <w:t>中小企业声明函（工程、服务）格式</w:t>
      </w:r>
    </w:p>
    <w:p>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w:t>
      </w:r>
      <w:r>
        <w:rPr>
          <w:rFonts w:hint="eastAsia" w:ascii="宋体" w:hAnsi="宋体"/>
          <w:spacing w:val="6"/>
          <w:sz w:val="24"/>
          <w:u w:val="single"/>
        </w:rPr>
        <w:t>采购</w:t>
      </w:r>
      <w:r>
        <w:rPr>
          <w:rFonts w:ascii="宋体" w:hAnsi="宋体"/>
          <w:spacing w:val="6"/>
          <w:sz w:val="24"/>
          <w:u w:val="single"/>
        </w:rPr>
        <w:t>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w:t>
      </w:r>
      <w:r>
        <w:rPr>
          <w:rFonts w:hint="eastAsia" w:ascii="宋体" w:hAnsi="宋体"/>
          <w:spacing w:val="6"/>
          <w:sz w:val="24"/>
          <w:u w:val="single"/>
        </w:rPr>
        <w:t>采购</w:t>
      </w:r>
      <w:r>
        <w:rPr>
          <w:rFonts w:ascii="宋体" w:hAnsi="宋体"/>
          <w:spacing w:val="6"/>
          <w:sz w:val="24"/>
          <w:u w:val="single"/>
        </w:rPr>
        <w:t>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504"/>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r>
        <w:rPr>
          <w:rFonts w:ascii="宋体" w:hAnsi="宋体"/>
          <w:sz w:val="24"/>
        </w:rPr>
        <w:t>企业名称（盖章）：______</w:t>
      </w:r>
    </w:p>
    <w:p>
      <w:pPr>
        <w:spacing w:line="360" w:lineRule="auto"/>
        <w:ind w:right="360" w:firstLine="480"/>
        <w:jc w:val="right"/>
        <w:rPr>
          <w:rFonts w:ascii="宋体" w:hAnsi="宋体"/>
          <w:sz w:val="24"/>
        </w:rPr>
      </w:pPr>
      <w:r>
        <w:rPr>
          <w:rFonts w:ascii="宋体" w:hAnsi="宋体"/>
          <w:sz w:val="24"/>
        </w:rPr>
        <w:t>日 期：______</w:t>
      </w:r>
    </w:p>
    <w:p>
      <w:pPr>
        <w:adjustRightInd w:val="0"/>
        <w:snapToGrid w:val="0"/>
        <w:jc w:val="left"/>
        <w:rPr>
          <w:rFonts w:ascii="宋体" w:hAnsi="宋体"/>
          <w:sz w:val="24"/>
          <w:szCs w:val="21"/>
        </w:rPr>
      </w:pPr>
    </w:p>
    <w:p>
      <w:pPr>
        <w:adjustRightInd w:val="0"/>
        <w:snapToGrid w:val="0"/>
        <w:jc w:val="left"/>
        <w:rPr>
          <w:rFonts w:ascii="宋体" w:hAnsi="宋体"/>
          <w:sz w:val="24"/>
          <w:szCs w:val="21"/>
        </w:rPr>
      </w:pPr>
    </w:p>
    <w:tbl>
      <w:tblPr>
        <w:tblStyle w:val="6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pPr>
        <w:adjustRightInd w:val="0"/>
        <w:snapToGrid w:val="0"/>
        <w:jc w:val="left"/>
        <w:rPr>
          <w:rFonts w:ascii="宋体" w:hAnsi="宋体"/>
          <w:szCs w:val="21"/>
          <w:vertAlign w:val="superscript"/>
        </w:rPr>
      </w:pPr>
    </w:p>
    <w:p>
      <w:pPr>
        <w:spacing w:line="360" w:lineRule="auto"/>
        <w:ind w:right="360" w:firstLine="480"/>
        <w:jc w:val="right"/>
        <w:rPr>
          <w:rFonts w:ascii="宋体" w:hAnsi="宋体"/>
          <w:sz w:val="24"/>
        </w:rPr>
      </w:pPr>
    </w:p>
    <w:p>
      <w:pPr>
        <w:spacing w:line="360" w:lineRule="auto"/>
        <w:ind w:right="360" w:firstLine="480"/>
        <w:jc w:val="right"/>
        <w:rPr>
          <w:rFonts w:ascii="宋体" w:hAnsi="宋体"/>
          <w:sz w:val="24"/>
        </w:rPr>
      </w:pPr>
    </w:p>
    <w:p>
      <w:pPr>
        <w:spacing w:line="360" w:lineRule="auto"/>
        <w:rPr>
          <w:rFonts w:ascii="宋体" w:hAnsi="宋体"/>
          <w:sz w:val="24"/>
          <w:szCs w:val="20"/>
        </w:rPr>
      </w:pPr>
      <w:r>
        <w:rPr>
          <w:rFonts w:ascii="宋体" w:hAnsi="宋体"/>
          <w:sz w:val="24"/>
          <w:szCs w:val="20"/>
        </w:rPr>
        <w:br w:type="page"/>
      </w:r>
    </w:p>
    <w:p>
      <w:pPr>
        <w:spacing w:before="240" w:beforeLines="100" w:after="240" w:afterLines="100" w:line="360" w:lineRule="auto"/>
        <w:jc w:val="center"/>
        <w:rPr>
          <w:rFonts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w:t>
      </w:r>
      <w:r>
        <w:rPr>
          <w:rFonts w:hint="eastAsia" w:ascii="宋体" w:hAnsi="宋体"/>
          <w:b/>
          <w:sz w:val="24"/>
        </w:rPr>
        <w:t>选择</w:t>
      </w:r>
      <w:r>
        <w:rPr>
          <w:rFonts w:ascii="宋体" w:hAnsi="宋体"/>
          <w:b/>
          <w:sz w:val="24"/>
        </w:rPr>
        <w:t>）</w:t>
      </w:r>
      <w:r>
        <w:rPr>
          <w:rFonts w:ascii="宋体" w:hAnsi="宋体"/>
          <w:spacing w:val="6"/>
          <w:sz w:val="24"/>
        </w:rPr>
        <w:t>：</w:t>
      </w:r>
    </w:p>
    <w:p>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单位名称（盖章）：</w:t>
      </w:r>
      <w:r>
        <w:rPr>
          <w:rFonts w:ascii="宋体" w:hAnsi="宋体"/>
          <w:sz w:val="24"/>
        </w:rPr>
        <w:t>______</w:t>
      </w:r>
    </w:p>
    <w:p>
      <w:pPr>
        <w:tabs>
          <w:tab w:val="left" w:pos="4860"/>
        </w:tabs>
        <w:spacing w:line="588" w:lineRule="exact"/>
        <w:ind w:right="1560" w:firstLine="504" w:firstLineChars="200"/>
        <w:jc w:val="right"/>
        <w:rPr>
          <w:rFonts w:ascii="宋体" w:hAnsi="宋体"/>
          <w:spacing w:val="6"/>
          <w:sz w:val="24"/>
        </w:rPr>
      </w:pPr>
      <w:r>
        <w:rPr>
          <w:rFonts w:ascii="宋体" w:hAnsi="宋体"/>
          <w:spacing w:val="6"/>
          <w:sz w:val="24"/>
        </w:rPr>
        <w:t xml:space="preserve">       日  期：</w:t>
      </w:r>
      <w:r>
        <w:rPr>
          <w:rFonts w:ascii="宋体" w:hAnsi="宋体"/>
          <w:sz w:val="24"/>
        </w:rPr>
        <w:t>______</w:t>
      </w:r>
    </w:p>
    <w:p>
      <w:pPr>
        <w:widowControl/>
        <w:jc w:val="left"/>
        <w:rPr>
          <w:rFonts w:ascii="宋体" w:hAnsi="宋体"/>
          <w:sz w:val="24"/>
          <w:szCs w:val="20"/>
        </w:rPr>
      </w:pPr>
      <w:r>
        <w:rPr>
          <w:rFonts w:ascii="宋体" w:hAnsi="宋体"/>
          <w:sz w:val="24"/>
          <w:szCs w:val="20"/>
        </w:rPr>
        <w:br w:type="page"/>
      </w:r>
    </w:p>
    <w:p>
      <w:pPr>
        <w:spacing w:line="360" w:lineRule="auto"/>
        <w:outlineLvl w:val="2"/>
        <w:rPr>
          <w:rFonts w:ascii="宋体" w:hAnsi="宋体"/>
          <w:sz w:val="24"/>
          <w:szCs w:val="20"/>
        </w:rPr>
      </w:pPr>
      <w:r>
        <w:rPr>
          <w:rFonts w:ascii="宋体" w:hAnsi="宋体"/>
          <w:sz w:val="24"/>
          <w:szCs w:val="20"/>
        </w:rPr>
        <w:t>2-1-</w:t>
      </w:r>
      <w:r>
        <w:rPr>
          <w:rFonts w:hint="eastAsia" w:ascii="宋体" w:hAnsi="宋体"/>
          <w:sz w:val="24"/>
          <w:szCs w:val="20"/>
        </w:rPr>
        <w:t>2</w:t>
      </w:r>
      <w:r>
        <w:rPr>
          <w:rFonts w:ascii="宋体" w:hAnsi="宋体"/>
          <w:sz w:val="24"/>
          <w:szCs w:val="20"/>
        </w:rPr>
        <w:t>拟分包情况说明及分包意向协议</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拟分包情况说明</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6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rPr>
            </w:pPr>
            <w:r>
              <w:rPr>
                <w:rFonts w:hint="eastAsia"/>
                <w:sz w:val="24"/>
              </w:rPr>
              <w:t>分包承担</w:t>
            </w:r>
          </w:p>
          <w:p>
            <w:pPr>
              <w:pStyle w:val="273"/>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lang w:eastAsia="zh-CN"/>
              </w:rPr>
            </w:pPr>
            <w:r>
              <w:rPr>
                <w:rFonts w:hint="eastAsia"/>
                <w:sz w:val="24"/>
                <w:lang w:eastAsia="zh-CN"/>
              </w:rPr>
              <w:t>分包承担</w:t>
            </w:r>
          </w:p>
          <w:p>
            <w:pPr>
              <w:pStyle w:val="273"/>
              <w:jc w:val="center"/>
              <w:rPr>
                <w:sz w:val="24"/>
                <w:lang w:eastAsia="zh-CN"/>
              </w:rPr>
            </w:pPr>
            <w:r>
              <w:rPr>
                <w:rFonts w:hint="eastAsia"/>
                <w:sz w:val="24"/>
                <w:lang w:eastAsia="zh-CN"/>
              </w:rPr>
              <w:t>主体类型</w:t>
            </w:r>
          </w:p>
          <w:p>
            <w:pPr>
              <w:pStyle w:val="273"/>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rPr>
            </w:pPr>
            <w:r>
              <w:rPr>
                <w:rFonts w:hint="eastAsia"/>
                <w:sz w:val="24"/>
              </w:rPr>
              <w:t>拟分包</w:t>
            </w:r>
          </w:p>
          <w:p>
            <w:pPr>
              <w:pStyle w:val="273"/>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lang w:eastAsia="zh-CN"/>
              </w:rPr>
            </w:pPr>
            <w:r>
              <w:rPr>
                <w:rFonts w:hint="eastAsia"/>
                <w:sz w:val="24"/>
                <w:lang w:eastAsia="zh-CN"/>
              </w:rPr>
              <w:t>拟分包</w:t>
            </w:r>
          </w:p>
          <w:p>
            <w:pPr>
              <w:pStyle w:val="273"/>
              <w:jc w:val="center"/>
              <w:rPr>
                <w:sz w:val="24"/>
                <w:lang w:eastAsia="zh-CN"/>
              </w:rPr>
            </w:pPr>
            <w:r>
              <w:rPr>
                <w:rFonts w:hint="eastAsia"/>
                <w:sz w:val="24"/>
                <w:lang w:eastAsia="zh-CN"/>
              </w:rPr>
              <w:t>合同金额</w:t>
            </w:r>
          </w:p>
          <w:p>
            <w:pPr>
              <w:pStyle w:val="273"/>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lang w:eastAsia="zh-CN"/>
              </w:rPr>
            </w:pPr>
            <w:r>
              <w:rPr>
                <w:rFonts w:hint="eastAsia"/>
                <w:sz w:val="24"/>
                <w:lang w:eastAsia="zh-CN"/>
              </w:rPr>
              <w:t>占</w:t>
            </w:r>
            <w:r>
              <w:rPr>
                <w:spacing w:val="-8"/>
                <w:sz w:val="24"/>
                <w:szCs w:val="24"/>
                <w:lang w:eastAsia="zh-CN"/>
              </w:rPr>
              <w:t>该采购包</w:t>
            </w:r>
          </w:p>
          <w:p>
            <w:pPr>
              <w:pStyle w:val="273"/>
              <w:jc w:val="center"/>
              <w:rPr>
                <w:b/>
                <w:sz w:val="24"/>
                <w:lang w:eastAsia="zh-CN"/>
              </w:rPr>
            </w:pPr>
            <w:r>
              <w:rPr>
                <w:rFonts w:hint="eastAsia"/>
                <w:b/>
                <w:sz w:val="24"/>
                <w:lang w:eastAsia="zh-CN"/>
              </w:rPr>
              <w:t>合同金额的</w:t>
            </w:r>
          </w:p>
          <w:p>
            <w:pPr>
              <w:pStyle w:val="273"/>
              <w:jc w:val="center"/>
              <w:rPr>
                <w:sz w:val="24"/>
                <w:lang w:eastAsia="zh-CN"/>
              </w:rPr>
            </w:pPr>
            <w:r>
              <w:rPr>
                <w:rFonts w:hint="eastAsia"/>
                <w:sz w:val="24"/>
                <w:lang w:eastAsia="zh-CN"/>
              </w:rPr>
              <w:t>比例（</w:t>
            </w:r>
            <w:r>
              <w:rPr>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rPr>
            </w:pPr>
            <w:r>
              <w:rPr>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rFonts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73"/>
              <w:tabs>
                <w:tab w:val="left" w:pos="235"/>
              </w:tabs>
              <w:ind w:left="1" w:leftChars="-43" w:hanging="91" w:hangingChars="38"/>
              <w:jc w:val="center"/>
              <w:rPr>
                <w:rFonts w:cs="Times New Roman"/>
                <w:sz w:val="24"/>
                <w:lang w:eastAsia="zh-CN"/>
              </w:rPr>
            </w:pPr>
            <w:r>
              <w:rPr>
                <w:rFonts w:cs="Times New Roman"/>
                <w:sz w:val="24"/>
                <w:lang w:eastAsia="zh-CN"/>
              </w:rPr>
              <w:t>□</w:t>
            </w:r>
            <w:r>
              <w:rPr>
                <w:rFonts w:hint="eastAsia" w:cs="Times New Roman"/>
                <w:sz w:val="24"/>
                <w:lang w:eastAsia="zh-CN"/>
              </w:rPr>
              <w:t>中型企业</w:t>
            </w:r>
          </w:p>
          <w:p>
            <w:pPr>
              <w:pStyle w:val="273"/>
              <w:tabs>
                <w:tab w:val="left" w:pos="235"/>
              </w:tabs>
              <w:ind w:left="1" w:leftChars="-43" w:hanging="91" w:hangingChars="38"/>
              <w:jc w:val="center"/>
              <w:rPr>
                <w:rFonts w:hint="eastAsia" w:cs="Times New Roman"/>
                <w:sz w:val="24"/>
                <w:lang w:eastAsia="zh-CN"/>
              </w:rPr>
            </w:pPr>
            <w:r>
              <w:rPr>
                <w:rFonts w:cs="Times New Roman"/>
                <w:sz w:val="24"/>
                <w:lang w:eastAsia="zh-CN"/>
              </w:rPr>
              <w:t>□</w:t>
            </w:r>
            <w:r>
              <w:rPr>
                <w:rFonts w:hint="eastAsia" w:cs="Times New Roman"/>
                <w:sz w:val="24"/>
                <w:lang w:eastAsia="zh-CN"/>
              </w:rPr>
              <w:t>小微企业</w:t>
            </w:r>
          </w:p>
          <w:p>
            <w:pPr>
              <w:pStyle w:val="273"/>
              <w:tabs>
                <w:tab w:val="left" w:pos="235"/>
              </w:tabs>
              <w:ind w:left="1" w:leftChars="-43" w:hanging="91" w:hangingChars="38"/>
              <w:jc w:val="center"/>
              <w:rPr>
                <w:rFonts w:hint="eastAsia" w:cs="Times New Roman"/>
                <w:sz w:val="24"/>
                <w:lang w:eastAsia="zh-CN"/>
              </w:rPr>
            </w:pPr>
            <w:r>
              <w:rPr>
                <w:rFonts w:cs="Times New Roman"/>
                <w:sz w:val="24"/>
                <w:lang w:eastAsia="zh-CN"/>
              </w:rPr>
              <w:t>□</w:t>
            </w:r>
            <w:r>
              <w:rPr>
                <w:rFonts w:hint="eastAsia"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lang w:eastAsia="zh-CN"/>
              </w:rPr>
            </w:pPr>
            <w:r>
              <w:rPr>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73"/>
              <w:tabs>
                <w:tab w:val="left" w:pos="235"/>
              </w:tabs>
              <w:ind w:left="1" w:leftChars="-43" w:hanging="91" w:hangingChars="38"/>
              <w:jc w:val="center"/>
              <w:rPr>
                <w:rFonts w:cs="Times New Roman"/>
                <w:sz w:val="24"/>
                <w:lang w:eastAsia="zh-CN"/>
              </w:rPr>
            </w:pPr>
            <w:r>
              <w:rPr>
                <w:rFonts w:cs="Times New Roman"/>
                <w:sz w:val="24"/>
                <w:lang w:eastAsia="zh-CN"/>
              </w:rPr>
              <w:t>□</w:t>
            </w:r>
            <w:r>
              <w:rPr>
                <w:rFonts w:hint="eastAsia" w:cs="Times New Roman"/>
                <w:sz w:val="24"/>
                <w:lang w:eastAsia="zh-CN"/>
              </w:rPr>
              <w:t>中型企业</w:t>
            </w:r>
          </w:p>
          <w:p>
            <w:pPr>
              <w:pStyle w:val="273"/>
              <w:tabs>
                <w:tab w:val="left" w:pos="235"/>
              </w:tabs>
              <w:ind w:left="1" w:leftChars="-43" w:hanging="91" w:hangingChars="38"/>
              <w:jc w:val="center"/>
              <w:rPr>
                <w:rFonts w:hint="eastAsia" w:cs="Times New Roman"/>
                <w:sz w:val="24"/>
                <w:lang w:eastAsia="zh-CN"/>
              </w:rPr>
            </w:pPr>
            <w:r>
              <w:rPr>
                <w:rFonts w:cs="Times New Roman"/>
                <w:sz w:val="24"/>
                <w:lang w:eastAsia="zh-CN"/>
              </w:rPr>
              <w:t>□</w:t>
            </w:r>
            <w:r>
              <w:rPr>
                <w:rFonts w:hint="eastAsia" w:cs="Times New Roman"/>
                <w:sz w:val="24"/>
                <w:lang w:eastAsia="zh-CN"/>
              </w:rPr>
              <w:t>小微企业</w:t>
            </w:r>
          </w:p>
          <w:p>
            <w:pPr>
              <w:pStyle w:val="273"/>
              <w:tabs>
                <w:tab w:val="left" w:pos="235"/>
              </w:tabs>
              <w:ind w:left="1" w:leftChars="-43" w:hanging="91" w:hangingChars="38"/>
              <w:jc w:val="center"/>
              <w:rPr>
                <w:rFonts w:hint="eastAsia" w:cs="Times New Roman"/>
                <w:sz w:val="24"/>
                <w:lang w:eastAsia="zh-CN"/>
              </w:rPr>
            </w:pPr>
            <w:r>
              <w:rPr>
                <w:rFonts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24"/>
                <w:lang w:eastAsia="zh-CN"/>
              </w:rPr>
            </w:pPr>
            <w:r>
              <w:rPr>
                <w:rFonts w:hint="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73"/>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73"/>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73"/>
              <w:jc w:val="center"/>
              <w:rPr>
                <w:sz w:val="30"/>
              </w:rPr>
            </w:pPr>
          </w:p>
        </w:tc>
      </w:tr>
    </w:tbl>
    <w:p>
      <w:pPr>
        <w:adjustRightInd w:val="0"/>
        <w:snapToGrid w:val="0"/>
        <w:spacing w:line="360" w:lineRule="auto"/>
        <w:jc w:val="left"/>
        <w:rPr>
          <w:rFonts w:ascii="宋体" w:hAnsi="宋体"/>
          <w:sz w:val="24"/>
        </w:rPr>
      </w:pPr>
    </w:p>
    <w:p>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spacing w:line="360" w:lineRule="auto"/>
        <w:ind w:right="-57" w:firstLine="480"/>
        <w:jc w:val="right"/>
        <w:rPr>
          <w:rFonts w:ascii="宋体" w:hAnsi="宋体"/>
          <w:sz w:val="24"/>
        </w:rPr>
      </w:pPr>
      <w:r>
        <w:rPr>
          <w:rFonts w:ascii="宋体" w:hAnsi="宋体"/>
          <w:sz w:val="24"/>
          <w:szCs w:val="20"/>
        </w:rPr>
        <w:t>日期：</w:t>
      </w:r>
      <w:r>
        <w:rPr>
          <w:rFonts w:ascii="宋体" w:hAnsi="宋体"/>
          <w:sz w:val="24"/>
        </w:rPr>
        <w:t>___</w:t>
      </w:r>
      <w:r>
        <w:rPr>
          <w:rFonts w:ascii="宋体" w:hAnsi="宋体"/>
          <w:sz w:val="24"/>
          <w:szCs w:val="20"/>
        </w:rPr>
        <w:t>年</w:t>
      </w:r>
      <w:r>
        <w:rPr>
          <w:rFonts w:ascii="宋体" w:hAnsi="宋体"/>
          <w:sz w:val="24"/>
        </w:rPr>
        <w:t>___</w:t>
      </w:r>
      <w:r>
        <w:rPr>
          <w:rFonts w:ascii="宋体" w:hAnsi="宋体"/>
          <w:sz w:val="24"/>
          <w:szCs w:val="20"/>
        </w:rPr>
        <w:t>月</w:t>
      </w:r>
      <w:r>
        <w:rPr>
          <w:rFonts w:ascii="宋体" w:hAnsi="宋体"/>
          <w:sz w:val="24"/>
        </w:rPr>
        <w:t>___</w:t>
      </w:r>
      <w:r>
        <w:rPr>
          <w:rFonts w:ascii="宋体" w:hAnsi="宋体"/>
          <w:sz w:val="24"/>
          <w:szCs w:val="20"/>
        </w:rPr>
        <w:t>日</w:t>
      </w:r>
    </w:p>
    <w:p>
      <w:pPr>
        <w:adjustRightInd w:val="0"/>
        <w:snapToGrid w:val="0"/>
        <w:spacing w:line="360" w:lineRule="auto"/>
        <w:jc w:val="left"/>
        <w:rPr>
          <w:rFonts w:ascii="宋体" w:hAnsi="宋体"/>
          <w:sz w:val="24"/>
        </w:rPr>
      </w:pPr>
      <w:r>
        <w:rPr>
          <w:rFonts w:ascii="宋体" w:hAnsi="宋体"/>
          <w:sz w:val="24"/>
        </w:rPr>
        <w:t>说明：</w:t>
      </w:r>
    </w:p>
    <w:p>
      <w:pPr>
        <w:pStyle w:val="23"/>
        <w:numPr>
          <w:ilvl w:val="0"/>
          <w:numId w:val="31"/>
        </w:numPr>
        <w:kinsoku w:val="0"/>
        <w:overflowPunct w:val="0"/>
        <w:adjustRightInd w:val="0"/>
        <w:spacing w:before="154" w:line="360" w:lineRule="auto"/>
        <w:ind w:right="17"/>
        <w:rPr>
          <w:rFonts w:hint="eastAsia"/>
        </w:rPr>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pPr>
        <w:pStyle w:val="23"/>
        <w:kinsoku w:val="0"/>
        <w:overflowPunct w:val="0"/>
        <w:adjustRightInd w:val="0"/>
        <w:spacing w:before="154" w:line="360" w:lineRule="auto"/>
        <w:ind w:right="17"/>
        <w:rPr>
          <w:rFonts w:hint="eastAsia"/>
        </w:rPr>
      </w:pPr>
      <w:r>
        <w:rPr>
          <w:spacing w:val="-2"/>
          <w:w w:val="102"/>
        </w:rPr>
        <w:t>2</w:t>
      </w:r>
      <w:r>
        <w:rPr>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pPr>
        <w:pStyle w:val="23"/>
        <w:kinsoku w:val="0"/>
        <w:overflowPunct w:val="0"/>
        <w:adjustRightInd w:val="0"/>
        <w:spacing w:before="48" w:line="360" w:lineRule="auto"/>
        <w:rPr>
          <w:rFonts w:hint="eastAsia"/>
        </w:rPr>
      </w:pPr>
      <w:r>
        <w:rPr>
          <w:spacing w:val="-2"/>
          <w:w w:val="102"/>
        </w:rPr>
        <w:t>3</w:t>
      </w:r>
      <w:r>
        <w:rPr>
          <w:w w:val="99"/>
        </w:rPr>
        <w:t>.</w:t>
      </w:r>
      <w:r>
        <w:rPr>
          <w:rFonts w:hint="eastAsia"/>
        </w:rPr>
        <w:t>供应商</w:t>
      </w:r>
      <w:r>
        <w:rPr>
          <w:w w:val="129"/>
        </w:rPr>
        <w:t>“</w:t>
      </w:r>
      <w:r>
        <w:rPr>
          <w:rFonts w:hint="eastAsia"/>
        </w:rPr>
        <w:t>为落实政府采购政</w:t>
      </w:r>
      <w:r>
        <w:rPr>
          <w:rFonts w:hint="eastAsia"/>
          <w:spacing w:val="-1"/>
        </w:rPr>
        <w:t>策</w:t>
      </w:r>
      <w:r>
        <w:rPr>
          <w:spacing w:val="-2"/>
          <w:w w:val="129"/>
        </w:rPr>
        <w:t>”</w:t>
      </w:r>
      <w:r>
        <w:rPr>
          <w:rFonts w:hint="eastAsia"/>
        </w:rPr>
        <w:t>而向中小企业分包时请仔细阅读资格证明文件格式</w:t>
      </w:r>
      <w:r>
        <w:rPr>
          <w:spacing w:val="-2"/>
          <w:w w:val="102"/>
        </w:rPr>
        <w:t>2</w:t>
      </w:r>
      <w:r>
        <w:rPr>
          <w:w w:val="97"/>
        </w:rPr>
        <w:t>-1</w:t>
      </w:r>
      <w:r>
        <w:rPr>
          <w:spacing w:val="-16"/>
        </w:rPr>
        <w:t xml:space="preserve"> </w:t>
      </w:r>
      <w:r>
        <w:rPr>
          <w:rFonts w:hint="eastAsia"/>
        </w:rPr>
        <w:t>中说明，并建议按要求在资格证明文件中提供相关全部文件；供应商</w:t>
      </w:r>
      <w:r>
        <w:rPr>
          <w:rFonts w:hint="eastAsia"/>
          <w:spacing w:val="-1"/>
        </w:rPr>
        <w:t>非</w:t>
      </w:r>
      <w:r>
        <w:rPr>
          <w:w w:val="129"/>
        </w:rPr>
        <w:t>“</w:t>
      </w:r>
      <w:r>
        <w:rPr>
          <w:rFonts w:hint="eastAsia"/>
        </w:rPr>
        <w:t>为落实政府采购政</w:t>
      </w:r>
      <w:r>
        <w:rPr>
          <w:rFonts w:hint="eastAsia"/>
          <w:spacing w:val="-1"/>
        </w:rPr>
        <w:t>策</w:t>
      </w:r>
      <w:r>
        <w:rPr>
          <w:spacing w:val="-2"/>
          <w:w w:val="129"/>
        </w:rPr>
        <w:t>”</w:t>
      </w:r>
      <w:r>
        <w:rPr>
          <w:rFonts w:hint="eastAsia"/>
        </w:rPr>
        <w:t>而向中小企业分包时，建议在本册提供。</w:t>
      </w:r>
    </w:p>
    <w:p>
      <w:pPr>
        <w:autoSpaceDE w:val="0"/>
        <w:autoSpaceDN w:val="0"/>
        <w:adjustRightInd w:val="0"/>
        <w:spacing w:line="360" w:lineRule="auto"/>
        <w:jc w:val="center"/>
        <w:rPr>
          <w:rFonts w:ascii="宋体" w:hAnsi="宋体"/>
          <w:b/>
          <w:sz w:val="36"/>
          <w:szCs w:val="36"/>
        </w:rPr>
      </w:pPr>
      <w:r>
        <w:rPr>
          <w:rFonts w:ascii="宋体" w:hAnsi="宋体"/>
          <w:sz w:val="30"/>
          <w:szCs w:val="30"/>
        </w:rPr>
        <w:br w:type="page"/>
      </w:r>
      <w:r>
        <w:rPr>
          <w:rFonts w:hint="eastAsia" w:ascii="宋体" w:hAnsi="宋体"/>
          <w:b/>
          <w:sz w:val="36"/>
          <w:szCs w:val="36"/>
        </w:rPr>
        <w:t>分包意向协议（实质性格式）</w:t>
      </w:r>
    </w:p>
    <w:p>
      <w:pPr>
        <w:adjustRightInd w:val="0"/>
        <w:snapToGrid w:val="0"/>
        <w:spacing w:line="360" w:lineRule="auto"/>
        <w:ind w:firstLine="480" w:firstLineChars="200"/>
        <w:jc w:val="left"/>
        <w:rPr>
          <w:rFonts w:ascii="宋体" w:hAnsi="宋体"/>
          <w:sz w:val="24"/>
        </w:rPr>
      </w:pPr>
      <w:r>
        <w:rPr>
          <w:rFonts w:ascii="宋体" w:hAnsi="宋体"/>
          <w:sz w:val="24"/>
        </w:rPr>
        <w:t>甲方（供应商）：______</w:t>
      </w:r>
    </w:p>
    <w:p>
      <w:pPr>
        <w:adjustRightInd w:val="0"/>
        <w:snapToGrid w:val="0"/>
        <w:spacing w:line="360" w:lineRule="auto"/>
        <w:ind w:firstLine="480" w:firstLineChars="200"/>
        <w:jc w:val="left"/>
        <w:rPr>
          <w:rFonts w:ascii="宋体" w:hAnsi="宋体"/>
          <w:sz w:val="24"/>
        </w:rPr>
      </w:pPr>
      <w:r>
        <w:rPr>
          <w:rFonts w:ascii="宋体" w:hAnsi="宋体"/>
          <w:sz w:val="24"/>
        </w:rPr>
        <w:t>乙方（拟分包单位）：______</w:t>
      </w:r>
    </w:p>
    <w:p>
      <w:pPr>
        <w:adjustRightInd w:val="0"/>
        <w:snapToGrid w:val="0"/>
        <w:spacing w:line="360" w:lineRule="auto"/>
        <w:ind w:firstLine="480" w:firstLineChars="200"/>
        <w:jc w:val="left"/>
        <w:rPr>
          <w:rFonts w:ascii="宋体" w:hAnsi="宋体"/>
          <w:sz w:val="24"/>
        </w:rPr>
      </w:pPr>
      <w:r>
        <w:rPr>
          <w:rFonts w:ascii="宋体" w:hAnsi="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ascii="宋体" w:hAnsi="宋体"/>
          <w:sz w:val="24"/>
        </w:rPr>
      </w:pPr>
      <w:r>
        <w:rPr>
          <w:rFonts w:ascii="宋体" w:hAnsi="宋体"/>
          <w:sz w:val="24"/>
        </w:rPr>
        <w:t>1.分包内容：______。</w:t>
      </w:r>
    </w:p>
    <w:p>
      <w:pPr>
        <w:adjustRightInd w:val="0"/>
        <w:snapToGrid w:val="0"/>
        <w:spacing w:line="360" w:lineRule="auto"/>
        <w:ind w:firstLine="480" w:firstLineChars="200"/>
        <w:jc w:val="left"/>
        <w:rPr>
          <w:rFonts w:ascii="宋体" w:hAnsi="宋体"/>
          <w:sz w:val="24"/>
        </w:rPr>
      </w:pPr>
      <w:r>
        <w:rPr>
          <w:rFonts w:ascii="宋体" w:hAnsi="宋体"/>
          <w:sz w:val="24"/>
        </w:rPr>
        <w:t>2.分包金额：______，该金额占该采购包</w:t>
      </w:r>
      <w:r>
        <w:rPr>
          <w:rFonts w:hint="eastAsia" w:ascii="宋体" w:hAnsi="宋体"/>
          <w:sz w:val="24"/>
        </w:rPr>
        <w:t>合同</w:t>
      </w:r>
      <w:r>
        <w:rPr>
          <w:rFonts w:ascii="宋体" w:hAnsi="宋体"/>
          <w:sz w:val="24"/>
        </w:rPr>
        <w:t>金额的比例为______%。</w:t>
      </w:r>
    </w:p>
    <w:p>
      <w:pPr>
        <w:adjustRightInd w:val="0"/>
        <w:snapToGrid w:val="0"/>
        <w:spacing w:line="360" w:lineRule="auto"/>
        <w:ind w:firstLine="480" w:firstLineChars="200"/>
        <w:jc w:val="left"/>
        <w:rPr>
          <w:rFonts w:ascii="宋体" w:hAnsi="宋体"/>
          <w:bCs/>
          <w:sz w:val="24"/>
        </w:rPr>
      </w:pPr>
      <w:r>
        <w:rPr>
          <w:rFonts w:ascii="宋体" w:hAnsi="宋体"/>
          <w:sz w:val="24"/>
        </w:rPr>
        <w:t>乙方承诺将在上述情况下与甲方签订分包合同。</w:t>
      </w:r>
    </w:p>
    <w:p>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本协议自各方盖章之日起生效，如甲方未在该项目（采购包）成交，本协议自动终止。</w:t>
      </w:r>
    </w:p>
    <w:p>
      <w:pPr>
        <w:spacing w:line="360" w:lineRule="auto"/>
        <w:ind w:firstLine="471"/>
        <w:rPr>
          <w:rFonts w:ascii="宋体" w:hAnsi="宋体"/>
          <w:b/>
          <w:sz w:val="24"/>
        </w:rPr>
      </w:pPr>
    </w:p>
    <w:p>
      <w:pPr>
        <w:spacing w:line="360" w:lineRule="auto"/>
        <w:ind w:firstLine="471"/>
        <w:rPr>
          <w:rFonts w:ascii="宋体" w:hAnsi="宋体"/>
          <w:b/>
          <w:sz w:val="24"/>
        </w:rPr>
      </w:pPr>
      <w:r>
        <w:rPr>
          <w:rFonts w:ascii="宋体" w:hAnsi="宋体"/>
          <w:sz w:val="24"/>
        </w:rPr>
        <w:t>甲方（盖章）：______                     乙方（盖章）：______</w:t>
      </w:r>
    </w:p>
    <w:p>
      <w:pPr>
        <w:spacing w:line="360" w:lineRule="auto"/>
        <w:ind w:left="480"/>
        <w:jc w:val="right"/>
        <w:rPr>
          <w:rFonts w:ascii="宋体" w:hAnsi="宋体"/>
          <w:sz w:val="24"/>
        </w:rPr>
      </w:pPr>
    </w:p>
    <w:p>
      <w:pPr>
        <w:wordWrap w:val="0"/>
        <w:spacing w:line="360" w:lineRule="auto"/>
        <w:ind w:left="480"/>
        <w:jc w:val="right"/>
        <w:rPr>
          <w:rFonts w:ascii="宋体" w:hAnsi="宋体"/>
          <w:b/>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 xml:space="preserve">日   </w:t>
      </w:r>
    </w:p>
    <w:p>
      <w:pPr>
        <w:tabs>
          <w:tab w:val="left" w:pos="8280"/>
        </w:tabs>
        <w:spacing w:line="360" w:lineRule="auto"/>
        <w:ind w:firstLine="480"/>
        <w:rPr>
          <w:rFonts w:ascii="宋体" w:hAnsi="宋体"/>
          <w:sz w:val="24"/>
        </w:rPr>
      </w:pPr>
    </w:p>
    <w:p>
      <w:pPr>
        <w:tabs>
          <w:tab w:val="left" w:pos="8280"/>
        </w:tabs>
        <w:spacing w:line="360" w:lineRule="auto"/>
        <w:rPr>
          <w:rFonts w:ascii="宋体" w:hAnsi="宋体"/>
          <w:sz w:val="24"/>
        </w:rPr>
        <w:sectPr>
          <w:headerReference r:id="rId29" w:type="first"/>
          <w:footerReference r:id="rId31" w:type="first"/>
          <w:headerReference r:id="rId28" w:type="even"/>
          <w:footerReference r:id="rId30" w:type="even"/>
          <w:pgSz w:w="11907" w:h="16840"/>
          <w:pgMar w:top="1418" w:right="1134" w:bottom="1418" w:left="1701" w:header="851" w:footer="851" w:gutter="0"/>
          <w:cols w:space="720" w:num="1"/>
          <w:docGrid w:linePitch="462" w:charSpace="0"/>
        </w:sectPr>
      </w:pPr>
      <w:r>
        <w:rPr>
          <w:rFonts w:ascii="宋体" w:hAnsi="宋体"/>
          <w:sz w:val="24"/>
        </w:rPr>
        <w:t>说明：</w:t>
      </w:r>
      <w:r>
        <w:rPr>
          <w:rFonts w:hint="eastAsia" w:ascii="宋体" w:hAnsi="宋体"/>
          <w:sz w:val="24"/>
        </w:rPr>
        <w:t>本协议仅在供应商“为落实政府采购政策”而向中小企业分包时必须提供，否则响应无效。且供应商须与所有拟分包单位分别签订《分包意向协议》，每单位签订一份，并在响应文件中提交全部协议原件的电子件，否则</w:t>
      </w:r>
      <w:r>
        <w:rPr>
          <w:rFonts w:hint="eastAsia" w:ascii="宋体" w:hAnsi="宋体"/>
          <w:b/>
          <w:bCs/>
          <w:sz w:val="24"/>
        </w:rPr>
        <w:t>响应无效</w:t>
      </w:r>
      <w:r>
        <w:rPr>
          <w:rFonts w:hint="eastAsia" w:ascii="宋体" w:hAnsi="宋体"/>
          <w:sz w:val="24"/>
        </w:rPr>
        <w:t>。</w:t>
      </w:r>
    </w:p>
    <w:p>
      <w:pPr>
        <w:spacing w:line="360" w:lineRule="auto"/>
        <w:outlineLvl w:val="2"/>
        <w:rPr>
          <w:rFonts w:ascii="宋体" w:hAnsi="宋体"/>
          <w:sz w:val="24"/>
          <w:szCs w:val="20"/>
        </w:rPr>
      </w:pPr>
      <w:r>
        <w:rPr>
          <w:rFonts w:ascii="宋体" w:hAnsi="宋体"/>
          <w:sz w:val="24"/>
          <w:szCs w:val="20"/>
        </w:rPr>
        <w:t xml:space="preserve">2-2 </w:t>
      </w:r>
      <w:r>
        <w:rPr>
          <w:rFonts w:ascii="宋体" w:hAnsi="宋体"/>
          <w:sz w:val="24"/>
        </w:rPr>
        <w:t>其它落实政府采购政策的资格要求</w:t>
      </w:r>
      <w:r>
        <w:rPr>
          <w:rFonts w:ascii="宋体" w:hAnsi="宋体"/>
          <w:sz w:val="24"/>
          <w:szCs w:val="20"/>
        </w:rPr>
        <w:t>（如有）</w:t>
      </w:r>
    </w:p>
    <w:p>
      <w:pPr>
        <w:widowControl/>
        <w:jc w:val="left"/>
        <w:rPr>
          <w:rFonts w:ascii="宋体" w:hAnsi="宋体"/>
          <w:sz w:val="24"/>
        </w:rPr>
      </w:pPr>
    </w:p>
    <w:p>
      <w:pPr>
        <w:widowControl/>
        <w:jc w:val="left"/>
        <w:rPr>
          <w:rFonts w:ascii="宋体" w:hAnsi="宋体"/>
          <w:sz w:val="24"/>
        </w:rPr>
      </w:pPr>
      <w:r>
        <w:rPr>
          <w:rFonts w:ascii="宋体" w:hAnsi="宋体"/>
          <w:sz w:val="24"/>
        </w:rPr>
        <w:br w:type="page"/>
      </w:r>
    </w:p>
    <w:p>
      <w:pPr>
        <w:tabs>
          <w:tab w:val="left" w:pos="360"/>
        </w:tabs>
        <w:snapToGrid w:val="0"/>
        <w:spacing w:line="360" w:lineRule="auto"/>
        <w:outlineLvl w:val="1"/>
        <w:rPr>
          <w:rFonts w:ascii="宋体" w:hAnsi="宋体"/>
          <w:sz w:val="24"/>
        </w:rPr>
      </w:pPr>
      <w:r>
        <w:rPr>
          <w:rFonts w:ascii="宋体" w:hAnsi="宋体"/>
          <w:sz w:val="24"/>
        </w:rPr>
        <w:t>3 本项目的特定资格要求（如有）</w:t>
      </w:r>
    </w:p>
    <w:p>
      <w:pPr>
        <w:spacing w:line="360" w:lineRule="auto"/>
        <w:outlineLvl w:val="2"/>
        <w:rPr>
          <w:rFonts w:ascii="宋体" w:hAnsi="宋体"/>
          <w:sz w:val="24"/>
          <w:szCs w:val="20"/>
        </w:rPr>
      </w:pPr>
      <w:r>
        <w:rPr>
          <w:rFonts w:ascii="宋体" w:hAnsi="宋体"/>
          <w:sz w:val="24"/>
          <w:szCs w:val="20"/>
        </w:rPr>
        <w:t>3-1联合协议（如有）</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联合协议</w:t>
      </w:r>
    </w:p>
    <w:p>
      <w:pPr>
        <w:spacing w:line="360" w:lineRule="auto"/>
        <w:ind w:firstLine="828" w:firstLineChars="345"/>
        <w:rPr>
          <w:rFonts w:ascii="宋体" w:hAnsi="宋体"/>
          <w:bCs/>
        </w:rPr>
      </w:pPr>
      <w:r>
        <w:rPr>
          <w:rFonts w:ascii="宋体" w:hAnsi="宋体"/>
          <w:sz w:val="24"/>
        </w:rPr>
        <w:t>______</w:t>
      </w:r>
      <w:r>
        <w:rPr>
          <w:rFonts w:ascii="宋体" w:hAnsi="宋体"/>
          <w:bCs/>
          <w:sz w:val="24"/>
        </w:rPr>
        <w:t xml:space="preserve"> 、</w:t>
      </w:r>
      <w:r>
        <w:rPr>
          <w:rFonts w:ascii="宋体" w:hAnsi="宋体"/>
          <w:sz w:val="24"/>
        </w:rPr>
        <w:t>______</w:t>
      </w:r>
      <w:r>
        <w:rPr>
          <w:rFonts w:ascii="宋体" w:hAnsi="宋体"/>
          <w:bCs/>
          <w:sz w:val="24"/>
        </w:rPr>
        <w:t>及</w:t>
      </w:r>
      <w:r>
        <w:rPr>
          <w:rFonts w:ascii="宋体" w:hAnsi="宋体"/>
          <w:sz w:val="24"/>
        </w:rPr>
        <w:t>______</w:t>
      </w:r>
      <w:r>
        <w:rPr>
          <w:rFonts w:ascii="宋体" w:hAnsi="宋体"/>
          <w:bCs/>
          <w:sz w:val="24"/>
        </w:rPr>
        <w:t>就“</w:t>
      </w:r>
      <w:r>
        <w:rPr>
          <w:rFonts w:ascii="宋体" w:hAnsi="宋体"/>
          <w:sz w:val="24"/>
        </w:rPr>
        <w:t>______</w:t>
      </w:r>
      <w:r>
        <w:rPr>
          <w:rFonts w:ascii="宋体" w:hAnsi="宋体"/>
          <w:bCs/>
          <w:sz w:val="24"/>
        </w:rPr>
        <w:t>（项目名称）</w:t>
      </w:r>
      <w:r>
        <w:rPr>
          <w:rFonts w:ascii="宋体" w:hAnsi="宋体"/>
          <w:sz w:val="24"/>
        </w:rPr>
        <w:t>” ______包</w:t>
      </w:r>
      <w:r>
        <w:rPr>
          <w:rFonts w:ascii="宋体" w:hAnsi="宋体"/>
          <w:bCs/>
          <w:sz w:val="24"/>
        </w:rPr>
        <w:t>采购项目的磋商事宜，经各方充分协商一致，达成如下协议：</w:t>
      </w:r>
    </w:p>
    <w:p>
      <w:pPr>
        <w:numPr>
          <w:ilvl w:val="0"/>
          <w:numId w:val="32"/>
        </w:numPr>
        <w:spacing w:line="360" w:lineRule="auto"/>
        <w:rPr>
          <w:rFonts w:ascii="宋体" w:hAnsi="宋体"/>
          <w:bCs/>
          <w:sz w:val="24"/>
        </w:rPr>
      </w:pPr>
      <w:r>
        <w:rPr>
          <w:rFonts w:ascii="宋体" w:hAnsi="宋体"/>
          <w:bCs/>
          <w:sz w:val="24"/>
        </w:rPr>
        <w:t>由</w:t>
      </w:r>
      <w:r>
        <w:rPr>
          <w:rFonts w:ascii="宋体" w:hAnsi="宋体"/>
          <w:sz w:val="24"/>
        </w:rPr>
        <w:t>____</w:t>
      </w:r>
      <w:r>
        <w:rPr>
          <w:rFonts w:ascii="宋体" w:hAnsi="宋体"/>
          <w:bCs/>
          <w:sz w:val="24"/>
        </w:rPr>
        <w:t>__</w:t>
      </w:r>
      <w:r>
        <w:rPr>
          <w:rFonts w:ascii="宋体" w:hAnsi="宋体"/>
          <w:sz w:val="24"/>
        </w:rPr>
        <w:t>__</w:t>
      </w:r>
      <w:r>
        <w:rPr>
          <w:rFonts w:ascii="宋体" w:hAnsi="宋体"/>
          <w:bCs/>
          <w:sz w:val="24"/>
        </w:rPr>
        <w:t>牵头，</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w:t>
      </w:r>
      <w:r>
        <w:rPr>
          <w:rFonts w:ascii="宋体" w:hAnsi="宋体"/>
          <w:sz w:val="24"/>
        </w:rPr>
        <w:t>___</w:t>
      </w:r>
      <w:r>
        <w:rPr>
          <w:rFonts w:ascii="宋体" w:hAnsi="宋体"/>
          <w:bCs/>
          <w:sz w:val="24"/>
        </w:rPr>
        <w:t>__</w:t>
      </w:r>
      <w:r>
        <w:rPr>
          <w:rFonts w:ascii="宋体" w:hAnsi="宋体"/>
          <w:sz w:val="24"/>
        </w:rPr>
        <w:t>___</w:t>
      </w:r>
      <w:r>
        <w:rPr>
          <w:rFonts w:ascii="宋体" w:hAnsi="宋体"/>
          <w:bCs/>
          <w:sz w:val="24"/>
        </w:rPr>
        <w:t>参加，组成联合体共同进行采购项目的磋商工作。</w:t>
      </w:r>
    </w:p>
    <w:p>
      <w:pPr>
        <w:numPr>
          <w:ilvl w:val="0"/>
          <w:numId w:val="32"/>
        </w:numPr>
        <w:spacing w:line="360" w:lineRule="auto"/>
        <w:rPr>
          <w:rFonts w:ascii="宋体" w:hAnsi="宋体"/>
          <w:bCs/>
          <w:sz w:val="24"/>
        </w:rPr>
      </w:pPr>
      <w:r>
        <w:rPr>
          <w:rFonts w:ascii="宋体" w:hAnsi="宋体"/>
          <w:bCs/>
          <w:sz w:val="24"/>
        </w:rPr>
        <w:t>联合体成交后，联合体各方共同与采购人签订合同，就</w:t>
      </w:r>
      <w:r>
        <w:rPr>
          <w:rFonts w:ascii="宋体" w:hAnsi="宋体"/>
          <w:sz w:val="24"/>
          <w:szCs w:val="20"/>
        </w:rPr>
        <w:t>采购合同约定的事项</w:t>
      </w:r>
      <w:r>
        <w:rPr>
          <w:rFonts w:ascii="宋体" w:hAnsi="宋体"/>
          <w:bCs/>
          <w:sz w:val="24"/>
        </w:rPr>
        <w:t>对采购人承担连带责任。</w:t>
      </w:r>
    </w:p>
    <w:p>
      <w:pPr>
        <w:numPr>
          <w:ilvl w:val="0"/>
          <w:numId w:val="32"/>
        </w:numPr>
        <w:spacing w:line="360" w:lineRule="auto"/>
        <w:rPr>
          <w:rFonts w:ascii="宋体" w:hAnsi="宋体"/>
          <w:bCs/>
          <w:sz w:val="24"/>
        </w:rPr>
      </w:pPr>
      <w:r>
        <w:rPr>
          <w:rFonts w:ascii="宋体" w:hAnsi="宋体"/>
          <w:bCs/>
          <w:sz w:val="24"/>
        </w:rPr>
        <w:t>联合体各方均同意由牵头人代表其他联合体成员单位按竞争性磋商文件要求出具《授权委托书》。</w:t>
      </w:r>
    </w:p>
    <w:p>
      <w:pPr>
        <w:numPr>
          <w:ilvl w:val="0"/>
          <w:numId w:val="32"/>
        </w:numPr>
        <w:spacing w:line="360" w:lineRule="auto"/>
        <w:rPr>
          <w:rFonts w:ascii="宋体" w:hAnsi="宋体"/>
          <w:bCs/>
          <w:sz w:val="24"/>
        </w:rPr>
      </w:pPr>
      <w:r>
        <w:rPr>
          <w:rFonts w:ascii="宋体" w:hAnsi="宋体"/>
          <w:bCs/>
          <w:sz w:val="24"/>
        </w:rPr>
        <w:t>牵头人为项目的总负责单位；组织各参加方进行项目实施工作。</w:t>
      </w:r>
    </w:p>
    <w:p>
      <w:pPr>
        <w:numPr>
          <w:ilvl w:val="0"/>
          <w:numId w:val="32"/>
        </w:numPr>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32"/>
        </w:numPr>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，具体工作范围、内容以响应文件及合同为准。</w:t>
      </w:r>
    </w:p>
    <w:p>
      <w:pPr>
        <w:numPr>
          <w:ilvl w:val="0"/>
          <w:numId w:val="32"/>
        </w:numPr>
        <w:spacing w:line="360" w:lineRule="auto"/>
        <w:rPr>
          <w:rFonts w:ascii="宋体" w:hAnsi="宋体"/>
          <w:bCs/>
          <w:sz w:val="24"/>
        </w:rPr>
      </w:pPr>
      <w:r>
        <w:rPr>
          <w:rFonts w:ascii="宋体" w:hAnsi="宋体"/>
          <w:sz w:val="24"/>
        </w:rPr>
        <w:t>______</w:t>
      </w:r>
      <w:r>
        <w:rPr>
          <w:rFonts w:ascii="宋体" w:hAnsi="宋体"/>
          <w:bCs/>
          <w:sz w:val="24"/>
        </w:rPr>
        <w:t>负责</w:t>
      </w:r>
      <w:r>
        <w:rPr>
          <w:rFonts w:ascii="宋体" w:hAnsi="宋体"/>
          <w:sz w:val="24"/>
        </w:rPr>
        <w:t>______</w:t>
      </w:r>
      <w:r>
        <w:rPr>
          <w:rFonts w:ascii="宋体" w:hAnsi="宋体"/>
          <w:bCs/>
          <w:sz w:val="24"/>
        </w:rPr>
        <w:t>（如有），具体工作范围、内容以响应文件及合同为准。</w:t>
      </w:r>
    </w:p>
    <w:p>
      <w:pPr>
        <w:numPr>
          <w:ilvl w:val="0"/>
          <w:numId w:val="32"/>
        </w:numPr>
        <w:spacing w:line="360" w:lineRule="auto"/>
        <w:rPr>
          <w:rFonts w:ascii="宋体" w:hAnsi="宋体"/>
          <w:sz w:val="24"/>
        </w:rPr>
      </w:pPr>
      <w:r>
        <w:rPr>
          <w:rFonts w:ascii="宋体" w:hAnsi="宋体"/>
          <w:sz w:val="24"/>
        </w:rPr>
        <w:t>本项目联合协议合同总额为______元，联合体各成员按照如下比例分摊（按联合体成员分别列明）：</w:t>
      </w:r>
    </w:p>
    <w:p>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sz w:val="24"/>
        </w:rPr>
        <w:t>______</w:t>
      </w:r>
      <w:r>
        <w:rPr>
          <w:rFonts w:ascii="宋体" w:hAnsi="宋体"/>
          <w:sz w:val="24"/>
          <w:szCs w:val="20"/>
        </w:rPr>
        <w:t>为□大型企业□中型企业、□小微企业（包含监狱企业、残疾人福利性单位）、□其他，合同金额为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（2）</w:t>
      </w:r>
      <w:r>
        <w:rPr>
          <w:rFonts w:ascii="宋体" w:hAnsi="宋体"/>
          <w:sz w:val="24"/>
        </w:rPr>
        <w:t>______</w:t>
      </w:r>
      <w:r>
        <w:rPr>
          <w:rFonts w:ascii="宋体" w:hAnsi="宋体"/>
          <w:sz w:val="24"/>
          <w:szCs w:val="20"/>
        </w:rPr>
        <w:t>为□大型企业□中型企业、□小微企业（包含监狱企业、残疾人福利性单位）、□其他，合同金额为</w:t>
      </w:r>
      <w:r>
        <w:rPr>
          <w:rFonts w:ascii="宋体" w:hAnsi="宋体"/>
          <w:sz w:val="24"/>
        </w:rPr>
        <w:t>______</w:t>
      </w:r>
      <w:r>
        <w:rPr>
          <w:rFonts w:ascii="宋体" w:hAnsi="宋体"/>
          <w:sz w:val="24"/>
          <w:szCs w:val="20"/>
        </w:rPr>
        <w:t>元；</w:t>
      </w:r>
    </w:p>
    <w:p>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sz w:val="24"/>
        </w:rPr>
        <w:t>______</w:t>
      </w:r>
      <w:r>
        <w:rPr>
          <w:rFonts w:ascii="宋体" w:hAnsi="宋体"/>
          <w:sz w:val="24"/>
          <w:szCs w:val="20"/>
        </w:rPr>
        <w:t>为□大型企业□中型企业、□小微企业（包含监狱企业、残疾人福利性单位）、□其他，合同金额为</w:t>
      </w:r>
      <w:r>
        <w:rPr>
          <w:rFonts w:ascii="宋体" w:hAnsi="宋体"/>
          <w:sz w:val="24"/>
        </w:rPr>
        <w:t>______</w:t>
      </w:r>
      <w:r>
        <w:rPr>
          <w:rFonts w:ascii="宋体" w:hAnsi="宋体"/>
          <w:sz w:val="24"/>
          <w:szCs w:val="20"/>
        </w:rPr>
        <w:t>元。</w:t>
      </w:r>
    </w:p>
    <w:p>
      <w:pPr>
        <w:numPr>
          <w:ilvl w:val="0"/>
          <w:numId w:val="32"/>
        </w:numPr>
        <w:tabs>
          <w:tab w:val="left" w:pos="993"/>
        </w:tabs>
        <w:spacing w:line="360" w:lineRule="auto"/>
        <w:rPr>
          <w:rFonts w:ascii="宋体" w:hAnsi="宋体"/>
          <w:bCs/>
          <w:sz w:val="24"/>
        </w:rPr>
      </w:pPr>
      <w:r>
        <w:rPr>
          <w:rFonts w:ascii="宋体" w:hAnsi="宋体"/>
          <w:sz w:val="24"/>
          <w:szCs w:val="20"/>
        </w:rPr>
        <w:t>以联合体形式参加政府采购活动的，联合体各方不得再单独参加或者与其他供应商另外组成联合体参加同一合同项下的政府采购活动。</w:t>
      </w:r>
    </w:p>
    <w:p>
      <w:pPr>
        <w:numPr>
          <w:ilvl w:val="0"/>
          <w:numId w:val="32"/>
        </w:numPr>
        <w:spacing w:line="360" w:lineRule="auto"/>
        <w:rPr>
          <w:rFonts w:ascii="宋体" w:hAnsi="宋体"/>
          <w:bCs/>
          <w:sz w:val="24"/>
        </w:rPr>
      </w:pPr>
      <w:r>
        <w:rPr>
          <w:rFonts w:ascii="宋体" w:hAnsi="宋体"/>
          <w:bCs/>
          <w:sz w:val="24"/>
        </w:rPr>
        <w:t>其他约定（如有）：</w:t>
      </w:r>
      <w:r>
        <w:rPr>
          <w:rFonts w:ascii="宋体" w:hAnsi="宋体"/>
          <w:sz w:val="24"/>
        </w:rPr>
        <w:t>______</w:t>
      </w:r>
      <w:r>
        <w:rPr>
          <w:rFonts w:hint="eastAsia" w:ascii="宋体" w:hAnsi="宋体"/>
          <w:sz w:val="24"/>
        </w:rPr>
        <w:t>。</w:t>
      </w:r>
    </w:p>
    <w:p>
      <w:pPr>
        <w:tabs>
          <w:tab w:val="left" w:pos="780"/>
        </w:tabs>
        <w:spacing w:line="360" w:lineRule="auto"/>
        <w:ind w:left="180" w:firstLine="480" w:firstLineChars="200"/>
        <w:rPr>
          <w:rFonts w:ascii="宋体" w:hAnsi="宋体"/>
          <w:b/>
          <w:sz w:val="24"/>
        </w:rPr>
      </w:pPr>
      <w:r>
        <w:rPr>
          <w:rFonts w:ascii="宋体" w:hAnsi="宋体"/>
          <w:bCs/>
          <w:sz w:val="24"/>
        </w:rPr>
        <w:t>本协议自各方盖章后生效，采购合同履行完毕后自动失效。如未成交，本协议自动终止。</w:t>
      </w:r>
    </w:p>
    <w:p>
      <w:pPr>
        <w:spacing w:line="360" w:lineRule="auto"/>
        <w:ind w:firstLine="471"/>
        <w:rPr>
          <w:rFonts w:ascii="宋体" w:hAnsi="宋体"/>
          <w:sz w:val="24"/>
        </w:rPr>
      </w:pPr>
      <w:r>
        <w:rPr>
          <w:rFonts w:ascii="宋体" w:hAnsi="宋体"/>
          <w:sz w:val="24"/>
        </w:rPr>
        <w:br w:type="page"/>
      </w:r>
    </w:p>
    <w:p>
      <w:pPr>
        <w:spacing w:line="360" w:lineRule="auto"/>
        <w:ind w:firstLine="471"/>
        <w:rPr>
          <w:rFonts w:ascii="宋体" w:hAnsi="宋体"/>
          <w:sz w:val="24"/>
        </w:rPr>
      </w:pPr>
      <w:r>
        <w:rPr>
          <w:rFonts w:hint="eastAsia" w:ascii="宋体" w:hAnsi="宋体"/>
          <w:sz w:val="24"/>
        </w:rPr>
        <w:t>联合体</w:t>
      </w:r>
      <w:r>
        <w:rPr>
          <w:rFonts w:ascii="宋体" w:hAnsi="宋体"/>
          <w:sz w:val="24"/>
        </w:rPr>
        <w:t>牵头人</w:t>
      </w:r>
      <w:r>
        <w:rPr>
          <w:rFonts w:hint="eastAsia" w:ascii="宋体" w:hAnsi="宋体"/>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联合体成员名称</w:t>
      </w:r>
      <w:r>
        <w:rPr>
          <w:rFonts w:ascii="宋体" w:hAnsi="宋体"/>
          <w:sz w:val="24"/>
        </w:rPr>
        <w:t>：</w:t>
      </w:r>
      <w:r>
        <w:rPr>
          <w:rFonts w:ascii="宋体" w:hAnsi="宋体"/>
          <w:sz w:val="24"/>
          <w:szCs w:val="20"/>
        </w:rPr>
        <w:t>______</w:t>
      </w:r>
    </w:p>
    <w:p>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pPr>
        <w:spacing w:line="360" w:lineRule="auto"/>
        <w:ind w:firstLine="471"/>
        <w:rPr>
          <w:rFonts w:ascii="宋体" w:hAnsi="宋体"/>
          <w:sz w:val="24"/>
        </w:rPr>
      </w:pPr>
    </w:p>
    <w:p>
      <w:pPr>
        <w:spacing w:line="360" w:lineRule="auto"/>
        <w:ind w:firstLine="471"/>
        <w:rPr>
          <w:rFonts w:ascii="宋体" w:hAnsi="宋体"/>
          <w:sz w:val="24"/>
        </w:rPr>
      </w:pPr>
    </w:p>
    <w:p>
      <w:pPr>
        <w:spacing w:line="360" w:lineRule="auto"/>
        <w:ind w:firstLine="471"/>
        <w:rPr>
          <w:rFonts w:ascii="宋体" w:hAnsi="宋体"/>
          <w:sz w:val="24"/>
        </w:rPr>
      </w:pPr>
      <w:r>
        <w:rPr>
          <w:rFonts w:hint="eastAsia" w:ascii="宋体" w:hAnsi="宋体"/>
          <w:sz w:val="24"/>
        </w:rPr>
        <w:t>联合体成员名称</w:t>
      </w:r>
      <w:r>
        <w:rPr>
          <w:rFonts w:ascii="宋体" w:hAnsi="宋体"/>
          <w:sz w:val="24"/>
        </w:rPr>
        <w:t>：</w:t>
      </w:r>
      <w:r>
        <w:rPr>
          <w:rFonts w:ascii="宋体" w:hAnsi="宋体"/>
          <w:sz w:val="24"/>
          <w:szCs w:val="20"/>
        </w:rPr>
        <w:t>______</w:t>
      </w:r>
    </w:p>
    <w:p>
      <w:pPr>
        <w:widowControl/>
        <w:ind w:firstLine="480" w:firstLineChars="200"/>
        <w:jc w:val="left"/>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w:t>
      </w:r>
    </w:p>
    <w:p>
      <w:pPr>
        <w:spacing w:line="360" w:lineRule="auto"/>
        <w:ind w:left="480"/>
        <w:jc w:val="right"/>
        <w:rPr>
          <w:rFonts w:ascii="宋体" w:hAnsi="宋体"/>
          <w:sz w:val="24"/>
        </w:rPr>
      </w:pPr>
    </w:p>
    <w:p>
      <w:pPr>
        <w:spacing w:line="360" w:lineRule="auto"/>
        <w:ind w:left="480"/>
        <w:jc w:val="right"/>
        <w:rPr>
          <w:rFonts w:ascii="宋体" w:hAnsi="宋体"/>
          <w:sz w:val="24"/>
        </w:rPr>
      </w:pPr>
      <w:r>
        <w:rPr>
          <w:rFonts w:ascii="宋体" w:hAnsi="宋体"/>
          <w:sz w:val="24"/>
          <w:szCs w:val="20"/>
        </w:rPr>
        <w:t>日期：</w:t>
      </w:r>
      <w:r>
        <w:rPr>
          <w:rFonts w:ascii="宋体" w:hAnsi="宋体"/>
          <w:sz w:val="24"/>
        </w:rPr>
        <w:t>______</w:t>
      </w:r>
      <w:r>
        <w:rPr>
          <w:rFonts w:ascii="宋体" w:hAnsi="宋体"/>
          <w:sz w:val="24"/>
          <w:szCs w:val="20"/>
        </w:rPr>
        <w:t>年</w:t>
      </w:r>
      <w:r>
        <w:rPr>
          <w:rFonts w:ascii="宋体" w:hAnsi="宋体"/>
          <w:sz w:val="24"/>
        </w:rPr>
        <w:t>______</w:t>
      </w:r>
      <w:r>
        <w:rPr>
          <w:rFonts w:ascii="宋体" w:hAnsi="宋体"/>
          <w:sz w:val="24"/>
          <w:szCs w:val="20"/>
        </w:rPr>
        <w:t>月</w:t>
      </w:r>
      <w:r>
        <w:rPr>
          <w:rFonts w:ascii="宋体" w:hAnsi="宋体"/>
          <w:sz w:val="24"/>
        </w:rPr>
        <w:t>______</w:t>
      </w:r>
      <w:r>
        <w:rPr>
          <w:rFonts w:ascii="宋体" w:hAnsi="宋体"/>
          <w:sz w:val="24"/>
          <w:szCs w:val="20"/>
        </w:rPr>
        <w:t>日</w:t>
      </w:r>
    </w:p>
    <w:p>
      <w:pPr>
        <w:spacing w:line="360" w:lineRule="auto"/>
        <w:ind w:left="480"/>
        <w:jc w:val="right"/>
        <w:rPr>
          <w:rFonts w:ascii="宋体" w:hAnsi="宋体"/>
          <w:b/>
          <w:sz w:val="24"/>
        </w:rPr>
      </w:pPr>
    </w:p>
    <w:p>
      <w:pPr>
        <w:tabs>
          <w:tab w:val="left" w:pos="8280"/>
        </w:tabs>
        <w:spacing w:line="360" w:lineRule="auto"/>
        <w:ind w:firstLine="480"/>
        <w:rPr>
          <w:rFonts w:ascii="宋体" w:hAnsi="宋体"/>
          <w:sz w:val="24"/>
        </w:rPr>
      </w:pPr>
    </w:p>
    <w:p>
      <w:pPr>
        <w:tabs>
          <w:tab w:val="left" w:pos="8280"/>
        </w:tabs>
        <w:spacing w:line="360" w:lineRule="auto"/>
        <w:ind w:firstLine="480"/>
        <w:rPr>
          <w:rFonts w:ascii="宋体" w:hAnsi="宋体"/>
          <w:sz w:val="24"/>
        </w:rPr>
      </w:pPr>
    </w:p>
    <w:p>
      <w:pPr>
        <w:spacing w:line="360" w:lineRule="auto"/>
        <w:ind w:left="719" w:leftChars="228" w:hanging="240" w:hangingChars="100"/>
        <w:rPr>
          <w:rFonts w:ascii="宋体" w:hAnsi="宋体"/>
          <w:sz w:val="24"/>
        </w:rPr>
      </w:pPr>
      <w:r>
        <w:rPr>
          <w:rFonts w:ascii="宋体" w:hAnsi="宋体"/>
          <w:sz w:val="24"/>
        </w:rPr>
        <w:t>注：</w:t>
      </w:r>
    </w:p>
    <w:p>
      <w:pPr>
        <w:spacing w:line="360" w:lineRule="auto"/>
        <w:ind w:left="719" w:leftChars="228" w:hanging="240" w:hangingChars="100"/>
        <w:rPr>
          <w:rFonts w:hint="eastAsia" w:ascii="宋体" w:hAnsi="宋体"/>
          <w:sz w:val="24"/>
        </w:rPr>
      </w:pPr>
      <w:r>
        <w:rPr>
          <w:rFonts w:hint="eastAsia" w:ascii="宋体" w:hAnsi="宋体"/>
          <w:sz w:val="24"/>
        </w:rPr>
        <w:t>1.如本项目 (包) 接受供应商以联合体形式参加采购活动，且供应商以联合体形式参与时，须提供《联合协议》，否则</w:t>
      </w:r>
      <w:r>
        <w:rPr>
          <w:rFonts w:hint="eastAsia" w:ascii="宋体" w:hAnsi="宋体"/>
          <w:b/>
          <w:bCs/>
          <w:sz w:val="24"/>
        </w:rPr>
        <w:t>响应无效</w:t>
      </w:r>
      <w:r>
        <w:rPr>
          <w:rFonts w:hint="eastAsia" w:ascii="宋体" w:hAnsi="宋体"/>
          <w:sz w:val="24"/>
        </w:rPr>
        <w:t>。</w:t>
      </w:r>
    </w:p>
    <w:p>
      <w:pPr>
        <w:spacing w:line="360" w:lineRule="auto"/>
        <w:ind w:left="719" w:leftChars="228" w:hanging="240" w:hangingChars="100"/>
        <w:rPr>
          <w:rFonts w:ascii="宋体" w:hAnsi="宋体"/>
          <w:sz w:val="24"/>
        </w:rPr>
      </w:pPr>
      <w:r>
        <w:rPr>
          <w:rFonts w:hint="eastAsia" w:ascii="宋体" w:hAnsi="宋体"/>
          <w:sz w:val="24"/>
        </w:rPr>
        <w:t>2.联合体各方成员需在本协议上共同盖章。</w:t>
      </w:r>
    </w:p>
    <w:p>
      <w:pPr>
        <w:widowControl/>
        <w:jc w:val="left"/>
        <w:rPr>
          <w:rFonts w:ascii="宋体" w:hAnsi="宋体"/>
          <w:sz w:val="24"/>
        </w:rPr>
      </w:pPr>
      <w:r>
        <w:rPr>
          <w:rFonts w:ascii="宋体" w:hAnsi="宋体"/>
          <w:sz w:val="24"/>
        </w:rPr>
        <w:br w:type="page"/>
      </w:r>
    </w:p>
    <w:p>
      <w:pPr>
        <w:spacing w:line="360" w:lineRule="auto"/>
        <w:outlineLvl w:val="2"/>
        <w:rPr>
          <w:rFonts w:ascii="宋体" w:hAnsi="宋体"/>
          <w:sz w:val="24"/>
          <w:szCs w:val="20"/>
        </w:rPr>
      </w:pPr>
      <w:r>
        <w:rPr>
          <w:rFonts w:ascii="宋体" w:hAnsi="宋体"/>
          <w:sz w:val="24"/>
          <w:szCs w:val="20"/>
        </w:rPr>
        <w:t>3-2其他特定资格要求</w:t>
      </w:r>
    </w:p>
    <w:p>
      <w:pPr>
        <w:tabs>
          <w:tab w:val="left" w:pos="900"/>
          <w:tab w:val="left" w:pos="1134"/>
          <w:tab w:val="left" w:pos="1589"/>
          <w:tab w:val="left" w:pos="5521"/>
        </w:tabs>
        <w:snapToGrid w:val="0"/>
        <w:spacing w:line="360" w:lineRule="auto"/>
        <w:ind w:firstLine="480" w:firstLineChars="200"/>
        <w:rPr>
          <w:rFonts w:ascii="宋体" w:hAnsi="宋体"/>
          <w:sz w:val="24"/>
          <w:szCs w:val="28"/>
        </w:rPr>
      </w:pPr>
      <w:r>
        <w:rPr>
          <w:rFonts w:hint="eastAsia" w:ascii="宋体" w:hAnsi="宋体"/>
          <w:sz w:val="24"/>
        </w:rPr>
        <w:t>（1）</w:t>
      </w:r>
      <w:r>
        <w:rPr>
          <w:rFonts w:hint="eastAsia" w:ascii="宋体" w:hAnsi="宋体"/>
          <w:sz w:val="24"/>
          <w:szCs w:val="28"/>
        </w:rPr>
        <w:t>供应商须具备建设行政主管部门核发的</w:t>
      </w:r>
      <w:r>
        <w:rPr>
          <w:rFonts w:hint="eastAsia" w:ascii="宋体" w:hAnsi="宋体"/>
          <w:sz w:val="24"/>
          <w:szCs w:val="28"/>
          <w:u w:val="single"/>
        </w:rPr>
        <w:t>建筑工程施工总承包三级 (含)</w:t>
      </w:r>
      <w:r>
        <w:rPr>
          <w:rFonts w:hint="eastAsia" w:ascii="宋体" w:hAnsi="宋体"/>
          <w:sz w:val="24"/>
          <w:szCs w:val="28"/>
        </w:rPr>
        <w:t>以上资质和有效的安全生产许可证,外地企业须具备《外地企业进京施工备案许可证》，并在人员、设备、资金等方面具有相应的施工能力；</w:t>
      </w:r>
    </w:p>
    <w:p>
      <w:pPr>
        <w:tabs>
          <w:tab w:val="left" w:pos="5580"/>
        </w:tabs>
        <w:spacing w:line="360" w:lineRule="auto"/>
        <w:ind w:firstLine="360" w:firstLineChars="150"/>
        <w:rPr>
          <w:rFonts w:ascii="宋体" w:hAnsi="宋体"/>
          <w:sz w:val="24"/>
        </w:rPr>
      </w:pPr>
      <w:r>
        <w:rPr>
          <w:rFonts w:hint="eastAsia" w:ascii="宋体" w:hAnsi="宋体"/>
          <w:sz w:val="24"/>
          <w:szCs w:val="28"/>
        </w:rPr>
        <w:t>（2）供应商拟派项目经理须具备</w:t>
      </w:r>
      <w:r>
        <w:rPr>
          <w:rFonts w:hint="eastAsia" w:ascii="宋体" w:hAnsi="宋体"/>
          <w:sz w:val="24"/>
          <w:szCs w:val="28"/>
          <w:u w:val="single"/>
        </w:rPr>
        <w:t>建筑工程专业二级（含）</w:t>
      </w:r>
      <w:r>
        <w:rPr>
          <w:rFonts w:hint="eastAsia" w:ascii="宋体" w:hAnsi="宋体"/>
          <w:sz w:val="24"/>
          <w:szCs w:val="28"/>
        </w:rPr>
        <w:t>以上注册建造师执业资格，具备有效的安全生产考核合格证书（B本），且未担任其他在施建设工程的项目经理。</w:t>
      </w:r>
    </w:p>
    <w:p>
      <w:pPr>
        <w:widowControl/>
        <w:jc w:val="left"/>
        <w:rPr>
          <w:rFonts w:ascii="宋体" w:hAnsi="宋体"/>
          <w:sz w:val="24"/>
          <w:szCs w:val="20"/>
        </w:rPr>
      </w:pPr>
      <w:r>
        <w:rPr>
          <w:rFonts w:ascii="宋体" w:hAnsi="宋体"/>
          <w:sz w:val="24"/>
          <w:szCs w:val="20"/>
        </w:rPr>
        <w:br w:type="page"/>
      </w:r>
    </w:p>
    <w:p>
      <w:pPr>
        <w:tabs>
          <w:tab w:val="left" w:pos="360"/>
        </w:tabs>
        <w:snapToGrid w:val="0"/>
        <w:spacing w:line="360" w:lineRule="auto"/>
        <w:outlineLvl w:val="1"/>
        <w:rPr>
          <w:rFonts w:ascii="宋体" w:hAnsi="宋体"/>
          <w:sz w:val="24"/>
        </w:rPr>
      </w:pPr>
      <w:r>
        <w:rPr>
          <w:rFonts w:ascii="宋体" w:hAnsi="宋体"/>
          <w:sz w:val="24"/>
        </w:rPr>
        <w:t>4 磋商保证金凭证/交款单据电子件</w:t>
      </w:r>
    </w:p>
    <w:p>
      <w:pPr>
        <w:widowControl/>
        <w:jc w:val="left"/>
        <w:rPr>
          <w:rFonts w:ascii="宋体" w:hAnsi="宋体"/>
          <w:b/>
          <w:sz w:val="24"/>
        </w:rPr>
      </w:pPr>
      <w:r>
        <w:rPr>
          <w:rFonts w:ascii="宋体" w:hAnsi="宋体"/>
          <w:b/>
          <w:sz w:val="24"/>
        </w:rPr>
        <w:br w:type="page"/>
      </w:r>
    </w:p>
    <w:p>
      <w:pPr>
        <w:tabs>
          <w:tab w:val="left" w:pos="360"/>
        </w:tabs>
        <w:snapToGrid w:val="0"/>
        <w:spacing w:line="360" w:lineRule="auto"/>
        <w:outlineLvl w:val="1"/>
        <w:rPr>
          <w:rFonts w:ascii="宋体" w:hAnsi="宋体"/>
          <w:sz w:val="24"/>
        </w:rPr>
      </w:pPr>
      <w:bookmarkStart w:id="3233" w:name="_Hlt520273711"/>
      <w:bookmarkEnd w:id="3233"/>
      <w:bookmarkStart w:id="3234" w:name="_Hlt520343392"/>
      <w:bookmarkEnd w:id="3234"/>
      <w:bookmarkStart w:id="3235" w:name="_Hlt520274121"/>
      <w:bookmarkEnd w:id="3235"/>
      <w:bookmarkStart w:id="3236" w:name="_Hlt520355504"/>
      <w:bookmarkEnd w:id="3236"/>
      <w:bookmarkStart w:id="3237" w:name="_Hlt520274407"/>
      <w:bookmarkEnd w:id="3237"/>
      <w:bookmarkStart w:id="3238" w:name="_Hlt520274065"/>
      <w:bookmarkEnd w:id="3238"/>
      <w:bookmarkStart w:id="3239" w:name="_Hlt520274393"/>
      <w:bookmarkEnd w:id="3239"/>
      <w:bookmarkStart w:id="3240" w:name="_Hlt520271212"/>
      <w:bookmarkEnd w:id="3240"/>
      <w:bookmarkStart w:id="3241" w:name="_Hlt520343000"/>
      <w:bookmarkEnd w:id="3241"/>
      <w:bookmarkStart w:id="3242" w:name="_Hlt520350918"/>
      <w:bookmarkEnd w:id="3242"/>
      <w:bookmarkStart w:id="3243" w:name="_Toc480942349"/>
      <w:bookmarkStart w:id="3244" w:name="_Ref467988698"/>
      <w:bookmarkStart w:id="3245" w:name="_Toc150480794"/>
      <w:bookmarkStart w:id="3246" w:name="_Toc226309800"/>
      <w:bookmarkStart w:id="3247" w:name="_Toc195842921"/>
      <w:bookmarkStart w:id="3248" w:name="_Toc226337252"/>
      <w:bookmarkStart w:id="3249" w:name="_Toc226965746"/>
      <w:bookmarkStart w:id="3250" w:name="_Toc142311058"/>
      <w:bookmarkStart w:id="3251" w:name="_Toc520356217"/>
      <w:bookmarkStart w:id="3252" w:name="_Toc127151556"/>
      <w:bookmarkStart w:id="3253" w:name="_Toc150774761"/>
      <w:bookmarkStart w:id="3254" w:name="_Toc226965829"/>
      <w:r>
        <w:rPr>
          <w:rFonts w:ascii="宋体" w:hAnsi="宋体"/>
          <w:sz w:val="24"/>
        </w:rPr>
        <w:t xml:space="preserve">5  </w:t>
      </w:r>
      <w:bookmarkEnd w:id="3243"/>
      <w:bookmarkEnd w:id="3244"/>
      <w:r>
        <w:rPr>
          <w:rFonts w:ascii="宋体" w:hAnsi="宋体"/>
          <w:sz w:val="24"/>
        </w:rPr>
        <w:t>响应书</w:t>
      </w:r>
      <w:bookmarkEnd w:id="3245"/>
      <w:bookmarkEnd w:id="3246"/>
      <w:bookmarkEnd w:id="3247"/>
      <w:bookmarkEnd w:id="3248"/>
      <w:bookmarkEnd w:id="3249"/>
      <w:bookmarkEnd w:id="3250"/>
      <w:bookmarkEnd w:id="3251"/>
      <w:bookmarkEnd w:id="3252"/>
      <w:bookmarkEnd w:id="3253"/>
      <w:bookmarkEnd w:id="3254"/>
      <w:r>
        <w:rPr>
          <w:rFonts w:ascii="宋体" w:hAnsi="宋体"/>
          <w:spacing w:val="-3"/>
          <w:sz w:val="24"/>
        </w:rPr>
        <w:t>（实质性格式）</w:t>
      </w:r>
    </w:p>
    <w:p>
      <w:pPr>
        <w:tabs>
          <w:tab w:val="left" w:pos="5580"/>
        </w:tabs>
        <w:spacing w:line="360" w:lineRule="auto"/>
        <w:rPr>
          <w:rFonts w:ascii="宋体" w:hAnsi="宋体"/>
          <w:sz w:val="24"/>
        </w:rPr>
      </w:pPr>
    </w:p>
    <w:p>
      <w:pPr>
        <w:spacing w:line="360" w:lineRule="auto"/>
        <w:jc w:val="center"/>
        <w:rPr>
          <w:rFonts w:ascii="宋体" w:hAnsi="宋体"/>
          <w:b/>
          <w:sz w:val="36"/>
          <w:szCs w:val="36"/>
        </w:rPr>
      </w:pPr>
      <w:r>
        <w:rPr>
          <w:rFonts w:hint="eastAsia" w:ascii="宋体" w:hAnsi="宋体"/>
          <w:b/>
          <w:sz w:val="36"/>
          <w:szCs w:val="36"/>
        </w:rPr>
        <w:t>响应书</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tabs>
          <w:tab w:val="left" w:pos="5580"/>
        </w:tabs>
        <w:spacing w:line="360" w:lineRule="auto"/>
        <w:rPr>
          <w:rFonts w:ascii="宋体" w:hAnsi="宋体"/>
          <w:sz w:val="24"/>
          <w:szCs w:val="20"/>
        </w:rPr>
      </w:pPr>
    </w:p>
    <w:p>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（1）本响应有效期为自响应文件提交截止之日起</w:t>
      </w:r>
      <w:r>
        <w:rPr>
          <w:rFonts w:ascii="宋体" w:hAnsi="宋体"/>
          <w:sz w:val="24"/>
        </w:rPr>
        <w:t>______</w:t>
      </w:r>
      <w:r>
        <w:rPr>
          <w:rFonts w:ascii="宋体" w:hAnsi="宋体"/>
          <w:sz w:val="24"/>
          <w:szCs w:val="20"/>
        </w:rPr>
        <w:t>个日历日。</w:t>
      </w:r>
    </w:p>
    <w:p>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（2）除合同条款及采购需求偏离表列出的偏离外，我方响应竞争性磋商文件的全部要求。</w:t>
      </w:r>
    </w:p>
    <w:p>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ascii="宋体" w:hAnsi="宋体"/>
          <w:sz w:val="24"/>
        </w:rPr>
      </w:pPr>
      <w:r>
        <w:rPr>
          <w:rFonts w:ascii="宋体" w:hAnsi="宋体"/>
          <w:sz w:val="24"/>
        </w:rPr>
        <w:t>2. 其他补充条款（如有）：______。</w:t>
      </w:r>
    </w:p>
    <w:p>
      <w:pPr>
        <w:spacing w:line="360" w:lineRule="auto"/>
        <w:ind w:firstLine="480" w:firstLineChars="200"/>
        <w:rPr>
          <w:rFonts w:ascii="宋体" w:hAnsi="宋体"/>
          <w:sz w:val="24"/>
        </w:rPr>
      </w:pPr>
      <w:r>
        <w:rPr>
          <w:rFonts w:ascii="宋体" w:hAnsi="宋体"/>
          <w:sz w:val="24"/>
        </w:rPr>
        <w:t>与本磋商有关的一切正式往来信函请寄：</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 xml:space="preserve">      传   真</w:t>
      </w:r>
      <w:r>
        <w:rPr>
          <w:rFonts w:ascii="宋体" w:hAnsi="宋体"/>
          <w:bCs/>
          <w:sz w:val="24"/>
        </w:rPr>
        <w:t>_________________________</w:t>
      </w:r>
    </w:p>
    <w:p>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 xml:space="preserve">      电子函件</w:t>
      </w:r>
      <w:r>
        <w:rPr>
          <w:rFonts w:ascii="宋体" w:hAnsi="宋体"/>
          <w:bCs/>
          <w:sz w:val="24"/>
        </w:rPr>
        <w:t>_________________________</w:t>
      </w: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tabs>
          <w:tab w:val="left" w:pos="5580"/>
        </w:tabs>
        <w:spacing w:line="360" w:lineRule="auto"/>
        <w:ind w:left="420"/>
        <w:rPr>
          <w:rFonts w:ascii="宋体" w:hAnsi="宋体"/>
          <w:sz w:val="24"/>
          <w:szCs w:val="20"/>
        </w:rPr>
      </w:pPr>
    </w:p>
    <w:p>
      <w:pPr>
        <w:autoSpaceDE w:val="0"/>
        <w:autoSpaceDN w:val="0"/>
        <w:adjustRightInd w:val="0"/>
        <w:snapToGrid w:val="0"/>
        <w:spacing w:before="25" w:after="25" w:line="360" w:lineRule="auto"/>
        <w:ind w:right="360" w:firstLine="360" w:firstLineChars="15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tabs>
          <w:tab w:val="left" w:pos="5580"/>
        </w:tabs>
        <w:spacing w:line="360" w:lineRule="auto"/>
        <w:ind w:firstLine="360" w:firstLineChars="150"/>
        <w:rPr>
          <w:rFonts w:ascii="宋体" w:hAnsi="宋体"/>
          <w:sz w:val="24"/>
          <w:szCs w:val="20"/>
        </w:rPr>
      </w:pPr>
      <w:r>
        <w:rPr>
          <w:rFonts w:ascii="宋体" w:hAnsi="宋体"/>
          <w:sz w:val="24"/>
          <w:szCs w:val="20"/>
        </w:rPr>
        <w:t xml:space="preserve">日期：____年____月____日  </w:t>
      </w:r>
    </w:p>
    <w:p>
      <w:pPr>
        <w:spacing w:after="240" w:afterLines="100" w:line="360" w:lineRule="auto"/>
        <w:jc w:val="center"/>
        <w:outlineLvl w:val="2"/>
        <w:rPr>
          <w:rFonts w:hint="eastAsia" w:ascii="宋体" w:hAnsi="宋体"/>
          <w:b/>
          <w:sz w:val="28"/>
          <w:szCs w:val="28"/>
        </w:rPr>
      </w:pPr>
      <w:r>
        <w:rPr>
          <w:rFonts w:ascii="宋体" w:hAnsi="宋体"/>
          <w:sz w:val="24"/>
          <w:szCs w:val="20"/>
        </w:rPr>
        <w:br w:type="page"/>
      </w:r>
      <w:bookmarkStart w:id="3255" w:name="_Toc166339258"/>
      <w:r>
        <w:rPr>
          <w:rFonts w:hint="eastAsia" w:ascii="宋体" w:hAnsi="宋体"/>
          <w:b/>
          <w:sz w:val="24"/>
        </w:rPr>
        <w:t>响应书附录</w:t>
      </w:r>
      <w:bookmarkEnd w:id="3255"/>
    </w:p>
    <w:tbl>
      <w:tblPr>
        <w:tblStyle w:val="6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3543"/>
        <w:gridCol w:w="1816"/>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894" w:type="dxa"/>
            <w:noWrap w:val="0"/>
            <w:vAlign w:val="center"/>
          </w:tcPr>
          <w:p>
            <w:pPr>
              <w:widowControl/>
              <w:adjustRightInd w:val="0"/>
              <w:jc w:val="center"/>
              <w:rPr>
                <w:rFonts w:hint="eastAsia" w:ascii="宋体" w:hAnsi="宋体"/>
                <w:kern w:val="0"/>
                <w:sz w:val="24"/>
                <w:lang w:eastAsia="en-US" w:bidi="en-US"/>
              </w:rPr>
            </w:pPr>
            <w:r>
              <w:rPr>
                <w:rFonts w:ascii="宋体" w:hAnsi="宋体"/>
                <w:kern w:val="0"/>
                <w:sz w:val="24"/>
                <w:lang w:eastAsia="en-US" w:bidi="en-US"/>
              </w:rPr>
              <w:t>工程名称</w:t>
            </w:r>
          </w:p>
        </w:tc>
        <w:tc>
          <w:tcPr>
            <w:tcW w:w="7080" w:type="dxa"/>
            <w:gridSpan w:val="3"/>
            <w:noWrap w:val="0"/>
            <w:vAlign w:val="center"/>
          </w:tcPr>
          <w:p>
            <w:pPr>
              <w:widowControl/>
              <w:adjustRightInd w:val="0"/>
              <w:ind w:firstLine="480" w:firstLineChars="200"/>
              <w:jc w:val="center"/>
              <w:rPr>
                <w:rFonts w:hint="eastAsia" w:ascii="宋体" w:hAnsi="宋体"/>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894" w:type="dxa"/>
            <w:noWrap w:val="0"/>
            <w:vAlign w:val="center"/>
          </w:tcPr>
          <w:p>
            <w:pPr>
              <w:widowControl/>
              <w:adjustRightInd w:val="0"/>
              <w:jc w:val="center"/>
              <w:rPr>
                <w:rFonts w:hint="eastAsia" w:ascii="宋体" w:hAnsi="宋体"/>
                <w:kern w:val="0"/>
                <w:sz w:val="24"/>
                <w:lang w:eastAsia="en-US" w:bidi="en-US"/>
              </w:rPr>
            </w:pPr>
            <w:r>
              <w:rPr>
                <w:rFonts w:ascii="宋体" w:hAnsi="宋体"/>
                <w:kern w:val="0"/>
                <w:sz w:val="24"/>
                <w:lang w:eastAsia="en-US" w:bidi="en-US"/>
              </w:rPr>
              <w:t>供应商名称</w:t>
            </w:r>
          </w:p>
        </w:tc>
        <w:tc>
          <w:tcPr>
            <w:tcW w:w="7080" w:type="dxa"/>
            <w:gridSpan w:val="3"/>
            <w:noWrap w:val="0"/>
            <w:vAlign w:val="center"/>
          </w:tcPr>
          <w:p>
            <w:pPr>
              <w:widowControl/>
              <w:adjustRightInd w:val="0"/>
              <w:ind w:firstLine="480" w:firstLineChars="200"/>
              <w:jc w:val="center"/>
              <w:rPr>
                <w:rFonts w:hint="eastAsia" w:ascii="宋体" w:hAnsi="宋体"/>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894" w:type="dxa"/>
            <w:noWrap w:val="0"/>
            <w:vAlign w:val="center"/>
          </w:tcPr>
          <w:p>
            <w:pPr>
              <w:widowControl/>
              <w:adjustRightInd w:val="0"/>
              <w:jc w:val="center"/>
              <w:rPr>
                <w:rFonts w:hint="eastAsia" w:ascii="宋体" w:hAnsi="宋体"/>
                <w:kern w:val="0"/>
                <w:sz w:val="24"/>
                <w:lang w:bidi="en-US"/>
              </w:rPr>
            </w:pPr>
            <w:r>
              <w:rPr>
                <w:rFonts w:ascii="宋体" w:hAnsi="宋体"/>
                <w:kern w:val="0"/>
                <w:sz w:val="24"/>
                <w:lang w:eastAsia="en-US" w:bidi="en-US"/>
              </w:rPr>
              <w:t>总工期</w:t>
            </w:r>
          </w:p>
        </w:tc>
        <w:tc>
          <w:tcPr>
            <w:tcW w:w="7080" w:type="dxa"/>
            <w:gridSpan w:val="3"/>
            <w:noWrap w:val="0"/>
            <w:vAlign w:val="center"/>
          </w:tcPr>
          <w:p>
            <w:pPr>
              <w:widowControl/>
              <w:adjustRightInd w:val="0"/>
              <w:ind w:firstLine="720" w:firstLineChars="300"/>
              <w:rPr>
                <w:rFonts w:hint="eastAsia" w:ascii="宋体" w:hAnsi="宋体"/>
                <w:kern w:val="0"/>
                <w:sz w:val="24"/>
                <w:lang w:eastAsia="en-US" w:bidi="en-US"/>
              </w:rPr>
            </w:pPr>
            <w:r>
              <w:rPr>
                <w:rFonts w:ascii="宋体" w:hAnsi="宋体"/>
                <w:kern w:val="0"/>
                <w:sz w:val="24"/>
                <w:lang w:eastAsia="en-US" w:bidi="en-US"/>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894" w:type="dxa"/>
            <w:noWrap w:val="0"/>
            <w:vAlign w:val="center"/>
          </w:tcPr>
          <w:p>
            <w:pPr>
              <w:widowControl/>
              <w:adjustRightInd w:val="0"/>
              <w:jc w:val="center"/>
              <w:rPr>
                <w:rFonts w:hint="eastAsia" w:ascii="宋体" w:hAnsi="宋体"/>
                <w:kern w:val="0"/>
                <w:sz w:val="24"/>
                <w:lang w:bidi="en-US"/>
              </w:rPr>
            </w:pPr>
            <w:r>
              <w:rPr>
                <w:rFonts w:hint="eastAsia" w:ascii="宋体" w:hAnsi="宋体"/>
                <w:kern w:val="0"/>
                <w:sz w:val="24"/>
                <w:lang w:bidi="en-US"/>
              </w:rPr>
              <w:t>施工现场安全生产标准化管理目标等级</w:t>
            </w:r>
          </w:p>
        </w:tc>
        <w:tc>
          <w:tcPr>
            <w:tcW w:w="3543" w:type="dxa"/>
            <w:noWrap w:val="0"/>
            <w:vAlign w:val="center"/>
          </w:tcPr>
          <w:p>
            <w:pPr>
              <w:widowControl/>
              <w:adjustRightInd w:val="0"/>
              <w:ind w:firstLine="840" w:firstLineChars="350"/>
              <w:jc w:val="left"/>
              <w:rPr>
                <w:rFonts w:hint="eastAsia" w:ascii="宋体" w:hAnsi="宋体"/>
                <w:kern w:val="0"/>
                <w:sz w:val="24"/>
                <w:lang w:bidi="en-US"/>
              </w:rPr>
            </w:pPr>
          </w:p>
        </w:tc>
        <w:tc>
          <w:tcPr>
            <w:tcW w:w="1816" w:type="dxa"/>
            <w:noWrap w:val="0"/>
            <w:vAlign w:val="center"/>
          </w:tcPr>
          <w:p>
            <w:pPr>
              <w:widowControl/>
              <w:adjustRightInd w:val="0"/>
              <w:jc w:val="center"/>
              <w:rPr>
                <w:rFonts w:hint="eastAsia" w:ascii="宋体" w:hAnsi="宋体"/>
                <w:kern w:val="0"/>
                <w:sz w:val="24"/>
                <w:szCs w:val="28"/>
                <w:lang w:eastAsia="en-US" w:bidi="en-US"/>
              </w:rPr>
            </w:pPr>
            <w:r>
              <w:rPr>
                <w:rFonts w:ascii="宋体" w:hAnsi="宋体"/>
                <w:kern w:val="0"/>
                <w:sz w:val="24"/>
                <w:szCs w:val="28"/>
                <w:lang w:eastAsia="en-US" w:bidi="en-US"/>
              </w:rPr>
              <w:t>工程质量</w:t>
            </w:r>
          </w:p>
          <w:p>
            <w:pPr>
              <w:widowControl/>
              <w:adjustRightInd w:val="0"/>
              <w:jc w:val="center"/>
              <w:rPr>
                <w:rFonts w:hint="eastAsia" w:ascii="宋体" w:hAnsi="宋体"/>
                <w:kern w:val="0"/>
                <w:sz w:val="24"/>
                <w:szCs w:val="28"/>
                <w:u w:val="single"/>
                <w:lang w:eastAsia="en-US" w:bidi="en-US"/>
              </w:rPr>
            </w:pPr>
            <w:r>
              <w:rPr>
                <w:rFonts w:hint="eastAsia" w:ascii="宋体" w:hAnsi="宋体"/>
                <w:kern w:val="0"/>
                <w:sz w:val="24"/>
                <w:szCs w:val="28"/>
                <w:lang w:bidi="en-US"/>
              </w:rPr>
              <w:t>标准</w:t>
            </w:r>
          </w:p>
        </w:tc>
        <w:tc>
          <w:tcPr>
            <w:tcW w:w="1721" w:type="dxa"/>
            <w:noWrap w:val="0"/>
            <w:vAlign w:val="center"/>
          </w:tcPr>
          <w:p>
            <w:pPr>
              <w:widowControl/>
              <w:adjustRightInd w:val="0"/>
              <w:jc w:val="center"/>
              <w:rPr>
                <w:rFonts w:hint="eastAsia" w:ascii="宋体" w:hAnsi="宋体"/>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894" w:type="dxa"/>
            <w:noWrap w:val="0"/>
            <w:vAlign w:val="center"/>
          </w:tcPr>
          <w:p>
            <w:pPr>
              <w:widowControl/>
              <w:jc w:val="center"/>
              <w:rPr>
                <w:rFonts w:hint="eastAsia" w:ascii="宋体" w:hAnsi="宋体"/>
                <w:kern w:val="0"/>
                <w:sz w:val="24"/>
                <w:lang w:eastAsia="en-US" w:bidi="en-US"/>
              </w:rPr>
            </w:pPr>
            <w:r>
              <w:rPr>
                <w:rFonts w:ascii="宋体" w:hAnsi="宋体"/>
                <w:kern w:val="0"/>
                <w:sz w:val="24"/>
                <w:lang w:eastAsia="en-US" w:bidi="en-US"/>
              </w:rPr>
              <w:t>项目经理姓名</w:t>
            </w:r>
          </w:p>
        </w:tc>
        <w:tc>
          <w:tcPr>
            <w:tcW w:w="3543" w:type="dxa"/>
            <w:noWrap w:val="0"/>
            <w:vAlign w:val="center"/>
          </w:tcPr>
          <w:p>
            <w:pPr>
              <w:widowControl/>
              <w:ind w:firstLine="840" w:firstLineChars="350"/>
              <w:jc w:val="center"/>
              <w:rPr>
                <w:rFonts w:hint="eastAsia" w:ascii="宋体" w:hAnsi="宋体"/>
                <w:kern w:val="0"/>
                <w:sz w:val="24"/>
                <w:lang w:eastAsia="en-US" w:bidi="en-US"/>
              </w:rPr>
            </w:pPr>
          </w:p>
        </w:tc>
        <w:tc>
          <w:tcPr>
            <w:tcW w:w="1816" w:type="dxa"/>
            <w:noWrap w:val="0"/>
            <w:vAlign w:val="center"/>
          </w:tcPr>
          <w:p>
            <w:pPr>
              <w:widowControl/>
              <w:adjustRightInd w:val="0"/>
              <w:jc w:val="center"/>
              <w:rPr>
                <w:rFonts w:hint="eastAsia" w:ascii="宋体" w:hAnsi="宋体"/>
                <w:kern w:val="0"/>
                <w:sz w:val="24"/>
                <w:szCs w:val="28"/>
                <w:lang w:eastAsia="en-US" w:bidi="en-US"/>
              </w:rPr>
            </w:pPr>
          </w:p>
        </w:tc>
        <w:tc>
          <w:tcPr>
            <w:tcW w:w="1721" w:type="dxa"/>
            <w:noWrap w:val="0"/>
            <w:vAlign w:val="center"/>
          </w:tcPr>
          <w:p>
            <w:pPr>
              <w:widowControl/>
              <w:adjustRightInd w:val="0"/>
              <w:jc w:val="center"/>
              <w:rPr>
                <w:rFonts w:hint="eastAsia" w:ascii="宋体" w:hAnsi="宋体"/>
                <w:kern w:val="0"/>
                <w:sz w:val="24"/>
                <w:u w:val="singl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94" w:type="dxa"/>
            <w:noWrap w:val="0"/>
            <w:vAlign w:val="center"/>
          </w:tcPr>
          <w:p>
            <w:pPr>
              <w:widowControl/>
              <w:adjustRightInd w:val="0"/>
              <w:ind w:right="-105" w:rightChars="-50"/>
              <w:rPr>
                <w:rFonts w:hint="eastAsia" w:ascii="宋体" w:hAnsi="宋体"/>
                <w:kern w:val="0"/>
                <w:sz w:val="24"/>
                <w:lang w:bidi="en-US"/>
              </w:rPr>
            </w:pPr>
            <w:r>
              <w:rPr>
                <w:rFonts w:ascii="宋体" w:hAnsi="宋体"/>
                <w:kern w:val="0"/>
                <w:sz w:val="24"/>
                <w:lang w:bidi="en-US"/>
              </w:rPr>
              <w:t>报价总金额</w:t>
            </w:r>
          </w:p>
          <w:p>
            <w:pPr>
              <w:widowControl/>
              <w:adjustRightInd w:val="0"/>
              <w:ind w:right="-105" w:rightChars="-50"/>
              <w:rPr>
                <w:rFonts w:hint="eastAsia" w:ascii="宋体" w:hAnsi="宋体"/>
                <w:kern w:val="0"/>
                <w:sz w:val="24"/>
                <w:lang w:bidi="en-US"/>
              </w:rPr>
            </w:pPr>
            <w:r>
              <w:rPr>
                <w:rFonts w:ascii="宋体" w:hAnsi="宋体"/>
                <w:kern w:val="0"/>
                <w:sz w:val="24"/>
                <w:lang w:bidi="en-US"/>
              </w:rPr>
              <w:t>（大写</w:t>
            </w:r>
            <w:r>
              <w:rPr>
                <w:rFonts w:hint="eastAsia" w:ascii="宋体" w:hAnsi="宋体"/>
                <w:kern w:val="0"/>
                <w:sz w:val="24"/>
                <w:lang w:bidi="en-US"/>
              </w:rPr>
              <w:t>及小写</w:t>
            </w:r>
            <w:r>
              <w:rPr>
                <w:rFonts w:ascii="宋体" w:hAnsi="宋体"/>
                <w:kern w:val="0"/>
                <w:sz w:val="24"/>
                <w:lang w:bidi="en-US"/>
              </w:rPr>
              <w:t>）</w:t>
            </w:r>
          </w:p>
        </w:tc>
        <w:tc>
          <w:tcPr>
            <w:tcW w:w="3543" w:type="dxa"/>
            <w:noWrap w:val="0"/>
            <w:vAlign w:val="center"/>
          </w:tcPr>
          <w:p>
            <w:pPr>
              <w:widowControl/>
              <w:adjustRightInd w:val="0"/>
              <w:ind w:firstLine="480" w:firstLineChars="200"/>
              <w:jc w:val="center"/>
              <w:rPr>
                <w:rFonts w:hint="eastAsia" w:ascii="宋体" w:hAnsi="宋体"/>
                <w:kern w:val="0"/>
                <w:sz w:val="24"/>
                <w:lang w:bidi="en-US"/>
              </w:rPr>
            </w:pPr>
          </w:p>
        </w:tc>
        <w:tc>
          <w:tcPr>
            <w:tcW w:w="3537" w:type="dxa"/>
            <w:gridSpan w:val="2"/>
            <w:noWrap w:val="0"/>
            <w:vAlign w:val="center"/>
          </w:tcPr>
          <w:p>
            <w:pPr>
              <w:widowControl/>
              <w:adjustRightInd w:val="0"/>
              <w:ind w:firstLine="480" w:firstLineChars="200"/>
              <w:jc w:val="center"/>
              <w:rPr>
                <w:rFonts w:hint="eastAsia" w:ascii="宋体" w:hAnsi="宋体"/>
                <w:kern w:val="0"/>
                <w:sz w:val="24"/>
                <w:lang w:eastAsia="en-US" w:bidi="en-US"/>
              </w:rPr>
            </w:pPr>
            <w:r>
              <w:rPr>
                <w:rFonts w:ascii="宋体" w:hAnsi="宋体"/>
                <w:kern w:val="0"/>
                <w:sz w:val="24"/>
                <w:lang w:eastAsia="en-US"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1894" w:type="dxa"/>
            <w:noWrap w:val="0"/>
            <w:vAlign w:val="center"/>
          </w:tcPr>
          <w:p>
            <w:pPr>
              <w:widowControl/>
              <w:adjustRightInd w:val="0"/>
              <w:jc w:val="center"/>
              <w:rPr>
                <w:rFonts w:hint="eastAsia" w:ascii="宋体" w:hAnsi="宋体"/>
                <w:kern w:val="0"/>
                <w:sz w:val="24"/>
                <w:lang w:bidi="en-US"/>
              </w:rPr>
            </w:pPr>
            <w:r>
              <w:rPr>
                <w:rFonts w:ascii="宋体" w:hAnsi="宋体"/>
                <w:kern w:val="0"/>
                <w:sz w:val="24"/>
                <w:lang w:bidi="en-US"/>
              </w:rPr>
              <w:t>对报价中需要说明的问题</w:t>
            </w:r>
          </w:p>
        </w:tc>
        <w:tc>
          <w:tcPr>
            <w:tcW w:w="7080" w:type="dxa"/>
            <w:gridSpan w:val="3"/>
            <w:noWrap w:val="0"/>
            <w:vAlign w:val="center"/>
          </w:tcPr>
          <w:p>
            <w:pPr>
              <w:widowControl/>
              <w:adjustRightInd w:val="0"/>
              <w:jc w:val="left"/>
              <w:rPr>
                <w:rFonts w:hint="eastAsia" w:ascii="宋体" w:hAnsi="宋体"/>
                <w:kern w:val="0"/>
                <w:sz w:val="24"/>
                <w:lang w:bidi="en-US"/>
              </w:rPr>
            </w:pPr>
            <w:r>
              <w:rPr>
                <w:rFonts w:ascii="宋体" w:hAnsi="宋体"/>
                <w:kern w:val="0"/>
                <w:sz w:val="24"/>
                <w:lang w:bidi="en-US"/>
              </w:rPr>
              <w:t>其中：</w:t>
            </w:r>
            <w:r>
              <w:rPr>
                <w:rFonts w:ascii="宋体" w:hAnsi="宋体" w:cs="宋体"/>
                <w:sz w:val="24"/>
              </w:rPr>
              <w:t>安全文明施工费(含税)</w:t>
            </w:r>
            <w:r>
              <w:rPr>
                <w:rFonts w:hint="eastAsia" w:ascii="宋体" w:hAnsi="宋体" w:cs="宋体"/>
                <w:sz w:val="24"/>
              </w:rPr>
              <w:t>：</w:t>
            </w:r>
            <w:r>
              <w:rPr>
                <w:rFonts w:ascii="宋体" w:hAnsi="宋体"/>
                <w:kern w:val="0"/>
                <w:sz w:val="24"/>
                <w:u w:val="single"/>
                <w:lang w:bidi="en-US"/>
              </w:rPr>
              <w:t xml:space="preserve">               </w:t>
            </w:r>
            <w:r>
              <w:rPr>
                <w:rFonts w:ascii="宋体" w:hAnsi="宋体"/>
                <w:kern w:val="0"/>
                <w:sz w:val="24"/>
                <w:lang w:bidi="en-US"/>
              </w:rPr>
              <w:t>元</w:t>
            </w:r>
          </w:p>
          <w:p>
            <w:pPr>
              <w:widowControl/>
              <w:adjustRightInd w:val="0"/>
              <w:ind w:firstLine="720" w:firstLineChars="300"/>
              <w:jc w:val="left"/>
              <w:rPr>
                <w:rFonts w:hint="eastAsia" w:ascii="宋体" w:hAnsi="宋体" w:cs="宋体"/>
                <w:sz w:val="24"/>
              </w:rPr>
            </w:pPr>
            <w:r>
              <w:rPr>
                <w:rFonts w:ascii="宋体" w:hAnsi="宋体" w:cs="宋体"/>
                <w:sz w:val="24"/>
              </w:rPr>
              <w:t>赶工增加费(含税)</w:t>
            </w:r>
            <w:r>
              <w:rPr>
                <w:rFonts w:hint="eastAsia" w:ascii="宋体" w:hAnsi="宋体" w:cs="宋体"/>
                <w:sz w:val="24"/>
              </w:rPr>
              <w:t>：</w:t>
            </w:r>
            <w:r>
              <w:rPr>
                <w:rFonts w:ascii="宋体" w:hAnsi="宋体"/>
                <w:kern w:val="0"/>
                <w:sz w:val="24"/>
                <w:u w:val="single"/>
                <w:lang w:bidi="en-US"/>
              </w:rPr>
              <w:t xml:space="preserve">               </w:t>
            </w:r>
            <w:r>
              <w:rPr>
                <w:rFonts w:ascii="宋体" w:hAnsi="宋体"/>
                <w:kern w:val="0"/>
                <w:sz w:val="24"/>
                <w:lang w:bidi="en-US"/>
              </w:rPr>
              <w:t>元</w:t>
            </w:r>
          </w:p>
          <w:p>
            <w:pPr>
              <w:widowControl/>
              <w:adjustRightInd w:val="0"/>
              <w:ind w:firstLine="720" w:firstLineChars="300"/>
              <w:jc w:val="left"/>
              <w:rPr>
                <w:rFonts w:hint="eastAsia" w:ascii="宋体" w:hAnsi="宋体"/>
                <w:kern w:val="0"/>
                <w:sz w:val="24"/>
                <w:lang w:bidi="en-US"/>
              </w:rPr>
            </w:pPr>
            <w:r>
              <w:rPr>
                <w:rFonts w:hint="eastAsia" w:ascii="宋体" w:hAnsi="宋体" w:cs="宋体"/>
                <w:sz w:val="24"/>
              </w:rPr>
              <w:t>专业工程</w:t>
            </w:r>
            <w:r>
              <w:rPr>
                <w:rFonts w:ascii="宋体" w:hAnsi="宋体" w:cs="宋体"/>
                <w:sz w:val="24"/>
              </w:rPr>
              <w:t>暂估价（含税）</w:t>
            </w:r>
            <w:r>
              <w:rPr>
                <w:rFonts w:hint="eastAsia" w:ascii="宋体" w:hAnsi="宋体" w:cs="宋体"/>
                <w:sz w:val="24"/>
              </w:rPr>
              <w:t>：</w:t>
            </w:r>
            <w:r>
              <w:rPr>
                <w:rFonts w:ascii="宋体" w:hAnsi="宋体"/>
                <w:kern w:val="0"/>
                <w:sz w:val="24"/>
                <w:u w:val="single"/>
                <w:lang w:bidi="en-US"/>
              </w:rPr>
              <w:t xml:space="preserve">                </w:t>
            </w:r>
            <w:r>
              <w:rPr>
                <w:rFonts w:ascii="宋体" w:hAnsi="宋体"/>
                <w:kern w:val="0"/>
                <w:sz w:val="24"/>
                <w:lang w:bidi="en-US"/>
              </w:rPr>
              <w:t>元</w:t>
            </w:r>
          </w:p>
          <w:p>
            <w:pPr>
              <w:widowControl/>
              <w:adjustRightInd w:val="0"/>
              <w:ind w:firstLine="720" w:firstLineChars="300"/>
              <w:jc w:val="left"/>
              <w:rPr>
                <w:rFonts w:hint="eastAsia" w:ascii="宋体" w:hAnsi="宋体"/>
                <w:kern w:val="0"/>
                <w:sz w:val="24"/>
                <w:u w:val="single"/>
                <w:lang w:bidi="en-US"/>
              </w:rPr>
            </w:pPr>
            <w:r>
              <w:rPr>
                <w:rFonts w:ascii="宋体" w:hAnsi="宋体" w:cs="宋体"/>
                <w:sz w:val="24"/>
              </w:rPr>
              <w:t>暂列金额（不</w:t>
            </w:r>
            <w:r>
              <w:rPr>
                <w:rFonts w:hint="eastAsia" w:ascii="宋体" w:hAnsi="宋体" w:cs="宋体"/>
                <w:sz w:val="24"/>
              </w:rPr>
              <w:t>含</w:t>
            </w:r>
            <w:r>
              <w:rPr>
                <w:rFonts w:ascii="宋体" w:hAnsi="宋体" w:cs="宋体"/>
                <w:sz w:val="24"/>
              </w:rPr>
              <w:t>计日工部分）（含税）</w:t>
            </w:r>
            <w:r>
              <w:rPr>
                <w:rFonts w:ascii="宋体" w:hAnsi="宋体"/>
                <w:kern w:val="0"/>
                <w:sz w:val="24"/>
                <w:u w:val="single"/>
                <w:lang w:bidi="en-US"/>
              </w:rPr>
              <w:t xml:space="preserve">           </w:t>
            </w:r>
            <w:r>
              <w:rPr>
                <w:rFonts w:ascii="宋体" w:hAnsi="宋体"/>
                <w:kern w:val="0"/>
                <w:sz w:val="24"/>
                <w:lang w:bidi="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94" w:type="dxa"/>
            <w:noWrap w:val="0"/>
            <w:vAlign w:val="center"/>
          </w:tcPr>
          <w:p>
            <w:pPr>
              <w:widowControl/>
              <w:adjustRightInd w:val="0"/>
              <w:jc w:val="center"/>
              <w:rPr>
                <w:rFonts w:hint="eastAsia" w:ascii="宋体" w:hAnsi="宋体"/>
                <w:kern w:val="0"/>
                <w:sz w:val="24"/>
                <w:lang w:eastAsia="en-US" w:bidi="en-US"/>
              </w:rPr>
            </w:pPr>
            <w:r>
              <w:rPr>
                <w:rFonts w:ascii="宋体" w:hAnsi="宋体"/>
                <w:kern w:val="0"/>
                <w:sz w:val="24"/>
                <w:lang w:eastAsia="en-US" w:bidi="en-US"/>
              </w:rPr>
              <w:t>备  注</w:t>
            </w:r>
          </w:p>
        </w:tc>
        <w:tc>
          <w:tcPr>
            <w:tcW w:w="7080" w:type="dxa"/>
            <w:gridSpan w:val="3"/>
            <w:noWrap w:val="0"/>
            <w:vAlign w:val="center"/>
          </w:tcPr>
          <w:p>
            <w:pPr>
              <w:widowControl/>
              <w:adjustRightInd w:val="0"/>
              <w:spacing w:line="360" w:lineRule="auto"/>
              <w:jc w:val="left"/>
              <w:rPr>
                <w:rFonts w:hint="eastAsia" w:ascii="宋体" w:hAnsi="宋体"/>
                <w:kern w:val="0"/>
                <w:sz w:val="24"/>
                <w:u w:val="single"/>
                <w:lang w:bidi="en-US"/>
              </w:rPr>
            </w:pPr>
            <w:r>
              <w:rPr>
                <w:rFonts w:hint="eastAsia" w:ascii="宋体" w:hAnsi="宋体"/>
                <w:sz w:val="24"/>
              </w:rPr>
              <w:t>在履行合同过程中，工程计价按照第一次报价的已标价工程量清单中的单价执行，在工程竣工结算时按照最终报价相较于第一次报价的优惠比例（计算优惠比例时，一次报价及最终报价均应扣除暂估价、暂列金的含工程税价格)，计算竣工结算合同总价。</w:t>
            </w:r>
          </w:p>
        </w:tc>
      </w:tr>
    </w:tbl>
    <w:p>
      <w:pPr>
        <w:tabs>
          <w:tab w:val="left" w:leader="underscore" w:pos="2880"/>
          <w:tab w:val="left" w:leader="underscore" w:pos="5400"/>
        </w:tabs>
        <w:spacing w:before="120" w:beforeLines="50" w:line="360" w:lineRule="auto"/>
        <w:ind w:firstLine="426" w:firstLineChars="177"/>
        <w:jc w:val="left"/>
        <w:rPr>
          <w:rFonts w:hint="eastAsia" w:ascii="宋体" w:hAnsi="宋体" w:cs="Arial"/>
          <w:b/>
          <w:sz w:val="24"/>
        </w:rPr>
      </w:pPr>
      <w:r>
        <w:rPr>
          <w:rFonts w:hint="eastAsia" w:ascii="宋体" w:hAnsi="宋体" w:cs="Arial"/>
          <w:b/>
          <w:sz w:val="24"/>
        </w:rPr>
        <w:t>供应商</w:t>
      </w:r>
      <w:r>
        <w:rPr>
          <w:rFonts w:ascii="宋体" w:hAnsi="宋体" w:cs="Arial"/>
          <w:b/>
          <w:sz w:val="24"/>
        </w:rPr>
        <w:t>：       （盖单位章）</w:t>
      </w:r>
    </w:p>
    <w:p>
      <w:pPr>
        <w:tabs>
          <w:tab w:val="left" w:leader="underscore" w:pos="2880"/>
          <w:tab w:val="left" w:leader="underscore" w:pos="5400"/>
        </w:tabs>
        <w:spacing w:line="360" w:lineRule="auto"/>
        <w:ind w:firstLine="426" w:firstLineChars="177"/>
        <w:jc w:val="left"/>
        <w:rPr>
          <w:rFonts w:hint="eastAsia" w:ascii="宋体" w:hAnsi="宋体" w:cs="Arial"/>
          <w:b/>
          <w:sz w:val="24"/>
        </w:rPr>
      </w:pPr>
      <w:r>
        <w:rPr>
          <w:rFonts w:ascii="宋体" w:hAnsi="宋体" w:cs="Arial"/>
          <w:b/>
          <w:sz w:val="24"/>
        </w:rPr>
        <w:t>法定代表人或其委托代理人：（签字或盖章）</w:t>
      </w:r>
    </w:p>
    <w:p>
      <w:pPr>
        <w:tabs>
          <w:tab w:val="left" w:pos="5580"/>
        </w:tabs>
        <w:spacing w:line="360" w:lineRule="auto"/>
        <w:ind w:left="420"/>
        <w:jc w:val="left"/>
        <w:rPr>
          <w:rFonts w:ascii="宋体" w:hAnsi="宋体"/>
          <w:sz w:val="24"/>
          <w:szCs w:val="20"/>
        </w:rPr>
      </w:pPr>
      <w:r>
        <w:rPr>
          <w:rFonts w:ascii="宋体" w:hAnsi="宋体" w:cs="Arial"/>
          <w:b/>
          <w:sz w:val="24"/>
        </w:rPr>
        <w:t>日期：    年    月    日</w:t>
      </w:r>
    </w:p>
    <w:p>
      <w:pPr>
        <w:widowControl/>
        <w:jc w:val="left"/>
        <w:rPr>
          <w:rFonts w:ascii="宋体" w:hAnsi="宋体"/>
          <w:sz w:val="24"/>
        </w:rPr>
      </w:pPr>
      <w:r>
        <w:rPr>
          <w:rFonts w:ascii="宋体" w:hAnsi="宋体"/>
          <w:b/>
          <w:sz w:val="24"/>
          <w:szCs w:val="20"/>
        </w:rPr>
        <w:br w:type="page"/>
      </w:r>
      <w:bookmarkStart w:id="3256" w:name="_Hlt520355938"/>
      <w:bookmarkEnd w:id="3256"/>
      <w:bookmarkStart w:id="3257" w:name="_Hlt520356243"/>
      <w:bookmarkEnd w:id="3257"/>
      <w:bookmarkStart w:id="3258" w:name="_Ref467988705"/>
      <w:bookmarkStart w:id="3259" w:name="_Toc150774762"/>
      <w:bookmarkStart w:id="3260" w:name="_Toc150480795"/>
      <w:bookmarkStart w:id="3261" w:name="_Toc226965747"/>
      <w:bookmarkStart w:id="3262" w:name="_Toc127151557"/>
      <w:bookmarkStart w:id="3263" w:name="_Toc305158825"/>
      <w:bookmarkStart w:id="3264" w:name="_Toc480942350"/>
      <w:bookmarkStart w:id="3265" w:name="_Toc226337253"/>
      <w:bookmarkStart w:id="3266" w:name="_Toc305158899"/>
      <w:bookmarkStart w:id="3267" w:name="_Toc226965830"/>
      <w:bookmarkStart w:id="3268" w:name="_Toc264969247"/>
      <w:bookmarkStart w:id="3269" w:name="_Toc520356218"/>
      <w:bookmarkStart w:id="3270" w:name="_Toc265228395"/>
      <w:bookmarkStart w:id="3271" w:name="_Toc226309801"/>
      <w:bookmarkStart w:id="3272" w:name="_Toc142311059"/>
      <w:bookmarkStart w:id="3273" w:name="_Toc195842922"/>
      <w:r>
        <w:rPr>
          <w:rFonts w:ascii="宋体" w:hAnsi="宋体"/>
          <w:sz w:val="24"/>
        </w:rPr>
        <w:t>6  授权委托书</w:t>
      </w:r>
      <w:r>
        <w:rPr>
          <w:rFonts w:ascii="宋体" w:hAnsi="宋体"/>
          <w:spacing w:val="-2"/>
          <w:sz w:val="24"/>
        </w:rPr>
        <w:t>（实质性格式）</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授权委托书</w:t>
      </w:r>
    </w:p>
    <w:p>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w:t>
      </w:r>
      <w:r>
        <w:rPr>
          <w:rFonts w:hint="eastAsia" w:ascii="宋体" w:hAnsi="宋体"/>
          <w:sz w:val="24"/>
          <w:szCs w:val="20"/>
        </w:rPr>
        <w:t>提</w:t>
      </w:r>
      <w:r>
        <w:rPr>
          <w:rFonts w:ascii="宋体" w:hAnsi="宋体"/>
          <w:sz w:val="24"/>
          <w:szCs w:val="20"/>
        </w:rPr>
        <w:t>交、撤回、修改____（项目名称）响应文件和处理有关事宜，其法律后果由我方承担。</w:t>
      </w:r>
    </w:p>
    <w:p>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pPr>
        <w:spacing w:line="360" w:lineRule="auto"/>
        <w:rPr>
          <w:rFonts w:ascii="宋体" w:hAnsi="宋体"/>
          <w:sz w:val="24"/>
          <w:szCs w:val="20"/>
        </w:rPr>
      </w:pPr>
      <w:r>
        <w:rPr>
          <w:rFonts w:ascii="宋体" w:hAnsi="宋体"/>
          <w:sz w:val="24"/>
          <w:szCs w:val="20"/>
        </w:rPr>
        <w:t>法定代表人（单位负责人）（签字或</w:t>
      </w:r>
      <w:r>
        <w:rPr>
          <w:rFonts w:hint="eastAsia" w:ascii="宋体" w:hAnsi="宋体"/>
          <w:sz w:val="24"/>
          <w:szCs w:val="20"/>
        </w:rPr>
        <w:t>签章</w:t>
      </w:r>
      <w:r>
        <w:rPr>
          <w:rFonts w:ascii="宋体" w:hAnsi="宋体"/>
          <w:sz w:val="24"/>
          <w:szCs w:val="20"/>
        </w:rPr>
        <w:t>）：______________</w:t>
      </w:r>
    </w:p>
    <w:p>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hint="eastAsia" w:ascii="宋体" w:hAnsi="宋体"/>
          <w:sz w:val="24"/>
          <w:szCs w:val="20"/>
        </w:rPr>
        <w:t>或签章</w:t>
      </w:r>
      <w:r>
        <w:rPr>
          <w:rFonts w:ascii="宋体" w:hAnsi="宋体"/>
          <w:sz w:val="24"/>
        </w:rPr>
        <w:t>）：</w:t>
      </w:r>
      <w:r>
        <w:rPr>
          <w:rFonts w:ascii="宋体" w:hAnsi="宋体"/>
          <w:sz w:val="24"/>
          <w:szCs w:val="20"/>
        </w:rPr>
        <w:t>______________</w:t>
      </w:r>
      <w:r>
        <w:rPr>
          <w:rFonts w:ascii="宋体" w:hAnsi="宋体"/>
          <w:sz w:val="24"/>
          <w:lang w:val="zh-CN"/>
        </w:rPr>
        <w:t xml:space="preserve">        </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pPr>
        <w:tabs>
          <w:tab w:val="left" w:pos="5580"/>
        </w:tabs>
        <w:spacing w:line="360" w:lineRule="auto"/>
        <w:ind w:firstLine="480" w:firstLineChars="200"/>
        <w:rPr>
          <w:rFonts w:ascii="宋体" w:hAnsi="宋体"/>
          <w:sz w:val="24"/>
          <w:szCs w:val="20"/>
        </w:rPr>
      </w:pPr>
    </w:p>
    <w:p>
      <w:pPr>
        <w:pStyle w:val="23"/>
        <w:spacing w:before="79" w:line="219" w:lineRule="auto"/>
        <w:ind w:left="141"/>
      </w:pPr>
      <w:r>
        <w:rPr>
          <w:spacing w:val="-4"/>
        </w:rPr>
        <w:t>附：法定代表人及委托代理人身份证明文件电子件：</w:t>
      </w:r>
    </w:p>
    <w:p>
      <w:pPr>
        <w:tabs>
          <w:tab w:val="left" w:pos="5580"/>
        </w:tabs>
        <w:spacing w:line="360" w:lineRule="auto"/>
        <w:jc w:val="left"/>
        <w:rPr>
          <w:rFonts w:ascii="宋体" w:hAnsi="宋体"/>
          <w:sz w:val="24"/>
          <w:szCs w:val="20"/>
        </w:rPr>
      </w:pPr>
      <w:r>
        <w:rPr>
          <w:rFonts w:ascii="宋体" w:hAnsi="宋体"/>
          <w:position w:val="-47"/>
          <w:lang/>
        </w:rPr>
        <w:drawing>
          <wp:inline distT="0" distB="0" distL="114300" distR="114300">
            <wp:extent cx="5279390" cy="1506855"/>
            <wp:effectExtent l="0" t="0" r="3810" b="4445"/>
            <wp:docPr id="3" name="IM 178"/>
            <wp:cNvGraphicFramePr/>
            <a:graphic xmlns:a="http://schemas.openxmlformats.org/drawingml/2006/main">
              <a:graphicData uri="http://schemas.openxmlformats.org/drawingml/2006/picture">
                <pic:pic xmlns:pic="http://schemas.openxmlformats.org/drawingml/2006/picture">
                  <pic:nvPicPr>
                    <pic:cNvPr id="3" name="IM 178"/>
                    <pic:cNvPicPr/>
                  </pic:nvPicPr>
                  <pic:blipFill>
                    <a:blip r:embed="rId42"/>
                    <a:stretch>
                      <a:fillRect/>
                    </a:stretch>
                  </pic:blipFill>
                  <pic:spPr>
                    <a:xfrm>
                      <a:off x="0" y="0"/>
                      <a:ext cx="5279390" cy="1506855"/>
                    </a:xfrm>
                    <a:prstGeom prst="rect">
                      <a:avLst/>
                    </a:prstGeom>
                    <a:noFill/>
                    <a:ln>
                      <a:noFill/>
                    </a:ln>
                  </pic:spPr>
                </pic:pic>
              </a:graphicData>
            </a:graphic>
          </wp:inline>
        </w:drawing>
      </w:r>
    </w:p>
    <w:p>
      <w:pPr>
        <w:tabs>
          <w:tab w:val="left" w:pos="5580"/>
        </w:tabs>
        <w:spacing w:line="360" w:lineRule="auto"/>
        <w:jc w:val="left"/>
        <w:rPr>
          <w:rFonts w:ascii="宋体" w:hAnsi="宋体"/>
          <w:sz w:val="24"/>
          <w:szCs w:val="20"/>
        </w:rPr>
      </w:pPr>
      <w:r>
        <w:rPr>
          <w:rFonts w:ascii="宋体" w:hAnsi="宋体"/>
          <w:sz w:val="24"/>
          <w:szCs w:val="20"/>
        </w:rPr>
        <w:t>说明：</w:t>
      </w:r>
    </w:p>
    <w:p>
      <w:pPr>
        <w:widowControl/>
        <w:spacing w:line="360" w:lineRule="auto"/>
        <w:jc w:val="left"/>
        <w:rPr>
          <w:rFonts w:hint="eastAsia" w:ascii="宋体" w:hAnsi="宋体"/>
          <w:sz w:val="24"/>
        </w:rPr>
      </w:pPr>
      <w:r>
        <w:rPr>
          <w:rFonts w:hint="eastAsia" w:ascii="宋体" w:hAnsi="宋体"/>
          <w:sz w:val="24"/>
        </w:rPr>
        <w:t>1.若供应商为事业单位或其他组织或分支机构，则法定代表人(单位负责人)处的签署人可为单位负责人。</w:t>
      </w:r>
    </w:p>
    <w:p>
      <w:pPr>
        <w:widowControl/>
        <w:spacing w:line="360" w:lineRule="auto"/>
        <w:jc w:val="left"/>
        <w:rPr>
          <w:rFonts w:hint="eastAsia" w:ascii="宋体" w:hAnsi="宋体"/>
          <w:sz w:val="24"/>
        </w:rPr>
      </w:pPr>
      <w:r>
        <w:rPr>
          <w:rFonts w:hint="eastAsia" w:ascii="宋体" w:hAnsi="宋体"/>
          <w:sz w:val="24"/>
        </w:rPr>
        <w:t>2.若响应文件中签字之处均为法定代表人 (单位负责人) 本人签署，则可不提供本《授权委托书》，但须提供《法定代表人 (单位负责人)身份证明》: 否则，不需要提供《法定代表人 (单位负责人) 身份证明》。</w:t>
      </w:r>
    </w:p>
    <w:p>
      <w:pPr>
        <w:widowControl/>
        <w:spacing w:line="360" w:lineRule="auto"/>
        <w:jc w:val="left"/>
        <w:rPr>
          <w:rFonts w:hint="eastAsia" w:ascii="宋体" w:hAnsi="宋体"/>
          <w:sz w:val="24"/>
        </w:rPr>
      </w:pPr>
      <w:r>
        <w:rPr>
          <w:rFonts w:hint="eastAsia" w:ascii="宋体" w:hAnsi="宋体"/>
          <w:sz w:val="24"/>
        </w:rPr>
        <w:t>3.供应商为自然人的情形，可不提供本《授权委托书》。</w:t>
      </w:r>
    </w:p>
    <w:p>
      <w:pPr>
        <w:widowControl/>
        <w:spacing w:line="360" w:lineRule="auto"/>
        <w:jc w:val="left"/>
        <w:rPr>
          <w:rFonts w:ascii="宋体" w:hAnsi="宋体"/>
          <w:sz w:val="30"/>
          <w:szCs w:val="30"/>
        </w:rPr>
      </w:pPr>
      <w:r>
        <w:rPr>
          <w:rFonts w:hint="eastAsia" w:ascii="宋体" w:hAnsi="宋体"/>
          <w:sz w:val="24"/>
        </w:rPr>
        <w:t>4.供应商应随本《授权委托书》同时提供法定代表人 (单位负责人)及委托代理人的有效的身份证、护照等身份证明文件电子件。提供身份证的，应同时提供身份证</w:t>
      </w:r>
      <w:r>
        <w:rPr>
          <w:rFonts w:hint="eastAsia" w:ascii="宋体" w:hAnsi="宋体"/>
          <w:b/>
          <w:bCs/>
          <w:sz w:val="24"/>
        </w:rPr>
        <w:t>双面</w:t>
      </w:r>
      <w:r>
        <w:rPr>
          <w:rFonts w:hint="eastAsia" w:ascii="宋体" w:hAnsi="宋体"/>
          <w:sz w:val="24"/>
        </w:rPr>
        <w:t>电子件。</w:t>
      </w:r>
      <w:r>
        <w:rPr>
          <w:rFonts w:ascii="宋体" w:hAnsi="宋体"/>
          <w:sz w:val="30"/>
          <w:szCs w:val="30"/>
        </w:rPr>
        <w:br w:type="page"/>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pPr>
        <w:pStyle w:val="23"/>
        <w:tabs>
          <w:tab w:val="left" w:pos="2412"/>
          <w:tab w:val="left" w:pos="3883"/>
          <w:tab w:val="left" w:pos="5352"/>
          <w:tab w:val="left" w:pos="6821"/>
        </w:tabs>
        <w:kinsoku w:val="0"/>
        <w:overflowPunct w:val="0"/>
        <w:spacing w:line="335" w:lineRule="exact"/>
        <w:ind w:firstLine="480" w:firstLineChars="200"/>
      </w:pPr>
      <w:r>
        <w:t>兹证明，</w:t>
      </w:r>
    </w:p>
    <w:p>
      <w:pPr>
        <w:pStyle w:val="23"/>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pPr>
        <w:pStyle w:val="23"/>
        <w:tabs>
          <w:tab w:val="left" w:pos="2412"/>
          <w:tab w:val="left" w:pos="3883"/>
          <w:tab w:val="left" w:pos="5352"/>
          <w:tab w:val="left" w:pos="6821"/>
        </w:tabs>
        <w:kinsoku w:val="0"/>
        <w:overflowPunct w:val="0"/>
        <w:spacing w:line="335" w:lineRule="exact"/>
      </w:pPr>
    </w:p>
    <w:p>
      <w:pPr>
        <w:pStyle w:val="23"/>
        <w:tabs>
          <w:tab w:val="left" w:pos="2250"/>
          <w:tab w:val="left" w:pos="2412"/>
          <w:tab w:val="left" w:pos="3883"/>
          <w:tab w:val="left" w:pos="5352"/>
          <w:tab w:val="left" w:pos="6821"/>
          <w:tab w:val="clear" w:pos="567"/>
        </w:tabs>
        <w:kinsoku w:val="0"/>
        <w:overflowPunct w:val="0"/>
        <w:spacing w:line="335" w:lineRule="exact"/>
      </w:pPr>
      <w:r>
        <w:t>系</w:t>
      </w:r>
      <w:r>
        <w:rPr>
          <w:szCs w:val="20"/>
        </w:rPr>
        <w:t>__________</w:t>
      </w:r>
      <w:r>
        <w:t>（供应商名称）的法定代表人（单位负责人）。</w:t>
      </w:r>
    </w:p>
    <w:p>
      <w:pPr>
        <w:pStyle w:val="23"/>
        <w:tabs>
          <w:tab w:val="left" w:pos="2412"/>
          <w:tab w:val="left" w:pos="3883"/>
          <w:tab w:val="left" w:pos="5352"/>
          <w:tab w:val="left" w:pos="6821"/>
        </w:tabs>
        <w:kinsoku w:val="0"/>
        <w:overflowPunct w:val="0"/>
        <w:spacing w:line="335" w:lineRule="exact"/>
      </w:pPr>
    </w:p>
    <w:p>
      <w:pPr>
        <w:pStyle w:val="23"/>
        <w:tabs>
          <w:tab w:val="left" w:pos="2412"/>
          <w:tab w:val="left" w:pos="3883"/>
          <w:tab w:val="left" w:pos="5352"/>
          <w:tab w:val="left" w:pos="6821"/>
        </w:tabs>
        <w:kinsoku w:val="0"/>
        <w:overflowPunct w:val="0"/>
        <w:spacing w:line="335" w:lineRule="exact"/>
      </w:pPr>
    </w:p>
    <w:p>
      <w:pPr>
        <w:pStyle w:val="23"/>
        <w:tabs>
          <w:tab w:val="left" w:pos="2412"/>
          <w:tab w:val="left" w:pos="3883"/>
          <w:tab w:val="left" w:pos="5352"/>
          <w:tab w:val="left" w:pos="6821"/>
        </w:tabs>
        <w:kinsoku w:val="0"/>
        <w:overflowPunct w:val="0"/>
        <w:spacing w:line="335" w:lineRule="exact"/>
      </w:pPr>
    </w:p>
    <w:p>
      <w:pPr>
        <w:pStyle w:val="23"/>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rFonts w:hint="eastAsia"/>
        </w:rPr>
        <w:t>）身份证、护照等身份证明文件电子件：</w:t>
      </w:r>
    </w:p>
    <w:p>
      <w:pPr>
        <w:pStyle w:val="23"/>
        <w:kinsoku w:val="0"/>
        <w:overflowPunct w:val="0"/>
        <w:spacing w:line="583" w:lineRule="auto"/>
        <w:ind w:right="-46"/>
        <w:rPr>
          <w:spacing w:val="-3"/>
        </w:rPr>
      </w:pPr>
      <w:r>
        <w:rPr>
          <w:position w:val="-47"/>
          <w:lang/>
        </w:rPr>
        <w:drawing>
          <wp:inline distT="0" distB="0" distL="114300" distR="114300">
            <wp:extent cx="5279390" cy="1506855"/>
            <wp:effectExtent l="0" t="0" r="3810" b="4445"/>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42"/>
                    <a:stretch>
                      <a:fillRect/>
                    </a:stretch>
                  </pic:blipFill>
                  <pic:spPr>
                    <a:xfrm>
                      <a:off x="0" y="0"/>
                      <a:ext cx="5279390" cy="1506855"/>
                    </a:xfrm>
                    <a:prstGeom prst="rect">
                      <a:avLst/>
                    </a:prstGeom>
                    <a:noFill/>
                    <a:ln>
                      <a:noFill/>
                    </a:ln>
                  </pic:spPr>
                </pic:pic>
              </a:graphicData>
            </a:graphic>
          </wp:inline>
        </w:drawing>
      </w:r>
    </w:p>
    <w:p>
      <w:pPr>
        <w:pStyle w:val="23"/>
        <w:kinsoku w:val="0"/>
        <w:overflowPunct w:val="0"/>
        <w:spacing w:line="583" w:lineRule="auto"/>
        <w:ind w:right="4305"/>
        <w:rPr>
          <w:spacing w:val="-3"/>
        </w:rPr>
      </w:pPr>
    </w:p>
    <w:p>
      <w:pPr>
        <w:pStyle w:val="23"/>
        <w:kinsoku w:val="0"/>
        <w:overflowPunct w:val="0"/>
        <w:spacing w:line="583" w:lineRule="auto"/>
        <w:ind w:right="4305"/>
        <w:rPr>
          <w:spacing w:val="-3"/>
        </w:rPr>
      </w:pPr>
    </w:p>
    <w:p>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hint="eastAsia" w:ascii="宋体" w:hAnsi="宋体"/>
          <w:sz w:val="24"/>
          <w:szCs w:val="20"/>
        </w:rPr>
        <w:t>或签章</w:t>
      </w:r>
      <w:r>
        <w:rPr>
          <w:rFonts w:ascii="宋体" w:hAnsi="宋体"/>
          <w:spacing w:val="-3"/>
          <w:sz w:val="24"/>
        </w:rPr>
        <w:t>）：</w:t>
      </w:r>
      <w:r>
        <w:rPr>
          <w:rFonts w:ascii="宋体" w:hAnsi="宋体"/>
          <w:sz w:val="24"/>
        </w:rPr>
        <w:t>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widowControl/>
        <w:jc w:val="left"/>
        <w:rPr>
          <w:rFonts w:ascii="宋体" w:hAnsi="宋体"/>
          <w:i/>
          <w:sz w:val="24"/>
          <w:szCs w:val="20"/>
          <w:u w:val="single"/>
        </w:rPr>
      </w:pPr>
    </w:p>
    <w:p>
      <w:pPr>
        <w:widowControl/>
        <w:jc w:val="left"/>
        <w:rPr>
          <w:rFonts w:ascii="宋体" w:hAnsi="宋体"/>
          <w:sz w:val="24"/>
          <w:szCs w:val="20"/>
        </w:rPr>
      </w:pPr>
      <w:r>
        <w:rPr>
          <w:rFonts w:ascii="宋体" w:hAnsi="宋体"/>
          <w:sz w:val="24"/>
          <w:szCs w:val="20"/>
        </w:rPr>
        <w:br w:type="page"/>
      </w:r>
    </w:p>
    <w:p>
      <w:pPr>
        <w:tabs>
          <w:tab w:val="left" w:pos="360"/>
        </w:tabs>
        <w:snapToGrid w:val="0"/>
        <w:spacing w:line="360" w:lineRule="auto"/>
        <w:outlineLvl w:val="1"/>
        <w:rPr>
          <w:rFonts w:ascii="宋体" w:hAnsi="宋体"/>
          <w:sz w:val="24"/>
        </w:rPr>
      </w:pPr>
      <w:r>
        <w:rPr>
          <w:rFonts w:ascii="宋体" w:hAnsi="宋体"/>
          <w:sz w:val="24"/>
        </w:rPr>
        <w:t>7  报价一览表</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pPr>
        <w:spacing w:line="360" w:lineRule="exact"/>
        <w:jc w:val="center"/>
        <w:rPr>
          <w:rFonts w:ascii="宋体" w:hAnsi="宋体"/>
          <w:b/>
          <w:sz w:val="36"/>
          <w:szCs w:val="36"/>
        </w:rPr>
      </w:pPr>
      <w:bookmarkStart w:id="3274" w:name="_Toc305158826"/>
      <w:bookmarkStart w:id="3275" w:name="_Toc195842923"/>
      <w:bookmarkStart w:id="3276" w:name="_Toc226965748"/>
      <w:bookmarkStart w:id="3277" w:name="_Toc164608672"/>
      <w:bookmarkStart w:id="3278" w:name="_Toc305158900"/>
      <w:bookmarkStart w:id="3279" w:name="_Toc226337254"/>
      <w:bookmarkStart w:id="3280" w:name="_Toc265228396"/>
      <w:bookmarkStart w:id="3281" w:name="_Toc164608827"/>
      <w:bookmarkStart w:id="3282" w:name="_Toc264969248"/>
      <w:bookmarkStart w:id="3283" w:name="_Toc226309802"/>
      <w:bookmarkStart w:id="3284" w:name="_Toc226965831"/>
      <w:r>
        <w:rPr>
          <w:rFonts w:hint="eastAsia" w:ascii="宋体" w:hAnsi="宋体"/>
          <w:b/>
          <w:sz w:val="36"/>
          <w:szCs w:val="36"/>
        </w:rPr>
        <w:t>报价一览表</w:t>
      </w:r>
      <w:bookmarkEnd w:id="3274"/>
      <w:bookmarkEnd w:id="3275"/>
      <w:bookmarkEnd w:id="3276"/>
      <w:bookmarkEnd w:id="3277"/>
      <w:bookmarkEnd w:id="3278"/>
      <w:bookmarkEnd w:id="3279"/>
      <w:bookmarkEnd w:id="3280"/>
      <w:bookmarkEnd w:id="3281"/>
      <w:bookmarkEnd w:id="3282"/>
      <w:bookmarkEnd w:id="3283"/>
      <w:bookmarkEnd w:id="3284"/>
    </w:p>
    <w:p>
      <w:pPr>
        <w:tabs>
          <w:tab w:val="left" w:pos="1800"/>
          <w:tab w:val="left" w:pos="5580"/>
        </w:tabs>
        <w:spacing w:line="360" w:lineRule="auto"/>
        <w:jc w:val="left"/>
        <w:rPr>
          <w:rFonts w:ascii="宋体" w:hAnsi="宋体"/>
          <w:sz w:val="24"/>
        </w:rPr>
      </w:pPr>
    </w:p>
    <w:p>
      <w:pPr>
        <w:tabs>
          <w:tab w:val="left" w:pos="1800"/>
          <w:tab w:val="left" w:pos="5580"/>
        </w:tabs>
        <w:spacing w:line="360" w:lineRule="auto"/>
        <w:ind w:firstLine="240" w:firstLineChars="100"/>
        <w:jc w:val="left"/>
        <w:rPr>
          <w:rFonts w:ascii="宋体" w:hAnsi="宋体"/>
          <w:sz w:val="24"/>
          <w:u w:val="single"/>
        </w:rPr>
      </w:pPr>
      <w:r>
        <w:rPr>
          <w:rFonts w:ascii="宋体" w:hAnsi="宋体"/>
          <w:sz w:val="24"/>
        </w:rPr>
        <w:t xml:space="preserve">项目编号：___________     </w:t>
      </w:r>
      <w:r>
        <w:rPr>
          <w:rFonts w:hint="eastAsia" w:ascii="宋体" w:hAnsi="宋体"/>
          <w:sz w:val="24"/>
        </w:rPr>
        <w:t xml:space="preserve">               </w:t>
      </w:r>
      <w:r>
        <w:rPr>
          <w:rFonts w:ascii="宋体" w:hAnsi="宋体"/>
          <w:sz w:val="24"/>
        </w:rPr>
        <w:t>项目名称：___________</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2"/>
        <w:gridCol w:w="3560"/>
        <w:gridCol w:w="2251"/>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31" w:hRule="atLeast"/>
          <w:jc w:val="center"/>
        </w:trPr>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4" w:hRule="atLeast"/>
          <w:jc w:val="center"/>
        </w:trPr>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196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b/>
                <w:sz w:val="24"/>
              </w:rPr>
            </w:pPr>
            <w:r>
              <w:rPr>
                <w:rFonts w:hint="eastAsia" w:ascii="宋体" w:hAnsi="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76" w:hRule="atLeast"/>
          <w:jc w:val="center"/>
        </w:trPr>
        <w:tc>
          <w:tcPr>
            <w:tcW w:w="497"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ascii="宋体" w:hAnsi="宋体"/>
                <w:sz w:val="24"/>
              </w:rPr>
            </w:pPr>
          </w:p>
        </w:tc>
      </w:tr>
    </w:tbl>
    <w:p>
      <w:pPr>
        <w:autoSpaceDE w:val="0"/>
        <w:autoSpaceDN w:val="0"/>
        <w:adjustRightInd w:val="0"/>
        <w:jc w:val="left"/>
        <w:rPr>
          <w:rFonts w:ascii="宋体" w:hAnsi="宋体"/>
          <w:kern w:val="0"/>
          <w:sz w:val="24"/>
        </w:rPr>
      </w:pPr>
    </w:p>
    <w:p>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pPr>
        <w:tabs>
          <w:tab w:val="left" w:pos="5580"/>
        </w:tabs>
        <w:ind w:firstLine="480" w:firstLineChars="200"/>
        <w:rPr>
          <w:rFonts w:ascii="宋体" w:hAnsi="宋体"/>
          <w:sz w:val="24"/>
          <w:szCs w:val="20"/>
        </w:rPr>
      </w:pPr>
      <w:r>
        <w:rPr>
          <w:rFonts w:ascii="宋体" w:hAnsi="宋体"/>
          <w:sz w:val="24"/>
          <w:szCs w:val="20"/>
        </w:rPr>
        <w:t>2.本表必须按包分别填写。</w:t>
      </w:r>
    </w:p>
    <w:p>
      <w:pPr>
        <w:tabs>
          <w:tab w:val="left" w:pos="5580"/>
        </w:tabs>
        <w:ind w:firstLine="480" w:firstLineChars="200"/>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pPr>
        <w:autoSpaceDE w:val="0"/>
        <w:autoSpaceDN w:val="0"/>
        <w:adjustRightInd w:val="0"/>
        <w:snapToGrid w:val="0"/>
        <w:spacing w:before="25" w:after="25" w:line="360" w:lineRule="auto"/>
        <w:rPr>
          <w:rFonts w:ascii="宋体" w:hAnsi="宋体"/>
          <w:sz w:val="24"/>
          <w:szCs w:val="20"/>
        </w:rPr>
        <w:sectPr>
          <w:headerReference r:id="rId33" w:type="first"/>
          <w:footerReference r:id="rId35" w:type="first"/>
          <w:headerReference r:id="rId32" w:type="even"/>
          <w:footerReference r:id="rId34" w:type="even"/>
          <w:pgSz w:w="11907" w:h="16840"/>
          <w:pgMar w:top="1418" w:right="1134" w:bottom="1418" w:left="1701" w:header="851" w:footer="851" w:gutter="0"/>
          <w:cols w:space="720" w:num="1"/>
          <w:docGrid w:linePitch="462" w:charSpace="0"/>
        </w:sectPr>
      </w:pPr>
      <w:r>
        <w:rPr>
          <w:rFonts w:ascii="宋体" w:hAnsi="宋体"/>
          <w:sz w:val="24"/>
          <w:szCs w:val="20"/>
        </w:rPr>
        <w:t xml:space="preserve">  </w:t>
      </w:r>
    </w:p>
    <w:p>
      <w:pPr>
        <w:tabs>
          <w:tab w:val="left" w:pos="360"/>
        </w:tabs>
        <w:snapToGrid w:val="0"/>
        <w:spacing w:line="360" w:lineRule="auto"/>
        <w:outlineLvl w:val="1"/>
        <w:rPr>
          <w:rFonts w:ascii="宋体" w:hAnsi="宋体"/>
          <w:sz w:val="24"/>
          <w:szCs w:val="20"/>
        </w:rPr>
      </w:pPr>
      <w:bookmarkStart w:id="3285" w:name="_Toc195842927"/>
      <w:bookmarkStart w:id="3286" w:name="_Toc127151562"/>
      <w:bookmarkStart w:id="3287" w:name="_Toc305158830"/>
      <w:bookmarkStart w:id="3288" w:name="_Toc226309806"/>
      <w:bookmarkStart w:id="3289" w:name="_Toc150480798"/>
      <w:bookmarkStart w:id="3290" w:name="_Toc265228400"/>
      <w:bookmarkStart w:id="3291" w:name="_Toc226965835"/>
      <w:bookmarkStart w:id="3292" w:name="_Toc150774765"/>
      <w:bookmarkStart w:id="3293" w:name="_Toc226965752"/>
      <w:bookmarkStart w:id="3294" w:name="_Toc142311062"/>
      <w:bookmarkStart w:id="3295" w:name="_Toc264969252"/>
      <w:bookmarkStart w:id="3296" w:name="_Toc305158904"/>
      <w:bookmarkStart w:id="3297" w:name="_Toc226337258"/>
      <w:bookmarkStart w:id="3298" w:name="_Toc226337257"/>
      <w:bookmarkStart w:id="3299" w:name="_Toc305158829"/>
      <w:bookmarkStart w:id="3300" w:name="_Toc150480797"/>
      <w:bookmarkStart w:id="3301" w:name="_Toc127151561"/>
      <w:bookmarkStart w:id="3302" w:name="_Toc150774764"/>
      <w:bookmarkStart w:id="3303" w:name="_Toc226965834"/>
      <w:bookmarkStart w:id="3304" w:name="_Toc226965751"/>
      <w:bookmarkStart w:id="3305" w:name="_Toc195842926"/>
      <w:bookmarkStart w:id="3306" w:name="_Toc265228399"/>
      <w:bookmarkStart w:id="3307" w:name="_Toc264969251"/>
      <w:bookmarkStart w:id="3308" w:name="_Toc305158903"/>
      <w:bookmarkStart w:id="3309" w:name="_Toc142311061"/>
      <w:bookmarkStart w:id="3310" w:name="_Toc226309805"/>
      <w:r>
        <w:rPr>
          <w:rFonts w:hint="eastAsia" w:ascii="宋体" w:hAnsi="宋体"/>
          <w:sz w:val="24"/>
        </w:rPr>
        <w:t>8</w:t>
      </w:r>
      <w:r>
        <w:rPr>
          <w:rFonts w:ascii="宋体" w:hAnsi="宋体"/>
          <w:sz w:val="24"/>
        </w:rPr>
        <w:t xml:space="preserve">  合同条款偏离表</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r>
        <w:rPr>
          <w:rFonts w:ascii="宋体" w:hAnsi="宋体"/>
          <w:spacing w:val="-2"/>
          <w:sz w:val="24"/>
        </w:rPr>
        <w:t>（实质性格式）</w:t>
      </w:r>
    </w:p>
    <w:p>
      <w:pPr>
        <w:spacing w:line="360" w:lineRule="auto"/>
        <w:rPr>
          <w:rFonts w:ascii="宋体" w:hAnsi="宋体"/>
          <w:sz w:val="24"/>
          <w:szCs w:val="20"/>
        </w:rPr>
      </w:pPr>
    </w:p>
    <w:p>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pPr>
        <w:spacing w:line="360" w:lineRule="auto"/>
        <w:rPr>
          <w:rFonts w:ascii="宋体" w:hAnsi="宋体"/>
          <w:sz w:val="24"/>
          <w:szCs w:val="20"/>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42"/>
        <w:gridCol w:w="1648"/>
        <w:gridCol w:w="1923"/>
        <w:gridCol w:w="235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r>
              <w:rPr>
                <w:rFonts w:ascii="宋体" w:hAnsi="宋体"/>
                <w:sz w:val="24"/>
              </w:rPr>
              <w:t>序号</w:t>
            </w:r>
          </w:p>
        </w:tc>
        <w:tc>
          <w:tcPr>
            <w:tcW w:w="1575" w:type="dxa"/>
            <w:noWrap w:val="0"/>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695" w:type="dxa"/>
            <w:noWrap w:val="0"/>
            <w:vAlign w:val="center"/>
          </w:tcPr>
          <w:p>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981" w:type="dxa"/>
            <w:noWrap w:val="0"/>
            <w:vAlign w:val="center"/>
          </w:tcPr>
          <w:p>
            <w:pPr>
              <w:adjustRightInd w:val="0"/>
              <w:snapToGrid w:val="0"/>
              <w:jc w:val="center"/>
              <w:rPr>
                <w:rFonts w:ascii="宋体" w:hAnsi="宋体"/>
                <w:sz w:val="24"/>
              </w:rPr>
            </w:pPr>
            <w:r>
              <w:rPr>
                <w:rFonts w:ascii="宋体" w:hAnsi="宋体"/>
                <w:sz w:val="24"/>
              </w:rPr>
              <w:t>响应文件内容</w:t>
            </w:r>
          </w:p>
        </w:tc>
        <w:tc>
          <w:tcPr>
            <w:tcW w:w="2427" w:type="dxa"/>
            <w:noWrap w:val="0"/>
            <w:vAlign w:val="center"/>
          </w:tcPr>
          <w:p>
            <w:pPr>
              <w:adjustRightInd w:val="0"/>
              <w:snapToGrid w:val="0"/>
              <w:jc w:val="center"/>
              <w:rPr>
                <w:rFonts w:ascii="宋体" w:hAnsi="宋体"/>
                <w:sz w:val="24"/>
              </w:rPr>
            </w:pPr>
            <w:r>
              <w:rPr>
                <w:rFonts w:ascii="宋体" w:hAnsi="宋体"/>
                <w:sz w:val="24"/>
              </w:rPr>
              <w:t>偏离情况</w:t>
            </w:r>
          </w:p>
        </w:tc>
        <w:tc>
          <w:tcPr>
            <w:tcW w:w="783" w:type="dxa"/>
            <w:noWrap w:val="0"/>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rPr>
                <w:rFonts w:hint="eastAsia" w:ascii="宋体" w:hAnsi="宋体"/>
                <w:sz w:val="24"/>
              </w:rPr>
            </w:pPr>
            <w:r>
              <w:rPr>
                <w:rFonts w:hint="eastAsia" w:ascii="宋体" w:hAnsi="宋体"/>
                <w:b/>
                <w:bCs/>
                <w:sz w:val="24"/>
              </w:rPr>
              <w:t>对本项目合同条款的偏离情况</w:t>
            </w:r>
            <w:r>
              <w:rPr>
                <w:rFonts w:hint="eastAsia" w:ascii="宋体" w:hAnsi="宋体"/>
                <w:sz w:val="24"/>
              </w:rPr>
              <w:t>（应进行选择，未选择</w:t>
            </w:r>
            <w:r>
              <w:rPr>
                <w:rFonts w:hint="eastAsia" w:ascii="宋体" w:hAnsi="宋体"/>
                <w:b/>
                <w:bCs/>
                <w:sz w:val="24"/>
              </w:rPr>
              <w:t>响应无效</w:t>
            </w:r>
            <w:r>
              <w:rPr>
                <w:rFonts w:hint="eastAsia" w:ascii="宋体" w:hAnsi="宋体"/>
                <w:sz w:val="24"/>
              </w:rPr>
              <w:t>）：</w:t>
            </w:r>
          </w:p>
          <w:p>
            <w:pPr>
              <w:adjustRightInd w:val="0"/>
              <w:snapToGrid w:val="0"/>
              <w:rPr>
                <w:rFonts w:hint="eastAsia" w:ascii="宋体" w:hAnsi="宋体"/>
                <w:sz w:val="24"/>
              </w:rPr>
            </w:pPr>
            <w:r>
              <w:rPr>
                <w:rFonts w:hint="eastAsia" w:ascii="宋体" w:hAnsi="宋体"/>
                <w:b/>
                <w:bCs/>
                <w:sz w:val="24"/>
              </w:rPr>
              <w:t>口无偏离</w:t>
            </w:r>
            <w:r>
              <w:rPr>
                <w:rFonts w:hint="eastAsia" w:ascii="宋体" w:hAnsi="宋体"/>
                <w:sz w:val="24"/>
              </w:rPr>
              <w:t>（如无偏离，仅选择无偏离即可；无偏离即为对合同条款中的所有要求，均视 作供应商已对之理解和响应。）</w:t>
            </w:r>
          </w:p>
          <w:p>
            <w:pPr>
              <w:adjustRightInd w:val="0"/>
              <w:snapToGrid w:val="0"/>
              <w:rPr>
                <w:rFonts w:ascii="宋体" w:hAnsi="宋体"/>
                <w:sz w:val="24"/>
              </w:rPr>
            </w:pPr>
            <w:r>
              <w:rPr>
                <w:rFonts w:hint="eastAsia" w:ascii="宋体" w:hAnsi="宋体"/>
                <w:b/>
                <w:bCs/>
                <w:sz w:val="24"/>
              </w:rPr>
              <w:t>口有偏离</w:t>
            </w:r>
            <w:r>
              <w:rPr>
                <w:rFonts w:hint="eastAsia" w:ascii="宋体" w:hAnsi="宋体"/>
                <w:sz w:val="24"/>
              </w:rPr>
              <w:t>（如有偏离，则应在本表中对负偏离项逐一列明，否则</w:t>
            </w:r>
            <w:r>
              <w:rPr>
                <w:rFonts w:hint="eastAsia" w:ascii="宋体" w:hAnsi="宋体"/>
                <w:b/>
                <w:bCs/>
                <w:sz w:val="24"/>
              </w:rPr>
              <w:t>响应无效</w:t>
            </w:r>
            <w:r>
              <w:rPr>
                <w:rFonts w:hint="eastAsia" w:ascii="宋体" w:hAnsi="宋体"/>
                <w:sz w:val="24"/>
              </w:rPr>
              <w:t>；对合同条款 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p>
        </w:tc>
        <w:tc>
          <w:tcPr>
            <w:tcW w:w="1575" w:type="dxa"/>
            <w:noWrap w:val="0"/>
            <w:vAlign w:val="center"/>
          </w:tcPr>
          <w:p>
            <w:pPr>
              <w:adjustRightInd w:val="0"/>
              <w:snapToGrid w:val="0"/>
              <w:jc w:val="center"/>
              <w:rPr>
                <w:rFonts w:ascii="宋体" w:hAnsi="宋体"/>
                <w:sz w:val="24"/>
              </w:rPr>
            </w:pPr>
          </w:p>
        </w:tc>
        <w:tc>
          <w:tcPr>
            <w:tcW w:w="1695" w:type="dxa"/>
            <w:noWrap w:val="0"/>
            <w:vAlign w:val="center"/>
          </w:tcPr>
          <w:p>
            <w:pPr>
              <w:adjustRightInd w:val="0"/>
              <w:snapToGrid w:val="0"/>
              <w:jc w:val="center"/>
              <w:rPr>
                <w:rFonts w:ascii="宋体" w:hAnsi="宋体"/>
                <w:sz w:val="24"/>
              </w:rPr>
            </w:pPr>
          </w:p>
        </w:tc>
        <w:tc>
          <w:tcPr>
            <w:tcW w:w="1981" w:type="dxa"/>
            <w:noWrap w:val="0"/>
            <w:vAlign w:val="center"/>
          </w:tcPr>
          <w:p>
            <w:pPr>
              <w:adjustRightInd w:val="0"/>
              <w:snapToGrid w:val="0"/>
              <w:jc w:val="center"/>
              <w:rPr>
                <w:rFonts w:ascii="宋体" w:hAnsi="宋体"/>
                <w:sz w:val="24"/>
              </w:rPr>
            </w:pPr>
          </w:p>
        </w:tc>
        <w:tc>
          <w:tcPr>
            <w:tcW w:w="2427" w:type="dxa"/>
            <w:noWrap w:val="0"/>
            <w:vAlign w:val="center"/>
          </w:tcPr>
          <w:p>
            <w:pPr>
              <w:adjustRightInd w:val="0"/>
              <w:snapToGrid w:val="0"/>
              <w:jc w:val="center"/>
              <w:rPr>
                <w:rFonts w:ascii="宋体" w:hAnsi="宋体"/>
                <w:sz w:val="24"/>
              </w:rPr>
            </w:pPr>
          </w:p>
        </w:tc>
        <w:tc>
          <w:tcPr>
            <w:tcW w:w="783"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p>
        </w:tc>
        <w:tc>
          <w:tcPr>
            <w:tcW w:w="1575" w:type="dxa"/>
            <w:noWrap w:val="0"/>
            <w:vAlign w:val="center"/>
          </w:tcPr>
          <w:p>
            <w:pPr>
              <w:adjustRightInd w:val="0"/>
              <w:snapToGrid w:val="0"/>
              <w:jc w:val="center"/>
              <w:rPr>
                <w:rFonts w:ascii="宋体" w:hAnsi="宋体"/>
                <w:sz w:val="24"/>
              </w:rPr>
            </w:pPr>
          </w:p>
        </w:tc>
        <w:tc>
          <w:tcPr>
            <w:tcW w:w="1695" w:type="dxa"/>
            <w:noWrap w:val="0"/>
            <w:vAlign w:val="center"/>
          </w:tcPr>
          <w:p>
            <w:pPr>
              <w:adjustRightInd w:val="0"/>
              <w:snapToGrid w:val="0"/>
              <w:jc w:val="center"/>
              <w:rPr>
                <w:rFonts w:ascii="宋体" w:hAnsi="宋体"/>
                <w:sz w:val="24"/>
              </w:rPr>
            </w:pPr>
          </w:p>
        </w:tc>
        <w:tc>
          <w:tcPr>
            <w:tcW w:w="1981" w:type="dxa"/>
            <w:noWrap w:val="0"/>
            <w:vAlign w:val="center"/>
          </w:tcPr>
          <w:p>
            <w:pPr>
              <w:adjustRightInd w:val="0"/>
              <w:snapToGrid w:val="0"/>
              <w:jc w:val="center"/>
              <w:rPr>
                <w:rFonts w:ascii="宋体" w:hAnsi="宋体"/>
                <w:sz w:val="24"/>
              </w:rPr>
            </w:pPr>
          </w:p>
        </w:tc>
        <w:tc>
          <w:tcPr>
            <w:tcW w:w="2427" w:type="dxa"/>
            <w:noWrap w:val="0"/>
            <w:vAlign w:val="center"/>
          </w:tcPr>
          <w:p>
            <w:pPr>
              <w:adjustRightInd w:val="0"/>
              <w:snapToGrid w:val="0"/>
              <w:jc w:val="center"/>
              <w:rPr>
                <w:rFonts w:ascii="宋体" w:hAnsi="宋体"/>
                <w:sz w:val="24"/>
              </w:rPr>
            </w:pPr>
          </w:p>
        </w:tc>
        <w:tc>
          <w:tcPr>
            <w:tcW w:w="783"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p>
        </w:tc>
        <w:tc>
          <w:tcPr>
            <w:tcW w:w="1575" w:type="dxa"/>
            <w:noWrap w:val="0"/>
            <w:vAlign w:val="center"/>
          </w:tcPr>
          <w:p>
            <w:pPr>
              <w:adjustRightInd w:val="0"/>
              <w:snapToGrid w:val="0"/>
              <w:jc w:val="center"/>
              <w:rPr>
                <w:rFonts w:ascii="宋体" w:hAnsi="宋体"/>
                <w:sz w:val="24"/>
              </w:rPr>
            </w:pPr>
          </w:p>
        </w:tc>
        <w:tc>
          <w:tcPr>
            <w:tcW w:w="1695" w:type="dxa"/>
            <w:noWrap w:val="0"/>
            <w:vAlign w:val="center"/>
          </w:tcPr>
          <w:p>
            <w:pPr>
              <w:adjustRightInd w:val="0"/>
              <w:snapToGrid w:val="0"/>
              <w:jc w:val="center"/>
              <w:rPr>
                <w:rFonts w:ascii="宋体" w:hAnsi="宋体"/>
                <w:sz w:val="24"/>
              </w:rPr>
            </w:pPr>
          </w:p>
        </w:tc>
        <w:tc>
          <w:tcPr>
            <w:tcW w:w="1981" w:type="dxa"/>
            <w:noWrap w:val="0"/>
            <w:vAlign w:val="center"/>
          </w:tcPr>
          <w:p>
            <w:pPr>
              <w:adjustRightInd w:val="0"/>
              <w:snapToGrid w:val="0"/>
              <w:jc w:val="center"/>
              <w:rPr>
                <w:rFonts w:ascii="宋体" w:hAnsi="宋体"/>
                <w:sz w:val="24"/>
              </w:rPr>
            </w:pPr>
          </w:p>
        </w:tc>
        <w:tc>
          <w:tcPr>
            <w:tcW w:w="2427" w:type="dxa"/>
            <w:noWrap w:val="0"/>
            <w:vAlign w:val="center"/>
          </w:tcPr>
          <w:p>
            <w:pPr>
              <w:adjustRightInd w:val="0"/>
              <w:snapToGrid w:val="0"/>
              <w:jc w:val="center"/>
              <w:rPr>
                <w:rFonts w:ascii="宋体" w:hAnsi="宋体"/>
                <w:sz w:val="24"/>
              </w:rPr>
            </w:pPr>
          </w:p>
        </w:tc>
        <w:tc>
          <w:tcPr>
            <w:tcW w:w="783"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p>
        </w:tc>
        <w:tc>
          <w:tcPr>
            <w:tcW w:w="1575" w:type="dxa"/>
            <w:noWrap w:val="0"/>
            <w:vAlign w:val="center"/>
          </w:tcPr>
          <w:p>
            <w:pPr>
              <w:adjustRightInd w:val="0"/>
              <w:snapToGrid w:val="0"/>
              <w:jc w:val="center"/>
              <w:rPr>
                <w:rFonts w:ascii="宋体" w:hAnsi="宋体"/>
                <w:sz w:val="24"/>
              </w:rPr>
            </w:pPr>
          </w:p>
        </w:tc>
        <w:tc>
          <w:tcPr>
            <w:tcW w:w="1695" w:type="dxa"/>
            <w:noWrap w:val="0"/>
            <w:vAlign w:val="center"/>
          </w:tcPr>
          <w:p>
            <w:pPr>
              <w:adjustRightInd w:val="0"/>
              <w:snapToGrid w:val="0"/>
              <w:jc w:val="center"/>
              <w:rPr>
                <w:rFonts w:ascii="宋体" w:hAnsi="宋体"/>
                <w:sz w:val="24"/>
              </w:rPr>
            </w:pPr>
          </w:p>
        </w:tc>
        <w:tc>
          <w:tcPr>
            <w:tcW w:w="1981" w:type="dxa"/>
            <w:noWrap w:val="0"/>
            <w:vAlign w:val="center"/>
          </w:tcPr>
          <w:p>
            <w:pPr>
              <w:adjustRightInd w:val="0"/>
              <w:snapToGrid w:val="0"/>
              <w:jc w:val="center"/>
              <w:rPr>
                <w:rFonts w:ascii="宋体" w:hAnsi="宋体"/>
                <w:sz w:val="24"/>
              </w:rPr>
            </w:pPr>
          </w:p>
        </w:tc>
        <w:tc>
          <w:tcPr>
            <w:tcW w:w="2427" w:type="dxa"/>
            <w:noWrap w:val="0"/>
            <w:vAlign w:val="center"/>
          </w:tcPr>
          <w:p>
            <w:pPr>
              <w:adjustRightInd w:val="0"/>
              <w:snapToGrid w:val="0"/>
              <w:jc w:val="center"/>
              <w:rPr>
                <w:rFonts w:ascii="宋体" w:hAnsi="宋体"/>
                <w:sz w:val="24"/>
              </w:rPr>
            </w:pPr>
          </w:p>
        </w:tc>
        <w:tc>
          <w:tcPr>
            <w:tcW w:w="783"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ascii="宋体" w:hAnsi="宋体"/>
                <w:sz w:val="24"/>
              </w:rPr>
            </w:pPr>
          </w:p>
        </w:tc>
        <w:tc>
          <w:tcPr>
            <w:tcW w:w="1575" w:type="dxa"/>
            <w:noWrap w:val="0"/>
            <w:vAlign w:val="center"/>
          </w:tcPr>
          <w:p>
            <w:pPr>
              <w:adjustRightInd w:val="0"/>
              <w:snapToGrid w:val="0"/>
              <w:jc w:val="center"/>
              <w:rPr>
                <w:rFonts w:ascii="宋体" w:hAnsi="宋体"/>
                <w:sz w:val="24"/>
              </w:rPr>
            </w:pPr>
          </w:p>
        </w:tc>
        <w:tc>
          <w:tcPr>
            <w:tcW w:w="1695" w:type="dxa"/>
            <w:noWrap w:val="0"/>
            <w:vAlign w:val="center"/>
          </w:tcPr>
          <w:p>
            <w:pPr>
              <w:adjustRightInd w:val="0"/>
              <w:snapToGrid w:val="0"/>
              <w:jc w:val="center"/>
              <w:rPr>
                <w:rFonts w:ascii="宋体" w:hAnsi="宋体"/>
                <w:sz w:val="24"/>
              </w:rPr>
            </w:pPr>
          </w:p>
        </w:tc>
        <w:tc>
          <w:tcPr>
            <w:tcW w:w="1981" w:type="dxa"/>
            <w:noWrap w:val="0"/>
            <w:vAlign w:val="center"/>
          </w:tcPr>
          <w:p>
            <w:pPr>
              <w:adjustRightInd w:val="0"/>
              <w:snapToGrid w:val="0"/>
              <w:jc w:val="center"/>
              <w:rPr>
                <w:rFonts w:ascii="宋体" w:hAnsi="宋体"/>
                <w:sz w:val="24"/>
              </w:rPr>
            </w:pPr>
          </w:p>
        </w:tc>
        <w:tc>
          <w:tcPr>
            <w:tcW w:w="2427" w:type="dxa"/>
            <w:noWrap w:val="0"/>
            <w:vAlign w:val="center"/>
          </w:tcPr>
          <w:p>
            <w:pPr>
              <w:adjustRightInd w:val="0"/>
              <w:snapToGrid w:val="0"/>
              <w:jc w:val="center"/>
              <w:rPr>
                <w:rFonts w:ascii="宋体" w:hAnsi="宋体"/>
                <w:sz w:val="24"/>
              </w:rPr>
            </w:pPr>
          </w:p>
        </w:tc>
        <w:tc>
          <w:tcPr>
            <w:tcW w:w="783" w:type="dxa"/>
            <w:noWrap w:val="0"/>
            <w:vAlign w:val="center"/>
          </w:tcPr>
          <w:p>
            <w:pPr>
              <w:adjustRightInd w:val="0"/>
              <w:snapToGrid w:val="0"/>
              <w:jc w:val="center"/>
              <w:rPr>
                <w:rFonts w:ascii="宋体" w:hAnsi="宋体"/>
                <w:sz w:val="24"/>
              </w:rPr>
            </w:pPr>
          </w:p>
        </w:tc>
      </w:tr>
    </w:tbl>
    <w:p>
      <w:pPr>
        <w:tabs>
          <w:tab w:val="left" w:pos="1800"/>
          <w:tab w:val="left" w:pos="5580"/>
        </w:tabs>
        <w:jc w:val="left"/>
        <w:rPr>
          <w:rFonts w:ascii="宋体" w:hAnsi="宋体"/>
          <w:sz w:val="24"/>
        </w:rPr>
      </w:pPr>
    </w:p>
    <w:p>
      <w:pPr>
        <w:tabs>
          <w:tab w:val="left" w:pos="1800"/>
          <w:tab w:val="left" w:pos="5580"/>
        </w:tabs>
        <w:jc w:val="left"/>
        <w:rPr>
          <w:rFonts w:ascii="宋体" w:hAnsi="宋体"/>
          <w:sz w:val="24"/>
        </w:rPr>
      </w:pPr>
      <w:r>
        <w:rPr>
          <w:rFonts w:hint="eastAsia" w:ascii="宋体" w:hAnsi="宋体"/>
          <w:sz w:val="24"/>
        </w:rPr>
        <w:t>注：“偏离情况”列应据实填写“正偏离”或“负偏离”。</w:t>
      </w:r>
    </w:p>
    <w:p>
      <w:pPr>
        <w:spacing w:line="360" w:lineRule="auto"/>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hint="eastAsia" w:ascii="宋体" w:hAnsi="宋体"/>
          <w:sz w:val="24"/>
        </w:rPr>
        <w:t>9</w:t>
      </w:r>
      <w:r>
        <w:rPr>
          <w:rFonts w:ascii="宋体" w:hAnsi="宋体"/>
          <w:sz w:val="24"/>
        </w:rPr>
        <w:t xml:space="preserve">  </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r>
        <w:rPr>
          <w:rFonts w:ascii="宋体" w:hAnsi="宋体"/>
          <w:sz w:val="24"/>
        </w:rPr>
        <w:t>采购需求偏离表</w:t>
      </w:r>
      <w:r>
        <w:rPr>
          <w:rFonts w:ascii="宋体" w:hAnsi="宋体"/>
          <w:spacing w:val="-1"/>
          <w:sz w:val="24"/>
        </w:rPr>
        <w:t>（实质性格式）</w:t>
      </w:r>
    </w:p>
    <w:p>
      <w:p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采购需求偏离表</w:t>
      </w:r>
    </w:p>
    <w:p>
      <w:pPr>
        <w:tabs>
          <w:tab w:val="left" w:pos="1800"/>
          <w:tab w:val="left" w:pos="5580"/>
        </w:tabs>
        <w:spacing w:line="360" w:lineRule="auto"/>
        <w:ind w:firstLine="360" w:firstLineChars="150"/>
        <w:jc w:val="left"/>
        <w:rPr>
          <w:rFonts w:ascii="宋体" w:hAnsi="宋体"/>
          <w:sz w:val="24"/>
        </w:rPr>
      </w:pPr>
      <w:r>
        <w:rPr>
          <w:rFonts w:ascii="宋体" w:hAnsi="宋体"/>
          <w:sz w:val="24"/>
        </w:rPr>
        <w:t>项目编号/包号：_______________     项目名称：_______________</w:t>
      </w:r>
    </w:p>
    <w:tbl>
      <w:tblPr>
        <w:tblStyle w:val="6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ascii="宋体" w:hAnsi="宋体"/>
                <w:sz w:val="24"/>
              </w:rPr>
            </w:pPr>
            <w:r>
              <w:rPr>
                <w:rFonts w:ascii="宋体" w:hAnsi="宋体"/>
                <w:sz w:val="24"/>
              </w:rPr>
              <w:t>序号</w:t>
            </w:r>
          </w:p>
        </w:tc>
        <w:tc>
          <w:tcPr>
            <w:tcW w:w="1482" w:type="dxa"/>
            <w:noWrap w:val="0"/>
            <w:vAlign w:val="center"/>
          </w:tcPr>
          <w:p>
            <w:pPr>
              <w:adjustRightInd w:val="0"/>
              <w:snapToGrid w:val="0"/>
              <w:jc w:val="center"/>
              <w:rPr>
                <w:rFonts w:ascii="宋体" w:hAnsi="宋体"/>
                <w:sz w:val="24"/>
              </w:rPr>
            </w:pPr>
            <w:r>
              <w:rPr>
                <w:rFonts w:ascii="宋体" w:hAnsi="宋体"/>
                <w:sz w:val="24"/>
              </w:rPr>
              <w:t>竞争性磋商文件条目号(页码)</w:t>
            </w:r>
          </w:p>
        </w:tc>
        <w:tc>
          <w:tcPr>
            <w:tcW w:w="2384" w:type="dxa"/>
            <w:noWrap w:val="0"/>
            <w:vAlign w:val="center"/>
          </w:tcPr>
          <w:p>
            <w:pPr>
              <w:adjustRightInd w:val="0"/>
              <w:snapToGrid w:val="0"/>
              <w:jc w:val="center"/>
              <w:rPr>
                <w:rFonts w:ascii="宋体" w:hAnsi="宋体"/>
                <w:sz w:val="24"/>
              </w:rPr>
            </w:pPr>
            <w:r>
              <w:rPr>
                <w:rFonts w:ascii="宋体" w:hAnsi="宋体"/>
                <w:sz w:val="24"/>
              </w:rPr>
              <w:t>竞争性磋商文件要求</w:t>
            </w:r>
          </w:p>
        </w:tc>
        <w:tc>
          <w:tcPr>
            <w:tcW w:w="2126" w:type="dxa"/>
            <w:noWrap w:val="0"/>
            <w:vAlign w:val="center"/>
          </w:tcPr>
          <w:p>
            <w:pPr>
              <w:adjustRightInd w:val="0"/>
              <w:snapToGrid w:val="0"/>
              <w:jc w:val="center"/>
              <w:rPr>
                <w:rFonts w:ascii="宋体" w:hAnsi="宋体"/>
                <w:sz w:val="24"/>
              </w:rPr>
            </w:pPr>
            <w:r>
              <w:rPr>
                <w:rFonts w:ascii="宋体" w:hAnsi="宋体"/>
                <w:sz w:val="24"/>
              </w:rPr>
              <w:t>响应内容</w:t>
            </w:r>
          </w:p>
        </w:tc>
        <w:tc>
          <w:tcPr>
            <w:tcW w:w="1875" w:type="dxa"/>
            <w:noWrap w:val="0"/>
            <w:vAlign w:val="center"/>
          </w:tcPr>
          <w:p>
            <w:pPr>
              <w:adjustRightInd w:val="0"/>
              <w:snapToGrid w:val="0"/>
              <w:jc w:val="center"/>
              <w:rPr>
                <w:rFonts w:ascii="宋体" w:hAnsi="宋体"/>
                <w:sz w:val="24"/>
              </w:rPr>
            </w:pPr>
            <w:r>
              <w:rPr>
                <w:rFonts w:ascii="宋体" w:hAnsi="宋体"/>
                <w:sz w:val="24"/>
              </w:rPr>
              <w:t>偏离情况</w:t>
            </w:r>
          </w:p>
        </w:tc>
        <w:tc>
          <w:tcPr>
            <w:tcW w:w="1009" w:type="dxa"/>
            <w:noWrap w:val="0"/>
            <w:vAlign w:val="center"/>
          </w:tcPr>
          <w:p>
            <w:pPr>
              <w:adjustRightInd w:val="0"/>
              <w:snapToGrid w:val="0"/>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ascii="宋体" w:hAnsi="宋体"/>
                <w:sz w:val="24"/>
              </w:rPr>
            </w:pPr>
          </w:p>
        </w:tc>
        <w:tc>
          <w:tcPr>
            <w:tcW w:w="1482" w:type="dxa"/>
            <w:noWrap w:val="0"/>
            <w:vAlign w:val="center"/>
          </w:tcPr>
          <w:p>
            <w:pPr>
              <w:adjustRightInd w:val="0"/>
              <w:snapToGrid w:val="0"/>
              <w:jc w:val="center"/>
              <w:rPr>
                <w:rFonts w:ascii="宋体" w:hAnsi="宋体"/>
                <w:sz w:val="24"/>
              </w:rPr>
            </w:pPr>
          </w:p>
        </w:tc>
        <w:tc>
          <w:tcPr>
            <w:tcW w:w="2384" w:type="dxa"/>
            <w:noWrap w:val="0"/>
            <w:vAlign w:val="center"/>
          </w:tcPr>
          <w:p>
            <w:pPr>
              <w:adjustRightInd w:val="0"/>
              <w:snapToGrid w:val="0"/>
              <w:jc w:val="center"/>
              <w:rPr>
                <w:rFonts w:ascii="宋体" w:hAnsi="宋体"/>
                <w:sz w:val="24"/>
              </w:rPr>
            </w:pPr>
          </w:p>
        </w:tc>
        <w:tc>
          <w:tcPr>
            <w:tcW w:w="2126" w:type="dxa"/>
            <w:noWrap w:val="0"/>
            <w:vAlign w:val="center"/>
          </w:tcPr>
          <w:p>
            <w:pPr>
              <w:adjustRightInd w:val="0"/>
              <w:snapToGrid w:val="0"/>
              <w:jc w:val="center"/>
              <w:rPr>
                <w:rFonts w:ascii="宋体" w:hAnsi="宋体"/>
                <w:sz w:val="24"/>
              </w:rPr>
            </w:pPr>
          </w:p>
        </w:tc>
        <w:tc>
          <w:tcPr>
            <w:tcW w:w="1875" w:type="dxa"/>
            <w:noWrap w:val="0"/>
            <w:vAlign w:val="center"/>
          </w:tcPr>
          <w:p>
            <w:pPr>
              <w:adjustRightInd w:val="0"/>
              <w:snapToGrid w:val="0"/>
              <w:jc w:val="center"/>
              <w:rPr>
                <w:rFonts w:ascii="宋体" w:hAnsi="宋体"/>
                <w:sz w:val="24"/>
              </w:rPr>
            </w:pPr>
          </w:p>
        </w:tc>
        <w:tc>
          <w:tcPr>
            <w:tcW w:w="1009" w:type="dxa"/>
            <w:noWrap w:val="0"/>
            <w:vAlign w:val="center"/>
          </w:tcPr>
          <w:p>
            <w:pPr>
              <w:adjustRightInd w:val="0"/>
              <w:snapToGrid w:val="0"/>
              <w:jc w:val="center"/>
              <w:rPr>
                <w:rFonts w:ascii="宋体" w:hAnsi="宋体"/>
                <w:sz w:val="24"/>
              </w:rPr>
            </w:pPr>
          </w:p>
        </w:tc>
      </w:tr>
    </w:tbl>
    <w:p>
      <w:pPr>
        <w:tabs>
          <w:tab w:val="left" w:pos="1800"/>
          <w:tab w:val="left" w:pos="5580"/>
        </w:tabs>
        <w:spacing w:line="360" w:lineRule="auto"/>
        <w:ind w:firstLine="360" w:firstLineChars="150"/>
        <w:jc w:val="left"/>
        <w:rPr>
          <w:rFonts w:ascii="宋体" w:hAnsi="宋体"/>
          <w:sz w:val="24"/>
          <w:u w:val="single"/>
        </w:rPr>
      </w:pPr>
    </w:p>
    <w:p>
      <w:pPr>
        <w:tabs>
          <w:tab w:val="left" w:pos="1800"/>
          <w:tab w:val="left" w:pos="5580"/>
        </w:tabs>
        <w:spacing w:line="360" w:lineRule="auto"/>
        <w:ind w:firstLine="360" w:firstLineChars="150"/>
        <w:jc w:val="left"/>
        <w:rPr>
          <w:rFonts w:ascii="宋体" w:hAnsi="宋体"/>
          <w:sz w:val="24"/>
          <w:u w:val="single"/>
        </w:rPr>
      </w:pPr>
    </w:p>
    <w:p>
      <w:pPr>
        <w:tabs>
          <w:tab w:val="left" w:pos="1800"/>
          <w:tab w:val="left" w:pos="5580"/>
        </w:tabs>
        <w:jc w:val="left"/>
        <w:rPr>
          <w:rFonts w:ascii="宋体" w:hAnsi="宋体"/>
          <w:sz w:val="24"/>
        </w:rPr>
      </w:pPr>
      <w:r>
        <w:rPr>
          <w:rFonts w:ascii="宋体" w:hAnsi="宋体"/>
          <w:sz w:val="24"/>
        </w:rPr>
        <w:t>注：</w:t>
      </w:r>
    </w:p>
    <w:p>
      <w:pPr>
        <w:tabs>
          <w:tab w:val="left" w:pos="1800"/>
          <w:tab w:val="left" w:pos="5580"/>
        </w:tabs>
        <w:jc w:val="left"/>
        <w:rPr>
          <w:rFonts w:ascii="宋体" w:hAnsi="宋体"/>
          <w:sz w:val="24"/>
        </w:rPr>
      </w:pPr>
      <w:r>
        <w:rPr>
          <w:rFonts w:hint="eastAsia" w:ascii="宋体" w:hAnsi="宋体"/>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hint="eastAsia" w:ascii="宋体" w:hAnsi="宋体"/>
          <w:sz w:val="24"/>
        </w:rPr>
        <w:t>，</w:t>
      </w:r>
      <w:r>
        <w:rPr>
          <w:rFonts w:ascii="宋体" w:hAnsi="宋体"/>
          <w:b/>
          <w:sz w:val="24"/>
        </w:rPr>
        <w:t>响应无效</w:t>
      </w:r>
      <w:r>
        <w:rPr>
          <w:rFonts w:ascii="宋体" w:hAnsi="宋体"/>
          <w:sz w:val="24"/>
        </w:rPr>
        <w:t>。</w:t>
      </w:r>
    </w:p>
    <w:p>
      <w:pPr>
        <w:tabs>
          <w:tab w:val="left" w:pos="1800"/>
          <w:tab w:val="left" w:pos="5580"/>
        </w:tabs>
        <w:jc w:val="left"/>
        <w:rPr>
          <w:rFonts w:ascii="宋体" w:hAnsi="宋体"/>
          <w:sz w:val="24"/>
        </w:rPr>
      </w:pPr>
      <w:r>
        <w:rPr>
          <w:rFonts w:ascii="宋体" w:hAnsi="宋体"/>
          <w:sz w:val="24"/>
        </w:rPr>
        <w:t>2.</w:t>
      </w:r>
      <w:r>
        <w:rPr>
          <w:rFonts w:hint="eastAsia" w:ascii="宋体" w:hAnsi="宋体"/>
          <w:sz w:val="24"/>
        </w:rPr>
        <w:t>“偏离情况”列应据实填写“无偏离”、“正偏离”或“负偏离”。</w:t>
      </w:r>
    </w:p>
    <w:p>
      <w:pPr>
        <w:tabs>
          <w:tab w:val="left" w:pos="1800"/>
          <w:tab w:val="left" w:pos="5580"/>
        </w:tabs>
        <w:jc w:val="left"/>
        <w:rPr>
          <w:rFonts w:ascii="宋体" w:hAnsi="宋体"/>
          <w:sz w:val="24"/>
        </w:rPr>
      </w:pPr>
    </w:p>
    <w:p>
      <w:pPr>
        <w:rPr>
          <w:rFonts w:ascii="宋体" w:hAnsi="宋体"/>
          <w:sz w:val="24"/>
          <w:szCs w:val="20"/>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tabs>
          <w:tab w:val="left" w:pos="360"/>
        </w:tabs>
        <w:snapToGrid w:val="0"/>
        <w:spacing w:line="360" w:lineRule="auto"/>
        <w:outlineLvl w:val="1"/>
        <w:rPr>
          <w:rFonts w:ascii="宋体" w:hAnsi="宋体"/>
          <w:sz w:val="24"/>
        </w:rPr>
      </w:pPr>
      <w:r>
        <w:rPr>
          <w:rFonts w:ascii="宋体" w:hAnsi="宋体"/>
        </w:rPr>
        <w:br w:type="page"/>
      </w:r>
      <w:r>
        <w:rPr>
          <w:rFonts w:hint="eastAsia" w:ascii="宋体" w:hAnsi="宋体"/>
          <w:sz w:val="24"/>
        </w:rPr>
        <w:t>10</w:t>
      </w:r>
      <w:r>
        <w:rPr>
          <w:rFonts w:ascii="宋体" w:hAnsi="宋体"/>
          <w:sz w:val="24"/>
        </w:rPr>
        <w:t xml:space="preserve">  </w:t>
      </w:r>
      <w:r>
        <w:rPr>
          <w:rFonts w:hint="eastAsia" w:ascii="宋体" w:hAnsi="宋体"/>
          <w:sz w:val="24"/>
        </w:rPr>
        <w:t>已标价的工程量清单</w:t>
      </w:r>
    </w:p>
    <w:p>
      <w:pPr>
        <w:tabs>
          <w:tab w:val="left" w:pos="360"/>
        </w:tabs>
        <w:snapToGrid w:val="0"/>
        <w:spacing w:line="360" w:lineRule="auto"/>
        <w:outlineLvl w:val="1"/>
        <w:rPr>
          <w:rFonts w:ascii="宋体" w:hAnsi="宋体"/>
          <w:sz w:val="24"/>
        </w:rPr>
      </w:pPr>
      <w:bookmarkStart w:id="3311" w:name="_Toc166339262"/>
      <w:r>
        <w:rPr>
          <w:rFonts w:hint="eastAsia" w:ascii="宋体" w:hAnsi="宋体"/>
          <w:sz w:val="24"/>
        </w:rPr>
        <w:t>说明：已标价工程量清单按附件“工程量清单”中的相关清单表格式填写。 构成合同文件的已标价工程量清单包括附件“工程量清单”有关工程量清单、磋商报价以及其他说明的内容。</w:t>
      </w:r>
      <w:bookmarkEnd w:id="3311"/>
    </w:p>
    <w:p>
      <w:pPr>
        <w:pStyle w:val="2"/>
        <w:ind w:firstLine="480"/>
        <w:rPr>
          <w:rFonts w:ascii="宋体" w:hAnsi="宋体"/>
        </w:rPr>
      </w:pPr>
    </w:p>
    <w:p>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t>11 竞争性磋商文件要求提供或供应商认为应附的其他材料</w:t>
      </w:r>
    </w:p>
    <w:p>
      <w:pPr>
        <w:tabs>
          <w:tab w:val="left" w:pos="360"/>
        </w:tabs>
        <w:snapToGrid w:val="0"/>
        <w:spacing w:line="360" w:lineRule="auto"/>
        <w:outlineLvl w:val="2"/>
        <w:rPr>
          <w:rFonts w:ascii="宋体" w:hAnsi="宋体"/>
          <w:sz w:val="24"/>
        </w:rPr>
      </w:pPr>
      <w:r>
        <w:rPr>
          <w:rFonts w:hint="eastAsia" w:ascii="宋体" w:hAnsi="宋体"/>
          <w:sz w:val="24"/>
        </w:rPr>
        <w:t>11-1</w:t>
      </w:r>
      <w:r>
        <w:rPr>
          <w:rFonts w:ascii="宋体" w:hAnsi="宋体"/>
          <w:sz w:val="24"/>
        </w:rPr>
        <w:t>类似项目业绩</w:t>
      </w:r>
    </w:p>
    <w:p>
      <w:pPr>
        <w:spacing w:line="360" w:lineRule="auto"/>
        <w:jc w:val="center"/>
        <w:rPr>
          <w:rFonts w:hint="eastAsia" w:ascii="宋体" w:hAnsi="宋体"/>
          <w:sz w:val="24"/>
        </w:rPr>
      </w:pPr>
      <w:r>
        <w:rPr>
          <w:rFonts w:hint="eastAsia" w:ascii="宋体" w:hAnsi="宋体"/>
          <w:sz w:val="24"/>
        </w:rPr>
        <w:t>业绩</w:t>
      </w:r>
      <w:r>
        <w:rPr>
          <w:rFonts w:ascii="宋体" w:hAnsi="宋体"/>
          <w:sz w:val="24"/>
        </w:rPr>
        <w:t>情况表</w:t>
      </w:r>
      <w:r>
        <w:rPr>
          <w:rFonts w:hint="eastAsia" w:ascii="宋体" w:hAnsi="宋体"/>
          <w:sz w:val="24"/>
        </w:rPr>
        <w:t>（格式）</w:t>
      </w:r>
    </w:p>
    <w:p>
      <w:pPr>
        <w:autoSpaceDE w:val="0"/>
        <w:autoSpaceDN w:val="0"/>
        <w:adjustRightInd w:val="0"/>
        <w:ind w:firstLine="420"/>
        <w:rPr>
          <w:rFonts w:hint="eastAsia" w:ascii="宋体" w:hAnsi="宋体"/>
          <w:kern w:val="0"/>
          <w:sz w:val="24"/>
          <w:szCs w:val="20"/>
          <w:u w:val="single"/>
        </w:rPr>
      </w:pPr>
    </w:p>
    <w:tbl>
      <w:tblPr>
        <w:tblStyle w:val="61"/>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73"/>
        <w:gridCol w:w="1243"/>
        <w:gridCol w:w="1381"/>
        <w:gridCol w:w="1638"/>
        <w:gridCol w:w="130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 w:type="dxa"/>
            <w:noWrap w:val="0"/>
            <w:vAlign w:val="center"/>
          </w:tcPr>
          <w:p>
            <w:pPr>
              <w:jc w:val="center"/>
              <w:rPr>
                <w:rFonts w:hint="eastAsia" w:ascii="宋体" w:hAnsi="宋体"/>
              </w:rPr>
            </w:pPr>
            <w:r>
              <w:rPr>
                <w:rFonts w:hint="eastAsia" w:ascii="宋体" w:hAnsi="宋体"/>
              </w:rPr>
              <w:t>序号</w:t>
            </w:r>
          </w:p>
        </w:tc>
        <w:tc>
          <w:tcPr>
            <w:tcW w:w="1973" w:type="dxa"/>
            <w:noWrap w:val="0"/>
            <w:vAlign w:val="center"/>
          </w:tcPr>
          <w:p>
            <w:pPr>
              <w:jc w:val="center"/>
              <w:rPr>
                <w:rFonts w:ascii="宋体" w:hAnsi="宋体"/>
              </w:rPr>
            </w:pPr>
            <w:r>
              <w:rPr>
                <w:rFonts w:hint="eastAsia" w:ascii="宋体" w:hAnsi="宋体"/>
              </w:rPr>
              <w:t>建设单位</w:t>
            </w:r>
          </w:p>
        </w:tc>
        <w:tc>
          <w:tcPr>
            <w:tcW w:w="1243" w:type="dxa"/>
            <w:noWrap w:val="0"/>
            <w:vAlign w:val="center"/>
          </w:tcPr>
          <w:p>
            <w:pPr>
              <w:jc w:val="center"/>
              <w:rPr>
                <w:rFonts w:ascii="宋体" w:hAnsi="宋体"/>
              </w:rPr>
            </w:pPr>
            <w:r>
              <w:rPr>
                <w:rFonts w:hint="eastAsia" w:ascii="宋体" w:hAnsi="宋体"/>
              </w:rPr>
              <w:t>项目名称</w:t>
            </w:r>
          </w:p>
        </w:tc>
        <w:tc>
          <w:tcPr>
            <w:tcW w:w="1381" w:type="dxa"/>
            <w:noWrap w:val="0"/>
            <w:vAlign w:val="center"/>
          </w:tcPr>
          <w:p>
            <w:pPr>
              <w:jc w:val="center"/>
              <w:rPr>
                <w:rFonts w:ascii="宋体" w:hAnsi="宋体"/>
              </w:rPr>
            </w:pPr>
            <w:r>
              <w:rPr>
                <w:rFonts w:hint="eastAsia" w:ascii="宋体" w:hAnsi="宋体"/>
              </w:rPr>
              <w:t>建设规模</w:t>
            </w:r>
          </w:p>
        </w:tc>
        <w:tc>
          <w:tcPr>
            <w:tcW w:w="1638" w:type="dxa"/>
            <w:noWrap w:val="0"/>
            <w:vAlign w:val="center"/>
          </w:tcPr>
          <w:p>
            <w:pPr>
              <w:jc w:val="center"/>
              <w:rPr>
                <w:rFonts w:ascii="宋体" w:hAnsi="宋体"/>
              </w:rPr>
            </w:pPr>
            <w:r>
              <w:rPr>
                <w:rFonts w:hint="eastAsia" w:ascii="宋体" w:hAnsi="宋体"/>
              </w:rPr>
              <w:t>开、竣工日期</w:t>
            </w:r>
          </w:p>
        </w:tc>
        <w:tc>
          <w:tcPr>
            <w:tcW w:w="1307" w:type="dxa"/>
            <w:noWrap w:val="0"/>
            <w:vAlign w:val="center"/>
          </w:tcPr>
          <w:p>
            <w:pPr>
              <w:jc w:val="center"/>
              <w:rPr>
                <w:rFonts w:ascii="宋体" w:hAnsi="宋体"/>
              </w:rPr>
            </w:pPr>
            <w:r>
              <w:rPr>
                <w:rFonts w:hint="eastAsia" w:ascii="宋体" w:hAnsi="宋体"/>
              </w:rPr>
              <w:t>工程质量</w:t>
            </w:r>
          </w:p>
        </w:tc>
        <w:tc>
          <w:tcPr>
            <w:tcW w:w="1019" w:type="dxa"/>
            <w:noWrap w:val="0"/>
            <w:vAlign w:val="center"/>
          </w:tcPr>
          <w:p>
            <w:pPr>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15"/>
              <w:spacing w:line="360" w:lineRule="auto"/>
              <w:ind w:firstLine="480"/>
              <w:jc w:val="center"/>
              <w:rPr>
                <w:rFonts w:hint="eastAsia" w:hAnsi="宋体"/>
                <w:color w:val="auto"/>
                <w:szCs w:val="24"/>
                <w:u w:val="single"/>
              </w:rPr>
            </w:pPr>
          </w:p>
        </w:tc>
        <w:tc>
          <w:tcPr>
            <w:tcW w:w="1973" w:type="dxa"/>
            <w:noWrap w:val="0"/>
            <w:vAlign w:val="top"/>
          </w:tcPr>
          <w:p>
            <w:pPr>
              <w:pStyle w:val="115"/>
              <w:spacing w:line="360" w:lineRule="auto"/>
              <w:ind w:firstLine="480"/>
              <w:jc w:val="center"/>
              <w:rPr>
                <w:rFonts w:hint="eastAsia" w:hAnsi="宋体"/>
                <w:color w:val="auto"/>
                <w:szCs w:val="24"/>
                <w:u w:val="single"/>
              </w:rPr>
            </w:pPr>
          </w:p>
        </w:tc>
        <w:tc>
          <w:tcPr>
            <w:tcW w:w="1243" w:type="dxa"/>
            <w:noWrap w:val="0"/>
            <w:vAlign w:val="top"/>
          </w:tcPr>
          <w:p>
            <w:pPr>
              <w:pStyle w:val="115"/>
              <w:spacing w:line="360" w:lineRule="auto"/>
              <w:ind w:firstLine="480"/>
              <w:jc w:val="center"/>
              <w:rPr>
                <w:rFonts w:hint="eastAsia" w:hAnsi="宋体"/>
                <w:color w:val="auto"/>
                <w:szCs w:val="24"/>
                <w:u w:val="single"/>
              </w:rPr>
            </w:pPr>
          </w:p>
        </w:tc>
        <w:tc>
          <w:tcPr>
            <w:tcW w:w="1381" w:type="dxa"/>
            <w:noWrap w:val="0"/>
            <w:vAlign w:val="top"/>
          </w:tcPr>
          <w:p>
            <w:pPr>
              <w:pStyle w:val="115"/>
              <w:spacing w:line="360" w:lineRule="auto"/>
              <w:ind w:firstLine="480"/>
              <w:jc w:val="center"/>
              <w:rPr>
                <w:rFonts w:hint="eastAsia" w:hAnsi="宋体"/>
                <w:color w:val="auto"/>
                <w:szCs w:val="24"/>
                <w:u w:val="single"/>
              </w:rPr>
            </w:pPr>
          </w:p>
        </w:tc>
        <w:tc>
          <w:tcPr>
            <w:tcW w:w="1638" w:type="dxa"/>
            <w:noWrap w:val="0"/>
            <w:vAlign w:val="top"/>
          </w:tcPr>
          <w:p>
            <w:pPr>
              <w:pStyle w:val="115"/>
              <w:spacing w:line="360" w:lineRule="auto"/>
              <w:ind w:firstLine="480"/>
              <w:jc w:val="center"/>
              <w:rPr>
                <w:rFonts w:hint="eastAsia" w:hAnsi="宋体"/>
                <w:color w:val="auto"/>
                <w:szCs w:val="24"/>
                <w:u w:val="single"/>
              </w:rPr>
            </w:pPr>
          </w:p>
        </w:tc>
        <w:tc>
          <w:tcPr>
            <w:tcW w:w="1307" w:type="dxa"/>
            <w:noWrap w:val="0"/>
            <w:vAlign w:val="top"/>
          </w:tcPr>
          <w:p>
            <w:pPr>
              <w:pStyle w:val="115"/>
              <w:spacing w:line="360" w:lineRule="auto"/>
              <w:ind w:left="347" w:hanging="347" w:hangingChars="124"/>
              <w:jc w:val="center"/>
              <w:rPr>
                <w:rFonts w:hint="eastAsia" w:hAnsi="宋体"/>
                <w:color w:val="auto"/>
                <w:szCs w:val="24"/>
                <w:u w:val="single"/>
              </w:rPr>
            </w:pPr>
          </w:p>
        </w:tc>
        <w:tc>
          <w:tcPr>
            <w:tcW w:w="1019" w:type="dxa"/>
            <w:noWrap w:val="0"/>
            <w:vAlign w:val="top"/>
          </w:tcPr>
          <w:p>
            <w:pPr>
              <w:pStyle w:val="115"/>
              <w:spacing w:line="360" w:lineRule="auto"/>
              <w:ind w:firstLine="480"/>
              <w:jc w:val="center"/>
              <w:rPr>
                <w:rFonts w:hint="eastAsia" w:hAnsi="宋体"/>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15"/>
              <w:spacing w:line="360" w:lineRule="auto"/>
              <w:ind w:firstLine="480"/>
              <w:jc w:val="center"/>
              <w:rPr>
                <w:rFonts w:hint="eastAsia" w:hAnsi="宋体"/>
                <w:color w:val="auto"/>
                <w:szCs w:val="24"/>
                <w:u w:val="single"/>
              </w:rPr>
            </w:pPr>
          </w:p>
        </w:tc>
        <w:tc>
          <w:tcPr>
            <w:tcW w:w="1973" w:type="dxa"/>
            <w:noWrap w:val="0"/>
            <w:vAlign w:val="top"/>
          </w:tcPr>
          <w:p>
            <w:pPr>
              <w:pStyle w:val="115"/>
              <w:spacing w:line="360" w:lineRule="auto"/>
              <w:ind w:firstLine="480"/>
              <w:jc w:val="center"/>
              <w:rPr>
                <w:rFonts w:hint="eastAsia" w:hAnsi="宋体"/>
                <w:color w:val="auto"/>
                <w:szCs w:val="24"/>
                <w:u w:val="single"/>
              </w:rPr>
            </w:pPr>
          </w:p>
        </w:tc>
        <w:tc>
          <w:tcPr>
            <w:tcW w:w="1243" w:type="dxa"/>
            <w:noWrap w:val="0"/>
            <w:vAlign w:val="top"/>
          </w:tcPr>
          <w:p>
            <w:pPr>
              <w:pStyle w:val="115"/>
              <w:spacing w:line="360" w:lineRule="auto"/>
              <w:ind w:firstLine="480"/>
              <w:jc w:val="center"/>
              <w:rPr>
                <w:rFonts w:hint="eastAsia" w:hAnsi="宋体"/>
                <w:color w:val="auto"/>
                <w:szCs w:val="24"/>
                <w:u w:val="single"/>
              </w:rPr>
            </w:pPr>
          </w:p>
        </w:tc>
        <w:tc>
          <w:tcPr>
            <w:tcW w:w="1381" w:type="dxa"/>
            <w:noWrap w:val="0"/>
            <w:vAlign w:val="top"/>
          </w:tcPr>
          <w:p>
            <w:pPr>
              <w:pStyle w:val="115"/>
              <w:spacing w:line="360" w:lineRule="auto"/>
              <w:ind w:firstLine="480"/>
              <w:jc w:val="center"/>
              <w:rPr>
                <w:rFonts w:hint="eastAsia" w:hAnsi="宋体"/>
                <w:color w:val="auto"/>
                <w:szCs w:val="24"/>
                <w:u w:val="single"/>
              </w:rPr>
            </w:pPr>
          </w:p>
        </w:tc>
        <w:tc>
          <w:tcPr>
            <w:tcW w:w="1638" w:type="dxa"/>
            <w:noWrap w:val="0"/>
            <w:vAlign w:val="top"/>
          </w:tcPr>
          <w:p>
            <w:pPr>
              <w:pStyle w:val="115"/>
              <w:spacing w:line="360" w:lineRule="auto"/>
              <w:ind w:firstLine="480"/>
              <w:jc w:val="center"/>
              <w:rPr>
                <w:rFonts w:hint="eastAsia" w:hAnsi="宋体"/>
                <w:color w:val="auto"/>
                <w:szCs w:val="24"/>
                <w:u w:val="single"/>
              </w:rPr>
            </w:pPr>
          </w:p>
        </w:tc>
        <w:tc>
          <w:tcPr>
            <w:tcW w:w="1307" w:type="dxa"/>
            <w:noWrap w:val="0"/>
            <w:vAlign w:val="top"/>
          </w:tcPr>
          <w:p>
            <w:pPr>
              <w:pStyle w:val="115"/>
              <w:spacing w:line="360" w:lineRule="auto"/>
              <w:ind w:firstLine="480"/>
              <w:jc w:val="center"/>
              <w:rPr>
                <w:rFonts w:hint="eastAsia" w:hAnsi="宋体"/>
                <w:color w:val="auto"/>
                <w:szCs w:val="24"/>
                <w:u w:val="single"/>
              </w:rPr>
            </w:pPr>
          </w:p>
        </w:tc>
        <w:tc>
          <w:tcPr>
            <w:tcW w:w="1019" w:type="dxa"/>
            <w:noWrap w:val="0"/>
            <w:vAlign w:val="top"/>
          </w:tcPr>
          <w:p>
            <w:pPr>
              <w:pStyle w:val="115"/>
              <w:spacing w:line="360" w:lineRule="auto"/>
              <w:ind w:firstLine="480"/>
              <w:jc w:val="center"/>
              <w:rPr>
                <w:rFonts w:hint="eastAsia" w:hAnsi="宋体"/>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15"/>
              <w:spacing w:line="360" w:lineRule="auto"/>
              <w:ind w:firstLine="480"/>
              <w:jc w:val="center"/>
              <w:rPr>
                <w:rFonts w:hint="eastAsia" w:hAnsi="宋体"/>
                <w:color w:val="auto"/>
                <w:szCs w:val="24"/>
                <w:u w:val="single"/>
              </w:rPr>
            </w:pPr>
          </w:p>
        </w:tc>
        <w:tc>
          <w:tcPr>
            <w:tcW w:w="1973" w:type="dxa"/>
            <w:noWrap w:val="0"/>
            <w:vAlign w:val="top"/>
          </w:tcPr>
          <w:p>
            <w:pPr>
              <w:pStyle w:val="115"/>
              <w:spacing w:line="360" w:lineRule="auto"/>
              <w:ind w:firstLine="480"/>
              <w:jc w:val="center"/>
              <w:rPr>
                <w:rFonts w:hint="eastAsia" w:hAnsi="宋体"/>
                <w:color w:val="auto"/>
                <w:szCs w:val="24"/>
                <w:u w:val="single"/>
              </w:rPr>
            </w:pPr>
          </w:p>
        </w:tc>
        <w:tc>
          <w:tcPr>
            <w:tcW w:w="1243" w:type="dxa"/>
            <w:noWrap w:val="0"/>
            <w:vAlign w:val="top"/>
          </w:tcPr>
          <w:p>
            <w:pPr>
              <w:pStyle w:val="115"/>
              <w:spacing w:line="360" w:lineRule="auto"/>
              <w:ind w:firstLine="480"/>
              <w:jc w:val="center"/>
              <w:rPr>
                <w:rFonts w:hint="eastAsia" w:hAnsi="宋体"/>
                <w:color w:val="auto"/>
                <w:szCs w:val="24"/>
                <w:u w:val="single"/>
              </w:rPr>
            </w:pPr>
          </w:p>
        </w:tc>
        <w:tc>
          <w:tcPr>
            <w:tcW w:w="1381" w:type="dxa"/>
            <w:noWrap w:val="0"/>
            <w:vAlign w:val="top"/>
          </w:tcPr>
          <w:p>
            <w:pPr>
              <w:pStyle w:val="115"/>
              <w:spacing w:line="360" w:lineRule="auto"/>
              <w:ind w:firstLine="480"/>
              <w:jc w:val="center"/>
              <w:rPr>
                <w:rFonts w:hint="eastAsia" w:hAnsi="宋体"/>
                <w:color w:val="auto"/>
                <w:szCs w:val="24"/>
                <w:u w:val="single"/>
              </w:rPr>
            </w:pPr>
          </w:p>
        </w:tc>
        <w:tc>
          <w:tcPr>
            <w:tcW w:w="1638" w:type="dxa"/>
            <w:noWrap w:val="0"/>
            <w:vAlign w:val="top"/>
          </w:tcPr>
          <w:p>
            <w:pPr>
              <w:pStyle w:val="115"/>
              <w:spacing w:line="360" w:lineRule="auto"/>
              <w:ind w:firstLine="480"/>
              <w:jc w:val="center"/>
              <w:rPr>
                <w:rFonts w:hint="eastAsia" w:hAnsi="宋体"/>
                <w:color w:val="auto"/>
                <w:szCs w:val="24"/>
                <w:u w:val="single"/>
              </w:rPr>
            </w:pPr>
          </w:p>
        </w:tc>
        <w:tc>
          <w:tcPr>
            <w:tcW w:w="1307" w:type="dxa"/>
            <w:noWrap w:val="0"/>
            <w:vAlign w:val="top"/>
          </w:tcPr>
          <w:p>
            <w:pPr>
              <w:pStyle w:val="115"/>
              <w:spacing w:line="360" w:lineRule="auto"/>
              <w:ind w:firstLine="480"/>
              <w:jc w:val="center"/>
              <w:rPr>
                <w:rFonts w:hint="eastAsia" w:hAnsi="宋体"/>
                <w:color w:val="auto"/>
                <w:szCs w:val="24"/>
                <w:u w:val="single"/>
              </w:rPr>
            </w:pPr>
          </w:p>
        </w:tc>
        <w:tc>
          <w:tcPr>
            <w:tcW w:w="1019" w:type="dxa"/>
            <w:noWrap w:val="0"/>
            <w:vAlign w:val="top"/>
          </w:tcPr>
          <w:p>
            <w:pPr>
              <w:pStyle w:val="115"/>
              <w:spacing w:line="360" w:lineRule="auto"/>
              <w:ind w:firstLine="480"/>
              <w:jc w:val="center"/>
              <w:rPr>
                <w:rFonts w:hint="eastAsia" w:hAnsi="宋体"/>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15"/>
              <w:spacing w:line="360" w:lineRule="auto"/>
              <w:ind w:firstLine="480"/>
              <w:jc w:val="center"/>
              <w:rPr>
                <w:rFonts w:hint="eastAsia" w:hAnsi="宋体"/>
                <w:color w:val="auto"/>
                <w:szCs w:val="24"/>
                <w:u w:val="single"/>
              </w:rPr>
            </w:pPr>
          </w:p>
        </w:tc>
        <w:tc>
          <w:tcPr>
            <w:tcW w:w="1973" w:type="dxa"/>
            <w:noWrap w:val="0"/>
            <w:vAlign w:val="top"/>
          </w:tcPr>
          <w:p>
            <w:pPr>
              <w:pStyle w:val="115"/>
              <w:spacing w:line="360" w:lineRule="auto"/>
              <w:ind w:firstLine="480"/>
              <w:jc w:val="center"/>
              <w:rPr>
                <w:rFonts w:hint="eastAsia" w:hAnsi="宋体"/>
                <w:color w:val="auto"/>
                <w:szCs w:val="24"/>
                <w:u w:val="single"/>
              </w:rPr>
            </w:pPr>
          </w:p>
        </w:tc>
        <w:tc>
          <w:tcPr>
            <w:tcW w:w="1243" w:type="dxa"/>
            <w:noWrap w:val="0"/>
            <w:vAlign w:val="top"/>
          </w:tcPr>
          <w:p>
            <w:pPr>
              <w:pStyle w:val="115"/>
              <w:spacing w:line="360" w:lineRule="auto"/>
              <w:ind w:firstLine="480"/>
              <w:jc w:val="center"/>
              <w:rPr>
                <w:rFonts w:hint="eastAsia" w:hAnsi="宋体"/>
                <w:color w:val="auto"/>
                <w:szCs w:val="24"/>
                <w:u w:val="single"/>
              </w:rPr>
            </w:pPr>
          </w:p>
        </w:tc>
        <w:tc>
          <w:tcPr>
            <w:tcW w:w="1381" w:type="dxa"/>
            <w:noWrap w:val="0"/>
            <w:vAlign w:val="top"/>
          </w:tcPr>
          <w:p>
            <w:pPr>
              <w:pStyle w:val="115"/>
              <w:spacing w:line="360" w:lineRule="auto"/>
              <w:ind w:firstLine="480"/>
              <w:jc w:val="center"/>
              <w:rPr>
                <w:rFonts w:hint="eastAsia" w:hAnsi="宋体"/>
                <w:color w:val="auto"/>
                <w:szCs w:val="24"/>
                <w:u w:val="single"/>
              </w:rPr>
            </w:pPr>
          </w:p>
        </w:tc>
        <w:tc>
          <w:tcPr>
            <w:tcW w:w="1638" w:type="dxa"/>
            <w:noWrap w:val="0"/>
            <w:vAlign w:val="top"/>
          </w:tcPr>
          <w:p>
            <w:pPr>
              <w:pStyle w:val="115"/>
              <w:spacing w:line="360" w:lineRule="auto"/>
              <w:ind w:firstLine="480"/>
              <w:jc w:val="center"/>
              <w:rPr>
                <w:rFonts w:hint="eastAsia" w:hAnsi="宋体"/>
                <w:color w:val="auto"/>
                <w:szCs w:val="24"/>
                <w:u w:val="single"/>
              </w:rPr>
            </w:pPr>
          </w:p>
        </w:tc>
        <w:tc>
          <w:tcPr>
            <w:tcW w:w="1307" w:type="dxa"/>
            <w:noWrap w:val="0"/>
            <w:vAlign w:val="top"/>
          </w:tcPr>
          <w:p>
            <w:pPr>
              <w:pStyle w:val="115"/>
              <w:spacing w:line="360" w:lineRule="auto"/>
              <w:ind w:firstLine="480"/>
              <w:jc w:val="center"/>
              <w:rPr>
                <w:rFonts w:hint="eastAsia" w:hAnsi="宋体"/>
                <w:color w:val="auto"/>
                <w:szCs w:val="24"/>
                <w:u w:val="single"/>
              </w:rPr>
            </w:pPr>
          </w:p>
        </w:tc>
        <w:tc>
          <w:tcPr>
            <w:tcW w:w="1019" w:type="dxa"/>
            <w:noWrap w:val="0"/>
            <w:vAlign w:val="top"/>
          </w:tcPr>
          <w:p>
            <w:pPr>
              <w:pStyle w:val="115"/>
              <w:spacing w:line="360" w:lineRule="auto"/>
              <w:ind w:firstLine="480"/>
              <w:jc w:val="center"/>
              <w:rPr>
                <w:rFonts w:hint="eastAsia" w:hAnsi="宋体"/>
                <w:color w:val="auto"/>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15"/>
              <w:spacing w:line="360" w:lineRule="auto"/>
              <w:ind w:firstLine="480"/>
              <w:jc w:val="center"/>
              <w:rPr>
                <w:rFonts w:hint="eastAsia" w:hAnsi="宋体"/>
                <w:color w:val="auto"/>
                <w:szCs w:val="24"/>
                <w:u w:val="single"/>
              </w:rPr>
            </w:pPr>
          </w:p>
        </w:tc>
        <w:tc>
          <w:tcPr>
            <w:tcW w:w="1973" w:type="dxa"/>
            <w:noWrap w:val="0"/>
            <w:vAlign w:val="top"/>
          </w:tcPr>
          <w:p>
            <w:pPr>
              <w:pStyle w:val="115"/>
              <w:spacing w:line="360" w:lineRule="auto"/>
              <w:ind w:firstLine="480"/>
              <w:jc w:val="center"/>
              <w:rPr>
                <w:rFonts w:hint="eastAsia" w:hAnsi="宋体"/>
                <w:color w:val="auto"/>
                <w:szCs w:val="24"/>
                <w:u w:val="single"/>
              </w:rPr>
            </w:pPr>
          </w:p>
        </w:tc>
        <w:tc>
          <w:tcPr>
            <w:tcW w:w="1243" w:type="dxa"/>
            <w:noWrap w:val="0"/>
            <w:vAlign w:val="top"/>
          </w:tcPr>
          <w:p>
            <w:pPr>
              <w:pStyle w:val="115"/>
              <w:spacing w:line="360" w:lineRule="auto"/>
              <w:ind w:firstLine="480"/>
              <w:jc w:val="center"/>
              <w:rPr>
                <w:rFonts w:hint="eastAsia" w:hAnsi="宋体"/>
                <w:color w:val="auto"/>
                <w:szCs w:val="24"/>
                <w:u w:val="single"/>
              </w:rPr>
            </w:pPr>
          </w:p>
        </w:tc>
        <w:tc>
          <w:tcPr>
            <w:tcW w:w="1381" w:type="dxa"/>
            <w:noWrap w:val="0"/>
            <w:vAlign w:val="top"/>
          </w:tcPr>
          <w:p>
            <w:pPr>
              <w:pStyle w:val="115"/>
              <w:spacing w:line="360" w:lineRule="auto"/>
              <w:ind w:firstLine="480"/>
              <w:jc w:val="center"/>
              <w:rPr>
                <w:rFonts w:hint="eastAsia" w:hAnsi="宋体"/>
                <w:color w:val="auto"/>
                <w:szCs w:val="24"/>
                <w:u w:val="single"/>
              </w:rPr>
            </w:pPr>
          </w:p>
        </w:tc>
        <w:tc>
          <w:tcPr>
            <w:tcW w:w="1638" w:type="dxa"/>
            <w:noWrap w:val="0"/>
            <w:vAlign w:val="top"/>
          </w:tcPr>
          <w:p>
            <w:pPr>
              <w:pStyle w:val="115"/>
              <w:spacing w:line="360" w:lineRule="auto"/>
              <w:ind w:firstLine="480"/>
              <w:jc w:val="center"/>
              <w:rPr>
                <w:rFonts w:hint="eastAsia" w:hAnsi="宋体"/>
                <w:color w:val="auto"/>
                <w:szCs w:val="24"/>
                <w:u w:val="single"/>
              </w:rPr>
            </w:pPr>
          </w:p>
        </w:tc>
        <w:tc>
          <w:tcPr>
            <w:tcW w:w="1307" w:type="dxa"/>
            <w:noWrap w:val="0"/>
            <w:vAlign w:val="top"/>
          </w:tcPr>
          <w:p>
            <w:pPr>
              <w:pStyle w:val="115"/>
              <w:spacing w:line="360" w:lineRule="auto"/>
              <w:ind w:firstLine="480"/>
              <w:jc w:val="center"/>
              <w:rPr>
                <w:rFonts w:hint="eastAsia" w:hAnsi="宋体"/>
                <w:color w:val="auto"/>
                <w:szCs w:val="24"/>
                <w:u w:val="single"/>
              </w:rPr>
            </w:pPr>
          </w:p>
        </w:tc>
        <w:tc>
          <w:tcPr>
            <w:tcW w:w="1019" w:type="dxa"/>
            <w:noWrap w:val="0"/>
            <w:vAlign w:val="top"/>
          </w:tcPr>
          <w:p>
            <w:pPr>
              <w:pStyle w:val="115"/>
              <w:spacing w:line="360" w:lineRule="auto"/>
              <w:ind w:firstLine="480"/>
              <w:jc w:val="center"/>
              <w:rPr>
                <w:rFonts w:hint="eastAsia" w:hAnsi="宋体"/>
                <w:color w:val="auto"/>
                <w:szCs w:val="24"/>
                <w:u w:val="single"/>
              </w:rPr>
            </w:pPr>
          </w:p>
        </w:tc>
      </w:tr>
    </w:tbl>
    <w:p>
      <w:pPr>
        <w:spacing w:before="62" w:beforeLines="20" w:after="62" w:afterLines="20"/>
        <w:rPr>
          <w:rFonts w:hint="eastAsia" w:ascii="宋体" w:hAnsi="宋体"/>
          <w:szCs w:val="21"/>
        </w:rPr>
      </w:pPr>
    </w:p>
    <w:p>
      <w:pPr>
        <w:spacing w:before="62" w:beforeLines="20" w:after="62" w:afterLines="20" w:line="360" w:lineRule="auto"/>
        <w:rPr>
          <w:rFonts w:hint="eastAsia" w:ascii="宋体" w:hAnsi="宋体"/>
          <w:szCs w:val="21"/>
        </w:rPr>
      </w:pPr>
      <w:r>
        <w:rPr>
          <w:rFonts w:hint="eastAsia" w:ascii="宋体" w:hAnsi="宋体"/>
          <w:szCs w:val="21"/>
        </w:rPr>
        <w:t>备注：供应商应按照以下规定提交业绩证明材料</w:t>
      </w:r>
    </w:p>
    <w:p>
      <w:pPr>
        <w:spacing w:line="360" w:lineRule="auto"/>
        <w:ind w:firstLine="420" w:firstLineChars="200"/>
        <w:rPr>
          <w:rFonts w:hint="eastAsia" w:ascii="宋体" w:hAnsi="宋体"/>
          <w:szCs w:val="21"/>
        </w:rPr>
      </w:pPr>
      <w:r>
        <w:rPr>
          <w:rFonts w:hint="eastAsia" w:ascii="宋体" w:hAnsi="宋体"/>
          <w:szCs w:val="21"/>
        </w:rPr>
        <w:t>业绩证明材料要求：</w:t>
      </w:r>
    </w:p>
    <w:p>
      <w:pPr>
        <w:spacing w:line="360" w:lineRule="auto"/>
        <w:ind w:firstLine="420" w:firstLineChars="200"/>
        <w:rPr>
          <w:rFonts w:hint="eastAsia" w:ascii="宋体" w:hAnsi="宋体"/>
          <w:sz w:val="24"/>
        </w:rPr>
      </w:pPr>
      <w:r>
        <w:rPr>
          <w:rFonts w:hint="eastAsia" w:ascii="宋体" w:hAnsi="宋体"/>
          <w:szCs w:val="21"/>
        </w:rPr>
        <w:t>1、近三年（2022年7月14日至响应文件递交截止之日）具有已完成的类似项目业绩，须提供中标通知书或竣工验收证明材料复印件，应可从业绩证明材料中明确辨识出采购内容、金额明细、日期等(复印件需加盖公章)。</w:t>
      </w:r>
    </w:p>
    <w:p>
      <w:pPr>
        <w:autoSpaceDE w:val="0"/>
        <w:autoSpaceDN w:val="0"/>
        <w:adjustRightInd w:val="0"/>
        <w:snapToGrid w:val="0"/>
        <w:spacing w:before="25" w:after="25" w:line="360" w:lineRule="auto"/>
        <w:ind w:right="360"/>
        <w:jc w:val="left"/>
        <w:rPr>
          <w:rFonts w:ascii="宋体" w:hAnsi="宋体"/>
          <w:sz w:val="24"/>
        </w:rPr>
      </w:pPr>
    </w:p>
    <w:p>
      <w:pPr>
        <w:autoSpaceDE w:val="0"/>
        <w:autoSpaceDN w:val="0"/>
        <w:adjustRightInd w:val="0"/>
        <w:snapToGrid w:val="0"/>
        <w:spacing w:before="25" w:after="25" w:line="360" w:lineRule="auto"/>
        <w:ind w:right="360"/>
        <w:jc w:val="left"/>
        <w:rPr>
          <w:rFonts w:ascii="宋体" w:hAnsi="宋体"/>
          <w:sz w:val="24"/>
        </w:rPr>
      </w:pPr>
      <w:r>
        <w:rPr>
          <w:rFonts w:hint="eastAsia" w:ascii="宋体" w:hAnsi="宋体"/>
          <w:sz w:val="24"/>
        </w:rPr>
        <w:t>委托代理</w:t>
      </w:r>
      <w:r>
        <w:rPr>
          <w:rFonts w:ascii="宋体" w:hAnsi="宋体"/>
          <w:sz w:val="24"/>
        </w:rPr>
        <w:t>人签字</w:t>
      </w:r>
      <w:r>
        <w:rPr>
          <w:rFonts w:hint="eastAsia" w:ascii="宋体" w:hAnsi="宋体"/>
          <w:sz w:val="24"/>
        </w:rPr>
        <w:t>或签章</w:t>
      </w:r>
      <w:r>
        <w:rPr>
          <w:rFonts w:ascii="宋体" w:hAnsi="宋体"/>
          <w:sz w:val="24"/>
        </w:rPr>
        <w:t>：</w:t>
      </w:r>
      <w:r>
        <w:rPr>
          <w:rFonts w:ascii="宋体" w:hAnsi="宋体"/>
          <w:sz w:val="24"/>
          <w:u w:val="single"/>
        </w:rPr>
        <w:t xml:space="preserve">                              </w:t>
      </w:r>
    </w:p>
    <w:p>
      <w:pPr>
        <w:widowControl/>
        <w:jc w:val="left"/>
        <w:rPr>
          <w:rFonts w:ascii="宋体" w:hAnsi="宋体"/>
          <w:sz w:val="24"/>
          <w:u w:val="single"/>
        </w:rPr>
      </w:pPr>
      <w:r>
        <w:rPr>
          <w:rFonts w:ascii="宋体" w:hAnsi="宋体"/>
          <w:sz w:val="24"/>
        </w:rPr>
        <w:t>供应商名称（公章）：</w:t>
      </w:r>
      <w:r>
        <w:rPr>
          <w:rFonts w:ascii="宋体" w:hAnsi="宋体"/>
          <w:sz w:val="24"/>
          <w:u w:val="single"/>
        </w:rPr>
        <w:t xml:space="preserve">                         </w:t>
      </w:r>
    </w:p>
    <w:p>
      <w:pPr>
        <w:tabs>
          <w:tab w:val="left" w:pos="360"/>
        </w:tabs>
        <w:snapToGrid w:val="0"/>
        <w:spacing w:line="360" w:lineRule="auto"/>
        <w:outlineLvl w:val="1"/>
        <w:rPr>
          <w:rFonts w:ascii="宋体" w:hAnsi="宋体"/>
          <w:sz w:val="24"/>
        </w:rPr>
      </w:pPr>
      <w:r>
        <w:rPr>
          <w:rFonts w:ascii="宋体" w:hAnsi="宋体"/>
          <w:sz w:val="24"/>
          <w:u w:val="single"/>
        </w:rPr>
        <w:br w:type="page"/>
      </w:r>
      <w:bookmarkStart w:id="3312" w:name="_Toc166339267"/>
      <w:bookmarkStart w:id="3313" w:name="_Toc130920627"/>
      <w:bookmarkStart w:id="3314" w:name="_Toc518992192"/>
      <w:r>
        <w:rPr>
          <w:rFonts w:hint="eastAsia" w:ascii="宋体" w:hAnsi="宋体"/>
          <w:sz w:val="24"/>
        </w:rPr>
        <w:t>11-2 拟投入本项目的主要人员</w:t>
      </w:r>
      <w:bookmarkEnd w:id="3312"/>
      <w:bookmarkEnd w:id="3313"/>
      <w:bookmarkEnd w:id="3314"/>
    </w:p>
    <w:p>
      <w:pPr>
        <w:keepNext/>
        <w:keepLines/>
        <w:spacing w:before="156" w:beforeLines="50" w:after="156" w:afterLines="50" w:line="360" w:lineRule="auto"/>
        <w:jc w:val="left"/>
        <w:outlineLvl w:val="2"/>
        <w:rPr>
          <w:rFonts w:hint="eastAsia" w:ascii="宋体" w:hAnsi="宋体"/>
          <w:b/>
          <w:kern w:val="0"/>
          <w:sz w:val="24"/>
          <w:szCs w:val="23"/>
          <w:shd w:val="clear" w:color="auto" w:fill="FFFFFF"/>
        </w:rPr>
      </w:pPr>
      <w:bookmarkStart w:id="3315" w:name="_Toc491149683"/>
      <w:bookmarkStart w:id="3316" w:name="_Toc490331787"/>
      <w:bookmarkStart w:id="3317" w:name="_Toc10235735"/>
      <w:bookmarkStart w:id="3318" w:name="_Toc70365439"/>
      <w:r>
        <w:rPr>
          <w:rFonts w:hint="eastAsia" w:ascii="宋体" w:hAnsi="宋体"/>
          <w:b/>
          <w:kern w:val="0"/>
          <w:sz w:val="24"/>
          <w:szCs w:val="23"/>
          <w:shd w:val="clear" w:color="auto" w:fill="FFFFFF"/>
        </w:rPr>
        <w:t>（一）</w:t>
      </w:r>
      <w:r>
        <w:rPr>
          <w:rFonts w:ascii="宋体" w:hAnsi="宋体"/>
          <w:b/>
          <w:kern w:val="0"/>
          <w:sz w:val="24"/>
          <w:szCs w:val="23"/>
          <w:shd w:val="clear" w:color="auto" w:fill="FFFFFF"/>
        </w:rPr>
        <w:t>项目管理机构组成表</w:t>
      </w:r>
      <w:bookmarkEnd w:id="3315"/>
      <w:bookmarkEnd w:id="3316"/>
      <w:bookmarkEnd w:id="3317"/>
      <w:bookmarkEnd w:id="3318"/>
    </w:p>
    <w:tbl>
      <w:tblPr>
        <w:tblStyle w:val="61"/>
        <w:tblW w:w="8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025"/>
        <w:gridCol w:w="1005"/>
        <w:gridCol w:w="1547"/>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noWrap w:val="0"/>
            <w:vAlign w:val="center"/>
          </w:tcPr>
          <w:p>
            <w:pPr>
              <w:jc w:val="center"/>
              <w:rPr>
                <w:rFonts w:hint="eastAsia" w:ascii="宋体" w:hAnsi="宋体"/>
                <w:shd w:val="clear" w:color="auto" w:fill="FFFFFF"/>
              </w:rPr>
            </w:pPr>
            <w:r>
              <w:rPr>
                <w:rFonts w:hint="eastAsia" w:ascii="宋体" w:hAnsi="宋体"/>
                <w:shd w:val="clear" w:color="auto" w:fill="FFFFFF"/>
              </w:rPr>
              <w:t>姓名</w:t>
            </w:r>
          </w:p>
        </w:tc>
        <w:tc>
          <w:tcPr>
            <w:tcW w:w="900" w:type="dxa"/>
            <w:noWrap w:val="0"/>
            <w:vAlign w:val="center"/>
          </w:tcPr>
          <w:p>
            <w:pPr>
              <w:jc w:val="center"/>
              <w:rPr>
                <w:rFonts w:hint="eastAsia" w:ascii="宋体" w:hAnsi="宋体"/>
                <w:shd w:val="clear" w:color="auto" w:fill="FFFFFF"/>
              </w:rPr>
            </w:pPr>
            <w:r>
              <w:rPr>
                <w:rFonts w:hint="eastAsia" w:ascii="宋体" w:hAnsi="宋体"/>
                <w:shd w:val="clear" w:color="auto" w:fill="FFFFFF"/>
              </w:rPr>
              <w:t>性别</w:t>
            </w:r>
          </w:p>
        </w:tc>
        <w:tc>
          <w:tcPr>
            <w:tcW w:w="900" w:type="dxa"/>
            <w:noWrap w:val="0"/>
            <w:vAlign w:val="center"/>
          </w:tcPr>
          <w:p>
            <w:pPr>
              <w:jc w:val="center"/>
              <w:rPr>
                <w:rFonts w:hint="eastAsia" w:ascii="宋体" w:hAnsi="宋体"/>
                <w:shd w:val="clear" w:color="auto" w:fill="FFFFFF"/>
              </w:rPr>
            </w:pPr>
            <w:r>
              <w:rPr>
                <w:rFonts w:hint="eastAsia" w:ascii="宋体" w:hAnsi="宋体"/>
                <w:shd w:val="clear" w:color="auto" w:fill="FFFFFF"/>
              </w:rPr>
              <w:t>年龄</w:t>
            </w:r>
          </w:p>
        </w:tc>
        <w:tc>
          <w:tcPr>
            <w:tcW w:w="1025" w:type="dxa"/>
            <w:noWrap w:val="0"/>
            <w:vAlign w:val="center"/>
          </w:tcPr>
          <w:p>
            <w:pPr>
              <w:jc w:val="center"/>
              <w:rPr>
                <w:rFonts w:hint="eastAsia" w:ascii="宋体" w:hAnsi="宋体"/>
                <w:shd w:val="clear" w:color="auto" w:fill="FFFFFF"/>
              </w:rPr>
            </w:pPr>
            <w:r>
              <w:rPr>
                <w:rFonts w:hint="eastAsia" w:ascii="宋体" w:hAnsi="宋体"/>
                <w:shd w:val="clear" w:color="auto" w:fill="FFFFFF"/>
              </w:rPr>
              <w:t>职称</w:t>
            </w:r>
          </w:p>
        </w:tc>
        <w:tc>
          <w:tcPr>
            <w:tcW w:w="1005" w:type="dxa"/>
            <w:noWrap w:val="0"/>
            <w:vAlign w:val="center"/>
          </w:tcPr>
          <w:p>
            <w:pPr>
              <w:jc w:val="center"/>
              <w:rPr>
                <w:rFonts w:hint="eastAsia" w:ascii="宋体" w:hAnsi="宋体"/>
                <w:shd w:val="clear" w:color="auto" w:fill="FFFFFF"/>
              </w:rPr>
            </w:pPr>
            <w:r>
              <w:rPr>
                <w:rFonts w:hint="eastAsia" w:ascii="宋体" w:hAnsi="宋体"/>
                <w:shd w:val="clear" w:color="auto" w:fill="FFFFFF"/>
              </w:rPr>
              <w:t>专业</w:t>
            </w:r>
          </w:p>
        </w:tc>
        <w:tc>
          <w:tcPr>
            <w:tcW w:w="1547" w:type="dxa"/>
            <w:noWrap w:val="0"/>
            <w:vAlign w:val="center"/>
          </w:tcPr>
          <w:p>
            <w:pPr>
              <w:jc w:val="center"/>
              <w:rPr>
                <w:rFonts w:hint="eastAsia" w:ascii="宋体" w:hAnsi="宋体"/>
                <w:shd w:val="clear" w:color="auto" w:fill="FFFFFF"/>
              </w:rPr>
            </w:pPr>
            <w:r>
              <w:rPr>
                <w:rFonts w:hint="eastAsia" w:ascii="宋体" w:hAnsi="宋体"/>
                <w:shd w:val="clear" w:color="auto" w:fill="FFFFFF"/>
              </w:rPr>
              <w:t>资格证书编号</w:t>
            </w:r>
          </w:p>
        </w:tc>
        <w:tc>
          <w:tcPr>
            <w:tcW w:w="2325" w:type="dxa"/>
            <w:noWrap w:val="0"/>
            <w:vAlign w:val="center"/>
          </w:tcPr>
          <w:p>
            <w:pPr>
              <w:jc w:val="center"/>
              <w:rPr>
                <w:rFonts w:hint="eastAsia" w:ascii="宋体" w:hAnsi="宋体"/>
                <w:shd w:val="clear" w:color="auto" w:fill="FFFFFF"/>
              </w:rPr>
            </w:pPr>
            <w:r>
              <w:rPr>
                <w:rFonts w:hint="eastAsia" w:ascii="宋体" w:hAnsi="宋体"/>
                <w:shd w:val="clear" w:color="auto" w:fill="FFFFFF"/>
              </w:rPr>
              <w:t>拟在本工程中</w:t>
            </w:r>
          </w:p>
          <w:p>
            <w:pPr>
              <w:jc w:val="center"/>
              <w:rPr>
                <w:rFonts w:hint="eastAsia" w:ascii="宋体" w:hAnsi="宋体"/>
                <w:shd w:val="clear" w:color="auto" w:fill="FFFFFF"/>
              </w:rPr>
            </w:pPr>
            <w:r>
              <w:rPr>
                <w:rFonts w:hint="eastAsia" w:ascii="宋体" w:hAnsi="宋体"/>
                <w:shd w:val="clear" w:color="auto" w:fill="FFFFFF"/>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900" w:type="dxa"/>
            <w:noWrap w:val="0"/>
            <w:vAlign w:val="center"/>
          </w:tcPr>
          <w:p>
            <w:pPr>
              <w:jc w:val="center"/>
              <w:rPr>
                <w:rFonts w:ascii="宋体" w:hAnsi="宋体"/>
                <w:shd w:val="clear" w:color="auto" w:fill="FFFFFF"/>
              </w:rPr>
            </w:pPr>
          </w:p>
        </w:tc>
        <w:tc>
          <w:tcPr>
            <w:tcW w:w="1025" w:type="dxa"/>
            <w:noWrap w:val="0"/>
            <w:vAlign w:val="center"/>
          </w:tcPr>
          <w:p>
            <w:pPr>
              <w:jc w:val="center"/>
              <w:rPr>
                <w:rFonts w:ascii="宋体" w:hAnsi="宋体"/>
                <w:shd w:val="clear" w:color="auto" w:fill="FFFFFF"/>
              </w:rPr>
            </w:pPr>
          </w:p>
        </w:tc>
        <w:tc>
          <w:tcPr>
            <w:tcW w:w="1005" w:type="dxa"/>
            <w:noWrap w:val="0"/>
            <w:vAlign w:val="center"/>
          </w:tcPr>
          <w:p>
            <w:pPr>
              <w:jc w:val="center"/>
              <w:rPr>
                <w:rFonts w:ascii="宋体" w:hAnsi="宋体"/>
                <w:shd w:val="clear" w:color="auto" w:fill="FFFFFF"/>
              </w:rPr>
            </w:pPr>
          </w:p>
        </w:tc>
        <w:tc>
          <w:tcPr>
            <w:tcW w:w="1547" w:type="dxa"/>
            <w:noWrap w:val="0"/>
            <w:vAlign w:val="center"/>
          </w:tcPr>
          <w:p>
            <w:pPr>
              <w:jc w:val="center"/>
              <w:rPr>
                <w:rFonts w:ascii="宋体" w:hAnsi="宋体"/>
                <w:shd w:val="clear" w:color="auto" w:fill="FFFFFF"/>
              </w:rPr>
            </w:pPr>
          </w:p>
        </w:tc>
        <w:tc>
          <w:tcPr>
            <w:tcW w:w="2325" w:type="dxa"/>
            <w:noWrap w:val="0"/>
            <w:vAlign w:val="center"/>
          </w:tcPr>
          <w:p>
            <w:pPr>
              <w:jc w:val="center"/>
              <w:rPr>
                <w:rFonts w:ascii="宋体" w:hAnsi="宋体"/>
                <w:shd w:val="clear" w:color="auto" w:fill="FFFFFF"/>
              </w:rPr>
            </w:pPr>
          </w:p>
        </w:tc>
      </w:tr>
    </w:tbl>
    <w:p>
      <w:pPr>
        <w:pStyle w:val="115"/>
        <w:ind w:firstLine="400"/>
        <w:rPr>
          <w:rFonts w:hAnsi="宋体"/>
          <w:color w:val="auto"/>
        </w:rPr>
      </w:pPr>
      <w:r>
        <w:rPr>
          <w:rFonts w:hAnsi="宋体"/>
          <w:color w:val="auto"/>
          <w:kern w:val="0"/>
          <w:sz w:val="20"/>
          <w:shd w:val="clear" w:color="auto" w:fill="FFFFFF"/>
        </w:rPr>
        <w:br w:type="page"/>
      </w:r>
    </w:p>
    <w:p>
      <w:pPr>
        <w:pStyle w:val="115"/>
        <w:ind w:firstLine="482"/>
        <w:rPr>
          <w:rFonts w:hAnsi="宋体"/>
          <w:color w:val="auto"/>
        </w:rPr>
      </w:pPr>
      <w:bookmarkStart w:id="3319" w:name="_Toc490331788"/>
      <w:bookmarkStart w:id="3320" w:name="_Toc70365440"/>
      <w:bookmarkStart w:id="3321" w:name="_Toc10235736"/>
      <w:bookmarkStart w:id="3322" w:name="_Toc491149684"/>
      <w:r>
        <w:rPr>
          <w:rFonts w:hint="eastAsia" w:hAnsi="宋体"/>
          <w:b/>
          <w:color w:val="auto"/>
          <w:kern w:val="0"/>
          <w:sz w:val="24"/>
          <w:szCs w:val="23"/>
          <w:shd w:val="clear" w:color="auto" w:fill="FFFFFF"/>
        </w:rPr>
        <w:t>（二）主要人员简历表</w:t>
      </w:r>
      <w:bookmarkEnd w:id="3319"/>
      <w:bookmarkEnd w:id="3320"/>
      <w:bookmarkEnd w:id="3321"/>
      <w:bookmarkEnd w:id="3322"/>
    </w:p>
    <w:tbl>
      <w:tblPr>
        <w:tblStyle w:val="6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908"/>
        <w:gridCol w:w="725"/>
        <w:gridCol w:w="906"/>
        <w:gridCol w:w="544"/>
        <w:gridCol w:w="1087"/>
        <w:gridCol w:w="361"/>
        <w:gridCol w:w="1270"/>
        <w:gridCol w:w="17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0" w:type="dxa"/>
            <w:noWrap w:val="0"/>
            <w:vAlign w:val="center"/>
          </w:tcPr>
          <w:p>
            <w:pPr>
              <w:jc w:val="center"/>
              <w:rPr>
                <w:rFonts w:ascii="宋体" w:hAnsi="宋体"/>
              </w:rPr>
            </w:pPr>
            <w:r>
              <w:rPr>
                <w:rFonts w:hint="eastAsia" w:ascii="宋体" w:hAnsi="宋体"/>
              </w:rPr>
              <w:t>工程名称</w:t>
            </w:r>
          </w:p>
        </w:tc>
        <w:tc>
          <w:tcPr>
            <w:tcW w:w="7432"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30" w:type="dxa"/>
            <w:noWrap w:val="0"/>
            <w:vAlign w:val="center"/>
          </w:tcPr>
          <w:p>
            <w:pPr>
              <w:jc w:val="center"/>
              <w:rPr>
                <w:rFonts w:ascii="宋体" w:hAnsi="宋体"/>
              </w:rPr>
            </w:pPr>
            <w:r>
              <w:rPr>
                <w:rFonts w:hint="eastAsia" w:ascii="宋体" w:hAnsi="宋体"/>
              </w:rPr>
              <w:t>公司名称</w:t>
            </w:r>
          </w:p>
        </w:tc>
        <w:tc>
          <w:tcPr>
            <w:tcW w:w="7432"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62" w:type="dxa"/>
            <w:gridSpan w:val="10"/>
            <w:noWrap w:val="0"/>
            <w:vAlign w:val="center"/>
          </w:tcPr>
          <w:p>
            <w:pPr>
              <w:jc w:val="center"/>
              <w:rPr>
                <w:rFonts w:ascii="宋体" w:hAnsi="宋体"/>
                <w:bCs/>
              </w:rPr>
            </w:pPr>
            <w:r>
              <w:rPr>
                <w:rFonts w:hint="eastAsia" w:ascii="宋体" w:hAnsi="宋体"/>
                <w:bCs/>
              </w:rPr>
              <w:t>项目管理部人员构成情况表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38" w:type="dxa"/>
            <w:gridSpan w:val="2"/>
            <w:vMerge w:val="restart"/>
            <w:noWrap w:val="0"/>
            <w:vAlign w:val="center"/>
          </w:tcPr>
          <w:p>
            <w:pPr>
              <w:jc w:val="center"/>
              <w:rPr>
                <w:rFonts w:ascii="宋体" w:hAnsi="宋体"/>
              </w:rPr>
            </w:pPr>
            <w:r>
              <w:rPr>
                <w:rFonts w:hint="eastAsia" w:ascii="宋体" w:hAnsi="宋体"/>
              </w:rPr>
              <w:t>项目管理部管理人员</w:t>
            </w:r>
          </w:p>
        </w:tc>
        <w:tc>
          <w:tcPr>
            <w:tcW w:w="725" w:type="dxa"/>
            <w:vMerge w:val="restart"/>
            <w:noWrap w:val="0"/>
            <w:vAlign w:val="center"/>
          </w:tcPr>
          <w:p>
            <w:pPr>
              <w:jc w:val="center"/>
              <w:rPr>
                <w:rFonts w:ascii="宋体" w:hAnsi="宋体"/>
              </w:rPr>
            </w:pPr>
            <w:r>
              <w:rPr>
                <w:rFonts w:hint="eastAsia" w:ascii="宋体" w:hAnsi="宋体"/>
              </w:rPr>
              <w:t>人</w:t>
            </w:r>
          </w:p>
        </w:tc>
        <w:tc>
          <w:tcPr>
            <w:tcW w:w="5799" w:type="dxa"/>
            <w:gridSpan w:val="7"/>
            <w:noWrap w:val="0"/>
            <w:vAlign w:val="top"/>
          </w:tcPr>
          <w:p>
            <w:pPr>
              <w:jc w:val="center"/>
              <w:rPr>
                <w:rFonts w:ascii="宋体" w:hAnsi="宋体"/>
              </w:rPr>
            </w:pPr>
            <w:r>
              <w:rPr>
                <w:rFonts w:hint="eastAsia" w:ascii="宋体" w:hAnsi="宋体"/>
              </w:rPr>
              <w:t>有职称管理人员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538" w:type="dxa"/>
            <w:gridSpan w:val="2"/>
            <w:vMerge w:val="continue"/>
            <w:noWrap w:val="0"/>
            <w:vAlign w:val="top"/>
          </w:tcPr>
          <w:p>
            <w:pPr>
              <w:rPr>
                <w:rFonts w:ascii="宋体" w:hAnsi="宋体"/>
              </w:rPr>
            </w:pPr>
          </w:p>
        </w:tc>
        <w:tc>
          <w:tcPr>
            <w:tcW w:w="725" w:type="dxa"/>
            <w:vMerge w:val="continue"/>
            <w:noWrap w:val="0"/>
            <w:vAlign w:val="top"/>
          </w:tcPr>
          <w:p>
            <w:pPr>
              <w:rPr>
                <w:rFonts w:ascii="宋体" w:hAnsi="宋体"/>
              </w:rPr>
            </w:pPr>
          </w:p>
        </w:tc>
        <w:tc>
          <w:tcPr>
            <w:tcW w:w="1450" w:type="dxa"/>
            <w:gridSpan w:val="2"/>
            <w:noWrap w:val="0"/>
            <w:vAlign w:val="center"/>
          </w:tcPr>
          <w:p>
            <w:pPr>
              <w:jc w:val="center"/>
              <w:rPr>
                <w:rFonts w:ascii="宋体" w:hAnsi="宋体"/>
              </w:rPr>
            </w:pPr>
            <w:r>
              <w:rPr>
                <w:rFonts w:hint="eastAsia" w:ascii="宋体" w:hAnsi="宋体"/>
              </w:rPr>
              <w:t>高工</w:t>
            </w:r>
          </w:p>
        </w:tc>
        <w:tc>
          <w:tcPr>
            <w:tcW w:w="1448" w:type="dxa"/>
            <w:gridSpan w:val="2"/>
            <w:noWrap w:val="0"/>
            <w:vAlign w:val="center"/>
          </w:tcPr>
          <w:p>
            <w:pPr>
              <w:jc w:val="center"/>
              <w:rPr>
                <w:rFonts w:ascii="宋体" w:hAnsi="宋体"/>
              </w:rPr>
            </w:pPr>
            <w:r>
              <w:rPr>
                <w:rFonts w:hint="eastAsia" w:ascii="宋体" w:hAnsi="宋体"/>
              </w:rPr>
              <w:t>工程师</w:t>
            </w:r>
          </w:p>
        </w:tc>
        <w:tc>
          <w:tcPr>
            <w:tcW w:w="1449" w:type="dxa"/>
            <w:gridSpan w:val="2"/>
            <w:noWrap w:val="0"/>
            <w:vAlign w:val="center"/>
          </w:tcPr>
          <w:p>
            <w:pPr>
              <w:jc w:val="center"/>
              <w:rPr>
                <w:rFonts w:ascii="宋体" w:hAnsi="宋体"/>
              </w:rPr>
            </w:pPr>
            <w:r>
              <w:rPr>
                <w:rFonts w:hint="eastAsia" w:ascii="宋体" w:hAnsi="宋体"/>
              </w:rPr>
              <w:t>助工</w:t>
            </w:r>
          </w:p>
        </w:tc>
        <w:tc>
          <w:tcPr>
            <w:tcW w:w="1452" w:type="dxa"/>
            <w:noWrap w:val="0"/>
            <w:vAlign w:val="center"/>
          </w:tcPr>
          <w:p>
            <w:pPr>
              <w:jc w:val="center"/>
              <w:rPr>
                <w:rFonts w:ascii="宋体" w:hAnsi="宋体"/>
              </w:rPr>
            </w:pPr>
            <w:r>
              <w:rPr>
                <w:rFonts w:hint="eastAsia" w:ascii="宋体" w:hAnsi="宋体"/>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538" w:type="dxa"/>
            <w:gridSpan w:val="2"/>
            <w:vMerge w:val="continue"/>
            <w:noWrap w:val="0"/>
            <w:vAlign w:val="top"/>
          </w:tcPr>
          <w:p>
            <w:pPr>
              <w:rPr>
                <w:rFonts w:ascii="宋体" w:hAnsi="宋体"/>
              </w:rPr>
            </w:pPr>
          </w:p>
        </w:tc>
        <w:tc>
          <w:tcPr>
            <w:tcW w:w="725" w:type="dxa"/>
            <w:vMerge w:val="continue"/>
            <w:noWrap w:val="0"/>
            <w:vAlign w:val="top"/>
          </w:tcPr>
          <w:p>
            <w:pPr>
              <w:rPr>
                <w:rFonts w:ascii="宋体" w:hAnsi="宋体"/>
              </w:rPr>
            </w:pPr>
          </w:p>
        </w:tc>
        <w:tc>
          <w:tcPr>
            <w:tcW w:w="1450" w:type="dxa"/>
            <w:gridSpan w:val="2"/>
            <w:noWrap w:val="0"/>
            <w:vAlign w:val="top"/>
          </w:tcPr>
          <w:p>
            <w:pPr>
              <w:rPr>
                <w:rFonts w:ascii="宋体" w:hAnsi="宋体"/>
              </w:rPr>
            </w:pPr>
          </w:p>
        </w:tc>
        <w:tc>
          <w:tcPr>
            <w:tcW w:w="1448" w:type="dxa"/>
            <w:gridSpan w:val="2"/>
            <w:noWrap w:val="0"/>
            <w:vAlign w:val="top"/>
          </w:tcPr>
          <w:p>
            <w:pPr>
              <w:rPr>
                <w:rFonts w:ascii="宋体" w:hAnsi="宋体"/>
              </w:rPr>
            </w:pPr>
          </w:p>
        </w:tc>
        <w:tc>
          <w:tcPr>
            <w:tcW w:w="1449" w:type="dxa"/>
            <w:gridSpan w:val="2"/>
            <w:noWrap w:val="0"/>
            <w:vAlign w:val="top"/>
          </w:tcPr>
          <w:p>
            <w:pPr>
              <w:rPr>
                <w:rFonts w:ascii="宋体" w:hAnsi="宋体"/>
              </w:rPr>
            </w:pPr>
          </w:p>
        </w:tc>
        <w:tc>
          <w:tcPr>
            <w:tcW w:w="1452"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38" w:type="dxa"/>
            <w:gridSpan w:val="2"/>
            <w:noWrap w:val="0"/>
            <w:vAlign w:val="top"/>
          </w:tcPr>
          <w:p>
            <w:pPr>
              <w:jc w:val="center"/>
              <w:rPr>
                <w:rFonts w:ascii="宋体" w:hAnsi="宋体"/>
              </w:rPr>
            </w:pPr>
            <w:r>
              <w:rPr>
                <w:rFonts w:hint="eastAsia" w:ascii="宋体" w:hAnsi="宋体"/>
              </w:rPr>
              <w:t>主要管理人员</w:t>
            </w:r>
          </w:p>
        </w:tc>
        <w:tc>
          <w:tcPr>
            <w:tcW w:w="1631" w:type="dxa"/>
            <w:gridSpan w:val="2"/>
            <w:noWrap w:val="0"/>
            <w:vAlign w:val="top"/>
          </w:tcPr>
          <w:p>
            <w:pPr>
              <w:jc w:val="center"/>
              <w:rPr>
                <w:rFonts w:ascii="宋体" w:hAnsi="宋体"/>
              </w:rPr>
            </w:pPr>
            <w:r>
              <w:rPr>
                <w:rFonts w:hint="eastAsia" w:ascii="宋体" w:hAnsi="宋体"/>
              </w:rPr>
              <w:t>姓名</w:t>
            </w:r>
          </w:p>
        </w:tc>
        <w:tc>
          <w:tcPr>
            <w:tcW w:w="1631" w:type="dxa"/>
            <w:gridSpan w:val="2"/>
            <w:noWrap w:val="0"/>
            <w:vAlign w:val="top"/>
          </w:tcPr>
          <w:p>
            <w:pPr>
              <w:jc w:val="center"/>
              <w:rPr>
                <w:rFonts w:ascii="宋体" w:hAnsi="宋体"/>
              </w:rPr>
            </w:pPr>
            <w:r>
              <w:rPr>
                <w:rFonts w:hint="eastAsia" w:ascii="宋体" w:hAnsi="宋体"/>
              </w:rPr>
              <w:t>职务</w:t>
            </w:r>
          </w:p>
        </w:tc>
        <w:tc>
          <w:tcPr>
            <w:tcW w:w="1631" w:type="dxa"/>
            <w:gridSpan w:val="2"/>
            <w:noWrap w:val="0"/>
            <w:vAlign w:val="top"/>
          </w:tcPr>
          <w:p>
            <w:pPr>
              <w:jc w:val="center"/>
              <w:rPr>
                <w:rFonts w:ascii="宋体" w:hAnsi="宋体"/>
              </w:rPr>
            </w:pPr>
            <w:r>
              <w:rPr>
                <w:rFonts w:hint="eastAsia" w:ascii="宋体" w:hAnsi="宋体"/>
              </w:rPr>
              <w:t>职称</w:t>
            </w:r>
          </w:p>
        </w:tc>
        <w:tc>
          <w:tcPr>
            <w:tcW w:w="1631" w:type="dxa"/>
            <w:gridSpan w:val="2"/>
            <w:noWrap w:val="0"/>
            <w:vAlign w:val="top"/>
          </w:tcPr>
          <w:p>
            <w:pPr>
              <w:jc w:val="center"/>
              <w:rPr>
                <w:rFonts w:ascii="宋体" w:hAnsi="宋体"/>
              </w:rPr>
            </w:pPr>
            <w:r>
              <w:rPr>
                <w:rFonts w:hint="eastAsia" w:ascii="宋体" w:hAnsi="宋体"/>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8" w:type="dxa"/>
            <w:gridSpan w:val="2"/>
            <w:noWrap w:val="0"/>
            <w:vAlign w:val="top"/>
          </w:tcPr>
          <w:p>
            <w:pPr>
              <w:ind w:left="420"/>
              <w:rPr>
                <w:rFonts w:ascii="宋体" w:hAnsi="宋体"/>
              </w:rPr>
            </w:pPr>
          </w:p>
        </w:tc>
        <w:tc>
          <w:tcPr>
            <w:tcW w:w="1631" w:type="dxa"/>
            <w:gridSpan w:val="2"/>
            <w:noWrap w:val="0"/>
            <w:vAlign w:val="top"/>
          </w:tcPr>
          <w:p>
            <w:pPr>
              <w:rPr>
                <w:rFonts w:ascii="宋体" w:hAnsi="宋体"/>
              </w:rPr>
            </w:pPr>
          </w:p>
        </w:tc>
        <w:tc>
          <w:tcPr>
            <w:tcW w:w="1631" w:type="dxa"/>
            <w:gridSpan w:val="2"/>
            <w:noWrap w:val="0"/>
            <w:vAlign w:val="top"/>
          </w:tcPr>
          <w:p>
            <w:pPr>
              <w:rPr>
                <w:rFonts w:ascii="宋体" w:hAnsi="宋体"/>
              </w:rPr>
            </w:pPr>
          </w:p>
        </w:tc>
        <w:tc>
          <w:tcPr>
            <w:tcW w:w="1631" w:type="dxa"/>
            <w:gridSpan w:val="2"/>
            <w:noWrap w:val="0"/>
            <w:vAlign w:val="top"/>
          </w:tcPr>
          <w:p>
            <w:pPr>
              <w:rPr>
                <w:rFonts w:ascii="宋体" w:hAnsi="宋体"/>
              </w:rPr>
            </w:pPr>
          </w:p>
        </w:tc>
        <w:tc>
          <w:tcPr>
            <w:tcW w:w="1631" w:type="dxa"/>
            <w:gridSpan w:val="2"/>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062" w:type="dxa"/>
            <w:gridSpan w:val="10"/>
            <w:noWrap w:val="0"/>
            <w:vAlign w:val="top"/>
          </w:tcPr>
          <w:p>
            <w:pPr>
              <w:widowControl/>
              <w:rPr>
                <w:rFonts w:ascii="宋体" w:hAnsi="宋体"/>
              </w:rPr>
            </w:pPr>
            <w:r>
              <w:rPr>
                <w:rFonts w:hint="eastAsia" w:ascii="宋体" w:hAnsi="宋体"/>
              </w:rPr>
              <w:t>上述现场组织机构各主要岗位的职责概述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062" w:type="dxa"/>
            <w:gridSpan w:val="10"/>
            <w:tcBorders>
              <w:bottom w:val="single" w:color="auto" w:sz="4" w:space="0"/>
            </w:tcBorders>
            <w:noWrap w:val="0"/>
            <w:vAlign w:val="top"/>
          </w:tcPr>
          <w:p>
            <w:pPr>
              <w:rPr>
                <w:rFonts w:ascii="宋体" w:hAnsi="宋体"/>
              </w:rPr>
            </w:pPr>
          </w:p>
        </w:tc>
      </w:tr>
    </w:tbl>
    <w:p>
      <w:pPr>
        <w:tabs>
          <w:tab w:val="left" w:pos="0"/>
        </w:tabs>
        <w:ind w:right="-212"/>
        <w:rPr>
          <w:rFonts w:ascii="宋体" w:hAnsi="宋体"/>
          <w:bCs/>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pStyle w:val="2"/>
        <w:ind w:firstLine="480"/>
      </w:pPr>
    </w:p>
    <w:p>
      <w:pPr>
        <w:pStyle w:val="2"/>
        <w:ind w:firstLine="480"/>
      </w:pPr>
    </w:p>
    <w:p>
      <w:pPr>
        <w:pStyle w:val="2"/>
        <w:ind w:firstLine="480"/>
        <w:rPr>
          <w:rFonts w:hint="eastAsia"/>
        </w:rPr>
      </w:pP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9"/>
        <w:gridCol w:w="319"/>
        <w:gridCol w:w="89"/>
        <w:gridCol w:w="754"/>
        <w:gridCol w:w="529"/>
        <w:gridCol w:w="915"/>
        <w:gridCol w:w="672"/>
        <w:gridCol w:w="749"/>
        <w:gridCol w:w="955"/>
        <w:gridCol w:w="422"/>
        <w:gridCol w:w="7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22" w:type="dxa"/>
            <w:gridSpan w:val="4"/>
            <w:noWrap w:val="0"/>
            <w:vAlign w:val="center"/>
          </w:tcPr>
          <w:p>
            <w:pPr>
              <w:jc w:val="center"/>
              <w:rPr>
                <w:rFonts w:ascii="宋体" w:hAnsi="宋体"/>
              </w:rPr>
            </w:pPr>
            <w:r>
              <w:rPr>
                <w:rFonts w:ascii="宋体" w:hAnsi="宋体"/>
                <w:sz w:val="24"/>
              </w:rPr>
              <w:br w:type="page"/>
            </w:r>
            <w:r>
              <w:rPr>
                <w:rFonts w:hint="eastAsia" w:ascii="宋体" w:hAnsi="宋体"/>
              </w:rPr>
              <w:t>工程名称</w:t>
            </w:r>
          </w:p>
        </w:tc>
        <w:tc>
          <w:tcPr>
            <w:tcW w:w="7240"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22" w:type="dxa"/>
            <w:gridSpan w:val="4"/>
            <w:noWrap w:val="0"/>
            <w:vAlign w:val="center"/>
          </w:tcPr>
          <w:p>
            <w:pPr>
              <w:jc w:val="center"/>
              <w:rPr>
                <w:rFonts w:ascii="宋体" w:hAnsi="宋体"/>
              </w:rPr>
            </w:pPr>
            <w:r>
              <w:rPr>
                <w:rFonts w:hint="eastAsia" w:ascii="宋体" w:hAnsi="宋体"/>
              </w:rPr>
              <w:t>公司名称</w:t>
            </w:r>
          </w:p>
        </w:tc>
        <w:tc>
          <w:tcPr>
            <w:tcW w:w="7240"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62" w:type="dxa"/>
            <w:gridSpan w:val="13"/>
            <w:noWrap w:val="0"/>
            <w:vAlign w:val="center"/>
          </w:tcPr>
          <w:p>
            <w:pPr>
              <w:spacing w:line="300" w:lineRule="auto"/>
              <w:jc w:val="center"/>
              <w:rPr>
                <w:rFonts w:ascii="宋体" w:hAnsi="宋体"/>
                <w:bCs/>
                <w:sz w:val="28"/>
              </w:rPr>
            </w:pPr>
            <w:r>
              <w:rPr>
                <w:rFonts w:hint="eastAsia" w:ascii="宋体" w:hAnsi="宋体"/>
              </w:rPr>
              <w:t>项目经理简历表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pPr>
              <w:rPr>
                <w:rFonts w:ascii="宋体" w:hAnsi="宋体"/>
              </w:rPr>
            </w:pPr>
            <w:r>
              <w:rPr>
                <w:rFonts w:hint="eastAsia" w:ascii="宋体" w:hAnsi="宋体"/>
              </w:rPr>
              <w:t>姓名</w:t>
            </w:r>
          </w:p>
        </w:tc>
        <w:tc>
          <w:tcPr>
            <w:tcW w:w="1421" w:type="dxa"/>
            <w:gridSpan w:val="4"/>
            <w:noWrap w:val="0"/>
            <w:vAlign w:val="top"/>
          </w:tcPr>
          <w:p>
            <w:pPr>
              <w:rPr>
                <w:rFonts w:ascii="宋体" w:hAnsi="宋体"/>
              </w:rPr>
            </w:pPr>
            <w:r>
              <w:rPr>
                <w:rFonts w:hint="eastAsia" w:ascii="宋体" w:hAnsi="宋体"/>
              </w:rPr>
              <w:t xml:space="preserve"> </w:t>
            </w:r>
          </w:p>
        </w:tc>
        <w:tc>
          <w:tcPr>
            <w:tcW w:w="1444" w:type="dxa"/>
            <w:gridSpan w:val="2"/>
            <w:noWrap w:val="0"/>
            <w:vAlign w:val="top"/>
          </w:tcPr>
          <w:p>
            <w:pPr>
              <w:rPr>
                <w:rFonts w:ascii="宋体" w:hAnsi="宋体"/>
              </w:rPr>
            </w:pPr>
            <w:r>
              <w:rPr>
                <w:rFonts w:hint="eastAsia" w:ascii="宋体" w:hAnsi="宋体"/>
              </w:rPr>
              <w:t>性别</w:t>
            </w:r>
          </w:p>
        </w:tc>
        <w:tc>
          <w:tcPr>
            <w:tcW w:w="1421" w:type="dxa"/>
            <w:gridSpan w:val="2"/>
            <w:noWrap w:val="0"/>
            <w:vAlign w:val="top"/>
          </w:tcPr>
          <w:p>
            <w:pPr>
              <w:rPr>
                <w:rFonts w:ascii="宋体" w:hAnsi="宋体"/>
              </w:rPr>
            </w:pPr>
          </w:p>
        </w:tc>
        <w:tc>
          <w:tcPr>
            <w:tcW w:w="1448" w:type="dxa"/>
            <w:gridSpan w:val="3"/>
            <w:noWrap w:val="0"/>
            <w:vAlign w:val="top"/>
          </w:tcPr>
          <w:p>
            <w:pPr>
              <w:rPr>
                <w:rFonts w:ascii="宋体" w:hAnsi="宋体"/>
              </w:rPr>
            </w:pPr>
            <w:r>
              <w:rPr>
                <w:rFonts w:hint="eastAsia" w:ascii="宋体" w:hAnsi="宋体"/>
              </w:rPr>
              <w:t>年龄</w:t>
            </w:r>
          </w:p>
        </w:tc>
        <w:tc>
          <w:tcPr>
            <w:tcW w:w="2173"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pPr>
              <w:rPr>
                <w:rFonts w:ascii="宋体" w:hAnsi="宋体"/>
              </w:rPr>
            </w:pPr>
            <w:r>
              <w:rPr>
                <w:rFonts w:hint="eastAsia" w:ascii="宋体" w:hAnsi="宋体"/>
              </w:rPr>
              <w:t>职务</w:t>
            </w:r>
          </w:p>
        </w:tc>
        <w:tc>
          <w:tcPr>
            <w:tcW w:w="1421" w:type="dxa"/>
            <w:gridSpan w:val="4"/>
            <w:noWrap w:val="0"/>
            <w:vAlign w:val="top"/>
          </w:tcPr>
          <w:p>
            <w:pPr>
              <w:rPr>
                <w:rFonts w:ascii="宋体" w:hAnsi="宋体"/>
              </w:rPr>
            </w:pPr>
          </w:p>
        </w:tc>
        <w:tc>
          <w:tcPr>
            <w:tcW w:w="1444" w:type="dxa"/>
            <w:gridSpan w:val="2"/>
            <w:noWrap w:val="0"/>
            <w:vAlign w:val="top"/>
          </w:tcPr>
          <w:p>
            <w:pPr>
              <w:rPr>
                <w:rFonts w:ascii="宋体" w:hAnsi="宋体"/>
              </w:rPr>
            </w:pPr>
            <w:r>
              <w:rPr>
                <w:rFonts w:hint="eastAsia" w:ascii="宋体" w:hAnsi="宋体"/>
              </w:rPr>
              <w:t>职称</w:t>
            </w:r>
          </w:p>
        </w:tc>
        <w:tc>
          <w:tcPr>
            <w:tcW w:w="1421" w:type="dxa"/>
            <w:gridSpan w:val="2"/>
            <w:noWrap w:val="0"/>
            <w:vAlign w:val="top"/>
          </w:tcPr>
          <w:p>
            <w:pPr>
              <w:rPr>
                <w:rFonts w:ascii="宋体" w:hAnsi="宋体"/>
              </w:rPr>
            </w:pPr>
          </w:p>
        </w:tc>
        <w:tc>
          <w:tcPr>
            <w:tcW w:w="1448" w:type="dxa"/>
            <w:gridSpan w:val="3"/>
            <w:noWrap w:val="0"/>
            <w:vAlign w:val="top"/>
          </w:tcPr>
          <w:p>
            <w:pPr>
              <w:rPr>
                <w:rFonts w:ascii="宋体" w:hAnsi="宋体"/>
              </w:rPr>
            </w:pPr>
            <w:r>
              <w:rPr>
                <w:rFonts w:hint="eastAsia" w:ascii="宋体" w:hAnsi="宋体"/>
              </w:rPr>
              <w:t>学历</w:t>
            </w:r>
          </w:p>
        </w:tc>
        <w:tc>
          <w:tcPr>
            <w:tcW w:w="2173"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gridSpan w:val="3"/>
            <w:noWrap w:val="0"/>
            <w:vAlign w:val="top"/>
          </w:tcPr>
          <w:p>
            <w:pPr>
              <w:rPr>
                <w:rFonts w:ascii="宋体" w:hAnsi="宋体"/>
              </w:rPr>
            </w:pPr>
            <w:r>
              <w:rPr>
                <w:rFonts w:hint="eastAsia" w:ascii="宋体" w:hAnsi="宋体"/>
              </w:rPr>
              <w:t>参加工作时间</w:t>
            </w:r>
          </w:p>
        </w:tc>
        <w:tc>
          <w:tcPr>
            <w:tcW w:w="2287" w:type="dxa"/>
            <w:gridSpan w:val="4"/>
            <w:noWrap w:val="0"/>
            <w:vAlign w:val="top"/>
          </w:tcPr>
          <w:p>
            <w:pPr>
              <w:rPr>
                <w:rFonts w:ascii="宋体" w:hAnsi="宋体"/>
              </w:rPr>
            </w:pPr>
          </w:p>
        </w:tc>
        <w:tc>
          <w:tcPr>
            <w:tcW w:w="2376" w:type="dxa"/>
            <w:gridSpan w:val="3"/>
            <w:noWrap w:val="0"/>
            <w:vAlign w:val="top"/>
          </w:tcPr>
          <w:p>
            <w:pPr>
              <w:rPr>
                <w:rFonts w:hint="eastAsia" w:ascii="宋体" w:hAnsi="宋体"/>
              </w:rPr>
            </w:pPr>
            <w:r>
              <w:rPr>
                <w:rFonts w:hint="eastAsia" w:ascii="宋体" w:hAnsi="宋体"/>
              </w:rPr>
              <w:t>从事项目经理年限</w:t>
            </w:r>
          </w:p>
        </w:tc>
        <w:tc>
          <w:tcPr>
            <w:tcW w:w="2666" w:type="dxa"/>
            <w:gridSpan w:val="3"/>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13"/>
            <w:tcBorders>
              <w:bottom w:val="single" w:color="auto" w:sz="4" w:space="0"/>
            </w:tcBorders>
            <w:noWrap w:val="0"/>
            <w:vAlign w:val="center"/>
          </w:tcPr>
          <w:p>
            <w:pPr>
              <w:jc w:val="center"/>
              <w:rPr>
                <w:rFonts w:hint="eastAsia" w:ascii="宋体" w:hAnsi="宋体"/>
              </w:rPr>
            </w:pPr>
            <w:r>
              <w:rPr>
                <w:rFonts w:hint="eastAsia" w:ascii="宋体" w:hAnsi="宋体"/>
              </w:rPr>
              <w:t>相关工程业绩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noWrap w:val="0"/>
            <w:vAlign w:val="center"/>
          </w:tcPr>
          <w:p>
            <w:pPr>
              <w:jc w:val="center"/>
              <w:rPr>
                <w:rFonts w:ascii="宋体" w:hAnsi="宋体"/>
              </w:rPr>
            </w:pPr>
            <w:r>
              <w:rPr>
                <w:rFonts w:hint="eastAsia" w:ascii="宋体" w:hAnsi="宋体"/>
              </w:rPr>
              <w:t>建设单位</w:t>
            </w:r>
          </w:p>
        </w:tc>
        <w:tc>
          <w:tcPr>
            <w:tcW w:w="1691" w:type="dxa"/>
            <w:gridSpan w:val="4"/>
            <w:noWrap w:val="0"/>
            <w:vAlign w:val="center"/>
          </w:tcPr>
          <w:p>
            <w:pPr>
              <w:jc w:val="center"/>
              <w:rPr>
                <w:rFonts w:ascii="宋体" w:hAnsi="宋体"/>
              </w:rPr>
            </w:pPr>
            <w:r>
              <w:rPr>
                <w:rFonts w:hint="eastAsia" w:ascii="宋体" w:hAnsi="宋体"/>
              </w:rPr>
              <w:t>项目名称</w:t>
            </w:r>
          </w:p>
        </w:tc>
        <w:tc>
          <w:tcPr>
            <w:tcW w:w="1587" w:type="dxa"/>
            <w:gridSpan w:val="2"/>
            <w:noWrap w:val="0"/>
            <w:vAlign w:val="center"/>
          </w:tcPr>
          <w:p>
            <w:pPr>
              <w:jc w:val="center"/>
              <w:rPr>
                <w:rFonts w:ascii="宋体" w:hAnsi="宋体"/>
              </w:rPr>
            </w:pPr>
            <w:r>
              <w:rPr>
                <w:rFonts w:hint="eastAsia" w:ascii="宋体" w:hAnsi="宋体"/>
              </w:rPr>
              <w:t>建设规模</w:t>
            </w:r>
          </w:p>
        </w:tc>
        <w:tc>
          <w:tcPr>
            <w:tcW w:w="2126" w:type="dxa"/>
            <w:gridSpan w:val="3"/>
            <w:noWrap w:val="0"/>
            <w:vAlign w:val="center"/>
          </w:tcPr>
          <w:p>
            <w:pPr>
              <w:jc w:val="center"/>
              <w:rPr>
                <w:rFonts w:ascii="宋体" w:hAnsi="宋体"/>
              </w:rPr>
            </w:pPr>
            <w:r>
              <w:rPr>
                <w:rFonts w:hint="eastAsia" w:ascii="宋体" w:hAnsi="宋体"/>
              </w:rPr>
              <w:t>开、竣工程日期</w:t>
            </w:r>
          </w:p>
        </w:tc>
        <w:tc>
          <w:tcPr>
            <w:tcW w:w="2244" w:type="dxa"/>
            <w:gridSpan w:val="2"/>
            <w:tcBorders>
              <w:top w:val="nil"/>
            </w:tcBorders>
            <w:noWrap w:val="0"/>
            <w:vAlign w:val="center"/>
          </w:tcPr>
          <w:p>
            <w:pPr>
              <w:jc w:val="center"/>
              <w:rPr>
                <w:rFonts w:ascii="宋体" w:hAnsi="宋体"/>
              </w:rPr>
            </w:pPr>
            <w:r>
              <w:rPr>
                <w:rFonts w:hint="eastAsia" w:ascii="宋体" w:hAnsi="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bl>
    <w:p>
      <w:pPr>
        <w:tabs>
          <w:tab w:val="left" w:pos="0"/>
        </w:tabs>
        <w:spacing w:line="360" w:lineRule="auto"/>
        <w:ind w:left="735" w:right="-210" w:hanging="735" w:hangingChars="350"/>
        <w:rPr>
          <w:rFonts w:hint="eastAsia" w:ascii="宋体" w:hAnsi="宋体"/>
          <w:szCs w:val="21"/>
        </w:rPr>
      </w:pPr>
      <w:r>
        <w:rPr>
          <w:rFonts w:hint="eastAsia" w:ascii="宋体" w:hAnsi="宋体"/>
          <w:bCs/>
          <w:szCs w:val="23"/>
        </w:rPr>
        <w:t>注：1、提供证书复印件，项目经理业绩</w:t>
      </w:r>
      <w:r>
        <w:rPr>
          <w:rFonts w:hint="eastAsia" w:ascii="宋体" w:hAnsi="宋体"/>
          <w:szCs w:val="21"/>
        </w:rPr>
        <w:t>需提供中标通知书或与甲方签订合同的合同首页至合同签字盖章页的关键内容合同页，和竣工验收单。（复印件须加盖供应商公章）。</w:t>
      </w:r>
    </w:p>
    <w:p>
      <w:pPr>
        <w:spacing w:line="360" w:lineRule="auto"/>
        <w:ind w:left="735" w:leftChars="200" w:hanging="315" w:hangingChars="150"/>
        <w:rPr>
          <w:rFonts w:hint="eastAsia" w:ascii="宋体" w:hAnsi="宋体"/>
          <w:szCs w:val="21"/>
        </w:rPr>
      </w:pPr>
      <w:r>
        <w:rPr>
          <w:rFonts w:hint="eastAsia" w:ascii="宋体" w:hAnsi="宋体"/>
          <w:szCs w:val="21"/>
        </w:rPr>
        <w:t>2、相关工程指已竣工的建筑装饰装修类项目业绩。</w:t>
      </w: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rPr>
      </w:pPr>
      <w:r>
        <w:rPr>
          <w:rFonts w:ascii="宋体" w:hAnsi="宋体"/>
          <w:sz w:val="24"/>
          <w:szCs w:val="20"/>
        </w:rPr>
        <w:t xml:space="preserve">日期：____年____月____日 </w:t>
      </w:r>
      <w:r>
        <w:rPr>
          <w:rFonts w:ascii="宋体" w:hAnsi="宋体"/>
          <w:sz w:val="24"/>
        </w:rPr>
        <w:br w:type="page"/>
      </w: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59"/>
        <w:gridCol w:w="319"/>
        <w:gridCol w:w="89"/>
        <w:gridCol w:w="754"/>
        <w:gridCol w:w="529"/>
        <w:gridCol w:w="915"/>
        <w:gridCol w:w="672"/>
        <w:gridCol w:w="749"/>
        <w:gridCol w:w="955"/>
        <w:gridCol w:w="422"/>
        <w:gridCol w:w="71"/>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22" w:type="dxa"/>
            <w:gridSpan w:val="4"/>
            <w:noWrap w:val="0"/>
            <w:vAlign w:val="center"/>
          </w:tcPr>
          <w:p>
            <w:pPr>
              <w:jc w:val="center"/>
              <w:rPr>
                <w:rFonts w:ascii="宋体" w:hAnsi="宋体"/>
              </w:rPr>
            </w:pPr>
            <w:r>
              <w:rPr>
                <w:rFonts w:hint="eastAsia" w:ascii="宋体" w:hAnsi="宋体"/>
              </w:rPr>
              <w:t>工程名称</w:t>
            </w:r>
          </w:p>
        </w:tc>
        <w:tc>
          <w:tcPr>
            <w:tcW w:w="7240"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22" w:type="dxa"/>
            <w:gridSpan w:val="4"/>
            <w:noWrap w:val="0"/>
            <w:vAlign w:val="center"/>
          </w:tcPr>
          <w:p>
            <w:pPr>
              <w:jc w:val="center"/>
              <w:rPr>
                <w:rFonts w:ascii="宋体" w:hAnsi="宋体"/>
              </w:rPr>
            </w:pPr>
            <w:r>
              <w:rPr>
                <w:rFonts w:hint="eastAsia" w:ascii="宋体" w:hAnsi="宋体"/>
              </w:rPr>
              <w:t>公司名称</w:t>
            </w:r>
          </w:p>
        </w:tc>
        <w:tc>
          <w:tcPr>
            <w:tcW w:w="7240" w:type="dxa"/>
            <w:gridSpan w:val="9"/>
            <w:noWrap w:val="0"/>
            <w:vAlign w:val="top"/>
          </w:tcPr>
          <w:p>
            <w:pPr>
              <w:jc w:val="cente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62" w:type="dxa"/>
            <w:gridSpan w:val="13"/>
            <w:noWrap w:val="0"/>
            <w:vAlign w:val="center"/>
          </w:tcPr>
          <w:p>
            <w:pPr>
              <w:spacing w:line="300" w:lineRule="auto"/>
              <w:jc w:val="center"/>
              <w:rPr>
                <w:rFonts w:ascii="宋体" w:hAnsi="宋体"/>
                <w:bCs/>
                <w:sz w:val="28"/>
              </w:rPr>
            </w:pPr>
            <w:r>
              <w:rPr>
                <w:rFonts w:hint="eastAsia" w:ascii="宋体" w:hAnsi="宋体"/>
              </w:rPr>
              <w:t>技术负责人简历表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pPr>
              <w:rPr>
                <w:rFonts w:ascii="宋体" w:hAnsi="宋体"/>
              </w:rPr>
            </w:pPr>
            <w:r>
              <w:rPr>
                <w:rFonts w:hint="eastAsia" w:ascii="宋体" w:hAnsi="宋体"/>
              </w:rPr>
              <w:t>姓名</w:t>
            </w:r>
          </w:p>
        </w:tc>
        <w:tc>
          <w:tcPr>
            <w:tcW w:w="1421" w:type="dxa"/>
            <w:gridSpan w:val="4"/>
            <w:noWrap w:val="0"/>
            <w:vAlign w:val="top"/>
          </w:tcPr>
          <w:p>
            <w:pPr>
              <w:rPr>
                <w:rFonts w:ascii="宋体" w:hAnsi="宋体"/>
              </w:rPr>
            </w:pPr>
            <w:r>
              <w:rPr>
                <w:rFonts w:hint="eastAsia" w:ascii="宋体" w:hAnsi="宋体"/>
              </w:rPr>
              <w:t xml:space="preserve"> </w:t>
            </w:r>
          </w:p>
        </w:tc>
        <w:tc>
          <w:tcPr>
            <w:tcW w:w="1444" w:type="dxa"/>
            <w:gridSpan w:val="2"/>
            <w:noWrap w:val="0"/>
            <w:vAlign w:val="top"/>
          </w:tcPr>
          <w:p>
            <w:pPr>
              <w:rPr>
                <w:rFonts w:ascii="宋体" w:hAnsi="宋体"/>
              </w:rPr>
            </w:pPr>
            <w:r>
              <w:rPr>
                <w:rFonts w:hint="eastAsia" w:ascii="宋体" w:hAnsi="宋体"/>
              </w:rPr>
              <w:t>性别</w:t>
            </w:r>
          </w:p>
        </w:tc>
        <w:tc>
          <w:tcPr>
            <w:tcW w:w="1421" w:type="dxa"/>
            <w:gridSpan w:val="2"/>
            <w:noWrap w:val="0"/>
            <w:vAlign w:val="top"/>
          </w:tcPr>
          <w:p>
            <w:pPr>
              <w:rPr>
                <w:rFonts w:ascii="宋体" w:hAnsi="宋体"/>
              </w:rPr>
            </w:pPr>
          </w:p>
        </w:tc>
        <w:tc>
          <w:tcPr>
            <w:tcW w:w="1448" w:type="dxa"/>
            <w:gridSpan w:val="3"/>
            <w:noWrap w:val="0"/>
            <w:vAlign w:val="top"/>
          </w:tcPr>
          <w:p>
            <w:pPr>
              <w:rPr>
                <w:rFonts w:ascii="宋体" w:hAnsi="宋体"/>
              </w:rPr>
            </w:pPr>
            <w:r>
              <w:rPr>
                <w:rFonts w:hint="eastAsia" w:ascii="宋体" w:hAnsi="宋体"/>
              </w:rPr>
              <w:t>年龄</w:t>
            </w:r>
          </w:p>
        </w:tc>
        <w:tc>
          <w:tcPr>
            <w:tcW w:w="2173"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top"/>
          </w:tcPr>
          <w:p>
            <w:pPr>
              <w:rPr>
                <w:rFonts w:ascii="宋体" w:hAnsi="宋体"/>
              </w:rPr>
            </w:pPr>
            <w:r>
              <w:rPr>
                <w:rFonts w:hint="eastAsia" w:ascii="宋体" w:hAnsi="宋体"/>
              </w:rPr>
              <w:t>职务</w:t>
            </w:r>
          </w:p>
        </w:tc>
        <w:tc>
          <w:tcPr>
            <w:tcW w:w="1421" w:type="dxa"/>
            <w:gridSpan w:val="4"/>
            <w:noWrap w:val="0"/>
            <w:vAlign w:val="top"/>
          </w:tcPr>
          <w:p>
            <w:pPr>
              <w:rPr>
                <w:rFonts w:ascii="宋体" w:hAnsi="宋体"/>
              </w:rPr>
            </w:pPr>
          </w:p>
        </w:tc>
        <w:tc>
          <w:tcPr>
            <w:tcW w:w="1444" w:type="dxa"/>
            <w:gridSpan w:val="2"/>
            <w:noWrap w:val="0"/>
            <w:vAlign w:val="top"/>
          </w:tcPr>
          <w:p>
            <w:pPr>
              <w:rPr>
                <w:rFonts w:ascii="宋体" w:hAnsi="宋体"/>
              </w:rPr>
            </w:pPr>
            <w:r>
              <w:rPr>
                <w:rFonts w:hint="eastAsia" w:ascii="宋体" w:hAnsi="宋体"/>
              </w:rPr>
              <w:t>职称</w:t>
            </w:r>
          </w:p>
        </w:tc>
        <w:tc>
          <w:tcPr>
            <w:tcW w:w="1421" w:type="dxa"/>
            <w:gridSpan w:val="2"/>
            <w:noWrap w:val="0"/>
            <w:vAlign w:val="top"/>
          </w:tcPr>
          <w:p>
            <w:pPr>
              <w:rPr>
                <w:rFonts w:ascii="宋体" w:hAnsi="宋体"/>
              </w:rPr>
            </w:pPr>
          </w:p>
        </w:tc>
        <w:tc>
          <w:tcPr>
            <w:tcW w:w="1448" w:type="dxa"/>
            <w:gridSpan w:val="3"/>
            <w:noWrap w:val="0"/>
            <w:vAlign w:val="top"/>
          </w:tcPr>
          <w:p>
            <w:pPr>
              <w:rPr>
                <w:rFonts w:ascii="宋体" w:hAnsi="宋体"/>
              </w:rPr>
            </w:pPr>
            <w:r>
              <w:rPr>
                <w:rFonts w:hint="eastAsia" w:ascii="宋体" w:hAnsi="宋体"/>
              </w:rPr>
              <w:t>学历</w:t>
            </w:r>
          </w:p>
        </w:tc>
        <w:tc>
          <w:tcPr>
            <w:tcW w:w="2173"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gridSpan w:val="3"/>
            <w:noWrap w:val="0"/>
            <w:vAlign w:val="top"/>
          </w:tcPr>
          <w:p>
            <w:pPr>
              <w:rPr>
                <w:rFonts w:ascii="宋体" w:hAnsi="宋体"/>
              </w:rPr>
            </w:pPr>
            <w:r>
              <w:rPr>
                <w:rFonts w:hint="eastAsia" w:ascii="宋体" w:hAnsi="宋体"/>
              </w:rPr>
              <w:t>参加工作时间</w:t>
            </w:r>
          </w:p>
        </w:tc>
        <w:tc>
          <w:tcPr>
            <w:tcW w:w="2287" w:type="dxa"/>
            <w:gridSpan w:val="4"/>
            <w:noWrap w:val="0"/>
            <w:vAlign w:val="top"/>
          </w:tcPr>
          <w:p>
            <w:pPr>
              <w:rPr>
                <w:rFonts w:ascii="宋体" w:hAnsi="宋体"/>
              </w:rPr>
            </w:pPr>
          </w:p>
        </w:tc>
        <w:tc>
          <w:tcPr>
            <w:tcW w:w="2376" w:type="dxa"/>
            <w:gridSpan w:val="3"/>
            <w:noWrap w:val="0"/>
            <w:vAlign w:val="top"/>
          </w:tcPr>
          <w:p>
            <w:pPr>
              <w:rPr>
                <w:rFonts w:hint="eastAsia" w:ascii="宋体" w:hAnsi="宋体"/>
              </w:rPr>
            </w:pPr>
            <w:r>
              <w:rPr>
                <w:rFonts w:hint="eastAsia" w:ascii="宋体" w:hAnsi="宋体"/>
              </w:rPr>
              <w:t>从事技术主管年限</w:t>
            </w:r>
          </w:p>
        </w:tc>
        <w:tc>
          <w:tcPr>
            <w:tcW w:w="2666" w:type="dxa"/>
            <w:gridSpan w:val="3"/>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13"/>
            <w:tcBorders>
              <w:bottom w:val="single" w:color="auto" w:sz="4" w:space="0"/>
            </w:tcBorders>
            <w:noWrap w:val="0"/>
            <w:vAlign w:val="center"/>
          </w:tcPr>
          <w:p>
            <w:pPr>
              <w:jc w:val="center"/>
              <w:rPr>
                <w:rFonts w:hint="eastAsia" w:ascii="宋体" w:hAnsi="宋体"/>
              </w:rPr>
            </w:pPr>
            <w:r>
              <w:rPr>
                <w:rFonts w:hint="eastAsia" w:ascii="宋体" w:hAnsi="宋体"/>
              </w:rPr>
              <w:t>相关工程业绩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noWrap w:val="0"/>
            <w:vAlign w:val="center"/>
          </w:tcPr>
          <w:p>
            <w:pPr>
              <w:jc w:val="center"/>
              <w:rPr>
                <w:rFonts w:ascii="宋体" w:hAnsi="宋体"/>
              </w:rPr>
            </w:pPr>
            <w:r>
              <w:rPr>
                <w:rFonts w:hint="eastAsia" w:ascii="宋体" w:hAnsi="宋体"/>
              </w:rPr>
              <w:t>建设单位</w:t>
            </w:r>
          </w:p>
        </w:tc>
        <w:tc>
          <w:tcPr>
            <w:tcW w:w="1691" w:type="dxa"/>
            <w:gridSpan w:val="4"/>
            <w:noWrap w:val="0"/>
            <w:vAlign w:val="center"/>
          </w:tcPr>
          <w:p>
            <w:pPr>
              <w:jc w:val="center"/>
              <w:rPr>
                <w:rFonts w:ascii="宋体" w:hAnsi="宋体"/>
              </w:rPr>
            </w:pPr>
            <w:r>
              <w:rPr>
                <w:rFonts w:hint="eastAsia" w:ascii="宋体" w:hAnsi="宋体"/>
              </w:rPr>
              <w:t>项目名称</w:t>
            </w:r>
          </w:p>
        </w:tc>
        <w:tc>
          <w:tcPr>
            <w:tcW w:w="1587" w:type="dxa"/>
            <w:gridSpan w:val="2"/>
            <w:noWrap w:val="0"/>
            <w:vAlign w:val="center"/>
          </w:tcPr>
          <w:p>
            <w:pPr>
              <w:jc w:val="center"/>
              <w:rPr>
                <w:rFonts w:ascii="宋体" w:hAnsi="宋体"/>
              </w:rPr>
            </w:pPr>
            <w:r>
              <w:rPr>
                <w:rFonts w:hint="eastAsia" w:ascii="宋体" w:hAnsi="宋体"/>
              </w:rPr>
              <w:t>建设规模</w:t>
            </w:r>
          </w:p>
        </w:tc>
        <w:tc>
          <w:tcPr>
            <w:tcW w:w="2126" w:type="dxa"/>
            <w:gridSpan w:val="3"/>
            <w:noWrap w:val="0"/>
            <w:vAlign w:val="center"/>
          </w:tcPr>
          <w:p>
            <w:pPr>
              <w:jc w:val="center"/>
              <w:rPr>
                <w:rFonts w:ascii="宋体" w:hAnsi="宋体"/>
              </w:rPr>
            </w:pPr>
            <w:r>
              <w:rPr>
                <w:rFonts w:hint="eastAsia" w:ascii="宋体" w:hAnsi="宋体"/>
              </w:rPr>
              <w:t>开、竣工程日期</w:t>
            </w:r>
          </w:p>
        </w:tc>
        <w:tc>
          <w:tcPr>
            <w:tcW w:w="2244" w:type="dxa"/>
            <w:gridSpan w:val="2"/>
            <w:tcBorders>
              <w:top w:val="nil"/>
            </w:tcBorders>
            <w:noWrap w:val="0"/>
            <w:vAlign w:val="center"/>
          </w:tcPr>
          <w:p>
            <w:pPr>
              <w:jc w:val="center"/>
              <w:rPr>
                <w:rFonts w:ascii="宋体" w:hAnsi="宋体"/>
              </w:rPr>
            </w:pPr>
            <w:r>
              <w:rPr>
                <w:rFonts w:hint="eastAsia" w:ascii="宋体" w:hAnsi="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4" w:type="dxa"/>
            <w:gridSpan w:val="2"/>
            <w:noWrap w:val="0"/>
            <w:vAlign w:val="top"/>
          </w:tcPr>
          <w:p>
            <w:pPr>
              <w:spacing w:line="480" w:lineRule="auto"/>
              <w:rPr>
                <w:rFonts w:hint="eastAsia" w:ascii="宋体" w:hAnsi="宋体"/>
                <w:bCs/>
                <w:szCs w:val="23"/>
              </w:rPr>
            </w:pPr>
          </w:p>
        </w:tc>
        <w:tc>
          <w:tcPr>
            <w:tcW w:w="1691" w:type="dxa"/>
            <w:gridSpan w:val="4"/>
            <w:noWrap w:val="0"/>
            <w:vAlign w:val="top"/>
          </w:tcPr>
          <w:p>
            <w:pPr>
              <w:spacing w:line="480" w:lineRule="auto"/>
              <w:rPr>
                <w:rFonts w:hint="eastAsia" w:ascii="宋体" w:hAnsi="宋体"/>
                <w:bCs/>
                <w:szCs w:val="23"/>
              </w:rPr>
            </w:pPr>
          </w:p>
        </w:tc>
        <w:tc>
          <w:tcPr>
            <w:tcW w:w="1587" w:type="dxa"/>
            <w:gridSpan w:val="2"/>
            <w:noWrap w:val="0"/>
            <w:vAlign w:val="top"/>
          </w:tcPr>
          <w:p>
            <w:pPr>
              <w:spacing w:line="480" w:lineRule="auto"/>
              <w:rPr>
                <w:rFonts w:hint="eastAsia" w:ascii="宋体" w:hAnsi="宋体"/>
                <w:bCs/>
                <w:szCs w:val="23"/>
              </w:rPr>
            </w:pPr>
          </w:p>
        </w:tc>
        <w:tc>
          <w:tcPr>
            <w:tcW w:w="2126" w:type="dxa"/>
            <w:gridSpan w:val="3"/>
            <w:noWrap w:val="0"/>
            <w:vAlign w:val="top"/>
          </w:tcPr>
          <w:p>
            <w:pPr>
              <w:spacing w:line="480" w:lineRule="auto"/>
              <w:rPr>
                <w:rFonts w:hint="eastAsia" w:ascii="宋体" w:hAnsi="宋体"/>
                <w:bCs/>
                <w:szCs w:val="23"/>
              </w:rPr>
            </w:pPr>
          </w:p>
        </w:tc>
        <w:tc>
          <w:tcPr>
            <w:tcW w:w="2244" w:type="dxa"/>
            <w:gridSpan w:val="2"/>
            <w:noWrap w:val="0"/>
            <w:vAlign w:val="top"/>
          </w:tcPr>
          <w:p>
            <w:pPr>
              <w:spacing w:line="480" w:lineRule="auto"/>
              <w:rPr>
                <w:rFonts w:hint="eastAsia" w:ascii="宋体" w:hAnsi="宋体"/>
                <w:bCs/>
                <w:szCs w:val="23"/>
              </w:rPr>
            </w:pPr>
          </w:p>
        </w:tc>
      </w:tr>
    </w:tbl>
    <w:p>
      <w:pPr>
        <w:tabs>
          <w:tab w:val="left" w:pos="0"/>
        </w:tabs>
        <w:spacing w:line="360" w:lineRule="auto"/>
        <w:ind w:left="735" w:right="-210" w:hanging="735" w:hangingChars="350"/>
        <w:rPr>
          <w:rFonts w:hint="eastAsia" w:ascii="宋体" w:hAnsi="宋体"/>
          <w:bCs/>
          <w:szCs w:val="23"/>
        </w:rPr>
      </w:pPr>
      <w:r>
        <w:rPr>
          <w:rFonts w:hint="eastAsia" w:ascii="宋体" w:hAnsi="宋体"/>
          <w:bCs/>
          <w:szCs w:val="23"/>
        </w:rPr>
        <w:t>注：1、提供证书复印件，</w:t>
      </w:r>
      <w:r>
        <w:rPr>
          <w:rFonts w:hint="eastAsia" w:ascii="宋体" w:hAnsi="宋体"/>
          <w:szCs w:val="21"/>
        </w:rPr>
        <w:t>中标通知书或与甲方签订合同的合同首页至合同签字盖章页的关键内容合同页，和竣工验收单（复印件须加盖供应商公章）。如上述资料不能体现技术负责人业绩的应提供相关说明（格式自拟）。</w:t>
      </w:r>
    </w:p>
    <w:p>
      <w:pPr>
        <w:spacing w:line="360" w:lineRule="auto"/>
        <w:ind w:left="735" w:leftChars="200" w:hanging="315" w:hangingChars="150"/>
        <w:rPr>
          <w:rFonts w:hint="eastAsia" w:ascii="宋体" w:hAnsi="宋体"/>
          <w:szCs w:val="21"/>
        </w:rPr>
      </w:pPr>
      <w:r>
        <w:rPr>
          <w:rFonts w:ascii="宋体" w:hAnsi="宋体"/>
          <w:szCs w:val="21"/>
        </w:rPr>
        <w:t>2</w:t>
      </w:r>
      <w:r>
        <w:rPr>
          <w:rFonts w:hint="eastAsia" w:ascii="宋体" w:hAnsi="宋体"/>
          <w:szCs w:val="21"/>
        </w:rPr>
        <w:t>、相关工程指已竣工的建筑装饰装修类项目业绩。</w:t>
      </w: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widowControl/>
        <w:jc w:val="left"/>
        <w:rPr>
          <w:rFonts w:ascii="宋体" w:hAnsi="宋体"/>
          <w:sz w:val="24"/>
        </w:rPr>
      </w:pPr>
      <w:r>
        <w:rPr>
          <w:rFonts w:ascii="宋体" w:hAnsi="宋体"/>
          <w:sz w:val="24"/>
        </w:rPr>
        <w:br w:type="page"/>
      </w:r>
    </w:p>
    <w:p>
      <w:pPr>
        <w:tabs>
          <w:tab w:val="left" w:pos="360"/>
        </w:tabs>
        <w:snapToGrid w:val="0"/>
        <w:spacing w:line="360" w:lineRule="auto"/>
        <w:outlineLvl w:val="1"/>
        <w:rPr>
          <w:rFonts w:ascii="宋体" w:hAnsi="宋体"/>
          <w:sz w:val="24"/>
        </w:rPr>
      </w:pPr>
      <w:bookmarkStart w:id="3323" w:name="_Toc166339268"/>
      <w:bookmarkStart w:id="3324" w:name="_Toc130920628"/>
      <w:r>
        <w:rPr>
          <w:rFonts w:hint="eastAsia" w:ascii="宋体" w:hAnsi="宋体"/>
          <w:sz w:val="24"/>
        </w:rPr>
        <w:t>11-3 可投入及拟投入施工机械设备</w:t>
      </w:r>
      <w:bookmarkEnd w:id="3323"/>
      <w:bookmarkEnd w:id="3324"/>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4"/>
        <w:gridCol w:w="1263"/>
        <w:gridCol w:w="772"/>
        <w:gridCol w:w="923"/>
        <w:gridCol w:w="772"/>
        <w:gridCol w:w="877"/>
        <w:gridCol w:w="991"/>
        <w:gridCol w:w="87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88" w:type="dxa"/>
            <w:gridSpan w:val="2"/>
            <w:noWrap w:val="0"/>
            <w:vAlign w:val="center"/>
          </w:tcPr>
          <w:p>
            <w:pPr>
              <w:tabs>
                <w:tab w:val="left" w:pos="0"/>
              </w:tabs>
              <w:ind w:right="-212"/>
              <w:rPr>
                <w:rFonts w:ascii="宋体" w:hAnsi="宋体"/>
              </w:rPr>
            </w:pPr>
            <w:r>
              <w:rPr>
                <w:rFonts w:hint="eastAsia" w:ascii="宋体" w:hAnsi="宋体"/>
              </w:rPr>
              <w:t>工程名称</w:t>
            </w:r>
          </w:p>
        </w:tc>
        <w:tc>
          <w:tcPr>
            <w:tcW w:w="7274"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88" w:type="dxa"/>
            <w:gridSpan w:val="2"/>
            <w:noWrap w:val="0"/>
            <w:vAlign w:val="top"/>
          </w:tcPr>
          <w:p>
            <w:pPr>
              <w:rPr>
                <w:rFonts w:ascii="宋体" w:hAnsi="宋体"/>
              </w:rPr>
            </w:pPr>
            <w:r>
              <w:rPr>
                <w:rFonts w:hint="eastAsia" w:ascii="宋体" w:hAnsi="宋体"/>
              </w:rPr>
              <w:t>公司名称</w:t>
            </w:r>
          </w:p>
        </w:tc>
        <w:tc>
          <w:tcPr>
            <w:tcW w:w="7274" w:type="dxa"/>
            <w:gridSpan w:val="8"/>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62" w:type="dxa"/>
            <w:gridSpan w:val="10"/>
            <w:noWrap w:val="0"/>
            <w:vAlign w:val="top"/>
          </w:tcPr>
          <w:p>
            <w:pPr>
              <w:jc w:val="center"/>
              <w:rPr>
                <w:rFonts w:ascii="宋体" w:hAnsi="宋体"/>
                <w:bCs/>
              </w:rPr>
            </w:pPr>
            <w:r>
              <w:rPr>
                <w:rFonts w:hint="eastAsia" w:ascii="宋体" w:hAnsi="宋体"/>
                <w:bCs/>
              </w:rPr>
              <w:t>可投入（闲置）施工机械设备表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94" w:type="dxa"/>
            <w:noWrap w:val="0"/>
            <w:vAlign w:val="center"/>
          </w:tcPr>
          <w:p>
            <w:pPr>
              <w:jc w:val="center"/>
              <w:rPr>
                <w:rFonts w:ascii="宋体" w:hAnsi="宋体"/>
              </w:rPr>
            </w:pPr>
            <w:r>
              <w:rPr>
                <w:rFonts w:hint="eastAsia" w:ascii="宋体" w:hAnsi="宋体"/>
              </w:rPr>
              <w:t>序号</w:t>
            </w:r>
          </w:p>
        </w:tc>
        <w:tc>
          <w:tcPr>
            <w:tcW w:w="2557" w:type="dxa"/>
            <w:gridSpan w:val="2"/>
            <w:noWrap w:val="0"/>
            <w:vAlign w:val="center"/>
          </w:tcPr>
          <w:p>
            <w:pPr>
              <w:jc w:val="center"/>
              <w:rPr>
                <w:rFonts w:ascii="宋体" w:hAnsi="宋体"/>
              </w:rPr>
            </w:pPr>
            <w:r>
              <w:rPr>
                <w:rFonts w:hint="eastAsia" w:ascii="宋体" w:hAnsi="宋体"/>
              </w:rPr>
              <w:t>机械或设备名称</w:t>
            </w:r>
          </w:p>
        </w:tc>
        <w:tc>
          <w:tcPr>
            <w:tcW w:w="772" w:type="dxa"/>
            <w:noWrap w:val="0"/>
            <w:vAlign w:val="center"/>
          </w:tcPr>
          <w:p>
            <w:pPr>
              <w:jc w:val="center"/>
              <w:rPr>
                <w:rFonts w:ascii="宋体" w:hAnsi="宋体"/>
              </w:rPr>
            </w:pPr>
            <w:r>
              <w:rPr>
                <w:rFonts w:hint="eastAsia" w:ascii="宋体" w:hAnsi="宋体"/>
              </w:rPr>
              <w:t>型号规格</w:t>
            </w:r>
          </w:p>
        </w:tc>
        <w:tc>
          <w:tcPr>
            <w:tcW w:w="923" w:type="dxa"/>
            <w:noWrap w:val="0"/>
            <w:vAlign w:val="center"/>
          </w:tcPr>
          <w:p>
            <w:pPr>
              <w:jc w:val="center"/>
              <w:rPr>
                <w:rFonts w:ascii="宋体" w:hAnsi="宋体"/>
              </w:rPr>
            </w:pPr>
            <w:r>
              <w:rPr>
                <w:rFonts w:hint="eastAsia" w:ascii="宋体" w:hAnsi="宋体"/>
              </w:rPr>
              <w:t>数量</w:t>
            </w:r>
          </w:p>
        </w:tc>
        <w:tc>
          <w:tcPr>
            <w:tcW w:w="772" w:type="dxa"/>
            <w:noWrap w:val="0"/>
            <w:vAlign w:val="center"/>
          </w:tcPr>
          <w:p>
            <w:pPr>
              <w:jc w:val="center"/>
              <w:rPr>
                <w:rFonts w:ascii="宋体" w:hAnsi="宋体"/>
              </w:rPr>
            </w:pPr>
            <w:r>
              <w:rPr>
                <w:rFonts w:hint="eastAsia" w:ascii="宋体" w:hAnsi="宋体"/>
              </w:rPr>
              <w:t>国别产地</w:t>
            </w:r>
          </w:p>
        </w:tc>
        <w:tc>
          <w:tcPr>
            <w:tcW w:w="877" w:type="dxa"/>
            <w:noWrap w:val="0"/>
            <w:vAlign w:val="center"/>
          </w:tcPr>
          <w:p>
            <w:pPr>
              <w:jc w:val="center"/>
              <w:rPr>
                <w:rFonts w:ascii="宋体" w:hAnsi="宋体"/>
              </w:rPr>
            </w:pPr>
            <w:r>
              <w:rPr>
                <w:rFonts w:hint="eastAsia" w:ascii="宋体" w:hAnsi="宋体"/>
              </w:rPr>
              <w:t>出厂日期</w:t>
            </w:r>
          </w:p>
        </w:tc>
        <w:tc>
          <w:tcPr>
            <w:tcW w:w="991" w:type="dxa"/>
            <w:noWrap w:val="0"/>
            <w:vAlign w:val="center"/>
          </w:tcPr>
          <w:p>
            <w:pPr>
              <w:jc w:val="center"/>
              <w:rPr>
                <w:rFonts w:ascii="宋体" w:hAnsi="宋体"/>
              </w:rPr>
            </w:pPr>
            <w:r>
              <w:rPr>
                <w:rFonts w:hint="eastAsia" w:ascii="宋体" w:hAnsi="宋体"/>
              </w:rPr>
              <w:t>额定功率</w:t>
            </w:r>
            <w:r>
              <w:rPr>
                <w:rFonts w:ascii="宋体" w:hAnsi="宋体"/>
              </w:rPr>
              <w:t>kw</w:t>
            </w:r>
          </w:p>
        </w:tc>
        <w:tc>
          <w:tcPr>
            <w:tcW w:w="877" w:type="dxa"/>
            <w:noWrap w:val="0"/>
            <w:vAlign w:val="center"/>
          </w:tcPr>
          <w:p>
            <w:pPr>
              <w:jc w:val="center"/>
              <w:rPr>
                <w:rFonts w:ascii="宋体" w:hAnsi="宋体"/>
              </w:rPr>
            </w:pPr>
            <w:r>
              <w:rPr>
                <w:rFonts w:hint="eastAsia" w:ascii="宋体" w:hAnsi="宋体"/>
              </w:rPr>
              <w:t>生产能力</w:t>
            </w:r>
          </w:p>
        </w:tc>
        <w:tc>
          <w:tcPr>
            <w:tcW w:w="799" w:type="dxa"/>
            <w:noWrap w:val="0"/>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4" w:type="dxa"/>
            <w:noWrap w:val="0"/>
            <w:vAlign w:val="top"/>
          </w:tcPr>
          <w:p>
            <w:pPr>
              <w:rPr>
                <w:rFonts w:ascii="宋体" w:hAnsi="宋体"/>
                <w:bCs/>
                <w:sz w:val="28"/>
              </w:rPr>
            </w:pPr>
          </w:p>
        </w:tc>
        <w:tc>
          <w:tcPr>
            <w:tcW w:w="2557" w:type="dxa"/>
            <w:gridSpan w:val="2"/>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923" w:type="dxa"/>
            <w:noWrap w:val="0"/>
            <w:vAlign w:val="top"/>
          </w:tcPr>
          <w:p>
            <w:pPr>
              <w:rPr>
                <w:rFonts w:ascii="宋体" w:hAnsi="宋体"/>
                <w:bCs/>
                <w:sz w:val="28"/>
              </w:rPr>
            </w:pPr>
          </w:p>
        </w:tc>
        <w:tc>
          <w:tcPr>
            <w:tcW w:w="772"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991" w:type="dxa"/>
            <w:noWrap w:val="0"/>
            <w:vAlign w:val="top"/>
          </w:tcPr>
          <w:p>
            <w:pPr>
              <w:rPr>
                <w:rFonts w:ascii="宋体" w:hAnsi="宋体"/>
                <w:bCs/>
                <w:sz w:val="28"/>
              </w:rPr>
            </w:pPr>
          </w:p>
        </w:tc>
        <w:tc>
          <w:tcPr>
            <w:tcW w:w="877" w:type="dxa"/>
            <w:noWrap w:val="0"/>
            <w:vAlign w:val="top"/>
          </w:tcPr>
          <w:p>
            <w:pPr>
              <w:rPr>
                <w:rFonts w:ascii="宋体" w:hAnsi="宋体"/>
                <w:bCs/>
                <w:sz w:val="28"/>
              </w:rPr>
            </w:pPr>
          </w:p>
        </w:tc>
        <w:tc>
          <w:tcPr>
            <w:tcW w:w="799"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94" w:type="dxa"/>
            <w:noWrap w:val="0"/>
            <w:vAlign w:val="top"/>
          </w:tcPr>
          <w:p>
            <w:pPr>
              <w:spacing w:line="480" w:lineRule="auto"/>
              <w:rPr>
                <w:rFonts w:hint="eastAsia" w:ascii="宋体" w:hAnsi="宋体"/>
              </w:rPr>
            </w:pPr>
          </w:p>
        </w:tc>
        <w:tc>
          <w:tcPr>
            <w:tcW w:w="2557" w:type="dxa"/>
            <w:gridSpan w:val="2"/>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923" w:type="dxa"/>
            <w:noWrap w:val="0"/>
            <w:vAlign w:val="top"/>
          </w:tcPr>
          <w:p>
            <w:pPr>
              <w:spacing w:line="480" w:lineRule="auto"/>
              <w:rPr>
                <w:rFonts w:hint="eastAsia" w:ascii="宋体" w:hAnsi="宋体"/>
              </w:rPr>
            </w:pPr>
          </w:p>
        </w:tc>
        <w:tc>
          <w:tcPr>
            <w:tcW w:w="772"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991" w:type="dxa"/>
            <w:noWrap w:val="0"/>
            <w:vAlign w:val="top"/>
          </w:tcPr>
          <w:p>
            <w:pPr>
              <w:spacing w:line="480" w:lineRule="auto"/>
              <w:rPr>
                <w:rFonts w:hint="eastAsia" w:ascii="宋体" w:hAnsi="宋体"/>
              </w:rPr>
            </w:pPr>
          </w:p>
        </w:tc>
        <w:tc>
          <w:tcPr>
            <w:tcW w:w="877" w:type="dxa"/>
            <w:noWrap w:val="0"/>
            <w:vAlign w:val="top"/>
          </w:tcPr>
          <w:p>
            <w:pPr>
              <w:spacing w:line="480" w:lineRule="auto"/>
              <w:rPr>
                <w:rFonts w:hint="eastAsia" w:ascii="宋体" w:hAnsi="宋体"/>
              </w:rPr>
            </w:pPr>
          </w:p>
        </w:tc>
        <w:tc>
          <w:tcPr>
            <w:tcW w:w="799" w:type="dxa"/>
            <w:noWrap w:val="0"/>
            <w:vAlign w:val="top"/>
          </w:tcPr>
          <w:p>
            <w:pPr>
              <w:spacing w:line="480" w:lineRule="auto"/>
              <w:rPr>
                <w:rFonts w:hint="eastAsia" w:ascii="宋体" w:hAnsi="宋体"/>
              </w:rPr>
            </w:pPr>
          </w:p>
        </w:tc>
      </w:tr>
    </w:tbl>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widowControl/>
        <w:jc w:val="left"/>
        <w:rPr>
          <w:rFonts w:ascii="宋体" w:hAnsi="宋体"/>
          <w:sz w:val="24"/>
          <w:szCs w:val="20"/>
        </w:rPr>
      </w:pPr>
      <w:r>
        <w:rPr>
          <w:rFonts w:ascii="宋体" w:hAnsi="宋体"/>
          <w:sz w:val="24"/>
          <w:szCs w:val="20"/>
        </w:rPr>
        <w:t>日期：____年____月____日</w:t>
      </w:r>
    </w:p>
    <w:p>
      <w:pPr>
        <w:widowControl/>
        <w:jc w:val="left"/>
        <w:rPr>
          <w:rFonts w:ascii="宋体" w:hAnsi="宋体"/>
          <w:sz w:val="24"/>
          <w:szCs w:val="20"/>
        </w:rPr>
      </w:pPr>
      <w:r>
        <w:rPr>
          <w:rFonts w:ascii="宋体" w:hAnsi="宋体"/>
          <w:sz w:val="24"/>
          <w:szCs w:val="20"/>
        </w:rPr>
        <w:br w:type="page"/>
      </w:r>
    </w:p>
    <w:tbl>
      <w:tblPr>
        <w:tblStyle w:val="61"/>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9"/>
        <w:gridCol w:w="788"/>
        <w:gridCol w:w="768"/>
        <w:gridCol w:w="741"/>
        <w:gridCol w:w="768"/>
        <w:gridCol w:w="872"/>
        <w:gridCol w:w="984"/>
        <w:gridCol w:w="87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13" w:type="dxa"/>
            <w:gridSpan w:val="2"/>
            <w:noWrap w:val="0"/>
            <w:vAlign w:val="center"/>
          </w:tcPr>
          <w:p>
            <w:pPr>
              <w:rPr>
                <w:rFonts w:ascii="宋体" w:hAnsi="宋体"/>
              </w:rPr>
            </w:pPr>
            <w:r>
              <w:rPr>
                <w:rFonts w:hint="eastAsia" w:ascii="宋体" w:hAnsi="宋体"/>
              </w:rPr>
              <w:t>工程名称</w:t>
            </w:r>
          </w:p>
        </w:tc>
        <w:tc>
          <w:tcPr>
            <w:tcW w:w="7049" w:type="dxa"/>
            <w:gridSpan w:val="8"/>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13" w:type="dxa"/>
            <w:gridSpan w:val="2"/>
            <w:noWrap w:val="0"/>
            <w:vAlign w:val="top"/>
          </w:tcPr>
          <w:p>
            <w:pPr>
              <w:rPr>
                <w:rFonts w:ascii="宋体" w:hAnsi="宋体"/>
              </w:rPr>
            </w:pPr>
            <w:r>
              <w:rPr>
                <w:rFonts w:hint="eastAsia" w:ascii="宋体" w:hAnsi="宋体"/>
              </w:rPr>
              <w:t>公司名称</w:t>
            </w:r>
          </w:p>
        </w:tc>
        <w:tc>
          <w:tcPr>
            <w:tcW w:w="7049" w:type="dxa"/>
            <w:gridSpan w:val="8"/>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62" w:type="dxa"/>
            <w:gridSpan w:val="10"/>
            <w:noWrap w:val="0"/>
            <w:vAlign w:val="center"/>
          </w:tcPr>
          <w:p>
            <w:pPr>
              <w:jc w:val="center"/>
              <w:rPr>
                <w:rFonts w:ascii="宋体" w:hAnsi="宋体"/>
                <w:bCs/>
              </w:rPr>
            </w:pPr>
            <w:r>
              <w:rPr>
                <w:rFonts w:hint="eastAsia" w:ascii="宋体" w:hAnsi="宋体"/>
                <w:bCs/>
              </w:rPr>
              <w:t>拟投入施工机械设备表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center"/>
          </w:tcPr>
          <w:p>
            <w:pPr>
              <w:jc w:val="center"/>
              <w:rPr>
                <w:rFonts w:ascii="宋体" w:hAnsi="宋体"/>
              </w:rPr>
            </w:pPr>
            <w:r>
              <w:rPr>
                <w:rFonts w:hint="eastAsia" w:ascii="宋体" w:hAnsi="宋体"/>
              </w:rPr>
              <w:t>序号</w:t>
            </w:r>
          </w:p>
        </w:tc>
        <w:tc>
          <w:tcPr>
            <w:tcW w:w="2077" w:type="dxa"/>
            <w:gridSpan w:val="2"/>
            <w:noWrap w:val="0"/>
            <w:vAlign w:val="center"/>
          </w:tcPr>
          <w:p>
            <w:pPr>
              <w:jc w:val="center"/>
              <w:rPr>
                <w:rFonts w:ascii="宋体" w:hAnsi="宋体"/>
              </w:rPr>
            </w:pPr>
            <w:r>
              <w:rPr>
                <w:rFonts w:hint="eastAsia" w:ascii="宋体" w:hAnsi="宋体"/>
              </w:rPr>
              <w:t>机械或设备名称</w:t>
            </w:r>
          </w:p>
        </w:tc>
        <w:tc>
          <w:tcPr>
            <w:tcW w:w="768" w:type="dxa"/>
            <w:noWrap w:val="0"/>
            <w:vAlign w:val="center"/>
          </w:tcPr>
          <w:p>
            <w:pPr>
              <w:jc w:val="center"/>
              <w:rPr>
                <w:rFonts w:ascii="宋体" w:hAnsi="宋体"/>
              </w:rPr>
            </w:pPr>
            <w:r>
              <w:rPr>
                <w:rFonts w:hint="eastAsia" w:ascii="宋体" w:hAnsi="宋体"/>
              </w:rPr>
              <w:t>型号规格</w:t>
            </w:r>
          </w:p>
        </w:tc>
        <w:tc>
          <w:tcPr>
            <w:tcW w:w="741" w:type="dxa"/>
            <w:noWrap w:val="0"/>
            <w:vAlign w:val="center"/>
          </w:tcPr>
          <w:p>
            <w:pPr>
              <w:jc w:val="center"/>
              <w:rPr>
                <w:rFonts w:ascii="宋体" w:hAnsi="宋体"/>
              </w:rPr>
            </w:pPr>
            <w:r>
              <w:rPr>
                <w:rFonts w:hint="eastAsia" w:ascii="宋体" w:hAnsi="宋体"/>
              </w:rPr>
              <w:t>数量</w:t>
            </w:r>
          </w:p>
        </w:tc>
        <w:tc>
          <w:tcPr>
            <w:tcW w:w="768" w:type="dxa"/>
            <w:noWrap w:val="0"/>
            <w:vAlign w:val="center"/>
          </w:tcPr>
          <w:p>
            <w:pPr>
              <w:jc w:val="center"/>
              <w:rPr>
                <w:rFonts w:ascii="宋体" w:hAnsi="宋体"/>
              </w:rPr>
            </w:pPr>
            <w:r>
              <w:rPr>
                <w:rFonts w:hint="eastAsia" w:ascii="宋体" w:hAnsi="宋体"/>
              </w:rPr>
              <w:t>国别产地</w:t>
            </w:r>
          </w:p>
        </w:tc>
        <w:tc>
          <w:tcPr>
            <w:tcW w:w="872" w:type="dxa"/>
            <w:noWrap w:val="0"/>
            <w:vAlign w:val="center"/>
          </w:tcPr>
          <w:p>
            <w:pPr>
              <w:jc w:val="center"/>
              <w:rPr>
                <w:rFonts w:ascii="宋体" w:hAnsi="宋体"/>
              </w:rPr>
            </w:pPr>
            <w:r>
              <w:rPr>
                <w:rFonts w:hint="eastAsia" w:ascii="宋体" w:hAnsi="宋体"/>
              </w:rPr>
              <w:t>出厂日期</w:t>
            </w:r>
          </w:p>
        </w:tc>
        <w:tc>
          <w:tcPr>
            <w:tcW w:w="984" w:type="dxa"/>
            <w:noWrap w:val="0"/>
            <w:vAlign w:val="center"/>
          </w:tcPr>
          <w:p>
            <w:pPr>
              <w:jc w:val="center"/>
              <w:rPr>
                <w:rFonts w:ascii="宋体" w:hAnsi="宋体"/>
              </w:rPr>
            </w:pPr>
            <w:r>
              <w:rPr>
                <w:rFonts w:hint="eastAsia" w:ascii="宋体" w:hAnsi="宋体"/>
              </w:rPr>
              <w:t>额定功率</w:t>
            </w:r>
            <w:r>
              <w:rPr>
                <w:rFonts w:ascii="宋体" w:hAnsi="宋体"/>
              </w:rPr>
              <w:t>kw</w:t>
            </w:r>
          </w:p>
        </w:tc>
        <w:tc>
          <w:tcPr>
            <w:tcW w:w="872" w:type="dxa"/>
            <w:noWrap w:val="0"/>
            <w:vAlign w:val="center"/>
          </w:tcPr>
          <w:p>
            <w:pPr>
              <w:jc w:val="center"/>
              <w:rPr>
                <w:rFonts w:ascii="宋体" w:hAnsi="宋体"/>
              </w:rPr>
            </w:pPr>
            <w:r>
              <w:rPr>
                <w:rFonts w:hint="eastAsia" w:ascii="宋体" w:hAnsi="宋体"/>
              </w:rPr>
              <w:t>生产能力</w:t>
            </w:r>
          </w:p>
        </w:tc>
        <w:tc>
          <w:tcPr>
            <w:tcW w:w="1256" w:type="dxa"/>
            <w:noWrap w:val="0"/>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4" w:type="dxa"/>
            <w:noWrap w:val="0"/>
            <w:vAlign w:val="top"/>
          </w:tcPr>
          <w:p>
            <w:pPr>
              <w:rPr>
                <w:rFonts w:ascii="宋体" w:hAnsi="宋体"/>
                <w:bCs/>
                <w:sz w:val="28"/>
              </w:rPr>
            </w:pPr>
          </w:p>
        </w:tc>
        <w:tc>
          <w:tcPr>
            <w:tcW w:w="2077" w:type="dxa"/>
            <w:gridSpan w:val="2"/>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741" w:type="dxa"/>
            <w:noWrap w:val="0"/>
            <w:vAlign w:val="top"/>
          </w:tcPr>
          <w:p>
            <w:pPr>
              <w:rPr>
                <w:rFonts w:ascii="宋体" w:hAnsi="宋体"/>
                <w:bCs/>
                <w:sz w:val="28"/>
              </w:rPr>
            </w:pPr>
          </w:p>
        </w:tc>
        <w:tc>
          <w:tcPr>
            <w:tcW w:w="768"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984" w:type="dxa"/>
            <w:noWrap w:val="0"/>
            <w:vAlign w:val="top"/>
          </w:tcPr>
          <w:p>
            <w:pPr>
              <w:rPr>
                <w:rFonts w:ascii="宋体" w:hAnsi="宋体"/>
                <w:bCs/>
                <w:sz w:val="28"/>
              </w:rPr>
            </w:pPr>
          </w:p>
        </w:tc>
        <w:tc>
          <w:tcPr>
            <w:tcW w:w="872" w:type="dxa"/>
            <w:noWrap w:val="0"/>
            <w:vAlign w:val="top"/>
          </w:tcPr>
          <w:p>
            <w:pPr>
              <w:rPr>
                <w:rFonts w:ascii="宋体" w:hAnsi="宋体"/>
                <w:bCs/>
                <w:sz w:val="28"/>
              </w:rPr>
            </w:pPr>
          </w:p>
        </w:tc>
        <w:tc>
          <w:tcPr>
            <w:tcW w:w="1256" w:type="dxa"/>
            <w:noWrap w:val="0"/>
            <w:vAlign w:val="top"/>
          </w:tcPr>
          <w:p>
            <w:pPr>
              <w:rPr>
                <w:rFonts w:ascii="宋体" w:hAnsi="宋体"/>
                <w:bCs/>
                <w:sz w:val="28"/>
              </w:rPr>
            </w:pPr>
          </w:p>
        </w:tc>
      </w:tr>
    </w:tbl>
    <w:p>
      <w:pPr>
        <w:widowControl/>
        <w:jc w:val="left"/>
        <w:rPr>
          <w:rFonts w:ascii="宋体" w:hAnsi="宋体"/>
          <w:sz w:val="24"/>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pPr>
        <w:widowControl/>
        <w:jc w:val="left"/>
        <w:rPr>
          <w:rFonts w:ascii="宋体" w:hAnsi="宋体"/>
          <w:sz w:val="24"/>
        </w:rPr>
      </w:pPr>
      <w:r>
        <w:rPr>
          <w:rFonts w:ascii="宋体" w:hAnsi="宋体"/>
          <w:sz w:val="24"/>
        </w:rPr>
        <w:br w:type="page"/>
      </w:r>
    </w:p>
    <w:p>
      <w:pPr>
        <w:tabs>
          <w:tab w:val="left" w:pos="360"/>
        </w:tabs>
        <w:snapToGrid w:val="0"/>
        <w:spacing w:line="360" w:lineRule="auto"/>
        <w:outlineLvl w:val="1"/>
        <w:rPr>
          <w:rFonts w:hint="eastAsia" w:ascii="宋体" w:hAnsi="宋体"/>
          <w:sz w:val="24"/>
        </w:rPr>
      </w:pPr>
      <w:r>
        <w:rPr>
          <w:rFonts w:hint="eastAsia" w:ascii="宋体" w:hAnsi="宋体"/>
          <w:sz w:val="24"/>
        </w:rPr>
        <w:t>12 节能环保产品</w:t>
      </w:r>
    </w:p>
    <w:p>
      <w:pPr>
        <w:pStyle w:val="48"/>
        <w:ind w:left="3360"/>
        <w:rPr>
          <w:rFonts w:ascii="宋体" w:hAnsi="宋体"/>
        </w:rPr>
      </w:pPr>
    </w:p>
    <w:p>
      <w:pPr>
        <w:spacing w:line="360" w:lineRule="exact"/>
        <w:jc w:val="center"/>
        <w:rPr>
          <w:rFonts w:hint="eastAsia" w:ascii="宋体" w:hAnsi="宋体"/>
          <w:b/>
          <w:sz w:val="36"/>
          <w:szCs w:val="36"/>
        </w:rPr>
      </w:pPr>
      <w:r>
        <w:rPr>
          <w:rFonts w:hint="eastAsia" w:ascii="宋体" w:hAnsi="宋体"/>
          <w:b/>
          <w:sz w:val="36"/>
          <w:szCs w:val="36"/>
        </w:rPr>
        <w:t>节能环保产品对照表</w:t>
      </w:r>
    </w:p>
    <w:p>
      <w:pPr>
        <w:tabs>
          <w:tab w:val="left" w:pos="1800"/>
          <w:tab w:val="left" w:pos="5580"/>
        </w:tabs>
        <w:spacing w:line="360" w:lineRule="auto"/>
        <w:ind w:firstLine="240" w:firstLineChars="100"/>
        <w:jc w:val="left"/>
        <w:rPr>
          <w:rFonts w:hint="eastAsia" w:ascii="宋体" w:hAnsi="宋体"/>
          <w:sz w:val="24"/>
        </w:rPr>
      </w:pPr>
    </w:p>
    <w:p>
      <w:pPr>
        <w:tabs>
          <w:tab w:val="left" w:pos="1800"/>
          <w:tab w:val="left" w:pos="5580"/>
        </w:tabs>
        <w:spacing w:line="360" w:lineRule="auto"/>
        <w:ind w:firstLine="240" w:firstLineChars="100"/>
        <w:jc w:val="left"/>
        <w:rPr>
          <w:rFonts w:hint="eastAsia" w:ascii="宋体" w:hAnsi="宋体"/>
          <w:sz w:val="24"/>
          <w:u w:val="single"/>
        </w:rPr>
      </w:pPr>
      <w:r>
        <w:rPr>
          <w:rFonts w:ascii="宋体" w:hAnsi="宋体"/>
          <w:sz w:val="24"/>
        </w:rPr>
        <w:t>项目编号/包号：___________     项目名称：___________</w:t>
      </w:r>
    </w:p>
    <w:tbl>
      <w:tblPr>
        <w:tblStyle w:val="61"/>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140"/>
        <w:gridCol w:w="1149"/>
        <w:gridCol w:w="1051"/>
        <w:gridCol w:w="1051"/>
        <w:gridCol w:w="1022"/>
        <w:gridCol w:w="868"/>
        <w:gridCol w:w="107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28" w:type="dxa"/>
            <w:noWrap w:val="0"/>
            <w:vAlign w:val="center"/>
          </w:tcPr>
          <w:p>
            <w:pPr>
              <w:jc w:val="center"/>
              <w:rPr>
                <w:rFonts w:ascii="宋体" w:hAnsi="宋体"/>
                <w:b/>
                <w:sz w:val="24"/>
              </w:rPr>
            </w:pPr>
            <w:r>
              <w:rPr>
                <w:rFonts w:ascii="宋体" w:hAnsi="宋体"/>
                <w:b/>
                <w:sz w:val="24"/>
              </w:rPr>
              <w:t>序号</w:t>
            </w:r>
          </w:p>
        </w:tc>
        <w:tc>
          <w:tcPr>
            <w:tcW w:w="1140" w:type="dxa"/>
            <w:noWrap w:val="0"/>
            <w:vAlign w:val="center"/>
          </w:tcPr>
          <w:p>
            <w:pPr>
              <w:jc w:val="center"/>
              <w:rPr>
                <w:rFonts w:ascii="宋体" w:hAnsi="宋体"/>
                <w:b/>
                <w:sz w:val="24"/>
              </w:rPr>
            </w:pPr>
            <w:r>
              <w:rPr>
                <w:rFonts w:ascii="宋体" w:hAnsi="宋体"/>
                <w:b/>
                <w:sz w:val="24"/>
              </w:rPr>
              <w:t>名称</w:t>
            </w:r>
          </w:p>
        </w:tc>
        <w:tc>
          <w:tcPr>
            <w:tcW w:w="1149" w:type="dxa"/>
            <w:noWrap w:val="0"/>
            <w:vAlign w:val="center"/>
          </w:tcPr>
          <w:p>
            <w:pPr>
              <w:jc w:val="center"/>
              <w:rPr>
                <w:rFonts w:ascii="宋体" w:hAnsi="宋体"/>
                <w:b/>
                <w:sz w:val="24"/>
              </w:rPr>
            </w:pPr>
            <w:r>
              <w:rPr>
                <w:rFonts w:ascii="宋体" w:hAnsi="宋体"/>
                <w:b/>
                <w:sz w:val="24"/>
              </w:rPr>
              <w:t>制造商/生产厂家</w:t>
            </w:r>
          </w:p>
        </w:tc>
        <w:tc>
          <w:tcPr>
            <w:tcW w:w="1051" w:type="dxa"/>
            <w:noWrap w:val="0"/>
            <w:vAlign w:val="center"/>
          </w:tcPr>
          <w:p>
            <w:pPr>
              <w:jc w:val="center"/>
              <w:rPr>
                <w:rFonts w:ascii="宋体" w:hAnsi="宋体"/>
                <w:b/>
                <w:sz w:val="24"/>
              </w:rPr>
            </w:pPr>
            <w:r>
              <w:rPr>
                <w:rFonts w:ascii="宋体" w:hAnsi="宋体"/>
                <w:b/>
                <w:sz w:val="24"/>
              </w:rPr>
              <w:t>产地</w:t>
            </w:r>
          </w:p>
        </w:tc>
        <w:tc>
          <w:tcPr>
            <w:tcW w:w="1051" w:type="dxa"/>
            <w:noWrap w:val="0"/>
            <w:vAlign w:val="center"/>
          </w:tcPr>
          <w:p>
            <w:pPr>
              <w:jc w:val="center"/>
              <w:rPr>
                <w:rFonts w:ascii="宋体" w:hAnsi="宋体"/>
                <w:b/>
                <w:sz w:val="24"/>
              </w:rPr>
            </w:pPr>
            <w:r>
              <w:rPr>
                <w:rFonts w:ascii="宋体" w:hAnsi="宋体"/>
                <w:b/>
                <w:sz w:val="24"/>
              </w:rPr>
              <w:t>规格、型号</w:t>
            </w:r>
          </w:p>
        </w:tc>
        <w:tc>
          <w:tcPr>
            <w:tcW w:w="1022" w:type="dxa"/>
            <w:noWrap w:val="0"/>
            <w:vAlign w:val="center"/>
          </w:tcPr>
          <w:p>
            <w:pPr>
              <w:jc w:val="center"/>
              <w:rPr>
                <w:rFonts w:ascii="宋体" w:hAnsi="宋体"/>
                <w:b/>
                <w:sz w:val="24"/>
              </w:rPr>
            </w:pPr>
            <w:r>
              <w:rPr>
                <w:rFonts w:ascii="宋体" w:hAnsi="宋体"/>
                <w:b/>
                <w:sz w:val="24"/>
              </w:rPr>
              <w:t>单价（元）</w:t>
            </w:r>
          </w:p>
        </w:tc>
        <w:tc>
          <w:tcPr>
            <w:tcW w:w="868" w:type="dxa"/>
            <w:noWrap w:val="0"/>
            <w:vAlign w:val="center"/>
          </w:tcPr>
          <w:p>
            <w:pPr>
              <w:jc w:val="center"/>
              <w:rPr>
                <w:rFonts w:ascii="宋体" w:hAnsi="宋体"/>
                <w:b/>
                <w:sz w:val="24"/>
              </w:rPr>
            </w:pPr>
            <w:r>
              <w:rPr>
                <w:rFonts w:ascii="宋体" w:hAnsi="宋体"/>
                <w:b/>
                <w:sz w:val="24"/>
              </w:rPr>
              <w:t>数量</w:t>
            </w:r>
          </w:p>
        </w:tc>
        <w:tc>
          <w:tcPr>
            <w:tcW w:w="1078" w:type="dxa"/>
            <w:noWrap w:val="0"/>
            <w:vAlign w:val="center"/>
          </w:tcPr>
          <w:p>
            <w:pPr>
              <w:jc w:val="center"/>
              <w:rPr>
                <w:rFonts w:ascii="宋体" w:hAnsi="宋体"/>
                <w:b/>
                <w:sz w:val="24"/>
              </w:rPr>
            </w:pPr>
            <w:r>
              <w:rPr>
                <w:rFonts w:ascii="宋体" w:hAnsi="宋体"/>
                <w:b/>
                <w:sz w:val="24"/>
              </w:rPr>
              <w:t>合价（元）</w:t>
            </w:r>
          </w:p>
        </w:tc>
        <w:tc>
          <w:tcPr>
            <w:tcW w:w="1075" w:type="dxa"/>
            <w:noWrap w:val="0"/>
            <w:vAlign w:val="center"/>
          </w:tcPr>
          <w:p>
            <w:pPr>
              <w:jc w:val="center"/>
              <w:rPr>
                <w:rFonts w:ascii="宋体" w:hAnsi="宋体"/>
                <w:b/>
                <w:sz w:val="24"/>
              </w:rPr>
            </w:pPr>
            <w:r>
              <w:rPr>
                <w:rFonts w:hint="eastAsia" w:ascii="宋体" w:hAnsi="宋体"/>
                <w:b/>
                <w:sz w:val="24"/>
              </w:rPr>
              <w:t>是否为强制节能产品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noWrap w:val="0"/>
            <w:vAlign w:val="center"/>
          </w:tcPr>
          <w:p>
            <w:pPr>
              <w:jc w:val="center"/>
              <w:rPr>
                <w:rFonts w:ascii="宋体" w:hAnsi="宋体"/>
                <w:sz w:val="24"/>
              </w:rPr>
            </w:pPr>
          </w:p>
        </w:tc>
        <w:tc>
          <w:tcPr>
            <w:tcW w:w="1140" w:type="dxa"/>
            <w:noWrap w:val="0"/>
            <w:vAlign w:val="center"/>
          </w:tcPr>
          <w:p>
            <w:pPr>
              <w:jc w:val="center"/>
              <w:rPr>
                <w:rFonts w:ascii="宋体" w:hAnsi="宋体"/>
                <w:sz w:val="24"/>
              </w:rPr>
            </w:pPr>
          </w:p>
        </w:tc>
        <w:tc>
          <w:tcPr>
            <w:tcW w:w="1149"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51" w:type="dxa"/>
            <w:noWrap w:val="0"/>
            <w:vAlign w:val="center"/>
          </w:tcPr>
          <w:p>
            <w:pPr>
              <w:jc w:val="center"/>
              <w:rPr>
                <w:rFonts w:ascii="宋体" w:hAnsi="宋体"/>
                <w:sz w:val="24"/>
              </w:rPr>
            </w:pPr>
          </w:p>
        </w:tc>
        <w:tc>
          <w:tcPr>
            <w:tcW w:w="1022" w:type="dxa"/>
            <w:noWrap w:val="0"/>
            <w:vAlign w:val="center"/>
          </w:tcPr>
          <w:p>
            <w:pPr>
              <w:jc w:val="center"/>
              <w:rPr>
                <w:rFonts w:ascii="宋体" w:hAnsi="宋体"/>
                <w:sz w:val="24"/>
              </w:rPr>
            </w:pPr>
          </w:p>
        </w:tc>
        <w:tc>
          <w:tcPr>
            <w:tcW w:w="868" w:type="dxa"/>
            <w:noWrap w:val="0"/>
            <w:vAlign w:val="center"/>
          </w:tcPr>
          <w:p>
            <w:pPr>
              <w:jc w:val="center"/>
              <w:rPr>
                <w:rFonts w:ascii="宋体" w:hAnsi="宋体"/>
                <w:sz w:val="24"/>
              </w:rPr>
            </w:pPr>
          </w:p>
        </w:tc>
        <w:tc>
          <w:tcPr>
            <w:tcW w:w="1078" w:type="dxa"/>
            <w:noWrap w:val="0"/>
            <w:vAlign w:val="center"/>
          </w:tcPr>
          <w:p>
            <w:pPr>
              <w:jc w:val="center"/>
              <w:rPr>
                <w:rFonts w:ascii="宋体" w:hAnsi="宋体"/>
                <w:sz w:val="24"/>
              </w:rPr>
            </w:pPr>
          </w:p>
        </w:tc>
        <w:tc>
          <w:tcPr>
            <w:tcW w:w="1075" w:type="dxa"/>
            <w:noWrap w:val="0"/>
            <w:vAlign w:val="top"/>
          </w:tcPr>
          <w:p>
            <w:pPr>
              <w:jc w:val="center"/>
              <w:rPr>
                <w:rFonts w:ascii="宋体" w:hAnsi="宋体"/>
                <w:sz w:val="24"/>
              </w:rPr>
            </w:pPr>
          </w:p>
        </w:tc>
      </w:tr>
    </w:tbl>
    <w:p>
      <w:pPr>
        <w:pStyle w:val="48"/>
        <w:ind w:left="3360"/>
        <w:rPr>
          <w:rFonts w:ascii="宋体" w:hAnsi="宋体"/>
        </w:rPr>
      </w:pPr>
    </w:p>
    <w:p>
      <w:pPr>
        <w:tabs>
          <w:tab w:val="left" w:pos="1800"/>
          <w:tab w:val="left" w:pos="5580"/>
        </w:tabs>
        <w:jc w:val="left"/>
        <w:rPr>
          <w:rFonts w:ascii="宋体" w:hAnsi="宋体"/>
          <w:sz w:val="24"/>
        </w:rPr>
      </w:pPr>
      <w:r>
        <w:rPr>
          <w:rFonts w:ascii="宋体" w:hAnsi="宋体"/>
          <w:sz w:val="24"/>
          <w:szCs w:val="20"/>
        </w:rPr>
        <w:t xml:space="preserve">  </w:t>
      </w:r>
      <w:r>
        <w:rPr>
          <w:rFonts w:ascii="宋体" w:hAnsi="宋体"/>
          <w:sz w:val="24"/>
        </w:rPr>
        <w:t>注：1.本表应按包分别填写。</w:t>
      </w:r>
    </w:p>
    <w:p>
      <w:pPr>
        <w:tabs>
          <w:tab w:val="left" w:pos="1800"/>
          <w:tab w:val="left" w:pos="5580"/>
        </w:tabs>
        <w:ind w:firstLine="720" w:firstLineChars="300"/>
        <w:jc w:val="left"/>
        <w:rPr>
          <w:rFonts w:ascii="宋体" w:hAnsi="宋体"/>
          <w:sz w:val="24"/>
        </w:rPr>
      </w:pPr>
      <w:r>
        <w:rPr>
          <w:rFonts w:ascii="宋体" w:hAnsi="宋体"/>
          <w:sz w:val="24"/>
        </w:rPr>
        <w:t>2.</w:t>
      </w:r>
      <w:r>
        <w:rPr>
          <w:rFonts w:hint="eastAsia" w:ascii="宋体" w:hAnsi="宋体"/>
          <w:sz w:val="24"/>
        </w:rPr>
        <w:t>供应商应将所投节能产品具体名称及型号填写在此表格</w:t>
      </w:r>
      <w:r>
        <w:rPr>
          <w:rFonts w:ascii="宋体" w:hAnsi="宋体"/>
          <w:sz w:val="24"/>
        </w:rPr>
        <w:t>。</w:t>
      </w:r>
    </w:p>
    <w:p>
      <w:pPr>
        <w:tabs>
          <w:tab w:val="left" w:pos="1800"/>
          <w:tab w:val="left" w:pos="5580"/>
        </w:tabs>
        <w:ind w:firstLine="720" w:firstLineChars="300"/>
        <w:jc w:val="left"/>
        <w:rPr>
          <w:rFonts w:ascii="宋体" w:hAnsi="宋体"/>
          <w:sz w:val="24"/>
        </w:rPr>
      </w:pPr>
      <w:r>
        <w:rPr>
          <w:rFonts w:ascii="宋体" w:hAnsi="宋体"/>
          <w:sz w:val="24"/>
        </w:rPr>
        <w:t>3.</w:t>
      </w:r>
      <w:r>
        <w:rPr>
          <w:rFonts w:hint="eastAsia" w:ascii="宋体" w:hAnsi="宋体"/>
          <w:sz w:val="24"/>
        </w:rPr>
        <w:t>提供上述节能产品的证明文件</w:t>
      </w:r>
      <w:r>
        <w:rPr>
          <w:rFonts w:ascii="宋体" w:hAnsi="宋体"/>
          <w:sz w:val="24"/>
        </w:rPr>
        <w:t>。</w:t>
      </w:r>
    </w:p>
    <w:p>
      <w:pPr>
        <w:autoSpaceDE w:val="0"/>
        <w:autoSpaceDN w:val="0"/>
        <w:adjustRightInd w:val="0"/>
        <w:snapToGrid w:val="0"/>
        <w:spacing w:before="25" w:after="25" w:line="360" w:lineRule="auto"/>
        <w:rPr>
          <w:rFonts w:ascii="宋体" w:hAnsi="宋体"/>
          <w:sz w:val="24"/>
        </w:rPr>
      </w:pPr>
    </w:p>
    <w:p>
      <w:pPr>
        <w:autoSpaceDE w:val="0"/>
        <w:autoSpaceDN w:val="0"/>
        <w:adjustRightInd w:val="0"/>
        <w:snapToGrid w:val="0"/>
        <w:spacing w:before="25" w:after="25" w:line="360" w:lineRule="auto"/>
        <w:rPr>
          <w:rFonts w:ascii="宋体" w:hAnsi="宋体"/>
          <w:sz w:val="24"/>
        </w:rPr>
      </w:pPr>
    </w:p>
    <w:p>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pPr>
        <w:widowControl/>
        <w:jc w:val="left"/>
        <w:rPr>
          <w:rFonts w:ascii="宋体" w:hAnsi="宋体"/>
          <w:sz w:val="24"/>
        </w:rPr>
      </w:pPr>
      <w:r>
        <w:rPr>
          <w:rFonts w:ascii="宋体" w:hAnsi="宋体"/>
          <w:sz w:val="24"/>
          <w:szCs w:val="20"/>
        </w:rPr>
        <w:t xml:space="preserve">日期：____年____月____日  </w:t>
      </w:r>
    </w:p>
    <w:p>
      <w:pPr>
        <w:tabs>
          <w:tab w:val="left" w:pos="360"/>
        </w:tabs>
        <w:snapToGrid w:val="0"/>
        <w:spacing w:line="360" w:lineRule="auto"/>
        <w:outlineLvl w:val="2"/>
        <w:rPr>
          <w:rFonts w:hint="eastAsia" w:ascii="宋体" w:hAnsi="宋体"/>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2"/>
        <w:rPr>
          <w:rFonts w:hint="eastAsia" w:ascii="宋体" w:hAnsi="宋体"/>
          <w:sz w:val="24"/>
        </w:rPr>
      </w:pPr>
      <w:r>
        <w:rPr>
          <w:rFonts w:hint="eastAsia" w:ascii="宋体" w:hAnsi="宋体"/>
          <w:sz w:val="24"/>
        </w:rPr>
        <w:t>13 技术方案</w:t>
      </w:r>
    </w:p>
    <w:p>
      <w:pPr>
        <w:spacing w:line="360" w:lineRule="auto"/>
        <w:ind w:left="420" w:right="-57" w:rightChars="-27"/>
        <w:rPr>
          <w:rFonts w:ascii="宋体" w:hAnsi="宋体"/>
          <w:sz w:val="24"/>
        </w:rPr>
      </w:pPr>
      <w:r>
        <w:rPr>
          <w:rFonts w:ascii="宋体" w:hAnsi="宋体"/>
          <w:sz w:val="24"/>
        </w:rPr>
        <w:t>备注：供应商应根据磋商文件第</w:t>
      </w:r>
      <w:r>
        <w:rPr>
          <w:rFonts w:hint="eastAsia" w:ascii="宋体" w:hAnsi="宋体"/>
          <w:sz w:val="24"/>
        </w:rPr>
        <w:t>三</w:t>
      </w:r>
      <w:r>
        <w:rPr>
          <w:rFonts w:ascii="宋体" w:hAnsi="宋体"/>
          <w:sz w:val="24"/>
        </w:rPr>
        <w:t>章</w:t>
      </w:r>
      <w:r>
        <w:rPr>
          <w:rFonts w:hint="eastAsia" w:ascii="宋体" w:hAnsi="宋体"/>
          <w:sz w:val="24"/>
        </w:rPr>
        <w:t>评审标准中技术部分</w:t>
      </w:r>
      <w:r>
        <w:rPr>
          <w:rFonts w:ascii="宋体" w:hAnsi="宋体"/>
          <w:sz w:val="24"/>
        </w:rPr>
        <w:t>内容自行编制技术方案。</w:t>
      </w:r>
    </w:p>
    <w:p>
      <w:pPr>
        <w:pStyle w:val="30"/>
        <w:spacing w:line="360" w:lineRule="auto"/>
        <w:ind w:firstLine="1125" w:firstLineChars="469"/>
        <w:rPr>
          <w:rFonts w:hAnsi="宋体" w:cs="宋体"/>
          <w:szCs w:val="24"/>
        </w:rPr>
        <w:sectPr>
          <w:headerReference r:id="rId36" w:type="default"/>
          <w:pgSz w:w="11907" w:h="16840"/>
          <w:pgMar w:top="1418" w:right="1134" w:bottom="1418" w:left="1701" w:header="851" w:footer="851" w:gutter="0"/>
          <w:cols w:space="720" w:num="1"/>
          <w:docGrid w:linePitch="462" w:charSpace="0"/>
        </w:sectPr>
      </w:pPr>
      <w:r>
        <w:rPr>
          <w:rFonts w:hAnsi="宋体"/>
          <w:sz w:val="24"/>
        </w:rPr>
        <w:t>格式自拟</w:t>
      </w:r>
    </w:p>
    <w:p>
      <w:pPr>
        <w:spacing w:line="360" w:lineRule="auto"/>
        <w:ind w:left="420" w:right="-57" w:rightChars="-27"/>
        <w:rPr>
          <w:rFonts w:ascii="宋体" w:hAnsi="宋体"/>
          <w:sz w:val="24"/>
        </w:rPr>
      </w:pPr>
    </w:p>
    <w:p>
      <w:pPr>
        <w:widowControl/>
        <w:jc w:val="left"/>
        <w:outlineLvl w:val="1"/>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最后报价一览表（磋商后提交）</w:t>
      </w:r>
    </w:p>
    <w:p>
      <w:pPr>
        <w:widowControl/>
        <w:jc w:val="left"/>
        <w:rPr>
          <w:rFonts w:ascii="宋体" w:hAnsi="宋体"/>
          <w:kern w:val="0"/>
          <w:sz w:val="24"/>
          <w:szCs w:val="20"/>
        </w:rPr>
      </w:pPr>
    </w:p>
    <w:p>
      <w:pPr>
        <w:spacing w:line="360" w:lineRule="exact"/>
        <w:ind w:firstLine="720"/>
        <w:jc w:val="center"/>
        <w:rPr>
          <w:rFonts w:ascii="宋体" w:hAnsi="宋体"/>
          <w:b/>
          <w:sz w:val="36"/>
          <w:szCs w:val="36"/>
        </w:rPr>
      </w:pPr>
    </w:p>
    <w:p>
      <w:pPr>
        <w:spacing w:line="360" w:lineRule="exact"/>
        <w:ind w:firstLine="720"/>
        <w:jc w:val="center"/>
        <w:rPr>
          <w:rFonts w:ascii="宋体" w:hAnsi="宋体"/>
          <w:b/>
          <w:sz w:val="36"/>
          <w:szCs w:val="36"/>
        </w:rPr>
      </w:pPr>
      <w:r>
        <w:rPr>
          <w:rFonts w:hint="eastAsia" w:ascii="宋体" w:hAnsi="宋体"/>
          <w:b/>
          <w:sz w:val="36"/>
          <w:szCs w:val="36"/>
        </w:rPr>
        <w:t>最后报价一览表</w:t>
      </w:r>
    </w:p>
    <w:p>
      <w:pPr>
        <w:tabs>
          <w:tab w:val="left" w:pos="1800"/>
          <w:tab w:val="left" w:pos="5580"/>
        </w:tabs>
        <w:spacing w:line="360" w:lineRule="auto"/>
        <w:jc w:val="left"/>
        <w:rPr>
          <w:rFonts w:ascii="宋体" w:hAnsi="宋体"/>
          <w:sz w:val="24"/>
        </w:rPr>
      </w:pPr>
    </w:p>
    <w:p>
      <w:pPr>
        <w:tabs>
          <w:tab w:val="left" w:pos="1800"/>
          <w:tab w:val="left" w:pos="5580"/>
        </w:tabs>
        <w:spacing w:line="360" w:lineRule="auto"/>
        <w:ind w:firstLine="360" w:firstLineChars="150"/>
        <w:jc w:val="left"/>
        <w:rPr>
          <w:rFonts w:ascii="宋体" w:hAnsi="宋体"/>
          <w:sz w:val="24"/>
        </w:rPr>
      </w:pPr>
      <w:r>
        <w:rPr>
          <w:rFonts w:ascii="宋体" w:hAnsi="宋体"/>
          <w:sz w:val="24"/>
        </w:rPr>
        <w:t xml:space="preserve">项目编号/包号：_______________     </w:t>
      </w:r>
      <w:r>
        <w:rPr>
          <w:rFonts w:hint="eastAsia" w:ascii="宋体" w:hAnsi="宋体"/>
          <w:sz w:val="24"/>
        </w:rPr>
        <w:t xml:space="preserve">    </w:t>
      </w:r>
      <w:r>
        <w:rPr>
          <w:rFonts w:ascii="宋体" w:hAnsi="宋体"/>
          <w:sz w:val="24"/>
        </w:rPr>
        <w:t>项目名称：_______________</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3"/>
        <w:gridCol w:w="2722"/>
        <w:gridCol w:w="2024"/>
        <w:gridCol w:w="180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31" w:hRule="atLeast"/>
          <w:jc w:val="center"/>
        </w:trPr>
        <w:tc>
          <w:tcPr>
            <w:tcW w:w="447" w:type="pct"/>
            <w:vMerge w:val="restart"/>
            <w:noWrap w:val="0"/>
            <w:vAlign w:val="center"/>
          </w:tcPr>
          <w:p>
            <w:pPr>
              <w:tabs>
                <w:tab w:val="left" w:pos="5580"/>
              </w:tabs>
              <w:jc w:val="center"/>
              <w:rPr>
                <w:rFonts w:ascii="宋体" w:hAnsi="宋体"/>
                <w:b/>
                <w:sz w:val="24"/>
              </w:rPr>
            </w:pPr>
            <w:r>
              <w:rPr>
                <w:rFonts w:ascii="宋体" w:hAnsi="宋体"/>
                <w:b/>
                <w:sz w:val="24"/>
              </w:rPr>
              <w:t>序号</w:t>
            </w:r>
          </w:p>
        </w:tc>
        <w:tc>
          <w:tcPr>
            <w:tcW w:w="1498" w:type="pct"/>
            <w:vMerge w:val="restart"/>
            <w:noWrap w:val="0"/>
            <w:vAlign w:val="center"/>
          </w:tcPr>
          <w:p>
            <w:pPr>
              <w:tabs>
                <w:tab w:val="left" w:pos="5580"/>
              </w:tabs>
              <w:jc w:val="center"/>
              <w:rPr>
                <w:rFonts w:ascii="宋体" w:hAnsi="宋体"/>
                <w:b/>
                <w:sz w:val="24"/>
              </w:rPr>
            </w:pPr>
            <w:r>
              <w:rPr>
                <w:rFonts w:ascii="宋体" w:hAnsi="宋体"/>
                <w:b/>
                <w:sz w:val="24"/>
              </w:rPr>
              <w:t>供应商名称</w:t>
            </w:r>
          </w:p>
        </w:tc>
        <w:tc>
          <w:tcPr>
            <w:tcW w:w="2106" w:type="pct"/>
            <w:gridSpan w:val="2"/>
            <w:noWrap w:val="0"/>
            <w:vAlign w:val="center"/>
          </w:tcPr>
          <w:p>
            <w:pPr>
              <w:tabs>
                <w:tab w:val="left" w:pos="5580"/>
              </w:tabs>
              <w:jc w:val="center"/>
              <w:rPr>
                <w:rFonts w:ascii="宋体" w:hAnsi="宋体"/>
                <w:b/>
                <w:sz w:val="24"/>
              </w:rPr>
            </w:pPr>
            <w:r>
              <w:rPr>
                <w:rFonts w:ascii="宋体" w:hAnsi="宋体"/>
                <w:b/>
                <w:sz w:val="24"/>
              </w:rPr>
              <w:t>最后报价</w:t>
            </w:r>
          </w:p>
        </w:tc>
        <w:tc>
          <w:tcPr>
            <w:tcW w:w="949" w:type="pct"/>
            <w:vMerge w:val="restart"/>
            <w:noWrap w:val="0"/>
            <w:vAlign w:val="center"/>
          </w:tcPr>
          <w:p>
            <w:pPr>
              <w:tabs>
                <w:tab w:val="left" w:pos="5580"/>
              </w:tabs>
              <w:jc w:val="center"/>
              <w:rPr>
                <w:rFonts w:ascii="宋体" w:hAnsi="宋体"/>
                <w:b/>
                <w:sz w:val="24"/>
              </w:rPr>
            </w:pPr>
            <w:r>
              <w:rPr>
                <w:rFonts w:ascii="宋体" w:hAnsi="宋体"/>
                <w:b/>
                <w:sz w:val="24"/>
              </w:rPr>
              <w:t>其他</w:t>
            </w:r>
          </w:p>
          <w:p>
            <w:pPr>
              <w:tabs>
                <w:tab w:val="left" w:pos="5580"/>
              </w:tabs>
              <w:jc w:val="center"/>
              <w:rPr>
                <w:rFonts w:ascii="宋体" w:hAnsi="宋体"/>
                <w:b/>
                <w:sz w:val="24"/>
              </w:rPr>
            </w:pPr>
            <w:r>
              <w:rPr>
                <w:rFonts w:ascii="宋体" w:hAnsi="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74" w:hRule="atLeast"/>
          <w:jc w:val="center"/>
        </w:trPr>
        <w:tc>
          <w:tcPr>
            <w:tcW w:w="447" w:type="pct"/>
            <w:vMerge w:val="continue"/>
            <w:noWrap w:val="0"/>
            <w:vAlign w:val="center"/>
          </w:tcPr>
          <w:p>
            <w:pPr>
              <w:tabs>
                <w:tab w:val="left" w:pos="5580"/>
              </w:tabs>
              <w:jc w:val="center"/>
              <w:rPr>
                <w:rFonts w:ascii="宋体" w:hAnsi="宋体"/>
                <w:sz w:val="24"/>
              </w:rPr>
            </w:pPr>
          </w:p>
        </w:tc>
        <w:tc>
          <w:tcPr>
            <w:tcW w:w="1498" w:type="pct"/>
            <w:vMerge w:val="continue"/>
            <w:noWrap w:val="0"/>
            <w:vAlign w:val="center"/>
          </w:tcPr>
          <w:p>
            <w:pPr>
              <w:tabs>
                <w:tab w:val="left" w:pos="5580"/>
              </w:tabs>
              <w:jc w:val="center"/>
              <w:rPr>
                <w:rFonts w:ascii="宋体" w:hAnsi="宋体"/>
                <w:sz w:val="24"/>
              </w:rPr>
            </w:pPr>
          </w:p>
        </w:tc>
        <w:tc>
          <w:tcPr>
            <w:tcW w:w="1114" w:type="pct"/>
            <w:noWrap w:val="0"/>
            <w:vAlign w:val="center"/>
          </w:tcPr>
          <w:p>
            <w:pPr>
              <w:tabs>
                <w:tab w:val="left" w:pos="5580"/>
              </w:tabs>
              <w:jc w:val="center"/>
              <w:rPr>
                <w:rFonts w:ascii="宋体" w:hAnsi="宋体"/>
                <w:b/>
                <w:sz w:val="24"/>
              </w:rPr>
            </w:pPr>
            <w:r>
              <w:rPr>
                <w:rFonts w:ascii="宋体" w:hAnsi="宋体"/>
                <w:b/>
                <w:sz w:val="24"/>
              </w:rPr>
              <w:t>大写</w:t>
            </w:r>
          </w:p>
        </w:tc>
        <w:tc>
          <w:tcPr>
            <w:tcW w:w="992" w:type="pct"/>
            <w:noWrap w:val="0"/>
            <w:vAlign w:val="center"/>
          </w:tcPr>
          <w:p>
            <w:pPr>
              <w:tabs>
                <w:tab w:val="left" w:pos="5580"/>
              </w:tabs>
              <w:jc w:val="center"/>
              <w:rPr>
                <w:rFonts w:ascii="宋体" w:hAnsi="宋体"/>
                <w:b/>
                <w:sz w:val="24"/>
              </w:rPr>
            </w:pPr>
            <w:r>
              <w:rPr>
                <w:rFonts w:ascii="宋体" w:hAnsi="宋体"/>
                <w:b/>
                <w:sz w:val="24"/>
              </w:rPr>
              <w:t>小写</w:t>
            </w:r>
          </w:p>
        </w:tc>
        <w:tc>
          <w:tcPr>
            <w:tcW w:w="949" w:type="pct"/>
            <w:vMerge w:val="continue"/>
            <w:noWrap w:val="0"/>
            <w:vAlign w:val="center"/>
          </w:tcPr>
          <w:p>
            <w:pPr>
              <w:tabs>
                <w:tab w:val="left" w:pos="5580"/>
              </w:tabs>
              <w:ind w:firstLine="482"/>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76" w:hRule="atLeast"/>
          <w:jc w:val="center"/>
        </w:trPr>
        <w:tc>
          <w:tcPr>
            <w:tcW w:w="447" w:type="pct"/>
            <w:noWrap w:val="0"/>
            <w:vAlign w:val="center"/>
          </w:tcPr>
          <w:p>
            <w:pPr>
              <w:tabs>
                <w:tab w:val="left" w:pos="5580"/>
              </w:tabs>
              <w:jc w:val="center"/>
              <w:rPr>
                <w:rFonts w:ascii="宋体" w:hAnsi="宋体"/>
                <w:sz w:val="24"/>
              </w:rPr>
            </w:pPr>
          </w:p>
        </w:tc>
        <w:tc>
          <w:tcPr>
            <w:tcW w:w="1498" w:type="pct"/>
            <w:noWrap w:val="0"/>
            <w:vAlign w:val="center"/>
          </w:tcPr>
          <w:p>
            <w:pPr>
              <w:tabs>
                <w:tab w:val="left" w:pos="5580"/>
              </w:tabs>
              <w:jc w:val="center"/>
              <w:rPr>
                <w:rFonts w:ascii="宋体" w:hAnsi="宋体"/>
                <w:sz w:val="24"/>
              </w:rPr>
            </w:pPr>
          </w:p>
        </w:tc>
        <w:tc>
          <w:tcPr>
            <w:tcW w:w="1114" w:type="pct"/>
            <w:noWrap w:val="0"/>
            <w:vAlign w:val="center"/>
          </w:tcPr>
          <w:p>
            <w:pPr>
              <w:tabs>
                <w:tab w:val="left" w:pos="5580"/>
              </w:tabs>
              <w:jc w:val="center"/>
              <w:rPr>
                <w:rFonts w:ascii="宋体" w:hAnsi="宋体"/>
                <w:sz w:val="24"/>
              </w:rPr>
            </w:pPr>
          </w:p>
        </w:tc>
        <w:tc>
          <w:tcPr>
            <w:tcW w:w="992" w:type="pct"/>
            <w:noWrap w:val="0"/>
            <w:vAlign w:val="center"/>
          </w:tcPr>
          <w:p>
            <w:pPr>
              <w:tabs>
                <w:tab w:val="left" w:pos="5580"/>
              </w:tabs>
              <w:jc w:val="center"/>
              <w:rPr>
                <w:rFonts w:ascii="宋体" w:hAnsi="宋体"/>
                <w:sz w:val="24"/>
              </w:rPr>
            </w:pPr>
          </w:p>
        </w:tc>
        <w:tc>
          <w:tcPr>
            <w:tcW w:w="949" w:type="pct"/>
            <w:noWrap w:val="0"/>
            <w:vAlign w:val="center"/>
          </w:tcPr>
          <w:p>
            <w:pPr>
              <w:tabs>
                <w:tab w:val="left" w:pos="5580"/>
              </w:tabs>
              <w:jc w:val="center"/>
              <w:rPr>
                <w:rFonts w:ascii="宋体" w:hAnsi="宋体"/>
                <w:sz w:val="24"/>
              </w:rPr>
            </w:pPr>
          </w:p>
        </w:tc>
      </w:tr>
    </w:tbl>
    <w:p>
      <w:pPr>
        <w:autoSpaceDE w:val="0"/>
        <w:autoSpaceDN w:val="0"/>
        <w:adjustRightInd w:val="0"/>
        <w:jc w:val="left"/>
        <w:rPr>
          <w:rFonts w:ascii="宋体" w:hAnsi="宋体"/>
          <w:kern w:val="0"/>
          <w:sz w:val="24"/>
        </w:rPr>
      </w:pPr>
    </w:p>
    <w:p>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w:t>
      </w:r>
      <w:r>
        <w:rPr>
          <w:rFonts w:hint="eastAsia" w:ascii="宋体" w:hAnsi="宋体"/>
          <w:sz w:val="24"/>
          <w:szCs w:val="20"/>
        </w:rPr>
        <w:t>最后</w:t>
      </w:r>
      <w:r>
        <w:rPr>
          <w:rFonts w:ascii="宋体" w:hAnsi="宋体"/>
          <w:sz w:val="24"/>
          <w:szCs w:val="20"/>
        </w:rPr>
        <w:t>报价应和《最后分项报价表》中的总价相一致。</w:t>
      </w:r>
    </w:p>
    <w:p>
      <w:pPr>
        <w:tabs>
          <w:tab w:val="left" w:pos="5580"/>
        </w:tabs>
        <w:ind w:firstLine="480" w:firstLineChars="200"/>
        <w:rPr>
          <w:rFonts w:ascii="宋体" w:hAnsi="宋体"/>
          <w:sz w:val="24"/>
          <w:szCs w:val="20"/>
        </w:rPr>
      </w:pPr>
      <w:r>
        <w:rPr>
          <w:rFonts w:ascii="宋体" w:hAnsi="宋体"/>
          <w:sz w:val="24"/>
          <w:szCs w:val="20"/>
        </w:rPr>
        <w:t>2.本表必须按包分别填写。</w:t>
      </w:r>
    </w:p>
    <w:p>
      <w:pPr>
        <w:tabs>
          <w:tab w:val="left" w:pos="5580"/>
        </w:tabs>
        <w:ind w:firstLine="480" w:firstLineChars="200"/>
        <w:rPr>
          <w:rFonts w:hint="eastAsia" w:ascii="宋体" w:hAnsi="宋体"/>
          <w:sz w:val="24"/>
          <w:szCs w:val="20"/>
        </w:rPr>
      </w:pPr>
      <w:r>
        <w:rPr>
          <w:rFonts w:hint="eastAsia" w:ascii="宋体" w:hAnsi="宋体"/>
          <w:sz w:val="24"/>
          <w:szCs w:val="20"/>
        </w:rPr>
        <w:t>3.此表无需在响应文件中提交，磋商后供应商按磋商小组要求提交。</w:t>
      </w:r>
    </w:p>
    <w:p>
      <w:pPr>
        <w:tabs>
          <w:tab w:val="left" w:pos="5580"/>
        </w:tabs>
        <w:rPr>
          <w:rFonts w:ascii="宋体" w:hAnsi="宋体"/>
          <w:sz w:val="24"/>
          <w:szCs w:val="20"/>
        </w:rPr>
      </w:pPr>
    </w:p>
    <w:p>
      <w:pPr>
        <w:autoSpaceDE w:val="0"/>
        <w:autoSpaceDN w:val="0"/>
        <w:adjustRightInd w:val="0"/>
        <w:snapToGrid w:val="0"/>
        <w:spacing w:before="25" w:after="25" w:line="360" w:lineRule="auto"/>
        <w:rPr>
          <w:rFonts w:ascii="宋体" w:hAnsi="宋体"/>
          <w:sz w:val="24"/>
          <w:lang w:val="zh-CN"/>
        </w:rPr>
      </w:pPr>
    </w:p>
    <w:p>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pPr>
        <w:autoSpaceDE w:val="0"/>
        <w:autoSpaceDN w:val="0"/>
        <w:adjustRightInd w:val="0"/>
        <w:snapToGrid w:val="0"/>
        <w:spacing w:before="25" w:after="25" w:line="360" w:lineRule="auto"/>
        <w:rPr>
          <w:rFonts w:ascii="宋体" w:hAnsi="宋体"/>
          <w:sz w:val="24"/>
          <w:lang w:val="zh-CN"/>
        </w:rPr>
      </w:pPr>
      <w:r>
        <w:rPr>
          <w:rFonts w:ascii="宋体" w:hAnsi="宋体"/>
          <w:sz w:val="24"/>
        </w:rPr>
        <w:t>供应商授权代表签字（或加盖供应商公章）</w:t>
      </w:r>
      <w:r>
        <w:rPr>
          <w:rFonts w:ascii="宋体" w:hAnsi="宋体"/>
          <w:sz w:val="24"/>
          <w:lang w:val="zh-CN"/>
        </w:rPr>
        <w:t xml:space="preserve">：___________ </w:t>
      </w:r>
    </w:p>
    <w:p>
      <w:pPr>
        <w:widowControl/>
        <w:jc w:val="left"/>
        <w:rPr>
          <w:rFonts w:ascii="宋体" w:hAnsi="宋体"/>
          <w:sz w:val="24"/>
          <w:szCs w:val="20"/>
        </w:rPr>
      </w:pPr>
      <w:r>
        <w:rPr>
          <w:rFonts w:ascii="宋体" w:hAnsi="宋体"/>
          <w:sz w:val="24"/>
          <w:szCs w:val="20"/>
        </w:rPr>
        <w:t xml:space="preserve">日期：____年____月____日   </w:t>
      </w:r>
      <w:r>
        <w:rPr>
          <w:rFonts w:ascii="宋体" w:hAnsi="宋体"/>
          <w:sz w:val="24"/>
          <w:szCs w:val="20"/>
        </w:rPr>
        <w:tab/>
      </w:r>
    </w:p>
    <w:sectPr>
      <w:headerReference r:id="rId37" w:type="default"/>
      <w:footerReference r:id="rId38"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汉仪大黑简">
    <w:altName w:val="宋体"/>
    <w:panose1 w:val="00000000000000000000"/>
    <w:charset w:val="86"/>
    <w:family w:val="modern"/>
    <w:pitch w:val="default"/>
    <w:sig w:usb0="00000000" w:usb1="00000000" w:usb2="00000012" w:usb3="00000000" w:csb0="00040000" w:csb1="00000000"/>
  </w:font>
  <w:font w:name="Myriad-Roman">
    <w:altName w:val="黑体"/>
    <w:panose1 w:val="00000000000000000000"/>
    <w:charset w:val="86"/>
    <w:family w:val="auto"/>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Kaiti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3"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 MERGEFORMAT</w:instrText>
    </w:r>
    <w:r>
      <w:fldChar w:fldCharType="separate"/>
    </w:r>
    <w:r>
      <w:rPr>
        <w:lang/>
      </w:rPr>
      <w:t>138</w:t>
    </w:r>
    <w:r>
      <w:fldChar w:fldCharType="end"/>
    </w: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rPr>
                              <w:lang/>
                            </w:rPr>
                            <w:t>174</w:t>
                          </w:r>
                          <w:r>
                            <w:rPr>
                              <w:rFonts w:eastAsia="Times New Roma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lang/>
                      </w:rPr>
                      <w:t>174</w:t>
                    </w:r>
                    <w:r>
                      <w:rPr>
                        <w:rFonts w:eastAsia="Times New Roma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pPr>
      <w:pStyle w:val="36"/>
      <w:ind w:right="360"/>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pPr>
      <w:pStyle w:val="36"/>
      <w:ind w:right="360"/>
    </w:pP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36"/>
                          </w:pPr>
                          <w:r>
                            <w:fldChar w:fldCharType="begin"/>
                          </w:r>
                          <w:r>
                            <w:instrText xml:space="preserve"> PAGE  \* MERGEFORMAT </w:instrText>
                          </w:r>
                          <w:r>
                            <w:fldChar w:fldCharType="separate"/>
                          </w:r>
                          <w:r>
                            <w:rPr>
                              <w:lang/>
                            </w:rPr>
                            <w:t>175</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H21B4zPAQAAmAMAAA4AAAAAAAAAAQAgAAAAIAEAAGRy&#10;cy9lMm9Eb2MueG1sUEsFBgAAAAAGAAYAWQEAAGEFA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lang/>
                      </w:rPr>
                      <w:t>175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6"/>
      </w:rPr>
    </w:pPr>
    <w:r>
      <w:fldChar w:fldCharType="begin"/>
    </w:r>
    <w:r>
      <w:rPr>
        <w:rStyle w:val="66"/>
      </w:rPr>
      <w:instrText xml:space="preserve">PAGE  </w:instrText>
    </w:r>
    <w:r>
      <w:fldChar w:fldCharType="end"/>
    </w:r>
  </w:p>
  <w:p>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36"/>
                          </w:pPr>
                          <w:r>
                            <w:fldChar w:fldCharType="begin"/>
                          </w:r>
                          <w:r>
                            <w:instrText xml:space="preserve"> PAGE  \* MERGEFORMAT </w:instrText>
                          </w:r>
                          <w:r>
                            <w:fldChar w:fldCharType="separate"/>
                          </w:r>
                          <w:r>
                            <w:rPr>
                              <w:lang/>
                            </w:rPr>
                            <w:t>7</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CFcic+zQEAAJgDAAAOAAAAAAAAAAEAIAAAACABAABkcnMv&#10;ZTJvRG9jLnhtbFBLBQYAAAAABgAGAFkBAABf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lang/>
                      </w:rP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36"/>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PSeePDPAQAAmAMAAA4AAAAAAAAAAQAgAAAAIAEAAGRy&#10;cy9lMm9Eb2MueG1sUEsFBgAAAAAGAAYAWQEAAGEFA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536"/>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-12700</wp:posOffset>
              </wp:positionV>
              <wp:extent cx="310515" cy="167005"/>
              <wp:effectExtent l="0" t="0" r="0" b="0"/>
              <wp:wrapNone/>
              <wp:docPr id="7" name="文本框 24"/>
              <wp:cNvGraphicFramePr/>
              <a:graphic xmlns:a="http://schemas.openxmlformats.org/drawingml/2006/main">
                <a:graphicData uri="http://schemas.microsoft.com/office/word/2010/wordprocessingShape">
                  <wps:wsp>
                    <wps:cNvSpPr txBox="1"/>
                    <wps:spPr>
                      <a:xfrm>
                        <a:off x="0" y="0"/>
                        <a:ext cx="310515" cy="167005"/>
                      </a:xfrm>
                      <a:prstGeom prst="rect">
                        <a:avLst/>
                      </a:prstGeom>
                      <a:noFill/>
                      <a:ln>
                        <a:noFill/>
                      </a:ln>
                    </wps:spPr>
                    <wps:txbx>
                      <w:txbxContent>
                        <w:p>
                          <w:pPr>
                            <w:pStyle w:val="36"/>
                          </w:pPr>
                          <w:r>
                            <w:fldChar w:fldCharType="begin"/>
                          </w:r>
                          <w:r>
                            <w:instrText xml:space="preserve"> PAGE  \* MERGEFORMAT </w:instrText>
                          </w:r>
                          <w:r>
                            <w:fldChar w:fldCharType="separate"/>
                          </w:r>
                          <w:r>
                            <w:rPr>
                              <w:lang/>
                            </w:rPr>
                            <w:t>133</w:t>
                          </w:r>
                          <w:r>
                            <w:fldChar w:fldCharType="end"/>
                          </w:r>
                        </w:p>
                      </w:txbxContent>
                    </wps:txbx>
                    <wps:bodyPr wrap="square" lIns="0" tIns="0" rIns="0" bIns="0" upright="0"/>
                  </wps:wsp>
                </a:graphicData>
              </a:graphic>
            </wp:anchor>
          </w:drawing>
        </mc:Choice>
        <mc:Fallback>
          <w:pict>
            <v:shape id="文本框 24" o:spid="_x0000_s1026" o:spt="202" type="#_x0000_t202" style="position:absolute;left:0pt;margin-top:-1pt;height:13.15pt;width:24.45pt;mso-position-horizontal:center;mso-position-horizontal-relative:margin;z-index:251661312;mso-width-relative:page;mso-height-relative:page;" filled="f" stroked="f" coordsize="21600,21600" o:gfxdata="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Yy7GLWAAAABQEAAA8AAAAAAAAAAQAgAAAAIgAAAGRycy9kb3ducmV2&#10;LnhtbFBLAQIUABQAAAAIAIdO4kCMam4txQEAAIADAAAOAAAAAAAAAAEAIAAAACUBAABkcnMvZTJv&#10;RG9jLnhtbFBLBQYAAAAABgAGAFkBAABcBQAAAAA=&#10;">
              <v:fill on="f" focussize="0,0"/>
              <v:stroke on="f"/>
              <v:imagedata o:title=""/>
              <o:lock v:ext="edit" aspectratio="f"/>
              <v:textbox inset="0mm,0mm,0mm,0mm">
                <w:txbxContent>
                  <w:p>
                    <w:pPr>
                      <w:pStyle w:val="36"/>
                    </w:pPr>
                    <w:r>
                      <w:fldChar w:fldCharType="begin"/>
                    </w:r>
                    <w:r>
                      <w:instrText xml:space="preserve"> PAGE  \* MERGEFORMAT </w:instrText>
                    </w:r>
                    <w:r>
                      <w:fldChar w:fldCharType="separate"/>
                    </w:r>
                    <w:r>
                      <w:rPr>
                        <w:lang/>
                      </w:rPr>
                      <w:t>133</w:t>
                    </w:r>
                    <w: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66"/>
      </w:rPr>
    </w:pPr>
    <w:r>
      <w:rPr>
        <w:rStyle w:val="66"/>
      </w:rPr>
      <w:fldChar w:fldCharType="begin"/>
    </w:r>
    <w:r>
      <w:rPr>
        <w:rStyle w:val="66"/>
      </w:rPr>
      <w:instrText xml:space="preserve">PAGE  </w:instrText>
    </w:r>
    <w:r>
      <w:rPr>
        <w:rStyle w:val="66"/>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vanis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vani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vanis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vanis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6C19"/>
    <w:multiLevelType w:val="multilevel"/>
    <w:tmpl w:val="8EA86C19"/>
    <w:lvl w:ilvl="0" w:tentative="0">
      <w:start w:val="1"/>
      <w:numFmt w:val="decimal"/>
      <w:suff w:val="space"/>
      <w:lvlText w:val="%1"/>
      <w:lvlJc w:val="left"/>
      <w:pPr>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AE15067B"/>
    <w:multiLevelType w:val="singleLevel"/>
    <w:tmpl w:val="AE15067B"/>
    <w:lvl w:ilvl="0" w:tentative="0">
      <w:start w:val="1"/>
      <w:numFmt w:val="chineseCounting"/>
      <w:pStyle w:val="504"/>
      <w:suff w:val="nothing"/>
      <w:lvlText w:val="%1、"/>
      <w:lvlJc w:val="left"/>
      <w:pPr>
        <w:ind w:left="-420" w:firstLine="420"/>
      </w:pPr>
      <w:rPr>
        <w:rFonts w:hint="eastAsia"/>
        <w:b/>
        <w:sz w:val="28"/>
      </w:rPr>
    </w:lvl>
  </w:abstractNum>
  <w:abstractNum w:abstractNumId="2">
    <w:nsid w:val="BD5C81C5"/>
    <w:multiLevelType w:val="singleLevel"/>
    <w:tmpl w:val="BD5C81C5"/>
    <w:lvl w:ilvl="0" w:tentative="0">
      <w:start w:val="1"/>
      <w:numFmt w:val="decimal"/>
      <w:pStyle w:val="491"/>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3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1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pStyle w:val="178"/>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27"/>
      <w:isLgl/>
      <w:suff w:val="nothing"/>
      <w:lvlText w:val="%1　"/>
      <w:lvlJc w:val="left"/>
      <w:pPr>
        <w:ind w:left="-25" w:firstLine="0"/>
      </w:pPr>
      <w:rPr>
        <w:rFonts w:hint="default" w:ascii="Times New Roman" w:hAnsi="Times New Roman" w:eastAsia="宋体"/>
        <w:b/>
        <w:bCs w:val="0"/>
        <w:i w:val="0"/>
        <w:color w:val="auto"/>
        <w:sz w:val="28"/>
        <w:u w:val="none"/>
      </w:rPr>
    </w:lvl>
    <w:lvl w:ilvl="1" w:tentative="0">
      <w:start w:val="1"/>
      <w:numFmt w:val="decimal"/>
      <w:pStyle w:val="12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7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6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pStyle w:val="732"/>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D"/>
    <w:multiLevelType w:val="multilevel"/>
    <w:tmpl w:val="0000002D"/>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F"/>
    <w:multiLevelType w:val="multilevel"/>
    <w:tmpl w:val="0000002F"/>
    <w:lvl w:ilvl="0" w:tentative="0">
      <w:start w:val="1"/>
      <w:numFmt w:val="decimal"/>
      <w:pStyle w:val="132"/>
      <w:lvlText w:val="%1)"/>
      <w:lvlJc w:val="left"/>
      <w:pPr>
        <w:ind w:left="420" w:hanging="420"/>
      </w:pPr>
      <w:rPr>
        <w:rFonts w:hint="default"/>
      </w:rPr>
    </w:lvl>
    <w:lvl w:ilvl="1" w:tentative="0">
      <w:start w:val="1"/>
      <w:numFmt w:val="lowerLetter"/>
      <w:pStyle w:val="488"/>
      <w:lvlText w:val="%2)"/>
      <w:lvlJc w:val="left"/>
      <w:pPr>
        <w:ind w:left="840" w:hanging="420"/>
      </w:pPr>
    </w:lvl>
    <w:lvl w:ilvl="2" w:tentative="0">
      <w:start w:val="1"/>
      <w:numFmt w:val="lowerRoman"/>
      <w:pStyle w:val="46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34"/>
    <w:multiLevelType w:val="multilevel"/>
    <w:tmpl w:val="0000003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8"/>
    <w:multiLevelType w:val="multilevel"/>
    <w:tmpl w:val="0000003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42"/>
    <w:multiLevelType w:val="multilevel"/>
    <w:tmpl w:val="00000042"/>
    <w:lvl w:ilvl="0" w:tentative="0">
      <w:start w:val="1"/>
      <w:numFmt w:val="decimal"/>
      <w:lvlText w:val="（%1）"/>
      <w:lvlJc w:val="left"/>
      <w:pPr>
        <w:tabs>
          <w:tab w:val="left" w:pos="1125"/>
        </w:tabs>
        <w:ind w:left="1125" w:hanging="720"/>
      </w:pPr>
      <w:rPr>
        <w:rFonts w:hint="default"/>
      </w:r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16">
    <w:nsid w:val="00000045"/>
    <w:multiLevelType w:val="multilevel"/>
    <w:tmpl w:val="00000045"/>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66"/>
    <w:multiLevelType w:val="multilevel"/>
    <w:tmpl w:val="00000066"/>
    <w:lvl w:ilvl="0" w:tentative="0">
      <w:start w:val="1"/>
      <w:numFmt w:val="decimal"/>
      <w:pStyle w:val="509"/>
      <w:lvlText w:val="（%1）"/>
      <w:lvlJc w:val="left"/>
      <w:pPr>
        <w:tabs>
          <w:tab w:val="left" w:pos="720"/>
        </w:tabs>
        <w:ind w:left="720" w:hanging="720"/>
      </w:pPr>
      <w:rPr>
        <w:rFonts w:hint="default"/>
        <w:color w:val="auto"/>
      </w:rPr>
    </w:lvl>
    <w:lvl w:ilvl="1" w:tentative="0">
      <w:start w:val="1"/>
      <w:numFmt w:val="lowerLetter"/>
      <w:pStyle w:val="494"/>
      <w:lvlText w:val="%2)"/>
      <w:lvlJc w:val="left"/>
      <w:pPr>
        <w:tabs>
          <w:tab w:val="left" w:pos="840"/>
        </w:tabs>
        <w:ind w:left="840" w:hanging="420"/>
      </w:pPr>
    </w:lvl>
    <w:lvl w:ilvl="2" w:tentative="0">
      <w:start w:val="1"/>
      <w:numFmt w:val="lowerRoman"/>
      <w:pStyle w:val="493"/>
      <w:lvlText w:val="%3."/>
      <w:lvlJc w:val="right"/>
      <w:pPr>
        <w:tabs>
          <w:tab w:val="left" w:pos="1260"/>
        </w:tabs>
        <w:ind w:left="1260" w:hanging="420"/>
      </w:pPr>
    </w:lvl>
    <w:lvl w:ilvl="3" w:tentative="0">
      <w:start w:val="1"/>
      <w:numFmt w:val="decimal"/>
      <w:pStyle w:val="50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2E001DF"/>
    <w:multiLevelType w:val="multilevel"/>
    <w:tmpl w:val="02E001DF"/>
    <w:lvl w:ilvl="0" w:tentative="0">
      <w:start w:val="1"/>
      <w:numFmt w:val="japaneseCounting"/>
      <w:pStyle w:val="769"/>
      <w:lvlText w:val="%1、"/>
      <w:lvlJc w:val="left"/>
      <w:pPr>
        <w:ind w:left="1260" w:hanging="420"/>
      </w:pPr>
      <w:rPr>
        <w:rFonts w:hint="default" w:ascii="宋体" w:hAnsi="宋体" w:cs="Arial"/>
        <w:b/>
        <w:sz w:val="32"/>
        <w:lang w:val="en-U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07AD2F46"/>
    <w:multiLevelType w:val="multilevel"/>
    <w:tmpl w:val="07AD2F46"/>
    <w:lvl w:ilvl="0" w:tentative="0">
      <w:start w:val="1"/>
      <w:numFmt w:val="decimal"/>
      <w:pStyle w:val="489"/>
      <w:lvlText w:val="%1)"/>
      <w:lvlJc w:val="left"/>
      <w:pPr>
        <w:ind w:left="420" w:hanging="420"/>
      </w:pPr>
    </w:lvl>
    <w:lvl w:ilvl="1" w:tentative="0">
      <w:start w:val="1"/>
      <w:numFmt w:val="lowerLetter"/>
      <w:pStyle w:val="505"/>
      <w:lvlText w:val="%2)"/>
      <w:lvlJc w:val="left"/>
      <w:pPr>
        <w:ind w:left="840" w:hanging="420"/>
      </w:pPr>
    </w:lvl>
    <w:lvl w:ilvl="2" w:tentative="0">
      <w:start w:val="1"/>
      <w:numFmt w:val="lowerRoman"/>
      <w:pStyle w:val="50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230849"/>
    <w:multiLevelType w:val="multilevel"/>
    <w:tmpl w:val="0E230849"/>
    <w:lvl w:ilvl="0" w:tentative="0">
      <w:start w:val="1"/>
      <w:numFmt w:val="decimal"/>
      <w:pStyle w:val="236"/>
      <w:lvlText w:val="%1"/>
      <w:lvlJc w:val="left"/>
      <w:pPr>
        <w:ind w:left="680" w:hanging="680"/>
      </w:pPr>
      <w:rPr>
        <w:rFonts w:hint="eastAsia" w:ascii="宋体" w:hAnsi="宋体" w:eastAsia="宋体"/>
      </w:rPr>
    </w:lvl>
    <w:lvl w:ilvl="1" w:tentative="0">
      <w:start w:val="1"/>
      <w:numFmt w:val="decimal"/>
      <w:pStyle w:val="237"/>
      <w:lvlText w:val="%1.%2"/>
      <w:lvlJc w:val="left"/>
      <w:pPr>
        <w:ind w:left="851" w:hanging="851"/>
      </w:pPr>
      <w:rPr>
        <w:rFonts w:hint="eastAsia" w:ascii="宋体" w:hAnsi="宋体" w:eastAsia="宋体"/>
        <w:color w:val="auto"/>
      </w:rPr>
    </w:lvl>
    <w:lvl w:ilvl="2" w:tentative="0">
      <w:start w:val="1"/>
      <w:numFmt w:val="decimal"/>
      <w:pStyle w:val="23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13851098"/>
    <w:multiLevelType w:val="multilevel"/>
    <w:tmpl w:val="13851098"/>
    <w:lvl w:ilvl="0" w:tentative="0">
      <w:start w:val="1"/>
      <w:numFmt w:val="japaneseCounting"/>
      <w:pStyle w:val="692"/>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25E9131D"/>
    <w:multiLevelType w:val="multilevel"/>
    <w:tmpl w:val="25E9131D"/>
    <w:lvl w:ilvl="0" w:tentative="0">
      <w:start w:val="1"/>
      <w:numFmt w:val="decimal"/>
      <w:pStyle w:val="497"/>
      <w:lvlText w:val="%1"/>
      <w:lvlJc w:val="left"/>
      <w:pPr>
        <w:tabs>
          <w:tab w:val="left" w:pos="900"/>
        </w:tabs>
        <w:ind w:left="900" w:hanging="900"/>
      </w:pPr>
      <w:rPr>
        <w:rFonts w:hint="eastAsia" w:cs="Times New Roman"/>
      </w:rPr>
    </w:lvl>
    <w:lvl w:ilvl="1" w:tentative="0">
      <w:start w:val="1"/>
      <w:numFmt w:val="decimal"/>
      <w:lvlText w:val="%1.%2"/>
      <w:lvlJc w:val="left"/>
      <w:pPr>
        <w:tabs>
          <w:tab w:val="left" w:pos="900"/>
        </w:tabs>
        <w:ind w:left="900" w:hanging="900"/>
      </w:pPr>
      <w:rPr>
        <w:rFonts w:hint="eastAsia" w:cs="Times New Roman"/>
      </w:rPr>
    </w:lvl>
    <w:lvl w:ilvl="2" w:tentative="0">
      <w:start w:val="1"/>
      <w:numFmt w:val="decimal"/>
      <w:lvlText w:val="%1.%2.%3"/>
      <w:lvlJc w:val="left"/>
      <w:pPr>
        <w:tabs>
          <w:tab w:val="left" w:pos="900"/>
        </w:tabs>
        <w:ind w:left="90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abstractNum w:abstractNumId="25">
    <w:nsid w:val="262C23B9"/>
    <w:multiLevelType w:val="multilevel"/>
    <w:tmpl w:val="262C23B9"/>
    <w:lvl w:ilvl="0" w:tentative="0">
      <w:start w:val="1"/>
      <w:numFmt w:val="decimal"/>
      <w:pStyle w:val="506"/>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B4885D"/>
    <w:multiLevelType w:val="singleLevel"/>
    <w:tmpl w:val="2BB4885D"/>
    <w:lvl w:ilvl="0" w:tentative="0">
      <w:start w:val="1"/>
      <w:numFmt w:val="decimal"/>
      <w:suff w:val="nothing"/>
      <w:lvlText w:val="%1."/>
      <w:lvlJc w:val="left"/>
    </w:lvl>
  </w:abstractNum>
  <w:abstractNum w:abstractNumId="2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9">
    <w:nsid w:val="5D4317C5"/>
    <w:multiLevelType w:val="multilevel"/>
    <w:tmpl w:val="5D4317C5"/>
    <w:lvl w:ilvl="0" w:tentative="0">
      <w:start w:val="1"/>
      <w:numFmt w:val="bullet"/>
      <w:pStyle w:val="75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757"/>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274355A"/>
    <w:multiLevelType w:val="multilevel"/>
    <w:tmpl w:val="6274355A"/>
    <w:lvl w:ilvl="0" w:tentative="0">
      <w:start w:val="1"/>
      <w:numFmt w:val="chineseCountingThousand"/>
      <w:pStyle w:val="465"/>
      <w:suff w:val="nothing"/>
      <w:lvlText w:val="%1、"/>
      <w:lvlJc w:val="left"/>
      <w:pPr>
        <w:ind w:left="0" w:firstLine="0"/>
      </w:pPr>
      <w:rPr>
        <w:rFonts w:hint="eastAsia"/>
        <w:b/>
        <w:i w:val="0"/>
        <w:sz w:val="18"/>
      </w:rPr>
    </w:lvl>
    <w:lvl w:ilvl="1" w:tentative="0">
      <w:start w:val="1"/>
      <w:numFmt w:val="decimal"/>
      <w:pStyle w:val="467"/>
      <w:isLgl/>
      <w:lvlText w:val="%1.%2"/>
      <w:lvlJc w:val="left"/>
      <w:pPr>
        <w:ind w:left="0" w:firstLine="0"/>
      </w:pPr>
      <w:rPr>
        <w:rFonts w:hint="eastAsia"/>
        <w:b w:val="0"/>
        <w:bCs w:val="0"/>
      </w:rPr>
    </w:lvl>
    <w:lvl w:ilvl="2" w:tentative="0">
      <w:start w:val="1"/>
      <w:numFmt w:val="decimal"/>
      <w:pStyle w:val="483"/>
      <w:isLgl/>
      <w:suff w:val="space"/>
      <w:lvlText w:val="%1.%2.%3"/>
      <w:lvlJc w:val="left"/>
      <w:pPr>
        <w:ind w:left="2978"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66E4770E"/>
    <w:multiLevelType w:val="multilevel"/>
    <w:tmpl w:val="66E4770E"/>
    <w:lvl w:ilvl="0" w:tentative="0">
      <w:start w:val="1"/>
      <w:numFmt w:val="japaneseCounting"/>
      <w:pStyle w:val="500"/>
      <w:lvlText w:val="第%1章"/>
      <w:lvlJc w:val="left"/>
      <w:pPr>
        <w:tabs>
          <w:tab w:val="left" w:pos="1680"/>
        </w:tabs>
        <w:ind w:left="1680" w:hanging="114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8"/>
  </w:num>
  <w:num w:numId="2">
    <w:abstractNumId w:val="12"/>
  </w:num>
  <w:num w:numId="3">
    <w:abstractNumId w:val="4"/>
  </w:num>
  <w:num w:numId="4">
    <w:abstractNumId w:val="9"/>
  </w:num>
  <w:num w:numId="5">
    <w:abstractNumId w:val="7"/>
  </w:num>
  <w:num w:numId="6">
    <w:abstractNumId w:val="5"/>
  </w:num>
  <w:num w:numId="7">
    <w:abstractNumId w:val="20"/>
  </w:num>
  <w:num w:numId="8">
    <w:abstractNumId w:val="30"/>
  </w:num>
  <w:num w:numId="9">
    <w:abstractNumId w:val="19"/>
  </w:num>
  <w:num w:numId="10">
    <w:abstractNumId w:val="2"/>
  </w:num>
  <w:num w:numId="11">
    <w:abstractNumId w:val="17"/>
  </w:num>
  <w:num w:numId="12">
    <w:abstractNumId w:val="24"/>
  </w:num>
  <w:num w:numId="13">
    <w:abstractNumId w:val="31"/>
  </w:num>
  <w:num w:numId="14">
    <w:abstractNumId w:val="1"/>
  </w:num>
  <w:num w:numId="15">
    <w:abstractNumId w:val="25"/>
  </w:num>
  <w:num w:numId="16">
    <w:abstractNumId w:val="22"/>
  </w:num>
  <w:num w:numId="17">
    <w:abstractNumId w:val="10"/>
  </w:num>
  <w:num w:numId="18">
    <w:abstractNumId w:val="29"/>
  </w:num>
  <w:num w:numId="19">
    <w:abstractNumId w:val="18"/>
  </w:num>
  <w:num w:numId="20">
    <w:abstractNumId w:val="0"/>
  </w:num>
  <w:num w:numId="21">
    <w:abstractNumId w:val="23"/>
  </w:num>
  <w:num w:numId="22">
    <w:abstractNumId w:val="3"/>
  </w:num>
  <w:num w:numId="23">
    <w:abstractNumId w:val="21"/>
  </w:num>
  <w:num w:numId="24">
    <w:abstractNumId w:val="15"/>
  </w:num>
  <w:num w:numId="25">
    <w:abstractNumId w:val="11"/>
  </w:num>
  <w:num w:numId="26">
    <w:abstractNumId w:val="13"/>
  </w:num>
  <w:num w:numId="27">
    <w:abstractNumId w:val="14"/>
  </w:num>
  <w:num w:numId="28">
    <w:abstractNumId w:val="6"/>
  </w:num>
  <w:num w:numId="29">
    <w:abstractNumId w:val="16"/>
  </w:num>
  <w:num w:numId="30">
    <w:abstractNumId w:val="27"/>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A77"/>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1C1"/>
    <w:rsid w:val="000313A2"/>
    <w:rsid w:val="000313C2"/>
    <w:rsid w:val="00031442"/>
    <w:rsid w:val="0003161A"/>
    <w:rsid w:val="00031704"/>
    <w:rsid w:val="00031756"/>
    <w:rsid w:val="00031857"/>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3AEB"/>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78"/>
    <w:rsid w:val="00035DDC"/>
    <w:rsid w:val="00035FA7"/>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BA7"/>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733"/>
    <w:rsid w:val="00043A61"/>
    <w:rsid w:val="00043B1C"/>
    <w:rsid w:val="00043C68"/>
    <w:rsid w:val="00043D59"/>
    <w:rsid w:val="000441F6"/>
    <w:rsid w:val="000446D5"/>
    <w:rsid w:val="000446EA"/>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CCC"/>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601"/>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0FA"/>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36"/>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3CB"/>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9ED"/>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392"/>
    <w:rsid w:val="000A77E9"/>
    <w:rsid w:val="000A79A7"/>
    <w:rsid w:val="000A7ACC"/>
    <w:rsid w:val="000A7D7F"/>
    <w:rsid w:val="000B0123"/>
    <w:rsid w:val="000B0141"/>
    <w:rsid w:val="000B04D9"/>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84B"/>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7D4"/>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75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3A9"/>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2BC"/>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6A"/>
    <w:rsid w:val="000E74CA"/>
    <w:rsid w:val="000E77B6"/>
    <w:rsid w:val="000E7838"/>
    <w:rsid w:val="000E7901"/>
    <w:rsid w:val="000E7910"/>
    <w:rsid w:val="000E795C"/>
    <w:rsid w:val="000E7A0C"/>
    <w:rsid w:val="000E7AF9"/>
    <w:rsid w:val="000E7C99"/>
    <w:rsid w:val="000E7EFD"/>
    <w:rsid w:val="000F0028"/>
    <w:rsid w:val="000F01E6"/>
    <w:rsid w:val="000F0397"/>
    <w:rsid w:val="000F0706"/>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B4E"/>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8A"/>
    <w:rsid w:val="00111BB5"/>
    <w:rsid w:val="00111C2B"/>
    <w:rsid w:val="00111D5C"/>
    <w:rsid w:val="00111DD5"/>
    <w:rsid w:val="0011204B"/>
    <w:rsid w:val="00112132"/>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9C"/>
    <w:rsid w:val="00120019"/>
    <w:rsid w:val="001206A9"/>
    <w:rsid w:val="0012074E"/>
    <w:rsid w:val="001207FD"/>
    <w:rsid w:val="00120AFC"/>
    <w:rsid w:val="00120C39"/>
    <w:rsid w:val="00120C60"/>
    <w:rsid w:val="00120CD9"/>
    <w:rsid w:val="0012135A"/>
    <w:rsid w:val="00121418"/>
    <w:rsid w:val="0012165E"/>
    <w:rsid w:val="001216A4"/>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2F"/>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3F"/>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338"/>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302"/>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DD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BD"/>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882"/>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A9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E9"/>
    <w:rsid w:val="00196AA1"/>
    <w:rsid w:val="00196C49"/>
    <w:rsid w:val="00196D7F"/>
    <w:rsid w:val="001971A4"/>
    <w:rsid w:val="0019751C"/>
    <w:rsid w:val="00197AD9"/>
    <w:rsid w:val="00197DB2"/>
    <w:rsid w:val="00197DB5"/>
    <w:rsid w:val="00197F02"/>
    <w:rsid w:val="00197F40"/>
    <w:rsid w:val="001A0090"/>
    <w:rsid w:val="001A022D"/>
    <w:rsid w:val="001A0286"/>
    <w:rsid w:val="001A0373"/>
    <w:rsid w:val="001A04AA"/>
    <w:rsid w:val="001A0598"/>
    <w:rsid w:val="001A06F8"/>
    <w:rsid w:val="001A0A32"/>
    <w:rsid w:val="001A0B7A"/>
    <w:rsid w:val="001A0FE8"/>
    <w:rsid w:val="001A106A"/>
    <w:rsid w:val="001A1224"/>
    <w:rsid w:val="001A130A"/>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54"/>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64F"/>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1D"/>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4D3"/>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E98"/>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1EF"/>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E51"/>
    <w:rsid w:val="001F5191"/>
    <w:rsid w:val="001F5251"/>
    <w:rsid w:val="001F52D4"/>
    <w:rsid w:val="001F5318"/>
    <w:rsid w:val="001F536F"/>
    <w:rsid w:val="001F5482"/>
    <w:rsid w:val="001F5484"/>
    <w:rsid w:val="001F584C"/>
    <w:rsid w:val="001F5D74"/>
    <w:rsid w:val="001F6084"/>
    <w:rsid w:val="001F61FB"/>
    <w:rsid w:val="001F6421"/>
    <w:rsid w:val="001F6533"/>
    <w:rsid w:val="001F6537"/>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350"/>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3A5"/>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C65"/>
    <w:rsid w:val="00214D0B"/>
    <w:rsid w:val="00214F85"/>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04"/>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313"/>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4BA"/>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039"/>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C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07"/>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3A7"/>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1F99"/>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96F"/>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4E84"/>
    <w:rsid w:val="002A524C"/>
    <w:rsid w:val="002A5749"/>
    <w:rsid w:val="002A5B18"/>
    <w:rsid w:val="002A5D23"/>
    <w:rsid w:val="002A5D36"/>
    <w:rsid w:val="002A5ECF"/>
    <w:rsid w:val="002A6032"/>
    <w:rsid w:val="002A60AE"/>
    <w:rsid w:val="002A6390"/>
    <w:rsid w:val="002A6776"/>
    <w:rsid w:val="002A6B4C"/>
    <w:rsid w:val="002A6C81"/>
    <w:rsid w:val="002A6CB1"/>
    <w:rsid w:val="002A6CBC"/>
    <w:rsid w:val="002A6CFE"/>
    <w:rsid w:val="002A71C9"/>
    <w:rsid w:val="002A7544"/>
    <w:rsid w:val="002A77D7"/>
    <w:rsid w:val="002A7A0F"/>
    <w:rsid w:val="002A7B62"/>
    <w:rsid w:val="002A7CF1"/>
    <w:rsid w:val="002A7F28"/>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4FCF"/>
    <w:rsid w:val="002B502D"/>
    <w:rsid w:val="002B5166"/>
    <w:rsid w:val="002B518F"/>
    <w:rsid w:val="002B531C"/>
    <w:rsid w:val="002B5632"/>
    <w:rsid w:val="002B597F"/>
    <w:rsid w:val="002B59FD"/>
    <w:rsid w:val="002B5D2F"/>
    <w:rsid w:val="002B5D57"/>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23"/>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160"/>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85"/>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2C79"/>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AA"/>
    <w:rsid w:val="00360548"/>
    <w:rsid w:val="003606B1"/>
    <w:rsid w:val="00360902"/>
    <w:rsid w:val="00360CAA"/>
    <w:rsid w:val="003610BA"/>
    <w:rsid w:val="003611CD"/>
    <w:rsid w:val="003611D0"/>
    <w:rsid w:val="003611EB"/>
    <w:rsid w:val="00361229"/>
    <w:rsid w:val="0036146B"/>
    <w:rsid w:val="00361558"/>
    <w:rsid w:val="003616CD"/>
    <w:rsid w:val="003617D6"/>
    <w:rsid w:val="003617FD"/>
    <w:rsid w:val="003619F6"/>
    <w:rsid w:val="00361A16"/>
    <w:rsid w:val="00361B86"/>
    <w:rsid w:val="00361D07"/>
    <w:rsid w:val="00361E23"/>
    <w:rsid w:val="00361F38"/>
    <w:rsid w:val="00361FDF"/>
    <w:rsid w:val="003622AC"/>
    <w:rsid w:val="00362303"/>
    <w:rsid w:val="00362308"/>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F8"/>
    <w:rsid w:val="00367792"/>
    <w:rsid w:val="0036786B"/>
    <w:rsid w:val="00367A78"/>
    <w:rsid w:val="00367AD9"/>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08D"/>
    <w:rsid w:val="0038130C"/>
    <w:rsid w:val="003813BE"/>
    <w:rsid w:val="003818E3"/>
    <w:rsid w:val="0038197C"/>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9C1"/>
    <w:rsid w:val="00384B20"/>
    <w:rsid w:val="00384BD4"/>
    <w:rsid w:val="00384F33"/>
    <w:rsid w:val="0038520A"/>
    <w:rsid w:val="00385227"/>
    <w:rsid w:val="00385392"/>
    <w:rsid w:val="0038560D"/>
    <w:rsid w:val="00385718"/>
    <w:rsid w:val="00385720"/>
    <w:rsid w:val="00385BE1"/>
    <w:rsid w:val="00385C05"/>
    <w:rsid w:val="00385E0E"/>
    <w:rsid w:val="00385E81"/>
    <w:rsid w:val="00385F94"/>
    <w:rsid w:val="0038613F"/>
    <w:rsid w:val="00386197"/>
    <w:rsid w:val="00386444"/>
    <w:rsid w:val="003865C2"/>
    <w:rsid w:val="0038679C"/>
    <w:rsid w:val="00386B1B"/>
    <w:rsid w:val="00386B70"/>
    <w:rsid w:val="00386F4D"/>
    <w:rsid w:val="00387028"/>
    <w:rsid w:val="003871C9"/>
    <w:rsid w:val="003872CF"/>
    <w:rsid w:val="00387682"/>
    <w:rsid w:val="00387694"/>
    <w:rsid w:val="003877C9"/>
    <w:rsid w:val="0038783E"/>
    <w:rsid w:val="003879A4"/>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5A0"/>
    <w:rsid w:val="003A368D"/>
    <w:rsid w:val="003A3799"/>
    <w:rsid w:val="003A38FB"/>
    <w:rsid w:val="003A3CC8"/>
    <w:rsid w:val="003A3E85"/>
    <w:rsid w:val="003A40D2"/>
    <w:rsid w:val="003A431B"/>
    <w:rsid w:val="003A4534"/>
    <w:rsid w:val="003A455D"/>
    <w:rsid w:val="003A4C0C"/>
    <w:rsid w:val="003A4E85"/>
    <w:rsid w:val="003A510D"/>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7FE"/>
    <w:rsid w:val="003B480C"/>
    <w:rsid w:val="003B486E"/>
    <w:rsid w:val="003B48F2"/>
    <w:rsid w:val="003B4956"/>
    <w:rsid w:val="003B497D"/>
    <w:rsid w:val="003B4AA6"/>
    <w:rsid w:val="003B4E1F"/>
    <w:rsid w:val="003B4E60"/>
    <w:rsid w:val="003B5128"/>
    <w:rsid w:val="003B5268"/>
    <w:rsid w:val="003B5445"/>
    <w:rsid w:val="003B5562"/>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681"/>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4FA"/>
    <w:rsid w:val="003F3583"/>
    <w:rsid w:val="003F35BF"/>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9D8"/>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15"/>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2C"/>
    <w:rsid w:val="00423597"/>
    <w:rsid w:val="00423600"/>
    <w:rsid w:val="0042374E"/>
    <w:rsid w:val="004237FD"/>
    <w:rsid w:val="00423886"/>
    <w:rsid w:val="004239D8"/>
    <w:rsid w:val="00423B69"/>
    <w:rsid w:val="00423DA1"/>
    <w:rsid w:val="00424063"/>
    <w:rsid w:val="00424126"/>
    <w:rsid w:val="004241E2"/>
    <w:rsid w:val="004241FD"/>
    <w:rsid w:val="00424251"/>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8BF"/>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9E6"/>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A1"/>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B4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3EC"/>
    <w:rsid w:val="00460601"/>
    <w:rsid w:val="00460657"/>
    <w:rsid w:val="00460C55"/>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BD"/>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981"/>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EC8"/>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BC"/>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D3C"/>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B81"/>
    <w:rsid w:val="004A4CB1"/>
    <w:rsid w:val="004A4F52"/>
    <w:rsid w:val="004A4F88"/>
    <w:rsid w:val="004A4FB8"/>
    <w:rsid w:val="004A5161"/>
    <w:rsid w:val="004A56B5"/>
    <w:rsid w:val="004A589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C71"/>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CA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18D"/>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49D"/>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797"/>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DC7"/>
    <w:rsid w:val="004F7FC7"/>
    <w:rsid w:val="0050023C"/>
    <w:rsid w:val="00500AC9"/>
    <w:rsid w:val="00500C9C"/>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CC"/>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161"/>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9EF"/>
    <w:rsid w:val="00522C96"/>
    <w:rsid w:val="00523026"/>
    <w:rsid w:val="0052311F"/>
    <w:rsid w:val="00523423"/>
    <w:rsid w:val="00523489"/>
    <w:rsid w:val="0052358B"/>
    <w:rsid w:val="005236A9"/>
    <w:rsid w:val="00523A6C"/>
    <w:rsid w:val="00523AFF"/>
    <w:rsid w:val="00523B93"/>
    <w:rsid w:val="00523CE4"/>
    <w:rsid w:val="00523E4B"/>
    <w:rsid w:val="0052404E"/>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6FC"/>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BE0"/>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25"/>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4EE"/>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5E8"/>
    <w:rsid w:val="00574C88"/>
    <w:rsid w:val="00574F21"/>
    <w:rsid w:val="00575315"/>
    <w:rsid w:val="00575378"/>
    <w:rsid w:val="00575506"/>
    <w:rsid w:val="00575AEB"/>
    <w:rsid w:val="00575E57"/>
    <w:rsid w:val="0057601E"/>
    <w:rsid w:val="00576180"/>
    <w:rsid w:val="0057618A"/>
    <w:rsid w:val="00576235"/>
    <w:rsid w:val="005762DB"/>
    <w:rsid w:val="0057636D"/>
    <w:rsid w:val="005763AD"/>
    <w:rsid w:val="005763B8"/>
    <w:rsid w:val="0057648C"/>
    <w:rsid w:val="00576504"/>
    <w:rsid w:val="005765DC"/>
    <w:rsid w:val="00576715"/>
    <w:rsid w:val="00576BA6"/>
    <w:rsid w:val="00576CBE"/>
    <w:rsid w:val="00576F8C"/>
    <w:rsid w:val="00576F91"/>
    <w:rsid w:val="005770B2"/>
    <w:rsid w:val="00577375"/>
    <w:rsid w:val="005773C7"/>
    <w:rsid w:val="0057777F"/>
    <w:rsid w:val="005779CF"/>
    <w:rsid w:val="00577BEE"/>
    <w:rsid w:val="00577D00"/>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BBD"/>
    <w:rsid w:val="00581D8F"/>
    <w:rsid w:val="00581E63"/>
    <w:rsid w:val="00581F59"/>
    <w:rsid w:val="0058203C"/>
    <w:rsid w:val="0058212F"/>
    <w:rsid w:val="00582196"/>
    <w:rsid w:val="005825F2"/>
    <w:rsid w:val="005826D5"/>
    <w:rsid w:val="005828E1"/>
    <w:rsid w:val="00582989"/>
    <w:rsid w:val="00582A72"/>
    <w:rsid w:val="00582D1C"/>
    <w:rsid w:val="00582F90"/>
    <w:rsid w:val="00582FF1"/>
    <w:rsid w:val="00583074"/>
    <w:rsid w:val="0058342B"/>
    <w:rsid w:val="0058361D"/>
    <w:rsid w:val="005839EF"/>
    <w:rsid w:val="00583D23"/>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E79"/>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C46"/>
    <w:rsid w:val="005A1E45"/>
    <w:rsid w:val="005A1E5A"/>
    <w:rsid w:val="005A206F"/>
    <w:rsid w:val="005A2177"/>
    <w:rsid w:val="005A21BD"/>
    <w:rsid w:val="005A238C"/>
    <w:rsid w:val="005A23D0"/>
    <w:rsid w:val="005A24D1"/>
    <w:rsid w:val="005A2528"/>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9BA"/>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CF"/>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2EA5"/>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E7B"/>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E83"/>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6F32"/>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670"/>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5B0"/>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0D42"/>
    <w:rsid w:val="006011AF"/>
    <w:rsid w:val="00601496"/>
    <w:rsid w:val="006015B7"/>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93"/>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54D"/>
    <w:rsid w:val="0061269E"/>
    <w:rsid w:val="006127AE"/>
    <w:rsid w:val="006129A2"/>
    <w:rsid w:val="00612A29"/>
    <w:rsid w:val="00612D5C"/>
    <w:rsid w:val="00612F5F"/>
    <w:rsid w:val="006130A8"/>
    <w:rsid w:val="006131D3"/>
    <w:rsid w:val="006131F6"/>
    <w:rsid w:val="00613258"/>
    <w:rsid w:val="00613310"/>
    <w:rsid w:val="006133E4"/>
    <w:rsid w:val="00613581"/>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815"/>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41"/>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69D"/>
    <w:rsid w:val="0063771C"/>
    <w:rsid w:val="00637955"/>
    <w:rsid w:val="00637A0E"/>
    <w:rsid w:val="00637A32"/>
    <w:rsid w:val="00637B2E"/>
    <w:rsid w:val="00637BD3"/>
    <w:rsid w:val="00637D07"/>
    <w:rsid w:val="006401B7"/>
    <w:rsid w:val="00640575"/>
    <w:rsid w:val="006405B9"/>
    <w:rsid w:val="006407B6"/>
    <w:rsid w:val="00640A11"/>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90"/>
    <w:rsid w:val="006448CC"/>
    <w:rsid w:val="00644CBB"/>
    <w:rsid w:val="00644D6E"/>
    <w:rsid w:val="00644E5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A55"/>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3BB"/>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A33"/>
    <w:rsid w:val="00663B3C"/>
    <w:rsid w:val="00663BD1"/>
    <w:rsid w:val="00663FA2"/>
    <w:rsid w:val="00663FAD"/>
    <w:rsid w:val="0066401C"/>
    <w:rsid w:val="00664192"/>
    <w:rsid w:val="006642CA"/>
    <w:rsid w:val="006644F2"/>
    <w:rsid w:val="006645FE"/>
    <w:rsid w:val="0066462C"/>
    <w:rsid w:val="00664CA5"/>
    <w:rsid w:val="00665170"/>
    <w:rsid w:val="00665472"/>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D03"/>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159"/>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2C99"/>
    <w:rsid w:val="006A31E7"/>
    <w:rsid w:val="006A36D1"/>
    <w:rsid w:val="006A3AB6"/>
    <w:rsid w:val="006A3AF3"/>
    <w:rsid w:val="006A3E5A"/>
    <w:rsid w:val="006A401F"/>
    <w:rsid w:val="006A40CC"/>
    <w:rsid w:val="006A4128"/>
    <w:rsid w:val="006A4185"/>
    <w:rsid w:val="006A42B7"/>
    <w:rsid w:val="006A440E"/>
    <w:rsid w:val="006A4510"/>
    <w:rsid w:val="006A45A7"/>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B1"/>
    <w:rsid w:val="006C3ED5"/>
    <w:rsid w:val="006C42C2"/>
    <w:rsid w:val="006C44AB"/>
    <w:rsid w:val="006C44F0"/>
    <w:rsid w:val="006C453E"/>
    <w:rsid w:val="006C4872"/>
    <w:rsid w:val="006C4980"/>
    <w:rsid w:val="006C4C23"/>
    <w:rsid w:val="006C4E50"/>
    <w:rsid w:val="006C4E9A"/>
    <w:rsid w:val="006C512C"/>
    <w:rsid w:val="006C52A4"/>
    <w:rsid w:val="006C55E2"/>
    <w:rsid w:val="006C55EC"/>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37"/>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BB0"/>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3B7"/>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5FAD"/>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36"/>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B76"/>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5D"/>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A77"/>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EF0"/>
    <w:rsid w:val="00725FA5"/>
    <w:rsid w:val="0072605A"/>
    <w:rsid w:val="00726173"/>
    <w:rsid w:val="007261B7"/>
    <w:rsid w:val="00726646"/>
    <w:rsid w:val="00726A09"/>
    <w:rsid w:val="00726ACE"/>
    <w:rsid w:val="00726B6E"/>
    <w:rsid w:val="00726F74"/>
    <w:rsid w:val="00727520"/>
    <w:rsid w:val="00727552"/>
    <w:rsid w:val="00727827"/>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6C7"/>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1F3"/>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31B"/>
    <w:rsid w:val="007419EE"/>
    <w:rsid w:val="00741A5E"/>
    <w:rsid w:val="00741CCC"/>
    <w:rsid w:val="00742141"/>
    <w:rsid w:val="0074221D"/>
    <w:rsid w:val="0074224C"/>
    <w:rsid w:val="00742252"/>
    <w:rsid w:val="0074263F"/>
    <w:rsid w:val="007426B7"/>
    <w:rsid w:val="007426EA"/>
    <w:rsid w:val="00742776"/>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53B"/>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50"/>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D6C"/>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564"/>
    <w:rsid w:val="00791637"/>
    <w:rsid w:val="007917BA"/>
    <w:rsid w:val="00791B18"/>
    <w:rsid w:val="00791B5B"/>
    <w:rsid w:val="00791C41"/>
    <w:rsid w:val="00791CCB"/>
    <w:rsid w:val="00791D9E"/>
    <w:rsid w:val="00791E00"/>
    <w:rsid w:val="0079278D"/>
    <w:rsid w:val="00793436"/>
    <w:rsid w:val="00793493"/>
    <w:rsid w:val="0079367E"/>
    <w:rsid w:val="00793756"/>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ECB"/>
    <w:rsid w:val="007D6076"/>
    <w:rsid w:val="007D61CD"/>
    <w:rsid w:val="007D67D4"/>
    <w:rsid w:val="007D67D5"/>
    <w:rsid w:val="007D6A25"/>
    <w:rsid w:val="007D6ADF"/>
    <w:rsid w:val="007D6EB6"/>
    <w:rsid w:val="007D7001"/>
    <w:rsid w:val="007D76B6"/>
    <w:rsid w:val="007D7717"/>
    <w:rsid w:val="007D7A89"/>
    <w:rsid w:val="007D7B16"/>
    <w:rsid w:val="007D7B91"/>
    <w:rsid w:val="007D7C51"/>
    <w:rsid w:val="007D7D39"/>
    <w:rsid w:val="007E0381"/>
    <w:rsid w:val="007E03E3"/>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8BE"/>
    <w:rsid w:val="007F199C"/>
    <w:rsid w:val="007F1AF1"/>
    <w:rsid w:val="007F1B3D"/>
    <w:rsid w:val="007F1B44"/>
    <w:rsid w:val="007F1BB4"/>
    <w:rsid w:val="007F22F9"/>
    <w:rsid w:val="007F2509"/>
    <w:rsid w:val="007F255E"/>
    <w:rsid w:val="007F2637"/>
    <w:rsid w:val="007F26A3"/>
    <w:rsid w:val="007F27F0"/>
    <w:rsid w:val="007F2B0C"/>
    <w:rsid w:val="007F2EDF"/>
    <w:rsid w:val="007F3109"/>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E7A"/>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888"/>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A04"/>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931"/>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6C9"/>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0FB3"/>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01B"/>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72"/>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BF"/>
    <w:rsid w:val="00870DD2"/>
    <w:rsid w:val="0087125E"/>
    <w:rsid w:val="0087146D"/>
    <w:rsid w:val="00871528"/>
    <w:rsid w:val="0087189E"/>
    <w:rsid w:val="00871A32"/>
    <w:rsid w:val="00871D4E"/>
    <w:rsid w:val="00871D7D"/>
    <w:rsid w:val="00871F01"/>
    <w:rsid w:val="00871F19"/>
    <w:rsid w:val="00871FF7"/>
    <w:rsid w:val="008720C0"/>
    <w:rsid w:val="008720F1"/>
    <w:rsid w:val="008721CB"/>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6FAD"/>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BC"/>
    <w:rsid w:val="008933EB"/>
    <w:rsid w:val="00893435"/>
    <w:rsid w:val="00893470"/>
    <w:rsid w:val="0089394D"/>
    <w:rsid w:val="008939F8"/>
    <w:rsid w:val="00893B0B"/>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6C3"/>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3C8"/>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784"/>
    <w:rsid w:val="008A5883"/>
    <w:rsid w:val="008A5A2E"/>
    <w:rsid w:val="008A5A78"/>
    <w:rsid w:val="008A5CA4"/>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4D3"/>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35"/>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45"/>
    <w:rsid w:val="008C0FA4"/>
    <w:rsid w:val="008C10B0"/>
    <w:rsid w:val="008C12BF"/>
    <w:rsid w:val="008C12C1"/>
    <w:rsid w:val="008C1352"/>
    <w:rsid w:val="008C13FF"/>
    <w:rsid w:val="008C160F"/>
    <w:rsid w:val="008C18B0"/>
    <w:rsid w:val="008C1B14"/>
    <w:rsid w:val="008C20AA"/>
    <w:rsid w:val="008C2182"/>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A5E"/>
    <w:rsid w:val="008D3E2A"/>
    <w:rsid w:val="008D4060"/>
    <w:rsid w:val="008D41A9"/>
    <w:rsid w:val="008D41EF"/>
    <w:rsid w:val="008D431C"/>
    <w:rsid w:val="008D434C"/>
    <w:rsid w:val="008D45B9"/>
    <w:rsid w:val="008D45DB"/>
    <w:rsid w:val="008D496A"/>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4E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D88"/>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595"/>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538"/>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2D5C"/>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943"/>
    <w:rsid w:val="00940AEC"/>
    <w:rsid w:val="00940B98"/>
    <w:rsid w:val="00940BB6"/>
    <w:rsid w:val="00940BF4"/>
    <w:rsid w:val="00940C98"/>
    <w:rsid w:val="00940E8E"/>
    <w:rsid w:val="00941040"/>
    <w:rsid w:val="0094119E"/>
    <w:rsid w:val="009414F8"/>
    <w:rsid w:val="00941540"/>
    <w:rsid w:val="00941581"/>
    <w:rsid w:val="00941795"/>
    <w:rsid w:val="00941874"/>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02F"/>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762"/>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AA8"/>
    <w:rsid w:val="00961DF2"/>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65"/>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33E"/>
    <w:rsid w:val="00967513"/>
    <w:rsid w:val="00967A58"/>
    <w:rsid w:val="00967D01"/>
    <w:rsid w:val="00967D0F"/>
    <w:rsid w:val="00967E67"/>
    <w:rsid w:val="00967ECC"/>
    <w:rsid w:val="009706BF"/>
    <w:rsid w:val="00970862"/>
    <w:rsid w:val="0097086F"/>
    <w:rsid w:val="00970C01"/>
    <w:rsid w:val="00970E59"/>
    <w:rsid w:val="00970F06"/>
    <w:rsid w:val="00970F88"/>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B7B"/>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6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AF"/>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83"/>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982"/>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97FC2"/>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96F"/>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B1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060"/>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B1D"/>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EBB"/>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46E"/>
    <w:rsid w:val="009E064C"/>
    <w:rsid w:val="009E06B6"/>
    <w:rsid w:val="009E0759"/>
    <w:rsid w:val="009E07FC"/>
    <w:rsid w:val="009E08D7"/>
    <w:rsid w:val="009E0A9D"/>
    <w:rsid w:val="009E0B29"/>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99"/>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7F5"/>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3B1"/>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81"/>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0DC"/>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83C"/>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DEF"/>
    <w:rsid w:val="00A32E3A"/>
    <w:rsid w:val="00A32EEF"/>
    <w:rsid w:val="00A334A2"/>
    <w:rsid w:val="00A3368C"/>
    <w:rsid w:val="00A33866"/>
    <w:rsid w:val="00A339D2"/>
    <w:rsid w:val="00A339E7"/>
    <w:rsid w:val="00A340AA"/>
    <w:rsid w:val="00A341B5"/>
    <w:rsid w:val="00A343EF"/>
    <w:rsid w:val="00A3445C"/>
    <w:rsid w:val="00A3463A"/>
    <w:rsid w:val="00A347D1"/>
    <w:rsid w:val="00A34A2A"/>
    <w:rsid w:val="00A34A69"/>
    <w:rsid w:val="00A34B79"/>
    <w:rsid w:val="00A34C5A"/>
    <w:rsid w:val="00A34F3B"/>
    <w:rsid w:val="00A34FE4"/>
    <w:rsid w:val="00A353E5"/>
    <w:rsid w:val="00A35417"/>
    <w:rsid w:val="00A35486"/>
    <w:rsid w:val="00A358FF"/>
    <w:rsid w:val="00A35900"/>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35"/>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89B"/>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34"/>
    <w:rsid w:val="00A56A6B"/>
    <w:rsid w:val="00A56CDE"/>
    <w:rsid w:val="00A56DB5"/>
    <w:rsid w:val="00A57032"/>
    <w:rsid w:val="00A57104"/>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102"/>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2E7A"/>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8"/>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16"/>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177"/>
    <w:rsid w:val="00AB13EE"/>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1A8"/>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BC5"/>
    <w:rsid w:val="00AF0C0E"/>
    <w:rsid w:val="00AF0D33"/>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A53"/>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03"/>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D5C"/>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FD5"/>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D7"/>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92A"/>
    <w:rsid w:val="00B53E40"/>
    <w:rsid w:val="00B53F1C"/>
    <w:rsid w:val="00B53FAF"/>
    <w:rsid w:val="00B53FD0"/>
    <w:rsid w:val="00B5401E"/>
    <w:rsid w:val="00B54093"/>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0"/>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67FB7"/>
    <w:rsid w:val="00B7022A"/>
    <w:rsid w:val="00B7048E"/>
    <w:rsid w:val="00B705FC"/>
    <w:rsid w:val="00B70771"/>
    <w:rsid w:val="00B709B3"/>
    <w:rsid w:val="00B71188"/>
    <w:rsid w:val="00B71267"/>
    <w:rsid w:val="00B714AC"/>
    <w:rsid w:val="00B7153E"/>
    <w:rsid w:val="00B71628"/>
    <w:rsid w:val="00B716A9"/>
    <w:rsid w:val="00B71770"/>
    <w:rsid w:val="00B71881"/>
    <w:rsid w:val="00B71898"/>
    <w:rsid w:val="00B71BFD"/>
    <w:rsid w:val="00B7217B"/>
    <w:rsid w:val="00B721D9"/>
    <w:rsid w:val="00B7226F"/>
    <w:rsid w:val="00B72639"/>
    <w:rsid w:val="00B72767"/>
    <w:rsid w:val="00B7282B"/>
    <w:rsid w:val="00B72948"/>
    <w:rsid w:val="00B72AF3"/>
    <w:rsid w:val="00B72C26"/>
    <w:rsid w:val="00B72E2A"/>
    <w:rsid w:val="00B72EEC"/>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591"/>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0F55"/>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8FC"/>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55A"/>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899"/>
    <w:rsid w:val="00BB69E6"/>
    <w:rsid w:val="00BB6A9F"/>
    <w:rsid w:val="00BB6BCA"/>
    <w:rsid w:val="00BB6D89"/>
    <w:rsid w:val="00BB6EA6"/>
    <w:rsid w:val="00BB6F54"/>
    <w:rsid w:val="00BB7114"/>
    <w:rsid w:val="00BB7359"/>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71D"/>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9F"/>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2F18"/>
    <w:rsid w:val="00BD30CC"/>
    <w:rsid w:val="00BD32B6"/>
    <w:rsid w:val="00BD34DB"/>
    <w:rsid w:val="00BD3819"/>
    <w:rsid w:val="00BD3855"/>
    <w:rsid w:val="00BD3919"/>
    <w:rsid w:val="00BD3B4D"/>
    <w:rsid w:val="00BD3EAD"/>
    <w:rsid w:val="00BD3EC2"/>
    <w:rsid w:val="00BD412C"/>
    <w:rsid w:val="00BD4158"/>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B79"/>
    <w:rsid w:val="00BD7E71"/>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E0"/>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AB"/>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958"/>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084"/>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A88"/>
    <w:rsid w:val="00C10B90"/>
    <w:rsid w:val="00C10C7E"/>
    <w:rsid w:val="00C10DC1"/>
    <w:rsid w:val="00C112DF"/>
    <w:rsid w:val="00C1166D"/>
    <w:rsid w:val="00C1195F"/>
    <w:rsid w:val="00C119A8"/>
    <w:rsid w:val="00C119EF"/>
    <w:rsid w:val="00C11AAC"/>
    <w:rsid w:val="00C11D8F"/>
    <w:rsid w:val="00C11E99"/>
    <w:rsid w:val="00C11EE1"/>
    <w:rsid w:val="00C1235F"/>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BDF"/>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DB3"/>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65"/>
    <w:rsid w:val="00C250CC"/>
    <w:rsid w:val="00C253D2"/>
    <w:rsid w:val="00C25405"/>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0FEF"/>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4E5F"/>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F1"/>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30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CB1"/>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1B"/>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BB6"/>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9C4"/>
    <w:rsid w:val="00C82CCB"/>
    <w:rsid w:val="00C83280"/>
    <w:rsid w:val="00C83463"/>
    <w:rsid w:val="00C834C2"/>
    <w:rsid w:val="00C83513"/>
    <w:rsid w:val="00C835F4"/>
    <w:rsid w:val="00C83711"/>
    <w:rsid w:val="00C83789"/>
    <w:rsid w:val="00C8396A"/>
    <w:rsid w:val="00C83CA0"/>
    <w:rsid w:val="00C83D6B"/>
    <w:rsid w:val="00C83F3E"/>
    <w:rsid w:val="00C8426B"/>
    <w:rsid w:val="00C8428C"/>
    <w:rsid w:val="00C842BB"/>
    <w:rsid w:val="00C84359"/>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B63"/>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90D"/>
    <w:rsid w:val="00C97AF1"/>
    <w:rsid w:val="00C97C2A"/>
    <w:rsid w:val="00C97FC4"/>
    <w:rsid w:val="00CA0238"/>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A0C"/>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2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C8"/>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1A"/>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3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16D"/>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20"/>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244"/>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CDF"/>
    <w:rsid w:val="00D00FD7"/>
    <w:rsid w:val="00D01281"/>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7DB"/>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9CA"/>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C95"/>
    <w:rsid w:val="00D17F1B"/>
    <w:rsid w:val="00D200DF"/>
    <w:rsid w:val="00D201F4"/>
    <w:rsid w:val="00D2024B"/>
    <w:rsid w:val="00D20479"/>
    <w:rsid w:val="00D205E9"/>
    <w:rsid w:val="00D2088D"/>
    <w:rsid w:val="00D20B6B"/>
    <w:rsid w:val="00D20DEF"/>
    <w:rsid w:val="00D20F98"/>
    <w:rsid w:val="00D2119C"/>
    <w:rsid w:val="00D21543"/>
    <w:rsid w:val="00D21602"/>
    <w:rsid w:val="00D2162E"/>
    <w:rsid w:val="00D2196D"/>
    <w:rsid w:val="00D219EC"/>
    <w:rsid w:val="00D21B2C"/>
    <w:rsid w:val="00D21F15"/>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598"/>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282"/>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DB"/>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5D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04"/>
    <w:rsid w:val="00D534A9"/>
    <w:rsid w:val="00D53605"/>
    <w:rsid w:val="00D536B9"/>
    <w:rsid w:val="00D53823"/>
    <w:rsid w:val="00D5393A"/>
    <w:rsid w:val="00D5396A"/>
    <w:rsid w:val="00D53D08"/>
    <w:rsid w:val="00D53E7F"/>
    <w:rsid w:val="00D53F02"/>
    <w:rsid w:val="00D53FC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24"/>
    <w:rsid w:val="00D80697"/>
    <w:rsid w:val="00D806E4"/>
    <w:rsid w:val="00D807BB"/>
    <w:rsid w:val="00D8081D"/>
    <w:rsid w:val="00D80B51"/>
    <w:rsid w:val="00D80C62"/>
    <w:rsid w:val="00D80C86"/>
    <w:rsid w:val="00D80D5E"/>
    <w:rsid w:val="00D80DA2"/>
    <w:rsid w:val="00D80E22"/>
    <w:rsid w:val="00D81231"/>
    <w:rsid w:val="00D8183C"/>
    <w:rsid w:val="00D818A4"/>
    <w:rsid w:val="00D81966"/>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0B5"/>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297"/>
    <w:rsid w:val="00DA2835"/>
    <w:rsid w:val="00DA2B9E"/>
    <w:rsid w:val="00DA2D8E"/>
    <w:rsid w:val="00DA2E17"/>
    <w:rsid w:val="00DA2E2C"/>
    <w:rsid w:val="00DA304D"/>
    <w:rsid w:val="00DA3065"/>
    <w:rsid w:val="00DA3095"/>
    <w:rsid w:val="00DA347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35"/>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12"/>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2EB"/>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6FE3"/>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D14"/>
    <w:rsid w:val="00DE3F06"/>
    <w:rsid w:val="00DE4552"/>
    <w:rsid w:val="00DE4720"/>
    <w:rsid w:val="00DE48A4"/>
    <w:rsid w:val="00DE4B9F"/>
    <w:rsid w:val="00DE4C0C"/>
    <w:rsid w:val="00DE4EA3"/>
    <w:rsid w:val="00DE502D"/>
    <w:rsid w:val="00DE5388"/>
    <w:rsid w:val="00DE5464"/>
    <w:rsid w:val="00DE557B"/>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A04"/>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4EE"/>
    <w:rsid w:val="00E035FD"/>
    <w:rsid w:val="00E038B9"/>
    <w:rsid w:val="00E03977"/>
    <w:rsid w:val="00E03F34"/>
    <w:rsid w:val="00E045C3"/>
    <w:rsid w:val="00E048FF"/>
    <w:rsid w:val="00E04AB7"/>
    <w:rsid w:val="00E05064"/>
    <w:rsid w:val="00E050EF"/>
    <w:rsid w:val="00E05400"/>
    <w:rsid w:val="00E0556C"/>
    <w:rsid w:val="00E05789"/>
    <w:rsid w:val="00E059CD"/>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96"/>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430"/>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133"/>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1C0F"/>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20"/>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BE"/>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49"/>
    <w:rsid w:val="00E71B5E"/>
    <w:rsid w:val="00E71E58"/>
    <w:rsid w:val="00E71F09"/>
    <w:rsid w:val="00E72209"/>
    <w:rsid w:val="00E728FE"/>
    <w:rsid w:val="00E72E5D"/>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63"/>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99F"/>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C9"/>
    <w:rsid w:val="00E853FC"/>
    <w:rsid w:val="00E85A25"/>
    <w:rsid w:val="00E85ABB"/>
    <w:rsid w:val="00E85C65"/>
    <w:rsid w:val="00E85E24"/>
    <w:rsid w:val="00E860C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25E"/>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B4E"/>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5EA"/>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7F3"/>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A60"/>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A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5FE"/>
    <w:rsid w:val="00EC770C"/>
    <w:rsid w:val="00EC7AC9"/>
    <w:rsid w:val="00EC7B42"/>
    <w:rsid w:val="00EC7C29"/>
    <w:rsid w:val="00EC7D83"/>
    <w:rsid w:val="00EC7DBC"/>
    <w:rsid w:val="00EC7ECF"/>
    <w:rsid w:val="00ED009A"/>
    <w:rsid w:val="00ED00D7"/>
    <w:rsid w:val="00ED0189"/>
    <w:rsid w:val="00ED01C6"/>
    <w:rsid w:val="00ED0202"/>
    <w:rsid w:val="00ED041A"/>
    <w:rsid w:val="00ED047C"/>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CDE"/>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25"/>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9FF"/>
    <w:rsid w:val="00EE4A17"/>
    <w:rsid w:val="00EE4A2C"/>
    <w:rsid w:val="00EE4C46"/>
    <w:rsid w:val="00EE4CA5"/>
    <w:rsid w:val="00EE4E37"/>
    <w:rsid w:val="00EE52B7"/>
    <w:rsid w:val="00EE534C"/>
    <w:rsid w:val="00EE5677"/>
    <w:rsid w:val="00EE5806"/>
    <w:rsid w:val="00EE5B34"/>
    <w:rsid w:val="00EE5BAF"/>
    <w:rsid w:val="00EE6104"/>
    <w:rsid w:val="00EE628C"/>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06F"/>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D1E"/>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2A1"/>
    <w:rsid w:val="00F0439A"/>
    <w:rsid w:val="00F04461"/>
    <w:rsid w:val="00F04703"/>
    <w:rsid w:val="00F049DD"/>
    <w:rsid w:val="00F04B5B"/>
    <w:rsid w:val="00F04CE1"/>
    <w:rsid w:val="00F04D32"/>
    <w:rsid w:val="00F0507E"/>
    <w:rsid w:val="00F050A7"/>
    <w:rsid w:val="00F05190"/>
    <w:rsid w:val="00F054D8"/>
    <w:rsid w:val="00F0559B"/>
    <w:rsid w:val="00F0561B"/>
    <w:rsid w:val="00F05755"/>
    <w:rsid w:val="00F05789"/>
    <w:rsid w:val="00F05BA9"/>
    <w:rsid w:val="00F05E3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91"/>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5F"/>
    <w:rsid w:val="00F237F4"/>
    <w:rsid w:val="00F2398D"/>
    <w:rsid w:val="00F23B3F"/>
    <w:rsid w:val="00F23EB1"/>
    <w:rsid w:val="00F242C5"/>
    <w:rsid w:val="00F245D5"/>
    <w:rsid w:val="00F24667"/>
    <w:rsid w:val="00F2478B"/>
    <w:rsid w:val="00F249AD"/>
    <w:rsid w:val="00F24A05"/>
    <w:rsid w:val="00F24E55"/>
    <w:rsid w:val="00F24EB1"/>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43A"/>
    <w:rsid w:val="00F31511"/>
    <w:rsid w:val="00F317F5"/>
    <w:rsid w:val="00F31B00"/>
    <w:rsid w:val="00F31B12"/>
    <w:rsid w:val="00F31BA5"/>
    <w:rsid w:val="00F31CE6"/>
    <w:rsid w:val="00F31EE4"/>
    <w:rsid w:val="00F32644"/>
    <w:rsid w:val="00F32981"/>
    <w:rsid w:val="00F32A9F"/>
    <w:rsid w:val="00F32D78"/>
    <w:rsid w:val="00F330B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CD6"/>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0EE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16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B9"/>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6D"/>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13B"/>
    <w:rsid w:val="00F83620"/>
    <w:rsid w:val="00F837A5"/>
    <w:rsid w:val="00F840F6"/>
    <w:rsid w:val="00F841AC"/>
    <w:rsid w:val="00F84229"/>
    <w:rsid w:val="00F843A8"/>
    <w:rsid w:val="00F8467A"/>
    <w:rsid w:val="00F846D7"/>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0DF8"/>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7CD"/>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1E45"/>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750"/>
    <w:rsid w:val="00FB5E41"/>
    <w:rsid w:val="00FB6021"/>
    <w:rsid w:val="00FB61C4"/>
    <w:rsid w:val="00FB62DE"/>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7F7"/>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5FAB"/>
    <w:rsid w:val="00FE609C"/>
    <w:rsid w:val="00FE6230"/>
    <w:rsid w:val="00FE6468"/>
    <w:rsid w:val="00FE6646"/>
    <w:rsid w:val="00FE669B"/>
    <w:rsid w:val="00FE714D"/>
    <w:rsid w:val="00FE7352"/>
    <w:rsid w:val="00FE770A"/>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385"/>
    <w:rsid w:val="00FF677B"/>
    <w:rsid w:val="00FF6916"/>
    <w:rsid w:val="00FF6982"/>
    <w:rsid w:val="00FF6A2B"/>
    <w:rsid w:val="00FF6C1C"/>
    <w:rsid w:val="00FF6C35"/>
    <w:rsid w:val="00FF6F85"/>
    <w:rsid w:val="00FF7060"/>
    <w:rsid w:val="00FF730B"/>
    <w:rsid w:val="00FF7636"/>
    <w:rsid w:val="00FF765F"/>
    <w:rsid w:val="00FF7989"/>
    <w:rsid w:val="00FF7D03"/>
    <w:rsid w:val="015C0B4E"/>
    <w:rsid w:val="040A0520"/>
    <w:rsid w:val="04FC78EC"/>
    <w:rsid w:val="0ACC60B9"/>
    <w:rsid w:val="0B660C1A"/>
    <w:rsid w:val="0CE73503"/>
    <w:rsid w:val="0F224C59"/>
    <w:rsid w:val="0FA605E4"/>
    <w:rsid w:val="0FBD50BE"/>
    <w:rsid w:val="12BF3379"/>
    <w:rsid w:val="14951E1C"/>
    <w:rsid w:val="170A2E03"/>
    <w:rsid w:val="17F93E0B"/>
    <w:rsid w:val="18EC3FB4"/>
    <w:rsid w:val="18F41B50"/>
    <w:rsid w:val="1C455CA5"/>
    <w:rsid w:val="1CC0569C"/>
    <w:rsid w:val="1D2C69D2"/>
    <w:rsid w:val="231B021F"/>
    <w:rsid w:val="239E00B4"/>
    <w:rsid w:val="246C2A48"/>
    <w:rsid w:val="24841CB2"/>
    <w:rsid w:val="251E74A4"/>
    <w:rsid w:val="27843CE5"/>
    <w:rsid w:val="2AFA10C0"/>
    <w:rsid w:val="2EDA6C9B"/>
    <w:rsid w:val="2F912134"/>
    <w:rsid w:val="32735E8B"/>
    <w:rsid w:val="32EB653A"/>
    <w:rsid w:val="344937D5"/>
    <w:rsid w:val="35521C81"/>
    <w:rsid w:val="393B376F"/>
    <w:rsid w:val="3BCB6780"/>
    <w:rsid w:val="3F10792C"/>
    <w:rsid w:val="3FBB24C4"/>
    <w:rsid w:val="3FF5F3AE"/>
    <w:rsid w:val="407C216D"/>
    <w:rsid w:val="42CD0A98"/>
    <w:rsid w:val="431A0C09"/>
    <w:rsid w:val="43A67DC2"/>
    <w:rsid w:val="43FD6F63"/>
    <w:rsid w:val="44F763A1"/>
    <w:rsid w:val="46685A76"/>
    <w:rsid w:val="472E43D9"/>
    <w:rsid w:val="47795A3E"/>
    <w:rsid w:val="480E2158"/>
    <w:rsid w:val="48D37A5B"/>
    <w:rsid w:val="49217C44"/>
    <w:rsid w:val="4A0A15D2"/>
    <w:rsid w:val="4A881849"/>
    <w:rsid w:val="4B65373A"/>
    <w:rsid w:val="4B825F6B"/>
    <w:rsid w:val="4D00163A"/>
    <w:rsid w:val="4D186B5A"/>
    <w:rsid w:val="4E233D62"/>
    <w:rsid w:val="4F0F5BE3"/>
    <w:rsid w:val="4FAC67CD"/>
    <w:rsid w:val="52422029"/>
    <w:rsid w:val="538419AF"/>
    <w:rsid w:val="55040901"/>
    <w:rsid w:val="55D30964"/>
    <w:rsid w:val="56DF05DE"/>
    <w:rsid w:val="57FC6189"/>
    <w:rsid w:val="5AA1673B"/>
    <w:rsid w:val="5F073306"/>
    <w:rsid w:val="5F5F73B9"/>
    <w:rsid w:val="60896815"/>
    <w:rsid w:val="62B92535"/>
    <w:rsid w:val="661E4C47"/>
    <w:rsid w:val="6838144E"/>
    <w:rsid w:val="6852376A"/>
    <w:rsid w:val="68AA7398"/>
    <w:rsid w:val="69724D0C"/>
    <w:rsid w:val="6DAD5695"/>
    <w:rsid w:val="72EF7DEA"/>
    <w:rsid w:val="74234E42"/>
    <w:rsid w:val="742C597A"/>
    <w:rsid w:val="755521A4"/>
    <w:rsid w:val="765A7261"/>
    <w:rsid w:val="7682346D"/>
    <w:rsid w:val="76B4739E"/>
    <w:rsid w:val="789A3768"/>
    <w:rsid w:val="79860C21"/>
    <w:rsid w:val="7AF10BC1"/>
    <w:rsid w:val="7FC00B62"/>
    <w:rsid w:val="7FCB7C32"/>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74"/>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7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7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78"/>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79"/>
    <w:qFormat/>
    <w:uiPriority w:val="9"/>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80"/>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81"/>
    <w:qFormat/>
    <w:uiPriority w:val="9"/>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4">
    <w:name w:val="Default Paragraph Font"/>
    <w:unhideWhenUsed/>
    <w:qFormat/>
    <w:uiPriority w:val="1"/>
  </w:style>
  <w:style w:type="table" w:default="1" w:styleId="61">
    <w:name w:val="Normal Table"/>
    <w:unhideWhenUsed/>
    <w:qFormat/>
    <w:uiPriority w:val="99"/>
    <w:tblPr>
      <w:tblStyle w:val="61"/>
      <w:tblCellMar>
        <w:top w:w="0" w:type="dxa"/>
        <w:left w:w="108" w:type="dxa"/>
        <w:bottom w:w="0" w:type="dxa"/>
        <w:right w:w="108" w:type="dxa"/>
      </w:tblCellMar>
    </w:tblPr>
  </w:style>
  <w:style w:type="paragraph" w:styleId="2">
    <w:name w:val="Body Text First Indent 2"/>
    <w:basedOn w:val="3"/>
    <w:link w:val="73"/>
    <w:qFormat/>
    <w:uiPriority w:val="0"/>
    <w:pPr>
      <w:spacing w:after="120" w:line="480" w:lineRule="exact"/>
      <w:ind w:left="420" w:leftChars="200" w:firstLine="420" w:firstLineChars="200"/>
    </w:pPr>
    <w:rPr>
      <w:szCs w:val="20"/>
    </w:rPr>
  </w:style>
  <w:style w:type="paragraph" w:styleId="3">
    <w:name w:val="Body Text Indent"/>
    <w:basedOn w:val="1"/>
    <w:link w:val="72"/>
    <w:qFormat/>
    <w:uiPriority w:val="0"/>
    <w:pPr>
      <w:spacing w:line="360" w:lineRule="auto"/>
      <w:ind w:firstLine="570"/>
    </w:pPr>
    <w:rPr>
      <w:sz w:val="24"/>
    </w:rPr>
  </w:style>
  <w:style w:type="paragraph" w:styleId="6">
    <w:name w:val="Normal Indent"/>
    <w:basedOn w:val="1"/>
    <w:link w:val="76"/>
    <w:qFormat/>
    <w:uiPriority w:val="0"/>
    <w:pPr>
      <w:autoSpaceDE w:val="0"/>
      <w:autoSpaceDN w:val="0"/>
      <w:adjustRightInd w:val="0"/>
      <w:ind w:firstLine="420"/>
      <w:jc w:val="left"/>
    </w:pPr>
    <w:rPr>
      <w:rFonts w:ascii="宋体"/>
      <w:sz w:val="24"/>
    </w:rPr>
  </w:style>
  <w:style w:type="paragraph" w:styleId="14">
    <w:name w:val="List 3"/>
    <w:basedOn w:val="1"/>
    <w:qFormat/>
    <w:uiPriority w:val="0"/>
    <w:pPr>
      <w:widowControl/>
      <w:spacing w:after="160" w:line="278" w:lineRule="auto"/>
      <w:ind w:left="100" w:leftChars="400" w:hanging="200" w:hangingChars="200"/>
    </w:pPr>
    <w:rPr>
      <w:rFonts w:ascii="ˎ̥" w:hAnsi="ˎ̥" w:cs="Arial"/>
      <w:kern w:val="0"/>
      <w:sz w:val="24"/>
    </w:rPr>
  </w:style>
  <w:style w:type="paragraph" w:styleId="15">
    <w:name w:val="toc 7"/>
    <w:basedOn w:val="1"/>
    <w:next w:val="1"/>
    <w:qFormat/>
    <w:uiPriority w:val="39"/>
    <w:pPr>
      <w:ind w:left="2520" w:leftChars="1200"/>
    </w:pPr>
  </w:style>
  <w:style w:type="paragraph" w:styleId="16">
    <w:name w:val="table of authorities"/>
    <w:basedOn w:val="1"/>
    <w:next w:val="1"/>
    <w:unhideWhenUsed/>
    <w:qFormat/>
    <w:uiPriority w:val="0"/>
    <w:pPr>
      <w:widowControl/>
      <w:kinsoku w:val="0"/>
      <w:autoSpaceDE w:val="0"/>
      <w:autoSpaceDN w:val="0"/>
      <w:adjustRightInd w:val="0"/>
      <w:snapToGrid w:val="0"/>
      <w:ind w:left="420" w:leftChars="200"/>
      <w:jc w:val="left"/>
      <w:textAlignment w:val="baseline"/>
    </w:pPr>
    <w:rPr>
      <w:rFonts w:ascii="Arial" w:hAnsi="Arial" w:eastAsia="Arial" w:cs="Arial"/>
      <w:snapToGrid w:val="0"/>
      <w:color w:val="000000"/>
      <w:kern w:val="0"/>
      <w:szCs w:val="21"/>
    </w:rPr>
  </w:style>
  <w:style w:type="paragraph" w:styleId="17">
    <w:name w:val="caption"/>
    <w:basedOn w:val="1"/>
    <w:next w:val="1"/>
    <w:qFormat/>
    <w:uiPriority w:val="35"/>
    <w:pPr>
      <w:spacing w:line="480" w:lineRule="auto"/>
    </w:pPr>
    <w:rPr>
      <w:rFonts w:ascii="华文中宋" w:hAnsi="华文中宋" w:eastAsia="华文中宋"/>
      <w:sz w:val="36"/>
      <w:szCs w:val="20"/>
    </w:rPr>
  </w:style>
  <w:style w:type="paragraph" w:styleId="18">
    <w:name w:val="index 5"/>
    <w:basedOn w:val="1"/>
    <w:next w:val="1"/>
    <w:unhideWhenUsed/>
    <w:qFormat/>
    <w:uiPriority w:val="0"/>
    <w:pPr>
      <w:widowControl/>
      <w:spacing w:after="160" w:line="278" w:lineRule="auto"/>
      <w:ind w:left="800" w:leftChars="800"/>
    </w:pPr>
    <w:rPr>
      <w:rFonts w:ascii="Calibri" w:hAnsi="Calibri" w:cs="Arial"/>
      <w:kern w:val="0"/>
      <w:sz w:val="24"/>
    </w:rPr>
  </w:style>
  <w:style w:type="paragraph" w:styleId="19">
    <w:name w:val="Document Map"/>
    <w:basedOn w:val="1"/>
    <w:link w:val="84"/>
    <w:qFormat/>
    <w:uiPriority w:val="99"/>
    <w:pPr>
      <w:shd w:val="clear" w:color="auto" w:fill="000080"/>
    </w:pPr>
  </w:style>
  <w:style w:type="paragraph" w:styleId="20">
    <w:name w:val="toa heading"/>
    <w:basedOn w:val="1"/>
    <w:next w:val="1"/>
    <w:qFormat/>
    <w:uiPriority w:val="0"/>
    <w:pPr>
      <w:spacing w:before="120" w:after="160" w:line="278" w:lineRule="auto"/>
    </w:pPr>
    <w:rPr>
      <w:rFonts w:ascii="Arial" w:hAnsi="Arial"/>
      <w:sz w:val="24"/>
    </w:rPr>
  </w:style>
  <w:style w:type="paragraph" w:styleId="21">
    <w:name w:val="annotation text"/>
    <w:basedOn w:val="1"/>
    <w:link w:val="85"/>
    <w:qFormat/>
    <w:uiPriority w:val="99"/>
    <w:pPr>
      <w:jc w:val="left"/>
    </w:pPr>
  </w:style>
  <w:style w:type="paragraph" w:styleId="22">
    <w:name w:val="Body Text 3"/>
    <w:basedOn w:val="1"/>
    <w:link w:val="86"/>
    <w:qFormat/>
    <w:uiPriority w:val="0"/>
    <w:pPr>
      <w:spacing w:after="120"/>
    </w:pPr>
    <w:rPr>
      <w:sz w:val="16"/>
      <w:szCs w:val="16"/>
    </w:rPr>
  </w:style>
  <w:style w:type="paragraph" w:styleId="23">
    <w:name w:val="Body Text"/>
    <w:basedOn w:val="1"/>
    <w:link w:val="87"/>
    <w:qFormat/>
    <w:uiPriority w:val="0"/>
    <w:pPr>
      <w:tabs>
        <w:tab w:val="left" w:pos="567"/>
      </w:tabs>
      <w:spacing w:before="120" w:line="22" w:lineRule="atLeast"/>
    </w:pPr>
    <w:rPr>
      <w:rFonts w:ascii="宋体" w:hAnsi="宋体"/>
      <w:sz w:val="24"/>
    </w:rPr>
  </w:style>
  <w:style w:type="paragraph" w:styleId="24">
    <w:name w:val="List 2"/>
    <w:basedOn w:val="1"/>
    <w:qFormat/>
    <w:uiPriority w:val="0"/>
    <w:pPr>
      <w:ind w:left="100" w:leftChars="200" w:hanging="200" w:hangingChars="200"/>
    </w:pPr>
  </w:style>
  <w:style w:type="paragraph" w:styleId="25">
    <w:name w:val="List Continue"/>
    <w:basedOn w:val="1"/>
    <w:qFormat/>
    <w:uiPriority w:val="0"/>
    <w:pPr>
      <w:widowControl/>
      <w:spacing w:after="120" w:line="278" w:lineRule="auto"/>
      <w:ind w:left="420" w:leftChars="200"/>
    </w:pPr>
    <w:rPr>
      <w:rFonts w:ascii="ˎ̥" w:hAnsi="ˎ̥" w:cs="Arial"/>
      <w:kern w:val="0"/>
      <w:sz w:val="24"/>
    </w:rPr>
  </w:style>
  <w:style w:type="paragraph" w:styleId="26">
    <w:name w:val="Block Text"/>
    <w:basedOn w:val="1"/>
    <w:qFormat/>
    <w:uiPriority w:val="0"/>
    <w:pPr>
      <w:widowControl/>
      <w:ind w:left="480" w:right="-341" w:firstLine="513"/>
    </w:pPr>
    <w:rPr>
      <w:kern w:val="0"/>
      <w:sz w:val="24"/>
      <w:szCs w:val="20"/>
    </w:rPr>
  </w:style>
  <w:style w:type="paragraph" w:styleId="27">
    <w:name w:val="index 4"/>
    <w:basedOn w:val="1"/>
    <w:next w:val="1"/>
    <w:unhideWhenUsed/>
    <w:qFormat/>
    <w:uiPriority w:val="0"/>
    <w:pPr>
      <w:widowControl/>
      <w:spacing w:after="160" w:line="278" w:lineRule="auto"/>
      <w:ind w:left="600" w:leftChars="600"/>
    </w:pPr>
    <w:rPr>
      <w:rFonts w:ascii="Calibri" w:hAnsi="Calibri" w:cs="Arial"/>
      <w:kern w:val="0"/>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hint="eastAsia" w:ascii="宋体" w:hAnsi="Courier New"/>
      <w:szCs w:val="20"/>
    </w:rPr>
  </w:style>
  <w:style w:type="paragraph" w:styleId="31">
    <w:name w:val="toc 8"/>
    <w:basedOn w:val="1"/>
    <w:next w:val="1"/>
    <w:qFormat/>
    <w:uiPriority w:val="39"/>
    <w:pPr>
      <w:ind w:left="2940" w:leftChars="1400"/>
    </w:pPr>
  </w:style>
  <w:style w:type="paragraph" w:styleId="32">
    <w:name w:val="Date"/>
    <w:basedOn w:val="1"/>
    <w:next w:val="1"/>
    <w:link w:val="89"/>
    <w:qFormat/>
    <w:uiPriority w:val="99"/>
    <w:pPr>
      <w:ind w:left="100" w:leftChars="2500"/>
    </w:pPr>
    <w:rPr>
      <w:rFonts w:ascii="仿宋_GB2312" w:hAnsi="宋体" w:eastAsia="仿宋_GB2312"/>
      <w:color w:val="000000"/>
      <w:sz w:val="24"/>
    </w:rPr>
  </w:style>
  <w:style w:type="paragraph" w:styleId="33">
    <w:name w:val="Body Text Indent 2"/>
    <w:basedOn w:val="1"/>
    <w:link w:val="90"/>
    <w:qFormat/>
    <w:uiPriority w:val="0"/>
    <w:pPr>
      <w:ind w:firstLine="480" w:firstLineChars="200"/>
    </w:pPr>
    <w:rPr>
      <w:rFonts w:ascii="仿宋_GB2312" w:eastAsia="仿宋_GB2312"/>
      <w:sz w:val="24"/>
    </w:rPr>
  </w:style>
  <w:style w:type="paragraph" w:styleId="34">
    <w:name w:val="endnote text"/>
    <w:basedOn w:val="1"/>
    <w:link w:val="91"/>
    <w:qFormat/>
    <w:uiPriority w:val="0"/>
    <w:pPr>
      <w:snapToGrid w:val="0"/>
      <w:jc w:val="left"/>
    </w:pPr>
  </w:style>
  <w:style w:type="paragraph" w:styleId="35">
    <w:name w:val="Balloon Text"/>
    <w:basedOn w:val="1"/>
    <w:link w:val="92"/>
    <w:qFormat/>
    <w:uiPriority w:val="0"/>
    <w:rPr>
      <w:sz w:val="18"/>
      <w:szCs w:val="18"/>
    </w:rPr>
  </w:style>
  <w:style w:type="paragraph" w:styleId="36">
    <w:name w:val="footer"/>
    <w:basedOn w:val="1"/>
    <w:link w:val="9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7">
    <w:name w:val="envelope return"/>
    <w:basedOn w:val="1"/>
    <w:qFormat/>
    <w:uiPriority w:val="99"/>
    <w:pPr>
      <w:snapToGrid w:val="0"/>
    </w:pPr>
    <w:rPr>
      <w:rFonts w:ascii="Arial" w:hAnsi="Arial" w:cs="Arial"/>
      <w:szCs w:val="20"/>
    </w:rPr>
  </w:style>
  <w:style w:type="paragraph" w:styleId="38">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0">
    <w:name w:val="toc 4"/>
    <w:basedOn w:val="1"/>
    <w:next w:val="1"/>
    <w:qFormat/>
    <w:uiPriority w:val="39"/>
    <w:pPr>
      <w:ind w:left="1260" w:leftChars="600"/>
    </w:pPr>
  </w:style>
  <w:style w:type="paragraph" w:styleId="41">
    <w:name w:val="Subtitle"/>
    <w:basedOn w:val="1"/>
    <w:next w:val="1"/>
    <w:link w:val="95"/>
    <w:qFormat/>
    <w:uiPriority w:val="11"/>
    <w:pPr>
      <w:overflowPunct w:val="0"/>
      <w:spacing w:before="120" w:after="600"/>
      <w:jc w:val="center"/>
    </w:pPr>
    <w:rPr>
      <w:rFonts w:ascii="Calibri" w:hAnsi="Calibri" w:eastAsia="黑体" w:cs="宋体"/>
      <w:b/>
      <w:kern w:val="1"/>
      <w:sz w:val="44"/>
      <w:szCs w:val="44"/>
      <w:lang w:eastAsia="ar-SA"/>
    </w:rPr>
  </w:style>
  <w:style w:type="paragraph" w:styleId="42">
    <w:name w:val="List"/>
    <w:basedOn w:val="43"/>
    <w:qFormat/>
    <w:uiPriority w:val="0"/>
    <w:rPr>
      <w:rFonts w:ascii="Arial" w:hAnsi="Arial" w:cs="Tahoma"/>
    </w:rPr>
  </w:style>
  <w:style w:type="paragraph" w:customStyle="1" w:styleId="43">
    <w:name w:val="单倍行距正文文本"/>
    <w:basedOn w:val="1"/>
    <w:qFormat/>
    <w:uiPriority w:val="0"/>
    <w:pPr>
      <w:overflowPunct w:val="0"/>
      <w:spacing w:after="120"/>
    </w:pPr>
    <w:rPr>
      <w:kern w:val="1"/>
      <w:lang w:eastAsia="ar-SA"/>
    </w:rPr>
  </w:style>
  <w:style w:type="paragraph" w:styleId="44">
    <w:name w:val="footnote text"/>
    <w:basedOn w:val="1"/>
    <w:link w:val="96"/>
    <w:qFormat/>
    <w:uiPriority w:val="0"/>
    <w:pPr>
      <w:snapToGrid w:val="0"/>
      <w:jc w:val="left"/>
    </w:pPr>
    <w:rPr>
      <w:sz w:val="18"/>
      <w:szCs w:val="18"/>
    </w:rPr>
  </w:style>
  <w:style w:type="paragraph" w:styleId="45">
    <w:name w:val="toc 6"/>
    <w:basedOn w:val="1"/>
    <w:next w:val="1"/>
    <w:qFormat/>
    <w:uiPriority w:val="39"/>
    <w:pPr>
      <w:ind w:left="2100" w:leftChars="1000"/>
    </w:pPr>
  </w:style>
  <w:style w:type="paragraph" w:styleId="46">
    <w:name w:val="List 5"/>
    <w:basedOn w:val="1"/>
    <w:qFormat/>
    <w:uiPriority w:val="0"/>
    <w:pPr>
      <w:widowControl/>
      <w:spacing w:after="160" w:line="278" w:lineRule="auto"/>
      <w:ind w:left="100" w:leftChars="800" w:hanging="200" w:hangingChars="200"/>
    </w:pPr>
    <w:rPr>
      <w:rFonts w:ascii="ˎ̥" w:hAnsi="ˎ̥" w:cs="Arial"/>
      <w:kern w:val="0"/>
      <w:sz w:val="24"/>
    </w:rPr>
  </w:style>
  <w:style w:type="paragraph" w:styleId="47">
    <w:name w:val="Body Text Indent 3"/>
    <w:basedOn w:val="1"/>
    <w:link w:val="9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8">
    <w:name w:val="index 9"/>
    <w:basedOn w:val="1"/>
    <w:next w:val="1"/>
    <w:unhideWhenUsed/>
    <w:qFormat/>
    <w:uiPriority w:val="99"/>
    <w:pPr>
      <w:ind w:left="1600" w:leftChars="1600"/>
    </w:pPr>
  </w:style>
  <w:style w:type="paragraph" w:styleId="49">
    <w:name w:val="toc 2"/>
    <w:basedOn w:val="1"/>
    <w:next w:val="1"/>
    <w:qFormat/>
    <w:uiPriority w:val="39"/>
    <w:pPr>
      <w:tabs>
        <w:tab w:val="right" w:leader="dot" w:pos="8937"/>
      </w:tabs>
      <w:spacing w:line="312" w:lineRule="auto"/>
      <w:ind w:left="420" w:leftChars="200"/>
    </w:pPr>
  </w:style>
  <w:style w:type="paragraph" w:styleId="50">
    <w:name w:val="toc 9"/>
    <w:basedOn w:val="1"/>
    <w:next w:val="1"/>
    <w:qFormat/>
    <w:uiPriority w:val="39"/>
    <w:pPr>
      <w:ind w:left="3360" w:leftChars="1600"/>
    </w:pPr>
  </w:style>
  <w:style w:type="paragraph" w:styleId="51">
    <w:name w:val="Body Text 2"/>
    <w:basedOn w:val="1"/>
    <w:link w:val="98"/>
    <w:unhideWhenUsed/>
    <w:qFormat/>
    <w:uiPriority w:val="0"/>
    <w:pPr>
      <w:spacing w:after="120" w:line="480" w:lineRule="auto"/>
    </w:pPr>
  </w:style>
  <w:style w:type="paragraph" w:styleId="52">
    <w:name w:val="List 4"/>
    <w:basedOn w:val="1"/>
    <w:qFormat/>
    <w:uiPriority w:val="0"/>
    <w:pPr>
      <w:widowControl/>
      <w:spacing w:after="160" w:line="278" w:lineRule="auto"/>
      <w:ind w:left="100" w:leftChars="600" w:hanging="200" w:hangingChars="200"/>
    </w:pPr>
    <w:rPr>
      <w:rFonts w:ascii="ˎ̥" w:hAnsi="ˎ̥" w:cs="Arial"/>
      <w:kern w:val="0"/>
      <w:sz w:val="24"/>
    </w:rPr>
  </w:style>
  <w:style w:type="paragraph" w:styleId="53">
    <w:name w:val="Message Header"/>
    <w:basedOn w:val="1"/>
    <w:next w:val="2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54">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6">
    <w:name w:val="List Continue 3"/>
    <w:basedOn w:val="1"/>
    <w:qFormat/>
    <w:uiPriority w:val="0"/>
    <w:pPr>
      <w:widowControl/>
      <w:spacing w:after="120" w:line="278" w:lineRule="auto"/>
      <w:ind w:left="1260" w:leftChars="600"/>
    </w:pPr>
    <w:rPr>
      <w:rFonts w:ascii="ˎ̥" w:hAnsi="ˎ̥" w:cs="Arial"/>
      <w:kern w:val="0"/>
      <w:sz w:val="24"/>
    </w:rPr>
  </w:style>
  <w:style w:type="paragraph" w:styleId="57">
    <w:name w:val="index 1"/>
    <w:basedOn w:val="1"/>
    <w:next w:val="1"/>
    <w:qFormat/>
    <w:uiPriority w:val="0"/>
    <w:rPr>
      <w:szCs w:val="20"/>
    </w:rPr>
  </w:style>
  <w:style w:type="paragraph" w:styleId="58">
    <w:name w:val="Title"/>
    <w:basedOn w:val="1"/>
    <w:link w:val="100"/>
    <w:qFormat/>
    <w:uiPriority w:val="10"/>
    <w:pPr>
      <w:jc w:val="center"/>
      <w:outlineLvl w:val="0"/>
    </w:pPr>
    <w:rPr>
      <w:b/>
      <w:sz w:val="32"/>
      <w:szCs w:val="20"/>
    </w:rPr>
  </w:style>
  <w:style w:type="paragraph" w:styleId="59">
    <w:name w:val="annotation subject"/>
    <w:basedOn w:val="21"/>
    <w:next w:val="21"/>
    <w:link w:val="101"/>
    <w:qFormat/>
    <w:uiPriority w:val="99"/>
    <w:rPr>
      <w:b/>
      <w:bCs/>
    </w:rPr>
  </w:style>
  <w:style w:type="paragraph" w:styleId="60">
    <w:name w:val="Body Text First Indent"/>
    <w:basedOn w:val="23"/>
    <w:link w:val="102"/>
    <w:unhideWhenUsed/>
    <w:qFormat/>
    <w:uiPriority w:val="0"/>
    <w:pPr>
      <w:tabs>
        <w:tab w:val="clear" w:pos="567"/>
      </w:tabs>
      <w:spacing w:before="0" w:after="120" w:line="240" w:lineRule="auto"/>
      <w:ind w:firstLine="420" w:firstLineChars="100"/>
    </w:pPr>
    <w:rPr>
      <w:rFonts w:ascii="Times New Roman" w:hAnsi="Times New Roman"/>
      <w:sz w:val="21"/>
    </w:rPr>
  </w:style>
  <w:style w:type="table" w:styleId="62">
    <w:name w:val="Table Grid"/>
    <w:basedOn w:val="61"/>
    <w:qFormat/>
    <w:uiPriority w:val="39"/>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Medium Grid 1 Accent 2"/>
    <w:basedOn w:val="61"/>
    <w:qFormat/>
    <w:uiPriority w:val="0"/>
    <w:rPr>
      <w:kern w:val="2"/>
      <w:sz w:val="21"/>
      <w:szCs w:val="24"/>
    </w:rPr>
    <w:tblPr>
      <w:tblStyle w:val="6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61"/>
      </w:tblPr>
    </w:tblStylePr>
    <w:tblStylePr w:type="lastRow">
      <w:rPr>
        <w:b/>
        <w:bCs/>
      </w:rPr>
      <w:tblPr>
        <w:tblStyle w:val="61"/>
      </w:tblPr>
      <w:tcPr>
        <w:tcBorders>
          <w:top w:val="single" w:color="CF7B79" w:sz="18" w:space="0"/>
          <w:left w:val="nil"/>
          <w:bottom w:val="nil"/>
          <w:right w:val="nil"/>
          <w:insideH w:val="nil"/>
          <w:insideV w:val="nil"/>
          <w:tl2br w:val="nil"/>
          <w:tr2bl w:val="nil"/>
        </w:tcBorders>
      </w:tcPr>
    </w:tblStylePr>
    <w:tblStylePr w:type="firstCol">
      <w:rPr>
        <w:b/>
        <w:bCs/>
      </w:rPr>
      <w:tblPr>
        <w:tblStyle w:val="61"/>
      </w:tblPr>
    </w:tblStylePr>
    <w:tblStylePr w:type="lastCol">
      <w:rPr>
        <w:b/>
        <w:bCs/>
      </w:rPr>
      <w:tblPr>
        <w:tblStyle w:val="61"/>
      </w:tblPr>
    </w:tblStylePr>
    <w:tblStylePr w:type="band1Vert">
      <w:tblPr>
        <w:tblStyle w:val="61"/>
      </w:tblPr>
      <w:tcPr>
        <w:shd w:val="clear" w:color="auto" w:fill="DFA7A6"/>
      </w:tcPr>
    </w:tblStylePr>
    <w:tblStylePr w:type="band1Horz">
      <w:tblPr>
        <w:tblStyle w:val="61"/>
      </w:tblPr>
      <w:tcPr>
        <w:shd w:val="clear" w:color="auto" w:fill="DFA7A6"/>
      </w:tcPr>
    </w:tblStylePr>
  </w:style>
  <w:style w:type="character" w:styleId="65">
    <w:name w:val="Strong"/>
    <w:qFormat/>
    <w:uiPriority w:val="0"/>
    <w:rPr>
      <w:b/>
      <w:bCs/>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2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HTML Cite"/>
    <w:qFormat/>
    <w:uiPriority w:val="0"/>
    <w:rPr>
      <w:i/>
      <w:iCs/>
    </w:rPr>
  </w:style>
  <w:style w:type="character" w:customStyle="1" w:styleId="72">
    <w:name w:val="正文文本缩进 字符1"/>
    <w:link w:val="3"/>
    <w:qFormat/>
    <w:uiPriority w:val="0"/>
    <w:rPr>
      <w:rFonts w:eastAsia="宋体"/>
      <w:kern w:val="2"/>
      <w:sz w:val="24"/>
      <w:szCs w:val="24"/>
      <w:lang w:val="en-US" w:eastAsia="zh-CN" w:bidi="ar-SA"/>
    </w:rPr>
  </w:style>
  <w:style w:type="character" w:customStyle="1" w:styleId="73">
    <w:name w:val="正文文本首行缩进 2 字符"/>
    <w:link w:val="2"/>
    <w:qFormat/>
    <w:uiPriority w:val="99"/>
    <w:rPr>
      <w:rFonts w:eastAsia="宋体"/>
      <w:kern w:val="2"/>
      <w:sz w:val="24"/>
      <w:szCs w:val="24"/>
      <w:lang w:val="en-US" w:eastAsia="zh-CN" w:bidi="ar-SA"/>
    </w:rPr>
  </w:style>
  <w:style w:type="character" w:customStyle="1" w:styleId="74">
    <w:name w:val="标题 1 字符1"/>
    <w:link w:val="4"/>
    <w:qFormat/>
    <w:uiPriority w:val="1"/>
    <w:rPr>
      <w:rFonts w:ascii="宋体"/>
      <w:b/>
      <w:kern w:val="44"/>
      <w:sz w:val="32"/>
    </w:rPr>
  </w:style>
  <w:style w:type="character" w:customStyle="1" w:styleId="75">
    <w:name w:val="标题 2 字符1"/>
    <w:link w:val="5"/>
    <w:qFormat/>
    <w:uiPriority w:val="1"/>
    <w:rPr>
      <w:rFonts w:ascii="Arial" w:hAnsi="Arial" w:eastAsia="黑体"/>
      <w:b/>
      <w:sz w:val="30"/>
      <w:lang w:val="en-US" w:eastAsia="zh-CN" w:bidi="ar-SA"/>
    </w:rPr>
  </w:style>
  <w:style w:type="character" w:customStyle="1" w:styleId="76">
    <w:name w:val="正文缩进 字符2"/>
    <w:link w:val="6"/>
    <w:qFormat/>
    <w:uiPriority w:val="0"/>
    <w:rPr>
      <w:rFonts w:ascii="宋体" w:eastAsia="宋体"/>
      <w:kern w:val="2"/>
      <w:sz w:val="24"/>
      <w:szCs w:val="24"/>
      <w:lang w:val="en-US" w:eastAsia="zh-CN" w:bidi="ar-SA"/>
    </w:rPr>
  </w:style>
  <w:style w:type="character" w:customStyle="1" w:styleId="77">
    <w:name w:val="标题 3 字符1"/>
    <w:link w:val="7"/>
    <w:qFormat/>
    <w:uiPriority w:val="1"/>
    <w:rPr>
      <w:rFonts w:ascii="宋体" w:eastAsia="宋体"/>
      <w:b/>
      <w:sz w:val="24"/>
      <w:u w:val="single"/>
      <w:lang w:val="en-US" w:eastAsia="zh-CN" w:bidi="ar-SA"/>
    </w:rPr>
  </w:style>
  <w:style w:type="character" w:customStyle="1" w:styleId="78">
    <w:name w:val="标题 4 字符1"/>
    <w:link w:val="8"/>
    <w:qFormat/>
    <w:uiPriority w:val="1"/>
    <w:rPr>
      <w:rFonts w:ascii="Arial" w:hAnsi="Arial" w:eastAsia="黑体"/>
      <w:b/>
      <w:sz w:val="28"/>
    </w:rPr>
  </w:style>
  <w:style w:type="character" w:customStyle="1" w:styleId="79">
    <w:name w:val="标题 5 字符1"/>
    <w:link w:val="9"/>
    <w:qFormat/>
    <w:uiPriority w:val="9"/>
    <w:rPr>
      <w:b/>
      <w:sz w:val="28"/>
    </w:rPr>
  </w:style>
  <w:style w:type="character" w:customStyle="1" w:styleId="80">
    <w:name w:val="标题 6 字符1"/>
    <w:link w:val="10"/>
    <w:qFormat/>
    <w:uiPriority w:val="0"/>
    <w:rPr>
      <w:rFonts w:ascii="Arial" w:hAnsi="Arial" w:eastAsia="黑体"/>
      <w:b/>
      <w:sz w:val="24"/>
    </w:rPr>
  </w:style>
  <w:style w:type="character" w:customStyle="1" w:styleId="81">
    <w:name w:val="标题 7 字符1"/>
    <w:link w:val="11"/>
    <w:qFormat/>
    <w:uiPriority w:val="0"/>
    <w:rPr>
      <w:b/>
      <w:sz w:val="24"/>
    </w:rPr>
  </w:style>
  <w:style w:type="character" w:customStyle="1" w:styleId="82">
    <w:name w:val="标题 8 字符1"/>
    <w:link w:val="12"/>
    <w:qFormat/>
    <w:uiPriority w:val="0"/>
    <w:rPr>
      <w:rFonts w:ascii="Arial" w:hAnsi="Arial" w:eastAsia="黑体"/>
      <w:sz w:val="24"/>
    </w:rPr>
  </w:style>
  <w:style w:type="character" w:customStyle="1" w:styleId="83">
    <w:name w:val="标题 9 字符1"/>
    <w:link w:val="13"/>
    <w:qFormat/>
    <w:uiPriority w:val="0"/>
    <w:rPr>
      <w:rFonts w:ascii="Arial" w:hAnsi="Arial" w:eastAsia="黑体"/>
      <w:sz w:val="21"/>
    </w:rPr>
  </w:style>
  <w:style w:type="character" w:customStyle="1" w:styleId="84">
    <w:name w:val="文档结构图 字符1"/>
    <w:link w:val="19"/>
    <w:qFormat/>
    <w:uiPriority w:val="99"/>
    <w:rPr>
      <w:kern w:val="2"/>
      <w:sz w:val="21"/>
      <w:szCs w:val="24"/>
      <w:shd w:val="clear" w:color="auto" w:fill="000080"/>
    </w:rPr>
  </w:style>
  <w:style w:type="character" w:customStyle="1" w:styleId="85">
    <w:name w:val="批注文字 字符1"/>
    <w:link w:val="21"/>
    <w:qFormat/>
    <w:uiPriority w:val="99"/>
    <w:rPr>
      <w:kern w:val="2"/>
      <w:sz w:val="21"/>
      <w:szCs w:val="24"/>
    </w:rPr>
  </w:style>
  <w:style w:type="character" w:customStyle="1" w:styleId="86">
    <w:name w:val="正文文本 3 字符1"/>
    <w:link w:val="22"/>
    <w:qFormat/>
    <w:uiPriority w:val="0"/>
    <w:rPr>
      <w:kern w:val="2"/>
      <w:sz w:val="16"/>
      <w:szCs w:val="16"/>
    </w:rPr>
  </w:style>
  <w:style w:type="character" w:customStyle="1" w:styleId="87">
    <w:name w:val="正文文本 字符1"/>
    <w:link w:val="23"/>
    <w:qFormat/>
    <w:uiPriority w:val="99"/>
    <w:rPr>
      <w:rFonts w:ascii="宋体" w:hAnsi="宋体"/>
      <w:kern w:val="2"/>
      <w:sz w:val="24"/>
      <w:szCs w:val="24"/>
    </w:rPr>
  </w:style>
  <w:style w:type="character" w:customStyle="1" w:styleId="88">
    <w:name w:val="纯文本 字符3"/>
    <w:link w:val="30"/>
    <w:qFormat/>
    <w:uiPriority w:val="0"/>
    <w:rPr>
      <w:rFonts w:hint="eastAsia" w:ascii="宋体" w:hAnsi="Courier New" w:eastAsia="宋体" w:cs="宋体"/>
      <w:kern w:val="2"/>
      <w:sz w:val="21"/>
    </w:rPr>
  </w:style>
  <w:style w:type="character" w:customStyle="1" w:styleId="89">
    <w:name w:val="日期 字符1"/>
    <w:link w:val="32"/>
    <w:qFormat/>
    <w:uiPriority w:val="99"/>
    <w:rPr>
      <w:rFonts w:ascii="仿宋_GB2312" w:hAnsi="宋体" w:eastAsia="仿宋_GB2312"/>
      <w:color w:val="000000"/>
      <w:kern w:val="2"/>
      <w:sz w:val="24"/>
      <w:szCs w:val="24"/>
    </w:rPr>
  </w:style>
  <w:style w:type="character" w:customStyle="1" w:styleId="90">
    <w:name w:val="正文文本缩进 2 字符1"/>
    <w:link w:val="33"/>
    <w:qFormat/>
    <w:uiPriority w:val="0"/>
    <w:rPr>
      <w:rFonts w:ascii="仿宋_GB2312" w:eastAsia="仿宋_GB2312"/>
      <w:kern w:val="2"/>
      <w:sz w:val="24"/>
      <w:szCs w:val="24"/>
    </w:rPr>
  </w:style>
  <w:style w:type="character" w:customStyle="1" w:styleId="91">
    <w:name w:val="尾注文本 字符"/>
    <w:link w:val="34"/>
    <w:qFormat/>
    <w:uiPriority w:val="0"/>
    <w:rPr>
      <w:kern w:val="2"/>
      <w:sz w:val="21"/>
      <w:szCs w:val="24"/>
    </w:rPr>
  </w:style>
  <w:style w:type="character" w:customStyle="1" w:styleId="92">
    <w:name w:val="批注框文本 字符1"/>
    <w:link w:val="35"/>
    <w:qFormat/>
    <w:uiPriority w:val="99"/>
    <w:rPr>
      <w:kern w:val="2"/>
      <w:sz w:val="18"/>
      <w:szCs w:val="18"/>
    </w:rPr>
  </w:style>
  <w:style w:type="character" w:customStyle="1" w:styleId="93">
    <w:name w:val="页脚 字符1"/>
    <w:link w:val="36"/>
    <w:qFormat/>
    <w:uiPriority w:val="99"/>
    <w:rPr>
      <w:rFonts w:ascii="宋体" w:eastAsia="宋体"/>
      <w:sz w:val="18"/>
      <w:lang w:val="en-US" w:eastAsia="zh-CN" w:bidi="ar-SA"/>
    </w:rPr>
  </w:style>
  <w:style w:type="character" w:customStyle="1" w:styleId="94">
    <w:name w:val="页眉 字符1"/>
    <w:link w:val="38"/>
    <w:qFormat/>
    <w:uiPriority w:val="99"/>
    <w:rPr>
      <w:rFonts w:eastAsia="宋体"/>
      <w:kern w:val="2"/>
      <w:sz w:val="18"/>
      <w:szCs w:val="18"/>
      <w:lang w:val="en-US" w:eastAsia="zh-CN" w:bidi="ar-SA"/>
    </w:rPr>
  </w:style>
  <w:style w:type="character" w:customStyle="1" w:styleId="95">
    <w:name w:val="副标题 字符"/>
    <w:link w:val="41"/>
    <w:qFormat/>
    <w:uiPriority w:val="11"/>
    <w:rPr>
      <w:rFonts w:ascii="Calibri" w:hAnsi="Calibri" w:eastAsia="黑体" w:cs="宋体"/>
      <w:b/>
      <w:kern w:val="1"/>
      <w:sz w:val="44"/>
      <w:szCs w:val="44"/>
      <w:lang w:eastAsia="ar-SA"/>
    </w:rPr>
  </w:style>
  <w:style w:type="character" w:customStyle="1" w:styleId="96">
    <w:name w:val="脚注文本 字符"/>
    <w:link w:val="44"/>
    <w:qFormat/>
    <w:uiPriority w:val="0"/>
    <w:rPr>
      <w:kern w:val="2"/>
      <w:sz w:val="18"/>
      <w:szCs w:val="18"/>
    </w:rPr>
  </w:style>
  <w:style w:type="character" w:customStyle="1" w:styleId="97">
    <w:name w:val="正文文本缩进 3 字符1"/>
    <w:link w:val="47"/>
    <w:qFormat/>
    <w:uiPriority w:val="0"/>
    <w:rPr>
      <w:rFonts w:ascii="宋体"/>
      <w:sz w:val="24"/>
    </w:rPr>
  </w:style>
  <w:style w:type="character" w:customStyle="1" w:styleId="98">
    <w:name w:val="正文文本 2 字符"/>
    <w:link w:val="51"/>
    <w:qFormat/>
    <w:uiPriority w:val="0"/>
    <w:rPr>
      <w:kern w:val="2"/>
      <w:sz w:val="21"/>
      <w:szCs w:val="24"/>
    </w:rPr>
  </w:style>
  <w:style w:type="character" w:customStyle="1" w:styleId="99">
    <w:name w:val="HTML 预设格式 字符1"/>
    <w:link w:val="54"/>
    <w:qFormat/>
    <w:uiPriority w:val="99"/>
    <w:rPr>
      <w:rFonts w:ascii="宋体" w:hAnsi="宋体" w:cs="宋体"/>
      <w:sz w:val="24"/>
      <w:szCs w:val="24"/>
    </w:rPr>
  </w:style>
  <w:style w:type="character" w:customStyle="1" w:styleId="100">
    <w:name w:val="标题 字符1"/>
    <w:link w:val="58"/>
    <w:qFormat/>
    <w:uiPriority w:val="10"/>
    <w:rPr>
      <w:b/>
      <w:kern w:val="2"/>
      <w:sz w:val="32"/>
    </w:rPr>
  </w:style>
  <w:style w:type="character" w:customStyle="1" w:styleId="101">
    <w:name w:val="批注主题 字符2"/>
    <w:link w:val="59"/>
    <w:qFormat/>
    <w:uiPriority w:val="99"/>
    <w:rPr>
      <w:rFonts w:ascii="Times New Roman" w:hAnsi="Times New Roman" w:eastAsia="宋体" w:cs="Times New Roman"/>
      <w:b/>
      <w:bCs/>
      <w:kern w:val="2"/>
      <w:sz w:val="21"/>
      <w:szCs w:val="24"/>
      <w:lang w:val="en-US" w:eastAsia="zh-CN" w:bidi="ar-SA"/>
    </w:rPr>
  </w:style>
  <w:style w:type="character" w:customStyle="1" w:styleId="102">
    <w:name w:val="正文文本首行缩进 字符"/>
    <w:link w:val="60"/>
    <w:qFormat/>
    <w:uiPriority w:val="0"/>
    <w:rPr>
      <w:rFonts w:ascii="宋体" w:hAnsi="宋体"/>
      <w:kern w:val="2"/>
      <w:sz w:val="21"/>
      <w:szCs w:val="24"/>
    </w:rPr>
  </w:style>
  <w:style w:type="character" w:customStyle="1" w:styleId="103">
    <w:name w:val="批注文字 字符"/>
    <w:qFormat/>
    <w:uiPriority w:val="99"/>
    <w:rPr>
      <w:rFonts w:ascii="Times New Roman" w:hAnsi="Times New Roman" w:eastAsia="宋体" w:cs="Times New Roman"/>
      <w:sz w:val="24"/>
      <w:lang w:val="en-US" w:eastAsia="zh-CN" w:bidi="ar-SA"/>
    </w:rPr>
  </w:style>
  <w:style w:type="character" w:customStyle="1" w:styleId="104">
    <w:name w:val="c21"/>
    <w:qFormat/>
    <w:uiPriority w:val="0"/>
    <w:rPr>
      <w:rFonts w:hint="default" w:ascii="ˎ̥" w:hAnsi="ˎ̥"/>
      <w:color w:val="000000"/>
      <w:sz w:val="20"/>
      <w:szCs w:val="20"/>
      <w:u w:val="none"/>
    </w:rPr>
  </w:style>
  <w:style w:type="character" w:customStyle="1" w:styleId="105">
    <w:name w:val="title4"/>
    <w:qFormat/>
    <w:uiPriority w:val="0"/>
    <w:rPr>
      <w:b/>
      <w:bCs/>
      <w:color w:val="1D87B3"/>
      <w:sz w:val="15"/>
      <w:szCs w:val="15"/>
    </w:rPr>
  </w:style>
  <w:style w:type="character" w:customStyle="1" w:styleId="106">
    <w:name w:val="标题 2 Char Char"/>
    <w:qFormat/>
    <w:uiPriority w:val="0"/>
    <w:rPr>
      <w:rFonts w:ascii="Arial" w:hAnsi="Arial" w:eastAsia="黑体"/>
      <w:b/>
      <w:bCs/>
      <w:kern w:val="2"/>
      <w:sz w:val="32"/>
      <w:szCs w:val="32"/>
      <w:lang w:val="en-US" w:eastAsia="zh-CN" w:bidi="ar-SA"/>
    </w:rPr>
  </w:style>
  <w:style w:type="character" w:customStyle="1" w:styleId="107">
    <w:name w:val="black1"/>
    <w:qFormat/>
    <w:uiPriority w:val="0"/>
    <w:rPr>
      <w:color w:val="000000"/>
    </w:rPr>
  </w:style>
  <w:style w:type="character" w:customStyle="1" w:styleId="108">
    <w:name w:val="street-address"/>
    <w:qFormat/>
    <w:uiPriority w:val="0"/>
  </w:style>
  <w:style w:type="character" w:customStyle="1" w:styleId="109">
    <w:name w:val="locality"/>
    <w:qFormat/>
    <w:uiPriority w:val="0"/>
  </w:style>
  <w:style w:type="character" w:customStyle="1" w:styleId="110">
    <w:name w:val="正文文本缩进 Char1"/>
    <w:link w:val="111"/>
    <w:qFormat/>
    <w:uiPriority w:val="99"/>
    <w:rPr>
      <w:rFonts w:ascii="宋体" w:hAnsi="宋体" w:eastAsia="宋体"/>
      <w:sz w:val="24"/>
      <w:szCs w:val="24"/>
      <w:lang w:bidi="ar-SA"/>
    </w:rPr>
  </w:style>
  <w:style w:type="paragraph" w:customStyle="1" w:styleId="111">
    <w:name w:val="正文文本缩进1"/>
    <w:basedOn w:val="1"/>
    <w:link w:val="110"/>
    <w:qFormat/>
    <w:uiPriority w:val="0"/>
    <w:pPr>
      <w:spacing w:line="480" w:lineRule="exact"/>
      <w:ind w:firstLine="480" w:firstLineChars="200"/>
    </w:pPr>
    <w:rPr>
      <w:rFonts w:ascii="宋体" w:hAnsi="宋体"/>
      <w:kern w:val="0"/>
      <w:sz w:val="24"/>
    </w:rPr>
  </w:style>
  <w:style w:type="character" w:customStyle="1" w:styleId="112">
    <w:name w:val="Char Char11"/>
    <w:qFormat/>
    <w:uiPriority w:val="0"/>
    <w:rPr>
      <w:rFonts w:ascii="宋体" w:eastAsia="宋体"/>
      <w:b/>
      <w:sz w:val="24"/>
      <w:u w:val="single"/>
      <w:lang w:val="en-US" w:eastAsia="zh-CN" w:bidi="ar-SA"/>
    </w:rPr>
  </w:style>
  <w:style w:type="character" w:customStyle="1" w:styleId="113">
    <w:name w:val="txt"/>
    <w:qFormat/>
    <w:uiPriority w:val="0"/>
  </w:style>
  <w:style w:type="character" w:customStyle="1" w:styleId="114">
    <w:name w:val="正文缩进 Char Char"/>
    <w:link w:val="115"/>
    <w:qFormat/>
    <w:uiPriority w:val="0"/>
    <w:rPr>
      <w:rFonts w:ascii="宋体" w:eastAsia="宋体"/>
      <w:snapToGrid w:val="0"/>
      <w:color w:val="000000"/>
      <w:kern w:val="28"/>
      <w:sz w:val="28"/>
      <w:lang w:bidi="ar-SA"/>
    </w:rPr>
  </w:style>
  <w:style w:type="paragraph" w:customStyle="1" w:styleId="115">
    <w:name w:val="正文缩进1"/>
    <w:basedOn w:val="1"/>
    <w:link w:val="11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6">
    <w:name w:val="普通文字1 Char1"/>
    <w:qFormat/>
    <w:uiPriority w:val="0"/>
    <w:rPr>
      <w:rFonts w:ascii="宋体" w:hAnsi="Courier New" w:eastAsia="宋体"/>
      <w:kern w:val="2"/>
      <w:sz w:val="21"/>
      <w:lang w:val="en-US" w:eastAsia="zh-CN" w:bidi="ar-SA"/>
    </w:rPr>
  </w:style>
  <w:style w:type="character" w:customStyle="1" w:styleId="117">
    <w:name w:val="chanpin1"/>
    <w:qFormat/>
    <w:uiPriority w:val="0"/>
    <w:rPr>
      <w:rFonts w:hint="default" w:ascii="ˎ̥" w:hAnsi="ˎ̥"/>
      <w:color w:val="000000"/>
      <w:sz w:val="20"/>
      <w:szCs w:val="20"/>
      <w:u w:val="none"/>
    </w:rPr>
  </w:style>
  <w:style w:type="character" w:customStyle="1" w:styleId="118">
    <w:name w:val="列表段落 字符"/>
    <w:link w:val="119"/>
    <w:qFormat/>
    <w:uiPriority w:val="34"/>
    <w:rPr>
      <w:rFonts w:ascii="Calibri" w:hAnsi="Calibri" w:eastAsia="宋体"/>
      <w:kern w:val="2"/>
      <w:sz w:val="21"/>
      <w:szCs w:val="22"/>
      <w:lang w:val="en-US" w:eastAsia="zh-CN" w:bidi="ar-SA"/>
    </w:rPr>
  </w:style>
  <w:style w:type="paragraph" w:styleId="119">
    <w:name w:val="List Paragraph"/>
    <w:basedOn w:val="1"/>
    <w:link w:val="118"/>
    <w:qFormat/>
    <w:uiPriority w:val="34"/>
    <w:pPr>
      <w:ind w:firstLine="420" w:firstLineChars="200"/>
    </w:pPr>
    <w:rPr>
      <w:rFonts w:ascii="Calibri" w:hAnsi="Calibri"/>
      <w:szCs w:val="22"/>
    </w:rPr>
  </w:style>
  <w:style w:type="character" w:customStyle="1" w:styleId="120">
    <w:name w:val="标题 3 Char Char"/>
    <w:qFormat/>
    <w:uiPriority w:val="0"/>
    <w:rPr>
      <w:rFonts w:eastAsia="宋体"/>
      <w:b/>
      <w:bCs/>
      <w:kern w:val="2"/>
      <w:sz w:val="32"/>
      <w:szCs w:val="32"/>
      <w:lang w:val="en-US" w:eastAsia="zh-CN" w:bidi="ar-SA"/>
    </w:rPr>
  </w:style>
  <w:style w:type="character" w:customStyle="1" w:styleId="121">
    <w:name w:val="段1 Char"/>
    <w:qFormat/>
    <w:uiPriority w:val="0"/>
    <w:rPr>
      <w:rFonts w:ascii="宋体" w:eastAsia="宋体"/>
      <w:sz w:val="24"/>
      <w:lang w:val="en-US" w:eastAsia="zh-CN" w:bidi="ar-SA"/>
    </w:rPr>
  </w:style>
  <w:style w:type="character" w:customStyle="1" w:styleId="122">
    <w:name w:val="chanpin拷贝"/>
    <w:qFormat/>
    <w:uiPriority w:val="0"/>
  </w:style>
  <w:style w:type="character" w:customStyle="1" w:styleId="123">
    <w:name w:val="纯文本 Char1"/>
    <w:qFormat/>
    <w:uiPriority w:val="0"/>
    <w:rPr>
      <w:rFonts w:ascii="宋体" w:hAnsi="Courier New" w:eastAsia="宋体"/>
      <w:kern w:val="2"/>
      <w:sz w:val="21"/>
      <w:lang w:val="en-US" w:eastAsia="zh-CN" w:bidi="ar-SA"/>
    </w:rPr>
  </w:style>
  <w:style w:type="character" w:customStyle="1" w:styleId="124">
    <w:name w:val="apple-style-span"/>
    <w:qFormat/>
    <w:uiPriority w:val="0"/>
    <w:rPr>
      <w:rFonts w:cs="Times New Roman"/>
    </w:rPr>
  </w:style>
  <w:style w:type="paragraph" w:customStyle="1" w:styleId="125">
    <w:name w:val="二级条标题"/>
    <w:basedOn w:val="12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26">
    <w:name w:val="一级条标题"/>
    <w:basedOn w:val="127"/>
    <w:next w:val="1"/>
    <w:qFormat/>
    <w:uiPriority w:val="0"/>
    <w:pPr>
      <w:numPr>
        <w:ilvl w:val="1"/>
      </w:numPr>
      <w:tabs>
        <w:tab w:val="left" w:pos="360"/>
        <w:tab w:val="left" w:pos="840"/>
      </w:tabs>
      <w:ind w:left="0" w:hanging="840"/>
      <w:outlineLvl w:val="1"/>
    </w:pPr>
  </w:style>
  <w:style w:type="paragraph" w:customStyle="1" w:styleId="127">
    <w:name w:val="章标题"/>
    <w:next w:val="1"/>
    <w:qFormat/>
    <w:uiPriority w:val="0"/>
    <w:pPr>
      <w:numPr>
        <w:ilvl w:val="0"/>
        <w:numId w:val="1"/>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2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9">
    <w:name w:val="字元 字元"/>
    <w:basedOn w:val="1"/>
    <w:qFormat/>
    <w:uiPriority w:val="0"/>
    <w:rPr>
      <w:rFonts w:ascii="Tahoma" w:hAnsi="Tahoma"/>
      <w:sz w:val="24"/>
      <w:szCs w:val="20"/>
    </w:rPr>
  </w:style>
  <w:style w:type="paragraph" w:customStyle="1" w:styleId="130">
    <w:name w:val="Char3 Char Char Char"/>
    <w:basedOn w:val="1"/>
    <w:qFormat/>
    <w:uiPriority w:val="0"/>
    <w:rPr>
      <w:rFonts w:ascii="Tahoma" w:hAnsi="Tahoma"/>
      <w:sz w:val="24"/>
      <w:szCs w:val="20"/>
    </w:rPr>
  </w:style>
  <w:style w:type="paragraph" w:customStyle="1" w:styleId="13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2">
    <w:name w:val="项目编号2"/>
    <w:basedOn w:val="133"/>
    <w:qFormat/>
    <w:uiPriority w:val="0"/>
    <w:pPr>
      <w:numPr>
        <w:numId w:val="2"/>
      </w:numPr>
    </w:pPr>
  </w:style>
  <w:style w:type="paragraph" w:customStyle="1" w:styleId="13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4">
    <w:name w:val="图中文字"/>
    <w:basedOn w:val="1"/>
    <w:qFormat/>
    <w:uiPriority w:val="0"/>
    <w:pPr>
      <w:adjustRightInd w:val="0"/>
      <w:snapToGrid w:val="0"/>
      <w:spacing w:line="0" w:lineRule="atLeast"/>
      <w:jc w:val="center"/>
    </w:pPr>
    <w:rPr>
      <w:sz w:val="24"/>
      <w:szCs w:val="20"/>
    </w:rPr>
  </w:style>
  <w:style w:type="paragraph" w:customStyle="1" w:styleId="13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7">
    <w:name w:val="Char2"/>
    <w:basedOn w:val="1"/>
    <w:qFormat/>
    <w:uiPriority w:val="0"/>
    <w:rPr>
      <w:rFonts w:ascii="Tahoma" w:hAnsi="Tahoma"/>
      <w:sz w:val="24"/>
      <w:szCs w:val="20"/>
    </w:rPr>
  </w:style>
  <w:style w:type="paragraph" w:customStyle="1" w:styleId="13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1">
    <w:name w:val="font8"/>
    <w:basedOn w:val="1"/>
    <w:qFormat/>
    <w:uiPriority w:val="0"/>
    <w:pPr>
      <w:widowControl/>
      <w:spacing w:before="100" w:beforeAutospacing="1" w:after="100" w:afterAutospacing="1"/>
      <w:jc w:val="left"/>
    </w:pPr>
    <w:rPr>
      <w:kern w:val="0"/>
      <w:sz w:val="36"/>
      <w:szCs w:val="36"/>
    </w:rPr>
  </w:style>
  <w:style w:type="paragraph" w:customStyle="1" w:styleId="152">
    <w:name w:val="Char"/>
    <w:basedOn w:val="1"/>
    <w:qFormat/>
    <w:uiPriority w:val="0"/>
    <w:pPr>
      <w:tabs>
        <w:tab w:val="left" w:pos="360"/>
      </w:tabs>
    </w:pPr>
    <w:rPr>
      <w:sz w:val="24"/>
    </w:rPr>
  </w:style>
  <w:style w:type="paragraph" w:customStyle="1" w:styleId="15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Char Char1"/>
    <w:basedOn w:val="19"/>
    <w:qFormat/>
    <w:uiPriority w:val="0"/>
    <w:rPr>
      <w:rFonts w:ascii="Tahoma" w:hAnsi="Tahoma"/>
      <w:sz w:val="24"/>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1">
    <w:name w:val="Char1 Char Char Char1"/>
    <w:basedOn w:val="1"/>
    <w:qFormat/>
    <w:uiPriority w:val="0"/>
    <w:rPr>
      <w:rFonts w:ascii="Tahoma" w:hAnsi="Tahoma" w:cs="仿宋_GB2312"/>
      <w:sz w:val="24"/>
      <w:szCs w:val="28"/>
    </w:rPr>
  </w:style>
  <w:style w:type="paragraph" w:customStyle="1" w:styleId="162">
    <w:name w:val="四级条标题"/>
    <w:basedOn w:val="163"/>
    <w:next w:val="1"/>
    <w:qFormat/>
    <w:uiPriority w:val="0"/>
    <w:pPr>
      <w:numPr>
        <w:ilvl w:val="4"/>
      </w:numPr>
      <w:tabs>
        <w:tab w:val="left" w:pos="360"/>
        <w:tab w:val="left" w:pos="840"/>
      </w:tabs>
      <w:ind w:left="0" w:hanging="840"/>
      <w:outlineLvl w:val="4"/>
    </w:pPr>
  </w:style>
  <w:style w:type="paragraph" w:customStyle="1" w:styleId="163">
    <w:name w:val="三级条标题"/>
    <w:basedOn w:val="125"/>
    <w:next w:val="1"/>
    <w:qFormat/>
    <w:uiPriority w:val="0"/>
    <w:pPr>
      <w:numPr>
        <w:ilvl w:val="3"/>
        <w:numId w:val="1"/>
      </w:numPr>
      <w:ind w:left="0" w:hanging="840"/>
      <w:outlineLvl w:val="3"/>
    </w:pPr>
  </w:style>
  <w:style w:type="paragraph" w:customStyle="1" w:styleId="164">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165">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6">
    <w:name w:val="List Paragraph1"/>
    <w:basedOn w:val="1"/>
    <w:qFormat/>
    <w:uiPriority w:val="0"/>
    <w:pPr>
      <w:ind w:firstLine="420" w:firstLineChars="200"/>
    </w:pPr>
    <w:rPr>
      <w:rFonts w:ascii="Calibri" w:hAnsi="Calibri"/>
      <w:szCs w:val="22"/>
    </w:rPr>
  </w:style>
  <w:style w:type="paragraph" w:customStyle="1" w:styleId="167">
    <w:name w:val="项目符号1"/>
    <w:basedOn w:val="168"/>
    <w:qFormat/>
    <w:uiPriority w:val="0"/>
    <w:pPr>
      <w:ind w:left="-25" w:firstLine="0"/>
    </w:pPr>
  </w:style>
  <w:style w:type="paragraph" w:customStyle="1" w:styleId="168">
    <w:name w:val="正文文本样式"/>
    <w:basedOn w:val="1"/>
    <w:qFormat/>
    <w:uiPriority w:val="0"/>
    <w:pPr>
      <w:spacing w:line="360" w:lineRule="auto"/>
      <w:ind w:firstLine="482"/>
    </w:pPr>
    <w:rPr>
      <w:rFonts w:cs="宋体"/>
      <w:sz w:val="24"/>
      <w:szCs w:val="20"/>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五级条标题"/>
    <w:basedOn w:val="162"/>
    <w:next w:val="1"/>
    <w:qFormat/>
    <w:uiPriority w:val="0"/>
    <w:pPr>
      <w:numPr>
        <w:ilvl w:val="5"/>
      </w:numPr>
      <w:ind w:left="0" w:hanging="840"/>
      <w:outlineLvl w:val="5"/>
    </w:pPr>
  </w:style>
  <w:style w:type="paragraph" w:customStyle="1" w:styleId="1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73">
    <w:name w:val="文档正文"/>
    <w:basedOn w:val="1"/>
    <w:qFormat/>
    <w:uiPriority w:val="0"/>
    <w:pPr>
      <w:snapToGrid w:val="0"/>
      <w:spacing w:before="120" w:after="120" w:line="180" w:lineRule="auto"/>
    </w:pPr>
    <w:rPr>
      <w:rFonts w:ascii="Arial" w:hAnsi="Arial"/>
      <w:szCs w:val="20"/>
    </w:rPr>
  </w:style>
  <w:style w:type="paragraph" w:customStyle="1" w:styleId="17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6">
    <w:name w:val="Char Char Char1 Char"/>
    <w:basedOn w:val="1"/>
    <w:qFormat/>
    <w:uiPriority w:val="0"/>
    <w:rPr>
      <w:rFonts w:ascii="Tahoma" w:hAnsi="Tahoma"/>
      <w:sz w:val="24"/>
      <w:szCs w:val="20"/>
    </w:rPr>
  </w:style>
  <w:style w:type="paragraph" w:customStyle="1" w:styleId="17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8">
    <w:name w:val="1名"/>
    <w:basedOn w:val="1"/>
    <w:qFormat/>
    <w:uiPriority w:val="0"/>
    <w:pPr>
      <w:numPr>
        <w:ilvl w:val="0"/>
        <w:numId w:val="5"/>
      </w:numPr>
      <w:spacing w:before="120"/>
    </w:pPr>
    <w:rPr>
      <w:rFonts w:ascii="宋体"/>
      <w:sz w:val="28"/>
      <w:szCs w:val="20"/>
    </w:rPr>
  </w:style>
  <w:style w:type="paragraph" w:customStyle="1" w:styleId="17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80">
    <w:name w:val="Char Char Char1 Char1"/>
    <w:basedOn w:val="1"/>
    <w:qFormat/>
    <w:uiPriority w:val="0"/>
    <w:rPr>
      <w:rFonts w:ascii="Tahoma" w:hAnsi="Tahoma"/>
      <w:sz w:val="24"/>
      <w:szCs w:val="20"/>
    </w:rPr>
  </w:style>
  <w:style w:type="paragraph" w:customStyle="1" w:styleId="181">
    <w:name w:val="Char Char Char Char Char Char Char Char Char Char"/>
    <w:basedOn w:val="1"/>
    <w:qFormat/>
    <w:uiPriority w:val="0"/>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w:basedOn w:val="1"/>
    <w:link w:val="184"/>
    <w:qFormat/>
    <w:uiPriority w:val="0"/>
    <w:pPr>
      <w:tabs>
        <w:tab w:val="left" w:pos="360"/>
      </w:tabs>
    </w:pPr>
    <w:rPr>
      <w:sz w:val="24"/>
    </w:rPr>
  </w:style>
  <w:style w:type="character" w:customStyle="1" w:styleId="184">
    <w:name w:val="Char Char3"/>
    <w:link w:val="183"/>
    <w:qFormat/>
    <w:uiPriority w:val="0"/>
    <w:rPr>
      <w:kern w:val="2"/>
      <w:sz w:val="24"/>
      <w:szCs w:val="24"/>
    </w:rPr>
  </w:style>
  <w:style w:type="paragraph" w:customStyle="1" w:styleId="18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8">
    <w:name w:val="默认段落字体 Para Char Char Char Char"/>
    <w:basedOn w:val="1"/>
    <w:qFormat/>
    <w:uiPriority w:val="0"/>
    <w:rPr>
      <w:rFonts w:ascii="Arial" w:hAnsi="Arial" w:cs="Arial"/>
      <w:szCs w:val="21"/>
    </w:rPr>
  </w:style>
  <w:style w:type="paragraph" w:customStyle="1" w:styleId="18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9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92">
    <w:name w:val="Char Char Char"/>
    <w:basedOn w:val="1"/>
    <w:qFormat/>
    <w:uiPriority w:val="0"/>
    <w:rPr>
      <w:rFonts w:ascii="Tahoma" w:hAnsi="Tahoma"/>
      <w:sz w:val="24"/>
      <w:szCs w:val="20"/>
    </w:rPr>
  </w:style>
  <w:style w:type="paragraph" w:customStyle="1" w:styleId="1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94">
    <w:name w:val="缺省文本"/>
    <w:basedOn w:val="1"/>
    <w:qFormat/>
    <w:uiPriority w:val="0"/>
    <w:pPr>
      <w:autoSpaceDE w:val="0"/>
      <w:autoSpaceDN w:val="0"/>
      <w:adjustRightInd w:val="0"/>
      <w:jc w:val="left"/>
    </w:pPr>
    <w:rPr>
      <w:kern w:val="0"/>
      <w:sz w:val="24"/>
    </w:rPr>
  </w:style>
  <w:style w:type="paragraph" w:customStyle="1" w:styleId="195">
    <w:name w:val="Char Char Char1"/>
    <w:basedOn w:val="1"/>
    <w:qFormat/>
    <w:uiPriority w:val="0"/>
    <w:rPr>
      <w:rFonts w:ascii="Tahoma" w:hAnsi="Tahoma"/>
      <w:sz w:val="24"/>
      <w:szCs w:val="20"/>
    </w:rPr>
  </w:style>
  <w:style w:type="paragraph" w:customStyle="1" w:styleId="19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9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8">
    <w:name w:val="样式2"/>
    <w:basedOn w:val="57"/>
    <w:link w:val="199"/>
    <w:qFormat/>
    <w:uiPriority w:val="0"/>
    <w:pPr>
      <w:spacing w:line="360" w:lineRule="auto"/>
      <w:jc w:val="center"/>
    </w:pPr>
    <w:rPr>
      <w:sz w:val="24"/>
    </w:rPr>
  </w:style>
  <w:style w:type="character" w:customStyle="1" w:styleId="199">
    <w:name w:val="样式2 Char"/>
    <w:link w:val="198"/>
    <w:qFormat/>
    <w:uiPriority w:val="0"/>
    <w:rPr>
      <w:kern w:val="2"/>
      <w:sz w:val="24"/>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2">
    <w:name w:val="正文 + 楷体_GB2312"/>
    <w:basedOn w:val="1"/>
    <w:qFormat/>
    <w:uiPriority w:val="0"/>
    <w:pPr>
      <w:widowControl/>
      <w:jc w:val="left"/>
    </w:pPr>
    <w:rPr>
      <w:rFonts w:ascii="楷体_GB2312" w:eastAsia="楷体_GB2312" w:cs="Arial"/>
      <w:kern w:val="0"/>
      <w:sz w:val="24"/>
    </w:rPr>
  </w:style>
  <w:style w:type="paragraph" w:customStyle="1" w:styleId="2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4">
    <w:name w:val="1 Char Char Char Char"/>
    <w:basedOn w:val="1"/>
    <w:qFormat/>
    <w:uiPriority w:val="0"/>
    <w:rPr>
      <w:rFonts w:ascii="Tahoma" w:hAnsi="Tahoma"/>
      <w:sz w:val="24"/>
      <w:szCs w:val="20"/>
    </w:rPr>
  </w:style>
  <w:style w:type="paragraph" w:customStyle="1" w:styleId="205">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206">
    <w:name w:val="列出段落1"/>
    <w:basedOn w:val="1"/>
    <w:link w:val="207"/>
    <w:qFormat/>
    <w:uiPriority w:val="34"/>
    <w:pPr>
      <w:ind w:firstLine="420" w:firstLineChars="200"/>
    </w:pPr>
    <w:rPr>
      <w:rFonts w:ascii="Calibri" w:hAnsi="Calibri"/>
      <w:szCs w:val="22"/>
    </w:rPr>
  </w:style>
  <w:style w:type="character" w:customStyle="1" w:styleId="207">
    <w:name w:val="List Paragraph Char"/>
    <w:link w:val="206"/>
    <w:qFormat/>
    <w:locked/>
    <w:uiPriority w:val="34"/>
    <w:rPr>
      <w:rFonts w:ascii="Calibri" w:hAnsi="Calibri"/>
      <w:kern w:val="2"/>
      <w:sz w:val="21"/>
      <w:szCs w:val="22"/>
    </w:rPr>
  </w:style>
  <w:style w:type="paragraph" w:customStyle="1" w:styleId="20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字元 字元1"/>
    <w:basedOn w:val="1"/>
    <w:qFormat/>
    <w:uiPriority w:val="0"/>
    <w:rPr>
      <w:rFonts w:ascii="Tahoma" w:hAnsi="Tahoma"/>
      <w:sz w:val="24"/>
      <w:szCs w:val="20"/>
    </w:rPr>
  </w:style>
  <w:style w:type="paragraph" w:customStyle="1" w:styleId="210">
    <w:name w:val="_Style 160"/>
    <w:qFormat/>
    <w:uiPriority w:val="0"/>
    <w:rPr>
      <w:kern w:val="2"/>
      <w:sz w:val="21"/>
      <w:szCs w:val="24"/>
      <w:lang w:val="en-US" w:eastAsia="zh-CN" w:bidi="ar-SA"/>
    </w:rPr>
  </w:style>
  <w:style w:type="paragraph" w:customStyle="1" w:styleId="211">
    <w:name w:val="项目编号3"/>
    <w:basedOn w:val="168"/>
    <w:qFormat/>
    <w:uiPriority w:val="0"/>
    <w:pPr>
      <w:numPr>
        <w:ilvl w:val="0"/>
        <w:numId w:val="6"/>
      </w:numPr>
    </w:pPr>
  </w:style>
  <w:style w:type="paragraph" w:customStyle="1" w:styleId="212">
    <w:name w:val="Char21"/>
    <w:basedOn w:val="1"/>
    <w:qFormat/>
    <w:uiPriority w:val="0"/>
    <w:rPr>
      <w:rFonts w:ascii="Tahoma" w:hAnsi="Tahoma"/>
      <w:sz w:val="24"/>
      <w:szCs w:val="20"/>
    </w:rPr>
  </w:style>
  <w:style w:type="paragraph" w:customStyle="1" w:styleId="213">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14">
    <w:name w:val="Char Char Char Char Char Char Char Char Char Char1"/>
    <w:basedOn w:val="1"/>
    <w:qFormat/>
    <w:uiPriority w:val="0"/>
    <w:rPr>
      <w:rFonts w:ascii="宋体" w:hAnsi="宋体" w:cs="Courier New"/>
      <w:sz w:val="32"/>
      <w:szCs w:val="32"/>
    </w:rPr>
  </w:style>
  <w:style w:type="paragraph" w:customStyle="1" w:styleId="215">
    <w:name w:val="正文文本样式 加粗"/>
    <w:basedOn w:val="168"/>
    <w:qFormat/>
    <w:uiPriority w:val="0"/>
    <w:rPr>
      <w:b/>
    </w:rPr>
  </w:style>
  <w:style w:type="paragraph" w:customStyle="1" w:styleId="216">
    <w:name w:val="Char2 Char Char Char Char Char Char"/>
    <w:basedOn w:val="1"/>
    <w:qFormat/>
    <w:uiPriority w:val="0"/>
    <w:pPr>
      <w:widowControl/>
      <w:spacing w:line="400" w:lineRule="exact"/>
      <w:jc w:val="center"/>
    </w:pPr>
  </w:style>
  <w:style w:type="paragraph" w:customStyle="1" w:styleId="217">
    <w:name w:val="Char Char4"/>
    <w:basedOn w:val="1"/>
    <w:qFormat/>
    <w:uiPriority w:val="0"/>
    <w:pPr>
      <w:widowControl/>
      <w:spacing w:line="400" w:lineRule="exact"/>
      <w:jc w:val="center"/>
    </w:pPr>
  </w:style>
  <w:style w:type="paragraph" w:customStyle="1" w:styleId="218">
    <w:name w:val="Char3 Char Char Char1"/>
    <w:basedOn w:val="1"/>
    <w:qFormat/>
    <w:uiPriority w:val="0"/>
    <w:rPr>
      <w:rFonts w:ascii="Tahoma" w:hAnsi="Tahoma"/>
      <w:sz w:val="24"/>
      <w:szCs w:val="20"/>
    </w:rPr>
  </w:style>
  <w:style w:type="paragraph" w:styleId="219">
    <w:name w:val="No Spacing"/>
    <w:qFormat/>
    <w:uiPriority w:val="1"/>
    <w:pPr>
      <w:widowControl w:val="0"/>
      <w:jc w:val="both"/>
    </w:pPr>
    <w:rPr>
      <w:kern w:val="2"/>
      <w:sz w:val="21"/>
      <w:szCs w:val="24"/>
      <w:lang w:val="en-US" w:eastAsia="zh-CN" w:bidi="ar-SA"/>
    </w:rPr>
  </w:style>
  <w:style w:type="paragraph" w:customStyle="1" w:styleId="22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21">
    <w:name w:val="中等深浅网格 1 - 强调文字颜色 2 Char"/>
    <w:link w:val="222"/>
    <w:qFormat/>
    <w:uiPriority w:val="0"/>
    <w:rPr>
      <w:kern w:val="2"/>
      <w:sz w:val="21"/>
      <w:szCs w:val="24"/>
      <w:lang w:val="zh-CN" w:eastAsia="zh-CN"/>
    </w:rPr>
  </w:style>
  <w:style w:type="paragraph" w:customStyle="1" w:styleId="222">
    <w:name w:val="1"/>
    <w:link w:val="221"/>
    <w:qFormat/>
    <w:uiPriority w:val="0"/>
    <w:rPr>
      <w:kern w:val="2"/>
      <w:sz w:val="21"/>
      <w:szCs w:val="24"/>
      <w:lang w:val="zh-CN" w:eastAsia="zh-CN" w:bidi="ar-SA"/>
    </w:rPr>
  </w:style>
  <w:style w:type="paragraph" w:customStyle="1" w:styleId="223">
    <w:name w:val="图文"/>
    <w:basedOn w:val="1"/>
    <w:qFormat/>
    <w:uiPriority w:val="0"/>
    <w:pPr>
      <w:adjustRightInd w:val="0"/>
      <w:snapToGrid w:val="0"/>
      <w:spacing w:after="50" w:line="360" w:lineRule="auto"/>
    </w:pPr>
    <w:rPr>
      <w:sz w:val="24"/>
    </w:rPr>
  </w:style>
  <w:style w:type="paragraph" w:customStyle="1" w:styleId="22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25">
    <w:name w:val="正文表格"/>
    <w:basedOn w:val="1"/>
    <w:link w:val="226"/>
    <w:qFormat/>
    <w:uiPriority w:val="0"/>
    <w:pPr>
      <w:adjustRightInd w:val="0"/>
      <w:snapToGrid w:val="0"/>
      <w:jc w:val="left"/>
    </w:pPr>
    <w:rPr>
      <w:rFonts w:ascii="宋体" w:hAnsi="宋体"/>
      <w:color w:val="000000"/>
      <w:szCs w:val="21"/>
    </w:rPr>
  </w:style>
  <w:style w:type="character" w:customStyle="1" w:styleId="226">
    <w:name w:val="正文表格 Char"/>
    <w:link w:val="225"/>
    <w:qFormat/>
    <w:uiPriority w:val="0"/>
    <w:rPr>
      <w:rFonts w:ascii="宋体" w:hAnsi="宋体"/>
      <w:color w:val="000000"/>
      <w:kern w:val="2"/>
      <w:sz w:val="21"/>
      <w:szCs w:val="21"/>
    </w:rPr>
  </w:style>
  <w:style w:type="paragraph" w:customStyle="1" w:styleId="227">
    <w:name w:val="正文重点"/>
    <w:basedOn w:val="1"/>
    <w:link w:val="228"/>
    <w:qFormat/>
    <w:uiPriority w:val="0"/>
    <w:pPr>
      <w:adjustRightInd w:val="0"/>
      <w:spacing w:line="360" w:lineRule="auto"/>
      <w:ind w:firstLine="482" w:firstLineChars="200"/>
      <w:jc w:val="left"/>
      <w:textAlignment w:val="baseline"/>
    </w:pPr>
    <w:rPr>
      <w:b/>
      <w:kern w:val="0"/>
      <w:sz w:val="24"/>
      <w:szCs w:val="20"/>
    </w:rPr>
  </w:style>
  <w:style w:type="character" w:customStyle="1" w:styleId="228">
    <w:name w:val="正文重点 Char"/>
    <w:link w:val="227"/>
    <w:qFormat/>
    <w:uiPriority w:val="0"/>
    <w:rPr>
      <w:b/>
      <w:sz w:val="24"/>
    </w:rPr>
  </w:style>
  <w:style w:type="paragraph" w:customStyle="1" w:styleId="229">
    <w:name w:val="标题1-附件"/>
    <w:basedOn w:val="4"/>
    <w:qFormat/>
    <w:uiPriority w:val="0"/>
    <w:pPr>
      <w:jc w:val="left"/>
    </w:pPr>
    <w:rPr>
      <w:sz w:val="24"/>
      <w:szCs w:val="24"/>
    </w:rPr>
  </w:style>
  <w:style w:type="paragraph" w:customStyle="1" w:styleId="230">
    <w:name w:val="正文小标题"/>
    <w:basedOn w:val="1"/>
    <w:next w:val="6"/>
    <w:link w:val="23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31">
    <w:name w:val="正文小标题 Char"/>
    <w:link w:val="230"/>
    <w:qFormat/>
    <w:uiPriority w:val="0"/>
    <w:rPr>
      <w:rFonts w:ascii="宋体" w:hAnsi="宋体"/>
      <w:b/>
      <w:i/>
      <w:color w:val="FF0000"/>
      <w:kern w:val="2"/>
      <w:sz w:val="24"/>
    </w:rPr>
  </w:style>
  <w:style w:type="paragraph" w:customStyle="1" w:styleId="232">
    <w:name w:val="正文大标题"/>
    <w:basedOn w:val="230"/>
    <w:next w:val="6"/>
    <w:link w:val="233"/>
    <w:qFormat/>
    <w:uiPriority w:val="0"/>
    <w:pPr>
      <w:jc w:val="center"/>
    </w:pPr>
    <w:rPr>
      <w:i w:val="0"/>
      <w:color w:val="000000"/>
      <w:sz w:val="28"/>
      <w:szCs w:val="21"/>
    </w:rPr>
  </w:style>
  <w:style w:type="character" w:customStyle="1" w:styleId="233">
    <w:name w:val="正文大标题 Char"/>
    <w:link w:val="232"/>
    <w:qFormat/>
    <w:uiPriority w:val="0"/>
    <w:rPr>
      <w:rFonts w:ascii="宋体" w:hAnsi="宋体"/>
      <w:b/>
      <w:color w:val="000000"/>
      <w:kern w:val="2"/>
      <w:sz w:val="28"/>
      <w:szCs w:val="21"/>
    </w:rPr>
  </w:style>
  <w:style w:type="paragraph" w:customStyle="1" w:styleId="234">
    <w:name w:val="注释"/>
    <w:basedOn w:val="1"/>
    <w:link w:val="235"/>
    <w:qFormat/>
    <w:uiPriority w:val="0"/>
    <w:pPr>
      <w:adjustRightInd w:val="0"/>
      <w:snapToGrid w:val="0"/>
      <w:ind w:left="420" w:hanging="420" w:hangingChars="200"/>
      <w:jc w:val="left"/>
    </w:pPr>
    <w:rPr>
      <w:rFonts w:ascii="宋体" w:hAnsi="宋体"/>
      <w:szCs w:val="21"/>
    </w:rPr>
  </w:style>
  <w:style w:type="character" w:customStyle="1" w:styleId="235">
    <w:name w:val="注释 Char"/>
    <w:link w:val="234"/>
    <w:qFormat/>
    <w:uiPriority w:val="0"/>
    <w:rPr>
      <w:rFonts w:ascii="宋体" w:hAnsi="宋体"/>
      <w:kern w:val="2"/>
      <w:sz w:val="21"/>
      <w:szCs w:val="21"/>
    </w:rPr>
  </w:style>
  <w:style w:type="paragraph" w:customStyle="1" w:styleId="23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3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3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39">
    <w:name w:val="纯文本 字符"/>
    <w:qFormat/>
    <w:uiPriority w:val="0"/>
    <w:rPr>
      <w:rFonts w:ascii="宋体" w:hAnsi="Courier New" w:eastAsia="宋体" w:cs="Times New Roman"/>
      <w:kern w:val="2"/>
      <w:sz w:val="21"/>
      <w:szCs w:val="21"/>
      <w:lang w:val="en-US" w:eastAsia="zh-CN" w:bidi="ar-SA"/>
    </w:rPr>
  </w:style>
  <w:style w:type="paragraph" w:customStyle="1" w:styleId="240">
    <w:name w:val="表格1"/>
    <w:basedOn w:val="1"/>
    <w:qFormat/>
    <w:uiPriority w:val="0"/>
    <w:pPr>
      <w:ind w:firstLine="480" w:firstLineChars="200"/>
      <w:jc w:val="center"/>
    </w:pPr>
    <w:rPr>
      <w:sz w:val="24"/>
      <w:szCs w:val="20"/>
    </w:rPr>
  </w:style>
  <w:style w:type="character" w:customStyle="1" w:styleId="241">
    <w:name w:val="纯文本 字符1"/>
    <w:qFormat/>
    <w:uiPriority w:val="0"/>
    <w:rPr>
      <w:rFonts w:ascii="宋体" w:hAnsi="Courier New"/>
    </w:rPr>
  </w:style>
  <w:style w:type="character" w:customStyle="1" w:styleId="242">
    <w:name w:val="bjh-p"/>
    <w:qFormat/>
    <w:uiPriority w:val="0"/>
  </w:style>
  <w:style w:type="paragraph" w:customStyle="1" w:styleId="243">
    <w:name w:val="无标题条"/>
    <w:next w:val="1"/>
    <w:qFormat/>
    <w:uiPriority w:val="0"/>
    <w:pPr>
      <w:jc w:val="both"/>
    </w:pPr>
    <w:rPr>
      <w:sz w:val="21"/>
      <w:lang w:val="en-US" w:eastAsia="zh-CN" w:bidi="ar-SA"/>
    </w:rPr>
  </w:style>
  <w:style w:type="character" w:customStyle="1" w:styleId="244">
    <w:name w:val="正文格式 Char"/>
    <w:link w:val="245"/>
    <w:qFormat/>
    <w:locked/>
    <w:uiPriority w:val="0"/>
    <w:rPr>
      <w:rFonts w:ascii="宋体" w:hAnsi="宋体"/>
      <w:sz w:val="24"/>
      <w:szCs w:val="24"/>
      <w:lang w:val="en-GB"/>
    </w:rPr>
  </w:style>
  <w:style w:type="paragraph" w:customStyle="1" w:styleId="245">
    <w:name w:val="正文格式"/>
    <w:basedOn w:val="1"/>
    <w:link w:val="244"/>
    <w:qFormat/>
    <w:uiPriority w:val="0"/>
    <w:pPr>
      <w:spacing w:beforeLines="50" w:line="360" w:lineRule="auto"/>
      <w:ind w:firstLine="480" w:firstLineChars="200"/>
    </w:pPr>
    <w:rPr>
      <w:rFonts w:ascii="宋体" w:hAnsi="宋体"/>
      <w:kern w:val="0"/>
      <w:sz w:val="24"/>
      <w:lang w:val="en-GB"/>
    </w:rPr>
  </w:style>
  <w:style w:type="character" w:customStyle="1" w:styleId="246">
    <w:name w:val="标题 3 Char"/>
    <w:qFormat/>
    <w:uiPriority w:val="1"/>
    <w:rPr>
      <w:rFonts w:ascii="宋体" w:eastAsia="宋体"/>
      <w:b/>
      <w:sz w:val="24"/>
      <w:u w:val="single"/>
      <w:lang w:val="en-US" w:eastAsia="zh-CN" w:bidi="ar-SA"/>
    </w:rPr>
  </w:style>
  <w:style w:type="character" w:customStyle="1" w:styleId="247">
    <w:name w:val="正文缩进 Char"/>
    <w:qFormat/>
    <w:uiPriority w:val="0"/>
    <w:rPr>
      <w:rFonts w:ascii="宋体" w:eastAsia="宋体"/>
      <w:kern w:val="2"/>
      <w:sz w:val="24"/>
      <w:szCs w:val="24"/>
      <w:lang w:val="en-US" w:eastAsia="zh-CN" w:bidi="ar-SA"/>
    </w:rPr>
  </w:style>
  <w:style w:type="character" w:customStyle="1" w:styleId="248">
    <w:name w:val="Char Char111"/>
    <w:qFormat/>
    <w:uiPriority w:val="0"/>
    <w:rPr>
      <w:rFonts w:ascii="宋体" w:eastAsia="宋体"/>
      <w:b/>
      <w:sz w:val="24"/>
      <w:u w:val="single"/>
      <w:lang w:val="en-US" w:eastAsia="zh-CN" w:bidi="ar-SA"/>
    </w:rPr>
  </w:style>
  <w:style w:type="character" w:customStyle="1" w:styleId="249">
    <w:name w:val="正文文本缩进 Char"/>
    <w:qFormat/>
    <w:uiPriority w:val="0"/>
    <w:rPr>
      <w:rFonts w:eastAsia="宋体"/>
      <w:kern w:val="2"/>
      <w:sz w:val="24"/>
      <w:szCs w:val="24"/>
      <w:lang w:val="en-US" w:eastAsia="zh-CN" w:bidi="ar-SA"/>
    </w:rPr>
  </w:style>
  <w:style w:type="character" w:customStyle="1" w:styleId="250">
    <w:name w:val="列出段落 Char"/>
    <w:qFormat/>
    <w:uiPriority w:val="34"/>
    <w:rPr>
      <w:rFonts w:ascii="Calibri" w:hAnsi="Calibri" w:eastAsia="宋体"/>
      <w:kern w:val="2"/>
      <w:sz w:val="21"/>
      <w:szCs w:val="22"/>
      <w:lang w:val="en-US" w:eastAsia="zh-CN" w:bidi="ar-SA"/>
    </w:rPr>
  </w:style>
  <w:style w:type="character" w:customStyle="1" w:styleId="251">
    <w:name w:val="页眉 Char"/>
    <w:qFormat/>
    <w:uiPriority w:val="99"/>
    <w:rPr>
      <w:rFonts w:eastAsia="宋体"/>
      <w:kern w:val="2"/>
      <w:sz w:val="18"/>
      <w:szCs w:val="18"/>
      <w:lang w:val="en-US" w:eastAsia="zh-CN" w:bidi="ar-SA"/>
    </w:rPr>
  </w:style>
  <w:style w:type="character" w:customStyle="1" w:styleId="252">
    <w:name w:val="标题 2 Char"/>
    <w:qFormat/>
    <w:uiPriority w:val="1"/>
    <w:rPr>
      <w:rFonts w:ascii="Arial" w:hAnsi="Arial" w:eastAsia="黑体"/>
      <w:b/>
      <w:sz w:val="30"/>
      <w:lang w:val="en-US" w:eastAsia="zh-CN" w:bidi="ar-SA"/>
    </w:rPr>
  </w:style>
  <w:style w:type="paragraph" w:customStyle="1" w:styleId="253">
    <w:name w:val="字元 字元2"/>
    <w:basedOn w:val="1"/>
    <w:qFormat/>
    <w:uiPriority w:val="0"/>
    <w:rPr>
      <w:rFonts w:ascii="Tahoma" w:hAnsi="Tahoma"/>
      <w:sz w:val="24"/>
      <w:szCs w:val="20"/>
    </w:rPr>
  </w:style>
  <w:style w:type="paragraph" w:customStyle="1" w:styleId="254">
    <w:name w:val="Char3 Char Char Char2"/>
    <w:basedOn w:val="1"/>
    <w:qFormat/>
    <w:uiPriority w:val="0"/>
    <w:rPr>
      <w:rFonts w:ascii="Tahoma" w:hAnsi="Tahoma"/>
      <w:sz w:val="24"/>
      <w:szCs w:val="20"/>
    </w:rPr>
  </w:style>
  <w:style w:type="paragraph" w:customStyle="1" w:styleId="255">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56">
    <w:name w:val="Char3"/>
    <w:basedOn w:val="1"/>
    <w:qFormat/>
    <w:uiPriority w:val="0"/>
    <w:pPr>
      <w:tabs>
        <w:tab w:val="left" w:pos="360"/>
      </w:tabs>
    </w:pPr>
    <w:rPr>
      <w:sz w:val="24"/>
    </w:rPr>
  </w:style>
  <w:style w:type="paragraph" w:customStyle="1" w:styleId="257">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5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9">
    <w:name w:val="列出段落2"/>
    <w:basedOn w:val="1"/>
    <w:qFormat/>
    <w:uiPriority w:val="99"/>
    <w:pPr>
      <w:ind w:firstLine="420" w:firstLineChars="200"/>
    </w:pPr>
    <w:rPr>
      <w:rFonts w:ascii="Calibri" w:hAnsi="Calibri"/>
      <w:szCs w:val="22"/>
    </w:rPr>
  </w:style>
  <w:style w:type="paragraph" w:customStyle="1" w:styleId="260">
    <w:name w:val="Char Char Char1 Char2"/>
    <w:basedOn w:val="1"/>
    <w:qFormat/>
    <w:uiPriority w:val="0"/>
    <w:rPr>
      <w:rFonts w:ascii="Tahoma" w:hAnsi="Tahoma"/>
      <w:sz w:val="24"/>
      <w:szCs w:val="20"/>
    </w:rPr>
  </w:style>
  <w:style w:type="paragraph" w:customStyle="1" w:styleId="261">
    <w:name w:val="Char Char Char2"/>
    <w:basedOn w:val="1"/>
    <w:qFormat/>
    <w:uiPriority w:val="0"/>
    <w:rPr>
      <w:rFonts w:ascii="Tahoma" w:hAnsi="Tahoma"/>
      <w:sz w:val="24"/>
      <w:szCs w:val="20"/>
    </w:rPr>
  </w:style>
  <w:style w:type="paragraph" w:customStyle="1" w:styleId="26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6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64">
    <w:name w:val="Revision"/>
    <w:qFormat/>
    <w:uiPriority w:val="0"/>
    <w:rPr>
      <w:kern w:val="2"/>
      <w:sz w:val="21"/>
      <w:szCs w:val="24"/>
      <w:lang w:val="en-US" w:eastAsia="zh-CN" w:bidi="ar-SA"/>
    </w:rPr>
  </w:style>
  <w:style w:type="paragraph" w:customStyle="1" w:styleId="265">
    <w:name w:val="Char22"/>
    <w:basedOn w:val="1"/>
    <w:qFormat/>
    <w:uiPriority w:val="0"/>
    <w:rPr>
      <w:rFonts w:ascii="Tahoma" w:hAnsi="Tahoma"/>
      <w:sz w:val="24"/>
      <w:szCs w:val="20"/>
    </w:rPr>
  </w:style>
  <w:style w:type="paragraph" w:customStyle="1" w:styleId="266">
    <w:name w:val="Char Char Char Char Char Char Char Char Char Char2"/>
    <w:basedOn w:val="1"/>
    <w:qFormat/>
    <w:uiPriority w:val="0"/>
    <w:rPr>
      <w:rFonts w:ascii="宋体" w:hAnsi="宋体" w:cs="Courier New"/>
      <w:sz w:val="32"/>
      <w:szCs w:val="32"/>
    </w:rPr>
  </w:style>
  <w:style w:type="paragraph" w:customStyle="1" w:styleId="267">
    <w:name w:val="Char2 Char Char Char Char Char Char1"/>
    <w:basedOn w:val="1"/>
    <w:qFormat/>
    <w:uiPriority w:val="0"/>
    <w:pPr>
      <w:widowControl/>
      <w:spacing w:line="400" w:lineRule="exact"/>
      <w:jc w:val="center"/>
    </w:pPr>
  </w:style>
  <w:style w:type="character" w:customStyle="1" w:styleId="268">
    <w:name w:val="页脚 Char"/>
    <w:qFormat/>
    <w:uiPriority w:val="99"/>
    <w:rPr>
      <w:rFonts w:ascii="宋体" w:eastAsia="宋体"/>
      <w:sz w:val="18"/>
      <w:lang w:val="en-US" w:eastAsia="zh-CN" w:bidi="ar-SA"/>
    </w:rPr>
  </w:style>
  <w:style w:type="paragraph" w:customStyle="1" w:styleId="269">
    <w:name w:val="Char Char41"/>
    <w:basedOn w:val="1"/>
    <w:qFormat/>
    <w:uiPriority w:val="0"/>
    <w:pPr>
      <w:widowControl/>
      <w:spacing w:line="400" w:lineRule="exact"/>
      <w:jc w:val="center"/>
    </w:pPr>
  </w:style>
  <w:style w:type="character" w:customStyle="1" w:styleId="270">
    <w:name w:val="批注文字 Char"/>
    <w:qFormat/>
    <w:uiPriority w:val="0"/>
    <w:rPr>
      <w:kern w:val="2"/>
      <w:sz w:val="21"/>
      <w:szCs w:val="24"/>
    </w:rPr>
  </w:style>
  <w:style w:type="character" w:customStyle="1" w:styleId="271">
    <w:name w:val="标题 Char"/>
    <w:qFormat/>
    <w:uiPriority w:val="0"/>
    <w:rPr>
      <w:b/>
      <w:kern w:val="2"/>
      <w:sz w:val="32"/>
    </w:rPr>
  </w:style>
  <w:style w:type="paragraph" w:customStyle="1" w:styleId="272">
    <w:name w:val="图例"/>
    <w:basedOn w:val="1"/>
    <w:qFormat/>
    <w:uiPriority w:val="0"/>
    <w:pPr>
      <w:spacing w:before="120" w:after="120" w:line="360" w:lineRule="auto"/>
      <w:jc w:val="center"/>
    </w:pPr>
    <w:rPr>
      <w:rFonts w:eastAsia="仿宋_GB2312"/>
      <w:b/>
      <w:sz w:val="24"/>
      <w:szCs w:val="20"/>
    </w:rPr>
  </w:style>
  <w:style w:type="paragraph" w:customStyle="1" w:styleId="273">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74">
    <w:name w:val="Table Normal"/>
    <w:qFormat/>
    <w:uiPriority w:val="0"/>
    <w:pPr>
      <w:widowControl w:val="0"/>
      <w:autoSpaceDE w:val="0"/>
      <w:autoSpaceDN w:val="0"/>
    </w:pPr>
    <w:rPr>
      <w:rFonts w:ascii="Calibri" w:hAnsi="Calibri"/>
      <w:sz w:val="22"/>
      <w:szCs w:val="22"/>
      <w:lang w:val="en-US" w:eastAsia="en-US" w:bidi="ar-SA"/>
    </w:rPr>
    <w:tblPr>
      <w:tblStyle w:val="61"/>
      <w:tblCellMar>
        <w:top w:w="0" w:type="dxa"/>
        <w:left w:w="0" w:type="dxa"/>
        <w:bottom w:w="0" w:type="dxa"/>
        <w:right w:w="0" w:type="dxa"/>
      </w:tblCellMar>
    </w:tblPr>
  </w:style>
  <w:style w:type="paragraph" w:customStyle="1" w:styleId="275">
    <w:name w:val="Table Text"/>
    <w:basedOn w:val="1"/>
    <w:semiHidden/>
    <w:qFormat/>
    <w:uiPriority w:val="0"/>
    <w:rPr>
      <w:rFonts w:ascii="Arial" w:hAnsi="Arial" w:eastAsia="Arial" w:cs="Arial"/>
      <w:sz w:val="21"/>
      <w:szCs w:val="21"/>
      <w:lang w:val="en-US" w:eastAsia="en-US" w:bidi="ar-SA"/>
    </w:rPr>
  </w:style>
  <w:style w:type="paragraph" w:customStyle="1" w:styleId="276">
    <w:name w:val=" Char Char Char Char Char Char1 Char Char Char Char"/>
    <w:basedOn w:val="19"/>
    <w:uiPriority w:val="0"/>
    <w:rPr>
      <w:rFonts w:ascii="Tahoma" w:hAnsi="Tahoma"/>
      <w:sz w:val="24"/>
    </w:rPr>
  </w:style>
  <w:style w:type="paragraph" w:customStyle="1" w:styleId="277">
    <w:name w:val="my正文"/>
    <w:basedOn w:val="1"/>
    <w:qFormat/>
    <w:uiPriority w:val="0"/>
    <w:pPr>
      <w:ind w:firstLine="480"/>
    </w:pPr>
  </w:style>
  <w:style w:type="character" w:customStyle="1" w:styleId="278">
    <w:name w:val="标题 4 字符"/>
    <w:qFormat/>
    <w:uiPriority w:val="0"/>
    <w:rPr>
      <w:rFonts w:ascii="Arial" w:hAnsi="Arial" w:eastAsia="黑体" w:cs="Times New Roman"/>
      <w:b/>
      <w:bCs/>
      <w:kern w:val="2"/>
      <w:sz w:val="28"/>
      <w:szCs w:val="28"/>
    </w:rPr>
  </w:style>
  <w:style w:type="character" w:customStyle="1" w:styleId="279">
    <w:name w:val="标题 5 字符"/>
    <w:qFormat/>
    <w:uiPriority w:val="0"/>
    <w:rPr>
      <w:rFonts w:ascii="Times New Roman" w:hAnsi="Times New Roman" w:eastAsia="宋体" w:cs="Times New Roman"/>
      <w:b/>
      <w:bCs/>
      <w:sz w:val="28"/>
      <w:szCs w:val="28"/>
    </w:rPr>
  </w:style>
  <w:style w:type="character" w:customStyle="1" w:styleId="280">
    <w:name w:val="标题 1 字符"/>
    <w:qFormat/>
    <w:uiPriority w:val="0"/>
    <w:rPr>
      <w:rFonts w:ascii="Times New Roman" w:hAnsi="Times New Roman" w:eastAsia="宋体" w:cs="Times New Roman"/>
      <w:b/>
      <w:bCs/>
      <w:kern w:val="44"/>
      <w:sz w:val="24"/>
      <w:szCs w:val="24"/>
    </w:rPr>
  </w:style>
  <w:style w:type="character" w:customStyle="1" w:styleId="281">
    <w:name w:val="标题 2 字符"/>
    <w:qFormat/>
    <w:uiPriority w:val="0"/>
    <w:rPr>
      <w:rFonts w:ascii="Cambria" w:hAnsi="Cambria" w:eastAsia="宋体" w:cs="Times New Roman"/>
      <w:b/>
      <w:bCs/>
      <w:sz w:val="32"/>
      <w:szCs w:val="32"/>
    </w:rPr>
  </w:style>
  <w:style w:type="character" w:customStyle="1" w:styleId="282">
    <w:name w:val="正文缩进 字符"/>
    <w:qFormat/>
    <w:uiPriority w:val="0"/>
    <w:rPr>
      <w:rFonts w:ascii="宋体" w:hAnsi="宋体" w:cs="Times New Roman"/>
      <w:b/>
      <w:kern w:val="2"/>
      <w:sz w:val="24"/>
      <w:szCs w:val="24"/>
    </w:rPr>
  </w:style>
  <w:style w:type="character" w:customStyle="1" w:styleId="283">
    <w:name w:val="标题 3 字符"/>
    <w:qFormat/>
    <w:uiPriority w:val="0"/>
    <w:rPr>
      <w:rFonts w:ascii="Times New Roman" w:hAnsi="Times New Roman" w:eastAsia="宋体" w:cs="Times New Roman"/>
      <w:b/>
      <w:bCs/>
      <w:sz w:val="32"/>
      <w:szCs w:val="32"/>
    </w:rPr>
  </w:style>
  <w:style w:type="character" w:customStyle="1" w:styleId="284">
    <w:name w:val="标题 6 字符"/>
    <w:qFormat/>
    <w:uiPriority w:val="0"/>
    <w:rPr>
      <w:rFonts w:ascii="Arial" w:hAnsi="Arial" w:eastAsia="黑体" w:cs="Times New Roman"/>
      <w:b/>
      <w:bCs/>
      <w:kern w:val="1"/>
      <w:sz w:val="24"/>
      <w:szCs w:val="24"/>
      <w:lang w:eastAsia="ar-SA"/>
    </w:rPr>
  </w:style>
  <w:style w:type="character" w:customStyle="1" w:styleId="285">
    <w:name w:val="标题 7 字符"/>
    <w:qFormat/>
    <w:uiPriority w:val="0"/>
    <w:rPr>
      <w:rFonts w:ascii="Times New Roman" w:hAnsi="Times New Roman" w:eastAsia="宋体" w:cs="Times New Roman"/>
      <w:b/>
      <w:bCs/>
      <w:kern w:val="1"/>
      <w:sz w:val="24"/>
      <w:szCs w:val="24"/>
      <w:lang w:eastAsia="ar-SA"/>
    </w:rPr>
  </w:style>
  <w:style w:type="character" w:customStyle="1" w:styleId="286">
    <w:name w:val="标题 8 字符"/>
    <w:qFormat/>
    <w:uiPriority w:val="0"/>
    <w:rPr>
      <w:rFonts w:ascii="Arial" w:hAnsi="Arial" w:eastAsia="黑体" w:cs="Times New Roman"/>
      <w:kern w:val="1"/>
      <w:sz w:val="24"/>
      <w:szCs w:val="24"/>
      <w:lang w:eastAsia="ar-SA"/>
    </w:rPr>
  </w:style>
  <w:style w:type="character" w:customStyle="1" w:styleId="287">
    <w:name w:val="标题 9 字符"/>
    <w:qFormat/>
    <w:uiPriority w:val="0"/>
    <w:rPr>
      <w:rFonts w:ascii="Arial" w:hAnsi="Arial" w:eastAsia="黑体" w:cs="Times New Roman"/>
      <w:kern w:val="1"/>
      <w:szCs w:val="21"/>
      <w:lang w:eastAsia="ar-SA"/>
    </w:rPr>
  </w:style>
  <w:style w:type="character" w:customStyle="1" w:styleId="288">
    <w:name w:val="页眉 字符"/>
    <w:qFormat/>
    <w:uiPriority w:val="0"/>
    <w:rPr>
      <w:sz w:val="18"/>
      <w:szCs w:val="18"/>
    </w:rPr>
  </w:style>
  <w:style w:type="character" w:customStyle="1" w:styleId="289">
    <w:name w:val="页脚 字符"/>
    <w:qFormat/>
    <w:uiPriority w:val="99"/>
    <w:rPr>
      <w:sz w:val="18"/>
      <w:szCs w:val="18"/>
    </w:rPr>
  </w:style>
  <w:style w:type="character" w:customStyle="1" w:styleId="290">
    <w:name w:val="prev"/>
    <w:qFormat/>
    <w:uiPriority w:val="0"/>
    <w:rPr>
      <w:color w:val="888888"/>
      <w:bdr w:val="single" w:color="0088CC" w:sz="6" w:space="0"/>
      <w:shd w:val="clear" w:color="auto" w:fill="0088CC"/>
    </w:rPr>
  </w:style>
  <w:style w:type="paragraph" w:customStyle="1" w:styleId="291">
    <w:name w:val="日期1"/>
    <w:basedOn w:val="1"/>
    <w:next w:val="1"/>
    <w:qFormat/>
    <w:uiPriority w:val="0"/>
    <w:pPr>
      <w:adjustRightInd w:val="0"/>
      <w:snapToGrid w:val="0"/>
      <w:spacing w:after="156" w:afterLines="50" w:line="360" w:lineRule="auto"/>
      <w:ind w:left="100" w:leftChars="2500" w:firstLine="480" w:firstLineChars="200"/>
    </w:pPr>
    <w:rPr>
      <w:rFonts w:ascii="Calibri" w:hAnsi="Calibri" w:eastAsia="宋体"/>
      <w:sz w:val="24"/>
    </w:rPr>
  </w:style>
  <w:style w:type="character" w:customStyle="1" w:styleId="292">
    <w:name w:val="font101"/>
    <w:qFormat/>
    <w:uiPriority w:val="0"/>
    <w:rPr>
      <w:rFonts w:hint="eastAsia" w:ascii="宋体" w:hAnsi="宋体" w:eastAsia="宋体" w:cs="宋体"/>
      <w:color w:val="000000"/>
      <w:sz w:val="22"/>
      <w:szCs w:val="22"/>
      <w:u w:val="none"/>
    </w:rPr>
  </w:style>
  <w:style w:type="character" w:customStyle="1" w:styleId="293">
    <w:name w:val="正文题注 Char"/>
    <w:qFormat/>
    <w:uiPriority w:val="0"/>
    <w:rPr>
      <w:rFonts w:eastAsia="黑体" w:cs="Arial"/>
      <w:kern w:val="1"/>
      <w:sz w:val="21"/>
      <w:szCs w:val="21"/>
      <w:lang w:val="en-US" w:eastAsia="ar-SA" w:bidi="ar-SA"/>
    </w:rPr>
  </w:style>
  <w:style w:type="character" w:customStyle="1" w:styleId="294">
    <w:name w:val="font51"/>
    <w:qFormat/>
    <w:uiPriority w:val="99"/>
    <w:rPr>
      <w:rFonts w:hint="eastAsia" w:ascii="宋体" w:hAnsi="宋体" w:eastAsia="宋体" w:cs="宋体"/>
      <w:color w:val="000000"/>
      <w:sz w:val="22"/>
      <w:szCs w:val="22"/>
      <w:u w:val="none"/>
    </w:rPr>
  </w:style>
  <w:style w:type="character" w:customStyle="1" w:styleId="295">
    <w:name w:val="font"/>
    <w:qFormat/>
    <w:uiPriority w:val="0"/>
  </w:style>
  <w:style w:type="character" w:customStyle="1" w:styleId="296">
    <w:name w:val="inf"/>
    <w:qFormat/>
    <w:uiPriority w:val="0"/>
    <w:rPr>
      <w:color w:val="333333"/>
      <w:sz w:val="18"/>
      <w:szCs w:val="18"/>
      <w:shd w:val="clear" w:color="auto" w:fill="EEEEEE"/>
    </w:rPr>
  </w:style>
  <w:style w:type="character" w:customStyle="1" w:styleId="297">
    <w:name w:val="正文文本 3 字符"/>
    <w:qFormat/>
    <w:uiPriority w:val="0"/>
    <w:rPr>
      <w:sz w:val="16"/>
      <w:szCs w:val="16"/>
    </w:rPr>
  </w:style>
  <w:style w:type="character" w:customStyle="1" w:styleId="298">
    <w:name w:val="H6 Char"/>
    <w:qFormat/>
    <w:uiPriority w:val="0"/>
    <w:rPr>
      <w:rFonts w:ascii="Arial" w:hAnsi="Arial" w:eastAsia="黑体"/>
      <w:b/>
      <w:bCs/>
      <w:kern w:val="1"/>
      <w:sz w:val="24"/>
      <w:szCs w:val="24"/>
      <w:lang w:val="en-US" w:eastAsia="ar-SA" w:bidi="ar-SA"/>
    </w:rPr>
  </w:style>
  <w:style w:type="character" w:customStyle="1" w:styleId="299">
    <w:name w:val="WW-默认段落字体"/>
    <w:qFormat/>
    <w:uiPriority w:val="0"/>
  </w:style>
  <w:style w:type="character" w:customStyle="1" w:styleId="300">
    <w:name w:val="next2"/>
    <w:qFormat/>
    <w:uiPriority w:val="0"/>
    <w:rPr>
      <w:color w:val="888888"/>
    </w:rPr>
  </w:style>
  <w:style w:type="character" w:customStyle="1" w:styleId="301">
    <w:name w:val="Char Char10"/>
    <w:qFormat/>
    <w:uiPriority w:val="0"/>
    <w:rPr>
      <w:rFonts w:eastAsia="黑体"/>
      <w:b/>
      <w:bCs/>
      <w:kern w:val="1"/>
      <w:sz w:val="21"/>
      <w:szCs w:val="24"/>
      <w:lang w:val="en-US" w:eastAsia="ar-SA" w:bidi="ar-SA"/>
    </w:rPr>
  </w:style>
  <w:style w:type="character" w:customStyle="1" w:styleId="302">
    <w:name w:val="批注主题 字符"/>
    <w:qFormat/>
    <w:uiPriority w:val="99"/>
    <w:rPr>
      <w:b/>
      <w:bCs/>
      <w:szCs w:val="24"/>
    </w:rPr>
  </w:style>
  <w:style w:type="character" w:customStyle="1" w:styleId="303">
    <w:name w:val="PIM 9 Char"/>
    <w:qFormat/>
    <w:uiPriority w:val="0"/>
    <w:rPr>
      <w:rFonts w:ascii="Arial" w:hAnsi="Arial" w:eastAsia="黑体"/>
      <w:kern w:val="1"/>
      <w:sz w:val="21"/>
      <w:szCs w:val="21"/>
      <w:lang w:val="en-US" w:eastAsia="ar-SA" w:bidi="ar-SA"/>
    </w:rPr>
  </w:style>
  <w:style w:type="character" w:customStyle="1" w:styleId="304">
    <w:name w:val="hover34"/>
    <w:qFormat/>
    <w:uiPriority w:val="0"/>
    <w:rPr>
      <w:shd w:val="clear" w:color="auto" w:fill="F3F3F3"/>
    </w:rPr>
  </w:style>
  <w:style w:type="character" w:customStyle="1" w:styleId="305">
    <w:name w:val="Heading 3 - old Char"/>
    <w:qFormat/>
    <w:uiPriority w:val="0"/>
    <w:rPr>
      <w:rFonts w:eastAsia="宋体"/>
      <w:b/>
      <w:bCs/>
      <w:kern w:val="1"/>
      <w:sz w:val="32"/>
      <w:szCs w:val="32"/>
      <w:lang w:val="en-US" w:eastAsia="ar-SA" w:bidi="ar-SA"/>
    </w:rPr>
  </w:style>
  <w:style w:type="character" w:customStyle="1" w:styleId="306">
    <w:name w:val="Formatvorlage Nur Text + Arial Char Char Char Char Char Char Char Char Char Char Char Char Char Char Char Char Char Char Char Char Char Char Char Char Char Char"/>
    <w:link w:val="307"/>
    <w:qFormat/>
    <w:uiPriority w:val="0"/>
    <w:rPr>
      <w:rFonts w:ascii="Arial" w:hAnsi="Arial"/>
      <w:szCs w:val="36"/>
      <w:lang w:val="de-DE"/>
    </w:rPr>
  </w:style>
  <w:style w:type="paragraph" w:customStyle="1" w:styleId="307">
    <w:name w:val="Formatvorlage Nur Text + Arial Char Char Char Char Char Char Char Char Char Char Char Char Char Char Char Char Char Char Char Char Char Char Char Char Char"/>
    <w:basedOn w:val="30"/>
    <w:link w:val="306"/>
    <w:qFormat/>
    <w:uiPriority w:val="0"/>
    <w:pPr>
      <w:widowControl/>
      <w:spacing w:after="160" w:line="320" w:lineRule="exact"/>
      <w:jc w:val="left"/>
    </w:pPr>
    <w:rPr>
      <w:rFonts w:hint="default" w:ascii="Arial" w:hAnsi="Arial"/>
      <w:kern w:val="0"/>
      <w:sz w:val="20"/>
      <w:szCs w:val="36"/>
      <w:lang w:val="de-DE"/>
    </w:rPr>
  </w:style>
  <w:style w:type="character" w:customStyle="1" w:styleId="308">
    <w:name w:val="不明显强调1"/>
    <w:qFormat/>
    <w:uiPriority w:val="0"/>
    <w:rPr>
      <w:i/>
      <w:iCs/>
      <w:color w:val="808080"/>
    </w:rPr>
  </w:style>
  <w:style w:type="character" w:customStyle="1" w:styleId="309">
    <w:name w:val="标题 字符"/>
    <w:qFormat/>
    <w:uiPriority w:val="10"/>
    <w:rPr>
      <w:rFonts w:ascii="Cambria" w:hAnsi="Cambria"/>
      <w:b/>
      <w:bCs/>
      <w:sz w:val="48"/>
      <w:szCs w:val="32"/>
    </w:rPr>
  </w:style>
  <w:style w:type="character" w:customStyle="1" w:styleId="310">
    <w:name w:val="文档结构图 字符"/>
    <w:qFormat/>
    <w:uiPriority w:val="99"/>
    <w:rPr>
      <w:szCs w:val="21"/>
      <w:shd w:val="clear" w:color="auto" w:fill="000080"/>
    </w:rPr>
  </w:style>
  <w:style w:type="character" w:customStyle="1" w:styleId="311">
    <w:name w:val="Char Char"/>
    <w:qFormat/>
    <w:uiPriority w:val="0"/>
    <w:rPr>
      <w:rFonts w:eastAsia="宋体"/>
      <w:b/>
      <w:bCs/>
      <w:kern w:val="1"/>
      <w:sz w:val="21"/>
      <w:szCs w:val="24"/>
      <w:lang w:val="en-US" w:eastAsia="ar-SA" w:bidi="ar-SA"/>
    </w:rPr>
  </w:style>
  <w:style w:type="character" w:customStyle="1" w:styleId="312">
    <w:name w:val="样式 正文首行缩进 2 + 首行缩进:  2 字符 Char"/>
    <w:qFormat/>
    <w:uiPriority w:val="0"/>
    <w:rPr>
      <w:rFonts w:eastAsia="宋体" w:cs="宋体"/>
      <w:kern w:val="1"/>
      <w:sz w:val="21"/>
      <w:lang w:val="en-US" w:eastAsia="ar-SA" w:bidi="ar-SA"/>
    </w:rPr>
  </w:style>
  <w:style w:type="character" w:customStyle="1" w:styleId="313">
    <w:name w:val="H4 Char"/>
    <w:qFormat/>
    <w:uiPriority w:val="0"/>
    <w:rPr>
      <w:rFonts w:ascii="Arial" w:hAnsi="Arial" w:eastAsia="黑体"/>
      <w:b/>
      <w:bCs/>
      <w:kern w:val="1"/>
      <w:sz w:val="28"/>
      <w:szCs w:val="28"/>
      <w:lang w:val="en-US" w:eastAsia="ar-SA" w:bidi="ar-SA"/>
    </w:rPr>
  </w:style>
  <w:style w:type="paragraph" w:customStyle="1" w:styleId="314">
    <w:name w:val="纯文本1"/>
    <w:uiPriority w:val="0"/>
    <w:pPr>
      <w:adjustRightInd w:val="0"/>
      <w:snapToGrid w:val="0"/>
      <w:spacing w:after="156" w:afterLines="50" w:line="360" w:lineRule="auto"/>
      <w:jc w:val="both"/>
    </w:pPr>
    <w:rPr>
      <w:rFonts w:ascii="宋体" w:hAnsi="Courier New" w:cs="Courier New"/>
      <w:kern w:val="2"/>
      <w:sz w:val="21"/>
      <w:szCs w:val="21"/>
      <w:lang w:val="en-US" w:eastAsia="zh-CN" w:bidi="ar-SA"/>
    </w:rPr>
  </w:style>
  <w:style w:type="character" w:customStyle="1" w:styleId="315">
    <w:name w:val="font01"/>
    <w:qFormat/>
    <w:uiPriority w:val="0"/>
    <w:rPr>
      <w:rFonts w:hint="eastAsia" w:ascii="宋体" w:hAnsi="宋体" w:eastAsia="宋体" w:cs="宋体"/>
      <w:color w:val="000000"/>
      <w:sz w:val="22"/>
      <w:szCs w:val="22"/>
      <w:u w:val="none"/>
    </w:rPr>
  </w:style>
  <w:style w:type="character" w:customStyle="1" w:styleId="316">
    <w:name w:val="批注框文本 字符"/>
    <w:qFormat/>
    <w:uiPriority w:val="0"/>
    <w:rPr>
      <w:sz w:val="18"/>
      <w:szCs w:val="18"/>
    </w:rPr>
  </w:style>
  <w:style w:type="character" w:customStyle="1" w:styleId="317">
    <w:name w:val="p141"/>
    <w:qFormat/>
    <w:uiPriority w:val="0"/>
    <w:rPr>
      <w:sz w:val="21"/>
      <w:szCs w:val="21"/>
    </w:rPr>
  </w:style>
  <w:style w:type="character" w:customStyle="1" w:styleId="318">
    <w:name w:val="Char Char7"/>
    <w:qFormat/>
    <w:uiPriority w:val="0"/>
    <w:rPr>
      <w:rFonts w:eastAsia="宋体"/>
      <w:sz w:val="24"/>
      <w:lang w:val="en-US" w:eastAsia="ar-SA" w:bidi="ar-SA"/>
    </w:rPr>
  </w:style>
  <w:style w:type="character" w:customStyle="1" w:styleId="319">
    <w:name w:val="font41"/>
    <w:qFormat/>
    <w:uiPriority w:val="0"/>
    <w:rPr>
      <w:rFonts w:hint="eastAsia" w:ascii="宋体" w:hAnsi="宋体" w:eastAsia="宋体" w:cs="宋体"/>
      <w:b/>
      <w:color w:val="000000"/>
      <w:sz w:val="22"/>
      <w:szCs w:val="22"/>
      <w:u w:val="none"/>
    </w:rPr>
  </w:style>
  <w:style w:type="character" w:customStyle="1" w:styleId="320">
    <w:name w:val="gpa"/>
    <w:qFormat/>
    <w:uiPriority w:val="0"/>
    <w:rPr>
      <w:rFonts w:ascii="Arial" w:hAnsi="Arial" w:cs="Arial"/>
      <w:sz w:val="15"/>
      <w:szCs w:val="15"/>
    </w:rPr>
  </w:style>
  <w:style w:type="character" w:customStyle="1" w:styleId="321">
    <w:name w:val="textcontents"/>
    <w:qFormat/>
    <w:uiPriority w:val="0"/>
  </w:style>
  <w:style w:type="character" w:customStyle="1" w:styleId="322">
    <w:name w:val="Char Char5"/>
    <w:qFormat/>
    <w:uiPriority w:val="0"/>
    <w:rPr>
      <w:rFonts w:eastAsia="宋体"/>
      <w:kern w:val="1"/>
      <w:sz w:val="18"/>
      <w:szCs w:val="18"/>
      <w:lang w:val="en-US" w:eastAsia="ar-SA" w:bidi="ar-SA"/>
    </w:rPr>
  </w:style>
  <w:style w:type="character" w:customStyle="1" w:styleId="323">
    <w:name w:val="e1"/>
    <w:qFormat/>
    <w:uiPriority w:val="0"/>
  </w:style>
  <w:style w:type="character" w:customStyle="1" w:styleId="324">
    <w:name w:val="hover35"/>
    <w:qFormat/>
    <w:uiPriority w:val="0"/>
    <w:rPr>
      <w:sz w:val="21"/>
      <w:szCs w:val="21"/>
    </w:rPr>
  </w:style>
  <w:style w:type="character" w:customStyle="1" w:styleId="325">
    <w:name w:val="PI Char"/>
    <w:qFormat/>
    <w:uiPriority w:val="0"/>
    <w:rPr>
      <w:rFonts w:eastAsia="宋体"/>
      <w:kern w:val="1"/>
      <w:sz w:val="24"/>
      <w:szCs w:val="24"/>
      <w:lang w:val="en-US" w:eastAsia="ar-SA" w:bidi="ar-SA"/>
    </w:rPr>
  </w:style>
  <w:style w:type="character" w:customStyle="1" w:styleId="326">
    <w:name w:val="Char Char2"/>
    <w:qFormat/>
    <w:uiPriority w:val="0"/>
    <w:rPr>
      <w:rFonts w:eastAsia="宋体"/>
      <w:kern w:val="1"/>
      <w:sz w:val="21"/>
      <w:szCs w:val="24"/>
      <w:lang w:val="en-US" w:eastAsia="ar-SA" w:bidi="ar-SA"/>
    </w:rPr>
  </w:style>
  <w:style w:type="character" w:customStyle="1" w:styleId="327">
    <w:name w:val="样式 宋体"/>
    <w:qFormat/>
    <w:uiPriority w:val="0"/>
    <w:rPr>
      <w:rFonts w:ascii="宋体" w:hAnsi="宋体" w:eastAsia="仿宋_GB2312"/>
      <w:sz w:val="30"/>
    </w:rPr>
  </w:style>
  <w:style w:type="character" w:customStyle="1" w:styleId="328">
    <w:name w:val="封面标题 Char Char"/>
    <w:qFormat/>
    <w:uiPriority w:val="0"/>
    <w:rPr>
      <w:rFonts w:ascii="Arial" w:hAnsi="Arial" w:eastAsia="宋体" w:cs="Arial"/>
      <w:b/>
      <w:bCs/>
      <w:kern w:val="1"/>
      <w:sz w:val="32"/>
      <w:szCs w:val="32"/>
      <w:lang w:val="en-US" w:eastAsia="ar-SA" w:bidi="ar-SA"/>
    </w:rPr>
  </w:style>
  <w:style w:type="character" w:customStyle="1" w:styleId="329">
    <w:name w:val="Char Char6"/>
    <w:qFormat/>
    <w:uiPriority w:val="0"/>
    <w:rPr>
      <w:rFonts w:eastAsia="宋体"/>
      <w:kern w:val="1"/>
      <w:sz w:val="21"/>
      <w:szCs w:val="24"/>
      <w:lang w:val="en-US" w:eastAsia="ar-SA" w:bidi="ar-SA"/>
    </w:rPr>
  </w:style>
  <w:style w:type="character" w:customStyle="1" w:styleId="330">
    <w:name w:val="H5 Char"/>
    <w:qFormat/>
    <w:uiPriority w:val="0"/>
    <w:rPr>
      <w:rFonts w:eastAsia="宋体"/>
      <w:b/>
      <w:bCs/>
      <w:kern w:val="1"/>
      <w:sz w:val="28"/>
      <w:szCs w:val="28"/>
      <w:lang w:val="en-US" w:eastAsia="ar-SA" w:bidi="ar-SA"/>
    </w:rPr>
  </w:style>
  <w:style w:type="character" w:customStyle="1" w:styleId="331">
    <w:name w:val="SAHeading 1 Char"/>
    <w:qFormat/>
    <w:uiPriority w:val="0"/>
    <w:rPr>
      <w:rFonts w:ascii="Arial" w:hAnsi="Arial" w:eastAsia="黑体" w:cs="Arial"/>
      <w:b/>
      <w:bCs/>
      <w:kern w:val="1"/>
      <w:sz w:val="30"/>
      <w:szCs w:val="44"/>
      <w:lang w:val="en-US" w:eastAsia="ar-SA" w:bidi="ar-SA"/>
    </w:rPr>
  </w:style>
  <w:style w:type="character" w:customStyle="1" w:styleId="332">
    <w:name w:val="PIM 7 Char"/>
    <w:qFormat/>
    <w:uiPriority w:val="0"/>
    <w:rPr>
      <w:rFonts w:eastAsia="宋体"/>
      <w:b/>
      <w:bCs/>
      <w:kern w:val="1"/>
      <w:sz w:val="24"/>
      <w:szCs w:val="24"/>
      <w:lang w:val="en-US" w:eastAsia="ar-SA" w:bidi="ar-SA"/>
    </w:rPr>
  </w:style>
  <w:style w:type="character" w:customStyle="1" w:styleId="333">
    <w:name w:val="Char Char9"/>
    <w:qFormat/>
    <w:uiPriority w:val="0"/>
    <w:rPr>
      <w:rFonts w:eastAsia="宋体"/>
      <w:b/>
      <w:bCs/>
      <w:kern w:val="1"/>
      <w:sz w:val="18"/>
      <w:szCs w:val="18"/>
      <w:lang w:val="en-US" w:eastAsia="ar-SA" w:bidi="ar-SA"/>
    </w:rPr>
  </w:style>
  <w:style w:type="character" w:customStyle="1" w:styleId="334">
    <w:name w:val="selected"/>
    <w:qFormat/>
    <w:uiPriority w:val="0"/>
    <w:rPr>
      <w:shd w:val="clear" w:color="auto" w:fill="B00006"/>
    </w:rPr>
  </w:style>
  <w:style w:type="character" w:customStyle="1" w:styleId="335">
    <w:name w:val="正文文本 Char Char Char Char Char Char Char"/>
    <w:qFormat/>
    <w:uiPriority w:val="0"/>
    <w:rPr>
      <w:rFonts w:eastAsia="宋体"/>
      <w:kern w:val="1"/>
      <w:sz w:val="21"/>
      <w:szCs w:val="24"/>
      <w:lang w:val="en-US" w:eastAsia="ar-SA" w:bidi="ar-SA"/>
    </w:rPr>
  </w:style>
  <w:style w:type="character" w:customStyle="1" w:styleId="336">
    <w:name w:val="1.正文 Char"/>
    <w:qFormat/>
    <w:uiPriority w:val="0"/>
    <w:rPr>
      <w:rFonts w:eastAsia="宋体"/>
      <w:kern w:val="1"/>
      <w:sz w:val="24"/>
      <w:szCs w:val="24"/>
      <w:lang w:val="en-US" w:eastAsia="ar-SA" w:bidi="ar-SA"/>
    </w:rPr>
  </w:style>
  <w:style w:type="character" w:customStyle="1" w:styleId="337">
    <w:name w:val="djcn2"/>
    <w:qFormat/>
    <w:uiPriority w:val="0"/>
    <w:rPr>
      <w:color w:val="666666"/>
    </w:rPr>
  </w:style>
  <w:style w:type="character" w:customStyle="1" w:styleId="338">
    <w:name w:val="Char Char8"/>
    <w:qFormat/>
    <w:uiPriority w:val="0"/>
    <w:rPr>
      <w:rFonts w:ascii="宋体" w:hAnsi="宋体" w:eastAsia="宋体"/>
      <w:kern w:val="1"/>
      <w:sz w:val="24"/>
      <w:szCs w:val="24"/>
      <w:lang w:val="en-US" w:eastAsia="ar-SA" w:bidi="ar-SA"/>
    </w:rPr>
  </w:style>
  <w:style w:type="character" w:customStyle="1" w:styleId="339">
    <w:name w:val="封面副标题 Char"/>
    <w:qFormat/>
    <w:uiPriority w:val="0"/>
    <w:rPr>
      <w:rFonts w:eastAsia="黑体" w:cs="宋体"/>
      <w:b/>
      <w:kern w:val="1"/>
      <w:sz w:val="44"/>
      <w:szCs w:val="44"/>
      <w:lang w:val="en-US" w:eastAsia="ar-SA" w:bidi="ar-SA"/>
    </w:rPr>
  </w:style>
  <w:style w:type="character" w:customStyle="1" w:styleId="340">
    <w:name w:val="hover36"/>
    <w:qFormat/>
    <w:uiPriority w:val="0"/>
    <w:rPr>
      <w:shd w:val="clear" w:color="auto" w:fill="F3F3F3"/>
    </w:rPr>
  </w:style>
  <w:style w:type="character" w:customStyle="1" w:styleId="341">
    <w:name w:val="font71"/>
    <w:qFormat/>
    <w:uiPriority w:val="99"/>
    <w:rPr>
      <w:rFonts w:ascii="Calibri" w:hAnsi="Calibri" w:cs="Calibri"/>
      <w:color w:val="000000"/>
      <w:sz w:val="22"/>
      <w:szCs w:val="22"/>
      <w:u w:val="none"/>
    </w:rPr>
  </w:style>
  <w:style w:type="character" w:customStyle="1" w:styleId="342">
    <w:name w:val="Heading 2 Hidden Char"/>
    <w:qFormat/>
    <w:uiPriority w:val="0"/>
    <w:rPr>
      <w:rFonts w:ascii="Arial" w:hAnsi="Arial" w:eastAsia="黑体"/>
      <w:b/>
      <w:bCs/>
      <w:kern w:val="1"/>
      <w:sz w:val="32"/>
      <w:szCs w:val="32"/>
      <w:lang w:val="en-US" w:eastAsia="ar-SA" w:bidi="ar-SA"/>
    </w:rPr>
  </w:style>
  <w:style w:type="character" w:customStyle="1" w:styleId="343">
    <w:name w:val="Footer-Even Char Char"/>
    <w:qFormat/>
    <w:uiPriority w:val="0"/>
    <w:rPr>
      <w:rFonts w:eastAsia="宋体"/>
      <w:b/>
      <w:bCs/>
      <w:kern w:val="1"/>
      <w:sz w:val="18"/>
      <w:szCs w:val="18"/>
      <w:lang w:val="en-US" w:eastAsia="ar-SA" w:bidi="ar-SA"/>
    </w:rPr>
  </w:style>
  <w:style w:type="character" w:customStyle="1" w:styleId="344">
    <w:name w:val="en1"/>
    <w:qFormat/>
    <w:uiPriority w:val="0"/>
    <w:rPr>
      <w:rFonts w:hint="default" w:ascii="Verdana" w:hAnsi="Verdana"/>
    </w:rPr>
  </w:style>
  <w:style w:type="character" w:customStyle="1" w:styleId="345">
    <w:name w:val="font111"/>
    <w:qFormat/>
    <w:uiPriority w:val="0"/>
    <w:rPr>
      <w:rFonts w:hint="eastAsia" w:ascii="宋体" w:hAnsi="宋体" w:eastAsia="宋体" w:cs="宋体"/>
      <w:color w:val="000000"/>
      <w:sz w:val="22"/>
      <w:szCs w:val="22"/>
      <w:u w:val="none"/>
    </w:rPr>
  </w:style>
  <w:style w:type="character" w:customStyle="1" w:styleId="346">
    <w:name w:val="font31"/>
    <w:qFormat/>
    <w:uiPriority w:val="0"/>
    <w:rPr>
      <w:rFonts w:hint="eastAsia" w:ascii="宋体" w:hAnsi="宋体" w:eastAsia="宋体" w:cs="宋体"/>
      <w:color w:val="000000"/>
      <w:sz w:val="22"/>
      <w:szCs w:val="22"/>
      <w:u w:val="none"/>
    </w:rPr>
  </w:style>
  <w:style w:type="character" w:customStyle="1" w:styleId="347">
    <w:name w:val="正文文本缩进 2 字符"/>
    <w:qFormat/>
    <w:uiPriority w:val="0"/>
    <w:rPr>
      <w:rFonts w:ascii="Times New Roman" w:hAnsi="Times New Roman" w:eastAsia="宋体" w:cs="Times New Roman"/>
      <w:sz w:val="24"/>
      <w:szCs w:val="24"/>
    </w:rPr>
  </w:style>
  <w:style w:type="character" w:customStyle="1" w:styleId="348">
    <w:name w:val="日期 字符"/>
    <w:qFormat/>
    <w:uiPriority w:val="0"/>
    <w:rPr>
      <w:rFonts w:ascii="Times New Roman" w:hAnsi="Times New Roman" w:eastAsia="宋体" w:cs="Times New Roman"/>
      <w:sz w:val="24"/>
      <w:szCs w:val="24"/>
    </w:rPr>
  </w:style>
  <w:style w:type="character" w:customStyle="1" w:styleId="349">
    <w:name w:val="HTML 预设格式 字符"/>
    <w:qFormat/>
    <w:uiPriority w:val="0"/>
    <w:rPr>
      <w:rFonts w:ascii="Arial" w:hAnsi="Arial" w:eastAsia="宋体" w:cs="Arial"/>
      <w:kern w:val="0"/>
      <w:sz w:val="24"/>
      <w:szCs w:val="24"/>
    </w:rPr>
  </w:style>
  <w:style w:type="character" w:customStyle="1" w:styleId="350">
    <w:name w:val="副标题 Char1"/>
    <w:qFormat/>
    <w:uiPriority w:val="11"/>
    <w:rPr>
      <w:rFonts w:ascii="Cambria" w:hAnsi="Cambria" w:eastAsia="宋体" w:cs="Times New Roman"/>
      <w:b/>
      <w:bCs/>
      <w:kern w:val="28"/>
      <w:sz w:val="32"/>
      <w:szCs w:val="32"/>
    </w:rPr>
  </w:style>
  <w:style w:type="character" w:customStyle="1" w:styleId="351">
    <w:name w:val="纯文本 Char2"/>
    <w:semiHidden/>
    <w:qFormat/>
    <w:uiPriority w:val="99"/>
    <w:rPr>
      <w:rFonts w:ascii="宋体" w:hAnsi="Courier New" w:eastAsia="宋体" w:cs="Courier New"/>
      <w:szCs w:val="21"/>
    </w:rPr>
  </w:style>
  <w:style w:type="character" w:customStyle="1" w:styleId="352">
    <w:name w:val="正文文本缩进 字符"/>
    <w:qFormat/>
    <w:uiPriority w:val="0"/>
    <w:rPr>
      <w:rFonts w:ascii="Times New Roman" w:hAnsi="Times New Roman" w:eastAsia="宋体" w:cs="Times New Roman"/>
      <w:sz w:val="24"/>
      <w:szCs w:val="24"/>
    </w:rPr>
  </w:style>
  <w:style w:type="character" w:customStyle="1" w:styleId="353">
    <w:name w:val="正文文本 字符"/>
    <w:qFormat/>
    <w:uiPriority w:val="0"/>
    <w:rPr>
      <w:rFonts w:ascii="Times New Roman" w:hAnsi="Times New Roman" w:eastAsia="宋体" w:cs="Times New Roman"/>
      <w:sz w:val="24"/>
      <w:szCs w:val="24"/>
    </w:rPr>
  </w:style>
  <w:style w:type="character" w:customStyle="1" w:styleId="354">
    <w:name w:val="正文文本 3 Char1"/>
    <w:semiHidden/>
    <w:qFormat/>
    <w:uiPriority w:val="99"/>
    <w:rPr>
      <w:rFonts w:ascii="Times New Roman" w:hAnsi="Times New Roman" w:eastAsia="宋体" w:cs="Times New Roman"/>
      <w:sz w:val="16"/>
      <w:szCs w:val="16"/>
    </w:rPr>
  </w:style>
  <w:style w:type="character" w:customStyle="1" w:styleId="355">
    <w:name w:val="正文文本缩进 3 字符"/>
    <w:qFormat/>
    <w:uiPriority w:val="99"/>
    <w:rPr>
      <w:rFonts w:ascii="Times New Roman" w:hAnsi="Times New Roman" w:eastAsia="宋体" w:cs="Times New Roman"/>
      <w:sz w:val="16"/>
      <w:szCs w:val="16"/>
    </w:rPr>
  </w:style>
  <w:style w:type="character" w:customStyle="1" w:styleId="356">
    <w:name w:val="文档结构图 Char2"/>
    <w:semiHidden/>
    <w:qFormat/>
    <w:uiPriority w:val="0"/>
    <w:rPr>
      <w:rFonts w:ascii="宋体" w:hAnsi="Times New Roman" w:eastAsia="宋体" w:cs="Times New Roman"/>
      <w:sz w:val="18"/>
      <w:szCs w:val="18"/>
    </w:rPr>
  </w:style>
  <w:style w:type="character" w:customStyle="1" w:styleId="357">
    <w:name w:val="批注框文本 Char1"/>
    <w:qFormat/>
    <w:uiPriority w:val="0"/>
    <w:rPr>
      <w:rFonts w:ascii="Times New Roman" w:hAnsi="Times New Roman" w:eastAsia="宋体" w:cs="Times New Roman"/>
      <w:sz w:val="18"/>
      <w:szCs w:val="18"/>
    </w:rPr>
  </w:style>
  <w:style w:type="character" w:customStyle="1" w:styleId="358">
    <w:name w:val="批注主题 Char1"/>
    <w:qFormat/>
    <w:uiPriority w:val="0"/>
    <w:rPr>
      <w:rFonts w:ascii="Times New Roman" w:hAnsi="Times New Roman" w:eastAsia="宋体" w:cs="Times New Roman"/>
      <w:b/>
      <w:bCs/>
      <w:kern w:val="2"/>
      <w:sz w:val="21"/>
      <w:szCs w:val="24"/>
    </w:rPr>
  </w:style>
  <w:style w:type="paragraph" w:customStyle="1" w:styleId="359">
    <w:name w:val="题目 1"/>
    <w:basedOn w:val="1"/>
    <w:next w:val="1"/>
    <w:qFormat/>
    <w:uiPriority w:val="0"/>
    <w:pPr>
      <w:keepNext/>
      <w:keepLines/>
      <w:overflowPunct w:val="0"/>
      <w:spacing w:before="340" w:after="330" w:line="360" w:lineRule="auto"/>
      <w:jc w:val="center"/>
      <w:outlineLvl w:val="0"/>
    </w:pPr>
    <w:rPr>
      <w:rFonts w:ascii="Arial" w:hAnsi="Arial" w:eastAsia="黑体" w:cs="Arial"/>
      <w:b/>
      <w:bCs/>
      <w:kern w:val="1"/>
      <w:sz w:val="30"/>
      <w:szCs w:val="44"/>
      <w:lang w:eastAsia="ar-SA"/>
    </w:rPr>
  </w:style>
  <w:style w:type="paragraph" w:customStyle="1" w:styleId="360">
    <w:name w:val="大类（标选配）"/>
    <w:basedOn w:val="1"/>
    <w:qFormat/>
    <w:uiPriority w:val="0"/>
    <w:rPr>
      <w:rFonts w:ascii="Arial" w:hAnsi="Arial"/>
      <w:b/>
      <w:kern w:val="0"/>
    </w:rPr>
  </w:style>
  <w:style w:type="paragraph" w:customStyle="1" w:styleId="361">
    <w:name w:val="朝阳方案标题4"/>
    <w:basedOn w:val="1"/>
    <w:next w:val="1"/>
    <w:qFormat/>
    <w:uiPriority w:val="0"/>
    <w:pPr>
      <w:tabs>
        <w:tab w:val="left" w:pos="2520"/>
      </w:tabs>
      <w:overflowPunct w:val="0"/>
      <w:spacing w:line="360" w:lineRule="auto"/>
      <w:ind w:left="1440"/>
    </w:pPr>
    <w:rPr>
      <w:b/>
      <w:kern w:val="1"/>
      <w:sz w:val="28"/>
      <w:lang w:eastAsia="ar-SA"/>
    </w:rPr>
  </w:style>
  <w:style w:type="paragraph" w:customStyle="1" w:styleId="362">
    <w:name w:val="正文标题"/>
    <w:basedOn w:val="41"/>
    <w:qFormat/>
    <w:uiPriority w:val="0"/>
    <w:pPr>
      <w:spacing w:before="600" w:after="240" w:line="360" w:lineRule="auto"/>
    </w:pPr>
    <w:rPr>
      <w:rFonts w:ascii="Calibri" w:hAnsi="Calibri"/>
      <w:sz w:val="30"/>
      <w:szCs w:val="30"/>
    </w:rPr>
  </w:style>
  <w:style w:type="paragraph" w:customStyle="1" w:styleId="363">
    <w:name w:val="目录"/>
    <w:basedOn w:val="41"/>
    <w:qFormat/>
    <w:uiPriority w:val="0"/>
    <w:pPr>
      <w:keepNext/>
      <w:keepLines/>
      <w:spacing w:before="600"/>
    </w:pPr>
    <w:rPr>
      <w:rFonts w:ascii="Calibri" w:hAnsi="Calibri"/>
    </w:rPr>
  </w:style>
  <w:style w:type="paragraph" w:customStyle="1" w:styleId="364">
    <w:name w:val="前言"/>
    <w:basedOn w:val="363"/>
    <w:qFormat/>
    <w:uiPriority w:val="0"/>
    <w:rPr>
      <w:rFonts w:ascii="Calibri" w:hAnsi="Calibri"/>
    </w:rPr>
  </w:style>
  <w:style w:type="paragraph" w:customStyle="1" w:styleId="365">
    <w:name w:val="定义的副标题1"/>
    <w:basedOn w:val="366"/>
    <w:qFormat/>
    <w:uiPriority w:val="0"/>
    <w:pPr>
      <w:spacing w:before="120" w:after="960"/>
      <w:jc w:val="center"/>
    </w:pPr>
    <w:rPr>
      <w:bCs/>
      <w:sz w:val="32"/>
      <w:szCs w:val="32"/>
    </w:rPr>
  </w:style>
  <w:style w:type="paragraph" w:customStyle="1" w:styleId="366">
    <w:name w:val="定义的标题"/>
    <w:basedOn w:val="1"/>
    <w:qFormat/>
    <w:uiPriority w:val="0"/>
    <w:pPr>
      <w:overflowPunct w:val="0"/>
      <w:spacing w:before="1200" w:after="240"/>
    </w:pPr>
    <w:rPr>
      <w:rFonts w:ascii="宋体" w:hAnsi="宋体"/>
      <w:b/>
      <w:kern w:val="1"/>
      <w:sz w:val="72"/>
      <w:szCs w:val="36"/>
      <w:lang w:eastAsia="ar-SA"/>
    </w:rPr>
  </w:style>
  <w:style w:type="paragraph" w:customStyle="1" w:styleId="367">
    <w:name w:val="WW-题注"/>
    <w:basedOn w:val="1"/>
    <w:next w:val="1"/>
    <w:qFormat/>
    <w:uiPriority w:val="0"/>
    <w:pPr>
      <w:overflowPunct w:val="0"/>
    </w:pPr>
    <w:rPr>
      <w:rFonts w:ascii="Arial" w:hAnsi="Arial" w:eastAsia="黑体" w:cs="Arial"/>
      <w:kern w:val="1"/>
      <w:sz w:val="20"/>
      <w:szCs w:val="20"/>
      <w:lang w:eastAsia="ar-SA"/>
    </w:rPr>
  </w:style>
  <w:style w:type="paragraph" w:customStyle="1" w:styleId="368">
    <w:name w:val="标题1"/>
    <w:basedOn w:val="1"/>
    <w:qFormat/>
    <w:uiPriority w:val="0"/>
    <w:pPr>
      <w:overflowPunct w:val="0"/>
      <w:spacing w:before="240" w:after="60" w:line="360" w:lineRule="auto"/>
      <w:jc w:val="center"/>
    </w:pPr>
    <w:rPr>
      <w:rFonts w:ascii="Arial" w:hAnsi="Arial" w:cs="Arial"/>
      <w:b/>
      <w:bCs/>
      <w:kern w:val="1"/>
      <w:sz w:val="32"/>
      <w:szCs w:val="32"/>
      <w:lang w:eastAsia="ar-SA"/>
    </w:rPr>
  </w:style>
  <w:style w:type="paragraph" w:customStyle="1" w:styleId="369">
    <w:name w:val="样式 正文首行缩进 2 + 首行缩进:  2 字符"/>
    <w:basedOn w:val="370"/>
    <w:qFormat/>
    <w:uiPriority w:val="0"/>
    <w:pPr>
      <w:spacing w:before="120" w:line="264" w:lineRule="auto"/>
      <w:ind w:left="840" w:hanging="420"/>
    </w:pPr>
    <w:rPr>
      <w:rFonts w:cs="宋体"/>
      <w:szCs w:val="20"/>
    </w:rPr>
  </w:style>
  <w:style w:type="paragraph" w:customStyle="1" w:styleId="370">
    <w:name w:val="WW-正文首行缩进 2"/>
    <w:basedOn w:val="111"/>
    <w:qFormat/>
    <w:uiPriority w:val="0"/>
    <w:pPr>
      <w:overflowPunct w:val="0"/>
      <w:spacing w:after="120" w:line="100" w:lineRule="atLeast"/>
      <w:ind w:left="420" w:firstLine="420" w:firstLineChars="0"/>
    </w:pPr>
    <w:rPr>
      <w:rFonts w:ascii="Times New Roman" w:hAnsi="Times New Roman"/>
      <w:kern w:val="1"/>
      <w:sz w:val="21"/>
      <w:lang w:eastAsia="ar-SA"/>
    </w:rPr>
  </w:style>
  <w:style w:type="paragraph" w:customStyle="1" w:styleId="371">
    <w:name w:val="正文文本缩进 31"/>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372">
    <w:name w:val="篇章结构"/>
    <w:basedOn w:val="368"/>
    <w:qFormat/>
    <w:uiPriority w:val="0"/>
    <w:pPr>
      <w:keepNext/>
      <w:keepLines/>
      <w:spacing w:before="4800" w:line="100" w:lineRule="atLeast"/>
    </w:pPr>
    <w:rPr>
      <w:rFonts w:ascii="Times New Roman" w:hAnsi="Times New Roman" w:eastAsia="黑体" w:cs="Times New Roman"/>
      <w:bCs w:val="0"/>
      <w:sz w:val="44"/>
      <w:szCs w:val="44"/>
    </w:rPr>
  </w:style>
  <w:style w:type="paragraph" w:customStyle="1" w:styleId="373">
    <w:name w:val="朝阳方案标题2"/>
    <w:basedOn w:val="1"/>
    <w:next w:val="1"/>
    <w:qFormat/>
    <w:uiPriority w:val="0"/>
    <w:pPr>
      <w:tabs>
        <w:tab w:val="left" w:pos="840"/>
      </w:tabs>
      <w:overflowPunct w:val="0"/>
      <w:spacing w:line="360" w:lineRule="auto"/>
      <w:ind w:left="480"/>
    </w:pPr>
    <w:rPr>
      <w:b/>
      <w:kern w:val="1"/>
      <w:sz w:val="32"/>
      <w:lang w:eastAsia="ar-SA"/>
    </w:rPr>
  </w:style>
  <w:style w:type="paragraph" w:customStyle="1" w:styleId="374">
    <w:name w:val="题目 2"/>
    <w:basedOn w:val="1"/>
    <w:next w:val="1"/>
    <w:qFormat/>
    <w:uiPriority w:val="0"/>
    <w:pPr>
      <w:keepNext/>
      <w:keepLines/>
      <w:tabs>
        <w:tab w:val="left" w:pos="1275"/>
      </w:tabs>
      <w:overflowPunct w:val="0"/>
      <w:spacing w:before="260" w:after="260" w:line="415" w:lineRule="auto"/>
      <w:ind w:left="1275" w:hanging="420"/>
      <w:outlineLvl w:val="1"/>
    </w:pPr>
    <w:rPr>
      <w:rFonts w:ascii="Arial" w:hAnsi="Arial" w:eastAsia="黑体"/>
      <w:b/>
      <w:bCs/>
      <w:kern w:val="1"/>
      <w:sz w:val="32"/>
      <w:szCs w:val="32"/>
      <w:lang w:eastAsia="ar-SA"/>
    </w:rPr>
  </w:style>
  <w:style w:type="paragraph" w:customStyle="1" w:styleId="375">
    <w:name w:val="WW-正文缩进"/>
    <w:basedOn w:val="1"/>
    <w:qFormat/>
    <w:uiPriority w:val="0"/>
    <w:pPr>
      <w:widowControl/>
      <w:overflowPunct w:val="0"/>
      <w:spacing w:before="280" w:after="280"/>
      <w:jc w:val="left"/>
    </w:pPr>
    <w:rPr>
      <w:rFonts w:ascii="Arial Unicode MS" w:hAnsi="Arial Unicode MS"/>
      <w:kern w:val="1"/>
      <w:sz w:val="24"/>
      <w:lang w:eastAsia="ar-SA"/>
    </w:rPr>
  </w:style>
  <w:style w:type="paragraph" w:customStyle="1" w:styleId="376">
    <w:name w:val="题目"/>
    <w:basedOn w:val="1"/>
    <w:next w:val="23"/>
    <w:qFormat/>
    <w:uiPriority w:val="0"/>
    <w:pPr>
      <w:keepNext/>
      <w:overflowPunct w:val="0"/>
      <w:spacing w:before="240" w:after="120"/>
    </w:pPr>
    <w:rPr>
      <w:rFonts w:ascii="Arial" w:hAnsi="Arial" w:cs="Tahoma"/>
      <w:kern w:val="1"/>
      <w:sz w:val="28"/>
      <w:szCs w:val="28"/>
      <w:lang w:eastAsia="ar-SA"/>
    </w:rPr>
  </w:style>
  <w:style w:type="paragraph" w:customStyle="1" w:styleId="377">
    <w:name w:val="正文题注"/>
    <w:basedOn w:val="367"/>
    <w:qFormat/>
    <w:uiPriority w:val="0"/>
    <w:pPr>
      <w:spacing w:before="240" w:after="240"/>
      <w:jc w:val="center"/>
    </w:pPr>
    <w:rPr>
      <w:rFonts w:ascii="Times New Roman" w:hAnsi="Times New Roman"/>
      <w:sz w:val="21"/>
      <w:szCs w:val="21"/>
    </w:rPr>
  </w:style>
  <w:style w:type="paragraph" w:customStyle="1" w:styleId="378">
    <w:name w:val="_标题3"/>
    <w:basedOn w:val="7"/>
    <w:next w:val="1"/>
    <w:qFormat/>
    <w:uiPriority w:val="0"/>
    <w:pPr>
      <w:widowControl/>
      <w:autoSpaceDE/>
      <w:autoSpaceDN/>
      <w:adjustRightInd/>
      <w:spacing w:before="60" w:after="60" w:line="360" w:lineRule="auto"/>
    </w:pPr>
    <w:rPr>
      <w:rFonts w:ascii="Arial" w:hAnsi="Arial" w:eastAsia="黑体"/>
      <w:b w:val="0"/>
      <w:bCs/>
      <w:kern w:val="2"/>
      <w:sz w:val="30"/>
      <w:szCs w:val="32"/>
      <w:u w:val="none"/>
    </w:rPr>
  </w:style>
  <w:style w:type="paragraph" w:customStyle="1" w:styleId="379">
    <w:name w:val="正文（标题三）"/>
    <w:basedOn w:val="1"/>
    <w:qFormat/>
    <w:uiPriority w:val="0"/>
    <w:pPr>
      <w:overflowPunct w:val="0"/>
      <w:spacing w:line="360" w:lineRule="auto"/>
      <w:ind w:left="170" w:firstLine="425"/>
    </w:pPr>
    <w:rPr>
      <w:kern w:val="1"/>
      <w:sz w:val="24"/>
      <w:lang w:eastAsia="ar-SA"/>
    </w:rPr>
  </w:style>
  <w:style w:type="paragraph" w:customStyle="1" w:styleId="380">
    <w:name w:val="CBD标题5"/>
    <w:basedOn w:val="1"/>
    <w:next w:val="1"/>
    <w:qFormat/>
    <w:uiPriority w:val="0"/>
    <w:pPr>
      <w:overflowPunct w:val="0"/>
      <w:ind w:left="3425" w:hanging="1440"/>
    </w:pPr>
    <w:rPr>
      <w:b/>
      <w:kern w:val="1"/>
      <w:sz w:val="24"/>
      <w:lang w:eastAsia="ar-SA"/>
    </w:rPr>
  </w:style>
  <w:style w:type="paragraph" w:customStyle="1" w:styleId="381">
    <w:name w:val="Char1 Char Char Char Char Char Char"/>
    <w:basedOn w:val="1"/>
    <w:qFormat/>
    <w:uiPriority w:val="0"/>
    <w:pPr>
      <w:overflowPunct w:val="0"/>
    </w:pPr>
    <w:rPr>
      <w:rFonts w:ascii="Tahoma" w:hAnsi="Tahoma"/>
      <w:kern w:val="1"/>
      <w:sz w:val="24"/>
      <w:szCs w:val="20"/>
      <w:lang w:eastAsia="ar-SA"/>
    </w:rPr>
  </w:style>
  <w:style w:type="paragraph" w:customStyle="1" w:styleId="382">
    <w:name w:val="正文1"/>
    <w:basedOn w:val="1"/>
    <w:qFormat/>
    <w:uiPriority w:val="0"/>
    <w:pPr>
      <w:overflowPunct w:val="0"/>
      <w:spacing w:line="360" w:lineRule="auto"/>
      <w:ind w:left="845" w:hanging="425"/>
    </w:pPr>
    <w:rPr>
      <w:rFonts w:cs="宋体"/>
      <w:kern w:val="1"/>
      <w:sz w:val="24"/>
      <w:szCs w:val="20"/>
      <w:lang w:eastAsia="ar-SA"/>
    </w:rPr>
  </w:style>
  <w:style w:type="paragraph" w:customStyle="1" w:styleId="383">
    <w:name w:val="Item Step in Table"/>
    <w:qFormat/>
    <w:uiPriority w:val="0"/>
    <w:pPr>
      <w:spacing w:before="40" w:after="40"/>
      <w:ind w:left="397" w:hanging="397"/>
      <w:jc w:val="both"/>
    </w:pPr>
    <w:rPr>
      <w:rFonts w:ascii="Arial" w:hAnsi="Arial" w:cs="Arial"/>
      <w:sz w:val="18"/>
      <w:szCs w:val="18"/>
      <w:lang w:val="en-US" w:eastAsia="ar-SA" w:bidi="ar-SA"/>
    </w:rPr>
  </w:style>
  <w:style w:type="paragraph" w:customStyle="1" w:styleId="384">
    <w:name w:val="WW-正文文本 2"/>
    <w:basedOn w:val="1"/>
    <w:qFormat/>
    <w:uiPriority w:val="0"/>
    <w:pPr>
      <w:overflowPunct w:val="0"/>
      <w:spacing w:line="400" w:lineRule="exact"/>
    </w:pPr>
    <w:rPr>
      <w:kern w:val="1"/>
      <w:sz w:val="24"/>
      <w:lang w:eastAsia="ar-SA"/>
    </w:rPr>
  </w:style>
  <w:style w:type="paragraph" w:customStyle="1" w:styleId="385">
    <w:name w:val="表格标题"/>
    <w:basedOn w:val="1"/>
    <w:qFormat/>
    <w:uiPriority w:val="0"/>
    <w:pPr>
      <w:spacing w:before="3"/>
    </w:pPr>
    <w:rPr>
      <w:rFonts w:ascii="Arial" w:hAnsi="Arial" w:eastAsia="黑体" w:cs="宋体"/>
      <w:b/>
      <w:kern w:val="0"/>
      <w:szCs w:val="20"/>
    </w:rPr>
  </w:style>
  <w:style w:type="paragraph" w:customStyle="1" w:styleId="386">
    <w:name w:val="样式 Arial 行距: 多倍行距 1.2 字行 首行缩进:  2 字符"/>
    <w:basedOn w:val="1"/>
    <w:qFormat/>
    <w:uiPriority w:val="0"/>
    <w:pPr>
      <w:overflowPunct w:val="0"/>
      <w:spacing w:line="288" w:lineRule="auto"/>
      <w:ind w:firstLine="420"/>
    </w:pPr>
    <w:rPr>
      <w:rFonts w:ascii="Arial" w:hAnsi="Arial" w:cs="宋体"/>
      <w:kern w:val="1"/>
      <w:sz w:val="20"/>
      <w:szCs w:val="20"/>
      <w:lang w:eastAsia="ar-SA"/>
    </w:rPr>
  </w:style>
  <w:style w:type="paragraph" w:customStyle="1" w:styleId="387">
    <w:name w:val="页角"/>
    <w:basedOn w:val="38"/>
    <w:qFormat/>
    <w:uiPriority w:val="0"/>
    <w:pPr>
      <w:pBdr>
        <w:bottom w:val="single" w:color="000000" w:sz="2" w:space="1"/>
      </w:pBdr>
      <w:overflowPunct w:val="0"/>
      <w:snapToGrid/>
      <w:jc w:val="left"/>
    </w:pPr>
    <w:rPr>
      <w:kern w:val="1"/>
      <w:lang w:eastAsia="ar-SA"/>
    </w:rPr>
  </w:style>
  <w:style w:type="paragraph" w:customStyle="1" w:styleId="388">
    <w:name w:val="索引"/>
    <w:basedOn w:val="1"/>
    <w:qFormat/>
    <w:uiPriority w:val="0"/>
    <w:pPr>
      <w:suppressLineNumbers/>
      <w:overflowPunct w:val="0"/>
    </w:pPr>
    <w:rPr>
      <w:rFonts w:ascii="Arial" w:hAnsi="Arial" w:cs="Tahoma"/>
      <w:kern w:val="1"/>
      <w:lang w:eastAsia="ar-SA"/>
    </w:rPr>
  </w:style>
  <w:style w:type="paragraph" w:customStyle="1" w:styleId="389">
    <w:name w:val="朝阳方案标题5"/>
    <w:basedOn w:val="1"/>
    <w:next w:val="1"/>
    <w:qFormat/>
    <w:uiPriority w:val="0"/>
    <w:pPr>
      <w:tabs>
        <w:tab w:val="left" w:pos="3600"/>
      </w:tabs>
      <w:overflowPunct w:val="0"/>
      <w:spacing w:line="360" w:lineRule="auto"/>
      <w:ind w:left="2160"/>
    </w:pPr>
    <w:rPr>
      <w:b/>
      <w:kern w:val="1"/>
      <w:sz w:val="24"/>
      <w:lang w:eastAsia="ar-SA"/>
    </w:rPr>
  </w:style>
  <w:style w:type="paragraph" w:customStyle="1" w:styleId="390">
    <w:name w:val="样式 首行缩进:  0.8 厘米 段前: 15.6 磅 段后: 15.6 磅"/>
    <w:basedOn w:val="1"/>
    <w:qFormat/>
    <w:uiPriority w:val="0"/>
    <w:pPr>
      <w:ind w:firstLine="454"/>
    </w:pPr>
    <w:rPr>
      <w:rFonts w:cs="宋体"/>
      <w:szCs w:val="20"/>
    </w:rPr>
  </w:style>
  <w:style w:type="paragraph" w:customStyle="1" w:styleId="391">
    <w:name w:val="落款日期"/>
    <w:basedOn w:val="392"/>
    <w:qFormat/>
    <w:uiPriority w:val="0"/>
    <w:rPr>
      <w:b w:val="0"/>
      <w:sz w:val="24"/>
      <w:szCs w:val="24"/>
    </w:rPr>
  </w:style>
  <w:style w:type="paragraph" w:customStyle="1" w:styleId="392">
    <w:name w:val="落款单位"/>
    <w:basedOn w:val="393"/>
    <w:qFormat/>
    <w:uiPriority w:val="0"/>
    <w:pPr>
      <w:ind w:left="0"/>
      <w:jc w:val="center"/>
    </w:pPr>
    <w:rPr>
      <w:b/>
      <w:sz w:val="28"/>
      <w:szCs w:val="28"/>
    </w:rPr>
  </w:style>
  <w:style w:type="paragraph" w:customStyle="1" w:styleId="393">
    <w:name w:val="WW-引文目录"/>
    <w:basedOn w:val="1"/>
    <w:next w:val="1"/>
    <w:qFormat/>
    <w:uiPriority w:val="0"/>
    <w:pPr>
      <w:overflowPunct w:val="0"/>
      <w:spacing w:before="120" w:after="120"/>
      <w:ind w:left="420"/>
    </w:pPr>
    <w:rPr>
      <w:kern w:val="1"/>
      <w:szCs w:val="21"/>
      <w:lang w:eastAsia="ar-SA"/>
    </w:rPr>
  </w:style>
  <w:style w:type="paragraph" w:customStyle="1" w:styleId="394">
    <w:name w:val="WW-普通(网站)"/>
    <w:basedOn w:val="1"/>
    <w:qFormat/>
    <w:uiPriority w:val="0"/>
    <w:pPr>
      <w:widowControl/>
      <w:overflowPunct w:val="0"/>
      <w:spacing w:before="280" w:after="280"/>
      <w:jc w:val="left"/>
    </w:pPr>
    <w:rPr>
      <w:rFonts w:ascii="宋体" w:hAnsi="宋体"/>
      <w:kern w:val="1"/>
      <w:sz w:val="24"/>
      <w:lang w:eastAsia="ar-SA"/>
    </w:rPr>
  </w:style>
  <w:style w:type="paragraph" w:customStyle="1" w:styleId="395">
    <w:name w:val="CBD标题2"/>
    <w:basedOn w:val="1"/>
    <w:next w:val="1"/>
    <w:qFormat/>
    <w:uiPriority w:val="0"/>
    <w:pPr>
      <w:overflowPunct w:val="0"/>
      <w:ind w:left="927" w:hanging="360"/>
    </w:pPr>
    <w:rPr>
      <w:b/>
      <w:kern w:val="1"/>
      <w:sz w:val="32"/>
      <w:lang w:eastAsia="ar-SA"/>
    </w:rPr>
  </w:style>
  <w:style w:type="paragraph" w:customStyle="1" w:styleId="396">
    <w:name w:val="WW-日期"/>
    <w:basedOn w:val="1"/>
    <w:next w:val="1"/>
    <w:qFormat/>
    <w:uiPriority w:val="0"/>
    <w:pPr>
      <w:overflowPunct w:val="0"/>
      <w:ind w:left="100"/>
    </w:pPr>
    <w:rPr>
      <w:rFonts w:ascii="宋体" w:hAnsi="宋体"/>
      <w:color w:val="FF0000"/>
      <w:kern w:val="1"/>
      <w:sz w:val="24"/>
      <w:lang w:eastAsia="ar-SA"/>
    </w:rPr>
  </w:style>
  <w:style w:type="paragraph" w:customStyle="1" w:styleId="397">
    <w:name w:val="中文正文"/>
    <w:basedOn w:val="1"/>
    <w:qFormat/>
    <w:uiPriority w:val="0"/>
    <w:pPr>
      <w:tabs>
        <w:tab w:val="left" w:pos="284"/>
      </w:tabs>
      <w:ind w:left="284" w:hanging="284"/>
    </w:pPr>
    <w:rPr>
      <w:sz w:val="18"/>
    </w:rPr>
  </w:style>
  <w:style w:type="paragraph" w:customStyle="1" w:styleId="398">
    <w:name w:val="正副本标注"/>
    <w:basedOn w:val="392"/>
    <w:qFormat/>
    <w:uiPriority w:val="0"/>
    <w:pPr>
      <w:spacing w:before="0" w:after="0"/>
      <w:jc w:val="right"/>
    </w:pPr>
    <w:rPr>
      <w:rFonts w:eastAsia="黑体"/>
      <w:sz w:val="32"/>
      <w:szCs w:val="32"/>
    </w:rPr>
  </w:style>
  <w:style w:type="paragraph" w:customStyle="1" w:styleId="399">
    <w:name w:val="Char Char Char Char Char Char Char Char Char1 Char Char Char Char Char Char Char"/>
    <w:basedOn w:val="1"/>
    <w:qFormat/>
    <w:uiPriority w:val="0"/>
    <w:pPr>
      <w:widowControl/>
      <w:overflowPunct w:val="0"/>
      <w:spacing w:after="50"/>
      <w:jc w:val="left"/>
    </w:pPr>
    <w:rPr>
      <w:rFonts w:ascii="Verdana" w:hAnsi="Verdana"/>
      <w:kern w:val="1"/>
      <w:sz w:val="20"/>
      <w:szCs w:val="20"/>
      <w:lang w:eastAsia="ar-SA"/>
    </w:rPr>
  </w:style>
  <w:style w:type="paragraph" w:customStyle="1" w:styleId="400">
    <w:name w:val="封面正文"/>
    <w:basedOn w:val="370"/>
    <w:qFormat/>
    <w:uiPriority w:val="0"/>
    <w:pPr>
      <w:spacing w:before="120"/>
      <w:ind w:left="0" w:firstLine="0"/>
    </w:pPr>
    <w:rPr>
      <w:rFonts w:eastAsia="黑体"/>
      <w:sz w:val="28"/>
      <w:szCs w:val="28"/>
    </w:rPr>
  </w:style>
  <w:style w:type="paragraph" w:customStyle="1" w:styleId="401">
    <w:name w:val="p0"/>
    <w:basedOn w:val="1"/>
    <w:qFormat/>
    <w:uiPriority w:val="0"/>
    <w:pPr>
      <w:widowControl/>
    </w:pPr>
    <w:rPr>
      <w:kern w:val="0"/>
      <w:szCs w:val="21"/>
    </w:rPr>
  </w:style>
  <w:style w:type="paragraph" w:customStyle="1" w:styleId="402">
    <w:name w:val="默认段落字体 Para Char Char Char Char Char Char Char"/>
    <w:basedOn w:val="1"/>
    <w:qFormat/>
    <w:uiPriority w:val="0"/>
    <w:pPr>
      <w:overflowPunct w:val="0"/>
    </w:pPr>
    <w:rPr>
      <w:rFonts w:ascii="Tahoma" w:hAnsi="Tahoma"/>
      <w:kern w:val="1"/>
      <w:sz w:val="24"/>
      <w:szCs w:val="20"/>
      <w:lang w:eastAsia="ar-SA"/>
    </w:rPr>
  </w:style>
  <w:style w:type="paragraph" w:customStyle="1" w:styleId="403">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404">
    <w:name w:val="正文_18"/>
    <w:qFormat/>
    <w:uiPriority w:val="0"/>
    <w:pPr>
      <w:widowControl w:val="0"/>
      <w:jc w:val="both"/>
    </w:pPr>
    <w:rPr>
      <w:kern w:val="2"/>
      <w:sz w:val="21"/>
      <w:szCs w:val="24"/>
      <w:lang w:val="en-US" w:eastAsia="zh-CN" w:bidi="ar-SA"/>
    </w:rPr>
  </w:style>
  <w:style w:type="paragraph" w:customStyle="1" w:styleId="405">
    <w:name w:val="1.正文"/>
    <w:basedOn w:val="1"/>
    <w:qFormat/>
    <w:uiPriority w:val="0"/>
    <w:pPr>
      <w:overflowPunct w:val="0"/>
      <w:spacing w:line="360" w:lineRule="auto"/>
      <w:ind w:left="540" w:firstLine="540"/>
    </w:pPr>
    <w:rPr>
      <w:kern w:val="1"/>
      <w:sz w:val="24"/>
      <w:lang w:eastAsia="ar-SA"/>
    </w:rPr>
  </w:style>
  <w:style w:type="paragraph" w:customStyle="1" w:styleId="406">
    <w:name w:val="产地"/>
    <w:basedOn w:val="407"/>
    <w:qFormat/>
    <w:uiPriority w:val="0"/>
    <w:pPr>
      <w:jc w:val="center"/>
    </w:pPr>
  </w:style>
  <w:style w:type="paragraph" w:customStyle="1" w:styleId="407">
    <w:name w:val="小类名称"/>
    <w:basedOn w:val="1"/>
    <w:qFormat/>
    <w:uiPriority w:val="0"/>
    <w:rPr>
      <w:rFonts w:ascii="Arial" w:hAnsi="Arial" w:eastAsia="黑体"/>
      <w:b/>
      <w:kern w:val="0"/>
      <w:sz w:val="18"/>
    </w:rPr>
  </w:style>
  <w:style w:type="paragraph" w:customStyle="1" w:styleId="408">
    <w:name w:val="标题3"/>
    <w:basedOn w:val="7"/>
    <w:qFormat/>
    <w:uiPriority w:val="0"/>
    <w:pPr>
      <w:autoSpaceDE/>
      <w:autoSpaceDN/>
      <w:adjustRightInd/>
      <w:spacing w:before="260" w:after="260" w:line="416" w:lineRule="auto"/>
      <w:ind w:firstLine="200" w:firstLineChars="200"/>
      <w:jc w:val="both"/>
    </w:pPr>
    <w:rPr>
      <w:rFonts w:ascii="Calibri" w:hAnsi="Calibri"/>
      <w:bCs/>
      <w:kern w:val="2"/>
      <w:sz w:val="32"/>
      <w:szCs w:val="32"/>
      <w:u w:val="none"/>
    </w:rPr>
  </w:style>
  <w:style w:type="paragraph" w:customStyle="1" w:styleId="409">
    <w:name w:val="WW-正文首行缩进"/>
    <w:basedOn w:val="43"/>
    <w:qFormat/>
    <w:uiPriority w:val="0"/>
    <w:pPr>
      <w:spacing w:after="0"/>
      <w:ind w:firstLine="510"/>
    </w:pPr>
    <w:rPr>
      <w:sz w:val="24"/>
      <w:szCs w:val="20"/>
    </w:rPr>
  </w:style>
  <w:style w:type="paragraph" w:customStyle="1" w:styleId="410">
    <w:name w:val="WW-正文文本缩进 2"/>
    <w:basedOn w:val="1"/>
    <w:qFormat/>
    <w:uiPriority w:val="0"/>
    <w:pPr>
      <w:overflowPunct w:val="0"/>
      <w:ind w:firstLine="422"/>
    </w:pPr>
    <w:rPr>
      <w:rFonts w:eastAsia="黑体"/>
      <w:b/>
      <w:bCs/>
      <w:kern w:val="1"/>
      <w:lang w:eastAsia="ar-SA"/>
    </w:rPr>
  </w:style>
  <w:style w:type="paragraph" w:customStyle="1" w:styleId="411">
    <w:name w:val="WW-纯文本"/>
    <w:basedOn w:val="1"/>
    <w:qFormat/>
    <w:uiPriority w:val="0"/>
    <w:pPr>
      <w:overflowPunct w:val="0"/>
    </w:pPr>
    <w:rPr>
      <w:rFonts w:ascii="宋体" w:hAnsi="宋体"/>
      <w:kern w:val="1"/>
      <w:sz w:val="28"/>
      <w:szCs w:val="20"/>
      <w:lang w:eastAsia="ar-SA"/>
    </w:rPr>
  </w:style>
  <w:style w:type="paragraph" w:customStyle="1" w:styleId="412">
    <w:name w:val="WW-正文文本缩进 3"/>
    <w:basedOn w:val="1"/>
    <w:qFormat/>
    <w:uiPriority w:val="0"/>
    <w:pPr>
      <w:overflowPunct w:val="0"/>
      <w:spacing w:line="440" w:lineRule="exact"/>
      <w:ind w:firstLine="120"/>
    </w:pPr>
    <w:rPr>
      <w:rFonts w:ascii="宋体" w:hAnsi="宋体"/>
      <w:kern w:val="1"/>
      <w:sz w:val="24"/>
      <w:lang w:eastAsia="ar-SA"/>
    </w:rPr>
  </w:style>
  <w:style w:type="paragraph" w:customStyle="1" w:styleId="413">
    <w:name w:val="样式 标题 1SAHeading 1卷标题h1标书1L1boc1st levelSection Headl1..."/>
    <w:basedOn w:val="359"/>
    <w:qFormat/>
    <w:uiPriority w:val="0"/>
    <w:pPr>
      <w:pageBreakBefore/>
    </w:pPr>
    <w:rPr>
      <w:sz w:val="44"/>
    </w:rPr>
  </w:style>
  <w:style w:type="paragraph" w:customStyle="1" w:styleId="414">
    <w:name w:val="修订1"/>
    <w:unhideWhenUsed/>
    <w:qFormat/>
    <w:uiPriority w:val="99"/>
    <w:rPr>
      <w:kern w:val="2"/>
      <w:sz w:val="21"/>
      <w:szCs w:val="24"/>
      <w:lang w:val="en-US" w:eastAsia="zh-CN" w:bidi="ar-SA"/>
    </w:rPr>
  </w:style>
  <w:style w:type="paragraph" w:customStyle="1" w:styleId="415">
    <w:name w:val="表格正文"/>
    <w:basedOn w:val="1"/>
    <w:qFormat/>
    <w:uiPriority w:val="0"/>
    <w:pPr>
      <w:overflowPunct w:val="0"/>
    </w:pPr>
    <w:rPr>
      <w:rFonts w:ascii="宋体" w:hAnsi="宋体"/>
      <w:kern w:val="1"/>
      <w:sz w:val="28"/>
      <w:lang w:eastAsia="ar-SA"/>
    </w:rPr>
  </w:style>
  <w:style w:type="paragraph" w:customStyle="1" w:styleId="416">
    <w:name w:val="模板标题1"/>
    <w:basedOn w:val="359"/>
    <w:next w:val="1"/>
    <w:qFormat/>
    <w:uiPriority w:val="0"/>
    <w:pPr>
      <w:spacing w:before="0" w:after="0"/>
      <w:ind w:left="425" w:hanging="425"/>
      <w:jc w:val="both"/>
    </w:pPr>
    <w:rPr>
      <w:rFonts w:ascii="宋体" w:hAnsi="宋体" w:eastAsia="宋体" w:cs="Times New Roman"/>
      <w:sz w:val="32"/>
    </w:rPr>
  </w:style>
  <w:style w:type="paragraph" w:customStyle="1" w:styleId="417">
    <w:name w:val="图表"/>
    <w:basedOn w:val="1"/>
    <w:qFormat/>
    <w:uiPriority w:val="0"/>
    <w:pPr>
      <w:overflowPunct w:val="0"/>
      <w:jc w:val="left"/>
    </w:pPr>
    <w:rPr>
      <w:kern w:val="1"/>
      <w:lang w:eastAsia="ar-SA"/>
    </w:rPr>
  </w:style>
  <w:style w:type="paragraph" w:customStyle="1" w:styleId="418">
    <w:name w:val="WW-文档结构图"/>
    <w:basedOn w:val="1"/>
    <w:qFormat/>
    <w:uiPriority w:val="0"/>
    <w:pPr>
      <w:shd w:val="clear" w:color="auto" w:fill="000080"/>
      <w:overflowPunct w:val="0"/>
    </w:pPr>
    <w:rPr>
      <w:kern w:val="1"/>
      <w:lang w:eastAsia="ar-SA"/>
    </w:rPr>
  </w:style>
  <w:style w:type="paragraph" w:customStyle="1" w:styleId="419">
    <w:name w:val="样式 首行缩进:  0.85 厘米"/>
    <w:basedOn w:val="1"/>
    <w:qFormat/>
    <w:uiPriority w:val="0"/>
    <w:pPr>
      <w:overflowPunct w:val="0"/>
      <w:spacing w:line="360" w:lineRule="auto"/>
      <w:ind w:firstLine="482"/>
    </w:pPr>
    <w:rPr>
      <w:rFonts w:cs="宋体"/>
      <w:kern w:val="1"/>
      <w:sz w:val="24"/>
      <w:szCs w:val="20"/>
      <w:lang w:eastAsia="ar-SA"/>
    </w:rPr>
  </w:style>
  <w:style w:type="paragraph" w:customStyle="1" w:styleId="420">
    <w:name w:val="样式 标题 2市检方案标题2第一层条h22章标题节标题第一章 标题 2Heading 2 HiddenHead..."/>
    <w:basedOn w:val="374"/>
    <w:qFormat/>
    <w:uiPriority w:val="0"/>
    <w:pPr>
      <w:spacing w:before="120" w:after="120" w:line="264" w:lineRule="auto"/>
      <w:ind w:left="420"/>
      <w:jc w:val="left"/>
    </w:pPr>
    <w:rPr>
      <w:rFonts w:ascii="Times New Roman" w:hAnsi="Times New Roman" w:cs="宋体"/>
      <w:b w:val="0"/>
      <w:bCs w:val="0"/>
      <w:sz w:val="36"/>
      <w:szCs w:val="36"/>
    </w:rPr>
  </w:style>
  <w:style w:type="paragraph" w:customStyle="1" w:styleId="421">
    <w:name w:val="Char Char Char Char Char Char Char Char Char1 Char Char Char Char Char Char Char Char Char1 Char"/>
    <w:basedOn w:val="1"/>
    <w:qFormat/>
    <w:uiPriority w:val="0"/>
    <w:pPr>
      <w:widowControl/>
      <w:overflowPunct w:val="0"/>
      <w:spacing w:after="50"/>
      <w:jc w:val="left"/>
    </w:pPr>
    <w:rPr>
      <w:rFonts w:ascii="Verdana" w:hAnsi="Verdana"/>
      <w:kern w:val="1"/>
      <w:sz w:val="20"/>
      <w:szCs w:val="20"/>
      <w:lang w:eastAsia="ar-SA"/>
    </w:rPr>
  </w:style>
  <w:style w:type="paragraph" w:customStyle="1" w:styleId="422">
    <w:name w:val="标准小四"/>
    <w:basedOn w:val="1"/>
    <w:qFormat/>
    <w:uiPriority w:val="0"/>
    <w:pPr>
      <w:spacing w:line="360" w:lineRule="auto"/>
      <w:ind w:firstLine="480" w:firstLineChars="200"/>
    </w:pPr>
    <w:rPr>
      <w:rFonts w:ascii="Arial" w:hAnsi="Arial"/>
      <w:sz w:val="24"/>
      <w:szCs w:val="21"/>
    </w:rPr>
  </w:style>
  <w:style w:type="paragraph" w:customStyle="1" w:styleId="423">
    <w:name w:val="Char Char Char Char Char Char Char Char Char Char Char Char Char"/>
    <w:basedOn w:val="1"/>
    <w:qFormat/>
    <w:uiPriority w:val="0"/>
    <w:pPr>
      <w:widowControl/>
      <w:overflowPunct w:val="0"/>
      <w:spacing w:after="160" w:line="240" w:lineRule="exact"/>
      <w:ind w:firstLine="200"/>
      <w:jc w:val="left"/>
    </w:pPr>
    <w:rPr>
      <w:rFonts w:ascii="Arial" w:hAnsi="Arial" w:eastAsia="Times New Roman"/>
      <w:kern w:val="1"/>
      <w:sz w:val="20"/>
      <w:szCs w:val="20"/>
      <w:lang w:eastAsia="ar-SA"/>
    </w:rPr>
  </w:style>
  <w:style w:type="paragraph" w:customStyle="1" w:styleId="424">
    <w:name w:val="样式 首行缩进:  2 字符"/>
    <w:basedOn w:val="1"/>
    <w:qFormat/>
    <w:uiPriority w:val="0"/>
    <w:pPr>
      <w:overflowPunct w:val="0"/>
      <w:spacing w:line="360" w:lineRule="auto"/>
      <w:ind w:firstLine="560"/>
    </w:pPr>
    <w:rPr>
      <w:kern w:val="1"/>
      <w:sz w:val="24"/>
      <w:szCs w:val="20"/>
      <w:lang w:eastAsia="ar-SA"/>
    </w:rPr>
  </w:style>
  <w:style w:type="paragraph" w:customStyle="1" w:styleId="425">
    <w:name w:val="样式 副标题 + 首行缩进:  2 字符"/>
    <w:basedOn w:val="41"/>
    <w:qFormat/>
    <w:uiPriority w:val="0"/>
    <w:pPr>
      <w:spacing w:before="240" w:after="60" w:line="312" w:lineRule="auto"/>
    </w:pPr>
    <w:rPr>
      <w:rFonts w:ascii="Arial" w:hAnsi="Arial" w:eastAsia="汉仪大黑简"/>
      <w:sz w:val="32"/>
      <w:szCs w:val="20"/>
    </w:rPr>
  </w:style>
  <w:style w:type="paragraph" w:customStyle="1" w:styleId="426">
    <w:name w:val="封面主题"/>
    <w:basedOn w:val="368"/>
    <w:qFormat/>
    <w:uiPriority w:val="0"/>
    <w:pPr>
      <w:spacing w:before="360" w:after="240"/>
    </w:pPr>
    <w:rPr>
      <w:rFonts w:ascii="Times New Roman" w:hAnsi="Times New Roman" w:cs="Times New Roman"/>
      <w:bCs w:val="0"/>
      <w:sz w:val="52"/>
      <w:szCs w:val="52"/>
    </w:rPr>
  </w:style>
  <w:style w:type="paragraph" w:customStyle="1" w:styleId="427">
    <w:name w:val="信封封面"/>
    <w:basedOn w:val="372"/>
    <w:qFormat/>
    <w:uiPriority w:val="0"/>
    <w:pPr>
      <w:spacing w:before="3120"/>
    </w:pPr>
  </w:style>
  <w:style w:type="paragraph" w:customStyle="1" w:styleId="428">
    <w:name w:val="样式 标题 2 + 仿宋_GB2312 五号 非加粗 段前: 0 磅 段后: 0 磅 行距: 1.5 倍行距"/>
    <w:basedOn w:val="5"/>
    <w:next w:val="1"/>
    <w:qFormat/>
    <w:uiPriority w:val="0"/>
    <w:pPr>
      <w:autoSpaceDE/>
      <w:autoSpaceDN/>
      <w:adjustRightInd/>
      <w:spacing w:before="0" w:line="360" w:lineRule="auto"/>
      <w:ind w:left="369" w:leftChars="304" w:right="-159" w:rightChars="-159" w:hanging="65" w:hangingChars="65"/>
      <w:jc w:val="both"/>
    </w:pPr>
    <w:rPr>
      <w:rFonts w:ascii="仿宋_GB2312" w:hAnsi="仿宋_GB2312" w:eastAsia="仿宋_GB2312" w:cs="宋体"/>
      <w:sz w:val="21"/>
    </w:rPr>
  </w:style>
  <w:style w:type="paragraph" w:customStyle="1" w:styleId="429">
    <w:name w:val="CBD标题3"/>
    <w:basedOn w:val="1"/>
    <w:next w:val="1"/>
    <w:qFormat/>
    <w:uiPriority w:val="0"/>
    <w:pPr>
      <w:overflowPunct w:val="0"/>
      <w:ind w:left="1854" w:hanging="720"/>
    </w:pPr>
    <w:rPr>
      <w:b/>
      <w:kern w:val="1"/>
      <w:sz w:val="30"/>
      <w:lang w:eastAsia="ar-SA"/>
    </w:rPr>
  </w:style>
  <w:style w:type="paragraph" w:customStyle="1" w:styleId="430">
    <w:name w:val="样式 标题 1 + 18 磅"/>
    <w:basedOn w:val="359"/>
    <w:qFormat/>
    <w:uiPriority w:val="0"/>
    <w:pPr>
      <w:keepNext w:val="0"/>
      <w:keepLines w:val="0"/>
      <w:spacing w:before="0" w:after="0" w:line="100" w:lineRule="atLeast"/>
    </w:pPr>
    <w:rPr>
      <w:rFonts w:ascii="宋体" w:hAnsi="宋体" w:cs="Times New Roman"/>
      <w:w w:val="90"/>
      <w:sz w:val="24"/>
      <w:szCs w:val="20"/>
    </w:rPr>
  </w:style>
  <w:style w:type="paragraph" w:customStyle="1" w:styleId="431">
    <w:name w:val="Pa0"/>
    <w:basedOn w:val="1"/>
    <w:next w:val="1"/>
    <w:qFormat/>
    <w:uiPriority w:val="0"/>
    <w:pPr>
      <w:overflowPunct w:val="0"/>
      <w:autoSpaceDE w:val="0"/>
      <w:jc w:val="left"/>
    </w:pPr>
    <w:rPr>
      <w:rFonts w:ascii="Myriad-Roman" w:hAnsi="Myriad-Roman" w:eastAsia="Myriad-Roman"/>
      <w:kern w:val="1"/>
      <w:sz w:val="20"/>
      <w:lang w:eastAsia="ar-SA"/>
    </w:rPr>
  </w:style>
  <w:style w:type="paragraph" w:customStyle="1" w:styleId="432">
    <w:name w:val="中文列表"/>
    <w:basedOn w:val="1"/>
    <w:qFormat/>
    <w:uiPriority w:val="0"/>
    <w:pPr>
      <w:tabs>
        <w:tab w:val="left" w:pos="284"/>
      </w:tabs>
      <w:ind w:left="284" w:hanging="284"/>
    </w:pPr>
    <w:rPr>
      <w:sz w:val="18"/>
    </w:rPr>
  </w:style>
  <w:style w:type="paragraph" w:customStyle="1" w:styleId="4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jc w:val="left"/>
    </w:pPr>
    <w:rPr>
      <w:rFonts w:ascii="Courier New" w:hAnsi="Courier New"/>
      <w:kern w:val="1"/>
      <w:sz w:val="20"/>
      <w:lang w:eastAsia="ar-SA"/>
    </w:rPr>
  </w:style>
  <w:style w:type="paragraph" w:customStyle="1" w:styleId="434">
    <w:name w:val="表格内容"/>
    <w:basedOn w:val="43"/>
    <w:qFormat/>
    <w:uiPriority w:val="0"/>
    <w:pPr>
      <w:suppressLineNumbers/>
    </w:pPr>
  </w:style>
  <w:style w:type="paragraph" w:customStyle="1" w:styleId="435">
    <w:name w:val="样式 行距: 1.5 倍行距"/>
    <w:basedOn w:val="1"/>
    <w:qFormat/>
    <w:uiPriority w:val="0"/>
    <w:pPr>
      <w:overflowPunct w:val="0"/>
      <w:spacing w:line="360" w:lineRule="auto"/>
    </w:pPr>
    <w:rPr>
      <w:rFonts w:eastAsia="楷体_GB2312"/>
      <w:kern w:val="1"/>
      <w:sz w:val="24"/>
      <w:szCs w:val="20"/>
      <w:lang w:eastAsia="ar-SA"/>
    </w:rPr>
  </w:style>
  <w:style w:type="paragraph" w:customStyle="1" w:styleId="436">
    <w:name w:val="样式1"/>
    <w:basedOn w:val="4"/>
    <w:link w:val="437"/>
    <w:qFormat/>
    <w:uiPriority w:val="0"/>
    <w:pPr>
      <w:keepNext w:val="0"/>
      <w:keepLines w:val="0"/>
      <w:spacing w:before="48" w:after="48" w:line="360" w:lineRule="auto"/>
      <w:ind w:left="-6" w:firstLine="425"/>
    </w:pPr>
    <w:rPr>
      <w:rFonts w:ascii="Times New Roman" w:hAnsi="宋体"/>
      <w:bCs/>
      <w:sz w:val="24"/>
      <w:szCs w:val="24"/>
    </w:rPr>
  </w:style>
  <w:style w:type="character" w:customStyle="1" w:styleId="437">
    <w:name w:val="样式1 字符"/>
    <w:link w:val="436"/>
    <w:uiPriority w:val="0"/>
    <w:rPr>
      <w:rFonts w:hAnsi="宋体"/>
      <w:b/>
      <w:bCs/>
      <w:kern w:val="44"/>
      <w:sz w:val="24"/>
      <w:szCs w:val="24"/>
    </w:rPr>
  </w:style>
  <w:style w:type="paragraph" w:customStyle="1" w:styleId="438">
    <w:name w:val="文字说明"/>
    <w:basedOn w:val="1"/>
    <w:qFormat/>
    <w:uiPriority w:val="0"/>
    <w:pPr>
      <w:suppressLineNumbers/>
      <w:overflowPunct w:val="0"/>
      <w:spacing w:before="120" w:after="120"/>
    </w:pPr>
    <w:rPr>
      <w:rFonts w:ascii="Arial" w:hAnsi="Arial" w:cs="Tahoma"/>
      <w:i/>
      <w:iCs/>
      <w:kern w:val="1"/>
      <w:sz w:val="20"/>
      <w:szCs w:val="20"/>
      <w:lang w:eastAsia="ar-SA"/>
    </w:rPr>
  </w:style>
  <w:style w:type="paragraph" w:customStyle="1" w:styleId="439">
    <w:name w:val="朝阳方案标题3"/>
    <w:basedOn w:val="1"/>
    <w:next w:val="1"/>
    <w:qFormat/>
    <w:uiPriority w:val="0"/>
    <w:pPr>
      <w:tabs>
        <w:tab w:val="left" w:pos="2040"/>
      </w:tabs>
      <w:overflowPunct w:val="0"/>
      <w:spacing w:line="360" w:lineRule="auto"/>
      <w:ind w:left="1320"/>
    </w:pPr>
    <w:rPr>
      <w:b/>
      <w:kern w:val="1"/>
      <w:sz w:val="30"/>
      <w:lang w:eastAsia="ar-SA"/>
    </w:rPr>
  </w:style>
  <w:style w:type="paragraph" w:customStyle="1" w:styleId="440">
    <w:name w:val="附录表标题"/>
    <w:next w:val="1"/>
    <w:qFormat/>
    <w:uiPriority w:val="0"/>
    <w:pPr>
      <w:ind w:left="360" w:hanging="360"/>
      <w:jc w:val="center"/>
      <w:textAlignment w:val="baseline"/>
    </w:pPr>
    <w:rPr>
      <w:rFonts w:ascii="黑体" w:hAnsi="黑体" w:eastAsia="黑体"/>
      <w:kern w:val="1"/>
      <w:sz w:val="21"/>
      <w:lang w:val="en-US" w:eastAsia="ar-SA" w:bidi="ar-SA"/>
    </w:rPr>
  </w:style>
  <w:style w:type="paragraph" w:customStyle="1" w:styleId="441">
    <w:name w:val="CBD标题4"/>
    <w:basedOn w:val="1"/>
    <w:next w:val="1"/>
    <w:qFormat/>
    <w:uiPriority w:val="0"/>
    <w:pPr>
      <w:overflowPunct w:val="0"/>
      <w:ind w:left="2781" w:hanging="1080"/>
    </w:pPr>
    <w:rPr>
      <w:b/>
      <w:kern w:val="1"/>
      <w:sz w:val="28"/>
      <w:lang w:eastAsia="ar-SA"/>
    </w:rPr>
  </w:style>
  <w:style w:type="paragraph" w:customStyle="1" w:styleId="442">
    <w:name w:val="样式 标题 + 左侧:  0.51 厘米 首行缩进:  0 厘米"/>
    <w:basedOn w:val="368"/>
    <w:qFormat/>
    <w:uiPriority w:val="0"/>
    <w:pPr>
      <w:ind w:left="288" w:hanging="288"/>
    </w:pPr>
    <w:rPr>
      <w:rFonts w:cs="Times New Roman"/>
      <w:szCs w:val="20"/>
    </w:rPr>
  </w:style>
  <w:style w:type="paragraph" w:customStyle="1" w:styleId="443">
    <w:name w:val="TOC 标题1"/>
    <w:basedOn w:val="4"/>
    <w:next w:val="1"/>
    <w:qFormat/>
    <w:uiPriority w:val="39"/>
    <w:pPr>
      <w:keepNext w:val="0"/>
      <w:keepLines w:val="0"/>
      <w:widowControl/>
      <w:autoSpaceDE/>
      <w:autoSpaceDN/>
      <w:adjustRightInd/>
      <w:spacing w:before="480" w:after="0" w:line="276" w:lineRule="auto"/>
      <w:ind w:left="-6" w:firstLine="425"/>
      <w:jc w:val="left"/>
      <w:outlineLvl w:val="9"/>
    </w:pPr>
    <w:rPr>
      <w:rFonts w:ascii="Cambria" w:hAnsi="Cambria"/>
      <w:bCs/>
      <w:color w:val="365F91"/>
      <w:kern w:val="0"/>
      <w:sz w:val="28"/>
      <w:szCs w:val="28"/>
    </w:rPr>
  </w:style>
  <w:style w:type="paragraph" w:customStyle="1" w:styleId="444">
    <w:name w:val="段落"/>
    <w:basedOn w:val="1"/>
    <w:qFormat/>
    <w:uiPriority w:val="0"/>
    <w:pPr>
      <w:overflowPunct w:val="0"/>
      <w:spacing w:line="360" w:lineRule="auto"/>
      <w:ind w:firstLine="480"/>
      <w:jc w:val="left"/>
    </w:pPr>
    <w:rPr>
      <w:kern w:val="1"/>
      <w:sz w:val="24"/>
      <w:lang w:eastAsia="ar-SA"/>
    </w:rPr>
  </w:style>
  <w:style w:type="paragraph" w:customStyle="1" w:styleId="445">
    <w:name w:val="封面副题"/>
    <w:basedOn w:val="426"/>
    <w:qFormat/>
    <w:uiPriority w:val="0"/>
    <w:pPr>
      <w:spacing w:before="0" w:after="0" w:line="100" w:lineRule="atLeast"/>
    </w:pPr>
    <w:rPr>
      <w:b w:val="0"/>
      <w:sz w:val="36"/>
      <w:szCs w:val="36"/>
    </w:rPr>
  </w:style>
  <w:style w:type="paragraph" w:customStyle="1" w:styleId="446">
    <w:name w:val="标题 61"/>
    <w:basedOn w:val="1"/>
    <w:qFormat/>
    <w:uiPriority w:val="1"/>
    <w:pPr>
      <w:autoSpaceDE w:val="0"/>
      <w:autoSpaceDN w:val="0"/>
      <w:adjustRightInd w:val="0"/>
      <w:ind w:left="678"/>
      <w:jc w:val="left"/>
      <w:outlineLvl w:val="5"/>
    </w:pPr>
    <w:rPr>
      <w:rFonts w:ascii="宋体" w:cs="宋体"/>
      <w:b/>
      <w:bCs/>
      <w:kern w:val="0"/>
      <w:sz w:val="28"/>
      <w:szCs w:val="28"/>
    </w:rPr>
  </w:style>
  <w:style w:type="paragraph" w:customStyle="1" w:styleId="447">
    <w:name w:val="标题 41"/>
    <w:basedOn w:val="1"/>
    <w:qFormat/>
    <w:uiPriority w:val="1"/>
    <w:pPr>
      <w:autoSpaceDE w:val="0"/>
      <w:autoSpaceDN w:val="0"/>
      <w:adjustRightInd w:val="0"/>
      <w:ind w:left="545"/>
      <w:jc w:val="left"/>
      <w:outlineLvl w:val="3"/>
    </w:pPr>
    <w:rPr>
      <w:rFonts w:ascii="宋体" w:cs="宋体"/>
      <w:b/>
      <w:bCs/>
      <w:kern w:val="0"/>
      <w:sz w:val="32"/>
      <w:szCs w:val="32"/>
    </w:rPr>
  </w:style>
  <w:style w:type="character" w:customStyle="1" w:styleId="448">
    <w:name w:val="不明显参考1"/>
    <w:qFormat/>
    <w:uiPriority w:val="0"/>
    <w:rPr>
      <w:smallCaps/>
      <w:color w:val="C0504D"/>
      <w:u w:val="single"/>
    </w:rPr>
  </w:style>
  <w:style w:type="paragraph" w:customStyle="1" w:styleId="449">
    <w:name w:val="p15"/>
    <w:basedOn w:val="1"/>
    <w:qFormat/>
    <w:uiPriority w:val="0"/>
    <w:pPr>
      <w:widowControl/>
    </w:pPr>
    <w:rPr>
      <w:rFonts w:ascii="Calibri" w:hAnsi="Calibri"/>
      <w:kern w:val="0"/>
      <w:szCs w:val="21"/>
    </w:rPr>
  </w:style>
  <w:style w:type="paragraph" w:customStyle="1" w:styleId="450">
    <w:name w:val="p16"/>
    <w:basedOn w:val="1"/>
    <w:qFormat/>
    <w:uiPriority w:val="0"/>
    <w:pPr>
      <w:widowControl/>
    </w:pPr>
    <w:rPr>
      <w:rFonts w:ascii="宋体" w:hAnsi="宋体" w:cs="宋体"/>
      <w:kern w:val="0"/>
      <w:szCs w:val="21"/>
    </w:rPr>
  </w:style>
  <w:style w:type="paragraph" w:customStyle="1" w:styleId="451">
    <w:name w:val="p17"/>
    <w:basedOn w:val="1"/>
    <w:qFormat/>
    <w:uiPriority w:val="0"/>
    <w:pPr>
      <w:widowControl/>
    </w:pPr>
    <w:rPr>
      <w:rFonts w:ascii="Calibri" w:hAnsi="Calibri"/>
      <w:kern w:val="0"/>
      <w:szCs w:val="21"/>
    </w:rPr>
  </w:style>
  <w:style w:type="character" w:customStyle="1" w:styleId="452">
    <w:name w:val="font61"/>
    <w:qFormat/>
    <w:uiPriority w:val="99"/>
    <w:rPr>
      <w:rFonts w:ascii="宋体" w:hAnsi="宋体" w:eastAsia="宋体" w:cs="宋体"/>
      <w:color w:val="000000"/>
      <w:sz w:val="22"/>
      <w:szCs w:val="22"/>
      <w:u w:val="none"/>
    </w:rPr>
  </w:style>
  <w:style w:type="table" w:customStyle="1" w:styleId="453">
    <w:name w:val="网格型1"/>
    <w:basedOn w:val="61"/>
    <w:qFormat/>
    <w:uiPriority w:val="0"/>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4">
    <w:name w:val="font81"/>
    <w:qFormat/>
    <w:uiPriority w:val="0"/>
    <w:rPr>
      <w:rFonts w:hint="eastAsia" w:ascii="微软雅黑" w:hAnsi="微软雅黑" w:eastAsia="微软雅黑" w:cs="微软雅黑"/>
      <w:color w:val="000000"/>
      <w:sz w:val="22"/>
      <w:szCs w:val="22"/>
      <w:u w:val="none"/>
    </w:rPr>
  </w:style>
  <w:style w:type="paragraph" w:customStyle="1" w:styleId="455">
    <w:name w:val="段"/>
    <w:next w:val="1"/>
    <w:qFormat/>
    <w:uiPriority w:val="0"/>
    <w:pPr>
      <w:autoSpaceDE w:val="0"/>
      <w:autoSpaceDN w:val="0"/>
      <w:ind w:firstLine="200" w:firstLineChars="200"/>
      <w:jc w:val="both"/>
    </w:pPr>
    <w:rPr>
      <w:rFonts w:ascii="宋体" w:hAnsi="Calibri"/>
      <w:sz w:val="21"/>
      <w:lang w:val="en-US" w:eastAsia="zh-CN" w:bidi="ar-SA"/>
    </w:rPr>
  </w:style>
  <w:style w:type="character" w:customStyle="1" w:styleId="456">
    <w:name w:val="def"/>
    <w:qFormat/>
    <w:uiPriority w:val="0"/>
  </w:style>
  <w:style w:type="table" w:customStyle="1" w:styleId="457">
    <w:name w:val="网格型2"/>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8">
    <w:name w:val="网格型3"/>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9">
    <w:name w:val="网格型4"/>
    <w:basedOn w:val="61"/>
    <w:qFormat/>
    <w:uiPriority w:val="59"/>
    <w:rPr>
      <w:rFonts w:ascii="Calibri" w:hAnsi="Calibri" w:eastAsia="宋体" w:cs="Times New Roman"/>
    </w:rPr>
    <w:tblPr>
      <w:tblStyle w:val="6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60">
    <w:name w:val="网格型5"/>
    <w:basedOn w:val="61"/>
    <w:qFormat/>
    <w:uiPriority w:val="39"/>
    <w:rPr>
      <w:rFonts w:ascii="Calibri" w:hAnsi="Calibri" w:eastAsia="宋体" w:cs="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6"/>
    <w:basedOn w:val="61"/>
    <w:qFormat/>
    <w:uiPriority w:val="39"/>
    <w:rPr>
      <w:rFonts w:ascii="Calibri" w:hAnsi="Calibri" w:eastAsia="宋体" w:cs="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7"/>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71"/>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72"/>
    <w:basedOn w:val="61"/>
    <w:qFormat/>
    <w:uiPriority w:val="39"/>
    <w:rPr>
      <w:rFonts w:ascii="Calibri" w:hAnsi="Calibri" w:eastAsia="Times New Roman"/>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5">
    <w:name w:val="合同1级"/>
    <w:next w:val="1"/>
    <w:link w:val="466"/>
    <w:qFormat/>
    <w:uiPriority w:val="0"/>
    <w:pPr>
      <w:numPr>
        <w:ilvl w:val="0"/>
        <w:numId w:val="8"/>
      </w:numPr>
      <w:spacing w:line="480" w:lineRule="auto"/>
      <w:outlineLvl w:val="0"/>
    </w:pPr>
    <w:rPr>
      <w:rFonts w:ascii="宋体" w:hAnsi="宋体"/>
      <w:b/>
      <w:bCs/>
      <w:kern w:val="2"/>
      <w:sz w:val="18"/>
      <w:szCs w:val="32"/>
      <w:lang w:val="en-US" w:eastAsia="zh-CN" w:bidi="ar-SA"/>
    </w:rPr>
  </w:style>
  <w:style w:type="character" w:customStyle="1" w:styleId="466">
    <w:name w:val="合同1级 字符"/>
    <w:link w:val="465"/>
    <w:qFormat/>
    <w:uiPriority w:val="0"/>
    <w:rPr>
      <w:rFonts w:ascii="宋体" w:hAnsi="宋体"/>
      <w:b/>
      <w:bCs/>
      <w:kern w:val="2"/>
      <w:sz w:val="18"/>
      <w:szCs w:val="32"/>
    </w:rPr>
  </w:style>
  <w:style w:type="paragraph" w:customStyle="1" w:styleId="467">
    <w:name w:val="合同2级"/>
    <w:basedOn w:val="465"/>
    <w:link w:val="468"/>
    <w:qFormat/>
    <w:uiPriority w:val="0"/>
    <w:pPr>
      <w:numPr>
        <w:ilvl w:val="1"/>
        <w:numId w:val="8"/>
      </w:numPr>
      <w:snapToGrid w:val="0"/>
      <w:outlineLvl w:val="1"/>
    </w:pPr>
    <w:rPr>
      <w:b w:val="0"/>
      <w:sz w:val="20"/>
    </w:rPr>
  </w:style>
  <w:style w:type="character" w:customStyle="1" w:styleId="468">
    <w:name w:val="合同2级 字符"/>
    <w:link w:val="467"/>
    <w:qFormat/>
    <w:uiPriority w:val="0"/>
    <w:rPr>
      <w:rFonts w:ascii="宋体" w:hAnsi="宋体"/>
      <w:bCs/>
      <w:kern w:val="2"/>
      <w:szCs w:val="32"/>
    </w:rPr>
  </w:style>
  <w:style w:type="paragraph" w:customStyle="1" w:styleId="469">
    <w:name w:val="合同3级"/>
    <w:basedOn w:val="467"/>
    <w:link w:val="470"/>
    <w:qFormat/>
    <w:uiPriority w:val="0"/>
    <w:pPr>
      <w:numPr>
        <w:ilvl w:val="2"/>
        <w:numId w:val="2"/>
      </w:numPr>
      <w:ind w:left="250" w:hanging="250" w:hangingChars="250"/>
      <w:outlineLvl w:val="2"/>
    </w:pPr>
  </w:style>
  <w:style w:type="character" w:customStyle="1" w:styleId="470">
    <w:name w:val="合同3级 字符"/>
    <w:link w:val="469"/>
    <w:qFormat/>
    <w:uiPriority w:val="0"/>
    <w:rPr>
      <w:rFonts w:ascii="宋体" w:hAnsi="宋体"/>
      <w:bCs/>
      <w:kern w:val="2"/>
      <w:szCs w:val="32"/>
    </w:rPr>
  </w:style>
  <w:style w:type="paragraph" w:customStyle="1" w:styleId="471">
    <w:name w:val="修订2"/>
    <w:unhideWhenUsed/>
    <w:qFormat/>
    <w:uiPriority w:val="99"/>
    <w:rPr>
      <w:kern w:val="2"/>
      <w:sz w:val="21"/>
      <w:szCs w:val="24"/>
      <w:lang w:val="en-US" w:eastAsia="zh-CN" w:bidi="ar-SA"/>
    </w:rPr>
  </w:style>
  <w:style w:type="paragraph" w:customStyle="1" w:styleId="472">
    <w:name w:val="样式 小四"/>
    <w:qFormat/>
    <w:uiPriority w:val="0"/>
    <w:pPr>
      <w:widowControl w:val="0"/>
      <w:adjustRightInd w:val="0"/>
      <w:spacing w:line="360" w:lineRule="atLeast"/>
      <w:textAlignment w:val="baseline"/>
    </w:pPr>
    <w:rPr>
      <w:rFonts w:cs="Arial"/>
      <w:sz w:val="24"/>
      <w:szCs w:val="22"/>
      <w:lang w:val="en-US" w:eastAsia="zh-CN" w:bidi="ar-SA"/>
    </w:rPr>
  </w:style>
  <w:style w:type="character" w:customStyle="1" w:styleId="473">
    <w:name w:val="正文缩进 字符1"/>
    <w:qFormat/>
    <w:uiPriority w:val="0"/>
    <w:rPr>
      <w:rFonts w:ascii="宋体" w:eastAsia="宋体"/>
      <w:kern w:val="2"/>
      <w:sz w:val="24"/>
      <w:szCs w:val="24"/>
      <w:lang w:val="en-US" w:eastAsia="zh-CN" w:bidi="ar-SA"/>
    </w:rPr>
  </w:style>
  <w:style w:type="character" w:customStyle="1" w:styleId="474">
    <w:name w:val="纯文本 字符2"/>
    <w:qFormat/>
    <w:uiPriority w:val="0"/>
    <w:rPr>
      <w:rFonts w:ascii="宋体" w:hAnsi="Courier New"/>
      <w:kern w:val="2"/>
      <w:sz w:val="21"/>
    </w:rPr>
  </w:style>
  <w:style w:type="character" w:customStyle="1" w:styleId="475">
    <w:name w:val="未处理的提及1"/>
    <w:qFormat/>
    <w:uiPriority w:val="99"/>
    <w:rPr>
      <w:color w:val="605E5C"/>
      <w:shd w:val="clear" w:color="auto" w:fill="E1DFDD"/>
    </w:rPr>
  </w:style>
  <w:style w:type="character" w:customStyle="1" w:styleId="476">
    <w:name w:val="占位符文本1"/>
    <w:uiPriority w:val="0"/>
    <w:rPr>
      <w:color w:val="808080"/>
    </w:rPr>
  </w:style>
  <w:style w:type="character" w:customStyle="1" w:styleId="477">
    <w:name w:val="批注引用1"/>
    <w:qFormat/>
    <w:uiPriority w:val="0"/>
    <w:rPr>
      <w:sz w:val="21"/>
      <w:szCs w:val="21"/>
    </w:rPr>
  </w:style>
  <w:style w:type="paragraph" w:customStyle="1" w:styleId="478">
    <w:name w:val="文档结构图1"/>
    <w:basedOn w:val="1"/>
    <w:uiPriority w:val="0"/>
    <w:pPr>
      <w:adjustRightInd w:val="0"/>
      <w:snapToGrid w:val="0"/>
      <w:spacing w:after="156" w:afterLines="50" w:line="360" w:lineRule="auto"/>
      <w:ind w:firstLine="480" w:firstLineChars="200"/>
    </w:pPr>
    <w:rPr>
      <w:rFonts w:ascii="宋体" w:hAnsi="Calibri" w:eastAsia="宋体" w:cs="黑体"/>
      <w:sz w:val="24"/>
    </w:rPr>
  </w:style>
  <w:style w:type="paragraph" w:customStyle="1" w:styleId="479">
    <w:name w:val="正文文本 31"/>
    <w:basedOn w:val="1"/>
    <w:qFormat/>
    <w:uiPriority w:val="0"/>
    <w:pPr>
      <w:adjustRightInd w:val="0"/>
      <w:snapToGrid w:val="0"/>
      <w:spacing w:after="156" w:afterLines="50" w:line="360" w:lineRule="auto"/>
      <w:ind w:firstLine="480" w:firstLineChars="200"/>
    </w:pPr>
    <w:rPr>
      <w:rFonts w:ascii="Calibri" w:hAnsi="Calibri" w:cs="黑体"/>
      <w:sz w:val="16"/>
      <w:szCs w:val="16"/>
    </w:rPr>
  </w:style>
  <w:style w:type="character" w:customStyle="1" w:styleId="480">
    <w:name w:val="正文文本 2 Char"/>
    <w:link w:val="481"/>
    <w:uiPriority w:val="0"/>
    <w:rPr>
      <w:rFonts w:ascii="Calibri" w:hAnsi="Calibri" w:cs="黑体"/>
      <w:kern w:val="2"/>
      <w:sz w:val="24"/>
      <w:szCs w:val="22"/>
    </w:rPr>
  </w:style>
  <w:style w:type="paragraph" w:customStyle="1" w:styleId="481">
    <w:name w:val="正文文本 21"/>
    <w:basedOn w:val="1"/>
    <w:link w:val="480"/>
    <w:qFormat/>
    <w:uiPriority w:val="0"/>
    <w:pPr>
      <w:adjustRightInd w:val="0"/>
      <w:snapToGrid w:val="0"/>
      <w:spacing w:after="156" w:afterLines="50" w:line="480" w:lineRule="auto"/>
      <w:ind w:firstLine="480" w:firstLineChars="200"/>
    </w:pPr>
    <w:rPr>
      <w:rFonts w:ascii="Calibri" w:hAnsi="Calibri" w:cs="黑体"/>
      <w:sz w:val="24"/>
      <w:szCs w:val="22"/>
    </w:rPr>
  </w:style>
  <w:style w:type="paragraph" w:customStyle="1" w:styleId="482">
    <w:name w:val="Title 4 Chinese"/>
    <w:qFormat/>
    <w:uiPriority w:val="0"/>
    <w:pPr>
      <w:ind w:left="1276"/>
    </w:pPr>
    <w:rPr>
      <w:rFonts w:cs="黑体"/>
      <w:kern w:val="2"/>
      <w:sz w:val="24"/>
      <w:szCs w:val="24"/>
      <w:lang w:val="en-US" w:eastAsia="zh-CN" w:bidi="ar-SA"/>
    </w:rPr>
  </w:style>
  <w:style w:type="paragraph" w:customStyle="1" w:styleId="483">
    <w:name w:val="样式3"/>
    <w:next w:val="1"/>
    <w:link w:val="484"/>
    <w:qFormat/>
    <w:uiPriority w:val="0"/>
    <w:pPr>
      <w:numPr>
        <w:ilvl w:val="2"/>
        <w:numId w:val="8"/>
      </w:numPr>
    </w:pPr>
    <w:rPr>
      <w:rFonts w:cs="黑体"/>
      <w:bCs/>
      <w:kern w:val="2"/>
      <w:sz w:val="24"/>
      <w:szCs w:val="24"/>
      <w:lang w:val="en-US" w:eastAsia="zh-CN" w:bidi="ar-SA"/>
    </w:rPr>
  </w:style>
  <w:style w:type="character" w:customStyle="1" w:styleId="484">
    <w:name w:val="样式3 Char"/>
    <w:link w:val="483"/>
    <w:qFormat/>
    <w:uiPriority w:val="0"/>
    <w:rPr>
      <w:rFonts w:cs="黑体"/>
      <w:bCs/>
      <w:kern w:val="2"/>
      <w:sz w:val="24"/>
      <w:szCs w:val="24"/>
    </w:rPr>
  </w:style>
  <w:style w:type="paragraph" w:customStyle="1" w:styleId="485">
    <w:name w:val="Title 5 Chinese"/>
    <w:uiPriority w:val="0"/>
    <w:pPr>
      <w:ind w:left="1701"/>
    </w:pPr>
    <w:rPr>
      <w:rFonts w:cs="黑体"/>
      <w:kern w:val="2"/>
      <w:sz w:val="24"/>
      <w:szCs w:val="24"/>
      <w:lang w:val="en-US" w:eastAsia="zh-CN" w:bidi="ar-SA"/>
    </w:rPr>
  </w:style>
  <w:style w:type="paragraph" w:customStyle="1" w:styleId="486">
    <w:name w:val="小标题"/>
    <w:uiPriority w:val="0"/>
    <w:pPr>
      <w:tabs>
        <w:tab w:val="left" w:pos="993"/>
      </w:tabs>
      <w:adjustRightInd w:val="0"/>
      <w:snapToGrid w:val="0"/>
    </w:pPr>
    <w:rPr>
      <w:rFonts w:cs="黑体"/>
      <w:bCs/>
      <w:kern w:val="2"/>
      <w:sz w:val="24"/>
      <w:szCs w:val="22"/>
      <w:lang w:val="en-US" w:eastAsia="zh-CN" w:bidi="ar-SA"/>
    </w:rPr>
  </w:style>
  <w:style w:type="paragraph" w:customStyle="1" w:styleId="487">
    <w:name w:val="_Style 47"/>
    <w:qFormat/>
    <w:uiPriority w:val="0"/>
    <w:rPr>
      <w:rFonts w:ascii="宋体" w:hAnsi="宋体" w:cs="黑体"/>
      <w:kern w:val="2"/>
      <w:sz w:val="24"/>
      <w:szCs w:val="24"/>
      <w:lang w:val="en-US" w:eastAsia="zh-CN" w:bidi="ar-SA"/>
    </w:rPr>
  </w:style>
  <w:style w:type="paragraph" w:customStyle="1" w:styleId="488">
    <w:name w:val="专用标题3"/>
    <w:basedOn w:val="7"/>
    <w:uiPriority w:val="0"/>
    <w:pPr>
      <w:numPr>
        <w:ilvl w:val="1"/>
        <w:numId w:val="2"/>
      </w:numPr>
      <w:autoSpaceDE/>
      <w:autoSpaceDN/>
      <w:snapToGrid w:val="0"/>
      <w:spacing w:before="0" w:after="156" w:afterLines="50" w:line="360" w:lineRule="auto"/>
    </w:pPr>
    <w:rPr>
      <w:rFonts w:hAnsi="Calibri" w:cs="黑体"/>
      <w:kern w:val="2"/>
      <w:szCs w:val="22"/>
      <w:u w:val="none"/>
    </w:rPr>
  </w:style>
  <w:style w:type="paragraph" w:customStyle="1" w:styleId="489">
    <w:name w:val="List ALPHA CAPS 1"/>
    <w:basedOn w:val="1"/>
    <w:next w:val="23"/>
    <w:qFormat/>
    <w:uiPriority w:val="0"/>
    <w:pPr>
      <w:widowControl/>
      <w:numPr>
        <w:ilvl w:val="0"/>
        <w:numId w:val="9"/>
      </w:numPr>
      <w:tabs>
        <w:tab w:val="left" w:pos="22"/>
      </w:tabs>
      <w:adjustRightInd w:val="0"/>
      <w:snapToGrid w:val="0"/>
      <w:spacing w:after="200" w:line="288" w:lineRule="auto"/>
      <w:ind w:firstLine="200" w:firstLineChars="200"/>
    </w:pPr>
    <w:rPr>
      <w:rFonts w:ascii="CG Times" w:hAnsi="CG Times"/>
      <w:kern w:val="0"/>
      <w:sz w:val="22"/>
      <w:szCs w:val="20"/>
    </w:rPr>
  </w:style>
  <w:style w:type="paragraph" w:customStyle="1" w:styleId="490">
    <w:name w:val="专用标题2"/>
    <w:basedOn w:val="5"/>
    <w:next w:val="1"/>
    <w:qFormat/>
    <w:uiPriority w:val="0"/>
    <w:pPr>
      <w:tabs>
        <w:tab w:val="left" w:pos="312"/>
        <w:tab w:val="left" w:pos="993"/>
      </w:tabs>
      <w:autoSpaceDE/>
      <w:autoSpaceDN/>
      <w:snapToGrid w:val="0"/>
      <w:spacing w:before="0" w:after="156" w:afterLines="50" w:line="360" w:lineRule="auto"/>
      <w:jc w:val="both"/>
    </w:pPr>
    <w:rPr>
      <w:rFonts w:ascii="宋体" w:hAnsi="宋体" w:eastAsia="宋体" w:cs="Times"/>
      <w:kern w:val="2"/>
      <w:sz w:val="28"/>
      <w:szCs w:val="24"/>
    </w:rPr>
  </w:style>
  <w:style w:type="paragraph" w:customStyle="1" w:styleId="491">
    <w:name w:val="专用标题4"/>
    <w:basedOn w:val="8"/>
    <w:next w:val="1"/>
    <w:uiPriority w:val="0"/>
    <w:pPr>
      <w:widowControl/>
      <w:numPr>
        <w:ilvl w:val="0"/>
        <w:numId w:val="10"/>
      </w:numPr>
      <w:snapToGrid w:val="0"/>
      <w:spacing w:before="0" w:after="0" w:line="240" w:lineRule="auto"/>
      <w:jc w:val="left"/>
      <w:textAlignment w:val="auto"/>
    </w:pPr>
    <w:rPr>
      <w:rFonts w:eastAsia="宋体" w:cs="黑体"/>
      <w:b w:val="0"/>
      <w:kern w:val="2"/>
      <w:szCs w:val="22"/>
    </w:rPr>
  </w:style>
  <w:style w:type="paragraph" w:customStyle="1" w:styleId="492">
    <w:name w:val="批注主题1"/>
    <w:basedOn w:val="21"/>
    <w:next w:val="21"/>
    <w:qFormat/>
    <w:uiPriority w:val="0"/>
    <w:pPr>
      <w:adjustRightInd w:val="0"/>
      <w:snapToGrid w:val="0"/>
      <w:spacing w:after="156" w:afterLines="50" w:line="360" w:lineRule="auto"/>
      <w:ind w:firstLine="480" w:firstLineChars="200"/>
    </w:pPr>
    <w:rPr>
      <w:rFonts w:ascii="宋体" w:hAnsi="宋体" w:cs="黑体"/>
      <w:b/>
      <w:bCs/>
      <w:sz w:val="24"/>
    </w:rPr>
  </w:style>
  <w:style w:type="paragraph" w:customStyle="1" w:styleId="493">
    <w:name w:val="通用标题4"/>
    <w:next w:val="1"/>
    <w:uiPriority w:val="0"/>
    <w:pPr>
      <w:widowControl w:val="0"/>
      <w:numPr>
        <w:ilvl w:val="2"/>
        <w:numId w:val="11"/>
      </w:numPr>
      <w:tabs>
        <w:tab w:val="left" w:pos="709"/>
      </w:tabs>
      <w:adjustRightInd w:val="0"/>
      <w:snapToGrid w:val="0"/>
      <w:spacing w:after="156" w:afterLines="50" w:line="360" w:lineRule="auto"/>
      <w:ind w:left="0" w:firstLine="480" w:firstLineChars="200"/>
      <w:jc w:val="both"/>
      <w:outlineLvl w:val="3"/>
    </w:pPr>
    <w:rPr>
      <w:rFonts w:ascii="宋体" w:hAnsi="宋体" w:cs="黑体"/>
      <w:kern w:val="2"/>
      <w:sz w:val="24"/>
      <w:szCs w:val="24"/>
      <w:lang w:val="en-US" w:eastAsia="zh-CN" w:bidi="ar-SA"/>
    </w:rPr>
  </w:style>
  <w:style w:type="paragraph" w:customStyle="1" w:styleId="494">
    <w:name w:val="通用标题3"/>
    <w:next w:val="1"/>
    <w:qFormat/>
    <w:uiPriority w:val="0"/>
    <w:pPr>
      <w:widowControl w:val="0"/>
      <w:numPr>
        <w:ilvl w:val="1"/>
        <w:numId w:val="11"/>
      </w:numPr>
      <w:tabs>
        <w:tab w:val="left" w:pos="709"/>
      </w:tabs>
      <w:adjustRightInd w:val="0"/>
      <w:snapToGrid w:val="0"/>
      <w:spacing w:after="156" w:afterLines="50" w:line="360" w:lineRule="auto"/>
      <w:jc w:val="both"/>
      <w:outlineLvl w:val="2"/>
    </w:pPr>
    <w:rPr>
      <w:rFonts w:ascii="宋体" w:hAnsi="宋体" w:cs="黑体"/>
      <w:b/>
      <w:kern w:val="2"/>
      <w:sz w:val="24"/>
      <w:szCs w:val="24"/>
      <w:lang w:val="en-US" w:eastAsia="zh-CN" w:bidi="ar-SA"/>
    </w:rPr>
  </w:style>
  <w:style w:type="paragraph" w:customStyle="1" w:styleId="495">
    <w:name w:val="Title 4"/>
    <w:next w:val="482"/>
    <w:uiPriority w:val="0"/>
    <w:pPr>
      <w:ind w:left="1276" w:hanging="562"/>
      <w:jc w:val="both"/>
    </w:pPr>
    <w:rPr>
      <w:rFonts w:cs="黑体"/>
      <w:kern w:val="2"/>
      <w:sz w:val="24"/>
      <w:szCs w:val="24"/>
      <w:lang w:val="en-US" w:eastAsia="zh-CN" w:bidi="ar-SA"/>
    </w:rPr>
  </w:style>
  <w:style w:type="paragraph" w:customStyle="1" w:styleId="496">
    <w:name w:val="缩进2中"/>
    <w:uiPriority w:val="0"/>
    <w:pPr>
      <w:ind w:left="708" w:leftChars="295"/>
      <w:jc w:val="both"/>
    </w:pPr>
    <w:rPr>
      <w:rFonts w:ascii="Times" w:hAnsi="Times" w:cs="黑体"/>
      <w:kern w:val="2"/>
      <w:sz w:val="24"/>
      <w:szCs w:val="22"/>
      <w:lang w:val="en-US" w:eastAsia="zh-CN" w:bidi="ar-SA"/>
    </w:rPr>
  </w:style>
  <w:style w:type="paragraph" w:customStyle="1" w:styleId="497">
    <w:name w:val="Title 5"/>
    <w:next w:val="485"/>
    <w:uiPriority w:val="0"/>
    <w:pPr>
      <w:numPr>
        <w:ilvl w:val="0"/>
        <w:numId w:val="12"/>
      </w:numPr>
      <w:ind w:left="1701" w:hanging="426"/>
      <w:jc w:val="both"/>
    </w:pPr>
    <w:rPr>
      <w:rFonts w:cs="黑体"/>
      <w:kern w:val="2"/>
      <w:sz w:val="24"/>
      <w:szCs w:val="24"/>
      <w:lang w:val="en-US" w:eastAsia="zh-CN" w:bidi="ar-SA"/>
    </w:rPr>
  </w:style>
  <w:style w:type="paragraph" w:customStyle="1" w:styleId="498">
    <w:name w:val="普通(网站)1"/>
    <w:basedOn w:val="1"/>
    <w:qFormat/>
    <w:uiPriority w:val="0"/>
    <w:pPr>
      <w:widowControl/>
      <w:spacing w:before="100" w:beforeAutospacing="1" w:after="156" w:afterLines="50"/>
      <w:jc w:val="left"/>
    </w:pPr>
    <w:rPr>
      <w:rFonts w:ascii="宋体" w:hAnsi="宋体" w:cs="宋体"/>
      <w:kern w:val="0"/>
      <w:sz w:val="24"/>
    </w:rPr>
  </w:style>
  <w:style w:type="paragraph" w:customStyle="1" w:styleId="499">
    <w:name w:val="列表段落1"/>
    <w:basedOn w:val="1"/>
    <w:uiPriority w:val="0"/>
    <w:pPr>
      <w:adjustRightInd w:val="0"/>
      <w:snapToGrid w:val="0"/>
      <w:spacing w:after="156" w:afterLines="50" w:line="360" w:lineRule="auto"/>
      <w:ind w:firstLine="420" w:firstLineChars="200"/>
    </w:pPr>
    <w:rPr>
      <w:rFonts w:ascii="宋体" w:hAnsi="宋体" w:cs="黑体"/>
      <w:sz w:val="24"/>
    </w:rPr>
  </w:style>
  <w:style w:type="paragraph" w:customStyle="1" w:styleId="500">
    <w:name w:val="附件标题1"/>
    <w:next w:val="1"/>
    <w:uiPriority w:val="0"/>
    <w:pPr>
      <w:numPr>
        <w:ilvl w:val="0"/>
        <w:numId w:val="13"/>
      </w:numPr>
      <w:tabs>
        <w:tab w:val="left" w:pos="1134"/>
      </w:tabs>
      <w:adjustRightInd w:val="0"/>
      <w:snapToGrid w:val="0"/>
      <w:spacing w:after="156" w:afterLines="50" w:line="360" w:lineRule="auto"/>
    </w:pPr>
    <w:rPr>
      <w:rFonts w:ascii="宋体" w:hAnsi="宋体" w:cs="黑体"/>
      <w:b/>
      <w:kern w:val="2"/>
      <w:sz w:val="24"/>
      <w:szCs w:val="24"/>
      <w:lang w:val="en-US" w:eastAsia="zh-CN" w:bidi="ar-SA"/>
    </w:rPr>
  </w:style>
  <w:style w:type="paragraph" w:customStyle="1" w:styleId="501">
    <w:name w:val="LIST ALPHA CAPS 3"/>
    <w:basedOn w:val="1"/>
    <w:next w:val="479"/>
    <w:uiPriority w:val="0"/>
    <w:pPr>
      <w:widowControl/>
      <w:numPr>
        <w:ilvl w:val="2"/>
        <w:numId w:val="9"/>
      </w:numPr>
      <w:tabs>
        <w:tab w:val="left" w:pos="68"/>
        <w:tab w:val="left" w:pos="624"/>
      </w:tabs>
      <w:adjustRightInd w:val="0"/>
      <w:snapToGrid w:val="0"/>
      <w:spacing w:after="200" w:line="288" w:lineRule="auto"/>
      <w:ind w:firstLine="200" w:firstLineChars="200"/>
    </w:pPr>
    <w:rPr>
      <w:rFonts w:ascii="CG Times" w:hAnsi="CG Times"/>
      <w:kern w:val="0"/>
      <w:sz w:val="22"/>
      <w:szCs w:val="20"/>
    </w:rPr>
  </w:style>
  <w:style w:type="paragraph" w:customStyle="1" w:styleId="502">
    <w:name w:val="TOC 标题2"/>
    <w:basedOn w:val="4"/>
    <w:next w:val="1"/>
    <w:qFormat/>
    <w:uiPriority w:val="0"/>
    <w:pPr>
      <w:autoSpaceDE/>
      <w:autoSpaceDN/>
      <w:adjustRightInd/>
      <w:spacing w:before="260" w:after="260" w:line="413" w:lineRule="auto"/>
    </w:pPr>
    <w:rPr>
      <w:rFonts w:hAnsi="宋体"/>
      <w:bCs/>
      <w:sz w:val="36"/>
      <w:szCs w:val="44"/>
      <w:lang w:val="zh-CN"/>
    </w:rPr>
  </w:style>
  <w:style w:type="paragraph" w:customStyle="1" w:styleId="503">
    <w:name w:val="Main Title"/>
    <w:next w:val="1"/>
    <w:qFormat/>
    <w:uiPriority w:val="0"/>
    <w:pPr>
      <w:adjustRightInd w:val="0"/>
      <w:snapToGrid w:val="0"/>
      <w:spacing w:after="156" w:afterLines="50" w:line="360" w:lineRule="auto"/>
      <w:jc w:val="center"/>
    </w:pPr>
    <w:rPr>
      <w:rFonts w:ascii="黑体" w:hAnsi="黑体" w:eastAsia="黑体" w:cs="黑体"/>
      <w:b/>
      <w:kern w:val="2"/>
      <w:sz w:val="36"/>
      <w:szCs w:val="22"/>
      <w:lang w:val="zh-CN" w:eastAsia="zh-CN" w:bidi="ar-SA"/>
    </w:rPr>
  </w:style>
  <w:style w:type="paragraph" w:customStyle="1" w:styleId="504">
    <w:name w:val="附件标题"/>
    <w:basedOn w:val="5"/>
    <w:next w:val="1"/>
    <w:uiPriority w:val="0"/>
    <w:pPr>
      <w:numPr>
        <w:ilvl w:val="0"/>
        <w:numId w:val="14"/>
      </w:numPr>
      <w:tabs>
        <w:tab w:val="left" w:pos="1134"/>
      </w:tabs>
      <w:autoSpaceDE/>
      <w:autoSpaceDN/>
      <w:snapToGrid w:val="0"/>
      <w:spacing w:before="0" w:after="156" w:afterLines="50" w:line="360" w:lineRule="auto"/>
      <w:ind w:left="0" w:firstLine="0"/>
    </w:pPr>
    <w:rPr>
      <w:rFonts w:ascii="宋体" w:hAnsi="宋体" w:eastAsia="宋体"/>
      <w:kern w:val="2"/>
      <w:szCs w:val="30"/>
    </w:rPr>
  </w:style>
  <w:style w:type="paragraph" w:customStyle="1" w:styleId="505">
    <w:name w:val="LIST ALPHA CAPS 2"/>
    <w:basedOn w:val="1"/>
    <w:next w:val="481"/>
    <w:uiPriority w:val="0"/>
    <w:pPr>
      <w:widowControl/>
      <w:numPr>
        <w:ilvl w:val="1"/>
        <w:numId w:val="9"/>
      </w:numPr>
      <w:tabs>
        <w:tab w:val="left" w:pos="50"/>
        <w:tab w:val="left" w:pos="624"/>
      </w:tabs>
      <w:adjustRightInd w:val="0"/>
      <w:snapToGrid w:val="0"/>
      <w:spacing w:after="200" w:line="288" w:lineRule="auto"/>
      <w:ind w:firstLine="200" w:firstLineChars="200"/>
    </w:pPr>
    <w:rPr>
      <w:rFonts w:ascii="CG Times" w:hAnsi="CG Times"/>
      <w:kern w:val="0"/>
      <w:sz w:val="22"/>
      <w:szCs w:val="20"/>
    </w:rPr>
  </w:style>
  <w:style w:type="paragraph" w:customStyle="1" w:styleId="506">
    <w:name w:val="协议书标题2"/>
    <w:basedOn w:val="5"/>
    <w:next w:val="1"/>
    <w:qFormat/>
    <w:uiPriority w:val="0"/>
    <w:pPr>
      <w:keepNext w:val="0"/>
      <w:keepLines w:val="0"/>
      <w:numPr>
        <w:ilvl w:val="0"/>
        <w:numId w:val="15"/>
      </w:numPr>
      <w:tabs>
        <w:tab w:val="left" w:pos="567"/>
      </w:tabs>
      <w:autoSpaceDE/>
      <w:autoSpaceDN/>
      <w:snapToGrid w:val="0"/>
      <w:spacing w:before="0" w:after="156" w:afterLines="50" w:line="360" w:lineRule="auto"/>
      <w:ind w:firstLine="0"/>
      <w:jc w:val="left"/>
    </w:pPr>
    <w:rPr>
      <w:rFonts w:ascii="宋体" w:hAnsi="宋体" w:eastAsia="宋体" w:cs="黑体"/>
      <w:kern w:val="2"/>
      <w:sz w:val="24"/>
      <w:szCs w:val="24"/>
    </w:rPr>
  </w:style>
  <w:style w:type="paragraph" w:customStyle="1" w:styleId="507">
    <w:name w:val="修订3"/>
    <w:qFormat/>
    <w:uiPriority w:val="99"/>
    <w:rPr>
      <w:rFonts w:ascii="宋体" w:hAnsi="Calibri" w:cs="黑体"/>
      <w:kern w:val="2"/>
      <w:sz w:val="24"/>
      <w:szCs w:val="22"/>
      <w:lang w:val="en-US" w:eastAsia="zh-CN" w:bidi="ar-SA"/>
    </w:rPr>
  </w:style>
  <w:style w:type="paragraph" w:customStyle="1" w:styleId="508">
    <w:name w:val="通用标题5"/>
    <w:qFormat/>
    <w:uiPriority w:val="0"/>
    <w:pPr>
      <w:widowControl w:val="0"/>
      <w:numPr>
        <w:ilvl w:val="3"/>
        <w:numId w:val="11"/>
      </w:numPr>
      <w:tabs>
        <w:tab w:val="left" w:pos="1134"/>
      </w:tabs>
      <w:kinsoku w:val="0"/>
      <w:overflowPunct w:val="0"/>
      <w:autoSpaceDE w:val="0"/>
      <w:autoSpaceDN w:val="0"/>
      <w:adjustRightInd w:val="0"/>
      <w:snapToGrid w:val="0"/>
      <w:spacing w:after="156" w:afterLines="50" w:line="360" w:lineRule="auto"/>
      <w:ind w:left="0" w:firstLine="425" w:firstLineChars="177"/>
      <w:jc w:val="both"/>
    </w:pPr>
    <w:rPr>
      <w:rFonts w:ascii="宋体" w:hAnsi="宋体" w:cs="黑体"/>
      <w:kern w:val="2"/>
      <w:sz w:val="24"/>
      <w:szCs w:val="24"/>
      <w:lang w:val="en-US" w:eastAsia="zh-CN" w:bidi="ar-SA"/>
    </w:rPr>
  </w:style>
  <w:style w:type="paragraph" w:customStyle="1" w:styleId="509">
    <w:name w:val="通用标题2"/>
    <w:basedOn w:val="5"/>
    <w:next w:val="1"/>
    <w:uiPriority w:val="0"/>
    <w:pPr>
      <w:keepNext w:val="0"/>
      <w:keepLines w:val="0"/>
      <w:numPr>
        <w:ilvl w:val="0"/>
        <w:numId w:val="11"/>
      </w:numPr>
      <w:tabs>
        <w:tab w:val="left" w:pos="993"/>
      </w:tabs>
      <w:autoSpaceDE/>
      <w:autoSpaceDN/>
      <w:snapToGrid w:val="0"/>
      <w:spacing w:before="0" w:after="156" w:afterLines="50" w:line="360" w:lineRule="auto"/>
      <w:jc w:val="both"/>
    </w:pPr>
    <w:rPr>
      <w:rFonts w:ascii="宋体" w:hAnsi="宋体" w:eastAsia="宋体" w:cs="黑体"/>
      <w:kern w:val="2"/>
      <w:sz w:val="28"/>
      <w:szCs w:val="24"/>
    </w:rPr>
  </w:style>
  <w:style w:type="paragraph" w:customStyle="1" w:styleId="510">
    <w:name w:val="table"/>
    <w:uiPriority w:val="0"/>
    <w:pPr>
      <w:adjustRightInd w:val="0"/>
      <w:snapToGrid w:val="0"/>
    </w:pPr>
    <w:rPr>
      <w:rFonts w:ascii="宋体" w:hAnsi="Calibri" w:cs="黑体"/>
      <w:kern w:val="2"/>
      <w:sz w:val="24"/>
      <w:szCs w:val="22"/>
      <w:lang w:val="en-US" w:eastAsia="zh-CN" w:bidi="ar-SA"/>
    </w:rPr>
  </w:style>
  <w:style w:type="paragraph" w:customStyle="1" w:styleId="511">
    <w:name w:val="修订4"/>
    <w:unhideWhenUsed/>
    <w:qFormat/>
    <w:uiPriority w:val="99"/>
    <w:rPr>
      <w:rFonts w:ascii="宋体" w:hAnsi="宋体" w:cs="黑体"/>
      <w:kern w:val="2"/>
      <w:sz w:val="24"/>
      <w:szCs w:val="24"/>
      <w:lang w:val="en-US" w:eastAsia="zh-CN" w:bidi="ar-SA"/>
    </w:rPr>
  </w:style>
  <w:style w:type="character" w:customStyle="1" w:styleId="512">
    <w:name w:val="批注主题 字符1"/>
    <w:qFormat/>
    <w:uiPriority w:val="99"/>
    <w:rPr>
      <w:rFonts w:ascii="宋体" w:hAnsi="宋体" w:eastAsia="宋体" w:cs="黑体"/>
      <w:b/>
      <w:bCs/>
      <w:kern w:val="2"/>
      <w:sz w:val="24"/>
      <w:szCs w:val="24"/>
    </w:rPr>
  </w:style>
  <w:style w:type="paragraph" w:styleId="513">
    <w:name w:val=""/>
    <w:unhideWhenUsed/>
    <w:uiPriority w:val="99"/>
    <w:rPr>
      <w:kern w:val="2"/>
      <w:sz w:val="21"/>
      <w:szCs w:val="24"/>
      <w:lang w:val="en-US" w:eastAsia="zh-CN" w:bidi="ar-SA"/>
    </w:rPr>
  </w:style>
  <w:style w:type="paragraph" w:customStyle="1" w:styleId="514">
    <w:name w:val="样式 标题 1 + 四号 居中 段前: 12 磅 段后: 12 磅 行距: 单倍行距"/>
    <w:basedOn w:val="4"/>
    <w:qFormat/>
    <w:uiPriority w:val="99"/>
    <w:pPr>
      <w:autoSpaceDE/>
      <w:autoSpaceDN/>
      <w:spacing w:after="240" w:line="240" w:lineRule="auto"/>
      <w:ind w:left="-288" w:firstLine="288"/>
      <w:textAlignment w:val="baseline"/>
    </w:pPr>
    <w:rPr>
      <w:rFonts w:ascii="Calibri" w:hAnsi="Calibri" w:cs="宋体"/>
      <w:bCs/>
      <w:sz w:val="28"/>
    </w:rPr>
  </w:style>
  <w:style w:type="paragraph" w:customStyle="1" w:styleId="515">
    <w:name w:val="rtcspage_rtcscontent &gt; p"/>
    <w:basedOn w:val="1"/>
    <w:qFormat/>
    <w:uiPriority w:val="0"/>
    <w:pPr>
      <w:widowControl/>
      <w:spacing w:after="160" w:line="360" w:lineRule="atLeast"/>
      <w:jc w:val="left"/>
    </w:pPr>
    <w:rPr>
      <w:rFonts w:ascii="Calibri" w:hAnsi="Calibri"/>
      <w:kern w:val="0"/>
      <w:szCs w:val="21"/>
    </w:rPr>
  </w:style>
  <w:style w:type="character" w:customStyle="1" w:styleId="516">
    <w:name w:val="正文文本首行缩进 2 字符1"/>
    <w:qFormat/>
    <w:uiPriority w:val="0"/>
    <w:rPr>
      <w:rFonts w:ascii="Times New Roman" w:hAnsi="Times New Roman" w:eastAsia="宋体" w:cs="Times New Roman"/>
      <w:sz w:val="24"/>
      <w:szCs w:val="20"/>
    </w:rPr>
  </w:style>
  <w:style w:type="character" w:customStyle="1" w:styleId="517">
    <w:name w:val="批注文字 字符5"/>
    <w:qFormat/>
    <w:uiPriority w:val="99"/>
    <w:rPr>
      <w:kern w:val="3"/>
      <w:sz w:val="21"/>
      <w:szCs w:val="24"/>
    </w:rPr>
  </w:style>
  <w:style w:type="character" w:customStyle="1" w:styleId="518">
    <w:name w:val="font21"/>
    <w:qFormat/>
    <w:uiPriority w:val="0"/>
    <w:rPr>
      <w:rFonts w:hint="eastAsia" w:ascii="宋体" w:hAnsi="宋体" w:eastAsia="宋体" w:cs="宋体"/>
      <w:b/>
      <w:bCs/>
      <w:color w:val="000000"/>
      <w:sz w:val="22"/>
      <w:szCs w:val="22"/>
      <w:u w:val="none"/>
    </w:rPr>
  </w:style>
  <w:style w:type="paragraph" w:customStyle="1" w:styleId="519">
    <w:name w:val="0正文"/>
    <w:qFormat/>
    <w:uiPriority w:val="0"/>
    <w:pPr>
      <w:spacing w:line="360" w:lineRule="auto"/>
      <w:ind w:firstLine="200" w:firstLineChars="200"/>
    </w:pPr>
    <w:rPr>
      <w:kern w:val="2"/>
      <w:sz w:val="24"/>
      <w:szCs w:val="24"/>
      <w:lang w:val="en-US" w:eastAsia="zh-CN" w:bidi="ar-SA"/>
    </w:rPr>
  </w:style>
  <w:style w:type="paragraph" w:customStyle="1" w:styleId="520">
    <w:name w:val="云晟 正文文本"/>
    <w:basedOn w:val="1"/>
    <w:qFormat/>
    <w:uiPriority w:val="0"/>
    <w:pPr>
      <w:widowControl/>
      <w:spacing w:line="360" w:lineRule="auto"/>
      <w:ind w:firstLine="200" w:firstLineChars="200"/>
    </w:pPr>
    <w:rPr>
      <w:rFonts w:cs="Arial"/>
      <w:kern w:val="0"/>
      <w:sz w:val="24"/>
      <w:szCs w:val="21"/>
    </w:rPr>
  </w:style>
  <w:style w:type="paragraph" w:customStyle="1" w:styleId="521">
    <w:name w:val="我的正文"/>
    <w:basedOn w:val="1"/>
    <w:qFormat/>
    <w:uiPriority w:val="0"/>
    <w:pPr>
      <w:spacing w:line="312" w:lineRule="auto"/>
      <w:ind w:firstLine="200" w:firstLineChars="200"/>
    </w:pPr>
    <w:rPr>
      <w:szCs w:val="21"/>
    </w:rPr>
  </w:style>
  <w:style w:type="paragraph" w:customStyle="1" w:styleId="522">
    <w:name w:val="QB"/>
    <w:basedOn w:val="523"/>
    <w:qFormat/>
    <w:uiPriority w:val="0"/>
    <w:pPr>
      <w:spacing w:beforeLines="0" w:afterLines="0" w:line="240" w:lineRule="auto"/>
      <w:ind w:firstLine="0" w:firstLineChars="0"/>
    </w:pPr>
    <w:rPr>
      <w:sz w:val="18"/>
    </w:rPr>
  </w:style>
  <w:style w:type="paragraph" w:customStyle="1" w:styleId="523">
    <w:name w:val="Q"/>
    <w:qFormat/>
    <w:uiPriority w:val="0"/>
    <w:pPr>
      <w:spacing w:beforeLines="50" w:afterLines="50" w:line="360" w:lineRule="auto"/>
      <w:ind w:firstLine="200" w:firstLineChars="200"/>
    </w:pPr>
    <w:rPr>
      <w:rFonts w:ascii="Arial" w:hAnsi="Arial"/>
      <w:bCs/>
      <w:kern w:val="2"/>
      <w:sz w:val="24"/>
      <w:szCs w:val="28"/>
      <w:lang w:val="en-US" w:eastAsia="zh-CN" w:bidi="ar-SA"/>
    </w:rPr>
  </w:style>
  <w:style w:type="character" w:customStyle="1" w:styleId="524">
    <w:name w:val="style11"/>
    <w:qFormat/>
    <w:uiPriority w:val="0"/>
    <w:rPr>
      <w:color w:val="000000"/>
      <w:sz w:val="18"/>
      <w:szCs w:val="18"/>
    </w:rPr>
  </w:style>
  <w:style w:type="paragraph" w:customStyle="1" w:styleId="525">
    <w:name w:val="正文首行缩进 21"/>
    <w:basedOn w:val="3"/>
    <w:qFormat/>
    <w:uiPriority w:val="0"/>
    <w:pPr>
      <w:spacing w:after="120" w:line="240" w:lineRule="auto"/>
      <w:ind w:left="420" w:leftChars="200" w:firstLine="420" w:firstLineChars="200"/>
    </w:pPr>
    <w:rPr>
      <w:sz w:val="21"/>
    </w:rPr>
  </w:style>
  <w:style w:type="paragraph" w:customStyle="1" w:styleId="526">
    <w:name w:val="目录 21"/>
    <w:basedOn w:val="1"/>
    <w:next w:val="1"/>
    <w:qFormat/>
    <w:uiPriority w:val="39"/>
    <w:pPr>
      <w:tabs>
        <w:tab w:val="right" w:leader="underscore" w:pos="9061"/>
      </w:tabs>
      <w:spacing w:before="120"/>
    </w:pPr>
    <w:rPr>
      <w:rFonts w:ascii="宋体" w:hAnsi="宋体"/>
      <w:bCs/>
      <w:i/>
      <w:color w:val="000000"/>
      <w:kern w:val="44"/>
      <w:sz w:val="24"/>
    </w:rPr>
  </w:style>
  <w:style w:type="table" w:customStyle="1" w:styleId="527">
    <w:name w:val="Table Normal1"/>
    <w:unhideWhenUsed/>
    <w:qFormat/>
    <w:uiPriority w:val="0"/>
    <w:rPr>
      <w:rFonts w:ascii="等线" w:hAnsi="等线" w:eastAsia="等线"/>
      <w:snapToGrid w:val="0"/>
      <w:color w:val="000000"/>
      <w:sz w:val="21"/>
      <w:szCs w:val="21"/>
      <w:lang w:val="en-US" w:eastAsia="en-US" w:bidi="ar-SA"/>
    </w:rPr>
    <w:tblPr>
      <w:tblStyle w:val="61"/>
      <w:tblCellMar>
        <w:top w:w="0" w:type="dxa"/>
        <w:left w:w="0" w:type="dxa"/>
        <w:bottom w:w="0" w:type="dxa"/>
        <w:right w:w="0" w:type="dxa"/>
      </w:tblCellMar>
    </w:tblPr>
  </w:style>
  <w:style w:type="table" w:customStyle="1" w:styleId="528">
    <w:name w:val="中等深浅网格 1 - 着色 21"/>
    <w:basedOn w:val="61"/>
    <w:qFormat/>
    <w:uiPriority w:val="0"/>
    <w:rPr>
      <w:kern w:val="2"/>
      <w:sz w:val="21"/>
      <w:szCs w:val="24"/>
    </w:rPr>
    <w:tblPr>
      <w:tblStyle w:val="6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blStyle w:val="61"/>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1"/>
      </w:tblPr>
      <w:tcPr>
        <w:shd w:val="clear" w:color="auto" w:fill="DFA7A6"/>
      </w:tcPr>
    </w:tblStylePr>
    <w:tblStylePr w:type="band1Horz">
      <w:tblPr>
        <w:tblStyle w:val="61"/>
      </w:tblPr>
      <w:tcPr>
        <w:shd w:val="clear" w:color="auto" w:fill="DFA7A6"/>
      </w:tcPr>
    </w:tblStylePr>
  </w:style>
  <w:style w:type="paragraph" w:customStyle="1" w:styleId="529">
    <w:name w:val="标书正文"/>
    <w:basedOn w:val="2"/>
    <w:qFormat/>
    <w:uiPriority w:val="0"/>
    <w:pPr>
      <w:spacing w:line="360" w:lineRule="auto"/>
    </w:pPr>
    <w:rPr>
      <w:rFonts w:ascii="Calibri" w:hAnsi="Calibri" w:cs="宋体"/>
      <w:szCs w:val="24"/>
    </w:rPr>
  </w:style>
  <w:style w:type="character" w:customStyle="1" w:styleId="530">
    <w:name w:val="font171"/>
    <w:qFormat/>
    <w:uiPriority w:val="0"/>
    <w:rPr>
      <w:rFonts w:ascii="Kaiti SC Regular" w:hAnsi="Kaiti SC Regular" w:eastAsia="Kaiti SC Regular" w:cs="Kaiti SC Regular"/>
      <w:color w:val="000000"/>
      <w:sz w:val="20"/>
      <w:szCs w:val="20"/>
      <w:u w:val="none"/>
    </w:rPr>
  </w:style>
  <w:style w:type="paragraph" w:customStyle="1" w:styleId="531">
    <w:name w:val="No Spacing1"/>
    <w:qFormat/>
    <w:uiPriority w:val="0"/>
    <w:pPr>
      <w:spacing w:after="160" w:line="278" w:lineRule="auto"/>
    </w:pPr>
    <w:rPr>
      <w:sz w:val="22"/>
      <w:szCs w:val="22"/>
      <w:lang w:val="en-US" w:eastAsia="zh-CN" w:bidi="ar-SA"/>
    </w:rPr>
  </w:style>
  <w:style w:type="paragraph" w:customStyle="1" w:styleId="532">
    <w:name w:val="正文+缩进"/>
    <w:basedOn w:val="1"/>
    <w:link w:val="533"/>
    <w:qFormat/>
    <w:uiPriority w:val="0"/>
    <w:pPr>
      <w:spacing w:after="160" w:line="278" w:lineRule="auto"/>
      <w:ind w:firstLine="200" w:firstLineChars="200"/>
    </w:pPr>
  </w:style>
  <w:style w:type="character" w:customStyle="1" w:styleId="533">
    <w:name w:val="正文+缩进 字符"/>
    <w:link w:val="532"/>
    <w:qFormat/>
    <w:uiPriority w:val="0"/>
    <w:rPr>
      <w:kern w:val="2"/>
      <w:sz w:val="21"/>
      <w:szCs w:val="24"/>
    </w:rPr>
  </w:style>
  <w:style w:type="paragraph" w:customStyle="1" w:styleId="534">
    <w:name w:val="A题注[表格图片]"/>
    <w:basedOn w:val="17"/>
    <w:qFormat/>
    <w:uiPriority w:val="0"/>
    <w:pPr>
      <w:snapToGrid w:val="0"/>
      <w:spacing w:beforeLines="50" w:after="160" w:afterLines="50" w:line="288" w:lineRule="auto"/>
    </w:pPr>
    <w:rPr>
      <w:rFonts w:ascii="宋体" w:hAnsi="宋体" w:eastAsia="仿宋" w:cs="黑体"/>
      <w:kern w:val="0"/>
      <w:sz w:val="24"/>
      <w:szCs w:val="22"/>
    </w:rPr>
  </w:style>
  <w:style w:type="paragraph" w:customStyle="1" w:styleId="535">
    <w:name w:val="无间隔1"/>
    <w:qFormat/>
    <w:uiPriority w:val="99"/>
    <w:pPr>
      <w:spacing w:after="160" w:line="278" w:lineRule="auto"/>
    </w:pPr>
    <w:rPr>
      <w:rFonts w:ascii="Calibri" w:hAnsi="Calibri"/>
      <w:sz w:val="22"/>
      <w:szCs w:val="22"/>
      <w:lang w:val="en-US" w:eastAsia="zh-CN" w:bidi="ar-SA"/>
    </w:rPr>
  </w:style>
  <w:style w:type="paragraph" w:customStyle="1" w:styleId="536">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78" w:lineRule="auto"/>
      <w:jc w:val="center"/>
    </w:pPr>
    <w:rPr>
      <w:rFonts w:ascii="宋体" w:hAnsi="宋体" w:cs="宋体"/>
      <w:kern w:val="0"/>
      <w:sz w:val="18"/>
      <w:szCs w:val="18"/>
    </w:rPr>
  </w:style>
  <w:style w:type="paragraph" w:customStyle="1" w:styleId="537">
    <w:name w:val="修订5"/>
    <w:unhideWhenUsed/>
    <w:qFormat/>
    <w:uiPriority w:val="99"/>
    <w:pPr>
      <w:spacing w:after="160" w:line="278" w:lineRule="auto"/>
    </w:pPr>
    <w:rPr>
      <w:kern w:val="2"/>
      <w:sz w:val="21"/>
      <w:szCs w:val="24"/>
      <w:lang w:val="en-US" w:eastAsia="zh-CN" w:bidi="ar-SA"/>
    </w:rPr>
  </w:style>
  <w:style w:type="paragraph" w:customStyle="1" w:styleId="538">
    <w:name w:val="修订6"/>
    <w:unhideWhenUsed/>
    <w:qFormat/>
    <w:uiPriority w:val="99"/>
    <w:pPr>
      <w:spacing w:after="160" w:line="278" w:lineRule="auto"/>
    </w:pPr>
    <w:rPr>
      <w:kern w:val="2"/>
      <w:sz w:val="21"/>
      <w:szCs w:val="24"/>
      <w:lang w:val="en-US" w:eastAsia="zh-CN" w:bidi="ar-SA"/>
    </w:rPr>
  </w:style>
  <w:style w:type="paragraph" w:customStyle="1" w:styleId="539">
    <w:name w:val="修订7"/>
    <w:unhideWhenUsed/>
    <w:qFormat/>
    <w:uiPriority w:val="99"/>
    <w:pPr>
      <w:spacing w:after="160" w:line="278" w:lineRule="auto"/>
    </w:pPr>
    <w:rPr>
      <w:kern w:val="2"/>
      <w:sz w:val="21"/>
      <w:szCs w:val="24"/>
      <w:lang w:val="en-US" w:eastAsia="zh-CN" w:bidi="ar-SA"/>
    </w:rPr>
  </w:style>
  <w:style w:type="paragraph" w:customStyle="1" w:styleId="540">
    <w:name w:val="修订8"/>
    <w:unhideWhenUsed/>
    <w:qFormat/>
    <w:uiPriority w:val="99"/>
    <w:pPr>
      <w:spacing w:after="160" w:line="278" w:lineRule="auto"/>
    </w:pPr>
    <w:rPr>
      <w:kern w:val="2"/>
      <w:sz w:val="21"/>
      <w:szCs w:val="24"/>
      <w:lang w:val="en-US" w:eastAsia="zh-CN" w:bidi="ar-SA"/>
    </w:rPr>
  </w:style>
  <w:style w:type="character" w:customStyle="1" w:styleId="541">
    <w:name w:val="批注文字 字符2"/>
    <w:qFormat/>
    <w:uiPriority w:val="99"/>
    <w:rPr>
      <w:kern w:val="2"/>
      <w:sz w:val="21"/>
      <w:szCs w:val="24"/>
    </w:rPr>
  </w:style>
  <w:style w:type="paragraph" w:customStyle="1" w:styleId="542">
    <w:name w:val="修订9"/>
    <w:qFormat/>
    <w:uiPriority w:val="0"/>
    <w:pPr>
      <w:spacing w:after="160" w:line="278" w:lineRule="auto"/>
    </w:pPr>
    <w:rPr>
      <w:kern w:val="2"/>
      <w:sz w:val="21"/>
      <w:szCs w:val="24"/>
      <w:lang w:val="en-US" w:eastAsia="zh-CN" w:bidi="ar-SA"/>
    </w:rPr>
  </w:style>
  <w:style w:type="character" w:customStyle="1" w:styleId="543">
    <w:name w:val="日期 Char"/>
    <w:qFormat/>
    <w:uiPriority w:val="0"/>
    <w:rPr>
      <w:rFonts w:ascii="宋体"/>
      <w:sz w:val="24"/>
    </w:rPr>
  </w:style>
  <w:style w:type="character" w:customStyle="1" w:styleId="544">
    <w:name w:val="明显引用 字符2"/>
    <w:qFormat/>
    <w:uiPriority w:val="30"/>
    <w:rPr>
      <w:i/>
      <w:iCs/>
      <w:color w:val="4472C4"/>
      <w:kern w:val="2"/>
      <w:sz w:val="21"/>
    </w:rPr>
  </w:style>
  <w:style w:type="character" w:customStyle="1" w:styleId="545">
    <w:name w:val="正文文本缩进 3 Char"/>
    <w:qFormat/>
    <w:uiPriority w:val="0"/>
    <w:rPr>
      <w:kern w:val="2"/>
      <w:sz w:val="16"/>
      <w:szCs w:val="16"/>
    </w:rPr>
  </w:style>
  <w:style w:type="character" w:customStyle="1" w:styleId="546">
    <w:name w:val="文档结构图 Char"/>
    <w:qFormat/>
    <w:uiPriority w:val="0"/>
    <w:rPr>
      <w:kern w:val="2"/>
      <w:sz w:val="21"/>
      <w:szCs w:val="24"/>
      <w:shd w:val="clear" w:color="auto" w:fill="000080"/>
    </w:rPr>
  </w:style>
  <w:style w:type="character" w:customStyle="1" w:styleId="547">
    <w:name w:val="副标题 字符1"/>
    <w:qFormat/>
    <w:uiPriority w:val="11"/>
    <w:rPr>
      <w:rFonts w:ascii="Cambria" w:hAnsi="Cambria"/>
      <w:b/>
      <w:bCs/>
      <w:kern w:val="28"/>
      <w:sz w:val="32"/>
      <w:szCs w:val="32"/>
    </w:rPr>
  </w:style>
  <w:style w:type="character" w:customStyle="1" w:styleId="548">
    <w:name w:val="明显强调1"/>
    <w:qFormat/>
    <w:uiPriority w:val="0"/>
    <w:rPr>
      <w:b/>
      <w:bCs/>
      <w:i/>
      <w:iCs/>
      <w:color w:val="4F81BD"/>
    </w:rPr>
  </w:style>
  <w:style w:type="character" w:customStyle="1" w:styleId="549">
    <w:name w:val="正文文本 2 字符2"/>
    <w:semiHidden/>
    <w:qFormat/>
    <w:uiPriority w:val="99"/>
    <w:rPr>
      <w:kern w:val="2"/>
      <w:sz w:val="21"/>
    </w:rPr>
  </w:style>
  <w:style w:type="character" w:customStyle="1" w:styleId="550">
    <w:name w:val="Char Char12"/>
    <w:qFormat/>
    <w:uiPriority w:val="0"/>
    <w:rPr>
      <w:rFonts w:eastAsia="宋体"/>
      <w:kern w:val="2"/>
      <w:sz w:val="24"/>
      <w:lang w:val="en-US" w:eastAsia="zh-CN" w:bidi="ar-SA"/>
    </w:rPr>
  </w:style>
  <w:style w:type="character" w:customStyle="1" w:styleId="551">
    <w:name w:val="引用 Char2"/>
    <w:qFormat/>
    <w:uiPriority w:val="29"/>
    <w:rPr>
      <w:i/>
      <w:iCs/>
      <w:color w:val="000000"/>
      <w:kern w:val="2"/>
      <w:sz w:val="21"/>
      <w:szCs w:val="24"/>
    </w:rPr>
  </w:style>
  <w:style w:type="character" w:customStyle="1" w:styleId="552">
    <w:name w:val="副标题 Char"/>
    <w:qFormat/>
    <w:uiPriority w:val="0"/>
    <w:rPr>
      <w:rFonts w:ascii="Cambria" w:hAnsi="Cambria"/>
      <w:b/>
      <w:bCs/>
      <w:kern w:val="28"/>
      <w:sz w:val="32"/>
      <w:szCs w:val="32"/>
    </w:rPr>
  </w:style>
  <w:style w:type="character" w:customStyle="1" w:styleId="553">
    <w:name w:val="标题5 Char Char"/>
    <w:link w:val="554"/>
    <w:qFormat/>
    <w:locked/>
    <w:uiPriority w:val="0"/>
    <w:rPr>
      <w:rFonts w:ascii="Arial" w:hAnsi="Arial" w:cs="Arial"/>
      <w:b/>
      <w:bCs/>
      <w:sz w:val="24"/>
      <w:szCs w:val="32"/>
    </w:rPr>
  </w:style>
  <w:style w:type="paragraph" w:customStyle="1" w:styleId="554">
    <w:name w:val="标题5"/>
    <w:basedOn w:val="7"/>
    <w:link w:val="553"/>
    <w:qFormat/>
    <w:uiPriority w:val="0"/>
    <w:pPr>
      <w:widowControl/>
      <w:tabs>
        <w:tab w:val="left" w:pos="720"/>
      </w:tabs>
      <w:autoSpaceDE/>
      <w:autoSpaceDN/>
      <w:adjustRightInd/>
      <w:spacing w:before="260" w:after="260" w:line="412" w:lineRule="auto"/>
      <w:jc w:val="both"/>
    </w:pPr>
    <w:rPr>
      <w:rFonts w:ascii="Arial" w:hAnsi="Arial" w:cs="Arial"/>
      <w:bCs/>
      <w:szCs w:val="32"/>
      <w:u w:val="none"/>
    </w:rPr>
  </w:style>
  <w:style w:type="character" w:customStyle="1" w:styleId="555">
    <w:name w:val="明显引用 字符1"/>
    <w:link w:val="556"/>
    <w:qFormat/>
    <w:uiPriority w:val="30"/>
    <w:rPr>
      <w:b/>
      <w:bCs/>
      <w:i/>
      <w:iCs/>
      <w:color w:val="4F81BD"/>
      <w:kern w:val="2"/>
      <w:sz w:val="21"/>
      <w:szCs w:val="22"/>
    </w:rPr>
  </w:style>
  <w:style w:type="paragraph" w:styleId="556">
    <w:name w:val="Intense Quote"/>
    <w:basedOn w:val="1"/>
    <w:next w:val="1"/>
    <w:link w:val="555"/>
    <w:qFormat/>
    <w:uiPriority w:val="30"/>
    <w:pPr>
      <w:widowControl/>
      <w:pBdr>
        <w:bottom w:val="single" w:color="4F81BD" w:sz="4" w:space="4"/>
      </w:pBdr>
      <w:spacing w:before="200" w:after="280" w:line="278" w:lineRule="auto"/>
      <w:ind w:left="936" w:right="936"/>
    </w:pPr>
    <w:rPr>
      <w:b/>
      <w:bCs/>
      <w:i/>
      <w:iCs/>
      <w:color w:val="4F81BD"/>
      <w:szCs w:val="22"/>
    </w:rPr>
  </w:style>
  <w:style w:type="character" w:customStyle="1" w:styleId="557">
    <w:name w:val="明显引用 字符"/>
    <w:qFormat/>
    <w:uiPriority w:val="0"/>
    <w:rPr>
      <w:i/>
      <w:iCs/>
      <w:color w:val="4472C4"/>
      <w:kern w:val="2"/>
      <w:sz w:val="21"/>
      <w:szCs w:val="24"/>
    </w:rPr>
  </w:style>
  <w:style w:type="character" w:customStyle="1" w:styleId="558">
    <w:name w:val="正文文本缩进 2 Char1"/>
    <w:semiHidden/>
    <w:qFormat/>
    <w:uiPriority w:val="99"/>
    <w:rPr>
      <w:kern w:val="2"/>
      <w:sz w:val="21"/>
      <w:szCs w:val="24"/>
    </w:rPr>
  </w:style>
  <w:style w:type="character" w:customStyle="1" w:styleId="559">
    <w:name w:val="bulletintext1"/>
    <w:qFormat/>
    <w:uiPriority w:val="0"/>
    <w:rPr>
      <w:color w:val="000000"/>
      <w:sz w:val="18"/>
    </w:rPr>
  </w:style>
  <w:style w:type="character" w:customStyle="1" w:styleId="560">
    <w:name w:val="正文文本首行缩进 字符3"/>
    <w:qFormat/>
    <w:uiPriority w:val="0"/>
    <w:rPr>
      <w:rFonts w:ascii="宋体" w:hAnsi="宋体"/>
      <w:kern w:val="2"/>
      <w:sz w:val="24"/>
    </w:rPr>
  </w:style>
  <w:style w:type="character" w:customStyle="1" w:styleId="561">
    <w:name w:val="标题 5 Char"/>
    <w:qFormat/>
    <w:uiPriority w:val="9"/>
    <w:rPr>
      <w:b/>
      <w:sz w:val="28"/>
    </w:rPr>
  </w:style>
  <w:style w:type="character" w:customStyle="1" w:styleId="562">
    <w:name w:val="标题 4 Char"/>
    <w:qFormat/>
    <w:uiPriority w:val="1"/>
    <w:rPr>
      <w:rFonts w:ascii="Arial" w:hAnsi="Arial" w:eastAsia="黑体"/>
      <w:b/>
      <w:sz w:val="28"/>
    </w:rPr>
  </w:style>
  <w:style w:type="character" w:customStyle="1" w:styleId="563">
    <w:name w:val="正文文本缩进 3 字符2"/>
    <w:semiHidden/>
    <w:qFormat/>
    <w:uiPriority w:val="99"/>
    <w:rPr>
      <w:kern w:val="2"/>
      <w:sz w:val="16"/>
      <w:szCs w:val="16"/>
    </w:rPr>
  </w:style>
  <w:style w:type="character" w:customStyle="1" w:styleId="564">
    <w:name w:val="批注主题 Char"/>
    <w:qFormat/>
    <w:uiPriority w:val="99"/>
    <w:rPr>
      <w:b/>
      <w:bCs/>
      <w:kern w:val="2"/>
      <w:sz w:val="21"/>
      <w:szCs w:val="24"/>
    </w:rPr>
  </w:style>
  <w:style w:type="character" w:customStyle="1" w:styleId="565">
    <w:name w:val="正文首行缩进 Char1"/>
    <w:semiHidden/>
    <w:qFormat/>
    <w:uiPriority w:val="99"/>
    <w:rPr>
      <w:rFonts w:eastAsia="黑体"/>
      <w:kern w:val="2"/>
      <w:sz w:val="21"/>
      <w:szCs w:val="24"/>
    </w:rPr>
  </w:style>
  <w:style w:type="character" w:customStyle="1" w:styleId="566">
    <w:name w:val="正文文本缩进 3 Char1"/>
    <w:semiHidden/>
    <w:qFormat/>
    <w:uiPriority w:val="99"/>
    <w:rPr>
      <w:kern w:val="2"/>
      <w:sz w:val="16"/>
      <w:szCs w:val="16"/>
    </w:rPr>
  </w:style>
  <w:style w:type="character" w:customStyle="1" w:styleId="567">
    <w:name w:val="标题 1 Char1"/>
    <w:qFormat/>
    <w:uiPriority w:val="0"/>
    <w:rPr>
      <w:rFonts w:hint="eastAsia" w:ascii="宋体" w:hAnsi="宋体" w:eastAsia="宋体"/>
      <w:b/>
      <w:kern w:val="44"/>
      <w:sz w:val="32"/>
      <w:lang w:val="en-US" w:eastAsia="zh-CN" w:bidi="ar-SA"/>
    </w:rPr>
  </w:style>
  <w:style w:type="character" w:customStyle="1" w:styleId="568">
    <w:name w:val="页眉 Char1"/>
    <w:semiHidden/>
    <w:qFormat/>
    <w:uiPriority w:val="0"/>
    <w:rPr>
      <w:kern w:val="2"/>
      <w:sz w:val="18"/>
      <w:szCs w:val="18"/>
    </w:rPr>
  </w:style>
  <w:style w:type="character" w:customStyle="1" w:styleId="569">
    <w:name w:val="正文首行缩进 2 Char"/>
    <w:link w:val="570"/>
    <w:qFormat/>
    <w:uiPriority w:val="0"/>
    <w:rPr>
      <w:kern w:val="2"/>
      <w:sz w:val="21"/>
    </w:rPr>
  </w:style>
  <w:style w:type="paragraph" w:customStyle="1" w:styleId="570">
    <w:name w:val="_Style 186"/>
    <w:basedOn w:val="3"/>
    <w:next w:val="2"/>
    <w:link w:val="569"/>
    <w:qFormat/>
    <w:uiPriority w:val="0"/>
    <w:pPr>
      <w:widowControl/>
      <w:spacing w:after="120" w:line="240" w:lineRule="auto"/>
      <w:ind w:left="420" w:leftChars="200" w:firstLine="420" w:firstLineChars="200"/>
    </w:pPr>
    <w:rPr>
      <w:sz w:val="21"/>
      <w:szCs w:val="20"/>
    </w:rPr>
  </w:style>
  <w:style w:type="character" w:customStyle="1" w:styleId="571">
    <w:name w:val="明显参考1"/>
    <w:qFormat/>
    <w:uiPriority w:val="0"/>
    <w:rPr>
      <w:b/>
      <w:bCs/>
      <w:smallCaps/>
      <w:color w:val="C0504D"/>
      <w:spacing w:val="5"/>
      <w:u w:val="single"/>
    </w:rPr>
  </w:style>
  <w:style w:type="character" w:customStyle="1" w:styleId="572">
    <w:name w:val="页眉 字符2"/>
    <w:semiHidden/>
    <w:qFormat/>
    <w:uiPriority w:val="0"/>
    <w:rPr>
      <w:kern w:val="2"/>
      <w:sz w:val="18"/>
      <w:szCs w:val="18"/>
    </w:rPr>
  </w:style>
  <w:style w:type="character" w:customStyle="1" w:styleId="573">
    <w:name w:val="正文文本首行缩进 字符2"/>
    <w:semiHidden/>
    <w:qFormat/>
    <w:uiPriority w:val="0"/>
  </w:style>
  <w:style w:type="character" w:customStyle="1" w:styleId="574">
    <w:name w:val="批注主题 Char2"/>
    <w:semiHidden/>
    <w:qFormat/>
    <w:uiPriority w:val="0"/>
    <w:rPr>
      <w:b/>
      <w:bCs/>
      <w:kern w:val="2"/>
      <w:sz w:val="21"/>
      <w:szCs w:val="22"/>
    </w:rPr>
  </w:style>
  <w:style w:type="character" w:customStyle="1" w:styleId="575">
    <w:name w:val="a14px1"/>
    <w:qFormat/>
    <w:uiPriority w:val="0"/>
    <w:rPr>
      <w:rFonts w:hint="default" w:ascii="Arial" w:hAnsi="Arial"/>
      <w:sz w:val="21"/>
    </w:rPr>
  </w:style>
  <w:style w:type="character" w:customStyle="1" w:styleId="576">
    <w:name w:val="样式8 Char"/>
    <w:link w:val="577"/>
    <w:qFormat/>
    <w:uiPriority w:val="0"/>
    <w:rPr>
      <w:rFonts w:ascii="华文楷体" w:hAnsi="华文楷体" w:eastAsia="华文楷体"/>
      <w:b/>
      <w:kern w:val="44"/>
      <w:sz w:val="24"/>
    </w:rPr>
  </w:style>
  <w:style w:type="paragraph" w:customStyle="1" w:styleId="577">
    <w:name w:val="样式8"/>
    <w:basedOn w:val="4"/>
    <w:next w:val="436"/>
    <w:link w:val="576"/>
    <w:qFormat/>
    <w:uiPriority w:val="0"/>
    <w:pPr>
      <w:widowControl/>
      <w:autoSpaceDE/>
      <w:autoSpaceDN/>
      <w:adjustRightInd/>
      <w:spacing w:before="100" w:beforeAutospacing="1" w:after="100" w:afterAutospacing="1" w:line="360" w:lineRule="auto"/>
      <w:jc w:val="left"/>
    </w:pPr>
    <w:rPr>
      <w:rFonts w:ascii="华文楷体" w:hAnsi="华文楷体" w:eastAsia="华文楷体"/>
      <w:sz w:val="24"/>
    </w:rPr>
  </w:style>
  <w:style w:type="character" w:customStyle="1" w:styleId="578">
    <w:name w:val="引用 字符"/>
    <w:qFormat/>
    <w:uiPriority w:val="0"/>
    <w:rPr>
      <w:i/>
      <w:iCs/>
      <w:color w:val="404040"/>
      <w:kern w:val="2"/>
      <w:sz w:val="21"/>
    </w:rPr>
  </w:style>
  <w:style w:type="character" w:customStyle="1" w:styleId="579">
    <w:name w:val="正文文本 3 字符2"/>
    <w:semiHidden/>
    <w:qFormat/>
    <w:uiPriority w:val="99"/>
    <w:rPr>
      <w:kern w:val="2"/>
      <w:sz w:val="16"/>
      <w:szCs w:val="16"/>
    </w:rPr>
  </w:style>
  <w:style w:type="character" w:customStyle="1" w:styleId="580">
    <w:name w:val="明显引用 Char1"/>
    <w:qFormat/>
    <w:uiPriority w:val="0"/>
    <w:rPr>
      <w:b/>
      <w:bCs/>
      <w:i/>
      <w:iCs/>
      <w:color w:val="4F81BD"/>
      <w:kern w:val="2"/>
      <w:sz w:val="21"/>
      <w:szCs w:val="24"/>
    </w:rPr>
  </w:style>
  <w:style w:type="character" w:customStyle="1" w:styleId="581">
    <w:name w:val="标题 8 Char"/>
    <w:qFormat/>
    <w:uiPriority w:val="0"/>
    <w:rPr>
      <w:rFonts w:ascii="Arial" w:hAnsi="Arial" w:eastAsia="黑体"/>
      <w:sz w:val="24"/>
    </w:rPr>
  </w:style>
  <w:style w:type="character" w:customStyle="1" w:styleId="582">
    <w:name w:val="已访问的超链接1"/>
    <w:qFormat/>
    <w:uiPriority w:val="0"/>
    <w:rPr>
      <w:color w:val="800080"/>
      <w:u w:val="single"/>
    </w:rPr>
  </w:style>
  <w:style w:type="character" w:customStyle="1" w:styleId="583">
    <w:name w:val="日期 Char1"/>
    <w:qFormat/>
    <w:locked/>
    <w:uiPriority w:val="0"/>
    <w:rPr>
      <w:rFonts w:hint="eastAsia" w:ascii="宋体" w:hAnsi="宋体" w:eastAsia="宋体"/>
      <w:sz w:val="24"/>
    </w:rPr>
  </w:style>
  <w:style w:type="character" w:customStyle="1" w:styleId="584">
    <w:name w:val="日期 字符2"/>
    <w:semiHidden/>
    <w:qFormat/>
    <w:uiPriority w:val="99"/>
    <w:rPr>
      <w:kern w:val="2"/>
      <w:sz w:val="21"/>
    </w:rPr>
  </w:style>
  <w:style w:type="character" w:customStyle="1" w:styleId="585">
    <w:name w:val="明显引用 Char"/>
    <w:qFormat/>
    <w:uiPriority w:val="0"/>
    <w:rPr>
      <w:b/>
      <w:bCs/>
      <w:i/>
      <w:iCs/>
      <w:color w:val="4F81BD"/>
      <w:kern w:val="2"/>
      <w:sz w:val="21"/>
      <w:szCs w:val="22"/>
    </w:rPr>
  </w:style>
  <w:style w:type="character" w:customStyle="1" w:styleId="586">
    <w:name w:val="标题 1 Char"/>
    <w:qFormat/>
    <w:uiPriority w:val="1"/>
    <w:rPr>
      <w:b/>
      <w:bCs/>
      <w:kern w:val="44"/>
      <w:sz w:val="44"/>
      <w:szCs w:val="44"/>
    </w:rPr>
  </w:style>
  <w:style w:type="character" w:customStyle="1" w:styleId="587">
    <w:name w:val="标题4 Char Char"/>
    <w:link w:val="588"/>
    <w:qFormat/>
    <w:locked/>
    <w:uiPriority w:val="0"/>
    <w:rPr>
      <w:rFonts w:ascii="Arial" w:hAnsi="Arial" w:cs="Arial"/>
      <w:b/>
      <w:bCs/>
      <w:sz w:val="24"/>
      <w:szCs w:val="32"/>
    </w:rPr>
  </w:style>
  <w:style w:type="paragraph" w:customStyle="1" w:styleId="588">
    <w:name w:val="标题4"/>
    <w:basedOn w:val="5"/>
    <w:next w:val="27"/>
    <w:link w:val="587"/>
    <w:qFormat/>
    <w:uiPriority w:val="0"/>
    <w:pPr>
      <w:autoSpaceDE/>
      <w:autoSpaceDN/>
      <w:adjustRightInd/>
      <w:spacing w:before="260" w:after="260" w:line="412" w:lineRule="auto"/>
      <w:jc w:val="both"/>
    </w:pPr>
    <w:rPr>
      <w:rFonts w:eastAsia="宋体" w:cs="Arial"/>
      <w:bCs/>
      <w:sz w:val="24"/>
      <w:szCs w:val="32"/>
    </w:rPr>
  </w:style>
  <w:style w:type="character" w:customStyle="1" w:styleId="589">
    <w:name w:val="引用 字符1"/>
    <w:link w:val="590"/>
    <w:qFormat/>
    <w:uiPriority w:val="29"/>
    <w:rPr>
      <w:i/>
      <w:iCs/>
      <w:color w:val="000000"/>
      <w:kern w:val="2"/>
      <w:sz w:val="21"/>
      <w:szCs w:val="22"/>
    </w:rPr>
  </w:style>
  <w:style w:type="paragraph" w:styleId="590">
    <w:name w:val="Quote"/>
    <w:basedOn w:val="1"/>
    <w:next w:val="1"/>
    <w:link w:val="589"/>
    <w:qFormat/>
    <w:uiPriority w:val="29"/>
    <w:pPr>
      <w:widowControl/>
      <w:spacing w:after="160" w:line="278" w:lineRule="auto"/>
    </w:pPr>
    <w:rPr>
      <w:i/>
      <w:iCs/>
      <w:color w:val="000000"/>
      <w:szCs w:val="22"/>
    </w:rPr>
  </w:style>
  <w:style w:type="character" w:customStyle="1" w:styleId="591">
    <w:name w:val="引用 字符2"/>
    <w:qFormat/>
    <w:uiPriority w:val="29"/>
    <w:rPr>
      <w:i/>
      <w:iCs/>
      <w:color w:val="404040"/>
      <w:kern w:val="2"/>
      <w:sz w:val="21"/>
      <w:szCs w:val="24"/>
    </w:rPr>
  </w:style>
  <w:style w:type="character" w:customStyle="1" w:styleId="592">
    <w:name w:val="批注文字 Char1"/>
    <w:semiHidden/>
    <w:qFormat/>
    <w:locked/>
    <w:uiPriority w:val="99"/>
    <w:rPr>
      <w:rFonts w:ascii="宋体" w:hAnsi="Times New Roman" w:cs="宋体"/>
      <w:sz w:val="34"/>
      <w:szCs w:val="34"/>
    </w:rPr>
  </w:style>
  <w:style w:type="character" w:customStyle="1" w:styleId="593">
    <w:name w:val="书籍标题1"/>
    <w:qFormat/>
    <w:uiPriority w:val="0"/>
    <w:rPr>
      <w:b/>
      <w:bCs/>
      <w:smallCaps/>
      <w:spacing w:val="5"/>
    </w:rPr>
  </w:style>
  <w:style w:type="character" w:customStyle="1" w:styleId="594">
    <w:name w:val="正文文本缩进 2 字符2"/>
    <w:semiHidden/>
    <w:qFormat/>
    <w:uiPriority w:val="99"/>
    <w:rPr>
      <w:kern w:val="2"/>
      <w:sz w:val="21"/>
    </w:rPr>
  </w:style>
  <w:style w:type="character" w:customStyle="1" w:styleId="595">
    <w:name w:val="正文文本缩进 字符2"/>
    <w:semiHidden/>
    <w:qFormat/>
    <w:uiPriority w:val="99"/>
    <w:rPr>
      <w:kern w:val="2"/>
      <w:sz w:val="21"/>
    </w:rPr>
  </w:style>
  <w:style w:type="character" w:customStyle="1" w:styleId="596">
    <w:name w:val="样式5 Char"/>
    <w:link w:val="597"/>
    <w:qFormat/>
    <w:uiPriority w:val="0"/>
    <w:rPr>
      <w:rFonts w:ascii="Arial" w:hAnsi="Arial" w:eastAsia="黑体"/>
      <w:b/>
      <w:sz w:val="24"/>
    </w:rPr>
  </w:style>
  <w:style w:type="paragraph" w:customStyle="1" w:styleId="597">
    <w:name w:val="样式5"/>
    <w:basedOn w:val="5"/>
    <w:next w:val="198"/>
    <w:link w:val="596"/>
    <w:qFormat/>
    <w:uiPriority w:val="0"/>
    <w:pPr>
      <w:widowControl/>
      <w:spacing w:before="100" w:beforeAutospacing="1" w:after="100" w:afterAutospacing="1" w:line="440" w:lineRule="exact"/>
      <w:ind w:firstLine="1680" w:firstLineChars="700"/>
      <w:jc w:val="both"/>
    </w:pPr>
    <w:rPr>
      <w:sz w:val="24"/>
    </w:rPr>
  </w:style>
  <w:style w:type="character" w:customStyle="1" w:styleId="598">
    <w:name w:val="正文文本 2 字符1"/>
    <w:qFormat/>
    <w:uiPriority w:val="0"/>
    <w:rPr>
      <w:rFonts w:ascii="Calibri" w:hAnsi="Calibri"/>
      <w:sz w:val="24"/>
      <w:szCs w:val="22"/>
      <w:lang w:val="zh-CN"/>
    </w:rPr>
  </w:style>
  <w:style w:type="character" w:customStyle="1" w:styleId="599">
    <w:name w:val="文档结构图 字符2"/>
    <w:semiHidden/>
    <w:qFormat/>
    <w:uiPriority w:val="99"/>
    <w:rPr>
      <w:rFonts w:ascii="Microsoft YaHei UI" w:eastAsia="Microsoft YaHei UI"/>
      <w:kern w:val="2"/>
      <w:sz w:val="18"/>
      <w:szCs w:val="18"/>
    </w:rPr>
  </w:style>
  <w:style w:type="character" w:customStyle="1" w:styleId="600">
    <w:name w:val="文档结构图 Char1"/>
    <w:qFormat/>
    <w:uiPriority w:val="0"/>
    <w:rPr>
      <w:rFonts w:hint="eastAsia" w:ascii="宋体" w:hAnsi="宋体" w:eastAsia="宋体"/>
      <w:kern w:val="2"/>
      <w:sz w:val="18"/>
      <w:szCs w:val="18"/>
    </w:rPr>
  </w:style>
  <w:style w:type="character" w:customStyle="1" w:styleId="601">
    <w:name w:val="样式 粉红"/>
    <w:qFormat/>
    <w:uiPriority w:val="0"/>
    <w:rPr>
      <w:color w:val="auto"/>
      <w:u w:val="none"/>
    </w:rPr>
  </w:style>
  <w:style w:type="character" w:customStyle="1" w:styleId="602">
    <w:name w:val="标题 6 Char"/>
    <w:qFormat/>
    <w:uiPriority w:val="0"/>
    <w:rPr>
      <w:rFonts w:ascii="Arial" w:hAnsi="Arial" w:eastAsia="黑体"/>
      <w:b/>
      <w:sz w:val="24"/>
    </w:rPr>
  </w:style>
  <w:style w:type="character" w:customStyle="1" w:styleId="603">
    <w:name w:val="页脚 字符2"/>
    <w:semiHidden/>
    <w:qFormat/>
    <w:uiPriority w:val="0"/>
    <w:rPr>
      <w:kern w:val="2"/>
      <w:sz w:val="18"/>
      <w:szCs w:val="18"/>
    </w:rPr>
  </w:style>
  <w:style w:type="character" w:customStyle="1" w:styleId="604">
    <w:name w:val="引用 Char1"/>
    <w:qFormat/>
    <w:uiPriority w:val="0"/>
    <w:rPr>
      <w:i/>
      <w:iCs/>
      <w:color w:val="000000"/>
      <w:kern w:val="2"/>
      <w:sz w:val="21"/>
      <w:szCs w:val="24"/>
    </w:rPr>
  </w:style>
  <w:style w:type="character" w:customStyle="1" w:styleId="605">
    <w:name w:val="正文文本 Char1"/>
    <w:qFormat/>
    <w:uiPriority w:val="0"/>
    <w:rPr>
      <w:rFonts w:eastAsia="黑体"/>
      <w:kern w:val="2"/>
      <w:sz w:val="36"/>
      <w:szCs w:val="24"/>
    </w:rPr>
  </w:style>
  <w:style w:type="character" w:customStyle="1" w:styleId="606">
    <w:name w:val="emtidy-1"/>
    <w:qFormat/>
    <w:uiPriority w:val="0"/>
  </w:style>
  <w:style w:type="character" w:customStyle="1" w:styleId="607">
    <w:name w:val="样式7 Char"/>
    <w:link w:val="608"/>
    <w:qFormat/>
    <w:uiPriority w:val="0"/>
    <w:rPr>
      <w:rFonts w:ascii="Arial" w:hAnsi="Arial" w:eastAsia="黑体"/>
      <w:b/>
      <w:sz w:val="24"/>
    </w:rPr>
  </w:style>
  <w:style w:type="paragraph" w:customStyle="1" w:styleId="608">
    <w:name w:val="样式7"/>
    <w:basedOn w:val="5"/>
    <w:next w:val="198"/>
    <w:link w:val="607"/>
    <w:qFormat/>
    <w:uiPriority w:val="0"/>
    <w:pPr>
      <w:widowControl/>
      <w:spacing w:before="100" w:beforeAutospacing="1" w:after="100" w:afterAutospacing="1" w:line="440" w:lineRule="exact"/>
    </w:pPr>
    <w:rPr>
      <w:sz w:val="24"/>
    </w:rPr>
  </w:style>
  <w:style w:type="character" w:customStyle="1" w:styleId="609">
    <w:name w:val="批注框文本 字符2"/>
    <w:semiHidden/>
    <w:qFormat/>
    <w:uiPriority w:val="99"/>
    <w:rPr>
      <w:kern w:val="2"/>
      <w:sz w:val="18"/>
      <w:szCs w:val="18"/>
    </w:rPr>
  </w:style>
  <w:style w:type="character" w:customStyle="1" w:styleId="610">
    <w:name w:val="标题 7 Char"/>
    <w:qFormat/>
    <w:uiPriority w:val="0"/>
    <w:rPr>
      <w:b/>
      <w:sz w:val="24"/>
    </w:rPr>
  </w:style>
  <w:style w:type="character" w:customStyle="1" w:styleId="611">
    <w:name w:val="正文文本缩进 2 Char"/>
    <w:unhideWhenUsed/>
    <w:qFormat/>
    <w:uiPriority w:val="99"/>
    <w:rPr>
      <w:kern w:val="2"/>
      <w:sz w:val="21"/>
      <w:szCs w:val="24"/>
    </w:rPr>
  </w:style>
  <w:style w:type="character" w:customStyle="1" w:styleId="612">
    <w:name w:val="正文首行缩进 Char"/>
    <w:qFormat/>
    <w:uiPriority w:val="0"/>
    <w:rPr>
      <w:rFonts w:eastAsia="黑体"/>
      <w:kern w:val="2"/>
      <w:sz w:val="24"/>
      <w:szCs w:val="24"/>
    </w:rPr>
  </w:style>
  <w:style w:type="character" w:customStyle="1" w:styleId="613">
    <w:name w:val="正文文本 Char"/>
    <w:qFormat/>
    <w:uiPriority w:val="1"/>
    <w:rPr>
      <w:rFonts w:ascii="宋体" w:hAnsi="宋体"/>
      <w:kern w:val="2"/>
      <w:sz w:val="24"/>
      <w:szCs w:val="24"/>
    </w:rPr>
  </w:style>
  <w:style w:type="character" w:customStyle="1" w:styleId="614">
    <w:name w:val="样式6 Char"/>
    <w:link w:val="615"/>
    <w:qFormat/>
    <w:uiPriority w:val="0"/>
  </w:style>
  <w:style w:type="paragraph" w:customStyle="1" w:styleId="615">
    <w:name w:val="样式6"/>
    <w:basedOn w:val="5"/>
    <w:next w:val="198"/>
    <w:link w:val="614"/>
    <w:qFormat/>
    <w:uiPriority w:val="0"/>
    <w:pPr>
      <w:widowControl/>
      <w:spacing w:before="0" w:after="160" w:line="440" w:lineRule="exact"/>
      <w:ind w:firstLine="1687"/>
    </w:pPr>
    <w:rPr>
      <w:rFonts w:ascii="Times New Roman" w:hAnsi="Times New Roman" w:eastAsia="宋体"/>
      <w:b w:val="0"/>
      <w:sz w:val="20"/>
    </w:rPr>
  </w:style>
  <w:style w:type="character" w:customStyle="1" w:styleId="616">
    <w:name w:val="批注框文本 Char2"/>
    <w:semiHidden/>
    <w:qFormat/>
    <w:uiPriority w:val="0"/>
    <w:rPr>
      <w:kern w:val="2"/>
      <w:sz w:val="18"/>
      <w:szCs w:val="18"/>
    </w:rPr>
  </w:style>
  <w:style w:type="character" w:customStyle="1" w:styleId="617">
    <w:name w:val="样式1 Char"/>
    <w:qFormat/>
    <w:uiPriority w:val="0"/>
    <w:rPr>
      <w:rFonts w:ascii="宋体" w:hAnsi="宋体"/>
      <w:kern w:val="2"/>
      <w:sz w:val="28"/>
      <w:szCs w:val="28"/>
    </w:rPr>
  </w:style>
  <w:style w:type="character" w:customStyle="1" w:styleId="618">
    <w:name w:val="正文文本 字符2"/>
    <w:semiHidden/>
    <w:qFormat/>
    <w:uiPriority w:val="99"/>
    <w:rPr>
      <w:kern w:val="2"/>
      <w:sz w:val="21"/>
    </w:rPr>
  </w:style>
  <w:style w:type="character" w:customStyle="1" w:styleId="619">
    <w:name w:val="正文首行缩进 2 字符"/>
    <w:qFormat/>
    <w:uiPriority w:val="0"/>
    <w:rPr>
      <w:kern w:val="2"/>
      <w:sz w:val="21"/>
    </w:rPr>
  </w:style>
  <w:style w:type="character" w:customStyle="1" w:styleId="620">
    <w:name w:val="纯文本 Char"/>
    <w:qFormat/>
    <w:locked/>
    <w:uiPriority w:val="0"/>
    <w:rPr>
      <w:rFonts w:ascii="宋体" w:hAnsi="Courier New" w:cs="Courier New"/>
      <w:kern w:val="2"/>
      <w:sz w:val="21"/>
      <w:szCs w:val="21"/>
    </w:rPr>
  </w:style>
  <w:style w:type="character" w:customStyle="1" w:styleId="621">
    <w:name w:val="标题 Char2"/>
    <w:qFormat/>
    <w:uiPriority w:val="10"/>
    <w:rPr>
      <w:rFonts w:ascii="Cambria" w:hAnsi="Cambria" w:cs="Times New Roman"/>
      <w:b/>
      <w:bCs/>
      <w:kern w:val="2"/>
      <w:sz w:val="32"/>
      <w:szCs w:val="32"/>
    </w:rPr>
  </w:style>
  <w:style w:type="character" w:customStyle="1" w:styleId="622">
    <w:name w:val="标题 字符2"/>
    <w:qFormat/>
    <w:uiPriority w:val="10"/>
    <w:rPr>
      <w:rFonts w:ascii="等线 Light" w:hAnsi="等线 Light" w:eastAsia="等线 Light" w:cs="Times New Roman"/>
      <w:b/>
      <w:bCs/>
      <w:kern w:val="2"/>
      <w:sz w:val="32"/>
      <w:szCs w:val="32"/>
    </w:rPr>
  </w:style>
  <w:style w:type="character" w:customStyle="1" w:styleId="623">
    <w:name w:val="正文文本 Char2"/>
    <w:semiHidden/>
    <w:qFormat/>
    <w:uiPriority w:val="0"/>
    <w:rPr>
      <w:kern w:val="2"/>
      <w:sz w:val="21"/>
      <w:szCs w:val="22"/>
    </w:rPr>
  </w:style>
  <w:style w:type="character" w:customStyle="1" w:styleId="624">
    <w:name w:val="正文文本 2 Char1"/>
    <w:semiHidden/>
    <w:qFormat/>
    <w:uiPriority w:val="99"/>
    <w:rPr>
      <w:kern w:val="2"/>
      <w:sz w:val="21"/>
      <w:szCs w:val="24"/>
    </w:rPr>
  </w:style>
  <w:style w:type="character" w:customStyle="1" w:styleId="625">
    <w:name w:val="font161"/>
    <w:qFormat/>
    <w:uiPriority w:val="0"/>
    <w:rPr>
      <w:b/>
      <w:bCs/>
      <w:sz w:val="32"/>
      <w:szCs w:val="32"/>
    </w:rPr>
  </w:style>
  <w:style w:type="character" w:customStyle="1" w:styleId="626">
    <w:name w:val="日期 Char2"/>
    <w:semiHidden/>
    <w:qFormat/>
    <w:uiPriority w:val="0"/>
    <w:rPr>
      <w:kern w:val="2"/>
      <w:sz w:val="21"/>
      <w:szCs w:val="22"/>
    </w:rPr>
  </w:style>
  <w:style w:type="character" w:customStyle="1" w:styleId="627">
    <w:name w:val="样式4 Char"/>
    <w:link w:val="628"/>
    <w:qFormat/>
    <w:uiPriority w:val="0"/>
  </w:style>
  <w:style w:type="paragraph" w:customStyle="1" w:styleId="628">
    <w:name w:val="样式4"/>
    <w:basedOn w:val="5"/>
    <w:next w:val="198"/>
    <w:link w:val="627"/>
    <w:qFormat/>
    <w:uiPriority w:val="0"/>
    <w:pPr>
      <w:widowControl/>
      <w:spacing w:before="0" w:after="160" w:line="440" w:lineRule="exact"/>
    </w:pPr>
    <w:rPr>
      <w:rFonts w:ascii="Times New Roman" w:hAnsi="Times New Roman" w:eastAsia="宋体"/>
      <w:b w:val="0"/>
      <w:sz w:val="20"/>
    </w:rPr>
  </w:style>
  <w:style w:type="character" w:customStyle="1" w:styleId="629">
    <w:name w:val="Body Char"/>
    <w:qFormat/>
    <w:uiPriority w:val="0"/>
    <w:rPr>
      <w:rFonts w:hint="default" w:ascii="Helvetica" w:hAnsi="Helvetica" w:eastAsia="宋体"/>
      <w:kern w:val="2"/>
      <w:sz w:val="21"/>
      <w:szCs w:val="24"/>
      <w:lang w:val="en-US" w:eastAsia="de-CH" w:bidi="ar-SA"/>
    </w:rPr>
  </w:style>
  <w:style w:type="character" w:customStyle="1" w:styleId="630">
    <w:name w:val="批注框文本 Char"/>
    <w:qFormat/>
    <w:uiPriority w:val="99"/>
    <w:rPr>
      <w:kern w:val="2"/>
      <w:sz w:val="18"/>
      <w:szCs w:val="18"/>
    </w:rPr>
  </w:style>
  <w:style w:type="character" w:customStyle="1" w:styleId="631">
    <w:name w:val="批注文字 Char Char"/>
    <w:qFormat/>
    <w:uiPriority w:val="0"/>
    <w:rPr>
      <w:rFonts w:hint="eastAsia" w:ascii="宋体" w:hAnsi="Times New Roman" w:eastAsia="宋体" w:cs="Times New Roman"/>
      <w:sz w:val="28"/>
      <w:szCs w:val="20"/>
    </w:rPr>
  </w:style>
  <w:style w:type="character" w:customStyle="1" w:styleId="632">
    <w:name w:val="页脚 Char1"/>
    <w:semiHidden/>
    <w:qFormat/>
    <w:uiPriority w:val="0"/>
    <w:rPr>
      <w:kern w:val="2"/>
      <w:sz w:val="18"/>
      <w:szCs w:val="18"/>
    </w:rPr>
  </w:style>
  <w:style w:type="character" w:customStyle="1" w:styleId="633">
    <w:name w:val="标题 9 Char"/>
    <w:qFormat/>
    <w:uiPriority w:val="0"/>
    <w:rPr>
      <w:rFonts w:ascii="Arial" w:hAnsi="Arial" w:eastAsia="黑体"/>
      <w:sz w:val="21"/>
    </w:rPr>
  </w:style>
  <w:style w:type="character" w:customStyle="1" w:styleId="634">
    <w:name w:val="标题 Char1"/>
    <w:qFormat/>
    <w:uiPriority w:val="0"/>
    <w:rPr>
      <w:rFonts w:hint="default" w:ascii="Cambria" w:hAnsi="Cambria" w:cs="Times New Roman"/>
      <w:b/>
      <w:bCs/>
      <w:kern w:val="2"/>
      <w:sz w:val="32"/>
      <w:szCs w:val="32"/>
    </w:rPr>
  </w:style>
  <w:style w:type="character" w:customStyle="1" w:styleId="635">
    <w:name w:val="副标题 字符2"/>
    <w:qFormat/>
    <w:uiPriority w:val="11"/>
    <w:rPr>
      <w:rFonts w:ascii="等线" w:hAnsi="等线" w:eastAsia="等线" w:cs="Times New Roman"/>
      <w:b/>
      <w:bCs/>
      <w:kern w:val="28"/>
      <w:sz w:val="32"/>
      <w:szCs w:val="32"/>
    </w:rPr>
  </w:style>
  <w:style w:type="character" w:customStyle="1" w:styleId="636">
    <w:name w:val="引用 Char"/>
    <w:qFormat/>
    <w:uiPriority w:val="0"/>
    <w:rPr>
      <w:i/>
      <w:iCs/>
      <w:color w:val="000000"/>
      <w:kern w:val="2"/>
      <w:sz w:val="21"/>
      <w:szCs w:val="22"/>
    </w:rPr>
  </w:style>
  <w:style w:type="character" w:customStyle="1" w:styleId="637">
    <w:name w:val="正文文本缩进 字符3"/>
    <w:semiHidden/>
    <w:qFormat/>
    <w:uiPriority w:val="99"/>
    <w:rPr>
      <w:rFonts w:ascii="ˎ̥" w:hAnsi="ˎ̥" w:cs="Arial"/>
      <w:sz w:val="24"/>
      <w:szCs w:val="24"/>
    </w:rPr>
  </w:style>
  <w:style w:type="paragraph" w:customStyle="1" w:styleId="638">
    <w:name w:val="xl81"/>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character" w:customStyle="1" w:styleId="639">
    <w:name w:val="副标题 字符3"/>
    <w:qFormat/>
    <w:uiPriority w:val="11"/>
    <w:rPr>
      <w:rFonts w:ascii="Calibri" w:hAnsi="Calibri" w:eastAsia="宋体" w:cs="Times New Roman"/>
      <w:b/>
      <w:bCs/>
      <w:kern w:val="28"/>
      <w:sz w:val="32"/>
      <w:szCs w:val="32"/>
    </w:rPr>
  </w:style>
  <w:style w:type="character" w:customStyle="1" w:styleId="640">
    <w:name w:val="批注框文本 字符3"/>
    <w:semiHidden/>
    <w:qFormat/>
    <w:uiPriority w:val="99"/>
    <w:rPr>
      <w:rFonts w:ascii="ˎ̥" w:hAnsi="ˎ̥" w:cs="Arial"/>
      <w:sz w:val="18"/>
      <w:szCs w:val="18"/>
    </w:rPr>
  </w:style>
  <w:style w:type="character" w:customStyle="1" w:styleId="641">
    <w:name w:val="日期 字符3"/>
    <w:semiHidden/>
    <w:qFormat/>
    <w:uiPriority w:val="99"/>
    <w:rPr>
      <w:rFonts w:ascii="ˎ̥" w:hAnsi="ˎ̥" w:cs="Arial"/>
      <w:sz w:val="24"/>
      <w:szCs w:val="24"/>
    </w:rPr>
  </w:style>
  <w:style w:type="character" w:customStyle="1" w:styleId="642">
    <w:name w:val="文档结构图 字符3"/>
    <w:semiHidden/>
    <w:qFormat/>
    <w:uiPriority w:val="99"/>
    <w:rPr>
      <w:rFonts w:ascii="Microsoft YaHei UI" w:hAnsi="ˎ̥" w:eastAsia="Microsoft YaHei UI" w:cs="Arial"/>
      <w:sz w:val="18"/>
      <w:szCs w:val="18"/>
    </w:rPr>
  </w:style>
  <w:style w:type="character" w:customStyle="1" w:styleId="643">
    <w:name w:val="批注文字 字符3"/>
    <w:semiHidden/>
    <w:qFormat/>
    <w:uiPriority w:val="99"/>
    <w:rPr>
      <w:rFonts w:ascii="ˎ̥" w:hAnsi="ˎ̥" w:cs="Arial"/>
      <w:sz w:val="24"/>
      <w:szCs w:val="24"/>
    </w:rPr>
  </w:style>
  <w:style w:type="character" w:customStyle="1" w:styleId="644">
    <w:name w:val="正文文本缩进 3 字符3"/>
    <w:semiHidden/>
    <w:qFormat/>
    <w:uiPriority w:val="99"/>
    <w:rPr>
      <w:rFonts w:ascii="ˎ̥" w:hAnsi="ˎ̥" w:cs="Arial"/>
      <w:sz w:val="16"/>
      <w:szCs w:val="16"/>
    </w:rPr>
  </w:style>
  <w:style w:type="character" w:customStyle="1" w:styleId="645">
    <w:name w:val="正文文本 3 字符3"/>
    <w:semiHidden/>
    <w:qFormat/>
    <w:uiPriority w:val="99"/>
    <w:rPr>
      <w:rFonts w:ascii="ˎ̥" w:hAnsi="ˎ̥" w:cs="Arial"/>
      <w:sz w:val="16"/>
      <w:szCs w:val="16"/>
    </w:rPr>
  </w:style>
  <w:style w:type="paragraph" w:customStyle="1" w:styleId="646">
    <w:name w:val="CM19"/>
    <w:basedOn w:val="205"/>
    <w:next w:val="205"/>
    <w:unhideWhenUsed/>
    <w:qFormat/>
    <w:uiPriority w:val="99"/>
    <w:pPr>
      <w:spacing w:after="160" w:line="278" w:lineRule="auto"/>
    </w:pPr>
    <w:rPr>
      <w:rFonts w:ascii="仿宋" w:hAnsi="仿宋" w:eastAsia="仿宋" w:cs="Times New Roman"/>
    </w:rPr>
  </w:style>
  <w:style w:type="paragraph" w:customStyle="1" w:styleId="647">
    <w:name w:val="Body"/>
    <w:qFormat/>
    <w:uiPriority w:val="0"/>
    <w:pPr>
      <w:spacing w:after="60" w:line="278" w:lineRule="auto"/>
      <w:ind w:left="567" w:right="2835"/>
    </w:pPr>
    <w:rPr>
      <w:rFonts w:ascii="Helvetica" w:hAnsi="Helvetica"/>
      <w:kern w:val="2"/>
      <w:sz w:val="21"/>
      <w:szCs w:val="24"/>
      <w:lang w:val="en-US" w:eastAsia="de-CH" w:bidi="ar-SA"/>
    </w:rPr>
  </w:style>
  <w:style w:type="character" w:customStyle="1" w:styleId="648">
    <w:name w:val="正文文本 字符3"/>
    <w:semiHidden/>
    <w:qFormat/>
    <w:uiPriority w:val="99"/>
    <w:rPr>
      <w:rFonts w:ascii="ˎ̥" w:hAnsi="ˎ̥" w:cs="Arial"/>
      <w:sz w:val="24"/>
      <w:szCs w:val="24"/>
    </w:rPr>
  </w:style>
  <w:style w:type="character" w:customStyle="1" w:styleId="649">
    <w:name w:val="正文文本缩进 2 字符3"/>
    <w:semiHidden/>
    <w:qFormat/>
    <w:uiPriority w:val="99"/>
    <w:rPr>
      <w:rFonts w:ascii="ˎ̥" w:hAnsi="ˎ̥" w:cs="Arial"/>
      <w:sz w:val="24"/>
      <w:szCs w:val="24"/>
    </w:rPr>
  </w:style>
  <w:style w:type="character" w:customStyle="1" w:styleId="650">
    <w:name w:val="页眉 字符3"/>
    <w:semiHidden/>
    <w:qFormat/>
    <w:uiPriority w:val="99"/>
    <w:rPr>
      <w:rFonts w:ascii="ˎ̥" w:hAnsi="ˎ̥" w:cs="Arial"/>
      <w:sz w:val="18"/>
      <w:szCs w:val="18"/>
    </w:rPr>
  </w:style>
  <w:style w:type="character" w:customStyle="1" w:styleId="651">
    <w:name w:val="页脚 字符3"/>
    <w:semiHidden/>
    <w:qFormat/>
    <w:uiPriority w:val="99"/>
    <w:rPr>
      <w:rFonts w:ascii="ˎ̥" w:hAnsi="ˎ̥" w:cs="Arial"/>
      <w:sz w:val="18"/>
      <w:szCs w:val="18"/>
    </w:rPr>
  </w:style>
  <w:style w:type="character" w:customStyle="1" w:styleId="652">
    <w:name w:val="批注主题 字符3"/>
    <w:semiHidden/>
    <w:qFormat/>
    <w:uiPriority w:val="99"/>
    <w:rPr>
      <w:rFonts w:ascii="ˎ̥" w:hAnsi="ˎ̥" w:cs="Arial"/>
      <w:b/>
      <w:bCs/>
      <w:sz w:val="24"/>
      <w:szCs w:val="24"/>
    </w:rPr>
  </w:style>
  <w:style w:type="character" w:customStyle="1" w:styleId="653">
    <w:name w:val="正文文本 2 字符3"/>
    <w:qFormat/>
    <w:uiPriority w:val="99"/>
    <w:rPr>
      <w:kern w:val="2"/>
      <w:sz w:val="21"/>
      <w:szCs w:val="24"/>
    </w:rPr>
  </w:style>
  <w:style w:type="paragraph" w:customStyle="1" w:styleId="654">
    <w:name w:val="2"/>
    <w:basedOn w:val="1"/>
    <w:next w:val="3"/>
    <w:qFormat/>
    <w:uiPriority w:val="0"/>
    <w:pPr>
      <w:widowControl/>
      <w:spacing w:after="160" w:line="278" w:lineRule="auto"/>
      <w:ind w:left="432"/>
    </w:pPr>
    <w:rPr>
      <w:rFonts w:ascii="Calibri" w:hAnsi="Calibri" w:cs="Arial"/>
      <w:kern w:val="0"/>
      <w:sz w:val="24"/>
    </w:rPr>
  </w:style>
  <w:style w:type="character" w:customStyle="1" w:styleId="655">
    <w:name w:val="HTML 预设格式 字符2"/>
    <w:semiHidden/>
    <w:qFormat/>
    <w:uiPriority w:val="99"/>
    <w:rPr>
      <w:rFonts w:ascii="Courier New" w:hAnsi="Courier New" w:cs="Courier New"/>
    </w:rPr>
  </w:style>
  <w:style w:type="character" w:customStyle="1" w:styleId="656">
    <w:name w:val="标题 字符3"/>
    <w:qFormat/>
    <w:uiPriority w:val="10"/>
    <w:rPr>
      <w:rFonts w:ascii="等线 Light" w:hAnsi="等线 Light" w:eastAsia="等线 Light" w:cs="Times New Roman"/>
      <w:b/>
      <w:bCs/>
      <w:sz w:val="32"/>
      <w:szCs w:val="32"/>
    </w:rPr>
  </w:style>
  <w:style w:type="paragraph" w:customStyle="1" w:styleId="657">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58">
    <w:name w:val="xl7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59">
    <w:name w:val="Char Char Char Char Char Char1 Char Char Char Char Char Char1 Char Char Char1"/>
    <w:basedOn w:val="1"/>
    <w:qFormat/>
    <w:uiPriority w:val="0"/>
    <w:pPr>
      <w:widowControl/>
      <w:spacing w:after="160" w:line="278" w:lineRule="auto"/>
    </w:pPr>
    <w:rPr>
      <w:rFonts w:ascii="Tahoma" w:hAnsi="Tahoma" w:cs="Arial"/>
      <w:kern w:val="0"/>
      <w:sz w:val="24"/>
    </w:rPr>
  </w:style>
  <w:style w:type="character" w:customStyle="1" w:styleId="660">
    <w:name w:val="引用 字符3"/>
    <w:qFormat/>
    <w:uiPriority w:val="29"/>
    <w:rPr>
      <w:i/>
      <w:iCs/>
      <w:color w:val="404040"/>
      <w:kern w:val="2"/>
      <w:sz w:val="21"/>
      <w:szCs w:val="24"/>
    </w:rPr>
  </w:style>
  <w:style w:type="paragraph" w:customStyle="1" w:styleId="661">
    <w:name w:val="Char Char Char Char Char Char1 Char Char Char Char Char Char1 Char Char Char"/>
    <w:basedOn w:val="1"/>
    <w:qFormat/>
    <w:uiPriority w:val="0"/>
    <w:pPr>
      <w:widowControl/>
      <w:spacing w:after="160" w:line="278" w:lineRule="auto"/>
    </w:pPr>
    <w:rPr>
      <w:rFonts w:ascii="Tahoma" w:hAnsi="Tahoma" w:cs="Arial"/>
      <w:kern w:val="0"/>
      <w:sz w:val="24"/>
    </w:rPr>
  </w:style>
  <w:style w:type="paragraph" w:customStyle="1" w:styleId="662">
    <w:name w:val="font10"/>
    <w:basedOn w:val="1"/>
    <w:qFormat/>
    <w:uiPriority w:val="0"/>
    <w:pPr>
      <w:widowControl/>
      <w:spacing w:before="100" w:beforeAutospacing="1" w:after="100" w:afterAutospacing="1" w:line="278" w:lineRule="auto"/>
      <w:jc w:val="left"/>
    </w:pPr>
    <w:rPr>
      <w:rFonts w:ascii="ˎ̥" w:hAnsi="ˎ̥" w:cs="Arial"/>
      <w:kern w:val="0"/>
      <w:sz w:val="14"/>
    </w:rPr>
  </w:style>
  <w:style w:type="paragraph" w:customStyle="1" w:styleId="663">
    <w:name w:val="xl85"/>
    <w:basedOn w:val="1"/>
    <w:qFormat/>
    <w:uiPriority w:val="0"/>
    <w:pPr>
      <w:widowControl/>
      <w:spacing w:before="100" w:beforeAutospacing="1" w:after="100" w:afterAutospacing="1" w:line="278" w:lineRule="auto"/>
      <w:jc w:val="center"/>
    </w:pPr>
    <w:rPr>
      <w:rFonts w:ascii="宋体" w:hAnsi="宋体" w:cs="宋体"/>
      <w:kern w:val="0"/>
      <w:sz w:val="24"/>
    </w:rPr>
  </w:style>
  <w:style w:type="paragraph" w:customStyle="1" w:styleId="664">
    <w:name w:val="普通 (Web)"/>
    <w:basedOn w:val="1"/>
    <w:qFormat/>
    <w:uiPriority w:val="0"/>
    <w:pPr>
      <w:widowControl/>
      <w:spacing w:before="100" w:beforeAutospacing="1" w:after="100" w:afterAutospacing="1" w:line="278" w:lineRule="auto"/>
      <w:jc w:val="left"/>
    </w:pPr>
    <w:rPr>
      <w:rFonts w:ascii="宋体" w:hAnsi="宋体" w:cs="Arial"/>
      <w:kern w:val="0"/>
      <w:sz w:val="24"/>
    </w:rPr>
  </w:style>
  <w:style w:type="paragraph" w:customStyle="1" w:styleId="665">
    <w:name w:val="xl77"/>
    <w:basedOn w:val="1"/>
    <w:qFormat/>
    <w:uiPriority w:val="0"/>
    <w:pPr>
      <w:widowControl/>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666">
    <w:name w:val="Char1 Char Char"/>
    <w:basedOn w:val="1"/>
    <w:qFormat/>
    <w:uiPriority w:val="0"/>
    <w:pPr>
      <w:widowControl/>
      <w:spacing w:after="160" w:line="278" w:lineRule="auto"/>
    </w:pPr>
    <w:rPr>
      <w:rFonts w:ascii="Tahoma" w:hAnsi="Tahoma" w:cs="Arial"/>
      <w:kern w:val="0"/>
      <w:sz w:val="24"/>
    </w:rPr>
  </w:style>
  <w:style w:type="paragraph" w:customStyle="1" w:styleId="667">
    <w:name w:val="修订10"/>
    <w:qFormat/>
    <w:uiPriority w:val="0"/>
    <w:pPr>
      <w:spacing w:after="160" w:line="278" w:lineRule="auto"/>
    </w:pPr>
    <w:rPr>
      <w:rFonts w:ascii="Calibri" w:hAnsi="Calibri"/>
      <w:kern w:val="2"/>
      <w:sz w:val="21"/>
      <w:lang w:val="en-US" w:eastAsia="zh-CN" w:bidi="ar-SA"/>
    </w:rPr>
  </w:style>
  <w:style w:type="paragraph" w:customStyle="1" w:styleId="668">
    <w:name w:val="xl74"/>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69">
    <w:name w:val="菲页2"/>
    <w:basedOn w:val="7"/>
    <w:qFormat/>
    <w:uiPriority w:val="0"/>
    <w:pPr>
      <w:widowControl/>
      <w:tabs>
        <w:tab w:val="left" w:pos="720"/>
        <w:tab w:val="left" w:pos="1980"/>
      </w:tabs>
      <w:autoSpaceDE/>
      <w:autoSpaceDN/>
      <w:adjustRightInd/>
      <w:spacing w:before="120" w:line="360" w:lineRule="auto"/>
      <w:ind w:left="1980" w:hanging="900"/>
      <w:jc w:val="center"/>
    </w:pPr>
    <w:rPr>
      <w:rFonts w:ascii="黑体" w:hAnsi="宋体" w:eastAsia="黑体" w:cs="Arial"/>
      <w:b w:val="0"/>
      <w:sz w:val="44"/>
      <w:szCs w:val="24"/>
      <w:u w:val="none"/>
    </w:rPr>
  </w:style>
  <w:style w:type="paragraph" w:customStyle="1" w:styleId="670">
    <w:name w:val="简单回函地址"/>
    <w:basedOn w:val="1"/>
    <w:qFormat/>
    <w:uiPriority w:val="0"/>
    <w:pPr>
      <w:widowControl/>
      <w:spacing w:after="160" w:line="278" w:lineRule="auto"/>
    </w:pPr>
    <w:rPr>
      <w:rFonts w:ascii="ˎ̥" w:hAnsi="ˎ̥" w:cs="Arial"/>
      <w:kern w:val="0"/>
      <w:sz w:val="24"/>
    </w:rPr>
  </w:style>
  <w:style w:type="paragraph" w:customStyle="1" w:styleId="671">
    <w:name w:val="Char Char Char Char Char Char1 Char Char Char Char Char Char1 Char Char Char Char Char Char Char"/>
    <w:basedOn w:val="1"/>
    <w:qFormat/>
    <w:uiPriority w:val="0"/>
    <w:pPr>
      <w:widowControl/>
      <w:spacing w:after="160" w:line="278" w:lineRule="auto"/>
    </w:pPr>
    <w:rPr>
      <w:rFonts w:ascii="Tahoma" w:hAnsi="Tahoma" w:cs="Arial"/>
      <w:kern w:val="0"/>
      <w:sz w:val="24"/>
    </w:rPr>
  </w:style>
  <w:style w:type="paragraph" w:customStyle="1" w:styleId="672">
    <w:name w:val="Char Char Char Char Char Char1 Char Char Char Char Char Char1 Char Char Char2"/>
    <w:basedOn w:val="1"/>
    <w:qFormat/>
    <w:uiPriority w:val="0"/>
    <w:pPr>
      <w:widowControl/>
      <w:spacing w:after="160" w:line="278" w:lineRule="auto"/>
    </w:pPr>
    <w:rPr>
      <w:rFonts w:ascii="Tahoma" w:hAnsi="Tahoma" w:cs="Arial"/>
      <w:kern w:val="0"/>
      <w:sz w:val="24"/>
    </w:rPr>
  </w:style>
  <w:style w:type="paragraph" w:customStyle="1" w:styleId="673">
    <w:name w:val="样式 标题 1 + 黑体 三号 非加粗 居中 段前: 6 磅 段后: 6 磅 行距: 固定值 20 磅"/>
    <w:basedOn w:val="4"/>
    <w:qFormat/>
    <w:uiPriority w:val="0"/>
    <w:pPr>
      <w:widowControl/>
      <w:autoSpaceDE/>
      <w:autoSpaceDN/>
      <w:adjustRightInd/>
      <w:spacing w:before="120" w:line="400" w:lineRule="exact"/>
    </w:pPr>
    <w:rPr>
      <w:rFonts w:ascii="黑体" w:hAnsi="黑体" w:eastAsia="黑体" w:cs="宋体"/>
      <w:b w:val="0"/>
      <w:szCs w:val="24"/>
    </w:rPr>
  </w:style>
  <w:style w:type="paragraph" w:customStyle="1" w:styleId="674">
    <w:name w:val="Char Char Char Char Char Char1 Char Char Char1 Char Char Char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75">
    <w:name w:val="Char Char Char Char Char Char1 Char Char Char1 Char Char Char Char Char Char"/>
    <w:basedOn w:val="1"/>
    <w:qFormat/>
    <w:uiPriority w:val="0"/>
    <w:pPr>
      <w:widowControl/>
      <w:spacing w:after="160" w:line="278" w:lineRule="auto"/>
    </w:pPr>
    <w:rPr>
      <w:rFonts w:ascii="Tahoma" w:hAnsi="Tahoma" w:cs="Arial"/>
      <w:kern w:val="0"/>
      <w:sz w:val="24"/>
    </w:rPr>
  </w:style>
  <w:style w:type="paragraph" w:customStyle="1" w:styleId="676">
    <w:name w:val="Char Char Char Char Char Char1 Char Char Char Char Char Char1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77">
    <w:name w:val="Char Char Char Char Char Char1"/>
    <w:basedOn w:val="1"/>
    <w:qFormat/>
    <w:uiPriority w:val="0"/>
    <w:pPr>
      <w:widowControl/>
      <w:spacing w:after="160" w:line="278" w:lineRule="auto"/>
    </w:pPr>
    <w:rPr>
      <w:rFonts w:ascii="Tahoma" w:hAnsi="Tahoma" w:cs="Arial"/>
      <w:kern w:val="0"/>
      <w:sz w:val="24"/>
    </w:rPr>
  </w:style>
  <w:style w:type="paragraph" w:customStyle="1" w:styleId="678">
    <w:name w:val="Char Char Char Char Char Char1 Char Char Char Char Char Char"/>
    <w:basedOn w:val="1"/>
    <w:qFormat/>
    <w:uiPriority w:val="0"/>
    <w:pPr>
      <w:widowControl/>
      <w:spacing w:after="160" w:line="278" w:lineRule="auto"/>
    </w:pPr>
    <w:rPr>
      <w:rFonts w:ascii="Tahoma" w:hAnsi="Tahoma" w:cs="Arial"/>
      <w:kern w:val="0"/>
      <w:sz w:val="24"/>
    </w:rPr>
  </w:style>
  <w:style w:type="paragraph" w:customStyle="1" w:styleId="679">
    <w:name w:val="xl68"/>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680">
    <w:name w:val="Char Char Char Char Char Char"/>
    <w:basedOn w:val="1"/>
    <w:qFormat/>
    <w:uiPriority w:val="0"/>
    <w:pPr>
      <w:widowControl/>
      <w:spacing w:after="160" w:line="278" w:lineRule="auto"/>
    </w:pPr>
    <w:rPr>
      <w:rFonts w:ascii="仿宋_GB2312" w:hAnsi="ˎ̥" w:eastAsia="仿宋_GB2312" w:cs="Arial"/>
      <w:b/>
      <w:kern w:val="0"/>
      <w:sz w:val="32"/>
    </w:rPr>
  </w:style>
  <w:style w:type="paragraph" w:customStyle="1" w:styleId="681">
    <w:name w:val="Char Char Char Char Char Char1 Char Char Char Char Char Char1 Char Char Char Char Char Char Char1"/>
    <w:basedOn w:val="1"/>
    <w:qFormat/>
    <w:uiPriority w:val="0"/>
    <w:pPr>
      <w:widowControl/>
      <w:spacing w:after="160" w:line="278" w:lineRule="auto"/>
    </w:pPr>
    <w:rPr>
      <w:rFonts w:ascii="Tahoma" w:hAnsi="Tahoma" w:cs="Arial"/>
      <w:kern w:val="0"/>
      <w:sz w:val="24"/>
    </w:rPr>
  </w:style>
  <w:style w:type="paragraph" w:customStyle="1" w:styleId="682">
    <w:name w:val="Char Char Char Char Char Char1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83">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78" w:lineRule="auto"/>
      <w:jc w:val="right"/>
    </w:pPr>
    <w:rPr>
      <w:rFonts w:ascii="Calibri" w:hAnsi="Calibri" w:cs="Arial"/>
      <w:color w:val="000000"/>
      <w:kern w:val="0"/>
      <w:sz w:val="18"/>
      <w:szCs w:val="18"/>
    </w:rPr>
  </w:style>
  <w:style w:type="paragraph" w:customStyle="1" w:styleId="684">
    <w:name w:val="Char Char Char Char Char Char1 Char Char Char Char Char Char1"/>
    <w:basedOn w:val="1"/>
    <w:qFormat/>
    <w:uiPriority w:val="0"/>
    <w:pPr>
      <w:widowControl/>
      <w:spacing w:after="160" w:line="278" w:lineRule="auto"/>
    </w:pPr>
    <w:rPr>
      <w:rFonts w:ascii="Tahoma" w:hAnsi="Tahoma" w:cs="Arial"/>
      <w:kern w:val="0"/>
      <w:sz w:val="24"/>
    </w:rPr>
  </w:style>
  <w:style w:type="paragraph" w:customStyle="1" w:styleId="685">
    <w:name w:val="Char Char Char Char"/>
    <w:basedOn w:val="1"/>
    <w:qFormat/>
    <w:uiPriority w:val="0"/>
    <w:pPr>
      <w:widowControl/>
      <w:spacing w:after="160" w:line="278" w:lineRule="auto"/>
    </w:pPr>
    <w:rPr>
      <w:rFonts w:ascii="Tahoma" w:hAnsi="Tahoma" w:cs="Arial"/>
      <w:kern w:val="0"/>
      <w:sz w:val="24"/>
    </w:rPr>
  </w:style>
  <w:style w:type="paragraph" w:customStyle="1" w:styleId="686">
    <w:name w:val="Char Char Char Char Char Char1 Char Char Char1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87">
    <w:name w:val="Char Char Char Char Char Char Char Char Char Char Char Char"/>
    <w:basedOn w:val="1"/>
    <w:qFormat/>
    <w:uiPriority w:val="0"/>
    <w:pPr>
      <w:widowControl/>
      <w:spacing w:after="160" w:line="278" w:lineRule="auto"/>
    </w:pPr>
    <w:rPr>
      <w:rFonts w:ascii="仿宋_GB2312" w:hAnsi="ˎ̥" w:eastAsia="仿宋_GB2312" w:cs="Arial"/>
      <w:b/>
      <w:kern w:val="0"/>
      <w:sz w:val="32"/>
    </w:rPr>
  </w:style>
  <w:style w:type="paragraph" w:customStyle="1" w:styleId="688">
    <w:name w:val="_Style 107"/>
    <w:basedOn w:val="1"/>
    <w:next w:val="1"/>
    <w:unhideWhenUsed/>
    <w:qFormat/>
    <w:uiPriority w:val="39"/>
    <w:pPr>
      <w:widowControl/>
      <w:spacing w:after="160" w:line="278" w:lineRule="auto"/>
      <w:ind w:left="3360" w:leftChars="1600"/>
    </w:pPr>
    <w:rPr>
      <w:rFonts w:ascii="Calibri" w:hAnsi="Calibri" w:cs="Arial"/>
      <w:kern w:val="0"/>
      <w:sz w:val="24"/>
      <w:szCs w:val="22"/>
    </w:rPr>
  </w:style>
  <w:style w:type="paragraph" w:customStyle="1" w:styleId="689">
    <w:name w:val="xl67"/>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90">
    <w:name w:val="CM13"/>
    <w:basedOn w:val="205"/>
    <w:next w:val="205"/>
    <w:unhideWhenUsed/>
    <w:qFormat/>
    <w:uiPriority w:val="99"/>
    <w:pPr>
      <w:spacing w:after="160" w:line="520" w:lineRule="atLeast"/>
    </w:pPr>
    <w:rPr>
      <w:rFonts w:ascii="仿宋" w:hAnsi="仿宋" w:eastAsia="仿宋" w:cs="Times New Roman"/>
    </w:rPr>
  </w:style>
  <w:style w:type="paragraph" w:customStyle="1" w:styleId="691">
    <w:name w:val="xl75"/>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692">
    <w:name w:val="点序列"/>
    <w:basedOn w:val="1"/>
    <w:qFormat/>
    <w:uiPriority w:val="0"/>
    <w:pPr>
      <w:widowControl/>
      <w:numPr>
        <w:ilvl w:val="0"/>
        <w:numId w:val="16"/>
      </w:numPr>
      <w:tabs>
        <w:tab w:val="left" w:pos="360"/>
        <w:tab w:val="left" w:pos="1412"/>
      </w:tabs>
      <w:spacing w:after="160" w:line="400" w:lineRule="atLeast"/>
      <w:ind w:left="1412"/>
      <w:jc w:val="left"/>
    </w:pPr>
    <w:rPr>
      <w:rFonts w:ascii="ˎ̥" w:hAnsi="ˎ̥" w:cs="Arial"/>
      <w:kern w:val="0"/>
      <w:sz w:val="24"/>
    </w:rPr>
  </w:style>
  <w:style w:type="paragraph" w:customStyle="1" w:styleId="693">
    <w:name w:val="Char Char Char Char Char Char1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694">
    <w:name w:val="xl73"/>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695">
    <w:name w:val="Char Char Char3"/>
    <w:basedOn w:val="1"/>
    <w:qFormat/>
    <w:uiPriority w:val="0"/>
    <w:pPr>
      <w:widowControl/>
      <w:spacing w:after="160" w:line="278" w:lineRule="auto"/>
    </w:pPr>
    <w:rPr>
      <w:rFonts w:ascii="Tahoma" w:hAnsi="Tahoma" w:cs="Arial"/>
      <w:kern w:val="0"/>
      <w:sz w:val="24"/>
    </w:rPr>
  </w:style>
  <w:style w:type="paragraph" w:customStyle="1" w:styleId="696">
    <w:name w:val="CM14"/>
    <w:basedOn w:val="205"/>
    <w:next w:val="205"/>
    <w:unhideWhenUsed/>
    <w:qFormat/>
    <w:uiPriority w:val="99"/>
    <w:pPr>
      <w:spacing w:after="160" w:line="546" w:lineRule="atLeast"/>
    </w:pPr>
    <w:rPr>
      <w:rFonts w:ascii="仿宋" w:hAnsi="仿宋" w:eastAsia="仿宋" w:cs="Times New Roman"/>
    </w:rPr>
  </w:style>
  <w:style w:type="paragraph" w:customStyle="1" w:styleId="697">
    <w:name w:val="空半行"/>
    <w:basedOn w:val="1"/>
    <w:qFormat/>
    <w:uiPriority w:val="0"/>
    <w:pPr>
      <w:widowControl/>
      <w:adjustRightInd w:val="0"/>
      <w:spacing w:after="160" w:line="120" w:lineRule="exact"/>
    </w:pPr>
    <w:rPr>
      <w:rFonts w:ascii="Calibri" w:hAnsi="Calibri" w:eastAsia="仿宋_GB2312" w:cs="Arial"/>
      <w:color w:val="FFFFFF"/>
      <w:kern w:val="0"/>
      <w:sz w:val="30"/>
    </w:rPr>
  </w:style>
  <w:style w:type="paragraph" w:customStyle="1" w:styleId="698">
    <w:name w:val="3"/>
    <w:basedOn w:val="1"/>
    <w:next w:val="22"/>
    <w:qFormat/>
    <w:uiPriority w:val="0"/>
    <w:pPr>
      <w:widowControl/>
      <w:spacing w:after="160" w:line="278" w:lineRule="auto"/>
    </w:pPr>
    <w:rPr>
      <w:rFonts w:ascii="宋体" w:hAnsi="Calibri" w:cs="Arial"/>
      <w:kern w:val="0"/>
      <w:sz w:val="24"/>
    </w:rPr>
  </w:style>
  <w:style w:type="paragraph" w:customStyle="1" w:styleId="699">
    <w:name w:val="Char Char Char Char Char Char1 Char Char Char"/>
    <w:basedOn w:val="1"/>
    <w:qFormat/>
    <w:uiPriority w:val="0"/>
    <w:pPr>
      <w:widowControl/>
      <w:spacing w:after="160" w:line="278" w:lineRule="auto"/>
    </w:pPr>
    <w:rPr>
      <w:rFonts w:ascii="Tahoma" w:hAnsi="Tahoma" w:cs="Arial"/>
      <w:kern w:val="0"/>
      <w:sz w:val="24"/>
    </w:rPr>
  </w:style>
  <w:style w:type="paragraph" w:customStyle="1" w:styleId="700">
    <w:name w:val="Char Char Char Char1"/>
    <w:basedOn w:val="1"/>
    <w:qFormat/>
    <w:uiPriority w:val="0"/>
    <w:pPr>
      <w:widowControl/>
      <w:spacing w:after="160" w:line="240" w:lineRule="exact"/>
      <w:jc w:val="left"/>
    </w:pPr>
    <w:rPr>
      <w:rFonts w:ascii="Calibri" w:hAnsi="Calibri" w:cs="Arial"/>
      <w:kern w:val="0"/>
      <w:sz w:val="24"/>
    </w:rPr>
  </w:style>
  <w:style w:type="paragraph" w:customStyle="1" w:styleId="701">
    <w:name w:val="菲页(卷)"/>
    <w:basedOn w:val="4"/>
    <w:next w:val="382"/>
    <w:qFormat/>
    <w:uiPriority w:val="0"/>
    <w:pPr>
      <w:keepLines w:val="0"/>
      <w:widowControl/>
      <w:autoSpaceDE/>
      <w:autoSpaceDN/>
      <w:adjustRightInd/>
      <w:spacing w:before="0" w:after="0" w:line="440" w:lineRule="atLeast"/>
      <w:outlineLvl w:val="1"/>
    </w:pPr>
    <w:rPr>
      <w:rFonts w:ascii="Arial" w:hAnsi="Arial" w:eastAsia="黑体" w:cs="Arial"/>
      <w:b w:val="0"/>
      <w:kern w:val="0"/>
      <w:sz w:val="44"/>
      <w:szCs w:val="24"/>
    </w:rPr>
  </w:style>
  <w:style w:type="paragraph" w:customStyle="1" w:styleId="702">
    <w:name w:val="Char11"/>
    <w:basedOn w:val="1"/>
    <w:qFormat/>
    <w:uiPriority w:val="0"/>
    <w:pPr>
      <w:widowControl/>
      <w:spacing w:after="160" w:line="278" w:lineRule="auto"/>
    </w:pPr>
    <w:rPr>
      <w:rFonts w:ascii="Tahoma" w:hAnsi="Tahoma" w:cs="Arial"/>
      <w:kern w:val="0"/>
      <w:sz w:val="24"/>
    </w:rPr>
  </w:style>
  <w:style w:type="paragraph" w:customStyle="1" w:styleId="703">
    <w:name w:val="XW正文"/>
    <w:basedOn w:val="3"/>
    <w:qFormat/>
    <w:uiPriority w:val="0"/>
    <w:pPr>
      <w:widowControl/>
      <w:adjustRightInd w:val="0"/>
      <w:snapToGrid w:val="0"/>
      <w:spacing w:after="160" w:line="300" w:lineRule="auto"/>
      <w:ind w:firstLine="520" w:firstLineChars="200"/>
      <w:jc w:val="left"/>
    </w:pPr>
    <w:rPr>
      <w:rFonts w:ascii="Calibri" w:hAnsi="Calibri"/>
      <w:sz w:val="21"/>
      <w:szCs w:val="20"/>
    </w:rPr>
  </w:style>
  <w:style w:type="character" w:customStyle="1" w:styleId="704">
    <w:name w:val="明显引用 字符3"/>
    <w:qFormat/>
    <w:uiPriority w:val="30"/>
    <w:rPr>
      <w:i/>
      <w:iCs/>
      <w:color w:val="4F81BD"/>
      <w:kern w:val="2"/>
      <w:sz w:val="21"/>
      <w:szCs w:val="24"/>
    </w:rPr>
  </w:style>
  <w:style w:type="paragraph" w:customStyle="1" w:styleId="705">
    <w:name w:val="表格"/>
    <w:basedOn w:val="1"/>
    <w:qFormat/>
    <w:uiPriority w:val="0"/>
    <w:pPr>
      <w:widowControl/>
      <w:spacing w:after="160" w:line="278" w:lineRule="auto"/>
      <w:jc w:val="center"/>
    </w:pPr>
    <w:rPr>
      <w:rFonts w:ascii="华文细黑" w:hAnsi="华文细黑" w:cs="Arial"/>
      <w:kern w:val="0"/>
      <w:sz w:val="24"/>
    </w:rPr>
  </w:style>
  <w:style w:type="paragraph" w:customStyle="1" w:styleId="706">
    <w:name w:val="xl8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07">
    <w:name w:val="xl78"/>
    <w:basedOn w:val="1"/>
    <w:qFormat/>
    <w:uiPriority w:val="0"/>
    <w:pPr>
      <w:widowControl/>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708">
    <w:name w:val="Normal_0"/>
    <w:qFormat/>
    <w:uiPriority w:val="0"/>
    <w:pPr>
      <w:spacing w:before="120" w:after="240" w:line="278" w:lineRule="auto"/>
      <w:jc w:val="both"/>
    </w:pPr>
    <w:rPr>
      <w:rFonts w:ascii="Calibri" w:hAnsi="Calibri" w:eastAsia="Calibri"/>
      <w:sz w:val="22"/>
      <w:szCs w:val="22"/>
      <w:lang w:val="ru-RU" w:eastAsia="en-US" w:bidi="ar-SA"/>
    </w:rPr>
  </w:style>
  <w:style w:type="paragraph" w:customStyle="1" w:styleId="709">
    <w:name w:val="xl79"/>
    <w:basedOn w:val="1"/>
    <w:qFormat/>
    <w:uiPriority w:val="0"/>
    <w:pPr>
      <w:widowControl/>
      <w:shd w:val="clear" w:color="FFFFFF" w:fill="FFFFFF"/>
      <w:spacing w:before="100" w:beforeAutospacing="1" w:after="100" w:afterAutospacing="1" w:line="278" w:lineRule="auto"/>
      <w:jc w:val="center"/>
      <w:textAlignment w:val="center"/>
    </w:pPr>
    <w:rPr>
      <w:rFonts w:ascii="宋体" w:hAnsi="宋体" w:cs="宋体"/>
      <w:b/>
      <w:bCs/>
      <w:kern w:val="0"/>
      <w:sz w:val="40"/>
      <w:szCs w:val="40"/>
    </w:rPr>
  </w:style>
  <w:style w:type="paragraph" w:customStyle="1" w:styleId="71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711">
    <w:name w:val="flNote"/>
    <w:basedOn w:val="1"/>
    <w:qFormat/>
    <w:uiPriority w:val="0"/>
    <w:pPr>
      <w:widowControl/>
      <w:adjustRightInd w:val="0"/>
      <w:spacing w:before="320" w:after="160" w:line="360" w:lineRule="atLeast"/>
      <w:jc w:val="center"/>
    </w:pPr>
    <w:rPr>
      <w:rFonts w:ascii="Arial" w:hAnsi="Calibri" w:eastAsia="黑体" w:cs="Arial"/>
      <w:kern w:val="0"/>
      <w:sz w:val="30"/>
    </w:rPr>
  </w:style>
  <w:style w:type="paragraph" w:customStyle="1" w:styleId="712">
    <w:name w:val="Char1 Char Char Char"/>
    <w:basedOn w:val="1"/>
    <w:qFormat/>
    <w:uiPriority w:val="0"/>
    <w:pPr>
      <w:widowControl/>
      <w:spacing w:after="160" w:line="278" w:lineRule="auto"/>
    </w:pPr>
    <w:rPr>
      <w:rFonts w:ascii="仿宋_GB2312" w:hAnsi="Calibri" w:eastAsia="仿宋_GB2312" w:cs="Arial"/>
      <w:b/>
      <w:kern w:val="0"/>
      <w:sz w:val="32"/>
      <w:szCs w:val="32"/>
    </w:rPr>
  </w:style>
  <w:style w:type="paragraph" w:customStyle="1" w:styleId="713">
    <w:name w:val="_Style 185"/>
    <w:basedOn w:val="1"/>
    <w:next w:val="119"/>
    <w:qFormat/>
    <w:uiPriority w:val="0"/>
    <w:pPr>
      <w:widowControl/>
      <w:spacing w:after="160" w:line="278" w:lineRule="auto"/>
      <w:ind w:firstLine="420" w:firstLineChars="200"/>
    </w:pPr>
    <w:rPr>
      <w:rFonts w:ascii="ˎ̥" w:hAnsi="ˎ̥" w:cs="Arial"/>
      <w:kern w:val="0"/>
      <w:sz w:val="24"/>
    </w:rPr>
  </w:style>
  <w:style w:type="paragraph" w:customStyle="1" w:styleId="714">
    <w:name w:val="xl8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5">
    <w:name w:val="xl80"/>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6">
    <w:name w:val="xl76"/>
    <w:basedOn w:val="1"/>
    <w:qFormat/>
    <w:uiPriority w:val="0"/>
    <w:pPr>
      <w:widowControl/>
      <w:shd w:val="clear" w:color="FFFFFF" w:fill="FFFFFF"/>
      <w:spacing w:before="100" w:beforeAutospacing="1" w:after="100" w:afterAutospacing="1" w:line="278" w:lineRule="auto"/>
      <w:jc w:val="left"/>
    </w:pPr>
    <w:rPr>
      <w:rFonts w:ascii="宋体" w:hAnsi="宋体" w:cs="宋体"/>
      <w:kern w:val="0"/>
      <w:sz w:val="24"/>
    </w:rPr>
  </w:style>
  <w:style w:type="paragraph" w:customStyle="1" w:styleId="717">
    <w:name w:val="Char Char Char Char Char Char Char Char"/>
    <w:basedOn w:val="19"/>
    <w:qFormat/>
    <w:uiPriority w:val="0"/>
    <w:pPr>
      <w:widowControl/>
      <w:spacing w:after="160" w:line="278" w:lineRule="auto"/>
    </w:pPr>
    <w:rPr>
      <w:rFonts w:ascii="Tahoma" w:hAnsi="Tahoma"/>
      <w:sz w:val="24"/>
    </w:rPr>
  </w:style>
  <w:style w:type="paragraph" w:customStyle="1" w:styleId="718">
    <w:name w:val="xl82"/>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line="278" w:lineRule="auto"/>
      <w:jc w:val="center"/>
      <w:textAlignment w:val="center"/>
    </w:pPr>
    <w:rPr>
      <w:rFonts w:ascii="宋体" w:hAnsi="宋体" w:cs="宋体"/>
      <w:kern w:val="0"/>
      <w:sz w:val="24"/>
    </w:rPr>
  </w:style>
  <w:style w:type="paragraph" w:customStyle="1" w:styleId="719">
    <w:name w:val="样式 标题 3 + (中文) 黑体 小四 非加粗 段前: 7.8 磅 段后: 0 磅 行距: 固定值 20 磅"/>
    <w:basedOn w:val="7"/>
    <w:qFormat/>
    <w:uiPriority w:val="0"/>
    <w:pPr>
      <w:widowControl/>
      <w:tabs>
        <w:tab w:val="left" w:pos="720"/>
      </w:tabs>
      <w:autoSpaceDE/>
      <w:autoSpaceDN/>
      <w:adjustRightInd/>
      <w:spacing w:before="0" w:after="0" w:line="400" w:lineRule="exact"/>
      <w:jc w:val="both"/>
    </w:pPr>
    <w:rPr>
      <w:rFonts w:ascii="Calibri" w:hAnsi="Calibri" w:eastAsia="黑体" w:cs="Arial"/>
      <w:b w:val="0"/>
      <w:szCs w:val="24"/>
      <w:u w:val="none"/>
    </w:rPr>
  </w:style>
  <w:style w:type="paragraph" w:customStyle="1" w:styleId="720">
    <w:name w:val="Char Char Char Char Char Char1 Char Char Char1 Char Char Char Char Char Char Char Char Char Char Char Char Char Char Char Char"/>
    <w:basedOn w:val="1"/>
    <w:qFormat/>
    <w:uiPriority w:val="0"/>
    <w:pPr>
      <w:widowControl/>
      <w:spacing w:after="160" w:line="278" w:lineRule="auto"/>
    </w:pPr>
    <w:rPr>
      <w:rFonts w:ascii="Tahoma" w:hAnsi="Tahoma" w:cs="Arial"/>
      <w:kern w:val="0"/>
      <w:sz w:val="24"/>
    </w:rPr>
  </w:style>
  <w:style w:type="paragraph" w:customStyle="1" w:styleId="721">
    <w:name w:val="xl66"/>
    <w:basedOn w:val="1"/>
    <w:qFormat/>
    <w:uiPriority w:val="0"/>
    <w:pPr>
      <w:widowControl/>
      <w:shd w:val="clear" w:color="FFFFFF" w:fill="FFFFFF"/>
      <w:spacing w:before="100" w:beforeAutospacing="1" w:after="100" w:afterAutospacing="1" w:line="278" w:lineRule="auto"/>
      <w:jc w:val="left"/>
      <w:textAlignment w:val="center"/>
    </w:pPr>
    <w:rPr>
      <w:rFonts w:ascii="宋体" w:hAnsi="宋体" w:cs="宋体"/>
      <w:kern w:val="0"/>
      <w:sz w:val="24"/>
    </w:rPr>
  </w:style>
  <w:style w:type="paragraph" w:customStyle="1" w:styleId="722">
    <w:name w:val="g2"/>
    <w:basedOn w:val="1"/>
    <w:qFormat/>
    <w:uiPriority w:val="0"/>
    <w:pPr>
      <w:widowControl/>
      <w:spacing w:before="100" w:beforeAutospacing="1" w:after="100" w:afterAutospacing="1" w:line="278" w:lineRule="auto"/>
      <w:jc w:val="left"/>
    </w:pPr>
    <w:rPr>
      <w:rFonts w:ascii="仿宋_GB2312" w:hAnsi="宋体" w:eastAsia="仿宋_GB2312" w:cs="宋体"/>
      <w:kern w:val="0"/>
      <w:sz w:val="33"/>
      <w:szCs w:val="33"/>
    </w:rPr>
  </w:style>
  <w:style w:type="paragraph" w:customStyle="1" w:styleId="723">
    <w:name w:val="6'"/>
    <w:basedOn w:val="1"/>
    <w:qFormat/>
    <w:uiPriority w:val="0"/>
    <w:pPr>
      <w:widowControl/>
      <w:autoSpaceDE w:val="0"/>
      <w:autoSpaceDN w:val="0"/>
      <w:adjustRightInd w:val="0"/>
      <w:snapToGrid w:val="0"/>
      <w:spacing w:after="160" w:line="320" w:lineRule="exact"/>
      <w:jc w:val="center"/>
    </w:pPr>
    <w:rPr>
      <w:rFonts w:ascii="Calibri" w:hAnsi="Calibri" w:cs="Arial"/>
      <w:spacing w:val="20"/>
      <w:kern w:val="28"/>
      <w:sz w:val="24"/>
    </w:rPr>
  </w:style>
  <w:style w:type="paragraph" w:customStyle="1" w:styleId="724">
    <w:name w:val="样式 标题 2 + Times New Roman 四号 非加粗 段前: 5 磅 段后: 0 磅 行距: 固定值 20..."/>
    <w:basedOn w:val="5"/>
    <w:link w:val="725"/>
    <w:qFormat/>
    <w:uiPriority w:val="0"/>
    <w:pPr>
      <w:autoSpaceDE/>
      <w:autoSpaceDN/>
      <w:adjustRightInd/>
      <w:spacing w:before="100" w:after="160" w:line="400" w:lineRule="exact"/>
      <w:jc w:val="both"/>
    </w:pPr>
    <w:rPr>
      <w:rFonts w:ascii="Times New Roman" w:hAnsi="Calibri" w:cs="宋体"/>
      <w:b w:val="0"/>
      <w:kern w:val="2"/>
      <w:sz w:val="28"/>
      <w:szCs w:val="24"/>
    </w:rPr>
  </w:style>
  <w:style w:type="character" w:customStyle="1" w:styleId="725">
    <w:name w:val="样式 标题 2 + Times New Roman 四号 非加粗 段前: 5 磅 段后: 0 磅 行距: 固定值 20... Char"/>
    <w:link w:val="724"/>
    <w:qFormat/>
    <w:uiPriority w:val="0"/>
    <w:rPr>
      <w:rFonts w:hAnsi="Calibri" w:eastAsia="黑体" w:cs="宋体"/>
      <w:kern w:val="2"/>
      <w:sz w:val="28"/>
      <w:szCs w:val="24"/>
    </w:rPr>
  </w:style>
  <w:style w:type="paragraph" w:customStyle="1" w:styleId="726">
    <w:name w:val="Char1 Char Char Char2"/>
    <w:basedOn w:val="1"/>
    <w:qFormat/>
    <w:uiPriority w:val="0"/>
    <w:pPr>
      <w:widowControl/>
      <w:spacing w:after="160" w:line="278" w:lineRule="auto"/>
    </w:pPr>
    <w:rPr>
      <w:rFonts w:ascii="ˎ̥" w:hAnsi="ˎ̥" w:cs="Arial"/>
      <w:color w:val="000000"/>
      <w:kern w:val="0"/>
      <w:sz w:val="24"/>
    </w:rPr>
  </w:style>
  <w:style w:type="paragraph" w:customStyle="1" w:styleId="727">
    <w:name w:val="金安桥正文"/>
    <w:basedOn w:val="3"/>
    <w:qFormat/>
    <w:uiPriority w:val="0"/>
    <w:pPr>
      <w:widowControl/>
      <w:adjustRightInd w:val="0"/>
      <w:spacing w:after="160" w:line="300" w:lineRule="auto"/>
      <w:ind w:firstLine="200" w:firstLineChars="200"/>
      <w:jc w:val="left"/>
    </w:pPr>
    <w:rPr>
      <w:rFonts w:ascii="Calibri" w:hAnsi="Calibri"/>
      <w:sz w:val="21"/>
      <w:szCs w:val="20"/>
    </w:rPr>
  </w:style>
  <w:style w:type="paragraph" w:customStyle="1" w:styleId="728">
    <w:name w:val="Char23"/>
    <w:basedOn w:val="1"/>
    <w:qFormat/>
    <w:uiPriority w:val="0"/>
    <w:pPr>
      <w:widowControl/>
      <w:tabs>
        <w:tab w:val="left" w:pos="360"/>
      </w:tabs>
      <w:spacing w:after="160" w:line="278" w:lineRule="auto"/>
      <w:ind w:left="480" w:hanging="480" w:hangingChars="200"/>
      <w:jc w:val="center"/>
    </w:pPr>
    <w:rPr>
      <w:rFonts w:ascii="仿宋_GB2312" w:hAnsi="ˎ̥" w:eastAsia="仿宋_GB2312" w:cs="Arial"/>
      <w:b/>
      <w:kern w:val="0"/>
      <w:sz w:val="24"/>
    </w:rPr>
  </w:style>
  <w:style w:type="paragraph" w:customStyle="1" w:styleId="729">
    <w:name w:val="Char Char Char Char Char Char1 Char Char Char1 Char Char Char"/>
    <w:basedOn w:val="1"/>
    <w:qFormat/>
    <w:uiPriority w:val="0"/>
    <w:pPr>
      <w:widowControl/>
      <w:spacing w:after="160" w:line="278" w:lineRule="auto"/>
    </w:pPr>
    <w:rPr>
      <w:rFonts w:ascii="Tahoma" w:hAnsi="Tahoma" w:cs="Arial"/>
      <w:kern w:val="0"/>
      <w:sz w:val="24"/>
    </w:rPr>
  </w:style>
  <w:style w:type="paragraph" w:customStyle="1" w:styleId="730">
    <w:name w:val="目录文字"/>
    <w:basedOn w:val="1"/>
    <w:qFormat/>
    <w:uiPriority w:val="0"/>
    <w:pPr>
      <w:widowControl/>
      <w:spacing w:after="160" w:line="480" w:lineRule="auto"/>
      <w:jc w:val="left"/>
    </w:pPr>
    <w:rPr>
      <w:rFonts w:ascii="宋体" w:hAnsi="宋体" w:cs="Arial"/>
      <w:kern w:val="0"/>
      <w:sz w:val="24"/>
    </w:rPr>
  </w:style>
  <w:style w:type="paragraph" w:customStyle="1" w:styleId="731">
    <w:name w:val="Char4"/>
    <w:basedOn w:val="1"/>
    <w:qFormat/>
    <w:uiPriority w:val="0"/>
    <w:pPr>
      <w:widowControl/>
      <w:spacing w:after="160" w:line="278" w:lineRule="auto"/>
    </w:pPr>
    <w:rPr>
      <w:rFonts w:ascii="ˎ̥" w:hAnsi="ˎ̥" w:cs="Arial"/>
      <w:kern w:val="0"/>
      <w:sz w:val="24"/>
    </w:rPr>
  </w:style>
  <w:style w:type="paragraph" w:customStyle="1" w:styleId="732">
    <w:name w:val="Bullet"/>
    <w:basedOn w:val="647"/>
    <w:qFormat/>
    <w:uiPriority w:val="0"/>
    <w:pPr>
      <w:numPr>
        <w:ilvl w:val="0"/>
        <w:numId w:val="17"/>
      </w:numPr>
      <w:tabs>
        <w:tab w:val="left" w:pos="360"/>
        <w:tab w:val="left" w:pos="425"/>
        <w:tab w:val="left" w:pos="1418"/>
      </w:tabs>
      <w:ind w:left="567"/>
    </w:pPr>
  </w:style>
  <w:style w:type="paragraph" w:customStyle="1" w:styleId="733">
    <w:name w:val="msonormal"/>
    <w:basedOn w:val="1"/>
    <w:qFormat/>
    <w:uiPriority w:val="0"/>
    <w:pPr>
      <w:widowControl/>
      <w:spacing w:before="100" w:beforeAutospacing="1" w:after="100" w:afterAutospacing="1" w:line="278" w:lineRule="auto"/>
      <w:jc w:val="left"/>
    </w:pPr>
    <w:rPr>
      <w:rFonts w:ascii="宋体" w:hAnsi="宋体" w:cs="宋体"/>
      <w:kern w:val="0"/>
      <w:sz w:val="24"/>
    </w:rPr>
  </w:style>
  <w:style w:type="paragraph" w:customStyle="1" w:styleId="734">
    <w:name w:val="Char Char Char Char Char Char1 Char Char Char1 Char Char Char Char"/>
    <w:basedOn w:val="1"/>
    <w:qFormat/>
    <w:uiPriority w:val="0"/>
    <w:pPr>
      <w:widowControl/>
      <w:spacing w:after="160" w:line="278" w:lineRule="auto"/>
    </w:pPr>
    <w:rPr>
      <w:rFonts w:ascii="Tahoma" w:hAnsi="Tahoma" w:cs="Arial"/>
      <w:kern w:val="0"/>
      <w:sz w:val="24"/>
    </w:rPr>
  </w:style>
  <w:style w:type="paragraph" w:customStyle="1" w:styleId="73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line="278" w:lineRule="auto"/>
      <w:jc w:val="right"/>
      <w:textAlignment w:val="center"/>
    </w:pPr>
    <w:rPr>
      <w:rFonts w:ascii="宋体" w:hAnsi="宋体" w:cs="宋体"/>
      <w:kern w:val="0"/>
      <w:sz w:val="24"/>
    </w:rPr>
  </w:style>
  <w:style w:type="paragraph" w:customStyle="1" w:styleId="736">
    <w:name w:val="CM11"/>
    <w:basedOn w:val="205"/>
    <w:next w:val="205"/>
    <w:unhideWhenUsed/>
    <w:qFormat/>
    <w:uiPriority w:val="99"/>
    <w:pPr>
      <w:spacing w:after="160" w:line="520" w:lineRule="atLeast"/>
    </w:pPr>
    <w:rPr>
      <w:rFonts w:ascii="仿宋" w:hAnsi="仿宋" w:eastAsia="仿宋" w:cs="Times New Roman"/>
    </w:rPr>
  </w:style>
  <w:style w:type="paragraph" w:customStyle="1" w:styleId="737">
    <w:name w:val="378020"/>
    <w:basedOn w:val="1"/>
    <w:qFormat/>
    <w:uiPriority w:val="0"/>
    <w:pPr>
      <w:keepNext/>
      <w:widowControl/>
      <w:spacing w:after="160" w:line="400" w:lineRule="atLeast"/>
    </w:pPr>
    <w:rPr>
      <w:rFonts w:ascii="ˎ̥" w:hAnsi="ˎ̥" w:cs="Arial"/>
      <w:kern w:val="0"/>
      <w:sz w:val="24"/>
    </w:rPr>
  </w:style>
  <w:style w:type="paragraph" w:customStyle="1" w:styleId="738">
    <w:name w:val="Char Char Char Char Char Char11"/>
    <w:basedOn w:val="1"/>
    <w:qFormat/>
    <w:uiPriority w:val="0"/>
    <w:pPr>
      <w:widowControl/>
      <w:spacing w:after="160" w:line="278" w:lineRule="auto"/>
    </w:pPr>
    <w:rPr>
      <w:rFonts w:ascii="Tahoma" w:hAnsi="Tahoma" w:cs="Arial"/>
      <w:kern w:val="0"/>
      <w:sz w:val="24"/>
    </w:rPr>
  </w:style>
  <w:style w:type="table" w:customStyle="1" w:styleId="739">
    <w:name w:val="浅色底纹1"/>
    <w:basedOn w:val="61"/>
    <w:qFormat/>
    <w:uiPriority w:val="60"/>
    <w:rPr>
      <w:rFonts w:ascii="Calibri" w:hAnsi="Calibri"/>
      <w:color w:val="000000"/>
    </w:rPr>
    <w:tblPr>
      <w:tblStyle w:val="61"/>
      <w:tblBorders>
        <w:top w:val="single" w:color="000000" w:sz="8" w:space="0"/>
        <w:bottom w:val="single" w:color="000000" w:sz="8" w:space="0"/>
      </w:tblBorders>
    </w:tblPr>
    <w:tblStylePr w:type="firstRow">
      <w:pPr>
        <w:spacing w:before="0" w:after="0" w:line="240" w:lineRule="auto"/>
      </w:pPr>
      <w:rPr>
        <w:b/>
        <w:bCs/>
      </w:rPr>
      <w:tblPr>
        <w:tblStyle w:val="61"/>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blStyle w:val="61"/>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61"/>
      </w:tblPr>
      <w:tcPr>
        <w:tcBorders>
          <w:top w:val="nil"/>
          <w:left w:val="nil"/>
          <w:bottom w:val="nil"/>
          <w:right w:val="nil"/>
          <w:insideH w:val="nil"/>
          <w:insideV w:val="nil"/>
          <w:tl2br w:val="nil"/>
          <w:tr2bl w:val="nil"/>
        </w:tcBorders>
        <w:shd w:val="clear" w:color="auto" w:fill="C0C0C0"/>
      </w:tcPr>
    </w:tblStylePr>
    <w:tblStylePr w:type="band1Horz">
      <w:tblPr>
        <w:tblStyle w:val="61"/>
      </w:tblPr>
      <w:tcPr>
        <w:tcBorders>
          <w:top w:val="nil"/>
          <w:left w:val="nil"/>
          <w:bottom w:val="nil"/>
          <w:right w:val="nil"/>
          <w:insideH w:val="nil"/>
          <w:insideV w:val="nil"/>
          <w:tl2br w:val="nil"/>
          <w:tr2bl w:val="nil"/>
        </w:tcBorders>
        <w:shd w:val="clear" w:color="auto" w:fill="C0C0C0"/>
      </w:tcPr>
    </w:tblStylePr>
  </w:style>
  <w:style w:type="character" w:customStyle="1" w:styleId="740">
    <w:name w:val="正文文本首行缩进 字符1"/>
    <w:qFormat/>
    <w:uiPriority w:val="99"/>
    <w:rPr>
      <w:rFonts w:ascii="宋体" w:hAnsi="宋体"/>
      <w:kern w:val="2"/>
      <w:sz w:val="21"/>
      <w:szCs w:val="24"/>
    </w:rPr>
  </w:style>
  <w:style w:type="character" w:customStyle="1" w:styleId="741">
    <w:name w:val="纯文本 Char5"/>
    <w:qFormat/>
    <w:uiPriority w:val="0"/>
    <w:rPr>
      <w:rFonts w:ascii="宋体" w:hAnsi="宋体"/>
      <w:kern w:val="3"/>
      <w:sz w:val="21"/>
    </w:rPr>
  </w:style>
  <w:style w:type="paragraph" w:customStyle="1" w:styleId="742">
    <w:name w:val="正文 + 首行缩进:  2 字符 Char"/>
    <w:basedOn w:val="1"/>
    <w:qFormat/>
    <w:uiPriority w:val="0"/>
    <w:pPr>
      <w:spacing w:after="160" w:line="360" w:lineRule="auto"/>
      <w:ind w:firstLine="480" w:firstLineChars="200"/>
    </w:pPr>
    <w:rPr>
      <w:rFonts w:cs="宋体"/>
      <w:sz w:val="24"/>
      <w:szCs w:val="20"/>
    </w:rPr>
  </w:style>
  <w:style w:type="paragraph" w:customStyle="1" w:styleId="743">
    <w:name w:val="修订11"/>
    <w:semiHidden/>
    <w:qFormat/>
    <w:uiPriority w:val="99"/>
    <w:pPr>
      <w:spacing w:after="160" w:line="278" w:lineRule="auto"/>
    </w:pPr>
    <w:rPr>
      <w:kern w:val="2"/>
      <w:sz w:val="21"/>
      <w:szCs w:val="24"/>
      <w:lang w:val="en-US" w:eastAsia="zh-CN" w:bidi="ar-SA"/>
    </w:rPr>
  </w:style>
  <w:style w:type="paragraph" w:customStyle="1" w:styleId="744">
    <w:name w:val="b63ee27f-4cf3-414c-9275-d88e3f90795e"/>
    <w:basedOn w:val="7"/>
    <w:next w:val="745"/>
    <w:link w:val="746"/>
    <w:qFormat/>
    <w:uiPriority w:val="0"/>
    <w:pPr>
      <w:spacing w:before="0" w:after="0" w:line="288" w:lineRule="auto"/>
    </w:pPr>
    <w:rPr>
      <w:rFonts w:ascii="微软雅黑" w:hAnsi="微软雅黑" w:eastAsia="微软雅黑"/>
      <w:color w:val="000000"/>
      <w:sz w:val="26"/>
      <w:szCs w:val="32"/>
    </w:rPr>
  </w:style>
  <w:style w:type="paragraph" w:customStyle="1" w:styleId="745">
    <w:name w:val="acbfdd8b-e11b-4d36-88ff-6049b138f862"/>
    <w:basedOn w:val="23"/>
    <w:link w:val="747"/>
    <w:qFormat/>
    <w:uiPriority w:val="0"/>
    <w:pPr>
      <w:adjustRightInd w:val="0"/>
      <w:spacing w:before="0" w:after="160" w:line="288" w:lineRule="auto"/>
      <w:jc w:val="left"/>
    </w:pPr>
    <w:rPr>
      <w:rFonts w:ascii="微软雅黑" w:hAnsi="微软雅黑" w:eastAsia="微软雅黑"/>
      <w:color w:val="000000"/>
      <w:sz w:val="22"/>
      <w:szCs w:val="32"/>
    </w:rPr>
  </w:style>
  <w:style w:type="character" w:customStyle="1" w:styleId="746">
    <w:name w:val="b63ee27f-4cf3-414c-9275-d88e3f90795e 字符"/>
    <w:link w:val="744"/>
    <w:qFormat/>
    <w:uiPriority w:val="0"/>
    <w:rPr>
      <w:rFonts w:ascii="微软雅黑" w:hAnsi="微软雅黑" w:eastAsia="微软雅黑"/>
      <w:b/>
      <w:color w:val="000000"/>
      <w:sz w:val="26"/>
      <w:szCs w:val="32"/>
      <w:u w:val="single"/>
    </w:rPr>
  </w:style>
  <w:style w:type="character" w:customStyle="1" w:styleId="747">
    <w:name w:val="acbfdd8b-e11b-4d36-88ff-6049b138f862 字符"/>
    <w:link w:val="745"/>
    <w:qFormat/>
    <w:uiPriority w:val="0"/>
    <w:rPr>
      <w:rFonts w:ascii="微软雅黑" w:hAnsi="微软雅黑" w:eastAsia="微软雅黑"/>
      <w:color w:val="000000"/>
      <w:kern w:val="2"/>
      <w:sz w:val="22"/>
      <w:szCs w:val="32"/>
    </w:rPr>
  </w:style>
  <w:style w:type="paragraph" w:customStyle="1" w:styleId="748">
    <w:name w:val="修订12"/>
    <w:unhideWhenUsed/>
    <w:qFormat/>
    <w:uiPriority w:val="99"/>
    <w:pPr>
      <w:spacing w:after="160" w:line="278" w:lineRule="auto"/>
    </w:pPr>
    <w:rPr>
      <w:kern w:val="2"/>
      <w:sz w:val="21"/>
      <w:szCs w:val="24"/>
      <w:lang w:val="en-US" w:eastAsia="zh-CN" w:bidi="ar-SA"/>
    </w:rPr>
  </w:style>
  <w:style w:type="paragraph" w:customStyle="1" w:styleId="749">
    <w:name w:val="修订13"/>
    <w:unhideWhenUsed/>
    <w:qFormat/>
    <w:uiPriority w:val="99"/>
    <w:rPr>
      <w:kern w:val="2"/>
      <w:sz w:val="21"/>
      <w:szCs w:val="24"/>
      <w:lang w:val="en-US" w:eastAsia="zh-CN" w:bidi="ar-SA"/>
    </w:rPr>
  </w:style>
  <w:style w:type="character" w:customStyle="1" w:styleId="750">
    <w:name w:val="正文缩进 Char2"/>
    <w:qFormat/>
    <w:uiPriority w:val="0"/>
    <w:rPr>
      <w:rFonts w:ascii="宋体"/>
      <w:sz w:val="24"/>
    </w:rPr>
  </w:style>
  <w:style w:type="character" w:customStyle="1" w:styleId="751">
    <w:name w:val="报告-正文段落 Char"/>
    <w:link w:val="752"/>
    <w:qFormat/>
    <w:uiPriority w:val="0"/>
    <w:rPr>
      <w:rFonts w:eastAsia="仿宋_GB2312"/>
      <w:kern w:val="24"/>
      <w:sz w:val="24"/>
      <w:szCs w:val="24"/>
    </w:rPr>
  </w:style>
  <w:style w:type="paragraph" w:customStyle="1" w:styleId="752">
    <w:name w:val="报告-正文段落"/>
    <w:basedOn w:val="1"/>
    <w:link w:val="751"/>
    <w:qFormat/>
    <w:uiPriority w:val="0"/>
    <w:pPr>
      <w:widowControl/>
      <w:spacing w:line="360" w:lineRule="auto"/>
      <w:ind w:firstLine="200" w:firstLineChars="200"/>
      <w:jc w:val="left"/>
    </w:pPr>
    <w:rPr>
      <w:rFonts w:eastAsia="仿宋_GB2312"/>
      <w:kern w:val="24"/>
      <w:sz w:val="24"/>
    </w:rPr>
  </w:style>
  <w:style w:type="paragraph" w:customStyle="1" w:styleId="753">
    <w:name w:val="彩色列表 - 着色 11"/>
    <w:basedOn w:val="1"/>
    <w:qFormat/>
    <w:uiPriority w:val="34"/>
    <w:pPr>
      <w:ind w:firstLine="420" w:firstLineChars="200"/>
    </w:pPr>
    <w:rPr>
      <w:szCs w:val="20"/>
    </w:rPr>
  </w:style>
  <w:style w:type="paragraph" w:customStyle="1" w:styleId="754">
    <w:name w:val="默认 A"/>
    <w:qFormat/>
    <w:uiPriority w:val="0"/>
    <w:rPr>
      <w:rFonts w:hint="eastAsia" w:ascii="Arial Unicode MS" w:hAnsi="Arial Unicode MS" w:eastAsia="Arial Unicode MS" w:cs="Arial Unicode MS"/>
      <w:color w:val="000000"/>
      <w:sz w:val="22"/>
      <w:szCs w:val="22"/>
      <w:u w:val="none" w:color="000000"/>
      <w:lang w:val="zh-TW" w:eastAsia="zh-TW" w:bidi="ar-SA"/>
    </w:rPr>
  </w:style>
  <w:style w:type="paragraph" w:customStyle="1" w:styleId="755">
    <w:name w:val="样式-篇"/>
    <w:basedOn w:val="4"/>
    <w:qFormat/>
    <w:uiPriority w:val="0"/>
    <w:pPr>
      <w:numPr>
        <w:ilvl w:val="0"/>
        <w:numId w:val="18"/>
      </w:numPr>
      <w:tabs>
        <w:tab w:val="left" w:pos="360"/>
      </w:tabs>
      <w:autoSpaceDE/>
      <w:autoSpaceDN/>
      <w:adjustRightInd/>
      <w:spacing w:before="0" w:after="0" w:line="240" w:lineRule="auto"/>
      <w:ind w:left="0" w:firstLine="0"/>
      <w:jc w:val="left"/>
    </w:pPr>
    <w:rPr>
      <w:rFonts w:ascii="Times New Roman" w:eastAsia="仿宋_GB2312"/>
      <w:kern w:val="32"/>
      <w:szCs w:val="44"/>
    </w:rPr>
  </w:style>
  <w:style w:type="paragraph" w:customStyle="1" w:styleId="756">
    <w:name w:val="Normal New New New New New"/>
    <w:qFormat/>
    <w:uiPriority w:val="0"/>
    <w:pPr>
      <w:widowControl w:val="0"/>
      <w:jc w:val="both"/>
    </w:pPr>
    <w:rPr>
      <w:rFonts w:hint="eastAsia" w:eastAsia="仿宋_GB2312"/>
      <w:kern w:val="2"/>
      <w:sz w:val="32"/>
      <w:lang w:val="en-US" w:eastAsia="zh-CN" w:bidi="ar-SA"/>
    </w:rPr>
  </w:style>
  <w:style w:type="paragraph" w:customStyle="1" w:styleId="757">
    <w:name w:val="样式-篇-章-节-第四级"/>
    <w:basedOn w:val="8"/>
    <w:qFormat/>
    <w:uiPriority w:val="0"/>
    <w:pPr>
      <w:numPr>
        <w:ilvl w:val="3"/>
        <w:numId w:val="18"/>
      </w:numPr>
      <w:tabs>
        <w:tab w:val="left" w:pos="1995"/>
      </w:tabs>
      <w:adjustRightInd/>
      <w:spacing w:before="0" w:after="0" w:line="240" w:lineRule="auto"/>
      <w:ind w:left="851" w:hanging="851"/>
      <w:jc w:val="left"/>
      <w:textAlignment w:val="auto"/>
    </w:pPr>
    <w:rPr>
      <w:rFonts w:ascii="Times New Roman" w:hAnsi="Times New Roman" w:eastAsia="仿宋_GB2312"/>
      <w:bCs/>
      <w:kern w:val="28"/>
      <w:szCs w:val="28"/>
    </w:rPr>
  </w:style>
  <w:style w:type="paragraph" w:customStyle="1" w:styleId="758">
    <w:name w:val="正文 A"/>
    <w:qFormat/>
    <w:uiPriority w:val="0"/>
    <w:rPr>
      <w:rFonts w:eastAsia="Arial Unicode MS" w:cs="Arial Unicode MS"/>
      <w:color w:val="000000"/>
      <w:sz w:val="24"/>
      <w:szCs w:val="24"/>
      <w:u w:val="none" w:color="000000"/>
      <w:lang w:val="en-US" w:eastAsia="zh-CN" w:bidi="ar-SA"/>
    </w:rPr>
  </w:style>
  <w:style w:type="character" w:customStyle="1" w:styleId="759">
    <w:name w:val="列表段落 字符1"/>
    <w:qFormat/>
    <w:locked/>
    <w:uiPriority w:val="34"/>
    <w:rPr>
      <w:rFonts w:ascii="等线" w:hAnsi="等线" w:eastAsia="等线"/>
      <w:kern w:val="2"/>
      <w:sz w:val="21"/>
      <w:szCs w:val="22"/>
    </w:rPr>
  </w:style>
  <w:style w:type="paragraph" w:customStyle="1" w:styleId="760">
    <w:name w:val="Default Text"/>
    <w:basedOn w:val="1"/>
    <w:qFormat/>
    <w:uiPriority w:val="0"/>
    <w:pPr>
      <w:widowControl/>
      <w:overflowPunct w:val="0"/>
      <w:autoSpaceDE w:val="0"/>
      <w:autoSpaceDN w:val="0"/>
      <w:adjustRightInd w:val="0"/>
      <w:jc w:val="left"/>
    </w:pPr>
    <w:rPr>
      <w:kern w:val="0"/>
      <w:sz w:val="24"/>
      <w:szCs w:val="20"/>
    </w:rPr>
  </w:style>
  <w:style w:type="paragraph" w:customStyle="1" w:styleId="761">
    <w:name w:val="Char Char Char11"/>
    <w:basedOn w:val="1"/>
    <w:qFormat/>
    <w:uiPriority w:val="0"/>
    <w:rPr>
      <w:rFonts w:ascii="宋体" w:hAnsi="宋体" w:cs="Courier New"/>
      <w:sz w:val="32"/>
      <w:szCs w:val="32"/>
    </w:rPr>
  </w:style>
  <w:style w:type="paragraph" w:customStyle="1" w:styleId="762">
    <w:name w:val="Normal New"/>
    <w:qFormat/>
    <w:uiPriority w:val="0"/>
    <w:pPr>
      <w:widowControl w:val="0"/>
      <w:jc w:val="both"/>
    </w:pPr>
    <w:rPr>
      <w:rFonts w:hint="eastAsia" w:ascii="Calibri" w:hAnsi="Calibri"/>
      <w:kern w:val="2"/>
      <w:sz w:val="21"/>
      <w:lang w:val="en-US" w:eastAsia="zh-CN" w:bidi="ar-SA"/>
    </w:rPr>
  </w:style>
  <w:style w:type="paragraph" w:customStyle="1" w:styleId="763">
    <w:name w:val="无缩进"/>
    <w:basedOn w:val="1"/>
    <w:link w:val="764"/>
    <w:qFormat/>
    <w:uiPriority w:val="0"/>
    <w:pPr>
      <w:spacing w:line="620" w:lineRule="exact"/>
    </w:pPr>
    <w:rPr>
      <w:rFonts w:eastAsia="仿宋"/>
      <w:sz w:val="32"/>
      <w:szCs w:val="20"/>
    </w:rPr>
  </w:style>
  <w:style w:type="character" w:customStyle="1" w:styleId="764">
    <w:name w:val="无缩进 字符"/>
    <w:link w:val="763"/>
    <w:qFormat/>
    <w:uiPriority w:val="0"/>
    <w:rPr>
      <w:rFonts w:eastAsia="仿宋"/>
      <w:kern w:val="2"/>
      <w:sz w:val="32"/>
    </w:rPr>
  </w:style>
  <w:style w:type="paragraph" w:customStyle="1" w:styleId="765">
    <w:name w:val="_Style 173"/>
    <w:unhideWhenUsed/>
    <w:qFormat/>
    <w:uiPriority w:val="99"/>
    <w:rPr>
      <w:kern w:val="2"/>
      <w:sz w:val="21"/>
      <w:lang w:val="en-US" w:eastAsia="zh-CN" w:bidi="ar-SA"/>
    </w:rPr>
  </w:style>
  <w:style w:type="paragraph" w:customStyle="1" w:styleId="76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767">
    <w:name w:val="15"/>
    <w:qFormat/>
    <w:uiPriority w:val="0"/>
    <w:rPr>
      <w:rFonts w:hint="default" w:ascii="Times New Roman" w:hAnsi="Times New Roman" w:cs="Times New Roman"/>
      <w:color w:val="464445"/>
      <w:u w:val="none"/>
    </w:rPr>
  </w:style>
  <w:style w:type="paragraph" w:customStyle="1" w:styleId="768">
    <w:name w:val="表格样式 2"/>
    <w:qFormat/>
    <w:uiPriority w:val="0"/>
    <w:rPr>
      <w:rFonts w:ascii="Helvetica Neue" w:hAnsi="Helvetica Neue" w:eastAsia="Arial Unicode MS" w:cs="Arial Unicode MS"/>
      <w:color w:val="000000"/>
      <w:lang w:val="en-US" w:eastAsia="zh-CN" w:bidi="ar-SA"/>
    </w:rPr>
  </w:style>
  <w:style w:type="paragraph" w:customStyle="1" w:styleId="769">
    <w:name w:val="样式14"/>
    <w:basedOn w:val="119"/>
    <w:qFormat/>
    <w:uiPriority w:val="0"/>
    <w:pPr>
      <w:numPr>
        <w:ilvl w:val="0"/>
        <w:numId w:val="19"/>
      </w:numPr>
      <w:ind w:firstLine="0" w:firstLineChars="0"/>
      <w:jc w:val="center"/>
    </w:pPr>
    <w:rPr>
      <w:rFonts w:ascii="宋体" w:hAnsi="宋体"/>
      <w:b/>
      <w:sz w:val="32"/>
      <w:szCs w:val="24"/>
    </w:rPr>
  </w:style>
  <w:style w:type="paragraph" w:customStyle="1" w:styleId="770">
    <w:name w:val="_Style 19"/>
    <w:basedOn w:val="1"/>
    <w:next w:val="119"/>
    <w:qFormat/>
    <w:uiPriority w:val="34"/>
    <w:pPr>
      <w:ind w:firstLine="420" w:firstLineChars="200"/>
    </w:pPr>
    <w:rPr>
      <w:rFonts w:ascii="Calibri" w:hAnsi="Calibri"/>
      <w:szCs w:val="22"/>
    </w:rPr>
  </w:style>
  <w:style w:type="character" w:customStyle="1" w:styleId="771">
    <w:name w:val="style71"/>
    <w:qFormat/>
    <w:uiPriority w:val="0"/>
    <w:rPr>
      <w:b/>
      <w:color w:val="FF6600"/>
    </w:rPr>
  </w:style>
  <w:style w:type="table" w:customStyle="1" w:styleId="772">
    <w:name w:val="TableGrid"/>
    <w:qFormat/>
    <w:uiPriority w:val="0"/>
    <w:rPr>
      <w:rFonts w:ascii="Calibri" w:hAnsi="Calibri" w:eastAsia="微软雅黑"/>
      <w:lang w:val="en-US" w:eastAsia="zh-CN" w:bidi="ar-SA"/>
    </w:rPr>
    <w:tblPr>
      <w:tblStyle w:val="61"/>
      <w:tblCellMar>
        <w:top w:w="0" w:type="dxa"/>
        <w:left w:w="0" w:type="dxa"/>
        <w:bottom w:w="0" w:type="dxa"/>
        <w:right w:w="0" w:type="dxa"/>
      </w:tblCellMar>
    </w:tblPr>
  </w:style>
  <w:style w:type="table" w:customStyle="1" w:styleId="773">
    <w:name w:val="网格型11"/>
    <w:basedOn w:val="61"/>
    <w:qFormat/>
    <w:uiPriority w:val="39"/>
    <w:pPr>
      <w:widowControl w:val="0"/>
      <w:jc w:val="both"/>
    </w:pPr>
    <w:rPr>
      <w:rFonts w:ascii="等线" w:hAnsi="等线" w:eastAsia="微软雅黑"/>
    </w:rPr>
    <w:tblPr>
      <w:tblStyle w:val="6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Grid1"/>
    <w:qFormat/>
    <w:uiPriority w:val="0"/>
    <w:rPr>
      <w:rFonts w:ascii="等线" w:hAnsi="等线" w:eastAsia="微软雅黑"/>
      <w:lang w:val="en-US" w:eastAsia="zh-CN" w:bidi="ar-SA"/>
    </w:rPr>
    <w:tblPr>
      <w:tblStyle w:val="6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png"/><Relationship Id="rId41" Type="http://schemas.openxmlformats.org/officeDocument/2006/relationships/image" Target="media/image2.wmf"/><Relationship Id="rId40" Type="http://schemas.openxmlformats.org/officeDocument/2006/relationships/image" Target="media/image1.jpe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177</Pages>
  <Words>107901</Words>
  <Characters>114172</Characters>
  <Lines>877</Lines>
  <Paragraphs>246</Paragraphs>
  <TotalTime>0</TotalTime>
  <ScaleCrop>false</ScaleCrop>
  <LinksUpToDate>false</LinksUpToDate>
  <CharactersWithSpaces>118789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2025-07-14T05:23:00Z</dcterms:created>
  <dc:creator>Yin Hao</dc:creator>
  <cp:lastModifiedBy>44467</cp:lastModifiedBy>
  <cp:lastPrinted>2020-04-02T03:13:00Z</cp:lastPrinted>
  <dcterms:modified xsi:type="dcterms:W3CDTF">2025-07-16T09:40:09Z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419FD2E55CE348B0BA095D8AAACE8CAE</vt:lpwstr>
  </property>
  <property fmtid="{D5CDD505-2E9C-101B-9397-08002B2CF9AE}" pid="4" name="KSOTemplateDocerSaveRecord">
    <vt:lpwstr>eyJoZGlkIjoiNThmZmMzYTMxMjQxNzUyMmQ3MzJjYmUxYzUwNTg2MjMiLCJ1c2VySWQiOiIzODA0ODk0MzYifQ==</vt:lpwstr>
  </property>
</Properties>
</file>