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DEABD2">
      <w:pPr>
        <w:jc w:val="center"/>
        <w:rPr>
          <w:b/>
          <w:bCs/>
          <w:sz w:val="60"/>
          <w:szCs w:val="60"/>
        </w:rPr>
      </w:pPr>
      <w:bookmarkStart w:id="0" w:name="_Toc5343"/>
      <w:bookmarkStart w:id="1" w:name="_Toc3795"/>
    </w:p>
    <w:p w14:paraId="5E70C2B9">
      <w:pPr>
        <w:jc w:val="center"/>
        <w:rPr>
          <w:b/>
          <w:bCs/>
          <w:sz w:val="60"/>
          <w:szCs w:val="60"/>
        </w:rPr>
      </w:pPr>
    </w:p>
    <w:p w14:paraId="4552BEB6">
      <w:pPr>
        <w:jc w:val="center"/>
        <w:outlineLvl w:val="0"/>
        <w:rPr>
          <w:b/>
          <w:bCs/>
          <w:sz w:val="60"/>
          <w:szCs w:val="60"/>
        </w:rPr>
      </w:pPr>
      <w:r>
        <w:rPr>
          <w:rFonts w:hint="eastAsia"/>
          <w:b/>
          <w:bCs/>
          <w:sz w:val="60"/>
          <w:szCs w:val="60"/>
        </w:rPr>
        <w:t>北京市门头沟区档案馆新馆网络通讯安全系统及楼宇控制系统工程</w:t>
      </w:r>
    </w:p>
    <w:p w14:paraId="3B9AECFD">
      <w:pPr>
        <w:jc w:val="center"/>
        <w:rPr>
          <w:b/>
          <w:bCs/>
          <w:sz w:val="60"/>
          <w:szCs w:val="60"/>
        </w:rPr>
      </w:pPr>
    </w:p>
    <w:p w14:paraId="653E0E10">
      <w:pPr>
        <w:jc w:val="center"/>
        <w:rPr>
          <w:b/>
          <w:bCs/>
          <w:sz w:val="60"/>
          <w:szCs w:val="60"/>
        </w:rPr>
      </w:pPr>
    </w:p>
    <w:p w14:paraId="0BA485D4">
      <w:pPr>
        <w:jc w:val="center"/>
        <w:rPr>
          <w:b/>
          <w:bCs/>
          <w:sz w:val="60"/>
          <w:szCs w:val="60"/>
        </w:rPr>
      </w:pPr>
    </w:p>
    <w:p w14:paraId="3620CFF5">
      <w:pPr>
        <w:pStyle w:val="30"/>
      </w:pPr>
    </w:p>
    <w:p w14:paraId="3400EC83">
      <w:pPr>
        <w:pStyle w:val="30"/>
      </w:pPr>
    </w:p>
    <w:p w14:paraId="529CE872">
      <w:pPr>
        <w:jc w:val="center"/>
        <w:outlineLvl w:val="0"/>
        <w:rPr>
          <w:b/>
          <w:bCs/>
          <w:sz w:val="60"/>
          <w:szCs w:val="60"/>
        </w:rPr>
      </w:pPr>
      <w:bookmarkStart w:id="2" w:name="_Toc7960"/>
      <w:r>
        <w:rPr>
          <w:rFonts w:hint="eastAsia"/>
          <w:b/>
          <w:bCs/>
          <w:sz w:val="60"/>
          <w:szCs w:val="60"/>
        </w:rPr>
        <w:t>公开</w:t>
      </w:r>
      <w:r>
        <w:rPr>
          <w:b/>
          <w:bCs/>
          <w:sz w:val="60"/>
          <w:szCs w:val="60"/>
        </w:rPr>
        <w:t>招标文件</w:t>
      </w:r>
      <w:bookmarkEnd w:id="0"/>
      <w:bookmarkEnd w:id="1"/>
      <w:bookmarkEnd w:id="2"/>
    </w:p>
    <w:p w14:paraId="01D7944B">
      <w:pPr>
        <w:pStyle w:val="44"/>
        <w:ind w:left="0" w:leftChars="0" w:firstLine="0" w:firstLineChars="0"/>
        <w:rPr>
          <w:sz w:val="60"/>
          <w:szCs w:val="60"/>
        </w:rPr>
      </w:pPr>
    </w:p>
    <w:p w14:paraId="0D25D4B9">
      <w:pPr>
        <w:pStyle w:val="44"/>
        <w:ind w:firstLine="1200"/>
        <w:rPr>
          <w:sz w:val="60"/>
          <w:szCs w:val="60"/>
        </w:rPr>
      </w:pPr>
    </w:p>
    <w:p w14:paraId="2B590501">
      <w:pPr>
        <w:pStyle w:val="44"/>
        <w:ind w:firstLine="1200"/>
        <w:rPr>
          <w:sz w:val="60"/>
          <w:szCs w:val="60"/>
        </w:rPr>
      </w:pPr>
    </w:p>
    <w:p w14:paraId="6E9B215F">
      <w:pPr>
        <w:pStyle w:val="44"/>
        <w:ind w:firstLine="1200"/>
        <w:rPr>
          <w:sz w:val="60"/>
          <w:szCs w:val="60"/>
        </w:rPr>
      </w:pPr>
    </w:p>
    <w:p w14:paraId="2E335AA8">
      <w:pPr>
        <w:tabs>
          <w:tab w:val="left" w:pos="3240"/>
          <w:tab w:val="left" w:pos="3420"/>
        </w:tabs>
        <w:spacing w:line="360" w:lineRule="auto"/>
        <w:jc w:val="left"/>
        <w:rPr>
          <w:bCs/>
          <w:sz w:val="36"/>
          <w:szCs w:val="36"/>
        </w:rPr>
      </w:pPr>
      <w:r>
        <w:rPr>
          <w:bCs/>
          <w:sz w:val="36"/>
          <w:szCs w:val="36"/>
        </w:rPr>
        <w:t>项目名称：</w:t>
      </w:r>
      <w:r>
        <w:rPr>
          <w:rFonts w:hint="eastAsia"/>
          <w:bCs/>
          <w:sz w:val="36"/>
          <w:szCs w:val="36"/>
        </w:rPr>
        <w:t>北京市门头沟区档案馆新馆网络通讯安全系统及楼宇控制系统工程</w:t>
      </w:r>
    </w:p>
    <w:p w14:paraId="7B2B7300">
      <w:pPr>
        <w:tabs>
          <w:tab w:val="left" w:pos="3240"/>
          <w:tab w:val="left" w:pos="3420"/>
        </w:tabs>
        <w:spacing w:line="360" w:lineRule="auto"/>
        <w:jc w:val="left"/>
        <w:rPr>
          <w:bCs/>
          <w:sz w:val="36"/>
          <w:szCs w:val="36"/>
        </w:rPr>
      </w:pPr>
      <w:r>
        <w:rPr>
          <w:rFonts w:hint="eastAsia"/>
          <w:bCs/>
          <w:sz w:val="36"/>
          <w:szCs w:val="36"/>
        </w:rPr>
        <w:t>项目编号</w:t>
      </w:r>
      <w:r>
        <w:rPr>
          <w:bCs/>
          <w:sz w:val="36"/>
          <w:szCs w:val="36"/>
        </w:rPr>
        <w:t>：</w:t>
      </w:r>
      <w:r>
        <w:rPr>
          <w:rFonts w:hint="eastAsia"/>
          <w:bCs/>
          <w:sz w:val="36"/>
          <w:szCs w:val="36"/>
        </w:rPr>
        <w:t>11010925210200014198-XM001</w:t>
      </w:r>
    </w:p>
    <w:p w14:paraId="2877CAD5">
      <w:pPr>
        <w:tabs>
          <w:tab w:val="left" w:pos="3240"/>
          <w:tab w:val="left" w:pos="3420"/>
        </w:tabs>
        <w:spacing w:line="360" w:lineRule="auto"/>
        <w:jc w:val="left"/>
        <w:outlineLvl w:val="0"/>
        <w:rPr>
          <w:bCs/>
          <w:sz w:val="36"/>
          <w:szCs w:val="36"/>
        </w:rPr>
      </w:pPr>
      <w:bookmarkStart w:id="3" w:name="_Toc4686"/>
      <w:bookmarkStart w:id="4" w:name="_Toc31275"/>
      <w:bookmarkStart w:id="5" w:name="_Toc9156"/>
      <w:r>
        <w:rPr>
          <w:bCs/>
          <w:sz w:val="36"/>
          <w:szCs w:val="36"/>
        </w:rPr>
        <w:t>采 购 人：</w:t>
      </w:r>
      <w:bookmarkEnd w:id="3"/>
      <w:bookmarkEnd w:id="4"/>
      <w:bookmarkEnd w:id="5"/>
      <w:r>
        <w:rPr>
          <w:rFonts w:hint="eastAsia"/>
          <w:bCs/>
          <w:sz w:val="36"/>
          <w:szCs w:val="36"/>
        </w:rPr>
        <w:t>北京市门头沟区档案史志馆</w:t>
      </w:r>
    </w:p>
    <w:p w14:paraId="13F91C73">
      <w:pPr>
        <w:tabs>
          <w:tab w:val="left" w:pos="3240"/>
          <w:tab w:val="left" w:pos="3420"/>
        </w:tabs>
        <w:spacing w:line="360" w:lineRule="auto"/>
        <w:jc w:val="left"/>
        <w:rPr>
          <w:bCs/>
          <w:sz w:val="36"/>
          <w:szCs w:val="36"/>
        </w:rPr>
      </w:pPr>
      <w:r>
        <w:rPr>
          <w:rFonts w:hint="eastAsia"/>
          <w:bCs/>
          <w:sz w:val="36"/>
          <w:szCs w:val="36"/>
        </w:rPr>
        <w:t>采购</w:t>
      </w:r>
      <w:r>
        <w:rPr>
          <w:bCs/>
          <w:sz w:val="36"/>
          <w:szCs w:val="36"/>
        </w:rPr>
        <w:t>代理机构：</w:t>
      </w:r>
      <w:r>
        <w:rPr>
          <w:rFonts w:hint="eastAsia"/>
          <w:bCs/>
          <w:sz w:val="36"/>
          <w:szCs w:val="36"/>
        </w:rPr>
        <w:t xml:space="preserve">北京建龙通达工程管理有限公司 </w:t>
      </w:r>
    </w:p>
    <w:p w14:paraId="43EEB6FA">
      <w:pPr>
        <w:spacing w:line="480" w:lineRule="auto"/>
        <w:jc w:val="center"/>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7" w:h="16840"/>
          <w:pgMar w:top="1418" w:right="1134" w:bottom="1418" w:left="1701" w:header="851" w:footer="851" w:gutter="0"/>
          <w:pgNumType w:start="0"/>
          <w:cols w:space="720" w:num="1"/>
          <w:titlePg/>
          <w:docGrid w:linePitch="462" w:charSpace="0"/>
        </w:sectPr>
      </w:pPr>
    </w:p>
    <w:sdt>
      <w:sdtPr>
        <w:rPr>
          <w:rFonts w:ascii="宋体" w:hAnsi="宋体"/>
        </w:rPr>
        <w:id w:val="147452641"/>
        <w:docPartObj>
          <w:docPartGallery w:val="Table of Contents"/>
          <w:docPartUnique/>
        </w:docPartObj>
      </w:sdtPr>
      <w:sdtEndPr>
        <w:rPr>
          <w:rFonts w:ascii="Times New Roman" w:hAnsi="Times New Roman"/>
        </w:rPr>
      </w:sdtEndPr>
      <w:sdtContent>
        <w:p w14:paraId="31AA74D6">
          <w:pPr>
            <w:spacing w:line="360" w:lineRule="auto"/>
            <w:jc w:val="center"/>
            <w:rPr>
              <w:rFonts w:ascii="宋体" w:hAnsi="宋体" w:cs="宋体"/>
              <w:sz w:val="28"/>
              <w:szCs w:val="28"/>
            </w:rPr>
          </w:pPr>
          <w:r>
            <w:rPr>
              <w:rFonts w:hint="eastAsia" w:ascii="宋体" w:hAnsi="宋体" w:cs="宋体"/>
              <w:sz w:val="28"/>
              <w:szCs w:val="28"/>
            </w:rPr>
            <w:t>目录</w:t>
          </w:r>
        </w:p>
        <w:p w14:paraId="7C13C3E2">
          <w:pPr>
            <w:spacing w:line="360" w:lineRule="auto"/>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p>
        <w:p w14:paraId="3DAF4632">
          <w:pPr>
            <w:pStyle w:val="251"/>
            <w:tabs>
              <w:tab w:val="right" w:leader="dot" w:pos="9072"/>
            </w:tabs>
            <w:spacing w:line="360" w:lineRule="auto"/>
            <w:rPr>
              <w:rFonts w:ascii="宋体" w:hAnsi="宋体" w:cs="宋体"/>
              <w:sz w:val="28"/>
              <w:szCs w:val="28"/>
            </w:rPr>
          </w:pPr>
          <w:r>
            <w:fldChar w:fldCharType="begin"/>
          </w:r>
          <w:r>
            <w:instrText xml:space="preserve"> HYPERLINK \l "_Toc15103" </w:instrText>
          </w:r>
          <w:r>
            <w:fldChar w:fldCharType="separate"/>
          </w:r>
          <w:r>
            <w:rPr>
              <w:rFonts w:hint="eastAsia" w:ascii="宋体" w:hAnsi="宋体" w:cs="宋体"/>
              <w:sz w:val="28"/>
              <w:szCs w:val="28"/>
            </w:rPr>
            <w:t>第一章   投标邀请</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_Toc15103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5702EF5D">
          <w:pPr>
            <w:pStyle w:val="251"/>
            <w:tabs>
              <w:tab w:val="right" w:leader="dot" w:pos="9072"/>
            </w:tabs>
            <w:spacing w:line="360" w:lineRule="auto"/>
            <w:rPr>
              <w:rFonts w:ascii="宋体" w:hAnsi="宋体" w:cs="宋体"/>
              <w:sz w:val="28"/>
              <w:szCs w:val="28"/>
            </w:rPr>
          </w:pPr>
          <w:r>
            <w:fldChar w:fldCharType="begin"/>
          </w:r>
          <w:r>
            <w:instrText xml:space="preserve"> HYPERLINK \l "_Toc26954" </w:instrText>
          </w:r>
          <w:r>
            <w:fldChar w:fldCharType="separate"/>
          </w:r>
          <w:r>
            <w:rPr>
              <w:rFonts w:hint="eastAsia" w:ascii="宋体" w:hAnsi="宋体" w:cs="宋体"/>
              <w:sz w:val="28"/>
              <w:szCs w:val="28"/>
            </w:rPr>
            <w:t>第二章   投标人须知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_Toc26954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14:paraId="5BC84486">
          <w:pPr>
            <w:pStyle w:val="251"/>
            <w:tabs>
              <w:tab w:val="right" w:leader="dot" w:pos="9072"/>
            </w:tabs>
            <w:spacing w:line="360" w:lineRule="auto"/>
            <w:rPr>
              <w:rFonts w:hint="default" w:ascii="宋体" w:hAnsi="宋体" w:eastAsia="宋体" w:cs="宋体"/>
              <w:sz w:val="28"/>
              <w:szCs w:val="28"/>
              <w:lang w:val="en-US" w:eastAsia="zh-CN"/>
            </w:rPr>
          </w:pPr>
          <w:r>
            <w:fldChar w:fldCharType="begin"/>
          </w:r>
          <w:r>
            <w:instrText xml:space="preserve"> HYPERLINK \l "_Toc5950" </w:instrText>
          </w:r>
          <w:r>
            <w:fldChar w:fldCharType="separate"/>
          </w:r>
          <w:r>
            <w:rPr>
              <w:rFonts w:hint="eastAsia" w:ascii="宋体" w:hAnsi="宋体" w:cs="宋体"/>
              <w:sz w:val="28"/>
              <w:szCs w:val="28"/>
            </w:rPr>
            <w:t>第三章   资格审查</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lang w:val="en-US" w:eastAsia="zh-CN"/>
            </w:rPr>
            <w:t>20</w:t>
          </w:r>
        </w:p>
        <w:p w14:paraId="59A72151">
          <w:pPr>
            <w:pStyle w:val="251"/>
            <w:tabs>
              <w:tab w:val="right" w:leader="dot" w:pos="9072"/>
            </w:tabs>
            <w:spacing w:line="360" w:lineRule="auto"/>
            <w:rPr>
              <w:rFonts w:ascii="宋体" w:hAnsi="宋体" w:cs="宋体"/>
              <w:sz w:val="28"/>
              <w:szCs w:val="28"/>
            </w:rPr>
          </w:pPr>
          <w:r>
            <w:fldChar w:fldCharType="begin"/>
          </w:r>
          <w:r>
            <w:instrText xml:space="preserve"> HYPERLINK \l "_Toc341" </w:instrText>
          </w:r>
          <w:r>
            <w:fldChar w:fldCharType="separate"/>
          </w:r>
          <w:r>
            <w:rPr>
              <w:rFonts w:hint="eastAsia" w:ascii="宋体" w:hAnsi="宋体" w:cs="宋体"/>
              <w:sz w:val="28"/>
              <w:szCs w:val="28"/>
            </w:rPr>
            <w:t>第四章   评标程序、评标方法和评标标准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_Toc341 \h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fldChar w:fldCharType="end"/>
          </w:r>
        </w:p>
        <w:p w14:paraId="5E564E6C">
          <w:pPr>
            <w:pStyle w:val="251"/>
            <w:tabs>
              <w:tab w:val="right" w:leader="dot" w:pos="9072"/>
            </w:tabs>
            <w:spacing w:line="360" w:lineRule="auto"/>
            <w:rPr>
              <w:rFonts w:hint="default" w:ascii="宋体" w:hAnsi="宋体" w:eastAsia="宋体" w:cs="宋体"/>
              <w:sz w:val="28"/>
              <w:szCs w:val="28"/>
              <w:lang w:val="en-US" w:eastAsia="zh-CN"/>
            </w:rPr>
          </w:pPr>
          <w:r>
            <w:fldChar w:fldCharType="begin"/>
          </w:r>
          <w:r>
            <w:instrText xml:space="preserve"> HYPERLINK \l "_Toc19436" </w:instrText>
          </w:r>
          <w:r>
            <w:fldChar w:fldCharType="separate"/>
          </w:r>
          <w:r>
            <w:rPr>
              <w:rFonts w:hint="eastAsia" w:ascii="宋体" w:hAnsi="宋体" w:cs="宋体"/>
              <w:sz w:val="28"/>
              <w:szCs w:val="28"/>
            </w:rPr>
            <w:t>第五章   采购需求</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lang w:val="en-US" w:eastAsia="zh-CN"/>
            </w:rPr>
            <w:t>35</w:t>
          </w:r>
        </w:p>
        <w:p w14:paraId="5CA1551F">
          <w:pPr>
            <w:pStyle w:val="251"/>
            <w:tabs>
              <w:tab w:val="right" w:leader="dot" w:pos="9072"/>
            </w:tabs>
            <w:spacing w:line="360" w:lineRule="auto"/>
            <w:rPr>
              <w:rFonts w:ascii="宋体" w:hAnsi="宋体" w:cs="宋体"/>
              <w:sz w:val="28"/>
              <w:szCs w:val="28"/>
            </w:rPr>
          </w:pPr>
          <w:r>
            <w:fldChar w:fldCharType="begin"/>
          </w:r>
          <w:r>
            <w:instrText xml:space="preserve"> HYPERLINK \l "_Toc3098" </w:instrText>
          </w:r>
          <w:r>
            <w:fldChar w:fldCharType="separate"/>
          </w:r>
          <w:r>
            <w:rPr>
              <w:rFonts w:hint="eastAsia" w:ascii="宋体" w:hAnsi="宋体" w:cs="宋体"/>
              <w:sz w:val="28"/>
              <w:szCs w:val="28"/>
            </w:rPr>
            <w:t>第六章   拟签订的合同文本</w:t>
          </w:r>
          <w:r>
            <w:rPr>
              <w:rFonts w:hint="eastAsia" w:ascii="宋体" w:hAnsi="宋体" w:cs="宋体"/>
              <w:sz w:val="28"/>
              <w:szCs w:val="28"/>
            </w:rPr>
            <w:tab/>
          </w:r>
          <w:r>
            <w:rPr>
              <w:rFonts w:hint="eastAsia" w:ascii="宋体" w:hAnsi="宋体" w:cs="宋体"/>
              <w:sz w:val="28"/>
              <w:szCs w:val="28"/>
              <w:lang w:val="en-US" w:eastAsia="zh-CN"/>
            </w:rPr>
            <w:t>136</w:t>
          </w:r>
          <w:r>
            <w:rPr>
              <w:rFonts w:hint="eastAsia" w:ascii="宋体" w:hAnsi="宋体" w:cs="宋体"/>
              <w:sz w:val="28"/>
              <w:szCs w:val="28"/>
            </w:rPr>
            <w:fldChar w:fldCharType="end"/>
          </w:r>
        </w:p>
        <w:p w14:paraId="5B01F316">
          <w:pPr>
            <w:pStyle w:val="251"/>
            <w:tabs>
              <w:tab w:val="right" w:leader="dot" w:pos="9072"/>
            </w:tabs>
            <w:spacing w:line="360" w:lineRule="auto"/>
            <w:rPr>
              <w:rFonts w:ascii="宋体" w:hAnsi="宋体" w:cs="宋体"/>
              <w:sz w:val="28"/>
              <w:szCs w:val="28"/>
            </w:rPr>
          </w:pPr>
          <w:r>
            <w:fldChar w:fldCharType="begin"/>
          </w:r>
          <w:r>
            <w:instrText xml:space="preserve"> HYPERLINK \l "_Toc29900" </w:instrText>
          </w:r>
          <w:r>
            <w:fldChar w:fldCharType="separate"/>
          </w:r>
          <w:r>
            <w:rPr>
              <w:rFonts w:hint="eastAsia" w:ascii="宋体" w:hAnsi="宋体" w:cs="宋体"/>
              <w:sz w:val="28"/>
              <w:szCs w:val="28"/>
            </w:rPr>
            <w:t>第七章   投标文件格式</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lang w:val="en-US" w:eastAsia="zh-CN"/>
            </w:rPr>
            <w:t>154</w:t>
          </w:r>
        </w:p>
        <w:p w14:paraId="69C1536C">
          <w:pPr>
            <w:pStyle w:val="251"/>
            <w:tabs>
              <w:tab w:val="right" w:leader="dot" w:pos="9072"/>
            </w:tabs>
            <w:spacing w:line="360" w:lineRule="auto"/>
            <w:rPr>
              <w:rFonts w:ascii="宋体" w:hAnsi="宋体" w:cs="宋体"/>
              <w:sz w:val="28"/>
              <w:szCs w:val="28"/>
            </w:rPr>
          </w:pPr>
        </w:p>
        <w:p w14:paraId="7E29DD0F">
          <w:pPr>
            <w:spacing w:line="360" w:lineRule="auto"/>
            <w:jc w:val="center"/>
          </w:pPr>
          <w:r>
            <w:rPr>
              <w:rFonts w:hint="eastAsia" w:ascii="宋体" w:hAnsi="宋体" w:cs="宋体"/>
              <w:sz w:val="28"/>
              <w:szCs w:val="28"/>
            </w:rPr>
            <w:fldChar w:fldCharType="end"/>
          </w:r>
        </w:p>
      </w:sdtContent>
    </w:sdt>
    <w:p w14:paraId="214AD4C0">
      <w:pPr>
        <w:spacing w:line="360" w:lineRule="auto"/>
        <w:jc w:val="center"/>
      </w:pPr>
    </w:p>
    <w:p w14:paraId="2C83CAF7">
      <w:pPr>
        <w:spacing w:line="360" w:lineRule="auto"/>
        <w:jc w:val="center"/>
        <w:outlineLvl w:val="0"/>
        <w:rPr>
          <w:rStyle w:val="59"/>
        </w:rPr>
        <w:sectPr>
          <w:footerReference r:id="rId10" w:type="first"/>
          <w:footerReference r:id="rId9" w:type="default"/>
          <w:pgSz w:w="11907" w:h="16840"/>
          <w:pgMar w:top="1418" w:right="1134" w:bottom="1418" w:left="1701" w:header="851" w:footer="851" w:gutter="0"/>
          <w:pgNumType w:start="1"/>
          <w:cols w:space="720" w:num="1"/>
          <w:docGrid w:linePitch="462" w:charSpace="0"/>
        </w:sectPr>
      </w:pPr>
      <w:bookmarkStart w:id="6" w:name="_Toc15103"/>
      <w:bookmarkStart w:id="7" w:name="_Toc4167"/>
      <w:bookmarkStart w:id="8" w:name="_Toc99301419"/>
    </w:p>
    <w:p w14:paraId="5D2E6482">
      <w:pPr>
        <w:spacing w:line="360" w:lineRule="auto"/>
        <w:jc w:val="center"/>
        <w:outlineLvl w:val="0"/>
        <w:rPr>
          <w:sz w:val="32"/>
          <w:szCs w:val="32"/>
        </w:rPr>
      </w:pPr>
      <w:r>
        <w:rPr>
          <w:rStyle w:val="59"/>
        </w:rPr>
        <w:t>第一章   投标邀请</w:t>
      </w:r>
      <w:bookmarkEnd w:id="6"/>
      <w:bookmarkEnd w:id="7"/>
      <w:bookmarkEnd w:id="8"/>
    </w:p>
    <w:p w14:paraId="59BD7968">
      <w:pPr>
        <w:pStyle w:val="3"/>
        <w:spacing w:before="0" w:line="360" w:lineRule="auto"/>
        <w:jc w:val="left"/>
        <w:rPr>
          <w:rFonts w:ascii="Times New Roman" w:hAnsi="Times New Roman" w:eastAsia="宋体"/>
          <w:sz w:val="24"/>
          <w:szCs w:val="24"/>
        </w:rPr>
      </w:pPr>
      <w:bookmarkStart w:id="9" w:name="_Toc35393790"/>
      <w:bookmarkStart w:id="10" w:name="_Toc28359079"/>
      <w:bookmarkStart w:id="11" w:name="_Toc35393621"/>
      <w:bookmarkStart w:id="12" w:name="_Toc28359002"/>
      <w:bookmarkStart w:id="13" w:name="_Hlk24379207"/>
      <w:r>
        <w:rPr>
          <w:rFonts w:ascii="Times New Roman" w:hAnsi="Times New Roman" w:eastAsia="宋体"/>
          <w:sz w:val="24"/>
          <w:szCs w:val="24"/>
        </w:rPr>
        <w:t>一、项目基本情况</w:t>
      </w:r>
      <w:bookmarkEnd w:id="9"/>
      <w:bookmarkEnd w:id="10"/>
      <w:bookmarkEnd w:id="11"/>
      <w:bookmarkEnd w:id="12"/>
    </w:p>
    <w:p w14:paraId="75E134C9">
      <w:pPr>
        <w:spacing w:line="360" w:lineRule="auto"/>
        <w:ind w:firstLine="480" w:firstLineChars="200"/>
        <w:jc w:val="left"/>
        <w:rPr>
          <w:sz w:val="24"/>
        </w:rPr>
      </w:pPr>
      <w:r>
        <w:rPr>
          <w:sz w:val="24"/>
        </w:rPr>
        <w:t>1.项目编号：</w:t>
      </w:r>
      <w:r>
        <w:rPr>
          <w:rFonts w:hint="eastAsia"/>
          <w:sz w:val="24"/>
        </w:rPr>
        <w:t>11010925210200014198-XM001</w:t>
      </w:r>
    </w:p>
    <w:p w14:paraId="323AC5FF">
      <w:pPr>
        <w:spacing w:line="360" w:lineRule="auto"/>
        <w:ind w:firstLine="480" w:firstLineChars="200"/>
        <w:rPr>
          <w:sz w:val="24"/>
        </w:rPr>
      </w:pPr>
      <w:r>
        <w:rPr>
          <w:sz w:val="24"/>
        </w:rPr>
        <w:t>2.项目名称：</w:t>
      </w:r>
      <w:bookmarkEnd w:id="13"/>
      <w:r>
        <w:rPr>
          <w:rFonts w:hint="eastAsia"/>
          <w:sz w:val="24"/>
        </w:rPr>
        <w:t>北京市门头沟区档案馆新馆网络通讯安全系统及楼宇控制系统工程</w:t>
      </w:r>
    </w:p>
    <w:p w14:paraId="43C3117B">
      <w:pPr>
        <w:spacing w:line="360" w:lineRule="auto"/>
        <w:ind w:firstLine="480" w:firstLineChars="200"/>
        <w:rPr>
          <w:sz w:val="24"/>
        </w:rPr>
      </w:pPr>
      <w:r>
        <w:rPr>
          <w:sz w:val="24"/>
        </w:rPr>
        <w:t>3.项目预算金额：</w:t>
      </w:r>
      <w:r>
        <w:rPr>
          <w:rFonts w:hint="eastAsia"/>
          <w:sz w:val="24"/>
        </w:rPr>
        <w:t>1400.068509</w:t>
      </w:r>
      <w:r>
        <w:rPr>
          <w:sz w:val="24"/>
        </w:rPr>
        <w:t>万元、项目最高限价（如有）：</w:t>
      </w:r>
      <w:r>
        <w:rPr>
          <w:rFonts w:hint="eastAsia"/>
          <w:sz w:val="24"/>
        </w:rPr>
        <w:t>1400.068509</w:t>
      </w:r>
      <w:r>
        <w:rPr>
          <w:sz w:val="24"/>
        </w:rPr>
        <w:t>万元</w:t>
      </w:r>
    </w:p>
    <w:p w14:paraId="47DA26B2">
      <w:pPr>
        <w:spacing w:line="360" w:lineRule="auto"/>
        <w:ind w:firstLine="480" w:firstLineChars="200"/>
        <w:rPr>
          <w:sz w:val="24"/>
        </w:rPr>
      </w:pPr>
      <w:r>
        <w:rPr>
          <w:sz w:val="24"/>
        </w:rPr>
        <w:t>4.采购需求：</w:t>
      </w:r>
    </w:p>
    <w:tbl>
      <w:tblPr>
        <w:tblStyle w:val="45"/>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848"/>
        <w:gridCol w:w="2000"/>
        <w:gridCol w:w="640"/>
        <w:gridCol w:w="4580"/>
      </w:tblGrid>
      <w:tr w14:paraId="44D5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9" w:type="dxa"/>
            <w:vAlign w:val="center"/>
          </w:tcPr>
          <w:p w14:paraId="58125BFF">
            <w:pPr>
              <w:spacing w:line="360" w:lineRule="auto"/>
              <w:jc w:val="center"/>
              <w:rPr>
                <w:sz w:val="24"/>
              </w:rPr>
            </w:pPr>
            <w:r>
              <w:rPr>
                <w:rFonts w:hint="eastAsia"/>
                <w:sz w:val="24"/>
              </w:rPr>
              <w:t>包号</w:t>
            </w:r>
          </w:p>
        </w:tc>
        <w:tc>
          <w:tcPr>
            <w:tcW w:w="1848" w:type="dxa"/>
            <w:vAlign w:val="center"/>
          </w:tcPr>
          <w:p w14:paraId="2369CD11">
            <w:pPr>
              <w:spacing w:line="360" w:lineRule="auto"/>
              <w:jc w:val="center"/>
              <w:rPr>
                <w:sz w:val="24"/>
              </w:rPr>
            </w:pPr>
            <w:r>
              <w:rPr>
                <w:rFonts w:hint="eastAsia"/>
                <w:sz w:val="24"/>
              </w:rPr>
              <w:t>项目名称</w:t>
            </w:r>
          </w:p>
        </w:tc>
        <w:tc>
          <w:tcPr>
            <w:tcW w:w="2000" w:type="dxa"/>
            <w:vAlign w:val="center"/>
          </w:tcPr>
          <w:p w14:paraId="66542D29">
            <w:pPr>
              <w:spacing w:line="360" w:lineRule="auto"/>
              <w:jc w:val="center"/>
              <w:rPr>
                <w:sz w:val="24"/>
              </w:rPr>
            </w:pPr>
            <w:r>
              <w:rPr>
                <w:rFonts w:hint="eastAsia"/>
                <w:sz w:val="24"/>
              </w:rPr>
              <w:t>采购包预算金额</w:t>
            </w:r>
          </w:p>
        </w:tc>
        <w:tc>
          <w:tcPr>
            <w:tcW w:w="640" w:type="dxa"/>
            <w:vAlign w:val="center"/>
          </w:tcPr>
          <w:p w14:paraId="16B53CBD">
            <w:pPr>
              <w:spacing w:line="360" w:lineRule="auto"/>
              <w:jc w:val="center"/>
              <w:rPr>
                <w:sz w:val="24"/>
              </w:rPr>
            </w:pPr>
            <w:r>
              <w:rPr>
                <w:rFonts w:hint="eastAsia"/>
                <w:sz w:val="24"/>
              </w:rPr>
              <w:t>数量</w:t>
            </w:r>
          </w:p>
        </w:tc>
        <w:tc>
          <w:tcPr>
            <w:tcW w:w="4580" w:type="dxa"/>
            <w:vAlign w:val="center"/>
          </w:tcPr>
          <w:p w14:paraId="7E32B6D2">
            <w:pPr>
              <w:spacing w:line="360" w:lineRule="auto"/>
              <w:ind w:firstLine="480" w:firstLineChars="200"/>
              <w:jc w:val="center"/>
              <w:rPr>
                <w:sz w:val="24"/>
              </w:rPr>
            </w:pPr>
            <w:r>
              <w:rPr>
                <w:rFonts w:hint="eastAsia"/>
                <w:sz w:val="24"/>
              </w:rPr>
              <w:t>简要技术需求或服务要求</w:t>
            </w:r>
          </w:p>
        </w:tc>
      </w:tr>
      <w:tr w14:paraId="1ADD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9" w:type="dxa"/>
            <w:vAlign w:val="center"/>
          </w:tcPr>
          <w:p w14:paraId="04B80EC1">
            <w:pPr>
              <w:jc w:val="center"/>
              <w:rPr>
                <w:bCs/>
                <w:szCs w:val="21"/>
              </w:rPr>
            </w:pPr>
            <w:r>
              <w:rPr>
                <w:bCs/>
                <w:szCs w:val="21"/>
              </w:rPr>
              <w:t>0</w:t>
            </w:r>
            <w:r>
              <w:rPr>
                <w:rFonts w:hint="eastAsia"/>
                <w:bCs/>
                <w:szCs w:val="21"/>
              </w:rPr>
              <w:t>1</w:t>
            </w:r>
          </w:p>
        </w:tc>
        <w:tc>
          <w:tcPr>
            <w:tcW w:w="1848" w:type="dxa"/>
            <w:vAlign w:val="center"/>
          </w:tcPr>
          <w:p w14:paraId="78CD03E8">
            <w:pPr>
              <w:jc w:val="center"/>
              <w:rPr>
                <w:bCs/>
                <w:szCs w:val="21"/>
              </w:rPr>
            </w:pPr>
            <w:r>
              <w:rPr>
                <w:rFonts w:hint="eastAsia"/>
                <w:sz w:val="24"/>
              </w:rPr>
              <w:t>北京市门头沟区档案馆新馆网络通讯安全系统及楼宇控制系统工程</w:t>
            </w:r>
          </w:p>
        </w:tc>
        <w:tc>
          <w:tcPr>
            <w:tcW w:w="2000" w:type="dxa"/>
            <w:vAlign w:val="center"/>
          </w:tcPr>
          <w:p w14:paraId="450511DE">
            <w:pPr>
              <w:jc w:val="center"/>
              <w:rPr>
                <w:bCs/>
                <w:szCs w:val="21"/>
              </w:rPr>
            </w:pPr>
            <w:r>
              <w:rPr>
                <w:rFonts w:hint="eastAsia"/>
                <w:sz w:val="24"/>
              </w:rPr>
              <w:t>1400.068509万元</w:t>
            </w:r>
          </w:p>
        </w:tc>
        <w:tc>
          <w:tcPr>
            <w:tcW w:w="640" w:type="dxa"/>
            <w:vAlign w:val="center"/>
          </w:tcPr>
          <w:p w14:paraId="6F67D1F4">
            <w:pPr>
              <w:jc w:val="center"/>
              <w:rPr>
                <w:bCs/>
                <w:szCs w:val="21"/>
              </w:rPr>
            </w:pPr>
            <w:r>
              <w:rPr>
                <w:rFonts w:hint="eastAsia" w:ascii="宋体" w:hAnsi="宋体" w:cs="宋体"/>
                <w:bCs/>
                <w:szCs w:val="21"/>
              </w:rPr>
              <w:t>1项</w:t>
            </w:r>
          </w:p>
        </w:tc>
        <w:tc>
          <w:tcPr>
            <w:tcW w:w="4580" w:type="dxa"/>
            <w:vAlign w:val="center"/>
          </w:tcPr>
          <w:p w14:paraId="3561B912">
            <w:pPr>
              <w:widowControl/>
              <w:spacing w:line="360" w:lineRule="auto"/>
              <w:jc w:val="left"/>
              <w:rPr>
                <w:kern w:val="0"/>
                <w:szCs w:val="21"/>
              </w:rPr>
            </w:pPr>
            <w:r>
              <w:rPr>
                <w:rFonts w:hint="eastAsia"/>
                <w:sz w:val="24"/>
              </w:rPr>
              <w:t>北京市门头沟区档案馆新馆网络通讯安全系统及楼宇控制系统工程包括安防系统、综合布线、楼宇自动系统、信息发布系统、软件开发、机房工程、网络安全设备等全部内容。</w:t>
            </w:r>
          </w:p>
        </w:tc>
      </w:tr>
    </w:tbl>
    <w:p w14:paraId="13C4A865">
      <w:pPr>
        <w:numPr>
          <w:ilvl w:val="255"/>
          <w:numId w:val="0"/>
        </w:numPr>
        <w:spacing w:line="360" w:lineRule="auto"/>
        <w:ind w:firstLine="480" w:firstLineChars="200"/>
        <w:rPr>
          <w:rFonts w:ascii="Calibri" w:hAnsi="Calibri"/>
          <w:sz w:val="24"/>
        </w:rPr>
      </w:pPr>
      <w:r>
        <w:rPr>
          <w:rFonts w:hint="eastAsia"/>
          <w:sz w:val="24"/>
        </w:rPr>
        <w:t>5.</w:t>
      </w:r>
      <w:r>
        <w:rPr>
          <w:sz w:val="24"/>
        </w:rPr>
        <w:t>合同履行期限：</w:t>
      </w:r>
      <w:r>
        <w:rPr>
          <w:rFonts w:hint="eastAsia"/>
          <w:sz w:val="24"/>
        </w:rPr>
        <w:t>自合同签订之日起至120日历天完成全部内容。</w:t>
      </w:r>
    </w:p>
    <w:p w14:paraId="6FC79B1A">
      <w:pPr>
        <w:spacing w:line="360" w:lineRule="auto"/>
        <w:ind w:firstLine="480" w:firstLineChars="200"/>
        <w:rPr>
          <w:color w:val="000000" w:themeColor="text1"/>
          <w:sz w:val="24"/>
          <w14:textFill>
            <w14:solidFill>
              <w14:schemeClr w14:val="tx1"/>
            </w14:solidFill>
          </w14:textFill>
        </w:rPr>
      </w:pPr>
      <w:r>
        <w:rPr>
          <w:sz w:val="24"/>
        </w:rPr>
        <w:t>6.本项目是否接</w:t>
      </w:r>
      <w:r>
        <w:rPr>
          <w:color w:val="000000" w:themeColor="text1"/>
          <w:sz w:val="24"/>
          <w14:textFill>
            <w14:solidFill>
              <w14:schemeClr w14:val="tx1"/>
            </w14:solidFill>
          </w14:textFill>
        </w:rPr>
        <w:t>受联合体投标：</w:t>
      </w:r>
      <w:r>
        <w:rPr>
          <w:sz w:val="24"/>
        </w:rPr>
        <w:t xml:space="preserve"> </w:t>
      </w:r>
      <w:r>
        <w:rPr>
          <w:rFonts w:hint="eastAsia"/>
          <w:sz w:val="24"/>
        </w:rPr>
        <w:t>□</w:t>
      </w:r>
      <w:r>
        <w:rPr>
          <w:color w:val="000000" w:themeColor="text1"/>
          <w:sz w:val="24"/>
          <w14:textFill>
            <w14:solidFill>
              <w14:schemeClr w14:val="tx1"/>
            </w14:solidFill>
          </w14:textFill>
        </w:rPr>
        <w:t xml:space="preserve">是 </w:t>
      </w:r>
      <w:r>
        <w:rPr>
          <w:rFonts w:hint="eastAsia"/>
          <w:sz w:val="32"/>
          <w:szCs w:val="32"/>
        </w:rPr>
        <w:t>■</w:t>
      </w:r>
      <w:r>
        <w:rPr>
          <w:color w:val="000000" w:themeColor="text1"/>
          <w:sz w:val="24"/>
          <w14:textFill>
            <w14:solidFill>
              <w14:schemeClr w14:val="tx1"/>
            </w14:solidFill>
          </w14:textFill>
        </w:rPr>
        <w:t>否。</w:t>
      </w:r>
    </w:p>
    <w:p w14:paraId="615F8FC8">
      <w:pPr>
        <w:pStyle w:val="3"/>
        <w:spacing w:before="0" w:line="360" w:lineRule="auto"/>
        <w:jc w:val="left"/>
        <w:rPr>
          <w:rFonts w:ascii="Times New Roman" w:hAnsi="Times New Roman" w:eastAsia="宋体"/>
          <w:sz w:val="24"/>
          <w:szCs w:val="24"/>
        </w:rPr>
      </w:pPr>
      <w:bookmarkStart w:id="14" w:name="_Toc35393622"/>
      <w:bookmarkStart w:id="15" w:name="_Toc28359080"/>
      <w:bookmarkStart w:id="16" w:name="_Toc28359003"/>
      <w:bookmarkStart w:id="17" w:name="_Toc35393791"/>
      <w:r>
        <w:rPr>
          <w:rFonts w:ascii="Times New Roman" w:hAnsi="Times New Roman" w:eastAsia="宋体"/>
          <w:sz w:val="24"/>
          <w:szCs w:val="24"/>
        </w:rPr>
        <w:t>二、申请人的资格要求（须同时满足）</w:t>
      </w:r>
      <w:bookmarkEnd w:id="14"/>
      <w:bookmarkEnd w:id="15"/>
      <w:bookmarkEnd w:id="16"/>
      <w:bookmarkEnd w:id="17"/>
    </w:p>
    <w:p w14:paraId="29FB4F88">
      <w:pPr>
        <w:spacing w:line="360" w:lineRule="auto"/>
        <w:ind w:firstLine="480" w:firstLineChars="200"/>
        <w:rPr>
          <w:sz w:val="24"/>
        </w:rPr>
      </w:pPr>
      <w:r>
        <w:rPr>
          <w:sz w:val="24"/>
        </w:rPr>
        <w:t>1.满足《中华人民共和国政府采购法》第二十二条规定；</w:t>
      </w:r>
    </w:p>
    <w:p w14:paraId="3E137498">
      <w:pPr>
        <w:spacing w:line="360" w:lineRule="auto"/>
        <w:ind w:firstLine="480" w:firstLineChars="200"/>
        <w:rPr>
          <w:sz w:val="24"/>
        </w:rPr>
      </w:pPr>
      <w:bookmarkStart w:id="18" w:name="_Toc28359081"/>
      <w:bookmarkStart w:id="19" w:name="_Toc28359004"/>
      <w:r>
        <w:rPr>
          <w:sz w:val="24"/>
        </w:rPr>
        <w:t>2.落实政府采购政策需满足的资格要求：</w:t>
      </w:r>
    </w:p>
    <w:p w14:paraId="459D4621">
      <w:pPr>
        <w:spacing w:line="360" w:lineRule="auto"/>
        <w:ind w:firstLine="480" w:firstLineChars="200"/>
        <w:rPr>
          <w:sz w:val="24"/>
        </w:rPr>
      </w:pPr>
      <w:r>
        <w:rPr>
          <w:sz w:val="24"/>
        </w:rPr>
        <w:t>2.1 中小企业政策</w:t>
      </w:r>
    </w:p>
    <w:p w14:paraId="2BC76D2D">
      <w:pPr>
        <w:spacing w:line="360" w:lineRule="auto"/>
        <w:ind w:firstLine="480" w:firstLineChars="200"/>
        <w:rPr>
          <w:sz w:val="24"/>
        </w:rPr>
      </w:pPr>
      <w:r>
        <w:rPr>
          <w:rFonts w:hint="eastAsia"/>
          <w:sz w:val="24"/>
        </w:rPr>
        <w:t>■</w:t>
      </w:r>
      <w:r>
        <w:rPr>
          <w:sz w:val="24"/>
        </w:rPr>
        <w:t>本项目不专门面向中小企业预留采购份额。</w:t>
      </w:r>
    </w:p>
    <w:p w14:paraId="7DC40FC3">
      <w:pPr>
        <w:spacing w:line="360" w:lineRule="auto"/>
        <w:ind w:firstLine="480" w:firstLineChars="200"/>
        <w:rPr>
          <w:sz w:val="24"/>
        </w:rPr>
      </w:pPr>
      <w:r>
        <w:rPr>
          <w:rFonts w:hint="eastAsia"/>
          <w:sz w:val="24"/>
        </w:rPr>
        <w:t>□</w:t>
      </w:r>
      <w:r>
        <w:rPr>
          <w:sz w:val="24"/>
        </w:rPr>
        <w:t xml:space="preserve">本项目专门面向 </w:t>
      </w:r>
      <w:r>
        <w:rPr>
          <w:rFonts w:hint="eastAsia"/>
          <w:sz w:val="24"/>
        </w:rPr>
        <w:t>□</w:t>
      </w:r>
      <w:r>
        <w:rPr>
          <w:sz w:val="24"/>
        </w:rPr>
        <w:t xml:space="preserve">中小 </w:t>
      </w:r>
      <w:r>
        <w:rPr>
          <w:rFonts w:hint="eastAsia"/>
          <w:sz w:val="24"/>
        </w:rPr>
        <w:t>□</w:t>
      </w:r>
      <w:r>
        <w:rPr>
          <w:sz w:val="24"/>
        </w:rPr>
        <w:t>小微企业  采购。即：提供的货物全部由符合政策要求的中小/小微企业制造、服务全部由符合政策要求的中小/小微企业承接。</w:t>
      </w:r>
    </w:p>
    <w:p w14:paraId="09897F09">
      <w:pPr>
        <w:spacing w:line="360" w:lineRule="auto"/>
        <w:ind w:firstLine="480" w:firstLineChars="200"/>
        <w:rPr>
          <w:sz w:val="24"/>
        </w:rPr>
      </w:pPr>
      <w:r>
        <w:rPr>
          <w:rFonts w:hint="eastAsia"/>
          <w:sz w:val="24"/>
        </w:rPr>
        <w:t>□</w:t>
      </w:r>
      <w:r>
        <w:rPr>
          <w:sz w:val="24"/>
        </w:rPr>
        <w:t>本项目预留部分采购项目预算专门面向中小企业采购。对于预留份额，提供的货物由符合政策要求的中小企业制造、服务由符合政策要求的中小企业承接。预留份额通过以下措施进行：______</w:t>
      </w:r>
      <w:r>
        <w:rPr>
          <w:rFonts w:hint="eastAsia"/>
          <w:sz w:val="24"/>
        </w:rPr>
        <w:t>/</w:t>
      </w:r>
      <w:r>
        <w:rPr>
          <w:sz w:val="24"/>
        </w:rPr>
        <w:t>____________</w:t>
      </w:r>
      <w:r>
        <w:rPr>
          <w:rFonts w:hint="eastAsia"/>
          <w:sz w:val="24"/>
        </w:rPr>
        <w:t>。</w:t>
      </w:r>
    </w:p>
    <w:p w14:paraId="2CC99216">
      <w:pPr>
        <w:spacing w:line="360" w:lineRule="auto"/>
        <w:ind w:firstLine="480" w:firstLineChars="200"/>
        <w:rPr>
          <w:sz w:val="24"/>
        </w:rPr>
      </w:pPr>
      <w:r>
        <w:rPr>
          <w:sz w:val="24"/>
        </w:rPr>
        <w:t>2.2 其它落实政府采购政策的资格要求（如有）：________</w:t>
      </w:r>
      <w:r>
        <w:rPr>
          <w:rFonts w:hint="eastAsia"/>
          <w:sz w:val="24"/>
        </w:rPr>
        <w:t>/</w:t>
      </w:r>
      <w:r>
        <w:rPr>
          <w:sz w:val="24"/>
        </w:rPr>
        <w:t>___________</w:t>
      </w:r>
      <w:r>
        <w:rPr>
          <w:rFonts w:hint="eastAsia"/>
          <w:sz w:val="24"/>
        </w:rPr>
        <w:t>。</w:t>
      </w:r>
    </w:p>
    <w:p w14:paraId="532CF884">
      <w:pPr>
        <w:spacing w:line="360" w:lineRule="auto"/>
        <w:ind w:firstLine="480" w:firstLineChars="200"/>
        <w:rPr>
          <w:i/>
          <w:iCs/>
          <w:sz w:val="24"/>
          <w:u w:val="single"/>
        </w:rPr>
      </w:pPr>
      <w:r>
        <w:rPr>
          <w:sz w:val="24"/>
        </w:rPr>
        <w:t>3.本项目的特定资格要求：</w:t>
      </w:r>
    </w:p>
    <w:p w14:paraId="1783F5A5">
      <w:pPr>
        <w:tabs>
          <w:tab w:val="left" w:pos="900"/>
          <w:tab w:val="left" w:pos="1134"/>
          <w:tab w:val="left" w:pos="1589"/>
          <w:tab w:val="left" w:pos="5521"/>
        </w:tabs>
        <w:snapToGrid w:val="0"/>
        <w:spacing w:line="360" w:lineRule="auto"/>
        <w:ind w:firstLine="480" w:firstLineChars="200"/>
        <w:rPr>
          <w:sz w:val="24"/>
        </w:rPr>
      </w:pPr>
      <w:r>
        <w:rPr>
          <w:sz w:val="24"/>
        </w:rPr>
        <w:t>3.</w:t>
      </w:r>
      <w:r>
        <w:rPr>
          <w:rFonts w:hint="eastAsia"/>
          <w:sz w:val="24"/>
        </w:rPr>
        <w:t>1本项目是否属于政府购买服务：</w:t>
      </w:r>
    </w:p>
    <w:p w14:paraId="3B16497D">
      <w:pPr>
        <w:tabs>
          <w:tab w:val="left" w:pos="900"/>
          <w:tab w:val="left" w:pos="1134"/>
          <w:tab w:val="left" w:pos="1589"/>
          <w:tab w:val="left" w:pos="5521"/>
        </w:tabs>
        <w:snapToGrid w:val="0"/>
        <w:spacing w:line="360" w:lineRule="auto"/>
        <w:ind w:left="991" w:leftChars="472" w:firstLine="2"/>
        <w:rPr>
          <w:sz w:val="24"/>
        </w:rPr>
      </w:pPr>
      <w:r>
        <w:rPr>
          <w:rFonts w:hint="eastAsia"/>
          <w:sz w:val="24"/>
        </w:rPr>
        <w:t>■否</w:t>
      </w:r>
    </w:p>
    <w:p w14:paraId="06539663">
      <w:pPr>
        <w:tabs>
          <w:tab w:val="left" w:pos="900"/>
          <w:tab w:val="left" w:pos="1134"/>
          <w:tab w:val="left" w:pos="1589"/>
          <w:tab w:val="left" w:pos="5521"/>
        </w:tabs>
        <w:snapToGrid w:val="0"/>
        <w:spacing w:line="360" w:lineRule="auto"/>
        <w:ind w:left="991" w:leftChars="472" w:firstLine="2"/>
        <w:rPr>
          <w:sz w:val="24"/>
        </w:rPr>
      </w:pPr>
      <w:r>
        <w:rPr>
          <w:rFonts w:hint="eastAsia"/>
          <w:sz w:val="24"/>
        </w:rPr>
        <w:t>□是，公益一类事业单位、使用事业编制且由财政拨款保障的群团组织，不得作为承接主体；</w:t>
      </w:r>
    </w:p>
    <w:p w14:paraId="14DC5E55">
      <w:pPr>
        <w:tabs>
          <w:tab w:val="left" w:pos="900"/>
          <w:tab w:val="left" w:pos="1134"/>
          <w:tab w:val="left" w:pos="1589"/>
          <w:tab w:val="left" w:pos="5521"/>
        </w:tabs>
        <w:snapToGrid w:val="0"/>
        <w:spacing w:line="360" w:lineRule="auto"/>
        <w:ind w:firstLine="480" w:firstLineChars="200"/>
        <w:rPr>
          <w:sz w:val="24"/>
        </w:rPr>
      </w:pPr>
      <w:r>
        <w:rPr>
          <w:sz w:val="24"/>
        </w:rPr>
        <w:t>3.</w:t>
      </w:r>
      <w:r>
        <w:rPr>
          <w:rFonts w:hint="eastAsia"/>
          <w:sz w:val="24"/>
        </w:rPr>
        <w:t>2</w:t>
      </w:r>
      <w:r>
        <w:rPr>
          <w:sz w:val="24"/>
        </w:rPr>
        <w:t>其他特定资格要求：</w:t>
      </w:r>
    </w:p>
    <w:bookmarkEnd w:id="18"/>
    <w:bookmarkEnd w:id="19"/>
    <w:p w14:paraId="566D0E22">
      <w:pPr>
        <w:pStyle w:val="39"/>
        <w:shd w:val="clear" w:color="auto" w:fill="FFFFFF"/>
        <w:spacing w:beforeAutospacing="0" w:after="240" w:afterAutospacing="0"/>
        <w:ind w:firstLine="480" w:firstLineChars="200"/>
        <w:rPr>
          <w:rFonts w:ascii="Times New Roman" w:hAnsi="Times New Roman" w:cs="Times New Roman"/>
          <w:kern w:val="2"/>
        </w:rPr>
      </w:pPr>
      <w:bookmarkStart w:id="20" w:name="_Toc35393792"/>
      <w:bookmarkStart w:id="21" w:name="_Toc35393623"/>
      <w:r>
        <w:rPr>
          <w:rFonts w:hint="eastAsia" w:ascii="Times New Roman" w:hAnsi="Times New Roman" w:cs="Times New Roman"/>
          <w:kern w:val="2"/>
        </w:rPr>
        <w:t>（1）单位负责人为同一人或者存在控股、管理关系的不同</w:t>
      </w:r>
      <w:r>
        <w:rPr>
          <w:rFonts w:hint="eastAsia" w:ascii="Times New Roman" w:hAnsi="Times New Roman" w:cs="Times New Roman"/>
          <w:kern w:val="2"/>
          <w:lang w:val="en-US" w:eastAsia="zh-CN"/>
        </w:rPr>
        <w:t>供应商</w:t>
      </w:r>
      <w:r>
        <w:rPr>
          <w:rFonts w:hint="eastAsia" w:ascii="Times New Roman" w:hAnsi="Times New Roman" w:cs="Times New Roman"/>
          <w:kern w:val="2"/>
        </w:rPr>
        <w:t>，不得</w:t>
      </w:r>
      <w:r>
        <w:rPr>
          <w:rFonts w:hint="eastAsia" w:ascii="Times New Roman" w:hAnsi="Times New Roman" w:cs="Times New Roman"/>
          <w:kern w:val="2"/>
          <w:lang w:val="en-US" w:eastAsia="zh-CN"/>
        </w:rPr>
        <w:t>同时</w:t>
      </w:r>
      <w:r>
        <w:rPr>
          <w:rFonts w:hint="eastAsia" w:ascii="Times New Roman" w:hAnsi="Times New Roman" w:cs="Times New Roman"/>
          <w:kern w:val="2"/>
        </w:rPr>
        <w:t>参加</w:t>
      </w:r>
      <w:r>
        <w:rPr>
          <w:rFonts w:hint="eastAsia" w:ascii="Times New Roman" w:hAnsi="Times New Roman" w:cs="Times New Roman"/>
          <w:kern w:val="2"/>
          <w:lang w:val="en-US" w:eastAsia="zh-CN"/>
        </w:rPr>
        <w:t>本项目的投标</w:t>
      </w:r>
      <w:r>
        <w:rPr>
          <w:rFonts w:hint="eastAsia" w:ascii="Times New Roman" w:hAnsi="Times New Roman" w:cs="Times New Roman"/>
          <w:kern w:val="2"/>
        </w:rPr>
        <w:t>；</w:t>
      </w:r>
    </w:p>
    <w:p w14:paraId="4418C6C9">
      <w:pPr>
        <w:pStyle w:val="39"/>
        <w:shd w:val="clear" w:color="auto" w:fill="FFFFFF"/>
        <w:spacing w:beforeAutospacing="0" w:after="240" w:afterAutospacing="0"/>
        <w:ind w:firstLine="480" w:firstLineChars="200"/>
        <w:rPr>
          <w:rFonts w:ascii="Times New Roman" w:hAnsi="Times New Roman" w:cs="Times New Roman"/>
          <w:kern w:val="2"/>
        </w:rPr>
      </w:pPr>
      <w:r>
        <w:rPr>
          <w:rFonts w:hint="eastAsia" w:ascii="Times New Roman" w:hAnsi="Times New Roman" w:cs="Times New Roman"/>
          <w:kern w:val="2"/>
        </w:rPr>
        <w:t>（2）除单一来源采购项目外，为采购项目提供整体设计、规范编制或者项目管理、 监理、检测等服务的供应商，不得再参加该采购项目的其他采购活动；</w:t>
      </w:r>
    </w:p>
    <w:p w14:paraId="6E1F0AA5">
      <w:pPr>
        <w:autoSpaceDE w:val="0"/>
        <w:autoSpaceDN w:val="0"/>
        <w:spacing w:line="360" w:lineRule="auto"/>
        <w:ind w:firstLine="480" w:firstLineChars="200"/>
        <w:rPr>
          <w:sz w:val="24"/>
        </w:rPr>
      </w:pPr>
      <w:r>
        <w:rPr>
          <w:rFonts w:hint="eastAsia"/>
          <w:sz w:val="24"/>
        </w:rPr>
        <w:t xml:space="preserve">（3）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失信主体、政府采购严重违法失信行为记录名单的供应商，拒绝其参与政府采购活动。（无须供应商提供，由采购人或采购代理机构查询。）   </w:t>
      </w:r>
    </w:p>
    <w:p w14:paraId="27A160E2">
      <w:pPr>
        <w:autoSpaceDE w:val="0"/>
        <w:autoSpaceDN w:val="0"/>
        <w:spacing w:line="360" w:lineRule="auto"/>
        <w:ind w:firstLine="480" w:firstLineChars="200"/>
        <w:rPr>
          <w:sz w:val="24"/>
        </w:rPr>
      </w:pPr>
      <w:r>
        <w:rPr>
          <w:rFonts w:hint="eastAsia"/>
          <w:sz w:val="24"/>
        </w:rPr>
        <w:t xml:space="preserve"> （4）招标人不接受联合体投标，不接受投标人母、子公司同时投标。</w:t>
      </w:r>
    </w:p>
    <w:p w14:paraId="6B4D1A60">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三、获取招标文件</w:t>
      </w:r>
      <w:bookmarkEnd w:id="20"/>
      <w:bookmarkEnd w:id="21"/>
    </w:p>
    <w:p w14:paraId="2126B19F">
      <w:pPr>
        <w:adjustRightInd w:val="0"/>
        <w:snapToGrid w:val="0"/>
        <w:spacing w:line="360" w:lineRule="auto"/>
        <w:ind w:firstLine="480" w:firstLineChars="200"/>
        <w:rPr>
          <w:sz w:val="24"/>
        </w:rPr>
      </w:pPr>
      <w:r>
        <w:rPr>
          <w:sz w:val="24"/>
        </w:rPr>
        <w:t>1.时间：</w:t>
      </w:r>
      <w:r>
        <w:rPr>
          <w:rFonts w:hint="eastAsia"/>
          <w:sz w:val="24"/>
          <w:lang w:eastAsia="zh-CN"/>
        </w:rPr>
        <w:t>2025年06月27日至2025年07月03日，每天上午09:00至12:00，下午12:00至17:00</w:t>
      </w:r>
      <w:r>
        <w:rPr>
          <w:sz w:val="24"/>
        </w:rPr>
        <w:t>（北京时间，法定节假日除外）</w:t>
      </w:r>
    </w:p>
    <w:p w14:paraId="47ED7FCA">
      <w:pPr>
        <w:adjustRightInd w:val="0"/>
        <w:snapToGrid w:val="0"/>
        <w:spacing w:line="360" w:lineRule="auto"/>
        <w:ind w:firstLine="480" w:firstLineChars="200"/>
        <w:rPr>
          <w:sz w:val="24"/>
        </w:rPr>
      </w:pPr>
      <w:r>
        <w:rPr>
          <w:sz w:val="24"/>
        </w:rPr>
        <w:t>2.地点：北京市政府采购电子交易平台</w:t>
      </w:r>
    </w:p>
    <w:p w14:paraId="6DB08F32">
      <w:pPr>
        <w:widowControl/>
        <w:adjustRightInd w:val="0"/>
        <w:snapToGrid w:val="0"/>
        <w:spacing w:line="360" w:lineRule="auto"/>
        <w:ind w:firstLine="480" w:firstLineChars="200"/>
        <w:jc w:val="left"/>
        <w:rPr>
          <w:sz w:val="24"/>
        </w:rPr>
      </w:pPr>
      <w:r>
        <w:rPr>
          <w:sz w:val="24"/>
        </w:rPr>
        <w:t>3.方式：供应商持CA数字认证证书登录北京市政府采购电子交易平台（http://zbcg-bjzc.zhongcy.com/bjczj-portal-site/index.html#/home）获取电子版招标文件。</w:t>
      </w:r>
    </w:p>
    <w:p w14:paraId="4CE1FC8A">
      <w:pPr>
        <w:widowControl/>
        <w:adjustRightInd w:val="0"/>
        <w:snapToGrid w:val="0"/>
        <w:spacing w:line="360" w:lineRule="auto"/>
        <w:ind w:firstLine="480" w:firstLineChars="200"/>
        <w:jc w:val="left"/>
        <w:rPr>
          <w:sz w:val="24"/>
        </w:rPr>
      </w:pPr>
      <w:r>
        <w:rPr>
          <w:sz w:val="24"/>
        </w:rPr>
        <w:t>4.售价：0元。</w:t>
      </w:r>
    </w:p>
    <w:p w14:paraId="1F012902">
      <w:pPr>
        <w:pStyle w:val="3"/>
        <w:widowControl/>
        <w:spacing w:before="0" w:line="360" w:lineRule="auto"/>
        <w:jc w:val="left"/>
        <w:rPr>
          <w:rFonts w:ascii="Times New Roman" w:hAnsi="Times New Roman" w:eastAsia="宋体"/>
          <w:sz w:val="24"/>
          <w:szCs w:val="24"/>
        </w:rPr>
      </w:pPr>
      <w:bookmarkStart w:id="22" w:name="_Toc28359082"/>
      <w:bookmarkStart w:id="23" w:name="_Toc28359005"/>
      <w:bookmarkStart w:id="24" w:name="_Toc35393624"/>
      <w:bookmarkStart w:id="25" w:name="_Toc35393793"/>
      <w:r>
        <w:rPr>
          <w:rFonts w:ascii="Times New Roman" w:hAnsi="Times New Roman" w:eastAsia="宋体"/>
          <w:sz w:val="24"/>
          <w:szCs w:val="24"/>
        </w:rPr>
        <w:t>四、提交投标文件</w:t>
      </w:r>
      <w:bookmarkEnd w:id="22"/>
      <w:bookmarkEnd w:id="23"/>
      <w:r>
        <w:rPr>
          <w:rFonts w:ascii="Times New Roman" w:hAnsi="Times New Roman" w:eastAsia="宋体"/>
          <w:sz w:val="24"/>
          <w:szCs w:val="24"/>
        </w:rPr>
        <w:t>截止时间、开标时间和地点</w:t>
      </w:r>
      <w:bookmarkEnd w:id="24"/>
      <w:bookmarkEnd w:id="25"/>
    </w:p>
    <w:p w14:paraId="616F8487">
      <w:pPr>
        <w:spacing w:line="360" w:lineRule="auto"/>
        <w:ind w:firstLine="480" w:firstLineChars="200"/>
        <w:rPr>
          <w:iCs/>
          <w:sz w:val="24"/>
        </w:rPr>
      </w:pPr>
      <w:r>
        <w:rPr>
          <w:sz w:val="24"/>
        </w:rPr>
        <w:t>投标截止时间、开标时间：</w:t>
      </w:r>
      <w:del w:id="0" w:author="匕鬯不惊" w:date="2025-07-18T09:00:16Z">
        <w:r>
          <w:rPr>
            <w:rFonts w:hint="eastAsia"/>
            <w:sz w:val="24"/>
            <w:lang w:eastAsia="zh-CN"/>
          </w:rPr>
          <w:delText>2025年07月18日09:30</w:delText>
        </w:r>
      </w:del>
      <w:ins w:id="1" w:author="匕鬯不惊" w:date="2025-07-18T09:00:16Z">
        <w:r>
          <w:rPr>
            <w:rFonts w:hint="eastAsia"/>
            <w:sz w:val="24"/>
            <w:lang w:eastAsia="zh-CN"/>
          </w:rPr>
          <w:t>2025年08月01日09:30</w:t>
        </w:r>
      </w:ins>
      <w:r>
        <w:rPr>
          <w:rFonts w:hint="eastAsia"/>
          <w:sz w:val="24"/>
        </w:rPr>
        <w:t>（北京时间）</w:t>
      </w:r>
      <w:r>
        <w:rPr>
          <w:iCs/>
          <w:sz w:val="24"/>
        </w:rPr>
        <w:t>。</w:t>
      </w:r>
    </w:p>
    <w:p w14:paraId="0C7EC6FB">
      <w:pPr>
        <w:adjustRightInd w:val="0"/>
        <w:snapToGrid w:val="0"/>
        <w:spacing w:line="360" w:lineRule="auto"/>
        <w:ind w:firstLine="480" w:firstLineChars="200"/>
        <w:rPr>
          <w:sz w:val="24"/>
          <w:lang w:val="zh-TW"/>
        </w:rPr>
      </w:pPr>
      <w:r>
        <w:rPr>
          <w:sz w:val="24"/>
        </w:rPr>
        <w:t>地点：北京市政府采购电子交易平台</w:t>
      </w:r>
      <w:r>
        <w:rPr>
          <w:sz w:val="24"/>
          <w:lang w:val="zh-TW"/>
        </w:rPr>
        <w:t>。</w:t>
      </w:r>
    </w:p>
    <w:p w14:paraId="035435CD">
      <w:pPr>
        <w:spacing w:line="360" w:lineRule="auto"/>
        <w:ind w:firstLine="480" w:firstLineChars="200"/>
        <w:rPr>
          <w:sz w:val="24"/>
          <w:lang w:val="zh-TW" w:eastAsia="zh-TW"/>
        </w:rPr>
      </w:pPr>
      <w:r>
        <w:rPr>
          <w:rFonts w:hint="eastAsia"/>
          <w:sz w:val="24"/>
          <w:lang w:val="zh-TW" w:eastAsia="zh-TW"/>
        </w:rPr>
        <w:t>投标文件递交地点：电子投标文件须上传至http://zbcg-bjzc.zhongcy.com/bjczj-portal-site/index.html#/home，必须使用投标文件编制工具编制投标文件。</w:t>
      </w:r>
    </w:p>
    <w:p w14:paraId="2AB4D049">
      <w:pPr>
        <w:pStyle w:val="3"/>
        <w:spacing w:before="0" w:line="360" w:lineRule="auto"/>
        <w:jc w:val="left"/>
        <w:rPr>
          <w:rFonts w:ascii="Times New Roman" w:hAnsi="Times New Roman" w:eastAsia="宋体"/>
          <w:sz w:val="24"/>
          <w:szCs w:val="24"/>
        </w:rPr>
      </w:pPr>
      <w:bookmarkStart w:id="26" w:name="_Toc35393625"/>
      <w:bookmarkStart w:id="27" w:name="_Toc28359084"/>
      <w:bookmarkStart w:id="28" w:name="_Toc35393794"/>
      <w:bookmarkStart w:id="29" w:name="_Toc28359007"/>
      <w:r>
        <w:rPr>
          <w:rFonts w:ascii="Times New Roman" w:hAnsi="Times New Roman" w:eastAsia="宋体"/>
          <w:sz w:val="24"/>
          <w:szCs w:val="24"/>
        </w:rPr>
        <w:t>五、公告期限</w:t>
      </w:r>
      <w:bookmarkEnd w:id="26"/>
      <w:bookmarkEnd w:id="27"/>
      <w:bookmarkEnd w:id="28"/>
      <w:bookmarkEnd w:id="29"/>
    </w:p>
    <w:p w14:paraId="7BE844A8">
      <w:pPr>
        <w:spacing w:line="360" w:lineRule="auto"/>
        <w:ind w:firstLine="480" w:firstLineChars="200"/>
        <w:rPr>
          <w:kern w:val="0"/>
          <w:sz w:val="24"/>
        </w:rPr>
      </w:pPr>
      <w:r>
        <w:rPr>
          <w:kern w:val="0"/>
          <w:sz w:val="24"/>
        </w:rPr>
        <w:t>自本公告发布之日起5个工作日。</w:t>
      </w:r>
    </w:p>
    <w:p w14:paraId="7EC997D6">
      <w:pPr>
        <w:pStyle w:val="3"/>
        <w:spacing w:before="0" w:line="360" w:lineRule="auto"/>
        <w:jc w:val="left"/>
        <w:rPr>
          <w:rFonts w:ascii="Times New Roman" w:hAnsi="Times New Roman" w:eastAsia="宋体"/>
          <w:sz w:val="24"/>
          <w:szCs w:val="24"/>
        </w:rPr>
      </w:pPr>
      <w:bookmarkStart w:id="30" w:name="_Toc35393795"/>
      <w:bookmarkStart w:id="31" w:name="_Toc35393626"/>
      <w:r>
        <w:rPr>
          <w:rFonts w:ascii="Times New Roman" w:hAnsi="Times New Roman" w:eastAsia="宋体"/>
          <w:sz w:val="24"/>
          <w:szCs w:val="24"/>
        </w:rPr>
        <w:t>六、其他补充事宜</w:t>
      </w:r>
      <w:bookmarkEnd w:id="30"/>
      <w:bookmarkEnd w:id="31"/>
    </w:p>
    <w:p w14:paraId="206E70C6">
      <w:pPr>
        <w:spacing w:line="360" w:lineRule="auto"/>
        <w:ind w:firstLine="480" w:firstLineChars="200"/>
        <w:rPr>
          <w:sz w:val="24"/>
        </w:rPr>
      </w:pPr>
      <w:r>
        <w:rPr>
          <w:sz w:val="24"/>
        </w:rPr>
        <w:t>1.本项目需要落实的政府采购政策：</w:t>
      </w:r>
    </w:p>
    <w:p w14:paraId="2AA65EB5">
      <w:pPr>
        <w:ind w:firstLine="480" w:firstLineChars="200"/>
        <w:rPr>
          <w:sz w:val="24"/>
        </w:rPr>
      </w:pPr>
      <w:r>
        <w:rPr>
          <w:rFonts w:hint="eastAsia"/>
          <w:sz w:val="24"/>
        </w:rPr>
        <w:t>（1）执行《财政部发展改革委关于印发《节能产品政府采购品目清单》的通知》（财库[2019]19 号）</w:t>
      </w:r>
    </w:p>
    <w:p w14:paraId="39F17145">
      <w:pPr>
        <w:ind w:firstLine="480" w:firstLineChars="200"/>
        <w:rPr>
          <w:sz w:val="24"/>
        </w:rPr>
      </w:pPr>
    </w:p>
    <w:p w14:paraId="44599C9F">
      <w:pPr>
        <w:ind w:firstLine="480" w:firstLineChars="200"/>
        <w:rPr>
          <w:sz w:val="24"/>
        </w:rPr>
      </w:pPr>
      <w:r>
        <w:rPr>
          <w:rFonts w:hint="eastAsia"/>
          <w:sz w:val="24"/>
        </w:rPr>
        <w:t>（2）执行《财政部生态环境部关于印发《环境标志产品政府采购品目清单》的通知（财库[2019]18 号）；</w:t>
      </w:r>
    </w:p>
    <w:p w14:paraId="4793A84C">
      <w:pPr>
        <w:ind w:firstLine="480" w:firstLineChars="200"/>
        <w:rPr>
          <w:sz w:val="24"/>
        </w:rPr>
      </w:pPr>
    </w:p>
    <w:p w14:paraId="67BAD20E">
      <w:pPr>
        <w:ind w:firstLine="480" w:firstLineChars="200"/>
        <w:rPr>
          <w:sz w:val="24"/>
        </w:rPr>
      </w:pPr>
      <w:r>
        <w:rPr>
          <w:rFonts w:hint="eastAsia"/>
          <w:sz w:val="24"/>
        </w:rPr>
        <w:t>（</w:t>
      </w:r>
      <w:r>
        <w:rPr>
          <w:sz w:val="24"/>
        </w:rPr>
        <w:t>3</w:t>
      </w:r>
      <w:r>
        <w:rPr>
          <w:rFonts w:hint="eastAsia"/>
          <w:sz w:val="24"/>
        </w:rPr>
        <w:t>）执行《政府采购促进中小企业发展管理办法》（财库〔</w:t>
      </w:r>
      <w:r>
        <w:rPr>
          <w:sz w:val="24"/>
        </w:rPr>
        <w:t>2020</w:t>
      </w:r>
      <w:r>
        <w:rPr>
          <w:rFonts w:hint="eastAsia"/>
          <w:sz w:val="24"/>
        </w:rPr>
        <w:t>〕</w:t>
      </w:r>
      <w:r>
        <w:rPr>
          <w:sz w:val="24"/>
        </w:rPr>
        <w:t>46</w:t>
      </w:r>
      <w:r>
        <w:rPr>
          <w:rFonts w:hint="eastAsia"/>
          <w:sz w:val="24"/>
        </w:rPr>
        <w:t>号）；</w:t>
      </w:r>
    </w:p>
    <w:p w14:paraId="6D723D97">
      <w:pPr>
        <w:ind w:firstLine="480" w:firstLineChars="200"/>
        <w:rPr>
          <w:sz w:val="24"/>
        </w:rPr>
      </w:pPr>
    </w:p>
    <w:p w14:paraId="6D13F014">
      <w:pPr>
        <w:ind w:firstLine="480" w:firstLineChars="200"/>
        <w:rPr>
          <w:sz w:val="24"/>
        </w:rPr>
      </w:pPr>
      <w:r>
        <w:rPr>
          <w:rFonts w:hint="eastAsia"/>
          <w:sz w:val="24"/>
        </w:rPr>
        <w:t>（</w:t>
      </w:r>
      <w:r>
        <w:rPr>
          <w:sz w:val="24"/>
        </w:rPr>
        <w:t>4</w:t>
      </w:r>
      <w:r>
        <w:rPr>
          <w:rFonts w:hint="eastAsia"/>
          <w:sz w:val="24"/>
        </w:rPr>
        <w:t>）财库〔</w:t>
      </w:r>
      <w:r>
        <w:rPr>
          <w:sz w:val="24"/>
        </w:rPr>
        <w:t>2022</w:t>
      </w:r>
      <w:r>
        <w:rPr>
          <w:rFonts w:hint="eastAsia"/>
          <w:sz w:val="24"/>
        </w:rPr>
        <w:t>〕</w:t>
      </w:r>
      <w:r>
        <w:rPr>
          <w:sz w:val="24"/>
        </w:rPr>
        <w:t>19</w:t>
      </w:r>
      <w:r>
        <w:rPr>
          <w:rFonts w:hint="eastAsia"/>
          <w:sz w:val="24"/>
        </w:rPr>
        <w:t>号《财政部关于进一步加大政府采购支持中小企业力度的通知》；</w:t>
      </w:r>
    </w:p>
    <w:p w14:paraId="2DD11217">
      <w:pPr>
        <w:ind w:firstLine="480" w:firstLineChars="200"/>
        <w:rPr>
          <w:sz w:val="24"/>
        </w:rPr>
      </w:pPr>
    </w:p>
    <w:p w14:paraId="174AB2A4">
      <w:pPr>
        <w:ind w:firstLine="480" w:firstLineChars="200"/>
        <w:rPr>
          <w:sz w:val="24"/>
        </w:rPr>
      </w:pPr>
      <w:r>
        <w:rPr>
          <w:rFonts w:hint="eastAsia"/>
          <w:sz w:val="24"/>
        </w:rPr>
        <w:t>（5）执行《财政部关于开展政府采购信用担保试点工作方案》（财库[2011]124号）；</w:t>
      </w:r>
    </w:p>
    <w:p w14:paraId="2B291ED3">
      <w:pPr>
        <w:ind w:firstLine="480" w:firstLineChars="200"/>
        <w:rPr>
          <w:sz w:val="24"/>
        </w:rPr>
      </w:pPr>
    </w:p>
    <w:p w14:paraId="15187BC4">
      <w:pPr>
        <w:ind w:firstLine="480" w:firstLineChars="200"/>
        <w:rPr>
          <w:sz w:val="24"/>
        </w:rPr>
      </w:pPr>
      <w:r>
        <w:rPr>
          <w:rFonts w:hint="eastAsia"/>
          <w:sz w:val="24"/>
        </w:rPr>
        <w:t>（6）执行《财政部、司法部关于政府采购支持监狱企业发展有关问题的通知》（财库[2014]68号）；</w:t>
      </w:r>
    </w:p>
    <w:p w14:paraId="6FFFE1DE">
      <w:pPr>
        <w:ind w:firstLine="480" w:firstLineChars="200"/>
        <w:rPr>
          <w:sz w:val="24"/>
        </w:rPr>
      </w:pPr>
    </w:p>
    <w:p w14:paraId="64CE5452">
      <w:pPr>
        <w:ind w:firstLine="480" w:firstLineChars="200"/>
        <w:rPr>
          <w:sz w:val="24"/>
        </w:rPr>
      </w:pPr>
      <w:r>
        <w:rPr>
          <w:rFonts w:hint="eastAsia"/>
          <w:sz w:val="24"/>
        </w:rPr>
        <w:t>（7）执行《关于促进残疾人就业政府采购政策的通知》（财库〔2017〕141号）；</w:t>
      </w:r>
    </w:p>
    <w:p w14:paraId="43013E00">
      <w:pPr>
        <w:ind w:firstLine="480" w:firstLineChars="200"/>
        <w:rPr>
          <w:sz w:val="24"/>
        </w:rPr>
      </w:pPr>
    </w:p>
    <w:p w14:paraId="0E5A4870">
      <w:pPr>
        <w:ind w:firstLine="480" w:firstLineChars="200"/>
        <w:rPr>
          <w:sz w:val="24"/>
        </w:rPr>
      </w:pPr>
      <w:r>
        <w:rPr>
          <w:rFonts w:hint="eastAsia"/>
          <w:sz w:val="24"/>
        </w:rPr>
        <w:t>（8）执行《财政部关于在政府采购活动中查询及使用信用记录有关问题的通知》（财库[2016]125号）；</w:t>
      </w:r>
    </w:p>
    <w:p w14:paraId="08758F7E">
      <w:pPr>
        <w:ind w:firstLine="480" w:firstLineChars="200"/>
        <w:rPr>
          <w:sz w:val="24"/>
        </w:rPr>
      </w:pPr>
    </w:p>
    <w:p w14:paraId="13117008">
      <w:pPr>
        <w:ind w:firstLine="480" w:firstLineChars="200"/>
        <w:rPr>
          <w:sz w:val="24"/>
        </w:rPr>
      </w:pPr>
      <w:r>
        <w:rPr>
          <w:rFonts w:hint="eastAsia"/>
          <w:sz w:val="24"/>
        </w:rPr>
        <w:t>（</w:t>
      </w:r>
      <w:r>
        <w:rPr>
          <w:sz w:val="24"/>
        </w:rPr>
        <w:t>9</w:t>
      </w:r>
      <w:r>
        <w:rPr>
          <w:rFonts w:hint="eastAsia"/>
          <w:sz w:val="24"/>
        </w:rPr>
        <w:t>）政府采购进口产品管理政策</w:t>
      </w:r>
      <w:r>
        <w:rPr>
          <w:sz w:val="24"/>
        </w:rPr>
        <w:t>(</w:t>
      </w:r>
      <w:r>
        <w:rPr>
          <w:rFonts w:hint="eastAsia"/>
          <w:sz w:val="24"/>
        </w:rPr>
        <w:t>财库</w:t>
      </w:r>
      <w:r>
        <w:rPr>
          <w:sz w:val="24"/>
        </w:rPr>
        <w:t>[2007]119</w:t>
      </w:r>
      <w:r>
        <w:rPr>
          <w:rFonts w:hint="eastAsia"/>
          <w:sz w:val="24"/>
        </w:rPr>
        <w:t>号、财库</w:t>
      </w:r>
      <w:r>
        <w:rPr>
          <w:sz w:val="24"/>
        </w:rPr>
        <w:t>[2008]248</w:t>
      </w:r>
      <w:r>
        <w:rPr>
          <w:rFonts w:hint="eastAsia"/>
          <w:sz w:val="24"/>
        </w:rPr>
        <w:t>号</w:t>
      </w:r>
      <w:r>
        <w:rPr>
          <w:sz w:val="24"/>
        </w:rPr>
        <w:t>)</w:t>
      </w:r>
      <w:r>
        <w:rPr>
          <w:rFonts w:hint="eastAsia"/>
          <w:sz w:val="24"/>
        </w:rPr>
        <w:t>；</w:t>
      </w:r>
    </w:p>
    <w:p w14:paraId="49364D2E">
      <w:pPr>
        <w:rPr>
          <w:sz w:val="24"/>
        </w:rPr>
      </w:pPr>
    </w:p>
    <w:p w14:paraId="368E7D1C">
      <w:pPr>
        <w:numPr>
          <w:ilvl w:val="0"/>
          <w:numId w:val="8"/>
        </w:numPr>
        <w:ind w:firstLine="480" w:firstLineChars="200"/>
        <w:rPr>
          <w:sz w:val="24"/>
        </w:rPr>
      </w:pPr>
      <w:r>
        <w:rPr>
          <w:rFonts w:hint="eastAsia"/>
          <w:sz w:val="24"/>
        </w:rPr>
        <w:t>北京市财政局关于落实好政府采购支持中小企业发展的通知</w:t>
      </w:r>
      <w:r>
        <w:rPr>
          <w:sz w:val="24"/>
        </w:rPr>
        <w:t>(</w:t>
      </w:r>
      <w:r>
        <w:rPr>
          <w:rFonts w:hint="eastAsia"/>
          <w:sz w:val="24"/>
        </w:rPr>
        <w:t>京财采购〔</w:t>
      </w:r>
      <w:r>
        <w:rPr>
          <w:sz w:val="24"/>
        </w:rPr>
        <w:t>2022</w:t>
      </w:r>
      <w:r>
        <w:rPr>
          <w:rFonts w:hint="eastAsia"/>
          <w:sz w:val="24"/>
        </w:rPr>
        <w:t>〕</w:t>
      </w:r>
      <w:r>
        <w:rPr>
          <w:sz w:val="24"/>
        </w:rPr>
        <w:t>1143</w:t>
      </w:r>
      <w:r>
        <w:rPr>
          <w:rFonts w:hint="eastAsia"/>
          <w:sz w:val="24"/>
        </w:rPr>
        <w:t>号</w:t>
      </w:r>
      <w:r>
        <w:rPr>
          <w:sz w:val="24"/>
        </w:rPr>
        <w:t>)</w:t>
      </w:r>
      <w:r>
        <w:rPr>
          <w:rFonts w:hint="eastAsia"/>
          <w:sz w:val="24"/>
        </w:rPr>
        <w:t>。</w:t>
      </w:r>
    </w:p>
    <w:p w14:paraId="7EEA83A5">
      <w:pPr>
        <w:pStyle w:val="40"/>
      </w:pPr>
    </w:p>
    <w:p w14:paraId="6AB64DC5">
      <w:pPr>
        <w:widowControl/>
        <w:adjustRightInd w:val="0"/>
        <w:snapToGrid w:val="0"/>
        <w:spacing w:line="360" w:lineRule="auto"/>
        <w:ind w:firstLine="480" w:firstLineChars="200"/>
        <w:jc w:val="left"/>
        <w:rPr>
          <w:bCs/>
          <w:sz w:val="24"/>
        </w:rPr>
      </w:pPr>
      <w:r>
        <w:rPr>
          <w:rFonts w:hint="eastAsia"/>
          <w:sz w:val="24"/>
        </w:rPr>
        <w:t>2</w:t>
      </w:r>
      <w:r>
        <w:rPr>
          <w:sz w:val="24"/>
        </w:rPr>
        <w:t>.本项目采用全流程电子化采购方式，请供应商认真学习北京市政府采购电子交易平台发布的相关操作手册，办理CA认证证书、进行北京市政府采购电子交易平台注册绑定，并认真核实</w:t>
      </w:r>
      <w:r>
        <w:rPr>
          <w:bCs/>
          <w:sz w:val="24"/>
        </w:rPr>
        <w:t>数字认证证书情况确认是否符合本项目电子化采购流程要求。</w:t>
      </w:r>
    </w:p>
    <w:p w14:paraId="36A10178">
      <w:pPr>
        <w:adjustRightInd w:val="0"/>
        <w:snapToGrid w:val="0"/>
        <w:spacing w:line="360" w:lineRule="auto"/>
        <w:ind w:firstLine="480" w:firstLineChars="200"/>
        <w:rPr>
          <w:sz w:val="24"/>
        </w:rPr>
      </w:pPr>
      <w:r>
        <w:rPr>
          <w:sz w:val="24"/>
        </w:rPr>
        <w:t>CA认证证书服务热线 010-58511086</w:t>
      </w:r>
    </w:p>
    <w:p w14:paraId="5C237E06">
      <w:pPr>
        <w:adjustRightInd w:val="0"/>
        <w:snapToGrid w:val="0"/>
        <w:spacing w:line="360" w:lineRule="auto"/>
        <w:ind w:firstLine="480" w:firstLineChars="200"/>
        <w:rPr>
          <w:sz w:val="24"/>
        </w:rPr>
      </w:pPr>
      <w:r>
        <w:rPr>
          <w:sz w:val="24"/>
        </w:rPr>
        <w:t>技术支持服务热线    010-86483801</w:t>
      </w:r>
    </w:p>
    <w:p w14:paraId="61B7E3D8">
      <w:pPr>
        <w:widowControl/>
        <w:adjustRightInd w:val="0"/>
        <w:snapToGrid w:val="0"/>
        <w:spacing w:line="360" w:lineRule="auto"/>
        <w:ind w:firstLine="480" w:firstLineChars="200"/>
        <w:jc w:val="left"/>
        <w:rPr>
          <w:sz w:val="24"/>
        </w:rPr>
      </w:pPr>
      <w:r>
        <w:rPr>
          <w:rFonts w:hint="eastAsia"/>
          <w:sz w:val="24"/>
        </w:rPr>
        <w:t>2</w:t>
      </w:r>
      <w:r>
        <w:rPr>
          <w:sz w:val="24"/>
        </w:rPr>
        <w:t>.1办理CA认证证书</w:t>
      </w:r>
    </w:p>
    <w:p w14:paraId="7E72EF69">
      <w:pPr>
        <w:widowControl/>
        <w:adjustRightInd w:val="0"/>
        <w:snapToGrid w:val="0"/>
        <w:spacing w:line="360" w:lineRule="auto"/>
        <w:ind w:firstLine="480" w:firstLineChars="200"/>
        <w:jc w:val="left"/>
        <w:rPr>
          <w:sz w:val="24"/>
        </w:rPr>
      </w:pPr>
      <w:r>
        <w:rPr>
          <w:sz w:val="24"/>
        </w:rPr>
        <w:t>供应商登录北京市政府采购电子交易平台查阅 “用户指南”—“操作指南”—“市场主体CA办理操作流程指引”，按照程序要求办理。</w:t>
      </w:r>
    </w:p>
    <w:p w14:paraId="3345FBF9">
      <w:pPr>
        <w:adjustRightInd w:val="0"/>
        <w:snapToGrid w:val="0"/>
        <w:spacing w:line="360" w:lineRule="auto"/>
        <w:ind w:firstLine="480" w:firstLineChars="200"/>
        <w:rPr>
          <w:sz w:val="24"/>
        </w:rPr>
      </w:pPr>
      <w:r>
        <w:rPr>
          <w:rFonts w:hint="eastAsia"/>
          <w:sz w:val="24"/>
        </w:rPr>
        <w:t>2</w:t>
      </w:r>
      <w:r>
        <w:rPr>
          <w:sz w:val="24"/>
        </w:rPr>
        <w:t>.2注册</w:t>
      </w:r>
    </w:p>
    <w:p w14:paraId="3CBD1822">
      <w:pPr>
        <w:adjustRightInd w:val="0"/>
        <w:snapToGrid w:val="0"/>
        <w:spacing w:line="360" w:lineRule="auto"/>
        <w:ind w:firstLine="480" w:firstLineChars="200"/>
        <w:rPr>
          <w:sz w:val="24"/>
        </w:rPr>
      </w:pPr>
      <w:r>
        <w:rPr>
          <w:sz w:val="24"/>
        </w:rPr>
        <w:t>供应商登录北京市政府采购电子交易平台“用户指南”—“操作指南”—“市场主体注册入库操作流程指引”进行自助注册绑定。</w:t>
      </w:r>
    </w:p>
    <w:p w14:paraId="39EC25CD">
      <w:pPr>
        <w:widowControl/>
        <w:adjustRightInd w:val="0"/>
        <w:snapToGrid w:val="0"/>
        <w:spacing w:line="360" w:lineRule="auto"/>
        <w:ind w:firstLine="480" w:firstLineChars="200"/>
        <w:jc w:val="left"/>
        <w:rPr>
          <w:sz w:val="24"/>
        </w:rPr>
      </w:pPr>
      <w:r>
        <w:rPr>
          <w:rFonts w:hint="eastAsia"/>
          <w:sz w:val="24"/>
        </w:rPr>
        <w:t>2</w:t>
      </w:r>
      <w:r>
        <w:rPr>
          <w:sz w:val="24"/>
        </w:rPr>
        <w:t>.3驱动、客户端下载</w:t>
      </w:r>
    </w:p>
    <w:p w14:paraId="5F650B15">
      <w:pPr>
        <w:widowControl/>
        <w:adjustRightInd w:val="0"/>
        <w:snapToGrid w:val="0"/>
        <w:spacing w:line="360" w:lineRule="auto"/>
        <w:ind w:firstLine="480" w:firstLineChars="200"/>
        <w:jc w:val="left"/>
        <w:rPr>
          <w:sz w:val="24"/>
        </w:rPr>
      </w:pPr>
      <w:r>
        <w:rPr>
          <w:sz w:val="24"/>
        </w:rPr>
        <w:t>供应商登录北京市政府采购电子交易平台“用户指南”—“工具下载”—“招标采购系统文件驱动安装包”下载相关驱动。</w:t>
      </w:r>
    </w:p>
    <w:p w14:paraId="3355A7E2">
      <w:pPr>
        <w:adjustRightInd w:val="0"/>
        <w:snapToGrid w:val="0"/>
        <w:spacing w:line="360" w:lineRule="auto"/>
        <w:ind w:firstLine="480" w:firstLineChars="200"/>
        <w:rPr>
          <w:sz w:val="24"/>
        </w:rPr>
      </w:pPr>
      <w:r>
        <w:rPr>
          <w:sz w:val="24"/>
        </w:rPr>
        <w:t>供应商登录北京市政府采购电子交易平台“用户指南”—“工具下载”—“投标文件编制工具”下载相关客户端。</w:t>
      </w:r>
    </w:p>
    <w:p w14:paraId="692D3AC1">
      <w:pPr>
        <w:adjustRightInd w:val="0"/>
        <w:snapToGrid w:val="0"/>
        <w:spacing w:line="360" w:lineRule="auto"/>
        <w:ind w:firstLine="480" w:firstLineChars="200"/>
        <w:rPr>
          <w:sz w:val="24"/>
        </w:rPr>
      </w:pPr>
      <w:r>
        <w:rPr>
          <w:rFonts w:hint="eastAsia"/>
          <w:sz w:val="24"/>
        </w:rPr>
        <w:t>2</w:t>
      </w:r>
      <w:r>
        <w:rPr>
          <w:sz w:val="24"/>
        </w:rPr>
        <w:t>.4 获取电子招标文件</w:t>
      </w:r>
    </w:p>
    <w:p w14:paraId="25D119A0">
      <w:pPr>
        <w:adjustRightInd w:val="0"/>
        <w:snapToGrid w:val="0"/>
        <w:spacing w:line="360" w:lineRule="auto"/>
        <w:ind w:firstLine="480" w:firstLineChars="200"/>
        <w:rPr>
          <w:sz w:val="24"/>
        </w:rPr>
      </w:pPr>
      <w:r>
        <w:rPr>
          <w:sz w:val="24"/>
        </w:rPr>
        <w:t>供应商持CA数字认证证书登录北京市政府采购电子交易平台获取电子招标文件。未在规定期限内通过北京市政府采购电子交易平台获取招标文件的</w:t>
      </w:r>
      <w:r>
        <w:rPr>
          <w:b/>
          <w:sz w:val="24"/>
        </w:rPr>
        <w:t>投标无效</w:t>
      </w:r>
      <w:r>
        <w:rPr>
          <w:sz w:val="24"/>
        </w:rPr>
        <w:t>。</w:t>
      </w:r>
    </w:p>
    <w:p w14:paraId="524C51D5">
      <w:pPr>
        <w:adjustRightInd w:val="0"/>
        <w:snapToGrid w:val="0"/>
        <w:spacing w:line="360" w:lineRule="auto"/>
        <w:ind w:firstLine="480" w:firstLineChars="200"/>
        <w:rPr>
          <w:sz w:val="24"/>
        </w:rPr>
      </w:pPr>
      <w:r>
        <w:rPr>
          <w:rFonts w:hint="eastAsia"/>
          <w:sz w:val="24"/>
        </w:rPr>
        <w:t>2</w:t>
      </w:r>
      <w:r>
        <w:rPr>
          <w:sz w:val="24"/>
        </w:rPr>
        <w:t>.5编制电子投标文件</w:t>
      </w:r>
    </w:p>
    <w:p w14:paraId="37AC5668">
      <w:pPr>
        <w:adjustRightInd w:val="0"/>
        <w:snapToGrid w:val="0"/>
        <w:spacing w:line="360" w:lineRule="auto"/>
        <w:ind w:firstLine="480" w:firstLineChars="200"/>
        <w:rPr>
          <w:sz w:val="24"/>
        </w:rPr>
      </w:pPr>
      <w:r>
        <w:rPr>
          <w:sz w:val="24"/>
        </w:rPr>
        <w:t>供应商应使用电子投标客户端编制电子投标文件并进行线上投标，供应商电子投标文件需要加密并加盖电子签章</w:t>
      </w:r>
      <w:r>
        <w:rPr>
          <w:bCs/>
          <w:sz w:val="24"/>
        </w:rPr>
        <w:t>，如无法按照要求在电子投标文件中加盖电子签章和加密，请及时通过技术支持服务热线联系技术人员</w:t>
      </w:r>
      <w:r>
        <w:rPr>
          <w:sz w:val="24"/>
        </w:rPr>
        <w:t>。</w:t>
      </w:r>
    </w:p>
    <w:p w14:paraId="4520A445">
      <w:pPr>
        <w:widowControl/>
        <w:spacing w:line="360" w:lineRule="auto"/>
        <w:ind w:firstLine="480" w:firstLineChars="200"/>
        <w:jc w:val="left"/>
        <w:rPr>
          <w:sz w:val="24"/>
          <w:lang w:val="zh-TW"/>
        </w:rPr>
      </w:pPr>
      <w:r>
        <w:rPr>
          <w:rFonts w:hint="eastAsia"/>
          <w:sz w:val="24"/>
        </w:rPr>
        <w:t>2</w:t>
      </w:r>
      <w:r>
        <w:rPr>
          <w:sz w:val="24"/>
          <w:lang w:val="zh-TW" w:eastAsia="zh-TW"/>
        </w:rPr>
        <w:t>.6</w:t>
      </w:r>
      <w:r>
        <w:rPr>
          <w:sz w:val="24"/>
          <w:lang w:val="zh-TW"/>
        </w:rPr>
        <w:t>提交电子投标文件</w:t>
      </w:r>
    </w:p>
    <w:p w14:paraId="68AC7499">
      <w:pPr>
        <w:widowControl/>
        <w:spacing w:line="360" w:lineRule="auto"/>
        <w:ind w:firstLine="480" w:firstLineChars="200"/>
        <w:jc w:val="left"/>
        <w:rPr>
          <w:sz w:val="24"/>
        </w:rPr>
      </w:pPr>
      <w:r>
        <w:rPr>
          <w:sz w:val="24"/>
        </w:rPr>
        <w:t>供应商应于投标截止时间前在北京市政府采购电子交易平台提交电子投标文件，上传电子投标文件过程中请保持与互联网的连接畅通。</w:t>
      </w:r>
    </w:p>
    <w:p w14:paraId="319A91B7">
      <w:pPr>
        <w:widowControl/>
        <w:spacing w:line="360" w:lineRule="auto"/>
        <w:ind w:firstLine="480" w:firstLineChars="200"/>
        <w:jc w:val="left"/>
        <w:rPr>
          <w:sz w:val="24"/>
          <w:lang w:eastAsia="zh-TW"/>
        </w:rPr>
      </w:pPr>
      <w:r>
        <w:rPr>
          <w:rFonts w:hint="eastAsia"/>
          <w:sz w:val="24"/>
        </w:rPr>
        <w:t>2</w:t>
      </w:r>
      <w:r>
        <w:rPr>
          <w:sz w:val="24"/>
          <w:lang w:val="zh-TW"/>
        </w:rPr>
        <w:t>.</w:t>
      </w:r>
      <w:r>
        <w:rPr>
          <w:sz w:val="24"/>
          <w:lang w:val="zh-TW" w:eastAsia="zh-TW"/>
        </w:rPr>
        <w:t>7</w:t>
      </w:r>
      <w:r>
        <w:rPr>
          <w:sz w:val="24"/>
          <w:lang w:val="zh-TW"/>
        </w:rPr>
        <w:t>电子开标</w:t>
      </w:r>
    </w:p>
    <w:p w14:paraId="265D5BB6">
      <w:pPr>
        <w:spacing w:line="360" w:lineRule="auto"/>
        <w:ind w:firstLine="480" w:firstLineChars="200"/>
        <w:rPr>
          <w:sz w:val="24"/>
        </w:rPr>
      </w:pPr>
      <w:r>
        <w:rPr>
          <w:sz w:val="24"/>
          <w:lang w:val="zh-TW"/>
        </w:rPr>
        <w:t>供应商在开标地点使用</w:t>
      </w:r>
      <w:r>
        <w:rPr>
          <w:sz w:val="24"/>
        </w:rPr>
        <w:t>CA认证证书</w:t>
      </w:r>
      <w:r>
        <w:rPr>
          <w:sz w:val="24"/>
          <w:lang w:val="zh-TW"/>
        </w:rPr>
        <w:t>登录</w:t>
      </w:r>
      <w:r>
        <w:rPr>
          <w:sz w:val="24"/>
        </w:rPr>
        <w:t>北京市政府采购电子交易平台进行电子开标</w:t>
      </w:r>
      <w:r>
        <w:rPr>
          <w:sz w:val="24"/>
          <w:lang w:val="zh-TW"/>
        </w:rPr>
        <w:t>。</w:t>
      </w:r>
    </w:p>
    <w:p w14:paraId="1B188D90">
      <w:pPr>
        <w:pStyle w:val="3"/>
        <w:spacing w:before="0" w:line="360" w:lineRule="auto"/>
        <w:jc w:val="left"/>
        <w:rPr>
          <w:rFonts w:ascii="Times New Roman" w:hAnsi="Times New Roman" w:eastAsia="宋体"/>
          <w:sz w:val="24"/>
          <w:szCs w:val="24"/>
        </w:rPr>
      </w:pPr>
      <w:bookmarkStart w:id="32" w:name="_Toc35393627"/>
      <w:bookmarkStart w:id="33" w:name="_Toc28359085"/>
      <w:bookmarkStart w:id="34" w:name="_Toc35393796"/>
      <w:bookmarkStart w:id="35" w:name="_Toc28359008"/>
      <w:r>
        <w:rPr>
          <w:rFonts w:ascii="Times New Roman" w:hAnsi="Times New Roman" w:eastAsia="宋体"/>
          <w:sz w:val="24"/>
          <w:szCs w:val="24"/>
        </w:rPr>
        <w:t>七、对本次招标提出询问，请按以下方式联系。</w:t>
      </w:r>
      <w:bookmarkEnd w:id="32"/>
      <w:bookmarkEnd w:id="33"/>
      <w:bookmarkEnd w:id="34"/>
      <w:bookmarkEnd w:id="35"/>
    </w:p>
    <w:p w14:paraId="1A8EBE17">
      <w:pPr>
        <w:widowControl/>
        <w:spacing w:line="360" w:lineRule="auto"/>
        <w:jc w:val="left"/>
        <w:rPr>
          <w:b/>
          <w:sz w:val="24"/>
        </w:rPr>
      </w:pPr>
      <w:r>
        <w:rPr>
          <w:sz w:val="24"/>
        </w:rPr>
        <w:t>　　　</w:t>
      </w:r>
      <w:r>
        <w:rPr>
          <w:b/>
          <w:sz w:val="24"/>
        </w:rPr>
        <w:t>1.采购人信息</w:t>
      </w:r>
    </w:p>
    <w:p w14:paraId="243DFB0A">
      <w:pPr>
        <w:spacing w:line="360" w:lineRule="auto"/>
        <w:ind w:left="1079" w:leftChars="371" w:hanging="300" w:hangingChars="125"/>
        <w:jc w:val="left"/>
        <w:rPr>
          <w:sz w:val="24"/>
        </w:rPr>
      </w:pPr>
      <w:bookmarkStart w:id="36" w:name="_Toc28359086"/>
      <w:bookmarkStart w:id="37" w:name="_Toc28359009"/>
      <w:r>
        <w:rPr>
          <w:sz w:val="24"/>
        </w:rPr>
        <w:t>名    称：</w:t>
      </w:r>
      <w:r>
        <w:rPr>
          <w:rFonts w:hint="eastAsia"/>
          <w:sz w:val="24"/>
        </w:rPr>
        <w:t>北京市门头沟区档案史志馆</w:t>
      </w:r>
    </w:p>
    <w:p w14:paraId="355FD9C8">
      <w:pPr>
        <w:spacing w:line="360" w:lineRule="auto"/>
        <w:ind w:left="1079" w:leftChars="371" w:hanging="300" w:hangingChars="125"/>
        <w:jc w:val="left"/>
        <w:rPr>
          <w:sz w:val="24"/>
        </w:rPr>
      </w:pPr>
      <w:r>
        <w:rPr>
          <w:sz w:val="24"/>
        </w:rPr>
        <w:t>地    址：</w:t>
      </w:r>
      <w:r>
        <w:rPr>
          <w:rFonts w:hint="eastAsia"/>
          <w:sz w:val="24"/>
        </w:rPr>
        <w:t>北京市</w:t>
      </w:r>
      <w:r>
        <w:rPr>
          <w:rFonts w:hint="eastAsia"/>
          <w:kern w:val="0"/>
          <w:sz w:val="24"/>
        </w:rPr>
        <w:t>门头沟区石龙北路31号201</w:t>
      </w:r>
    </w:p>
    <w:p w14:paraId="7FE272E2">
      <w:pPr>
        <w:spacing w:line="360" w:lineRule="auto"/>
        <w:ind w:left="1079" w:leftChars="371" w:hanging="300" w:hangingChars="125"/>
        <w:jc w:val="left"/>
        <w:rPr>
          <w:sz w:val="24"/>
        </w:rPr>
      </w:pPr>
      <w:r>
        <w:rPr>
          <w:rFonts w:hint="eastAsia"/>
          <w:sz w:val="24"/>
        </w:rPr>
        <w:t>联系方式：赵立冬</w:t>
      </w:r>
      <w:r>
        <w:rPr>
          <w:rFonts w:hint="eastAsia"/>
          <w:kern w:val="0"/>
          <w:sz w:val="24"/>
        </w:rPr>
        <w:t>，60804795</w:t>
      </w:r>
    </w:p>
    <w:p w14:paraId="5F937F96">
      <w:pPr>
        <w:spacing w:line="360" w:lineRule="auto"/>
        <w:ind w:left="1080" w:leftChars="371" w:hanging="301" w:hangingChars="125"/>
        <w:jc w:val="left"/>
        <w:rPr>
          <w:b/>
          <w:sz w:val="24"/>
        </w:rPr>
      </w:pPr>
      <w:r>
        <w:rPr>
          <w:b/>
          <w:sz w:val="24"/>
        </w:rPr>
        <w:t>2.采购代理机构信息</w:t>
      </w:r>
      <w:bookmarkEnd w:id="36"/>
      <w:bookmarkEnd w:id="37"/>
    </w:p>
    <w:p w14:paraId="3DC78D46">
      <w:pPr>
        <w:spacing w:line="360" w:lineRule="auto"/>
        <w:ind w:left="1079" w:leftChars="371" w:hanging="300" w:hangingChars="125"/>
        <w:jc w:val="left"/>
        <w:rPr>
          <w:sz w:val="24"/>
        </w:rPr>
      </w:pPr>
      <w:bookmarkStart w:id="38" w:name="_Toc28359010"/>
      <w:bookmarkStart w:id="39" w:name="_Toc28359087"/>
      <w:bookmarkStart w:id="985" w:name="_GoBack"/>
      <w:r>
        <w:rPr>
          <w:sz w:val="24"/>
        </w:rPr>
        <w:t>名    称：</w:t>
      </w:r>
      <w:r>
        <w:rPr>
          <w:rFonts w:hint="eastAsia"/>
          <w:sz w:val="24"/>
        </w:rPr>
        <w:t xml:space="preserve">北京建龙通达工程管理有限公司  </w:t>
      </w:r>
    </w:p>
    <w:p w14:paraId="10952FA0">
      <w:pPr>
        <w:spacing w:line="360" w:lineRule="auto"/>
        <w:ind w:left="1079" w:leftChars="371" w:hanging="300" w:hangingChars="125"/>
        <w:jc w:val="left"/>
        <w:rPr>
          <w:sz w:val="24"/>
        </w:rPr>
      </w:pPr>
      <w:r>
        <w:rPr>
          <w:rFonts w:hint="eastAsia"/>
          <w:sz w:val="24"/>
        </w:rPr>
        <w:t>地    址：</w:t>
      </w:r>
      <w:r>
        <w:rPr>
          <w:rFonts w:hint="eastAsia"/>
          <w:kern w:val="0"/>
          <w:sz w:val="24"/>
        </w:rPr>
        <w:t>北京市门头沟区石龙北路20号5层501室</w:t>
      </w:r>
    </w:p>
    <w:p w14:paraId="30DC039A">
      <w:pPr>
        <w:spacing w:line="360" w:lineRule="auto"/>
        <w:ind w:left="1079" w:leftChars="371" w:hanging="300" w:hangingChars="125"/>
        <w:jc w:val="left"/>
        <w:rPr>
          <w:sz w:val="24"/>
        </w:rPr>
      </w:pPr>
      <w:r>
        <w:rPr>
          <w:rFonts w:hint="eastAsia"/>
          <w:sz w:val="24"/>
        </w:rPr>
        <w:t>联系方式：</w:t>
      </w:r>
      <w:r>
        <w:rPr>
          <w:rFonts w:hint="eastAsia"/>
          <w:kern w:val="0"/>
          <w:sz w:val="24"/>
        </w:rPr>
        <w:t>李泽，15600665235</w:t>
      </w:r>
    </w:p>
    <w:bookmarkEnd w:id="985"/>
    <w:p w14:paraId="0CC3CF23">
      <w:pPr>
        <w:spacing w:line="360" w:lineRule="auto"/>
        <w:ind w:firstLine="723" w:firstLineChars="300"/>
        <w:rPr>
          <w:b/>
          <w:sz w:val="24"/>
          <w:u w:val="single"/>
        </w:rPr>
      </w:pPr>
      <w:r>
        <w:rPr>
          <w:b/>
          <w:sz w:val="24"/>
        </w:rPr>
        <w:t>3.项目联系方式</w:t>
      </w:r>
      <w:bookmarkEnd w:id="38"/>
      <w:bookmarkEnd w:id="39"/>
    </w:p>
    <w:p w14:paraId="5B0F937F">
      <w:pPr>
        <w:pStyle w:val="25"/>
        <w:spacing w:line="360" w:lineRule="auto"/>
        <w:ind w:firstLine="720" w:firstLineChars="300"/>
        <w:rPr>
          <w:rFonts w:hint="default" w:ascii="Times New Roman" w:hAnsi="Times New Roman"/>
          <w:sz w:val="24"/>
          <w:szCs w:val="24"/>
        </w:rPr>
      </w:pPr>
      <w:r>
        <w:rPr>
          <w:rFonts w:hint="default" w:ascii="Times New Roman" w:hAnsi="Times New Roman"/>
          <w:sz w:val="24"/>
          <w:szCs w:val="24"/>
        </w:rPr>
        <w:t>项目联系人：</w:t>
      </w:r>
      <w:r>
        <w:rPr>
          <w:kern w:val="0"/>
          <w:sz w:val="24"/>
        </w:rPr>
        <w:t>李泽</w:t>
      </w:r>
    </w:p>
    <w:p w14:paraId="205978CB">
      <w:pPr>
        <w:pStyle w:val="25"/>
        <w:spacing w:line="360" w:lineRule="auto"/>
        <w:ind w:firstLine="720" w:firstLineChars="300"/>
        <w:rPr>
          <w:rFonts w:hint="default" w:ascii="Times New Roman" w:hAnsi="Times New Roman"/>
          <w:sz w:val="24"/>
          <w:szCs w:val="24"/>
        </w:rPr>
      </w:pPr>
      <w:r>
        <w:rPr>
          <w:rFonts w:hint="default" w:ascii="Times New Roman" w:hAnsi="Times New Roman"/>
          <w:sz w:val="24"/>
        </w:rPr>
        <w:t>电      话：</w:t>
      </w:r>
      <w:r>
        <w:rPr>
          <w:kern w:val="0"/>
          <w:sz w:val="24"/>
        </w:rPr>
        <w:t>15600665235</w:t>
      </w:r>
    </w:p>
    <w:p w14:paraId="4AB2A76B">
      <w:pPr>
        <w:spacing w:line="360" w:lineRule="auto"/>
        <w:jc w:val="center"/>
        <w:rPr>
          <w:rStyle w:val="59"/>
        </w:rPr>
        <w:sectPr>
          <w:footerReference r:id="rId11" w:type="default"/>
          <w:pgSz w:w="11907" w:h="16840"/>
          <w:pgMar w:top="1418" w:right="1134" w:bottom="1418" w:left="1701" w:header="851" w:footer="851" w:gutter="0"/>
          <w:pgNumType w:start="1"/>
          <w:cols w:space="720" w:num="1"/>
          <w:docGrid w:linePitch="462" w:charSpace="0"/>
        </w:sectPr>
      </w:pPr>
      <w:bookmarkStart w:id="40" w:name="_Toc226965856"/>
      <w:bookmarkStart w:id="41" w:name="_Toc195842950"/>
      <w:bookmarkStart w:id="42" w:name="_Toc305158928"/>
      <w:bookmarkStart w:id="43" w:name="_Toc353873938"/>
      <w:bookmarkStart w:id="44" w:name="_Toc353825548"/>
      <w:bookmarkStart w:id="45" w:name="_Toc127151777"/>
      <w:bookmarkStart w:id="46" w:name="_Toc7921"/>
      <w:bookmarkStart w:id="47" w:name="_Toc127161488"/>
      <w:bookmarkStart w:id="48" w:name="_Toc264969275"/>
      <w:bookmarkStart w:id="49" w:name="_Toc150774783"/>
      <w:bookmarkStart w:id="50" w:name="_Toc305158854"/>
      <w:bookmarkStart w:id="51" w:name="_Toc512937850"/>
      <w:bookmarkStart w:id="52" w:name="_Toc99301420"/>
      <w:bookmarkStart w:id="53" w:name="_Toc265228423"/>
    </w:p>
    <w:p w14:paraId="269053BB">
      <w:pPr>
        <w:spacing w:line="360" w:lineRule="auto"/>
        <w:jc w:val="center"/>
        <w:outlineLvl w:val="0"/>
        <w:rPr>
          <w:b/>
          <w:sz w:val="32"/>
          <w:szCs w:val="32"/>
        </w:rPr>
      </w:pPr>
      <w:bookmarkStart w:id="54" w:name="_Toc26954"/>
      <w:r>
        <w:rPr>
          <w:rStyle w:val="59"/>
        </w:rPr>
        <w:t>第二章   投标人须知</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0F4C5EE">
      <w:pPr>
        <w:pStyle w:val="3"/>
        <w:tabs>
          <w:tab w:val="center" w:pos="4592"/>
          <w:tab w:val="left" w:pos="7860"/>
        </w:tabs>
        <w:spacing w:before="0" w:line="360" w:lineRule="auto"/>
        <w:rPr>
          <w:rFonts w:ascii="Times New Roman" w:hAnsi="Times New Roman" w:eastAsia="宋体"/>
          <w:sz w:val="28"/>
        </w:rPr>
      </w:pPr>
      <w:bookmarkStart w:id="55" w:name="_Toc127151519"/>
      <w:bookmarkStart w:id="56" w:name="_Toc226309763"/>
      <w:bookmarkStart w:id="57" w:name="_Toc150509270"/>
      <w:bookmarkStart w:id="58" w:name="_Toc164608788"/>
      <w:bookmarkStart w:id="59" w:name="_Toc226965709"/>
      <w:bookmarkStart w:id="60" w:name="_Toc142311021"/>
      <w:bookmarkStart w:id="61" w:name="_Toc151190146"/>
      <w:bookmarkStart w:id="62" w:name="_Toc520356144"/>
      <w:bookmarkStart w:id="63" w:name="_Toc151193689"/>
      <w:bookmarkStart w:id="64" w:name="_Toc164229214"/>
      <w:bookmarkStart w:id="65" w:name="_Toc149720812"/>
      <w:bookmarkStart w:id="66" w:name="_Toc226965792"/>
      <w:bookmarkStart w:id="67" w:name="_Toc150774724"/>
      <w:bookmarkStart w:id="68" w:name="_Toc151193907"/>
      <w:bookmarkStart w:id="69" w:name="_Toc164351613"/>
      <w:bookmarkStart w:id="70" w:name="_Toc151193761"/>
      <w:bookmarkStart w:id="71" w:name="_Toc151193833"/>
      <w:bookmarkStart w:id="72" w:name="_Toc226337215"/>
      <w:bookmarkStart w:id="73" w:name="_Toc127151720"/>
      <w:bookmarkStart w:id="74" w:name="_Toc150774619"/>
      <w:bookmarkStart w:id="75" w:name="_Toc195842884"/>
      <w:bookmarkStart w:id="76" w:name="_Toc164229360"/>
      <w:bookmarkStart w:id="77" w:name="_Toc164608633"/>
      <w:bookmarkStart w:id="78" w:name="_Toc151193617"/>
      <w:bookmarkStart w:id="79" w:name="_Toc127161433"/>
      <w:bookmarkStart w:id="80" w:name="_Toc150480757"/>
      <w:r>
        <w:rPr>
          <w:rFonts w:ascii="Times New Roman" w:hAnsi="Times New Roman" w:eastAsia="宋体"/>
          <w:sz w:val="28"/>
        </w:rPr>
        <w:t>投标人须知资料表</w:t>
      </w:r>
    </w:p>
    <w:p w14:paraId="70402580">
      <w:pPr>
        <w:spacing w:line="360" w:lineRule="auto"/>
        <w:ind w:firstLine="480"/>
        <w:rPr>
          <w:sz w:val="24"/>
        </w:rPr>
      </w:pPr>
      <w:r>
        <w:rPr>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的选项意为适用于本项目，标记“□”的选项意为不适用于本项目。</w:t>
      </w:r>
    </w:p>
    <w:tbl>
      <w:tblPr>
        <w:tblStyle w:val="4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5F30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jc w:val="center"/>
        </w:trPr>
        <w:tc>
          <w:tcPr>
            <w:tcW w:w="988" w:type="dxa"/>
            <w:vAlign w:val="center"/>
          </w:tcPr>
          <w:p w14:paraId="1EE11C56">
            <w:pPr>
              <w:jc w:val="center"/>
              <w:rPr>
                <w:b/>
                <w:bCs/>
                <w:sz w:val="24"/>
              </w:rPr>
            </w:pPr>
            <w:r>
              <w:rPr>
                <w:b/>
                <w:sz w:val="24"/>
              </w:rPr>
              <w:t>条款号</w:t>
            </w:r>
          </w:p>
        </w:tc>
        <w:tc>
          <w:tcPr>
            <w:tcW w:w="1701" w:type="dxa"/>
            <w:vAlign w:val="center"/>
          </w:tcPr>
          <w:p w14:paraId="4508D2E9">
            <w:pPr>
              <w:jc w:val="center"/>
              <w:rPr>
                <w:b/>
                <w:bCs/>
                <w:sz w:val="24"/>
              </w:rPr>
            </w:pPr>
            <w:r>
              <w:rPr>
                <w:b/>
                <w:bCs/>
                <w:sz w:val="24"/>
              </w:rPr>
              <w:t>条目</w:t>
            </w:r>
          </w:p>
        </w:tc>
        <w:tc>
          <w:tcPr>
            <w:tcW w:w="7540" w:type="dxa"/>
            <w:vAlign w:val="center"/>
          </w:tcPr>
          <w:p w14:paraId="009DBDB2">
            <w:pPr>
              <w:jc w:val="center"/>
              <w:rPr>
                <w:b/>
                <w:bCs/>
                <w:sz w:val="24"/>
              </w:rPr>
            </w:pPr>
            <w:r>
              <w:rPr>
                <w:b/>
                <w:bCs/>
                <w:sz w:val="24"/>
              </w:rPr>
              <w:t>内容</w:t>
            </w:r>
          </w:p>
        </w:tc>
      </w:tr>
      <w:tr w14:paraId="03A3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DFF5E6B">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3D380CA6">
            <w:pPr>
              <w:jc w:val="center"/>
              <w:rPr>
                <w:sz w:val="24"/>
              </w:rPr>
            </w:pPr>
            <w:r>
              <w:rPr>
                <w:sz w:val="24"/>
              </w:rPr>
              <w:t>项目属性</w:t>
            </w:r>
          </w:p>
        </w:tc>
        <w:tc>
          <w:tcPr>
            <w:tcW w:w="7540" w:type="dxa"/>
            <w:vAlign w:val="center"/>
          </w:tcPr>
          <w:p w14:paraId="76770E59">
            <w:pPr>
              <w:jc w:val="left"/>
              <w:rPr>
                <w:sz w:val="24"/>
              </w:rPr>
            </w:pPr>
            <w:r>
              <w:rPr>
                <w:sz w:val="24"/>
              </w:rPr>
              <w:t>项目属性：</w:t>
            </w:r>
          </w:p>
          <w:p w14:paraId="4A47639E">
            <w:pPr>
              <w:jc w:val="left"/>
              <w:rPr>
                <w:sz w:val="24"/>
              </w:rPr>
            </w:pPr>
            <w:r>
              <w:rPr>
                <w:sz w:val="32"/>
                <w:szCs w:val="32"/>
              </w:rPr>
              <w:t>■</w:t>
            </w:r>
            <w:r>
              <w:rPr>
                <w:sz w:val="24"/>
              </w:rPr>
              <w:t>服务</w:t>
            </w:r>
          </w:p>
          <w:p w14:paraId="4EC3B0BC">
            <w:pPr>
              <w:jc w:val="left"/>
              <w:rPr>
                <w:sz w:val="24"/>
                <w:u w:val="single"/>
              </w:rPr>
            </w:pPr>
            <w:r>
              <w:rPr>
                <w:sz w:val="24"/>
              </w:rPr>
              <w:t>□货物</w:t>
            </w:r>
          </w:p>
        </w:tc>
      </w:tr>
      <w:tr w14:paraId="0C9E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E00E11">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3BA1D62E">
            <w:pPr>
              <w:jc w:val="center"/>
              <w:rPr>
                <w:sz w:val="24"/>
              </w:rPr>
            </w:pPr>
            <w:r>
              <w:rPr>
                <w:sz w:val="24"/>
              </w:rPr>
              <w:t>科研仪器设备</w:t>
            </w:r>
          </w:p>
        </w:tc>
        <w:tc>
          <w:tcPr>
            <w:tcW w:w="7540" w:type="dxa"/>
            <w:vAlign w:val="center"/>
          </w:tcPr>
          <w:p w14:paraId="4693B9FB">
            <w:pPr>
              <w:jc w:val="left"/>
              <w:rPr>
                <w:sz w:val="24"/>
              </w:rPr>
            </w:pPr>
            <w:r>
              <w:rPr>
                <w:sz w:val="24"/>
              </w:rPr>
              <w:t>是否属于科研仪器设备采购项目：</w:t>
            </w:r>
          </w:p>
          <w:p w14:paraId="36E7E2EB">
            <w:pPr>
              <w:jc w:val="left"/>
              <w:rPr>
                <w:sz w:val="24"/>
              </w:rPr>
            </w:pPr>
            <w:r>
              <w:rPr>
                <w:sz w:val="24"/>
              </w:rPr>
              <w:t>□是</w:t>
            </w:r>
          </w:p>
          <w:p w14:paraId="3C4A9A94">
            <w:pPr>
              <w:jc w:val="left"/>
              <w:rPr>
                <w:sz w:val="24"/>
              </w:rPr>
            </w:pPr>
            <w:r>
              <w:rPr>
                <w:sz w:val="32"/>
                <w:szCs w:val="32"/>
              </w:rPr>
              <w:t>■</w:t>
            </w:r>
            <w:r>
              <w:rPr>
                <w:sz w:val="24"/>
              </w:rPr>
              <w:t>否</w:t>
            </w:r>
          </w:p>
        </w:tc>
      </w:tr>
      <w:tr w14:paraId="33A1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E74C8E5">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14:paraId="4F02F534">
            <w:pPr>
              <w:jc w:val="center"/>
              <w:rPr>
                <w:sz w:val="24"/>
              </w:rPr>
            </w:pPr>
            <w:r>
              <w:rPr>
                <w:sz w:val="24"/>
              </w:rPr>
              <w:t>核心产品</w:t>
            </w:r>
          </w:p>
        </w:tc>
        <w:tc>
          <w:tcPr>
            <w:tcW w:w="7540" w:type="dxa"/>
            <w:vAlign w:val="center"/>
          </w:tcPr>
          <w:p w14:paraId="41D5869F">
            <w:pPr>
              <w:pStyle w:val="25"/>
              <w:adjustRightInd w:val="0"/>
              <w:snapToGrid w:val="0"/>
              <w:rPr>
                <w:rFonts w:hint="default" w:ascii="Times New Roman" w:hAnsi="Times New Roman"/>
                <w:sz w:val="24"/>
                <w:szCs w:val="24"/>
              </w:rPr>
            </w:pPr>
            <w:r>
              <w:rPr>
                <w:rFonts w:hint="default" w:ascii="Times New Roman" w:hAnsi="Times New Roman"/>
                <w:sz w:val="32"/>
                <w:szCs w:val="32"/>
              </w:rPr>
              <w:t>■</w:t>
            </w:r>
            <w:r>
              <w:rPr>
                <w:rFonts w:hint="default" w:ascii="Times New Roman" w:hAnsi="Times New Roman"/>
                <w:sz w:val="24"/>
                <w:szCs w:val="24"/>
              </w:rPr>
              <w:t>关于核心产品本项目不适用。</w:t>
            </w:r>
          </w:p>
          <w:p w14:paraId="10942B50">
            <w:pPr>
              <w:pStyle w:val="25"/>
              <w:adjustRightInd w:val="0"/>
              <w:snapToGrid w:val="0"/>
              <w:rPr>
                <w:rFonts w:hint="default" w:ascii="Times New Roman" w:hAnsi="Times New Roman"/>
                <w:sz w:val="24"/>
                <w:szCs w:val="24"/>
              </w:rPr>
            </w:pPr>
            <w:r>
              <w:rPr>
                <w:rFonts w:ascii="Times New Roman" w:hAnsi="Times New Roman"/>
                <w:sz w:val="24"/>
                <w:szCs w:val="24"/>
              </w:rPr>
              <w:t>□</w:t>
            </w:r>
            <w:r>
              <w:rPr>
                <w:rFonts w:hint="default" w:ascii="Times New Roman" w:hAnsi="Times New Roman"/>
                <w:sz w:val="24"/>
                <w:szCs w:val="24"/>
              </w:rPr>
              <w:t>本项目__包为单一产品采购项目。</w:t>
            </w:r>
          </w:p>
          <w:p w14:paraId="5418BEFE">
            <w:pPr>
              <w:jc w:val="left"/>
              <w:rPr>
                <w:sz w:val="24"/>
              </w:rPr>
            </w:pPr>
            <w:r>
              <w:rPr>
                <w:rFonts w:hint="eastAsia"/>
                <w:sz w:val="24"/>
              </w:rPr>
              <w:t>□</w:t>
            </w:r>
            <w:r>
              <w:rPr>
                <w:sz w:val="24"/>
              </w:rPr>
              <w:t>本项目__包为非单一产品采购项目，核心产品为：____。</w:t>
            </w:r>
          </w:p>
        </w:tc>
      </w:tr>
      <w:tr w14:paraId="48D4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3ED2A7D">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65A8E6AF">
            <w:pPr>
              <w:jc w:val="center"/>
              <w:rPr>
                <w:sz w:val="24"/>
              </w:rPr>
            </w:pPr>
            <w:r>
              <w:rPr>
                <w:sz w:val="24"/>
              </w:rPr>
              <w:t>现场考察</w:t>
            </w:r>
          </w:p>
        </w:tc>
        <w:tc>
          <w:tcPr>
            <w:tcW w:w="7540" w:type="dxa"/>
            <w:vAlign w:val="center"/>
          </w:tcPr>
          <w:p w14:paraId="7E7C3DCA">
            <w:pPr>
              <w:jc w:val="left"/>
              <w:rPr>
                <w:sz w:val="24"/>
              </w:rPr>
            </w:pPr>
            <w:r>
              <w:rPr>
                <w:sz w:val="32"/>
                <w:szCs w:val="32"/>
              </w:rPr>
              <w:t>■</w:t>
            </w:r>
            <w:r>
              <w:rPr>
                <w:sz w:val="24"/>
              </w:rPr>
              <w:t>不组织</w:t>
            </w:r>
          </w:p>
          <w:p w14:paraId="2D1B440F">
            <w:pPr>
              <w:jc w:val="left"/>
              <w:rPr>
                <w:bCs/>
                <w:sz w:val="24"/>
              </w:rPr>
            </w:pPr>
            <w:r>
              <w:rPr>
                <w:sz w:val="24"/>
              </w:rPr>
              <w:t>□组织，考察时间：__年_月_日_</w:t>
            </w:r>
            <w:r>
              <w:rPr>
                <w:bCs/>
                <w:sz w:val="24"/>
              </w:rPr>
              <w:t>点</w:t>
            </w:r>
            <w:r>
              <w:rPr>
                <w:sz w:val="24"/>
              </w:rPr>
              <w:t>_</w:t>
            </w:r>
            <w:r>
              <w:rPr>
                <w:bCs/>
                <w:sz w:val="24"/>
              </w:rPr>
              <w:t>分</w:t>
            </w:r>
          </w:p>
          <w:p w14:paraId="4CD054FC">
            <w:pPr>
              <w:pStyle w:val="25"/>
              <w:adjustRightInd w:val="0"/>
              <w:snapToGrid w:val="0"/>
              <w:rPr>
                <w:rFonts w:hint="default" w:ascii="Times New Roman" w:hAnsi="Times New Roman"/>
                <w:sz w:val="24"/>
                <w:szCs w:val="24"/>
              </w:rPr>
            </w:pPr>
            <w:r>
              <w:rPr>
                <w:rFonts w:hint="default" w:ascii="Times New Roman" w:hAnsi="Times New Roman"/>
                <w:sz w:val="24"/>
              </w:rPr>
              <w:t>考察地点：____________</w:t>
            </w:r>
            <w:r>
              <w:rPr>
                <w:rFonts w:ascii="Times New Roman" w:hAnsi="Times New Roman"/>
                <w:sz w:val="24"/>
              </w:rPr>
              <w:t>。</w:t>
            </w:r>
          </w:p>
        </w:tc>
      </w:tr>
      <w:tr w14:paraId="0C59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293CEE54">
            <w:pPr>
              <w:pStyle w:val="25"/>
              <w:adjustRightInd w:val="0"/>
              <w:snapToGrid w:val="0"/>
              <w:jc w:val="center"/>
              <w:rPr>
                <w:rFonts w:hint="default" w:ascii="Times New Roman" w:hAnsi="Times New Roman"/>
                <w:sz w:val="24"/>
                <w:szCs w:val="24"/>
              </w:rPr>
            </w:pPr>
          </w:p>
        </w:tc>
        <w:tc>
          <w:tcPr>
            <w:tcW w:w="1701" w:type="dxa"/>
            <w:vAlign w:val="center"/>
          </w:tcPr>
          <w:p w14:paraId="13750105">
            <w:pPr>
              <w:jc w:val="center"/>
              <w:rPr>
                <w:sz w:val="24"/>
              </w:rPr>
            </w:pPr>
            <w:r>
              <w:rPr>
                <w:sz w:val="24"/>
              </w:rPr>
              <w:t>开标前答疑会</w:t>
            </w:r>
          </w:p>
        </w:tc>
        <w:tc>
          <w:tcPr>
            <w:tcW w:w="7540" w:type="dxa"/>
            <w:vAlign w:val="center"/>
          </w:tcPr>
          <w:p w14:paraId="22D7C123">
            <w:pPr>
              <w:jc w:val="left"/>
              <w:rPr>
                <w:sz w:val="24"/>
              </w:rPr>
            </w:pPr>
            <w:r>
              <w:rPr>
                <w:sz w:val="32"/>
                <w:szCs w:val="32"/>
              </w:rPr>
              <w:t>■</w:t>
            </w:r>
            <w:r>
              <w:rPr>
                <w:sz w:val="24"/>
              </w:rPr>
              <w:t>不召开</w:t>
            </w:r>
          </w:p>
          <w:p w14:paraId="7324061D">
            <w:pPr>
              <w:jc w:val="left"/>
              <w:rPr>
                <w:sz w:val="24"/>
              </w:rPr>
            </w:pPr>
            <w:r>
              <w:rPr>
                <w:sz w:val="24"/>
              </w:rPr>
              <w:t>□召开，召开时间：__年_月_日_</w:t>
            </w:r>
            <w:r>
              <w:rPr>
                <w:bCs/>
                <w:sz w:val="24"/>
              </w:rPr>
              <w:t>点</w:t>
            </w:r>
            <w:r>
              <w:rPr>
                <w:sz w:val="24"/>
              </w:rPr>
              <w:t>_</w:t>
            </w:r>
            <w:r>
              <w:rPr>
                <w:bCs/>
                <w:sz w:val="24"/>
              </w:rPr>
              <w:t>分</w:t>
            </w:r>
          </w:p>
          <w:p w14:paraId="41FF5E20">
            <w:pPr>
              <w:jc w:val="left"/>
              <w:rPr>
                <w:sz w:val="24"/>
              </w:rPr>
            </w:pPr>
            <w:r>
              <w:rPr>
                <w:sz w:val="24"/>
              </w:rPr>
              <w:t>召开地点：____________</w:t>
            </w:r>
            <w:r>
              <w:rPr>
                <w:rFonts w:hint="eastAsia"/>
                <w:sz w:val="24"/>
              </w:rPr>
              <w:t>。</w:t>
            </w:r>
          </w:p>
        </w:tc>
      </w:tr>
      <w:tr w14:paraId="15BB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128EC8">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14:paraId="378B9096">
            <w:pPr>
              <w:jc w:val="center"/>
              <w:rPr>
                <w:sz w:val="24"/>
              </w:rPr>
            </w:pPr>
            <w:r>
              <w:rPr>
                <w:sz w:val="24"/>
              </w:rPr>
              <w:t>样品</w:t>
            </w:r>
          </w:p>
        </w:tc>
        <w:tc>
          <w:tcPr>
            <w:tcW w:w="7540" w:type="dxa"/>
            <w:vAlign w:val="center"/>
          </w:tcPr>
          <w:p w14:paraId="666365B4">
            <w:pPr>
              <w:jc w:val="left"/>
              <w:rPr>
                <w:sz w:val="24"/>
              </w:rPr>
            </w:pPr>
            <w:r>
              <w:rPr>
                <w:sz w:val="24"/>
              </w:rPr>
              <w:t>投标样品递交：</w:t>
            </w:r>
          </w:p>
          <w:p w14:paraId="3A1FC3FA">
            <w:pPr>
              <w:jc w:val="left"/>
              <w:rPr>
                <w:sz w:val="24"/>
              </w:rPr>
            </w:pPr>
            <w:r>
              <w:rPr>
                <w:sz w:val="32"/>
                <w:szCs w:val="32"/>
              </w:rPr>
              <w:t>■</w:t>
            </w:r>
            <w:r>
              <w:rPr>
                <w:sz w:val="24"/>
              </w:rPr>
              <w:t>不需要</w:t>
            </w:r>
          </w:p>
          <w:p w14:paraId="32E35E4D">
            <w:pPr>
              <w:jc w:val="left"/>
              <w:rPr>
                <w:sz w:val="24"/>
              </w:rPr>
            </w:pPr>
            <w:r>
              <w:rPr>
                <w:sz w:val="24"/>
              </w:rPr>
              <w:t>□需要，具体要求如下：</w:t>
            </w:r>
          </w:p>
          <w:p w14:paraId="0B4008E7">
            <w:pPr>
              <w:jc w:val="left"/>
              <w:rPr>
                <w:sz w:val="24"/>
                <w:u w:val="single"/>
              </w:rPr>
            </w:pPr>
            <w:r>
              <w:rPr>
                <w:sz w:val="24"/>
              </w:rPr>
              <w:t>（1）样品制作的标准和要求：_________；</w:t>
            </w:r>
          </w:p>
          <w:p w14:paraId="69974DC1">
            <w:pPr>
              <w:jc w:val="left"/>
              <w:rPr>
                <w:sz w:val="24"/>
              </w:rPr>
            </w:pPr>
            <w:r>
              <w:rPr>
                <w:sz w:val="24"/>
              </w:rPr>
              <w:t>（2）是否需要随样品提交相关检测报告：</w:t>
            </w:r>
          </w:p>
          <w:p w14:paraId="1598E3E3">
            <w:pPr>
              <w:ind w:firstLine="600" w:firstLineChars="250"/>
              <w:jc w:val="left"/>
              <w:rPr>
                <w:sz w:val="24"/>
              </w:rPr>
            </w:pPr>
            <w:r>
              <w:rPr>
                <w:sz w:val="24"/>
              </w:rPr>
              <w:t>□不需要</w:t>
            </w:r>
          </w:p>
          <w:p w14:paraId="77C31128">
            <w:pPr>
              <w:ind w:firstLine="600" w:firstLineChars="250"/>
              <w:jc w:val="left"/>
              <w:rPr>
                <w:sz w:val="24"/>
              </w:rPr>
            </w:pPr>
            <w:r>
              <w:rPr>
                <w:sz w:val="24"/>
              </w:rPr>
              <w:t>□需要</w:t>
            </w:r>
          </w:p>
          <w:p w14:paraId="7E038895">
            <w:pPr>
              <w:jc w:val="left"/>
              <w:rPr>
                <w:sz w:val="24"/>
              </w:rPr>
            </w:pPr>
            <w:r>
              <w:rPr>
                <w:sz w:val="24"/>
              </w:rPr>
              <w:t>（3）样品递交要求：_________；</w:t>
            </w:r>
          </w:p>
          <w:p w14:paraId="24BCEF4C">
            <w:pPr>
              <w:jc w:val="left"/>
              <w:rPr>
                <w:sz w:val="24"/>
              </w:rPr>
            </w:pPr>
            <w:r>
              <w:rPr>
                <w:sz w:val="24"/>
              </w:rPr>
              <w:t>（4）未中标人样品退还：_________；</w:t>
            </w:r>
          </w:p>
          <w:p w14:paraId="75B7C46B">
            <w:pPr>
              <w:jc w:val="left"/>
              <w:rPr>
                <w:sz w:val="24"/>
                <w:u w:val="single"/>
              </w:rPr>
            </w:pPr>
            <w:r>
              <w:rPr>
                <w:sz w:val="24"/>
              </w:rPr>
              <w:t>（5）中标人样品保管、封存及退还：_________；</w:t>
            </w:r>
          </w:p>
          <w:p w14:paraId="09D61963">
            <w:pPr>
              <w:jc w:val="left"/>
              <w:rPr>
                <w:sz w:val="24"/>
              </w:rPr>
            </w:pPr>
            <w:r>
              <w:rPr>
                <w:sz w:val="24"/>
              </w:rPr>
              <w:t>（6）其他要求（如有）：_________。</w:t>
            </w:r>
          </w:p>
        </w:tc>
      </w:tr>
      <w:tr w14:paraId="1CD8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C4091D5">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14:paraId="0422344B">
            <w:pPr>
              <w:jc w:val="center"/>
              <w:rPr>
                <w:sz w:val="24"/>
              </w:rPr>
            </w:pPr>
            <w:r>
              <w:rPr>
                <w:sz w:val="24"/>
              </w:rPr>
              <w:t>标的所属行业</w:t>
            </w:r>
          </w:p>
        </w:tc>
        <w:tc>
          <w:tcPr>
            <w:tcW w:w="7540" w:type="dxa"/>
            <w:vAlign w:val="center"/>
          </w:tcPr>
          <w:p w14:paraId="22E22AA2">
            <w:pPr>
              <w:jc w:val="left"/>
              <w:rPr>
                <w:sz w:val="24"/>
              </w:rPr>
            </w:pPr>
            <w:r>
              <w:rPr>
                <w:sz w:val="24"/>
              </w:rPr>
              <w:t>本项目采购标的对应的</w:t>
            </w:r>
            <w:r>
              <w:rPr>
                <w:rFonts w:hint="eastAsia"/>
                <w:sz w:val="24"/>
              </w:rPr>
              <w:t>中小企业划分标准所属行业：</w:t>
            </w:r>
          </w:p>
          <w:tbl>
            <w:tblPr>
              <w:tblStyle w:val="45"/>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3"/>
              <w:gridCol w:w="3341"/>
            </w:tblGrid>
            <w:tr w14:paraId="58CD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3973" w:type="dxa"/>
                  <w:tcBorders>
                    <w:top w:val="single" w:color="auto" w:sz="4" w:space="0"/>
                    <w:left w:val="single" w:color="auto" w:sz="4" w:space="0"/>
                    <w:bottom w:val="single" w:color="auto" w:sz="4" w:space="0"/>
                    <w:right w:val="single" w:color="auto" w:sz="4" w:space="0"/>
                  </w:tcBorders>
                  <w:vAlign w:val="center"/>
                </w:tcPr>
                <w:p w14:paraId="2F464FD2">
                  <w:pPr>
                    <w:jc w:val="center"/>
                    <w:rPr>
                      <w:bCs/>
                      <w:sz w:val="24"/>
                    </w:rPr>
                  </w:pPr>
                  <w:r>
                    <w:rPr>
                      <w:rFonts w:hint="eastAsia"/>
                      <w:bCs/>
                      <w:sz w:val="24"/>
                    </w:rPr>
                    <w:t>项目名称</w:t>
                  </w:r>
                </w:p>
              </w:tc>
              <w:tc>
                <w:tcPr>
                  <w:tcW w:w="3341" w:type="dxa"/>
                  <w:tcBorders>
                    <w:top w:val="single" w:color="auto" w:sz="4" w:space="0"/>
                    <w:left w:val="single" w:color="auto" w:sz="4" w:space="0"/>
                    <w:bottom w:val="single" w:color="auto" w:sz="4" w:space="0"/>
                    <w:right w:val="single" w:color="auto" w:sz="4" w:space="0"/>
                  </w:tcBorders>
                  <w:vAlign w:val="center"/>
                </w:tcPr>
                <w:p w14:paraId="55C97257">
                  <w:pPr>
                    <w:jc w:val="center"/>
                    <w:rPr>
                      <w:sz w:val="24"/>
                    </w:rPr>
                  </w:pPr>
                  <w:r>
                    <w:rPr>
                      <w:sz w:val="24"/>
                    </w:rPr>
                    <w:t>中小企业划分标准所属行业</w:t>
                  </w:r>
                </w:p>
              </w:tc>
            </w:tr>
            <w:tr w14:paraId="3D5A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73" w:type="dxa"/>
                  <w:tcBorders>
                    <w:top w:val="single" w:color="auto" w:sz="4" w:space="0"/>
                    <w:left w:val="single" w:color="auto" w:sz="4" w:space="0"/>
                    <w:bottom w:val="single" w:color="auto" w:sz="4" w:space="0"/>
                    <w:right w:val="single" w:color="auto" w:sz="4" w:space="0"/>
                  </w:tcBorders>
                  <w:vAlign w:val="center"/>
                </w:tcPr>
                <w:p w14:paraId="31C22BC2">
                  <w:pPr>
                    <w:rPr>
                      <w:bCs/>
                      <w:sz w:val="24"/>
                    </w:rPr>
                  </w:pPr>
                  <w:r>
                    <w:rPr>
                      <w:rFonts w:hint="eastAsia"/>
                      <w:bCs/>
                      <w:sz w:val="24"/>
                    </w:rPr>
                    <w:t>北京市门头沟区档案馆新馆网络通讯安全系统及楼宇控制系统工程</w:t>
                  </w:r>
                </w:p>
              </w:tc>
              <w:tc>
                <w:tcPr>
                  <w:tcW w:w="3341" w:type="dxa"/>
                  <w:tcBorders>
                    <w:top w:val="single" w:color="auto" w:sz="4" w:space="0"/>
                    <w:left w:val="single" w:color="auto" w:sz="4" w:space="0"/>
                    <w:bottom w:val="single" w:color="auto" w:sz="4" w:space="0"/>
                    <w:right w:val="single" w:color="auto" w:sz="4" w:space="0"/>
                  </w:tcBorders>
                  <w:vAlign w:val="center"/>
                </w:tcPr>
                <w:p w14:paraId="5207065A">
                  <w:pPr>
                    <w:pStyle w:val="39"/>
                    <w:widowControl w:val="0"/>
                    <w:spacing w:before="0" w:beforeAutospacing="0" w:after="0" w:afterAutospacing="0"/>
                    <w:jc w:val="center"/>
                    <w:rPr>
                      <w:bCs/>
                    </w:rPr>
                  </w:pPr>
                  <w:r>
                    <w:rPr>
                      <w:rFonts w:hint="eastAsia"/>
                      <w:color w:val="000000"/>
                    </w:rPr>
                    <w:t>软件和信息技术服务业</w:t>
                  </w:r>
                </w:p>
              </w:tc>
            </w:tr>
          </w:tbl>
          <w:p w14:paraId="57848FF9">
            <w:pPr>
              <w:jc w:val="left"/>
              <w:rPr>
                <w:sz w:val="24"/>
              </w:rPr>
            </w:pPr>
          </w:p>
        </w:tc>
      </w:tr>
    </w:tbl>
    <w:p w14:paraId="0AC8F5C3">
      <w:r>
        <w:br w:type="page"/>
      </w:r>
    </w:p>
    <w:tbl>
      <w:tblPr>
        <w:tblStyle w:val="45"/>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7B94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88" w:type="dxa"/>
            <w:vAlign w:val="center"/>
          </w:tcPr>
          <w:p w14:paraId="18AA9BBA">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11.2</w:t>
            </w:r>
          </w:p>
        </w:tc>
        <w:tc>
          <w:tcPr>
            <w:tcW w:w="1701" w:type="dxa"/>
            <w:vAlign w:val="center"/>
          </w:tcPr>
          <w:p w14:paraId="266D6CCB">
            <w:pPr>
              <w:jc w:val="center"/>
              <w:rPr>
                <w:sz w:val="24"/>
              </w:rPr>
            </w:pPr>
            <w:r>
              <w:rPr>
                <w:rFonts w:hint="eastAsia"/>
                <w:sz w:val="24"/>
              </w:rPr>
              <w:t>投标报价</w:t>
            </w:r>
          </w:p>
        </w:tc>
        <w:tc>
          <w:tcPr>
            <w:tcW w:w="7540" w:type="dxa"/>
            <w:vAlign w:val="center"/>
          </w:tcPr>
          <w:p w14:paraId="3A02F375">
            <w:pPr>
              <w:jc w:val="left"/>
              <w:rPr>
                <w:sz w:val="24"/>
              </w:rPr>
            </w:pPr>
            <w:r>
              <w:rPr>
                <w:rFonts w:hint="eastAsia"/>
                <w:sz w:val="24"/>
              </w:rPr>
              <w:t>投标报价的特殊规定：</w:t>
            </w:r>
          </w:p>
          <w:p w14:paraId="0CB1DA24">
            <w:pPr>
              <w:jc w:val="left"/>
              <w:rPr>
                <w:sz w:val="24"/>
              </w:rPr>
            </w:pPr>
            <w:r>
              <w:rPr>
                <w:sz w:val="24"/>
              </w:rPr>
              <w:t>□无</w:t>
            </w:r>
          </w:p>
          <w:p w14:paraId="3D58F972">
            <w:pPr>
              <w:jc w:val="left"/>
              <w:rPr>
                <w:sz w:val="24"/>
              </w:rPr>
            </w:pPr>
            <w:r>
              <w:rPr>
                <w:rFonts w:hint="eastAsia"/>
                <w:sz w:val="24"/>
              </w:rPr>
              <w:t>■</w:t>
            </w:r>
            <w:r>
              <w:rPr>
                <w:sz w:val="24"/>
              </w:rPr>
              <w:t>有，具体情形：</w:t>
            </w:r>
            <w:r>
              <w:rPr>
                <w:rFonts w:hint="eastAsia"/>
                <w:color w:val="000000" w:themeColor="text1"/>
                <w:sz w:val="24"/>
                <w:u w:val="single"/>
                <w14:textFill>
                  <w14:solidFill>
                    <w14:schemeClr w14:val="tx1"/>
                  </w14:solidFill>
                </w14:textFill>
              </w:rPr>
              <w:t>需使用广联达软件编制投标报价，应符合《建设工程工程量清单计价规范》（GB 50500-2013）以及北京市工程造价管理部门的相关配套规定</w:t>
            </w:r>
            <w:r>
              <w:rPr>
                <w:color w:val="000000" w:themeColor="text1"/>
                <w:sz w:val="24"/>
                <w:u w:val="single"/>
                <w14:textFill>
                  <w14:solidFill>
                    <w14:schemeClr w14:val="tx1"/>
                  </w14:solidFill>
                </w14:textFill>
              </w:rPr>
              <w:t>。</w:t>
            </w:r>
          </w:p>
        </w:tc>
      </w:tr>
      <w:tr w14:paraId="1FB7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079DDB5C">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vAlign w:val="center"/>
          </w:tcPr>
          <w:p w14:paraId="22A66A1C">
            <w:pPr>
              <w:jc w:val="center"/>
              <w:rPr>
                <w:sz w:val="24"/>
              </w:rPr>
            </w:pPr>
            <w:r>
              <w:rPr>
                <w:sz w:val="24"/>
              </w:rPr>
              <w:t>投标保证金</w:t>
            </w:r>
          </w:p>
        </w:tc>
        <w:tc>
          <w:tcPr>
            <w:tcW w:w="7540" w:type="dxa"/>
            <w:vAlign w:val="center"/>
          </w:tcPr>
          <w:p w14:paraId="68304984">
            <w:pPr>
              <w:pStyle w:val="25"/>
              <w:adjustRightInd w:val="0"/>
              <w:snapToGrid w:val="0"/>
              <w:rPr>
                <w:rFonts w:hint="default" w:ascii="Times New Roman" w:hAnsi="Times New Roman"/>
                <w:sz w:val="24"/>
                <w:szCs w:val="24"/>
              </w:rPr>
            </w:pPr>
            <w:r>
              <w:rPr>
                <w:rFonts w:hint="default" w:ascii="Times New Roman" w:hAnsi="Times New Roman"/>
                <w:sz w:val="24"/>
                <w:szCs w:val="24"/>
              </w:rPr>
              <w:t>投标保证金金额：</w:t>
            </w:r>
            <w:r>
              <w:rPr>
                <w:sz w:val="24"/>
              </w:rPr>
              <w:t xml:space="preserve">（无） </w:t>
            </w:r>
          </w:p>
          <w:p w14:paraId="02472E36">
            <w:pPr>
              <w:pStyle w:val="25"/>
              <w:adjustRightInd w:val="0"/>
              <w:snapToGrid w:val="0"/>
              <w:rPr>
                <w:rFonts w:hint="default" w:ascii="Times New Roman" w:hAnsi="Times New Roman"/>
                <w:sz w:val="24"/>
                <w:szCs w:val="24"/>
              </w:rPr>
            </w:pPr>
            <w:r>
              <w:rPr>
                <w:rFonts w:hint="default" w:ascii="Times New Roman" w:hAnsi="Times New Roman"/>
                <w:sz w:val="24"/>
                <w:szCs w:val="24"/>
              </w:rPr>
              <w:t>01</w:t>
            </w:r>
            <w:r>
              <w:rPr>
                <w:rFonts w:hint="default" w:ascii="Times New Roman" w:hAnsi="Times New Roman"/>
                <w:color w:val="000000" w:themeColor="text1"/>
                <w:sz w:val="24"/>
                <w:szCs w:val="24"/>
                <w14:textFill>
                  <w14:solidFill>
                    <w14:schemeClr w14:val="tx1"/>
                  </w14:solidFill>
                </w14:textFill>
              </w:rPr>
              <w:t>包：</w:t>
            </w:r>
            <w:r>
              <w:rPr>
                <w:rFonts w:hint="default" w:ascii="Times New Roman" w:hAnsi="Times New Roman"/>
                <w:color w:val="000000" w:themeColor="text1"/>
                <w:sz w:val="24"/>
                <w14:textFill>
                  <w14:solidFill>
                    <w14:schemeClr w14:val="tx1"/>
                  </w14:solidFill>
                </w14:textFill>
              </w:rPr>
              <w:t>______</w:t>
            </w:r>
            <w:r>
              <w:rPr>
                <w:rFonts w:ascii="Times New Roman" w:hAnsi="Times New Roman"/>
                <w:color w:val="000000" w:themeColor="text1"/>
                <w:sz w:val="24"/>
                <w14:textFill>
                  <w14:solidFill>
                    <w14:schemeClr w14:val="tx1"/>
                  </w14:solidFill>
                </w14:textFill>
              </w:rPr>
              <w:t>/</w:t>
            </w:r>
            <w:r>
              <w:rPr>
                <w:rFonts w:hint="default" w:ascii="Times New Roman" w:hAnsi="Times New Roman"/>
                <w:color w:val="000000" w:themeColor="text1"/>
                <w:sz w:val="24"/>
                <w14:textFill>
                  <w14:solidFill>
                    <w14:schemeClr w14:val="tx1"/>
                  </w14:solidFill>
                </w14:textFill>
              </w:rPr>
              <w:t>_____</w:t>
            </w:r>
            <w:r>
              <w:rPr>
                <w:rFonts w:hint="default" w:ascii="Times New Roman" w:hAnsi="Times New Roman"/>
                <w:color w:val="000000" w:themeColor="text1"/>
                <w:sz w:val="24"/>
                <w:szCs w:val="24"/>
                <w14:textFill>
                  <w14:solidFill>
                    <w14:schemeClr w14:val="tx1"/>
                  </w14:solidFill>
                </w14:textFill>
              </w:rPr>
              <w:t>；</w:t>
            </w:r>
          </w:p>
          <w:p w14:paraId="22B673AE">
            <w:pPr>
              <w:jc w:val="left"/>
              <w:rPr>
                <w:sz w:val="24"/>
              </w:rPr>
            </w:pPr>
            <w:r>
              <w:rPr>
                <w:sz w:val="24"/>
              </w:rPr>
              <w:t>投标保证金收受人信息：_____</w:t>
            </w:r>
            <w:r>
              <w:rPr>
                <w:rFonts w:hint="eastAsia"/>
                <w:sz w:val="24"/>
              </w:rPr>
              <w:t>/</w:t>
            </w:r>
            <w:r>
              <w:rPr>
                <w:sz w:val="24"/>
              </w:rPr>
              <w:t>______。</w:t>
            </w:r>
          </w:p>
        </w:tc>
      </w:tr>
      <w:tr w14:paraId="561C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88" w:type="dxa"/>
            <w:vAlign w:val="center"/>
          </w:tcPr>
          <w:p w14:paraId="2DE7861F">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12.8.2</w:t>
            </w:r>
          </w:p>
        </w:tc>
        <w:tc>
          <w:tcPr>
            <w:tcW w:w="1701" w:type="dxa"/>
            <w:vMerge w:val="continue"/>
            <w:vAlign w:val="center"/>
          </w:tcPr>
          <w:p w14:paraId="1C5F1BF7">
            <w:pPr>
              <w:jc w:val="center"/>
              <w:rPr>
                <w:sz w:val="24"/>
              </w:rPr>
            </w:pPr>
          </w:p>
        </w:tc>
        <w:tc>
          <w:tcPr>
            <w:tcW w:w="7540" w:type="dxa"/>
            <w:vAlign w:val="center"/>
          </w:tcPr>
          <w:p w14:paraId="6509F9BC">
            <w:pPr>
              <w:jc w:val="left"/>
              <w:rPr>
                <w:sz w:val="24"/>
              </w:rPr>
            </w:pPr>
            <w:r>
              <w:rPr>
                <w:sz w:val="24"/>
              </w:rPr>
              <w:t>投标保证金可以不予退还的其他情形：</w:t>
            </w:r>
          </w:p>
          <w:p w14:paraId="5B51FA3F">
            <w:pPr>
              <w:jc w:val="left"/>
              <w:rPr>
                <w:sz w:val="24"/>
              </w:rPr>
            </w:pPr>
            <w:r>
              <w:rPr>
                <w:rFonts w:hint="eastAsia"/>
                <w:sz w:val="24"/>
              </w:rPr>
              <w:t>■</w:t>
            </w:r>
            <w:r>
              <w:rPr>
                <w:sz w:val="24"/>
              </w:rPr>
              <w:t>无</w:t>
            </w:r>
          </w:p>
          <w:p w14:paraId="0BF9E5A6">
            <w:pPr>
              <w:pStyle w:val="25"/>
              <w:adjustRightInd w:val="0"/>
              <w:snapToGrid w:val="0"/>
              <w:rPr>
                <w:rFonts w:hint="default" w:ascii="Times New Roman" w:hAnsi="Times New Roman"/>
                <w:sz w:val="24"/>
                <w:szCs w:val="24"/>
              </w:rPr>
            </w:pPr>
            <w:r>
              <w:rPr>
                <w:rFonts w:hint="default" w:ascii="Times New Roman" w:hAnsi="Times New Roman"/>
                <w:sz w:val="24"/>
              </w:rPr>
              <w:t>□有，具体情形：_____</w:t>
            </w:r>
            <w:r>
              <w:rPr>
                <w:sz w:val="24"/>
              </w:rPr>
              <w:t>。</w:t>
            </w:r>
          </w:p>
        </w:tc>
      </w:tr>
      <w:tr w14:paraId="1FD7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2A9C744C">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14:paraId="22D650B6">
            <w:pPr>
              <w:jc w:val="center"/>
              <w:rPr>
                <w:sz w:val="24"/>
              </w:rPr>
            </w:pPr>
            <w:r>
              <w:rPr>
                <w:sz w:val="24"/>
              </w:rPr>
              <w:t>投标有效期</w:t>
            </w:r>
          </w:p>
        </w:tc>
        <w:tc>
          <w:tcPr>
            <w:tcW w:w="7540" w:type="dxa"/>
            <w:vAlign w:val="center"/>
          </w:tcPr>
          <w:p w14:paraId="48D5C2C2">
            <w:pPr>
              <w:jc w:val="left"/>
              <w:rPr>
                <w:sz w:val="24"/>
              </w:rPr>
            </w:pPr>
            <w:r>
              <w:rPr>
                <w:sz w:val="24"/>
              </w:rPr>
              <w:t>自提交投标文件的截止之日起算</w:t>
            </w:r>
            <w:r>
              <w:rPr>
                <w:rFonts w:hint="eastAsia"/>
                <w:sz w:val="24"/>
                <w:u w:val="single"/>
              </w:rPr>
              <w:t>90</w:t>
            </w:r>
            <w:r>
              <w:rPr>
                <w:sz w:val="24"/>
              </w:rPr>
              <w:t>日历天。</w:t>
            </w:r>
          </w:p>
        </w:tc>
      </w:tr>
      <w:tr w14:paraId="0182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88" w:type="dxa"/>
            <w:vAlign w:val="center"/>
          </w:tcPr>
          <w:p w14:paraId="215AD56B">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18.2</w:t>
            </w:r>
          </w:p>
        </w:tc>
        <w:tc>
          <w:tcPr>
            <w:tcW w:w="1701" w:type="dxa"/>
            <w:vAlign w:val="center"/>
          </w:tcPr>
          <w:p w14:paraId="5ADDD586">
            <w:pPr>
              <w:jc w:val="left"/>
              <w:rPr>
                <w:sz w:val="24"/>
              </w:rPr>
            </w:pPr>
            <w:r>
              <w:rPr>
                <w:sz w:val="24"/>
              </w:rPr>
              <w:t>解密时间</w:t>
            </w:r>
          </w:p>
        </w:tc>
        <w:tc>
          <w:tcPr>
            <w:tcW w:w="7540" w:type="dxa"/>
            <w:vAlign w:val="center"/>
          </w:tcPr>
          <w:p w14:paraId="60C865E8">
            <w:pPr>
              <w:jc w:val="left"/>
              <w:rPr>
                <w:sz w:val="24"/>
              </w:rPr>
            </w:pPr>
            <w:r>
              <w:rPr>
                <w:sz w:val="24"/>
              </w:rPr>
              <w:t>解密时间：</w:t>
            </w:r>
            <w:r>
              <w:rPr>
                <w:sz w:val="24"/>
                <w:u w:val="single"/>
              </w:rPr>
              <w:t xml:space="preserve">   </w:t>
            </w:r>
            <w:r>
              <w:rPr>
                <w:rFonts w:hint="eastAsia"/>
                <w:sz w:val="24"/>
                <w:u w:val="single"/>
              </w:rPr>
              <w:t>30</w:t>
            </w:r>
            <w:r>
              <w:rPr>
                <w:sz w:val="24"/>
                <w:u w:val="single"/>
              </w:rPr>
              <w:t xml:space="preserve">  </w:t>
            </w:r>
            <w:r>
              <w:rPr>
                <w:sz w:val="24"/>
              </w:rPr>
              <w:t>分钟（建议不少于10分钟）</w:t>
            </w:r>
          </w:p>
        </w:tc>
      </w:tr>
      <w:tr w14:paraId="70C6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744FB78">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vAlign w:val="center"/>
          </w:tcPr>
          <w:p w14:paraId="17298FEC">
            <w:pPr>
              <w:jc w:val="center"/>
              <w:rPr>
                <w:sz w:val="24"/>
              </w:rPr>
            </w:pPr>
            <w:r>
              <w:rPr>
                <w:sz w:val="24"/>
              </w:rPr>
              <w:t>确定中标人</w:t>
            </w:r>
          </w:p>
        </w:tc>
        <w:tc>
          <w:tcPr>
            <w:tcW w:w="7540" w:type="dxa"/>
            <w:vAlign w:val="center"/>
          </w:tcPr>
          <w:p w14:paraId="1C5D56C5">
            <w:pPr>
              <w:pStyle w:val="25"/>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14:paraId="009B2EFE">
            <w:pPr>
              <w:pStyle w:val="25"/>
              <w:adjustRightInd w:val="0"/>
              <w:snapToGrid w:val="0"/>
              <w:rPr>
                <w:rFonts w:hint="default" w:ascii="Times New Roman" w:hAnsi="Times New Roman"/>
                <w:sz w:val="24"/>
              </w:rPr>
            </w:pPr>
            <w:r>
              <w:rPr>
                <w:rFonts w:ascii="Times New Roman" w:hAnsi="Times New Roman"/>
                <w:sz w:val="24"/>
              </w:rPr>
              <w:t>■</w:t>
            </w:r>
            <w:r>
              <w:rPr>
                <w:rFonts w:hint="default" w:ascii="Times New Roman" w:hAnsi="Times New Roman"/>
                <w:sz w:val="24"/>
              </w:rPr>
              <w:t>否</w:t>
            </w:r>
          </w:p>
          <w:p w14:paraId="358EDD86">
            <w:pPr>
              <w:pStyle w:val="25"/>
              <w:adjustRightInd w:val="0"/>
              <w:snapToGrid w:val="0"/>
              <w:rPr>
                <w:rFonts w:hint="default" w:ascii="Times New Roman" w:hAnsi="Times New Roman"/>
                <w:sz w:val="24"/>
              </w:rPr>
            </w:pPr>
            <w:r>
              <w:rPr>
                <w:sz w:val="24"/>
              </w:rPr>
              <w:t>□</w:t>
            </w:r>
            <w:r>
              <w:rPr>
                <w:rFonts w:hint="default" w:ascii="Times New Roman" w:hAnsi="Times New Roman"/>
                <w:sz w:val="24"/>
              </w:rPr>
              <w:t>是</w:t>
            </w:r>
          </w:p>
          <w:p w14:paraId="1B4D7CB5">
            <w:pPr>
              <w:pStyle w:val="25"/>
              <w:adjustRightInd w:val="0"/>
              <w:snapToGrid w:val="0"/>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14:paraId="39FD574F">
            <w:pPr>
              <w:pStyle w:val="25"/>
              <w:adjustRightInd w:val="0"/>
              <w:snapToGrid w:val="0"/>
              <w:rPr>
                <w:rFonts w:hint="default" w:ascii="Times New Roman" w:hAnsi="Times New Roman"/>
                <w:sz w:val="24"/>
              </w:rPr>
            </w:pPr>
            <w:r>
              <w:rPr>
                <w:rFonts w:ascii="Times New Roman" w:hAnsi="Times New Roman"/>
                <w:sz w:val="24"/>
              </w:rPr>
              <w:t>■</w:t>
            </w:r>
            <w:r>
              <w:rPr>
                <w:rFonts w:hint="default" w:ascii="Times New Roman" w:hAnsi="Times New Roman"/>
                <w:sz w:val="24"/>
              </w:rPr>
              <w:t>得分且投标报价均相同的，以</w:t>
            </w:r>
            <w:r>
              <w:rPr>
                <w:rFonts w:ascii="Times New Roman" w:hAnsi="Times New Roman"/>
                <w:sz w:val="24"/>
                <w:u w:val="single"/>
              </w:rPr>
              <w:t>服务方案</w:t>
            </w:r>
            <w:r>
              <w:rPr>
                <w:rFonts w:hint="default" w:ascii="Times New Roman" w:hAnsi="Times New Roman"/>
                <w:sz w:val="24"/>
              </w:rPr>
              <w:t>得分高者为中标人</w:t>
            </w:r>
          </w:p>
          <w:p w14:paraId="7E0AC3A9">
            <w:pPr>
              <w:jc w:val="left"/>
              <w:rPr>
                <w:sz w:val="24"/>
                <w:u w:val="single"/>
              </w:rPr>
            </w:pPr>
            <w:r>
              <w:rPr>
                <w:rFonts w:hint="eastAsia"/>
                <w:sz w:val="24"/>
              </w:rPr>
              <w:t>□</w:t>
            </w:r>
            <w:r>
              <w:rPr>
                <w:sz w:val="24"/>
              </w:rPr>
              <w:t>随机抽取</w:t>
            </w:r>
          </w:p>
        </w:tc>
      </w:tr>
      <w:tr w14:paraId="778F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9169D71">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vAlign w:val="center"/>
          </w:tcPr>
          <w:p w14:paraId="1DA03118">
            <w:pPr>
              <w:jc w:val="center"/>
              <w:rPr>
                <w:sz w:val="24"/>
              </w:rPr>
            </w:pPr>
            <w:r>
              <w:rPr>
                <w:rFonts w:hint="eastAsia"/>
                <w:sz w:val="24"/>
              </w:rPr>
              <w:t>分包</w:t>
            </w:r>
          </w:p>
        </w:tc>
        <w:tc>
          <w:tcPr>
            <w:tcW w:w="7540" w:type="dxa"/>
            <w:vAlign w:val="center"/>
          </w:tcPr>
          <w:p w14:paraId="3530730C">
            <w:pPr>
              <w:jc w:val="left"/>
              <w:rPr>
                <w:sz w:val="24"/>
              </w:rPr>
            </w:pPr>
            <w:r>
              <w:rPr>
                <w:sz w:val="24"/>
              </w:rPr>
              <w:t xml:space="preserve">本项目的非主体、非关键性工作是否允许分包： </w:t>
            </w:r>
          </w:p>
          <w:p w14:paraId="2093B1B1">
            <w:pPr>
              <w:jc w:val="left"/>
              <w:rPr>
                <w:sz w:val="24"/>
              </w:rPr>
            </w:pPr>
            <w:r>
              <w:rPr>
                <w:rFonts w:hint="eastAsia"/>
                <w:sz w:val="24"/>
              </w:rPr>
              <w:t>■</w:t>
            </w:r>
            <w:r>
              <w:rPr>
                <w:sz w:val="24"/>
              </w:rPr>
              <w:t>不允许</w:t>
            </w:r>
          </w:p>
          <w:p w14:paraId="1A3867A7">
            <w:pPr>
              <w:jc w:val="left"/>
              <w:rPr>
                <w:sz w:val="24"/>
              </w:rPr>
            </w:pPr>
            <w:r>
              <w:rPr>
                <w:rFonts w:hint="eastAsia"/>
                <w:sz w:val="24"/>
              </w:rPr>
              <w:t>□</w:t>
            </w:r>
            <w:r>
              <w:rPr>
                <w:sz w:val="24"/>
              </w:rPr>
              <w:t>允许，具体要求：</w:t>
            </w:r>
          </w:p>
          <w:p w14:paraId="7B6F30FB">
            <w:pPr>
              <w:jc w:val="left"/>
              <w:rPr>
                <w:sz w:val="24"/>
              </w:rPr>
            </w:pPr>
            <w:r>
              <w:rPr>
                <w:sz w:val="24"/>
              </w:rPr>
              <w:t>（1）可以分包履行的具体内容：_____；</w:t>
            </w:r>
          </w:p>
          <w:p w14:paraId="21861D5A">
            <w:pPr>
              <w:jc w:val="left"/>
              <w:rPr>
                <w:sz w:val="24"/>
              </w:rPr>
            </w:pPr>
            <w:r>
              <w:rPr>
                <w:sz w:val="24"/>
              </w:rPr>
              <w:t>（2）允许分包的金额或者比例：_____；</w:t>
            </w:r>
          </w:p>
          <w:p w14:paraId="1FBFF421">
            <w:pPr>
              <w:jc w:val="left"/>
              <w:rPr>
                <w:sz w:val="24"/>
                <w:u w:val="single"/>
              </w:rPr>
            </w:pPr>
            <w:r>
              <w:rPr>
                <w:sz w:val="24"/>
              </w:rPr>
              <w:t>（3）其他要求：_____。</w:t>
            </w:r>
          </w:p>
        </w:tc>
      </w:tr>
      <w:tr w14:paraId="2973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1E88967">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25.6</w:t>
            </w:r>
          </w:p>
        </w:tc>
        <w:tc>
          <w:tcPr>
            <w:tcW w:w="1701" w:type="dxa"/>
            <w:vAlign w:val="center"/>
          </w:tcPr>
          <w:p w14:paraId="7C610BFF">
            <w:pPr>
              <w:pStyle w:val="25"/>
              <w:adjustRightInd w:val="0"/>
              <w:snapToGrid w:val="0"/>
              <w:ind w:firstLine="480" w:firstLineChars="200"/>
              <w:rPr>
                <w:rFonts w:hint="default" w:ascii="Times New Roman" w:hAnsi="Times New Roman"/>
                <w:sz w:val="24"/>
              </w:rPr>
            </w:pPr>
            <w:r>
              <w:rPr>
                <w:rFonts w:hint="default" w:ascii="Times New Roman" w:hAnsi="Times New Roman"/>
                <w:sz w:val="24"/>
              </w:rPr>
              <w:t>政采贷</w:t>
            </w:r>
          </w:p>
        </w:tc>
        <w:tc>
          <w:tcPr>
            <w:tcW w:w="7540" w:type="dxa"/>
            <w:vAlign w:val="center"/>
          </w:tcPr>
          <w:p w14:paraId="455E1339">
            <w:pPr>
              <w:pStyle w:val="25"/>
              <w:adjustRightInd w:val="0"/>
              <w:snapToGrid w:val="0"/>
              <w:rPr>
                <w:rFonts w:hint="default" w:ascii="Times New Roman" w:hAnsi="Times New Roman"/>
                <w:sz w:val="24"/>
              </w:rPr>
            </w:pPr>
            <w:r>
              <w:rPr>
                <w:rFonts w:hint="default" w:ascii="Times New Roman" w:hAnsi="Times New Roman"/>
                <w:sz w:val="24"/>
              </w:rPr>
              <w:t>为更大力度激发市场活力和社会创造力，增强发展动力，按照《北京市  全面优化营商环境助力企业高质量发展实施方案》（京政办发〔2023〕 8 号）部署，进一步加强政府采购合同线上融资 “一站式 ”服务（ 以下简  称 “政采贷 ” ），北京市财政局、中国人民银行营业管理部联合发布《关于推进政府采购合同线上融资有关工作的通知》（京财采购〔2023〕637 号）。有需求的供应商，可按上述通知要求办理 “政采贷 ”。</w:t>
            </w:r>
          </w:p>
        </w:tc>
      </w:tr>
      <w:tr w14:paraId="2124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88" w:type="dxa"/>
            <w:vAlign w:val="center"/>
          </w:tcPr>
          <w:p w14:paraId="2FF048EB">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vAlign w:val="center"/>
          </w:tcPr>
          <w:p w14:paraId="7976546B">
            <w:pPr>
              <w:jc w:val="center"/>
              <w:rPr>
                <w:sz w:val="24"/>
              </w:rPr>
            </w:pPr>
            <w:r>
              <w:rPr>
                <w:sz w:val="24"/>
              </w:rPr>
              <w:t>询问</w:t>
            </w:r>
          </w:p>
        </w:tc>
        <w:tc>
          <w:tcPr>
            <w:tcW w:w="7540" w:type="dxa"/>
            <w:vAlign w:val="center"/>
          </w:tcPr>
          <w:p w14:paraId="5A2BEAB1">
            <w:pPr>
              <w:jc w:val="left"/>
              <w:rPr>
                <w:rFonts w:hint="default" w:eastAsia="宋体"/>
                <w:sz w:val="24"/>
                <w:lang w:val="en-US" w:eastAsia="zh-CN"/>
              </w:rPr>
            </w:pPr>
            <w:r>
              <w:rPr>
                <w:sz w:val="24"/>
              </w:rPr>
              <w:t>询问送达形式：</w:t>
            </w:r>
            <w:r>
              <w:rPr>
                <w:rFonts w:hint="eastAsia"/>
                <w:sz w:val="24"/>
                <w:u w:val="single"/>
              </w:rPr>
              <w:t>信</w:t>
            </w:r>
            <w:r>
              <w:rPr>
                <w:rFonts w:hint="default"/>
                <w:sz w:val="24"/>
                <w:u w:val="none"/>
              </w:rPr>
              <w:t>函</w:t>
            </w:r>
            <w:r>
              <w:rPr>
                <w:rFonts w:hint="default"/>
                <w:color w:val="000000" w:themeColor="text1"/>
                <w:sz w:val="24"/>
                <w:u w:val="none"/>
                <w14:textFill>
                  <w14:solidFill>
                    <w14:schemeClr w14:val="tx1"/>
                  </w14:solidFill>
                </w14:textFill>
              </w:rPr>
              <w:t>或传真</w:t>
            </w:r>
            <w:r>
              <w:rPr>
                <w:rFonts w:hint="default"/>
                <w:color w:val="000000" w:themeColor="text1"/>
                <w:sz w:val="24"/>
                <w:lang w:val="en-US" w:eastAsia="zh-CN"/>
                <w14:textFill>
                  <w14:solidFill>
                    <w14:schemeClr w14:val="tx1"/>
                  </w14:solidFill>
                </w14:textFill>
              </w:rPr>
              <w:t>或邮箱JLTD2982@126.com</w:t>
            </w:r>
          </w:p>
        </w:tc>
      </w:tr>
      <w:tr w14:paraId="7D77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D665CAD">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vAlign w:val="center"/>
          </w:tcPr>
          <w:p w14:paraId="3DD38204">
            <w:pPr>
              <w:jc w:val="center"/>
              <w:rPr>
                <w:sz w:val="24"/>
              </w:rPr>
            </w:pPr>
            <w:r>
              <w:rPr>
                <w:sz w:val="24"/>
              </w:rPr>
              <w:t>联系方式</w:t>
            </w:r>
          </w:p>
        </w:tc>
        <w:tc>
          <w:tcPr>
            <w:tcW w:w="7540" w:type="dxa"/>
            <w:vAlign w:val="center"/>
          </w:tcPr>
          <w:p w14:paraId="68C8CF4C">
            <w:pPr>
              <w:jc w:val="left"/>
              <w:rPr>
                <w:rFonts w:ascii="宋体" w:hAnsi="宋体" w:cs="宋体"/>
                <w:sz w:val="24"/>
              </w:rPr>
            </w:pPr>
            <w:r>
              <w:rPr>
                <w:rFonts w:hint="eastAsia" w:ascii="宋体" w:hAnsi="宋体" w:cs="宋体"/>
                <w:sz w:val="24"/>
              </w:rPr>
              <w:t>接收询问和质疑的联系方式</w:t>
            </w:r>
          </w:p>
          <w:p w14:paraId="6D2CD22A">
            <w:pPr>
              <w:jc w:val="left"/>
              <w:rPr>
                <w:rFonts w:ascii="宋体" w:hAnsi="宋体" w:cs="宋体"/>
                <w:sz w:val="24"/>
              </w:rPr>
            </w:pPr>
            <w:r>
              <w:rPr>
                <w:rFonts w:hint="eastAsia" w:ascii="宋体" w:hAnsi="宋体" w:cs="宋体"/>
                <w:sz w:val="24"/>
              </w:rPr>
              <w:t>联系部门：招标代理部；</w:t>
            </w:r>
          </w:p>
          <w:p w14:paraId="630FB3B1">
            <w:pPr>
              <w:jc w:val="left"/>
              <w:rPr>
                <w:rFonts w:ascii="宋体" w:hAnsi="宋体" w:cs="宋体"/>
                <w:sz w:val="24"/>
              </w:rPr>
            </w:pPr>
            <w:r>
              <w:rPr>
                <w:rFonts w:hint="eastAsia" w:ascii="宋体" w:hAnsi="宋体" w:cs="宋体"/>
                <w:sz w:val="24"/>
              </w:rPr>
              <w:t>联系电话：李泽，15600665235；</w:t>
            </w:r>
          </w:p>
          <w:p w14:paraId="663ABDA4">
            <w:pPr>
              <w:jc w:val="left"/>
              <w:rPr>
                <w:rFonts w:ascii="宋体" w:hAnsi="宋体" w:cs="宋体"/>
                <w:sz w:val="24"/>
              </w:rPr>
            </w:pPr>
            <w:r>
              <w:rPr>
                <w:rFonts w:hint="eastAsia" w:ascii="宋体" w:hAnsi="宋体" w:cs="宋体"/>
                <w:sz w:val="24"/>
              </w:rPr>
              <w:t>通讯地址：北京市门头沟区石龙北路20号5层501。</w:t>
            </w:r>
          </w:p>
        </w:tc>
      </w:tr>
      <w:tr w14:paraId="6E13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CEC1FE9">
            <w:pPr>
              <w:pStyle w:val="25"/>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3A8D40F6">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1CE76449">
            <w:pPr>
              <w:jc w:val="left"/>
              <w:rPr>
                <w:sz w:val="24"/>
              </w:rPr>
            </w:pPr>
            <w:r>
              <w:rPr>
                <w:sz w:val="24"/>
              </w:rPr>
              <w:t>收费对象：</w:t>
            </w:r>
          </w:p>
          <w:p w14:paraId="4D6BFB59">
            <w:pPr>
              <w:jc w:val="left"/>
              <w:rPr>
                <w:sz w:val="24"/>
              </w:rPr>
            </w:pPr>
            <w:r>
              <w:rPr>
                <w:sz w:val="24"/>
              </w:rPr>
              <w:t>□采购人</w:t>
            </w:r>
            <w:r>
              <w:rPr>
                <w:rFonts w:hint="eastAsia"/>
                <w:sz w:val="24"/>
              </w:rPr>
              <w:t xml:space="preserve">  ■</w:t>
            </w:r>
            <w:r>
              <w:rPr>
                <w:sz w:val="24"/>
              </w:rPr>
              <w:t>中标人</w:t>
            </w:r>
          </w:p>
          <w:p w14:paraId="426DFED8">
            <w:pPr>
              <w:jc w:val="left"/>
              <w:rPr>
                <w:sz w:val="24"/>
              </w:rPr>
            </w:pPr>
            <w:r>
              <w:rPr>
                <w:sz w:val="24"/>
              </w:rPr>
              <w:t>收费标准：</w:t>
            </w:r>
          </w:p>
          <w:p w14:paraId="3088ABFF">
            <w:pPr>
              <w:jc w:val="left"/>
              <w:rPr>
                <w:sz w:val="24"/>
              </w:rPr>
            </w:pPr>
            <w:r>
              <w:rPr>
                <w:sz w:val="24"/>
              </w:rPr>
              <w:t>代理费用参考有关规定及市场价格计取。</w:t>
            </w:r>
          </w:p>
          <w:p w14:paraId="2A78824C">
            <w:pPr>
              <w:jc w:val="left"/>
              <w:rPr>
                <w:sz w:val="24"/>
              </w:rPr>
            </w:pPr>
            <w:r>
              <w:rPr>
                <w:rFonts w:hint="eastAsia" w:ascii="宋体" w:hAnsi="宋体" w:cs="宋体"/>
                <w:sz w:val="24"/>
              </w:rPr>
              <w:t>缴纳时间：</w:t>
            </w:r>
            <w:r>
              <w:rPr>
                <w:rFonts w:hint="eastAsia" w:ascii="宋体" w:hAnsi="宋体" w:cs="宋体"/>
                <w:b/>
                <w:bCs/>
                <w:sz w:val="24"/>
                <w:u w:val="single"/>
              </w:rPr>
              <w:t>领取中标通知书时进行支付</w:t>
            </w:r>
            <w:r>
              <w:rPr>
                <w:rFonts w:hint="eastAsia" w:ascii="宋体" w:hAnsi="宋体" w:cs="宋体"/>
                <w:sz w:val="24"/>
              </w:rPr>
              <w:t>。</w:t>
            </w:r>
          </w:p>
        </w:tc>
      </w:tr>
    </w:tbl>
    <w:p w14:paraId="4AD72BA9">
      <w:pPr>
        <w:tabs>
          <w:tab w:val="left" w:pos="5580"/>
        </w:tabs>
        <w:adjustRightInd w:val="0"/>
        <w:spacing w:line="360" w:lineRule="auto"/>
        <w:jc w:val="distribute"/>
        <w:rPr>
          <w:sz w:val="24"/>
        </w:rPr>
        <w:sectPr>
          <w:pgSz w:w="11907" w:h="16840"/>
          <w:pgMar w:top="1418" w:right="1134" w:bottom="1418" w:left="1701" w:header="851" w:footer="851" w:gutter="0"/>
          <w:cols w:space="720" w:num="1"/>
          <w:docGrid w:linePitch="462" w:charSpace="0"/>
        </w:sectPr>
      </w:pPr>
    </w:p>
    <w:p w14:paraId="3B401CFC">
      <w:pPr>
        <w:spacing w:beforeLines="100" w:afterLines="100"/>
        <w:jc w:val="center"/>
        <w:rPr>
          <w:b/>
          <w:sz w:val="28"/>
          <w:szCs w:val="28"/>
        </w:rPr>
      </w:pPr>
      <w:bookmarkStart w:id="81" w:name="_Toc353825542"/>
      <w:bookmarkStart w:id="82" w:name="_Toc264969207"/>
      <w:bookmarkStart w:id="83" w:name="_Toc127151517"/>
      <w:bookmarkStart w:id="84" w:name="_Toc353873932"/>
      <w:bookmarkStart w:id="85" w:name="_Toc305158785"/>
      <w:bookmarkStart w:id="86" w:name="_Toc195842882"/>
      <w:bookmarkStart w:id="87" w:name="_Toc226965790"/>
      <w:bookmarkStart w:id="88" w:name="_Toc226337213"/>
      <w:bookmarkStart w:id="89" w:name="_Toc265228355"/>
      <w:bookmarkStart w:id="90" w:name="_Toc150480755"/>
      <w:bookmarkStart w:id="91" w:name="_Toc142311019"/>
      <w:bookmarkStart w:id="92" w:name="_Toc305158859"/>
      <w:bookmarkStart w:id="93" w:name="_Toc353873662"/>
      <w:bookmarkStart w:id="94" w:name="_Toc150774722"/>
      <w:r>
        <w:rPr>
          <w:b/>
          <w:sz w:val="28"/>
          <w:szCs w:val="28"/>
        </w:rPr>
        <w:t>投标人须知</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E357907">
      <w:pPr>
        <w:pStyle w:val="3"/>
        <w:tabs>
          <w:tab w:val="center" w:pos="4592"/>
          <w:tab w:val="left" w:pos="7860"/>
        </w:tabs>
        <w:spacing w:before="0" w:line="360" w:lineRule="auto"/>
        <w:jc w:val="left"/>
        <w:rPr>
          <w:rFonts w:ascii="Times New Roman" w:hAnsi="Times New Roman" w:eastAsia="宋体"/>
          <w:sz w:val="28"/>
        </w:rPr>
      </w:pPr>
      <w:bookmarkStart w:id="95" w:name="_Toc127151518"/>
      <w:bookmarkStart w:id="96" w:name="_Toc520356143"/>
      <w:r>
        <w:rPr>
          <w:rFonts w:ascii="Times New Roman" w:hAnsi="Times New Roman" w:eastAsia="宋体"/>
          <w:sz w:val="28"/>
        </w:rPr>
        <w:tab/>
      </w:r>
      <w:bookmarkStart w:id="97" w:name="_Toc226965708"/>
      <w:bookmarkStart w:id="98" w:name="_Toc226965791"/>
      <w:bookmarkStart w:id="99" w:name="_Toc305158786"/>
      <w:bookmarkStart w:id="100" w:name="_Toc151193688"/>
      <w:bookmarkStart w:id="101" w:name="_Toc150509269"/>
      <w:bookmarkStart w:id="102" w:name="_Toc264969208"/>
      <w:bookmarkStart w:id="103" w:name="_Toc151190145"/>
      <w:bookmarkStart w:id="104" w:name="_Toc195842883"/>
      <w:bookmarkStart w:id="105" w:name="_Toc151193832"/>
      <w:bookmarkStart w:id="106" w:name="_Toc151193906"/>
      <w:bookmarkStart w:id="107" w:name="_Toc305158860"/>
      <w:bookmarkStart w:id="108" w:name="_Toc150774723"/>
      <w:bookmarkStart w:id="109" w:name="_Toc150480756"/>
      <w:bookmarkStart w:id="110" w:name="_Toc151193616"/>
      <w:bookmarkStart w:id="111" w:name="_Toc142311020"/>
      <w:bookmarkStart w:id="112" w:name="_Toc151193760"/>
      <w:bookmarkStart w:id="113" w:name="_Toc226309762"/>
      <w:bookmarkStart w:id="114" w:name="_Toc265228356"/>
      <w:bookmarkStart w:id="115" w:name="_Toc150774618"/>
      <w:bookmarkStart w:id="116" w:name="_Toc226337214"/>
      <w:r>
        <w:rPr>
          <w:rFonts w:ascii="Times New Roman" w:hAnsi="Times New Roman" w:eastAsia="宋体"/>
          <w:sz w:val="28"/>
        </w:rPr>
        <w:t>一   说  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Times New Roman" w:hAnsi="Times New Roman" w:eastAsia="宋体"/>
          <w:sz w:val="28"/>
        </w:rPr>
        <w:tab/>
      </w:r>
    </w:p>
    <w:p w14:paraId="1DE43415">
      <w:pPr>
        <w:numPr>
          <w:ilvl w:val="0"/>
          <w:numId w:val="9"/>
        </w:numPr>
        <w:tabs>
          <w:tab w:val="left" w:pos="360"/>
          <w:tab w:val="clear" w:pos="900"/>
        </w:tabs>
        <w:snapToGrid w:val="0"/>
        <w:spacing w:line="360" w:lineRule="auto"/>
        <w:ind w:left="357" w:hanging="357"/>
        <w:outlineLvl w:val="1"/>
        <w:rPr>
          <w:sz w:val="24"/>
        </w:rPr>
      </w:pPr>
      <w:bookmarkStart w:id="117" w:name="_Toc265228357"/>
      <w:bookmarkStart w:id="118" w:name="_Toc264969209"/>
      <w:bookmarkStart w:id="119" w:name="_Toc305158861"/>
      <w:bookmarkStart w:id="120" w:name="_Toc305158787"/>
      <w:r>
        <w:rPr>
          <w:sz w:val="24"/>
        </w:rPr>
        <w:t>采购人、采购代理机构、投标人</w:t>
      </w:r>
      <w:bookmarkEnd w:id="117"/>
      <w:bookmarkEnd w:id="118"/>
      <w:bookmarkEnd w:id="119"/>
      <w:bookmarkEnd w:id="120"/>
      <w:r>
        <w:rPr>
          <w:rFonts w:hint="eastAsia"/>
          <w:sz w:val="24"/>
        </w:rPr>
        <w:t>、联合体</w:t>
      </w:r>
    </w:p>
    <w:p w14:paraId="568083BC">
      <w:pPr>
        <w:numPr>
          <w:ilvl w:val="1"/>
          <w:numId w:val="9"/>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0B4D4230">
      <w:pPr>
        <w:numPr>
          <w:ilvl w:val="1"/>
          <w:numId w:val="9"/>
        </w:numPr>
        <w:tabs>
          <w:tab w:val="left" w:pos="1080"/>
          <w:tab w:val="left" w:pos="2014"/>
          <w:tab w:val="left" w:pos="5521"/>
        </w:tabs>
        <w:snapToGrid w:val="0"/>
        <w:spacing w:line="360" w:lineRule="auto"/>
        <w:ind w:left="1080" w:hanging="72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14:paraId="66BE2AE5">
      <w:pPr>
        <w:numPr>
          <w:ilvl w:val="1"/>
          <w:numId w:val="9"/>
        </w:numPr>
        <w:tabs>
          <w:tab w:val="left" w:pos="1080"/>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14:paraId="0F32E24C">
      <w:pPr>
        <w:numPr>
          <w:ilvl w:val="0"/>
          <w:numId w:val="9"/>
        </w:numPr>
        <w:tabs>
          <w:tab w:val="left" w:pos="360"/>
          <w:tab w:val="clear" w:pos="900"/>
        </w:tabs>
        <w:snapToGrid w:val="0"/>
        <w:spacing w:line="360" w:lineRule="auto"/>
        <w:ind w:left="357" w:hanging="357"/>
        <w:outlineLvl w:val="1"/>
        <w:rPr>
          <w:sz w:val="24"/>
        </w:rPr>
      </w:pPr>
      <w:bookmarkStart w:id="121" w:name="_Toc151190147"/>
      <w:bookmarkStart w:id="122" w:name="_Toc226965793"/>
      <w:bookmarkStart w:id="123" w:name="_Toc305158788"/>
      <w:bookmarkStart w:id="124" w:name="_Toc151193762"/>
      <w:bookmarkStart w:id="125" w:name="_Toc164229361"/>
      <w:bookmarkStart w:id="126" w:name="_Toc164229215"/>
      <w:bookmarkStart w:id="127" w:name="_Toc164608634"/>
      <w:bookmarkStart w:id="128" w:name="_Toc226965710"/>
      <w:bookmarkStart w:id="129" w:name="_Toc151193690"/>
      <w:bookmarkStart w:id="130" w:name="_Toc226337216"/>
      <w:bookmarkStart w:id="131" w:name="_Toc151193834"/>
      <w:bookmarkStart w:id="132" w:name="_Toc127161434"/>
      <w:bookmarkStart w:id="133" w:name="_Toc151193618"/>
      <w:bookmarkStart w:id="134" w:name="_Toc226309764"/>
      <w:bookmarkStart w:id="135" w:name="_Toc150480758"/>
      <w:bookmarkStart w:id="136" w:name="_Toc150774620"/>
      <w:bookmarkStart w:id="137" w:name="_Toc265228358"/>
      <w:bookmarkStart w:id="138" w:name="_Toc164608789"/>
      <w:bookmarkStart w:id="139" w:name="_Toc264969210"/>
      <w:bookmarkStart w:id="140" w:name="_Toc127151520"/>
      <w:bookmarkStart w:id="141" w:name="_Toc195842885"/>
      <w:bookmarkStart w:id="142" w:name="_Toc149720813"/>
      <w:bookmarkStart w:id="143" w:name="_Toc164351614"/>
      <w:bookmarkStart w:id="144" w:name="_Toc305158862"/>
      <w:bookmarkStart w:id="145" w:name="_Toc127151721"/>
      <w:bookmarkStart w:id="146" w:name="_Toc151193908"/>
      <w:bookmarkStart w:id="147" w:name="_Toc142311022"/>
      <w:bookmarkStart w:id="148" w:name="_Toc150774725"/>
      <w:bookmarkStart w:id="149" w:name="_Toc150509271"/>
      <w:r>
        <w:rPr>
          <w:sz w:val="24"/>
        </w:rPr>
        <w:t>资金来源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sz w:val="24"/>
        </w:rPr>
        <w:t>、项目属性、科研仪器设备采购、核心产品</w:t>
      </w:r>
    </w:p>
    <w:p w14:paraId="32E5CDCB">
      <w:pPr>
        <w:numPr>
          <w:ilvl w:val="1"/>
          <w:numId w:val="9"/>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0FE86E81">
      <w:pPr>
        <w:numPr>
          <w:ilvl w:val="1"/>
          <w:numId w:val="9"/>
        </w:numPr>
        <w:tabs>
          <w:tab w:val="left" w:pos="1080"/>
          <w:tab w:val="left" w:pos="2014"/>
        </w:tabs>
        <w:snapToGrid w:val="0"/>
        <w:spacing w:line="360" w:lineRule="auto"/>
        <w:ind w:left="1080" w:hanging="720"/>
        <w:rPr>
          <w:sz w:val="24"/>
        </w:rPr>
      </w:pPr>
      <w:r>
        <w:rPr>
          <w:sz w:val="24"/>
        </w:rPr>
        <w:t>项目属性见《投标人须知资料表》。</w:t>
      </w:r>
    </w:p>
    <w:p w14:paraId="48A7EE68">
      <w:pPr>
        <w:numPr>
          <w:ilvl w:val="1"/>
          <w:numId w:val="9"/>
        </w:numPr>
        <w:tabs>
          <w:tab w:val="left" w:pos="1080"/>
          <w:tab w:val="left" w:pos="2014"/>
        </w:tabs>
        <w:snapToGrid w:val="0"/>
        <w:spacing w:line="360" w:lineRule="auto"/>
        <w:ind w:left="1080" w:hanging="720"/>
        <w:rPr>
          <w:sz w:val="24"/>
        </w:rPr>
      </w:pPr>
      <w:r>
        <w:rPr>
          <w:sz w:val="24"/>
        </w:rPr>
        <w:t>是否属于科研仪器设备采购见《投标人须知资料表》。</w:t>
      </w:r>
    </w:p>
    <w:p w14:paraId="4F05BF1D">
      <w:pPr>
        <w:numPr>
          <w:ilvl w:val="1"/>
          <w:numId w:val="9"/>
        </w:numPr>
        <w:tabs>
          <w:tab w:val="left" w:pos="1080"/>
          <w:tab w:val="left" w:pos="2014"/>
          <w:tab w:val="left" w:pos="5521"/>
        </w:tabs>
        <w:snapToGrid w:val="0"/>
        <w:spacing w:line="360" w:lineRule="auto"/>
        <w:ind w:left="1080" w:hanging="720"/>
        <w:rPr>
          <w:sz w:val="24"/>
        </w:rPr>
      </w:pPr>
      <w:r>
        <w:rPr>
          <w:sz w:val="24"/>
        </w:rPr>
        <w:t>核心产品见《投标人须知资料表》。</w:t>
      </w:r>
    </w:p>
    <w:p w14:paraId="28088573">
      <w:pPr>
        <w:numPr>
          <w:ilvl w:val="0"/>
          <w:numId w:val="9"/>
        </w:numPr>
        <w:tabs>
          <w:tab w:val="left" w:pos="360"/>
        </w:tabs>
        <w:snapToGrid w:val="0"/>
        <w:spacing w:line="360" w:lineRule="auto"/>
        <w:ind w:left="357" w:hanging="357"/>
        <w:outlineLvl w:val="1"/>
        <w:rPr>
          <w:sz w:val="24"/>
        </w:rPr>
      </w:pPr>
      <w:r>
        <w:rPr>
          <w:sz w:val="24"/>
        </w:rPr>
        <w:t>现场考察、开标前答疑会</w:t>
      </w:r>
    </w:p>
    <w:p w14:paraId="3D062DA9">
      <w:pPr>
        <w:numPr>
          <w:ilvl w:val="1"/>
          <w:numId w:val="9"/>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50" w:name="_Toc226309766"/>
      <w:bookmarkStart w:id="151" w:name="_Toc151193620"/>
      <w:bookmarkStart w:id="152" w:name="_Toc520356146"/>
      <w:bookmarkStart w:id="153" w:name="_Toc151193692"/>
      <w:bookmarkStart w:id="154" w:name="_Toc226965712"/>
      <w:bookmarkStart w:id="155" w:name="_Toc142311024"/>
      <w:bookmarkStart w:id="156" w:name="_Toc226337218"/>
      <w:bookmarkStart w:id="157" w:name="_Toc150774727"/>
      <w:bookmarkStart w:id="158" w:name="_Toc265228360"/>
      <w:bookmarkStart w:id="159" w:name="_Toc305158864"/>
      <w:bookmarkStart w:id="160" w:name="_Toc151193910"/>
      <w:bookmarkStart w:id="161" w:name="_Toc305158790"/>
      <w:bookmarkStart w:id="162" w:name="_Toc150509273"/>
      <w:bookmarkStart w:id="163" w:name="_Toc151193764"/>
      <w:bookmarkStart w:id="164" w:name="_Toc127151522"/>
      <w:bookmarkStart w:id="165" w:name="_Toc151190149"/>
      <w:bookmarkStart w:id="166" w:name="_Toc264969212"/>
      <w:bookmarkStart w:id="167" w:name="_Toc150774622"/>
      <w:bookmarkStart w:id="168" w:name="_Toc150480760"/>
      <w:bookmarkStart w:id="169" w:name="_Toc151193836"/>
      <w:bookmarkStart w:id="170" w:name="_Toc226965795"/>
      <w:bookmarkStart w:id="171" w:name="_Toc195842887"/>
    </w:p>
    <w:p w14:paraId="64FF06C4">
      <w:pPr>
        <w:numPr>
          <w:ilvl w:val="1"/>
          <w:numId w:val="9"/>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4E93EC36">
      <w:pPr>
        <w:numPr>
          <w:ilvl w:val="0"/>
          <w:numId w:val="9"/>
        </w:numPr>
        <w:tabs>
          <w:tab w:val="left" w:pos="360"/>
        </w:tabs>
        <w:snapToGrid w:val="0"/>
        <w:spacing w:line="360" w:lineRule="auto"/>
        <w:ind w:left="357" w:hanging="357"/>
        <w:outlineLvl w:val="1"/>
        <w:rPr>
          <w:sz w:val="24"/>
        </w:rPr>
      </w:pPr>
      <w:r>
        <w:rPr>
          <w:sz w:val="24"/>
        </w:rPr>
        <w:t>样品</w:t>
      </w:r>
    </w:p>
    <w:p w14:paraId="7D4AD2AE">
      <w:pPr>
        <w:numPr>
          <w:ilvl w:val="1"/>
          <w:numId w:val="9"/>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14:paraId="2BC78268">
      <w:pPr>
        <w:numPr>
          <w:ilvl w:val="1"/>
          <w:numId w:val="9"/>
        </w:numPr>
        <w:tabs>
          <w:tab w:val="left" w:pos="1080"/>
          <w:tab w:val="left" w:pos="2014"/>
        </w:tabs>
        <w:snapToGrid w:val="0"/>
        <w:spacing w:line="360" w:lineRule="auto"/>
        <w:ind w:left="1080" w:hanging="720"/>
        <w:rPr>
          <w:sz w:val="24"/>
        </w:rPr>
      </w:pPr>
      <w:r>
        <w:rPr>
          <w:sz w:val="24"/>
        </w:rPr>
        <w:t>样品的评审方法以及评审标准等内容见第四章《评标方法和评标标准》。</w:t>
      </w:r>
    </w:p>
    <w:p w14:paraId="565BB7BC">
      <w:pPr>
        <w:numPr>
          <w:ilvl w:val="0"/>
          <w:numId w:val="9"/>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0F57269B">
      <w:pPr>
        <w:numPr>
          <w:ilvl w:val="1"/>
          <w:numId w:val="9"/>
        </w:numPr>
        <w:tabs>
          <w:tab w:val="left" w:pos="1080"/>
          <w:tab w:val="left" w:pos="2014"/>
        </w:tabs>
        <w:snapToGrid w:val="0"/>
        <w:spacing w:line="360" w:lineRule="auto"/>
        <w:ind w:left="1080" w:hanging="720"/>
        <w:rPr>
          <w:sz w:val="24"/>
        </w:rPr>
      </w:pPr>
      <w:r>
        <w:rPr>
          <w:spacing w:val="1"/>
          <w:sz w:val="24"/>
        </w:rPr>
        <w:t>采购本国货物、工程和服务</w:t>
      </w:r>
    </w:p>
    <w:p w14:paraId="17497DFB">
      <w:pPr>
        <w:pStyle w:val="19"/>
        <w:spacing w:before="78" w:line="219" w:lineRule="auto"/>
        <w:ind w:left="1099"/>
      </w:pPr>
      <w:r>
        <w:rPr>
          <w:rFonts w:ascii="Arial" w:hAnsi="Arial" w:eastAsia="Arial" w:cs="Arial"/>
          <w:spacing w:val="-1"/>
        </w:rPr>
        <w:t xml:space="preserve">5.1.1    </w:t>
      </w:r>
      <w:r>
        <w:rPr>
          <w:spacing w:val="-1"/>
        </w:rPr>
        <w:t>政府采购应当采购本国货物、工程和服务。但有《中华人民共和国政</w:t>
      </w:r>
      <w:r>
        <w:rPr>
          <w:spacing w:val="-3"/>
        </w:rPr>
        <w:t>府采购法》第十条规定情形的除外。</w:t>
      </w:r>
    </w:p>
    <w:p w14:paraId="323540A5">
      <w:pPr>
        <w:pStyle w:val="19"/>
        <w:spacing w:before="183" w:line="219" w:lineRule="auto"/>
        <w:ind w:left="1099"/>
      </w:pPr>
      <w:r>
        <w:rPr>
          <w:rFonts w:ascii="Arial" w:hAnsi="Arial" w:eastAsia="Arial" w:cs="Arial"/>
          <w:spacing w:val="-4"/>
        </w:rPr>
        <w:t xml:space="preserve">5.1.2    </w:t>
      </w:r>
      <w:r>
        <w:rPr>
          <w:spacing w:val="-4"/>
        </w:rPr>
        <w:t>本项目如接受非本国货</w:t>
      </w:r>
      <w:r>
        <w:rPr>
          <w:spacing w:val="-5"/>
        </w:rPr>
        <w:t>物、工程、服务参与投标，</w:t>
      </w:r>
      <w:r>
        <w:rPr>
          <w:spacing w:val="30"/>
        </w:rPr>
        <w:t xml:space="preserve"> </w:t>
      </w:r>
      <w:r>
        <w:rPr>
          <w:spacing w:val="-5"/>
        </w:rPr>
        <w:t>则具体要求见第四</w:t>
      </w:r>
    </w:p>
    <w:p w14:paraId="1CB00FF3">
      <w:pPr>
        <w:pStyle w:val="19"/>
        <w:spacing w:before="183" w:line="219" w:lineRule="auto"/>
        <w:ind w:left="1998"/>
      </w:pPr>
      <w:r>
        <w:rPr>
          <w:spacing w:val="-19"/>
        </w:rPr>
        <w:t>章《采购需求》。</w:t>
      </w:r>
    </w:p>
    <w:p w14:paraId="4D575B12">
      <w:pPr>
        <w:pStyle w:val="19"/>
        <w:spacing w:before="183" w:line="219" w:lineRule="auto"/>
        <w:ind w:left="1099"/>
        <w:rPr>
          <w:rFonts w:ascii="Times New Roman" w:hAnsi="Times New Roman"/>
          <w:color w:val="000000"/>
        </w:rPr>
      </w:pPr>
      <w:r>
        <w:rPr>
          <w:rFonts w:ascii="Arial" w:hAnsi="Arial" w:eastAsia="Arial" w:cs="Arial"/>
          <w:spacing w:val="6"/>
        </w:rPr>
        <w:t xml:space="preserve">5.1.3   </w:t>
      </w:r>
      <w:r>
        <w:rPr>
          <w:spacing w:val="-4"/>
        </w:rPr>
        <w:t xml:space="preserve"> </w:t>
      </w:r>
      <w:r>
        <w:rPr>
          <w:rFonts w:ascii="Times New Roman" w:hAnsi="Times New Roman"/>
          <w:color w:val="000000"/>
        </w:rPr>
        <w:t>进口产品指通过中国海关报关验放进入中国境内且产自关境外的</w:t>
      </w:r>
    </w:p>
    <w:p w14:paraId="599D553C">
      <w:pPr>
        <w:pStyle w:val="19"/>
        <w:spacing w:before="183" w:line="219" w:lineRule="auto"/>
        <w:ind w:left="1099" w:firstLine="960" w:firstLineChars="400"/>
        <w:rPr>
          <w:rFonts w:ascii="Times New Roman" w:hAnsi="Times New Roman"/>
          <w:color w:val="000000"/>
        </w:rPr>
      </w:pPr>
      <w:r>
        <w:rPr>
          <w:rFonts w:ascii="Times New Roman" w:hAnsi="Times New Roman"/>
          <w:color w:val="000000"/>
        </w:rPr>
        <w:t>产品，包括已经进入中国境内的进口产品。关于进口产品的相关规</w:t>
      </w:r>
    </w:p>
    <w:p w14:paraId="3456D121">
      <w:pPr>
        <w:pStyle w:val="19"/>
        <w:spacing w:before="183" w:line="219" w:lineRule="auto"/>
        <w:ind w:left="1099" w:firstLine="960" w:firstLineChars="400"/>
        <w:rPr>
          <w:rFonts w:ascii="Times New Roman" w:hAnsi="Times New Roman"/>
          <w:color w:val="000000"/>
        </w:rPr>
      </w:pPr>
      <w:r>
        <w:rPr>
          <w:rFonts w:ascii="Times New Roman" w:hAnsi="Times New Roman"/>
          <w:color w:val="000000"/>
        </w:rPr>
        <w:t>定依 据《政府采购进口产品管理办法》（财库〔2007〕119 号文）、</w:t>
      </w:r>
    </w:p>
    <w:p w14:paraId="00814E24">
      <w:pPr>
        <w:pStyle w:val="19"/>
        <w:spacing w:before="183" w:line="219" w:lineRule="auto"/>
        <w:ind w:left="1099" w:firstLine="960" w:firstLineChars="400"/>
        <w:rPr>
          <w:rFonts w:ascii="Times New Roman" w:hAnsi="Times New Roman"/>
          <w:color w:val="000000"/>
        </w:rPr>
      </w:pPr>
      <w:r>
        <w:rPr>
          <w:rFonts w:ascii="Times New Roman" w:hAnsi="Times New Roman"/>
          <w:color w:val="000000"/>
        </w:rPr>
        <w:t>《关 于政府采购进口产品管理有关问题的通知》（财办库〔2008〕</w:t>
      </w:r>
    </w:p>
    <w:p w14:paraId="06D21725">
      <w:pPr>
        <w:pStyle w:val="19"/>
        <w:spacing w:before="183" w:line="219" w:lineRule="auto"/>
        <w:ind w:left="1099" w:firstLine="960" w:firstLineChars="400"/>
      </w:pPr>
      <w:r>
        <w:rPr>
          <w:rFonts w:ascii="Times New Roman" w:hAnsi="Times New Roman"/>
          <w:color w:val="000000"/>
        </w:rPr>
        <w:t>248号文）。</w:t>
      </w:r>
    </w:p>
    <w:p w14:paraId="03180AC9">
      <w:pPr>
        <w:numPr>
          <w:ilvl w:val="1"/>
          <w:numId w:val="9"/>
        </w:numPr>
        <w:tabs>
          <w:tab w:val="left" w:pos="1080"/>
          <w:tab w:val="left" w:pos="2014"/>
        </w:tabs>
        <w:snapToGrid w:val="0"/>
        <w:spacing w:line="360" w:lineRule="auto"/>
        <w:ind w:left="1080" w:hanging="720"/>
        <w:rPr>
          <w:sz w:val="24"/>
        </w:rPr>
      </w:pPr>
      <w:r>
        <w:rPr>
          <w:sz w:val="24"/>
        </w:rPr>
        <w:t>中小企业、监狱企业及残疾人福利性单位</w:t>
      </w:r>
    </w:p>
    <w:p w14:paraId="41825FCB">
      <w:pPr>
        <w:numPr>
          <w:ilvl w:val="2"/>
          <w:numId w:val="9"/>
        </w:numPr>
        <w:snapToGrid w:val="0"/>
        <w:spacing w:line="360" w:lineRule="auto"/>
        <w:rPr>
          <w:sz w:val="24"/>
        </w:rPr>
      </w:pPr>
      <w:r>
        <w:rPr>
          <w:sz w:val="24"/>
        </w:rPr>
        <w:t>中小企业定义：</w:t>
      </w:r>
    </w:p>
    <w:p w14:paraId="18A16E50">
      <w:pPr>
        <w:pStyle w:val="100"/>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6D0B732">
      <w:pPr>
        <w:pStyle w:val="100"/>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A834768">
      <w:pPr>
        <w:pStyle w:val="100"/>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85FC80B">
      <w:pPr>
        <w:pStyle w:val="100"/>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E64CF5A">
      <w:pPr>
        <w:pStyle w:val="100"/>
        <w:numPr>
          <w:ilvl w:val="0"/>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DF31BC5">
      <w:pPr>
        <w:pStyle w:val="100"/>
        <w:numPr>
          <w:ilvl w:val="1"/>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FF669F6">
      <w:pPr>
        <w:pStyle w:val="100"/>
        <w:numPr>
          <w:ilvl w:val="1"/>
          <w:numId w:val="10"/>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6F54E72">
      <w:pPr>
        <w:pStyle w:val="100"/>
        <w:numPr>
          <w:ilvl w:val="2"/>
          <w:numId w:val="10"/>
        </w:numPr>
        <w:tabs>
          <w:tab w:val="left" w:pos="2035"/>
          <w:tab w:val="left" w:pos="2977"/>
        </w:tabs>
        <w:snapToGrid w:val="0"/>
        <w:spacing w:line="360" w:lineRule="auto"/>
        <w:ind w:firstLineChars="0"/>
        <w:rPr>
          <w:rFonts w:ascii="Times New Roman" w:hAnsi="Times New Roman"/>
          <w:vanish/>
          <w:color w:val="000000"/>
          <w:sz w:val="24"/>
          <w:szCs w:val="24"/>
        </w:rPr>
      </w:pPr>
    </w:p>
    <w:p w14:paraId="4819C076">
      <w:pPr>
        <w:numPr>
          <w:ilvl w:val="3"/>
          <w:numId w:val="10"/>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w:t>
      </w:r>
      <w:r>
        <w:rPr>
          <w:rFonts w:hint="eastAsia"/>
          <w:color w:val="000000"/>
          <w:sz w:val="24"/>
        </w:rPr>
        <w:t>符合中小企业划分标准的个体工 商户， 在政府采购活动中视同中小企业。关于中小企业的相 关规定依据《中华人民共和国中小企业促进法》、《关于进一 步加大政府采购支持中小企业力度的通知》（财库〔2022〕19 号）、《政府采购促进中小企业发展管理办法》（财库〔2020〕46 号）、《关于印发中小企业划型标准规定的通知》（工信部联企业〔2011〕300  号）。</w:t>
      </w:r>
    </w:p>
    <w:p w14:paraId="7D31D08B">
      <w:pPr>
        <w:numPr>
          <w:ilvl w:val="3"/>
          <w:numId w:val="10"/>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14:paraId="4B09F07C">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1736FB5D">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089B37DC">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w:t>
      </w:r>
      <w:r>
        <w:rPr>
          <w:rFonts w:hint="eastAsia"/>
          <w:color w:val="000000"/>
          <w:sz w:val="24"/>
        </w:rPr>
        <w:t>法</w:t>
      </w:r>
      <w:r>
        <w:rPr>
          <w:color w:val="000000"/>
          <w:sz w:val="24"/>
        </w:rPr>
        <w:t>》订立劳动合同的从业人员。</w:t>
      </w:r>
    </w:p>
    <w:p w14:paraId="79B3AB7F">
      <w:pPr>
        <w:numPr>
          <w:ilvl w:val="3"/>
          <w:numId w:val="10"/>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05BCCD06">
      <w:pPr>
        <w:numPr>
          <w:ilvl w:val="3"/>
          <w:numId w:val="10"/>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0194A04A">
      <w:pPr>
        <w:numPr>
          <w:ilvl w:val="2"/>
          <w:numId w:val="9"/>
        </w:numPr>
        <w:snapToGrid w:val="0"/>
        <w:spacing w:line="360" w:lineRule="auto"/>
        <w:rPr>
          <w:sz w:val="24"/>
        </w:rPr>
      </w:pPr>
      <w:r>
        <w:rPr>
          <w:rFonts w:hint="eastAsia"/>
          <w:sz w:val="24"/>
        </w:rPr>
        <w:t>在政府采购活动中，监狱企业视同小型、微型企业，享受预留份额、评审中价格扣除等政府采购促进中小企业发展的政府采购政策。监狱 企业定义：是指由司法部认定的为罪犯、戒毒人员供生产项目和劳动对象，且全部产权属于司法部监狱管理局、戒毒管理局、直属煤矿管理局，各省、自治区、直辖市监狱管理局、戒毒管理局， 各地（设 区的市） 监狱、强制隔离戒毒所、戒毒康复所， 以及新疆生产建设兵团监狱管理局、戒毒管理局的企业。</w:t>
      </w:r>
    </w:p>
    <w:p w14:paraId="49062081">
      <w:pPr>
        <w:numPr>
          <w:ilvl w:val="2"/>
          <w:numId w:val="9"/>
        </w:numPr>
        <w:snapToGrid w:val="0"/>
        <w:spacing w:line="360" w:lineRule="auto"/>
        <w:rPr>
          <w:sz w:val="24"/>
        </w:rPr>
      </w:pPr>
      <w:r>
        <w:rPr>
          <w:rFonts w:hint="eastAsia"/>
          <w:sz w:val="24"/>
        </w:rPr>
        <w:t>在政府采购活动中，残疾人福利性单位视同小型、微型企业， 享受预留份额、评审中价格扣除等促进中小企业发展的政府采购政策。残疾 人福利性单位定义： 享受政府采购支持政策的残疾人福利性单位应当同时满足以下条件：</w:t>
      </w:r>
    </w:p>
    <w:p w14:paraId="4832F157">
      <w:pPr>
        <w:pStyle w:val="100"/>
        <w:numPr>
          <w:ilvl w:val="2"/>
          <w:numId w:val="10"/>
        </w:numPr>
        <w:tabs>
          <w:tab w:val="left" w:pos="2035"/>
          <w:tab w:val="left" w:pos="2977"/>
        </w:tabs>
        <w:snapToGrid w:val="0"/>
        <w:spacing w:line="360" w:lineRule="auto"/>
        <w:ind w:firstLineChars="0"/>
        <w:rPr>
          <w:rFonts w:ascii="Times New Roman" w:hAnsi="Times New Roman"/>
          <w:vanish/>
          <w:color w:val="000000"/>
          <w:sz w:val="24"/>
          <w:szCs w:val="24"/>
        </w:rPr>
      </w:pPr>
    </w:p>
    <w:p w14:paraId="61168077">
      <w:pPr>
        <w:pStyle w:val="100"/>
        <w:numPr>
          <w:ilvl w:val="2"/>
          <w:numId w:val="10"/>
        </w:numPr>
        <w:tabs>
          <w:tab w:val="left" w:pos="2035"/>
          <w:tab w:val="left" w:pos="2977"/>
        </w:tabs>
        <w:snapToGrid w:val="0"/>
        <w:spacing w:line="360" w:lineRule="auto"/>
        <w:ind w:firstLineChars="0"/>
        <w:rPr>
          <w:rFonts w:ascii="Times New Roman" w:hAnsi="Times New Roman"/>
          <w:vanish/>
          <w:color w:val="000000"/>
          <w:sz w:val="24"/>
          <w:szCs w:val="24"/>
        </w:rPr>
      </w:pPr>
    </w:p>
    <w:p w14:paraId="06453630">
      <w:pPr>
        <w:numPr>
          <w:ilvl w:val="3"/>
          <w:numId w:val="10"/>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 人）；</w:t>
      </w:r>
    </w:p>
    <w:p w14:paraId="11D11694">
      <w:pPr>
        <w:numPr>
          <w:ilvl w:val="3"/>
          <w:numId w:val="10"/>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14:paraId="1FC11A31">
      <w:pPr>
        <w:numPr>
          <w:ilvl w:val="3"/>
          <w:numId w:val="10"/>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4DBABC87">
      <w:pPr>
        <w:numPr>
          <w:ilvl w:val="3"/>
          <w:numId w:val="10"/>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7537FFF3">
      <w:pPr>
        <w:numPr>
          <w:ilvl w:val="3"/>
          <w:numId w:val="10"/>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4749D763">
      <w:pPr>
        <w:numPr>
          <w:ilvl w:val="3"/>
          <w:numId w:val="10"/>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CE2C083">
      <w:pPr>
        <w:numPr>
          <w:ilvl w:val="2"/>
          <w:numId w:val="9"/>
        </w:numPr>
        <w:snapToGrid w:val="0"/>
        <w:spacing w:line="360" w:lineRule="auto"/>
        <w:rPr>
          <w:sz w:val="24"/>
        </w:rPr>
      </w:pPr>
      <w:r>
        <w:rPr>
          <w:sz w:val="24"/>
        </w:rPr>
        <w:t>本项目是否专门面向中小企业预留采购份额见第一章《投标邀请》。</w:t>
      </w:r>
    </w:p>
    <w:p w14:paraId="32B40160">
      <w:pPr>
        <w:numPr>
          <w:ilvl w:val="2"/>
          <w:numId w:val="9"/>
        </w:numPr>
        <w:snapToGrid w:val="0"/>
        <w:spacing w:line="360" w:lineRule="auto"/>
        <w:rPr>
          <w:sz w:val="24"/>
        </w:rPr>
      </w:pPr>
      <w:r>
        <w:rPr>
          <w:sz w:val="24"/>
        </w:rPr>
        <w:t>采购标的对应的中小企业划分标准所属行业见《投标人须知资料表》。</w:t>
      </w:r>
    </w:p>
    <w:p w14:paraId="31661686">
      <w:pPr>
        <w:numPr>
          <w:ilvl w:val="2"/>
          <w:numId w:val="9"/>
        </w:numPr>
        <w:snapToGrid w:val="0"/>
        <w:spacing w:line="360" w:lineRule="auto"/>
        <w:rPr>
          <w:sz w:val="24"/>
        </w:rPr>
      </w:pPr>
      <w:r>
        <w:rPr>
          <w:sz w:val="24"/>
        </w:rPr>
        <w:t>小微企业价格评审优惠的政策调整：见第四章《评标方法和评标标准》。</w:t>
      </w:r>
    </w:p>
    <w:p w14:paraId="5E9BDE82">
      <w:pPr>
        <w:numPr>
          <w:ilvl w:val="1"/>
          <w:numId w:val="9"/>
        </w:numPr>
        <w:tabs>
          <w:tab w:val="left" w:pos="1080"/>
          <w:tab w:val="left" w:pos="2014"/>
        </w:tabs>
        <w:snapToGrid w:val="0"/>
        <w:spacing w:line="360" w:lineRule="auto"/>
        <w:ind w:left="1080" w:hanging="720"/>
        <w:rPr>
          <w:sz w:val="24"/>
        </w:rPr>
      </w:pPr>
      <w:r>
        <w:rPr>
          <w:sz w:val="24"/>
        </w:rPr>
        <w:t>政府采购节能产品、环境标志产品</w:t>
      </w:r>
    </w:p>
    <w:p w14:paraId="5DEBD023">
      <w:pPr>
        <w:numPr>
          <w:ilvl w:val="2"/>
          <w:numId w:val="9"/>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0CF128E">
      <w:pPr>
        <w:numPr>
          <w:ilvl w:val="2"/>
          <w:numId w:val="9"/>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4D27E9B">
      <w:pPr>
        <w:numPr>
          <w:ilvl w:val="2"/>
          <w:numId w:val="9"/>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148DB4B7">
      <w:pPr>
        <w:numPr>
          <w:ilvl w:val="2"/>
          <w:numId w:val="9"/>
        </w:numPr>
        <w:snapToGrid w:val="0"/>
        <w:spacing w:line="360" w:lineRule="auto"/>
        <w:rPr>
          <w:sz w:val="24"/>
        </w:rPr>
      </w:pPr>
      <w:r>
        <w:rPr>
          <w:sz w:val="24"/>
        </w:rPr>
        <w:t>非政府强制采购的节能产品或环境标志产品，依据品目清单和认证证书实施政府优先采购。优先采购的具体规定见第四章《评标方法和评标标准》（如涉及）。</w:t>
      </w:r>
    </w:p>
    <w:p w14:paraId="3225919D">
      <w:pPr>
        <w:numPr>
          <w:ilvl w:val="1"/>
          <w:numId w:val="9"/>
        </w:numPr>
        <w:tabs>
          <w:tab w:val="left" w:pos="1080"/>
          <w:tab w:val="left" w:pos="2014"/>
        </w:tabs>
        <w:snapToGrid w:val="0"/>
        <w:spacing w:line="360" w:lineRule="auto"/>
        <w:ind w:left="1080" w:hanging="720"/>
        <w:rPr>
          <w:sz w:val="24"/>
        </w:rPr>
      </w:pPr>
      <w:r>
        <w:rPr>
          <w:sz w:val="24"/>
        </w:rPr>
        <w:t>正版软件</w:t>
      </w:r>
    </w:p>
    <w:p w14:paraId="29C0E5AA">
      <w:pPr>
        <w:numPr>
          <w:ilvl w:val="2"/>
          <w:numId w:val="9"/>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C7EAC20">
      <w:pPr>
        <w:numPr>
          <w:ilvl w:val="1"/>
          <w:numId w:val="9"/>
        </w:numPr>
        <w:tabs>
          <w:tab w:val="left" w:pos="1080"/>
          <w:tab w:val="left" w:pos="2014"/>
        </w:tabs>
        <w:snapToGrid w:val="0"/>
        <w:spacing w:line="360" w:lineRule="auto"/>
        <w:ind w:left="1080" w:hanging="720"/>
        <w:rPr>
          <w:sz w:val="24"/>
        </w:rPr>
      </w:pPr>
      <w:r>
        <w:rPr>
          <w:rFonts w:hint="eastAsia"/>
          <w:sz w:val="24"/>
        </w:rPr>
        <w:t>网络安全专用产品</w:t>
      </w:r>
    </w:p>
    <w:p w14:paraId="0B7ABE46">
      <w:pPr>
        <w:numPr>
          <w:ilvl w:val="2"/>
          <w:numId w:val="9"/>
        </w:numPr>
        <w:tabs>
          <w:tab w:val="left" w:pos="2014"/>
        </w:tabs>
        <w:snapToGrid w:val="0"/>
        <w:spacing w:line="360" w:lineRule="auto"/>
        <w:rPr>
          <w:sz w:val="24"/>
        </w:rPr>
      </w:pPr>
      <w:r>
        <w:rPr>
          <w:rFonts w:hint="eastAsia"/>
          <w:sz w:val="24"/>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p>
    <w:p w14:paraId="07FA71DF">
      <w:pPr>
        <w:numPr>
          <w:ilvl w:val="1"/>
          <w:numId w:val="9"/>
        </w:numPr>
        <w:tabs>
          <w:tab w:val="left" w:pos="1080"/>
          <w:tab w:val="left" w:pos="2014"/>
        </w:tabs>
        <w:snapToGrid w:val="0"/>
        <w:spacing w:line="360" w:lineRule="auto"/>
        <w:ind w:left="1080" w:hanging="720"/>
        <w:rPr>
          <w:sz w:val="24"/>
        </w:rPr>
      </w:pPr>
      <w:r>
        <w:rPr>
          <w:sz w:val="24"/>
        </w:rPr>
        <w:t>推广使用低挥发性有机化合物（VOCs）</w:t>
      </w:r>
    </w:p>
    <w:p w14:paraId="22A9CD87">
      <w:pPr>
        <w:numPr>
          <w:ilvl w:val="2"/>
          <w:numId w:val="9"/>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14:paraId="75EEE74C">
      <w:pPr>
        <w:numPr>
          <w:ilvl w:val="1"/>
          <w:numId w:val="9"/>
        </w:numPr>
        <w:tabs>
          <w:tab w:val="left" w:pos="1080"/>
          <w:tab w:val="left" w:pos="2014"/>
        </w:tabs>
        <w:snapToGrid w:val="0"/>
        <w:spacing w:line="360" w:lineRule="auto"/>
        <w:ind w:left="1080" w:hanging="720"/>
        <w:rPr>
          <w:sz w:val="24"/>
        </w:rPr>
      </w:pPr>
      <w:r>
        <w:rPr>
          <w:rFonts w:hint="eastAsia"/>
          <w:sz w:val="24"/>
        </w:rPr>
        <w:t>采购需求标准</w:t>
      </w:r>
    </w:p>
    <w:p w14:paraId="75F7E570">
      <w:pPr>
        <w:numPr>
          <w:ilvl w:val="2"/>
          <w:numId w:val="9"/>
        </w:numPr>
        <w:tabs>
          <w:tab w:val="left" w:pos="2014"/>
        </w:tabs>
        <w:snapToGrid w:val="0"/>
        <w:spacing w:line="360" w:lineRule="auto"/>
        <w:rPr>
          <w:sz w:val="24"/>
        </w:rPr>
      </w:pPr>
      <w:r>
        <w:rPr>
          <w:rFonts w:hint="eastAsia"/>
          <w:sz w:val="24"/>
        </w:rPr>
        <w:t>商品包装、快递包装政府采购需求标准（试行）为助力打好污染防治攻坚战， 推广使用绿色包装， 根据财政部关于印发《商品包装政府采购需求标准（试行）》、《快递包装政府采购需求 标准（试行）》的通知（财办库〔2020〕123 号），本项目如涉及商品包装和快递包装的，则其具体要求见第五章《采购需求》。</w:t>
      </w:r>
    </w:p>
    <w:p w14:paraId="3A2AB26F">
      <w:pPr>
        <w:numPr>
          <w:ilvl w:val="2"/>
          <w:numId w:val="9"/>
        </w:numPr>
        <w:tabs>
          <w:tab w:val="left" w:pos="2014"/>
        </w:tabs>
        <w:snapToGrid w:val="0"/>
        <w:spacing w:line="360" w:lineRule="auto"/>
        <w:rPr>
          <w:sz w:val="24"/>
        </w:rPr>
      </w:pPr>
      <w:r>
        <w:rPr>
          <w:rFonts w:hint="eastAsia"/>
          <w:sz w:val="24"/>
        </w:rPr>
        <w:t>绿色</w:t>
      </w:r>
      <w:r>
        <w:rPr>
          <w:sz w:val="24"/>
        </w:rPr>
        <w:t>其他政府采购需求标准</w:t>
      </w:r>
    </w:p>
    <w:p w14:paraId="472DFDCD">
      <w:pPr>
        <w:tabs>
          <w:tab w:val="left" w:pos="2014"/>
        </w:tabs>
        <w:snapToGrid w:val="0"/>
        <w:spacing w:line="360" w:lineRule="auto"/>
        <w:ind w:left="1915" w:leftChars="912"/>
        <w:rPr>
          <w:sz w:val="24"/>
        </w:rPr>
      </w:pPr>
      <w:r>
        <w:rPr>
          <w:sz w:val="24"/>
        </w:rPr>
        <w:t>为贯彻落实《深化政府采购制度改革方案》有关要求，推动政府采购 需求标准建设，财政部门会同有关部门制定发布的其他政府采购需求 标准，本项目如涉及，则具体要求见第五章《采购需求</w:t>
      </w:r>
      <w:r>
        <w:rPr>
          <w:spacing w:val="-5"/>
          <w:sz w:val="24"/>
        </w:rPr>
        <w:t>》。</w:t>
      </w:r>
    </w:p>
    <w:p w14:paraId="57C5F57C">
      <w:pPr>
        <w:numPr>
          <w:ilvl w:val="0"/>
          <w:numId w:val="9"/>
        </w:numPr>
        <w:tabs>
          <w:tab w:val="left" w:pos="360"/>
        </w:tabs>
        <w:snapToGrid w:val="0"/>
        <w:spacing w:line="360" w:lineRule="auto"/>
        <w:ind w:left="357" w:hanging="357"/>
        <w:outlineLvl w:val="1"/>
        <w:rPr>
          <w:sz w:val="24"/>
        </w:rPr>
      </w:pPr>
      <w:r>
        <w:rPr>
          <w:sz w:val="24"/>
        </w:rPr>
        <w:t>投标费用</w:t>
      </w:r>
    </w:p>
    <w:p w14:paraId="78097DA8">
      <w:pPr>
        <w:numPr>
          <w:ilvl w:val="1"/>
          <w:numId w:val="9"/>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528FCF95">
      <w:pPr>
        <w:tabs>
          <w:tab w:val="left" w:pos="1080"/>
        </w:tabs>
        <w:snapToGrid w:val="0"/>
        <w:spacing w:line="360" w:lineRule="auto"/>
        <w:ind w:left="1080"/>
        <w:rPr>
          <w:sz w:val="28"/>
        </w:rPr>
      </w:pPr>
      <w:bookmarkStart w:id="172" w:name="_1.8_计量单位"/>
      <w:bookmarkEnd w:id="172"/>
    </w:p>
    <w:p w14:paraId="52A6CDBF">
      <w:pPr>
        <w:pStyle w:val="3"/>
        <w:spacing w:before="0" w:line="360" w:lineRule="auto"/>
        <w:rPr>
          <w:rFonts w:ascii="Times New Roman" w:hAnsi="Times New Roman" w:eastAsia="宋体"/>
          <w:sz w:val="28"/>
        </w:rPr>
      </w:pPr>
      <w:r>
        <w:rPr>
          <w:rFonts w:ascii="Times New Roman" w:hAnsi="Times New Roman" w:eastAsia="宋体"/>
          <w:sz w:val="28"/>
        </w:rPr>
        <w:t>二   招标文件</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3174C801">
      <w:pPr>
        <w:numPr>
          <w:ilvl w:val="0"/>
          <w:numId w:val="9"/>
        </w:numPr>
        <w:tabs>
          <w:tab w:val="left" w:pos="360"/>
        </w:tabs>
        <w:snapToGrid w:val="0"/>
        <w:spacing w:line="360" w:lineRule="auto"/>
        <w:ind w:left="357" w:hanging="357"/>
        <w:outlineLvl w:val="1"/>
        <w:rPr>
          <w:sz w:val="24"/>
        </w:rPr>
      </w:pPr>
      <w:bookmarkStart w:id="173" w:name="_Toc127161437"/>
      <w:bookmarkStart w:id="174" w:name="_Toc142311025"/>
      <w:bookmarkStart w:id="175" w:name="_Toc164608792"/>
      <w:bookmarkStart w:id="176" w:name="_Toc164351617"/>
      <w:bookmarkStart w:id="177" w:name="_Toc151193765"/>
      <w:bookmarkStart w:id="178" w:name="_Toc305158865"/>
      <w:bookmarkStart w:id="179" w:name="_Toc151190150"/>
      <w:bookmarkStart w:id="180" w:name="_Toc151193837"/>
      <w:bookmarkStart w:id="181" w:name="_Toc151193621"/>
      <w:bookmarkStart w:id="182" w:name="_Toc226309767"/>
      <w:bookmarkStart w:id="183" w:name="_Toc150774728"/>
      <w:bookmarkStart w:id="184" w:name="_Toc265228361"/>
      <w:bookmarkStart w:id="185" w:name="_Toc264969213"/>
      <w:bookmarkStart w:id="186" w:name="_Toc520356147"/>
      <w:bookmarkStart w:id="187" w:name="_Toc127151523"/>
      <w:bookmarkStart w:id="188" w:name="_Toc164229218"/>
      <w:bookmarkStart w:id="189" w:name="_Toc150509274"/>
      <w:bookmarkStart w:id="190" w:name="_Toc149720816"/>
      <w:bookmarkStart w:id="191" w:name="_Toc226965713"/>
      <w:bookmarkStart w:id="192" w:name="_Toc226337219"/>
      <w:bookmarkStart w:id="193" w:name="_Toc226965796"/>
      <w:bookmarkStart w:id="194" w:name="_Toc195842888"/>
      <w:bookmarkStart w:id="195" w:name="_Toc150774623"/>
      <w:bookmarkStart w:id="196" w:name="_Toc127151724"/>
      <w:bookmarkStart w:id="197" w:name="_Toc164229364"/>
      <w:bookmarkStart w:id="198" w:name="_Toc305158791"/>
      <w:bookmarkStart w:id="199" w:name="_Toc164608637"/>
      <w:bookmarkStart w:id="200" w:name="_Toc151193911"/>
      <w:bookmarkStart w:id="201" w:name="_Toc150480761"/>
      <w:bookmarkStart w:id="202" w:name="_Toc151193693"/>
      <w:r>
        <w:rPr>
          <w:sz w:val="24"/>
        </w:rPr>
        <w:t>招标文件构</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sz w:val="24"/>
        </w:rPr>
        <w:t>成</w:t>
      </w:r>
    </w:p>
    <w:p w14:paraId="178D16A6">
      <w:pPr>
        <w:numPr>
          <w:ilvl w:val="1"/>
          <w:numId w:val="9"/>
        </w:numPr>
        <w:tabs>
          <w:tab w:val="left" w:pos="1080"/>
          <w:tab w:val="left" w:pos="2014"/>
        </w:tabs>
        <w:snapToGrid w:val="0"/>
        <w:spacing w:line="360" w:lineRule="auto"/>
        <w:ind w:left="1080" w:hanging="720"/>
        <w:rPr>
          <w:sz w:val="24"/>
        </w:rPr>
      </w:pPr>
      <w:r>
        <w:rPr>
          <w:sz w:val="24"/>
        </w:rPr>
        <w:t>招标文件包括以下部分：</w:t>
      </w:r>
    </w:p>
    <w:p w14:paraId="3CB9EAE7">
      <w:pPr>
        <w:numPr>
          <w:ilvl w:val="0"/>
          <w:numId w:val="11"/>
        </w:numPr>
        <w:tabs>
          <w:tab w:val="left" w:pos="1980"/>
          <w:tab w:val="left" w:pos="2520"/>
        </w:tabs>
        <w:snapToGrid w:val="0"/>
        <w:spacing w:line="360" w:lineRule="auto"/>
        <w:ind w:left="1440" w:firstLine="5"/>
        <w:rPr>
          <w:sz w:val="24"/>
        </w:rPr>
      </w:pPr>
      <w:r>
        <w:rPr>
          <w:sz w:val="24"/>
        </w:rPr>
        <w:t>投标邀请</w:t>
      </w:r>
    </w:p>
    <w:p w14:paraId="78D16A3F">
      <w:pPr>
        <w:numPr>
          <w:ilvl w:val="0"/>
          <w:numId w:val="11"/>
        </w:numPr>
        <w:tabs>
          <w:tab w:val="left" w:pos="1980"/>
          <w:tab w:val="left" w:pos="2520"/>
        </w:tabs>
        <w:snapToGrid w:val="0"/>
        <w:spacing w:line="360" w:lineRule="auto"/>
        <w:ind w:left="1440" w:firstLine="5"/>
        <w:rPr>
          <w:sz w:val="24"/>
        </w:rPr>
      </w:pPr>
      <w:r>
        <w:rPr>
          <w:sz w:val="24"/>
        </w:rPr>
        <w:t>投标人须知</w:t>
      </w:r>
    </w:p>
    <w:p w14:paraId="5962331D">
      <w:pPr>
        <w:numPr>
          <w:ilvl w:val="0"/>
          <w:numId w:val="11"/>
        </w:numPr>
        <w:tabs>
          <w:tab w:val="left" w:pos="1980"/>
          <w:tab w:val="left" w:pos="2520"/>
        </w:tabs>
        <w:snapToGrid w:val="0"/>
        <w:spacing w:line="360" w:lineRule="auto"/>
        <w:ind w:left="1440" w:firstLine="5"/>
        <w:rPr>
          <w:sz w:val="24"/>
        </w:rPr>
      </w:pPr>
      <w:r>
        <w:rPr>
          <w:sz w:val="24"/>
        </w:rPr>
        <w:t>资格审查</w:t>
      </w:r>
    </w:p>
    <w:p w14:paraId="4865B537">
      <w:pPr>
        <w:numPr>
          <w:ilvl w:val="0"/>
          <w:numId w:val="11"/>
        </w:numPr>
        <w:tabs>
          <w:tab w:val="left" w:pos="1980"/>
          <w:tab w:val="left" w:pos="2520"/>
        </w:tabs>
        <w:snapToGrid w:val="0"/>
        <w:spacing w:line="360" w:lineRule="auto"/>
        <w:ind w:left="1440" w:firstLine="5"/>
        <w:rPr>
          <w:sz w:val="24"/>
        </w:rPr>
      </w:pPr>
      <w:r>
        <w:rPr>
          <w:sz w:val="24"/>
        </w:rPr>
        <w:t>评标程序、评标方法和评标标准</w:t>
      </w:r>
    </w:p>
    <w:p w14:paraId="27174373">
      <w:pPr>
        <w:numPr>
          <w:ilvl w:val="0"/>
          <w:numId w:val="11"/>
        </w:numPr>
        <w:tabs>
          <w:tab w:val="left" w:pos="1980"/>
          <w:tab w:val="left" w:pos="2520"/>
        </w:tabs>
        <w:snapToGrid w:val="0"/>
        <w:spacing w:line="360" w:lineRule="auto"/>
        <w:ind w:left="1440" w:firstLine="5"/>
        <w:rPr>
          <w:sz w:val="24"/>
        </w:rPr>
      </w:pPr>
      <w:r>
        <w:rPr>
          <w:sz w:val="24"/>
        </w:rPr>
        <w:t>采购需求</w:t>
      </w:r>
    </w:p>
    <w:p w14:paraId="4E84BCA9">
      <w:pPr>
        <w:numPr>
          <w:ilvl w:val="0"/>
          <w:numId w:val="11"/>
        </w:numPr>
        <w:tabs>
          <w:tab w:val="left" w:pos="1980"/>
          <w:tab w:val="left" w:pos="2520"/>
        </w:tabs>
        <w:snapToGrid w:val="0"/>
        <w:spacing w:line="360" w:lineRule="auto"/>
        <w:ind w:left="1440" w:firstLine="5"/>
        <w:rPr>
          <w:sz w:val="24"/>
        </w:rPr>
      </w:pPr>
      <w:r>
        <w:rPr>
          <w:sz w:val="24"/>
        </w:rPr>
        <w:t>拟签订的合同文本</w:t>
      </w:r>
    </w:p>
    <w:p w14:paraId="1FE451A2">
      <w:pPr>
        <w:numPr>
          <w:ilvl w:val="0"/>
          <w:numId w:val="11"/>
        </w:numPr>
        <w:tabs>
          <w:tab w:val="left" w:pos="1980"/>
          <w:tab w:val="left" w:pos="2520"/>
        </w:tabs>
        <w:snapToGrid w:val="0"/>
        <w:spacing w:line="360" w:lineRule="auto"/>
        <w:ind w:left="1440" w:firstLine="5"/>
        <w:rPr>
          <w:sz w:val="24"/>
        </w:rPr>
      </w:pPr>
      <w:r>
        <w:rPr>
          <w:sz w:val="24"/>
        </w:rPr>
        <w:t>投标文件格式</w:t>
      </w:r>
    </w:p>
    <w:p w14:paraId="7F753A15">
      <w:pPr>
        <w:numPr>
          <w:ilvl w:val="1"/>
          <w:numId w:val="9"/>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023B3E65">
      <w:pPr>
        <w:numPr>
          <w:ilvl w:val="0"/>
          <w:numId w:val="9"/>
        </w:numPr>
        <w:tabs>
          <w:tab w:val="left" w:pos="1080"/>
          <w:tab w:val="left" w:pos="2014"/>
        </w:tabs>
        <w:snapToGrid w:val="0"/>
        <w:spacing w:line="360" w:lineRule="auto"/>
        <w:ind w:left="357" w:hanging="357"/>
        <w:outlineLvl w:val="1"/>
        <w:rPr>
          <w:sz w:val="24"/>
        </w:rPr>
      </w:pPr>
      <w:r>
        <w:rPr>
          <w:sz w:val="24"/>
        </w:rPr>
        <w:t>对招标文件的澄清或修改</w:t>
      </w:r>
    </w:p>
    <w:p w14:paraId="5AD9802D">
      <w:pPr>
        <w:numPr>
          <w:ilvl w:val="1"/>
          <w:numId w:val="9"/>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11F943B9">
      <w:pPr>
        <w:numPr>
          <w:ilvl w:val="1"/>
          <w:numId w:val="9"/>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1C29D2EB">
      <w:pPr>
        <w:numPr>
          <w:ilvl w:val="1"/>
          <w:numId w:val="9"/>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2531E1B">
      <w:pPr>
        <w:tabs>
          <w:tab w:val="left" w:pos="1080"/>
          <w:tab w:val="left" w:pos="1561"/>
        </w:tabs>
        <w:snapToGrid w:val="0"/>
        <w:spacing w:line="360" w:lineRule="auto"/>
        <w:ind w:left="1080"/>
        <w:rPr>
          <w:sz w:val="28"/>
        </w:rPr>
      </w:pPr>
      <w:bookmarkStart w:id="203" w:name="_Toc516367020"/>
      <w:bookmarkStart w:id="204" w:name="_Toc264969216"/>
      <w:bookmarkStart w:id="205" w:name="_Toc150509277"/>
      <w:bookmarkStart w:id="206" w:name="_Toc520356150"/>
      <w:bookmarkStart w:id="207" w:name="_Toc150774731"/>
      <w:bookmarkStart w:id="208" w:name="_Toc151193768"/>
      <w:bookmarkStart w:id="209" w:name="_Toc265228364"/>
      <w:bookmarkStart w:id="210" w:name="_Toc151193696"/>
      <w:bookmarkStart w:id="211" w:name="_Toc151193840"/>
      <w:bookmarkStart w:id="212" w:name="_Toc151193914"/>
      <w:bookmarkStart w:id="213" w:name="_Toc226337222"/>
      <w:bookmarkStart w:id="214" w:name="_Toc226309770"/>
      <w:bookmarkStart w:id="215" w:name="_Toc305158794"/>
      <w:bookmarkStart w:id="216" w:name="_Toc226965799"/>
      <w:bookmarkStart w:id="217" w:name="_Toc151190153"/>
      <w:bookmarkStart w:id="218" w:name="_Toc127151526"/>
      <w:bookmarkStart w:id="219" w:name="_Toc151193624"/>
      <w:bookmarkStart w:id="220" w:name="_Toc195842891"/>
      <w:bookmarkStart w:id="221" w:name="_Toc305158868"/>
      <w:bookmarkStart w:id="222" w:name="_Toc142311028"/>
      <w:bookmarkStart w:id="223" w:name="_Toc226965716"/>
      <w:bookmarkStart w:id="224" w:name="_Toc150774626"/>
      <w:bookmarkStart w:id="225" w:name="_Toc150480764"/>
    </w:p>
    <w:p w14:paraId="46332018">
      <w:pPr>
        <w:pStyle w:val="3"/>
        <w:spacing w:before="0" w:line="360" w:lineRule="auto"/>
        <w:rPr>
          <w:rFonts w:ascii="Times New Roman" w:hAnsi="Times New Roman" w:eastAsia="宋体"/>
          <w:sz w:val="28"/>
        </w:rPr>
      </w:pPr>
      <w:r>
        <w:rPr>
          <w:rFonts w:ascii="Times New Roman" w:hAnsi="Times New Roman" w:eastAsia="宋体"/>
          <w:sz w:val="28"/>
        </w:rPr>
        <w:t>三   投标文件</w:t>
      </w:r>
      <w:bookmarkEnd w:id="203"/>
      <w:r>
        <w:rPr>
          <w:rFonts w:ascii="Times New Roman" w:hAnsi="Times New Roman" w:eastAsia="宋体"/>
          <w:sz w:val="28"/>
        </w:rPr>
        <w:t>的编制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60B0BAF5">
      <w:pPr>
        <w:numPr>
          <w:ilvl w:val="0"/>
          <w:numId w:val="9"/>
        </w:numPr>
        <w:tabs>
          <w:tab w:val="left" w:pos="360"/>
        </w:tabs>
        <w:snapToGrid w:val="0"/>
        <w:spacing w:line="360" w:lineRule="auto"/>
        <w:ind w:left="357" w:hanging="357"/>
        <w:outlineLvl w:val="1"/>
        <w:rPr>
          <w:sz w:val="24"/>
        </w:rPr>
      </w:pPr>
      <w:bookmarkStart w:id="226" w:name="_Toc164351621"/>
      <w:bookmarkStart w:id="227" w:name="_Toc305158869"/>
      <w:bookmarkStart w:id="228" w:name="_Toc516367021"/>
      <w:bookmarkStart w:id="229" w:name="_Toc150774627"/>
      <w:bookmarkStart w:id="230" w:name="_Toc520356151"/>
      <w:bookmarkStart w:id="231" w:name="_Toc305158795"/>
      <w:bookmarkStart w:id="232" w:name="_Toc164608796"/>
      <w:bookmarkStart w:id="233" w:name="_Toc150480765"/>
      <w:bookmarkStart w:id="234" w:name="_Toc151193841"/>
      <w:bookmarkStart w:id="235" w:name="_Toc149720820"/>
      <w:bookmarkStart w:id="236" w:name="_Toc127161441"/>
      <w:bookmarkStart w:id="237" w:name="_Toc164229222"/>
      <w:bookmarkStart w:id="238" w:name="_Toc151193915"/>
      <w:bookmarkStart w:id="239" w:name="_Toc151193625"/>
      <w:bookmarkStart w:id="240" w:name="_Toc151193769"/>
      <w:bookmarkStart w:id="241" w:name="_Toc127151728"/>
      <w:bookmarkStart w:id="242" w:name="_Toc151193697"/>
      <w:bookmarkStart w:id="243" w:name="_Toc142311029"/>
      <w:bookmarkStart w:id="244" w:name="_Toc226965717"/>
      <w:bookmarkStart w:id="245" w:name="_Toc226309771"/>
      <w:bookmarkStart w:id="246" w:name="_Toc150774732"/>
      <w:bookmarkStart w:id="247" w:name="_Toc127151527"/>
      <w:bookmarkStart w:id="248" w:name="_Toc265228365"/>
      <w:bookmarkStart w:id="249" w:name="_Toc195842892"/>
      <w:bookmarkStart w:id="250" w:name="_Toc226965800"/>
      <w:bookmarkStart w:id="251" w:name="_Toc150509278"/>
      <w:bookmarkStart w:id="252" w:name="_Toc264969217"/>
      <w:bookmarkStart w:id="253" w:name="_Toc164608641"/>
      <w:bookmarkStart w:id="254" w:name="_Toc151190154"/>
      <w:bookmarkStart w:id="255" w:name="_Toc226337223"/>
      <w:bookmarkStart w:id="256" w:name="_Toc164229368"/>
      <w:r>
        <w:rPr>
          <w:sz w:val="24"/>
        </w:rPr>
        <w:t>投标范围、投标文件中计量单位的使用</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sz w:val="24"/>
        </w:rPr>
        <w:t>及投标语言</w:t>
      </w:r>
    </w:p>
    <w:p w14:paraId="0D42BAE9">
      <w:pPr>
        <w:numPr>
          <w:ilvl w:val="1"/>
          <w:numId w:val="9"/>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14:paraId="0277534B">
      <w:pPr>
        <w:numPr>
          <w:ilvl w:val="1"/>
          <w:numId w:val="9"/>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57369A8F">
      <w:pPr>
        <w:numPr>
          <w:ilvl w:val="1"/>
          <w:numId w:val="9"/>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10D30D9">
      <w:pPr>
        <w:numPr>
          <w:ilvl w:val="0"/>
          <w:numId w:val="9"/>
        </w:numPr>
        <w:tabs>
          <w:tab w:val="left" w:pos="360"/>
        </w:tabs>
        <w:snapToGrid w:val="0"/>
        <w:spacing w:line="360" w:lineRule="auto"/>
        <w:ind w:left="357" w:hanging="357"/>
        <w:outlineLvl w:val="1"/>
        <w:rPr>
          <w:sz w:val="24"/>
        </w:rPr>
      </w:pPr>
      <w:bookmarkStart w:id="257" w:name="_Ref467306195"/>
      <w:bookmarkStart w:id="258" w:name="_Toc516367022"/>
      <w:bookmarkStart w:id="259" w:name="_Ref467306676"/>
      <w:bookmarkStart w:id="260" w:name="_Toc127161442"/>
      <w:bookmarkStart w:id="261" w:name="_Toc164608642"/>
      <w:bookmarkStart w:id="262" w:name="_Toc164229369"/>
      <w:bookmarkStart w:id="263" w:name="_Toc149720821"/>
      <w:bookmarkStart w:id="264" w:name="_Toc164608797"/>
      <w:bookmarkStart w:id="265" w:name="_Toc226309772"/>
      <w:bookmarkStart w:id="266" w:name="_Toc195842893"/>
      <w:bookmarkStart w:id="267" w:name="_Toc150480766"/>
      <w:bookmarkStart w:id="268" w:name="_Toc151193698"/>
      <w:bookmarkStart w:id="269" w:name="_Toc305158870"/>
      <w:bookmarkStart w:id="270" w:name="_Toc151193842"/>
      <w:bookmarkStart w:id="271" w:name="_Toc150774733"/>
      <w:bookmarkStart w:id="272" w:name="_Toc127151528"/>
      <w:bookmarkStart w:id="273" w:name="_Toc151190155"/>
      <w:bookmarkStart w:id="274" w:name="_Toc226337224"/>
      <w:bookmarkStart w:id="275" w:name="_Toc305158796"/>
      <w:bookmarkStart w:id="276" w:name="_Toc164351622"/>
      <w:bookmarkStart w:id="277" w:name="_Toc265228366"/>
      <w:bookmarkStart w:id="278" w:name="_Toc226965801"/>
      <w:bookmarkStart w:id="279" w:name="_Toc151193916"/>
      <w:bookmarkStart w:id="280" w:name="_Toc151193626"/>
      <w:bookmarkStart w:id="281" w:name="_Toc164229223"/>
      <w:bookmarkStart w:id="282" w:name="_Toc226965718"/>
      <w:bookmarkStart w:id="283" w:name="_Toc151193770"/>
      <w:bookmarkStart w:id="284" w:name="_Toc142311030"/>
      <w:bookmarkStart w:id="285" w:name="_Toc150509279"/>
      <w:bookmarkStart w:id="286" w:name="_Toc520356152"/>
      <w:bookmarkStart w:id="287" w:name="_Toc127151729"/>
      <w:bookmarkStart w:id="288" w:name="_Toc264969218"/>
      <w:bookmarkStart w:id="289" w:name="_Toc150774628"/>
      <w:r>
        <w:rPr>
          <w:sz w:val="24"/>
        </w:rPr>
        <w:t>投标文件</w:t>
      </w:r>
      <w:bookmarkEnd w:id="257"/>
      <w:bookmarkEnd w:id="258"/>
      <w:bookmarkEnd w:id="259"/>
      <w:r>
        <w:rPr>
          <w:sz w:val="24"/>
        </w:rPr>
        <w:t>构成</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191EB360">
      <w:pPr>
        <w:numPr>
          <w:ilvl w:val="1"/>
          <w:numId w:val="9"/>
        </w:numPr>
        <w:tabs>
          <w:tab w:val="left" w:pos="1080"/>
          <w:tab w:val="left" w:pos="2014"/>
        </w:tabs>
        <w:snapToGrid w:val="0"/>
        <w:spacing w:line="360" w:lineRule="auto"/>
        <w:ind w:left="1077" w:hanging="720"/>
        <w:rPr>
          <w:sz w:val="24"/>
        </w:rPr>
      </w:pPr>
      <w:bookmarkStart w:id="290" w:name="_Ref467052588"/>
      <w:r>
        <w:rPr>
          <w:sz w:val="24"/>
        </w:rPr>
        <w:t>投标人应当按照招标文件的要求编制投标文件。投标文件应由《资格证明文件》、《商务技术文件》两部分构成。投标文件的部分格式要求，见第七章《投标文件格式》。</w:t>
      </w:r>
    </w:p>
    <w:p w14:paraId="4A25651B">
      <w:pPr>
        <w:numPr>
          <w:ilvl w:val="1"/>
          <w:numId w:val="9"/>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10781F91">
      <w:pPr>
        <w:numPr>
          <w:ilvl w:val="1"/>
          <w:numId w:val="9"/>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7478067C">
      <w:pPr>
        <w:numPr>
          <w:ilvl w:val="1"/>
          <w:numId w:val="9"/>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5FA449EA">
      <w:pPr>
        <w:numPr>
          <w:ilvl w:val="1"/>
          <w:numId w:val="9"/>
        </w:numPr>
        <w:tabs>
          <w:tab w:val="left" w:pos="1080"/>
          <w:tab w:val="left" w:pos="2014"/>
        </w:tabs>
        <w:snapToGrid w:val="0"/>
        <w:spacing w:line="360" w:lineRule="auto"/>
        <w:ind w:left="1077" w:hanging="720"/>
        <w:rPr>
          <w:sz w:val="24"/>
        </w:rPr>
      </w:pPr>
      <w:r>
        <w:rPr>
          <w:sz w:val="24"/>
        </w:rPr>
        <w:t>投标人认为应附的其他材料。</w:t>
      </w:r>
      <w:bookmarkEnd w:id="290"/>
    </w:p>
    <w:p w14:paraId="1D2DFAE6">
      <w:pPr>
        <w:numPr>
          <w:ilvl w:val="0"/>
          <w:numId w:val="9"/>
        </w:numPr>
        <w:tabs>
          <w:tab w:val="left" w:pos="360"/>
        </w:tabs>
        <w:snapToGrid w:val="0"/>
        <w:spacing w:line="360" w:lineRule="auto"/>
        <w:ind w:left="357" w:hanging="357"/>
        <w:outlineLvl w:val="1"/>
        <w:rPr>
          <w:sz w:val="24"/>
        </w:rPr>
      </w:pPr>
      <w:bookmarkStart w:id="291" w:name="_Toc150774630"/>
      <w:bookmarkStart w:id="292" w:name="_Toc127151731"/>
      <w:bookmarkStart w:id="293" w:name="_Toc151190157"/>
      <w:bookmarkStart w:id="294" w:name="_Toc150774735"/>
      <w:bookmarkStart w:id="295" w:name="_Toc164229371"/>
      <w:bookmarkStart w:id="296" w:name="_Toc149720823"/>
      <w:bookmarkStart w:id="297" w:name="_Toc127151530"/>
      <w:bookmarkStart w:id="298" w:name="_Toc520356155"/>
      <w:bookmarkStart w:id="299" w:name="_Toc151193772"/>
      <w:bookmarkStart w:id="300" w:name="_Toc150509281"/>
      <w:bookmarkStart w:id="301" w:name="_Toc151193844"/>
      <w:bookmarkStart w:id="302" w:name="_Toc151193628"/>
      <w:bookmarkStart w:id="303" w:name="_Toc142311032"/>
      <w:bookmarkStart w:id="304" w:name="_Toc150480768"/>
      <w:bookmarkStart w:id="305" w:name="_Toc164608644"/>
      <w:bookmarkStart w:id="306" w:name="_Toc151193700"/>
      <w:bookmarkStart w:id="307" w:name="_Toc164608799"/>
      <w:bookmarkStart w:id="308" w:name="_Toc164229225"/>
      <w:bookmarkStart w:id="309" w:name="_Toc127161444"/>
      <w:bookmarkStart w:id="310" w:name="_Toc151193918"/>
      <w:bookmarkStart w:id="311" w:name="_Toc164351624"/>
      <w:bookmarkStart w:id="312" w:name="_Toc195842895"/>
      <w:r>
        <w:rPr>
          <w:sz w:val="24"/>
        </w:rPr>
        <w:t>投标报价</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5806BA0A">
      <w:pPr>
        <w:numPr>
          <w:ilvl w:val="1"/>
          <w:numId w:val="9"/>
        </w:numPr>
        <w:tabs>
          <w:tab w:val="left" w:pos="1080"/>
          <w:tab w:val="left" w:pos="2014"/>
        </w:tabs>
        <w:snapToGrid w:val="0"/>
        <w:spacing w:line="360" w:lineRule="auto"/>
        <w:ind w:left="1077" w:hanging="720"/>
        <w:rPr>
          <w:sz w:val="24"/>
        </w:rPr>
      </w:pPr>
      <w:r>
        <w:rPr>
          <w:sz w:val="24"/>
        </w:rPr>
        <w:t>所有</w:t>
      </w:r>
      <w:r>
        <w:rPr>
          <w:spacing w:val="1"/>
          <w:sz w:val="24"/>
        </w:rPr>
        <w:t>投标均以人民币为计价货币。</w:t>
      </w:r>
    </w:p>
    <w:p w14:paraId="7BE9934A">
      <w:pPr>
        <w:numPr>
          <w:ilvl w:val="1"/>
          <w:numId w:val="9"/>
        </w:numPr>
        <w:tabs>
          <w:tab w:val="left" w:pos="1080"/>
          <w:tab w:val="left" w:pos="2014"/>
        </w:tabs>
        <w:snapToGrid w:val="0"/>
        <w:spacing w:line="360" w:lineRule="auto"/>
        <w:ind w:left="1077" w:hanging="720"/>
        <w:rPr>
          <w:sz w:val="24"/>
        </w:rPr>
      </w:pPr>
      <w:r>
        <w:rPr>
          <w:sz w:val="24"/>
        </w:rPr>
        <w:t>投标人</w:t>
      </w:r>
      <w:r>
        <w:rPr>
          <w:spacing w:val="2"/>
          <w:sz w:val="24"/>
        </w:rPr>
        <w:t>的报价应包括为完成本项目所发生的一切费</w:t>
      </w:r>
      <w:r>
        <w:rPr>
          <w:spacing w:val="1"/>
          <w:sz w:val="24"/>
        </w:rPr>
        <w:t>用和税费</w:t>
      </w:r>
      <w:r>
        <w:rPr>
          <w:spacing w:val="-26"/>
          <w:sz w:val="24"/>
        </w:rPr>
        <w:t xml:space="preserve"> </w:t>
      </w:r>
      <w:r>
        <w:rPr>
          <w:spacing w:val="1"/>
          <w:sz w:val="24"/>
        </w:rPr>
        <w:t>，采购人将不再</w:t>
      </w:r>
      <w:r>
        <w:rPr>
          <w:sz w:val="24"/>
        </w:rPr>
        <w:t xml:space="preserve"> </w:t>
      </w:r>
      <w:r>
        <w:rPr>
          <w:spacing w:val="-5"/>
          <w:sz w:val="24"/>
        </w:rPr>
        <w:t>支付报价以外的任何费用。投标人的报价应包括但不限于下列内容，《投标人</w:t>
      </w:r>
      <w:r>
        <w:rPr>
          <w:spacing w:val="-2"/>
          <w:sz w:val="24"/>
        </w:rPr>
        <w:t>须知资料表》</w:t>
      </w:r>
      <w:r>
        <w:rPr>
          <w:spacing w:val="-40"/>
          <w:sz w:val="24"/>
        </w:rPr>
        <w:t xml:space="preserve"> </w:t>
      </w:r>
      <w:r>
        <w:rPr>
          <w:spacing w:val="-2"/>
          <w:sz w:val="24"/>
        </w:rPr>
        <w:t>中有特殊规定的，从其规定。</w:t>
      </w:r>
    </w:p>
    <w:p w14:paraId="45958D90">
      <w:pPr>
        <w:numPr>
          <w:ilvl w:val="2"/>
          <w:numId w:val="9"/>
        </w:numPr>
        <w:snapToGrid w:val="0"/>
        <w:spacing w:line="360" w:lineRule="auto"/>
        <w:rPr>
          <w:sz w:val="24"/>
        </w:rPr>
      </w:pPr>
      <w:r>
        <w:rPr>
          <w:sz w:val="24"/>
        </w:rPr>
        <w:t>投标</w:t>
      </w:r>
      <w:r>
        <w:rPr>
          <w:spacing w:val="-1"/>
          <w:sz w:val="24"/>
        </w:rPr>
        <w:t>货物及标准附件、备品备件、专用工具等的出厂价（包括已在中</w:t>
      </w:r>
      <w:r>
        <w:rPr>
          <w:sz w:val="24"/>
        </w:rPr>
        <w:t xml:space="preserve">  国国内的进口货物完税后的仓库交货价、展室交货价或货</w:t>
      </w:r>
      <w:r>
        <w:rPr>
          <w:spacing w:val="-1"/>
          <w:sz w:val="24"/>
        </w:rPr>
        <w:t>架交货价）</w:t>
      </w:r>
      <w:r>
        <w:rPr>
          <w:sz w:val="24"/>
        </w:rPr>
        <w:t xml:space="preserve"> 和运至最终目的地的运输费和保险费，安装调试、检验、</w:t>
      </w:r>
      <w:r>
        <w:rPr>
          <w:spacing w:val="-1"/>
          <w:sz w:val="24"/>
        </w:rPr>
        <w:t>技术服务、</w:t>
      </w:r>
      <w:r>
        <w:rPr>
          <w:sz w:val="24"/>
        </w:rPr>
        <w:t xml:space="preserve"> </w:t>
      </w:r>
      <w:r>
        <w:rPr>
          <w:spacing w:val="-1"/>
          <w:sz w:val="24"/>
        </w:rPr>
        <w:t>培训、质量保证、售后服务、税费等；</w:t>
      </w:r>
    </w:p>
    <w:p w14:paraId="0DFA53E5">
      <w:pPr>
        <w:numPr>
          <w:ilvl w:val="2"/>
          <w:numId w:val="9"/>
        </w:numPr>
        <w:snapToGrid w:val="0"/>
        <w:spacing w:line="360" w:lineRule="auto"/>
        <w:rPr>
          <w:sz w:val="24"/>
        </w:rPr>
      </w:pPr>
      <w:r>
        <w:rPr>
          <w:sz w:val="24"/>
        </w:rPr>
        <w:t xml:space="preserve">按照招标文件要求完成本项目的全部相关服务费用。 </w:t>
      </w:r>
    </w:p>
    <w:p w14:paraId="6CCD7A93">
      <w:pPr>
        <w:numPr>
          <w:ilvl w:val="1"/>
          <w:numId w:val="9"/>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61DD4820">
      <w:pPr>
        <w:numPr>
          <w:ilvl w:val="1"/>
          <w:numId w:val="9"/>
        </w:numPr>
        <w:tabs>
          <w:tab w:val="left" w:pos="1080"/>
          <w:tab w:val="left" w:pos="2014"/>
        </w:tabs>
        <w:snapToGrid w:val="0"/>
        <w:spacing w:line="360" w:lineRule="auto"/>
        <w:ind w:left="1080" w:hanging="720"/>
        <w:rPr>
          <w:sz w:val="24"/>
        </w:rPr>
      </w:pPr>
      <w:r>
        <w:rPr>
          <w:sz w:val="24"/>
        </w:rPr>
        <w:t>投标人</w:t>
      </w:r>
      <w:r>
        <w:rPr>
          <w:spacing w:val="1"/>
          <w:sz w:val="24"/>
        </w:rPr>
        <w:t>不能提供任何有选择性或可调整的报价（招标文件另有</w:t>
      </w:r>
      <w:r>
        <w:rPr>
          <w:sz w:val="24"/>
        </w:rPr>
        <w:t>规定的除外</w:t>
      </w:r>
      <w:r>
        <w:rPr>
          <w:spacing w:val="-49"/>
          <w:w w:val="85"/>
          <w:sz w:val="24"/>
        </w:rPr>
        <w:t>），</w:t>
      </w:r>
      <w:r>
        <w:rPr>
          <w:sz w:val="24"/>
        </w:rPr>
        <w:t xml:space="preserve"> </w:t>
      </w:r>
      <w:r>
        <w:rPr>
          <w:spacing w:val="-1"/>
          <w:sz w:val="24"/>
        </w:rPr>
        <w:t>否则其</w:t>
      </w:r>
      <w:r>
        <w:rPr>
          <w:b/>
          <w:bCs/>
          <w:spacing w:val="-1"/>
          <w:sz w:val="24"/>
        </w:rPr>
        <w:t>投标无效</w:t>
      </w:r>
      <w:r>
        <w:rPr>
          <w:spacing w:val="-1"/>
          <w:sz w:val="24"/>
        </w:rPr>
        <w:t>。</w:t>
      </w:r>
    </w:p>
    <w:p w14:paraId="0E24F80E">
      <w:pPr>
        <w:numPr>
          <w:ilvl w:val="0"/>
          <w:numId w:val="9"/>
        </w:numPr>
        <w:tabs>
          <w:tab w:val="left" w:pos="360"/>
        </w:tabs>
        <w:snapToGrid w:val="0"/>
        <w:spacing w:line="360" w:lineRule="auto"/>
        <w:ind w:left="357" w:hanging="357"/>
        <w:outlineLvl w:val="1"/>
        <w:rPr>
          <w:sz w:val="24"/>
        </w:rPr>
      </w:pPr>
      <w:bookmarkStart w:id="313" w:name="_Toc305158799"/>
      <w:bookmarkStart w:id="314" w:name="_Toc150774631"/>
      <w:bookmarkStart w:id="315" w:name="_Toc151193773"/>
      <w:bookmarkStart w:id="316" w:name="_Toc164608645"/>
      <w:bookmarkStart w:id="317" w:name="_Toc164608800"/>
      <w:bookmarkStart w:id="318" w:name="_Toc520356156"/>
      <w:bookmarkStart w:id="319" w:name="_Toc305158873"/>
      <w:bookmarkStart w:id="320" w:name="_Toc150774736"/>
      <w:bookmarkStart w:id="321" w:name="_Toc226965721"/>
      <w:bookmarkStart w:id="322" w:name="_Toc150480769"/>
      <w:bookmarkStart w:id="323" w:name="_Toc164229226"/>
      <w:bookmarkStart w:id="324" w:name="_Toc127151732"/>
      <w:bookmarkStart w:id="325" w:name="_Ref467306513"/>
      <w:bookmarkStart w:id="326" w:name="_Toc127151531"/>
      <w:bookmarkStart w:id="327" w:name="_Toc149720824"/>
      <w:bookmarkStart w:id="328" w:name="_Toc142311033"/>
      <w:bookmarkStart w:id="329" w:name="_Toc127161445"/>
      <w:bookmarkStart w:id="330" w:name="_Toc151193919"/>
      <w:bookmarkStart w:id="331" w:name="_Toc264969221"/>
      <w:bookmarkStart w:id="332" w:name="_Toc226309775"/>
      <w:bookmarkStart w:id="333" w:name="_Toc150509282"/>
      <w:bookmarkStart w:id="334" w:name="_Toc265228369"/>
      <w:bookmarkStart w:id="335" w:name="_Toc151190158"/>
      <w:bookmarkStart w:id="336" w:name="_Toc151193629"/>
      <w:bookmarkStart w:id="337" w:name="_Toc226337227"/>
      <w:bookmarkStart w:id="338" w:name="_Toc151193845"/>
      <w:bookmarkStart w:id="339" w:name="_Toc226965804"/>
      <w:bookmarkStart w:id="340" w:name="_Toc164229372"/>
      <w:bookmarkStart w:id="341" w:name="_Toc151193701"/>
      <w:bookmarkStart w:id="342" w:name="_Toc195842896"/>
      <w:bookmarkStart w:id="343" w:name="_Toc164351625"/>
      <w:r>
        <w:rPr>
          <w:sz w:val="24"/>
        </w:rPr>
        <w:t>投标保证金</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7449994">
      <w:pPr>
        <w:numPr>
          <w:ilvl w:val="1"/>
          <w:numId w:val="9"/>
        </w:numPr>
        <w:tabs>
          <w:tab w:val="left" w:pos="1080"/>
          <w:tab w:val="left" w:pos="2014"/>
        </w:tabs>
        <w:snapToGrid w:val="0"/>
        <w:spacing w:line="360" w:lineRule="auto"/>
        <w:ind w:left="1077" w:hanging="720"/>
        <w:rPr>
          <w:sz w:val="24"/>
        </w:rPr>
      </w:pPr>
      <w:bookmarkStart w:id="344" w:name="_Ref467306302"/>
      <w:r>
        <w:rPr>
          <w:sz w:val="24"/>
        </w:rPr>
        <w:t>投标人应按《投标人须知资料表》</w:t>
      </w:r>
      <w:bookmarkEnd w:id="344"/>
      <w:r>
        <w:rPr>
          <w:spacing w:val="1"/>
          <w:sz w:val="24"/>
        </w:rPr>
        <w:t>中规定的金额及要求交纳投标保证金</w:t>
      </w:r>
      <w:r>
        <w:rPr>
          <w:spacing w:val="-40"/>
          <w:sz w:val="24"/>
        </w:rPr>
        <w:t xml:space="preserve"> </w:t>
      </w:r>
      <w:r>
        <w:rPr>
          <w:spacing w:val="1"/>
          <w:sz w:val="24"/>
        </w:rPr>
        <w:t>。投</w:t>
      </w:r>
      <w:r>
        <w:rPr>
          <w:sz w:val="24"/>
        </w:rPr>
        <w:t xml:space="preserve"> 标人自愿超额缴纳投标保证金的，投标文件不做</w:t>
      </w:r>
      <w:r>
        <w:rPr>
          <w:spacing w:val="-1"/>
          <w:sz w:val="24"/>
        </w:rPr>
        <w:t>无效处理。</w:t>
      </w:r>
    </w:p>
    <w:p w14:paraId="02C92957">
      <w:pPr>
        <w:numPr>
          <w:ilvl w:val="1"/>
          <w:numId w:val="9"/>
        </w:numPr>
        <w:tabs>
          <w:tab w:val="left" w:pos="1080"/>
          <w:tab w:val="left" w:pos="2014"/>
        </w:tabs>
        <w:snapToGrid w:val="0"/>
        <w:spacing w:line="360" w:lineRule="auto"/>
        <w:ind w:left="1077" w:hanging="720"/>
        <w:rPr>
          <w:sz w:val="24"/>
        </w:rPr>
      </w:pPr>
      <w:r>
        <w:rPr>
          <w:sz w:val="24"/>
        </w:rPr>
        <w:t>交纳投标保证金可采用的形式：</w:t>
      </w:r>
      <w:r>
        <w:rPr>
          <w:spacing w:val="-1"/>
          <w:sz w:val="24"/>
        </w:rPr>
        <w:t>政府采购法律法规接受的支票、汇票、本票、</w:t>
      </w:r>
      <w:r>
        <w:rPr>
          <w:sz w:val="24"/>
        </w:rPr>
        <w:t xml:space="preserve"> </w:t>
      </w:r>
      <w:r>
        <w:rPr>
          <w:spacing w:val="-1"/>
          <w:sz w:val="24"/>
        </w:rPr>
        <w:t>网上银行支付或者金融机构、担保机构出具的保函等非现金形式。</w:t>
      </w:r>
    </w:p>
    <w:p w14:paraId="6E49AE92">
      <w:pPr>
        <w:numPr>
          <w:ilvl w:val="1"/>
          <w:numId w:val="9"/>
        </w:numPr>
        <w:tabs>
          <w:tab w:val="left" w:pos="1080"/>
          <w:tab w:val="left" w:pos="2014"/>
        </w:tabs>
        <w:snapToGrid w:val="0"/>
        <w:spacing w:line="360" w:lineRule="auto"/>
        <w:ind w:left="1077" w:hanging="720"/>
        <w:rPr>
          <w:sz w:val="24"/>
        </w:rPr>
      </w:pPr>
      <w:r>
        <w:rPr>
          <w:sz w:val="24"/>
        </w:rPr>
        <w:t>投标保证金到账（保函提交）截止时间同投标截止时间。以支票</w:t>
      </w:r>
      <w:r>
        <w:rPr>
          <w:spacing w:val="-43"/>
          <w:sz w:val="24"/>
        </w:rPr>
        <w:t xml:space="preserve"> </w:t>
      </w:r>
      <w:r>
        <w:rPr>
          <w:sz w:val="24"/>
        </w:rPr>
        <w:t>、汇票</w:t>
      </w:r>
      <w:r>
        <w:rPr>
          <w:spacing w:val="-42"/>
          <w:sz w:val="24"/>
        </w:rPr>
        <w:t xml:space="preserve"> </w:t>
      </w:r>
      <w:r>
        <w:rPr>
          <w:sz w:val="24"/>
        </w:rPr>
        <w:t>、本</w:t>
      </w:r>
      <w:r>
        <w:rPr>
          <w:spacing w:val="-1"/>
          <w:sz w:val="24"/>
        </w:rPr>
        <w:t>票</w:t>
      </w:r>
      <w:r>
        <w:rPr>
          <w:spacing w:val="-34"/>
          <w:sz w:val="24"/>
        </w:rPr>
        <w:t xml:space="preserve"> </w:t>
      </w:r>
      <w:r>
        <w:rPr>
          <w:spacing w:val="-1"/>
          <w:sz w:val="24"/>
        </w:rPr>
        <w:t>、网上银行支付等形式提交投标保证金的，应在投标截止时间前到账</w:t>
      </w:r>
      <w:r>
        <w:rPr>
          <w:spacing w:val="-28"/>
          <w:sz w:val="24"/>
        </w:rPr>
        <w:t xml:space="preserve"> </w:t>
      </w:r>
      <w:r>
        <w:rPr>
          <w:spacing w:val="-1"/>
          <w:sz w:val="24"/>
        </w:rPr>
        <w:t>；</w:t>
      </w:r>
      <w:r>
        <w:rPr>
          <w:spacing w:val="-49"/>
          <w:sz w:val="24"/>
        </w:rPr>
        <w:t xml:space="preserve"> </w:t>
      </w:r>
      <w:r>
        <w:rPr>
          <w:spacing w:val="-1"/>
          <w:sz w:val="24"/>
        </w:rPr>
        <w:t>以</w:t>
      </w:r>
      <w:r>
        <w:rPr>
          <w:sz w:val="24"/>
        </w:rPr>
        <w:t xml:space="preserve"> </w:t>
      </w:r>
      <w:r>
        <w:rPr>
          <w:spacing w:val="1"/>
          <w:sz w:val="24"/>
        </w:rPr>
        <w:t>金融机构</w:t>
      </w:r>
      <w:r>
        <w:rPr>
          <w:spacing w:val="-35"/>
          <w:sz w:val="24"/>
        </w:rPr>
        <w:t xml:space="preserve"> </w:t>
      </w:r>
      <w:r>
        <w:rPr>
          <w:spacing w:val="1"/>
          <w:sz w:val="24"/>
        </w:rPr>
        <w:t>、担保机构出具的纸质保函等形式提交投标保证金的，应在投标截</w:t>
      </w:r>
      <w:r>
        <w:rPr>
          <w:sz w:val="24"/>
        </w:rPr>
        <w:t xml:space="preserve"> 止时间前将原件提交至采购代理机构</w:t>
      </w:r>
      <w:r>
        <w:rPr>
          <w:spacing w:val="-21"/>
          <w:sz w:val="24"/>
        </w:rPr>
        <w:t xml:space="preserve"> </w:t>
      </w:r>
      <w:r>
        <w:rPr>
          <w:sz w:val="24"/>
        </w:rPr>
        <w:t>；</w:t>
      </w:r>
      <w:r>
        <w:rPr>
          <w:spacing w:val="-50"/>
          <w:sz w:val="24"/>
        </w:rPr>
        <w:t xml:space="preserve"> </w:t>
      </w:r>
      <w:r>
        <w:rPr>
          <w:sz w:val="24"/>
        </w:rPr>
        <w:t xml:space="preserve">以电子保函形式提交投标保证金的， </w:t>
      </w:r>
      <w:r>
        <w:rPr>
          <w:spacing w:val="2"/>
          <w:sz w:val="24"/>
        </w:rPr>
        <w:t>应在投标截止时间前通过北京市政府采购电子交易平台完成电子保函在线办</w:t>
      </w:r>
      <w:r>
        <w:rPr>
          <w:spacing w:val="5"/>
          <w:sz w:val="24"/>
        </w:rPr>
        <w:t xml:space="preserve"> </w:t>
      </w:r>
      <w:r>
        <w:rPr>
          <w:sz w:val="24"/>
        </w:rPr>
        <w:t>理。未按上述要求缴纳投标保证金的，其</w:t>
      </w:r>
      <w:r>
        <w:rPr>
          <w:b/>
          <w:bCs/>
          <w:sz w:val="24"/>
        </w:rPr>
        <w:t>投标</w:t>
      </w:r>
      <w:r>
        <w:rPr>
          <w:b/>
          <w:bCs/>
          <w:spacing w:val="-1"/>
          <w:sz w:val="24"/>
        </w:rPr>
        <w:t>无效</w:t>
      </w:r>
      <w:r>
        <w:rPr>
          <w:spacing w:val="-1"/>
          <w:sz w:val="24"/>
        </w:rPr>
        <w:t>。</w:t>
      </w:r>
    </w:p>
    <w:p w14:paraId="592BA3F3">
      <w:pPr>
        <w:numPr>
          <w:ilvl w:val="1"/>
          <w:numId w:val="9"/>
        </w:numPr>
        <w:tabs>
          <w:tab w:val="left" w:pos="1080"/>
          <w:tab w:val="left" w:pos="2014"/>
        </w:tabs>
        <w:snapToGrid w:val="0"/>
        <w:spacing w:line="360" w:lineRule="auto"/>
        <w:ind w:left="1077" w:hanging="720"/>
        <w:rPr>
          <w:sz w:val="24"/>
        </w:rPr>
      </w:pPr>
      <w:r>
        <w:rPr>
          <w:sz w:val="24"/>
        </w:rPr>
        <w:t>投标</w:t>
      </w:r>
      <w:r>
        <w:rPr>
          <w:rFonts w:hint="eastAsia"/>
          <w:sz w:val="24"/>
        </w:rPr>
        <w:t>人</w:t>
      </w:r>
      <w:r>
        <w:rPr>
          <w:spacing w:val="1"/>
          <w:sz w:val="24"/>
        </w:rPr>
        <w:t>除需在投标文件中提供“投标保证</w:t>
      </w:r>
      <w:r>
        <w:rPr>
          <w:sz w:val="24"/>
        </w:rPr>
        <w:t>金凭证</w:t>
      </w:r>
      <w:r>
        <w:rPr>
          <w:rFonts w:ascii="Arial" w:hAnsi="Arial" w:eastAsia="Arial" w:cs="Arial"/>
          <w:sz w:val="24"/>
        </w:rPr>
        <w:t>/</w:t>
      </w:r>
      <w:r>
        <w:rPr>
          <w:sz w:val="24"/>
        </w:rPr>
        <w:t>交款单据电子件</w:t>
      </w:r>
      <w:r>
        <w:rPr>
          <w:spacing w:val="-49"/>
          <w:sz w:val="24"/>
        </w:rPr>
        <w:t xml:space="preserve"> </w:t>
      </w:r>
      <w:r>
        <w:rPr>
          <w:sz w:val="24"/>
        </w:rPr>
        <w:t xml:space="preserve">”，还需在    </w:t>
      </w:r>
      <w:r>
        <w:rPr>
          <w:spacing w:val="-8"/>
          <w:sz w:val="24"/>
        </w:rPr>
        <w:t>投标截止时间前，通过电子交易平台上传“投标保证金凭证</w:t>
      </w:r>
      <w:r>
        <w:rPr>
          <w:rFonts w:ascii="Arial" w:hAnsi="Arial" w:eastAsia="Arial" w:cs="Arial"/>
          <w:spacing w:val="-8"/>
          <w:sz w:val="24"/>
        </w:rPr>
        <w:t>/</w:t>
      </w:r>
      <w:r>
        <w:rPr>
          <w:spacing w:val="-8"/>
          <w:sz w:val="24"/>
        </w:rPr>
        <w:t>交款单据电子件</w:t>
      </w:r>
      <w:r>
        <w:rPr>
          <w:spacing w:val="-52"/>
          <w:sz w:val="24"/>
        </w:rPr>
        <w:t xml:space="preserve"> </w:t>
      </w:r>
      <w:r>
        <w:rPr>
          <w:spacing w:val="-8"/>
          <w:sz w:val="24"/>
        </w:rPr>
        <w:t>”。</w:t>
      </w:r>
    </w:p>
    <w:p w14:paraId="04752704">
      <w:pPr>
        <w:numPr>
          <w:ilvl w:val="1"/>
          <w:numId w:val="9"/>
        </w:numPr>
        <w:tabs>
          <w:tab w:val="left" w:pos="1080"/>
          <w:tab w:val="left" w:pos="2014"/>
        </w:tabs>
        <w:snapToGrid w:val="0"/>
        <w:spacing w:line="360" w:lineRule="auto"/>
        <w:ind w:left="1077" w:hanging="720"/>
        <w:rPr>
          <w:sz w:val="24"/>
        </w:rPr>
      </w:pPr>
      <w:r>
        <w:rPr>
          <w:spacing w:val="1"/>
          <w:sz w:val="24"/>
        </w:rPr>
        <w:t>投标保证金有效期同投标有效期。</w:t>
      </w:r>
    </w:p>
    <w:p w14:paraId="32E6903B">
      <w:pPr>
        <w:numPr>
          <w:ilvl w:val="1"/>
          <w:numId w:val="9"/>
        </w:numPr>
        <w:tabs>
          <w:tab w:val="left" w:pos="1080"/>
          <w:tab w:val="left" w:pos="2014"/>
        </w:tabs>
        <w:snapToGrid w:val="0"/>
        <w:spacing w:line="360" w:lineRule="auto"/>
        <w:ind w:left="1077" w:hanging="720"/>
        <w:rPr>
          <w:sz w:val="24"/>
        </w:rPr>
      </w:pPr>
      <w:r>
        <w:rPr>
          <w:sz w:val="24"/>
        </w:rPr>
        <w:t xml:space="preserve">联合体投标的，可以由联合体中的一方或者多方共同交纳投标保证金， </w:t>
      </w:r>
      <w:r>
        <w:rPr>
          <w:spacing w:val="-1"/>
          <w:sz w:val="24"/>
        </w:rPr>
        <w:t>其交纳的投标保证金对联合体各方均具有约束力。</w:t>
      </w:r>
    </w:p>
    <w:p w14:paraId="07577780">
      <w:pPr>
        <w:numPr>
          <w:ilvl w:val="1"/>
          <w:numId w:val="9"/>
        </w:numPr>
        <w:tabs>
          <w:tab w:val="left" w:pos="1080"/>
          <w:tab w:val="left" w:pos="2014"/>
        </w:tabs>
        <w:snapToGrid w:val="0"/>
        <w:spacing w:line="360" w:lineRule="auto"/>
        <w:ind w:left="1077" w:hanging="720"/>
        <w:rPr>
          <w:sz w:val="24"/>
        </w:rPr>
      </w:pPr>
      <w:r>
        <w:rPr>
          <w:sz w:val="24"/>
        </w:rPr>
        <w:t>采购人、采购代理机构将及时退还投标人的投标保证金</w:t>
      </w:r>
      <w:r>
        <w:rPr>
          <w:spacing w:val="-26"/>
          <w:sz w:val="24"/>
        </w:rPr>
        <w:t xml:space="preserve"> </w:t>
      </w:r>
      <w:r>
        <w:rPr>
          <w:sz w:val="24"/>
        </w:rPr>
        <w:t>，采用银行保函</w:t>
      </w:r>
      <w:r>
        <w:rPr>
          <w:spacing w:val="-43"/>
          <w:sz w:val="24"/>
        </w:rPr>
        <w:t xml:space="preserve"> </w:t>
      </w:r>
      <w:r>
        <w:rPr>
          <w:sz w:val="24"/>
        </w:rPr>
        <w:t>、担 保机构担保函等形式递交的投标保证金</w:t>
      </w:r>
      <w:r>
        <w:rPr>
          <w:spacing w:val="-27"/>
          <w:sz w:val="24"/>
        </w:rPr>
        <w:t xml:space="preserve"> </w:t>
      </w:r>
      <w:r>
        <w:rPr>
          <w:sz w:val="24"/>
        </w:rPr>
        <w:t>，经投标人同意后采购人</w:t>
      </w:r>
      <w:r>
        <w:rPr>
          <w:spacing w:val="-42"/>
          <w:sz w:val="24"/>
        </w:rPr>
        <w:t xml:space="preserve"> </w:t>
      </w:r>
      <w:r>
        <w:rPr>
          <w:sz w:val="24"/>
        </w:rPr>
        <w:t>、采</w:t>
      </w:r>
      <w:r>
        <w:rPr>
          <w:spacing w:val="-1"/>
          <w:sz w:val="24"/>
        </w:rPr>
        <w:t>购代理</w:t>
      </w:r>
      <w:r>
        <w:rPr>
          <w:sz w:val="24"/>
        </w:rPr>
        <w:t xml:space="preserve"> 机构可以不再退还，但因投标人自身原因导致无法及时退还</w:t>
      </w:r>
      <w:r>
        <w:rPr>
          <w:spacing w:val="-1"/>
          <w:sz w:val="24"/>
        </w:rPr>
        <w:t>的除外：</w:t>
      </w:r>
    </w:p>
    <w:p w14:paraId="57F15A81">
      <w:pPr>
        <w:numPr>
          <w:ilvl w:val="2"/>
          <w:numId w:val="9"/>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14:paraId="6C276161">
      <w:pPr>
        <w:numPr>
          <w:ilvl w:val="2"/>
          <w:numId w:val="9"/>
        </w:numPr>
        <w:snapToGrid w:val="0"/>
        <w:spacing w:line="360" w:lineRule="auto"/>
        <w:rPr>
          <w:sz w:val="24"/>
        </w:rPr>
      </w:pPr>
      <w:r>
        <w:rPr>
          <w:sz w:val="24"/>
        </w:rPr>
        <w:t>中标人的投标保证金，自采购合同签订之日起5个工作日内退还中标人；</w:t>
      </w:r>
    </w:p>
    <w:p w14:paraId="5868248E">
      <w:pPr>
        <w:numPr>
          <w:ilvl w:val="2"/>
          <w:numId w:val="9"/>
        </w:numPr>
        <w:snapToGrid w:val="0"/>
        <w:spacing w:line="360" w:lineRule="auto"/>
        <w:rPr>
          <w:sz w:val="24"/>
        </w:rPr>
      </w:pPr>
      <w:r>
        <w:rPr>
          <w:sz w:val="24"/>
        </w:rPr>
        <w:t>未中标投标人的投标保证金，自中标通知书发出之日起5个工作日内退还未中标人；</w:t>
      </w:r>
    </w:p>
    <w:p w14:paraId="62CC80DF">
      <w:pPr>
        <w:numPr>
          <w:ilvl w:val="2"/>
          <w:numId w:val="9"/>
        </w:numPr>
        <w:snapToGrid w:val="0"/>
        <w:spacing w:line="360" w:lineRule="auto"/>
        <w:rPr>
          <w:sz w:val="24"/>
        </w:rPr>
      </w:pPr>
      <w:r>
        <w:rPr>
          <w:sz w:val="24"/>
        </w:rPr>
        <w:t>终止招标项目已经收取投标保证金的，自终止采购活动后5个工作日内退还已收取的投标保证金及其在银行产生的孳息。</w:t>
      </w:r>
    </w:p>
    <w:p w14:paraId="0348D676">
      <w:pPr>
        <w:numPr>
          <w:ilvl w:val="1"/>
          <w:numId w:val="9"/>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782A20EC">
      <w:pPr>
        <w:numPr>
          <w:ilvl w:val="2"/>
          <w:numId w:val="9"/>
        </w:numPr>
        <w:snapToGrid w:val="0"/>
        <w:spacing w:line="360" w:lineRule="auto"/>
        <w:rPr>
          <w:sz w:val="24"/>
        </w:rPr>
      </w:pPr>
      <w:r>
        <w:rPr>
          <w:sz w:val="24"/>
        </w:rPr>
        <w:t>投标有效期内投标人撤销投标文件的；</w:t>
      </w:r>
    </w:p>
    <w:p w14:paraId="7D07026A">
      <w:pPr>
        <w:numPr>
          <w:ilvl w:val="2"/>
          <w:numId w:val="9"/>
        </w:numPr>
        <w:tabs>
          <w:tab w:val="left" w:pos="900"/>
          <w:tab w:val="left" w:pos="1080"/>
          <w:tab w:val="left" w:pos="2014"/>
        </w:tabs>
        <w:snapToGrid w:val="0"/>
        <w:spacing w:line="360" w:lineRule="auto"/>
        <w:rPr>
          <w:sz w:val="24"/>
        </w:rPr>
      </w:pPr>
      <w:r>
        <w:rPr>
          <w:sz w:val="24"/>
        </w:rPr>
        <w:t>《投标人须知资料表》中规定的其他情形。</w:t>
      </w:r>
    </w:p>
    <w:p w14:paraId="53EE5E66">
      <w:pPr>
        <w:numPr>
          <w:ilvl w:val="0"/>
          <w:numId w:val="9"/>
        </w:numPr>
        <w:tabs>
          <w:tab w:val="left" w:pos="360"/>
        </w:tabs>
        <w:snapToGrid w:val="0"/>
        <w:spacing w:line="360" w:lineRule="auto"/>
        <w:ind w:left="357" w:hanging="357"/>
        <w:outlineLvl w:val="1"/>
        <w:rPr>
          <w:sz w:val="24"/>
        </w:rPr>
      </w:pPr>
      <w:bookmarkStart w:id="345" w:name="_Toc226337228"/>
      <w:bookmarkStart w:id="346" w:name="_Toc226965722"/>
      <w:bookmarkStart w:id="347" w:name="_Toc305158874"/>
      <w:bookmarkStart w:id="348" w:name="_Toc226965805"/>
      <w:bookmarkStart w:id="349" w:name="_Toc142311034"/>
      <w:bookmarkStart w:id="350" w:name="_Toc305158800"/>
      <w:bookmarkStart w:id="351" w:name="_Toc151193774"/>
      <w:bookmarkStart w:id="352" w:name="_Toc149720825"/>
      <w:bookmarkStart w:id="353" w:name="_Toc264969222"/>
      <w:bookmarkStart w:id="354" w:name="_Toc150509283"/>
      <w:bookmarkStart w:id="355" w:name="_Toc151193630"/>
      <w:bookmarkStart w:id="356" w:name="_Toc151193846"/>
      <w:bookmarkStart w:id="357" w:name="_Toc151193920"/>
      <w:bookmarkStart w:id="358" w:name="_Toc520356157"/>
      <w:bookmarkStart w:id="359" w:name="_Toc226309776"/>
      <w:bookmarkStart w:id="360" w:name="_Toc164608646"/>
      <w:bookmarkStart w:id="361" w:name="_Toc127151733"/>
      <w:bookmarkStart w:id="362" w:name="_Toc127161446"/>
      <w:bookmarkStart w:id="363" w:name="_Toc164351626"/>
      <w:bookmarkStart w:id="364" w:name="_Toc265228370"/>
      <w:bookmarkStart w:id="365" w:name="_Toc164608801"/>
      <w:bookmarkStart w:id="366" w:name="_Toc150774737"/>
      <w:bookmarkStart w:id="367" w:name="_Toc195842897"/>
      <w:bookmarkStart w:id="368" w:name="_Toc150774632"/>
      <w:bookmarkStart w:id="369" w:name="_Toc150480770"/>
      <w:bookmarkStart w:id="370" w:name="_Toc151190159"/>
      <w:bookmarkStart w:id="371" w:name="_Toc164229227"/>
      <w:bookmarkStart w:id="372" w:name="_Toc127151532"/>
      <w:bookmarkStart w:id="373" w:name="_Toc151193702"/>
      <w:bookmarkStart w:id="374" w:name="_Toc164229373"/>
      <w:r>
        <w:rPr>
          <w:sz w:val="24"/>
        </w:rPr>
        <w:t>投标有效期</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588BEACD">
      <w:pPr>
        <w:numPr>
          <w:ilvl w:val="1"/>
          <w:numId w:val="9"/>
        </w:numPr>
        <w:tabs>
          <w:tab w:val="left" w:pos="1080"/>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14:paraId="33BFB6C7">
      <w:pPr>
        <w:numPr>
          <w:ilvl w:val="0"/>
          <w:numId w:val="9"/>
        </w:numPr>
        <w:tabs>
          <w:tab w:val="left" w:pos="360"/>
        </w:tabs>
        <w:snapToGrid w:val="0"/>
        <w:spacing w:line="360" w:lineRule="auto"/>
        <w:ind w:left="357" w:hanging="357"/>
        <w:outlineLvl w:val="1"/>
        <w:rPr>
          <w:sz w:val="24"/>
        </w:rPr>
      </w:pPr>
      <w:bookmarkStart w:id="375" w:name="_Toc127151734"/>
      <w:bookmarkStart w:id="376" w:name="_Toc226965723"/>
      <w:bookmarkStart w:id="377" w:name="_Toc264969223"/>
      <w:bookmarkStart w:id="378" w:name="_Toc195842898"/>
      <w:bookmarkStart w:id="379" w:name="_Toc305158875"/>
      <w:bookmarkStart w:id="380" w:name="_Toc151193847"/>
      <w:bookmarkStart w:id="381" w:name="_Toc226309777"/>
      <w:bookmarkStart w:id="382" w:name="_Toc142311035"/>
      <w:bookmarkStart w:id="383" w:name="_Toc151193631"/>
      <w:bookmarkStart w:id="384" w:name="_Toc164229228"/>
      <w:bookmarkStart w:id="385" w:name="_Toc226337229"/>
      <w:bookmarkStart w:id="386" w:name="_Toc149720826"/>
      <w:bookmarkStart w:id="387" w:name="_Toc520356158"/>
      <w:bookmarkStart w:id="388" w:name="_Toc150774633"/>
      <w:bookmarkStart w:id="389" w:name="_Toc164608802"/>
      <w:bookmarkStart w:id="390" w:name="_Toc150774738"/>
      <w:bookmarkStart w:id="391" w:name="_Toc164229374"/>
      <w:bookmarkStart w:id="392" w:name="_Toc127151533"/>
      <w:bookmarkStart w:id="393" w:name="_Toc226965806"/>
      <w:bookmarkStart w:id="394" w:name="_Toc127161447"/>
      <w:bookmarkStart w:id="395" w:name="_Toc265228371"/>
      <w:bookmarkStart w:id="396" w:name="_Toc151193703"/>
      <w:bookmarkStart w:id="397" w:name="_Toc150480771"/>
      <w:bookmarkStart w:id="398" w:name="_Toc151193775"/>
      <w:bookmarkStart w:id="399" w:name="_Toc164608647"/>
      <w:bookmarkStart w:id="400" w:name="_Toc151193921"/>
      <w:bookmarkStart w:id="401" w:name="_Toc150509284"/>
      <w:bookmarkStart w:id="402" w:name="_Toc164351627"/>
      <w:bookmarkStart w:id="403" w:name="_Toc151190160"/>
      <w:bookmarkStart w:id="404" w:name="_Toc305158801"/>
      <w:r>
        <w:rPr>
          <w:sz w:val="24"/>
        </w:rPr>
        <w:t>投标文件的签署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sz w:val="24"/>
        </w:rPr>
        <w:t>、盖章</w:t>
      </w:r>
    </w:p>
    <w:p w14:paraId="7CF0CEB7">
      <w:pPr>
        <w:numPr>
          <w:ilvl w:val="1"/>
          <w:numId w:val="9"/>
        </w:numPr>
        <w:tabs>
          <w:tab w:val="left" w:pos="1080"/>
          <w:tab w:val="left" w:pos="2014"/>
        </w:tabs>
        <w:snapToGrid w:val="0"/>
        <w:spacing w:line="360" w:lineRule="auto"/>
        <w:ind w:left="1077" w:hanging="720"/>
        <w:rPr>
          <w:sz w:val="24"/>
        </w:rPr>
      </w:pPr>
      <w:bookmarkStart w:id="405" w:name="_Toc151193632"/>
      <w:bookmarkStart w:id="406" w:name="_Toc226965724"/>
      <w:bookmarkStart w:id="407" w:name="_Toc151193922"/>
      <w:bookmarkStart w:id="408" w:name="_Toc264969224"/>
      <w:bookmarkStart w:id="409" w:name="_Toc226309778"/>
      <w:bookmarkStart w:id="410" w:name="_Toc151193776"/>
      <w:bookmarkStart w:id="411" w:name="_Toc151193848"/>
      <w:bookmarkStart w:id="412" w:name="_Toc127151534"/>
      <w:bookmarkStart w:id="413" w:name="_Toc305158802"/>
      <w:bookmarkStart w:id="414" w:name="_Toc150509285"/>
      <w:bookmarkStart w:id="415" w:name="_Toc265228372"/>
      <w:bookmarkStart w:id="416" w:name="_Toc150480772"/>
      <w:bookmarkStart w:id="417" w:name="_Toc520356159"/>
      <w:bookmarkStart w:id="418" w:name="_Toc151193704"/>
      <w:bookmarkStart w:id="419" w:name="_Toc151190161"/>
      <w:bookmarkStart w:id="420" w:name="_Toc142311036"/>
      <w:bookmarkStart w:id="421" w:name="_Toc305158876"/>
      <w:bookmarkStart w:id="422" w:name="_Toc195842899"/>
      <w:bookmarkStart w:id="423" w:name="_Toc150774634"/>
      <w:bookmarkStart w:id="424" w:name="_Toc150774739"/>
      <w:bookmarkStart w:id="425" w:name="_Toc226965807"/>
      <w:bookmarkStart w:id="426" w:name="_Toc226337230"/>
      <w:r>
        <w:rPr>
          <w:sz w:val="24"/>
        </w:rPr>
        <w:t>招标文件要求签字的内容（如授权委托书等），</w:t>
      </w:r>
      <w:r>
        <w:rPr>
          <w:rFonts w:hint="eastAsia"/>
          <w:sz w:val="24"/>
        </w:rPr>
        <w:t>可以使用电子签章或使用原件的电子件（电子件指扫描件、照片等形式电子文件）；要求</w:t>
      </w:r>
      <w:r>
        <w:rPr>
          <w:sz w:val="24"/>
        </w:rPr>
        <w:t>第三方出具的盖章件原件（如联合协议、分包意向协议、制造商授权书等），投标文件中应使用原件的电子件。</w:t>
      </w:r>
    </w:p>
    <w:p w14:paraId="461FAD7E">
      <w:pPr>
        <w:numPr>
          <w:ilvl w:val="1"/>
          <w:numId w:val="9"/>
        </w:numPr>
        <w:tabs>
          <w:tab w:val="left" w:pos="1080"/>
          <w:tab w:val="left" w:pos="2014"/>
        </w:tabs>
        <w:snapToGrid w:val="0"/>
        <w:spacing w:line="360" w:lineRule="auto"/>
        <w:ind w:left="1077" w:hanging="720"/>
        <w:rPr>
          <w:sz w:val="24"/>
        </w:rPr>
      </w:pPr>
      <w:r>
        <w:rPr>
          <w:sz w:val="24"/>
        </w:rPr>
        <w:t>招标文件要求盖章的内容，</w:t>
      </w:r>
      <w:r>
        <w:rPr>
          <w:rFonts w:hint="eastAsia"/>
          <w:sz w:val="24"/>
        </w:rPr>
        <w:t>一般</w:t>
      </w:r>
      <w:r>
        <w:rPr>
          <w:sz w:val="24"/>
        </w:rPr>
        <w:t>通过投标文件编制工具加盖电子签章。</w:t>
      </w:r>
    </w:p>
    <w:p w14:paraId="4EF4546F">
      <w:pPr>
        <w:tabs>
          <w:tab w:val="left" w:pos="900"/>
          <w:tab w:val="left" w:pos="1080"/>
        </w:tabs>
        <w:snapToGrid w:val="0"/>
        <w:spacing w:line="360" w:lineRule="auto"/>
        <w:ind w:left="357"/>
      </w:pPr>
    </w:p>
    <w:p w14:paraId="7F9A2F55">
      <w:pPr>
        <w:pStyle w:val="3"/>
        <w:spacing w:before="0" w:line="360" w:lineRule="auto"/>
        <w:rPr>
          <w:rFonts w:ascii="Times New Roman" w:hAnsi="Times New Roman" w:eastAsia="宋体"/>
          <w:sz w:val="28"/>
        </w:rPr>
      </w:pPr>
      <w:r>
        <w:rPr>
          <w:rFonts w:ascii="Times New Roman" w:hAnsi="Times New Roman" w:eastAsia="宋体"/>
          <w:sz w:val="28"/>
        </w:rPr>
        <w:t>四   投标文件的提交</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785DA66B">
      <w:pPr>
        <w:numPr>
          <w:ilvl w:val="0"/>
          <w:numId w:val="9"/>
        </w:numPr>
        <w:tabs>
          <w:tab w:val="left" w:pos="360"/>
        </w:tabs>
        <w:snapToGrid w:val="0"/>
        <w:spacing w:line="360" w:lineRule="auto"/>
        <w:ind w:left="357" w:hanging="357"/>
        <w:outlineLvl w:val="1"/>
        <w:rPr>
          <w:sz w:val="24"/>
        </w:rPr>
      </w:pPr>
      <w:bookmarkStart w:id="427" w:name="_Toc127151736"/>
      <w:bookmarkStart w:id="428" w:name="_Toc305158803"/>
      <w:bookmarkStart w:id="429" w:name="_Toc151193849"/>
      <w:bookmarkStart w:id="430" w:name="_Toc142311037"/>
      <w:bookmarkStart w:id="431" w:name="_Toc151193705"/>
      <w:bookmarkStart w:id="432" w:name="_Toc151193923"/>
      <w:bookmarkStart w:id="433" w:name="_Toc164229230"/>
      <w:bookmarkStart w:id="434" w:name="_Toc265228373"/>
      <w:bookmarkStart w:id="435" w:name="_Toc127161449"/>
      <w:bookmarkStart w:id="436" w:name="_Toc150774740"/>
      <w:bookmarkStart w:id="437" w:name="_Toc150509286"/>
      <w:bookmarkStart w:id="438" w:name="_Toc226965725"/>
      <w:bookmarkStart w:id="439" w:name="_Toc520356160"/>
      <w:bookmarkStart w:id="440" w:name="_Toc226309779"/>
      <w:bookmarkStart w:id="441" w:name="_Toc164351629"/>
      <w:bookmarkStart w:id="442" w:name="_Toc127151535"/>
      <w:bookmarkStart w:id="443" w:name="_Toc226337231"/>
      <w:bookmarkStart w:id="444" w:name="_Toc149720828"/>
      <w:bookmarkStart w:id="445" w:name="_Toc226965808"/>
      <w:bookmarkStart w:id="446" w:name="_Toc164608804"/>
      <w:bookmarkStart w:id="447" w:name="_Toc151190162"/>
      <w:bookmarkStart w:id="448" w:name="_Toc151193633"/>
      <w:bookmarkStart w:id="449" w:name="_Toc164608649"/>
      <w:bookmarkStart w:id="450" w:name="_Toc305158877"/>
      <w:bookmarkStart w:id="451" w:name="_Toc150480773"/>
      <w:bookmarkStart w:id="452" w:name="_Toc195842900"/>
      <w:bookmarkStart w:id="453" w:name="_Toc150774635"/>
      <w:bookmarkStart w:id="454" w:name="_Toc164229376"/>
      <w:bookmarkStart w:id="455" w:name="_Toc151193777"/>
      <w:bookmarkStart w:id="456" w:name="_Toc264969225"/>
      <w:r>
        <w:rPr>
          <w:sz w:val="24"/>
        </w:rPr>
        <w:t>投标文件的</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sz w:val="24"/>
        </w:rPr>
        <w:t>提交</w:t>
      </w:r>
    </w:p>
    <w:p w14:paraId="4BBD4A60">
      <w:pPr>
        <w:numPr>
          <w:ilvl w:val="1"/>
          <w:numId w:val="9"/>
        </w:numPr>
        <w:tabs>
          <w:tab w:val="left" w:pos="1080"/>
          <w:tab w:val="left" w:pos="2014"/>
        </w:tabs>
        <w:snapToGrid w:val="0"/>
        <w:spacing w:line="360" w:lineRule="auto"/>
        <w:ind w:left="1077" w:hanging="720"/>
        <w:rPr>
          <w:sz w:val="24"/>
        </w:rPr>
      </w:pPr>
      <w:r>
        <w:rPr>
          <w:sz w:val="24"/>
        </w:rPr>
        <w:t>本项目使用</w:t>
      </w:r>
      <w:r>
        <w:rPr>
          <w:spacing w:val="2"/>
          <w:sz w:val="24"/>
        </w:rPr>
        <w:t>北京市政府采购电子交易平台</w:t>
      </w:r>
      <w:r>
        <w:rPr>
          <w:spacing w:val="-41"/>
          <w:sz w:val="24"/>
        </w:rPr>
        <w:t xml:space="preserve"> </w:t>
      </w:r>
      <w:r>
        <w:rPr>
          <w:spacing w:val="2"/>
          <w:sz w:val="24"/>
        </w:rPr>
        <w:t>。投标人根据招标文件及电子交易</w:t>
      </w:r>
      <w:r>
        <w:rPr>
          <w:sz w:val="24"/>
        </w:rPr>
        <w:t xml:space="preserve"> 平台供应商操作手册要求编制、生成并提交电子</w:t>
      </w:r>
      <w:r>
        <w:rPr>
          <w:spacing w:val="-1"/>
          <w:sz w:val="24"/>
        </w:rPr>
        <w:t>投标文件。</w:t>
      </w:r>
    </w:p>
    <w:p w14:paraId="24970863">
      <w:pPr>
        <w:numPr>
          <w:ilvl w:val="1"/>
          <w:numId w:val="9"/>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14:paraId="0048E43E">
      <w:pPr>
        <w:numPr>
          <w:ilvl w:val="0"/>
          <w:numId w:val="9"/>
        </w:numPr>
        <w:tabs>
          <w:tab w:val="left" w:pos="360"/>
        </w:tabs>
        <w:snapToGrid w:val="0"/>
        <w:spacing w:line="360" w:lineRule="auto"/>
        <w:ind w:left="357" w:hanging="357"/>
        <w:outlineLvl w:val="1"/>
        <w:rPr>
          <w:sz w:val="24"/>
        </w:rPr>
      </w:pPr>
      <w:bookmarkStart w:id="457" w:name="_Toc164229231"/>
      <w:bookmarkStart w:id="458" w:name="_Toc142311038"/>
      <w:bookmarkStart w:id="459" w:name="_Toc150774636"/>
      <w:bookmarkStart w:id="460" w:name="_Toc265228374"/>
      <w:bookmarkStart w:id="461" w:name="_Toc226965726"/>
      <w:bookmarkStart w:id="462" w:name="_Toc151193778"/>
      <w:bookmarkStart w:id="463" w:name="_Toc149720829"/>
      <w:bookmarkStart w:id="464" w:name="_Toc226309780"/>
      <w:bookmarkStart w:id="465" w:name="_Toc226337232"/>
      <w:bookmarkStart w:id="466" w:name="_Toc264969226"/>
      <w:bookmarkStart w:id="467" w:name="_Toc151193924"/>
      <w:bookmarkStart w:id="468" w:name="_Toc127151737"/>
      <w:bookmarkStart w:id="469" w:name="_Toc150509287"/>
      <w:bookmarkStart w:id="470" w:name="_Toc127161450"/>
      <w:bookmarkStart w:id="471" w:name="_Toc305158804"/>
      <w:bookmarkStart w:id="472" w:name="_Toc164351630"/>
      <w:bookmarkStart w:id="473" w:name="_Toc150774741"/>
      <w:bookmarkStart w:id="474" w:name="_Toc164608805"/>
      <w:bookmarkStart w:id="475" w:name="_Toc164608650"/>
      <w:bookmarkStart w:id="476" w:name="_Toc226965809"/>
      <w:bookmarkStart w:id="477" w:name="_Toc305158878"/>
      <w:bookmarkStart w:id="478" w:name="_Toc151193634"/>
      <w:bookmarkStart w:id="479" w:name="_Toc164229377"/>
      <w:bookmarkStart w:id="480" w:name="_Toc150480774"/>
      <w:bookmarkStart w:id="481" w:name="_Toc195842901"/>
      <w:bookmarkStart w:id="482" w:name="_Toc127151536"/>
      <w:bookmarkStart w:id="483" w:name="_Toc520356161"/>
      <w:bookmarkStart w:id="484" w:name="_Toc151193850"/>
      <w:bookmarkStart w:id="485" w:name="_Toc151193706"/>
      <w:bookmarkStart w:id="486" w:name="_Toc151190163"/>
      <w:r>
        <w:rPr>
          <w:sz w:val="24"/>
        </w:rPr>
        <w:t>投标截止</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sz w:val="24"/>
        </w:rPr>
        <w:t>时间</w:t>
      </w:r>
    </w:p>
    <w:p w14:paraId="29CC12E0">
      <w:pPr>
        <w:numPr>
          <w:ilvl w:val="1"/>
          <w:numId w:val="9"/>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14:paraId="3CE7654A">
      <w:pPr>
        <w:numPr>
          <w:ilvl w:val="0"/>
          <w:numId w:val="9"/>
        </w:numPr>
        <w:tabs>
          <w:tab w:val="left" w:pos="360"/>
        </w:tabs>
        <w:snapToGrid w:val="0"/>
        <w:spacing w:line="360" w:lineRule="auto"/>
        <w:ind w:left="357" w:hanging="357"/>
        <w:outlineLvl w:val="1"/>
        <w:rPr>
          <w:sz w:val="24"/>
        </w:rPr>
      </w:pPr>
      <w:bookmarkStart w:id="487" w:name="_Toc164608651"/>
      <w:bookmarkStart w:id="488" w:name="_Toc164608806"/>
      <w:bookmarkStart w:id="489" w:name="_Toc226965727"/>
      <w:bookmarkStart w:id="490" w:name="_Toc149720830"/>
      <w:bookmarkStart w:id="491" w:name="_Toc150509288"/>
      <w:bookmarkStart w:id="492" w:name="_Toc305158879"/>
      <w:bookmarkStart w:id="493" w:name="_Toc265228375"/>
      <w:bookmarkStart w:id="494" w:name="_Toc164229232"/>
      <w:bookmarkStart w:id="495" w:name="_Toc226309781"/>
      <w:bookmarkStart w:id="496" w:name="_Toc151193707"/>
      <w:bookmarkStart w:id="497" w:name="_Toc127151738"/>
      <w:bookmarkStart w:id="498" w:name="_Toc150480775"/>
      <w:bookmarkStart w:id="499" w:name="_Toc520356162"/>
      <w:bookmarkStart w:id="500" w:name="_Toc150774742"/>
      <w:bookmarkStart w:id="501" w:name="_Toc264969227"/>
      <w:bookmarkStart w:id="502" w:name="_Toc127151537"/>
      <w:bookmarkStart w:id="503" w:name="_Toc127161451"/>
      <w:bookmarkStart w:id="504" w:name="_Toc226337233"/>
      <w:bookmarkStart w:id="505" w:name="_Toc142311039"/>
      <w:bookmarkStart w:id="506" w:name="_Toc195842902"/>
      <w:bookmarkStart w:id="507" w:name="_Toc164351631"/>
      <w:bookmarkStart w:id="508" w:name="_Toc305158805"/>
      <w:bookmarkStart w:id="509" w:name="_Toc150774637"/>
      <w:bookmarkStart w:id="510" w:name="_Toc151193779"/>
      <w:bookmarkStart w:id="511" w:name="_Toc151193635"/>
      <w:bookmarkStart w:id="512" w:name="_Toc151193925"/>
      <w:bookmarkStart w:id="513" w:name="_Toc151193851"/>
      <w:bookmarkStart w:id="514" w:name="_Toc164229378"/>
      <w:bookmarkStart w:id="515" w:name="_Toc226965810"/>
      <w:bookmarkStart w:id="516" w:name="_Toc151190164"/>
      <w:r>
        <w:rPr>
          <w:sz w:val="24"/>
        </w:rPr>
        <w:t>投标文件的修改与撤回</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1BE07BEE">
      <w:pPr>
        <w:numPr>
          <w:ilvl w:val="1"/>
          <w:numId w:val="9"/>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w:t>
      </w:r>
      <w:r>
        <w:rPr>
          <w:rFonts w:hint="eastAsia"/>
          <w:color w:val="000000"/>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p>
    <w:p w14:paraId="646EA6D0">
      <w:pPr>
        <w:numPr>
          <w:ilvl w:val="1"/>
          <w:numId w:val="9"/>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14:paraId="593508EE">
      <w:pPr>
        <w:spacing w:line="360" w:lineRule="auto"/>
        <w:rPr>
          <w:sz w:val="24"/>
        </w:rPr>
      </w:pPr>
    </w:p>
    <w:p w14:paraId="36F3A712">
      <w:pPr>
        <w:pStyle w:val="3"/>
        <w:spacing w:before="0" w:line="360" w:lineRule="auto"/>
        <w:rPr>
          <w:rFonts w:ascii="Times New Roman" w:hAnsi="Times New Roman" w:eastAsia="宋体"/>
          <w:sz w:val="28"/>
        </w:rPr>
      </w:pPr>
      <w:bookmarkStart w:id="517" w:name="_Toc151193636"/>
      <w:bookmarkStart w:id="518" w:name="_Toc195842903"/>
      <w:bookmarkStart w:id="519" w:name="_Toc226965811"/>
      <w:bookmarkStart w:id="520" w:name="_Toc150509289"/>
      <w:bookmarkStart w:id="521" w:name="_Toc151193708"/>
      <w:bookmarkStart w:id="522" w:name="_Toc151193852"/>
      <w:bookmarkStart w:id="523" w:name="_Toc142311040"/>
      <w:bookmarkStart w:id="524" w:name="_Toc226309782"/>
      <w:bookmarkStart w:id="525" w:name="_Toc150774743"/>
      <w:bookmarkStart w:id="526" w:name="_Toc265228376"/>
      <w:bookmarkStart w:id="527" w:name="_Toc151193780"/>
      <w:bookmarkStart w:id="528" w:name="_Toc226965728"/>
      <w:bookmarkStart w:id="529" w:name="_Toc150774638"/>
      <w:bookmarkStart w:id="530" w:name="_Toc305158880"/>
      <w:bookmarkStart w:id="531" w:name="_Toc151193926"/>
      <w:bookmarkStart w:id="532" w:name="_Toc264969228"/>
      <w:bookmarkStart w:id="533" w:name="_Toc127151538"/>
      <w:bookmarkStart w:id="534" w:name="_Toc150480776"/>
      <w:bookmarkStart w:id="535" w:name="_Toc520356163"/>
      <w:bookmarkStart w:id="536" w:name="_Toc305158806"/>
      <w:bookmarkStart w:id="537" w:name="_Toc226337234"/>
      <w:bookmarkStart w:id="538" w:name="_Toc151190165"/>
      <w:r>
        <w:rPr>
          <w:rFonts w:ascii="Times New Roman" w:hAnsi="Times New Roman" w:eastAsia="宋体"/>
          <w:sz w:val="28"/>
        </w:rPr>
        <w:t>五   开标、资格审查及评标</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579E9C54">
      <w:pPr>
        <w:numPr>
          <w:ilvl w:val="0"/>
          <w:numId w:val="9"/>
        </w:numPr>
        <w:tabs>
          <w:tab w:val="left" w:pos="360"/>
        </w:tabs>
        <w:snapToGrid w:val="0"/>
        <w:spacing w:line="360" w:lineRule="auto"/>
        <w:ind w:left="357" w:hanging="357"/>
        <w:outlineLvl w:val="1"/>
        <w:rPr>
          <w:sz w:val="24"/>
        </w:rPr>
      </w:pPr>
      <w:bookmarkStart w:id="539" w:name="_Toc151193637"/>
      <w:bookmarkStart w:id="540" w:name="_Toc164608808"/>
      <w:bookmarkStart w:id="541" w:name="_Toc265228377"/>
      <w:bookmarkStart w:id="542" w:name="_Toc520356164"/>
      <w:bookmarkStart w:id="543" w:name="_Toc150509290"/>
      <w:bookmarkStart w:id="544" w:name="_Toc127151740"/>
      <w:bookmarkStart w:id="545" w:name="_Toc150774744"/>
      <w:bookmarkStart w:id="546" w:name="_Toc305158807"/>
      <w:bookmarkStart w:id="547" w:name="_Toc164229234"/>
      <w:bookmarkStart w:id="548" w:name="_Toc150774639"/>
      <w:bookmarkStart w:id="549" w:name="_Toc151193927"/>
      <w:bookmarkStart w:id="550" w:name="_Toc226965729"/>
      <w:bookmarkStart w:id="551" w:name="_Toc150480777"/>
      <w:bookmarkStart w:id="552" w:name="_Toc151193853"/>
      <w:bookmarkStart w:id="553" w:name="_Toc151193781"/>
      <w:bookmarkStart w:id="554" w:name="_Toc151190166"/>
      <w:bookmarkStart w:id="555" w:name="_Toc305158881"/>
      <w:bookmarkStart w:id="556" w:name="_Toc149720832"/>
      <w:bookmarkStart w:id="557" w:name="_Toc164229380"/>
      <w:bookmarkStart w:id="558" w:name="_Toc151193709"/>
      <w:bookmarkStart w:id="559" w:name="_Toc264969229"/>
      <w:bookmarkStart w:id="560" w:name="_Toc226309783"/>
      <w:bookmarkStart w:id="561" w:name="_Toc226965812"/>
      <w:bookmarkStart w:id="562" w:name="_Toc195842904"/>
      <w:bookmarkStart w:id="563" w:name="_Toc164351633"/>
      <w:bookmarkStart w:id="564" w:name="_Toc127161453"/>
      <w:bookmarkStart w:id="565" w:name="_Toc164608653"/>
      <w:bookmarkStart w:id="566" w:name="_Toc142311041"/>
      <w:bookmarkStart w:id="567" w:name="_Toc226337235"/>
      <w:bookmarkStart w:id="568" w:name="_Toc127151539"/>
      <w:r>
        <w:rPr>
          <w:sz w:val="24"/>
        </w:rPr>
        <w:t>开标</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3F7822F0">
      <w:pPr>
        <w:numPr>
          <w:ilvl w:val="1"/>
          <w:numId w:val="9"/>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1C8A195F">
      <w:pPr>
        <w:numPr>
          <w:ilvl w:val="1"/>
          <w:numId w:val="9"/>
        </w:numPr>
        <w:tabs>
          <w:tab w:val="left" w:pos="1080"/>
          <w:tab w:val="left" w:pos="2014"/>
        </w:tabs>
        <w:snapToGrid w:val="0"/>
        <w:spacing w:line="360" w:lineRule="auto"/>
        <w:ind w:left="1077" w:hanging="720"/>
        <w:rPr>
          <w:sz w:val="24"/>
        </w:rPr>
      </w:pPr>
      <w:r>
        <w:rPr>
          <w:sz w:val="24"/>
        </w:rPr>
        <w:t>本项目</w:t>
      </w:r>
      <w:r>
        <w:rPr>
          <w:spacing w:val="2"/>
          <w:sz w:val="24"/>
        </w:rPr>
        <w:t>开标使用北京市政府采购电子交易平台</w:t>
      </w:r>
      <w:r>
        <w:rPr>
          <w:spacing w:val="-41"/>
          <w:sz w:val="24"/>
        </w:rPr>
        <w:t xml:space="preserve"> </w:t>
      </w:r>
      <w:r>
        <w:rPr>
          <w:spacing w:val="2"/>
          <w:sz w:val="24"/>
        </w:rPr>
        <w:t>。投标人应在《投标人须知资</w:t>
      </w:r>
      <w:r>
        <w:rPr>
          <w:sz w:val="24"/>
        </w:rPr>
        <w:t xml:space="preserve"> </w:t>
      </w:r>
      <w:r>
        <w:rPr>
          <w:spacing w:val="1"/>
          <w:sz w:val="24"/>
        </w:rPr>
        <w:t>料表》规定的时间内对投标文件进行解密，</w:t>
      </w:r>
      <w:r>
        <w:rPr>
          <w:spacing w:val="-34"/>
          <w:sz w:val="24"/>
        </w:rPr>
        <w:t xml:space="preserve"> </w:t>
      </w:r>
      <w:r>
        <w:rPr>
          <w:spacing w:val="1"/>
          <w:sz w:val="24"/>
        </w:rPr>
        <w:t>因非系统原因导致的解密失败，</w:t>
      </w:r>
      <w:r>
        <w:rPr>
          <w:sz w:val="24"/>
        </w:rPr>
        <w:t xml:space="preserve"> </w:t>
      </w:r>
      <w:r>
        <w:rPr>
          <w:spacing w:val="-1"/>
          <w:sz w:val="24"/>
        </w:rPr>
        <w:t>视为</w:t>
      </w:r>
      <w:r>
        <w:rPr>
          <w:b/>
          <w:bCs/>
          <w:spacing w:val="-1"/>
          <w:sz w:val="24"/>
        </w:rPr>
        <w:t>投标无效</w:t>
      </w:r>
      <w:r>
        <w:rPr>
          <w:spacing w:val="-1"/>
          <w:sz w:val="24"/>
        </w:rPr>
        <w:t>。</w:t>
      </w:r>
    </w:p>
    <w:p w14:paraId="3CA983F3">
      <w:pPr>
        <w:numPr>
          <w:ilvl w:val="1"/>
          <w:numId w:val="9"/>
        </w:numPr>
        <w:tabs>
          <w:tab w:val="left" w:pos="1080"/>
          <w:tab w:val="left" w:pos="2014"/>
        </w:tabs>
        <w:snapToGrid w:val="0"/>
        <w:spacing w:line="360" w:lineRule="auto"/>
        <w:ind w:left="1077" w:hanging="720"/>
        <w:rPr>
          <w:sz w:val="24"/>
        </w:rPr>
      </w:pPr>
      <w:r>
        <w:rPr>
          <w:sz w:val="24"/>
        </w:rPr>
        <w:t>开标</w:t>
      </w:r>
      <w:bookmarkStart w:id="569" w:name="_Toc520356165"/>
      <w:r>
        <w:rPr>
          <w:spacing w:val="2"/>
          <w:sz w:val="24"/>
        </w:rPr>
        <w:t>过程将使用电子交易平台宣布投标人名称</w:t>
      </w:r>
      <w:r>
        <w:rPr>
          <w:spacing w:val="-43"/>
          <w:sz w:val="24"/>
        </w:rPr>
        <w:t xml:space="preserve"> </w:t>
      </w:r>
      <w:r>
        <w:rPr>
          <w:spacing w:val="2"/>
          <w:sz w:val="24"/>
        </w:rPr>
        <w:t>、投标价格和招标文件规定的</w:t>
      </w:r>
      <w:r>
        <w:rPr>
          <w:sz w:val="24"/>
        </w:rPr>
        <w:t xml:space="preserve"> </w:t>
      </w:r>
      <w:r>
        <w:rPr>
          <w:spacing w:val="1"/>
          <w:sz w:val="24"/>
        </w:rPr>
        <w:t>需要宣布的其他内容并进行记录，并由参加开标的各投标人确认</w:t>
      </w:r>
      <w:r>
        <w:rPr>
          <w:spacing w:val="-35"/>
          <w:sz w:val="24"/>
        </w:rPr>
        <w:t xml:space="preserve"> </w:t>
      </w:r>
      <w:r>
        <w:rPr>
          <w:spacing w:val="1"/>
          <w:sz w:val="24"/>
        </w:rPr>
        <w:t>。投标人未</w:t>
      </w:r>
      <w:r>
        <w:rPr>
          <w:sz w:val="24"/>
        </w:rPr>
        <w:t xml:space="preserve"> 在规定时间内</w:t>
      </w:r>
      <w:r>
        <w:rPr>
          <w:rFonts w:hint="eastAsia"/>
          <w:sz w:val="24"/>
          <w:lang w:eastAsia="zh-CN"/>
        </w:rPr>
        <w:t>提出异议</w:t>
      </w:r>
      <w:r>
        <w:rPr>
          <w:sz w:val="24"/>
        </w:rPr>
        <w:t>或确认一览表的，视同认可</w:t>
      </w:r>
      <w:r>
        <w:rPr>
          <w:spacing w:val="-1"/>
          <w:sz w:val="24"/>
        </w:rPr>
        <w:t>开标结果。</w:t>
      </w:r>
    </w:p>
    <w:p w14:paraId="15989FBF">
      <w:pPr>
        <w:numPr>
          <w:ilvl w:val="1"/>
          <w:numId w:val="9"/>
        </w:numPr>
        <w:tabs>
          <w:tab w:val="left" w:pos="1080"/>
          <w:tab w:val="left" w:pos="2014"/>
        </w:tabs>
        <w:snapToGrid w:val="0"/>
        <w:spacing w:line="360" w:lineRule="auto"/>
        <w:ind w:left="1077" w:hanging="720"/>
        <w:rPr>
          <w:sz w:val="24"/>
        </w:rPr>
      </w:pPr>
      <w:r>
        <w:rPr>
          <w:sz w:val="24"/>
        </w:rPr>
        <w:t>投标人</w:t>
      </w:r>
      <w:r>
        <w:rPr>
          <w:spacing w:val="2"/>
          <w:sz w:val="24"/>
        </w:rPr>
        <w:t>对开标过程和开标记录有疑义，</w:t>
      </w:r>
      <w:r>
        <w:rPr>
          <w:spacing w:val="-50"/>
          <w:sz w:val="24"/>
        </w:rPr>
        <w:t xml:space="preserve"> </w:t>
      </w:r>
      <w:r>
        <w:rPr>
          <w:spacing w:val="1"/>
          <w:sz w:val="24"/>
        </w:rPr>
        <w:t>以及认为采购人</w:t>
      </w:r>
      <w:r>
        <w:rPr>
          <w:spacing w:val="-42"/>
          <w:sz w:val="24"/>
        </w:rPr>
        <w:t xml:space="preserve"> </w:t>
      </w:r>
      <w:r>
        <w:rPr>
          <w:spacing w:val="1"/>
          <w:sz w:val="24"/>
        </w:rPr>
        <w:t>、采购代理机构相关</w:t>
      </w:r>
      <w:r>
        <w:rPr>
          <w:sz w:val="24"/>
        </w:rPr>
        <w:t xml:space="preserve"> 工作人员有需要回避的情形的，应当场提出询问或者回避申请</w:t>
      </w:r>
      <w:r>
        <w:rPr>
          <w:spacing w:val="-32"/>
          <w:sz w:val="24"/>
        </w:rPr>
        <w:t xml:space="preserve"> </w:t>
      </w:r>
      <w:r>
        <w:rPr>
          <w:sz w:val="24"/>
        </w:rPr>
        <w:t>。采购人</w:t>
      </w:r>
      <w:r>
        <w:rPr>
          <w:spacing w:val="-43"/>
          <w:sz w:val="24"/>
        </w:rPr>
        <w:t xml:space="preserve"> </w:t>
      </w:r>
      <w:r>
        <w:rPr>
          <w:sz w:val="24"/>
        </w:rPr>
        <w:t>、采 购代理机构对投标人提出的询问或者回避申</w:t>
      </w:r>
      <w:r>
        <w:rPr>
          <w:spacing w:val="-1"/>
          <w:sz w:val="24"/>
        </w:rPr>
        <w:t>请将及时处理。</w:t>
      </w:r>
    </w:p>
    <w:p w14:paraId="2EFFEF8F">
      <w:pPr>
        <w:numPr>
          <w:ilvl w:val="1"/>
          <w:numId w:val="9"/>
        </w:numPr>
        <w:tabs>
          <w:tab w:val="left" w:pos="1080"/>
          <w:tab w:val="left" w:pos="2014"/>
        </w:tabs>
        <w:snapToGrid w:val="0"/>
        <w:spacing w:line="360" w:lineRule="auto"/>
        <w:ind w:left="1077" w:hanging="720"/>
        <w:rPr>
          <w:sz w:val="24"/>
        </w:rPr>
      </w:pPr>
      <w:r>
        <w:rPr>
          <w:sz w:val="24"/>
        </w:rPr>
        <w:t>投标人不足3家的，不予开标。</w:t>
      </w:r>
    </w:p>
    <w:p w14:paraId="69E42437">
      <w:pPr>
        <w:numPr>
          <w:ilvl w:val="0"/>
          <w:numId w:val="9"/>
        </w:numPr>
        <w:tabs>
          <w:tab w:val="left" w:pos="360"/>
        </w:tabs>
        <w:snapToGrid w:val="0"/>
        <w:spacing w:line="360" w:lineRule="auto"/>
        <w:ind w:left="357" w:hanging="357"/>
        <w:outlineLvl w:val="1"/>
        <w:rPr>
          <w:sz w:val="24"/>
        </w:rPr>
      </w:pPr>
      <w:r>
        <w:rPr>
          <w:sz w:val="24"/>
        </w:rPr>
        <w:t>资格审查</w:t>
      </w:r>
    </w:p>
    <w:p w14:paraId="759B98D6">
      <w:pPr>
        <w:numPr>
          <w:ilvl w:val="1"/>
          <w:numId w:val="9"/>
        </w:numPr>
        <w:tabs>
          <w:tab w:val="left" w:pos="1080"/>
          <w:tab w:val="left" w:pos="2014"/>
        </w:tabs>
        <w:snapToGrid w:val="0"/>
        <w:spacing w:line="360" w:lineRule="auto"/>
        <w:ind w:left="1077" w:hanging="720"/>
        <w:rPr>
          <w:sz w:val="24"/>
        </w:rPr>
      </w:pPr>
      <w:r>
        <w:rPr>
          <w:sz w:val="24"/>
        </w:rPr>
        <w:t>见第三章《资格审查》。</w:t>
      </w:r>
    </w:p>
    <w:bookmarkEnd w:id="569"/>
    <w:p w14:paraId="47BCB3F9">
      <w:pPr>
        <w:numPr>
          <w:ilvl w:val="0"/>
          <w:numId w:val="9"/>
        </w:numPr>
        <w:tabs>
          <w:tab w:val="left" w:pos="360"/>
        </w:tabs>
        <w:snapToGrid w:val="0"/>
        <w:spacing w:line="360" w:lineRule="auto"/>
        <w:ind w:left="357" w:hanging="357"/>
        <w:outlineLvl w:val="1"/>
        <w:rPr>
          <w:sz w:val="24"/>
        </w:rPr>
      </w:pPr>
      <w:bookmarkStart w:id="570" w:name="_Toc127151540"/>
      <w:bookmarkStart w:id="571" w:name="_Toc226965730"/>
      <w:bookmarkStart w:id="572" w:name="_Toc151193782"/>
      <w:bookmarkStart w:id="573" w:name="_Toc142311042"/>
      <w:bookmarkStart w:id="574" w:name="_Toc305158882"/>
      <w:bookmarkStart w:id="575" w:name="_Toc151193928"/>
      <w:bookmarkStart w:id="576" w:name="_Toc151193854"/>
      <w:bookmarkStart w:id="577" w:name="_Toc127151741"/>
      <w:bookmarkStart w:id="578" w:name="_Toc264969230"/>
      <w:bookmarkStart w:id="579" w:name="_Toc164229381"/>
      <w:bookmarkStart w:id="580" w:name="_Toc265228378"/>
      <w:bookmarkStart w:id="581" w:name="_Toc164608654"/>
      <w:bookmarkStart w:id="582" w:name="_Toc226337236"/>
      <w:bookmarkStart w:id="583" w:name="_Toc151190167"/>
      <w:bookmarkStart w:id="584" w:name="_Toc150480778"/>
      <w:bookmarkStart w:id="585" w:name="_Toc150509291"/>
      <w:bookmarkStart w:id="586" w:name="_Toc151193638"/>
      <w:bookmarkStart w:id="587" w:name="_Toc164229235"/>
      <w:bookmarkStart w:id="588" w:name="_Toc150774745"/>
      <w:bookmarkStart w:id="589" w:name="_Toc195842905"/>
      <w:bookmarkStart w:id="590" w:name="_Toc305158808"/>
      <w:bookmarkStart w:id="591" w:name="_Toc226965813"/>
      <w:bookmarkStart w:id="592" w:name="_Toc149720833"/>
      <w:bookmarkStart w:id="593" w:name="_Toc164608809"/>
      <w:bookmarkStart w:id="594" w:name="_Toc150774640"/>
      <w:bookmarkStart w:id="595" w:name="_Toc151193710"/>
      <w:bookmarkStart w:id="596" w:name="_Toc164351634"/>
      <w:bookmarkStart w:id="597" w:name="_Toc127161454"/>
      <w:bookmarkStart w:id="598" w:name="_Toc226309784"/>
      <w:r>
        <w:rPr>
          <w:sz w:val="24"/>
        </w:rPr>
        <w:t>评标委员会</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6BD157B0">
      <w:pPr>
        <w:numPr>
          <w:ilvl w:val="1"/>
          <w:numId w:val="9"/>
        </w:numPr>
        <w:tabs>
          <w:tab w:val="left" w:pos="1080"/>
          <w:tab w:val="left" w:pos="2014"/>
        </w:tabs>
        <w:snapToGrid w:val="0"/>
        <w:spacing w:line="360" w:lineRule="auto"/>
        <w:ind w:left="1077" w:hanging="720"/>
        <w:rPr>
          <w:sz w:val="24"/>
        </w:rPr>
      </w:pPr>
      <w:r>
        <w:rPr>
          <w:sz w:val="24"/>
        </w:rPr>
        <w:t>评标委员会根据政府采购有关规定和本次招标采购项目的特点进行组建，并负责具体评标事务，独立履行职责。</w:t>
      </w:r>
      <w:bookmarkStart w:id="599" w:name="_Toc520356166"/>
    </w:p>
    <w:p w14:paraId="77DFF0B3">
      <w:pPr>
        <w:numPr>
          <w:ilvl w:val="1"/>
          <w:numId w:val="9"/>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9"/>
      <w:bookmarkStart w:id="600" w:name="_Toc520356169"/>
    </w:p>
    <w:p w14:paraId="3436AB45">
      <w:pPr>
        <w:numPr>
          <w:ilvl w:val="0"/>
          <w:numId w:val="9"/>
        </w:numPr>
        <w:tabs>
          <w:tab w:val="left" w:pos="360"/>
        </w:tabs>
        <w:snapToGrid w:val="0"/>
        <w:spacing w:line="360" w:lineRule="auto"/>
        <w:ind w:left="357" w:hanging="357"/>
        <w:outlineLvl w:val="1"/>
        <w:rPr>
          <w:sz w:val="24"/>
        </w:rPr>
      </w:pPr>
      <w:r>
        <w:rPr>
          <w:sz w:val="24"/>
        </w:rPr>
        <w:t>评标程序、评标方法和评标标准</w:t>
      </w:r>
    </w:p>
    <w:p w14:paraId="2BA56BE5">
      <w:pPr>
        <w:numPr>
          <w:ilvl w:val="1"/>
          <w:numId w:val="9"/>
        </w:numPr>
        <w:tabs>
          <w:tab w:val="left" w:pos="1080"/>
          <w:tab w:val="left" w:pos="2014"/>
        </w:tabs>
        <w:snapToGrid w:val="0"/>
        <w:spacing w:line="360" w:lineRule="auto"/>
        <w:ind w:left="1077" w:hanging="720"/>
        <w:rPr>
          <w:sz w:val="24"/>
        </w:rPr>
      </w:pPr>
      <w:r>
        <w:rPr>
          <w:sz w:val="24"/>
        </w:rPr>
        <w:t>见第四章《评标程序、评标方法和评标标准》。</w:t>
      </w:r>
    </w:p>
    <w:p w14:paraId="589CD5E0">
      <w:pPr>
        <w:tabs>
          <w:tab w:val="left" w:pos="360"/>
          <w:tab w:val="left" w:pos="1080"/>
        </w:tabs>
        <w:snapToGrid w:val="0"/>
        <w:spacing w:line="360" w:lineRule="auto"/>
        <w:ind w:left="1080"/>
        <w:rPr>
          <w:sz w:val="24"/>
        </w:rPr>
      </w:pPr>
    </w:p>
    <w:p w14:paraId="45C23395">
      <w:pPr>
        <w:pStyle w:val="3"/>
        <w:spacing w:before="0" w:line="360" w:lineRule="auto"/>
        <w:rPr>
          <w:rFonts w:ascii="Times New Roman" w:hAnsi="Times New Roman" w:eastAsia="宋体"/>
          <w:sz w:val="28"/>
        </w:rPr>
      </w:pPr>
      <w:bookmarkStart w:id="601" w:name="_Toc151193643"/>
      <w:bookmarkStart w:id="602" w:name="_Toc226309789"/>
      <w:bookmarkStart w:id="603" w:name="_Toc195842910"/>
      <w:bookmarkStart w:id="604" w:name="_Toc150774750"/>
      <w:bookmarkStart w:id="605" w:name="_Toc150480783"/>
      <w:bookmarkStart w:id="606" w:name="_Toc226965818"/>
      <w:bookmarkStart w:id="607" w:name="_Toc305158887"/>
      <w:bookmarkStart w:id="608" w:name="_Toc305158813"/>
      <w:bookmarkStart w:id="609" w:name="_Toc226965735"/>
      <w:bookmarkStart w:id="610" w:name="_Toc151193859"/>
      <w:bookmarkStart w:id="611" w:name="_Toc151190172"/>
      <w:bookmarkStart w:id="612" w:name="_Toc151193933"/>
      <w:bookmarkStart w:id="613" w:name="_Toc151193715"/>
      <w:bookmarkStart w:id="614" w:name="_Toc265228383"/>
      <w:bookmarkStart w:id="615" w:name="_Toc226337241"/>
      <w:bookmarkStart w:id="616" w:name="_Toc151193787"/>
      <w:bookmarkStart w:id="617" w:name="_Toc150774645"/>
      <w:bookmarkStart w:id="618" w:name="_Toc142311047"/>
      <w:bookmarkStart w:id="619" w:name="_Toc127151545"/>
      <w:bookmarkStart w:id="620" w:name="_Toc150509296"/>
      <w:bookmarkStart w:id="621" w:name="_Toc264969235"/>
      <w:r>
        <w:rPr>
          <w:rFonts w:ascii="Times New Roman" w:hAnsi="Times New Roman" w:eastAsia="宋体"/>
          <w:sz w:val="28"/>
        </w:rPr>
        <w:t xml:space="preserve">六   </w:t>
      </w:r>
      <w:bookmarkEnd w:id="600"/>
      <w:r>
        <w:rPr>
          <w:rFonts w:ascii="Times New Roman" w:hAnsi="Times New Roman" w:eastAsia="宋体"/>
          <w:sz w:val="28"/>
        </w:rPr>
        <w:t>确定中标</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Start w:id="622" w:name="_Toc150509298"/>
      <w:bookmarkStart w:id="623" w:name="_Toc305158889"/>
      <w:bookmarkStart w:id="624" w:name="_Toc226965737"/>
      <w:bookmarkStart w:id="625" w:name="_Toc164608816"/>
      <w:bookmarkStart w:id="626" w:name="_Toc127161461"/>
      <w:bookmarkStart w:id="627" w:name="_Toc164351641"/>
      <w:bookmarkStart w:id="628" w:name="_Toc264969237"/>
      <w:bookmarkStart w:id="629" w:name="_Toc226309791"/>
      <w:bookmarkStart w:id="630" w:name="_Toc127151547"/>
      <w:bookmarkStart w:id="631" w:name="_Toc226337243"/>
      <w:bookmarkStart w:id="632" w:name="_Toc305158815"/>
      <w:bookmarkStart w:id="633" w:name="_Toc164229388"/>
      <w:bookmarkStart w:id="634" w:name="_Toc226965820"/>
      <w:bookmarkStart w:id="635" w:name="_Toc150774647"/>
      <w:bookmarkStart w:id="636" w:name="_Toc151193861"/>
      <w:bookmarkStart w:id="637" w:name="_Toc164229242"/>
      <w:bookmarkStart w:id="638" w:name="_Toc164608661"/>
      <w:bookmarkStart w:id="639" w:name="_Toc195842912"/>
      <w:bookmarkStart w:id="640" w:name="_Toc151190174"/>
      <w:bookmarkStart w:id="641" w:name="_Toc151193935"/>
      <w:bookmarkStart w:id="642" w:name="_Toc150774752"/>
      <w:bookmarkStart w:id="643" w:name="_Toc142311049"/>
      <w:bookmarkStart w:id="644" w:name="_Toc150480785"/>
      <w:bookmarkStart w:id="645" w:name="_Toc149720840"/>
      <w:bookmarkStart w:id="646" w:name="_Toc265228385"/>
      <w:bookmarkStart w:id="647" w:name="_Toc151193645"/>
      <w:bookmarkStart w:id="648" w:name="_Toc151193717"/>
      <w:bookmarkStart w:id="649" w:name="_Toc151193789"/>
      <w:bookmarkStart w:id="650" w:name="_Toc127151748"/>
    </w:p>
    <w:p w14:paraId="097D6D0F">
      <w:pPr>
        <w:numPr>
          <w:ilvl w:val="0"/>
          <w:numId w:val="9"/>
        </w:numPr>
        <w:tabs>
          <w:tab w:val="left" w:pos="360"/>
        </w:tabs>
        <w:snapToGrid w:val="0"/>
        <w:spacing w:line="360" w:lineRule="auto"/>
        <w:ind w:left="357" w:hanging="357"/>
        <w:outlineLvl w:val="1"/>
        <w:rPr>
          <w:sz w:val="24"/>
        </w:rPr>
      </w:pPr>
      <w:r>
        <w:rPr>
          <w:sz w:val="24"/>
        </w:rPr>
        <w:t>确定中标人</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6585803D">
      <w:pPr>
        <w:numPr>
          <w:ilvl w:val="1"/>
          <w:numId w:val="9"/>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须知资料表》要求确定成交供应商。</w:t>
      </w:r>
    </w:p>
    <w:p w14:paraId="0680991E">
      <w:pPr>
        <w:numPr>
          <w:ilvl w:val="0"/>
          <w:numId w:val="9"/>
        </w:numPr>
        <w:tabs>
          <w:tab w:val="left" w:pos="360"/>
        </w:tabs>
        <w:snapToGrid w:val="0"/>
        <w:spacing w:line="360" w:lineRule="auto"/>
        <w:ind w:left="357" w:hanging="357"/>
        <w:outlineLvl w:val="1"/>
        <w:rPr>
          <w:sz w:val="24"/>
        </w:rPr>
      </w:pPr>
      <w:bookmarkStart w:id="651" w:name="_Toc305158817"/>
      <w:bookmarkStart w:id="652" w:name="_Toc305158891"/>
      <w:bookmarkStart w:id="653" w:name="_Toc151193719"/>
      <w:bookmarkStart w:id="654" w:name="_Toc226965739"/>
      <w:bookmarkStart w:id="655" w:name="_Toc265228387"/>
      <w:bookmarkStart w:id="656" w:name="_Toc151190176"/>
      <w:bookmarkStart w:id="657" w:name="_Toc226337245"/>
      <w:bookmarkStart w:id="658" w:name="_Toc195842914"/>
      <w:bookmarkStart w:id="659" w:name="_Toc150774754"/>
      <w:bookmarkStart w:id="660" w:name="_Toc164229390"/>
      <w:bookmarkStart w:id="661" w:name="_Toc164351643"/>
      <w:bookmarkStart w:id="662" w:name="_Toc150480787"/>
      <w:bookmarkStart w:id="663" w:name="_Toc151193863"/>
      <w:bookmarkStart w:id="664" w:name="_Toc150774649"/>
      <w:bookmarkStart w:id="665" w:name="_Toc142311051"/>
      <w:bookmarkStart w:id="666" w:name="_Toc164229244"/>
      <w:bookmarkStart w:id="667" w:name="_Toc164608818"/>
      <w:bookmarkStart w:id="668" w:name="_Toc151193937"/>
      <w:bookmarkStart w:id="669" w:name="_Toc226309793"/>
      <w:bookmarkStart w:id="670" w:name="_Toc150509300"/>
      <w:bookmarkStart w:id="671" w:name="_Toc226965822"/>
      <w:bookmarkStart w:id="672" w:name="_Toc151193647"/>
      <w:bookmarkStart w:id="673" w:name="_Toc164608663"/>
      <w:bookmarkStart w:id="674" w:name="_Toc149720842"/>
      <w:bookmarkStart w:id="675" w:name="_Toc127161463"/>
      <w:bookmarkStart w:id="676" w:name="_Toc127151750"/>
      <w:bookmarkStart w:id="677" w:name="_Toc127151549"/>
      <w:bookmarkStart w:id="678" w:name="_Toc264969239"/>
      <w:bookmarkStart w:id="679" w:name="_Toc151193791"/>
      <w:bookmarkStart w:id="680" w:name="_Ref467307090"/>
      <w:bookmarkStart w:id="681" w:name="_Ref467306425"/>
      <w:bookmarkStart w:id="682" w:name="_Toc520356176"/>
      <w:r>
        <w:rPr>
          <w:sz w:val="24"/>
        </w:rPr>
        <w:t>中标公告与中标通知书</w:t>
      </w:r>
      <w:bookmarkEnd w:id="651"/>
      <w:bookmarkEnd w:id="652"/>
    </w:p>
    <w:p w14:paraId="474A8DD1">
      <w:pPr>
        <w:numPr>
          <w:ilvl w:val="1"/>
          <w:numId w:val="9"/>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w:t>
      </w:r>
      <w:r>
        <w:rPr>
          <w:rFonts w:hint="eastAsia"/>
          <w:color w:val="000000"/>
          <w:kern w:val="0"/>
          <w:sz w:val="24"/>
        </w:rPr>
        <w:t>北京市政府采购网</w:t>
      </w:r>
      <w:r>
        <w:rPr>
          <w:color w:val="000000"/>
          <w:kern w:val="0"/>
          <w:sz w:val="24"/>
        </w:rPr>
        <w:t>公告中标结果</w:t>
      </w:r>
      <w:r>
        <w:rPr>
          <w:sz w:val="24"/>
        </w:rPr>
        <w:t>，</w:t>
      </w:r>
      <w:r>
        <w:rPr>
          <w:rFonts w:hint="eastAsia"/>
          <w:sz w:val="24"/>
        </w:rPr>
        <w:t>同时向中标人发出中标通知书，</w:t>
      </w:r>
      <w:r>
        <w:rPr>
          <w:sz w:val="24"/>
        </w:rPr>
        <w:t>中标公告期限为1个工作日。</w:t>
      </w:r>
    </w:p>
    <w:p w14:paraId="2F6BF40D">
      <w:pPr>
        <w:numPr>
          <w:ilvl w:val="1"/>
          <w:numId w:val="9"/>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056761D9">
      <w:pPr>
        <w:numPr>
          <w:ilvl w:val="0"/>
          <w:numId w:val="9"/>
        </w:numPr>
        <w:tabs>
          <w:tab w:val="left" w:pos="360"/>
        </w:tabs>
        <w:snapToGrid w:val="0"/>
        <w:spacing w:line="360" w:lineRule="auto"/>
        <w:ind w:left="357" w:hanging="357"/>
        <w:outlineLvl w:val="1"/>
        <w:rPr>
          <w:sz w:val="24"/>
        </w:rPr>
      </w:pPr>
      <w:r>
        <w:rPr>
          <w:sz w:val="24"/>
        </w:rPr>
        <w:t>废标</w:t>
      </w:r>
    </w:p>
    <w:p w14:paraId="2A1C6384">
      <w:pPr>
        <w:numPr>
          <w:ilvl w:val="1"/>
          <w:numId w:val="9"/>
        </w:numPr>
        <w:tabs>
          <w:tab w:val="left" w:pos="1080"/>
          <w:tab w:val="left" w:pos="2014"/>
        </w:tabs>
        <w:snapToGrid w:val="0"/>
        <w:spacing w:line="360" w:lineRule="auto"/>
        <w:ind w:left="1077" w:hanging="720"/>
        <w:rPr>
          <w:sz w:val="24"/>
        </w:rPr>
      </w:pPr>
      <w:r>
        <w:rPr>
          <w:sz w:val="24"/>
        </w:rPr>
        <w:t>在招标采购中，出现下列情形之一的，应予废标：</w:t>
      </w:r>
    </w:p>
    <w:p w14:paraId="5899F66C">
      <w:pPr>
        <w:numPr>
          <w:ilvl w:val="2"/>
          <w:numId w:val="9"/>
        </w:numPr>
        <w:snapToGrid w:val="0"/>
        <w:spacing w:line="360" w:lineRule="auto"/>
        <w:rPr>
          <w:sz w:val="24"/>
        </w:rPr>
      </w:pPr>
      <w:r>
        <w:rPr>
          <w:sz w:val="24"/>
        </w:rPr>
        <w:t>符合专业条件的供应商或者对招标文件作实质响应的供应商不足三家的；</w:t>
      </w:r>
    </w:p>
    <w:p w14:paraId="2516B1FB">
      <w:pPr>
        <w:numPr>
          <w:ilvl w:val="2"/>
          <w:numId w:val="9"/>
        </w:numPr>
        <w:snapToGrid w:val="0"/>
        <w:spacing w:line="360" w:lineRule="auto"/>
        <w:rPr>
          <w:sz w:val="24"/>
        </w:rPr>
      </w:pPr>
      <w:r>
        <w:rPr>
          <w:sz w:val="24"/>
        </w:rPr>
        <w:t>出现影响采购公正的违法、违规行为的；</w:t>
      </w:r>
    </w:p>
    <w:p w14:paraId="5F1740F4">
      <w:pPr>
        <w:numPr>
          <w:ilvl w:val="2"/>
          <w:numId w:val="9"/>
        </w:numPr>
        <w:snapToGrid w:val="0"/>
        <w:spacing w:line="360" w:lineRule="auto"/>
        <w:rPr>
          <w:sz w:val="24"/>
        </w:rPr>
      </w:pPr>
      <w:r>
        <w:rPr>
          <w:sz w:val="24"/>
        </w:rPr>
        <w:t>投标人的报价均超过了采购预算，采购人不能支付的；</w:t>
      </w:r>
    </w:p>
    <w:p w14:paraId="1E97A7F4">
      <w:pPr>
        <w:numPr>
          <w:ilvl w:val="2"/>
          <w:numId w:val="9"/>
        </w:numPr>
        <w:snapToGrid w:val="0"/>
        <w:spacing w:line="360" w:lineRule="auto"/>
        <w:rPr>
          <w:sz w:val="24"/>
        </w:rPr>
      </w:pPr>
      <w:r>
        <w:rPr>
          <w:sz w:val="24"/>
        </w:rPr>
        <w:t>因重大变故，采购任务取消的。</w:t>
      </w:r>
    </w:p>
    <w:p w14:paraId="21FD0C79">
      <w:pPr>
        <w:numPr>
          <w:ilvl w:val="1"/>
          <w:numId w:val="9"/>
        </w:numPr>
        <w:tabs>
          <w:tab w:val="left" w:pos="1080"/>
          <w:tab w:val="left" w:pos="2014"/>
        </w:tabs>
        <w:snapToGrid w:val="0"/>
        <w:spacing w:line="360" w:lineRule="auto"/>
        <w:ind w:left="1077" w:hanging="720"/>
        <w:rPr>
          <w:sz w:val="24"/>
        </w:rPr>
      </w:pPr>
      <w:r>
        <w:rPr>
          <w:sz w:val="24"/>
        </w:rPr>
        <w:t>废标后，采购人将废标理由通知所有投标人。</w:t>
      </w:r>
    </w:p>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14:paraId="4B50F662">
      <w:pPr>
        <w:numPr>
          <w:ilvl w:val="0"/>
          <w:numId w:val="9"/>
        </w:numPr>
        <w:tabs>
          <w:tab w:val="left" w:pos="360"/>
        </w:tabs>
        <w:snapToGrid w:val="0"/>
        <w:spacing w:line="360" w:lineRule="auto"/>
        <w:ind w:left="357" w:hanging="357"/>
        <w:outlineLvl w:val="1"/>
        <w:rPr>
          <w:sz w:val="24"/>
        </w:rPr>
      </w:pPr>
      <w:bookmarkStart w:id="683" w:name="_Toc127151751"/>
      <w:bookmarkStart w:id="684" w:name="_Toc150774755"/>
      <w:bookmarkStart w:id="685" w:name="_Toc164229391"/>
      <w:bookmarkStart w:id="686" w:name="_Toc127151550"/>
      <w:bookmarkStart w:id="687" w:name="_Toc264969240"/>
      <w:bookmarkStart w:id="688" w:name="_Toc164351644"/>
      <w:bookmarkStart w:id="689" w:name="_Toc151193938"/>
      <w:bookmarkStart w:id="690" w:name="_Toc151190177"/>
      <w:bookmarkStart w:id="691" w:name="_Toc149720843"/>
      <w:bookmarkStart w:id="692" w:name="_Toc150509301"/>
      <w:bookmarkStart w:id="693" w:name="_Toc195842915"/>
      <w:bookmarkStart w:id="694" w:name="_Ref467306377"/>
      <w:bookmarkStart w:id="695" w:name="_Toc151193720"/>
      <w:bookmarkStart w:id="696" w:name="_Toc164608819"/>
      <w:bookmarkStart w:id="697" w:name="_Toc151193792"/>
      <w:bookmarkStart w:id="698" w:name="_Toc226965740"/>
      <w:bookmarkStart w:id="699" w:name="_Ref467307204"/>
      <w:bookmarkStart w:id="700" w:name="_Toc127161464"/>
      <w:bookmarkStart w:id="701" w:name="_Toc151193648"/>
      <w:bookmarkStart w:id="702" w:name="_Toc305158892"/>
      <w:bookmarkStart w:id="703" w:name="_Toc265228388"/>
      <w:bookmarkStart w:id="704" w:name="_Toc150774650"/>
      <w:bookmarkStart w:id="705" w:name="_Toc226337246"/>
      <w:bookmarkStart w:id="706" w:name="_Toc150480788"/>
      <w:bookmarkStart w:id="707" w:name="_Toc305158818"/>
      <w:bookmarkStart w:id="708" w:name="_Toc226309794"/>
      <w:bookmarkStart w:id="709" w:name="_Toc226965823"/>
      <w:bookmarkStart w:id="710" w:name="_Toc164229245"/>
      <w:bookmarkStart w:id="711" w:name="_Toc151193864"/>
      <w:bookmarkStart w:id="712" w:name="_Ref467306978"/>
      <w:bookmarkStart w:id="713" w:name="_Toc164608664"/>
      <w:bookmarkStart w:id="714" w:name="_Toc520356175"/>
      <w:bookmarkStart w:id="715" w:name="_Ref467307062"/>
      <w:bookmarkStart w:id="716" w:name="_Toc142311052"/>
      <w:r>
        <w:rPr>
          <w:sz w:val="24"/>
        </w:rPr>
        <w:t>签订合同</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3DF29BA6">
      <w:pPr>
        <w:numPr>
          <w:ilvl w:val="1"/>
          <w:numId w:val="9"/>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14:paraId="11A1C55D">
      <w:pPr>
        <w:numPr>
          <w:ilvl w:val="1"/>
          <w:numId w:val="9"/>
        </w:numPr>
        <w:tabs>
          <w:tab w:val="left" w:pos="1080"/>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14:paraId="6AAB800D">
      <w:pPr>
        <w:numPr>
          <w:ilvl w:val="1"/>
          <w:numId w:val="9"/>
        </w:numPr>
        <w:tabs>
          <w:tab w:val="left" w:pos="1080"/>
          <w:tab w:val="left" w:pos="2014"/>
        </w:tabs>
        <w:snapToGrid w:val="0"/>
        <w:spacing w:line="360" w:lineRule="auto"/>
        <w:ind w:left="1077" w:hanging="720"/>
        <w:rPr>
          <w:sz w:val="24"/>
        </w:rPr>
      </w:pPr>
      <w:r>
        <w:rPr>
          <w:sz w:val="24"/>
        </w:rPr>
        <w:t>联合体中标的，联合体各方应当共同与采购人签订合同，就中标项目向采购人承担连带责任。</w:t>
      </w:r>
    </w:p>
    <w:p w14:paraId="6D542CEC">
      <w:pPr>
        <w:numPr>
          <w:ilvl w:val="1"/>
          <w:numId w:val="9"/>
        </w:numPr>
        <w:tabs>
          <w:tab w:val="left" w:pos="1080"/>
          <w:tab w:val="left" w:pos="2014"/>
        </w:tabs>
        <w:snapToGrid w:val="0"/>
        <w:spacing w:line="360" w:lineRule="auto"/>
        <w:ind w:left="1077" w:hanging="720"/>
        <w:rPr>
          <w:sz w:val="24"/>
        </w:rPr>
      </w:pPr>
      <w:r>
        <w:rPr>
          <w:sz w:val="24"/>
        </w:rPr>
        <w:t>政府采购合同不能转包。</w:t>
      </w:r>
    </w:p>
    <w:p w14:paraId="13558D59">
      <w:pPr>
        <w:numPr>
          <w:ilvl w:val="1"/>
          <w:numId w:val="9"/>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80"/>
    <w:bookmarkEnd w:id="681"/>
    <w:bookmarkEnd w:id="682"/>
    <w:p w14:paraId="5D13497C">
      <w:pPr>
        <w:numPr>
          <w:ilvl w:val="0"/>
          <w:numId w:val="9"/>
        </w:numPr>
        <w:tabs>
          <w:tab w:val="left" w:pos="360"/>
        </w:tabs>
        <w:snapToGrid w:val="0"/>
        <w:spacing w:line="360" w:lineRule="auto"/>
        <w:ind w:left="357" w:hanging="357"/>
        <w:outlineLvl w:val="1"/>
        <w:rPr>
          <w:sz w:val="24"/>
        </w:rPr>
      </w:pPr>
      <w:r>
        <w:rPr>
          <w:sz w:val="24"/>
        </w:rPr>
        <w:t>询问与质疑</w:t>
      </w:r>
    </w:p>
    <w:p w14:paraId="65EF490F">
      <w:pPr>
        <w:numPr>
          <w:ilvl w:val="1"/>
          <w:numId w:val="9"/>
        </w:numPr>
        <w:tabs>
          <w:tab w:val="left" w:pos="1080"/>
          <w:tab w:val="left" w:pos="2014"/>
        </w:tabs>
        <w:snapToGrid w:val="0"/>
        <w:spacing w:line="360" w:lineRule="auto"/>
        <w:ind w:left="1077" w:hanging="720"/>
        <w:rPr>
          <w:sz w:val="24"/>
        </w:rPr>
      </w:pPr>
      <w:r>
        <w:rPr>
          <w:sz w:val="24"/>
        </w:rPr>
        <w:t>询问</w:t>
      </w:r>
    </w:p>
    <w:p w14:paraId="582D6691">
      <w:pPr>
        <w:numPr>
          <w:ilvl w:val="2"/>
          <w:numId w:val="9"/>
        </w:numPr>
        <w:snapToGrid w:val="0"/>
        <w:spacing w:line="360" w:lineRule="auto"/>
        <w:rPr>
          <w:sz w:val="24"/>
        </w:rPr>
      </w:pPr>
      <w:r>
        <w:rPr>
          <w:sz w:val="24"/>
        </w:rPr>
        <w:t>投标人对政府采购活动事项有疑问的，可依法提出询问，并按《投标人须知资料表》载明的形式送达采购人或采购代理机构。</w:t>
      </w:r>
    </w:p>
    <w:p w14:paraId="0195A9FD">
      <w:pPr>
        <w:numPr>
          <w:ilvl w:val="2"/>
          <w:numId w:val="9"/>
        </w:numPr>
        <w:snapToGrid w:val="0"/>
        <w:spacing w:line="360" w:lineRule="auto"/>
        <w:rPr>
          <w:sz w:val="24"/>
        </w:rPr>
      </w:pPr>
      <w:r>
        <w:rPr>
          <w:sz w:val="24"/>
        </w:rPr>
        <w:t>采购人或采购代理机构对供应商依法提出的询问，在3个工作日内作出答复，但答复的内容不得涉及商业秘密。</w:t>
      </w:r>
    </w:p>
    <w:p w14:paraId="1E85D06B">
      <w:pPr>
        <w:numPr>
          <w:ilvl w:val="1"/>
          <w:numId w:val="9"/>
        </w:numPr>
        <w:tabs>
          <w:tab w:val="left" w:pos="1080"/>
          <w:tab w:val="left" w:pos="2014"/>
        </w:tabs>
        <w:snapToGrid w:val="0"/>
        <w:spacing w:line="360" w:lineRule="auto"/>
        <w:ind w:left="1077" w:hanging="720"/>
        <w:rPr>
          <w:sz w:val="24"/>
        </w:rPr>
      </w:pPr>
      <w:r>
        <w:rPr>
          <w:sz w:val="24"/>
        </w:rPr>
        <w:t>质疑</w:t>
      </w:r>
    </w:p>
    <w:p w14:paraId="1E4A9CC0">
      <w:pPr>
        <w:numPr>
          <w:ilvl w:val="2"/>
          <w:numId w:val="9"/>
        </w:numPr>
        <w:snapToGrid w:val="0"/>
        <w:spacing w:line="360" w:lineRule="auto"/>
        <w:rPr>
          <w:sz w:val="24"/>
        </w:rPr>
      </w:pPr>
      <w:r>
        <w:rPr>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1D5A2283">
      <w:pPr>
        <w:numPr>
          <w:ilvl w:val="2"/>
          <w:numId w:val="9"/>
        </w:numPr>
        <w:snapToGrid w:val="0"/>
        <w:spacing w:line="360" w:lineRule="auto"/>
        <w:rPr>
          <w:sz w:val="24"/>
        </w:rPr>
      </w:pPr>
      <w:r>
        <w:rPr>
          <w:sz w:val="24"/>
        </w:rPr>
        <w:t>质疑</w:t>
      </w:r>
      <w:r>
        <w:rPr>
          <w:spacing w:val="-1"/>
          <w:sz w:val="24"/>
        </w:rPr>
        <w:t>函须使用财政部制定的范本文件。投标人为自然人的，质疑函应</w:t>
      </w:r>
      <w:r>
        <w:rPr>
          <w:spacing w:val="10"/>
          <w:sz w:val="24"/>
        </w:rPr>
        <w:t xml:space="preserve"> </w:t>
      </w:r>
      <w:r>
        <w:rPr>
          <w:spacing w:val="-4"/>
          <w:sz w:val="24"/>
        </w:rPr>
        <w:t>当由本人签字；投标人为法人或者其他组织的，质疑函应当由法定代</w:t>
      </w:r>
      <w:r>
        <w:rPr>
          <w:spacing w:val="4"/>
          <w:sz w:val="24"/>
        </w:rPr>
        <w:t xml:space="preserve"> </w:t>
      </w:r>
      <w:r>
        <w:rPr>
          <w:spacing w:val="-2"/>
          <w:sz w:val="24"/>
        </w:rPr>
        <w:t>表人、主要负责人</w:t>
      </w:r>
      <w:r>
        <w:rPr>
          <w:spacing w:val="-21"/>
          <w:sz w:val="24"/>
        </w:rPr>
        <w:t xml:space="preserve"> </w:t>
      </w:r>
      <w:r>
        <w:rPr>
          <w:spacing w:val="-2"/>
          <w:sz w:val="24"/>
        </w:rPr>
        <w:t>，或者其授权代表签字或者盖章，并加盖公章。</w:t>
      </w:r>
    </w:p>
    <w:p w14:paraId="6859AB6F">
      <w:pPr>
        <w:numPr>
          <w:ilvl w:val="2"/>
          <w:numId w:val="9"/>
        </w:numPr>
        <w:snapToGrid w:val="0"/>
        <w:spacing w:line="360" w:lineRule="auto"/>
        <w:rPr>
          <w:sz w:val="24"/>
        </w:rPr>
      </w:pPr>
      <w:r>
        <w:rPr>
          <w:spacing w:val="-1"/>
          <w:sz w:val="24"/>
        </w:rPr>
        <w:t>投标人委托代理人进行质疑的，应当随质疑函同时提交投标人签署的</w:t>
      </w:r>
      <w:r>
        <w:rPr>
          <w:spacing w:val="5"/>
          <w:sz w:val="24"/>
        </w:rPr>
        <w:t xml:space="preserve">  </w:t>
      </w:r>
      <w:r>
        <w:rPr>
          <w:spacing w:val="-9"/>
          <w:sz w:val="24"/>
        </w:rPr>
        <w:t>授权委托书。授权委托书应当载明代理人的姓名或者名称、代理事项、</w:t>
      </w:r>
      <w:r>
        <w:rPr>
          <w:spacing w:val="-1"/>
          <w:sz w:val="24"/>
        </w:rPr>
        <w:t>具体权限、期限和相关事项。投标人为自然人的，应当由本人签字；</w:t>
      </w:r>
      <w:r>
        <w:rPr>
          <w:spacing w:val="-4"/>
          <w:sz w:val="24"/>
        </w:rPr>
        <w:t>投标人为法人或者其他组织的，应当由法定代表人、主要负责人签字</w:t>
      </w:r>
      <w:r>
        <w:rPr>
          <w:spacing w:val="-1"/>
          <w:sz w:val="24"/>
        </w:rPr>
        <w:t>或者盖章，并加盖公章。</w:t>
      </w:r>
    </w:p>
    <w:p w14:paraId="41A9CCCF">
      <w:pPr>
        <w:numPr>
          <w:ilvl w:val="2"/>
          <w:numId w:val="9"/>
        </w:numPr>
        <w:snapToGrid w:val="0"/>
        <w:spacing w:line="360" w:lineRule="auto"/>
        <w:rPr>
          <w:sz w:val="24"/>
        </w:rPr>
      </w:pPr>
      <w:r>
        <w:rPr>
          <w:sz w:val="24"/>
        </w:rPr>
        <w:t>投标人</w:t>
      </w:r>
      <w:r>
        <w:rPr>
          <w:spacing w:val="1"/>
          <w:sz w:val="24"/>
        </w:rPr>
        <w:t>应在法定质疑期内一次性提出针对同一采购程序环</w:t>
      </w:r>
      <w:r>
        <w:rPr>
          <w:sz w:val="24"/>
        </w:rPr>
        <w:t xml:space="preserve">节的质疑， </w:t>
      </w:r>
      <w:r>
        <w:rPr>
          <w:spacing w:val="-4"/>
          <w:sz w:val="24"/>
        </w:rPr>
        <w:t>法定质疑期内针对同一采购程序环节再次提出的质疑，采购人、采购</w:t>
      </w:r>
      <w:r>
        <w:rPr>
          <w:spacing w:val="3"/>
          <w:sz w:val="24"/>
        </w:rPr>
        <w:t xml:space="preserve">  </w:t>
      </w:r>
      <w:r>
        <w:rPr>
          <w:spacing w:val="-1"/>
          <w:sz w:val="24"/>
        </w:rPr>
        <w:t>代理机构有权不予答复。</w:t>
      </w:r>
    </w:p>
    <w:p w14:paraId="41F5A2F4">
      <w:pPr>
        <w:numPr>
          <w:ilvl w:val="1"/>
          <w:numId w:val="9"/>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14:paraId="3B9A6DA4">
      <w:pPr>
        <w:numPr>
          <w:ilvl w:val="0"/>
          <w:numId w:val="9"/>
        </w:numPr>
        <w:tabs>
          <w:tab w:val="left" w:pos="360"/>
        </w:tabs>
        <w:snapToGrid w:val="0"/>
        <w:spacing w:line="360" w:lineRule="auto"/>
        <w:ind w:left="357" w:hanging="357"/>
        <w:outlineLvl w:val="1"/>
        <w:rPr>
          <w:sz w:val="24"/>
        </w:rPr>
      </w:pPr>
      <w:r>
        <w:rPr>
          <w:sz w:val="24"/>
        </w:rPr>
        <w:t>代理费</w:t>
      </w:r>
    </w:p>
    <w:p w14:paraId="445AC417">
      <w:pPr>
        <w:numPr>
          <w:ilvl w:val="1"/>
          <w:numId w:val="9"/>
        </w:numPr>
        <w:tabs>
          <w:tab w:val="left" w:pos="1080"/>
          <w:tab w:val="left" w:pos="2014"/>
        </w:tabs>
        <w:snapToGrid w:val="0"/>
        <w:spacing w:line="360" w:lineRule="auto"/>
        <w:ind w:left="1077" w:hanging="720"/>
        <w:jc w:val="center"/>
        <w:outlineLvl w:val="0"/>
        <w:rPr>
          <w:b/>
          <w:sz w:val="36"/>
          <w:szCs w:val="36"/>
        </w:rPr>
      </w:pPr>
      <w:bookmarkStart w:id="717" w:name="_Toc5950"/>
      <w:r>
        <w:rPr>
          <w:sz w:val="24"/>
        </w:rPr>
        <w:t>收费对象、收费标准及缴纳时间见《投标人须知资料表》。由中标人支付的，中标人须一次性向采购代理机构缴纳代理费，投标报价应包含代理费用。</w:t>
      </w:r>
      <w:bookmarkStart w:id="718" w:name="_Toc353873664"/>
      <w:bookmarkStart w:id="719" w:name="_Toc265228392"/>
      <w:bookmarkStart w:id="720" w:name="_Toc305158896"/>
      <w:bookmarkStart w:id="721" w:name="_Toc150774759"/>
      <w:bookmarkStart w:id="722" w:name="_Toc305158822"/>
      <w:bookmarkStart w:id="723" w:name="_Toc150480792"/>
      <w:bookmarkStart w:id="724" w:name="_Toc127151554"/>
      <w:bookmarkStart w:id="725" w:name="_Toc226337250"/>
      <w:bookmarkStart w:id="726" w:name="_Toc353825544"/>
      <w:bookmarkStart w:id="727" w:name="_Toc264969244"/>
      <w:bookmarkStart w:id="728" w:name="_Toc353873934"/>
      <w:bookmarkStart w:id="729" w:name="_Toc226965827"/>
      <w:bookmarkStart w:id="730" w:name="_Toc142311056"/>
      <w:r>
        <w:rPr>
          <w:sz w:val="24"/>
        </w:rPr>
        <w:br w:type="page"/>
      </w:r>
      <w:bookmarkStart w:id="731" w:name="_Toc99301421"/>
      <w:r>
        <w:rPr>
          <w:rStyle w:val="59"/>
        </w:rPr>
        <w:t xml:space="preserve">第三章   </w:t>
      </w:r>
      <w:bookmarkEnd w:id="718"/>
      <w:bookmarkEnd w:id="719"/>
      <w:bookmarkEnd w:id="720"/>
      <w:bookmarkEnd w:id="721"/>
      <w:bookmarkEnd w:id="722"/>
      <w:bookmarkEnd w:id="723"/>
      <w:bookmarkEnd w:id="724"/>
      <w:bookmarkEnd w:id="725"/>
      <w:bookmarkEnd w:id="726"/>
      <w:bookmarkEnd w:id="727"/>
      <w:bookmarkEnd w:id="728"/>
      <w:bookmarkEnd w:id="729"/>
      <w:bookmarkEnd w:id="730"/>
      <w:r>
        <w:rPr>
          <w:rStyle w:val="59"/>
        </w:rPr>
        <w:t>资格审查</w:t>
      </w:r>
      <w:bookmarkEnd w:id="717"/>
      <w:bookmarkEnd w:id="731"/>
      <w:bookmarkStart w:id="732" w:name="_Toc487900382"/>
    </w:p>
    <w:p w14:paraId="454CF3FF">
      <w:pPr>
        <w:tabs>
          <w:tab w:val="left" w:pos="360"/>
          <w:tab w:val="left" w:pos="900"/>
        </w:tabs>
        <w:snapToGrid w:val="0"/>
        <w:spacing w:line="360" w:lineRule="auto"/>
        <w:jc w:val="center"/>
        <w:outlineLvl w:val="1"/>
        <w:rPr>
          <w:b/>
          <w:sz w:val="24"/>
        </w:rPr>
      </w:pPr>
      <w:bookmarkStart w:id="733" w:name="_Toc99301422"/>
      <w:r>
        <w:rPr>
          <w:b/>
          <w:sz w:val="24"/>
        </w:rPr>
        <w:t>一、资格审查程序</w:t>
      </w:r>
      <w:bookmarkEnd w:id="733"/>
    </w:p>
    <w:p w14:paraId="39EB4028">
      <w:pPr>
        <w:numPr>
          <w:ilvl w:val="0"/>
          <w:numId w:val="12"/>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2A70099D">
      <w:pPr>
        <w:numPr>
          <w:ilvl w:val="0"/>
          <w:numId w:val="12"/>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14:paraId="3E5CEAC7">
      <w:pPr>
        <w:numPr>
          <w:ilvl w:val="0"/>
          <w:numId w:val="12"/>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1601C8B6">
      <w:pPr>
        <w:numPr>
          <w:ilvl w:val="0"/>
          <w:numId w:val="12"/>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14:paraId="08538B42">
      <w:pPr>
        <w:widowControl/>
        <w:jc w:val="left"/>
        <w:rPr>
          <w:sz w:val="24"/>
        </w:rPr>
      </w:pPr>
    </w:p>
    <w:p w14:paraId="59C14DAA">
      <w:pPr>
        <w:tabs>
          <w:tab w:val="left" w:pos="360"/>
          <w:tab w:val="left" w:pos="900"/>
        </w:tabs>
        <w:snapToGrid w:val="0"/>
        <w:spacing w:line="360" w:lineRule="auto"/>
        <w:jc w:val="center"/>
        <w:outlineLvl w:val="1"/>
        <w:rPr>
          <w:b/>
          <w:sz w:val="24"/>
        </w:rPr>
      </w:pPr>
      <w:r>
        <w:rPr>
          <w:b/>
          <w:sz w:val="24"/>
        </w:rPr>
        <w:t>二、资格审查要求</w:t>
      </w:r>
    </w:p>
    <w:tbl>
      <w:tblPr>
        <w:tblStyle w:val="45"/>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1981"/>
        <w:gridCol w:w="4824"/>
        <w:gridCol w:w="1640"/>
        <w:tblGridChange w:id="2">
          <w:tblGrid>
            <w:gridCol w:w="843"/>
            <w:gridCol w:w="1981"/>
            <w:gridCol w:w="4824"/>
            <w:gridCol w:w="1640"/>
          </w:tblGrid>
        </w:tblGridChange>
      </w:tblGrid>
      <w:tr w14:paraId="2D9E6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3" w:type="dxa"/>
            <w:vAlign w:val="center"/>
          </w:tcPr>
          <w:p w14:paraId="484D90C1">
            <w:pPr>
              <w:tabs>
                <w:tab w:val="left" w:pos="1080"/>
              </w:tabs>
              <w:snapToGrid w:val="0"/>
              <w:jc w:val="center"/>
              <w:rPr>
                <w:b/>
                <w:sz w:val="24"/>
              </w:rPr>
            </w:pPr>
            <w:bookmarkStart w:id="734" w:name="_Hlt487972895"/>
            <w:bookmarkEnd w:id="734"/>
            <w:r>
              <w:rPr>
                <w:b/>
                <w:sz w:val="24"/>
              </w:rPr>
              <w:t>序号</w:t>
            </w:r>
          </w:p>
        </w:tc>
        <w:tc>
          <w:tcPr>
            <w:tcW w:w="1981" w:type="dxa"/>
            <w:vAlign w:val="center"/>
          </w:tcPr>
          <w:p w14:paraId="74EEB1B5">
            <w:pPr>
              <w:tabs>
                <w:tab w:val="left" w:pos="1080"/>
              </w:tabs>
              <w:snapToGrid w:val="0"/>
              <w:jc w:val="center"/>
              <w:rPr>
                <w:b/>
                <w:sz w:val="24"/>
              </w:rPr>
            </w:pPr>
            <w:r>
              <w:rPr>
                <w:b/>
                <w:sz w:val="24"/>
              </w:rPr>
              <w:t>审查因素</w:t>
            </w:r>
          </w:p>
        </w:tc>
        <w:tc>
          <w:tcPr>
            <w:tcW w:w="4824" w:type="dxa"/>
            <w:vAlign w:val="center"/>
          </w:tcPr>
          <w:p w14:paraId="7D412BF7">
            <w:pPr>
              <w:tabs>
                <w:tab w:val="left" w:pos="1080"/>
              </w:tabs>
              <w:snapToGrid w:val="0"/>
              <w:jc w:val="center"/>
              <w:rPr>
                <w:b/>
                <w:sz w:val="24"/>
              </w:rPr>
            </w:pPr>
            <w:r>
              <w:rPr>
                <w:b/>
                <w:sz w:val="24"/>
              </w:rPr>
              <w:t>审查内容</w:t>
            </w:r>
          </w:p>
        </w:tc>
        <w:tc>
          <w:tcPr>
            <w:tcW w:w="1640" w:type="dxa"/>
            <w:vAlign w:val="center"/>
          </w:tcPr>
          <w:p w14:paraId="0D49608F">
            <w:pPr>
              <w:tabs>
                <w:tab w:val="left" w:pos="1080"/>
              </w:tabs>
              <w:snapToGrid w:val="0"/>
              <w:jc w:val="center"/>
              <w:rPr>
                <w:b/>
                <w:sz w:val="24"/>
              </w:rPr>
            </w:pPr>
            <w:r>
              <w:rPr>
                <w:b/>
                <w:sz w:val="24"/>
              </w:rPr>
              <w:t>格式要求</w:t>
            </w:r>
          </w:p>
        </w:tc>
      </w:tr>
      <w:tr w14:paraId="3E840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232727F3">
            <w:pPr>
              <w:tabs>
                <w:tab w:val="left" w:pos="1080"/>
              </w:tabs>
              <w:snapToGrid w:val="0"/>
              <w:jc w:val="center"/>
              <w:rPr>
                <w:sz w:val="24"/>
              </w:rPr>
            </w:pPr>
            <w:r>
              <w:rPr>
                <w:sz w:val="24"/>
              </w:rPr>
              <w:t>1</w:t>
            </w:r>
          </w:p>
        </w:tc>
        <w:tc>
          <w:tcPr>
            <w:tcW w:w="1981" w:type="dxa"/>
            <w:vAlign w:val="center"/>
          </w:tcPr>
          <w:p w14:paraId="5E40F457">
            <w:pPr>
              <w:tabs>
                <w:tab w:val="left" w:pos="1080"/>
              </w:tabs>
              <w:snapToGrid w:val="0"/>
              <w:rPr>
                <w:sz w:val="24"/>
              </w:rPr>
            </w:pPr>
            <w:r>
              <w:rPr>
                <w:sz w:val="24"/>
              </w:rPr>
              <w:t>满足《中华人民共和国政府采购法》第二十二条规定及法律法规的其他规定</w:t>
            </w:r>
          </w:p>
        </w:tc>
        <w:tc>
          <w:tcPr>
            <w:tcW w:w="4824" w:type="dxa"/>
            <w:vAlign w:val="center"/>
          </w:tcPr>
          <w:p w14:paraId="609FB512">
            <w:pPr>
              <w:tabs>
                <w:tab w:val="left" w:pos="1080"/>
              </w:tabs>
              <w:snapToGrid w:val="0"/>
              <w:rPr>
                <w:sz w:val="24"/>
              </w:rPr>
            </w:pPr>
            <w:r>
              <w:rPr>
                <w:sz w:val="24"/>
              </w:rPr>
              <w:t>具体规定见第一章《投标邀请》</w:t>
            </w:r>
          </w:p>
        </w:tc>
        <w:tc>
          <w:tcPr>
            <w:tcW w:w="1640" w:type="dxa"/>
            <w:vAlign w:val="center"/>
          </w:tcPr>
          <w:p w14:paraId="6C70FB1F">
            <w:pPr>
              <w:tabs>
                <w:tab w:val="left" w:pos="1080"/>
              </w:tabs>
              <w:snapToGrid w:val="0"/>
              <w:rPr>
                <w:sz w:val="24"/>
              </w:rPr>
            </w:pPr>
          </w:p>
        </w:tc>
      </w:tr>
      <w:tr w14:paraId="142FE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02847C9B">
            <w:pPr>
              <w:tabs>
                <w:tab w:val="left" w:pos="1080"/>
              </w:tabs>
              <w:snapToGrid w:val="0"/>
              <w:jc w:val="center"/>
              <w:rPr>
                <w:sz w:val="24"/>
              </w:rPr>
            </w:pPr>
            <w:r>
              <w:rPr>
                <w:sz w:val="24"/>
              </w:rPr>
              <w:t>1-1</w:t>
            </w:r>
          </w:p>
        </w:tc>
        <w:tc>
          <w:tcPr>
            <w:tcW w:w="1981" w:type="dxa"/>
            <w:vAlign w:val="center"/>
          </w:tcPr>
          <w:p w14:paraId="793D63B4">
            <w:pPr>
              <w:tabs>
                <w:tab w:val="left" w:pos="1080"/>
              </w:tabs>
              <w:snapToGrid w:val="0"/>
              <w:rPr>
                <w:sz w:val="24"/>
              </w:rPr>
            </w:pPr>
            <w:r>
              <w:rPr>
                <w:sz w:val="24"/>
              </w:rPr>
              <w:t>营业执照等证明文件</w:t>
            </w:r>
          </w:p>
        </w:tc>
        <w:tc>
          <w:tcPr>
            <w:tcW w:w="4824" w:type="dxa"/>
            <w:vAlign w:val="center"/>
          </w:tcPr>
          <w:p w14:paraId="7ECD116A">
            <w:pPr>
              <w:tabs>
                <w:tab w:val="left" w:pos="1080"/>
              </w:tabs>
              <w:snapToGrid w:val="0"/>
              <w:rPr>
                <w:sz w:val="24"/>
              </w:rPr>
            </w:pPr>
            <w:r>
              <w:rPr>
                <w:sz w:val="24"/>
              </w:rPr>
              <w:t>投标人为企业（包括合伙企业） 的，应提供 有效的 “营业执照 ”；</w:t>
            </w:r>
          </w:p>
          <w:p w14:paraId="25E28985">
            <w:pPr>
              <w:tabs>
                <w:tab w:val="left" w:pos="1080"/>
              </w:tabs>
              <w:snapToGrid w:val="0"/>
              <w:rPr>
                <w:sz w:val="24"/>
              </w:rPr>
            </w:pPr>
            <w:r>
              <w:rPr>
                <w:sz w:val="24"/>
              </w:rPr>
              <w:t>投标人为事业单位的，应提供有效的 “事业单 位法人证书 ”；</w:t>
            </w:r>
          </w:p>
          <w:p w14:paraId="027107A7">
            <w:pPr>
              <w:tabs>
                <w:tab w:val="left" w:pos="1080"/>
              </w:tabs>
              <w:snapToGrid w:val="0"/>
              <w:rPr>
                <w:sz w:val="24"/>
              </w:rPr>
            </w:pPr>
            <w:r>
              <w:rPr>
                <w:sz w:val="24"/>
              </w:rPr>
              <w:t>投标人是非企业机构的，应提供有效的 “执业 许可证 ” 、“登记证书 ”等证明文件；</w:t>
            </w:r>
          </w:p>
          <w:p w14:paraId="476C1517">
            <w:pPr>
              <w:tabs>
                <w:tab w:val="left" w:pos="1080"/>
              </w:tabs>
              <w:snapToGrid w:val="0"/>
              <w:rPr>
                <w:sz w:val="24"/>
              </w:rPr>
            </w:pPr>
            <w:r>
              <w:rPr>
                <w:sz w:val="24"/>
              </w:rPr>
              <w:t>投标人是个体工商户的，应提供有效的 “个体 工商户营业执照 ”；</w:t>
            </w:r>
          </w:p>
          <w:p w14:paraId="4276A641">
            <w:pPr>
              <w:tabs>
                <w:tab w:val="left" w:pos="1080"/>
              </w:tabs>
              <w:snapToGrid w:val="0"/>
              <w:rPr>
                <w:sz w:val="24"/>
              </w:rPr>
            </w:pPr>
            <w:r>
              <w:rPr>
                <w:sz w:val="24"/>
              </w:rPr>
              <w:t>投标人是自然人的，应提供有效的自然人身 份证明。</w:t>
            </w:r>
          </w:p>
          <w:p w14:paraId="3419DF2A">
            <w:pPr>
              <w:tabs>
                <w:tab w:val="left" w:pos="1080"/>
              </w:tabs>
              <w:snapToGrid w:val="0"/>
              <w:rPr>
                <w:sz w:val="24"/>
              </w:rPr>
            </w:pPr>
            <w:r>
              <w:rPr>
                <w:sz w:val="24"/>
              </w:rPr>
              <w:t>分支机构参加投标的，应提供该分支机构或 其所属法人/其他组织的相应证明文件；同时 还应提供其所属法人/其他组织出具的授权 其参与本项目的授权书（格式自拟 ，须加盖 其所属法人/其他组织的公章）；对于银行 、 保险 、石油石化 、电力 、电信等行业的分支 机构 ，可以提供上述授权 ，也可以提供其所 属法人/其他组织的有关文件或制度等能够证明授权其独立开展业务的证明材料。</w:t>
            </w:r>
          </w:p>
        </w:tc>
        <w:tc>
          <w:tcPr>
            <w:tcW w:w="1640" w:type="dxa"/>
            <w:vAlign w:val="center"/>
          </w:tcPr>
          <w:p w14:paraId="498CCEC0">
            <w:pPr>
              <w:tabs>
                <w:tab w:val="left" w:pos="1080"/>
              </w:tabs>
              <w:snapToGrid w:val="0"/>
              <w:rPr>
                <w:sz w:val="24"/>
              </w:rPr>
            </w:pPr>
            <w:r>
              <w:rPr>
                <w:sz w:val="24"/>
              </w:rPr>
              <w:t>提供证明文件的电子件或电子证照</w:t>
            </w:r>
          </w:p>
        </w:tc>
      </w:tr>
      <w:tr w14:paraId="60B2B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6" w:hRule="atLeast"/>
        </w:trPr>
        <w:tc>
          <w:tcPr>
            <w:tcW w:w="843" w:type="dxa"/>
            <w:vAlign w:val="center"/>
          </w:tcPr>
          <w:p w14:paraId="55C5F0EB">
            <w:pPr>
              <w:tabs>
                <w:tab w:val="left" w:pos="1080"/>
              </w:tabs>
              <w:snapToGrid w:val="0"/>
              <w:jc w:val="center"/>
              <w:rPr>
                <w:sz w:val="24"/>
              </w:rPr>
            </w:pPr>
            <w:r>
              <w:rPr>
                <w:sz w:val="24"/>
              </w:rPr>
              <w:t>1-2</w:t>
            </w:r>
          </w:p>
        </w:tc>
        <w:tc>
          <w:tcPr>
            <w:tcW w:w="1981" w:type="dxa"/>
            <w:vAlign w:val="center"/>
          </w:tcPr>
          <w:p w14:paraId="2071B381">
            <w:pPr>
              <w:tabs>
                <w:tab w:val="left" w:pos="1080"/>
              </w:tabs>
              <w:snapToGrid w:val="0"/>
              <w:rPr>
                <w:sz w:val="24"/>
              </w:rPr>
            </w:pPr>
            <w:r>
              <w:rPr>
                <w:sz w:val="24"/>
              </w:rPr>
              <w:t>投标人资格声明书</w:t>
            </w:r>
          </w:p>
        </w:tc>
        <w:tc>
          <w:tcPr>
            <w:tcW w:w="4824" w:type="dxa"/>
            <w:vAlign w:val="center"/>
          </w:tcPr>
          <w:p w14:paraId="0D96B9EC">
            <w:pPr>
              <w:tabs>
                <w:tab w:val="left" w:pos="1080"/>
              </w:tabs>
              <w:snapToGrid w:val="0"/>
              <w:rPr>
                <w:sz w:val="24"/>
              </w:rPr>
            </w:pPr>
            <w:r>
              <w:rPr>
                <w:sz w:val="24"/>
              </w:rPr>
              <w:t>提供了符合招标文件要求的《投标人资格声明书》。</w:t>
            </w:r>
          </w:p>
        </w:tc>
        <w:tc>
          <w:tcPr>
            <w:tcW w:w="1640" w:type="dxa"/>
            <w:vAlign w:val="center"/>
          </w:tcPr>
          <w:p w14:paraId="18867719">
            <w:pPr>
              <w:tabs>
                <w:tab w:val="left" w:pos="1080"/>
              </w:tabs>
              <w:snapToGrid w:val="0"/>
              <w:rPr>
                <w:sz w:val="24"/>
              </w:rPr>
            </w:pPr>
            <w:r>
              <w:rPr>
                <w:sz w:val="24"/>
              </w:rPr>
              <w:t>格式见《投标文件格式》</w:t>
            </w:r>
          </w:p>
        </w:tc>
      </w:tr>
      <w:tr w14:paraId="649E2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3CBB8FFA">
            <w:pPr>
              <w:tabs>
                <w:tab w:val="left" w:pos="1080"/>
              </w:tabs>
              <w:snapToGrid w:val="0"/>
              <w:jc w:val="center"/>
              <w:rPr>
                <w:sz w:val="24"/>
              </w:rPr>
            </w:pPr>
            <w:r>
              <w:rPr>
                <w:rFonts w:hint="eastAsia"/>
                <w:sz w:val="24"/>
              </w:rPr>
              <w:t>1-</w:t>
            </w:r>
            <w:r>
              <w:rPr>
                <w:sz w:val="24"/>
              </w:rPr>
              <w:t>3</w:t>
            </w:r>
          </w:p>
        </w:tc>
        <w:tc>
          <w:tcPr>
            <w:tcW w:w="1981" w:type="dxa"/>
            <w:vAlign w:val="center"/>
          </w:tcPr>
          <w:p w14:paraId="07921B70">
            <w:pPr>
              <w:tabs>
                <w:tab w:val="left" w:pos="1080"/>
              </w:tabs>
              <w:snapToGrid w:val="0"/>
              <w:rPr>
                <w:sz w:val="24"/>
              </w:rPr>
            </w:pPr>
            <w:r>
              <w:rPr>
                <w:sz w:val="24"/>
              </w:rPr>
              <w:t>投标人信用记录</w:t>
            </w:r>
          </w:p>
        </w:tc>
        <w:tc>
          <w:tcPr>
            <w:tcW w:w="4824" w:type="dxa"/>
            <w:vAlign w:val="center"/>
          </w:tcPr>
          <w:p w14:paraId="5570227F">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30A820AE">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14:paraId="32AE4EA2">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540D280B">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1640" w:type="dxa"/>
            <w:vAlign w:val="center"/>
          </w:tcPr>
          <w:p w14:paraId="573F2506">
            <w:pPr>
              <w:tabs>
                <w:tab w:val="left" w:pos="1080"/>
              </w:tabs>
              <w:snapToGrid w:val="0"/>
              <w:rPr>
                <w:sz w:val="24"/>
              </w:rPr>
            </w:pPr>
            <w:r>
              <w:rPr>
                <w:sz w:val="24"/>
              </w:rPr>
              <w:t>无须投标人提供，由采购人或采购代理机构查询。</w:t>
            </w:r>
          </w:p>
        </w:tc>
      </w:tr>
      <w:tr w14:paraId="09CA4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717B996F">
            <w:pPr>
              <w:tabs>
                <w:tab w:val="left" w:pos="1080"/>
              </w:tabs>
              <w:snapToGrid w:val="0"/>
              <w:jc w:val="center"/>
              <w:rPr>
                <w:sz w:val="24"/>
              </w:rPr>
            </w:pPr>
            <w:r>
              <w:rPr>
                <w:rFonts w:hint="eastAsia"/>
                <w:sz w:val="24"/>
              </w:rPr>
              <w:t>1-4</w:t>
            </w:r>
          </w:p>
        </w:tc>
        <w:tc>
          <w:tcPr>
            <w:tcW w:w="1981" w:type="dxa"/>
            <w:vAlign w:val="center"/>
          </w:tcPr>
          <w:p w14:paraId="3B9CF9B4">
            <w:pPr>
              <w:tabs>
                <w:tab w:val="left" w:pos="1080"/>
              </w:tabs>
              <w:snapToGrid w:val="0"/>
              <w:rPr>
                <w:sz w:val="24"/>
              </w:rPr>
            </w:pPr>
            <w:r>
              <w:rPr>
                <w:rFonts w:ascii="宋体" w:hAnsi="宋体" w:cs="宋体"/>
                <w:spacing w:val="10"/>
                <w:sz w:val="24"/>
              </w:rPr>
              <w:t>法律、行政法规</w:t>
            </w:r>
            <w:r>
              <w:rPr>
                <w:rFonts w:ascii="宋体" w:hAnsi="宋体" w:cs="宋体"/>
                <w:spacing w:val="5"/>
                <w:sz w:val="24"/>
              </w:rPr>
              <w:t xml:space="preserve"> </w:t>
            </w:r>
            <w:r>
              <w:rPr>
                <w:rFonts w:ascii="宋体" w:hAnsi="宋体" w:cs="宋体"/>
                <w:spacing w:val="-2"/>
                <w:sz w:val="24"/>
              </w:rPr>
              <w:t>规定的其他条件</w:t>
            </w:r>
          </w:p>
        </w:tc>
        <w:tc>
          <w:tcPr>
            <w:tcW w:w="4824" w:type="dxa"/>
            <w:vAlign w:val="center"/>
          </w:tcPr>
          <w:p w14:paraId="42E79E43">
            <w:pPr>
              <w:tabs>
                <w:tab w:val="left" w:pos="1080"/>
              </w:tabs>
              <w:snapToGrid w:val="0"/>
              <w:rPr>
                <w:sz w:val="24"/>
              </w:rPr>
            </w:pPr>
            <w:r>
              <w:rPr>
                <w:rFonts w:ascii="宋体" w:hAnsi="宋体" w:cs="宋体"/>
                <w:spacing w:val="-1"/>
                <w:sz w:val="24"/>
              </w:rPr>
              <w:t>法律、行政法规规定的其他条件</w:t>
            </w:r>
          </w:p>
        </w:tc>
        <w:tc>
          <w:tcPr>
            <w:tcW w:w="1640" w:type="dxa"/>
            <w:vAlign w:val="center"/>
          </w:tcPr>
          <w:p w14:paraId="311D34B1">
            <w:pPr>
              <w:tabs>
                <w:tab w:val="left" w:pos="1080"/>
              </w:tabs>
              <w:snapToGrid w:val="0"/>
              <w:rPr>
                <w:sz w:val="24"/>
              </w:rPr>
            </w:pPr>
            <w:r>
              <w:rPr>
                <w:spacing w:val="14"/>
                <w:sz w:val="24"/>
              </w:rPr>
              <w:t>/</w:t>
            </w:r>
          </w:p>
        </w:tc>
      </w:tr>
      <w:tr w14:paraId="6041A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178E3FB3">
            <w:pPr>
              <w:tabs>
                <w:tab w:val="left" w:pos="1080"/>
              </w:tabs>
              <w:snapToGrid w:val="0"/>
              <w:jc w:val="center"/>
              <w:rPr>
                <w:sz w:val="24"/>
              </w:rPr>
            </w:pPr>
            <w:r>
              <w:rPr>
                <w:sz w:val="24"/>
              </w:rPr>
              <w:t>2</w:t>
            </w:r>
          </w:p>
        </w:tc>
        <w:tc>
          <w:tcPr>
            <w:tcW w:w="1981" w:type="dxa"/>
            <w:vAlign w:val="center"/>
          </w:tcPr>
          <w:p w14:paraId="20B13852">
            <w:pPr>
              <w:tabs>
                <w:tab w:val="left" w:pos="1080"/>
              </w:tabs>
              <w:snapToGrid w:val="0"/>
              <w:rPr>
                <w:sz w:val="24"/>
              </w:rPr>
            </w:pPr>
            <w:r>
              <w:rPr>
                <w:sz w:val="24"/>
              </w:rPr>
              <w:t>落实政府采购政策需满足的资格要求</w:t>
            </w:r>
          </w:p>
        </w:tc>
        <w:tc>
          <w:tcPr>
            <w:tcW w:w="4824" w:type="dxa"/>
            <w:vAlign w:val="center"/>
          </w:tcPr>
          <w:p w14:paraId="189E7991">
            <w:pPr>
              <w:tabs>
                <w:tab w:val="left" w:pos="1080"/>
              </w:tabs>
              <w:snapToGrid w:val="0"/>
              <w:rPr>
                <w:sz w:val="24"/>
              </w:rPr>
            </w:pPr>
            <w:r>
              <w:rPr>
                <w:sz w:val="24"/>
              </w:rPr>
              <w:t>具体要求见第一章《投标邀请》</w:t>
            </w:r>
          </w:p>
        </w:tc>
        <w:tc>
          <w:tcPr>
            <w:tcW w:w="1640" w:type="dxa"/>
            <w:vAlign w:val="center"/>
          </w:tcPr>
          <w:p w14:paraId="347E6DB9">
            <w:pPr>
              <w:tabs>
                <w:tab w:val="left" w:pos="1080"/>
              </w:tabs>
              <w:snapToGrid w:val="0"/>
              <w:rPr>
                <w:sz w:val="24"/>
              </w:rPr>
            </w:pPr>
          </w:p>
        </w:tc>
      </w:tr>
      <w:tr w14:paraId="1F95E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4FDDCB88">
            <w:pPr>
              <w:tabs>
                <w:tab w:val="left" w:pos="1080"/>
              </w:tabs>
              <w:snapToGrid w:val="0"/>
              <w:jc w:val="center"/>
              <w:rPr>
                <w:sz w:val="24"/>
              </w:rPr>
            </w:pPr>
            <w:r>
              <w:rPr>
                <w:sz w:val="24"/>
              </w:rPr>
              <w:t>2-1</w:t>
            </w:r>
          </w:p>
        </w:tc>
        <w:tc>
          <w:tcPr>
            <w:tcW w:w="1981" w:type="dxa"/>
            <w:vAlign w:val="center"/>
          </w:tcPr>
          <w:p w14:paraId="2443E32D">
            <w:pPr>
              <w:tabs>
                <w:tab w:val="left" w:pos="1080"/>
              </w:tabs>
              <w:snapToGrid w:val="0"/>
              <w:rPr>
                <w:sz w:val="24"/>
              </w:rPr>
            </w:pPr>
            <w:r>
              <w:rPr>
                <w:sz w:val="24"/>
              </w:rPr>
              <w:t>中小企业声明函</w:t>
            </w:r>
            <w:r>
              <w:rPr>
                <w:rFonts w:hint="eastAsia"/>
                <w:sz w:val="24"/>
              </w:rPr>
              <w:t>（本项目不适用）</w:t>
            </w:r>
          </w:p>
        </w:tc>
        <w:tc>
          <w:tcPr>
            <w:tcW w:w="4824" w:type="dxa"/>
            <w:vAlign w:val="center"/>
          </w:tcPr>
          <w:p w14:paraId="504404EA">
            <w:pPr>
              <w:tabs>
                <w:tab w:val="left" w:pos="900"/>
                <w:tab w:val="left" w:pos="1980"/>
              </w:tabs>
              <w:snapToGrid w:val="0"/>
              <w:rPr>
                <w:sz w:val="24"/>
              </w:rPr>
            </w:pPr>
            <w:r>
              <w:rPr>
                <w:sz w:val="24"/>
              </w:rPr>
              <w:t>当本项目（包）涉及预留份额专门面向中小 企业采购，此时建议在《资格证明文件》 中 提供。</w:t>
            </w:r>
          </w:p>
          <w:p w14:paraId="78B5340D">
            <w:pPr>
              <w:tabs>
                <w:tab w:val="left" w:pos="900"/>
                <w:tab w:val="left" w:pos="1980"/>
              </w:tabs>
              <w:snapToGrid w:val="0"/>
              <w:rPr>
                <w:sz w:val="24"/>
              </w:rPr>
            </w:pPr>
            <w:r>
              <w:rPr>
                <w:sz w:val="24"/>
              </w:rPr>
              <w:t>1、投标人单独投标的，应提供《中小企业声 明函》或《残疾人福利性单位声明函》或由 省级以上监狱管理局 、戒毒管理局（含</w:t>
            </w:r>
            <w:r>
              <w:rPr>
                <w:rFonts w:hint="eastAsia"/>
                <w:sz w:val="24"/>
                <w:lang w:eastAsia="zh-CN"/>
              </w:rPr>
              <w:t>新疆生产建设兵团</w:t>
            </w:r>
            <w:r>
              <w:rPr>
                <w:sz w:val="24"/>
              </w:rPr>
              <w:t>）出具的属于监狱企业的证明 文件。</w:t>
            </w:r>
          </w:p>
          <w:p w14:paraId="45A85028">
            <w:pPr>
              <w:tabs>
                <w:tab w:val="left" w:pos="900"/>
                <w:tab w:val="left" w:pos="1980"/>
              </w:tabs>
              <w:snapToGrid w:val="0"/>
              <w:rPr>
                <w:sz w:val="24"/>
              </w:rPr>
            </w:pPr>
            <w:r>
              <w:rPr>
                <w:sz w:val="24"/>
              </w:rPr>
              <w:t>2、如招标文件要求以联合体形式参加或者要 求合同分包的，且投标人为联合体或拟进行 合同分包的，则联合体中的中小企业 、签订 分包意向协议的中小企业具体情况须在《中 小企业声明函》或《残疾人福利性单位声明 函》或由省级以上监狱管理局 、戒毒管理局（含新疆生产建设兵团）出具的属于监狱企 业的证明文件中如实填报，且满足招标文件 关于预留份额的要求。</w:t>
            </w:r>
          </w:p>
        </w:tc>
        <w:tc>
          <w:tcPr>
            <w:tcW w:w="1640" w:type="dxa"/>
            <w:vAlign w:val="center"/>
          </w:tcPr>
          <w:p w14:paraId="0A91CEBF">
            <w:pPr>
              <w:tabs>
                <w:tab w:val="left" w:pos="1080"/>
              </w:tabs>
              <w:snapToGrid w:val="0"/>
              <w:rPr>
                <w:sz w:val="24"/>
              </w:rPr>
            </w:pPr>
            <w:r>
              <w:rPr>
                <w:sz w:val="24"/>
              </w:rPr>
              <w:t>格式见《投标文件格式》</w:t>
            </w:r>
          </w:p>
        </w:tc>
      </w:tr>
      <w:tr w14:paraId="7708D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641F6CBB">
            <w:pPr>
              <w:tabs>
                <w:tab w:val="left" w:pos="1080"/>
              </w:tabs>
              <w:snapToGrid w:val="0"/>
              <w:jc w:val="center"/>
              <w:rPr>
                <w:sz w:val="24"/>
              </w:rPr>
            </w:pPr>
            <w:r>
              <w:rPr>
                <w:sz w:val="24"/>
              </w:rPr>
              <w:t>2-2</w:t>
            </w:r>
          </w:p>
        </w:tc>
        <w:tc>
          <w:tcPr>
            <w:tcW w:w="1981" w:type="dxa"/>
            <w:vAlign w:val="center"/>
          </w:tcPr>
          <w:p w14:paraId="7FB43BC0">
            <w:pPr>
              <w:tabs>
                <w:tab w:val="left" w:pos="1080"/>
              </w:tabs>
              <w:snapToGrid w:val="0"/>
              <w:rPr>
                <w:sz w:val="24"/>
              </w:rPr>
            </w:pPr>
            <w:r>
              <w:rPr>
                <w:sz w:val="24"/>
              </w:rPr>
              <w:t>拟分包情况说明及分包意向协议（类型一）</w:t>
            </w:r>
            <w:r>
              <w:rPr>
                <w:rFonts w:hint="eastAsia"/>
                <w:sz w:val="24"/>
              </w:rPr>
              <w:t>（本项目不适用）</w:t>
            </w:r>
          </w:p>
        </w:tc>
        <w:tc>
          <w:tcPr>
            <w:tcW w:w="4824" w:type="dxa"/>
            <w:vAlign w:val="center"/>
          </w:tcPr>
          <w:p w14:paraId="59BEC050">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16DB0C83">
            <w:pPr>
              <w:tabs>
                <w:tab w:val="left" w:pos="1080"/>
              </w:tabs>
              <w:snapToGrid w:val="0"/>
              <w:rPr>
                <w:sz w:val="24"/>
              </w:rPr>
            </w:pPr>
            <w:r>
              <w:rPr>
                <w:sz w:val="24"/>
              </w:rPr>
              <w:t>对于预留份额专门面向中小企业采购的项目（包），组成联合体或者接受分包合同的中小企业与联合体内其他企业、分包企业之间不得存在直接控股、管理关系。</w:t>
            </w:r>
          </w:p>
        </w:tc>
        <w:tc>
          <w:tcPr>
            <w:tcW w:w="1640" w:type="dxa"/>
            <w:vAlign w:val="center"/>
          </w:tcPr>
          <w:p w14:paraId="344DEDC6">
            <w:pPr>
              <w:tabs>
                <w:tab w:val="left" w:pos="1080"/>
              </w:tabs>
              <w:snapToGrid w:val="0"/>
              <w:rPr>
                <w:sz w:val="24"/>
              </w:rPr>
            </w:pPr>
            <w:r>
              <w:rPr>
                <w:sz w:val="24"/>
              </w:rPr>
              <w:t>格式见《投标文件格式》</w:t>
            </w:r>
          </w:p>
        </w:tc>
      </w:tr>
      <w:tr w14:paraId="7C4A6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 w:author="匕鬯不惊" w:date="2025-06-26T14:31:0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cantSplit/>
          <w:trHeight w:val="956" w:hRule="atLeast"/>
          <w:trPrChange w:id="3" w:author="匕鬯不惊" w:date="2025-06-26T14:31:00Z">
            <w:trPr>
              <w:cantSplit/>
              <w:trHeight w:val="468" w:hRule="atLeast"/>
            </w:trPr>
          </w:trPrChange>
        </w:trPr>
        <w:tc>
          <w:tcPr>
            <w:tcW w:w="843" w:type="dxa"/>
            <w:vAlign w:val="center"/>
            <w:tcPrChange w:id="4" w:author="匕鬯不惊" w:date="2025-06-26T14:31:00Z">
              <w:tcPr>
                <w:tcW w:w="843" w:type="dxa"/>
                <w:vAlign w:val="center"/>
              </w:tcPr>
            </w:tcPrChange>
          </w:tcPr>
          <w:p w14:paraId="7D3E1E25">
            <w:pPr>
              <w:tabs>
                <w:tab w:val="left" w:pos="1080"/>
              </w:tabs>
              <w:snapToGrid w:val="0"/>
              <w:jc w:val="center"/>
              <w:rPr>
                <w:sz w:val="24"/>
              </w:rPr>
            </w:pPr>
            <w:r>
              <w:rPr>
                <w:sz w:val="24"/>
              </w:rPr>
              <w:t>2-3</w:t>
            </w:r>
          </w:p>
        </w:tc>
        <w:tc>
          <w:tcPr>
            <w:tcW w:w="1981" w:type="dxa"/>
            <w:vAlign w:val="center"/>
            <w:tcPrChange w:id="5" w:author="匕鬯不惊" w:date="2025-06-26T14:31:00Z">
              <w:tcPr>
                <w:tcW w:w="1981" w:type="dxa"/>
                <w:vAlign w:val="center"/>
              </w:tcPr>
            </w:tcPrChange>
          </w:tcPr>
          <w:p w14:paraId="7113751E">
            <w:pPr>
              <w:tabs>
                <w:tab w:val="left" w:pos="1080"/>
              </w:tabs>
              <w:snapToGrid w:val="0"/>
              <w:rPr>
                <w:sz w:val="24"/>
              </w:rPr>
            </w:pPr>
            <w:r>
              <w:rPr>
                <w:sz w:val="24"/>
              </w:rPr>
              <w:t>其它落实政府采购政策的资格要求</w:t>
            </w:r>
          </w:p>
        </w:tc>
        <w:tc>
          <w:tcPr>
            <w:tcW w:w="4824" w:type="dxa"/>
            <w:vAlign w:val="center"/>
            <w:tcPrChange w:id="6" w:author="匕鬯不惊" w:date="2025-06-26T14:31:00Z">
              <w:tcPr>
                <w:tcW w:w="4824" w:type="dxa"/>
                <w:vAlign w:val="center"/>
              </w:tcPr>
            </w:tcPrChange>
          </w:tcPr>
          <w:p w14:paraId="3595C9E7">
            <w:pPr>
              <w:tabs>
                <w:tab w:val="left" w:pos="1080"/>
              </w:tabs>
              <w:snapToGrid w:val="0"/>
              <w:rPr>
                <w:sz w:val="24"/>
              </w:rPr>
            </w:pPr>
            <w:r>
              <w:rPr>
                <w:sz w:val="24"/>
              </w:rPr>
              <w:t>如有，见第一章《投标邀请》</w:t>
            </w:r>
          </w:p>
        </w:tc>
        <w:tc>
          <w:tcPr>
            <w:tcW w:w="1640" w:type="dxa"/>
            <w:vAlign w:val="center"/>
            <w:tcPrChange w:id="7" w:author="匕鬯不惊" w:date="2025-06-26T14:31:00Z">
              <w:tcPr>
                <w:tcW w:w="1640" w:type="dxa"/>
                <w:vAlign w:val="center"/>
              </w:tcPr>
            </w:tcPrChange>
          </w:tcPr>
          <w:p w14:paraId="047F33ED">
            <w:pPr>
              <w:tabs>
                <w:tab w:val="left" w:pos="1080"/>
              </w:tabs>
              <w:snapToGrid w:val="0"/>
              <w:rPr>
                <w:sz w:val="24"/>
              </w:rPr>
            </w:pPr>
            <w:r>
              <w:rPr>
                <w:sz w:val="24"/>
              </w:rPr>
              <w:t>提供证明文件的电子件或电子证照</w:t>
            </w:r>
          </w:p>
        </w:tc>
      </w:tr>
      <w:tr w14:paraId="443D1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center"/>
          </w:tcPr>
          <w:p w14:paraId="1B72404E">
            <w:pPr>
              <w:tabs>
                <w:tab w:val="left" w:pos="1080"/>
              </w:tabs>
              <w:snapToGrid w:val="0"/>
              <w:jc w:val="center"/>
              <w:rPr>
                <w:sz w:val="24"/>
              </w:rPr>
            </w:pPr>
            <w:r>
              <w:rPr>
                <w:sz w:val="24"/>
              </w:rPr>
              <w:t>3</w:t>
            </w:r>
          </w:p>
        </w:tc>
        <w:tc>
          <w:tcPr>
            <w:tcW w:w="1981" w:type="dxa"/>
            <w:vAlign w:val="center"/>
          </w:tcPr>
          <w:p w14:paraId="1872014F">
            <w:pPr>
              <w:tabs>
                <w:tab w:val="left" w:pos="1080"/>
              </w:tabs>
              <w:snapToGrid w:val="0"/>
              <w:rPr>
                <w:sz w:val="24"/>
              </w:rPr>
            </w:pPr>
            <w:r>
              <w:rPr>
                <w:sz w:val="24"/>
              </w:rPr>
              <w:t>本项目的特定资格要求</w:t>
            </w:r>
          </w:p>
        </w:tc>
        <w:tc>
          <w:tcPr>
            <w:tcW w:w="4824" w:type="dxa"/>
            <w:vAlign w:val="center"/>
          </w:tcPr>
          <w:p w14:paraId="13F64188">
            <w:pPr>
              <w:tabs>
                <w:tab w:val="left" w:pos="1080"/>
              </w:tabs>
              <w:snapToGrid w:val="0"/>
              <w:rPr>
                <w:sz w:val="24"/>
              </w:rPr>
            </w:pPr>
            <w:r>
              <w:rPr>
                <w:sz w:val="24"/>
              </w:rPr>
              <w:t>如有，见第一章《投标邀请》</w:t>
            </w:r>
          </w:p>
        </w:tc>
        <w:tc>
          <w:tcPr>
            <w:tcW w:w="1640" w:type="dxa"/>
            <w:vAlign w:val="center"/>
          </w:tcPr>
          <w:p w14:paraId="07D0F1F1">
            <w:pPr>
              <w:tabs>
                <w:tab w:val="left" w:pos="1080"/>
              </w:tabs>
              <w:snapToGrid w:val="0"/>
              <w:rPr>
                <w:sz w:val="24"/>
              </w:rPr>
            </w:pPr>
          </w:p>
        </w:tc>
      </w:tr>
      <w:tr w14:paraId="6842A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3" w:type="dxa"/>
            <w:vAlign w:val="center"/>
          </w:tcPr>
          <w:p w14:paraId="267AABD5">
            <w:pPr>
              <w:tabs>
                <w:tab w:val="left" w:pos="1080"/>
              </w:tabs>
              <w:snapToGrid w:val="0"/>
              <w:jc w:val="center"/>
              <w:rPr>
                <w:sz w:val="24"/>
              </w:rPr>
            </w:pPr>
            <w:r>
              <w:rPr>
                <w:sz w:val="24"/>
              </w:rPr>
              <w:t>3-1</w:t>
            </w:r>
          </w:p>
        </w:tc>
        <w:tc>
          <w:tcPr>
            <w:tcW w:w="1981" w:type="dxa"/>
            <w:vAlign w:val="center"/>
          </w:tcPr>
          <w:p w14:paraId="072BFBEC">
            <w:pPr>
              <w:tabs>
                <w:tab w:val="left" w:pos="1080"/>
              </w:tabs>
              <w:snapToGrid w:val="0"/>
              <w:rPr>
                <w:sz w:val="24"/>
              </w:rPr>
            </w:pPr>
            <w:r>
              <w:rPr>
                <w:sz w:val="24"/>
              </w:rPr>
              <w:t>是否接受联合体投标</w:t>
            </w:r>
            <w:r>
              <w:rPr>
                <w:rFonts w:hint="eastAsia"/>
                <w:sz w:val="24"/>
              </w:rPr>
              <w:t>（本项目不适用）</w:t>
            </w:r>
          </w:p>
        </w:tc>
        <w:tc>
          <w:tcPr>
            <w:tcW w:w="4824" w:type="dxa"/>
            <w:vAlign w:val="center"/>
          </w:tcPr>
          <w:p w14:paraId="5BB975CD">
            <w:pPr>
              <w:tabs>
                <w:tab w:val="left" w:pos="1080"/>
              </w:tabs>
              <w:snapToGrid w:val="0"/>
              <w:rPr>
                <w:sz w:val="24"/>
              </w:rPr>
            </w:pPr>
            <w:r>
              <w:rPr>
                <w:sz w:val="24"/>
              </w:rPr>
              <w:t>1、如本项目接受联合体投标，且投标人为联 合体时必须提供《联合协议》，明确各方拟承 担的工作和责任 ，并指定联合体牵头人 ，授 权其代表所有联合体成员负责本项目投标和 合同实施阶段的牵头 、协调工作 。该联合协 议应当作为投标文件的组成部分 ，与投标文 件其他内容同时递交。</w:t>
            </w:r>
          </w:p>
          <w:p w14:paraId="5DA8F501">
            <w:pPr>
              <w:tabs>
                <w:tab w:val="left" w:pos="1080"/>
              </w:tabs>
              <w:snapToGrid w:val="0"/>
              <w:rPr>
                <w:sz w:val="24"/>
              </w:rPr>
            </w:pPr>
            <w:r>
              <w:rPr>
                <w:sz w:val="24"/>
              </w:rPr>
              <w:t>2、联合体各成员单位均须提供本表中序号 1-1、1-2 的证明文件。联合体各成员单位均 应满足本表 3-2 项规定。</w:t>
            </w:r>
          </w:p>
          <w:p w14:paraId="5B86DB37">
            <w:pPr>
              <w:tabs>
                <w:tab w:val="left" w:pos="1080"/>
              </w:tabs>
              <w:snapToGrid w:val="0"/>
              <w:rPr>
                <w:sz w:val="24"/>
              </w:rPr>
            </w:pPr>
            <w:r>
              <w:rPr>
                <w:sz w:val="24"/>
              </w:rPr>
              <w:t>3、本表序号 3-3 项规定的其他特定资格要 求中的每一小项要求 ，联合体各方中至少应 当有一方符合本表中其他资格要求并提供证 明文件。</w:t>
            </w:r>
          </w:p>
          <w:p w14:paraId="27217B5A">
            <w:pPr>
              <w:tabs>
                <w:tab w:val="left" w:pos="1080"/>
              </w:tabs>
              <w:snapToGrid w:val="0"/>
              <w:rPr>
                <w:sz w:val="24"/>
              </w:rPr>
            </w:pPr>
            <w:r>
              <w:rPr>
                <w:sz w:val="24"/>
              </w:rPr>
              <w:t>4、联合体中有同类资质的供应商按照联合体 分工承担相同工作的，应当按照资质等级较 低的供应商确定资质等级。</w:t>
            </w:r>
          </w:p>
          <w:p w14:paraId="21B773F7">
            <w:pPr>
              <w:tabs>
                <w:tab w:val="left" w:pos="1080"/>
              </w:tabs>
              <w:snapToGrid w:val="0"/>
              <w:rPr>
                <w:sz w:val="24"/>
              </w:rPr>
            </w:pPr>
            <w:r>
              <w:rPr>
                <w:sz w:val="24"/>
              </w:rPr>
              <w:t>5、以联合体形式参加政府采购活动的，联合 体各方不得再单独参加或者与其他供应商另 外组成联合体参加同一合同项下的政府采购 活动。</w:t>
            </w:r>
          </w:p>
          <w:p w14:paraId="1D34AD37">
            <w:pPr>
              <w:tabs>
                <w:tab w:val="left" w:pos="1080"/>
              </w:tabs>
              <w:snapToGrid w:val="0"/>
              <w:rPr>
                <w:sz w:val="24"/>
              </w:rPr>
            </w:pPr>
            <w:r>
              <w:rPr>
                <w:sz w:val="24"/>
              </w:rPr>
              <w:t>6、若联合体中任一成员单位中途退出，则该联合体的</w:t>
            </w:r>
            <w:r>
              <w:rPr>
                <w:b/>
                <w:bCs/>
                <w:sz w:val="24"/>
              </w:rPr>
              <w:t>投标无效</w:t>
            </w:r>
            <w:r>
              <w:rPr>
                <w:sz w:val="24"/>
              </w:rPr>
              <w:t>。</w:t>
            </w:r>
          </w:p>
          <w:p w14:paraId="0D44BE91">
            <w:pPr>
              <w:tabs>
                <w:tab w:val="left" w:pos="1080"/>
              </w:tabs>
              <w:snapToGrid w:val="0"/>
              <w:rPr>
                <w:sz w:val="24"/>
              </w:rPr>
            </w:pPr>
            <w:r>
              <w:rPr>
                <w:sz w:val="24"/>
              </w:rPr>
              <w:t>7、本项目不接受联合体投标</w:t>
            </w:r>
            <w:r>
              <w:rPr>
                <w:rFonts w:hint="eastAsia"/>
                <w:sz w:val="24"/>
              </w:rPr>
              <w:t>时</w:t>
            </w:r>
            <w:r>
              <w:rPr>
                <w:sz w:val="24"/>
              </w:rPr>
              <w:t>，</w:t>
            </w:r>
            <w:r>
              <w:rPr>
                <w:rFonts w:hint="eastAsia"/>
                <w:sz w:val="24"/>
              </w:rPr>
              <w:t>投标人不得为联合体</w:t>
            </w:r>
            <w:r>
              <w:rPr>
                <w:sz w:val="24"/>
              </w:rPr>
              <w:t>。</w:t>
            </w:r>
          </w:p>
        </w:tc>
        <w:tc>
          <w:tcPr>
            <w:tcW w:w="1640" w:type="dxa"/>
            <w:vAlign w:val="center"/>
          </w:tcPr>
          <w:p w14:paraId="2E9396DD">
            <w:pPr>
              <w:tabs>
                <w:tab w:val="left" w:pos="1080"/>
              </w:tabs>
              <w:snapToGrid w:val="0"/>
              <w:rPr>
                <w:sz w:val="24"/>
              </w:rPr>
            </w:pPr>
            <w:r>
              <w:rPr>
                <w:sz w:val="24"/>
              </w:rPr>
              <w:t>提供《联合协议》</w:t>
            </w:r>
            <w:r>
              <w:rPr>
                <w:rFonts w:hint="eastAsia"/>
                <w:sz w:val="24"/>
              </w:rPr>
              <w:t>原</w:t>
            </w:r>
            <w:r>
              <w:rPr>
                <w:sz w:val="24"/>
              </w:rPr>
              <w:t>件的电子件</w:t>
            </w:r>
          </w:p>
          <w:p w14:paraId="5E6362C1">
            <w:pPr>
              <w:tabs>
                <w:tab w:val="left" w:pos="1080"/>
              </w:tabs>
              <w:snapToGrid w:val="0"/>
              <w:rPr>
                <w:sz w:val="24"/>
              </w:rPr>
            </w:pPr>
            <w:r>
              <w:rPr>
                <w:sz w:val="24"/>
              </w:rPr>
              <w:t>格式见《投标文件格式》</w:t>
            </w:r>
          </w:p>
        </w:tc>
      </w:tr>
      <w:tr w14:paraId="145C8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3" w:type="dxa"/>
            <w:vAlign w:val="center"/>
          </w:tcPr>
          <w:p w14:paraId="4A7ADA9A">
            <w:pPr>
              <w:tabs>
                <w:tab w:val="left" w:pos="1080"/>
              </w:tabs>
              <w:snapToGrid w:val="0"/>
              <w:jc w:val="center"/>
              <w:rPr>
                <w:sz w:val="24"/>
              </w:rPr>
            </w:pPr>
            <w:bookmarkStart w:id="735" w:name="_Toc353825550"/>
            <w:bookmarkStart w:id="736" w:name="_Toc353873940"/>
            <w:bookmarkStart w:id="737" w:name="_Toc127161490"/>
            <w:bookmarkStart w:id="738" w:name="_Toc226965858"/>
            <w:bookmarkStart w:id="739" w:name="_Toc127151779"/>
            <w:r>
              <w:rPr>
                <w:rFonts w:hint="eastAsia"/>
                <w:sz w:val="24"/>
              </w:rPr>
              <w:t>3-2</w:t>
            </w:r>
          </w:p>
        </w:tc>
        <w:tc>
          <w:tcPr>
            <w:tcW w:w="1981" w:type="dxa"/>
            <w:vAlign w:val="center"/>
          </w:tcPr>
          <w:p w14:paraId="604CE601">
            <w:pPr>
              <w:tabs>
                <w:tab w:val="left" w:pos="1080"/>
              </w:tabs>
              <w:snapToGrid w:val="0"/>
              <w:rPr>
                <w:sz w:val="24"/>
              </w:rPr>
            </w:pPr>
            <w:r>
              <w:rPr>
                <w:sz w:val="24"/>
              </w:rPr>
              <w:t>政府购买服务承 接主体的要求</w:t>
            </w:r>
          </w:p>
        </w:tc>
        <w:tc>
          <w:tcPr>
            <w:tcW w:w="4824" w:type="dxa"/>
            <w:vAlign w:val="center"/>
          </w:tcPr>
          <w:p w14:paraId="5766216A">
            <w:pPr>
              <w:tabs>
                <w:tab w:val="left" w:pos="1080"/>
              </w:tabs>
              <w:snapToGrid w:val="0"/>
              <w:rPr>
                <w:sz w:val="24"/>
              </w:rPr>
            </w:pPr>
            <w:r>
              <w:rPr>
                <w:sz w:val="24"/>
              </w:rPr>
              <w:t>如本项目属于政府购买服务 ，投标人不属于 公益一类事业单位 、使用事业编制且由财政 拨款保障的群团组织。</w:t>
            </w:r>
          </w:p>
        </w:tc>
        <w:tc>
          <w:tcPr>
            <w:tcW w:w="1640" w:type="dxa"/>
            <w:vAlign w:val="center"/>
          </w:tcPr>
          <w:p w14:paraId="568272E4">
            <w:pPr>
              <w:tabs>
                <w:tab w:val="left" w:pos="1080"/>
              </w:tabs>
              <w:snapToGrid w:val="0"/>
              <w:rPr>
                <w:sz w:val="24"/>
              </w:rPr>
            </w:pPr>
            <w:r>
              <w:rPr>
                <w:sz w:val="24"/>
              </w:rPr>
              <w:t>格式见《投标</w:t>
            </w:r>
          </w:p>
          <w:p w14:paraId="2751DAEE">
            <w:pPr>
              <w:tabs>
                <w:tab w:val="left" w:pos="1080"/>
              </w:tabs>
              <w:snapToGrid w:val="0"/>
              <w:rPr>
                <w:sz w:val="24"/>
              </w:rPr>
            </w:pPr>
            <w:r>
              <w:rPr>
                <w:sz w:val="24"/>
              </w:rPr>
              <w:t>文件格式》</w:t>
            </w:r>
          </w:p>
          <w:p w14:paraId="271AF759">
            <w:pPr>
              <w:tabs>
                <w:tab w:val="left" w:pos="1080"/>
              </w:tabs>
              <w:snapToGrid w:val="0"/>
              <w:rPr>
                <w:sz w:val="24"/>
              </w:rPr>
            </w:pPr>
            <w:r>
              <w:rPr>
                <w:sz w:val="24"/>
              </w:rPr>
              <w:t>“ 1-2 投标</w:t>
            </w:r>
          </w:p>
          <w:p w14:paraId="5B783EC5">
            <w:pPr>
              <w:tabs>
                <w:tab w:val="left" w:pos="1080"/>
              </w:tabs>
              <w:snapToGrid w:val="0"/>
              <w:rPr>
                <w:sz w:val="24"/>
              </w:rPr>
            </w:pPr>
            <w:r>
              <w:rPr>
                <w:sz w:val="24"/>
              </w:rPr>
              <w:t>人资格声明</w:t>
            </w:r>
          </w:p>
          <w:p w14:paraId="20B102A6">
            <w:pPr>
              <w:tabs>
                <w:tab w:val="left" w:pos="1080"/>
              </w:tabs>
              <w:snapToGrid w:val="0"/>
              <w:rPr>
                <w:sz w:val="24"/>
              </w:rPr>
            </w:pPr>
            <w:r>
              <w:rPr>
                <w:sz w:val="24"/>
              </w:rPr>
              <w:t>书 ”</w:t>
            </w:r>
          </w:p>
        </w:tc>
      </w:tr>
      <w:tr w14:paraId="1BE37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3" w:type="dxa"/>
            <w:vAlign w:val="center"/>
          </w:tcPr>
          <w:p w14:paraId="75C40B02">
            <w:pPr>
              <w:tabs>
                <w:tab w:val="left" w:pos="1080"/>
              </w:tabs>
              <w:snapToGrid w:val="0"/>
              <w:jc w:val="center"/>
              <w:rPr>
                <w:sz w:val="24"/>
              </w:rPr>
            </w:pPr>
            <w:r>
              <w:rPr>
                <w:sz w:val="24"/>
              </w:rPr>
              <w:t>3-</w:t>
            </w:r>
            <w:r>
              <w:rPr>
                <w:rFonts w:hint="eastAsia"/>
                <w:sz w:val="24"/>
              </w:rPr>
              <w:t>3</w:t>
            </w:r>
          </w:p>
        </w:tc>
        <w:tc>
          <w:tcPr>
            <w:tcW w:w="1981" w:type="dxa"/>
            <w:vAlign w:val="center"/>
          </w:tcPr>
          <w:p w14:paraId="208B15E1">
            <w:pPr>
              <w:tabs>
                <w:tab w:val="left" w:pos="1080"/>
              </w:tabs>
              <w:snapToGrid w:val="0"/>
              <w:rPr>
                <w:sz w:val="24"/>
              </w:rPr>
            </w:pPr>
            <w:r>
              <w:rPr>
                <w:sz w:val="24"/>
              </w:rPr>
              <w:t>其他特定资格要求</w:t>
            </w:r>
          </w:p>
        </w:tc>
        <w:tc>
          <w:tcPr>
            <w:tcW w:w="4824" w:type="dxa"/>
            <w:vAlign w:val="center"/>
          </w:tcPr>
          <w:p w14:paraId="19B07266">
            <w:pPr>
              <w:tabs>
                <w:tab w:val="left" w:pos="1080"/>
              </w:tabs>
              <w:snapToGrid w:val="0"/>
              <w:rPr>
                <w:sz w:val="24"/>
              </w:rPr>
            </w:pPr>
            <w:r>
              <w:rPr>
                <w:sz w:val="24"/>
              </w:rPr>
              <w:t>如有，见第一章《投标邀请》</w:t>
            </w:r>
            <w:r>
              <w:rPr>
                <w:sz w:val="24"/>
              </w:rPr>
              <w:br w:type="textWrapping"/>
            </w:r>
            <w:r>
              <w:rPr>
                <w:sz w:val="24"/>
              </w:rPr>
              <w:t>注 ：如联合体中有同类资质的供应商按照联 合体分工承担相同工作的 ，均应当提供资质 证书电子件或电子证照。</w:t>
            </w:r>
          </w:p>
        </w:tc>
        <w:tc>
          <w:tcPr>
            <w:tcW w:w="1640" w:type="dxa"/>
            <w:vAlign w:val="center"/>
          </w:tcPr>
          <w:p w14:paraId="4E0A3798">
            <w:pPr>
              <w:tabs>
                <w:tab w:val="left" w:pos="1080"/>
              </w:tabs>
              <w:snapToGrid w:val="0"/>
              <w:rPr>
                <w:sz w:val="24"/>
              </w:rPr>
            </w:pPr>
            <w:r>
              <w:rPr>
                <w:sz w:val="24"/>
              </w:rPr>
              <w:t>提供证明文件的电子件或电子证照</w:t>
            </w:r>
          </w:p>
        </w:tc>
      </w:tr>
      <w:tr w14:paraId="0A658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3" w:type="dxa"/>
            <w:vAlign w:val="center"/>
          </w:tcPr>
          <w:p w14:paraId="453B00C1">
            <w:pPr>
              <w:tabs>
                <w:tab w:val="left" w:pos="1080"/>
              </w:tabs>
              <w:snapToGrid w:val="0"/>
              <w:jc w:val="center"/>
              <w:rPr>
                <w:sz w:val="24"/>
              </w:rPr>
            </w:pPr>
            <w:r>
              <w:rPr>
                <w:rFonts w:hint="eastAsia"/>
                <w:sz w:val="24"/>
              </w:rPr>
              <w:t>4</w:t>
            </w:r>
          </w:p>
        </w:tc>
        <w:tc>
          <w:tcPr>
            <w:tcW w:w="1981" w:type="dxa"/>
            <w:vAlign w:val="center"/>
          </w:tcPr>
          <w:p w14:paraId="7A5304ED">
            <w:pPr>
              <w:tabs>
                <w:tab w:val="left" w:pos="1080"/>
              </w:tabs>
              <w:snapToGrid w:val="0"/>
              <w:rPr>
                <w:sz w:val="24"/>
              </w:rPr>
            </w:pPr>
            <w:r>
              <w:rPr>
                <w:sz w:val="24"/>
              </w:rPr>
              <w:t>获取招标文件</w:t>
            </w:r>
          </w:p>
        </w:tc>
        <w:tc>
          <w:tcPr>
            <w:tcW w:w="4824" w:type="dxa"/>
            <w:vAlign w:val="center"/>
          </w:tcPr>
          <w:p w14:paraId="1183DE28">
            <w:pPr>
              <w:tabs>
                <w:tab w:val="left" w:pos="1080"/>
              </w:tabs>
              <w:snapToGrid w:val="0"/>
              <w:rPr>
                <w:sz w:val="24"/>
              </w:rPr>
            </w:pPr>
            <w:r>
              <w:rPr>
                <w:sz w:val="24"/>
              </w:rPr>
              <w:t>在</w:t>
            </w:r>
            <w:r>
              <w:rPr>
                <w:rFonts w:hint="eastAsia"/>
                <w:sz w:val="24"/>
              </w:rPr>
              <w:t>招标公告</w:t>
            </w:r>
            <w:r>
              <w:rPr>
                <w:sz w:val="24"/>
              </w:rPr>
              <w:t>规定期限内通过北京市政府采购电子交易平台获取所参与包的招标文件。</w:t>
            </w:r>
          </w:p>
          <w:p w14:paraId="5BB77009">
            <w:pPr>
              <w:tabs>
                <w:tab w:val="left" w:pos="1080"/>
              </w:tabs>
              <w:snapToGrid w:val="0"/>
              <w:rPr>
                <w:sz w:val="24"/>
              </w:rPr>
            </w:pPr>
            <w:r>
              <w:rPr>
                <w:sz w:val="24"/>
              </w:rPr>
              <w:t>注 ：如本项目接受联合体，且供应商为联合 体时 ，联合体中任一成员获取文件即视为满 足要求。</w:t>
            </w:r>
          </w:p>
        </w:tc>
        <w:tc>
          <w:tcPr>
            <w:tcW w:w="1640" w:type="dxa"/>
            <w:vAlign w:val="center"/>
          </w:tcPr>
          <w:p w14:paraId="2EDAECAE">
            <w:pPr>
              <w:tabs>
                <w:tab w:val="left" w:pos="1080"/>
              </w:tabs>
              <w:snapToGrid w:val="0"/>
              <w:rPr>
                <w:sz w:val="24"/>
              </w:rPr>
            </w:pPr>
          </w:p>
        </w:tc>
      </w:t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732"/>
    </w:tbl>
    <w:p w14:paraId="3177621F">
      <w:pPr>
        <w:widowControl/>
        <w:jc w:val="left"/>
        <w:rPr>
          <w:sz w:val="24"/>
        </w:rPr>
      </w:pPr>
      <w:r>
        <w:rPr>
          <w:sz w:val="24"/>
        </w:rPr>
        <w:br w:type="page"/>
      </w:r>
    </w:p>
    <w:p w14:paraId="130DFF43">
      <w:pPr>
        <w:pStyle w:val="2"/>
      </w:pPr>
      <w:bookmarkStart w:id="740" w:name="_Toc4529"/>
      <w:bookmarkStart w:id="741" w:name="_Toc341"/>
      <w:bookmarkStart w:id="742" w:name="_Toc99301423"/>
      <w:r>
        <w:t xml:space="preserve">第四章   </w:t>
      </w:r>
      <w:bookmarkEnd w:id="735"/>
      <w:bookmarkEnd w:id="736"/>
      <w:bookmarkEnd w:id="737"/>
      <w:bookmarkEnd w:id="738"/>
      <w:bookmarkEnd w:id="739"/>
      <w:bookmarkStart w:id="743" w:name="_Hlt164229061"/>
      <w:bookmarkEnd w:id="743"/>
      <w:r>
        <w:t>评标程序、评标方法和评标标准</w:t>
      </w:r>
      <w:bookmarkEnd w:id="740"/>
      <w:bookmarkEnd w:id="741"/>
      <w:bookmarkEnd w:id="742"/>
    </w:p>
    <w:p w14:paraId="59D6E578">
      <w:pPr>
        <w:tabs>
          <w:tab w:val="left" w:pos="360"/>
          <w:tab w:val="left" w:pos="900"/>
        </w:tabs>
        <w:snapToGrid w:val="0"/>
        <w:spacing w:line="360" w:lineRule="auto"/>
        <w:jc w:val="center"/>
        <w:outlineLvl w:val="1"/>
        <w:rPr>
          <w:b/>
        </w:rPr>
      </w:pPr>
      <w:r>
        <w:rPr>
          <w:b/>
          <w:sz w:val="24"/>
        </w:rPr>
        <w:t>一、评标方法</w:t>
      </w:r>
    </w:p>
    <w:p w14:paraId="0B0F3A40">
      <w:pPr>
        <w:numPr>
          <w:ilvl w:val="0"/>
          <w:numId w:val="13"/>
        </w:numPr>
        <w:tabs>
          <w:tab w:val="left" w:pos="360"/>
        </w:tabs>
        <w:snapToGrid w:val="0"/>
        <w:spacing w:line="360" w:lineRule="auto"/>
        <w:outlineLvl w:val="1"/>
        <w:rPr>
          <w:sz w:val="24"/>
        </w:rPr>
      </w:pPr>
      <w:bookmarkStart w:id="744" w:name="_Toc195842906"/>
      <w:bookmarkStart w:id="745" w:name="_Toc164229382"/>
      <w:bookmarkStart w:id="746" w:name="_Toc151193855"/>
      <w:bookmarkStart w:id="747" w:name="_Toc151193639"/>
      <w:bookmarkStart w:id="748" w:name="_Toc127151742"/>
      <w:bookmarkStart w:id="749" w:name="_Toc305158883"/>
      <w:bookmarkStart w:id="750" w:name="_Toc150509292"/>
      <w:bookmarkStart w:id="751" w:name="_Toc150774641"/>
      <w:bookmarkStart w:id="752" w:name="_Toc226309785"/>
      <w:bookmarkStart w:id="753" w:name="_Toc151190168"/>
      <w:bookmarkStart w:id="754" w:name="_Toc127151541"/>
      <w:bookmarkStart w:id="755" w:name="_Toc127161455"/>
      <w:bookmarkStart w:id="756" w:name="_Toc226965814"/>
      <w:bookmarkStart w:id="757" w:name="_Toc305158809"/>
      <w:bookmarkStart w:id="758" w:name="_Toc151193711"/>
      <w:bookmarkStart w:id="759" w:name="_Toc264969231"/>
      <w:bookmarkStart w:id="760" w:name="_Toc142311043"/>
      <w:bookmarkStart w:id="761" w:name="_Toc150774746"/>
      <w:bookmarkStart w:id="762" w:name="_Toc226337237"/>
      <w:bookmarkStart w:id="763" w:name="_Toc149720834"/>
      <w:bookmarkStart w:id="764" w:name="_Toc265228379"/>
      <w:bookmarkStart w:id="765" w:name="_Toc151193929"/>
      <w:bookmarkStart w:id="766" w:name="_Toc164608810"/>
      <w:bookmarkStart w:id="767" w:name="_Toc164608655"/>
      <w:bookmarkStart w:id="768" w:name="_Toc150480779"/>
      <w:bookmarkStart w:id="769" w:name="_Toc151193783"/>
      <w:bookmarkStart w:id="770" w:name="_Toc226965731"/>
      <w:bookmarkStart w:id="771" w:name="_Toc164229236"/>
      <w:bookmarkStart w:id="772" w:name="_Toc164351635"/>
      <w:bookmarkStart w:id="773" w:name="_Toc353825551"/>
      <w:bookmarkStart w:id="774" w:name="_Toc353873941"/>
      <w:bookmarkStart w:id="775" w:name="_Toc127151555"/>
      <w:bookmarkStart w:id="776" w:name="_Toc195842920"/>
      <w:bookmarkStart w:id="777" w:name="_Toc150774760"/>
      <w:bookmarkStart w:id="778" w:name="_Toc264969245"/>
      <w:bookmarkStart w:id="779" w:name="_Toc226965828"/>
      <w:bookmarkStart w:id="780" w:name="_Toc305158897"/>
      <w:bookmarkStart w:id="781" w:name="_Toc353873935"/>
      <w:bookmarkStart w:id="782" w:name="_Toc353873665"/>
      <w:bookmarkStart w:id="783" w:name="_Toc142311057"/>
      <w:bookmarkStart w:id="784" w:name="_Toc353825545"/>
      <w:bookmarkStart w:id="785" w:name="_Toc305158823"/>
      <w:bookmarkStart w:id="786" w:name="_Toc265228393"/>
      <w:bookmarkStart w:id="787" w:name="_Toc150480793"/>
      <w:bookmarkStart w:id="788" w:name="_Toc226337251"/>
      <w:r>
        <w:rPr>
          <w:sz w:val="24"/>
        </w:rPr>
        <w:t>投标文件的符合性审查</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2024CEDE">
      <w:pPr>
        <w:numPr>
          <w:ilvl w:val="1"/>
          <w:numId w:val="13"/>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9" w:name="_Toc520356167"/>
    </w:p>
    <w:p w14:paraId="6D81A90E">
      <w:pPr>
        <w:numPr>
          <w:ilvl w:val="1"/>
          <w:numId w:val="13"/>
        </w:numPr>
        <w:tabs>
          <w:tab w:val="left" w:pos="1080"/>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9"/>
      <w:r>
        <w:rPr>
          <w:rFonts w:hint="eastAsia"/>
          <w:sz w:val="24"/>
        </w:rPr>
        <w:t>要求的，</w:t>
      </w:r>
      <w:r>
        <w:rPr>
          <w:rFonts w:hint="eastAsia"/>
          <w:b/>
          <w:sz w:val="24"/>
        </w:rPr>
        <w:t>投标无效</w:t>
      </w:r>
      <w:r>
        <w:rPr>
          <w:rFonts w:hint="eastAsia"/>
          <w:sz w:val="24"/>
        </w:rPr>
        <w:t>。</w:t>
      </w:r>
    </w:p>
    <w:p w14:paraId="1682182A">
      <w:pPr>
        <w:tabs>
          <w:tab w:val="left" w:pos="900"/>
          <w:tab w:val="left" w:pos="1080"/>
          <w:tab w:val="left" w:pos="1589"/>
        </w:tabs>
        <w:snapToGrid w:val="0"/>
        <w:spacing w:line="360" w:lineRule="auto"/>
        <w:ind w:leftChars="-170" w:hanging="357" w:hangingChars="148"/>
        <w:jc w:val="center"/>
        <w:rPr>
          <w:b/>
          <w:sz w:val="24"/>
        </w:rPr>
      </w:pPr>
      <w:r>
        <w:rPr>
          <w:b/>
          <w:sz w:val="24"/>
        </w:rPr>
        <w:t>符合性审查</w:t>
      </w:r>
      <w:r>
        <w:rPr>
          <w:rFonts w:hint="eastAsia"/>
          <w:b/>
          <w:sz w:val="24"/>
        </w:rPr>
        <w:t>要求</w:t>
      </w:r>
    </w:p>
    <w:tbl>
      <w:tblPr>
        <w:tblStyle w:val="4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12"/>
        <w:gridCol w:w="6728"/>
      </w:tblGrid>
      <w:tr w14:paraId="0AD4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8" w:type="dxa"/>
            <w:vAlign w:val="center"/>
          </w:tcPr>
          <w:p w14:paraId="025C5164">
            <w:pPr>
              <w:widowControl/>
              <w:jc w:val="center"/>
              <w:rPr>
                <w:b/>
                <w:color w:val="000000"/>
                <w:kern w:val="0"/>
                <w:sz w:val="24"/>
              </w:rPr>
            </w:pPr>
            <w:r>
              <w:rPr>
                <w:b/>
                <w:color w:val="000000"/>
                <w:kern w:val="0"/>
                <w:sz w:val="24"/>
              </w:rPr>
              <w:t>序号</w:t>
            </w:r>
          </w:p>
        </w:tc>
        <w:tc>
          <w:tcPr>
            <w:tcW w:w="1812" w:type="dxa"/>
            <w:vAlign w:val="center"/>
          </w:tcPr>
          <w:p w14:paraId="136F32E6">
            <w:pPr>
              <w:widowControl/>
              <w:jc w:val="center"/>
              <w:rPr>
                <w:b/>
                <w:color w:val="000000"/>
                <w:kern w:val="0"/>
                <w:sz w:val="24"/>
              </w:rPr>
            </w:pPr>
            <w:r>
              <w:rPr>
                <w:b/>
                <w:color w:val="000000"/>
                <w:kern w:val="0"/>
                <w:sz w:val="24"/>
              </w:rPr>
              <w:t>审查因素</w:t>
            </w:r>
          </w:p>
        </w:tc>
        <w:tc>
          <w:tcPr>
            <w:tcW w:w="6728" w:type="dxa"/>
            <w:vAlign w:val="center"/>
          </w:tcPr>
          <w:p w14:paraId="218B802D">
            <w:pPr>
              <w:widowControl/>
              <w:jc w:val="center"/>
              <w:rPr>
                <w:b/>
                <w:color w:val="000000"/>
                <w:kern w:val="0"/>
                <w:sz w:val="24"/>
              </w:rPr>
            </w:pPr>
            <w:r>
              <w:rPr>
                <w:b/>
                <w:color w:val="000000"/>
                <w:kern w:val="0"/>
                <w:sz w:val="24"/>
              </w:rPr>
              <w:t>审查内容</w:t>
            </w:r>
          </w:p>
        </w:tc>
      </w:tr>
      <w:tr w14:paraId="1AA9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52ADCE2B">
            <w:pPr>
              <w:widowControl/>
              <w:jc w:val="center"/>
              <w:rPr>
                <w:color w:val="000000"/>
                <w:kern w:val="0"/>
                <w:sz w:val="24"/>
              </w:rPr>
            </w:pPr>
            <w:r>
              <w:rPr>
                <w:color w:val="000000"/>
                <w:kern w:val="0"/>
                <w:sz w:val="24"/>
              </w:rPr>
              <w:t>1</w:t>
            </w:r>
          </w:p>
        </w:tc>
        <w:tc>
          <w:tcPr>
            <w:tcW w:w="1812" w:type="dxa"/>
            <w:vAlign w:val="center"/>
          </w:tcPr>
          <w:p w14:paraId="67007778">
            <w:pPr>
              <w:widowControl/>
              <w:jc w:val="left"/>
              <w:rPr>
                <w:color w:val="000000"/>
                <w:kern w:val="0"/>
                <w:sz w:val="24"/>
              </w:rPr>
            </w:pPr>
            <w:r>
              <w:rPr>
                <w:color w:val="000000"/>
                <w:kern w:val="0"/>
                <w:sz w:val="24"/>
              </w:rPr>
              <w:t>授权委托书</w:t>
            </w:r>
          </w:p>
        </w:tc>
        <w:tc>
          <w:tcPr>
            <w:tcW w:w="6728" w:type="dxa"/>
            <w:vAlign w:val="center"/>
          </w:tcPr>
          <w:p w14:paraId="2BCE04F2">
            <w:pPr>
              <w:widowControl/>
              <w:jc w:val="left"/>
              <w:rPr>
                <w:color w:val="000000"/>
                <w:kern w:val="0"/>
                <w:sz w:val="24"/>
              </w:rPr>
            </w:pPr>
            <w:r>
              <w:rPr>
                <w:color w:val="000000"/>
                <w:kern w:val="0"/>
                <w:sz w:val="24"/>
              </w:rPr>
              <w:t>按招标文件要求提供授权委托书；</w:t>
            </w:r>
          </w:p>
        </w:tc>
      </w:tr>
      <w:tr w14:paraId="2936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3A15F43C">
            <w:pPr>
              <w:widowControl/>
              <w:jc w:val="center"/>
              <w:rPr>
                <w:color w:val="000000"/>
                <w:kern w:val="0"/>
                <w:sz w:val="24"/>
              </w:rPr>
            </w:pPr>
            <w:r>
              <w:rPr>
                <w:color w:val="000000"/>
                <w:kern w:val="0"/>
                <w:sz w:val="24"/>
              </w:rPr>
              <w:t>2</w:t>
            </w:r>
          </w:p>
        </w:tc>
        <w:tc>
          <w:tcPr>
            <w:tcW w:w="1812" w:type="dxa"/>
            <w:vAlign w:val="center"/>
          </w:tcPr>
          <w:p w14:paraId="423486AB">
            <w:pPr>
              <w:widowControl/>
              <w:jc w:val="left"/>
              <w:rPr>
                <w:color w:val="000000"/>
                <w:kern w:val="0"/>
                <w:sz w:val="24"/>
              </w:rPr>
            </w:pPr>
            <w:r>
              <w:rPr>
                <w:color w:val="000000"/>
                <w:kern w:val="0"/>
                <w:sz w:val="24"/>
              </w:rPr>
              <w:t>投标完整性</w:t>
            </w:r>
          </w:p>
        </w:tc>
        <w:tc>
          <w:tcPr>
            <w:tcW w:w="6728" w:type="dxa"/>
            <w:vAlign w:val="center"/>
          </w:tcPr>
          <w:p w14:paraId="705ED117">
            <w:pPr>
              <w:widowControl/>
              <w:jc w:val="left"/>
              <w:rPr>
                <w:color w:val="000000"/>
                <w:kern w:val="0"/>
                <w:sz w:val="24"/>
              </w:rPr>
            </w:pPr>
            <w:r>
              <w:rPr>
                <w:rFonts w:hint="eastAsia"/>
                <w:sz w:val="24"/>
              </w:rPr>
              <w:t>未</w:t>
            </w:r>
            <w:r>
              <w:rPr>
                <w:sz w:val="24"/>
              </w:rPr>
              <w:t>将一个采购包中的内容拆开投标；</w:t>
            </w:r>
          </w:p>
        </w:tc>
      </w:tr>
      <w:tr w14:paraId="23FC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67BBD218">
            <w:pPr>
              <w:widowControl/>
              <w:jc w:val="center"/>
              <w:rPr>
                <w:color w:val="000000"/>
                <w:kern w:val="0"/>
                <w:sz w:val="24"/>
              </w:rPr>
            </w:pPr>
            <w:r>
              <w:rPr>
                <w:color w:val="000000"/>
                <w:kern w:val="0"/>
                <w:sz w:val="24"/>
              </w:rPr>
              <w:t>3</w:t>
            </w:r>
          </w:p>
        </w:tc>
        <w:tc>
          <w:tcPr>
            <w:tcW w:w="1812" w:type="dxa"/>
            <w:vAlign w:val="center"/>
          </w:tcPr>
          <w:p w14:paraId="4323F48E">
            <w:pPr>
              <w:widowControl/>
              <w:jc w:val="left"/>
              <w:rPr>
                <w:color w:val="000000"/>
                <w:kern w:val="0"/>
                <w:sz w:val="24"/>
              </w:rPr>
            </w:pPr>
            <w:r>
              <w:rPr>
                <w:color w:val="000000"/>
                <w:kern w:val="0"/>
                <w:sz w:val="24"/>
              </w:rPr>
              <w:t>投标报价</w:t>
            </w:r>
          </w:p>
        </w:tc>
        <w:tc>
          <w:tcPr>
            <w:tcW w:w="6728" w:type="dxa"/>
            <w:vAlign w:val="center"/>
          </w:tcPr>
          <w:p w14:paraId="7B446CCB">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超过招标文件中规定的项目/采购包预算金额或者项目/采购包最高限价</w:t>
            </w:r>
            <w:r>
              <w:rPr>
                <w:color w:val="000000"/>
                <w:kern w:val="0"/>
                <w:sz w:val="24"/>
              </w:rPr>
              <w:t>；</w:t>
            </w:r>
          </w:p>
        </w:tc>
      </w:tr>
      <w:tr w14:paraId="4D83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13A6E3F0">
            <w:pPr>
              <w:widowControl/>
              <w:jc w:val="center"/>
              <w:rPr>
                <w:color w:val="000000"/>
                <w:kern w:val="0"/>
                <w:sz w:val="24"/>
              </w:rPr>
            </w:pPr>
            <w:r>
              <w:rPr>
                <w:color w:val="000000"/>
                <w:kern w:val="0"/>
                <w:sz w:val="24"/>
              </w:rPr>
              <w:t>4</w:t>
            </w:r>
          </w:p>
        </w:tc>
        <w:tc>
          <w:tcPr>
            <w:tcW w:w="1812" w:type="dxa"/>
            <w:vAlign w:val="center"/>
          </w:tcPr>
          <w:p w14:paraId="0AFE8E13">
            <w:pPr>
              <w:widowControl/>
              <w:jc w:val="left"/>
              <w:rPr>
                <w:color w:val="000000"/>
                <w:kern w:val="0"/>
                <w:sz w:val="24"/>
              </w:rPr>
            </w:pPr>
            <w:r>
              <w:rPr>
                <w:color w:val="000000"/>
                <w:kern w:val="0"/>
                <w:sz w:val="24"/>
              </w:rPr>
              <w:t>报价唯一性</w:t>
            </w:r>
          </w:p>
        </w:tc>
        <w:tc>
          <w:tcPr>
            <w:tcW w:w="6728" w:type="dxa"/>
            <w:vAlign w:val="center"/>
          </w:tcPr>
          <w:p w14:paraId="02FCE2E4">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14:paraId="31D5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1FA67AB9">
            <w:pPr>
              <w:widowControl/>
              <w:jc w:val="center"/>
              <w:rPr>
                <w:color w:val="000000"/>
                <w:kern w:val="0"/>
                <w:sz w:val="24"/>
              </w:rPr>
            </w:pPr>
            <w:r>
              <w:rPr>
                <w:color w:val="000000"/>
                <w:kern w:val="0"/>
                <w:sz w:val="24"/>
              </w:rPr>
              <w:t>5</w:t>
            </w:r>
          </w:p>
        </w:tc>
        <w:tc>
          <w:tcPr>
            <w:tcW w:w="1812" w:type="dxa"/>
            <w:vAlign w:val="center"/>
          </w:tcPr>
          <w:p w14:paraId="2F3DD346">
            <w:pPr>
              <w:widowControl/>
              <w:jc w:val="left"/>
              <w:rPr>
                <w:color w:val="000000"/>
                <w:kern w:val="0"/>
                <w:sz w:val="24"/>
              </w:rPr>
            </w:pPr>
            <w:r>
              <w:rPr>
                <w:color w:val="000000"/>
                <w:kern w:val="0"/>
                <w:sz w:val="24"/>
              </w:rPr>
              <w:t>投标有效期</w:t>
            </w:r>
          </w:p>
        </w:tc>
        <w:tc>
          <w:tcPr>
            <w:tcW w:w="6728" w:type="dxa"/>
            <w:vAlign w:val="center"/>
          </w:tcPr>
          <w:p w14:paraId="5D25E3F0">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14:paraId="34E5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4266DB17">
            <w:pPr>
              <w:widowControl/>
              <w:jc w:val="center"/>
              <w:rPr>
                <w:color w:val="000000"/>
                <w:kern w:val="0"/>
                <w:sz w:val="24"/>
              </w:rPr>
            </w:pPr>
            <w:r>
              <w:rPr>
                <w:color w:val="000000"/>
                <w:kern w:val="0"/>
                <w:sz w:val="24"/>
              </w:rPr>
              <w:t>6</w:t>
            </w:r>
          </w:p>
        </w:tc>
        <w:tc>
          <w:tcPr>
            <w:tcW w:w="1812" w:type="dxa"/>
            <w:vAlign w:val="center"/>
          </w:tcPr>
          <w:p w14:paraId="137160C4">
            <w:pPr>
              <w:widowControl/>
              <w:jc w:val="left"/>
              <w:rPr>
                <w:color w:val="000000"/>
                <w:kern w:val="0"/>
                <w:sz w:val="24"/>
              </w:rPr>
            </w:pPr>
            <w:r>
              <w:rPr>
                <w:color w:val="000000"/>
                <w:kern w:val="0"/>
                <w:sz w:val="24"/>
              </w:rPr>
              <w:t>签署、盖章</w:t>
            </w:r>
          </w:p>
        </w:tc>
        <w:tc>
          <w:tcPr>
            <w:tcW w:w="6728" w:type="dxa"/>
            <w:vAlign w:val="center"/>
          </w:tcPr>
          <w:p w14:paraId="466E8669">
            <w:pPr>
              <w:widowControl/>
              <w:jc w:val="left"/>
              <w:rPr>
                <w:color w:val="000000"/>
                <w:kern w:val="0"/>
                <w:sz w:val="24"/>
              </w:rPr>
            </w:pPr>
            <w:r>
              <w:rPr>
                <w:color w:val="000000"/>
                <w:kern w:val="0"/>
                <w:sz w:val="24"/>
              </w:rPr>
              <w:t>按照招标文件要求签署、盖章的；</w:t>
            </w:r>
          </w:p>
        </w:tc>
      </w:tr>
      <w:tr w14:paraId="701F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3F48FF62">
            <w:pPr>
              <w:widowControl/>
              <w:jc w:val="center"/>
              <w:rPr>
                <w:color w:val="000000"/>
                <w:kern w:val="0"/>
                <w:sz w:val="24"/>
              </w:rPr>
            </w:pPr>
            <w:r>
              <w:rPr>
                <w:rFonts w:hint="eastAsia"/>
                <w:color w:val="000000"/>
                <w:kern w:val="0"/>
                <w:sz w:val="24"/>
              </w:rPr>
              <w:t>7</w:t>
            </w:r>
          </w:p>
        </w:tc>
        <w:tc>
          <w:tcPr>
            <w:tcW w:w="1812" w:type="dxa"/>
            <w:vAlign w:val="center"/>
          </w:tcPr>
          <w:p w14:paraId="183ECB1B">
            <w:pPr>
              <w:widowControl/>
              <w:jc w:val="left"/>
              <w:rPr>
                <w:color w:val="000000"/>
                <w:kern w:val="0"/>
                <w:sz w:val="24"/>
              </w:rPr>
            </w:pPr>
            <w:r>
              <w:rPr>
                <w:rFonts w:hint="eastAsia"/>
                <w:color w:val="000000"/>
                <w:kern w:val="0"/>
                <w:sz w:val="24"/>
              </w:rPr>
              <w:t>实质性格式</w:t>
            </w:r>
          </w:p>
        </w:tc>
        <w:tc>
          <w:tcPr>
            <w:tcW w:w="6728" w:type="dxa"/>
            <w:vAlign w:val="center"/>
          </w:tcPr>
          <w:p w14:paraId="17AF8074">
            <w:pPr>
              <w:widowControl/>
              <w:jc w:val="left"/>
              <w:rPr>
                <w:color w:val="000000"/>
                <w:kern w:val="0"/>
                <w:sz w:val="24"/>
              </w:rPr>
            </w:pPr>
            <w:r>
              <w:rPr>
                <w:rFonts w:hint="eastAsia"/>
                <w:kern w:val="0"/>
                <w:sz w:val="24"/>
              </w:rPr>
              <w:t>标记为</w:t>
            </w:r>
            <w:r>
              <w:rPr>
                <w:kern w:val="0"/>
                <w:sz w:val="24"/>
              </w:rPr>
              <w:t>“实质性格式”的</w:t>
            </w:r>
            <w:r>
              <w:rPr>
                <w:rFonts w:hint="eastAsia"/>
                <w:kern w:val="0"/>
                <w:sz w:val="24"/>
              </w:rPr>
              <w:t>文件均按</w:t>
            </w:r>
            <w:r>
              <w:rPr>
                <w:kern w:val="0"/>
                <w:sz w:val="24"/>
              </w:rPr>
              <w:t>招标文件</w:t>
            </w:r>
            <w:r>
              <w:rPr>
                <w:rFonts w:hint="eastAsia"/>
                <w:kern w:val="0"/>
                <w:sz w:val="24"/>
              </w:rPr>
              <w:t>要求提供；</w:t>
            </w:r>
          </w:p>
        </w:tc>
      </w:tr>
      <w:tr w14:paraId="0FDB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2DCEFFBF">
            <w:pPr>
              <w:widowControl/>
              <w:jc w:val="center"/>
              <w:rPr>
                <w:color w:val="000000"/>
                <w:kern w:val="0"/>
                <w:sz w:val="24"/>
              </w:rPr>
            </w:pPr>
            <w:r>
              <w:rPr>
                <w:color w:val="000000"/>
                <w:kern w:val="0"/>
                <w:sz w:val="24"/>
              </w:rPr>
              <w:t>8</w:t>
            </w:r>
          </w:p>
        </w:tc>
        <w:tc>
          <w:tcPr>
            <w:tcW w:w="1812" w:type="dxa"/>
            <w:vAlign w:val="center"/>
          </w:tcPr>
          <w:p w14:paraId="488EB6B8">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6728" w:type="dxa"/>
            <w:vAlign w:val="center"/>
          </w:tcPr>
          <w:p w14:paraId="723CC6C5">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14:paraId="6C1A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34EFC82F">
            <w:pPr>
              <w:widowControl/>
              <w:jc w:val="center"/>
              <w:rPr>
                <w:color w:val="000000"/>
                <w:kern w:val="0"/>
                <w:sz w:val="24"/>
              </w:rPr>
            </w:pPr>
            <w:r>
              <w:rPr>
                <w:rFonts w:hint="eastAsia"/>
                <w:color w:val="000000"/>
                <w:kern w:val="0"/>
                <w:sz w:val="24"/>
              </w:rPr>
              <w:t>9</w:t>
            </w:r>
          </w:p>
        </w:tc>
        <w:tc>
          <w:tcPr>
            <w:tcW w:w="1812" w:type="dxa"/>
            <w:vAlign w:val="center"/>
          </w:tcPr>
          <w:p w14:paraId="1FEFBC71">
            <w:pPr>
              <w:widowControl/>
              <w:jc w:val="left"/>
              <w:rPr>
                <w:color w:val="000000"/>
                <w:kern w:val="0"/>
                <w:sz w:val="24"/>
              </w:rPr>
            </w:pPr>
            <w:r>
              <w:rPr>
                <w:rFonts w:hint="eastAsia"/>
                <w:color w:val="000000"/>
                <w:kern w:val="0"/>
                <w:sz w:val="24"/>
              </w:rPr>
              <w:t>分包其他要求 （如有）</w:t>
            </w:r>
          </w:p>
        </w:tc>
        <w:tc>
          <w:tcPr>
            <w:tcW w:w="6728" w:type="dxa"/>
            <w:vAlign w:val="center"/>
          </w:tcPr>
          <w:p w14:paraId="6A35E3C7">
            <w:pPr>
              <w:widowControl/>
              <w:jc w:val="left"/>
              <w:rPr>
                <w:color w:val="000000"/>
                <w:kern w:val="0"/>
                <w:sz w:val="24"/>
              </w:rPr>
            </w:pPr>
            <w:r>
              <w:rPr>
                <w:rFonts w:hint="eastAsia"/>
                <w:color w:val="000000"/>
                <w:kern w:val="0"/>
                <w:sz w:val="24"/>
              </w:rPr>
              <w:t>分包履行的内容、金额或者比例未超出《投标人须知资料表》 中的规定；</w:t>
            </w:r>
          </w:p>
          <w:p w14:paraId="5CB04B80">
            <w:pPr>
              <w:widowControl/>
              <w:jc w:val="left"/>
              <w:rPr>
                <w:color w:val="000000"/>
                <w:kern w:val="0"/>
                <w:sz w:val="24"/>
              </w:rPr>
            </w:pPr>
            <w:r>
              <w:rPr>
                <w:rFonts w:hint="eastAsia"/>
                <w:color w:val="000000"/>
                <w:kern w:val="0"/>
                <w:sz w:val="24"/>
              </w:rPr>
              <w:t>分包承担主体具备《投标人须知资料表》载明的资质条件且提 供了资质证书电子件（如有）；</w:t>
            </w:r>
          </w:p>
        </w:tc>
      </w:tr>
      <w:tr w14:paraId="1CAC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75D7267D">
            <w:pPr>
              <w:widowControl/>
              <w:jc w:val="center"/>
              <w:rPr>
                <w:color w:val="000000"/>
                <w:kern w:val="0"/>
                <w:sz w:val="24"/>
              </w:rPr>
            </w:pPr>
            <w:r>
              <w:rPr>
                <w:rFonts w:hint="eastAsia"/>
                <w:color w:val="000000"/>
                <w:kern w:val="0"/>
                <w:sz w:val="24"/>
              </w:rPr>
              <w:t>10</w:t>
            </w:r>
          </w:p>
        </w:tc>
        <w:tc>
          <w:tcPr>
            <w:tcW w:w="1812" w:type="dxa"/>
            <w:vAlign w:val="center"/>
          </w:tcPr>
          <w:p w14:paraId="26FC60AD">
            <w:pPr>
              <w:widowControl/>
              <w:jc w:val="left"/>
              <w:rPr>
                <w:color w:val="000000"/>
                <w:kern w:val="0"/>
                <w:sz w:val="24"/>
              </w:rPr>
            </w:pPr>
            <w:r>
              <w:rPr>
                <w:rFonts w:hint="eastAsia"/>
                <w:color w:val="000000"/>
                <w:kern w:val="0"/>
                <w:sz w:val="24"/>
              </w:rPr>
              <w:t>报价的修正（如 有）</w:t>
            </w:r>
          </w:p>
        </w:tc>
        <w:tc>
          <w:tcPr>
            <w:tcW w:w="6728" w:type="dxa"/>
            <w:vAlign w:val="center"/>
          </w:tcPr>
          <w:p w14:paraId="28C3D198">
            <w:pPr>
              <w:widowControl/>
              <w:jc w:val="left"/>
              <w:rPr>
                <w:color w:val="000000"/>
                <w:kern w:val="0"/>
                <w:sz w:val="24"/>
              </w:rPr>
            </w:pPr>
            <w:r>
              <w:rPr>
                <w:rFonts w:hint="eastAsia"/>
                <w:color w:val="000000"/>
                <w:kern w:val="0"/>
                <w:sz w:val="24"/>
              </w:rPr>
              <w:t>不涉及报价修正 ，或投标文件报价出现前后不一致时，投标人 对修正后的报价予以确认 ；（如有）</w:t>
            </w:r>
          </w:p>
        </w:tc>
      </w:tr>
      <w:tr w14:paraId="2ADA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387D0999">
            <w:pPr>
              <w:widowControl/>
              <w:jc w:val="center"/>
              <w:rPr>
                <w:color w:val="000000"/>
                <w:kern w:val="0"/>
                <w:sz w:val="24"/>
              </w:rPr>
            </w:pPr>
            <w:r>
              <w:rPr>
                <w:color w:val="000000"/>
                <w:kern w:val="0"/>
                <w:sz w:val="24"/>
              </w:rPr>
              <w:t>1</w:t>
            </w:r>
            <w:r>
              <w:rPr>
                <w:rFonts w:hint="eastAsia"/>
                <w:color w:val="000000"/>
                <w:kern w:val="0"/>
                <w:sz w:val="24"/>
              </w:rPr>
              <w:t>1</w:t>
            </w:r>
          </w:p>
        </w:tc>
        <w:tc>
          <w:tcPr>
            <w:tcW w:w="1812" w:type="dxa"/>
            <w:vAlign w:val="center"/>
          </w:tcPr>
          <w:p w14:paraId="214B8E6F">
            <w:pPr>
              <w:widowControl/>
              <w:jc w:val="left"/>
              <w:rPr>
                <w:color w:val="000000"/>
                <w:kern w:val="0"/>
                <w:sz w:val="24"/>
              </w:rPr>
            </w:pPr>
            <w:r>
              <w:rPr>
                <w:color w:val="000000"/>
                <w:kern w:val="0"/>
                <w:sz w:val="24"/>
              </w:rPr>
              <w:t>报价合理性</w:t>
            </w:r>
          </w:p>
        </w:tc>
        <w:tc>
          <w:tcPr>
            <w:tcW w:w="6728" w:type="dxa"/>
            <w:vAlign w:val="center"/>
          </w:tcPr>
          <w:p w14:paraId="11650CA7">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14:paraId="5037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3EB1BE40">
            <w:pPr>
              <w:widowControl/>
              <w:jc w:val="center"/>
              <w:rPr>
                <w:color w:val="000000"/>
                <w:kern w:val="0"/>
                <w:sz w:val="24"/>
              </w:rPr>
            </w:pPr>
            <w:r>
              <w:rPr>
                <w:rFonts w:hint="eastAsia"/>
                <w:color w:val="000000"/>
                <w:kern w:val="0"/>
                <w:sz w:val="24"/>
              </w:rPr>
              <w:t>12</w:t>
            </w:r>
          </w:p>
        </w:tc>
        <w:tc>
          <w:tcPr>
            <w:tcW w:w="1812" w:type="dxa"/>
            <w:vAlign w:val="center"/>
          </w:tcPr>
          <w:p w14:paraId="3725A653">
            <w:pPr>
              <w:widowControl/>
              <w:jc w:val="center"/>
              <w:rPr>
                <w:color w:val="000000"/>
                <w:kern w:val="0"/>
                <w:sz w:val="24"/>
              </w:rPr>
            </w:pPr>
            <w:r>
              <w:rPr>
                <w:color w:val="000000"/>
                <w:kern w:val="0"/>
                <w:sz w:val="24"/>
              </w:rPr>
              <w:t>进口产品 （如有）</w:t>
            </w:r>
          </w:p>
        </w:tc>
        <w:tc>
          <w:tcPr>
            <w:tcW w:w="6728" w:type="dxa"/>
            <w:vAlign w:val="center"/>
          </w:tcPr>
          <w:p w14:paraId="3BBA8737">
            <w:pPr>
              <w:widowControl/>
              <w:jc w:val="center"/>
              <w:rPr>
                <w:color w:val="000000"/>
                <w:kern w:val="0"/>
                <w:sz w:val="24"/>
              </w:rPr>
            </w:pPr>
            <w:r>
              <w:rPr>
                <w:color w:val="000000"/>
                <w:kern w:val="0"/>
                <w:sz w:val="24"/>
              </w:rPr>
              <w:t>招标文件不接受进口产品投标的内容时，投标人所投产品不含 进口产品；</w:t>
            </w:r>
          </w:p>
        </w:tc>
      </w:tr>
      <w:tr w14:paraId="78EC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7F65FAD6">
            <w:pPr>
              <w:widowControl/>
              <w:jc w:val="center"/>
              <w:rPr>
                <w:color w:val="000000"/>
                <w:kern w:val="0"/>
                <w:sz w:val="24"/>
              </w:rPr>
            </w:pPr>
            <w:r>
              <w:rPr>
                <w:color w:val="000000"/>
                <w:kern w:val="0"/>
                <w:sz w:val="24"/>
              </w:rPr>
              <w:t>1</w:t>
            </w:r>
            <w:r>
              <w:rPr>
                <w:rFonts w:hint="eastAsia"/>
                <w:color w:val="000000"/>
                <w:kern w:val="0"/>
                <w:sz w:val="24"/>
              </w:rPr>
              <w:t>3</w:t>
            </w:r>
          </w:p>
        </w:tc>
        <w:tc>
          <w:tcPr>
            <w:tcW w:w="1812" w:type="dxa"/>
            <w:vAlign w:val="center"/>
          </w:tcPr>
          <w:p w14:paraId="23DB2B7C">
            <w:pPr>
              <w:widowControl/>
              <w:jc w:val="left"/>
              <w:rPr>
                <w:color w:val="000000"/>
                <w:kern w:val="0"/>
                <w:sz w:val="24"/>
              </w:rPr>
            </w:pPr>
            <w:r>
              <w:rPr>
                <w:color w:val="000000"/>
                <w:kern w:val="0"/>
                <w:sz w:val="24"/>
              </w:rPr>
              <w:t>公平竞争</w:t>
            </w:r>
          </w:p>
        </w:tc>
        <w:tc>
          <w:tcPr>
            <w:tcW w:w="6728" w:type="dxa"/>
            <w:vAlign w:val="center"/>
          </w:tcPr>
          <w:p w14:paraId="25F7C114">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14:paraId="1E49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2B9B1985">
            <w:pPr>
              <w:widowControl/>
              <w:jc w:val="center"/>
              <w:rPr>
                <w:color w:val="000000"/>
                <w:kern w:val="0"/>
                <w:sz w:val="24"/>
              </w:rPr>
            </w:pPr>
            <w:r>
              <w:rPr>
                <w:color w:val="000000"/>
                <w:kern w:val="0"/>
                <w:sz w:val="24"/>
              </w:rPr>
              <w:t>1</w:t>
            </w:r>
            <w:r>
              <w:rPr>
                <w:rFonts w:hint="eastAsia"/>
                <w:color w:val="000000"/>
                <w:kern w:val="0"/>
                <w:sz w:val="24"/>
              </w:rPr>
              <w:t>4</w:t>
            </w:r>
          </w:p>
        </w:tc>
        <w:tc>
          <w:tcPr>
            <w:tcW w:w="1812" w:type="dxa"/>
            <w:vAlign w:val="center"/>
          </w:tcPr>
          <w:p w14:paraId="3BDFEE26">
            <w:pPr>
              <w:widowControl/>
              <w:jc w:val="left"/>
              <w:rPr>
                <w:color w:val="000000"/>
                <w:kern w:val="0"/>
                <w:sz w:val="24"/>
              </w:rPr>
            </w:pPr>
            <w:r>
              <w:rPr>
                <w:color w:val="000000"/>
                <w:kern w:val="0"/>
                <w:sz w:val="24"/>
              </w:rPr>
              <w:t>串通投标</w:t>
            </w:r>
          </w:p>
        </w:tc>
        <w:tc>
          <w:tcPr>
            <w:tcW w:w="6728" w:type="dxa"/>
            <w:vAlign w:val="center"/>
          </w:tcPr>
          <w:p w14:paraId="51C60145">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color w:val="000000"/>
                <w:sz w:val="24"/>
              </w:rPr>
              <w:t>；</w:t>
            </w:r>
          </w:p>
        </w:tc>
      </w:tr>
      <w:tr w14:paraId="2A0B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200C931D">
            <w:pPr>
              <w:widowControl/>
              <w:jc w:val="center"/>
              <w:rPr>
                <w:color w:val="000000"/>
                <w:kern w:val="0"/>
                <w:sz w:val="24"/>
              </w:rPr>
            </w:pPr>
            <w:r>
              <w:rPr>
                <w:color w:val="000000"/>
                <w:kern w:val="0"/>
                <w:sz w:val="24"/>
              </w:rPr>
              <w:t>1</w:t>
            </w:r>
            <w:r>
              <w:rPr>
                <w:rFonts w:hint="eastAsia"/>
                <w:color w:val="000000"/>
                <w:kern w:val="0"/>
                <w:sz w:val="24"/>
              </w:rPr>
              <w:t>5</w:t>
            </w:r>
          </w:p>
        </w:tc>
        <w:tc>
          <w:tcPr>
            <w:tcW w:w="1812" w:type="dxa"/>
            <w:vAlign w:val="center"/>
          </w:tcPr>
          <w:p w14:paraId="056B478D">
            <w:pPr>
              <w:widowControl/>
              <w:jc w:val="left"/>
              <w:rPr>
                <w:color w:val="000000"/>
                <w:kern w:val="0"/>
                <w:sz w:val="24"/>
              </w:rPr>
            </w:pPr>
            <w:r>
              <w:rPr>
                <w:color w:val="000000"/>
                <w:kern w:val="0"/>
                <w:sz w:val="24"/>
              </w:rPr>
              <w:t>附加条件</w:t>
            </w:r>
          </w:p>
        </w:tc>
        <w:tc>
          <w:tcPr>
            <w:tcW w:w="6728" w:type="dxa"/>
            <w:vAlign w:val="center"/>
          </w:tcPr>
          <w:p w14:paraId="1B1D8AC9">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14:paraId="04BA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vAlign w:val="center"/>
          </w:tcPr>
          <w:p w14:paraId="47EDC521">
            <w:pPr>
              <w:widowControl/>
              <w:jc w:val="center"/>
              <w:rPr>
                <w:color w:val="000000"/>
                <w:kern w:val="0"/>
                <w:sz w:val="24"/>
              </w:rPr>
            </w:pPr>
            <w:r>
              <w:rPr>
                <w:rFonts w:hint="eastAsia"/>
                <w:color w:val="000000"/>
                <w:kern w:val="0"/>
                <w:sz w:val="24"/>
              </w:rPr>
              <w:t>16</w:t>
            </w:r>
          </w:p>
        </w:tc>
        <w:tc>
          <w:tcPr>
            <w:tcW w:w="1812" w:type="dxa"/>
            <w:vAlign w:val="center"/>
          </w:tcPr>
          <w:p w14:paraId="0700464E">
            <w:pPr>
              <w:widowControl/>
              <w:jc w:val="left"/>
              <w:rPr>
                <w:color w:val="000000"/>
                <w:kern w:val="0"/>
                <w:sz w:val="24"/>
              </w:rPr>
            </w:pPr>
            <w:r>
              <w:rPr>
                <w:color w:val="000000"/>
                <w:kern w:val="0"/>
                <w:sz w:val="24"/>
              </w:rPr>
              <w:t>其他无效情形</w:t>
            </w:r>
          </w:p>
        </w:tc>
        <w:tc>
          <w:tcPr>
            <w:tcW w:w="6728" w:type="dxa"/>
            <w:vAlign w:val="center"/>
          </w:tcPr>
          <w:p w14:paraId="7D272AC2">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14:paraId="25006BD5">
      <w:pPr>
        <w:numPr>
          <w:ilvl w:val="0"/>
          <w:numId w:val="14"/>
        </w:numPr>
        <w:tabs>
          <w:tab w:val="left" w:pos="1080"/>
          <w:tab w:val="left" w:pos="1589"/>
        </w:tabs>
        <w:snapToGrid w:val="0"/>
        <w:spacing w:line="360" w:lineRule="auto"/>
        <w:rPr>
          <w:sz w:val="24"/>
        </w:rPr>
        <w:sectPr>
          <w:headerReference r:id="rId13" w:type="first"/>
          <w:footerReference r:id="rId15" w:type="first"/>
          <w:headerReference r:id="rId12" w:type="even"/>
          <w:footerReference r:id="rId14" w:type="even"/>
          <w:pgSz w:w="11907" w:h="16840"/>
          <w:pgMar w:top="1418" w:right="1134" w:bottom="1418" w:left="1701" w:header="851" w:footer="851" w:gutter="0"/>
          <w:cols w:space="720" w:num="1"/>
          <w:docGrid w:linePitch="462" w:charSpace="0"/>
        </w:sectPr>
      </w:pPr>
    </w:p>
    <w:p w14:paraId="4DFC0B14">
      <w:pPr>
        <w:numPr>
          <w:ilvl w:val="0"/>
          <w:numId w:val="13"/>
        </w:numPr>
        <w:tabs>
          <w:tab w:val="left" w:pos="360"/>
        </w:tabs>
        <w:snapToGrid w:val="0"/>
        <w:spacing w:line="360" w:lineRule="auto"/>
        <w:outlineLvl w:val="1"/>
        <w:rPr>
          <w:sz w:val="24"/>
        </w:rPr>
      </w:pPr>
      <w:r>
        <w:rPr>
          <w:sz w:val="24"/>
        </w:rPr>
        <w:t>投标文件有关事项的澄清或者说明</w:t>
      </w:r>
    </w:p>
    <w:p w14:paraId="65CCD055">
      <w:pPr>
        <w:numPr>
          <w:ilvl w:val="1"/>
          <w:numId w:val="13"/>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DA2A12F">
      <w:pPr>
        <w:numPr>
          <w:ilvl w:val="1"/>
          <w:numId w:val="13"/>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1C2407DD">
      <w:pPr>
        <w:numPr>
          <w:ilvl w:val="1"/>
          <w:numId w:val="13"/>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14:paraId="70ABA458">
      <w:pPr>
        <w:numPr>
          <w:ilvl w:val="1"/>
          <w:numId w:val="13"/>
        </w:numPr>
        <w:tabs>
          <w:tab w:val="left" w:pos="1080"/>
        </w:tabs>
        <w:snapToGrid w:val="0"/>
        <w:spacing w:line="360" w:lineRule="auto"/>
        <w:ind w:left="1077" w:hanging="720"/>
        <w:rPr>
          <w:sz w:val="24"/>
        </w:rPr>
      </w:pPr>
      <w:r>
        <w:rPr>
          <w:sz w:val="24"/>
        </w:rPr>
        <w:t>投标文件报价出现前后不一致的，按照下列规定修正：</w:t>
      </w:r>
    </w:p>
    <w:p w14:paraId="1589A681">
      <w:pPr>
        <w:numPr>
          <w:ilvl w:val="2"/>
          <w:numId w:val="13"/>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02F74D80">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14:paraId="6263A898">
      <w:pPr>
        <w:tabs>
          <w:tab w:val="left" w:pos="1080"/>
          <w:tab w:val="left" w:pos="1589"/>
          <w:tab w:val="left" w:pos="2035"/>
          <w:tab w:val="left" w:pos="2114"/>
        </w:tabs>
        <w:snapToGrid w:val="0"/>
        <w:spacing w:line="360" w:lineRule="auto"/>
        <w:ind w:left="2035"/>
        <w:rPr>
          <w:sz w:val="24"/>
        </w:rPr>
      </w:pPr>
      <w:r>
        <w:rPr>
          <w:rFonts w:hint="eastAsia"/>
          <w:sz w:val="24"/>
        </w:rPr>
        <w:t>■</w:t>
      </w:r>
      <w:r>
        <w:rPr>
          <w:sz w:val="24"/>
        </w:rPr>
        <w:t>无，按下述2.4.2-2.4.7项规定修正。</w:t>
      </w:r>
    </w:p>
    <w:p w14:paraId="4EAC73F4">
      <w:pPr>
        <w:numPr>
          <w:ilvl w:val="2"/>
          <w:numId w:val="13"/>
        </w:numPr>
        <w:tabs>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14:paraId="1E850B17">
      <w:pPr>
        <w:numPr>
          <w:ilvl w:val="2"/>
          <w:numId w:val="13"/>
        </w:numPr>
        <w:tabs>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14:paraId="5E8122C9">
      <w:pPr>
        <w:numPr>
          <w:ilvl w:val="2"/>
          <w:numId w:val="1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2197D041">
      <w:pPr>
        <w:numPr>
          <w:ilvl w:val="2"/>
          <w:numId w:val="1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5F597B2C">
      <w:pPr>
        <w:numPr>
          <w:ilvl w:val="2"/>
          <w:numId w:val="1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2343E3D8">
      <w:pPr>
        <w:numPr>
          <w:ilvl w:val="2"/>
          <w:numId w:val="1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14:paraId="03123ED1">
      <w:pPr>
        <w:numPr>
          <w:ilvl w:val="1"/>
          <w:numId w:val="13"/>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14:paraId="6F41BB71">
      <w:pPr>
        <w:numPr>
          <w:ilvl w:val="2"/>
          <w:numId w:val="1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rPr>
        <w:t xml:space="preserve"> 10 </w:t>
      </w:r>
      <w:r>
        <w:rPr>
          <w:sz w:val="24"/>
        </w:rPr>
        <w:t>%的扣除，用扣除后的价格参加评审。</w:t>
      </w:r>
    </w:p>
    <w:p w14:paraId="12B1B893">
      <w:pPr>
        <w:numPr>
          <w:ilvl w:val="2"/>
          <w:numId w:val="1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4 </w:t>
      </w:r>
      <w:r>
        <w:rPr>
          <w:rFonts w:hint="eastAsia"/>
          <w:sz w:val="24"/>
        </w:rPr>
        <w:t xml:space="preserve"> </w:t>
      </w:r>
      <w:r>
        <w:rPr>
          <w:sz w:val="24"/>
        </w:rPr>
        <w:t>%的扣除，用扣除后的价格参加评审。</w:t>
      </w:r>
    </w:p>
    <w:p w14:paraId="5D54BC59">
      <w:pPr>
        <w:numPr>
          <w:ilvl w:val="2"/>
          <w:numId w:val="13"/>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65E2E926">
      <w:pPr>
        <w:numPr>
          <w:ilvl w:val="2"/>
          <w:numId w:val="1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54913A22">
      <w:pPr>
        <w:numPr>
          <w:ilvl w:val="2"/>
          <w:numId w:val="13"/>
        </w:numPr>
        <w:tabs>
          <w:tab w:val="left" w:pos="1080"/>
          <w:tab w:val="left" w:pos="1589"/>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14:paraId="332EB096">
      <w:pPr>
        <w:numPr>
          <w:ilvl w:val="2"/>
          <w:numId w:val="1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264539F1">
      <w:pPr>
        <w:numPr>
          <w:ilvl w:val="2"/>
          <w:numId w:val="13"/>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残疾人福利性单位按招标文件要求提供了《残疾人福利性单位声明函》（见附件）的，视同小微企业。</w:t>
      </w:r>
    </w:p>
    <w:p w14:paraId="50934AE3">
      <w:pPr>
        <w:numPr>
          <w:ilvl w:val="2"/>
          <w:numId w:val="13"/>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345CAAF7">
      <w:pPr>
        <w:numPr>
          <w:ilvl w:val="0"/>
          <w:numId w:val="13"/>
        </w:numPr>
        <w:tabs>
          <w:tab w:val="left" w:pos="360"/>
        </w:tabs>
        <w:snapToGrid w:val="0"/>
        <w:spacing w:line="360" w:lineRule="auto"/>
        <w:outlineLvl w:val="1"/>
        <w:rPr>
          <w:sz w:val="24"/>
        </w:rPr>
      </w:pPr>
      <w:r>
        <w:rPr>
          <w:sz w:val="24"/>
        </w:rPr>
        <w:t>投标文件的比较和评价</w:t>
      </w:r>
      <w:bookmarkEnd w:id="773"/>
      <w:bookmarkEnd w:id="774"/>
    </w:p>
    <w:p w14:paraId="17A72B1D">
      <w:pPr>
        <w:numPr>
          <w:ilvl w:val="1"/>
          <w:numId w:val="13"/>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244ED808">
      <w:pPr>
        <w:numPr>
          <w:ilvl w:val="1"/>
          <w:numId w:val="13"/>
        </w:numPr>
        <w:tabs>
          <w:tab w:val="left" w:pos="1080"/>
        </w:tabs>
        <w:snapToGrid w:val="0"/>
        <w:spacing w:line="360" w:lineRule="auto"/>
        <w:ind w:left="1077" w:hanging="720"/>
        <w:rPr>
          <w:sz w:val="24"/>
        </w:rPr>
      </w:pPr>
      <w:r>
        <w:rPr>
          <w:sz w:val="24"/>
        </w:rPr>
        <w:t>评标方法和评标标准</w:t>
      </w:r>
    </w:p>
    <w:p w14:paraId="47EC07CB">
      <w:pPr>
        <w:numPr>
          <w:ilvl w:val="2"/>
          <w:numId w:val="13"/>
        </w:numPr>
        <w:tabs>
          <w:tab w:val="left" w:pos="1080"/>
          <w:tab w:val="left" w:pos="1589"/>
          <w:tab w:val="left" w:pos="2035"/>
        </w:tabs>
        <w:snapToGrid w:val="0"/>
        <w:spacing w:line="360" w:lineRule="auto"/>
        <w:ind w:left="2035"/>
        <w:rPr>
          <w:sz w:val="24"/>
        </w:rPr>
      </w:pPr>
      <w:r>
        <w:rPr>
          <w:sz w:val="24"/>
        </w:rPr>
        <w:t>本项目采用的评标方法为：</w:t>
      </w:r>
    </w:p>
    <w:p w14:paraId="79F2CE17">
      <w:pPr>
        <w:tabs>
          <w:tab w:val="left" w:pos="900"/>
          <w:tab w:val="left" w:pos="1589"/>
          <w:tab w:val="left" w:pos="1701"/>
        </w:tabs>
        <w:snapToGrid w:val="0"/>
        <w:spacing w:line="360" w:lineRule="auto"/>
        <w:ind w:left="1985"/>
        <w:rPr>
          <w:sz w:val="24"/>
        </w:rPr>
      </w:pPr>
      <w:r>
        <w:rPr>
          <w:rFonts w:hint="eastAsia"/>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14:paraId="156D7C29">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14:paraId="188B1919">
      <w:pPr>
        <w:numPr>
          <w:ilvl w:val="2"/>
          <w:numId w:val="13"/>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364C74F3">
      <w:pPr>
        <w:tabs>
          <w:tab w:val="left" w:pos="1080"/>
          <w:tab w:val="left" w:pos="1589"/>
          <w:tab w:val="left" w:pos="2035"/>
        </w:tabs>
        <w:snapToGrid w:val="0"/>
        <w:spacing w:line="360" w:lineRule="auto"/>
        <w:ind w:left="2035"/>
        <w:rPr>
          <w:sz w:val="24"/>
        </w:rPr>
      </w:pPr>
      <w:r>
        <w:rPr>
          <w:sz w:val="24"/>
        </w:rPr>
        <w:t>□随机抽取</w:t>
      </w:r>
    </w:p>
    <w:p w14:paraId="7B6AE862">
      <w:pPr>
        <w:tabs>
          <w:tab w:val="left" w:pos="1080"/>
          <w:tab w:val="left" w:pos="1589"/>
          <w:tab w:val="left" w:pos="2035"/>
        </w:tabs>
        <w:snapToGrid w:val="0"/>
        <w:spacing w:line="360" w:lineRule="auto"/>
        <w:ind w:left="2035"/>
        <w:rPr>
          <w:sz w:val="24"/>
          <w:u w:val="single"/>
        </w:rPr>
      </w:pPr>
      <w:r>
        <w:rPr>
          <w:sz w:val="24"/>
        </w:rPr>
        <w:t>□其他方式，具体要求：___</w:t>
      </w:r>
      <w:r>
        <w:rPr>
          <w:rFonts w:hint="eastAsia"/>
          <w:sz w:val="24"/>
        </w:rPr>
        <w:t>/</w:t>
      </w:r>
      <w:r>
        <w:rPr>
          <w:sz w:val="24"/>
        </w:rPr>
        <w:t>__</w:t>
      </w:r>
    </w:p>
    <w:p w14:paraId="740B3772">
      <w:pPr>
        <w:numPr>
          <w:ilvl w:val="2"/>
          <w:numId w:val="13"/>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非政府强制采购的节能产品或环境标志产品，依据品目清单和认证证书实施政府优先采购。优先采购的具体规定（如涉及）___</w:t>
      </w:r>
      <w:r>
        <w:rPr>
          <w:rFonts w:hint="eastAsia"/>
          <w:sz w:val="24"/>
        </w:rPr>
        <w:t>/</w:t>
      </w:r>
      <w:r>
        <w:rPr>
          <w:sz w:val="24"/>
        </w:rPr>
        <w:t>__。</w:t>
      </w:r>
    </w:p>
    <w:p w14:paraId="56EBC72C">
      <w:pPr>
        <w:numPr>
          <w:ilvl w:val="0"/>
          <w:numId w:val="13"/>
        </w:numPr>
        <w:tabs>
          <w:tab w:val="left" w:pos="360"/>
        </w:tabs>
        <w:snapToGrid w:val="0"/>
        <w:spacing w:line="360" w:lineRule="auto"/>
        <w:outlineLvl w:val="1"/>
        <w:rPr>
          <w:sz w:val="24"/>
        </w:rPr>
      </w:pPr>
      <w:r>
        <w:rPr>
          <w:sz w:val="24"/>
        </w:rPr>
        <w:t>确定</w:t>
      </w:r>
      <w:bookmarkStart w:id="790" w:name="_Toc520356170"/>
      <w:bookmarkStart w:id="791" w:name="_Toc164608660"/>
      <w:bookmarkStart w:id="792" w:name="_Ref467307010"/>
      <w:bookmarkStart w:id="793" w:name="_Toc151193788"/>
      <w:bookmarkStart w:id="794" w:name="_Toc226309790"/>
      <w:bookmarkStart w:id="795" w:name="_Toc142311048"/>
      <w:bookmarkStart w:id="796" w:name="_Toc164229387"/>
      <w:bookmarkStart w:id="797" w:name="_Toc226337242"/>
      <w:bookmarkStart w:id="798" w:name="_Toc265228384"/>
      <w:bookmarkStart w:id="799" w:name="_Toc151193644"/>
      <w:bookmarkStart w:id="800" w:name="_Toc226965819"/>
      <w:bookmarkStart w:id="801" w:name="_Toc151193716"/>
      <w:bookmarkStart w:id="802" w:name="_Toc151190173"/>
      <w:bookmarkStart w:id="803" w:name="_Toc150480784"/>
      <w:bookmarkStart w:id="804" w:name="_Toc264969236"/>
      <w:bookmarkStart w:id="805" w:name="_Toc151193860"/>
      <w:bookmarkStart w:id="806" w:name="_Toc305158814"/>
      <w:bookmarkStart w:id="807" w:name="_Toc127151546"/>
      <w:bookmarkStart w:id="808" w:name="_Toc164608815"/>
      <w:bookmarkStart w:id="809" w:name="_Toc150774751"/>
      <w:bookmarkStart w:id="810" w:name="_Toc164229241"/>
      <w:bookmarkStart w:id="811" w:name="_Toc150509297"/>
      <w:bookmarkStart w:id="812" w:name="_Toc195842911"/>
      <w:bookmarkStart w:id="813" w:name="_Toc305158888"/>
      <w:bookmarkStart w:id="814" w:name="_Toc127161460"/>
      <w:bookmarkStart w:id="815" w:name="_Toc127151747"/>
      <w:bookmarkStart w:id="816" w:name="_Toc151193934"/>
      <w:bookmarkStart w:id="817" w:name="_Toc150774646"/>
      <w:bookmarkStart w:id="818" w:name="_Toc164351640"/>
      <w:bookmarkStart w:id="819" w:name="_Toc149720839"/>
      <w:bookmarkStart w:id="820" w:name="_Toc226965736"/>
      <w:r>
        <w:rPr>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723B0E6D">
      <w:pPr>
        <w:numPr>
          <w:ilvl w:val="1"/>
          <w:numId w:val="13"/>
        </w:numPr>
        <w:tabs>
          <w:tab w:val="left" w:pos="1080"/>
        </w:tabs>
        <w:snapToGrid w:val="0"/>
        <w:spacing w:line="360" w:lineRule="auto"/>
        <w:ind w:left="1077" w:hanging="720"/>
        <w:rPr>
          <w:spacing w:val="1"/>
          <w:sz w:val="24"/>
        </w:rPr>
      </w:pPr>
      <w:r>
        <w:rPr>
          <w:rFonts w:hint="eastAsia"/>
          <w:spacing w:val="2"/>
          <w:sz w:val="24"/>
        </w:rPr>
        <w:t>采用</w:t>
      </w:r>
      <w:r>
        <w:rPr>
          <w:spacing w:val="2"/>
          <w:sz w:val="24"/>
        </w:rPr>
        <w:t>综合评分法时</w:t>
      </w:r>
      <w:r>
        <w:rPr>
          <w:spacing w:val="-26"/>
          <w:sz w:val="24"/>
        </w:rPr>
        <w:t xml:space="preserve"> </w:t>
      </w:r>
      <w:r>
        <w:rPr>
          <w:spacing w:val="2"/>
          <w:sz w:val="24"/>
        </w:rPr>
        <w:t>，提供相同品牌产品（单一</w:t>
      </w:r>
      <w:r>
        <w:rPr>
          <w:spacing w:val="1"/>
          <w:sz w:val="24"/>
        </w:rPr>
        <w:t>产品或核心产品品牌相同）且</w:t>
      </w:r>
      <w:r>
        <w:rPr>
          <w:sz w:val="24"/>
        </w:rPr>
        <w:t xml:space="preserve"> </w:t>
      </w:r>
      <w:r>
        <w:rPr>
          <w:spacing w:val="1"/>
          <w:sz w:val="24"/>
        </w:rPr>
        <w:t>通过资格审查</w:t>
      </w:r>
      <w:r>
        <w:rPr>
          <w:spacing w:val="-35"/>
          <w:sz w:val="24"/>
        </w:rPr>
        <w:t xml:space="preserve"> </w:t>
      </w:r>
      <w:r>
        <w:rPr>
          <w:spacing w:val="1"/>
          <w:sz w:val="24"/>
        </w:rPr>
        <w:t>、符合性审查的不同投标人参加同一合同项下投标的，按一家</w:t>
      </w:r>
      <w:r>
        <w:rPr>
          <w:sz w:val="24"/>
        </w:rPr>
        <w:t xml:space="preserve"> </w:t>
      </w:r>
      <w:r>
        <w:rPr>
          <w:spacing w:val="2"/>
          <w:sz w:val="24"/>
        </w:rPr>
        <w:t>投标人计算，评审后得分最高的同品牌投标人获得中标人推荐资格；评审得分相同</w:t>
      </w:r>
      <w:r>
        <w:rPr>
          <w:spacing w:val="1"/>
          <w:sz w:val="24"/>
        </w:rPr>
        <w:t>的，评标委员会按照下述规定确定一个投标人获得中标人推荐资格， 其他同品牌投标人不作为中标候选人。</w:t>
      </w:r>
    </w:p>
    <w:p w14:paraId="1F4A9631">
      <w:pPr>
        <w:tabs>
          <w:tab w:val="left" w:pos="1080"/>
        </w:tabs>
        <w:snapToGrid w:val="0"/>
        <w:spacing w:line="360" w:lineRule="auto"/>
        <w:ind w:left="357" w:firstLine="726" w:firstLineChars="300"/>
        <w:rPr>
          <w:spacing w:val="1"/>
          <w:sz w:val="24"/>
        </w:rPr>
      </w:pPr>
      <w:r>
        <w:rPr>
          <w:rFonts w:hint="eastAsia"/>
          <w:spacing w:val="1"/>
          <w:sz w:val="24"/>
        </w:rPr>
        <w:t>□</w:t>
      </w:r>
      <w:r>
        <w:rPr>
          <w:spacing w:val="1"/>
          <w:sz w:val="24"/>
        </w:rPr>
        <w:t>随机抽取</w:t>
      </w:r>
    </w:p>
    <w:p w14:paraId="0EC29A39">
      <w:pPr>
        <w:tabs>
          <w:tab w:val="left" w:pos="1080"/>
        </w:tabs>
        <w:snapToGrid w:val="0"/>
        <w:spacing w:line="360" w:lineRule="auto"/>
        <w:ind w:left="357" w:firstLine="726" w:firstLineChars="300"/>
        <w:rPr>
          <w:sz w:val="24"/>
        </w:rPr>
      </w:pPr>
      <w:r>
        <w:rPr>
          <w:rFonts w:hint="eastAsia"/>
          <w:spacing w:val="1"/>
          <w:sz w:val="24"/>
        </w:rPr>
        <w:t>□</w:t>
      </w:r>
      <w:r>
        <w:rPr>
          <w:spacing w:val="1"/>
          <w:sz w:val="24"/>
        </w:rPr>
        <w:t>其他方式，具体要求：__</w:t>
      </w:r>
      <w:r>
        <w:rPr>
          <w:rFonts w:hint="eastAsia"/>
          <w:spacing w:val="1"/>
          <w:sz w:val="24"/>
        </w:rPr>
        <w:t>/</w:t>
      </w:r>
      <w:r>
        <w:rPr>
          <w:spacing w:val="1"/>
          <w:sz w:val="24"/>
        </w:rPr>
        <w:t>___</w:t>
      </w:r>
    </w:p>
    <w:p w14:paraId="08541999">
      <w:pPr>
        <w:numPr>
          <w:ilvl w:val="1"/>
          <w:numId w:val="13"/>
        </w:numPr>
        <w:tabs>
          <w:tab w:val="left" w:pos="1080"/>
        </w:tabs>
        <w:snapToGrid w:val="0"/>
        <w:spacing w:line="360" w:lineRule="auto"/>
        <w:ind w:left="1077" w:hanging="720"/>
        <w:rPr>
          <w:sz w:val="24"/>
        </w:rPr>
      </w:pPr>
      <w:r>
        <w:rPr>
          <w:sz w:val="24"/>
        </w:rPr>
        <w:t>采用综合评分法时，评标结果按评审后得分由高到低顺序排列。得分相同的， 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F0AE096">
      <w:pPr>
        <w:numPr>
          <w:ilvl w:val="1"/>
          <w:numId w:val="13"/>
        </w:numPr>
        <w:tabs>
          <w:tab w:val="left" w:pos="1080"/>
        </w:tabs>
        <w:snapToGrid w:val="0"/>
        <w:spacing w:line="360" w:lineRule="auto"/>
        <w:ind w:left="1077" w:hanging="720"/>
        <w:rPr>
          <w:sz w:val="24"/>
        </w:rPr>
      </w:pPr>
      <w:r>
        <w:rPr>
          <w:spacing w:val="1"/>
          <w:sz w:val="24"/>
        </w:rPr>
        <w:t xml:space="preserve">采用最低评标价法时，评标结果按本章 </w:t>
      </w:r>
      <w:r>
        <w:rPr>
          <w:rFonts w:ascii="Arial" w:hAnsi="Arial" w:eastAsia="Arial" w:cs="Arial"/>
          <w:spacing w:val="1"/>
          <w:sz w:val="24"/>
        </w:rPr>
        <w:t>2.4</w:t>
      </w:r>
      <w:r>
        <w:rPr>
          <w:spacing w:val="1"/>
          <w:sz w:val="24"/>
        </w:rPr>
        <w:t>、</w:t>
      </w:r>
      <w:r>
        <w:rPr>
          <w:rFonts w:ascii="Arial" w:hAnsi="Arial" w:eastAsia="Arial" w:cs="Arial"/>
          <w:spacing w:val="1"/>
          <w:sz w:val="24"/>
        </w:rPr>
        <w:t xml:space="preserve">2.5 </w:t>
      </w:r>
      <w:r>
        <w:rPr>
          <w:spacing w:val="1"/>
          <w:sz w:val="24"/>
        </w:rPr>
        <w:t>调整</w:t>
      </w:r>
      <w:r>
        <w:rPr>
          <w:sz w:val="24"/>
        </w:rPr>
        <w:t>后的投标报价由低到高 顺序排列</w:t>
      </w:r>
      <w:r>
        <w:rPr>
          <w:spacing w:val="-30"/>
          <w:sz w:val="24"/>
        </w:rPr>
        <w:t xml:space="preserve"> </w:t>
      </w:r>
      <w:r>
        <w:rPr>
          <w:sz w:val="24"/>
        </w:rPr>
        <w:t>。投标报价相同的并列</w:t>
      </w:r>
      <w:r>
        <w:rPr>
          <w:spacing w:val="-40"/>
          <w:sz w:val="24"/>
        </w:rPr>
        <w:t xml:space="preserve"> </w:t>
      </w:r>
      <w:r>
        <w:rPr>
          <w:sz w:val="24"/>
        </w:rPr>
        <w:t>。投标文件满足招标文件全部实质性要求且 投标报价最低的投标人为排名第一的中标候选</w:t>
      </w:r>
      <w:r>
        <w:rPr>
          <w:spacing w:val="-1"/>
          <w:sz w:val="24"/>
        </w:rPr>
        <w:t>人。</w:t>
      </w:r>
    </w:p>
    <w:p w14:paraId="57F03C0B">
      <w:pPr>
        <w:numPr>
          <w:ilvl w:val="1"/>
          <w:numId w:val="13"/>
        </w:numPr>
        <w:tabs>
          <w:tab w:val="left" w:pos="1080"/>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14:paraId="161A27AE">
      <w:pPr>
        <w:numPr>
          <w:ilvl w:val="1"/>
          <w:numId w:val="13"/>
        </w:numPr>
        <w:tabs>
          <w:tab w:val="left" w:pos="1080"/>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3</w:t>
      </w:r>
      <w:r>
        <w:rPr>
          <w:sz w:val="24"/>
        </w:rPr>
        <w:t>名中标候选人。</w:t>
      </w:r>
    </w:p>
    <w:p w14:paraId="64A7FC6C">
      <w:pPr>
        <w:numPr>
          <w:ilvl w:val="0"/>
          <w:numId w:val="13"/>
        </w:numPr>
        <w:tabs>
          <w:tab w:val="left" w:pos="360"/>
        </w:tabs>
        <w:snapToGrid w:val="0"/>
        <w:spacing w:line="360" w:lineRule="auto"/>
        <w:outlineLvl w:val="1"/>
        <w:rPr>
          <w:sz w:val="24"/>
        </w:rPr>
      </w:pPr>
      <w:r>
        <w:rPr>
          <w:sz w:val="24"/>
        </w:rPr>
        <w:t>报告违法行为</w:t>
      </w:r>
    </w:p>
    <w:p w14:paraId="5E3B227E">
      <w:pPr>
        <w:numPr>
          <w:ilvl w:val="1"/>
          <w:numId w:val="13"/>
        </w:numPr>
        <w:tabs>
          <w:tab w:val="left" w:pos="1080"/>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14:paraId="538B5B62">
      <w:pPr>
        <w:numPr>
          <w:ilvl w:val="0"/>
          <w:numId w:val="15"/>
        </w:numPr>
        <w:tabs>
          <w:tab w:val="left" w:pos="360"/>
          <w:tab w:val="left" w:pos="900"/>
        </w:tabs>
        <w:snapToGrid w:val="0"/>
        <w:spacing w:line="360" w:lineRule="auto"/>
        <w:jc w:val="center"/>
        <w:outlineLvl w:val="1"/>
        <w:rPr>
          <w:b/>
          <w:sz w:val="24"/>
        </w:rPr>
      </w:pPr>
      <w:r>
        <w:rPr>
          <w:b/>
          <w:sz w:val="24"/>
        </w:rPr>
        <w:br w:type="page"/>
      </w:r>
      <w:r>
        <w:rPr>
          <w:b/>
          <w:sz w:val="24"/>
        </w:rPr>
        <w:t>评标标准</w:t>
      </w:r>
    </w:p>
    <w:tbl>
      <w:tblPr>
        <w:tblStyle w:val="45"/>
        <w:tblpPr w:leftFromText="180" w:rightFromText="180" w:vertAnchor="text" w:horzAnchor="page" w:tblpX="1809" w:tblpY="449"/>
        <w:tblOverlap w:val="never"/>
        <w:tblW w:w="9529" w:type="dxa"/>
        <w:tblInd w:w="0" w:type="dxa"/>
        <w:tblLayout w:type="autofit"/>
        <w:tblCellMar>
          <w:top w:w="0" w:type="dxa"/>
          <w:left w:w="108" w:type="dxa"/>
          <w:bottom w:w="0" w:type="dxa"/>
          <w:right w:w="108" w:type="dxa"/>
        </w:tblCellMar>
      </w:tblPr>
      <w:tblGrid>
        <w:gridCol w:w="535"/>
        <w:gridCol w:w="972"/>
        <w:gridCol w:w="1375"/>
        <w:gridCol w:w="972"/>
        <w:gridCol w:w="5675"/>
      </w:tblGrid>
      <w:tr w14:paraId="1E05E557">
        <w:tblPrEx>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A6D57A">
            <w:pPr>
              <w:widowControl/>
              <w:jc w:val="center"/>
              <w:textAlignment w:val="center"/>
              <w:rPr>
                <w:rFonts w:ascii="宋体" w:hAnsi="宋体" w:cs="宋体"/>
                <w:color w:val="000000"/>
                <w:szCs w:val="21"/>
              </w:rPr>
            </w:pPr>
            <w:bookmarkStart w:id="821" w:name="_Toc99301424"/>
            <w:r>
              <w:rPr>
                <w:rFonts w:hint="eastAsia" w:ascii="宋体" w:hAnsi="宋体" w:cs="宋体"/>
                <w:color w:val="000000"/>
                <w:kern w:val="0"/>
                <w:szCs w:val="21"/>
              </w:rPr>
              <w:t>序号</w:t>
            </w:r>
          </w:p>
        </w:tc>
        <w:tc>
          <w:tcPr>
            <w:tcW w:w="9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1271F9">
            <w:pPr>
              <w:widowControl/>
              <w:jc w:val="center"/>
              <w:textAlignment w:val="center"/>
              <w:rPr>
                <w:rFonts w:ascii="宋体" w:hAnsi="宋体" w:cs="宋体"/>
                <w:color w:val="000000"/>
                <w:szCs w:val="21"/>
              </w:rPr>
            </w:pPr>
            <w:r>
              <w:rPr>
                <w:rFonts w:hint="eastAsia" w:ascii="宋体" w:hAnsi="宋体" w:cs="宋体"/>
                <w:color w:val="000000"/>
                <w:kern w:val="0"/>
                <w:szCs w:val="21"/>
              </w:rPr>
              <w:t>评分因素</w:t>
            </w:r>
          </w:p>
        </w:tc>
        <w:tc>
          <w:tcPr>
            <w:tcW w:w="1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4B8994">
            <w:pPr>
              <w:widowControl/>
              <w:jc w:val="center"/>
              <w:textAlignment w:val="center"/>
              <w:rPr>
                <w:rFonts w:ascii="宋体" w:hAnsi="宋体" w:cs="宋体"/>
                <w:color w:val="000000"/>
                <w:szCs w:val="21"/>
              </w:rPr>
            </w:pPr>
            <w:r>
              <w:rPr>
                <w:rFonts w:hint="eastAsia" w:ascii="宋体" w:hAnsi="宋体" w:cs="宋体"/>
                <w:color w:val="000000"/>
                <w:kern w:val="0"/>
                <w:szCs w:val="21"/>
              </w:rPr>
              <w:t>评审内容</w:t>
            </w:r>
          </w:p>
        </w:tc>
        <w:tc>
          <w:tcPr>
            <w:tcW w:w="9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E968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5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352E8F">
            <w:pPr>
              <w:widowControl/>
              <w:jc w:val="left"/>
              <w:textAlignment w:val="center"/>
              <w:rPr>
                <w:rFonts w:ascii="宋体" w:hAnsi="宋体" w:cs="宋体"/>
                <w:color w:val="000000"/>
                <w:szCs w:val="21"/>
              </w:rPr>
            </w:pPr>
            <w:r>
              <w:rPr>
                <w:rFonts w:hint="eastAsia" w:ascii="宋体" w:hAnsi="宋体" w:cs="宋体"/>
                <w:color w:val="000000"/>
                <w:kern w:val="0"/>
                <w:szCs w:val="21"/>
              </w:rPr>
              <w:t>评审细则说明</w:t>
            </w:r>
          </w:p>
        </w:tc>
      </w:tr>
      <w:tr w14:paraId="390BF40B">
        <w:tblPrEx>
          <w:tblCellMar>
            <w:top w:w="0" w:type="dxa"/>
            <w:left w:w="108" w:type="dxa"/>
            <w:bottom w:w="0" w:type="dxa"/>
            <w:right w:w="108" w:type="dxa"/>
          </w:tblCellMar>
        </w:tblPrEx>
        <w:trPr>
          <w:trHeight w:val="600" w:hRule="atLeast"/>
        </w:trPr>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7AD378">
            <w:pPr>
              <w:widowControl/>
              <w:jc w:val="left"/>
              <w:textAlignment w:val="center"/>
              <w:rPr>
                <w:rFonts w:ascii="宋体" w:hAnsi="宋体" w:cs="宋体"/>
                <w:color w:val="000000"/>
                <w:kern w:val="0"/>
                <w:szCs w:val="21"/>
              </w:rPr>
            </w:pPr>
            <w:r>
              <w:rPr>
                <w:rFonts w:hint="eastAsia" w:ascii="宋体" w:hAnsi="宋体" w:cs="宋体"/>
                <w:color w:val="000000"/>
                <w:kern w:val="0"/>
                <w:szCs w:val="21"/>
              </w:rPr>
              <w:t>1</w:t>
            </w:r>
          </w:p>
        </w:tc>
        <w:tc>
          <w:tcPr>
            <w:tcW w:w="9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958911">
            <w:pPr>
              <w:widowControl/>
              <w:jc w:val="left"/>
              <w:textAlignment w:val="center"/>
              <w:rPr>
                <w:rFonts w:ascii="宋体" w:hAnsi="宋体" w:cs="宋体"/>
                <w:color w:val="000000"/>
                <w:kern w:val="0"/>
                <w:szCs w:val="21"/>
              </w:rPr>
            </w:pPr>
            <w:r>
              <w:rPr>
                <w:rFonts w:hint="eastAsia" w:ascii="宋体" w:hAnsi="宋体" w:cs="宋体"/>
                <w:color w:val="000000"/>
                <w:kern w:val="0"/>
                <w:szCs w:val="21"/>
              </w:rPr>
              <w:t>投标报价</w:t>
            </w:r>
          </w:p>
        </w:tc>
        <w:tc>
          <w:tcPr>
            <w:tcW w:w="1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0CF41F">
            <w:pPr>
              <w:widowControl/>
              <w:jc w:val="left"/>
              <w:textAlignment w:val="center"/>
              <w:rPr>
                <w:rFonts w:ascii="宋体" w:hAnsi="宋体" w:cs="宋体"/>
                <w:kern w:val="0"/>
                <w:szCs w:val="21"/>
              </w:rPr>
            </w:pPr>
            <w:r>
              <w:rPr>
                <w:rFonts w:hint="eastAsia" w:ascii="宋体" w:hAnsi="宋体" w:cs="宋体"/>
                <w:kern w:val="0"/>
                <w:szCs w:val="21"/>
              </w:rPr>
              <w:t>价格</w:t>
            </w:r>
          </w:p>
        </w:tc>
        <w:tc>
          <w:tcPr>
            <w:tcW w:w="9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D2111F">
            <w:pPr>
              <w:widowControl/>
              <w:jc w:val="left"/>
              <w:textAlignment w:val="center"/>
              <w:rPr>
                <w:rFonts w:ascii="宋体" w:hAnsi="宋体" w:cs="宋体"/>
                <w:kern w:val="0"/>
                <w:szCs w:val="21"/>
              </w:rPr>
            </w:pPr>
            <w:r>
              <w:rPr>
                <w:rFonts w:hint="eastAsia" w:ascii="宋体" w:hAnsi="宋体" w:cs="宋体"/>
                <w:kern w:val="0"/>
                <w:szCs w:val="21"/>
              </w:rPr>
              <w:t>10分</w:t>
            </w:r>
          </w:p>
        </w:tc>
        <w:tc>
          <w:tcPr>
            <w:tcW w:w="5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26FF93">
            <w:pPr>
              <w:widowControl/>
              <w:jc w:val="left"/>
              <w:textAlignment w:val="center"/>
              <w:rPr>
                <w:rFonts w:ascii="宋体" w:hAnsi="宋体" w:cs="宋体"/>
                <w:kern w:val="0"/>
                <w:szCs w:val="21"/>
              </w:rPr>
            </w:pPr>
            <w:r>
              <w:rPr>
                <w:rFonts w:hint="eastAsia" w:ascii="宋体" w:hAnsi="宋体" w:cs="宋体"/>
                <w:kern w:val="0"/>
                <w:szCs w:val="21"/>
              </w:rPr>
              <w:t>投标报价得分=（评标基准价/投标报价）×10×100%</w:t>
            </w:r>
          </w:p>
          <w:p w14:paraId="46C336E8">
            <w:pPr>
              <w:widowControl/>
              <w:jc w:val="left"/>
              <w:textAlignment w:val="center"/>
              <w:rPr>
                <w:rFonts w:ascii="宋体" w:hAnsi="宋体" w:cs="宋体"/>
                <w:kern w:val="0"/>
                <w:szCs w:val="21"/>
              </w:rPr>
            </w:pPr>
            <w:r>
              <w:rPr>
                <w:rFonts w:hint="eastAsia" w:ascii="宋体" w:hAnsi="宋体" w:cs="宋体"/>
                <w:kern w:val="0"/>
                <w:szCs w:val="21"/>
              </w:rPr>
              <w:t>评标基准价=所有投标人中有效报价的最低价</w:t>
            </w:r>
          </w:p>
          <w:p w14:paraId="55347803">
            <w:pPr>
              <w:widowControl/>
              <w:jc w:val="left"/>
              <w:textAlignment w:val="center"/>
              <w:rPr>
                <w:rFonts w:ascii="宋体" w:hAnsi="宋体" w:cs="宋体"/>
                <w:kern w:val="0"/>
                <w:szCs w:val="21"/>
              </w:rPr>
            </w:pPr>
            <w:r>
              <w:rPr>
                <w:rFonts w:hint="eastAsia" w:ascii="宋体" w:hAnsi="宋体" w:cs="宋体"/>
                <w:kern w:val="0"/>
                <w:szCs w:val="21"/>
              </w:rPr>
              <w:t>(注:1.实质性响应招标文件要求且最低评标价为评标基准价2.投标人报价低于成本的除外。)</w:t>
            </w:r>
          </w:p>
          <w:p w14:paraId="538AF45D">
            <w:pPr>
              <w:widowControl/>
              <w:jc w:val="left"/>
              <w:textAlignment w:val="center"/>
              <w:rPr>
                <w:rFonts w:ascii="宋体" w:hAnsi="宋体" w:cs="宋体"/>
                <w:kern w:val="0"/>
                <w:szCs w:val="21"/>
              </w:rPr>
            </w:pPr>
            <w:r>
              <w:rPr>
                <w:rFonts w:hint="eastAsia" w:ascii="宋体" w:hAnsi="宋体" w:cs="宋体"/>
                <w:kern w:val="0"/>
                <w:szCs w:val="21"/>
              </w:rPr>
              <w:t>（1）监狱、戒毒企业、残疾人福利性单位视同为小微企业，需提供相关证明材料。</w:t>
            </w:r>
          </w:p>
          <w:p w14:paraId="6516D0D2">
            <w:pPr>
              <w:widowControl/>
              <w:jc w:val="left"/>
              <w:textAlignment w:val="center"/>
              <w:rPr>
                <w:rFonts w:ascii="宋体" w:hAnsi="宋体" w:cs="宋体"/>
                <w:kern w:val="0"/>
                <w:szCs w:val="21"/>
              </w:rPr>
            </w:pPr>
            <w:r>
              <w:rPr>
                <w:rFonts w:hint="eastAsia" w:ascii="宋体" w:hAnsi="宋体" w:cs="宋体"/>
                <w:kern w:val="0"/>
                <w:szCs w:val="21"/>
              </w:rPr>
              <w:t>（2）参与政府采购活动的小微企业、监狱、戒毒企业、残疾人福利性单位应当提供本办法规定的声明函《小微企业声明函》、《监狱、戒毒企业声明函》、《残疾人福利性单位声明函》。</w:t>
            </w:r>
          </w:p>
        </w:tc>
      </w:tr>
      <w:tr w14:paraId="022D61CC">
        <w:tblPrEx>
          <w:tblCellMar>
            <w:top w:w="0" w:type="dxa"/>
            <w:left w:w="108" w:type="dxa"/>
            <w:bottom w:w="0" w:type="dxa"/>
            <w:right w:w="108" w:type="dxa"/>
          </w:tblCellMar>
        </w:tblPrEx>
        <w:trPr>
          <w:trHeight w:val="2190" w:hRule="atLeast"/>
        </w:trPr>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126D9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9BEB8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技术部分</w:t>
            </w:r>
          </w:p>
        </w:tc>
        <w:tc>
          <w:tcPr>
            <w:tcW w:w="1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36AC3C">
            <w:pPr>
              <w:widowControl/>
              <w:jc w:val="left"/>
              <w:textAlignment w:val="center"/>
              <w:rPr>
                <w:rFonts w:ascii="宋体" w:hAnsi="宋体" w:cs="宋体"/>
                <w:kern w:val="0"/>
                <w:szCs w:val="21"/>
              </w:rPr>
            </w:pPr>
            <w:r>
              <w:rPr>
                <w:rFonts w:hint="eastAsia" w:ascii="宋体" w:hAnsi="宋体" w:cs="宋体"/>
                <w:kern w:val="0"/>
                <w:szCs w:val="21"/>
              </w:rPr>
              <w:t>需求理解</w:t>
            </w:r>
          </w:p>
        </w:tc>
        <w:tc>
          <w:tcPr>
            <w:tcW w:w="9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1EF7C6">
            <w:pPr>
              <w:widowControl/>
              <w:jc w:val="left"/>
              <w:textAlignment w:val="center"/>
              <w:rPr>
                <w:rFonts w:ascii="宋体" w:hAnsi="宋体" w:cs="宋体"/>
                <w:kern w:val="0"/>
                <w:szCs w:val="21"/>
              </w:rPr>
            </w:pPr>
            <w:r>
              <w:rPr>
                <w:rFonts w:hint="eastAsia" w:ascii="宋体" w:hAnsi="宋体" w:cs="宋体"/>
                <w:kern w:val="0"/>
                <w:szCs w:val="21"/>
              </w:rPr>
              <w:t>8分</w:t>
            </w:r>
          </w:p>
        </w:tc>
        <w:tc>
          <w:tcPr>
            <w:tcW w:w="5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D9146E">
            <w:pPr>
              <w:widowControl/>
              <w:jc w:val="left"/>
              <w:textAlignment w:val="center"/>
              <w:rPr>
                <w:rFonts w:ascii="宋体" w:hAnsi="宋体" w:cs="宋体"/>
                <w:kern w:val="0"/>
                <w:szCs w:val="21"/>
              </w:rPr>
            </w:pPr>
            <w:r>
              <w:rPr>
                <w:rFonts w:hint="eastAsia" w:ascii="宋体" w:hAnsi="宋体" w:cs="宋体"/>
                <w:kern w:val="0"/>
                <w:szCs w:val="21"/>
              </w:rPr>
              <w:t>基于本项目提出的要求，能够全面理解，并对现状进行充分分析，明确用户痛点，并能够给出合理化建议。</w:t>
            </w:r>
            <w:r>
              <w:rPr>
                <w:rFonts w:hint="eastAsia" w:ascii="宋体" w:hAnsi="宋体" w:cs="宋体"/>
                <w:kern w:val="0"/>
                <w:szCs w:val="21"/>
              </w:rPr>
              <w:br w:type="textWrapping"/>
            </w:r>
            <w:r>
              <w:rPr>
                <w:rFonts w:hint="eastAsia" w:ascii="宋体" w:hAnsi="宋体" w:cs="宋体"/>
                <w:kern w:val="0"/>
                <w:szCs w:val="21"/>
              </w:rPr>
              <w:t>重点难点分析完全贴合项目实际情况，并能够给出合理化建议，且满足项目实际需要，得8分；</w:t>
            </w:r>
            <w:r>
              <w:rPr>
                <w:rFonts w:hint="eastAsia" w:ascii="宋体" w:hAnsi="宋体" w:cs="宋体"/>
                <w:kern w:val="0"/>
                <w:szCs w:val="21"/>
              </w:rPr>
              <w:br w:type="textWrapping"/>
            </w:r>
            <w:r>
              <w:rPr>
                <w:rFonts w:hint="eastAsia" w:ascii="宋体" w:hAnsi="宋体" w:cs="宋体"/>
                <w:kern w:val="0"/>
                <w:szCs w:val="21"/>
              </w:rPr>
              <w:t>重点难点分析较贴合项目实际情况，得5分；</w:t>
            </w:r>
            <w:r>
              <w:rPr>
                <w:rFonts w:hint="eastAsia" w:ascii="宋体" w:hAnsi="宋体" w:cs="宋体"/>
                <w:kern w:val="0"/>
                <w:szCs w:val="21"/>
              </w:rPr>
              <w:br w:type="textWrapping"/>
            </w:r>
            <w:r>
              <w:rPr>
                <w:rFonts w:hint="eastAsia" w:ascii="宋体" w:hAnsi="宋体" w:cs="宋体"/>
                <w:kern w:val="0"/>
                <w:szCs w:val="21"/>
              </w:rPr>
              <w:t>重点难点分析贴合项目实际情况一般的，得 3 分；</w:t>
            </w:r>
            <w:r>
              <w:rPr>
                <w:rFonts w:hint="eastAsia" w:ascii="宋体" w:hAnsi="宋体" w:cs="宋体"/>
                <w:kern w:val="0"/>
                <w:szCs w:val="21"/>
              </w:rPr>
              <w:br w:type="textWrapping"/>
            </w:r>
            <w:r>
              <w:rPr>
                <w:rFonts w:hint="eastAsia" w:ascii="宋体" w:hAnsi="宋体" w:cs="宋体"/>
                <w:kern w:val="0"/>
                <w:szCs w:val="21"/>
              </w:rPr>
              <w:t>重点难点分析不贴合项目实际情况，得 1 分；</w:t>
            </w:r>
            <w:r>
              <w:rPr>
                <w:rFonts w:hint="eastAsia" w:ascii="宋体" w:hAnsi="宋体" w:cs="宋体"/>
                <w:kern w:val="0"/>
                <w:szCs w:val="21"/>
              </w:rPr>
              <w:br w:type="textWrapping"/>
            </w:r>
            <w:r>
              <w:rPr>
                <w:rFonts w:hint="eastAsia" w:ascii="宋体" w:hAnsi="宋体" w:cs="宋体"/>
                <w:kern w:val="0"/>
                <w:szCs w:val="21"/>
              </w:rPr>
              <w:t>未进行任何阐述，得 0 分。</w:t>
            </w:r>
          </w:p>
        </w:tc>
      </w:tr>
      <w:tr w14:paraId="038BE5EE">
        <w:tblPrEx>
          <w:tblCellMar>
            <w:top w:w="0" w:type="dxa"/>
            <w:left w:w="108" w:type="dxa"/>
            <w:bottom w:w="0" w:type="dxa"/>
            <w:right w:w="108" w:type="dxa"/>
          </w:tblCellMar>
        </w:tblPrEx>
        <w:trPr>
          <w:trHeight w:val="2040" w:hRule="atLeast"/>
        </w:trPr>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6017A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C7ED8D">
            <w:pPr>
              <w:jc w:val="left"/>
              <w:rPr>
                <w:rFonts w:ascii="宋体" w:hAnsi="宋体" w:cs="宋体"/>
                <w:color w:val="000000"/>
                <w:sz w:val="20"/>
                <w:szCs w:val="20"/>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318B29">
            <w:pPr>
              <w:widowControl/>
              <w:jc w:val="left"/>
              <w:textAlignment w:val="center"/>
              <w:rPr>
                <w:rFonts w:ascii="宋体" w:hAnsi="宋体" w:cs="宋体"/>
                <w:kern w:val="0"/>
                <w:szCs w:val="21"/>
              </w:rPr>
            </w:pPr>
            <w:r>
              <w:rPr>
                <w:rFonts w:hint="eastAsia" w:ascii="宋体" w:hAnsi="宋体" w:cs="宋体"/>
                <w:kern w:val="0"/>
                <w:szCs w:val="21"/>
              </w:rPr>
              <w:t>应用软件开发、系统集成及适配整体服务方案</w:t>
            </w:r>
          </w:p>
        </w:tc>
        <w:tc>
          <w:tcPr>
            <w:tcW w:w="9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EF7B0C">
            <w:pPr>
              <w:widowControl/>
              <w:jc w:val="left"/>
              <w:textAlignment w:val="center"/>
              <w:rPr>
                <w:rFonts w:ascii="宋体" w:hAnsi="宋体" w:cs="宋体"/>
                <w:kern w:val="0"/>
                <w:szCs w:val="21"/>
              </w:rPr>
            </w:pPr>
            <w:r>
              <w:rPr>
                <w:rFonts w:hint="eastAsia" w:ascii="宋体" w:hAnsi="宋体" w:cs="宋体"/>
                <w:kern w:val="0"/>
                <w:szCs w:val="21"/>
              </w:rPr>
              <w:t>20分</w:t>
            </w:r>
          </w:p>
        </w:tc>
        <w:tc>
          <w:tcPr>
            <w:tcW w:w="5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0E2D12">
            <w:pPr>
              <w:widowControl/>
              <w:jc w:val="left"/>
              <w:textAlignment w:val="center"/>
              <w:rPr>
                <w:rFonts w:ascii="宋体" w:hAnsi="宋体" w:cs="宋体"/>
                <w:kern w:val="0"/>
                <w:szCs w:val="21"/>
              </w:rPr>
            </w:pPr>
            <w:r>
              <w:rPr>
                <w:rFonts w:hint="eastAsia" w:ascii="宋体" w:hAnsi="宋体" w:cs="宋体"/>
                <w:kern w:val="0"/>
                <w:szCs w:val="21"/>
              </w:rPr>
              <w:t>投标方针对应用软件开发、系统集成及适配等方面内容提出具有可行性、集成性、完整性、灵活性、先进性且方案逻辑清晰、内容明确、成熟的实施方案。</w:t>
            </w:r>
            <w:r>
              <w:rPr>
                <w:rFonts w:hint="eastAsia" w:ascii="宋体" w:hAnsi="宋体" w:cs="宋体"/>
                <w:kern w:val="0"/>
                <w:szCs w:val="21"/>
              </w:rPr>
              <w:br w:type="textWrapping"/>
            </w:r>
            <w:r>
              <w:rPr>
                <w:rFonts w:hint="eastAsia" w:ascii="宋体" w:hAnsi="宋体" w:cs="宋体"/>
                <w:kern w:val="0"/>
                <w:szCs w:val="21"/>
              </w:rPr>
              <w:t>方案具有可行性、集成性、完整性、灵活性、先进性且方案逻辑清晰、内容明确、成熟的，完全满足项目需求得20分；                                                                                                         方案具备基本可行性、集成性、完整性、灵活性、先进性且方案逻辑基本清晰、内容基本明确、基本成熟，基本满足项目需求得15分；</w:t>
            </w:r>
          </w:p>
          <w:p w14:paraId="78FA10B0">
            <w:pPr>
              <w:widowControl/>
              <w:jc w:val="left"/>
              <w:textAlignment w:val="center"/>
              <w:rPr>
                <w:rFonts w:ascii="宋体" w:hAnsi="宋体" w:cs="宋体"/>
                <w:kern w:val="0"/>
                <w:szCs w:val="21"/>
              </w:rPr>
            </w:pPr>
            <w:r>
              <w:rPr>
                <w:rFonts w:hint="eastAsia" w:ascii="宋体" w:hAnsi="宋体" w:cs="宋体"/>
                <w:kern w:val="0"/>
                <w:szCs w:val="21"/>
              </w:rPr>
              <w:t>方案可行性、集成性、完整性、灵活性、先进性较差且方案逻辑不太清晰、内容不太明确、不太成熟，不太能满足项目需求得10分；</w:t>
            </w:r>
            <w:r>
              <w:rPr>
                <w:rFonts w:hint="eastAsia" w:ascii="宋体" w:hAnsi="宋体" w:cs="宋体"/>
                <w:kern w:val="0"/>
                <w:szCs w:val="21"/>
              </w:rPr>
              <w:br w:type="textWrapping"/>
            </w:r>
            <w:r>
              <w:rPr>
                <w:rFonts w:hint="eastAsia" w:ascii="宋体" w:hAnsi="宋体" w:cs="宋体"/>
                <w:kern w:val="0"/>
                <w:szCs w:val="21"/>
              </w:rPr>
              <w:t>方案不具备可行性、集成性、完整性、灵活性、先进性且方案逻辑不清晰、内容不明确、不成熟，不能满足项目需求得5分</w:t>
            </w:r>
            <w:r>
              <w:rPr>
                <w:rFonts w:hint="eastAsia" w:ascii="宋体" w:hAnsi="宋体" w:cs="宋体"/>
                <w:kern w:val="0"/>
                <w:szCs w:val="21"/>
              </w:rPr>
              <w:br w:type="textWrapping"/>
            </w:r>
            <w:r>
              <w:rPr>
                <w:rFonts w:hint="eastAsia" w:ascii="宋体" w:hAnsi="宋体" w:cs="宋体"/>
                <w:kern w:val="0"/>
                <w:szCs w:val="21"/>
              </w:rPr>
              <w:t>未提供方案或方案内容未进行任何阐述，得 0 分。</w:t>
            </w:r>
          </w:p>
        </w:tc>
      </w:tr>
      <w:tr w14:paraId="2F626FFE">
        <w:tblPrEx>
          <w:tblCellMar>
            <w:top w:w="0" w:type="dxa"/>
            <w:left w:w="108" w:type="dxa"/>
            <w:bottom w:w="0" w:type="dxa"/>
            <w:right w:w="108" w:type="dxa"/>
          </w:tblCellMar>
        </w:tblPrEx>
        <w:trPr>
          <w:trHeight w:val="1540" w:hRule="atLeast"/>
        </w:trPr>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27159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BFEF02">
            <w:pPr>
              <w:jc w:val="left"/>
              <w:rPr>
                <w:rFonts w:ascii="宋体" w:hAnsi="宋体" w:cs="宋体"/>
                <w:color w:val="000000"/>
                <w:sz w:val="20"/>
                <w:szCs w:val="20"/>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43F4B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技术培训方案</w:t>
            </w:r>
          </w:p>
        </w:tc>
        <w:tc>
          <w:tcPr>
            <w:tcW w:w="9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FB43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5分</w:t>
            </w:r>
          </w:p>
        </w:tc>
        <w:tc>
          <w:tcPr>
            <w:tcW w:w="5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755C9D">
            <w:pPr>
              <w:widowControl/>
              <w:jc w:val="left"/>
              <w:textAlignment w:val="center"/>
              <w:rPr>
                <w:rFonts w:ascii="宋体" w:hAnsi="宋体" w:cs="宋体"/>
                <w:color w:val="000000"/>
                <w:kern w:val="0"/>
                <w:szCs w:val="21"/>
              </w:rPr>
            </w:pPr>
            <w:r>
              <w:rPr>
                <w:rFonts w:hint="eastAsia" w:ascii="宋体" w:hAnsi="宋体" w:cs="宋体"/>
                <w:color w:val="000000"/>
                <w:kern w:val="0"/>
                <w:szCs w:val="21"/>
              </w:rPr>
              <w:t>满足招标文件对技术培训的要求，技术培训措施、内容、方案等结构科学合理，得5分；</w:t>
            </w:r>
          </w:p>
          <w:p w14:paraId="76798FFA">
            <w:pPr>
              <w:widowControl/>
              <w:jc w:val="left"/>
              <w:textAlignment w:val="center"/>
              <w:rPr>
                <w:rFonts w:ascii="宋体" w:hAnsi="宋体" w:cs="宋体"/>
                <w:color w:val="000000"/>
                <w:kern w:val="0"/>
                <w:szCs w:val="21"/>
              </w:rPr>
            </w:pPr>
            <w:r>
              <w:rPr>
                <w:rFonts w:hint="eastAsia" w:ascii="宋体" w:hAnsi="宋体" w:cs="宋体"/>
                <w:color w:val="000000"/>
                <w:kern w:val="0"/>
                <w:szCs w:val="21"/>
              </w:rPr>
              <w:t>基本满足招标文件对技术培训的要求，技术培训措施、内容、方案等结构基本科学合理，得3分；</w:t>
            </w:r>
          </w:p>
          <w:p w14:paraId="219B1AE2">
            <w:pPr>
              <w:widowControl/>
              <w:jc w:val="left"/>
              <w:textAlignment w:val="center"/>
              <w:rPr>
                <w:rFonts w:ascii="宋体" w:hAnsi="宋体" w:cs="宋体"/>
                <w:color w:val="000000"/>
                <w:kern w:val="0"/>
                <w:szCs w:val="21"/>
              </w:rPr>
            </w:pPr>
            <w:r>
              <w:rPr>
                <w:rFonts w:hint="eastAsia" w:ascii="宋体" w:hAnsi="宋体" w:cs="宋体"/>
                <w:color w:val="000000"/>
                <w:kern w:val="0"/>
                <w:szCs w:val="21"/>
              </w:rPr>
              <w:t>不能够满足招标文件对技术培训的要求，技术培训措施、内容、方案等结构不够科学合理，得1分；</w:t>
            </w:r>
          </w:p>
          <w:p w14:paraId="1A3F398C">
            <w:pPr>
              <w:widowControl/>
              <w:jc w:val="left"/>
              <w:textAlignment w:val="center"/>
              <w:rPr>
                <w:rFonts w:ascii="宋体" w:hAnsi="宋体" w:cs="宋体"/>
                <w:color w:val="000000"/>
                <w:szCs w:val="21"/>
              </w:rPr>
            </w:pPr>
            <w:r>
              <w:rPr>
                <w:rFonts w:hint="eastAsia" w:ascii="宋体" w:hAnsi="宋体" w:cs="宋体"/>
                <w:color w:val="000000"/>
                <w:kern w:val="0"/>
                <w:szCs w:val="21"/>
              </w:rPr>
              <w:t>未对技术培训进行响应的不得分。</w:t>
            </w:r>
          </w:p>
        </w:tc>
      </w:tr>
      <w:tr w14:paraId="5E0680D2">
        <w:tblPrEx>
          <w:tblCellMar>
            <w:top w:w="0" w:type="dxa"/>
            <w:left w:w="108" w:type="dxa"/>
            <w:bottom w:w="0" w:type="dxa"/>
            <w:right w:w="108" w:type="dxa"/>
          </w:tblCellMar>
        </w:tblPrEx>
        <w:trPr>
          <w:trHeight w:val="2020" w:hRule="atLeast"/>
        </w:trPr>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0B11B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E721F">
            <w:pPr>
              <w:jc w:val="left"/>
              <w:rPr>
                <w:rFonts w:ascii="宋体" w:hAnsi="宋体" w:cs="宋体"/>
                <w:color w:val="000000"/>
                <w:sz w:val="20"/>
                <w:szCs w:val="20"/>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3E4FF">
            <w:pPr>
              <w:widowControl/>
              <w:jc w:val="left"/>
              <w:textAlignment w:val="center"/>
              <w:rPr>
                <w:rFonts w:ascii="宋体" w:hAnsi="宋体" w:cs="宋体"/>
                <w:color w:val="000000"/>
                <w:szCs w:val="21"/>
              </w:rPr>
            </w:pPr>
            <w:r>
              <w:rPr>
                <w:rFonts w:hint="eastAsia" w:ascii="宋体" w:hAnsi="宋体" w:cs="宋体"/>
                <w:color w:val="000000"/>
                <w:kern w:val="0"/>
                <w:szCs w:val="21"/>
              </w:rPr>
              <w:t>售后服务方案</w:t>
            </w:r>
          </w:p>
        </w:tc>
        <w:tc>
          <w:tcPr>
            <w:tcW w:w="9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BCBDC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8分</w:t>
            </w:r>
          </w:p>
        </w:tc>
        <w:tc>
          <w:tcPr>
            <w:tcW w:w="5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A4822">
            <w:pPr>
              <w:widowControl/>
              <w:jc w:val="left"/>
              <w:textAlignment w:val="center"/>
              <w:rPr>
                <w:rFonts w:ascii="宋体" w:hAnsi="宋体" w:cs="宋体"/>
                <w:color w:val="000000"/>
                <w:kern w:val="0"/>
                <w:szCs w:val="21"/>
              </w:rPr>
            </w:pPr>
            <w:r>
              <w:rPr>
                <w:rFonts w:hint="eastAsia" w:ascii="宋体" w:hAnsi="宋体" w:cs="宋体"/>
                <w:color w:val="000000"/>
                <w:kern w:val="0"/>
                <w:szCs w:val="21"/>
              </w:rPr>
              <w:t>完整的售后支持及服务方案，包括但不限于服务标准、②服务流程、③服务内容、④响应时间内容。售后服务专门针对本项目、内容完整齐全，具有实施性，切合用户需求:</w:t>
            </w:r>
            <w:r>
              <w:rPr>
                <w:rFonts w:hint="eastAsia" w:ascii="宋体" w:hAnsi="宋体" w:cs="宋体"/>
                <w:color w:val="000000"/>
                <w:kern w:val="0"/>
                <w:szCs w:val="21"/>
              </w:rPr>
              <w:br w:type="textWrapping"/>
            </w:r>
            <w:r>
              <w:rPr>
                <w:rFonts w:hint="eastAsia" w:ascii="宋体" w:hAnsi="宋体" w:cs="宋体"/>
                <w:color w:val="000000"/>
                <w:kern w:val="0"/>
                <w:szCs w:val="21"/>
              </w:rPr>
              <w:t>方案精准契合售后实际场景，流程设计符合人业务操作习惯，实施性较强得8分；</w:t>
            </w:r>
            <w:r>
              <w:rPr>
                <w:rFonts w:hint="eastAsia" w:ascii="宋体" w:hAnsi="宋体" w:cs="宋体"/>
                <w:color w:val="000000"/>
                <w:kern w:val="0"/>
                <w:szCs w:val="21"/>
              </w:rPr>
              <w:br w:type="textWrapping"/>
            </w:r>
            <w:r>
              <w:rPr>
                <w:rFonts w:hint="eastAsia" w:ascii="宋体" w:hAnsi="宋体" w:cs="宋体"/>
                <w:color w:val="000000"/>
                <w:kern w:val="0"/>
                <w:szCs w:val="21"/>
              </w:rPr>
              <w:t>方案可覆盖大部分问题，主要措施有效但存在细节与实际情况脱节情况，实施性一般得5分；</w:t>
            </w:r>
          </w:p>
          <w:p w14:paraId="1BC4A056">
            <w:pPr>
              <w:widowControl/>
              <w:jc w:val="left"/>
              <w:textAlignment w:val="center"/>
              <w:rPr>
                <w:rFonts w:ascii="宋体" w:hAnsi="宋体" w:cs="宋体"/>
                <w:color w:val="000000"/>
                <w:szCs w:val="21"/>
              </w:rPr>
            </w:pPr>
            <w:r>
              <w:rPr>
                <w:rFonts w:hint="eastAsia" w:ascii="宋体" w:hAnsi="宋体" w:cs="宋体"/>
                <w:color w:val="000000"/>
                <w:kern w:val="0"/>
                <w:szCs w:val="21"/>
              </w:rPr>
              <w:t>方案与售后严重不符，对关键问题应对缺失或无效，实施性较差得2分；</w:t>
            </w:r>
            <w:r>
              <w:rPr>
                <w:rFonts w:hint="eastAsia" w:ascii="宋体" w:hAnsi="宋体" w:cs="宋体"/>
                <w:color w:val="000000"/>
                <w:kern w:val="0"/>
                <w:szCs w:val="21"/>
              </w:rPr>
              <w:br w:type="textWrapping"/>
            </w:r>
            <w:r>
              <w:rPr>
                <w:rFonts w:hint="eastAsia" w:ascii="宋体" w:hAnsi="宋体" w:cs="宋体"/>
                <w:color w:val="000000"/>
                <w:kern w:val="0"/>
                <w:szCs w:val="21"/>
              </w:rPr>
              <w:t>未提供方案或方案内容未进行任何阐述，得0分</w:t>
            </w:r>
          </w:p>
        </w:tc>
      </w:tr>
      <w:tr w14:paraId="3DBB3D17">
        <w:tblPrEx>
          <w:tblCellMar>
            <w:top w:w="0" w:type="dxa"/>
            <w:left w:w="108" w:type="dxa"/>
            <w:bottom w:w="0" w:type="dxa"/>
            <w:right w:w="108" w:type="dxa"/>
          </w:tblCellMar>
        </w:tblPrEx>
        <w:trPr>
          <w:trHeight w:val="1360" w:hRule="atLeast"/>
        </w:trPr>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29DEF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81FF2E">
            <w:pPr>
              <w:jc w:val="left"/>
              <w:rPr>
                <w:rFonts w:ascii="宋体" w:hAnsi="宋体" w:cs="宋体"/>
                <w:color w:val="000000"/>
                <w:sz w:val="20"/>
                <w:szCs w:val="20"/>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F258CC">
            <w:pPr>
              <w:widowControl/>
              <w:jc w:val="left"/>
              <w:textAlignment w:val="center"/>
              <w:rPr>
                <w:rFonts w:ascii="宋体" w:hAnsi="宋体" w:cs="宋体"/>
                <w:color w:val="000000"/>
                <w:szCs w:val="21"/>
              </w:rPr>
            </w:pPr>
            <w:r>
              <w:rPr>
                <w:rFonts w:hint="eastAsia" w:ascii="宋体" w:hAnsi="宋体" w:cs="宋体"/>
                <w:color w:val="000000"/>
                <w:kern w:val="0"/>
                <w:szCs w:val="21"/>
              </w:rPr>
              <w:t>质量保证方案</w:t>
            </w:r>
          </w:p>
        </w:tc>
        <w:tc>
          <w:tcPr>
            <w:tcW w:w="9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A5AA6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8分</w:t>
            </w:r>
          </w:p>
        </w:tc>
        <w:tc>
          <w:tcPr>
            <w:tcW w:w="5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CB4ACF">
            <w:pPr>
              <w:widowControl/>
              <w:jc w:val="left"/>
              <w:textAlignment w:val="center"/>
              <w:rPr>
                <w:rFonts w:ascii="宋体" w:hAnsi="宋体" w:cs="宋体"/>
                <w:color w:val="000000"/>
                <w:kern w:val="0"/>
                <w:szCs w:val="21"/>
              </w:rPr>
            </w:pPr>
            <w:r>
              <w:rPr>
                <w:rFonts w:hint="eastAsia" w:ascii="宋体" w:hAnsi="宋体" w:cs="宋体"/>
                <w:color w:val="000000"/>
                <w:kern w:val="0"/>
                <w:szCs w:val="21"/>
              </w:rPr>
              <w:t>质量保证方案完整，合理，切实可行，能保证产品质量及使用效果，得8分；</w:t>
            </w:r>
          </w:p>
          <w:p w14:paraId="30467B20">
            <w:pPr>
              <w:widowControl/>
              <w:jc w:val="left"/>
              <w:textAlignment w:val="center"/>
              <w:rPr>
                <w:rFonts w:ascii="宋体" w:hAnsi="宋体" w:cs="宋体"/>
                <w:color w:val="000000"/>
                <w:kern w:val="0"/>
                <w:szCs w:val="21"/>
              </w:rPr>
            </w:pPr>
            <w:r>
              <w:rPr>
                <w:rFonts w:hint="eastAsia" w:ascii="宋体" w:hAnsi="宋体" w:cs="宋体"/>
                <w:color w:val="000000"/>
                <w:kern w:val="0"/>
                <w:szCs w:val="21"/>
              </w:rPr>
              <w:t>质量保证方案比较完整，合理性一般得6分；</w:t>
            </w:r>
          </w:p>
          <w:p w14:paraId="40F93734">
            <w:pPr>
              <w:widowControl/>
              <w:jc w:val="left"/>
              <w:textAlignment w:val="center"/>
              <w:rPr>
                <w:rFonts w:ascii="宋体" w:hAnsi="宋体" w:cs="宋体"/>
                <w:color w:val="000000"/>
                <w:kern w:val="0"/>
                <w:szCs w:val="21"/>
              </w:rPr>
            </w:pPr>
            <w:r>
              <w:rPr>
                <w:rFonts w:hint="eastAsia" w:ascii="宋体" w:hAnsi="宋体" w:cs="宋体"/>
                <w:color w:val="000000"/>
                <w:kern w:val="0"/>
                <w:szCs w:val="21"/>
              </w:rPr>
              <w:t>质量保证方案基本符合招标文件要求，得4分；</w:t>
            </w:r>
          </w:p>
          <w:p w14:paraId="3A45340D">
            <w:pPr>
              <w:widowControl/>
              <w:jc w:val="left"/>
              <w:textAlignment w:val="center"/>
              <w:rPr>
                <w:rFonts w:ascii="宋体" w:hAnsi="宋体" w:cs="宋体"/>
                <w:color w:val="000000"/>
                <w:kern w:val="0"/>
                <w:szCs w:val="21"/>
              </w:rPr>
            </w:pPr>
            <w:r>
              <w:rPr>
                <w:rFonts w:hint="eastAsia" w:ascii="宋体" w:hAnsi="宋体" w:cs="宋体"/>
                <w:color w:val="000000"/>
                <w:kern w:val="0"/>
                <w:szCs w:val="21"/>
              </w:rPr>
              <w:t>方案欠合理2分；</w:t>
            </w:r>
          </w:p>
          <w:p w14:paraId="3CE74888">
            <w:pPr>
              <w:widowControl/>
              <w:jc w:val="left"/>
              <w:textAlignment w:val="center"/>
              <w:rPr>
                <w:rFonts w:ascii="宋体" w:hAnsi="宋体" w:cs="宋体"/>
                <w:color w:val="000000"/>
                <w:szCs w:val="21"/>
              </w:rPr>
            </w:pPr>
            <w:r>
              <w:rPr>
                <w:rFonts w:hint="eastAsia" w:ascii="宋体" w:hAnsi="宋体" w:cs="宋体"/>
                <w:color w:val="000000"/>
                <w:kern w:val="0"/>
                <w:szCs w:val="21"/>
              </w:rPr>
              <w:t>未提供相关内容不得分。</w:t>
            </w:r>
          </w:p>
        </w:tc>
      </w:tr>
      <w:tr w14:paraId="4131A88C">
        <w:tblPrEx>
          <w:tblCellMar>
            <w:top w:w="0" w:type="dxa"/>
            <w:left w:w="108" w:type="dxa"/>
            <w:bottom w:w="0" w:type="dxa"/>
            <w:right w:w="108" w:type="dxa"/>
          </w:tblCellMar>
        </w:tblPrEx>
        <w:trPr>
          <w:trHeight w:val="1880" w:hRule="atLeast"/>
        </w:trPr>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86992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836362">
            <w:pPr>
              <w:jc w:val="left"/>
              <w:rPr>
                <w:rFonts w:ascii="宋体" w:hAnsi="宋体" w:cs="宋体"/>
                <w:color w:val="000000"/>
                <w:sz w:val="20"/>
                <w:szCs w:val="20"/>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E7651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系统设备材料性能指标响应程度</w:t>
            </w:r>
          </w:p>
        </w:tc>
        <w:tc>
          <w:tcPr>
            <w:tcW w:w="9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FFC5D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5675"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2697C08">
            <w:pPr>
              <w:widowControl/>
              <w:jc w:val="left"/>
              <w:textAlignment w:val="top"/>
              <w:rPr>
                <w:rFonts w:ascii="宋体" w:hAnsi="宋体" w:cs="宋体"/>
                <w:color w:val="000000"/>
                <w:kern w:val="0"/>
                <w:szCs w:val="21"/>
              </w:rPr>
            </w:pPr>
            <w:r>
              <w:rPr>
                <w:rFonts w:hint="eastAsia" w:ascii="宋体" w:hAnsi="宋体" w:cs="宋体"/>
                <w:color w:val="000000"/>
                <w:kern w:val="0"/>
                <w:szCs w:val="21"/>
              </w:rPr>
              <w:t>根据投标人的投标文件对招标文件中“采购需求”的条款响应程度。</w:t>
            </w:r>
            <w:r>
              <w:rPr>
                <w:rFonts w:hint="eastAsia" w:ascii="宋体" w:hAnsi="宋体" w:cs="宋体"/>
                <w:color w:val="000000"/>
                <w:kern w:val="0"/>
                <w:szCs w:val="21"/>
              </w:rPr>
              <w:br w:type="textWrapping"/>
            </w:r>
            <w:r>
              <w:rPr>
                <w:rFonts w:hint="eastAsia" w:ascii="宋体" w:hAnsi="宋体" w:cs="宋体"/>
                <w:color w:val="000000"/>
                <w:kern w:val="0"/>
                <w:szCs w:val="21"/>
              </w:rPr>
              <w:t>（1）全部满足招标文件的“采购需求”技术条款，得20分。</w:t>
            </w:r>
            <w:r>
              <w:rPr>
                <w:rFonts w:hint="eastAsia" w:ascii="宋体" w:hAnsi="宋体" w:cs="宋体"/>
                <w:color w:val="000000"/>
                <w:kern w:val="0"/>
                <w:szCs w:val="21"/>
              </w:rPr>
              <w:br w:type="textWrapping"/>
            </w:r>
            <w:r>
              <w:rPr>
                <w:rFonts w:hint="eastAsia" w:ascii="宋体" w:hAnsi="宋体" w:cs="宋体"/>
                <w:color w:val="000000"/>
                <w:kern w:val="0"/>
                <w:szCs w:val="21"/>
              </w:rPr>
              <w:t>（2）非“＃”号条款，每有一项负偏离,扣减0.5分；直至扣完为止。</w:t>
            </w:r>
            <w:r>
              <w:rPr>
                <w:rFonts w:hint="eastAsia" w:ascii="宋体" w:hAnsi="宋体" w:cs="宋体"/>
                <w:color w:val="000000"/>
                <w:kern w:val="0"/>
                <w:szCs w:val="21"/>
              </w:rPr>
              <w:br w:type="textWrapping"/>
            </w:r>
            <w:r>
              <w:rPr>
                <w:rFonts w:hint="eastAsia" w:ascii="宋体" w:hAnsi="宋体" w:cs="宋体"/>
                <w:color w:val="000000"/>
                <w:kern w:val="0"/>
                <w:szCs w:val="21"/>
              </w:rPr>
              <w:t>（3）“＃”号条款每有一项负偏离,扣减1分；直至扣完为止。</w:t>
            </w:r>
          </w:p>
          <w:p w14:paraId="3BB2C4D6">
            <w:pPr>
              <w:widowControl/>
              <w:jc w:val="left"/>
              <w:textAlignment w:val="top"/>
              <w:rPr>
                <w:rFonts w:ascii="宋体" w:hAnsi="宋体" w:cs="宋体"/>
                <w:color w:val="000000"/>
                <w:szCs w:val="21"/>
              </w:rPr>
            </w:pPr>
            <w:r>
              <w:rPr>
                <w:rFonts w:hint="eastAsia" w:ascii="宋体" w:hAnsi="宋体" w:cs="宋体"/>
                <w:color w:val="000000"/>
                <w:kern w:val="0"/>
                <w:szCs w:val="21"/>
              </w:rPr>
              <w:t>（“＃”号条款须提供相应证明材料，包括但不限于公开发行彩页、白皮书、照片等证明材料，不提供不得分，非“＃”号条款自行编写响应承诺书即可）</w:t>
            </w:r>
          </w:p>
        </w:tc>
      </w:tr>
      <w:tr w14:paraId="3CB44DD3">
        <w:tblPrEx>
          <w:tblCellMar>
            <w:top w:w="0" w:type="dxa"/>
            <w:left w:w="108" w:type="dxa"/>
            <w:bottom w:w="0" w:type="dxa"/>
            <w:right w:w="108" w:type="dxa"/>
          </w:tblCellMar>
        </w:tblPrEx>
        <w:trPr>
          <w:trHeight w:val="1180"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03B5E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5E5038">
            <w:pPr>
              <w:widowControl/>
              <w:jc w:val="left"/>
              <w:textAlignment w:val="center"/>
              <w:rPr>
                <w:rFonts w:ascii="宋体" w:hAnsi="宋体" w:cs="宋体"/>
                <w:color w:val="000000"/>
                <w:szCs w:val="21"/>
              </w:rPr>
            </w:pPr>
            <w:r>
              <w:rPr>
                <w:rFonts w:hint="eastAsia" w:ascii="宋体" w:hAnsi="宋体" w:cs="宋体"/>
                <w:color w:val="000000"/>
                <w:kern w:val="0"/>
                <w:szCs w:val="21"/>
              </w:rPr>
              <w:t>商务部分</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795554">
            <w:pPr>
              <w:widowControl/>
              <w:jc w:val="left"/>
              <w:textAlignment w:val="center"/>
              <w:rPr>
                <w:rFonts w:ascii="宋体" w:hAnsi="宋体" w:cs="宋体"/>
                <w:color w:val="000000"/>
                <w:szCs w:val="21"/>
              </w:rPr>
            </w:pPr>
            <w:r>
              <w:rPr>
                <w:rFonts w:hint="eastAsia" w:ascii="宋体" w:hAnsi="宋体" w:cs="宋体"/>
                <w:color w:val="000000"/>
                <w:kern w:val="0"/>
                <w:szCs w:val="21"/>
              </w:rPr>
              <w:t>人员配备</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6DEC3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5分</w:t>
            </w:r>
          </w:p>
        </w:tc>
        <w:tc>
          <w:tcPr>
            <w:tcW w:w="5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FA1736">
            <w:pPr>
              <w:widowControl/>
              <w:jc w:val="left"/>
              <w:textAlignment w:val="center"/>
              <w:rPr>
                <w:rFonts w:ascii="宋体" w:hAnsi="宋体" w:cs="宋体"/>
                <w:color w:val="000000"/>
                <w:szCs w:val="21"/>
              </w:rPr>
            </w:pPr>
            <w:r>
              <w:rPr>
                <w:rFonts w:hint="eastAsia" w:ascii="宋体" w:hAnsi="宋体" w:cs="宋体"/>
                <w:color w:val="000000"/>
                <w:kern w:val="0"/>
                <w:szCs w:val="21"/>
              </w:rPr>
              <w:t>项目经理学历专业为电子、通信、信</w:t>
            </w:r>
            <w:r>
              <w:rPr>
                <w:rFonts w:hint="eastAsia" w:ascii="宋体" w:hAnsi="宋体" w:cs="宋体"/>
                <w:kern w:val="0"/>
                <w:szCs w:val="21"/>
              </w:rPr>
              <w:t>息化相关专业，</w:t>
            </w:r>
            <w:del w:id="8" w:author="匕鬯不惊" w:date="2025-06-26T16:30:47Z">
              <w:r>
                <w:rPr>
                  <w:rFonts w:hint="eastAsia" w:ascii="宋体" w:hAnsi="宋体" w:cs="宋体"/>
                  <w:kern w:val="0"/>
                  <w:szCs w:val="21"/>
                </w:rPr>
                <w:delText>如</w:delText>
              </w:r>
            </w:del>
            <w:r>
              <w:rPr>
                <w:rFonts w:hint="eastAsia" w:ascii="宋体" w:hAnsi="宋体" w:cs="宋体"/>
                <w:kern w:val="0"/>
                <w:szCs w:val="21"/>
              </w:rPr>
              <w:t>具备本单位注册一级建造师</w:t>
            </w:r>
            <w:r>
              <w:rPr>
                <w:rStyle w:val="264"/>
                <w:rFonts w:hint="default"/>
                <w:color w:val="auto"/>
              </w:rPr>
              <w:t>，高级工程师职称、信息系统项目管理师证书得分，每提供一个证书得0.5分，最多得2分。(需提供毕业证书扫描件、证书扫描件、身份证</w:t>
            </w:r>
            <w:r>
              <w:rPr>
                <w:rStyle w:val="264"/>
                <w:rFonts w:hint="default"/>
              </w:rPr>
              <w:t>正反面扫描件及项目经理自2025年06月01日以来投标人为其缴纳的连续6个月的社保证明材料并加盖公章)</w:t>
            </w:r>
          </w:p>
        </w:tc>
      </w:tr>
      <w:tr w14:paraId="395AC069">
        <w:tblPrEx>
          <w:tblCellMar>
            <w:top w:w="0" w:type="dxa"/>
            <w:left w:w="108" w:type="dxa"/>
            <w:bottom w:w="0" w:type="dxa"/>
            <w:right w:w="108" w:type="dxa"/>
          </w:tblCellMar>
        </w:tblPrEx>
        <w:trPr>
          <w:trHeight w:val="1420"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13CBE9">
            <w:pPr>
              <w:jc w:val="left"/>
              <w:rPr>
                <w:rFonts w:ascii="宋体" w:hAnsi="宋体" w:cs="宋体"/>
                <w:color w:val="000000"/>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84D2E9">
            <w:pPr>
              <w:jc w:val="left"/>
              <w:rPr>
                <w:rFonts w:ascii="宋体" w:hAnsi="宋体" w:cs="宋体"/>
                <w:color w:val="000000"/>
                <w:szCs w:val="21"/>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16637A">
            <w:pPr>
              <w:jc w:val="left"/>
              <w:rPr>
                <w:rFonts w:ascii="宋体" w:hAnsi="宋体" w:cs="宋体"/>
                <w:color w:val="000000"/>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A91A9F">
            <w:pPr>
              <w:jc w:val="left"/>
              <w:rPr>
                <w:rFonts w:ascii="宋体" w:hAnsi="宋体" w:cs="宋体"/>
                <w:color w:val="000000"/>
                <w:sz w:val="20"/>
                <w:szCs w:val="20"/>
              </w:rPr>
            </w:pPr>
          </w:p>
        </w:tc>
        <w:tc>
          <w:tcPr>
            <w:tcW w:w="5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4D0C07">
            <w:pPr>
              <w:widowControl/>
              <w:jc w:val="left"/>
              <w:textAlignment w:val="center"/>
              <w:rPr>
                <w:rFonts w:ascii="宋体" w:hAnsi="宋体" w:cs="宋体"/>
                <w:color w:val="000000"/>
                <w:szCs w:val="21"/>
              </w:rPr>
            </w:pPr>
            <w:r>
              <w:rPr>
                <w:rFonts w:hint="eastAsia" w:ascii="宋体" w:hAnsi="宋体" w:cs="宋体"/>
                <w:color w:val="000000"/>
                <w:kern w:val="0"/>
                <w:szCs w:val="21"/>
              </w:rPr>
              <w:t>技术负责人学历专业为电子、通信、信息化相关专业，具备高级工程师职称，信息系统项目管理师证书得分，每提供一个证书得0.5分，最多得1.5分。(需提供毕业证书扫描件、证书扫描件、身份证正反面扫描件及技术负责人自2025年06月01日以来投标人为其缴纳的连续6个月的社保证明材料并加盖公章)</w:t>
            </w:r>
          </w:p>
        </w:tc>
      </w:tr>
      <w:tr w14:paraId="21D84010">
        <w:tblPrEx>
          <w:tblCellMar>
            <w:top w:w="0" w:type="dxa"/>
            <w:left w:w="108" w:type="dxa"/>
            <w:bottom w:w="0" w:type="dxa"/>
            <w:right w:w="108" w:type="dxa"/>
          </w:tblCellMar>
        </w:tblPrEx>
        <w:trPr>
          <w:trHeight w:val="1560"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02FED0">
            <w:pPr>
              <w:jc w:val="left"/>
              <w:rPr>
                <w:rFonts w:ascii="宋体" w:hAnsi="宋体" w:cs="宋体"/>
                <w:color w:val="000000"/>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FB33C3">
            <w:pPr>
              <w:jc w:val="left"/>
              <w:rPr>
                <w:rFonts w:ascii="宋体" w:hAnsi="宋体" w:cs="宋体"/>
                <w:color w:val="000000"/>
                <w:szCs w:val="21"/>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3F1785">
            <w:pPr>
              <w:jc w:val="left"/>
              <w:rPr>
                <w:rFonts w:ascii="宋体" w:hAnsi="宋体" w:cs="宋体"/>
                <w:color w:val="000000"/>
                <w:szCs w:val="21"/>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AA87F8">
            <w:pPr>
              <w:jc w:val="left"/>
              <w:rPr>
                <w:rFonts w:ascii="宋体" w:hAnsi="宋体" w:cs="宋体"/>
                <w:color w:val="000000"/>
                <w:sz w:val="20"/>
                <w:szCs w:val="20"/>
              </w:rPr>
            </w:pPr>
          </w:p>
        </w:tc>
        <w:tc>
          <w:tcPr>
            <w:tcW w:w="5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A3A89C">
            <w:pPr>
              <w:widowControl/>
              <w:jc w:val="left"/>
              <w:textAlignment w:val="center"/>
              <w:rPr>
                <w:rFonts w:ascii="宋体" w:hAnsi="宋体" w:cs="宋体"/>
                <w:color w:val="000000"/>
                <w:szCs w:val="21"/>
              </w:rPr>
            </w:pPr>
            <w:r>
              <w:rPr>
                <w:rFonts w:hint="eastAsia" w:ascii="宋体" w:hAnsi="宋体" w:cs="宋体"/>
                <w:color w:val="000000"/>
                <w:kern w:val="0"/>
                <w:szCs w:val="21"/>
              </w:rPr>
              <w:t>项目团队中除项目经理、技术负责人外其他人员具有信息安全管理工程师(高级）、系统架构设计师证书、本单位注册造价工程师证书，每提供一个证书得0.5分，最多得1.5分。(需提供证书扫描件、身份证正反面扫描件及社保证明)(单项不重复累计，单人多证仅算一项不累加，提供相关人员证书扫描件、身份证正反面扫描件、相关人员自2025年06月01日以来投标人为其缴纳的连续6个月的社保证明材料并加盖公章)</w:t>
            </w:r>
          </w:p>
        </w:tc>
      </w:tr>
      <w:tr w14:paraId="30A953D8">
        <w:tblPrEx>
          <w:tblCellMar>
            <w:top w:w="0" w:type="dxa"/>
            <w:left w:w="108" w:type="dxa"/>
            <w:bottom w:w="0" w:type="dxa"/>
            <w:right w:w="108" w:type="dxa"/>
          </w:tblCellMar>
        </w:tblPrEx>
        <w:trPr>
          <w:trHeight w:val="1840" w:hRule="atLeast"/>
        </w:trPr>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0FBD41">
            <w:pPr>
              <w:widowControl/>
              <w:jc w:val="left"/>
              <w:textAlignment w:val="center"/>
              <w:rPr>
                <w:rFonts w:ascii="宋体" w:hAnsi="宋体" w:cs="宋体"/>
                <w:color w:val="000000"/>
                <w:szCs w:val="21"/>
              </w:rPr>
            </w:pPr>
            <w:r>
              <w:rPr>
                <w:rFonts w:hint="eastAsia" w:ascii="宋体" w:hAnsi="宋体" w:cs="宋体"/>
                <w:color w:val="000000"/>
                <w:kern w:val="0"/>
                <w:szCs w:val="21"/>
              </w:rPr>
              <w:t>9</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A029E5">
            <w:pPr>
              <w:jc w:val="left"/>
              <w:rPr>
                <w:rFonts w:ascii="宋体" w:hAnsi="宋体" w:cs="宋体"/>
                <w:color w:val="000000"/>
                <w:szCs w:val="21"/>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BB006">
            <w:pPr>
              <w:widowControl/>
              <w:jc w:val="left"/>
              <w:textAlignment w:val="center"/>
              <w:rPr>
                <w:rFonts w:ascii="宋体" w:hAnsi="宋体" w:cs="宋体"/>
                <w:color w:val="000000"/>
                <w:szCs w:val="21"/>
              </w:rPr>
            </w:pPr>
            <w:r>
              <w:rPr>
                <w:rFonts w:hint="eastAsia" w:ascii="宋体" w:hAnsi="宋体" w:cs="宋体"/>
                <w:color w:val="000000"/>
                <w:kern w:val="0"/>
                <w:szCs w:val="21"/>
              </w:rPr>
              <w:t>企业综合实力</w:t>
            </w:r>
          </w:p>
        </w:tc>
        <w:tc>
          <w:tcPr>
            <w:tcW w:w="9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2FEED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8分</w:t>
            </w:r>
          </w:p>
        </w:tc>
        <w:tc>
          <w:tcPr>
            <w:tcW w:w="5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7DBC30">
            <w:pPr>
              <w:widowControl/>
              <w:jc w:val="left"/>
              <w:textAlignment w:val="center"/>
              <w:rPr>
                <w:rFonts w:ascii="宋体" w:hAnsi="宋体" w:cs="宋体"/>
                <w:color w:val="000000"/>
                <w:szCs w:val="21"/>
              </w:rPr>
            </w:pPr>
            <w:r>
              <w:rPr>
                <w:rFonts w:hint="eastAsia" w:ascii="宋体" w:hAnsi="宋体" w:cs="宋体"/>
                <w:color w:val="000000"/>
                <w:kern w:val="0"/>
                <w:szCs w:val="21"/>
              </w:rPr>
              <w:t>具有信息化集成服务能力证明材料得0-2.5分；                                   具有软件实施服务能力证明材料得0-1.5分；                                     具有履约保障服务证明材料得0-1分；                                              具有售后培训服务证明材料得0-1.5分；                                                  具有质量技术管理能力证明材料0-1.5分。                                    （详见评分说明）</w:t>
            </w:r>
          </w:p>
        </w:tc>
      </w:tr>
      <w:tr w14:paraId="397EF2DD">
        <w:tblPrEx>
          <w:tblCellMar>
            <w:top w:w="0" w:type="dxa"/>
            <w:left w:w="108" w:type="dxa"/>
            <w:bottom w:w="0" w:type="dxa"/>
            <w:right w:w="108" w:type="dxa"/>
          </w:tblCellMar>
        </w:tblPrEx>
        <w:trPr>
          <w:trHeight w:val="1460" w:hRule="atLeast"/>
        </w:trPr>
        <w:tc>
          <w:tcPr>
            <w:tcW w:w="5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3CD4AF">
            <w:pPr>
              <w:widowControl/>
              <w:jc w:val="left"/>
              <w:textAlignment w:val="center"/>
              <w:rPr>
                <w:rFonts w:ascii="宋体" w:hAnsi="宋体" w:cs="宋体"/>
                <w:color w:val="000000"/>
                <w:szCs w:val="21"/>
              </w:rPr>
            </w:pPr>
            <w:r>
              <w:rPr>
                <w:rFonts w:hint="eastAsia" w:ascii="宋体" w:hAnsi="宋体" w:cs="宋体"/>
                <w:color w:val="000000"/>
                <w:kern w:val="0"/>
                <w:szCs w:val="21"/>
              </w:rPr>
              <w:t>10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8A64D6">
            <w:pPr>
              <w:jc w:val="left"/>
              <w:rPr>
                <w:rFonts w:ascii="宋体" w:hAnsi="宋体" w:cs="宋体"/>
                <w:color w:val="000000"/>
                <w:szCs w:val="21"/>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1A3688">
            <w:pPr>
              <w:widowControl/>
              <w:jc w:val="left"/>
              <w:textAlignment w:val="center"/>
              <w:rPr>
                <w:rFonts w:ascii="宋体" w:hAnsi="宋体" w:cs="宋体"/>
                <w:color w:val="000000"/>
                <w:szCs w:val="21"/>
              </w:rPr>
            </w:pPr>
            <w:r>
              <w:rPr>
                <w:rFonts w:hint="eastAsia" w:ascii="宋体" w:hAnsi="宋体" w:cs="宋体"/>
                <w:color w:val="000000"/>
                <w:kern w:val="0"/>
                <w:szCs w:val="21"/>
              </w:rPr>
              <w:t>同类型业绩</w:t>
            </w:r>
          </w:p>
        </w:tc>
        <w:tc>
          <w:tcPr>
            <w:tcW w:w="9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AFB28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8分</w:t>
            </w:r>
          </w:p>
        </w:tc>
        <w:tc>
          <w:tcPr>
            <w:tcW w:w="56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84FA89">
            <w:pPr>
              <w:widowControl/>
              <w:jc w:val="left"/>
              <w:textAlignment w:val="center"/>
              <w:rPr>
                <w:rFonts w:ascii="宋体" w:hAnsi="宋体" w:cs="宋体"/>
                <w:color w:val="000000"/>
                <w:szCs w:val="21"/>
              </w:rPr>
            </w:pPr>
            <w:r>
              <w:rPr>
                <w:rFonts w:hint="eastAsia" w:ascii="宋体" w:hAnsi="宋体" w:cs="宋体"/>
                <w:color w:val="000000"/>
                <w:kern w:val="0"/>
                <w:szCs w:val="21"/>
              </w:rPr>
              <w:t>提供自2022年01月01日至开标日前（以合同签订日期为准）承担过档案馆同类型项目经验，每有1个有效合同或协议得0.5分，满分8分。</w:t>
            </w:r>
            <w:r>
              <w:rPr>
                <w:rFonts w:hint="eastAsia" w:ascii="宋体" w:hAnsi="宋体" w:cs="宋体"/>
                <w:color w:val="000000"/>
                <w:kern w:val="0"/>
                <w:szCs w:val="21"/>
              </w:rPr>
              <w:br w:type="textWrapping"/>
            </w:r>
            <w:r>
              <w:rPr>
                <w:rFonts w:hint="eastAsia" w:ascii="宋体" w:hAnsi="宋体" w:cs="宋体"/>
                <w:color w:val="000000"/>
                <w:kern w:val="0"/>
                <w:szCs w:val="21"/>
              </w:rPr>
              <w:t>注：投标人需提供采购合同或协议（含首页、关键页、签字盖章页）的复印件并加盖投标人公章，否则业绩不予认可。</w:t>
            </w:r>
          </w:p>
        </w:tc>
      </w:tr>
      <w:tr w14:paraId="341C6E77">
        <w:tblPrEx>
          <w:tblCellMar>
            <w:top w:w="0" w:type="dxa"/>
            <w:left w:w="108" w:type="dxa"/>
            <w:bottom w:w="0" w:type="dxa"/>
            <w:right w:w="108" w:type="dxa"/>
          </w:tblCellMar>
        </w:tblPrEx>
        <w:trPr>
          <w:trHeight w:val="600" w:hRule="atLeast"/>
        </w:trPr>
        <w:tc>
          <w:tcPr>
            <w:tcW w:w="288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3D5107">
            <w:pPr>
              <w:widowControl/>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9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13D3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100分</w:t>
            </w:r>
          </w:p>
        </w:tc>
        <w:tc>
          <w:tcPr>
            <w:tcW w:w="56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42DB86">
            <w:pPr>
              <w:rPr>
                <w:rFonts w:ascii="等线" w:hAnsi="等线" w:eastAsia="等线" w:cs="等线"/>
                <w:color w:val="000000"/>
                <w:sz w:val="22"/>
                <w:szCs w:val="22"/>
              </w:rPr>
            </w:pPr>
          </w:p>
        </w:tc>
      </w:tr>
    </w:tbl>
    <w:p w14:paraId="03C2AF16">
      <w:pPr>
        <w:tabs>
          <w:tab w:val="left" w:pos="360"/>
          <w:tab w:val="left" w:pos="900"/>
        </w:tabs>
        <w:snapToGrid w:val="0"/>
        <w:spacing w:line="360" w:lineRule="auto"/>
        <w:outlineLvl w:val="1"/>
        <w:rPr>
          <w:b/>
          <w:sz w:val="24"/>
        </w:rPr>
      </w:pPr>
    </w:p>
    <w:p w14:paraId="0F91BC65">
      <w:pPr>
        <w:spacing w:line="360" w:lineRule="auto"/>
        <w:rPr>
          <w:rFonts w:ascii="宋体" w:hAnsi="宋体" w:cs="宋体"/>
          <w:b/>
          <w:bCs/>
          <w:sz w:val="24"/>
        </w:rPr>
      </w:pPr>
      <w:r>
        <w:rPr>
          <w:rFonts w:hint="eastAsia" w:ascii="宋体" w:hAnsi="宋体" w:cs="宋体"/>
          <w:b/>
          <w:bCs/>
          <w:sz w:val="24"/>
        </w:rPr>
        <w:t>报价部分的评分办法（满分 10 分）</w:t>
      </w:r>
    </w:p>
    <w:p w14:paraId="51BBCC53">
      <w:pPr>
        <w:pStyle w:val="16"/>
        <w:rPr>
          <w:rFonts w:ascii="宋体" w:hAnsi="宋体" w:cs="宋体"/>
        </w:rPr>
      </w:pPr>
    </w:p>
    <w:p w14:paraId="6CF51CD6">
      <w:pPr>
        <w:spacing w:line="360" w:lineRule="auto"/>
        <w:ind w:firstLine="480" w:firstLineChars="200"/>
        <w:rPr>
          <w:rFonts w:ascii="宋体" w:hAnsi="宋体" w:cs="宋体"/>
          <w:sz w:val="24"/>
        </w:rPr>
      </w:pPr>
      <w:r>
        <w:rPr>
          <w:rFonts w:hint="eastAsia" w:ascii="宋体" w:hAnsi="宋体" w:cs="宋体"/>
          <w:sz w:val="24"/>
        </w:rPr>
        <w:t xml:space="preserve">1.确定有效投标报价 </w:t>
      </w:r>
    </w:p>
    <w:p w14:paraId="3CA86F3C">
      <w:pPr>
        <w:spacing w:line="360" w:lineRule="auto"/>
        <w:ind w:firstLine="480" w:firstLineChars="200"/>
        <w:rPr>
          <w:rFonts w:ascii="宋体" w:hAnsi="宋体" w:cs="宋体"/>
          <w:sz w:val="24"/>
        </w:rPr>
      </w:pPr>
      <w:r>
        <w:rPr>
          <w:rFonts w:hint="eastAsia" w:ascii="宋体" w:hAnsi="宋体" w:cs="宋体"/>
          <w:sz w:val="24"/>
        </w:rPr>
        <w:t xml:space="preserve">评标委员会对投标人的投标报价进行分析，以确认投标报价是否实质响应了招标文件规定的招标范围。经评标委员会确认其报价实质响应了招标文件的报价为有效报价。 </w:t>
      </w:r>
    </w:p>
    <w:p w14:paraId="56A031E1">
      <w:pPr>
        <w:spacing w:line="360" w:lineRule="auto"/>
        <w:ind w:firstLine="480" w:firstLineChars="200"/>
        <w:rPr>
          <w:rFonts w:ascii="宋体" w:hAnsi="宋体" w:cs="宋体"/>
          <w:sz w:val="24"/>
        </w:rPr>
      </w:pPr>
      <w:r>
        <w:rPr>
          <w:rFonts w:hint="eastAsia" w:ascii="宋体" w:hAnsi="宋体" w:cs="宋体"/>
          <w:sz w:val="24"/>
        </w:rPr>
        <w:t xml:space="preserve">2.评标基准价的确定 </w:t>
      </w:r>
    </w:p>
    <w:p w14:paraId="0F535EFE">
      <w:pPr>
        <w:spacing w:line="360" w:lineRule="auto"/>
        <w:ind w:firstLine="480" w:firstLineChars="200"/>
        <w:rPr>
          <w:rFonts w:ascii="宋体" w:hAnsi="宋体" w:cs="宋体"/>
          <w:sz w:val="24"/>
        </w:rPr>
      </w:pPr>
      <w:r>
        <w:rPr>
          <w:rFonts w:hint="eastAsia" w:ascii="宋体" w:hAnsi="宋体" w:cs="宋体"/>
          <w:sz w:val="24"/>
        </w:rPr>
        <w:t>评标基准价采用所有投标人投标报价的最低价为基准价，其他投标</w:t>
      </w:r>
    </w:p>
    <w:p w14:paraId="4C41AF2A">
      <w:pPr>
        <w:spacing w:line="360" w:lineRule="auto"/>
        <w:ind w:firstLine="480" w:firstLineChars="200"/>
        <w:rPr>
          <w:rFonts w:ascii="宋体" w:hAnsi="宋体" w:cs="宋体"/>
          <w:sz w:val="24"/>
        </w:rPr>
      </w:pPr>
      <w:r>
        <w:rPr>
          <w:rFonts w:hint="eastAsia" w:ascii="宋体" w:hAnsi="宋体" w:cs="宋体"/>
          <w:sz w:val="24"/>
        </w:rPr>
        <w:t xml:space="preserve">人的价格分值按照下列公式计算： </w:t>
      </w:r>
    </w:p>
    <w:p w14:paraId="64D60AD8">
      <w:pPr>
        <w:spacing w:line="360" w:lineRule="auto"/>
        <w:ind w:firstLine="480" w:firstLineChars="200"/>
        <w:rPr>
          <w:rFonts w:ascii="宋体" w:hAnsi="宋体" w:cs="宋体"/>
          <w:sz w:val="24"/>
        </w:rPr>
      </w:pPr>
      <w:r>
        <w:rPr>
          <w:rFonts w:hint="eastAsia" w:ascii="宋体" w:hAnsi="宋体" w:cs="宋体"/>
          <w:sz w:val="24"/>
        </w:rPr>
        <w:t>投标报价得分=（评标基准价/投标报价）×10</w:t>
      </w:r>
    </w:p>
    <w:p w14:paraId="7E17E273">
      <w:pPr>
        <w:spacing w:line="360" w:lineRule="auto"/>
        <w:ind w:firstLine="480" w:firstLineChars="200"/>
        <w:rPr>
          <w:rFonts w:ascii="宋体" w:hAnsi="宋体" w:cs="宋体"/>
          <w:sz w:val="24"/>
        </w:rPr>
      </w:pPr>
      <w:r>
        <w:rPr>
          <w:rFonts w:hint="eastAsia" w:ascii="宋体" w:hAnsi="宋体" w:cs="宋体"/>
          <w:sz w:val="24"/>
        </w:rPr>
        <w:t>3.价格扣除：</w:t>
      </w:r>
    </w:p>
    <w:p w14:paraId="69EF206B">
      <w:pPr>
        <w:spacing w:line="360" w:lineRule="auto"/>
        <w:ind w:firstLine="480" w:firstLineChars="200"/>
        <w:rPr>
          <w:rFonts w:ascii="宋体" w:hAnsi="宋体" w:cs="宋体"/>
          <w:sz w:val="24"/>
        </w:rPr>
      </w:pPr>
      <w:r>
        <w:rPr>
          <w:rFonts w:hint="eastAsia" w:ascii="宋体" w:hAnsi="宋体" w:cs="宋体"/>
          <w:sz w:val="24"/>
        </w:rPr>
        <w:t>此处投标报价指经过报价修正，及因落实政府采购政策进行价格调整后的报价，详见第四章《评标方法和评标标准》2.4 及2.5。</w:t>
      </w:r>
    </w:p>
    <w:p w14:paraId="09A7ED1C">
      <w:pPr>
        <w:spacing w:line="360" w:lineRule="auto"/>
        <w:ind w:firstLine="480" w:firstLineChars="200"/>
        <w:rPr>
          <w:rFonts w:ascii="宋体" w:hAnsi="宋体" w:cs="宋体"/>
          <w:sz w:val="24"/>
          <w:lang w:val="zh-CN"/>
        </w:rPr>
      </w:pPr>
      <w:r>
        <w:rPr>
          <w:rFonts w:hint="eastAsia" w:ascii="宋体" w:hAnsi="宋体" w:cs="宋体"/>
          <w:sz w:val="24"/>
        </w:rPr>
        <w:t>招标文件中明确的所属行业：</w:t>
      </w:r>
      <w:r>
        <w:rPr>
          <w:rFonts w:hint="eastAsia" w:ascii="宋体" w:hAnsi="宋体" w:cs="宋体"/>
          <w:color w:val="000000"/>
          <w:sz w:val="24"/>
        </w:rPr>
        <w:t>软件和信息技术服务业</w:t>
      </w:r>
    </w:p>
    <w:p w14:paraId="7808ABDE">
      <w:pPr>
        <w:spacing w:line="360" w:lineRule="auto"/>
        <w:ind w:firstLine="480" w:firstLineChars="200"/>
        <w:rPr>
          <w:rFonts w:ascii="宋体" w:hAnsi="宋体" w:cs="宋体"/>
          <w:sz w:val="24"/>
        </w:rPr>
      </w:pPr>
      <w:r>
        <w:rPr>
          <w:rFonts w:hint="eastAsia" w:ascii="宋体" w:hAnsi="宋体" w:cs="宋体"/>
          <w:sz w:val="24"/>
        </w:rPr>
        <w:t xml:space="preserve">4.确定中标人 </w:t>
      </w:r>
    </w:p>
    <w:p w14:paraId="677D3C83">
      <w:pPr>
        <w:spacing w:line="360" w:lineRule="auto"/>
        <w:ind w:firstLine="480" w:firstLineChars="200"/>
        <w:rPr>
          <w:rFonts w:ascii="宋体" w:hAnsi="宋体" w:cs="宋体"/>
          <w:sz w:val="24"/>
        </w:rPr>
      </w:pPr>
      <w:r>
        <w:rPr>
          <w:rFonts w:hint="eastAsia" w:ascii="宋体" w:hAnsi="宋体" w:cs="宋体"/>
          <w:sz w:val="24"/>
        </w:rPr>
        <w:t xml:space="preserve">4.1 评标委员会根据招标文件中的评标办法，对投标文件进行评分。投标人最终得分为全部评标委员会评委打分的算数平均值（计算结果小数点后保留两位， 第三位四舍五入），并按照投标人最终得分由高到低排序。评标委员会将推荐中标候选人3名，若出现最终得分相同时，按投标报价由低到高顺序排列；若最终得分及报价均相同时，按技术方案优劣顺序排列。 </w:t>
      </w:r>
    </w:p>
    <w:p w14:paraId="4D5D78C7">
      <w:pPr>
        <w:spacing w:line="360" w:lineRule="auto"/>
        <w:ind w:firstLine="480" w:firstLineChars="200"/>
        <w:rPr>
          <w:sz w:val="28"/>
          <w:szCs w:val="28"/>
        </w:rPr>
      </w:pPr>
      <w:r>
        <w:rPr>
          <w:rFonts w:hint="eastAsia" w:ascii="宋体" w:hAnsi="宋体" w:cs="宋体"/>
          <w:sz w:val="24"/>
        </w:rPr>
        <w:t>4.2 评标中如遇特殊问题，由评标委员会根据有关法规研究决定。</w:t>
      </w:r>
    </w:p>
    <w:p w14:paraId="01BE38E2">
      <w:pPr>
        <w:spacing w:line="360" w:lineRule="auto"/>
        <w:ind w:firstLine="560" w:firstLineChars="200"/>
        <w:rPr>
          <w:sz w:val="28"/>
          <w:szCs w:val="28"/>
        </w:rPr>
      </w:pPr>
    </w:p>
    <w:bookmarkEnd w:id="821"/>
    <w:p w14:paraId="23FDFEAE">
      <w:pPr>
        <w:jc w:val="center"/>
        <w:rPr>
          <w:rFonts w:ascii="宋体" w:hAnsi="宋体" w:cs="宋体"/>
          <w:b/>
          <w:bCs/>
          <w:color w:val="000000"/>
          <w:kern w:val="0"/>
          <w:szCs w:val="21"/>
        </w:rPr>
      </w:pPr>
      <w:bookmarkStart w:id="822" w:name="_Toc8793"/>
      <w:bookmarkStart w:id="823" w:name="_Toc29900"/>
      <w:bookmarkStart w:id="824" w:name="_Toc99301426"/>
      <w:bookmarkStart w:id="825" w:name="_Toc3451"/>
      <w:r>
        <w:rPr>
          <w:rFonts w:hint="eastAsia" w:ascii="宋体" w:hAnsi="宋体" w:cs="宋体"/>
          <w:b/>
          <w:bCs/>
          <w:color w:val="000000"/>
          <w:kern w:val="0"/>
          <w:szCs w:val="21"/>
        </w:rPr>
        <w:t>评分说明</w:t>
      </w:r>
    </w:p>
    <w:p w14:paraId="7591190D">
      <w:pPr>
        <w:spacing w:line="360" w:lineRule="auto"/>
        <w:ind w:firstLine="420" w:firstLineChars="200"/>
      </w:pPr>
      <w:r>
        <w:rPr>
          <w:rFonts w:hint="eastAsia"/>
        </w:rPr>
        <w:t>投标人商务条件——企业综合实力</w:t>
      </w:r>
    </w:p>
    <w:p w14:paraId="2416362F">
      <w:pPr>
        <w:spacing w:line="360" w:lineRule="auto"/>
        <w:ind w:firstLine="422" w:firstLineChars="200"/>
        <w:rPr>
          <w:b/>
          <w:bCs/>
        </w:rPr>
      </w:pPr>
      <w:r>
        <w:rPr>
          <w:rFonts w:hint="eastAsia"/>
          <w:b/>
          <w:bCs/>
        </w:rPr>
        <w:t>（1）信息化集成服务能力证明材料</w:t>
      </w:r>
    </w:p>
    <w:p w14:paraId="4B7C7B38">
      <w:pPr>
        <w:spacing w:line="360" w:lineRule="auto"/>
        <w:ind w:firstLine="420" w:firstLineChars="200"/>
      </w:pPr>
      <w:r>
        <w:rPr>
          <w:rFonts w:hint="eastAsia"/>
        </w:rPr>
        <w:t>信息系统建设和服务能力等级证书</w:t>
      </w:r>
    </w:p>
    <w:p w14:paraId="30D1ADC0">
      <w:pPr>
        <w:spacing w:line="360" w:lineRule="auto"/>
        <w:ind w:firstLine="420" w:firstLineChars="200"/>
      </w:pPr>
      <w:r>
        <w:rPr>
          <w:rFonts w:hint="eastAsia"/>
        </w:rPr>
        <w:t>电子与智能化工程专业承包资质证书</w:t>
      </w:r>
    </w:p>
    <w:p w14:paraId="334EC00B">
      <w:pPr>
        <w:spacing w:line="360" w:lineRule="auto"/>
        <w:ind w:firstLine="420" w:firstLineChars="200"/>
      </w:pPr>
      <w:r>
        <w:rPr>
          <w:rFonts w:hint="eastAsia"/>
        </w:rPr>
        <w:t>信息系统服务交付能力等级证书</w:t>
      </w:r>
    </w:p>
    <w:p w14:paraId="3755139D">
      <w:pPr>
        <w:spacing w:line="360" w:lineRule="auto"/>
        <w:ind w:firstLine="420" w:firstLineChars="200"/>
      </w:pPr>
      <w:r>
        <w:rPr>
          <w:rFonts w:hint="eastAsia"/>
        </w:rPr>
        <w:t>信息安全服务资质证书(安全工程类）</w:t>
      </w:r>
    </w:p>
    <w:p w14:paraId="42D7E2FA">
      <w:pPr>
        <w:spacing w:line="360" w:lineRule="auto"/>
        <w:ind w:firstLine="420" w:firstLineChars="200"/>
      </w:pPr>
      <w:r>
        <w:rPr>
          <w:rFonts w:hint="eastAsia"/>
        </w:rPr>
        <w:t>信息安全服务资质认证证书-信息系统安全集成</w:t>
      </w:r>
    </w:p>
    <w:p w14:paraId="35334D2C">
      <w:pPr>
        <w:spacing w:line="360" w:lineRule="auto"/>
        <w:ind w:firstLine="420" w:firstLineChars="200"/>
      </w:pPr>
      <w:r>
        <w:rPr>
          <w:rFonts w:hint="eastAsia"/>
        </w:rPr>
        <w:t>信息技术服务管理体系认证</w:t>
      </w:r>
    </w:p>
    <w:p w14:paraId="2C032EE3">
      <w:pPr>
        <w:spacing w:line="360" w:lineRule="auto"/>
        <w:ind w:firstLine="420" w:firstLineChars="200"/>
      </w:pPr>
      <w:r>
        <w:rPr>
          <w:rFonts w:hint="eastAsia"/>
        </w:rPr>
        <w:t>信息安全管理体系认证</w:t>
      </w:r>
    </w:p>
    <w:p w14:paraId="752E351B">
      <w:pPr>
        <w:spacing w:line="360" w:lineRule="auto"/>
        <w:ind w:firstLine="420" w:firstLineChars="200"/>
        <w:rPr>
          <w:rFonts w:ascii="宋体" w:hAnsi="宋体" w:cs="宋体"/>
          <w:color w:val="000000"/>
          <w:kern w:val="0"/>
          <w:szCs w:val="21"/>
        </w:rPr>
      </w:pPr>
    </w:p>
    <w:p w14:paraId="05AD209A">
      <w:pPr>
        <w:spacing w:line="360" w:lineRule="auto"/>
        <w:ind w:firstLine="422" w:firstLineChars="200"/>
        <w:rPr>
          <w:rFonts w:ascii="宋体" w:hAnsi="宋体" w:cs="宋体"/>
          <w:b/>
          <w:bCs/>
          <w:color w:val="000000"/>
          <w:kern w:val="0"/>
          <w:szCs w:val="21"/>
        </w:rPr>
      </w:pPr>
      <w:r>
        <w:rPr>
          <w:rFonts w:hint="eastAsia"/>
          <w:b/>
          <w:bCs/>
        </w:rPr>
        <w:t>投标人具有以上</w:t>
      </w:r>
      <w:r>
        <w:rPr>
          <w:rFonts w:hint="eastAsia" w:ascii="宋体" w:hAnsi="宋体" w:cs="宋体"/>
          <w:b/>
          <w:bCs/>
          <w:color w:val="000000"/>
          <w:kern w:val="0"/>
          <w:szCs w:val="21"/>
        </w:rPr>
        <w:t>信息化集成服务能力证明材料中任意一项证书（证书需要在有效期内）得0.5分，最高2.5分。</w:t>
      </w:r>
    </w:p>
    <w:p w14:paraId="4EFD10E7">
      <w:pPr>
        <w:spacing w:line="360" w:lineRule="auto"/>
        <w:ind w:firstLine="420" w:firstLineChars="200"/>
        <w:rPr>
          <w:rFonts w:ascii="宋体" w:hAnsi="宋体" w:cs="宋体"/>
          <w:color w:val="000000"/>
          <w:kern w:val="0"/>
          <w:szCs w:val="21"/>
        </w:rPr>
      </w:pPr>
    </w:p>
    <w:p w14:paraId="56B15688">
      <w:pPr>
        <w:spacing w:line="360" w:lineRule="auto"/>
        <w:ind w:firstLine="422" w:firstLineChars="200"/>
        <w:rPr>
          <w:b/>
          <w:bCs/>
        </w:rPr>
      </w:pPr>
      <w:r>
        <w:rPr>
          <w:rFonts w:hint="eastAsia"/>
          <w:b/>
          <w:bCs/>
        </w:rPr>
        <w:t>（2）具有软件实施服务能力证明材料</w:t>
      </w:r>
    </w:p>
    <w:p w14:paraId="32FADC33">
      <w:pPr>
        <w:spacing w:line="360" w:lineRule="auto"/>
        <w:ind w:firstLine="420" w:firstLineChars="200"/>
      </w:pPr>
      <w:r>
        <w:rPr>
          <w:rFonts w:hint="eastAsia"/>
        </w:rPr>
        <w:t>CMMI（软件能力成熟度）</w:t>
      </w:r>
    </w:p>
    <w:p w14:paraId="6F725B91">
      <w:pPr>
        <w:spacing w:line="360" w:lineRule="auto"/>
        <w:ind w:firstLine="420" w:firstLineChars="200"/>
      </w:pPr>
      <w:r>
        <w:rPr>
          <w:rFonts w:hint="eastAsia"/>
        </w:rPr>
        <w:t>软件服务商交付能力证书</w:t>
      </w:r>
    </w:p>
    <w:p w14:paraId="7918D56C">
      <w:pPr>
        <w:spacing w:line="360" w:lineRule="auto"/>
        <w:ind w:firstLine="420" w:firstLineChars="200"/>
      </w:pPr>
      <w:r>
        <w:rPr>
          <w:rFonts w:hint="eastAsia"/>
        </w:rPr>
        <w:t>信息安全服务资质认证证书-软件安全开发服务</w:t>
      </w:r>
    </w:p>
    <w:p w14:paraId="3CB8638F">
      <w:pPr>
        <w:spacing w:line="360" w:lineRule="auto"/>
        <w:ind w:firstLine="420" w:firstLineChars="200"/>
        <w:rPr>
          <w:rFonts w:ascii="宋体" w:hAnsi="宋体" w:cs="宋体"/>
          <w:color w:val="000000"/>
          <w:kern w:val="0"/>
          <w:szCs w:val="21"/>
        </w:rPr>
      </w:pPr>
    </w:p>
    <w:p w14:paraId="0108C4E9">
      <w:pPr>
        <w:spacing w:line="360" w:lineRule="auto"/>
        <w:ind w:firstLine="422" w:firstLineChars="200"/>
        <w:rPr>
          <w:rFonts w:ascii="宋体" w:hAnsi="宋体" w:cs="宋体"/>
          <w:b/>
          <w:bCs/>
          <w:color w:val="000000"/>
          <w:kern w:val="0"/>
          <w:szCs w:val="21"/>
        </w:rPr>
      </w:pPr>
      <w:r>
        <w:rPr>
          <w:rFonts w:hint="eastAsia"/>
          <w:b/>
          <w:bCs/>
        </w:rPr>
        <w:t>投标人具有以上软件实施服务能力证明材料</w:t>
      </w:r>
      <w:r>
        <w:rPr>
          <w:rFonts w:hint="eastAsia" w:ascii="宋体" w:hAnsi="宋体" w:cs="宋体"/>
          <w:b/>
          <w:bCs/>
          <w:color w:val="000000"/>
          <w:kern w:val="0"/>
          <w:szCs w:val="21"/>
        </w:rPr>
        <w:t>中任意一项证书（证书需要在有效期内）得0.5分，最高1.5分。</w:t>
      </w:r>
    </w:p>
    <w:p w14:paraId="548A6753">
      <w:pPr>
        <w:spacing w:line="360" w:lineRule="auto"/>
        <w:ind w:firstLine="420" w:firstLineChars="200"/>
      </w:pPr>
    </w:p>
    <w:p w14:paraId="3559AF06">
      <w:pPr>
        <w:spacing w:line="360" w:lineRule="auto"/>
        <w:ind w:firstLine="422" w:firstLineChars="200"/>
        <w:rPr>
          <w:b/>
          <w:bCs/>
        </w:rPr>
      </w:pPr>
      <w:r>
        <w:rPr>
          <w:rFonts w:hint="eastAsia"/>
          <w:b/>
          <w:bCs/>
        </w:rPr>
        <w:t>（3）具有履约保障服务证明材料</w:t>
      </w:r>
    </w:p>
    <w:p w14:paraId="4CFF2CE2">
      <w:pPr>
        <w:spacing w:line="360" w:lineRule="auto"/>
        <w:ind w:firstLine="420" w:firstLineChars="200"/>
      </w:pPr>
      <w:r>
        <w:rPr>
          <w:rFonts w:hint="eastAsia"/>
        </w:rPr>
        <w:t>企业诚信管理体系认证</w:t>
      </w:r>
    </w:p>
    <w:p w14:paraId="7872BFB1">
      <w:pPr>
        <w:spacing w:line="360" w:lineRule="auto"/>
        <w:ind w:firstLine="420" w:firstLineChars="200"/>
      </w:pPr>
      <w:r>
        <w:rPr>
          <w:rFonts w:hint="eastAsia"/>
        </w:rPr>
        <w:t>企业信用报告（AAA）</w:t>
      </w:r>
    </w:p>
    <w:p w14:paraId="5EC1291D">
      <w:pPr>
        <w:spacing w:line="360" w:lineRule="auto"/>
        <w:ind w:firstLine="422" w:firstLineChars="200"/>
        <w:rPr>
          <w:b/>
          <w:bCs/>
        </w:rPr>
      </w:pPr>
    </w:p>
    <w:p w14:paraId="5F6AC7E1">
      <w:pPr>
        <w:spacing w:line="360" w:lineRule="auto"/>
        <w:ind w:firstLine="422" w:firstLineChars="200"/>
        <w:rPr>
          <w:rFonts w:ascii="宋体" w:hAnsi="宋体" w:cs="宋体"/>
          <w:b/>
          <w:bCs/>
          <w:color w:val="000000"/>
          <w:kern w:val="0"/>
          <w:szCs w:val="21"/>
        </w:rPr>
      </w:pPr>
      <w:r>
        <w:rPr>
          <w:rFonts w:hint="eastAsia"/>
          <w:b/>
          <w:bCs/>
        </w:rPr>
        <w:t>投标人具有以上履约保障服务证明材料</w:t>
      </w:r>
      <w:r>
        <w:rPr>
          <w:rFonts w:hint="eastAsia" w:ascii="宋体" w:hAnsi="宋体" w:cs="宋体"/>
          <w:b/>
          <w:bCs/>
          <w:color w:val="000000"/>
          <w:kern w:val="0"/>
          <w:szCs w:val="21"/>
        </w:rPr>
        <w:t>中任意一项证书（证书需要在有效期内）得0.5分，最高1分。</w:t>
      </w:r>
    </w:p>
    <w:p w14:paraId="2A5F3D75">
      <w:pPr>
        <w:spacing w:line="360" w:lineRule="auto"/>
        <w:ind w:firstLine="420" w:firstLineChars="200"/>
      </w:pPr>
    </w:p>
    <w:p w14:paraId="4B8F7725">
      <w:pPr>
        <w:spacing w:line="360" w:lineRule="auto"/>
        <w:ind w:firstLine="422" w:firstLineChars="200"/>
        <w:rPr>
          <w:b/>
          <w:bCs/>
        </w:rPr>
      </w:pPr>
      <w:r>
        <w:rPr>
          <w:rFonts w:hint="eastAsia"/>
          <w:b/>
          <w:bCs/>
        </w:rPr>
        <w:t>（4）具有售后培训服务证明材料</w:t>
      </w:r>
    </w:p>
    <w:p w14:paraId="187DC46C">
      <w:pPr>
        <w:spacing w:line="360" w:lineRule="auto"/>
        <w:ind w:firstLine="420" w:firstLineChars="200"/>
      </w:pPr>
      <w:r>
        <w:rPr>
          <w:rFonts w:hint="eastAsia"/>
        </w:rPr>
        <w:t>信息安全服务资质认证证书-信息系统安全运维服务</w:t>
      </w:r>
    </w:p>
    <w:p w14:paraId="23D6657D">
      <w:pPr>
        <w:spacing w:line="360" w:lineRule="auto"/>
        <w:ind w:firstLine="420" w:firstLineChars="200"/>
      </w:pPr>
      <w:r>
        <w:rPr>
          <w:rFonts w:hint="eastAsia"/>
        </w:rPr>
        <w:t>售后服务认证证书</w:t>
      </w:r>
    </w:p>
    <w:p w14:paraId="6EB964F8">
      <w:pPr>
        <w:spacing w:line="360" w:lineRule="auto"/>
        <w:ind w:firstLine="420" w:firstLineChars="200"/>
      </w:pPr>
      <w:r>
        <w:rPr>
          <w:rFonts w:hint="eastAsia"/>
        </w:rPr>
        <w:t>业务连续性管理体系认证证书</w:t>
      </w:r>
    </w:p>
    <w:p w14:paraId="7221AF1E">
      <w:pPr>
        <w:spacing w:line="360" w:lineRule="auto"/>
        <w:ind w:firstLine="420" w:firstLineChars="200"/>
      </w:pPr>
    </w:p>
    <w:p w14:paraId="522D3920">
      <w:pPr>
        <w:spacing w:line="360" w:lineRule="auto"/>
        <w:ind w:firstLine="422" w:firstLineChars="200"/>
        <w:rPr>
          <w:rFonts w:ascii="宋体" w:hAnsi="宋体" w:cs="宋体"/>
          <w:b/>
          <w:bCs/>
          <w:color w:val="000000"/>
          <w:kern w:val="0"/>
          <w:szCs w:val="21"/>
        </w:rPr>
      </w:pPr>
      <w:r>
        <w:rPr>
          <w:rFonts w:hint="eastAsia"/>
          <w:b/>
          <w:bCs/>
        </w:rPr>
        <w:t>投标人具有以上售后培训服务证明材料</w:t>
      </w:r>
      <w:r>
        <w:rPr>
          <w:rFonts w:hint="eastAsia" w:ascii="宋体" w:hAnsi="宋体" w:cs="宋体"/>
          <w:b/>
          <w:bCs/>
          <w:color w:val="000000"/>
          <w:kern w:val="0"/>
          <w:szCs w:val="21"/>
        </w:rPr>
        <w:t>中任意一项证书（证书需要在有效期内）得0.5分，最高1.5分。</w:t>
      </w:r>
    </w:p>
    <w:p w14:paraId="03BEDFCE">
      <w:pPr>
        <w:spacing w:line="360" w:lineRule="auto"/>
        <w:ind w:firstLine="420" w:firstLineChars="200"/>
      </w:pPr>
    </w:p>
    <w:p w14:paraId="28FD9C40">
      <w:pPr>
        <w:spacing w:line="360" w:lineRule="auto"/>
        <w:ind w:firstLine="420" w:firstLineChars="200"/>
      </w:pPr>
    </w:p>
    <w:p w14:paraId="21762A94">
      <w:pPr>
        <w:spacing w:line="360" w:lineRule="auto"/>
        <w:ind w:firstLine="422" w:firstLineChars="200"/>
        <w:rPr>
          <w:b/>
          <w:bCs/>
        </w:rPr>
      </w:pPr>
      <w:r>
        <w:rPr>
          <w:rFonts w:hint="eastAsia"/>
          <w:b/>
          <w:bCs/>
        </w:rPr>
        <w:t>（5）具有质量技术管理能力证明材料</w:t>
      </w:r>
    </w:p>
    <w:p w14:paraId="7FEBA4DC">
      <w:pPr>
        <w:spacing w:line="360" w:lineRule="auto"/>
        <w:ind w:firstLine="420" w:firstLineChars="200"/>
      </w:pPr>
      <w:r>
        <w:rPr>
          <w:rFonts w:hint="eastAsia"/>
        </w:rPr>
        <w:t>质量管理体系认证</w:t>
      </w:r>
    </w:p>
    <w:p w14:paraId="515C0DEC">
      <w:pPr>
        <w:spacing w:line="360" w:lineRule="auto"/>
        <w:ind w:firstLine="420" w:firstLineChars="200"/>
      </w:pPr>
      <w:r>
        <w:rPr>
          <w:rFonts w:hint="eastAsia"/>
        </w:rPr>
        <w:t>环境管理体系认证</w:t>
      </w:r>
    </w:p>
    <w:p w14:paraId="2D8C0FFE">
      <w:pPr>
        <w:spacing w:line="360" w:lineRule="auto"/>
        <w:ind w:firstLine="420" w:firstLineChars="200"/>
      </w:pPr>
      <w:r>
        <w:rPr>
          <w:rFonts w:hint="eastAsia"/>
        </w:rPr>
        <w:t>职业健康安全体系认证</w:t>
      </w:r>
    </w:p>
    <w:p w14:paraId="281DB7AC">
      <w:pPr>
        <w:spacing w:line="360" w:lineRule="auto"/>
        <w:ind w:firstLine="420" w:firstLineChars="200"/>
      </w:pPr>
    </w:p>
    <w:p w14:paraId="29B331AA">
      <w:pPr>
        <w:spacing w:line="360" w:lineRule="auto"/>
        <w:ind w:firstLine="422" w:firstLineChars="200"/>
        <w:rPr>
          <w:b/>
          <w:bCs/>
        </w:rPr>
      </w:pPr>
    </w:p>
    <w:p w14:paraId="61579583">
      <w:pPr>
        <w:spacing w:line="360" w:lineRule="auto"/>
        <w:ind w:firstLine="422" w:firstLineChars="200"/>
        <w:rPr>
          <w:rFonts w:ascii="宋体" w:hAnsi="宋体" w:cs="宋体"/>
          <w:b/>
          <w:bCs/>
          <w:color w:val="000000"/>
          <w:kern w:val="0"/>
          <w:szCs w:val="21"/>
        </w:rPr>
      </w:pPr>
      <w:r>
        <w:rPr>
          <w:rFonts w:hint="eastAsia"/>
          <w:b/>
          <w:bCs/>
        </w:rPr>
        <w:t>投标人具有以上质量技术管理能力证明材料</w:t>
      </w:r>
      <w:r>
        <w:rPr>
          <w:rFonts w:hint="eastAsia" w:ascii="宋体" w:hAnsi="宋体" w:cs="宋体"/>
          <w:b/>
          <w:bCs/>
          <w:color w:val="000000"/>
          <w:kern w:val="0"/>
          <w:szCs w:val="21"/>
        </w:rPr>
        <w:t>中任意一项证书（证书需要在有效期内）得0.5分，最高1.5分。</w:t>
      </w:r>
    </w:p>
    <w:p w14:paraId="23034ABA">
      <w:pPr>
        <w:spacing w:line="360" w:lineRule="auto"/>
        <w:ind w:firstLine="420" w:firstLineChars="200"/>
      </w:pPr>
    </w:p>
    <w:p w14:paraId="7F40C00C">
      <w:pPr>
        <w:pStyle w:val="2"/>
        <w:rPr>
          <w:sz w:val="24"/>
          <w:szCs w:val="24"/>
        </w:rPr>
      </w:pPr>
    </w:p>
    <w:p w14:paraId="7684565E">
      <w:pPr>
        <w:pStyle w:val="2"/>
        <w:rPr>
          <w:sz w:val="24"/>
          <w:szCs w:val="24"/>
        </w:rPr>
      </w:pPr>
    </w:p>
    <w:p w14:paraId="479E0CB6">
      <w:pPr>
        <w:pStyle w:val="2"/>
        <w:rPr>
          <w:sz w:val="24"/>
          <w:szCs w:val="24"/>
        </w:rPr>
      </w:pPr>
    </w:p>
    <w:p w14:paraId="7EED4CBC">
      <w:pPr>
        <w:pStyle w:val="2"/>
        <w:rPr>
          <w:sz w:val="24"/>
          <w:szCs w:val="24"/>
        </w:rPr>
      </w:pPr>
    </w:p>
    <w:p w14:paraId="6A9EE7E6">
      <w:pPr>
        <w:pStyle w:val="2"/>
        <w:rPr>
          <w:sz w:val="24"/>
          <w:szCs w:val="24"/>
        </w:rPr>
        <w:sectPr>
          <w:headerReference r:id="rId16" w:type="default"/>
          <w:footerReference r:id="rId17" w:type="default"/>
          <w:pgSz w:w="11907" w:h="16840"/>
          <w:pgMar w:top="1418" w:right="1134" w:bottom="1418" w:left="1701" w:header="851" w:footer="851" w:gutter="0"/>
          <w:cols w:space="720" w:num="1"/>
          <w:docGrid w:linePitch="462" w:charSpace="0"/>
        </w:sectPr>
      </w:pPr>
    </w:p>
    <w:p w14:paraId="30586C9A">
      <w:pPr>
        <w:pStyle w:val="2"/>
        <w:rPr>
          <w:sz w:val="24"/>
          <w:szCs w:val="24"/>
        </w:rPr>
      </w:pPr>
      <w:r>
        <w:rPr>
          <w:sz w:val="24"/>
          <w:szCs w:val="24"/>
        </w:rPr>
        <w:t>第五章   采购需求</w:t>
      </w:r>
      <w:bookmarkEnd w:id="822"/>
    </w:p>
    <w:p w14:paraId="60A5AAEE">
      <w:pPr>
        <w:pStyle w:val="30"/>
        <w:rPr>
          <w:rFonts w:ascii="仿宋" w:hAnsi="仿宋" w:eastAsia="仿宋" w:cs="仿宋"/>
          <w:color w:val="000000"/>
          <w:sz w:val="24"/>
          <w:szCs w:val="22"/>
        </w:rPr>
      </w:pPr>
      <w:bookmarkStart w:id="826" w:name="_Toc99301425"/>
    </w:p>
    <w:p w14:paraId="4E022B94">
      <w:pPr>
        <w:pStyle w:val="30"/>
        <w:spacing w:line="360" w:lineRule="auto"/>
        <w:outlineLvl w:val="0"/>
        <w:rPr>
          <w:rFonts w:ascii="仿宋" w:hAnsi="仿宋" w:eastAsia="仿宋" w:cs="仿宋"/>
          <w:b/>
          <w:bCs/>
          <w:color w:val="000000"/>
          <w:sz w:val="24"/>
          <w:szCs w:val="22"/>
        </w:rPr>
      </w:pPr>
      <w:r>
        <w:rPr>
          <w:rFonts w:hint="eastAsia" w:ascii="仿宋" w:hAnsi="仿宋" w:eastAsia="仿宋" w:cs="仿宋"/>
          <w:b/>
          <w:bCs/>
          <w:color w:val="000000"/>
          <w:sz w:val="24"/>
          <w:szCs w:val="22"/>
        </w:rPr>
        <w:t>一、采购标的</w:t>
      </w:r>
    </w:p>
    <w:p w14:paraId="70EE56C1">
      <w:pPr>
        <w:pStyle w:val="30"/>
        <w:spacing w:line="360" w:lineRule="auto"/>
        <w:outlineLvl w:val="1"/>
        <w:rPr>
          <w:rFonts w:ascii="仿宋" w:hAnsi="仿宋" w:eastAsia="仿宋" w:cs="仿宋"/>
          <w:b/>
          <w:bCs/>
          <w:color w:val="000000"/>
          <w:sz w:val="24"/>
          <w:szCs w:val="22"/>
        </w:rPr>
      </w:pPr>
      <w:r>
        <w:rPr>
          <w:rFonts w:hint="eastAsia" w:ascii="仿宋" w:hAnsi="仿宋" w:eastAsia="仿宋" w:cs="仿宋"/>
          <w:b/>
          <w:bCs/>
          <w:color w:val="000000"/>
          <w:sz w:val="24"/>
          <w:szCs w:val="22"/>
        </w:rPr>
        <w:t xml:space="preserve">1. 采购标的（货物需求一览表或简要服务内容及数量） </w:t>
      </w:r>
    </w:p>
    <w:tbl>
      <w:tblPr>
        <w:tblStyle w:val="45"/>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848"/>
        <w:gridCol w:w="2000"/>
        <w:gridCol w:w="640"/>
        <w:gridCol w:w="4580"/>
      </w:tblGrid>
      <w:tr w14:paraId="77E2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9" w:type="dxa"/>
            <w:vAlign w:val="center"/>
          </w:tcPr>
          <w:p w14:paraId="38A05806">
            <w:pPr>
              <w:spacing w:line="360" w:lineRule="auto"/>
              <w:jc w:val="center"/>
              <w:rPr>
                <w:sz w:val="24"/>
              </w:rPr>
            </w:pPr>
            <w:bookmarkStart w:id="827" w:name="_Toc170739570"/>
            <w:r>
              <w:rPr>
                <w:rFonts w:hint="eastAsia"/>
                <w:sz w:val="24"/>
              </w:rPr>
              <w:t>包号</w:t>
            </w:r>
          </w:p>
        </w:tc>
        <w:tc>
          <w:tcPr>
            <w:tcW w:w="1848" w:type="dxa"/>
            <w:vAlign w:val="center"/>
          </w:tcPr>
          <w:p w14:paraId="691A5D49">
            <w:pPr>
              <w:spacing w:line="360" w:lineRule="auto"/>
              <w:jc w:val="center"/>
              <w:rPr>
                <w:sz w:val="24"/>
              </w:rPr>
            </w:pPr>
            <w:r>
              <w:rPr>
                <w:rFonts w:hint="eastAsia"/>
                <w:sz w:val="24"/>
              </w:rPr>
              <w:t>项目名称</w:t>
            </w:r>
          </w:p>
        </w:tc>
        <w:tc>
          <w:tcPr>
            <w:tcW w:w="2000" w:type="dxa"/>
            <w:vAlign w:val="center"/>
          </w:tcPr>
          <w:p w14:paraId="25B3DBA4">
            <w:pPr>
              <w:spacing w:line="360" w:lineRule="auto"/>
              <w:jc w:val="center"/>
              <w:rPr>
                <w:sz w:val="24"/>
              </w:rPr>
            </w:pPr>
            <w:r>
              <w:rPr>
                <w:rFonts w:hint="eastAsia"/>
                <w:sz w:val="24"/>
              </w:rPr>
              <w:t>采购包预算金额</w:t>
            </w:r>
          </w:p>
        </w:tc>
        <w:tc>
          <w:tcPr>
            <w:tcW w:w="640" w:type="dxa"/>
            <w:vAlign w:val="center"/>
          </w:tcPr>
          <w:p w14:paraId="69653E9C">
            <w:pPr>
              <w:spacing w:line="360" w:lineRule="auto"/>
              <w:jc w:val="center"/>
              <w:rPr>
                <w:sz w:val="24"/>
              </w:rPr>
            </w:pPr>
            <w:r>
              <w:rPr>
                <w:rFonts w:hint="eastAsia"/>
                <w:sz w:val="24"/>
              </w:rPr>
              <w:t>数量</w:t>
            </w:r>
          </w:p>
        </w:tc>
        <w:tc>
          <w:tcPr>
            <w:tcW w:w="4580" w:type="dxa"/>
            <w:vAlign w:val="center"/>
          </w:tcPr>
          <w:p w14:paraId="546F7A80">
            <w:pPr>
              <w:spacing w:line="360" w:lineRule="auto"/>
              <w:ind w:firstLine="480" w:firstLineChars="200"/>
              <w:jc w:val="center"/>
              <w:rPr>
                <w:sz w:val="24"/>
              </w:rPr>
            </w:pPr>
            <w:r>
              <w:rPr>
                <w:rFonts w:hint="eastAsia"/>
                <w:sz w:val="24"/>
              </w:rPr>
              <w:t>简要技术需求或服务要求</w:t>
            </w:r>
          </w:p>
        </w:tc>
      </w:tr>
      <w:tr w14:paraId="02EA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9" w:type="dxa"/>
            <w:vAlign w:val="center"/>
          </w:tcPr>
          <w:p w14:paraId="319FC23E">
            <w:pPr>
              <w:jc w:val="center"/>
              <w:rPr>
                <w:bCs/>
                <w:szCs w:val="21"/>
              </w:rPr>
            </w:pPr>
            <w:r>
              <w:rPr>
                <w:bCs/>
                <w:szCs w:val="21"/>
              </w:rPr>
              <w:t>0</w:t>
            </w:r>
            <w:r>
              <w:rPr>
                <w:rFonts w:hint="eastAsia"/>
                <w:bCs/>
                <w:szCs w:val="21"/>
              </w:rPr>
              <w:t>1</w:t>
            </w:r>
          </w:p>
        </w:tc>
        <w:tc>
          <w:tcPr>
            <w:tcW w:w="1848" w:type="dxa"/>
            <w:vAlign w:val="center"/>
          </w:tcPr>
          <w:p w14:paraId="6CD30562">
            <w:pPr>
              <w:jc w:val="center"/>
              <w:rPr>
                <w:bCs/>
                <w:szCs w:val="21"/>
              </w:rPr>
            </w:pPr>
            <w:r>
              <w:rPr>
                <w:rFonts w:hint="eastAsia"/>
                <w:sz w:val="24"/>
              </w:rPr>
              <w:t>北京市门头沟区档案馆新馆网络通讯安全系统及楼宇控制系统工程</w:t>
            </w:r>
          </w:p>
        </w:tc>
        <w:tc>
          <w:tcPr>
            <w:tcW w:w="2000" w:type="dxa"/>
            <w:vAlign w:val="center"/>
          </w:tcPr>
          <w:p w14:paraId="236C8971">
            <w:pPr>
              <w:jc w:val="center"/>
              <w:rPr>
                <w:bCs/>
                <w:szCs w:val="21"/>
              </w:rPr>
            </w:pPr>
            <w:r>
              <w:rPr>
                <w:rFonts w:hint="eastAsia"/>
                <w:sz w:val="24"/>
              </w:rPr>
              <w:t>1400.068509万元</w:t>
            </w:r>
          </w:p>
        </w:tc>
        <w:tc>
          <w:tcPr>
            <w:tcW w:w="640" w:type="dxa"/>
            <w:vAlign w:val="center"/>
          </w:tcPr>
          <w:p w14:paraId="23128B01">
            <w:pPr>
              <w:jc w:val="center"/>
              <w:rPr>
                <w:bCs/>
                <w:szCs w:val="21"/>
              </w:rPr>
            </w:pPr>
            <w:r>
              <w:rPr>
                <w:rFonts w:hint="eastAsia" w:ascii="宋体" w:hAnsi="宋体" w:cs="宋体"/>
                <w:bCs/>
                <w:szCs w:val="21"/>
              </w:rPr>
              <w:t>1项</w:t>
            </w:r>
          </w:p>
        </w:tc>
        <w:tc>
          <w:tcPr>
            <w:tcW w:w="4580" w:type="dxa"/>
            <w:vAlign w:val="center"/>
          </w:tcPr>
          <w:p w14:paraId="305064A9">
            <w:pPr>
              <w:widowControl/>
              <w:spacing w:line="360" w:lineRule="auto"/>
              <w:jc w:val="left"/>
              <w:rPr>
                <w:kern w:val="0"/>
                <w:szCs w:val="21"/>
              </w:rPr>
            </w:pPr>
            <w:r>
              <w:rPr>
                <w:rFonts w:hint="eastAsia"/>
                <w:sz w:val="24"/>
              </w:rPr>
              <w:t>北京市门头沟区档案馆新馆网络通讯安全系统及楼宇控制系统工程包括安防系统、综合布线、楼宇自动系统、信息发布系统、软件开发、机房工程、网络安全设备等全部内容。</w:t>
            </w:r>
          </w:p>
        </w:tc>
      </w:tr>
    </w:tbl>
    <w:p w14:paraId="1E9EFBCF">
      <w:pPr>
        <w:pStyle w:val="30"/>
        <w:spacing w:line="360" w:lineRule="auto"/>
        <w:rPr>
          <w:rFonts w:ascii="仿宋" w:hAnsi="仿宋" w:eastAsia="仿宋" w:cs="仿宋"/>
          <w:b/>
          <w:bCs/>
          <w:color w:val="000000"/>
          <w:sz w:val="24"/>
          <w:szCs w:val="22"/>
        </w:rPr>
      </w:pPr>
      <w:r>
        <w:rPr>
          <w:rFonts w:hint="eastAsia" w:ascii="仿宋" w:hAnsi="仿宋" w:eastAsia="仿宋" w:cs="仿宋"/>
          <w:b/>
          <w:bCs/>
          <w:color w:val="000000"/>
          <w:sz w:val="24"/>
          <w:szCs w:val="22"/>
        </w:rPr>
        <w:t>1、项目建设目标</w:t>
      </w:r>
      <w:bookmarkEnd w:id="827"/>
    </w:p>
    <w:p w14:paraId="7966962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（1）门头沟档案馆新馆建设项目运行管理的保障目标</w:t>
      </w:r>
    </w:p>
    <w:p w14:paraId="787DDA4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通过开发综合管理平台系统，连接网络通讯系统、建筑安防系统、楼宇自控系统、音视频会议系统，实现新馆建筑的常规智能化管理。</w:t>
      </w:r>
    </w:p>
    <w:p w14:paraId="7EE4E18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（2）门头沟区数字档案馆建设项目运行管理网络安全方面的保障目标</w:t>
      </w:r>
    </w:p>
    <w:p w14:paraId="43E8027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通过局域网、政务外网建设网络安全系统，实现本地两个网络的等保三级安全运行环境。</w:t>
      </w:r>
    </w:p>
    <w:p w14:paraId="6D26A145">
      <w:pPr>
        <w:pStyle w:val="30"/>
        <w:spacing w:line="360" w:lineRule="auto"/>
        <w:rPr>
          <w:rFonts w:ascii="仿宋" w:hAnsi="仿宋" w:eastAsia="仿宋" w:cs="仿宋"/>
          <w:b/>
          <w:bCs/>
          <w:color w:val="000000"/>
          <w:sz w:val="24"/>
          <w:szCs w:val="22"/>
        </w:rPr>
      </w:pPr>
      <w:bookmarkStart w:id="828" w:name="_Toc170739571"/>
      <w:r>
        <w:rPr>
          <w:rFonts w:hint="eastAsia" w:ascii="仿宋" w:hAnsi="仿宋" w:eastAsia="仿宋" w:cs="仿宋"/>
          <w:b/>
          <w:bCs/>
          <w:color w:val="000000"/>
          <w:sz w:val="24"/>
          <w:szCs w:val="22"/>
        </w:rPr>
        <w:t>2、项目建设规模</w:t>
      </w:r>
      <w:bookmarkEnd w:id="828"/>
    </w:p>
    <w:p w14:paraId="46909F3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（1）门头沟档案馆新馆建设项目配套智能化平台</w:t>
      </w:r>
    </w:p>
    <w:p w14:paraId="19C4A1F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建设开发一套可视化一体综合管理（软件）平台，平台可查阅各系统数据、信息形成可视化一体展示；集成各系统报警上传集中报警，集成安防、建筑楼宇、信息系统等数据的采集与并发处理；并可对各系统进行集成管理。集成的硬件系统建设规模包括：①网络通讯系统；②建筑安防系统；③楼宇自控系统；④音视频会议系统。</w:t>
      </w:r>
    </w:p>
    <w:p w14:paraId="6B11A82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（2）门头沟区数字档案馆建设项目配套网络安全平台</w:t>
      </w:r>
    </w:p>
    <w:p w14:paraId="015D051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①局域网网络安全平台</w:t>
      </w:r>
    </w:p>
    <w:p w14:paraId="61591E0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平台部署在局域网上，覆盖馆内的数字馆业务用户。</w:t>
      </w:r>
    </w:p>
    <w:p w14:paraId="08402C6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②政务外网网络安全平台</w:t>
      </w:r>
    </w:p>
    <w:p w14:paraId="28BB47B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平台部署在政务外网上，覆盖馆内及区立档单位的数字馆业务用户。</w:t>
      </w:r>
    </w:p>
    <w:p w14:paraId="031C1513">
      <w:pPr>
        <w:pStyle w:val="30"/>
        <w:spacing w:line="360" w:lineRule="auto"/>
        <w:rPr>
          <w:rFonts w:ascii="仿宋" w:hAnsi="仿宋" w:eastAsia="仿宋" w:cs="仿宋"/>
          <w:b/>
          <w:bCs/>
          <w:color w:val="000000"/>
          <w:sz w:val="24"/>
          <w:szCs w:val="22"/>
        </w:rPr>
      </w:pPr>
      <w:bookmarkStart w:id="829" w:name="_Toc170739572"/>
      <w:r>
        <w:rPr>
          <w:rFonts w:hint="eastAsia" w:ascii="仿宋" w:hAnsi="仿宋" w:eastAsia="仿宋" w:cs="仿宋"/>
          <w:b/>
          <w:bCs/>
          <w:color w:val="000000"/>
          <w:sz w:val="24"/>
          <w:szCs w:val="22"/>
        </w:rPr>
        <w:t>3、项目建设内容</w:t>
      </w:r>
      <w:bookmarkEnd w:id="829"/>
    </w:p>
    <w:p w14:paraId="63F5D87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（1）门头沟档案馆新馆建设项目配套智能化平台</w:t>
      </w:r>
    </w:p>
    <w:p w14:paraId="3EFEFC3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①综合管理平台</w:t>
      </w:r>
    </w:p>
    <w:p w14:paraId="3B393A4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档案馆建筑智能化系统整体开发一套信息化、智能化系统综合管理软件，将馆内安防、楼宇控制等系统集成到平台中，实现分散控制、集中管理的思想。通过平台的整合显示功能，将各系统整合在一个预览界面进行展示，展示界面可根据需要切入各系统展示界面。实现信息资源的共享与管理。界面采用模块化设计，根据不同的需求利用模块化方式进行调整展示内容。集成各系统报警信息采集、提示查询等功能，可根据需求实现报警联动功能，报警信息上传等功能。使值守管理人员对整个弱电系统运行状态一目了然。平台服务器安装于安防监控中心，监控中心设置人机交互客户终端，对平台软件实施管理。</w:t>
      </w:r>
    </w:p>
    <w:p w14:paraId="2D45117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②网络通讯系统</w:t>
      </w:r>
    </w:p>
    <w:p w14:paraId="44B6595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I计算机网络子系统</w:t>
      </w:r>
    </w:p>
    <w:p w14:paraId="79FCE9D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计算机网络子系统包括局域网、政务外网、设备网，是档案馆信息平台数据传输交换的网络交换平台，设计为核心层和接入层的二层网络架构。</w:t>
      </w:r>
    </w:p>
    <w:p w14:paraId="60F3D88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II电话子系统</w:t>
      </w:r>
    </w:p>
    <w:p w14:paraId="24F419D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配置数字程控交换机摒弃原有大对数语音架构，采用数字信号传输。程控交换机安装于地下二层弱电机房内，由弱电机房向各层弱电竖井敷设光纤并通过光电转换设备连接层语音交换机。</w:t>
      </w:r>
    </w:p>
    <w:p w14:paraId="3C6A6D8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lang w:eastAsia="zh-CN"/>
        </w:rPr>
        <w:t>Ⅲ</w:t>
      </w:r>
      <w:r>
        <w:rPr>
          <w:rFonts w:hint="eastAsia" w:ascii="仿宋" w:hAnsi="仿宋" w:eastAsia="仿宋" w:cs="仿宋"/>
          <w:color w:val="000000"/>
          <w:sz w:val="24"/>
          <w:szCs w:val="22"/>
        </w:rPr>
        <w:t>综合布线子系统</w:t>
      </w:r>
    </w:p>
    <w:p w14:paraId="3A83C2C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综合需求分析：整体网络采用光纤为主干传输介质，水平层均采用六类非屏幕双绞线传输，配套配线架、模块、网络跳线等设备均采用六类系列产品。其中三层数据机房内的线缆外皮采用低烟无卤、阻燃标准。</w:t>
      </w:r>
    </w:p>
    <w:p w14:paraId="696A183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IV有线电视子系统</w:t>
      </w:r>
    </w:p>
    <w:p w14:paraId="73C5D9A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有线电视采用光纤架构。系统采用24芯光纤入户，接入地下二层弱电机房，机房内配置有线电视信号接收转发设备，再由地下二层机房向有线电视布置点位敷设光纤。</w:t>
      </w:r>
    </w:p>
    <w:p w14:paraId="666921A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V电梯五方对讲子系统</w:t>
      </w:r>
    </w:p>
    <w:p w14:paraId="4758BF6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档案馆内共有三部电梯，需针对三电梯设置五方对讲系统。当乘客在任何紧急情况下(包括停电)，轿厢内乘客启动对讲系统，应能与外界取得联系；在电梯检修测试时，电梯轿厢、轿底、轿顶、电梯控制机房、管理中心之间能够实现对讲功能。</w:t>
      </w:r>
    </w:p>
    <w:p w14:paraId="185CA0B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VI机房建设子系统</w:t>
      </w:r>
    </w:p>
    <w:p w14:paraId="712D087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档案馆机房建设已由新馆建设项目总承包方按照设计院图纸建设完成，但仍未达到信息化系统机房的建设标准。因此本次工程针对机房未完善建设进行完善工作，包括：地面完善、防雷接地完善、机房机柜完善、机房供配电完善。</w:t>
      </w:r>
    </w:p>
    <w:p w14:paraId="5F75639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机房建设子系统分为安防监控中心、服务器机房、弱电机房三部分。每个机房需按照《电子信息系统机房设计规范》GB50174-2017设计实施。保障设备设施安全运行。</w:t>
      </w:r>
    </w:p>
    <w:p w14:paraId="2EBBF8E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③建筑安防系统</w:t>
      </w:r>
    </w:p>
    <w:p w14:paraId="1763B43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I视频监控子系统</w:t>
      </w:r>
    </w:p>
    <w:p w14:paraId="04A8361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针对档案馆内全部区域，设置视频及音频采集的系统，实现区域内的无死角安全监控。设置安防监控中心，后端实现存储设备及中心传输显示、解码设备的集中管理和业务配置并提供了视频监控，录像回放，解码上墙和图片查询等应用。</w:t>
      </w:r>
    </w:p>
    <w:p w14:paraId="2295C14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II门禁子系统</w:t>
      </w:r>
    </w:p>
    <w:p w14:paraId="535C460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针对档案馆各出入口设置门禁系统，利用门禁系统将公共区域与内部区域分割开。重点区域的门加装门禁系统并能够设置独立权限管理及记录出入人员信息。</w:t>
      </w:r>
    </w:p>
    <w:p w14:paraId="452EBE1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lang w:eastAsia="zh-CN"/>
        </w:rPr>
        <w:t>Ⅲ</w:t>
      </w:r>
      <w:r>
        <w:rPr>
          <w:rFonts w:hint="eastAsia" w:ascii="仿宋" w:hAnsi="仿宋" w:eastAsia="仿宋" w:cs="仿宋"/>
          <w:color w:val="000000"/>
          <w:sz w:val="24"/>
          <w:szCs w:val="22"/>
        </w:rPr>
        <w:t>报警子系统</w:t>
      </w:r>
    </w:p>
    <w:p w14:paraId="4BC4320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报警系统按照档案馆需求，在重点防范区域及主要的出入口进行设置报警探测设备。主要防范重点区域的非法侵入行为且能够及时</w:t>
      </w:r>
      <w:r>
        <w:rPr>
          <w:rFonts w:hint="eastAsia" w:ascii="仿宋" w:hAnsi="仿宋" w:eastAsia="仿宋" w:cs="仿宋"/>
          <w:color w:val="000000"/>
          <w:sz w:val="24"/>
          <w:szCs w:val="22"/>
          <w:lang w:eastAsia="zh-CN"/>
        </w:rPr>
        <w:t>地</w:t>
      </w:r>
      <w:r>
        <w:rPr>
          <w:rFonts w:hint="eastAsia" w:ascii="仿宋" w:hAnsi="仿宋" w:eastAsia="仿宋" w:cs="仿宋"/>
          <w:color w:val="000000"/>
          <w:sz w:val="24"/>
          <w:szCs w:val="22"/>
        </w:rPr>
        <w:t>给工作人员发出告警信息，对外服务区域设置的残疾人卫生间按照残卫的建设标准需设置有求助按钮。报警系统总体上是为档案馆工作人员提供有效准确的报警信息，并能够通过视频的联动实现报警信息提示功能。</w:t>
      </w:r>
    </w:p>
    <w:p w14:paraId="759A141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IV电子巡更子系统</w:t>
      </w:r>
    </w:p>
    <w:p w14:paraId="077AB22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系统是在巡逻线路上安装一系列代表不同点的射频卡（又称感应卡），巡逻到各点时巡逻人员用手持式巡检器（相当于刷卡机）读卡，把代表该点的“卡号”和“读卡时间”同时记录下来；巡逻完成后巡检器通过通讯座把数据传给计算机软件处理，就可以对巡逻情况（地点、时间等）进行记录和考核。系统软件采用智能排班、自动数据处理及核查，一目了然地显示巡更人员是否按照要求的时间、路线巡查，有没有未巡、漏巡、迟到、早到、顺序走错等情况。可轻松地选择不同时间段，线路，巡逻点，巡逻人员等要素进行查询和统计。</w:t>
      </w:r>
    </w:p>
    <w:p w14:paraId="3E17D0B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fldChar w:fldCharType="begin"/>
      </w:r>
      <w:r>
        <w:rPr>
          <w:rFonts w:hint="eastAsia" w:ascii="仿宋" w:hAnsi="仿宋" w:eastAsia="仿宋" w:cs="仿宋"/>
          <w:color w:val="000000"/>
          <w:sz w:val="24"/>
          <w:szCs w:val="22"/>
        </w:rPr>
        <w:instrText xml:space="preserve"> = 5 \* ROMAN </w:instrText>
      </w:r>
      <w:r>
        <w:rPr>
          <w:rFonts w:hint="eastAsia" w:ascii="仿宋" w:hAnsi="仿宋" w:eastAsia="仿宋" w:cs="仿宋"/>
          <w:color w:val="000000"/>
          <w:sz w:val="24"/>
          <w:szCs w:val="22"/>
        </w:rPr>
        <w:fldChar w:fldCharType="separate"/>
      </w:r>
      <w:r>
        <w:rPr>
          <w:rFonts w:hint="eastAsia" w:ascii="仿宋" w:hAnsi="仿宋" w:eastAsia="仿宋" w:cs="仿宋"/>
          <w:color w:val="000000"/>
          <w:sz w:val="24"/>
          <w:szCs w:val="22"/>
        </w:rPr>
        <w:t>V</w:t>
      </w:r>
      <w:r>
        <w:rPr>
          <w:rFonts w:hint="eastAsia" w:ascii="仿宋" w:hAnsi="仿宋" w:eastAsia="仿宋" w:cs="仿宋"/>
          <w:color w:val="000000"/>
          <w:sz w:val="24"/>
          <w:szCs w:val="22"/>
        </w:rPr>
        <w:fldChar w:fldCharType="end"/>
      </w:r>
      <w:r>
        <w:rPr>
          <w:rFonts w:hint="eastAsia" w:ascii="仿宋" w:hAnsi="仿宋" w:eastAsia="仿宋" w:cs="仿宋"/>
          <w:color w:val="000000"/>
          <w:sz w:val="24"/>
          <w:szCs w:val="22"/>
        </w:rPr>
        <w:t>停车场管理子系统</w:t>
      </w:r>
    </w:p>
    <w:p w14:paraId="62D4AB4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档案馆地下两层为停车场，需在档案馆西门设置停车场管理系统。系统可区分内部与外部车辆，内部车辆可正常无阻通行；外部车辆按照停留时间收费通行；停车场系统具备无人值守收费功能。停车场网络为独立网络不与馆内其他三网连接。停车场设置本地服务器与管理主机并提供查询、管理、查账等功能。停车场系统需根据政府相关要求对接政府收费管理的服务平台。</w:t>
      </w:r>
    </w:p>
    <w:p w14:paraId="0691ABF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④楼宇自控系统</w:t>
      </w:r>
    </w:p>
    <w:p w14:paraId="62FFC5D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楼宇自动化控制采用的是计算机集散控制，所谓计算机集散控制就是分散控制集中管理。它的分散控制器通常采用直接数字控制器（ DDC），利用上位计算机进行画面的监控和管理。</w:t>
      </w:r>
    </w:p>
    <w:p w14:paraId="35A2F84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I冷热源群控子系统</w:t>
      </w:r>
    </w:p>
    <w:p w14:paraId="37FD58C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监控建筑物内的冷水机组、冷却泵、冷冻泵、冷却塔，板式换热器等。</w:t>
      </w:r>
    </w:p>
    <w:p w14:paraId="41EE380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fldChar w:fldCharType="begin"/>
      </w:r>
      <w:r>
        <w:rPr>
          <w:rFonts w:hint="eastAsia" w:ascii="仿宋" w:hAnsi="仿宋" w:eastAsia="仿宋" w:cs="仿宋"/>
          <w:color w:val="000000"/>
          <w:sz w:val="24"/>
          <w:szCs w:val="22"/>
        </w:rPr>
        <w:instrText xml:space="preserve"> = 2 \* ROMAN </w:instrText>
      </w:r>
      <w:r>
        <w:rPr>
          <w:rFonts w:hint="eastAsia" w:ascii="仿宋" w:hAnsi="仿宋" w:eastAsia="仿宋" w:cs="仿宋"/>
          <w:color w:val="000000"/>
          <w:sz w:val="24"/>
          <w:szCs w:val="22"/>
        </w:rPr>
        <w:fldChar w:fldCharType="separate"/>
      </w:r>
      <w:r>
        <w:rPr>
          <w:rFonts w:hint="eastAsia" w:ascii="仿宋" w:hAnsi="仿宋" w:eastAsia="仿宋" w:cs="仿宋"/>
          <w:color w:val="000000"/>
          <w:sz w:val="24"/>
          <w:szCs w:val="22"/>
        </w:rPr>
        <w:t>II</w:t>
      </w:r>
      <w:r>
        <w:rPr>
          <w:rFonts w:hint="eastAsia" w:ascii="仿宋" w:hAnsi="仿宋" w:eastAsia="仿宋" w:cs="仿宋"/>
          <w:color w:val="000000"/>
          <w:sz w:val="24"/>
          <w:szCs w:val="22"/>
        </w:rPr>
        <w:fldChar w:fldCharType="end"/>
      </w:r>
      <w:r>
        <w:rPr>
          <w:rFonts w:hint="eastAsia" w:ascii="仿宋" w:hAnsi="仿宋" w:eastAsia="仿宋" w:cs="仿宋"/>
          <w:color w:val="000000"/>
          <w:sz w:val="24"/>
          <w:szCs w:val="22"/>
        </w:rPr>
        <w:t>空调控制子系统</w:t>
      </w:r>
    </w:p>
    <w:p w14:paraId="39162C0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监控建筑物内的空调机组、新风机组，空调/新风机组。</w:t>
      </w:r>
    </w:p>
    <w:p w14:paraId="373F27B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fldChar w:fldCharType="begin"/>
      </w:r>
      <w:r>
        <w:rPr>
          <w:rFonts w:hint="eastAsia" w:ascii="仿宋" w:hAnsi="仿宋" w:eastAsia="仿宋" w:cs="仿宋"/>
          <w:color w:val="000000"/>
          <w:sz w:val="24"/>
          <w:szCs w:val="22"/>
        </w:rPr>
        <w:instrText xml:space="preserve"> = 3 \* ROMAN </w:instrText>
      </w:r>
      <w:r>
        <w:rPr>
          <w:rFonts w:hint="eastAsia" w:ascii="仿宋" w:hAnsi="仿宋" w:eastAsia="仿宋" w:cs="仿宋"/>
          <w:color w:val="000000"/>
          <w:sz w:val="24"/>
          <w:szCs w:val="22"/>
        </w:rPr>
        <w:fldChar w:fldCharType="separate"/>
      </w:r>
      <w:r>
        <w:rPr>
          <w:rFonts w:hint="eastAsia" w:ascii="仿宋" w:hAnsi="仿宋" w:eastAsia="仿宋" w:cs="仿宋"/>
          <w:color w:val="000000"/>
          <w:sz w:val="24"/>
          <w:szCs w:val="22"/>
          <w:lang w:eastAsia="zh-CN"/>
        </w:rPr>
        <w:t>Ⅲ</w:t>
      </w:r>
      <w:r>
        <w:rPr>
          <w:rFonts w:hint="eastAsia" w:ascii="仿宋" w:hAnsi="仿宋" w:eastAsia="仿宋" w:cs="仿宋"/>
          <w:color w:val="000000"/>
          <w:sz w:val="24"/>
          <w:szCs w:val="22"/>
        </w:rPr>
        <w:fldChar w:fldCharType="end"/>
      </w:r>
      <w:r>
        <w:rPr>
          <w:rFonts w:hint="eastAsia" w:ascii="仿宋" w:hAnsi="仿宋" w:eastAsia="仿宋" w:cs="仿宋"/>
          <w:color w:val="000000"/>
          <w:sz w:val="24"/>
          <w:szCs w:val="22"/>
        </w:rPr>
        <w:t>送排风控制子系统</w:t>
      </w:r>
    </w:p>
    <w:p w14:paraId="30ADC7F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监控建筑物内的送/排风机、通风机。</w:t>
      </w:r>
    </w:p>
    <w:p w14:paraId="3A7255F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fldChar w:fldCharType="begin"/>
      </w:r>
      <w:r>
        <w:rPr>
          <w:rFonts w:hint="eastAsia" w:ascii="仿宋" w:hAnsi="仿宋" w:eastAsia="仿宋" w:cs="仿宋"/>
          <w:color w:val="000000"/>
          <w:sz w:val="24"/>
          <w:szCs w:val="22"/>
        </w:rPr>
        <w:instrText xml:space="preserve"> = 4 \* ROMAN </w:instrText>
      </w:r>
      <w:r>
        <w:rPr>
          <w:rFonts w:hint="eastAsia" w:ascii="仿宋" w:hAnsi="仿宋" w:eastAsia="仿宋" w:cs="仿宋"/>
          <w:color w:val="000000"/>
          <w:sz w:val="24"/>
          <w:szCs w:val="22"/>
        </w:rPr>
        <w:fldChar w:fldCharType="separate"/>
      </w:r>
      <w:r>
        <w:rPr>
          <w:rFonts w:hint="eastAsia" w:ascii="仿宋" w:hAnsi="仿宋" w:eastAsia="仿宋" w:cs="仿宋"/>
          <w:color w:val="000000"/>
          <w:sz w:val="24"/>
          <w:szCs w:val="22"/>
        </w:rPr>
        <w:t>IV</w:t>
      </w:r>
      <w:r>
        <w:rPr>
          <w:rFonts w:hint="eastAsia" w:ascii="仿宋" w:hAnsi="仿宋" w:eastAsia="仿宋" w:cs="仿宋"/>
          <w:color w:val="000000"/>
          <w:sz w:val="24"/>
          <w:szCs w:val="22"/>
        </w:rPr>
        <w:fldChar w:fldCharType="end"/>
      </w:r>
      <w:r>
        <w:rPr>
          <w:rFonts w:hint="eastAsia" w:ascii="仿宋" w:hAnsi="仿宋" w:eastAsia="仿宋" w:cs="仿宋"/>
          <w:color w:val="000000"/>
          <w:sz w:val="24"/>
          <w:szCs w:val="22"/>
        </w:rPr>
        <w:t>给排水控制子系统</w:t>
      </w:r>
    </w:p>
    <w:p w14:paraId="0C4459F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监控建筑物内的生活给水系统和生活污水系统。</w:t>
      </w:r>
    </w:p>
    <w:p w14:paraId="3A7F7E0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fldChar w:fldCharType="begin"/>
      </w:r>
      <w:r>
        <w:rPr>
          <w:rFonts w:hint="eastAsia" w:ascii="仿宋" w:hAnsi="仿宋" w:eastAsia="仿宋" w:cs="仿宋"/>
          <w:color w:val="000000"/>
          <w:sz w:val="24"/>
          <w:szCs w:val="22"/>
        </w:rPr>
        <w:instrText xml:space="preserve"> = 5 \* ROMAN </w:instrText>
      </w:r>
      <w:r>
        <w:rPr>
          <w:rFonts w:hint="eastAsia" w:ascii="仿宋" w:hAnsi="仿宋" w:eastAsia="仿宋" w:cs="仿宋"/>
          <w:color w:val="000000"/>
          <w:sz w:val="24"/>
          <w:szCs w:val="22"/>
        </w:rPr>
        <w:fldChar w:fldCharType="separate"/>
      </w:r>
      <w:r>
        <w:rPr>
          <w:rFonts w:hint="eastAsia" w:ascii="仿宋" w:hAnsi="仿宋" w:eastAsia="仿宋" w:cs="仿宋"/>
          <w:color w:val="000000"/>
          <w:sz w:val="24"/>
          <w:szCs w:val="22"/>
        </w:rPr>
        <w:t>V</w:t>
      </w:r>
      <w:r>
        <w:rPr>
          <w:rFonts w:hint="eastAsia" w:ascii="仿宋" w:hAnsi="仿宋" w:eastAsia="仿宋" w:cs="仿宋"/>
          <w:color w:val="000000"/>
          <w:sz w:val="24"/>
          <w:szCs w:val="22"/>
        </w:rPr>
        <w:fldChar w:fldCharType="end"/>
      </w:r>
      <w:r>
        <w:rPr>
          <w:rFonts w:hint="eastAsia" w:ascii="仿宋" w:hAnsi="仿宋" w:eastAsia="仿宋" w:cs="仿宋"/>
          <w:color w:val="000000"/>
          <w:sz w:val="24"/>
          <w:szCs w:val="22"/>
        </w:rPr>
        <w:t>智能照明控制子系统</w:t>
      </w:r>
    </w:p>
    <w:p w14:paraId="1209778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监控建筑物内的公共区域照明系统。</w:t>
      </w:r>
    </w:p>
    <w:p w14:paraId="33C744F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fldChar w:fldCharType="begin"/>
      </w:r>
      <w:r>
        <w:rPr>
          <w:rFonts w:hint="eastAsia" w:ascii="仿宋" w:hAnsi="仿宋" w:eastAsia="仿宋" w:cs="仿宋"/>
          <w:color w:val="000000"/>
          <w:sz w:val="24"/>
          <w:szCs w:val="22"/>
        </w:rPr>
        <w:instrText xml:space="preserve"> = 6 \* ROMAN </w:instrText>
      </w:r>
      <w:r>
        <w:rPr>
          <w:rFonts w:hint="eastAsia" w:ascii="仿宋" w:hAnsi="仿宋" w:eastAsia="仿宋" w:cs="仿宋"/>
          <w:color w:val="000000"/>
          <w:sz w:val="24"/>
          <w:szCs w:val="22"/>
        </w:rPr>
        <w:fldChar w:fldCharType="separate"/>
      </w:r>
      <w:r>
        <w:rPr>
          <w:rFonts w:hint="eastAsia" w:ascii="仿宋" w:hAnsi="仿宋" w:eastAsia="仿宋" w:cs="仿宋"/>
          <w:color w:val="000000"/>
          <w:sz w:val="24"/>
          <w:szCs w:val="22"/>
        </w:rPr>
        <w:t>VI</w:t>
      </w:r>
      <w:r>
        <w:rPr>
          <w:rFonts w:hint="eastAsia" w:ascii="仿宋" w:hAnsi="仿宋" w:eastAsia="仿宋" w:cs="仿宋"/>
          <w:color w:val="000000"/>
          <w:sz w:val="24"/>
          <w:szCs w:val="22"/>
        </w:rPr>
        <w:fldChar w:fldCharType="end"/>
      </w:r>
      <w:r>
        <w:rPr>
          <w:rFonts w:hint="eastAsia" w:ascii="仿宋" w:hAnsi="仿宋" w:eastAsia="仿宋" w:cs="仿宋"/>
          <w:color w:val="000000"/>
          <w:sz w:val="24"/>
          <w:szCs w:val="22"/>
        </w:rPr>
        <w:t>档案库房环境监控子系统</w:t>
      </w:r>
    </w:p>
    <w:p w14:paraId="1118CAB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监控档案库房温湿度和库房空调漏水监测系统。</w:t>
      </w:r>
    </w:p>
    <w:p w14:paraId="6F5C9C0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⑤音视频会议系统</w:t>
      </w:r>
    </w:p>
    <w:p w14:paraId="5C85786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I信息发布子系统</w:t>
      </w:r>
    </w:p>
    <w:p w14:paraId="2832EE4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信息发布系统是在档案馆大厅接待处、会议室接待处、人群较密集处放置信息发布终端。系统是展示档案馆信息，宣传档案馆文化，树立档案馆形象，发布档案馆活动通知的平台。</w:t>
      </w:r>
    </w:p>
    <w:p w14:paraId="50C4182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II LED显示子系统</w:t>
      </w:r>
    </w:p>
    <w:p w14:paraId="23C3C27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档案馆首层大厅设计一块LED屏，主要用于播放档案馆宣传文字、图片视频等资料。</w:t>
      </w:r>
    </w:p>
    <w:p w14:paraId="4770A38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lang w:eastAsia="zh-CN"/>
        </w:rPr>
        <w:t>Ⅲ</w:t>
      </w:r>
      <w:r>
        <w:rPr>
          <w:rFonts w:hint="eastAsia" w:ascii="仿宋" w:hAnsi="仿宋" w:eastAsia="仿宋" w:cs="仿宋"/>
          <w:color w:val="000000"/>
          <w:sz w:val="24"/>
          <w:szCs w:val="22"/>
        </w:rPr>
        <w:t>报告厅子系统</w:t>
      </w:r>
    </w:p>
    <w:p w14:paraId="43CC295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报告厅子系统集成了先进的多媒体显示系统、专业的音响扩声系统、高清的录制直播系统智能化控制系统。</w:t>
      </w:r>
    </w:p>
    <w:p w14:paraId="3988068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IV会议室子系统</w:t>
      </w:r>
    </w:p>
    <w:p w14:paraId="61AC03E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会议室子系统集成了先进的多媒体显示系统、专业的音响扩声系统、以及智能化的控制系统。</w:t>
      </w:r>
    </w:p>
    <w:p w14:paraId="1E55135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（2）门头沟区数字档案馆建设项目配套网络安全平台</w:t>
      </w:r>
    </w:p>
    <w:p w14:paraId="6F11F68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①局域网网络安全平台</w:t>
      </w:r>
    </w:p>
    <w:p w14:paraId="191AB4B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通过对局域网划分安全区域并部署安装网络安全产品（防火墙、WAF、入侵检测、数据库审计、漏洞扫描、日志审计、堡垒机、主机安全等）实现等保三级安全使用环境。</w:t>
      </w:r>
    </w:p>
    <w:p w14:paraId="0F7982F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②政务外网网络安全平台</w:t>
      </w:r>
    </w:p>
    <w:p w14:paraId="32ADCDD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通过对政务外网划分安全区域并部署安装网络安全产品（防火墙、WAF、入侵检测、数据库审计、漏洞扫描、日志审计、堡垒机、主机安全等）实现等保三级安全使用环境。</w:t>
      </w:r>
    </w:p>
    <w:p w14:paraId="17B1EF55">
      <w:pPr>
        <w:pStyle w:val="30"/>
        <w:numPr>
          <w:ilvl w:val="0"/>
          <w:numId w:val="16"/>
        </w:numPr>
        <w:spacing w:line="360" w:lineRule="auto"/>
        <w:outlineLvl w:val="0"/>
        <w:rPr>
          <w:rFonts w:ascii="仿宋" w:hAnsi="仿宋" w:eastAsia="仿宋" w:cs="仿宋"/>
          <w:color w:val="000000"/>
          <w:sz w:val="24"/>
          <w:szCs w:val="22"/>
        </w:rPr>
      </w:pPr>
      <w:r>
        <w:rPr>
          <w:rFonts w:hint="eastAsia" w:ascii="仿宋" w:hAnsi="仿宋" w:eastAsia="仿宋" w:cs="仿宋"/>
          <w:color w:val="000000"/>
          <w:sz w:val="24"/>
          <w:szCs w:val="22"/>
        </w:rPr>
        <w:t>项目背景/项目概述（如有）</w:t>
      </w:r>
    </w:p>
    <w:p w14:paraId="3A32EB5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本项目位于北京市门头沟区永定镇冯村、何各庄土地一级开发项目A 地块剩余地块（门头沟新城15街区MC00-0015-0069），北临泰安路，东临三石路，西临冯村二路，南至空地。总用地面积8990.52平方米。总建筑面积21180平方米，其中：地上建筑面积12800平方米，地下建筑面积8380平方米。建筑高度23.9米。停车位142辆。地下二层，地上五层。</w:t>
      </w:r>
    </w:p>
    <w:p w14:paraId="57AC371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档案馆新馆主体已完工（待验收），后续红线外大市政工程正在建设中。为保障门头沟区档案馆新馆如期全面建成并投入使用，新馆主体建设项目之外尚需加快实施档案馆新馆网络通讯安全系统及楼宇控制系统工程项目建设。项目主要包括：综合管理平台系统、网络通讯系统、建筑安防系统、楼宇控制系统、音视频会议系统、网络安全系统等。</w:t>
      </w:r>
    </w:p>
    <w:p w14:paraId="3BCE7073">
      <w:pPr>
        <w:pStyle w:val="30"/>
        <w:spacing w:line="360" w:lineRule="auto"/>
        <w:outlineLvl w:val="0"/>
        <w:rPr>
          <w:rFonts w:ascii="仿宋" w:hAnsi="仿宋" w:eastAsia="仿宋" w:cs="仿宋"/>
          <w:b/>
          <w:bCs/>
          <w:color w:val="000000"/>
          <w:sz w:val="24"/>
          <w:szCs w:val="22"/>
        </w:rPr>
      </w:pPr>
      <w:r>
        <w:rPr>
          <w:rFonts w:hint="eastAsia" w:ascii="仿宋" w:hAnsi="仿宋" w:eastAsia="仿宋" w:cs="仿宋"/>
          <w:b/>
          <w:bCs/>
          <w:color w:val="000000"/>
          <w:sz w:val="24"/>
          <w:szCs w:val="22"/>
        </w:rPr>
        <w:t>二、商务要求</w:t>
      </w:r>
    </w:p>
    <w:p w14:paraId="44EFA3F1">
      <w:pPr>
        <w:pStyle w:val="30"/>
        <w:spacing w:line="360" w:lineRule="auto"/>
        <w:outlineLvl w:val="1"/>
        <w:rPr>
          <w:rFonts w:ascii="仿宋" w:hAnsi="仿宋" w:eastAsia="仿宋" w:cs="仿宋"/>
          <w:b/>
          <w:bCs/>
          <w:color w:val="000000"/>
          <w:sz w:val="24"/>
          <w:szCs w:val="22"/>
        </w:rPr>
      </w:pPr>
      <w:r>
        <w:rPr>
          <w:rFonts w:hint="eastAsia" w:ascii="仿宋" w:hAnsi="仿宋" w:eastAsia="仿宋" w:cs="仿宋"/>
          <w:b/>
          <w:bCs/>
          <w:color w:val="000000"/>
          <w:sz w:val="24"/>
          <w:szCs w:val="22"/>
        </w:rPr>
        <w:t>1. 交付（实施）的时间（期限）和地点（范围）</w:t>
      </w:r>
    </w:p>
    <w:p w14:paraId="68EAA6D9">
      <w:pPr>
        <w:pStyle w:val="30"/>
        <w:spacing w:line="360" w:lineRule="auto"/>
        <w:outlineLvl w:val="1"/>
        <w:rPr>
          <w:rFonts w:ascii="仿宋" w:hAnsi="仿宋" w:eastAsia="仿宋" w:cs="仿宋"/>
          <w:b/>
          <w:bCs/>
          <w:color w:val="000000"/>
          <w:sz w:val="24"/>
          <w:szCs w:val="22"/>
        </w:rPr>
      </w:pPr>
      <w:r>
        <w:rPr>
          <w:rFonts w:hint="eastAsia" w:ascii="仿宋" w:hAnsi="仿宋" w:eastAsia="仿宋" w:cs="仿宋"/>
          <w:b/>
          <w:bCs/>
          <w:color w:val="000000"/>
          <w:sz w:val="24"/>
          <w:szCs w:val="22"/>
        </w:rPr>
        <w:t>交付（实施）的时间：</w:t>
      </w:r>
      <w:r>
        <w:rPr>
          <w:rFonts w:hint="eastAsia" w:ascii="仿宋" w:hAnsi="仿宋" w:eastAsia="仿宋" w:cs="仿宋"/>
          <w:color w:val="000000"/>
          <w:sz w:val="24"/>
          <w:szCs w:val="22"/>
        </w:rPr>
        <w:t>自合同签订之日起至120日历天完成全部内容。</w:t>
      </w:r>
      <w:r>
        <w:rPr>
          <w:rFonts w:hint="eastAsia" w:ascii="仿宋" w:hAnsi="仿宋" w:eastAsia="仿宋" w:cs="仿宋"/>
          <w:color w:val="000000"/>
          <w:sz w:val="24"/>
          <w:szCs w:val="22"/>
        </w:rPr>
        <w:br w:type="textWrapping"/>
      </w:r>
      <w:r>
        <w:rPr>
          <w:rFonts w:hint="eastAsia" w:ascii="仿宋" w:hAnsi="仿宋" w:eastAsia="仿宋" w:cs="仿宋"/>
          <w:b/>
          <w:bCs/>
          <w:color w:val="000000"/>
          <w:sz w:val="24"/>
          <w:szCs w:val="22"/>
        </w:rPr>
        <w:t>地点：北京市门头沟区采购人指定地点</w:t>
      </w:r>
      <w:r>
        <w:rPr>
          <w:rFonts w:hint="eastAsia" w:ascii="仿宋" w:hAnsi="仿宋" w:eastAsia="仿宋" w:cs="仿宋"/>
          <w:color w:val="000000"/>
          <w:sz w:val="24"/>
          <w:szCs w:val="22"/>
        </w:rPr>
        <w:br w:type="textWrapping"/>
      </w:r>
      <w:r>
        <w:rPr>
          <w:rFonts w:hint="eastAsia" w:ascii="仿宋" w:hAnsi="仿宋" w:eastAsia="仿宋" w:cs="仿宋"/>
          <w:b/>
          <w:bCs/>
          <w:color w:val="000000"/>
          <w:sz w:val="24"/>
          <w:szCs w:val="22"/>
        </w:rPr>
        <w:t>2. 付款条件（进度和方式）</w:t>
      </w:r>
    </w:p>
    <w:p w14:paraId="455B510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详见合同付款条款</w:t>
      </w:r>
    </w:p>
    <w:p w14:paraId="050C1986">
      <w:pPr>
        <w:pStyle w:val="30"/>
        <w:numPr>
          <w:ilvl w:val="0"/>
          <w:numId w:val="16"/>
        </w:numPr>
        <w:spacing w:line="360" w:lineRule="auto"/>
        <w:outlineLvl w:val="1"/>
        <w:rPr>
          <w:rFonts w:ascii="仿宋" w:hAnsi="仿宋" w:eastAsia="仿宋" w:cs="仿宋"/>
          <w:b/>
          <w:bCs/>
          <w:color w:val="000000"/>
          <w:sz w:val="24"/>
          <w:szCs w:val="22"/>
        </w:rPr>
      </w:pPr>
      <w:r>
        <w:rPr>
          <w:rFonts w:hint="eastAsia" w:ascii="仿宋" w:hAnsi="仿宋" w:eastAsia="仿宋" w:cs="仿宋"/>
          <w:b/>
          <w:bCs/>
          <w:color w:val="000000"/>
          <w:sz w:val="24"/>
          <w:szCs w:val="22"/>
        </w:rPr>
        <w:t>包装和运输（如适用，须满足《关于印发〈商品包装政府采购需求标准（试行）〉、〈快递包装政府采购需求标准（试行）〉的通知》（财办库﹝2020﹞ 123 号））</w:t>
      </w:r>
    </w:p>
    <w:p w14:paraId="78F89032">
      <w:pPr>
        <w:pStyle w:val="30"/>
        <w:spacing w:line="360" w:lineRule="auto"/>
      </w:pPr>
      <w:r>
        <w:rPr>
          <w:rFonts w:hint="eastAsia" w:ascii="仿宋" w:hAnsi="仿宋" w:eastAsia="仿宋" w:cs="仿宋"/>
          <w:color w:val="000000"/>
          <w:sz w:val="24"/>
          <w:szCs w:val="22"/>
        </w:rPr>
        <w:t>详见合同包装运输条款</w:t>
      </w:r>
    </w:p>
    <w:p w14:paraId="3C65D856">
      <w:pPr>
        <w:pStyle w:val="30"/>
        <w:numPr>
          <w:ilvl w:val="0"/>
          <w:numId w:val="16"/>
        </w:numPr>
        <w:spacing w:line="360" w:lineRule="auto"/>
        <w:outlineLvl w:val="1"/>
        <w:rPr>
          <w:rFonts w:ascii="仿宋" w:hAnsi="仿宋" w:eastAsia="仿宋" w:cs="仿宋"/>
          <w:b/>
          <w:bCs/>
          <w:color w:val="000000"/>
          <w:sz w:val="24"/>
          <w:szCs w:val="22"/>
        </w:rPr>
      </w:pPr>
      <w:r>
        <w:rPr>
          <w:rFonts w:hint="eastAsia" w:ascii="仿宋" w:hAnsi="仿宋" w:eastAsia="仿宋" w:cs="仿宋"/>
          <w:b/>
          <w:bCs/>
          <w:color w:val="000000"/>
          <w:sz w:val="24"/>
          <w:szCs w:val="22"/>
        </w:rPr>
        <w:t>售后服务（质保期）（如适用）</w:t>
      </w:r>
    </w:p>
    <w:p w14:paraId="0D0C9CD0">
      <w:pPr>
        <w:rPr>
          <w:rFonts w:ascii="仿宋" w:hAnsi="仿宋" w:eastAsia="仿宋" w:cs="仿宋"/>
          <w:color w:val="000000"/>
          <w:sz w:val="24"/>
        </w:rPr>
      </w:pPr>
      <w:r>
        <w:rPr>
          <w:rFonts w:hint="eastAsia" w:ascii="仿宋" w:hAnsi="仿宋" w:eastAsia="仿宋" w:cs="仿宋"/>
          <w:color w:val="000000"/>
          <w:sz w:val="24"/>
        </w:rPr>
        <w:t>本项目质保服务为三年；对人员及服务响应及培训要求如下：</w:t>
      </w:r>
    </w:p>
    <w:p w14:paraId="32D42D6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（1）人员要求</w:t>
      </w:r>
    </w:p>
    <w:p w14:paraId="7F4F45B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针对项目的软硬件至少配备2人驻场进行服务。</w:t>
      </w:r>
    </w:p>
    <w:p w14:paraId="69911EC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（2）服务响应要求</w:t>
      </w:r>
    </w:p>
    <w:p w14:paraId="53AA841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解决故障的时间不得长于24小时。</w:t>
      </w:r>
    </w:p>
    <w:p w14:paraId="4866E71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（3）培训要求</w:t>
      </w:r>
    </w:p>
    <w:p w14:paraId="3AE35C9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北京市门头沟区新馆网络通讯安全系统及楼宇控制系统工程项目培训目的是：通过对局域网、政务外网、设备网应用平台、各子系统应用功能点应用培训，使各角色用户（业务人员、管理人员、领导）熟练操作使用和管理配置门头沟区档案馆各子系统应用的需求。</w:t>
      </w:r>
    </w:p>
    <w:p w14:paraId="7E81A542">
      <w:pPr>
        <w:pStyle w:val="30"/>
        <w:spacing w:line="360" w:lineRule="auto"/>
        <w:outlineLvl w:val="0"/>
        <w:rPr>
          <w:rFonts w:ascii="仿宋" w:hAnsi="仿宋" w:eastAsia="仿宋" w:cs="仿宋"/>
          <w:b/>
          <w:bCs/>
          <w:color w:val="000000"/>
          <w:sz w:val="24"/>
          <w:szCs w:val="22"/>
        </w:rPr>
      </w:pPr>
      <w:r>
        <w:rPr>
          <w:rFonts w:hint="eastAsia" w:ascii="仿宋" w:hAnsi="仿宋" w:eastAsia="仿宋" w:cs="仿宋"/>
          <w:b/>
          <w:bCs/>
          <w:color w:val="000000"/>
          <w:sz w:val="24"/>
          <w:szCs w:val="22"/>
        </w:rPr>
        <w:t>三、技术要求</w:t>
      </w:r>
    </w:p>
    <w:p w14:paraId="67B0F97B">
      <w:pPr>
        <w:pStyle w:val="30"/>
        <w:spacing w:line="360" w:lineRule="auto"/>
        <w:outlineLvl w:val="1"/>
        <w:rPr>
          <w:rFonts w:ascii="仿宋" w:hAnsi="仿宋" w:eastAsia="仿宋" w:cs="仿宋"/>
          <w:b/>
          <w:bCs/>
          <w:color w:val="000000"/>
          <w:sz w:val="24"/>
          <w:szCs w:val="22"/>
        </w:rPr>
      </w:pPr>
      <w:r>
        <w:rPr>
          <w:rFonts w:hint="eastAsia" w:ascii="仿宋" w:hAnsi="仿宋" w:eastAsia="仿宋" w:cs="仿宋"/>
          <w:b/>
          <w:bCs/>
          <w:color w:val="000000"/>
          <w:sz w:val="24"/>
          <w:szCs w:val="22"/>
        </w:rPr>
        <w:t>1. 基本要求</w:t>
      </w:r>
    </w:p>
    <w:p w14:paraId="7DD66B65">
      <w:pPr>
        <w:pStyle w:val="30"/>
        <w:spacing w:line="360" w:lineRule="auto"/>
        <w:outlineLvl w:val="2"/>
        <w:rPr>
          <w:rFonts w:ascii="仿宋" w:hAnsi="仿宋" w:eastAsia="仿宋" w:cs="仿宋"/>
          <w:b/>
          <w:bCs/>
          <w:color w:val="000000"/>
          <w:sz w:val="24"/>
          <w:szCs w:val="22"/>
        </w:rPr>
      </w:pPr>
      <w:r>
        <w:rPr>
          <w:rFonts w:hint="eastAsia" w:ascii="仿宋" w:hAnsi="仿宋" w:eastAsia="仿宋" w:cs="仿宋"/>
          <w:b/>
          <w:bCs/>
          <w:color w:val="000000"/>
          <w:sz w:val="24"/>
          <w:szCs w:val="22"/>
        </w:rPr>
        <w:t>1.1 采购标的需实现的功能或者目标</w:t>
      </w:r>
    </w:p>
    <w:p w14:paraId="6467402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（1）门头沟档案馆新馆建设项目运行管理的保障目标</w:t>
      </w:r>
    </w:p>
    <w:p w14:paraId="5AA46E49">
      <w:pPr>
        <w:pStyle w:val="3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通过开发综合管理平台系统，连接网络通讯系统、建筑安防系统、楼宇自控系统、音视频会议系统，实现新馆建筑的常规智能化管理。</w:t>
      </w:r>
    </w:p>
    <w:p w14:paraId="73B96AB1">
      <w:pPr>
        <w:pStyle w:val="3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（2）门头沟区数字档案馆建设项目运行管理网络安全方面的保障目标</w:t>
      </w:r>
    </w:p>
    <w:p w14:paraId="269C5E70">
      <w:pPr>
        <w:pStyle w:val="3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通过局域网、政务外网建设网络安全系统，实现本地两个网络的等保三级安全运行环境。</w:t>
      </w:r>
    </w:p>
    <w:p w14:paraId="2ADDB8D9">
      <w:pPr>
        <w:pStyle w:val="30"/>
        <w:spacing w:line="360" w:lineRule="auto"/>
        <w:outlineLvl w:val="2"/>
        <w:rPr>
          <w:rFonts w:ascii="仿宋" w:hAnsi="仿宋" w:eastAsia="仿宋" w:cs="仿宋"/>
          <w:b/>
          <w:bCs/>
          <w:color w:val="000000"/>
          <w:sz w:val="24"/>
          <w:szCs w:val="24"/>
        </w:rPr>
      </w:pPr>
      <w:r>
        <w:rPr>
          <w:rFonts w:hint="eastAsia" w:ascii="仿宋" w:hAnsi="仿宋" w:eastAsia="仿宋" w:cs="仿宋"/>
          <w:b/>
          <w:bCs/>
          <w:color w:val="000000"/>
          <w:sz w:val="24"/>
          <w:szCs w:val="24"/>
        </w:rPr>
        <w:t>1.2 需执行的国家相关标准、行业标准、地方标准或者其他标准、规范</w:t>
      </w:r>
    </w:p>
    <w:p w14:paraId="518969A9">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档案馆建设相关要求</w:t>
      </w:r>
    </w:p>
    <w:p w14:paraId="50E7751D">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《档案馆建设标准》建标 103—2008</w:t>
      </w:r>
    </w:p>
    <w:p w14:paraId="67A4739A">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《档案馆建筑设计规范》JGJ 25-2010</w:t>
      </w:r>
    </w:p>
    <w:p w14:paraId="1C585403">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《档案馆空调设计规范》DA/T 87-2021</w:t>
      </w:r>
    </w:p>
    <w:p w14:paraId="5E49F274">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智能化系统建设相关要求</w:t>
      </w:r>
    </w:p>
    <w:p w14:paraId="519F32ED">
      <w:pPr>
        <w:pStyle w:val="30"/>
        <w:spacing w:line="360" w:lineRule="auto"/>
        <w:rPr>
          <w:rFonts w:hint="eastAsia" w:ascii="仿宋" w:hAnsi="仿宋" w:eastAsia="仿宋" w:cs="仿宋"/>
          <w:i w:val="0"/>
          <w:iCs w:val="0"/>
          <w:caps w:val="0"/>
          <w:color w:val="000000"/>
          <w:spacing w:val="0"/>
          <w:sz w:val="24"/>
          <w:szCs w:val="24"/>
          <w:shd w:val="clear"/>
        </w:rPr>
      </w:pPr>
      <w:r>
        <w:rPr>
          <w:rFonts w:hint="eastAsia" w:ascii="仿宋" w:hAnsi="仿宋" w:eastAsia="仿宋" w:cs="仿宋"/>
          <w:i w:val="0"/>
          <w:iCs w:val="0"/>
          <w:caps w:val="0"/>
          <w:spacing w:val="0"/>
          <w:sz w:val="24"/>
          <w:szCs w:val="24"/>
          <w:shd w:val="clear" w:fill="FFFFFF"/>
        </w:rPr>
        <w:t>《公共安全视</w:t>
      </w:r>
      <w:r>
        <w:rPr>
          <w:rFonts w:hint="eastAsia" w:ascii="仿宋" w:hAnsi="仿宋" w:eastAsia="仿宋" w:cs="仿宋"/>
          <w:i w:val="0"/>
          <w:iCs w:val="0"/>
          <w:caps w:val="0"/>
          <w:color w:val="000000"/>
          <w:spacing w:val="0"/>
          <w:sz w:val="24"/>
          <w:szCs w:val="24"/>
          <w:shd w:val="clear"/>
        </w:rPr>
        <w:t>频监控联网系统信息传输、交换、控制技术要求》 GB/T28181 - 2022</w:t>
      </w:r>
    </w:p>
    <w:p w14:paraId="41147789">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《视频安防监控系统技术要求》GA/T367-2001</w:t>
      </w:r>
    </w:p>
    <w:p w14:paraId="76F98783">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《智能建筑设计标准》GB/T50314-2015</w:t>
      </w:r>
    </w:p>
    <w:p w14:paraId="531E1220">
      <w:pPr>
        <w:pStyle w:val="30"/>
        <w:spacing w:line="360" w:lineRule="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shd w:val="clear"/>
        </w:rPr>
        <w:t>《数据中心设计规范》GB50174 - 2017</w:t>
      </w:r>
      <w:r>
        <w:rPr>
          <w:rFonts w:hint="eastAsia" w:ascii="仿宋" w:hAnsi="仿宋" w:eastAsia="仿宋" w:cs="仿宋"/>
          <w:color w:val="000000"/>
          <w:sz w:val="24"/>
          <w:szCs w:val="24"/>
        </w:rPr>
        <w:t>《入侵和紧急报警系统技术要求》GB/T 32581-2016</w:t>
      </w:r>
    </w:p>
    <w:p w14:paraId="60C75021">
      <w:pPr>
        <w:pStyle w:val="30"/>
        <w:spacing w:line="360" w:lineRule="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shd w:val="clear"/>
        </w:rPr>
        <w:t>《安全防范工程通用规范》GB 55029 - 2022</w:t>
      </w:r>
    </w:p>
    <w:p w14:paraId="761B7CD0">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《安全防范系统验收规则》</w:t>
      </w:r>
      <w:r>
        <w:rPr>
          <w:rFonts w:hint="eastAsia" w:ascii="仿宋" w:hAnsi="仿宋" w:eastAsia="仿宋" w:cs="仿宋"/>
          <w:i w:val="0"/>
          <w:iCs w:val="0"/>
          <w:caps w:val="0"/>
          <w:color w:val="000000"/>
          <w:spacing w:val="0"/>
          <w:sz w:val="24"/>
          <w:szCs w:val="24"/>
          <w:shd w:val="clear"/>
        </w:rPr>
        <w:t>GA308-2022</w:t>
      </w:r>
    </w:p>
    <w:p w14:paraId="5607948D">
      <w:pPr>
        <w:pStyle w:val="30"/>
        <w:spacing w:line="360" w:lineRule="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shd w:val="clear"/>
        </w:rPr>
        <w:t>《大楼通信综合布线系统》YD/T 926 - 2009</w:t>
      </w:r>
    </w:p>
    <w:p w14:paraId="16F87613">
      <w:pPr>
        <w:pStyle w:val="30"/>
        <w:spacing w:line="360" w:lineRule="auto"/>
        <w:rPr>
          <w:rFonts w:hint="eastAsia" w:ascii="仿宋" w:hAnsi="仿宋" w:eastAsia="仿宋" w:cs="仿宋"/>
          <w:b w:val="0"/>
          <w:bCs w:val="0"/>
          <w:i w:val="0"/>
          <w:iCs w:val="0"/>
          <w:caps w:val="0"/>
          <w:color w:val="000000"/>
          <w:spacing w:val="0"/>
          <w:sz w:val="24"/>
          <w:szCs w:val="24"/>
          <w:shd w:val="clear"/>
        </w:rPr>
      </w:pPr>
      <w:r>
        <w:rPr>
          <w:rFonts w:hint="eastAsia" w:ascii="仿宋" w:hAnsi="仿宋" w:eastAsia="仿宋" w:cs="仿宋"/>
          <w:i w:val="0"/>
          <w:iCs w:val="0"/>
          <w:caps w:val="0"/>
          <w:color w:val="000000"/>
          <w:spacing w:val="0"/>
          <w:sz w:val="24"/>
          <w:szCs w:val="24"/>
          <w:shd w:val="clear"/>
        </w:rPr>
        <w:t>《信息通信综合布线系统 第 1 部分：总规范》</w:t>
      </w:r>
      <w:r>
        <w:rPr>
          <w:rFonts w:hint="eastAsia" w:ascii="仿宋" w:hAnsi="仿宋" w:eastAsia="仿宋" w:cs="仿宋"/>
          <w:b w:val="0"/>
          <w:bCs w:val="0"/>
          <w:i w:val="0"/>
          <w:iCs w:val="0"/>
          <w:caps w:val="0"/>
          <w:color w:val="000000"/>
          <w:spacing w:val="0"/>
          <w:sz w:val="24"/>
          <w:szCs w:val="24"/>
          <w:shd w:val="clear"/>
        </w:rPr>
        <w:t>YD/T 926.1 - 2023</w:t>
      </w:r>
    </w:p>
    <w:p w14:paraId="1B8EB1FA">
      <w:pPr>
        <w:pStyle w:val="30"/>
        <w:spacing w:line="360" w:lineRule="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shd w:val="clear"/>
        </w:rPr>
        <w:t>《信息通信综合布线系统 第 2 部分：光纤光缆及连接件技术要求》</w:t>
      </w:r>
      <w:r>
        <w:rPr>
          <w:rFonts w:hint="eastAsia" w:ascii="仿宋" w:hAnsi="仿宋" w:eastAsia="仿宋" w:cs="仿宋"/>
          <w:b w:val="0"/>
          <w:bCs w:val="0"/>
          <w:i w:val="0"/>
          <w:iCs w:val="0"/>
          <w:caps w:val="0"/>
          <w:color w:val="000000"/>
          <w:spacing w:val="0"/>
          <w:sz w:val="24"/>
          <w:szCs w:val="24"/>
          <w:shd w:val="clear"/>
        </w:rPr>
        <w:t>YD/T 926.2 - 2023</w:t>
      </w:r>
      <w:r>
        <w:rPr>
          <w:rFonts w:hint="eastAsia" w:ascii="仿宋" w:hAnsi="仿宋" w:eastAsia="仿宋" w:cs="仿宋"/>
          <w:color w:val="000000"/>
          <w:sz w:val="24"/>
          <w:szCs w:val="24"/>
        </w:rPr>
        <w:t>《综合布线系统工程设计规范》</w:t>
      </w:r>
      <w:r>
        <w:rPr>
          <w:rFonts w:hint="eastAsia" w:ascii="仿宋" w:hAnsi="仿宋" w:eastAsia="仿宋" w:cs="仿宋"/>
          <w:i w:val="0"/>
          <w:iCs w:val="0"/>
          <w:caps w:val="0"/>
          <w:color w:val="000000"/>
          <w:spacing w:val="0"/>
          <w:sz w:val="24"/>
          <w:szCs w:val="24"/>
          <w:shd w:val="clear"/>
        </w:rPr>
        <w:t>GB50311-2016</w:t>
      </w:r>
    </w:p>
    <w:p w14:paraId="181913BD">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《综合布线系统工程验收规范》</w:t>
      </w:r>
      <w:r>
        <w:rPr>
          <w:rFonts w:hint="eastAsia" w:ascii="仿宋" w:hAnsi="仿宋" w:eastAsia="仿宋" w:cs="仿宋"/>
          <w:b w:val="0"/>
          <w:bCs w:val="0"/>
          <w:i w:val="0"/>
          <w:iCs w:val="0"/>
          <w:caps w:val="0"/>
          <w:color w:val="000000"/>
          <w:spacing w:val="0"/>
          <w:sz w:val="24"/>
          <w:szCs w:val="24"/>
          <w:shd w:val="clear"/>
        </w:rPr>
        <w:t>GB/T 50312 - 2016</w:t>
      </w:r>
    </w:p>
    <w:p w14:paraId="3098F3CB">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《电气装置安装工程电缆线路施工及验收规范》</w:t>
      </w:r>
      <w:r>
        <w:rPr>
          <w:rFonts w:hint="eastAsia" w:ascii="仿宋" w:hAnsi="仿宋" w:eastAsia="仿宋" w:cs="仿宋"/>
          <w:b w:val="0"/>
          <w:bCs w:val="0"/>
          <w:i w:val="0"/>
          <w:iCs w:val="0"/>
          <w:caps w:val="0"/>
          <w:color w:val="000000"/>
          <w:spacing w:val="0"/>
          <w:sz w:val="24"/>
          <w:szCs w:val="24"/>
          <w:shd w:val="clear"/>
        </w:rPr>
        <w:t>GB 50168 - 2018</w:t>
      </w:r>
    </w:p>
    <w:p w14:paraId="6A86C36D">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《声环境质量标准》GB3096-2008</w:t>
      </w:r>
    </w:p>
    <w:p w14:paraId="421315BA">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《信息技术设备用不间断电源通用规范》（GB/T 14715-2017）</w:t>
      </w:r>
    </w:p>
    <w:p w14:paraId="16748044">
      <w:pPr>
        <w:pStyle w:val="30"/>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《通信电源设备安装工程验收规范》</w:t>
      </w:r>
      <w:r>
        <w:rPr>
          <w:rFonts w:hint="eastAsia" w:ascii="仿宋" w:hAnsi="仿宋" w:eastAsia="仿宋" w:cs="仿宋"/>
          <w:color w:val="000000"/>
          <w:sz w:val="24"/>
          <w:szCs w:val="24"/>
          <w:lang w:val="en-US" w:eastAsia="zh-CN"/>
        </w:rPr>
        <w:t>GB51199-2016</w:t>
      </w:r>
    </w:p>
    <w:p w14:paraId="2F8BA29E">
      <w:pPr>
        <w:pStyle w:val="30"/>
        <w:spacing w:line="360" w:lineRule="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shd w:val="clear"/>
        </w:rPr>
        <w:t>《通信用交流不间断电源（UPS）》 YD/T1095—2018</w:t>
      </w:r>
    </w:p>
    <w:p w14:paraId="7C02D565">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《安全防范工程通用规范》GB 55029-2022</w:t>
      </w:r>
    </w:p>
    <w:p w14:paraId="7FC6C328">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《通信局站防雷与接地工程设计规范》GB50689-2011</w:t>
      </w:r>
    </w:p>
    <w:p w14:paraId="38872F4A">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《信息技术开放系统互连网络层安全协议》</w:t>
      </w:r>
      <w:r>
        <w:rPr>
          <w:rFonts w:hint="eastAsia" w:ascii="仿宋" w:hAnsi="仿宋" w:eastAsia="仿宋" w:cs="仿宋"/>
          <w:b w:val="0"/>
          <w:bCs w:val="0"/>
          <w:i w:val="0"/>
          <w:iCs w:val="0"/>
          <w:caps w:val="0"/>
          <w:color w:val="000000"/>
          <w:spacing w:val="0"/>
          <w:sz w:val="24"/>
          <w:szCs w:val="24"/>
          <w:shd w:val="clear"/>
        </w:rPr>
        <w:t>GB/T 17963 - 2000</w:t>
      </w:r>
    </w:p>
    <w:p w14:paraId="25198921">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《安全防范系统雷电浪涌防护技术要求》GA/T670-2006</w:t>
      </w:r>
    </w:p>
    <w:p w14:paraId="3305BCE8">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《信息技术 安全技术 IT网络安全》GB/T 25068.2-2020</w:t>
      </w:r>
    </w:p>
    <w:p w14:paraId="3C52C56E">
      <w:pPr>
        <w:pStyle w:val="30"/>
        <w:spacing w:line="360" w:lineRule="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shd w:val="clear"/>
        </w:rPr>
        <w:t>《信息技术 安全技术 网络安全 第 4 部分：使用安全网关的网间通信安全保护》</w:t>
      </w:r>
      <w:r>
        <w:rPr>
          <w:rFonts w:hint="eastAsia" w:ascii="仿宋" w:hAnsi="仿宋" w:eastAsia="仿宋" w:cs="仿宋"/>
          <w:b w:val="0"/>
          <w:bCs w:val="0"/>
          <w:i w:val="0"/>
          <w:iCs w:val="0"/>
          <w:caps w:val="0"/>
          <w:color w:val="000000"/>
          <w:spacing w:val="0"/>
          <w:sz w:val="24"/>
          <w:szCs w:val="24"/>
          <w:shd w:val="clear"/>
        </w:rPr>
        <w:t>GB/T25068.3 - 2020</w:t>
      </w:r>
    </w:p>
    <w:p w14:paraId="28F857AD">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《信息技术-用户基础设施结构化布线》</w:t>
      </w:r>
      <w:r>
        <w:rPr>
          <w:rFonts w:hint="eastAsia" w:ascii="仿宋" w:hAnsi="仿宋" w:eastAsia="仿宋" w:cs="仿宋"/>
          <w:i w:val="0"/>
          <w:iCs w:val="0"/>
          <w:caps w:val="0"/>
          <w:color w:val="000000"/>
          <w:spacing w:val="0"/>
          <w:sz w:val="24"/>
          <w:szCs w:val="24"/>
          <w:shd w:val="clear"/>
        </w:rPr>
        <w:t> ISO/IEC 11801:2017</w:t>
      </w:r>
    </w:p>
    <w:p w14:paraId="026E1D7B">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网络安全系统建设相关要求</w:t>
      </w:r>
    </w:p>
    <w:p w14:paraId="4C82ADE6">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《中华人民共和国网络安全法》</w:t>
      </w:r>
    </w:p>
    <w:p w14:paraId="28BC3AD1">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公安机关互联网安全监督检查规定（公安部令第151号）</w:t>
      </w:r>
    </w:p>
    <w:p w14:paraId="42F6C66D">
      <w:pPr>
        <w:pStyle w:val="30"/>
        <w:spacing w:line="360" w:lineRule="auto"/>
        <w:rPr>
          <w:rFonts w:hint="eastAsia" w:ascii="仿宋" w:hAnsi="仿宋" w:eastAsia="仿宋" w:cs="仿宋"/>
          <w:color w:val="000000"/>
          <w:sz w:val="24"/>
          <w:szCs w:val="24"/>
        </w:rPr>
      </w:pPr>
      <w:r>
        <w:rPr>
          <w:rFonts w:hint="eastAsia" w:ascii="仿宋" w:hAnsi="仿宋" w:eastAsia="仿宋" w:cs="仿宋"/>
          <w:i w:val="0"/>
          <w:iCs w:val="0"/>
          <w:caps w:val="0"/>
          <w:color w:val="000000"/>
          <w:spacing w:val="0"/>
          <w:sz w:val="24"/>
          <w:szCs w:val="24"/>
          <w:shd w:val="clear"/>
          <w:lang w:val="en-US" w:eastAsia="zh-CN"/>
        </w:rPr>
        <w:t>2011</w:t>
      </w:r>
      <w:r>
        <w:rPr>
          <w:rFonts w:hint="eastAsia" w:ascii="仿宋" w:hAnsi="仿宋" w:eastAsia="仿宋" w:cs="仿宋"/>
          <w:i w:val="0"/>
          <w:iCs w:val="0"/>
          <w:caps w:val="0"/>
          <w:color w:val="000000"/>
          <w:spacing w:val="0"/>
          <w:sz w:val="24"/>
          <w:szCs w:val="24"/>
          <w:shd w:val="clear"/>
        </w:rPr>
        <w:t>《国务院关于废止和修改部分行政法规的决定》修订</w:t>
      </w:r>
      <w:r>
        <w:rPr>
          <w:rFonts w:hint="eastAsia" w:ascii="仿宋" w:hAnsi="仿宋" w:eastAsia="仿宋" w:cs="仿宋"/>
          <w:color w:val="000000"/>
          <w:sz w:val="24"/>
          <w:szCs w:val="24"/>
        </w:rPr>
        <w:t>2003《国家信息化领导小组关于加强信息安全保障工作的意见》（中办发〔2003〕27号）</w:t>
      </w:r>
    </w:p>
    <w:p w14:paraId="7BE9DA8C">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2004 《关于信息安全等级保护工作的实施意见》（公通字〔2004〕66号）</w:t>
      </w:r>
    </w:p>
    <w:p w14:paraId="5E41699C">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2007 《信息安全等级保护管理办法》（公通字〔2007〕43号）</w:t>
      </w:r>
    </w:p>
    <w:p w14:paraId="7452F1F1">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2007 《关于开展全国重要信息系统安全等级保护定级工作的通知》（公通字〔2007〕861号）</w:t>
      </w:r>
    </w:p>
    <w:p w14:paraId="4BE14D6B">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2007《信息安全等级保护备案实施细则》（工信安〔2007〕1360号）</w:t>
      </w:r>
    </w:p>
    <w:p w14:paraId="4ACBF995">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2008 《公安机关信息安全等级保护检查工作规范》（工信安〔2008〕736号）</w:t>
      </w:r>
    </w:p>
    <w:p w14:paraId="6B6A695E">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2008 《关于加强国家电子政务工程建设项目信息安全风险评估工作的通知》（发改高技〔2008〕2071号）</w:t>
      </w:r>
    </w:p>
    <w:p w14:paraId="5AA19B7E">
      <w:pPr>
        <w:pStyle w:val="30"/>
        <w:spacing w:line="360" w:lineRule="auto"/>
        <w:rPr>
          <w:rFonts w:hint="eastAsia" w:ascii="仿宋" w:hAnsi="仿宋" w:eastAsia="仿宋" w:cs="仿宋"/>
          <w:color w:val="000000"/>
          <w:sz w:val="24"/>
          <w:szCs w:val="24"/>
        </w:rPr>
      </w:pPr>
      <w:r>
        <w:rPr>
          <w:rFonts w:hint="eastAsia" w:ascii="仿宋" w:hAnsi="仿宋" w:eastAsia="仿宋" w:cs="仿宋"/>
          <w:i w:val="0"/>
          <w:iCs w:val="0"/>
          <w:caps w:val="0"/>
          <w:spacing w:val="0"/>
          <w:sz w:val="24"/>
          <w:szCs w:val="24"/>
          <w:shd w:val="clear" w:fill="FFFFFF"/>
        </w:rPr>
        <w:t>《网络安全等级测评报告模版（2025 版）》《信息安全技术 网络安全等级保护测评要求》（GB/T 28448 - 2019）</w:t>
      </w:r>
    </w:p>
    <w:p w14:paraId="2202CF01">
      <w:pPr>
        <w:pStyle w:val="30"/>
        <w:spacing w:line="360" w:lineRule="auto"/>
        <w:rPr>
          <w:rFonts w:hint="eastAsia" w:ascii="仿宋" w:hAnsi="仿宋" w:eastAsia="仿宋" w:cs="仿宋"/>
          <w:color w:val="000000"/>
          <w:sz w:val="24"/>
          <w:szCs w:val="24"/>
        </w:rPr>
      </w:pPr>
      <w:r>
        <w:rPr>
          <w:rFonts w:hint="eastAsia" w:ascii="仿宋" w:hAnsi="仿宋" w:eastAsia="仿宋" w:cs="仿宋"/>
          <w:i w:val="0"/>
          <w:iCs w:val="0"/>
          <w:caps w:val="0"/>
          <w:spacing w:val="0"/>
          <w:sz w:val="24"/>
          <w:szCs w:val="24"/>
          <w:shd w:val="clear" w:fill="FFFFFF"/>
        </w:rPr>
        <w:t>《信息安全技术 网络安全等级保护测评过程指南》（GB/T 28449 - 2018）</w:t>
      </w:r>
      <w:r>
        <w:rPr>
          <w:rFonts w:hint="eastAsia" w:ascii="仿宋" w:hAnsi="仿宋" w:eastAsia="仿宋" w:cs="仿宋"/>
          <w:color w:val="000000"/>
          <w:sz w:val="24"/>
          <w:szCs w:val="24"/>
        </w:rPr>
        <w:t>2012《国务院关于大力推进信息化发展和切实保障信息安全的若干意见》（国发〔2012〕23号）</w:t>
      </w:r>
    </w:p>
    <w:p w14:paraId="04FEA608">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2012《关于进一步加强国家电子政务网络建设和应用工作的通知》（发改高技〔2012〕1986号）</w:t>
      </w:r>
    </w:p>
    <w:p w14:paraId="66E39B21">
      <w:pPr>
        <w:pStyle w:val="30"/>
        <w:spacing w:line="360" w:lineRule="auto"/>
        <w:rPr>
          <w:rFonts w:hint="eastAsia" w:ascii="仿宋" w:hAnsi="仿宋" w:eastAsia="仿宋" w:cs="仿宋"/>
          <w:color w:val="000000"/>
          <w:sz w:val="24"/>
          <w:szCs w:val="24"/>
        </w:rPr>
      </w:pPr>
      <w:r>
        <w:rPr>
          <w:rFonts w:hint="eastAsia" w:ascii="仿宋" w:hAnsi="仿宋" w:eastAsia="仿宋" w:cs="仿宋"/>
          <w:i w:val="0"/>
          <w:iCs w:val="0"/>
          <w:caps w:val="0"/>
          <w:spacing w:val="0"/>
          <w:sz w:val="24"/>
          <w:szCs w:val="24"/>
          <w:shd w:val="clear" w:fill="FFFFFF"/>
          <w:lang w:val="en-US" w:eastAsia="zh-CN"/>
        </w:rPr>
        <w:t>2017</w:t>
      </w:r>
      <w:r>
        <w:rPr>
          <w:rFonts w:hint="eastAsia" w:ascii="仿宋" w:hAnsi="仿宋" w:eastAsia="仿宋" w:cs="仿宋"/>
          <w:i w:val="0"/>
          <w:iCs w:val="0"/>
          <w:caps w:val="0"/>
          <w:spacing w:val="0"/>
          <w:sz w:val="24"/>
          <w:szCs w:val="24"/>
          <w:shd w:val="clear" w:fill="FFFFFF"/>
        </w:rPr>
        <w:t>《网络安全法》</w:t>
      </w:r>
    </w:p>
    <w:p w14:paraId="1F4F598A">
      <w:pPr>
        <w:pStyle w:val="30"/>
        <w:spacing w:line="360" w:lineRule="auto"/>
        <w:rPr>
          <w:rFonts w:hint="eastAsia" w:ascii="仿宋" w:hAnsi="仿宋" w:eastAsia="仿宋" w:cs="仿宋"/>
          <w:i w:val="0"/>
          <w:iCs w:val="0"/>
          <w:caps w:val="0"/>
          <w:spacing w:val="0"/>
          <w:sz w:val="24"/>
          <w:szCs w:val="24"/>
          <w:shd w:val="clear" w:fill="FFFFFF"/>
        </w:rPr>
      </w:pPr>
      <w:r>
        <w:rPr>
          <w:rFonts w:hint="eastAsia" w:ascii="仿宋" w:hAnsi="仿宋" w:eastAsia="仿宋" w:cs="仿宋"/>
          <w:color w:val="000000"/>
          <w:sz w:val="24"/>
          <w:szCs w:val="24"/>
          <w:lang w:val="en-US" w:eastAsia="zh-CN"/>
        </w:rPr>
        <w:t>2021</w:t>
      </w:r>
      <w:r>
        <w:rPr>
          <w:rFonts w:hint="eastAsia" w:ascii="仿宋" w:hAnsi="仿宋" w:eastAsia="仿宋" w:cs="仿宋"/>
          <w:i w:val="0"/>
          <w:iCs w:val="0"/>
          <w:caps w:val="0"/>
          <w:spacing w:val="0"/>
          <w:sz w:val="24"/>
          <w:szCs w:val="24"/>
          <w:shd w:val="clear" w:fill="FFFFFF"/>
        </w:rPr>
        <w:t>《关键信息基础设施安全保护条例》</w:t>
      </w:r>
    </w:p>
    <w:p w14:paraId="2C003A9A">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2014中办国办《关于加强社会治安防控体系建设的意见》</w:t>
      </w:r>
    </w:p>
    <w:p w14:paraId="64ED8D44">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2014习近平总书记在中央网络安全与信息化领导小组第一次会议上的讲话（2.27）</w:t>
      </w:r>
    </w:p>
    <w:p w14:paraId="4A774381">
      <w:pPr>
        <w:pStyle w:val="30"/>
        <w:spacing w:line="360" w:lineRule="auto"/>
        <w:rPr>
          <w:rFonts w:hint="eastAsia" w:ascii="仿宋" w:hAnsi="仿宋" w:eastAsia="仿宋" w:cs="仿宋"/>
          <w:color w:val="000000"/>
          <w:sz w:val="24"/>
          <w:szCs w:val="24"/>
          <w:lang w:val="en-US" w:eastAsia="zh-CN"/>
        </w:rPr>
      </w:pPr>
      <w:r>
        <w:rPr>
          <w:rFonts w:hint="eastAsia" w:ascii="仿宋" w:hAnsi="仿宋" w:eastAsia="仿宋" w:cs="仿宋"/>
          <w:i w:val="0"/>
          <w:iCs w:val="0"/>
          <w:caps w:val="0"/>
          <w:color w:val="000000"/>
          <w:spacing w:val="0"/>
          <w:sz w:val="24"/>
          <w:szCs w:val="24"/>
          <w:shd w:val="clear" w:fill="auto"/>
        </w:rPr>
        <w:t>2024 </w:t>
      </w:r>
      <w:r>
        <w:rPr>
          <w:rFonts w:hint="eastAsia" w:ascii="仿宋" w:hAnsi="仿宋" w:eastAsia="仿宋" w:cs="仿宋"/>
          <w:color w:val="000000"/>
          <w:sz w:val="24"/>
          <w:szCs w:val="24"/>
          <w:lang w:val="en-US" w:eastAsia="zh-CN"/>
        </w:rPr>
        <w:t>《关于深化智慧城市发展 推进城市全域数字化转型的指导意见》</w:t>
      </w:r>
    </w:p>
    <w:p w14:paraId="4F436CD2">
      <w:pPr>
        <w:pStyle w:val="30"/>
        <w:spacing w:line="360" w:lineRule="auto"/>
        <w:rPr>
          <w:rFonts w:hint="eastAsia" w:ascii="仿宋" w:hAnsi="仿宋" w:eastAsia="仿宋" w:cs="仿宋"/>
          <w:i w:val="0"/>
          <w:iCs w:val="0"/>
          <w:caps w:val="0"/>
          <w:color w:val="000000"/>
          <w:spacing w:val="0"/>
          <w:sz w:val="24"/>
          <w:szCs w:val="24"/>
          <w:shd w:val="clear"/>
        </w:rPr>
      </w:pPr>
      <w:r>
        <w:rPr>
          <w:rFonts w:hint="eastAsia" w:ascii="仿宋" w:hAnsi="仿宋" w:eastAsia="仿宋" w:cs="仿宋"/>
          <w:i w:val="0"/>
          <w:iCs w:val="0"/>
          <w:caps w:val="0"/>
          <w:color w:val="000000"/>
          <w:spacing w:val="0"/>
          <w:sz w:val="24"/>
          <w:szCs w:val="24"/>
          <w:shd w:val="clear"/>
          <w:lang w:val="en-US" w:eastAsia="zh-CN"/>
        </w:rPr>
        <w:t>2021</w:t>
      </w:r>
      <w:r>
        <w:rPr>
          <w:rFonts w:hint="eastAsia" w:ascii="仿宋" w:hAnsi="仿宋" w:eastAsia="仿宋" w:cs="仿宋"/>
          <w:i w:val="0"/>
          <w:iCs w:val="0"/>
          <w:caps w:val="0"/>
          <w:color w:val="000000"/>
          <w:spacing w:val="0"/>
          <w:sz w:val="24"/>
          <w:szCs w:val="24"/>
          <w:shd w:val="clear"/>
        </w:rPr>
        <w:t>《国民经济和社会发展第十四个五年规划纲要》</w:t>
      </w:r>
    </w:p>
    <w:p w14:paraId="562882A3">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2016 习近平总书记在网络安全和信息化工作座谈会上的讲话（4.19）</w:t>
      </w:r>
    </w:p>
    <w:p w14:paraId="6BCA8414">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2018公安部发布《网络安全等级保护条例（征求意见稿）》</w:t>
      </w:r>
    </w:p>
    <w:p w14:paraId="4128028C">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2019《信息安全技术 网络安全等级保护测评要求》、《信息安全技术 网络安全安全等级保护基本要求》、《信息安全技术 网络安全等级保护安全设计要求》发布</w:t>
      </w:r>
    </w:p>
    <w:p w14:paraId="741DA7E9">
      <w:pPr>
        <w:pStyle w:val="30"/>
        <w:spacing w:line="360" w:lineRule="auto"/>
        <w:rPr>
          <w:rFonts w:hint="eastAsia" w:ascii="仿宋" w:hAnsi="仿宋" w:eastAsia="仿宋" w:cs="仿宋"/>
          <w:color w:val="000000"/>
          <w:sz w:val="24"/>
          <w:szCs w:val="24"/>
        </w:rPr>
      </w:pPr>
      <w:r>
        <w:rPr>
          <w:rFonts w:hint="eastAsia" w:ascii="仿宋" w:hAnsi="仿宋" w:eastAsia="仿宋" w:cs="仿宋"/>
          <w:i w:val="0"/>
          <w:iCs w:val="0"/>
          <w:caps w:val="0"/>
          <w:spacing w:val="0"/>
          <w:sz w:val="24"/>
          <w:szCs w:val="24"/>
          <w:shd w:val="clear" w:fill="FFFFFF"/>
        </w:rPr>
        <w:t>2021《关键信息基础设施安全保护条例》</w:t>
      </w:r>
    </w:p>
    <w:p w14:paraId="678DF32B">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商用密码应用系统建设相关要求</w:t>
      </w:r>
    </w:p>
    <w:p w14:paraId="14F40C0A">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《中华人民共和国密码法》</w:t>
      </w:r>
    </w:p>
    <w:p w14:paraId="08C75E77">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《国家政务信息化项目建设管理办法》</w:t>
      </w:r>
    </w:p>
    <w:p w14:paraId="32F08EAB">
      <w:pPr>
        <w:pStyle w:val="3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《GB/T 39786-2021 信息安全技术 信息系统密码应用基本要求》</w:t>
      </w:r>
    </w:p>
    <w:p w14:paraId="03074BA6">
      <w:pPr>
        <w:rPr>
          <w:rFonts w:hint="eastAsia" w:ascii="仿宋" w:hAnsi="仿宋" w:eastAsia="仿宋" w:cs="仿宋"/>
          <w:sz w:val="24"/>
        </w:rPr>
      </w:pPr>
    </w:p>
    <w:p w14:paraId="4F90CDAF">
      <w:pPr>
        <w:pStyle w:val="30"/>
        <w:spacing w:line="360" w:lineRule="auto"/>
        <w:outlineLvl w:val="1"/>
        <w:rPr>
          <w:rFonts w:ascii="仿宋" w:hAnsi="仿宋" w:eastAsia="仿宋" w:cs="仿宋"/>
          <w:b/>
          <w:bCs/>
          <w:color w:val="000000"/>
          <w:sz w:val="24"/>
          <w:szCs w:val="22"/>
        </w:rPr>
      </w:pPr>
      <w:r>
        <w:rPr>
          <w:rFonts w:hint="eastAsia" w:ascii="仿宋" w:hAnsi="仿宋" w:eastAsia="仿宋" w:cs="仿宋"/>
          <w:b/>
          <w:bCs/>
          <w:color w:val="000000"/>
          <w:sz w:val="24"/>
          <w:szCs w:val="22"/>
        </w:rPr>
        <w:t>2. 服务内容及要求/货物技术要求</w:t>
      </w:r>
    </w:p>
    <w:p w14:paraId="1B3C4E33">
      <w:pPr>
        <w:pStyle w:val="30"/>
        <w:spacing w:line="360" w:lineRule="auto"/>
        <w:outlineLvl w:val="2"/>
        <w:rPr>
          <w:rFonts w:ascii="仿宋" w:hAnsi="仿宋" w:eastAsia="仿宋" w:cs="仿宋"/>
          <w:b/>
          <w:bCs/>
          <w:color w:val="000000"/>
          <w:sz w:val="24"/>
          <w:szCs w:val="22"/>
        </w:rPr>
      </w:pPr>
      <w:r>
        <w:rPr>
          <w:rFonts w:hint="eastAsia" w:ascii="仿宋" w:hAnsi="仿宋" w:eastAsia="仿宋" w:cs="仿宋"/>
          <w:b/>
          <w:bCs/>
          <w:color w:val="000000"/>
          <w:sz w:val="24"/>
          <w:szCs w:val="22"/>
        </w:rPr>
        <w:t>2. 1 采购标的需满足的性能、材料、结构、外观、质量、安全 、技术规格、物理特性等要求</w:t>
      </w:r>
    </w:p>
    <w:p w14:paraId="03B89679">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指标要求及说明</w:t>
      </w:r>
    </w:p>
    <w:p w14:paraId="1361EFFC">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①重要性分为 “★”、 “#”。★ 代表实质性指标，不满足该指标项将导致投标被拒绝， #代表重要指标 。</w:t>
      </w:r>
    </w:p>
    <w:p w14:paraId="569A44E3">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②★指标或未做标注指标不需要提供证明材料，但需要出具实质性响应承诺函（格式自拟）。</w:t>
      </w:r>
    </w:p>
    <w:p w14:paraId="4400A2E9">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③#指标需要提供证明材料，（须提供相应证明材料，包括但不限于公开发行彩页、白皮书、照片等证明材料，不提供不得分）。</w:t>
      </w:r>
    </w:p>
    <w:p w14:paraId="17D1E9DF">
      <w:pPr>
        <w:pStyle w:val="30"/>
        <w:numPr>
          <w:ilvl w:val="0"/>
          <w:numId w:val="17"/>
        </w:numPr>
        <w:spacing w:line="360" w:lineRule="auto"/>
        <w:outlineLvl w:val="3"/>
        <w:rPr>
          <w:rFonts w:ascii="仿宋" w:hAnsi="仿宋" w:eastAsia="仿宋" w:cs="仿宋"/>
          <w:color w:val="000000"/>
          <w:sz w:val="24"/>
          <w:szCs w:val="22"/>
        </w:rPr>
      </w:pPr>
      <w:r>
        <w:rPr>
          <w:rFonts w:hint="eastAsia" w:ascii="仿宋" w:hAnsi="仿宋" w:eastAsia="仿宋" w:cs="仿宋"/>
          <w:color w:val="000000"/>
          <w:sz w:val="24"/>
          <w:szCs w:val="22"/>
        </w:rPr>
        <w:t>智能化平台</w:t>
      </w:r>
    </w:p>
    <w:p w14:paraId="77B6B58B">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档案馆建筑智能化系统整体开发一套信息化、智能化系统综合管理软件，将馆内安防、楼宇控制等系统集成到平台中，实现分散控制、集中管理的思想。通过平台的整合显示功能，将各系统整合在一个预览界面进行展示，展示界面可根据需要切入各系统展示界面。实现信息资源的共享与管理。界面采用模块化设计，根据不同的需求利用模块化方式进行调整展示内容。集成各系统报警信息采集、提示查询等功能，可根据需求实现报警联动功能，报警信息上传等功能。使值守管理人员对整个弱电系统运行状态一目了然。平台服务器安装于安防监控中心，监控中心设置人机交互客户终端，对平台软件实施管理。</w:t>
      </w:r>
    </w:p>
    <w:p w14:paraId="7EA4D29D">
      <w:pPr>
        <w:pStyle w:val="30"/>
        <w:spacing w:line="360" w:lineRule="auto"/>
        <w:outlineLvl w:val="4"/>
        <w:rPr>
          <w:rFonts w:ascii="仿宋" w:hAnsi="仿宋" w:eastAsia="仿宋" w:cs="仿宋"/>
          <w:color w:val="000000"/>
          <w:sz w:val="24"/>
          <w:szCs w:val="22"/>
        </w:rPr>
      </w:pPr>
      <w:r>
        <w:rPr>
          <w:rFonts w:hint="eastAsia" w:ascii="仿宋" w:hAnsi="仿宋" w:eastAsia="仿宋" w:cs="仿宋"/>
          <w:color w:val="000000"/>
          <w:sz w:val="24"/>
          <w:szCs w:val="22"/>
        </w:rPr>
        <w:t>★1、软件开发部分</w:t>
      </w:r>
    </w:p>
    <w:p w14:paraId="37464CE7">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办公楼宇的日常活动与管理逐渐离不开弱电智能化系统，弱电系统的重要性也日益显现。现代建筑工程中弱电系统已从高端配置逐渐演变成为标准配置。无论是基本的通信、网络需求，还是可以优化管理模式节约人力物力的安防系统、还有可以帮助其他专业设备稳定可靠运行的智能化系统。可以更好地为建筑服务、为管理服务、为使用者服务。因此弱电系统的建设就突显的极为重要。</w:t>
      </w:r>
    </w:p>
    <w:p w14:paraId="060E4C27">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档案馆弱电系统建立首要满足符合档案馆建设标准为基础。其次符合档案馆的实际使用要求，在此基础之上应本着降低成本，提升管理水平为根本，搭建智能化的弱电系统。</w:t>
      </w:r>
    </w:p>
    <w:p w14:paraId="21499E33">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本项目需建设开发一套可视化一体综合管理（软件）平台，平台可查阅各系统数据、信息形成可视化一体展示。大屏展示端能够实时展示各系统统计信息、监控视频、楼宇系统等电位数据等。集成各系统报警上传集中报警，集成安防、建筑楼宇、信息系统等数据的采集与并发处理；并可对各系统进行集成管理。集成的智能硬件平台包括：建筑安防平台：含视频监控系统、门禁系统、报警系统、电子巡更系统；楼宇自控平台：含冷机、设备监控和环境监测、风机盘管、智能照明；机房动环类平台：含UPS、精密空调、温湿度检测、漏水检测、配电柜、烟感。</w:t>
      </w:r>
    </w:p>
    <w:p w14:paraId="2382C990">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在系统的用户交互界面设计方面，档案馆综合管理平台主界面上应有视频监控、门禁、报警、电子巡更、停车场、楼宇自控等子系统的缩略图。缩略图中显示各个子系统的当前运行模式和重要运行参数。点击缩略图，用户不重复登录，即可跳转至对应的子系统控制台，进行相关的管理操作。</w:t>
      </w:r>
    </w:p>
    <w:p w14:paraId="7E592615">
      <w:pPr>
        <w:pStyle w:val="30"/>
        <w:numPr>
          <w:ilvl w:val="0"/>
          <w:numId w:val="18"/>
        </w:numPr>
        <w:spacing w:line="360" w:lineRule="auto"/>
        <w:outlineLvl w:val="4"/>
        <w:rPr>
          <w:rFonts w:ascii="仿宋" w:hAnsi="仿宋" w:eastAsia="仿宋" w:cs="仿宋"/>
          <w:color w:val="000000"/>
          <w:sz w:val="24"/>
          <w:szCs w:val="22"/>
        </w:rPr>
      </w:pPr>
      <w:r>
        <w:rPr>
          <w:rFonts w:hint="eastAsia" w:ascii="仿宋" w:hAnsi="仿宋" w:eastAsia="仿宋" w:cs="仿宋"/>
          <w:color w:val="000000"/>
          <w:sz w:val="24"/>
          <w:szCs w:val="22"/>
        </w:rPr>
        <w:t>硬件部分</w:t>
      </w:r>
    </w:p>
    <w:p w14:paraId="1A55A8C0">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本项目涉及服务器及客户端主机系统均需满足以上要求。采用国产CPU、操作系统、数据库且产品并需要通过信息安全评测。</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87"/>
        <w:gridCol w:w="3589"/>
        <w:gridCol w:w="1080"/>
        <w:gridCol w:w="1080"/>
      </w:tblGrid>
      <w:tr w14:paraId="7524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60" w:type="dxa"/>
            <w:noWrap/>
          </w:tcPr>
          <w:p w14:paraId="402DA52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序号</w:t>
            </w:r>
          </w:p>
        </w:tc>
        <w:tc>
          <w:tcPr>
            <w:tcW w:w="1787" w:type="dxa"/>
            <w:noWrap/>
          </w:tcPr>
          <w:p w14:paraId="39D16A8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硬件设备名称</w:t>
            </w:r>
          </w:p>
        </w:tc>
        <w:tc>
          <w:tcPr>
            <w:tcW w:w="3589" w:type="dxa"/>
            <w:noWrap/>
          </w:tcPr>
          <w:p w14:paraId="7E82C16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★基本参数</w:t>
            </w:r>
          </w:p>
        </w:tc>
        <w:tc>
          <w:tcPr>
            <w:tcW w:w="1080" w:type="dxa"/>
            <w:noWrap/>
          </w:tcPr>
          <w:p w14:paraId="65F8A37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数量/单位</w:t>
            </w:r>
          </w:p>
        </w:tc>
        <w:tc>
          <w:tcPr>
            <w:tcW w:w="1080" w:type="dxa"/>
            <w:noWrap/>
          </w:tcPr>
          <w:p w14:paraId="5DD9592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备注</w:t>
            </w:r>
          </w:p>
        </w:tc>
      </w:tr>
      <w:tr w14:paraId="192E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60" w:type="dxa"/>
            <w:noWrap/>
          </w:tcPr>
          <w:p w14:paraId="415181A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w:t>
            </w:r>
          </w:p>
        </w:tc>
        <w:tc>
          <w:tcPr>
            <w:tcW w:w="1787" w:type="dxa"/>
            <w:noWrap/>
          </w:tcPr>
          <w:p w14:paraId="4CE645E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服务器</w:t>
            </w:r>
          </w:p>
          <w:p w14:paraId="1023DE69">
            <w:pPr>
              <w:pStyle w:val="30"/>
              <w:spacing w:line="360" w:lineRule="auto"/>
              <w:rPr>
                <w:rFonts w:ascii="仿宋" w:hAnsi="仿宋" w:eastAsia="仿宋" w:cs="仿宋"/>
                <w:color w:val="000000"/>
                <w:sz w:val="24"/>
                <w:szCs w:val="22"/>
              </w:rPr>
            </w:pPr>
          </w:p>
        </w:tc>
        <w:tc>
          <w:tcPr>
            <w:tcW w:w="3589" w:type="dxa"/>
            <w:noWrap/>
          </w:tcPr>
          <w:p w14:paraId="691EBDB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规格：国产服务器</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≥1颗16核cpu，≥32GB内存；</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硬盘：固态硬盘≥480G；机械硬盘≥4T；硬盘扩展能力：</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网络接口：板载2个千兆电口，双电；具备独立的RJ45管理网口</w:t>
            </w:r>
          </w:p>
        </w:tc>
        <w:tc>
          <w:tcPr>
            <w:tcW w:w="1080" w:type="dxa"/>
            <w:noWrap/>
          </w:tcPr>
          <w:p w14:paraId="13C4304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c>
          <w:tcPr>
            <w:tcW w:w="1080" w:type="dxa"/>
            <w:noWrap/>
          </w:tcPr>
          <w:p w14:paraId="66D1760E">
            <w:pPr>
              <w:pStyle w:val="30"/>
              <w:spacing w:line="360" w:lineRule="auto"/>
              <w:rPr>
                <w:rFonts w:ascii="仿宋" w:hAnsi="仿宋" w:eastAsia="仿宋" w:cs="仿宋"/>
                <w:color w:val="000000"/>
                <w:sz w:val="24"/>
                <w:szCs w:val="22"/>
              </w:rPr>
            </w:pPr>
          </w:p>
        </w:tc>
      </w:tr>
      <w:tr w14:paraId="708D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60" w:type="dxa"/>
            <w:noWrap/>
          </w:tcPr>
          <w:p w14:paraId="420868F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w:t>
            </w:r>
          </w:p>
        </w:tc>
        <w:tc>
          <w:tcPr>
            <w:tcW w:w="1787" w:type="dxa"/>
            <w:noWrap/>
          </w:tcPr>
          <w:p w14:paraId="3829C40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客户端主机</w:t>
            </w:r>
          </w:p>
        </w:tc>
        <w:tc>
          <w:tcPr>
            <w:tcW w:w="3589" w:type="dxa"/>
            <w:noWrap/>
          </w:tcPr>
          <w:p w14:paraId="7A4FF23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规格：国产主机</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cpu主频≥2.3-2.6GHz，内存≥32GB；</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硬盘：固态硬盘≥512G；机械硬盘≥2T；独立显卡≥4G；配置显示器≥23.8英寸；操作系统：国产操作系统；</w:t>
            </w:r>
          </w:p>
        </w:tc>
        <w:tc>
          <w:tcPr>
            <w:tcW w:w="1080" w:type="dxa"/>
            <w:noWrap/>
          </w:tcPr>
          <w:p w14:paraId="486A961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c>
          <w:tcPr>
            <w:tcW w:w="1080" w:type="dxa"/>
            <w:noWrap/>
          </w:tcPr>
          <w:p w14:paraId="680A975D">
            <w:pPr>
              <w:pStyle w:val="30"/>
              <w:spacing w:line="360" w:lineRule="auto"/>
              <w:rPr>
                <w:rFonts w:ascii="仿宋" w:hAnsi="仿宋" w:eastAsia="仿宋" w:cs="仿宋"/>
                <w:color w:val="000000"/>
                <w:sz w:val="24"/>
                <w:szCs w:val="22"/>
              </w:rPr>
            </w:pPr>
          </w:p>
        </w:tc>
      </w:tr>
      <w:tr w14:paraId="7903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60" w:type="dxa"/>
            <w:noWrap/>
          </w:tcPr>
          <w:p w14:paraId="13B6B6E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w:t>
            </w:r>
          </w:p>
        </w:tc>
        <w:tc>
          <w:tcPr>
            <w:tcW w:w="1787" w:type="dxa"/>
            <w:noWrap/>
          </w:tcPr>
          <w:p w14:paraId="546B011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服务器操作系统</w:t>
            </w:r>
          </w:p>
        </w:tc>
        <w:tc>
          <w:tcPr>
            <w:tcW w:w="3589" w:type="dxa"/>
            <w:noWrap/>
          </w:tcPr>
          <w:p w14:paraId="19054AC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规格：国产操作系统</w:t>
            </w:r>
          </w:p>
        </w:tc>
        <w:tc>
          <w:tcPr>
            <w:tcW w:w="1080" w:type="dxa"/>
            <w:noWrap/>
          </w:tcPr>
          <w:p w14:paraId="1E55518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c>
          <w:tcPr>
            <w:tcW w:w="1080" w:type="dxa"/>
            <w:noWrap/>
          </w:tcPr>
          <w:p w14:paraId="111DEEE7">
            <w:pPr>
              <w:pStyle w:val="30"/>
              <w:spacing w:line="360" w:lineRule="auto"/>
              <w:rPr>
                <w:rFonts w:ascii="仿宋" w:hAnsi="仿宋" w:eastAsia="仿宋" w:cs="仿宋"/>
                <w:color w:val="000000"/>
                <w:sz w:val="24"/>
                <w:szCs w:val="22"/>
              </w:rPr>
            </w:pPr>
          </w:p>
        </w:tc>
      </w:tr>
      <w:tr w14:paraId="485A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60" w:type="dxa"/>
            <w:noWrap/>
          </w:tcPr>
          <w:p w14:paraId="4ECDCFF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w:t>
            </w:r>
          </w:p>
        </w:tc>
        <w:tc>
          <w:tcPr>
            <w:tcW w:w="1787" w:type="dxa"/>
            <w:noWrap/>
          </w:tcPr>
          <w:p w14:paraId="5A1E4A7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数据库</w:t>
            </w:r>
          </w:p>
        </w:tc>
        <w:tc>
          <w:tcPr>
            <w:tcW w:w="3589" w:type="dxa"/>
            <w:noWrap/>
          </w:tcPr>
          <w:p w14:paraId="5D6FF8B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规格：国产数据库</w:t>
            </w:r>
          </w:p>
          <w:p w14:paraId="612E461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单库单表支持 250TB 以上大数据量存储能力、支持100万个表分区、支持 100 万个本地分区索引，单机单库支持 100万张表、1000万个索引及 3万个表空间，具有对文本数据的管理、分析、挖掘、文本自动聚类、文本自动分类、关键词提取等，具有相应的专用组件，</w:t>
            </w:r>
          </w:p>
          <w:p w14:paraId="6142EE5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能为公文系统提供文本管理功能支持。支持全文检索，并支持多种查询，包括:相似度查询、邻近查询、范围查询等。支持对流式文件、版式文件等文档格式进行全文检索，全文索引可及时更新，实现全文检索的即指即读。支持一个语句内同时更新多个表语法功能；支持更新和删除语句通过 LIMIT 子句和 ORDER BY 子句的同时使用，限定操作影响的行数；</w:t>
            </w:r>
          </w:p>
          <w:p w14:paraId="3ADA6FD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支持数据库读写分离集群，具备 3节点以上部署及数据同步能力，可动态增加和删除节点；在 2节点读写分离集群环境下，单用户插入数据速度不低于 50 万条/秒；更新数据速度不低于 50 万条/秒，删除数据速度不低于 50 万条/秒。</w:t>
            </w:r>
          </w:p>
        </w:tc>
        <w:tc>
          <w:tcPr>
            <w:tcW w:w="1080" w:type="dxa"/>
            <w:noWrap/>
          </w:tcPr>
          <w:p w14:paraId="5EE4517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c>
          <w:tcPr>
            <w:tcW w:w="1080" w:type="dxa"/>
            <w:noWrap/>
          </w:tcPr>
          <w:p w14:paraId="6942B4A4">
            <w:pPr>
              <w:pStyle w:val="30"/>
              <w:spacing w:line="360" w:lineRule="auto"/>
              <w:rPr>
                <w:rFonts w:ascii="仿宋" w:hAnsi="仿宋" w:eastAsia="仿宋" w:cs="仿宋"/>
                <w:color w:val="000000"/>
                <w:sz w:val="24"/>
                <w:szCs w:val="22"/>
              </w:rPr>
            </w:pPr>
          </w:p>
        </w:tc>
      </w:tr>
    </w:tbl>
    <w:p w14:paraId="5728A49E">
      <w:pPr>
        <w:pStyle w:val="30"/>
        <w:spacing w:line="360" w:lineRule="auto"/>
        <w:ind w:firstLine="482" w:firstLineChars="200"/>
        <w:rPr>
          <w:rFonts w:ascii="仿宋" w:hAnsi="仿宋" w:eastAsia="仿宋" w:cs="仿宋"/>
          <w:b/>
          <w:bCs/>
          <w:color w:val="000000"/>
          <w:sz w:val="24"/>
          <w:szCs w:val="22"/>
        </w:rPr>
      </w:pPr>
    </w:p>
    <w:p w14:paraId="2B151B7B">
      <w:pPr>
        <w:pStyle w:val="30"/>
        <w:spacing w:line="360" w:lineRule="auto"/>
        <w:outlineLvl w:val="3"/>
        <w:rPr>
          <w:rFonts w:ascii="仿宋" w:hAnsi="仿宋" w:eastAsia="仿宋" w:cs="仿宋"/>
          <w:color w:val="000000"/>
          <w:sz w:val="24"/>
          <w:szCs w:val="22"/>
        </w:rPr>
      </w:pPr>
      <w:r>
        <w:rPr>
          <w:rFonts w:hint="eastAsia" w:ascii="仿宋" w:hAnsi="仿宋" w:eastAsia="仿宋" w:cs="仿宋"/>
          <w:color w:val="000000"/>
          <w:sz w:val="24"/>
          <w:szCs w:val="22"/>
        </w:rPr>
        <w:t>（2）网络通讯系统设备材料需求</w:t>
      </w:r>
    </w:p>
    <w:p w14:paraId="3A0A8B22">
      <w:pPr>
        <w:pStyle w:val="30"/>
        <w:spacing w:line="360" w:lineRule="auto"/>
        <w:outlineLvl w:val="4"/>
        <w:rPr>
          <w:rFonts w:ascii="仿宋" w:hAnsi="仿宋" w:eastAsia="仿宋" w:cs="仿宋"/>
          <w:color w:val="000000"/>
          <w:sz w:val="24"/>
          <w:szCs w:val="22"/>
        </w:rPr>
      </w:pPr>
      <w:r>
        <w:rPr>
          <w:rFonts w:hint="eastAsia" w:ascii="仿宋" w:hAnsi="仿宋" w:eastAsia="仿宋" w:cs="仿宋"/>
          <w:color w:val="000000"/>
          <w:sz w:val="24"/>
          <w:szCs w:val="22"/>
        </w:rPr>
        <w:t>I计算机网络子系统</w:t>
      </w:r>
    </w:p>
    <w:p w14:paraId="3828CC4D">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计算机网络子系统包括局域网、政务外网、设备网，是档案馆信息平台数据传输交换的网络交换平台，设计为核心层和接入层的二层网络架构，不同网络之间完全物理隔离。局域网、政务外网设计双核心且主干双链路冗余，设备网为单核心，交换机考虑供电采用POE交换机；所以交换机采用国产芯片。</w:t>
      </w:r>
    </w:p>
    <w:tbl>
      <w:tblPr>
        <w:tblStyle w:val="45"/>
        <w:tblW w:w="8928" w:type="dxa"/>
        <w:tblInd w:w="93" w:type="dxa"/>
        <w:tblLayout w:type="autofit"/>
        <w:tblCellMar>
          <w:top w:w="0" w:type="dxa"/>
          <w:left w:w="108" w:type="dxa"/>
          <w:bottom w:w="0" w:type="dxa"/>
          <w:right w:w="108" w:type="dxa"/>
        </w:tblCellMar>
      </w:tblPr>
      <w:tblGrid>
        <w:gridCol w:w="743"/>
        <w:gridCol w:w="1107"/>
        <w:gridCol w:w="1091"/>
        <w:gridCol w:w="4790"/>
        <w:gridCol w:w="1197"/>
      </w:tblGrid>
      <w:tr w14:paraId="634359AA">
        <w:tblPrEx>
          <w:tblCellMar>
            <w:top w:w="0" w:type="dxa"/>
            <w:left w:w="108" w:type="dxa"/>
            <w:bottom w:w="0" w:type="dxa"/>
            <w:right w:w="108" w:type="dxa"/>
          </w:tblCellMar>
        </w:tblPrEx>
        <w:trPr>
          <w:trHeight w:val="700" w:hRule="atLeast"/>
        </w:trPr>
        <w:tc>
          <w:tcPr>
            <w:tcW w:w="743" w:type="dxa"/>
            <w:tcBorders>
              <w:top w:val="single" w:color="000000" w:sz="4" w:space="0"/>
              <w:left w:val="single" w:color="000000" w:sz="4" w:space="0"/>
              <w:bottom w:val="single" w:color="000000" w:sz="4" w:space="0"/>
              <w:right w:val="single" w:color="000000" w:sz="4" w:space="0"/>
            </w:tcBorders>
            <w:noWrap/>
            <w:vAlign w:val="center"/>
          </w:tcPr>
          <w:p w14:paraId="2AE1114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序号</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3575A80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设备名称</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1A3AD4A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国产化要求</w:t>
            </w:r>
          </w:p>
        </w:tc>
        <w:tc>
          <w:tcPr>
            <w:tcW w:w="4790" w:type="dxa"/>
            <w:tcBorders>
              <w:top w:val="single" w:color="000000" w:sz="4" w:space="0"/>
              <w:left w:val="single" w:color="000000" w:sz="4" w:space="0"/>
              <w:bottom w:val="single" w:color="000000" w:sz="4" w:space="0"/>
              <w:right w:val="single" w:color="000000" w:sz="4" w:space="0"/>
            </w:tcBorders>
            <w:noWrap/>
            <w:vAlign w:val="center"/>
          </w:tcPr>
          <w:p w14:paraId="7688B15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★基本参数</w:t>
            </w:r>
          </w:p>
        </w:tc>
        <w:tc>
          <w:tcPr>
            <w:tcW w:w="1197" w:type="dxa"/>
            <w:tcBorders>
              <w:top w:val="single" w:color="000000" w:sz="4" w:space="0"/>
              <w:left w:val="single" w:color="000000" w:sz="4" w:space="0"/>
              <w:bottom w:val="single" w:color="000000" w:sz="4" w:space="0"/>
              <w:right w:val="single" w:color="000000" w:sz="4" w:space="0"/>
            </w:tcBorders>
            <w:noWrap/>
            <w:vAlign w:val="center"/>
          </w:tcPr>
          <w:p w14:paraId="1E6B4D9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数量</w:t>
            </w:r>
          </w:p>
        </w:tc>
      </w:tr>
      <w:tr w14:paraId="4BC4C0EF">
        <w:tblPrEx>
          <w:tblCellMar>
            <w:top w:w="0" w:type="dxa"/>
            <w:left w:w="108" w:type="dxa"/>
            <w:bottom w:w="0" w:type="dxa"/>
            <w:right w:w="108" w:type="dxa"/>
          </w:tblCellMar>
        </w:tblPrEx>
        <w:trPr>
          <w:trHeight w:val="3240" w:hRule="atLeast"/>
        </w:trPr>
        <w:tc>
          <w:tcPr>
            <w:tcW w:w="743" w:type="dxa"/>
            <w:tcBorders>
              <w:top w:val="single" w:color="000000" w:sz="4" w:space="0"/>
              <w:left w:val="single" w:color="000000" w:sz="4" w:space="0"/>
              <w:bottom w:val="single" w:color="000000" w:sz="4" w:space="0"/>
              <w:right w:val="single" w:color="000000" w:sz="4" w:space="0"/>
            </w:tcBorders>
            <w:noWrap/>
            <w:vAlign w:val="center"/>
          </w:tcPr>
          <w:p w14:paraId="118C822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33AAEA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外网核心交换机</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3E30F7D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国产芯片</w:t>
            </w:r>
          </w:p>
        </w:tc>
        <w:tc>
          <w:tcPr>
            <w:tcW w:w="4790" w:type="dxa"/>
            <w:tcBorders>
              <w:top w:val="single" w:color="000000" w:sz="4" w:space="0"/>
              <w:left w:val="single" w:color="000000" w:sz="4" w:space="0"/>
              <w:bottom w:val="single" w:color="000000" w:sz="4" w:space="0"/>
              <w:right w:val="single" w:color="000000" w:sz="4" w:space="0"/>
            </w:tcBorders>
            <w:noWrap/>
            <w:vAlign w:val="center"/>
          </w:tcPr>
          <w:p w14:paraId="7083560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应用层级：三层</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传输速率：10/100/1000Mbps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交换方式 ：存储-转发</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背板带宽 ：≥19.84Tbps/86.4Tbps纠错</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包转发率 ：≥3240Mpps/26400Mpps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 xml:space="preserve">端口参数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端口结构 ：模块化</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扩展模块 ：≥6个业务槽位</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万兆SFP+端口 ：≥96个</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10/100/1000BASE-T 以太网端口 ：≥96个</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电源 ：双电源</w:t>
            </w:r>
          </w:p>
        </w:tc>
        <w:tc>
          <w:tcPr>
            <w:tcW w:w="1197" w:type="dxa"/>
            <w:tcBorders>
              <w:top w:val="single" w:color="000000" w:sz="4" w:space="0"/>
              <w:left w:val="single" w:color="000000" w:sz="4" w:space="0"/>
              <w:bottom w:val="single" w:color="000000" w:sz="4" w:space="0"/>
              <w:right w:val="single" w:color="000000" w:sz="4" w:space="0"/>
            </w:tcBorders>
            <w:noWrap/>
            <w:vAlign w:val="center"/>
          </w:tcPr>
          <w:p w14:paraId="6FB05B0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2台</w:t>
            </w:r>
          </w:p>
        </w:tc>
      </w:tr>
      <w:tr w14:paraId="473A2F01">
        <w:tblPrEx>
          <w:tblCellMar>
            <w:top w:w="0" w:type="dxa"/>
            <w:left w:w="108" w:type="dxa"/>
            <w:bottom w:w="0" w:type="dxa"/>
            <w:right w:w="108" w:type="dxa"/>
          </w:tblCellMar>
        </w:tblPrEx>
        <w:trPr>
          <w:trHeight w:val="5200" w:hRule="atLeast"/>
        </w:trPr>
        <w:tc>
          <w:tcPr>
            <w:tcW w:w="743" w:type="dxa"/>
            <w:tcBorders>
              <w:top w:val="single" w:color="000000" w:sz="4" w:space="0"/>
              <w:left w:val="single" w:color="000000" w:sz="4" w:space="0"/>
              <w:bottom w:val="single" w:color="000000" w:sz="4" w:space="0"/>
              <w:right w:val="single" w:color="000000" w:sz="4" w:space="0"/>
            </w:tcBorders>
            <w:noWrap/>
            <w:vAlign w:val="center"/>
          </w:tcPr>
          <w:p w14:paraId="65505F4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08781A2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内网核心交换机</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0218673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国产芯片</w:t>
            </w:r>
          </w:p>
        </w:tc>
        <w:tc>
          <w:tcPr>
            <w:tcW w:w="4790" w:type="dxa"/>
            <w:tcBorders>
              <w:top w:val="single" w:color="000000" w:sz="4" w:space="0"/>
              <w:left w:val="single" w:color="000000" w:sz="4" w:space="0"/>
              <w:bottom w:val="single" w:color="000000" w:sz="4" w:space="0"/>
              <w:right w:val="single" w:color="000000" w:sz="4" w:space="0"/>
            </w:tcBorders>
            <w:noWrap/>
            <w:vAlign w:val="center"/>
          </w:tcPr>
          <w:p w14:paraId="2A9F4DD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应用层级 ：二层</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传输速率 ：10/100/1000/10000Mbps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交换方式 ：存储-转发纠错</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背板带宽 交换容量：≥2.4/24Tbps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包转发率： ≥1320Mpps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端口描述： ≥24个万兆SFP+，</w:t>
            </w:r>
            <w:r>
              <w:rPr>
                <w:rFonts w:hint="eastAsia" w:ascii="仿宋" w:hAnsi="仿宋" w:eastAsia="仿宋" w:cs="仿宋"/>
                <w:sz w:val="24"/>
                <w:szCs w:val="22"/>
              </w:rPr>
              <w:t xml:space="preserve"> ≥24个1000M以太网端口 ，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扩展模块： 1个扩展插槽，</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堆叠功能 ：可堆叠</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VLAN ：支持VxLAN二层网关、三层网关</w:t>
            </w:r>
          </w:p>
        </w:tc>
        <w:tc>
          <w:tcPr>
            <w:tcW w:w="1197" w:type="dxa"/>
            <w:tcBorders>
              <w:top w:val="single" w:color="000000" w:sz="4" w:space="0"/>
              <w:left w:val="single" w:color="000000" w:sz="4" w:space="0"/>
              <w:bottom w:val="single" w:color="000000" w:sz="4" w:space="0"/>
              <w:right w:val="single" w:color="000000" w:sz="4" w:space="0"/>
            </w:tcBorders>
            <w:noWrap/>
            <w:vAlign w:val="center"/>
          </w:tcPr>
          <w:p w14:paraId="16240B5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2台</w:t>
            </w:r>
          </w:p>
        </w:tc>
      </w:tr>
      <w:tr w14:paraId="75862C6E">
        <w:tblPrEx>
          <w:tblCellMar>
            <w:top w:w="0" w:type="dxa"/>
            <w:left w:w="108" w:type="dxa"/>
            <w:bottom w:w="0" w:type="dxa"/>
            <w:right w:w="108" w:type="dxa"/>
          </w:tblCellMar>
        </w:tblPrEx>
        <w:trPr>
          <w:trHeight w:val="90" w:hRule="atLeast"/>
        </w:trPr>
        <w:tc>
          <w:tcPr>
            <w:tcW w:w="743" w:type="dxa"/>
            <w:tcBorders>
              <w:top w:val="single" w:color="000000" w:sz="4" w:space="0"/>
              <w:left w:val="single" w:color="000000" w:sz="4" w:space="0"/>
              <w:bottom w:val="single" w:color="000000" w:sz="4" w:space="0"/>
              <w:right w:val="single" w:color="000000" w:sz="4" w:space="0"/>
            </w:tcBorders>
            <w:noWrap/>
            <w:vAlign w:val="center"/>
          </w:tcPr>
          <w:p w14:paraId="37D039B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4992A05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设备网核心交换机</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63E58D9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国产芯片</w:t>
            </w:r>
          </w:p>
        </w:tc>
        <w:tc>
          <w:tcPr>
            <w:tcW w:w="4790" w:type="dxa"/>
            <w:tcBorders>
              <w:top w:val="single" w:color="000000" w:sz="4" w:space="0"/>
              <w:left w:val="single" w:color="000000" w:sz="4" w:space="0"/>
              <w:bottom w:val="single" w:color="000000" w:sz="4" w:space="0"/>
              <w:right w:val="single" w:color="000000" w:sz="4" w:space="0"/>
            </w:tcBorders>
            <w:noWrap/>
            <w:vAlign w:val="center"/>
          </w:tcPr>
          <w:p w14:paraId="0959BB2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应用层级： 三层</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传输速率 ：10/100/1000Mbps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交换方式 ：存储-转发</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背板带宽 ：≥1.2Tbps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包转发率 ：≥1440Mpps；14400Mpps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 xml:space="preserve">端口参数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端口结构： 模块化</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扩展模块 ：≥3个业务槽位</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万兆SFP+端口： ≥48个</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10/100/1000BASE-T 以太网端口： ≥48个</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电源 ：双电源</w:t>
            </w:r>
          </w:p>
        </w:tc>
        <w:tc>
          <w:tcPr>
            <w:tcW w:w="1197" w:type="dxa"/>
            <w:tcBorders>
              <w:top w:val="single" w:color="000000" w:sz="4" w:space="0"/>
              <w:left w:val="single" w:color="000000" w:sz="4" w:space="0"/>
              <w:bottom w:val="single" w:color="000000" w:sz="4" w:space="0"/>
              <w:right w:val="single" w:color="000000" w:sz="4" w:space="0"/>
            </w:tcBorders>
            <w:noWrap/>
            <w:vAlign w:val="center"/>
          </w:tcPr>
          <w:p w14:paraId="0353289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7F693FC9">
        <w:tblPrEx>
          <w:tblCellMar>
            <w:top w:w="0" w:type="dxa"/>
            <w:left w:w="108" w:type="dxa"/>
            <w:bottom w:w="0" w:type="dxa"/>
            <w:right w:w="108" w:type="dxa"/>
          </w:tblCellMar>
        </w:tblPrEx>
        <w:trPr>
          <w:trHeight w:val="1780" w:hRule="atLeast"/>
        </w:trPr>
        <w:tc>
          <w:tcPr>
            <w:tcW w:w="743" w:type="dxa"/>
            <w:tcBorders>
              <w:top w:val="single" w:color="000000" w:sz="4" w:space="0"/>
              <w:left w:val="single" w:color="000000" w:sz="4" w:space="0"/>
              <w:bottom w:val="single" w:color="000000" w:sz="4" w:space="0"/>
              <w:right w:val="single" w:color="000000" w:sz="4" w:space="0"/>
            </w:tcBorders>
            <w:noWrap/>
            <w:vAlign w:val="center"/>
          </w:tcPr>
          <w:p w14:paraId="1736366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646EFC6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24口接入交换机</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759A740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国产芯片</w:t>
            </w:r>
          </w:p>
        </w:tc>
        <w:tc>
          <w:tcPr>
            <w:tcW w:w="4790" w:type="dxa"/>
            <w:tcBorders>
              <w:top w:val="single" w:color="000000" w:sz="4" w:space="0"/>
              <w:left w:val="single" w:color="000000" w:sz="4" w:space="0"/>
              <w:bottom w:val="single" w:color="000000" w:sz="4" w:space="0"/>
              <w:right w:val="single" w:color="000000" w:sz="4" w:space="0"/>
            </w:tcBorders>
            <w:noWrap/>
            <w:vAlign w:val="center"/>
          </w:tcPr>
          <w:p w14:paraId="54049F7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24 个 10/100/1000Base-T 以太网端口，4 个 10GE SFP+端口，可</w:t>
            </w:r>
            <w:r>
              <w:rPr>
                <w:rFonts w:hint="eastAsia" w:ascii="仿宋" w:hAnsi="仿宋" w:eastAsia="仿宋" w:cs="仿宋"/>
                <w:sz w:val="24"/>
                <w:szCs w:val="22"/>
              </w:rPr>
              <w:t xml:space="preserve">堆叠 </w:t>
            </w:r>
            <w:r>
              <w:rPr>
                <w:rFonts w:hint="eastAsia" w:ascii="仿宋" w:hAnsi="仿宋" w:eastAsia="仿宋" w:cs="仿宋"/>
                <w:color w:val="000000"/>
                <w:sz w:val="24"/>
                <w:szCs w:val="22"/>
              </w:rPr>
              <w:t>包转发率：≥171Mpps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交换容量：≥672 Gbps/6.72 Tbps</w:t>
            </w:r>
          </w:p>
        </w:tc>
        <w:tc>
          <w:tcPr>
            <w:tcW w:w="1197" w:type="dxa"/>
            <w:tcBorders>
              <w:top w:val="single" w:color="000000" w:sz="4" w:space="0"/>
              <w:left w:val="single" w:color="000000" w:sz="4" w:space="0"/>
              <w:bottom w:val="single" w:color="000000" w:sz="4" w:space="0"/>
              <w:right w:val="single" w:color="000000" w:sz="4" w:space="0"/>
            </w:tcBorders>
            <w:noWrap/>
            <w:vAlign w:val="center"/>
          </w:tcPr>
          <w:p w14:paraId="4CF9141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10台</w:t>
            </w:r>
          </w:p>
        </w:tc>
      </w:tr>
      <w:tr w14:paraId="1BD93887">
        <w:tblPrEx>
          <w:tblCellMar>
            <w:top w:w="0" w:type="dxa"/>
            <w:left w:w="108" w:type="dxa"/>
            <w:bottom w:w="0" w:type="dxa"/>
            <w:right w:w="108" w:type="dxa"/>
          </w:tblCellMar>
        </w:tblPrEx>
        <w:trPr>
          <w:trHeight w:val="1780" w:hRule="atLeast"/>
        </w:trPr>
        <w:tc>
          <w:tcPr>
            <w:tcW w:w="743" w:type="dxa"/>
            <w:tcBorders>
              <w:top w:val="single" w:color="000000" w:sz="4" w:space="0"/>
              <w:left w:val="single" w:color="000000" w:sz="4" w:space="0"/>
              <w:bottom w:val="single" w:color="000000" w:sz="4" w:space="0"/>
              <w:right w:val="single" w:color="000000" w:sz="4" w:space="0"/>
            </w:tcBorders>
            <w:noWrap/>
            <w:vAlign w:val="center"/>
          </w:tcPr>
          <w:p w14:paraId="0B27DC3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CA44EE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48口接入交换机</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643CDC1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国产芯片</w:t>
            </w:r>
          </w:p>
        </w:tc>
        <w:tc>
          <w:tcPr>
            <w:tcW w:w="4790" w:type="dxa"/>
            <w:tcBorders>
              <w:top w:val="single" w:color="000000" w:sz="4" w:space="0"/>
              <w:left w:val="single" w:color="000000" w:sz="4" w:space="0"/>
              <w:bottom w:val="single" w:color="000000" w:sz="4" w:space="0"/>
              <w:right w:val="single" w:color="000000" w:sz="4" w:space="0"/>
            </w:tcBorders>
            <w:noWrap/>
            <w:vAlign w:val="center"/>
          </w:tcPr>
          <w:p w14:paraId="47C46F5F">
            <w:pPr>
              <w:pStyle w:val="30"/>
              <w:spacing w:line="360" w:lineRule="auto"/>
              <w:rPr>
                <w:rFonts w:ascii="仿宋" w:hAnsi="仿宋" w:eastAsia="仿宋" w:cs="仿宋"/>
                <w:sz w:val="24"/>
                <w:szCs w:val="22"/>
              </w:rPr>
            </w:pPr>
            <w:r>
              <w:rPr>
                <w:rFonts w:hint="eastAsia" w:ascii="仿宋" w:hAnsi="仿宋" w:eastAsia="仿宋" w:cs="仿宋"/>
                <w:color w:val="000000"/>
                <w:sz w:val="24"/>
                <w:szCs w:val="22"/>
              </w:rPr>
              <w:t>48 个 10/100/1000Base-T 以太网端口，4 个 10GE SFP+端口，可</w:t>
            </w:r>
            <w:r>
              <w:rPr>
                <w:rFonts w:hint="eastAsia" w:ascii="仿宋" w:hAnsi="仿宋" w:eastAsia="仿宋" w:cs="仿宋"/>
                <w:sz w:val="24"/>
                <w:szCs w:val="22"/>
              </w:rPr>
              <w:t>堆叠</w:t>
            </w:r>
          </w:p>
          <w:p w14:paraId="5248419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包转发率：≥207 Mpps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 xml:space="preserve"> 交换容量：≥672 Gbps/6.72 Tbps</w:t>
            </w:r>
          </w:p>
        </w:tc>
        <w:tc>
          <w:tcPr>
            <w:tcW w:w="1197" w:type="dxa"/>
            <w:tcBorders>
              <w:top w:val="single" w:color="000000" w:sz="4" w:space="0"/>
              <w:left w:val="single" w:color="000000" w:sz="4" w:space="0"/>
              <w:bottom w:val="single" w:color="000000" w:sz="4" w:space="0"/>
              <w:right w:val="single" w:color="000000" w:sz="4" w:space="0"/>
            </w:tcBorders>
            <w:noWrap/>
            <w:vAlign w:val="center"/>
          </w:tcPr>
          <w:p w14:paraId="66AE8D6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9台</w:t>
            </w:r>
          </w:p>
        </w:tc>
      </w:tr>
      <w:tr w14:paraId="68042EB7">
        <w:tblPrEx>
          <w:tblCellMar>
            <w:top w:w="0" w:type="dxa"/>
            <w:left w:w="108" w:type="dxa"/>
            <w:bottom w:w="0" w:type="dxa"/>
            <w:right w:w="108" w:type="dxa"/>
          </w:tblCellMar>
        </w:tblPrEx>
        <w:trPr>
          <w:trHeight w:val="1860" w:hRule="atLeast"/>
        </w:trPr>
        <w:tc>
          <w:tcPr>
            <w:tcW w:w="743" w:type="dxa"/>
            <w:tcBorders>
              <w:top w:val="single" w:color="000000" w:sz="4" w:space="0"/>
              <w:left w:val="single" w:color="000000" w:sz="4" w:space="0"/>
              <w:bottom w:val="single" w:color="000000" w:sz="4" w:space="0"/>
              <w:right w:val="single" w:color="000000" w:sz="4" w:space="0"/>
            </w:tcBorders>
            <w:noWrap/>
            <w:vAlign w:val="center"/>
          </w:tcPr>
          <w:p w14:paraId="29877DC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718148D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24口POE接入交换机</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1FC36BB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国产芯片</w:t>
            </w:r>
          </w:p>
        </w:tc>
        <w:tc>
          <w:tcPr>
            <w:tcW w:w="4790" w:type="dxa"/>
            <w:tcBorders>
              <w:top w:val="single" w:color="000000" w:sz="4" w:space="0"/>
              <w:left w:val="single" w:color="000000" w:sz="4" w:space="0"/>
              <w:bottom w:val="single" w:color="000000" w:sz="4" w:space="0"/>
              <w:right w:val="single" w:color="000000" w:sz="4" w:space="0"/>
            </w:tcBorders>
            <w:noWrap/>
            <w:vAlign w:val="center"/>
          </w:tcPr>
          <w:p w14:paraId="010D58CD">
            <w:pPr>
              <w:pStyle w:val="30"/>
              <w:spacing w:line="360" w:lineRule="auto"/>
              <w:rPr>
                <w:rFonts w:ascii="仿宋" w:hAnsi="仿宋" w:eastAsia="仿宋" w:cs="仿宋"/>
                <w:sz w:val="24"/>
                <w:szCs w:val="22"/>
              </w:rPr>
            </w:pPr>
            <w:r>
              <w:rPr>
                <w:rFonts w:hint="eastAsia" w:ascii="仿宋" w:hAnsi="仿宋" w:eastAsia="仿宋" w:cs="仿宋"/>
                <w:color w:val="000000"/>
                <w:sz w:val="24"/>
                <w:szCs w:val="22"/>
              </w:rPr>
              <w:t>24 个PoE 10/100/1000Base-T 以太网端口，4 个 10GE SFP+端口，可</w:t>
            </w:r>
            <w:r>
              <w:rPr>
                <w:rFonts w:hint="eastAsia" w:ascii="仿宋" w:hAnsi="仿宋" w:eastAsia="仿宋" w:cs="仿宋"/>
                <w:sz w:val="24"/>
                <w:szCs w:val="22"/>
              </w:rPr>
              <w:t>堆叠</w:t>
            </w:r>
          </w:p>
          <w:p w14:paraId="5751F3B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 xml:space="preserve"> 包转发率：≥171Mpps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 xml:space="preserve"> 交换容量：≥672 Gbps/6.72 Tbps</w:t>
            </w:r>
          </w:p>
        </w:tc>
        <w:tc>
          <w:tcPr>
            <w:tcW w:w="1197" w:type="dxa"/>
            <w:tcBorders>
              <w:top w:val="single" w:color="000000" w:sz="4" w:space="0"/>
              <w:left w:val="single" w:color="000000" w:sz="4" w:space="0"/>
              <w:bottom w:val="single" w:color="000000" w:sz="4" w:space="0"/>
              <w:right w:val="single" w:color="000000" w:sz="4" w:space="0"/>
            </w:tcBorders>
            <w:noWrap/>
            <w:vAlign w:val="center"/>
          </w:tcPr>
          <w:p w14:paraId="4C6C429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23台</w:t>
            </w:r>
          </w:p>
        </w:tc>
      </w:tr>
      <w:tr w14:paraId="0AAB4927">
        <w:tblPrEx>
          <w:tblCellMar>
            <w:top w:w="0" w:type="dxa"/>
            <w:left w:w="108" w:type="dxa"/>
            <w:bottom w:w="0" w:type="dxa"/>
            <w:right w:w="108" w:type="dxa"/>
          </w:tblCellMar>
        </w:tblPrEx>
        <w:trPr>
          <w:trHeight w:val="1676" w:hRule="atLeast"/>
        </w:trPr>
        <w:tc>
          <w:tcPr>
            <w:tcW w:w="743" w:type="dxa"/>
            <w:tcBorders>
              <w:top w:val="single" w:color="000000" w:sz="4" w:space="0"/>
              <w:left w:val="single" w:color="000000" w:sz="4" w:space="0"/>
              <w:bottom w:val="single" w:color="000000" w:sz="4" w:space="0"/>
              <w:right w:val="single" w:color="000000" w:sz="4" w:space="0"/>
            </w:tcBorders>
            <w:noWrap/>
            <w:vAlign w:val="center"/>
          </w:tcPr>
          <w:p w14:paraId="6BDAD05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w:t>
            </w: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581878D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24口汇聚交换机</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40673FB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国产芯片</w:t>
            </w:r>
          </w:p>
        </w:tc>
        <w:tc>
          <w:tcPr>
            <w:tcW w:w="4790" w:type="dxa"/>
            <w:tcBorders>
              <w:top w:val="single" w:color="000000" w:sz="4" w:space="0"/>
              <w:left w:val="single" w:color="000000" w:sz="4" w:space="0"/>
              <w:bottom w:val="single" w:color="000000" w:sz="4" w:space="0"/>
              <w:right w:val="single" w:color="000000" w:sz="4" w:space="0"/>
            </w:tcBorders>
            <w:noWrap/>
            <w:vAlign w:val="center"/>
          </w:tcPr>
          <w:p w14:paraId="50A4261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28 个万兆 SFP+，6 个 40/100GE QSFP28</w:t>
            </w:r>
          </w:p>
          <w:p w14:paraId="3FFF518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 个扩展插槽</w:t>
            </w:r>
          </w:p>
          <w:p w14:paraId="4286649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 xml:space="preserve"> 支持 1+1 电源备份</w:t>
            </w:r>
          </w:p>
          <w:p w14:paraId="5861A11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包转发率：≥1620Mpps</w:t>
            </w:r>
          </w:p>
          <w:p w14:paraId="647833F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交换容量：≥4.8T/25.6Tbps</w:t>
            </w:r>
          </w:p>
        </w:tc>
        <w:tc>
          <w:tcPr>
            <w:tcW w:w="1197" w:type="dxa"/>
            <w:tcBorders>
              <w:top w:val="single" w:color="000000" w:sz="4" w:space="0"/>
              <w:left w:val="single" w:color="000000" w:sz="4" w:space="0"/>
              <w:bottom w:val="single" w:color="000000" w:sz="4" w:space="0"/>
              <w:right w:val="single" w:color="000000" w:sz="4" w:space="0"/>
            </w:tcBorders>
            <w:noWrap/>
            <w:vAlign w:val="center"/>
          </w:tcPr>
          <w:p w14:paraId="21ACE91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4台</w:t>
            </w:r>
          </w:p>
        </w:tc>
      </w:tr>
      <w:tr w14:paraId="128B48E3">
        <w:tblPrEx>
          <w:tblCellMar>
            <w:top w:w="0" w:type="dxa"/>
            <w:left w:w="108" w:type="dxa"/>
            <w:bottom w:w="0" w:type="dxa"/>
            <w:right w:w="108" w:type="dxa"/>
          </w:tblCellMar>
        </w:tblPrEx>
        <w:trPr>
          <w:trHeight w:val="1676" w:hRule="atLeast"/>
        </w:trPr>
        <w:tc>
          <w:tcPr>
            <w:tcW w:w="743" w:type="dxa"/>
            <w:tcBorders>
              <w:top w:val="single" w:color="000000" w:sz="4" w:space="0"/>
              <w:left w:val="single" w:color="000000" w:sz="4" w:space="0"/>
              <w:bottom w:val="single" w:color="000000" w:sz="4" w:space="0"/>
              <w:right w:val="single" w:color="000000" w:sz="4" w:space="0"/>
            </w:tcBorders>
            <w:noWrap/>
            <w:vAlign w:val="center"/>
          </w:tcPr>
          <w:p w14:paraId="0B688029">
            <w:pPr>
              <w:pStyle w:val="30"/>
              <w:spacing w:line="360" w:lineRule="auto"/>
              <w:rPr>
                <w:rFonts w:ascii="仿宋" w:hAnsi="仿宋" w:eastAsia="仿宋" w:cs="仿宋"/>
                <w:color w:val="000000"/>
                <w:sz w:val="24"/>
                <w:szCs w:val="22"/>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14:paraId="29ADAFC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万兆光模块</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545CFD66">
            <w:pPr>
              <w:pStyle w:val="30"/>
              <w:spacing w:line="360" w:lineRule="auto"/>
              <w:rPr>
                <w:rFonts w:ascii="仿宋" w:hAnsi="仿宋" w:eastAsia="仿宋" w:cs="仿宋"/>
                <w:color w:val="000000"/>
                <w:sz w:val="24"/>
                <w:szCs w:val="22"/>
              </w:rPr>
            </w:pPr>
          </w:p>
        </w:tc>
        <w:tc>
          <w:tcPr>
            <w:tcW w:w="4790" w:type="dxa"/>
            <w:tcBorders>
              <w:top w:val="single" w:color="000000" w:sz="4" w:space="0"/>
              <w:left w:val="single" w:color="000000" w:sz="4" w:space="0"/>
              <w:bottom w:val="single" w:color="000000" w:sz="4" w:space="0"/>
              <w:right w:val="single" w:color="000000" w:sz="4" w:space="0"/>
            </w:tcBorders>
            <w:noWrap/>
            <w:vAlign w:val="center"/>
          </w:tcPr>
          <w:p w14:paraId="0713558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封装： SFP+；</w:t>
            </w:r>
          </w:p>
          <w:p w14:paraId="3528735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接口标准：10GBASE-SR；</w:t>
            </w:r>
          </w:p>
          <w:p w14:paraId="2816C15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连接器类型 LC；</w:t>
            </w:r>
          </w:p>
          <w:p w14:paraId="3FC14B9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数字诊断功能：支持；</w:t>
            </w:r>
          </w:p>
          <w:p w14:paraId="7315C2A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传输速率 [bit/s] 10 Gbit/s</w:t>
            </w:r>
          </w:p>
        </w:tc>
        <w:tc>
          <w:tcPr>
            <w:tcW w:w="1197" w:type="dxa"/>
            <w:tcBorders>
              <w:top w:val="single" w:color="000000" w:sz="4" w:space="0"/>
              <w:left w:val="single" w:color="000000" w:sz="4" w:space="0"/>
              <w:bottom w:val="single" w:color="000000" w:sz="4" w:space="0"/>
              <w:right w:val="single" w:color="000000" w:sz="4" w:space="0"/>
            </w:tcBorders>
            <w:noWrap/>
            <w:vAlign w:val="center"/>
          </w:tcPr>
          <w:p w14:paraId="6A02FC9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234个</w:t>
            </w:r>
          </w:p>
        </w:tc>
      </w:tr>
    </w:tbl>
    <w:p w14:paraId="01D59C75">
      <w:pPr>
        <w:pStyle w:val="30"/>
        <w:spacing w:line="360" w:lineRule="auto"/>
        <w:outlineLvl w:val="4"/>
        <w:rPr>
          <w:rFonts w:ascii="仿宋" w:hAnsi="仿宋" w:eastAsia="仿宋" w:cs="仿宋"/>
          <w:color w:val="000000"/>
          <w:sz w:val="24"/>
          <w:szCs w:val="22"/>
        </w:rPr>
      </w:pPr>
      <w:r>
        <w:rPr>
          <w:rFonts w:hint="eastAsia" w:ascii="仿宋" w:hAnsi="仿宋" w:eastAsia="仿宋" w:cs="仿宋"/>
          <w:color w:val="000000"/>
          <w:sz w:val="24"/>
          <w:szCs w:val="22"/>
        </w:rPr>
        <w:t>II电话子系统</w:t>
      </w:r>
    </w:p>
    <w:p w14:paraId="4AD0FD6D">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配置数字程控交换机摒弃原有大对数语音架构，采用数字信号传输。程控交换机安装于地下二层UPS机房内，由UPS机房向各层弱电竖井敷设光纤并通过光电转换设备连接层语音交换机。</w:t>
      </w:r>
    </w:p>
    <w:tbl>
      <w:tblPr>
        <w:tblStyle w:val="45"/>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536"/>
        <w:gridCol w:w="5779"/>
        <w:gridCol w:w="773"/>
      </w:tblGrid>
      <w:tr w14:paraId="0B76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6980181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序号</w:t>
            </w:r>
          </w:p>
        </w:tc>
        <w:tc>
          <w:tcPr>
            <w:tcW w:w="1536" w:type="dxa"/>
            <w:noWrap/>
            <w:vAlign w:val="center"/>
          </w:tcPr>
          <w:p w14:paraId="4761CE1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设备名称</w:t>
            </w:r>
          </w:p>
        </w:tc>
        <w:tc>
          <w:tcPr>
            <w:tcW w:w="5779" w:type="dxa"/>
            <w:noWrap/>
          </w:tcPr>
          <w:p w14:paraId="5436365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★基本参数</w:t>
            </w:r>
          </w:p>
        </w:tc>
        <w:tc>
          <w:tcPr>
            <w:tcW w:w="773" w:type="dxa"/>
            <w:noWrap/>
          </w:tcPr>
          <w:p w14:paraId="4810D86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备注</w:t>
            </w:r>
          </w:p>
        </w:tc>
      </w:tr>
      <w:tr w14:paraId="3C22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tcPr>
          <w:p w14:paraId="3943C47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w:t>
            </w:r>
          </w:p>
        </w:tc>
        <w:tc>
          <w:tcPr>
            <w:tcW w:w="1536" w:type="dxa"/>
            <w:noWrap/>
          </w:tcPr>
          <w:p w14:paraId="60BAC23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程控交换机</w:t>
            </w:r>
          </w:p>
        </w:tc>
        <w:tc>
          <w:tcPr>
            <w:tcW w:w="5779" w:type="dxa"/>
            <w:noWrap/>
          </w:tcPr>
          <w:p w14:paraId="333153A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1、需默认支持300分机60并发，支持1800终端注册（可扩展至400分机90并发、500分机120并发）；</w:t>
            </w:r>
          </w:p>
          <w:p w14:paraId="7B38144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2、支持双电源冗余接入；最多支持≥16个模拟中继/模拟分机</w:t>
            </w:r>
          </w:p>
          <w:p w14:paraId="6270EBE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3、最多配≥6个SIM卡模块，最多可配≥2个E1板卡</w:t>
            </w:r>
          </w:p>
          <w:p w14:paraId="1CF2E06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 支持≥500条SIP中继；</w:t>
            </w:r>
          </w:p>
          <w:p w14:paraId="4E34469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 支持≥2个10/100/1000M 千兆自适应网口（LAN、WAN）</w:t>
            </w:r>
          </w:p>
          <w:p w14:paraId="7F51761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6、支持NFC；</w:t>
            </w:r>
          </w:p>
          <w:p w14:paraId="5417859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7、支持内置全局自动录音，支持内置不少于25000小时录制。</w:t>
            </w:r>
          </w:p>
          <w:p w14:paraId="1E58ED1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8、同一个号码最大支持≥6个终端注册。</w:t>
            </w:r>
          </w:p>
          <w:p w14:paraId="27EB160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9、系统支持内置企业通讯录功能。支持联系人导入导出，批量操作；支持联系人的可见范围权限分配； 支持同步联系人信息到 IP 话机及软电话；支持通过通讯录设定 VIP 功能</w:t>
            </w:r>
            <w:bookmarkStart w:id="830" w:name="_Hlk171432853"/>
          </w:p>
          <w:bookmarkEnd w:id="830"/>
          <w:p w14:paraId="7CE9904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10、系统支持转接、截答、监听、强拆等操作。</w:t>
            </w:r>
          </w:p>
          <w:p w14:paraId="2B805AD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11、系统内置组织架构，支持不少于20个层级</w:t>
            </w:r>
          </w:p>
          <w:p w14:paraId="051F8BB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12、支持国家IP访问防御，系统可自动禁止并且拉黑在管理员设定的允许范围之外的国家</w:t>
            </w:r>
          </w:p>
        </w:tc>
        <w:tc>
          <w:tcPr>
            <w:tcW w:w="773" w:type="dxa"/>
            <w:noWrap/>
          </w:tcPr>
          <w:p w14:paraId="46A4209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30AF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tcPr>
          <w:p w14:paraId="02DEAD5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w:t>
            </w:r>
          </w:p>
        </w:tc>
        <w:tc>
          <w:tcPr>
            <w:tcW w:w="1536" w:type="dxa"/>
            <w:noWrap/>
          </w:tcPr>
          <w:p w14:paraId="49D17E0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数字中继网关</w:t>
            </w:r>
          </w:p>
        </w:tc>
        <w:tc>
          <w:tcPr>
            <w:tcW w:w="5779" w:type="dxa"/>
            <w:noWrap/>
          </w:tcPr>
          <w:p w14:paraId="550E887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接口：E1/T1/J1接口: ≥1个、USB端口:≥1个</w:t>
            </w:r>
          </w:p>
          <w:p w14:paraId="412BFD3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网络接口： 支持10/100/1000 Mbps自适应以太网接口（RJ45）</w:t>
            </w:r>
          </w:p>
          <w:p w14:paraId="1B04EDF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指示灯：支持LAN 连接/激活指示灯、数字中继接口指示灯</w:t>
            </w:r>
          </w:p>
          <w:p w14:paraId="3495CD5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VoIP通信协议：支持SIP（RFC3261）, IAX2</w:t>
            </w:r>
          </w:p>
          <w:p w14:paraId="5A6ADC3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传输协议：支持UDP, TCP, TLS, SRTP</w:t>
            </w:r>
          </w:p>
          <w:p w14:paraId="6F23740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语音编码：支持G.711（alaw/ulaw）, G.722,G.726, G.729A, GSM, ADPCM, Speex</w:t>
            </w:r>
          </w:p>
          <w:p w14:paraId="3FB1F7F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语音特性：支持G.168 回声抵消、动态语音抖动缓冲（Dynamic Jitter Buffer)，ITU-T</w:t>
            </w:r>
          </w:p>
          <w:p w14:paraId="04D2790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DTMF标准：RFC2833, SIP Info, In-band</w:t>
            </w:r>
          </w:p>
          <w:p w14:paraId="764E480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防火墙：支持内置防火墙, IP黑名单, 攻击警报</w:t>
            </w:r>
          </w:p>
          <w:p w14:paraId="23D8792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网络：支持DHCP, DDNS, OpenVPN, Static Route, VLAN</w:t>
            </w:r>
          </w:p>
          <w:p w14:paraId="4701DE6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Nat穿透：支持Static NAT, STUN</w:t>
            </w:r>
          </w:p>
          <w:p w14:paraId="312E299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网络协议：支持FTP, TFTP, HTTP, HTTPS, SSH</w:t>
            </w:r>
          </w:p>
          <w:p w14:paraId="4D99553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QoS基于端口的优先级控制、 ToS  802.1 P/Q VLAN tagging、PPPoE、静态路由</w:t>
            </w:r>
          </w:p>
          <w:p w14:paraId="5376993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支持PRI, MFC R2, SS7, E&amp;M</w:t>
            </w:r>
          </w:p>
        </w:tc>
        <w:tc>
          <w:tcPr>
            <w:tcW w:w="773" w:type="dxa"/>
            <w:noWrap/>
          </w:tcPr>
          <w:p w14:paraId="258B773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421A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tcPr>
          <w:p w14:paraId="0AC8CC9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w:t>
            </w:r>
          </w:p>
        </w:tc>
        <w:tc>
          <w:tcPr>
            <w:tcW w:w="1536" w:type="dxa"/>
            <w:noWrap/>
          </w:tcPr>
          <w:p w14:paraId="32759B0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语音交换机</w:t>
            </w:r>
          </w:p>
        </w:tc>
        <w:tc>
          <w:tcPr>
            <w:tcW w:w="5779" w:type="dxa"/>
            <w:noWrap/>
          </w:tcPr>
          <w:p w14:paraId="1337138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模拟接口：≥ 32 电话接口</w:t>
            </w:r>
          </w:p>
          <w:p w14:paraId="240ECA8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接口类型： RJ11 和 RJ21</w:t>
            </w:r>
          </w:p>
          <w:p w14:paraId="2D3B49B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网络接口：2 个 10/100Mbps 自适应以太网接口（RJ45）</w:t>
            </w:r>
          </w:p>
          <w:p w14:paraId="2BBC88A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指示灯：LAN 连接/激活指示灯、模拟接口指示灯</w:t>
            </w:r>
          </w:p>
          <w:p w14:paraId="332C747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VoIP通信协议：SIP（RFC3261）, IAX2</w:t>
            </w:r>
          </w:p>
          <w:p w14:paraId="29D85C9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传输协议：UDP, TCP, TLS, SRTP</w:t>
            </w:r>
          </w:p>
          <w:p w14:paraId="4A3D3E3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语音编码：G.711（alaw/ulaw）, G.722, G.723, G.726, G.729A/B, GSM, ADPCM, iLBC</w:t>
            </w:r>
          </w:p>
          <w:p w14:paraId="2A8B3C5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语音特性：G.168 回声抵消、动态语音抖动缓冲（Dynamic Jitter Buffer)</w:t>
            </w:r>
          </w:p>
          <w:p w14:paraId="2F6DB93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DTMF标准：RFC2833, SIP Info, In-band</w:t>
            </w:r>
          </w:p>
          <w:p w14:paraId="06A66F8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传真：T.38和透传传真</w:t>
            </w:r>
            <w:r>
              <w:rPr>
                <w:rFonts w:hint="eastAsia" w:ascii="仿宋" w:hAnsi="仿宋" w:eastAsia="仿宋" w:cs="仿宋"/>
                <w:color w:val="000000"/>
                <w:sz w:val="24"/>
                <w:szCs w:val="22"/>
              </w:rPr>
              <w:tab/>
            </w:r>
            <w:r>
              <w:rPr>
                <w:rFonts w:hint="eastAsia" w:ascii="仿宋" w:hAnsi="仿宋" w:eastAsia="仿宋" w:cs="仿宋"/>
                <w:color w:val="000000"/>
                <w:sz w:val="24"/>
                <w:szCs w:val="22"/>
              </w:rPr>
              <w:t>T.30</w:t>
            </w:r>
          </w:p>
          <w:p w14:paraId="1D0BCC0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QoS</w:t>
            </w:r>
            <w:r>
              <w:rPr>
                <w:rFonts w:hint="eastAsia" w:ascii="仿宋" w:hAnsi="仿宋" w:eastAsia="仿宋" w:cs="仿宋"/>
                <w:color w:val="000000"/>
                <w:sz w:val="24"/>
                <w:szCs w:val="22"/>
              </w:rPr>
              <w:tab/>
            </w:r>
            <w:r>
              <w:rPr>
                <w:rFonts w:hint="eastAsia" w:ascii="仿宋" w:hAnsi="仿宋" w:eastAsia="仿宋" w:cs="仿宋"/>
                <w:color w:val="000000"/>
                <w:sz w:val="24"/>
                <w:szCs w:val="22"/>
              </w:rPr>
              <w:t>：基于端口的优先级控制, ToS, 802.1 P/Q VLAN tagging</w:t>
            </w:r>
          </w:p>
          <w:p w14:paraId="6494AAB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管理协议：RADIUS, TR-069*</w:t>
            </w:r>
            <w:r>
              <w:rPr>
                <w:rFonts w:hint="eastAsia" w:ascii="仿宋" w:hAnsi="仿宋" w:eastAsia="仿宋" w:cs="仿宋"/>
                <w:color w:val="000000"/>
                <w:sz w:val="24"/>
                <w:szCs w:val="22"/>
              </w:rPr>
              <w:tab/>
            </w:r>
            <w:r>
              <w:rPr>
                <w:rFonts w:hint="eastAsia" w:ascii="仿宋" w:hAnsi="仿宋" w:eastAsia="仿宋" w:cs="仿宋"/>
                <w:color w:val="000000"/>
                <w:sz w:val="24"/>
                <w:szCs w:val="22"/>
              </w:rPr>
              <w:t>SNMP, RADIUS, TR-069*</w:t>
            </w:r>
            <w:r>
              <w:rPr>
                <w:rFonts w:hint="eastAsia" w:ascii="仿宋" w:hAnsi="仿宋" w:eastAsia="仿宋" w:cs="仿宋"/>
                <w:color w:val="000000"/>
                <w:sz w:val="24"/>
                <w:szCs w:val="22"/>
              </w:rPr>
              <w:tab/>
            </w:r>
            <w:r>
              <w:rPr>
                <w:rFonts w:hint="eastAsia" w:ascii="仿宋" w:hAnsi="仿宋" w:eastAsia="仿宋" w:cs="仿宋"/>
                <w:color w:val="000000"/>
                <w:sz w:val="24"/>
                <w:szCs w:val="22"/>
              </w:rPr>
              <w:t>TR-069</w:t>
            </w:r>
            <w:r>
              <w:rPr>
                <w:rFonts w:hint="eastAsia" w:ascii="仿宋" w:hAnsi="仿宋" w:eastAsia="仿宋" w:cs="仿宋"/>
                <w:color w:val="000000"/>
                <w:sz w:val="24"/>
                <w:szCs w:val="22"/>
              </w:rPr>
              <w:tab/>
            </w:r>
            <w:r>
              <w:rPr>
                <w:rFonts w:hint="eastAsia" w:ascii="仿宋" w:hAnsi="仿宋" w:eastAsia="仿宋" w:cs="仿宋"/>
                <w:color w:val="000000"/>
                <w:sz w:val="24"/>
                <w:szCs w:val="22"/>
              </w:rPr>
              <w:t>TR-069*</w:t>
            </w:r>
          </w:p>
          <w:p w14:paraId="0B0A28D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配置：网页界面、通过MyPBX自动配置、备份和恢复、HTTP/TFTP固件升级</w:t>
            </w:r>
          </w:p>
          <w:p w14:paraId="038728F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系统管理：远程管理、网页抓包工具、系统日志、FXS网关语音目录配置、API</w:t>
            </w:r>
          </w:p>
        </w:tc>
        <w:tc>
          <w:tcPr>
            <w:tcW w:w="773" w:type="dxa"/>
            <w:noWrap/>
          </w:tcPr>
          <w:p w14:paraId="574A109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13套</w:t>
            </w:r>
          </w:p>
        </w:tc>
      </w:tr>
      <w:tr w14:paraId="0290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tcPr>
          <w:p w14:paraId="43E9DE4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w:t>
            </w:r>
          </w:p>
        </w:tc>
        <w:tc>
          <w:tcPr>
            <w:tcW w:w="1536" w:type="dxa"/>
            <w:noWrap/>
          </w:tcPr>
          <w:p w14:paraId="287DB74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16口交换机</w:t>
            </w:r>
          </w:p>
        </w:tc>
        <w:tc>
          <w:tcPr>
            <w:tcW w:w="5779" w:type="dxa"/>
            <w:noWrap/>
          </w:tcPr>
          <w:p w14:paraId="054B5D2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千兆交换机</w:t>
            </w:r>
          </w:p>
        </w:tc>
        <w:tc>
          <w:tcPr>
            <w:tcW w:w="773" w:type="dxa"/>
            <w:noWrap/>
          </w:tcPr>
          <w:p w14:paraId="4967280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2FA5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tcPr>
          <w:p w14:paraId="673400F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w:t>
            </w:r>
          </w:p>
        </w:tc>
        <w:tc>
          <w:tcPr>
            <w:tcW w:w="1536" w:type="dxa"/>
            <w:noWrap/>
          </w:tcPr>
          <w:p w14:paraId="0BAA3AD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光纤收发器</w:t>
            </w:r>
          </w:p>
        </w:tc>
        <w:tc>
          <w:tcPr>
            <w:tcW w:w="5779" w:type="dxa"/>
            <w:noWrap/>
          </w:tcPr>
          <w:p w14:paraId="0978C2E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千兆光纤收发器</w:t>
            </w:r>
          </w:p>
        </w:tc>
        <w:tc>
          <w:tcPr>
            <w:tcW w:w="773" w:type="dxa"/>
            <w:noWrap/>
          </w:tcPr>
          <w:p w14:paraId="17831BE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13对</w:t>
            </w:r>
          </w:p>
        </w:tc>
      </w:tr>
    </w:tbl>
    <w:p w14:paraId="06E71166">
      <w:pPr>
        <w:pStyle w:val="30"/>
        <w:spacing w:line="360" w:lineRule="auto"/>
        <w:outlineLvl w:val="4"/>
        <w:rPr>
          <w:rFonts w:ascii="仿宋" w:hAnsi="仿宋" w:eastAsia="仿宋" w:cs="仿宋"/>
          <w:color w:val="000000"/>
          <w:sz w:val="24"/>
          <w:szCs w:val="22"/>
        </w:rPr>
      </w:pPr>
      <w:r>
        <w:rPr>
          <w:rFonts w:hint="eastAsia" w:ascii="仿宋" w:hAnsi="仿宋" w:eastAsia="仿宋" w:cs="仿宋"/>
          <w:color w:val="000000"/>
          <w:sz w:val="24"/>
          <w:szCs w:val="22"/>
          <w:lang w:eastAsia="zh-CN"/>
        </w:rPr>
        <w:t>Ⅲ</w:t>
      </w:r>
      <w:r>
        <w:rPr>
          <w:rFonts w:hint="eastAsia" w:ascii="仿宋" w:hAnsi="仿宋" w:eastAsia="仿宋" w:cs="仿宋"/>
          <w:color w:val="000000"/>
          <w:sz w:val="24"/>
          <w:szCs w:val="22"/>
        </w:rPr>
        <w:t>综合布线子系统</w:t>
      </w:r>
    </w:p>
    <w:p w14:paraId="63780AED">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档案馆综合布线系统包含网络与语音两个部分。网络数据干线均采用8/12芯多模光纤传输，语音干线采用4芯单模光纤传输。语音、网络数据水平层采用六类非屏蔽双绞线传输；工作区采用配套六类非屏蔽产品。其中三层数据机房内的线缆外皮采用低烟无卤、阻燃标准。详见图纸</w:t>
      </w:r>
    </w:p>
    <w:p w14:paraId="4034EB48">
      <w:pPr>
        <w:pStyle w:val="30"/>
        <w:spacing w:line="360" w:lineRule="auto"/>
        <w:outlineLvl w:val="4"/>
        <w:rPr>
          <w:rFonts w:ascii="仿宋" w:hAnsi="仿宋" w:eastAsia="仿宋" w:cs="仿宋"/>
          <w:color w:val="000000"/>
          <w:sz w:val="24"/>
          <w:szCs w:val="22"/>
        </w:rPr>
      </w:pPr>
      <w:r>
        <w:rPr>
          <w:rFonts w:hint="eastAsia" w:ascii="仿宋" w:hAnsi="仿宋" w:eastAsia="仿宋" w:cs="仿宋"/>
          <w:color w:val="000000"/>
          <w:sz w:val="24"/>
          <w:szCs w:val="22"/>
        </w:rPr>
        <w:t>IV有线电视子系统</w:t>
      </w:r>
    </w:p>
    <w:p w14:paraId="3DD65BF7">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有线电视采用光纤架构，系统采用24芯光纤入户，接入地下二层弱电机房，机房内配置有线电视信号接收转发设备。再由地下二层机房向有线电视布置点位敷设光纤。前端设置55寸电视及有线电视机顶盒与光缆连接。前端电视根据布置场景不同选择安装方式。有线电视采用光纤架构。</w:t>
      </w:r>
    </w:p>
    <w:tbl>
      <w:tblPr>
        <w:tblStyle w:val="45"/>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536"/>
        <w:gridCol w:w="5779"/>
        <w:gridCol w:w="773"/>
      </w:tblGrid>
      <w:tr w14:paraId="0185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7F79B3D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序号</w:t>
            </w:r>
          </w:p>
        </w:tc>
        <w:tc>
          <w:tcPr>
            <w:tcW w:w="1536" w:type="dxa"/>
            <w:noWrap/>
            <w:vAlign w:val="center"/>
          </w:tcPr>
          <w:p w14:paraId="14B767F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设备名称</w:t>
            </w:r>
          </w:p>
        </w:tc>
        <w:tc>
          <w:tcPr>
            <w:tcW w:w="5779" w:type="dxa"/>
            <w:noWrap/>
          </w:tcPr>
          <w:p w14:paraId="580E915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★基本参数</w:t>
            </w:r>
          </w:p>
        </w:tc>
        <w:tc>
          <w:tcPr>
            <w:tcW w:w="773" w:type="dxa"/>
            <w:noWrap/>
          </w:tcPr>
          <w:p w14:paraId="1D513E4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备注</w:t>
            </w:r>
          </w:p>
        </w:tc>
      </w:tr>
      <w:tr w14:paraId="4E83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tcPr>
          <w:p w14:paraId="7B0A6B0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w:t>
            </w:r>
          </w:p>
        </w:tc>
        <w:tc>
          <w:tcPr>
            <w:tcW w:w="1536" w:type="dxa"/>
            <w:noWrap/>
          </w:tcPr>
          <w:p w14:paraId="4A4B5C5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OLT</w:t>
            </w:r>
          </w:p>
        </w:tc>
        <w:tc>
          <w:tcPr>
            <w:tcW w:w="5779" w:type="dxa"/>
            <w:noWrap/>
          </w:tcPr>
          <w:p w14:paraId="7699657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业务盘数 ≥2个</w:t>
            </w:r>
          </w:p>
          <w:p w14:paraId="19B237F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最大PON口数 整机支持≥8个EPON端口</w:t>
            </w:r>
          </w:p>
          <w:p w14:paraId="70459A5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分ç槅讃明比≥ 0.086111111</w:t>
            </w:r>
          </w:p>
          <w:p w14:paraId="2CD9D6A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电源 AC220V供电(100V~240V)</w:t>
            </w:r>
          </w:p>
          <w:p w14:paraId="1E20C17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功耗 &lt;85W</w:t>
            </w:r>
          </w:p>
          <w:p w14:paraId="00F1BF2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重量 &lt;14KG</w:t>
            </w:r>
          </w:p>
          <w:p w14:paraId="48D278B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EDFA输入光功率 -5~+10dBm</w:t>
            </w:r>
          </w:p>
          <w:p w14:paraId="1BDD46E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FDFA +13.8~+17.8dBm</w:t>
            </w:r>
          </w:p>
          <w:p w14:paraId="2CD4697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输出光功率 (可调，默认17-17.3dBm</w:t>
            </w:r>
          </w:p>
        </w:tc>
        <w:tc>
          <w:tcPr>
            <w:tcW w:w="773" w:type="dxa"/>
            <w:noWrap/>
          </w:tcPr>
          <w:p w14:paraId="447F953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43E3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tcPr>
          <w:p w14:paraId="5DEBE38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w:t>
            </w:r>
          </w:p>
        </w:tc>
        <w:tc>
          <w:tcPr>
            <w:tcW w:w="1536" w:type="dxa"/>
            <w:noWrap/>
          </w:tcPr>
          <w:p w14:paraId="697ED3F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机顶盒</w:t>
            </w:r>
          </w:p>
        </w:tc>
        <w:tc>
          <w:tcPr>
            <w:tcW w:w="5779" w:type="dxa"/>
            <w:noWrap/>
          </w:tcPr>
          <w:p w14:paraId="1907360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4K智能数字有线机顶盒</w:t>
            </w:r>
          </w:p>
        </w:tc>
        <w:tc>
          <w:tcPr>
            <w:tcW w:w="773" w:type="dxa"/>
            <w:noWrap/>
          </w:tcPr>
          <w:p w14:paraId="5713CEC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20套</w:t>
            </w:r>
          </w:p>
        </w:tc>
      </w:tr>
      <w:tr w14:paraId="2EDC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tcPr>
          <w:p w14:paraId="4359FB2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w:t>
            </w:r>
          </w:p>
        </w:tc>
        <w:tc>
          <w:tcPr>
            <w:tcW w:w="1536" w:type="dxa"/>
            <w:noWrap/>
          </w:tcPr>
          <w:p w14:paraId="535A53C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55英寸电视机</w:t>
            </w:r>
          </w:p>
        </w:tc>
        <w:tc>
          <w:tcPr>
            <w:tcW w:w="5779" w:type="dxa"/>
            <w:noWrap/>
          </w:tcPr>
          <w:p w14:paraId="25587D7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分辨率： 支持4K（3840*2160）</w:t>
            </w:r>
          </w:p>
          <w:p w14:paraId="3C70849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屏幕比例： 16:09</w:t>
            </w:r>
          </w:p>
          <w:p w14:paraId="4FE2EF2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背光方式 ：直下式/DLED</w:t>
            </w:r>
          </w:p>
          <w:p w14:paraId="25E2A56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刷新率 ：≥120Hz</w:t>
            </w:r>
          </w:p>
          <w:p w14:paraId="78CC2FB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响应时间：≥8ms</w:t>
            </w:r>
          </w:p>
          <w:p w14:paraId="5D329F8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屏幕亮度：≥800cd/㎡</w:t>
            </w:r>
          </w:p>
          <w:p w14:paraId="162F0D8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广色域 ：≥130%sRGB</w:t>
            </w:r>
          </w:p>
          <w:p w14:paraId="216D6EF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扬声器 ：≥30W</w:t>
            </w:r>
          </w:p>
          <w:p w14:paraId="5FBE65D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CPU ：≥四核</w:t>
            </w:r>
          </w:p>
          <w:p w14:paraId="29BF4BF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RAM：≥ 3GB</w:t>
            </w:r>
          </w:p>
          <w:p w14:paraId="2CDD9B1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ROM ：≥64GB</w:t>
            </w:r>
          </w:p>
          <w:p w14:paraId="57393BC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 xml:space="preserve">支持人工智能语音 </w:t>
            </w:r>
          </w:p>
          <w:p w14:paraId="42B1A07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网络功能 ：支持有线/WiFi</w:t>
            </w:r>
          </w:p>
        </w:tc>
        <w:tc>
          <w:tcPr>
            <w:tcW w:w="773" w:type="dxa"/>
            <w:noWrap/>
          </w:tcPr>
          <w:p w14:paraId="58F3FE1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4套</w:t>
            </w:r>
          </w:p>
        </w:tc>
      </w:tr>
    </w:tbl>
    <w:p w14:paraId="3ADACBE8"/>
    <w:p w14:paraId="79432228">
      <w:pPr>
        <w:pStyle w:val="30"/>
        <w:spacing w:line="360" w:lineRule="auto"/>
        <w:outlineLvl w:val="4"/>
        <w:rPr>
          <w:rFonts w:ascii="仿宋" w:hAnsi="仿宋" w:eastAsia="仿宋" w:cs="仿宋"/>
          <w:color w:val="000000"/>
          <w:sz w:val="24"/>
          <w:szCs w:val="22"/>
        </w:rPr>
      </w:pPr>
      <w:r>
        <w:rPr>
          <w:rFonts w:hint="eastAsia" w:ascii="仿宋" w:hAnsi="仿宋" w:eastAsia="仿宋" w:cs="仿宋"/>
          <w:color w:val="000000"/>
          <w:sz w:val="24"/>
          <w:szCs w:val="22"/>
        </w:rPr>
        <w:t>V电梯五方对讲子系统</w:t>
      </w:r>
    </w:p>
    <w:p w14:paraId="010464CE">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档案馆内共有三部电梯，需针对三电梯设置五方对讲系统。当乘客在任何紧急情况下(包括停电)，轿厢内乘客启动对讲系统，应能与外界取得联系；在电梯检修测试时，电梯轿厢、轿底、轿顶、电梯控制机房、管理中心之间能够实现对讲功能。</w:t>
      </w:r>
    </w:p>
    <w:tbl>
      <w:tblPr>
        <w:tblStyle w:val="45"/>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536"/>
        <w:gridCol w:w="5779"/>
        <w:gridCol w:w="773"/>
      </w:tblGrid>
      <w:tr w14:paraId="715A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4BE505B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序号</w:t>
            </w:r>
          </w:p>
        </w:tc>
        <w:tc>
          <w:tcPr>
            <w:tcW w:w="1536" w:type="dxa"/>
            <w:noWrap/>
            <w:vAlign w:val="center"/>
          </w:tcPr>
          <w:p w14:paraId="0860B55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设备名称</w:t>
            </w:r>
          </w:p>
        </w:tc>
        <w:tc>
          <w:tcPr>
            <w:tcW w:w="5779" w:type="dxa"/>
            <w:noWrap/>
          </w:tcPr>
          <w:p w14:paraId="41EFC91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★基本参数</w:t>
            </w:r>
          </w:p>
        </w:tc>
        <w:tc>
          <w:tcPr>
            <w:tcW w:w="773" w:type="dxa"/>
            <w:noWrap/>
          </w:tcPr>
          <w:p w14:paraId="121783B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备注</w:t>
            </w:r>
          </w:p>
        </w:tc>
      </w:tr>
      <w:tr w14:paraId="0A7A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4FC9138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w:t>
            </w:r>
          </w:p>
        </w:tc>
        <w:tc>
          <w:tcPr>
            <w:tcW w:w="1536" w:type="dxa"/>
            <w:noWrap/>
            <w:vAlign w:val="center"/>
          </w:tcPr>
          <w:p w14:paraId="2C4A188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无线主机</w:t>
            </w:r>
          </w:p>
        </w:tc>
        <w:tc>
          <w:tcPr>
            <w:tcW w:w="5779" w:type="dxa"/>
            <w:noWrap/>
          </w:tcPr>
          <w:p w14:paraId="6278B11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1、主机采用无线或无线网信号传输。</w:t>
            </w:r>
          </w:p>
          <w:p w14:paraId="174C5E7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2、主机可指定回拨任何一部电梯，具备电话本功能，无需做对照表进行记录。</w:t>
            </w:r>
          </w:p>
          <w:p w14:paraId="15CC4A6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3、主机可向所有电梯进行群呼广播。</w:t>
            </w:r>
          </w:p>
          <w:p w14:paraId="0154372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4、主机来电提示语音，可精确播报任意一部电梯位置和显示，第一时间就可以确认 呼叫电梯的精准位置，免去查找对照表的流程。</w:t>
            </w:r>
          </w:p>
          <w:p w14:paraId="0B5529E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5、主机具备占线检测功能，在接听通话中，其他电梯呼入后主机会提示有电梯正在 呼 入 。</w:t>
            </w:r>
          </w:p>
          <w:p w14:paraId="69EBE0F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6、主机接收到电梯呼叫信号后，提起手柄即可接听对讲，放下手柄系统自动挂断。</w:t>
            </w:r>
          </w:p>
          <w:p w14:paraId="3449558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工作电压：≥DC12V；工作电流：≥2.3A—2.6A；待机电压：≥≥DC12VA；待机电流：≥150~170mA；工作温度：-30℃~70℃；网络协议：TCP/IP；传输方式：无线；</w:t>
            </w:r>
          </w:p>
        </w:tc>
        <w:tc>
          <w:tcPr>
            <w:tcW w:w="773" w:type="dxa"/>
            <w:noWrap/>
          </w:tcPr>
          <w:p w14:paraId="1785B5F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50D3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trPr>
        <w:tc>
          <w:tcPr>
            <w:tcW w:w="967" w:type="dxa"/>
            <w:noWrap/>
            <w:vAlign w:val="center"/>
          </w:tcPr>
          <w:p w14:paraId="0B848C9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w:t>
            </w:r>
          </w:p>
        </w:tc>
        <w:tc>
          <w:tcPr>
            <w:tcW w:w="1536" w:type="dxa"/>
            <w:noWrap/>
            <w:vAlign w:val="center"/>
          </w:tcPr>
          <w:p w14:paraId="063C8F0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对讲分机</w:t>
            </w:r>
          </w:p>
        </w:tc>
        <w:tc>
          <w:tcPr>
            <w:tcW w:w="5779" w:type="dxa"/>
            <w:noWrap/>
          </w:tcPr>
          <w:p w14:paraId="12D67DA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1、每台分机可带1~4部电梯，每台电梯呼叫后轿厢内会播报安抚语音。</w:t>
            </w:r>
          </w:p>
          <w:p w14:paraId="18699E0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2、任何分机的电梯编号都可随意编写。</w:t>
            </w:r>
          </w:p>
          <w:p w14:paraId="08D4E5D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3、分机采用高保真音质系统，使对讲声音更清晰且无杂音。</w:t>
            </w:r>
          </w:p>
          <w:p w14:paraId="69E480A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4、分机采用物联网信号传输，无距离限制，永久不会串频。</w:t>
            </w:r>
          </w:p>
          <w:p w14:paraId="3F7AAF0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5、每台分机带的所有电梯都可同时向监控室呼叫对讲。</w:t>
            </w:r>
          </w:p>
          <w:p w14:paraId="1568438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6、无对码时，通电后连接主机可平台对码。</w:t>
            </w:r>
          </w:p>
          <w:p w14:paraId="37DF1EC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工作电压：≥DC12V；工作电流：≥2.3A—2.6A；待机电压：≥≥DC12VA；待机电流：≥140~160mA；工作温度：-30℃~70℃；网络协议：TCP/IP；传输方式：无线；对码方式：平台组网；音量：≥60db</w:t>
            </w:r>
          </w:p>
        </w:tc>
        <w:tc>
          <w:tcPr>
            <w:tcW w:w="773" w:type="dxa"/>
            <w:noWrap/>
          </w:tcPr>
          <w:p w14:paraId="5E8F890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r>
      <w:tr w14:paraId="6BC9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1317043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w:t>
            </w:r>
          </w:p>
        </w:tc>
        <w:tc>
          <w:tcPr>
            <w:tcW w:w="1536" w:type="dxa"/>
            <w:noWrap/>
            <w:vAlign w:val="center"/>
          </w:tcPr>
          <w:p w14:paraId="496DAA2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UPS电源</w:t>
            </w:r>
          </w:p>
        </w:tc>
        <w:tc>
          <w:tcPr>
            <w:tcW w:w="5779" w:type="dxa"/>
            <w:noWrap/>
          </w:tcPr>
          <w:p w14:paraId="28AEA00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工作电压：≥DC12V；工作电流：≥2.6A；待机电压：≥DC12V；待机电流：≥180mA</w:t>
            </w:r>
          </w:p>
          <w:p w14:paraId="0D8D30A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工作温度：-30℃~70℃</w:t>
            </w:r>
          </w:p>
        </w:tc>
        <w:tc>
          <w:tcPr>
            <w:tcW w:w="773" w:type="dxa"/>
            <w:noWrap/>
          </w:tcPr>
          <w:p w14:paraId="139404E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r>
      <w:tr w14:paraId="33F4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tcPr>
          <w:p w14:paraId="1D4078F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w:t>
            </w:r>
          </w:p>
        </w:tc>
        <w:tc>
          <w:tcPr>
            <w:tcW w:w="0" w:type="auto"/>
            <w:noWrap/>
          </w:tcPr>
          <w:p w14:paraId="15C0D55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轿厢通话器</w:t>
            </w:r>
          </w:p>
        </w:tc>
        <w:tc>
          <w:tcPr>
            <w:tcW w:w="0" w:type="auto"/>
            <w:noWrap/>
          </w:tcPr>
          <w:p w14:paraId="00E5996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工作电压 ：≥DC-12V</w:t>
            </w:r>
          </w:p>
          <w:p w14:paraId="040EEEB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工作电流 ：≥12mA</w:t>
            </w:r>
          </w:p>
          <w:p w14:paraId="71356C8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待机电压 ：≥DC-2～4V</w:t>
            </w:r>
          </w:p>
          <w:p w14:paraId="2CE9278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待机电流 ：≥3mA</w:t>
            </w:r>
          </w:p>
          <w:p w14:paraId="51A312F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工作温度范围： -30℃～70℃</w:t>
            </w:r>
          </w:p>
          <w:p w14:paraId="7029844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传输方式 ：两线</w:t>
            </w:r>
          </w:p>
        </w:tc>
        <w:tc>
          <w:tcPr>
            <w:tcW w:w="0" w:type="auto"/>
            <w:noWrap/>
          </w:tcPr>
          <w:p w14:paraId="5F5B497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3台</w:t>
            </w:r>
          </w:p>
        </w:tc>
      </w:tr>
      <w:tr w14:paraId="7CB4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tcPr>
          <w:p w14:paraId="4AE220D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w:t>
            </w:r>
          </w:p>
        </w:tc>
        <w:tc>
          <w:tcPr>
            <w:tcW w:w="0" w:type="auto"/>
            <w:noWrap/>
          </w:tcPr>
          <w:p w14:paraId="468D0BB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机房</w:t>
            </w:r>
          </w:p>
          <w:p w14:paraId="2D737BB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电话</w:t>
            </w:r>
          </w:p>
        </w:tc>
        <w:tc>
          <w:tcPr>
            <w:tcW w:w="0" w:type="auto"/>
            <w:noWrap/>
          </w:tcPr>
          <w:p w14:paraId="09F8928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工作电压 ：≥DC-12V</w:t>
            </w:r>
          </w:p>
          <w:p w14:paraId="55DC5CB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工作电流 ：≥12mA</w:t>
            </w:r>
          </w:p>
          <w:p w14:paraId="77889C5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待机电压 ：≥DC-2～4V</w:t>
            </w:r>
          </w:p>
          <w:p w14:paraId="019433B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待机电流 ：≥3mA</w:t>
            </w:r>
          </w:p>
          <w:p w14:paraId="04432E7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工作温度范围： -30℃～70℃</w:t>
            </w:r>
          </w:p>
          <w:p w14:paraId="759C633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传输方式 ：≥三线</w:t>
            </w:r>
          </w:p>
        </w:tc>
        <w:tc>
          <w:tcPr>
            <w:tcW w:w="0" w:type="auto"/>
            <w:noWrap/>
          </w:tcPr>
          <w:p w14:paraId="74F5389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2台</w:t>
            </w:r>
          </w:p>
        </w:tc>
      </w:tr>
      <w:tr w14:paraId="1F08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tcPr>
          <w:p w14:paraId="31509D4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w:t>
            </w:r>
          </w:p>
        </w:tc>
        <w:tc>
          <w:tcPr>
            <w:tcW w:w="0" w:type="auto"/>
            <w:noWrap/>
          </w:tcPr>
          <w:p w14:paraId="35C2CED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轿顶、底坑</w:t>
            </w:r>
          </w:p>
          <w:p w14:paraId="3B5191C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通话器</w:t>
            </w:r>
          </w:p>
        </w:tc>
        <w:tc>
          <w:tcPr>
            <w:tcW w:w="0" w:type="auto"/>
            <w:noWrap/>
          </w:tcPr>
          <w:p w14:paraId="2E96CC8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工作电压 ：≥DC-12V</w:t>
            </w:r>
          </w:p>
          <w:p w14:paraId="648A44B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工作电流 ：≥12mA</w:t>
            </w:r>
          </w:p>
          <w:p w14:paraId="20F9A6C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待机电压 ：≥DC-2～4V</w:t>
            </w:r>
          </w:p>
          <w:p w14:paraId="2148066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待机电流 ：≥3mA</w:t>
            </w:r>
          </w:p>
          <w:p w14:paraId="313F75B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工作温度范围： -30℃～70℃</w:t>
            </w:r>
          </w:p>
          <w:p w14:paraId="2CC299B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传输方式 ：两线</w:t>
            </w:r>
          </w:p>
        </w:tc>
        <w:tc>
          <w:tcPr>
            <w:tcW w:w="0" w:type="auto"/>
            <w:noWrap/>
          </w:tcPr>
          <w:p w14:paraId="7912DDB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3套</w:t>
            </w:r>
          </w:p>
        </w:tc>
      </w:tr>
    </w:tbl>
    <w:p w14:paraId="13109C27"/>
    <w:p w14:paraId="5B6D8D98">
      <w:pPr>
        <w:pStyle w:val="30"/>
        <w:spacing w:line="360" w:lineRule="auto"/>
        <w:outlineLvl w:val="4"/>
        <w:rPr>
          <w:rFonts w:ascii="仿宋" w:hAnsi="仿宋" w:eastAsia="仿宋" w:cs="仿宋"/>
          <w:color w:val="000000"/>
          <w:sz w:val="24"/>
          <w:szCs w:val="22"/>
        </w:rPr>
      </w:pPr>
      <w:r>
        <w:rPr>
          <w:rFonts w:hint="eastAsia" w:ascii="仿宋" w:hAnsi="仿宋" w:eastAsia="仿宋" w:cs="仿宋"/>
          <w:color w:val="000000"/>
          <w:sz w:val="24"/>
          <w:szCs w:val="22"/>
        </w:rPr>
        <w:t>VI机房建设子系统</w:t>
      </w:r>
    </w:p>
    <w:p w14:paraId="36C51379">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档案馆机房建设已由新馆建设项目总承包方按照设计院图纸建设完成，但仍未达到信息化系统机房的建设标准。因此本次工程针对机房未完善建设进行完善工作，包括：无尘地面完善、防雷接地完善、机房机柜完善、机房供配电完善。</w:t>
      </w:r>
    </w:p>
    <w:p w14:paraId="6688C63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机房建设子系统分为安防监控中心、服务器机房、弱电机房三部分。每个机房需按照</w:t>
      </w:r>
      <w:r>
        <w:rPr>
          <w:rFonts w:hint="eastAsia" w:ascii="仿宋" w:hAnsi="仿宋" w:eastAsia="仿宋" w:cs="仿宋"/>
          <w:b/>
          <w:bCs/>
          <w:color w:val="000000"/>
          <w:sz w:val="24"/>
          <w:szCs w:val="22"/>
        </w:rPr>
        <w:t>《电子信息系统机房设计规范》GB50174-2017</w:t>
      </w:r>
      <w:r>
        <w:rPr>
          <w:rFonts w:hint="eastAsia" w:ascii="仿宋" w:hAnsi="仿宋" w:eastAsia="仿宋" w:cs="仿宋"/>
          <w:color w:val="000000"/>
          <w:sz w:val="24"/>
          <w:szCs w:val="22"/>
        </w:rPr>
        <w:t>要求实施。保障设备设施安全运行。</w:t>
      </w:r>
    </w:p>
    <w:p w14:paraId="79EA27FA">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档案馆机房建设按照承载系统划分为四个区域机房，划分如下：</w:t>
      </w:r>
    </w:p>
    <w:p w14:paraId="2717C5AE">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服务器机房设置在档案馆三层是承载档案馆政务外网、局域网核心设备，以及正在筹备建设的数字档案馆网络设备、存储设备、服务器等核心设备的主要机房。</w:t>
      </w:r>
    </w:p>
    <w:p w14:paraId="5FF0048D">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安防监控中心机房设置在档案馆一层是档案馆建筑安防、楼宇自控、综合管理凭条系统等的核心机房，负责承载设备网核心设备、视频监控系统存储、显示、控制、报警系统、门禁系统、电子巡更系统、楼宇自控系统核心设备等等的综合机房。</w:t>
      </w:r>
    </w:p>
    <w:p w14:paraId="7A211352">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弱电机房设置在档案馆地下二层是承载UPS、语音电话、有线电视等系统的专用机房。</w:t>
      </w:r>
    </w:p>
    <w:p w14:paraId="204ADF8E">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配线间机房设置在档案馆各层弱电竖井又称配线间。负责承载三大网络系统的接入层设备以及各个子系统的接入层设备。如：控制器、采集器、交换机等设备。</w:t>
      </w:r>
    </w:p>
    <w:p w14:paraId="4C5C40FA">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机房地面：为了设备的长期稳定使用。本次项目针对机房地面做除尘处理。采用地面喷涂防尘漆方式（静电地板利旧处理，施工方需在处理地面前进行拆除，施工完成后恢复静电地板安装）。</w:t>
      </w:r>
    </w:p>
    <w:p w14:paraId="535CFC6D">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机房空调：服务器</w:t>
      </w:r>
      <w:r>
        <w:rPr>
          <w:rFonts w:hint="eastAsia" w:ascii="仿宋" w:hAnsi="仿宋" w:eastAsia="仿宋" w:cs="仿宋"/>
          <w:b/>
          <w:bCs/>
          <w:color w:val="000000"/>
          <w:sz w:val="24"/>
          <w:szCs w:val="22"/>
          <w:lang w:eastAsia="zh-CN"/>
        </w:rPr>
        <w:t>机房</w:t>
      </w:r>
      <w:r>
        <w:rPr>
          <w:rFonts w:hint="eastAsia" w:ascii="仿宋" w:hAnsi="仿宋" w:eastAsia="仿宋" w:cs="仿宋"/>
          <w:b/>
          <w:bCs/>
          <w:color w:val="000000"/>
          <w:sz w:val="24"/>
          <w:szCs w:val="22"/>
        </w:rPr>
        <w:t>已安装完成，安防值班室机房、地下二层弱电机房空调采用利旧形式，从三层计算机机房将室内机从三层计算机机房拆除并分别移至安防值班室（连同底座）、弱电机房（连同底座），室外机安装位置不变，将室内机与室外机连接的铜管、出水管、电缆等从三层分别移至一层和地下二层并与设备连接。保障移机后空调正常使用，且功能不变。</w:t>
      </w:r>
    </w:p>
    <w:p w14:paraId="126C6641">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机房机柜：根据各机房使用要求，安装机柜（详见图纸）。</w:t>
      </w:r>
    </w:p>
    <w:p w14:paraId="1D26E1D9">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机房防雷接地：根据机房布置情况针对机房设备柜会进行等电位连接（详见图纸）。</w:t>
      </w:r>
    </w:p>
    <w:p w14:paraId="21233E9C">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机房动环：三机房设置一套机房动环监控系统，针对各个机房空调、用电、UPS、温湿度、漏水、烟雾等情况进行检测与管理（详见图纸）。</w:t>
      </w:r>
    </w:p>
    <w:p w14:paraId="1D925A9F">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机房备电：服务器机房设置一套UPS供电系统，备电时间2小时。弱电系统设置UPS供电系统，备电时间半小时。总包方提供30KVA UPS一台，40KV AUPS一台。100AH电池145块。UPS设备安装于地下二层弱电机房。（详见设计说明及图纸）</w:t>
      </w:r>
    </w:p>
    <w:p w14:paraId="32CC049C">
      <w:pPr>
        <w:pStyle w:val="30"/>
        <w:numPr>
          <w:ilvl w:val="0"/>
          <w:numId w:val="19"/>
        </w:numPr>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机房</w:t>
      </w:r>
    </w:p>
    <w:tbl>
      <w:tblPr>
        <w:tblStyle w:val="45"/>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536"/>
        <w:gridCol w:w="5779"/>
        <w:gridCol w:w="773"/>
      </w:tblGrid>
      <w:tr w14:paraId="3AA4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3F58CE2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序号</w:t>
            </w:r>
          </w:p>
        </w:tc>
        <w:tc>
          <w:tcPr>
            <w:tcW w:w="1536" w:type="dxa"/>
            <w:noWrap/>
            <w:vAlign w:val="center"/>
          </w:tcPr>
          <w:p w14:paraId="5DEC1D1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设备名称</w:t>
            </w:r>
          </w:p>
        </w:tc>
        <w:tc>
          <w:tcPr>
            <w:tcW w:w="5779" w:type="dxa"/>
            <w:noWrap/>
          </w:tcPr>
          <w:p w14:paraId="391F151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★基本参数</w:t>
            </w:r>
          </w:p>
        </w:tc>
        <w:tc>
          <w:tcPr>
            <w:tcW w:w="773" w:type="dxa"/>
            <w:noWrap/>
          </w:tcPr>
          <w:p w14:paraId="3F01AD2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备注</w:t>
            </w:r>
          </w:p>
        </w:tc>
      </w:tr>
      <w:tr w14:paraId="0262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51360D7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w:t>
            </w:r>
          </w:p>
        </w:tc>
        <w:tc>
          <w:tcPr>
            <w:tcW w:w="1536" w:type="dxa"/>
            <w:noWrap/>
            <w:vAlign w:val="center"/>
          </w:tcPr>
          <w:p w14:paraId="02BB60E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机柜</w:t>
            </w:r>
          </w:p>
        </w:tc>
        <w:tc>
          <w:tcPr>
            <w:tcW w:w="5779" w:type="dxa"/>
            <w:noWrap/>
            <w:vAlign w:val="center"/>
          </w:tcPr>
          <w:p w14:paraId="7DF097A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长宽高：1000*800*2000mm；承载静载：≥800KG；标准：符合GB/T3047.2-92标准兼容19’/国际标准/ 公制标准/ETSI标准；表面处理：水洗/脱脂/磷化/喷塑；机柜容量：42U；安装梁厚度：≥1.5mm；主要材料：SPCC优质</w:t>
            </w:r>
            <w:r>
              <w:rPr>
                <w:rFonts w:hint="eastAsia" w:ascii="仿宋" w:hAnsi="仿宋" w:eastAsia="仿宋" w:cs="仿宋"/>
                <w:color w:val="000000"/>
                <w:sz w:val="24"/>
                <w:szCs w:val="22"/>
                <w:lang w:eastAsia="zh-CN"/>
              </w:rPr>
              <w:t>冷轧</w:t>
            </w:r>
            <w:r>
              <w:rPr>
                <w:rFonts w:hint="eastAsia" w:ascii="仿宋" w:hAnsi="仿宋" w:eastAsia="仿宋" w:cs="仿宋"/>
                <w:color w:val="000000"/>
                <w:sz w:val="24"/>
                <w:szCs w:val="22"/>
              </w:rPr>
              <w:t>钢板制作；托盘：≥1.2mm；其它厚度：≥1.2mm；防护等级：IP20；方孔条厚度：≥2.0mm；高度：≥2.0M；颜色：黑色；配置：前后为网孔门</w:t>
            </w:r>
          </w:p>
        </w:tc>
        <w:tc>
          <w:tcPr>
            <w:tcW w:w="773" w:type="dxa"/>
            <w:noWrap/>
          </w:tcPr>
          <w:p w14:paraId="63E3B27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11套</w:t>
            </w:r>
          </w:p>
        </w:tc>
      </w:tr>
      <w:tr w14:paraId="660B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4F14E00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w:t>
            </w:r>
          </w:p>
        </w:tc>
        <w:tc>
          <w:tcPr>
            <w:tcW w:w="1536" w:type="dxa"/>
            <w:noWrap/>
            <w:vAlign w:val="center"/>
          </w:tcPr>
          <w:p w14:paraId="33B5EC9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机柜底座</w:t>
            </w:r>
          </w:p>
        </w:tc>
        <w:tc>
          <w:tcPr>
            <w:tcW w:w="5779" w:type="dxa"/>
            <w:noWrap/>
            <w:vAlign w:val="center"/>
          </w:tcPr>
          <w:p w14:paraId="1A9BCFC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方钢、角铁。现场制作。</w:t>
            </w:r>
          </w:p>
        </w:tc>
        <w:tc>
          <w:tcPr>
            <w:tcW w:w="773" w:type="dxa"/>
            <w:noWrap/>
          </w:tcPr>
          <w:p w14:paraId="5F584D5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11套</w:t>
            </w:r>
          </w:p>
        </w:tc>
      </w:tr>
      <w:tr w14:paraId="4645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6D02DB7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w:t>
            </w:r>
          </w:p>
        </w:tc>
        <w:tc>
          <w:tcPr>
            <w:tcW w:w="1536" w:type="dxa"/>
            <w:noWrap/>
            <w:vAlign w:val="center"/>
          </w:tcPr>
          <w:p w14:paraId="6CD3FAA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PDU</w:t>
            </w:r>
          </w:p>
        </w:tc>
        <w:tc>
          <w:tcPr>
            <w:tcW w:w="5779" w:type="dxa"/>
            <w:noWrap/>
            <w:vAlign w:val="center"/>
          </w:tcPr>
          <w:p w14:paraId="58648EB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3孔 8位 16A</w:t>
            </w:r>
          </w:p>
        </w:tc>
        <w:tc>
          <w:tcPr>
            <w:tcW w:w="773" w:type="dxa"/>
            <w:noWrap/>
          </w:tcPr>
          <w:p w14:paraId="6D8824C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70套</w:t>
            </w:r>
          </w:p>
        </w:tc>
      </w:tr>
      <w:tr w14:paraId="678C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78982B9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w:t>
            </w:r>
          </w:p>
        </w:tc>
        <w:tc>
          <w:tcPr>
            <w:tcW w:w="1536" w:type="dxa"/>
            <w:noWrap/>
            <w:vAlign w:val="center"/>
          </w:tcPr>
          <w:p w14:paraId="67AA5FE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24口配线架</w:t>
            </w:r>
          </w:p>
        </w:tc>
        <w:tc>
          <w:tcPr>
            <w:tcW w:w="5779" w:type="dxa"/>
            <w:noWrap/>
            <w:vAlign w:val="center"/>
          </w:tcPr>
          <w:p w14:paraId="5EE80AC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符合TIA/EIA568-C.2标准；</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模块化端口，支持单个端口拆装或更换；</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黑色烤漆钢质底板，保证模块卡接牢固；</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高强度PC+ABS材料端口面框；</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可更换</w:t>
            </w:r>
            <w:r>
              <w:rPr>
                <w:rFonts w:hint="eastAsia" w:ascii="仿宋" w:hAnsi="仿宋" w:eastAsia="仿宋" w:cs="仿宋"/>
                <w:color w:val="000000"/>
                <w:sz w:val="24"/>
                <w:szCs w:val="22"/>
                <w:lang w:eastAsia="zh-CN"/>
              </w:rPr>
              <w:t>标识</w:t>
            </w:r>
            <w:r>
              <w:rPr>
                <w:rFonts w:hint="eastAsia" w:ascii="仿宋" w:hAnsi="仿宋" w:eastAsia="仿宋" w:cs="仿宋"/>
                <w:color w:val="000000"/>
                <w:sz w:val="24"/>
                <w:szCs w:val="22"/>
              </w:rPr>
              <w:t>，方便端口管理；</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背面钢质镀锌理线架，提供牢固稳定的走线空间，保证不会因拉力导致打线脱落；</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含24个6类非屏蔽模块。</w:t>
            </w:r>
          </w:p>
        </w:tc>
        <w:tc>
          <w:tcPr>
            <w:tcW w:w="773" w:type="dxa"/>
            <w:noWrap/>
          </w:tcPr>
          <w:p w14:paraId="0A5052A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16套</w:t>
            </w:r>
          </w:p>
        </w:tc>
      </w:tr>
      <w:tr w14:paraId="5DAF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51067F2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w:t>
            </w:r>
          </w:p>
        </w:tc>
        <w:tc>
          <w:tcPr>
            <w:tcW w:w="1536" w:type="dxa"/>
            <w:noWrap/>
            <w:vAlign w:val="center"/>
          </w:tcPr>
          <w:p w14:paraId="05A0119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机柜连接线</w:t>
            </w:r>
          </w:p>
        </w:tc>
        <w:tc>
          <w:tcPr>
            <w:tcW w:w="5779" w:type="dxa"/>
            <w:noWrap/>
            <w:vAlign w:val="center"/>
          </w:tcPr>
          <w:p w14:paraId="2FEA43D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低盐无卤线缆，现场制作。</w:t>
            </w:r>
          </w:p>
        </w:tc>
        <w:tc>
          <w:tcPr>
            <w:tcW w:w="773" w:type="dxa"/>
            <w:noWrap/>
          </w:tcPr>
          <w:p w14:paraId="3D92AD2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196条</w:t>
            </w:r>
          </w:p>
        </w:tc>
      </w:tr>
      <w:tr w14:paraId="15B5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362430C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w:t>
            </w:r>
          </w:p>
        </w:tc>
        <w:tc>
          <w:tcPr>
            <w:tcW w:w="1536" w:type="dxa"/>
            <w:noWrap/>
            <w:vAlign w:val="center"/>
          </w:tcPr>
          <w:p w14:paraId="6D5697F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2米 跳线</w:t>
            </w:r>
          </w:p>
        </w:tc>
        <w:tc>
          <w:tcPr>
            <w:tcW w:w="5779" w:type="dxa"/>
            <w:noWrap/>
            <w:vAlign w:val="center"/>
          </w:tcPr>
          <w:p w14:paraId="7EAED79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符合TIA/EIA568-C.2标准；</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线材为多芯软线，确保良好的弯曲性能；</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水晶头为三件平排组装式，内置工字配件，将四对信号线完全隔离，确保跳线性能稳定；</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通过一次性注塑工艺，独特的射出结构，确保线缆弯曲最小半径；</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三叉水晶头簧片，确保与线材的最小接触电阻；</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水晶头簧片镀金50μ；</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支持250MHz带宽；</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100%的严格通过TIA Patch Cord Cat.6测试；</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插拔≥750次后，依然保证性能稳定；外护套采用LSZH材料。</w:t>
            </w:r>
          </w:p>
        </w:tc>
        <w:tc>
          <w:tcPr>
            <w:tcW w:w="773" w:type="dxa"/>
            <w:noWrap/>
          </w:tcPr>
          <w:p w14:paraId="1DEABBA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230条</w:t>
            </w:r>
          </w:p>
        </w:tc>
      </w:tr>
      <w:tr w14:paraId="17B9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5FED7C2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w:t>
            </w:r>
          </w:p>
        </w:tc>
        <w:tc>
          <w:tcPr>
            <w:tcW w:w="1536" w:type="dxa"/>
            <w:noWrap/>
            <w:vAlign w:val="center"/>
          </w:tcPr>
          <w:p w14:paraId="24F021E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5米 光纤跳线</w:t>
            </w:r>
          </w:p>
        </w:tc>
        <w:tc>
          <w:tcPr>
            <w:tcW w:w="5779" w:type="dxa"/>
            <w:noWrap/>
            <w:vAlign w:val="center"/>
          </w:tcPr>
          <w:p w14:paraId="7665CA1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产品符合YD/T 926.3标准；</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防火阻燃符合IEC 60332-1标准；</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无腐蚀性气体排放符合IEC 60754-2标准；</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低烟无卤排放符合IEC 61034-2标准；</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采用标准LC连接器；</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插入损耗小于0.3dB；</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回波损耗大于50dB；</w:t>
            </w:r>
          </w:p>
        </w:tc>
        <w:tc>
          <w:tcPr>
            <w:tcW w:w="773" w:type="dxa"/>
            <w:noWrap/>
          </w:tcPr>
          <w:p w14:paraId="34CFCFF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60条</w:t>
            </w:r>
          </w:p>
        </w:tc>
      </w:tr>
      <w:tr w14:paraId="6B99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7986F58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w:t>
            </w:r>
          </w:p>
        </w:tc>
        <w:tc>
          <w:tcPr>
            <w:tcW w:w="1536" w:type="dxa"/>
            <w:noWrap/>
            <w:vAlign w:val="center"/>
          </w:tcPr>
          <w:p w14:paraId="47D7D41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理线器</w:t>
            </w:r>
          </w:p>
        </w:tc>
        <w:tc>
          <w:tcPr>
            <w:tcW w:w="5779" w:type="dxa"/>
            <w:noWrap/>
            <w:vAlign w:val="center"/>
          </w:tcPr>
          <w:p w14:paraId="516A2B5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符合YD/T926.3、TIA/EIA568C和ISO/IEC 11801 标准；</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支持19”标准机柜/机架安装，高度1U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黑色烤漆SECC冷轧钢板，厚1.2mm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卡接式扣板，方便布线时拆装；</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独特的12条穿线槽设计，可与多种规格配线架搭配使用；</w:t>
            </w:r>
          </w:p>
        </w:tc>
        <w:tc>
          <w:tcPr>
            <w:tcW w:w="773" w:type="dxa"/>
            <w:noWrap/>
          </w:tcPr>
          <w:p w14:paraId="2755993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80套</w:t>
            </w:r>
          </w:p>
        </w:tc>
      </w:tr>
      <w:tr w14:paraId="1201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2D83FCF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w:t>
            </w:r>
          </w:p>
        </w:tc>
        <w:tc>
          <w:tcPr>
            <w:tcW w:w="1536" w:type="dxa"/>
            <w:noWrap/>
            <w:vAlign w:val="center"/>
          </w:tcPr>
          <w:p w14:paraId="6461BFF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数字档案馆强电列头柜</w:t>
            </w:r>
          </w:p>
        </w:tc>
        <w:tc>
          <w:tcPr>
            <w:tcW w:w="5779" w:type="dxa"/>
            <w:noWrap/>
            <w:vAlign w:val="center"/>
          </w:tcPr>
          <w:p w14:paraId="3292D2A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内置：NXM系列塑壳断路器、NXB-63系列小型断路器、防雷开关、防雷模块、7寸人机界面、工作电源、精密配电监控主模块、精密配电开关状态采集模块、精密配电电流采集模块、</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Ⅰ系列低压电流互感器（0.5级）、指示灯、熔断器体、端子、线材、铜排。</w:t>
            </w:r>
          </w:p>
        </w:tc>
        <w:tc>
          <w:tcPr>
            <w:tcW w:w="773" w:type="dxa"/>
            <w:noWrap/>
          </w:tcPr>
          <w:p w14:paraId="7F08BE7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1BE4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26F11E5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10</w:t>
            </w:r>
          </w:p>
        </w:tc>
        <w:tc>
          <w:tcPr>
            <w:tcW w:w="1536" w:type="dxa"/>
            <w:noWrap/>
            <w:vAlign w:val="center"/>
          </w:tcPr>
          <w:p w14:paraId="1ACFE59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机柜底座</w:t>
            </w:r>
          </w:p>
        </w:tc>
        <w:tc>
          <w:tcPr>
            <w:tcW w:w="5779" w:type="dxa"/>
            <w:noWrap/>
            <w:vAlign w:val="center"/>
          </w:tcPr>
          <w:p w14:paraId="5AC041A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方钢、角铁。现场制作。</w:t>
            </w:r>
          </w:p>
        </w:tc>
        <w:tc>
          <w:tcPr>
            <w:tcW w:w="773" w:type="dxa"/>
            <w:noWrap/>
          </w:tcPr>
          <w:p w14:paraId="4C2D7A7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21CE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6DD2ED1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11</w:t>
            </w:r>
          </w:p>
        </w:tc>
        <w:tc>
          <w:tcPr>
            <w:tcW w:w="1536" w:type="dxa"/>
            <w:noWrap/>
            <w:vAlign w:val="center"/>
          </w:tcPr>
          <w:p w14:paraId="0B2FC0F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16A面板/盒</w:t>
            </w:r>
          </w:p>
        </w:tc>
        <w:tc>
          <w:tcPr>
            <w:tcW w:w="5779" w:type="dxa"/>
            <w:noWrap/>
            <w:vAlign w:val="center"/>
          </w:tcPr>
          <w:p w14:paraId="0795269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16A</w:t>
            </w:r>
          </w:p>
        </w:tc>
        <w:tc>
          <w:tcPr>
            <w:tcW w:w="773" w:type="dxa"/>
            <w:noWrap/>
          </w:tcPr>
          <w:p w14:paraId="38BDD22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52套</w:t>
            </w:r>
          </w:p>
        </w:tc>
      </w:tr>
      <w:tr w14:paraId="00B8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1CA7891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12</w:t>
            </w:r>
          </w:p>
        </w:tc>
        <w:tc>
          <w:tcPr>
            <w:tcW w:w="1536" w:type="dxa"/>
            <w:noWrap/>
            <w:vAlign w:val="center"/>
          </w:tcPr>
          <w:p w14:paraId="338F5F0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等电位端子箱</w:t>
            </w:r>
          </w:p>
        </w:tc>
        <w:tc>
          <w:tcPr>
            <w:tcW w:w="5779" w:type="dxa"/>
            <w:noWrap/>
            <w:vAlign w:val="center"/>
          </w:tcPr>
          <w:p w14:paraId="46C69AD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内置30*3铜牌</w:t>
            </w:r>
          </w:p>
        </w:tc>
        <w:tc>
          <w:tcPr>
            <w:tcW w:w="773" w:type="dxa"/>
            <w:noWrap/>
          </w:tcPr>
          <w:p w14:paraId="108BFC8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9套</w:t>
            </w:r>
          </w:p>
        </w:tc>
      </w:tr>
      <w:tr w14:paraId="02B4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trPr>
        <w:tc>
          <w:tcPr>
            <w:tcW w:w="967" w:type="dxa"/>
            <w:noWrap/>
            <w:vAlign w:val="center"/>
          </w:tcPr>
          <w:p w14:paraId="52CB163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13</w:t>
            </w:r>
          </w:p>
        </w:tc>
        <w:tc>
          <w:tcPr>
            <w:tcW w:w="1536" w:type="dxa"/>
            <w:noWrap/>
            <w:vAlign w:val="center"/>
          </w:tcPr>
          <w:p w14:paraId="6C4B65A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安防中心操作台</w:t>
            </w:r>
          </w:p>
        </w:tc>
        <w:tc>
          <w:tcPr>
            <w:tcW w:w="5779" w:type="dxa"/>
            <w:noWrap/>
            <w:vAlign w:val="center"/>
          </w:tcPr>
          <w:p w14:paraId="53B782F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框架：</w:t>
            </w:r>
            <w:r>
              <w:rPr>
                <w:rFonts w:ascii="仿宋" w:hAnsi="仿宋" w:eastAsia="仿宋" w:cs="仿宋"/>
                <w:color w:val="000000"/>
                <w:sz w:val="24"/>
                <w:szCs w:val="22"/>
              </w:rPr>
              <w:t xml:space="preserve">1.2—1.5mm </w:t>
            </w:r>
            <w:r>
              <w:rPr>
                <w:rFonts w:hint="eastAsia" w:ascii="仿宋" w:hAnsi="仿宋" w:eastAsia="仿宋" w:cs="仿宋"/>
                <w:color w:val="000000"/>
                <w:sz w:val="24"/>
                <w:szCs w:val="22"/>
              </w:rPr>
              <w:t>优质冷轧钢板</w:t>
            </w:r>
          </w:p>
          <w:p w14:paraId="020ECDC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木面：E1级防火材料</w:t>
            </w:r>
          </w:p>
          <w:p w14:paraId="2DF2780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结构：钢木结合，框架结构，模块化设计，随意组合，无限延伸</w:t>
            </w:r>
          </w:p>
          <w:p w14:paraId="139216E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 xml:space="preserve">规格参数：长 </w:t>
            </w:r>
            <w:r>
              <w:rPr>
                <w:rFonts w:ascii="仿宋" w:hAnsi="仿宋" w:eastAsia="仿宋" w:cs="仿宋"/>
                <w:color w:val="000000"/>
                <w:sz w:val="24"/>
                <w:szCs w:val="22"/>
              </w:rPr>
              <w:t>1100mm*</w:t>
            </w:r>
            <w:r>
              <w:rPr>
                <w:rFonts w:hint="eastAsia" w:ascii="仿宋" w:hAnsi="仿宋" w:eastAsia="仿宋" w:cs="仿宋"/>
                <w:color w:val="000000"/>
                <w:sz w:val="24"/>
                <w:szCs w:val="22"/>
              </w:rPr>
              <w:t xml:space="preserve">宽 </w:t>
            </w:r>
            <w:r>
              <w:rPr>
                <w:rFonts w:ascii="仿宋" w:hAnsi="仿宋" w:eastAsia="仿宋" w:cs="仿宋"/>
                <w:color w:val="000000"/>
                <w:sz w:val="24"/>
                <w:szCs w:val="22"/>
              </w:rPr>
              <w:t>1100mm*</w:t>
            </w:r>
            <w:r>
              <w:rPr>
                <w:rFonts w:hint="eastAsia" w:ascii="仿宋" w:hAnsi="仿宋" w:eastAsia="仿宋" w:cs="仿宋"/>
                <w:color w:val="000000"/>
                <w:sz w:val="24"/>
                <w:szCs w:val="22"/>
              </w:rPr>
              <w:t xml:space="preserve">高 </w:t>
            </w:r>
            <w:r>
              <w:rPr>
                <w:rFonts w:ascii="仿宋" w:hAnsi="仿宋" w:eastAsia="仿宋" w:cs="仿宋"/>
                <w:color w:val="000000"/>
                <w:sz w:val="24"/>
                <w:szCs w:val="22"/>
              </w:rPr>
              <w:t>730mm</w:t>
            </w:r>
          </w:p>
          <w:p w14:paraId="5B17410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表面处理：酸洗、磷化、防锈处理、静电喷涂</w:t>
            </w:r>
          </w:p>
        </w:tc>
        <w:tc>
          <w:tcPr>
            <w:tcW w:w="773" w:type="dxa"/>
            <w:noWrap/>
          </w:tcPr>
          <w:p w14:paraId="3293127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6426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48D99D5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14</w:t>
            </w:r>
          </w:p>
        </w:tc>
        <w:tc>
          <w:tcPr>
            <w:tcW w:w="1536" w:type="dxa"/>
            <w:noWrap/>
            <w:vAlign w:val="center"/>
          </w:tcPr>
          <w:p w14:paraId="6A759E9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操作台椅子</w:t>
            </w:r>
          </w:p>
        </w:tc>
        <w:tc>
          <w:tcPr>
            <w:tcW w:w="5779" w:type="dxa"/>
            <w:noWrap/>
            <w:vAlign w:val="center"/>
          </w:tcPr>
          <w:p w14:paraId="093F357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面料材质：网布类别：转椅升降方式：气压升降扶手类型：固定扶手附加组件：带腰靠，带滚轮，调节式头枕靠背最大角度：120-155度(含)五星脚材质：锦纶/尼龙(聚酰胺纤维)</w:t>
            </w:r>
          </w:p>
        </w:tc>
        <w:tc>
          <w:tcPr>
            <w:tcW w:w="773" w:type="dxa"/>
            <w:noWrap/>
          </w:tcPr>
          <w:p w14:paraId="69EA70E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6套</w:t>
            </w:r>
          </w:p>
        </w:tc>
      </w:tr>
      <w:tr w14:paraId="1FE4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7086277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15</w:t>
            </w:r>
          </w:p>
        </w:tc>
        <w:tc>
          <w:tcPr>
            <w:tcW w:w="1536" w:type="dxa"/>
            <w:noWrap/>
            <w:vAlign w:val="center"/>
          </w:tcPr>
          <w:p w14:paraId="720C99F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安防监控中心/弱电机房机柜</w:t>
            </w:r>
          </w:p>
        </w:tc>
        <w:tc>
          <w:tcPr>
            <w:tcW w:w="5779" w:type="dxa"/>
            <w:noWrap/>
            <w:vAlign w:val="center"/>
          </w:tcPr>
          <w:p w14:paraId="12D5673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长宽高：600*800*2000mm；承载静载：≥800KG；标准：符合GB/T3047.2-92标准兼容19’/国际标准/ 公制标准/ETSI标准；表面处理：水洗/脱脂/磷化/喷塑；机柜容量：42U；安装梁厚度：≥1.5mm；主要材料：SPCC优质冷扎钢板制作；托盘：≥1.2mm；其它厚度：≥1.2mm；防护等级：IP20；方孔条厚度：≥2.0mm；高度：≥2.0M；颜色：黑色；配置：前后为网孔门</w:t>
            </w:r>
          </w:p>
        </w:tc>
        <w:tc>
          <w:tcPr>
            <w:tcW w:w="773" w:type="dxa"/>
            <w:noWrap/>
          </w:tcPr>
          <w:p w14:paraId="7A7DC46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5套</w:t>
            </w:r>
          </w:p>
        </w:tc>
      </w:tr>
      <w:tr w14:paraId="32AF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2E3D896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16</w:t>
            </w:r>
          </w:p>
        </w:tc>
        <w:tc>
          <w:tcPr>
            <w:tcW w:w="1536" w:type="dxa"/>
            <w:noWrap/>
            <w:vAlign w:val="center"/>
          </w:tcPr>
          <w:p w14:paraId="7C095F1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机柜底座</w:t>
            </w:r>
          </w:p>
        </w:tc>
        <w:tc>
          <w:tcPr>
            <w:tcW w:w="5779" w:type="dxa"/>
            <w:noWrap/>
            <w:vAlign w:val="center"/>
          </w:tcPr>
          <w:p w14:paraId="440E401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方钢、角铁。现场制作。</w:t>
            </w:r>
          </w:p>
        </w:tc>
        <w:tc>
          <w:tcPr>
            <w:tcW w:w="773" w:type="dxa"/>
            <w:noWrap/>
          </w:tcPr>
          <w:p w14:paraId="0984C08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5套</w:t>
            </w:r>
          </w:p>
        </w:tc>
      </w:tr>
      <w:tr w14:paraId="0D6D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48F2FE5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17</w:t>
            </w:r>
          </w:p>
        </w:tc>
        <w:tc>
          <w:tcPr>
            <w:tcW w:w="1536" w:type="dxa"/>
            <w:noWrap/>
            <w:vAlign w:val="center"/>
          </w:tcPr>
          <w:p w14:paraId="444FDBD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竖井机柜</w:t>
            </w:r>
          </w:p>
        </w:tc>
        <w:tc>
          <w:tcPr>
            <w:tcW w:w="5779" w:type="dxa"/>
            <w:noWrap/>
            <w:vAlign w:val="center"/>
          </w:tcPr>
          <w:p w14:paraId="70A7F54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长宽高：600*600*2000mm；承载静载：≥800KG；标准：符合GB/T3047.2-92标准兼容19’/国际标准/ 公制标准/ETSI标准；表面处理：水洗/脱脂/磷化/喷塑；机柜容量：42U；安装梁厚度：≥1.5mm；主要材料：SPCC优质冷扎钢板制作；托盘：≥1.2mm；其它厚度：≥1.2mm；防护等级：IP20；方孔条厚度：≥2.0mm；高度：≥2.0M；颜色：黑色；配置：前后为网孔门</w:t>
            </w:r>
          </w:p>
        </w:tc>
        <w:tc>
          <w:tcPr>
            <w:tcW w:w="773" w:type="dxa"/>
            <w:noWrap/>
          </w:tcPr>
          <w:p w14:paraId="5A7C8F4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7套</w:t>
            </w:r>
          </w:p>
        </w:tc>
      </w:tr>
      <w:tr w14:paraId="6014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741A49E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18</w:t>
            </w:r>
          </w:p>
        </w:tc>
        <w:tc>
          <w:tcPr>
            <w:tcW w:w="1536" w:type="dxa"/>
            <w:noWrap/>
            <w:vAlign w:val="center"/>
          </w:tcPr>
          <w:p w14:paraId="224264A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机柜底座</w:t>
            </w:r>
          </w:p>
        </w:tc>
        <w:tc>
          <w:tcPr>
            <w:tcW w:w="5779" w:type="dxa"/>
            <w:noWrap/>
            <w:vAlign w:val="center"/>
          </w:tcPr>
          <w:p w14:paraId="05C2CFE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方钢、角铁。现场制作。</w:t>
            </w:r>
          </w:p>
        </w:tc>
        <w:tc>
          <w:tcPr>
            <w:tcW w:w="773" w:type="dxa"/>
            <w:noWrap/>
          </w:tcPr>
          <w:p w14:paraId="305DFD7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7套</w:t>
            </w:r>
          </w:p>
        </w:tc>
      </w:tr>
    </w:tbl>
    <w:p w14:paraId="05A47CBB"/>
    <w:p w14:paraId="290D87F7">
      <w:pPr>
        <w:pStyle w:val="30"/>
        <w:numPr>
          <w:ilvl w:val="0"/>
          <w:numId w:val="19"/>
        </w:numPr>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机房动环系统</w:t>
      </w:r>
    </w:p>
    <w:tbl>
      <w:tblPr>
        <w:tblStyle w:val="45"/>
        <w:tblpPr w:leftFromText="180" w:rightFromText="180" w:vertAnchor="text" w:horzAnchor="page" w:tblpX="1789" w:tblpY="299"/>
        <w:tblOverlap w:val="never"/>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536"/>
        <w:gridCol w:w="5779"/>
        <w:gridCol w:w="773"/>
      </w:tblGrid>
      <w:tr w14:paraId="5601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1D5D999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序号</w:t>
            </w:r>
          </w:p>
        </w:tc>
        <w:tc>
          <w:tcPr>
            <w:tcW w:w="1536" w:type="dxa"/>
            <w:noWrap/>
            <w:vAlign w:val="center"/>
          </w:tcPr>
          <w:p w14:paraId="4EAFC75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设备名称</w:t>
            </w:r>
          </w:p>
        </w:tc>
        <w:tc>
          <w:tcPr>
            <w:tcW w:w="5779" w:type="dxa"/>
            <w:noWrap/>
          </w:tcPr>
          <w:p w14:paraId="6F414E7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★基本参数</w:t>
            </w:r>
          </w:p>
        </w:tc>
        <w:tc>
          <w:tcPr>
            <w:tcW w:w="773" w:type="dxa"/>
            <w:noWrap/>
          </w:tcPr>
          <w:p w14:paraId="090B9C1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备注</w:t>
            </w:r>
          </w:p>
        </w:tc>
      </w:tr>
      <w:tr w14:paraId="60AE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530C8DB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w:t>
            </w:r>
          </w:p>
        </w:tc>
        <w:tc>
          <w:tcPr>
            <w:tcW w:w="1536" w:type="dxa"/>
            <w:noWrap/>
            <w:vAlign w:val="center"/>
          </w:tcPr>
          <w:p w14:paraId="630A331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服务器</w:t>
            </w:r>
          </w:p>
        </w:tc>
        <w:tc>
          <w:tcPr>
            <w:tcW w:w="5779" w:type="dxa"/>
            <w:noWrap/>
          </w:tcPr>
          <w:p w14:paraId="53BF669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CPU:国产化CPU主频不低于2.5GHz 核数不低于16核</w:t>
            </w:r>
          </w:p>
          <w:p w14:paraId="1DD100C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内存：不小于16G</w:t>
            </w:r>
          </w:p>
          <w:p w14:paraId="55F2A4D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硬盘：2TB*3 SATA HDD/RAID5</w:t>
            </w:r>
          </w:p>
          <w:p w14:paraId="6242EA8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板载双口千兆电口网卡</w:t>
            </w:r>
          </w:p>
        </w:tc>
        <w:tc>
          <w:tcPr>
            <w:tcW w:w="773" w:type="dxa"/>
            <w:noWrap/>
          </w:tcPr>
          <w:p w14:paraId="71449E8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5C3C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4FB4172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w:t>
            </w:r>
          </w:p>
        </w:tc>
        <w:tc>
          <w:tcPr>
            <w:tcW w:w="1536" w:type="dxa"/>
            <w:noWrap/>
            <w:vAlign w:val="center"/>
          </w:tcPr>
          <w:p w14:paraId="774690B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采集器</w:t>
            </w:r>
          </w:p>
        </w:tc>
        <w:tc>
          <w:tcPr>
            <w:tcW w:w="5779" w:type="dxa"/>
            <w:noWrap/>
          </w:tcPr>
          <w:p w14:paraId="7B42AC3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硬件配置CPU采用国产处理器， 不少于4核，主频不低于2.0 GHz，内存不小于2G</w:t>
            </w:r>
          </w:p>
          <w:p w14:paraId="64910E0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支持存储空间根据业务需求进行扩展</w:t>
            </w:r>
          </w:p>
          <w:p w14:paraId="5E7BC91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具备多种类接口（包括RS485、RS232、DI、DO、AI、USB等） 一体化设计并具备对外供电能力</w:t>
            </w:r>
          </w:p>
          <w:p w14:paraId="5BDCC1E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串口不少于10路，DI不少于8路，DO不少于2路，以太网接口不少于2路</w:t>
            </w:r>
          </w:p>
          <w:p w14:paraId="608F796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采用国产化操作系统，保证系统安全、稳定。</w:t>
            </w:r>
          </w:p>
          <w:p w14:paraId="3F5A458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支持底端协议解析，采用软件方式，不需要单独配置硬件协议解析器</w:t>
            </w:r>
          </w:p>
          <w:p w14:paraId="17729AA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具备数据缓存功能，支持断点续传功能</w:t>
            </w:r>
          </w:p>
          <w:p w14:paraId="7DB5349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支持交直流供电输入，并具备两路独立双电源模块</w:t>
            </w:r>
          </w:p>
          <w:p w14:paraId="0A5ACE5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标准19英寸1U设计，方便现场安装</w:t>
            </w:r>
          </w:p>
        </w:tc>
        <w:tc>
          <w:tcPr>
            <w:tcW w:w="773" w:type="dxa"/>
            <w:noWrap/>
          </w:tcPr>
          <w:p w14:paraId="584A0BE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3套</w:t>
            </w:r>
          </w:p>
        </w:tc>
      </w:tr>
      <w:tr w14:paraId="0537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139E999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w:t>
            </w:r>
          </w:p>
        </w:tc>
        <w:tc>
          <w:tcPr>
            <w:tcW w:w="1536" w:type="dxa"/>
            <w:noWrap/>
            <w:vAlign w:val="center"/>
          </w:tcPr>
          <w:p w14:paraId="23F48E7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智能温湿度传感器</w:t>
            </w:r>
          </w:p>
        </w:tc>
        <w:tc>
          <w:tcPr>
            <w:tcW w:w="5779" w:type="dxa"/>
            <w:noWrap/>
          </w:tcPr>
          <w:p w14:paraId="6A34115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串行输出：RS-485</w:t>
            </w:r>
          </w:p>
          <w:p w14:paraId="247D76C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数码显示测量值显示</w:t>
            </w:r>
          </w:p>
          <w:p w14:paraId="29456F5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测湿范围：0～100％RH</w:t>
            </w:r>
          </w:p>
          <w:p w14:paraId="7603195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温度精度：±0.5℃</w:t>
            </w:r>
          </w:p>
          <w:p w14:paraId="1BF55E2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精度：±3%RH</w:t>
            </w:r>
          </w:p>
          <w:p w14:paraId="20418AC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测温范围：-20℃~70℃</w:t>
            </w:r>
          </w:p>
        </w:tc>
        <w:tc>
          <w:tcPr>
            <w:tcW w:w="773" w:type="dxa"/>
            <w:noWrap/>
          </w:tcPr>
          <w:p w14:paraId="1E6BED3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6台</w:t>
            </w:r>
          </w:p>
        </w:tc>
      </w:tr>
      <w:tr w14:paraId="06C3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0FAF03E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w:t>
            </w:r>
          </w:p>
        </w:tc>
        <w:tc>
          <w:tcPr>
            <w:tcW w:w="1536" w:type="dxa"/>
            <w:noWrap/>
            <w:vAlign w:val="center"/>
          </w:tcPr>
          <w:p w14:paraId="5927542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区域式漏水控制模块</w:t>
            </w:r>
          </w:p>
        </w:tc>
        <w:tc>
          <w:tcPr>
            <w:tcW w:w="5779" w:type="dxa"/>
            <w:noWrap/>
          </w:tcPr>
          <w:p w14:paraId="313CAA1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供电电源 ：12V直流，2W</w:t>
            </w:r>
          </w:p>
          <w:p w14:paraId="01D1CDA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传感电缆最大长度：≥ 500米</w:t>
            </w:r>
          </w:p>
          <w:p w14:paraId="1246186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精确度 ：100%</w:t>
            </w:r>
          </w:p>
          <w:p w14:paraId="06A7FF7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串行接口： RS-485双线网络，MODBUS RTU</w:t>
            </w:r>
          </w:p>
          <w:p w14:paraId="6C1CA08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检测距离 ：≥ 500米</w:t>
            </w:r>
          </w:p>
          <w:p w14:paraId="2B7B936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量程可选：检出的范围可分为四个量程，通过拨码开关选择，每个量程有微调旋钮。</w:t>
            </w:r>
          </w:p>
          <w:p w14:paraId="2744C6C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使用可靠：自动检测线路通断故障。</w:t>
            </w:r>
          </w:p>
        </w:tc>
        <w:tc>
          <w:tcPr>
            <w:tcW w:w="773" w:type="dxa"/>
            <w:noWrap/>
          </w:tcPr>
          <w:p w14:paraId="6AA3818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3台</w:t>
            </w:r>
          </w:p>
        </w:tc>
      </w:tr>
      <w:tr w14:paraId="751F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3728CAB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w:t>
            </w:r>
          </w:p>
        </w:tc>
        <w:tc>
          <w:tcPr>
            <w:tcW w:w="1536" w:type="dxa"/>
            <w:noWrap/>
            <w:vAlign w:val="center"/>
          </w:tcPr>
          <w:p w14:paraId="3B22BD2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漏水感应绳</w:t>
            </w:r>
          </w:p>
        </w:tc>
        <w:tc>
          <w:tcPr>
            <w:tcW w:w="5779" w:type="dxa"/>
            <w:noWrap/>
          </w:tcPr>
          <w:p w14:paraId="09608FC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（国产5米）</w:t>
            </w:r>
          </w:p>
        </w:tc>
        <w:tc>
          <w:tcPr>
            <w:tcW w:w="773" w:type="dxa"/>
            <w:noWrap/>
          </w:tcPr>
          <w:p w14:paraId="78B83D3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3条</w:t>
            </w:r>
          </w:p>
        </w:tc>
      </w:tr>
      <w:tr w14:paraId="3019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735C25E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w:t>
            </w:r>
          </w:p>
        </w:tc>
        <w:tc>
          <w:tcPr>
            <w:tcW w:w="1536" w:type="dxa"/>
            <w:noWrap/>
            <w:vAlign w:val="center"/>
          </w:tcPr>
          <w:p w14:paraId="5AB3A62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烟感探测器</w:t>
            </w:r>
          </w:p>
        </w:tc>
        <w:tc>
          <w:tcPr>
            <w:tcW w:w="5779" w:type="dxa"/>
            <w:noWrap/>
          </w:tcPr>
          <w:p w14:paraId="2D74D98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供电电压： 直流12V</w:t>
            </w:r>
          </w:p>
          <w:p w14:paraId="7527ED3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静态电流：≤8Ma</w:t>
            </w:r>
          </w:p>
          <w:p w14:paraId="1F8C9AD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报警电流：≤40Ma</w:t>
            </w:r>
          </w:p>
          <w:p w14:paraId="6F91D01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输出形式：继电器常开/常闭输出</w:t>
            </w:r>
          </w:p>
          <w:p w14:paraId="0215ED5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输出触点容量：3A/125VAC或3A/28VDC</w:t>
            </w:r>
          </w:p>
          <w:p w14:paraId="439D0E4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工作温度： -10°C~+50°C</w:t>
            </w:r>
          </w:p>
          <w:p w14:paraId="5B0B762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环境湿度 ：≤95%(无凝结)</w:t>
            </w:r>
          </w:p>
          <w:p w14:paraId="5DD7BFD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执行标准 GB4715-2005</w:t>
            </w:r>
          </w:p>
        </w:tc>
        <w:tc>
          <w:tcPr>
            <w:tcW w:w="773" w:type="dxa"/>
            <w:noWrap/>
          </w:tcPr>
          <w:p w14:paraId="068DA77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6台</w:t>
            </w:r>
          </w:p>
        </w:tc>
      </w:tr>
      <w:tr w14:paraId="370C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5C5B218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w:t>
            </w:r>
          </w:p>
        </w:tc>
        <w:tc>
          <w:tcPr>
            <w:tcW w:w="1536" w:type="dxa"/>
            <w:noWrap/>
            <w:vAlign w:val="center"/>
          </w:tcPr>
          <w:p w14:paraId="1EB19AB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网络型短信语音猫</w:t>
            </w:r>
          </w:p>
        </w:tc>
        <w:tc>
          <w:tcPr>
            <w:tcW w:w="5779" w:type="dxa"/>
            <w:noWrap/>
          </w:tcPr>
          <w:p w14:paraId="6338815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电话短信告警功能时选用，SMS-001（LAN）(短信电话一体)占用1个网口</w:t>
            </w:r>
          </w:p>
        </w:tc>
        <w:tc>
          <w:tcPr>
            <w:tcW w:w="773" w:type="dxa"/>
            <w:noWrap/>
          </w:tcPr>
          <w:p w14:paraId="4A030CD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1DF4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noWrap/>
            <w:vAlign w:val="center"/>
          </w:tcPr>
          <w:p w14:paraId="100BCE1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w:t>
            </w:r>
          </w:p>
        </w:tc>
        <w:tc>
          <w:tcPr>
            <w:tcW w:w="1536" w:type="dxa"/>
            <w:noWrap/>
            <w:vAlign w:val="center"/>
          </w:tcPr>
          <w:p w14:paraId="08A9A1A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模块箱</w:t>
            </w:r>
          </w:p>
        </w:tc>
        <w:tc>
          <w:tcPr>
            <w:tcW w:w="5779" w:type="dxa"/>
            <w:noWrap/>
          </w:tcPr>
          <w:p w14:paraId="7ECCF84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采集器配件</w:t>
            </w:r>
          </w:p>
        </w:tc>
        <w:tc>
          <w:tcPr>
            <w:tcW w:w="773" w:type="dxa"/>
            <w:noWrap/>
          </w:tcPr>
          <w:p w14:paraId="0C452AF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3套</w:t>
            </w:r>
          </w:p>
        </w:tc>
      </w:tr>
    </w:tbl>
    <w:p w14:paraId="6C1A4272"/>
    <w:p w14:paraId="6359A77E">
      <w:pPr>
        <w:pStyle w:val="30"/>
        <w:numPr>
          <w:ilvl w:val="0"/>
          <w:numId w:val="19"/>
        </w:numPr>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ups供电系统</w:t>
      </w:r>
    </w:p>
    <w:tbl>
      <w:tblPr>
        <w:tblStyle w:val="45"/>
        <w:tblW w:w="92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821"/>
        <w:gridCol w:w="4435"/>
        <w:gridCol w:w="1108"/>
      </w:tblGrid>
      <w:tr w14:paraId="075B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2EE1316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序号</w:t>
            </w:r>
          </w:p>
        </w:tc>
        <w:tc>
          <w:tcPr>
            <w:tcW w:w="2821" w:type="dxa"/>
            <w:noWrap/>
            <w:vAlign w:val="center"/>
          </w:tcPr>
          <w:p w14:paraId="1D2ADB6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项    目</w:t>
            </w:r>
          </w:p>
        </w:tc>
        <w:tc>
          <w:tcPr>
            <w:tcW w:w="4435" w:type="dxa"/>
            <w:noWrap/>
            <w:vAlign w:val="center"/>
          </w:tcPr>
          <w:p w14:paraId="1B53E99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★基本参数</w:t>
            </w:r>
          </w:p>
        </w:tc>
        <w:tc>
          <w:tcPr>
            <w:tcW w:w="1108" w:type="dxa"/>
            <w:noWrap/>
            <w:vAlign w:val="center"/>
          </w:tcPr>
          <w:p w14:paraId="5B31340D">
            <w:pPr>
              <w:pStyle w:val="30"/>
              <w:spacing w:line="360" w:lineRule="auto"/>
              <w:rPr>
                <w:rFonts w:ascii="仿宋" w:hAnsi="仿宋" w:eastAsia="仿宋" w:cs="仿宋"/>
                <w:color w:val="000000"/>
                <w:sz w:val="24"/>
                <w:szCs w:val="22"/>
              </w:rPr>
            </w:pPr>
          </w:p>
        </w:tc>
      </w:tr>
      <w:tr w14:paraId="07DB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55D0D23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w:t>
            </w:r>
          </w:p>
        </w:tc>
        <w:tc>
          <w:tcPr>
            <w:tcW w:w="7256" w:type="dxa"/>
            <w:gridSpan w:val="2"/>
            <w:noWrap/>
            <w:vAlign w:val="center"/>
          </w:tcPr>
          <w:p w14:paraId="6284E0E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整体需求</w:t>
            </w:r>
          </w:p>
        </w:tc>
        <w:tc>
          <w:tcPr>
            <w:tcW w:w="1108" w:type="dxa"/>
            <w:vMerge w:val="restart"/>
            <w:noWrap/>
            <w:vAlign w:val="center"/>
          </w:tcPr>
          <w:p w14:paraId="69EA894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65AD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095BF55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1.1</w:t>
            </w:r>
          </w:p>
        </w:tc>
        <w:tc>
          <w:tcPr>
            <w:tcW w:w="2821" w:type="dxa"/>
            <w:noWrap/>
            <w:vAlign w:val="center"/>
          </w:tcPr>
          <w:p w14:paraId="7DEED5B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容量要求</w:t>
            </w:r>
          </w:p>
        </w:tc>
        <w:tc>
          <w:tcPr>
            <w:tcW w:w="4435" w:type="dxa"/>
            <w:noWrap/>
            <w:vAlign w:val="center"/>
          </w:tcPr>
          <w:p w14:paraId="485886E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≥100kVA</w:t>
            </w:r>
          </w:p>
        </w:tc>
        <w:tc>
          <w:tcPr>
            <w:tcW w:w="1108" w:type="dxa"/>
            <w:vMerge w:val="continue"/>
            <w:noWrap/>
            <w:vAlign w:val="center"/>
          </w:tcPr>
          <w:p w14:paraId="7721AD61">
            <w:pPr>
              <w:pStyle w:val="30"/>
              <w:spacing w:line="360" w:lineRule="auto"/>
              <w:rPr>
                <w:rFonts w:ascii="仿宋" w:hAnsi="仿宋" w:eastAsia="仿宋" w:cs="仿宋"/>
                <w:color w:val="000000"/>
                <w:sz w:val="24"/>
                <w:szCs w:val="22"/>
              </w:rPr>
            </w:pPr>
          </w:p>
        </w:tc>
      </w:tr>
      <w:tr w14:paraId="5023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754B51A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w:t>
            </w:r>
          </w:p>
        </w:tc>
        <w:tc>
          <w:tcPr>
            <w:tcW w:w="7256" w:type="dxa"/>
            <w:gridSpan w:val="2"/>
            <w:noWrap/>
            <w:vAlign w:val="center"/>
          </w:tcPr>
          <w:p w14:paraId="014495B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交流电源输入</w:t>
            </w:r>
          </w:p>
        </w:tc>
        <w:tc>
          <w:tcPr>
            <w:tcW w:w="1108" w:type="dxa"/>
            <w:vMerge w:val="continue"/>
            <w:noWrap/>
            <w:vAlign w:val="center"/>
          </w:tcPr>
          <w:p w14:paraId="52098B97">
            <w:pPr>
              <w:pStyle w:val="30"/>
              <w:spacing w:line="360" w:lineRule="auto"/>
              <w:rPr>
                <w:rFonts w:ascii="仿宋" w:hAnsi="仿宋" w:eastAsia="仿宋" w:cs="仿宋"/>
                <w:color w:val="000000"/>
                <w:sz w:val="24"/>
                <w:szCs w:val="22"/>
              </w:rPr>
            </w:pPr>
          </w:p>
        </w:tc>
      </w:tr>
      <w:tr w14:paraId="172C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2FFD05D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2.1</w:t>
            </w:r>
          </w:p>
        </w:tc>
        <w:tc>
          <w:tcPr>
            <w:tcW w:w="2821" w:type="dxa"/>
            <w:noWrap/>
            <w:vAlign w:val="center"/>
          </w:tcPr>
          <w:p w14:paraId="1050A57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交流输入额定电压</w:t>
            </w:r>
          </w:p>
        </w:tc>
        <w:tc>
          <w:tcPr>
            <w:tcW w:w="4435" w:type="dxa"/>
            <w:noWrap/>
            <w:vAlign w:val="center"/>
          </w:tcPr>
          <w:p w14:paraId="754BFFE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380/400/415V</w:t>
            </w:r>
          </w:p>
        </w:tc>
        <w:tc>
          <w:tcPr>
            <w:tcW w:w="1108" w:type="dxa"/>
            <w:vMerge w:val="continue"/>
            <w:noWrap/>
            <w:vAlign w:val="center"/>
          </w:tcPr>
          <w:p w14:paraId="54AD968A">
            <w:pPr>
              <w:pStyle w:val="30"/>
              <w:spacing w:line="360" w:lineRule="auto"/>
              <w:rPr>
                <w:rFonts w:ascii="仿宋" w:hAnsi="仿宋" w:eastAsia="仿宋" w:cs="仿宋"/>
                <w:color w:val="000000"/>
                <w:sz w:val="24"/>
                <w:szCs w:val="22"/>
              </w:rPr>
            </w:pPr>
          </w:p>
        </w:tc>
      </w:tr>
      <w:tr w14:paraId="3E75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0F707FD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2.2</w:t>
            </w:r>
          </w:p>
        </w:tc>
        <w:tc>
          <w:tcPr>
            <w:tcW w:w="2821" w:type="dxa"/>
            <w:noWrap/>
            <w:vAlign w:val="center"/>
          </w:tcPr>
          <w:p w14:paraId="209F035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交流输入电压范围</w:t>
            </w:r>
          </w:p>
        </w:tc>
        <w:tc>
          <w:tcPr>
            <w:tcW w:w="4435" w:type="dxa"/>
            <w:noWrap/>
            <w:vAlign w:val="center"/>
          </w:tcPr>
          <w:p w14:paraId="18EDA03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208V～478V（10～40KVA适用）138V～485V(60KVA适用)</w:t>
            </w:r>
          </w:p>
        </w:tc>
        <w:tc>
          <w:tcPr>
            <w:tcW w:w="1108" w:type="dxa"/>
            <w:vMerge w:val="continue"/>
            <w:noWrap/>
            <w:vAlign w:val="center"/>
          </w:tcPr>
          <w:p w14:paraId="404B9E05">
            <w:pPr>
              <w:pStyle w:val="30"/>
              <w:spacing w:line="360" w:lineRule="auto"/>
              <w:rPr>
                <w:rFonts w:ascii="仿宋" w:hAnsi="仿宋" w:eastAsia="仿宋" w:cs="仿宋"/>
                <w:color w:val="000000"/>
                <w:sz w:val="24"/>
                <w:szCs w:val="22"/>
              </w:rPr>
            </w:pPr>
          </w:p>
        </w:tc>
      </w:tr>
      <w:tr w14:paraId="5B5A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4" w:type="dxa"/>
            <w:noWrap/>
            <w:vAlign w:val="center"/>
          </w:tcPr>
          <w:p w14:paraId="34F9241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2.3</w:t>
            </w:r>
          </w:p>
        </w:tc>
        <w:tc>
          <w:tcPr>
            <w:tcW w:w="2821" w:type="dxa"/>
            <w:noWrap/>
            <w:vAlign w:val="center"/>
          </w:tcPr>
          <w:p w14:paraId="47E9406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输入频率</w:t>
            </w:r>
          </w:p>
        </w:tc>
        <w:tc>
          <w:tcPr>
            <w:tcW w:w="4435" w:type="dxa"/>
            <w:noWrap/>
            <w:vAlign w:val="center"/>
          </w:tcPr>
          <w:p w14:paraId="77F2230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50Hz</w:t>
            </w:r>
          </w:p>
        </w:tc>
        <w:tc>
          <w:tcPr>
            <w:tcW w:w="1108" w:type="dxa"/>
            <w:vMerge w:val="continue"/>
            <w:noWrap/>
            <w:vAlign w:val="center"/>
          </w:tcPr>
          <w:p w14:paraId="123395EC">
            <w:pPr>
              <w:pStyle w:val="30"/>
              <w:spacing w:line="360" w:lineRule="auto"/>
              <w:rPr>
                <w:rFonts w:ascii="仿宋" w:hAnsi="仿宋" w:eastAsia="仿宋" w:cs="仿宋"/>
                <w:color w:val="000000"/>
                <w:sz w:val="24"/>
                <w:szCs w:val="22"/>
              </w:rPr>
            </w:pPr>
          </w:p>
        </w:tc>
      </w:tr>
      <w:tr w14:paraId="3FE9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73D78DD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2.4</w:t>
            </w:r>
          </w:p>
        </w:tc>
        <w:tc>
          <w:tcPr>
            <w:tcW w:w="2821" w:type="dxa"/>
            <w:noWrap/>
            <w:vAlign w:val="center"/>
          </w:tcPr>
          <w:p w14:paraId="12E4FAF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输入频率范围</w:t>
            </w:r>
          </w:p>
        </w:tc>
        <w:tc>
          <w:tcPr>
            <w:tcW w:w="4435" w:type="dxa"/>
            <w:noWrap/>
            <w:vAlign w:val="center"/>
          </w:tcPr>
          <w:p w14:paraId="395EE5B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40Hz～70Hz</w:t>
            </w:r>
          </w:p>
        </w:tc>
        <w:tc>
          <w:tcPr>
            <w:tcW w:w="1108" w:type="dxa"/>
            <w:vMerge w:val="continue"/>
            <w:noWrap/>
            <w:vAlign w:val="center"/>
          </w:tcPr>
          <w:p w14:paraId="6C8F3041">
            <w:pPr>
              <w:pStyle w:val="30"/>
              <w:spacing w:line="360" w:lineRule="auto"/>
              <w:rPr>
                <w:rFonts w:ascii="仿宋" w:hAnsi="仿宋" w:eastAsia="仿宋" w:cs="仿宋"/>
                <w:color w:val="000000"/>
                <w:sz w:val="24"/>
                <w:szCs w:val="22"/>
              </w:rPr>
            </w:pPr>
          </w:p>
        </w:tc>
      </w:tr>
      <w:tr w14:paraId="7C3D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2A9455C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2.5</w:t>
            </w:r>
          </w:p>
        </w:tc>
        <w:tc>
          <w:tcPr>
            <w:tcW w:w="2821" w:type="dxa"/>
            <w:noWrap/>
            <w:vAlign w:val="center"/>
          </w:tcPr>
          <w:p w14:paraId="57867B5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频率跟踪速率</w:t>
            </w:r>
          </w:p>
        </w:tc>
        <w:tc>
          <w:tcPr>
            <w:tcW w:w="4435" w:type="dxa"/>
            <w:noWrap/>
            <w:vAlign w:val="center"/>
          </w:tcPr>
          <w:p w14:paraId="573FC6E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1Hz/s</w:t>
            </w:r>
          </w:p>
        </w:tc>
        <w:tc>
          <w:tcPr>
            <w:tcW w:w="1108" w:type="dxa"/>
            <w:vMerge w:val="continue"/>
            <w:noWrap/>
            <w:vAlign w:val="center"/>
          </w:tcPr>
          <w:p w14:paraId="6DB15684">
            <w:pPr>
              <w:pStyle w:val="30"/>
              <w:spacing w:line="360" w:lineRule="auto"/>
              <w:rPr>
                <w:rFonts w:ascii="仿宋" w:hAnsi="仿宋" w:eastAsia="仿宋" w:cs="仿宋"/>
                <w:color w:val="000000"/>
                <w:sz w:val="24"/>
                <w:szCs w:val="22"/>
              </w:rPr>
            </w:pPr>
          </w:p>
        </w:tc>
      </w:tr>
      <w:tr w14:paraId="4E29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30BAEEB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2.6</w:t>
            </w:r>
          </w:p>
        </w:tc>
        <w:tc>
          <w:tcPr>
            <w:tcW w:w="2821" w:type="dxa"/>
            <w:noWrap/>
            <w:vAlign w:val="center"/>
          </w:tcPr>
          <w:p w14:paraId="479FB11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输入功率因数（100%负载）</w:t>
            </w:r>
          </w:p>
        </w:tc>
        <w:tc>
          <w:tcPr>
            <w:tcW w:w="4435" w:type="dxa"/>
            <w:noWrap/>
            <w:vAlign w:val="center"/>
          </w:tcPr>
          <w:p w14:paraId="1EA4735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≥0.99</w:t>
            </w:r>
          </w:p>
        </w:tc>
        <w:tc>
          <w:tcPr>
            <w:tcW w:w="1108" w:type="dxa"/>
            <w:vMerge w:val="continue"/>
            <w:noWrap/>
            <w:vAlign w:val="center"/>
          </w:tcPr>
          <w:p w14:paraId="602AD0E4">
            <w:pPr>
              <w:pStyle w:val="30"/>
              <w:spacing w:line="360" w:lineRule="auto"/>
              <w:rPr>
                <w:rFonts w:ascii="仿宋" w:hAnsi="仿宋" w:eastAsia="仿宋" w:cs="仿宋"/>
                <w:color w:val="000000"/>
                <w:sz w:val="24"/>
                <w:szCs w:val="22"/>
              </w:rPr>
            </w:pPr>
          </w:p>
        </w:tc>
      </w:tr>
      <w:tr w14:paraId="2537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743C762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2.7</w:t>
            </w:r>
          </w:p>
        </w:tc>
        <w:tc>
          <w:tcPr>
            <w:tcW w:w="2821" w:type="dxa"/>
            <w:noWrap/>
            <w:vAlign w:val="center"/>
          </w:tcPr>
          <w:p w14:paraId="06FAF51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输入电流失真度THDI</w:t>
            </w:r>
          </w:p>
        </w:tc>
        <w:tc>
          <w:tcPr>
            <w:tcW w:w="4435" w:type="dxa"/>
            <w:noWrap/>
            <w:vAlign w:val="center"/>
          </w:tcPr>
          <w:p w14:paraId="5893DFF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&lt;5%（10～40KVA适用）≤2%(60KVA适用)</w:t>
            </w:r>
          </w:p>
        </w:tc>
        <w:tc>
          <w:tcPr>
            <w:tcW w:w="1108" w:type="dxa"/>
            <w:vMerge w:val="continue"/>
            <w:noWrap/>
            <w:vAlign w:val="center"/>
          </w:tcPr>
          <w:p w14:paraId="21B48C62">
            <w:pPr>
              <w:pStyle w:val="30"/>
              <w:spacing w:line="360" w:lineRule="auto"/>
              <w:rPr>
                <w:rFonts w:ascii="仿宋" w:hAnsi="仿宋" w:eastAsia="仿宋" w:cs="仿宋"/>
                <w:color w:val="000000"/>
                <w:sz w:val="24"/>
                <w:szCs w:val="22"/>
              </w:rPr>
            </w:pPr>
          </w:p>
        </w:tc>
      </w:tr>
      <w:tr w14:paraId="0645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6B88015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w:t>
            </w:r>
          </w:p>
        </w:tc>
        <w:tc>
          <w:tcPr>
            <w:tcW w:w="7256" w:type="dxa"/>
            <w:gridSpan w:val="2"/>
            <w:noWrap/>
            <w:vAlign w:val="center"/>
          </w:tcPr>
          <w:p w14:paraId="4D4859C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旁路电源输入</w:t>
            </w:r>
          </w:p>
        </w:tc>
        <w:tc>
          <w:tcPr>
            <w:tcW w:w="1108" w:type="dxa"/>
            <w:vMerge w:val="continue"/>
            <w:noWrap/>
            <w:vAlign w:val="center"/>
          </w:tcPr>
          <w:p w14:paraId="56B1AEB8">
            <w:pPr>
              <w:pStyle w:val="30"/>
              <w:spacing w:line="360" w:lineRule="auto"/>
              <w:rPr>
                <w:rFonts w:ascii="仿宋" w:hAnsi="仿宋" w:eastAsia="仿宋" w:cs="仿宋"/>
                <w:color w:val="000000"/>
                <w:sz w:val="24"/>
                <w:szCs w:val="22"/>
              </w:rPr>
            </w:pPr>
          </w:p>
        </w:tc>
      </w:tr>
      <w:tr w14:paraId="55DF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6548500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3.1</w:t>
            </w:r>
          </w:p>
        </w:tc>
        <w:tc>
          <w:tcPr>
            <w:tcW w:w="2821" w:type="dxa"/>
            <w:noWrap/>
            <w:vAlign w:val="center"/>
          </w:tcPr>
          <w:p w14:paraId="4D09DBB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旁路输入额定电压</w:t>
            </w:r>
          </w:p>
        </w:tc>
        <w:tc>
          <w:tcPr>
            <w:tcW w:w="4435" w:type="dxa"/>
            <w:noWrap/>
            <w:vAlign w:val="center"/>
          </w:tcPr>
          <w:p w14:paraId="1A0F6CC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380/400/415V</w:t>
            </w:r>
          </w:p>
        </w:tc>
        <w:tc>
          <w:tcPr>
            <w:tcW w:w="1108" w:type="dxa"/>
            <w:vMerge w:val="continue"/>
            <w:noWrap/>
            <w:vAlign w:val="center"/>
          </w:tcPr>
          <w:p w14:paraId="0EFA74D2">
            <w:pPr>
              <w:pStyle w:val="30"/>
              <w:spacing w:line="360" w:lineRule="auto"/>
              <w:rPr>
                <w:rFonts w:ascii="仿宋" w:hAnsi="仿宋" w:eastAsia="仿宋" w:cs="仿宋"/>
                <w:color w:val="000000"/>
                <w:sz w:val="24"/>
                <w:szCs w:val="22"/>
              </w:rPr>
            </w:pPr>
          </w:p>
        </w:tc>
      </w:tr>
      <w:tr w14:paraId="1FD1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624F2BC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3.2</w:t>
            </w:r>
          </w:p>
        </w:tc>
        <w:tc>
          <w:tcPr>
            <w:tcW w:w="2821" w:type="dxa"/>
            <w:noWrap/>
            <w:vAlign w:val="center"/>
          </w:tcPr>
          <w:p w14:paraId="7B81D48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旁路同步跟踪范围</w:t>
            </w:r>
          </w:p>
        </w:tc>
        <w:tc>
          <w:tcPr>
            <w:tcW w:w="4435" w:type="dxa"/>
            <w:noWrap/>
            <w:vAlign w:val="center"/>
          </w:tcPr>
          <w:p w14:paraId="7A630FE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±10%</w:t>
            </w:r>
          </w:p>
        </w:tc>
        <w:tc>
          <w:tcPr>
            <w:tcW w:w="1108" w:type="dxa"/>
            <w:vMerge w:val="continue"/>
            <w:noWrap/>
            <w:vAlign w:val="center"/>
          </w:tcPr>
          <w:p w14:paraId="08EAAAB7">
            <w:pPr>
              <w:pStyle w:val="30"/>
              <w:spacing w:line="360" w:lineRule="auto"/>
              <w:rPr>
                <w:rFonts w:ascii="仿宋" w:hAnsi="仿宋" w:eastAsia="仿宋" w:cs="仿宋"/>
                <w:color w:val="000000"/>
                <w:sz w:val="24"/>
                <w:szCs w:val="22"/>
              </w:rPr>
            </w:pPr>
          </w:p>
        </w:tc>
      </w:tr>
      <w:tr w14:paraId="4DC0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45A319D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w:t>
            </w:r>
          </w:p>
        </w:tc>
        <w:tc>
          <w:tcPr>
            <w:tcW w:w="7256" w:type="dxa"/>
            <w:gridSpan w:val="2"/>
            <w:noWrap/>
            <w:vAlign w:val="center"/>
          </w:tcPr>
          <w:p w14:paraId="001D4A8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交流电源输出</w:t>
            </w:r>
          </w:p>
        </w:tc>
        <w:tc>
          <w:tcPr>
            <w:tcW w:w="1108" w:type="dxa"/>
            <w:vMerge w:val="continue"/>
            <w:noWrap/>
            <w:vAlign w:val="center"/>
          </w:tcPr>
          <w:p w14:paraId="68819F7C">
            <w:pPr>
              <w:pStyle w:val="30"/>
              <w:spacing w:line="360" w:lineRule="auto"/>
              <w:rPr>
                <w:rFonts w:ascii="仿宋" w:hAnsi="仿宋" w:eastAsia="仿宋" w:cs="仿宋"/>
                <w:color w:val="000000"/>
                <w:sz w:val="24"/>
                <w:szCs w:val="22"/>
              </w:rPr>
            </w:pPr>
          </w:p>
        </w:tc>
      </w:tr>
      <w:tr w14:paraId="00CA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725A269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4.1</w:t>
            </w:r>
          </w:p>
        </w:tc>
        <w:tc>
          <w:tcPr>
            <w:tcW w:w="2821" w:type="dxa"/>
            <w:noWrap/>
            <w:vAlign w:val="center"/>
          </w:tcPr>
          <w:p w14:paraId="76D77CB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输出电压稳定精度</w:t>
            </w:r>
          </w:p>
        </w:tc>
        <w:tc>
          <w:tcPr>
            <w:tcW w:w="4435" w:type="dxa"/>
            <w:noWrap/>
            <w:vAlign w:val="center"/>
          </w:tcPr>
          <w:p w14:paraId="067B6D1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±0.5%</w:t>
            </w:r>
          </w:p>
        </w:tc>
        <w:tc>
          <w:tcPr>
            <w:tcW w:w="1108" w:type="dxa"/>
            <w:vMerge w:val="continue"/>
            <w:noWrap/>
            <w:vAlign w:val="center"/>
          </w:tcPr>
          <w:p w14:paraId="1240DCBC">
            <w:pPr>
              <w:pStyle w:val="30"/>
              <w:spacing w:line="360" w:lineRule="auto"/>
              <w:rPr>
                <w:rFonts w:ascii="仿宋" w:hAnsi="仿宋" w:eastAsia="仿宋" w:cs="仿宋"/>
                <w:color w:val="000000"/>
                <w:sz w:val="24"/>
                <w:szCs w:val="22"/>
              </w:rPr>
            </w:pPr>
          </w:p>
        </w:tc>
      </w:tr>
      <w:tr w14:paraId="1994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5F5A1A5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4.2</w:t>
            </w:r>
          </w:p>
        </w:tc>
        <w:tc>
          <w:tcPr>
            <w:tcW w:w="2821" w:type="dxa"/>
            <w:noWrap/>
            <w:vAlign w:val="center"/>
          </w:tcPr>
          <w:p w14:paraId="3B86F5F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输出电压瞬变（负载阶跃变化：0到100%和100%到0）</w:t>
            </w:r>
          </w:p>
        </w:tc>
        <w:tc>
          <w:tcPr>
            <w:tcW w:w="4435" w:type="dxa"/>
            <w:noWrap/>
            <w:vAlign w:val="center"/>
          </w:tcPr>
          <w:p w14:paraId="4DD6FB6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w:t>
            </w:r>
          </w:p>
        </w:tc>
        <w:tc>
          <w:tcPr>
            <w:tcW w:w="1108" w:type="dxa"/>
            <w:vMerge w:val="continue"/>
            <w:noWrap/>
            <w:vAlign w:val="center"/>
          </w:tcPr>
          <w:p w14:paraId="7D9D8933">
            <w:pPr>
              <w:pStyle w:val="30"/>
              <w:spacing w:line="360" w:lineRule="auto"/>
              <w:rPr>
                <w:rFonts w:ascii="仿宋" w:hAnsi="仿宋" w:eastAsia="仿宋" w:cs="仿宋"/>
                <w:color w:val="000000"/>
                <w:sz w:val="24"/>
                <w:szCs w:val="22"/>
              </w:rPr>
            </w:pPr>
          </w:p>
        </w:tc>
      </w:tr>
      <w:tr w14:paraId="696B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532B95D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4.3</w:t>
            </w:r>
          </w:p>
        </w:tc>
        <w:tc>
          <w:tcPr>
            <w:tcW w:w="2821" w:type="dxa"/>
            <w:noWrap/>
            <w:vAlign w:val="center"/>
          </w:tcPr>
          <w:p w14:paraId="2381F7C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输出电压瞬变响应恢复时间</w:t>
            </w:r>
          </w:p>
        </w:tc>
        <w:tc>
          <w:tcPr>
            <w:tcW w:w="4435" w:type="dxa"/>
            <w:noWrap/>
            <w:vAlign w:val="center"/>
          </w:tcPr>
          <w:p w14:paraId="60F6F2E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≤40ms</w:t>
            </w:r>
          </w:p>
        </w:tc>
        <w:tc>
          <w:tcPr>
            <w:tcW w:w="1108" w:type="dxa"/>
            <w:vMerge w:val="continue"/>
            <w:noWrap/>
            <w:vAlign w:val="center"/>
          </w:tcPr>
          <w:p w14:paraId="440C6842">
            <w:pPr>
              <w:pStyle w:val="30"/>
              <w:spacing w:line="360" w:lineRule="auto"/>
              <w:rPr>
                <w:rFonts w:ascii="仿宋" w:hAnsi="仿宋" w:eastAsia="仿宋" w:cs="仿宋"/>
                <w:color w:val="000000"/>
                <w:sz w:val="24"/>
                <w:szCs w:val="22"/>
              </w:rPr>
            </w:pPr>
          </w:p>
        </w:tc>
      </w:tr>
      <w:tr w14:paraId="3CA5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84" w:type="dxa"/>
            <w:noWrap/>
            <w:vAlign w:val="center"/>
          </w:tcPr>
          <w:p w14:paraId="1D50258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4.4</w:t>
            </w:r>
          </w:p>
        </w:tc>
        <w:tc>
          <w:tcPr>
            <w:tcW w:w="2821" w:type="dxa"/>
            <w:noWrap/>
            <w:vAlign w:val="center"/>
          </w:tcPr>
          <w:p w14:paraId="55EEE50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输出频率</w:t>
            </w:r>
          </w:p>
        </w:tc>
        <w:tc>
          <w:tcPr>
            <w:tcW w:w="4435" w:type="dxa"/>
            <w:noWrap/>
            <w:vAlign w:val="center"/>
          </w:tcPr>
          <w:p w14:paraId="622EB84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在电池逆变工作状态下，输出为额定 阻性负载，输出频率应不宽于50±0.5%</w:t>
            </w:r>
          </w:p>
        </w:tc>
        <w:tc>
          <w:tcPr>
            <w:tcW w:w="1108" w:type="dxa"/>
            <w:vMerge w:val="continue"/>
            <w:noWrap/>
            <w:vAlign w:val="center"/>
          </w:tcPr>
          <w:p w14:paraId="77246C21">
            <w:pPr>
              <w:pStyle w:val="30"/>
              <w:spacing w:line="360" w:lineRule="auto"/>
              <w:rPr>
                <w:rFonts w:ascii="仿宋" w:hAnsi="仿宋" w:eastAsia="仿宋" w:cs="仿宋"/>
                <w:color w:val="000000"/>
                <w:sz w:val="24"/>
                <w:szCs w:val="22"/>
              </w:rPr>
            </w:pPr>
          </w:p>
        </w:tc>
      </w:tr>
      <w:tr w14:paraId="43D7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331AE65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4.6</w:t>
            </w:r>
          </w:p>
        </w:tc>
        <w:tc>
          <w:tcPr>
            <w:tcW w:w="2821" w:type="dxa"/>
            <w:noWrap/>
            <w:vAlign w:val="center"/>
          </w:tcPr>
          <w:p w14:paraId="71CABDB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输出功率因数</w:t>
            </w:r>
          </w:p>
        </w:tc>
        <w:tc>
          <w:tcPr>
            <w:tcW w:w="4435" w:type="dxa"/>
            <w:noWrap/>
          </w:tcPr>
          <w:p w14:paraId="710D666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≥0.9</w:t>
            </w:r>
          </w:p>
        </w:tc>
        <w:tc>
          <w:tcPr>
            <w:tcW w:w="1108" w:type="dxa"/>
            <w:vMerge w:val="continue"/>
            <w:noWrap/>
          </w:tcPr>
          <w:p w14:paraId="1E106651">
            <w:pPr>
              <w:pStyle w:val="30"/>
              <w:spacing w:line="360" w:lineRule="auto"/>
              <w:rPr>
                <w:rFonts w:ascii="仿宋" w:hAnsi="仿宋" w:eastAsia="仿宋" w:cs="仿宋"/>
                <w:color w:val="000000"/>
                <w:sz w:val="24"/>
                <w:szCs w:val="22"/>
              </w:rPr>
            </w:pPr>
          </w:p>
        </w:tc>
      </w:tr>
      <w:tr w14:paraId="3724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7081B6F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4.8</w:t>
            </w:r>
          </w:p>
        </w:tc>
        <w:tc>
          <w:tcPr>
            <w:tcW w:w="2821" w:type="dxa"/>
            <w:noWrap/>
            <w:vAlign w:val="center"/>
          </w:tcPr>
          <w:p w14:paraId="4BDA1BB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切换蓄电池组供电时间</w:t>
            </w:r>
          </w:p>
        </w:tc>
        <w:tc>
          <w:tcPr>
            <w:tcW w:w="4435" w:type="dxa"/>
            <w:noWrap/>
            <w:vAlign w:val="center"/>
          </w:tcPr>
          <w:p w14:paraId="3D3B90C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0ms</w:t>
            </w:r>
          </w:p>
        </w:tc>
        <w:tc>
          <w:tcPr>
            <w:tcW w:w="1108" w:type="dxa"/>
            <w:vMerge w:val="continue"/>
            <w:noWrap/>
            <w:vAlign w:val="center"/>
          </w:tcPr>
          <w:p w14:paraId="5B80167A">
            <w:pPr>
              <w:pStyle w:val="30"/>
              <w:spacing w:line="360" w:lineRule="auto"/>
              <w:rPr>
                <w:rFonts w:ascii="仿宋" w:hAnsi="仿宋" w:eastAsia="仿宋" w:cs="仿宋"/>
                <w:color w:val="000000"/>
                <w:sz w:val="24"/>
                <w:szCs w:val="22"/>
              </w:rPr>
            </w:pPr>
          </w:p>
        </w:tc>
      </w:tr>
      <w:tr w14:paraId="56FC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403AA04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4.9</w:t>
            </w:r>
          </w:p>
        </w:tc>
        <w:tc>
          <w:tcPr>
            <w:tcW w:w="2821" w:type="dxa"/>
            <w:noWrap/>
            <w:vAlign w:val="center"/>
          </w:tcPr>
          <w:p w14:paraId="4DBE4C3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切换旁路时间</w:t>
            </w:r>
          </w:p>
        </w:tc>
        <w:tc>
          <w:tcPr>
            <w:tcW w:w="4435" w:type="dxa"/>
            <w:noWrap/>
            <w:vAlign w:val="center"/>
          </w:tcPr>
          <w:p w14:paraId="03052FA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0ms</w:t>
            </w:r>
          </w:p>
        </w:tc>
        <w:tc>
          <w:tcPr>
            <w:tcW w:w="1108" w:type="dxa"/>
            <w:vMerge w:val="continue"/>
            <w:noWrap/>
            <w:vAlign w:val="center"/>
          </w:tcPr>
          <w:p w14:paraId="6726CF9B">
            <w:pPr>
              <w:pStyle w:val="30"/>
              <w:spacing w:line="360" w:lineRule="auto"/>
              <w:rPr>
                <w:rFonts w:ascii="仿宋" w:hAnsi="仿宋" w:eastAsia="仿宋" w:cs="仿宋"/>
                <w:color w:val="000000"/>
                <w:sz w:val="24"/>
                <w:szCs w:val="22"/>
              </w:rPr>
            </w:pPr>
          </w:p>
        </w:tc>
      </w:tr>
      <w:tr w14:paraId="506A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5D75C16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4.10</w:t>
            </w:r>
          </w:p>
        </w:tc>
        <w:tc>
          <w:tcPr>
            <w:tcW w:w="2821" w:type="dxa"/>
            <w:noWrap/>
            <w:vAlign w:val="center"/>
          </w:tcPr>
          <w:p w14:paraId="1E4F5F4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输出电压相位偏差（正常工作方式和电池逆变方式下输出三相电压的相位差）</w:t>
            </w:r>
          </w:p>
        </w:tc>
        <w:tc>
          <w:tcPr>
            <w:tcW w:w="4435" w:type="dxa"/>
            <w:noWrap/>
            <w:vAlign w:val="center"/>
          </w:tcPr>
          <w:p w14:paraId="15A0AFD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±0.5°（正常工作）</w:t>
            </w:r>
          </w:p>
          <w:p w14:paraId="480DB57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±0.5°（电池逆变）</w:t>
            </w:r>
          </w:p>
        </w:tc>
        <w:tc>
          <w:tcPr>
            <w:tcW w:w="1108" w:type="dxa"/>
            <w:vMerge w:val="continue"/>
            <w:noWrap/>
            <w:vAlign w:val="center"/>
          </w:tcPr>
          <w:p w14:paraId="21BCCCA3">
            <w:pPr>
              <w:pStyle w:val="30"/>
              <w:spacing w:line="360" w:lineRule="auto"/>
              <w:rPr>
                <w:rFonts w:ascii="仿宋" w:hAnsi="仿宋" w:eastAsia="仿宋" w:cs="仿宋"/>
                <w:color w:val="000000"/>
                <w:sz w:val="24"/>
                <w:szCs w:val="22"/>
              </w:rPr>
            </w:pPr>
          </w:p>
        </w:tc>
      </w:tr>
      <w:tr w14:paraId="5570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08A9699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4.11</w:t>
            </w:r>
          </w:p>
        </w:tc>
        <w:tc>
          <w:tcPr>
            <w:tcW w:w="2821" w:type="dxa"/>
            <w:noWrap/>
            <w:vAlign w:val="center"/>
          </w:tcPr>
          <w:p w14:paraId="3D91946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输出过载能力</w:t>
            </w:r>
          </w:p>
        </w:tc>
        <w:tc>
          <w:tcPr>
            <w:tcW w:w="4435" w:type="dxa"/>
            <w:noWrap/>
            <w:vAlign w:val="center"/>
          </w:tcPr>
          <w:p w14:paraId="1D919F1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125%的额定负载10 分钟</w:t>
            </w:r>
          </w:p>
        </w:tc>
        <w:tc>
          <w:tcPr>
            <w:tcW w:w="1108" w:type="dxa"/>
            <w:vMerge w:val="continue"/>
            <w:noWrap/>
            <w:vAlign w:val="center"/>
          </w:tcPr>
          <w:p w14:paraId="456A963C">
            <w:pPr>
              <w:pStyle w:val="30"/>
              <w:spacing w:line="360" w:lineRule="auto"/>
              <w:rPr>
                <w:rFonts w:ascii="仿宋" w:hAnsi="仿宋" w:eastAsia="仿宋" w:cs="仿宋"/>
                <w:color w:val="000000"/>
                <w:sz w:val="24"/>
                <w:szCs w:val="22"/>
              </w:rPr>
            </w:pPr>
          </w:p>
        </w:tc>
      </w:tr>
      <w:tr w14:paraId="718F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05014F5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4.12</w:t>
            </w:r>
          </w:p>
        </w:tc>
        <w:tc>
          <w:tcPr>
            <w:tcW w:w="2821" w:type="dxa"/>
            <w:noWrap/>
            <w:vAlign w:val="center"/>
          </w:tcPr>
          <w:p w14:paraId="290D07D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输出短路能力</w:t>
            </w:r>
          </w:p>
        </w:tc>
        <w:tc>
          <w:tcPr>
            <w:tcW w:w="4435" w:type="dxa"/>
            <w:noWrap/>
            <w:vAlign w:val="center"/>
          </w:tcPr>
          <w:p w14:paraId="33D3DCE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具有保护能力</w:t>
            </w:r>
          </w:p>
        </w:tc>
        <w:tc>
          <w:tcPr>
            <w:tcW w:w="1108" w:type="dxa"/>
            <w:vMerge w:val="continue"/>
            <w:noWrap/>
            <w:vAlign w:val="center"/>
          </w:tcPr>
          <w:p w14:paraId="14D79F73">
            <w:pPr>
              <w:pStyle w:val="30"/>
              <w:spacing w:line="360" w:lineRule="auto"/>
              <w:rPr>
                <w:rFonts w:ascii="仿宋" w:hAnsi="仿宋" w:eastAsia="仿宋" w:cs="仿宋"/>
                <w:color w:val="000000"/>
                <w:sz w:val="24"/>
                <w:szCs w:val="22"/>
              </w:rPr>
            </w:pPr>
          </w:p>
        </w:tc>
      </w:tr>
      <w:tr w14:paraId="74FD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475B608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4.13</w:t>
            </w:r>
          </w:p>
        </w:tc>
        <w:tc>
          <w:tcPr>
            <w:tcW w:w="2821" w:type="dxa"/>
            <w:noWrap/>
            <w:vAlign w:val="center"/>
          </w:tcPr>
          <w:p w14:paraId="74777A2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输出电流峰值系数</w:t>
            </w:r>
          </w:p>
        </w:tc>
        <w:tc>
          <w:tcPr>
            <w:tcW w:w="4435" w:type="dxa"/>
            <w:noWrap/>
            <w:vAlign w:val="center"/>
          </w:tcPr>
          <w:p w14:paraId="7EDFAF8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≥3:1</w:t>
            </w:r>
          </w:p>
        </w:tc>
        <w:tc>
          <w:tcPr>
            <w:tcW w:w="1108" w:type="dxa"/>
            <w:vMerge w:val="continue"/>
            <w:noWrap/>
            <w:vAlign w:val="center"/>
          </w:tcPr>
          <w:p w14:paraId="76A72763">
            <w:pPr>
              <w:pStyle w:val="30"/>
              <w:spacing w:line="360" w:lineRule="auto"/>
              <w:rPr>
                <w:rFonts w:ascii="仿宋" w:hAnsi="仿宋" w:eastAsia="仿宋" w:cs="仿宋"/>
                <w:color w:val="000000"/>
                <w:sz w:val="24"/>
                <w:szCs w:val="22"/>
              </w:rPr>
            </w:pPr>
          </w:p>
        </w:tc>
      </w:tr>
      <w:tr w14:paraId="5064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4368CB8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4.14</w:t>
            </w:r>
          </w:p>
        </w:tc>
        <w:tc>
          <w:tcPr>
            <w:tcW w:w="2821" w:type="dxa"/>
            <w:noWrap/>
            <w:vAlign w:val="center"/>
          </w:tcPr>
          <w:p w14:paraId="414D629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输出三相不平衡能力</w:t>
            </w:r>
          </w:p>
        </w:tc>
        <w:tc>
          <w:tcPr>
            <w:tcW w:w="4435" w:type="dxa"/>
            <w:noWrap/>
            <w:vAlign w:val="center"/>
          </w:tcPr>
          <w:p w14:paraId="0BA1C95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100%</w:t>
            </w:r>
          </w:p>
        </w:tc>
        <w:tc>
          <w:tcPr>
            <w:tcW w:w="1108" w:type="dxa"/>
            <w:vMerge w:val="continue"/>
            <w:noWrap/>
            <w:vAlign w:val="center"/>
          </w:tcPr>
          <w:p w14:paraId="64FFBD3D">
            <w:pPr>
              <w:pStyle w:val="30"/>
              <w:spacing w:line="360" w:lineRule="auto"/>
              <w:rPr>
                <w:rFonts w:ascii="仿宋" w:hAnsi="仿宋" w:eastAsia="仿宋" w:cs="仿宋"/>
                <w:color w:val="000000"/>
                <w:sz w:val="24"/>
                <w:szCs w:val="22"/>
              </w:rPr>
            </w:pPr>
          </w:p>
        </w:tc>
      </w:tr>
      <w:tr w14:paraId="21D5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59D2ADA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4.15</w:t>
            </w:r>
          </w:p>
        </w:tc>
        <w:tc>
          <w:tcPr>
            <w:tcW w:w="2821" w:type="dxa"/>
            <w:noWrap/>
            <w:vAlign w:val="center"/>
          </w:tcPr>
          <w:p w14:paraId="3286CDB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输出电压不平衡度</w:t>
            </w:r>
          </w:p>
        </w:tc>
        <w:tc>
          <w:tcPr>
            <w:tcW w:w="4435" w:type="dxa"/>
            <w:noWrap/>
            <w:vAlign w:val="center"/>
          </w:tcPr>
          <w:p w14:paraId="3A2A4D5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≤0.5％ （平衡负载）</w:t>
            </w:r>
          </w:p>
          <w:p w14:paraId="4D956F6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≤1.5％ （不平衡负载）</w:t>
            </w:r>
          </w:p>
        </w:tc>
        <w:tc>
          <w:tcPr>
            <w:tcW w:w="1108" w:type="dxa"/>
            <w:vMerge w:val="continue"/>
            <w:noWrap/>
            <w:vAlign w:val="center"/>
          </w:tcPr>
          <w:p w14:paraId="7AA737E4">
            <w:pPr>
              <w:pStyle w:val="30"/>
              <w:spacing w:line="360" w:lineRule="auto"/>
              <w:rPr>
                <w:rFonts w:ascii="仿宋" w:hAnsi="仿宋" w:eastAsia="仿宋" w:cs="仿宋"/>
                <w:color w:val="000000"/>
                <w:sz w:val="24"/>
                <w:szCs w:val="22"/>
              </w:rPr>
            </w:pPr>
          </w:p>
        </w:tc>
      </w:tr>
      <w:tr w14:paraId="01DB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1A4072F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4.16</w:t>
            </w:r>
          </w:p>
        </w:tc>
        <w:tc>
          <w:tcPr>
            <w:tcW w:w="2821" w:type="dxa"/>
            <w:noWrap/>
            <w:vAlign w:val="center"/>
          </w:tcPr>
          <w:p w14:paraId="1193389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输出电压的失真度（THDU）</w:t>
            </w:r>
          </w:p>
        </w:tc>
        <w:tc>
          <w:tcPr>
            <w:tcW w:w="4435" w:type="dxa"/>
            <w:noWrap/>
            <w:vAlign w:val="center"/>
          </w:tcPr>
          <w:p w14:paraId="1579D84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≤1%（市电阻性负载）</w:t>
            </w:r>
          </w:p>
          <w:p w14:paraId="3E6FA44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≤3%（市电非线性负载）</w:t>
            </w:r>
          </w:p>
        </w:tc>
        <w:tc>
          <w:tcPr>
            <w:tcW w:w="1108" w:type="dxa"/>
            <w:vMerge w:val="continue"/>
            <w:noWrap/>
            <w:vAlign w:val="center"/>
          </w:tcPr>
          <w:p w14:paraId="28356DEB">
            <w:pPr>
              <w:pStyle w:val="30"/>
              <w:spacing w:line="360" w:lineRule="auto"/>
              <w:rPr>
                <w:rFonts w:ascii="仿宋" w:hAnsi="仿宋" w:eastAsia="仿宋" w:cs="仿宋"/>
                <w:color w:val="000000"/>
                <w:sz w:val="24"/>
                <w:szCs w:val="22"/>
              </w:rPr>
            </w:pPr>
          </w:p>
        </w:tc>
      </w:tr>
      <w:tr w14:paraId="797F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392299F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w:t>
            </w:r>
          </w:p>
        </w:tc>
        <w:tc>
          <w:tcPr>
            <w:tcW w:w="7256" w:type="dxa"/>
            <w:gridSpan w:val="2"/>
            <w:noWrap/>
            <w:vAlign w:val="center"/>
          </w:tcPr>
          <w:p w14:paraId="09E7BEF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系统特性</w:t>
            </w:r>
          </w:p>
        </w:tc>
        <w:tc>
          <w:tcPr>
            <w:tcW w:w="1108" w:type="dxa"/>
            <w:vMerge w:val="continue"/>
            <w:noWrap/>
            <w:vAlign w:val="center"/>
          </w:tcPr>
          <w:p w14:paraId="4B65914E">
            <w:pPr>
              <w:pStyle w:val="30"/>
              <w:spacing w:line="360" w:lineRule="auto"/>
              <w:rPr>
                <w:rFonts w:ascii="仿宋" w:hAnsi="仿宋" w:eastAsia="仿宋" w:cs="仿宋"/>
                <w:color w:val="000000"/>
                <w:sz w:val="24"/>
                <w:szCs w:val="22"/>
              </w:rPr>
            </w:pPr>
          </w:p>
        </w:tc>
      </w:tr>
      <w:tr w14:paraId="1D53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46F5C0E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5.1</w:t>
            </w:r>
          </w:p>
        </w:tc>
        <w:tc>
          <w:tcPr>
            <w:tcW w:w="2821" w:type="dxa"/>
            <w:noWrap/>
            <w:vAlign w:val="center"/>
          </w:tcPr>
          <w:p w14:paraId="5455807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系统效率（100%负载）</w:t>
            </w:r>
          </w:p>
        </w:tc>
        <w:tc>
          <w:tcPr>
            <w:tcW w:w="4435" w:type="dxa"/>
            <w:noWrap/>
            <w:vAlign w:val="center"/>
          </w:tcPr>
          <w:p w14:paraId="4342B18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≥94%</w:t>
            </w:r>
          </w:p>
        </w:tc>
        <w:tc>
          <w:tcPr>
            <w:tcW w:w="1108" w:type="dxa"/>
            <w:vMerge w:val="continue"/>
            <w:noWrap/>
            <w:vAlign w:val="center"/>
          </w:tcPr>
          <w:p w14:paraId="16AA7873">
            <w:pPr>
              <w:pStyle w:val="30"/>
              <w:spacing w:line="360" w:lineRule="auto"/>
              <w:rPr>
                <w:rFonts w:ascii="仿宋" w:hAnsi="仿宋" w:eastAsia="仿宋" w:cs="仿宋"/>
                <w:color w:val="000000"/>
                <w:sz w:val="24"/>
                <w:szCs w:val="22"/>
              </w:rPr>
            </w:pPr>
          </w:p>
        </w:tc>
      </w:tr>
      <w:tr w14:paraId="1797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6758A7C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5.2</w:t>
            </w:r>
          </w:p>
        </w:tc>
        <w:tc>
          <w:tcPr>
            <w:tcW w:w="2821" w:type="dxa"/>
            <w:noWrap/>
            <w:vAlign w:val="center"/>
          </w:tcPr>
          <w:p w14:paraId="34D381D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并机能力</w:t>
            </w:r>
          </w:p>
        </w:tc>
        <w:tc>
          <w:tcPr>
            <w:tcW w:w="4435" w:type="dxa"/>
            <w:noWrap/>
            <w:vAlign w:val="center"/>
          </w:tcPr>
          <w:p w14:paraId="3D7DDA5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4台（10～40KVA适用），6台（60KVA适用），</w:t>
            </w:r>
          </w:p>
        </w:tc>
        <w:tc>
          <w:tcPr>
            <w:tcW w:w="1108" w:type="dxa"/>
            <w:vMerge w:val="continue"/>
            <w:noWrap/>
            <w:vAlign w:val="center"/>
          </w:tcPr>
          <w:p w14:paraId="0719C354">
            <w:pPr>
              <w:pStyle w:val="30"/>
              <w:spacing w:line="360" w:lineRule="auto"/>
              <w:rPr>
                <w:rFonts w:ascii="仿宋" w:hAnsi="仿宋" w:eastAsia="仿宋" w:cs="仿宋"/>
                <w:color w:val="000000"/>
                <w:sz w:val="24"/>
                <w:szCs w:val="22"/>
              </w:rPr>
            </w:pPr>
          </w:p>
        </w:tc>
      </w:tr>
      <w:tr w14:paraId="2CC6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02B84CA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5.3</w:t>
            </w:r>
          </w:p>
        </w:tc>
        <w:tc>
          <w:tcPr>
            <w:tcW w:w="2821" w:type="dxa"/>
            <w:noWrap/>
            <w:vAlign w:val="center"/>
          </w:tcPr>
          <w:p w14:paraId="563D775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输入/输出绝缘电阻</w:t>
            </w:r>
          </w:p>
        </w:tc>
        <w:tc>
          <w:tcPr>
            <w:tcW w:w="4435" w:type="dxa"/>
            <w:noWrap/>
            <w:vAlign w:val="center"/>
          </w:tcPr>
          <w:p w14:paraId="2930527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用绝缘电阻测试仪（500V档）分别测量输入端、输出端对地的绝缘电阻，应＞100MΏ。</w:t>
            </w:r>
          </w:p>
        </w:tc>
        <w:tc>
          <w:tcPr>
            <w:tcW w:w="1108" w:type="dxa"/>
            <w:vMerge w:val="continue"/>
            <w:noWrap/>
            <w:vAlign w:val="center"/>
          </w:tcPr>
          <w:p w14:paraId="4F68AEBD">
            <w:pPr>
              <w:pStyle w:val="30"/>
              <w:spacing w:line="360" w:lineRule="auto"/>
              <w:rPr>
                <w:rFonts w:ascii="仿宋" w:hAnsi="仿宋" w:eastAsia="仿宋" w:cs="仿宋"/>
                <w:color w:val="000000"/>
                <w:sz w:val="24"/>
                <w:szCs w:val="22"/>
              </w:rPr>
            </w:pPr>
          </w:p>
        </w:tc>
      </w:tr>
      <w:tr w14:paraId="6695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7286C36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5.4</w:t>
            </w:r>
          </w:p>
        </w:tc>
        <w:tc>
          <w:tcPr>
            <w:tcW w:w="2821" w:type="dxa"/>
            <w:noWrap/>
            <w:vAlign w:val="center"/>
          </w:tcPr>
          <w:p w14:paraId="42B2DFD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绝缘强度</w:t>
            </w:r>
          </w:p>
        </w:tc>
        <w:tc>
          <w:tcPr>
            <w:tcW w:w="4435" w:type="dxa"/>
            <w:noWrap/>
            <w:vAlign w:val="center"/>
          </w:tcPr>
          <w:p w14:paraId="7E64A2A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UPS电源输入端、输出端对地应能承受50Hz、2000V交流电压1min漏电流应少于10mA或2800V直流电压1min漏电电流应少于1mA，无击穿，无飞弧。</w:t>
            </w:r>
          </w:p>
        </w:tc>
        <w:tc>
          <w:tcPr>
            <w:tcW w:w="1108" w:type="dxa"/>
            <w:vMerge w:val="continue"/>
            <w:noWrap/>
            <w:vAlign w:val="center"/>
          </w:tcPr>
          <w:p w14:paraId="2FEFC1FB">
            <w:pPr>
              <w:pStyle w:val="30"/>
              <w:spacing w:line="360" w:lineRule="auto"/>
              <w:rPr>
                <w:rFonts w:ascii="仿宋" w:hAnsi="仿宋" w:eastAsia="仿宋" w:cs="仿宋"/>
                <w:color w:val="000000"/>
                <w:sz w:val="24"/>
                <w:szCs w:val="22"/>
              </w:rPr>
            </w:pPr>
          </w:p>
        </w:tc>
      </w:tr>
      <w:tr w14:paraId="35E8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4EF435F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5.5</w:t>
            </w:r>
          </w:p>
        </w:tc>
        <w:tc>
          <w:tcPr>
            <w:tcW w:w="2821" w:type="dxa"/>
            <w:noWrap/>
            <w:vAlign w:val="center"/>
          </w:tcPr>
          <w:p w14:paraId="75490F8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对地漏电流</w:t>
            </w:r>
          </w:p>
        </w:tc>
        <w:tc>
          <w:tcPr>
            <w:tcW w:w="4435" w:type="dxa"/>
            <w:noWrap/>
            <w:vAlign w:val="center"/>
          </w:tcPr>
          <w:p w14:paraId="529C926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保护地（PE）对输入的中性线（N）的接触电流应不大于1mA。</w:t>
            </w:r>
          </w:p>
        </w:tc>
        <w:tc>
          <w:tcPr>
            <w:tcW w:w="1108" w:type="dxa"/>
            <w:vMerge w:val="continue"/>
            <w:noWrap/>
            <w:vAlign w:val="center"/>
          </w:tcPr>
          <w:p w14:paraId="3B551AFF">
            <w:pPr>
              <w:pStyle w:val="30"/>
              <w:spacing w:line="360" w:lineRule="auto"/>
              <w:rPr>
                <w:rFonts w:ascii="仿宋" w:hAnsi="仿宋" w:eastAsia="仿宋" w:cs="仿宋"/>
                <w:color w:val="000000"/>
                <w:sz w:val="24"/>
                <w:szCs w:val="22"/>
              </w:rPr>
            </w:pPr>
          </w:p>
        </w:tc>
      </w:tr>
      <w:tr w14:paraId="65E5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232CDA0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5.6</w:t>
            </w:r>
          </w:p>
        </w:tc>
        <w:tc>
          <w:tcPr>
            <w:tcW w:w="2821" w:type="dxa"/>
            <w:noWrap/>
            <w:vAlign w:val="center"/>
          </w:tcPr>
          <w:p w14:paraId="03E02DB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防护等级</w:t>
            </w:r>
          </w:p>
        </w:tc>
        <w:tc>
          <w:tcPr>
            <w:tcW w:w="4435" w:type="dxa"/>
            <w:noWrap/>
            <w:vAlign w:val="center"/>
          </w:tcPr>
          <w:p w14:paraId="5DBEA74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IP20</w:t>
            </w:r>
          </w:p>
        </w:tc>
        <w:tc>
          <w:tcPr>
            <w:tcW w:w="1108" w:type="dxa"/>
            <w:vMerge w:val="continue"/>
            <w:noWrap/>
            <w:vAlign w:val="center"/>
          </w:tcPr>
          <w:p w14:paraId="5951B29A">
            <w:pPr>
              <w:pStyle w:val="30"/>
              <w:spacing w:line="360" w:lineRule="auto"/>
              <w:rPr>
                <w:rFonts w:ascii="仿宋" w:hAnsi="仿宋" w:eastAsia="仿宋" w:cs="仿宋"/>
                <w:color w:val="000000"/>
                <w:sz w:val="24"/>
                <w:szCs w:val="22"/>
              </w:rPr>
            </w:pPr>
          </w:p>
        </w:tc>
      </w:tr>
      <w:tr w14:paraId="45D6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4870B21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w:t>
            </w:r>
          </w:p>
        </w:tc>
        <w:tc>
          <w:tcPr>
            <w:tcW w:w="8364" w:type="dxa"/>
            <w:gridSpan w:val="3"/>
            <w:noWrap/>
            <w:vAlign w:val="center"/>
          </w:tcPr>
          <w:p w14:paraId="650A544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电池</w:t>
            </w:r>
          </w:p>
        </w:tc>
      </w:tr>
      <w:tr w14:paraId="5464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noWrap/>
            <w:vAlign w:val="center"/>
          </w:tcPr>
          <w:p w14:paraId="51CAB1A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6.1</w:t>
            </w:r>
          </w:p>
        </w:tc>
        <w:tc>
          <w:tcPr>
            <w:tcW w:w="2821" w:type="dxa"/>
            <w:noWrap/>
            <w:vAlign w:val="center"/>
          </w:tcPr>
          <w:p w14:paraId="1A966FC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最大充电电流（A）</w:t>
            </w:r>
          </w:p>
        </w:tc>
        <w:tc>
          <w:tcPr>
            <w:tcW w:w="4435" w:type="dxa"/>
            <w:noWrap/>
            <w:vAlign w:val="center"/>
          </w:tcPr>
          <w:p w14:paraId="501C23C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12V200AH</w:t>
            </w:r>
          </w:p>
        </w:tc>
        <w:tc>
          <w:tcPr>
            <w:tcW w:w="1108" w:type="dxa"/>
            <w:noWrap/>
            <w:vAlign w:val="center"/>
          </w:tcPr>
          <w:p w14:paraId="270F878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128块</w:t>
            </w:r>
          </w:p>
        </w:tc>
      </w:tr>
    </w:tbl>
    <w:p w14:paraId="7CBF1269">
      <w:pPr>
        <w:pStyle w:val="30"/>
        <w:spacing w:line="360" w:lineRule="auto"/>
        <w:rPr>
          <w:rFonts w:ascii="仿宋" w:hAnsi="仿宋" w:eastAsia="仿宋" w:cs="仿宋"/>
          <w:color w:val="000000"/>
          <w:sz w:val="24"/>
          <w:szCs w:val="22"/>
        </w:rPr>
      </w:pPr>
    </w:p>
    <w:p w14:paraId="140B73AC">
      <w:pPr>
        <w:pStyle w:val="30"/>
        <w:spacing w:line="360" w:lineRule="auto"/>
        <w:outlineLvl w:val="3"/>
        <w:rPr>
          <w:rFonts w:ascii="仿宋" w:hAnsi="仿宋" w:eastAsia="仿宋" w:cs="仿宋"/>
          <w:color w:val="000000"/>
          <w:sz w:val="24"/>
          <w:szCs w:val="22"/>
        </w:rPr>
      </w:pPr>
      <w:r>
        <w:rPr>
          <w:rFonts w:hint="eastAsia" w:ascii="仿宋" w:hAnsi="仿宋" w:eastAsia="仿宋" w:cs="仿宋"/>
          <w:color w:val="000000"/>
          <w:sz w:val="24"/>
          <w:szCs w:val="22"/>
        </w:rPr>
        <w:t>（3）建筑安防系统设备材料需求</w:t>
      </w:r>
    </w:p>
    <w:p w14:paraId="2B33909B">
      <w:pPr>
        <w:pStyle w:val="30"/>
        <w:spacing w:line="360" w:lineRule="auto"/>
        <w:outlineLvl w:val="4"/>
        <w:rPr>
          <w:rFonts w:ascii="仿宋" w:hAnsi="仿宋" w:eastAsia="仿宋" w:cs="仿宋"/>
          <w:color w:val="000000"/>
          <w:sz w:val="24"/>
          <w:szCs w:val="22"/>
        </w:rPr>
      </w:pPr>
      <w:r>
        <w:rPr>
          <w:rFonts w:hint="eastAsia" w:ascii="仿宋" w:hAnsi="仿宋" w:eastAsia="仿宋" w:cs="仿宋"/>
          <w:color w:val="000000"/>
          <w:sz w:val="24"/>
          <w:szCs w:val="22"/>
        </w:rPr>
        <w:t>I视频监控子系统</w:t>
      </w:r>
    </w:p>
    <w:p w14:paraId="62A9723C">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视频监控系统采用全数字监控系统，图像质量不低于1080P，存储码流不低于4M。常规存储不低于90天、重要区域存储不低于180天。系统包含：前端各类型摄像机、国产化磁盘阵列存储、综合管理平台、数据库、解码器以及拼接大屏。控制中心设于一层安防与消防中心。</w:t>
      </w:r>
    </w:p>
    <w:p w14:paraId="4B639EE6">
      <w:pPr>
        <w:pStyle w:val="30"/>
        <w:spacing w:line="360" w:lineRule="auto"/>
        <w:rPr>
          <w:rFonts w:ascii="仿宋" w:hAnsi="仿宋" w:eastAsia="仿宋" w:cs="仿宋"/>
          <w:b/>
          <w:bCs/>
          <w:color w:val="000000"/>
          <w:sz w:val="24"/>
          <w:szCs w:val="22"/>
        </w:rPr>
      </w:pPr>
      <w:r>
        <w:rPr>
          <w:rFonts w:hint="eastAsia" w:ascii="仿宋" w:hAnsi="仿宋" w:eastAsia="仿宋" w:cs="仿宋"/>
          <w:b/>
          <w:bCs/>
          <w:color w:val="000000"/>
          <w:sz w:val="24"/>
          <w:szCs w:val="22"/>
        </w:rPr>
        <w:t>视频监控系统终端设备包含（服务器、软件、客户端、存储、安全网关等）采用纯国产芯片及操作系统设备。设备及系统需经过信息安全评测。</w:t>
      </w:r>
    </w:p>
    <w:tbl>
      <w:tblPr>
        <w:tblStyle w:val="45"/>
        <w:tblW w:w="9111" w:type="dxa"/>
        <w:tblInd w:w="93" w:type="dxa"/>
        <w:tblLayout w:type="fixed"/>
        <w:tblCellMar>
          <w:top w:w="0" w:type="dxa"/>
          <w:left w:w="108" w:type="dxa"/>
          <w:bottom w:w="0" w:type="dxa"/>
          <w:right w:w="108" w:type="dxa"/>
        </w:tblCellMar>
      </w:tblPr>
      <w:tblGrid>
        <w:gridCol w:w="680"/>
        <w:gridCol w:w="1001"/>
        <w:gridCol w:w="6191"/>
        <w:gridCol w:w="1239"/>
      </w:tblGrid>
      <w:tr w14:paraId="310E4BE9">
        <w:tblPrEx>
          <w:tblCellMar>
            <w:top w:w="0" w:type="dxa"/>
            <w:left w:w="108" w:type="dxa"/>
            <w:bottom w:w="0" w:type="dxa"/>
            <w:right w:w="108" w:type="dxa"/>
          </w:tblCellMar>
        </w:tblPrEx>
        <w:trPr>
          <w:trHeight w:val="27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6611DC2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序号</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7FB154D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设备名称</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41282DB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★基本参数</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B702B0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数量</w:t>
            </w:r>
          </w:p>
        </w:tc>
      </w:tr>
      <w:tr w14:paraId="41530DFF">
        <w:tblPrEx>
          <w:tblCellMar>
            <w:top w:w="0" w:type="dxa"/>
            <w:left w:w="108" w:type="dxa"/>
            <w:bottom w:w="0" w:type="dxa"/>
            <w:right w:w="108" w:type="dxa"/>
          </w:tblCellMar>
        </w:tblPrEx>
        <w:trPr>
          <w:trHeight w:val="2625"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61AAA1C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06BC029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档案库半球摄像机</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76998F4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1.图像传感器优于或相当于1/2.8英寸CMOS；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2.图像像素不低于200万；</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3.支持电动变焦，焦距调节范围不小于2.7~13.5mm；</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4.图像分辨率≥ 1920*1080；</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5.最低照度不低于0.0005lux(彩色)，0.0001lux(黑白)；</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6.照度适应范围不小于135dB；</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7.支持不少于音频1入1出，告警1入1出；</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8.支持开启走廊模式，监控画面可90°旋转并自动调整宽高比；</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9.支持内置拾音，可对距离设备不少于15m处的声音进行采集，并可通过客户端软件进行播放；</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10.支持启用视频内容保护功能，可对视频图像码流进行随机混淆处理，通过平台播放、回放下载设备的视频需要解码密钥；</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11. 支持人脸抓拍功能，可对经过设定区域的行人进行人脸检测和人脸跟踪，当检测到人脸后，可抓拍人脸图片，抓拍图片数量可设，可设置抓拍人脸小图，在同一场景中可同时对≥8张人脸进行检测并进行图片抓拍；</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12.供电方式：DC12V(±25%)、POE；</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13.防护等级≥IP67。</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AE772E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92台</w:t>
            </w:r>
          </w:p>
        </w:tc>
      </w:tr>
      <w:tr w14:paraId="16A1D2F1">
        <w:tblPrEx>
          <w:tblCellMar>
            <w:top w:w="0" w:type="dxa"/>
            <w:left w:w="108" w:type="dxa"/>
            <w:bottom w:w="0" w:type="dxa"/>
            <w:right w:w="108" w:type="dxa"/>
          </w:tblCellMar>
        </w:tblPrEx>
        <w:trPr>
          <w:trHeight w:val="351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3C09D29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1238F96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半球网络摄像机</w:t>
            </w:r>
          </w:p>
        </w:tc>
        <w:tc>
          <w:tcPr>
            <w:tcW w:w="6191" w:type="dxa"/>
            <w:tcBorders>
              <w:top w:val="single" w:color="000000" w:sz="4" w:space="0"/>
              <w:left w:val="single" w:color="000000" w:sz="4" w:space="0"/>
              <w:bottom w:val="single" w:color="000000" w:sz="4" w:space="0"/>
              <w:right w:val="single" w:color="000000" w:sz="4" w:space="0"/>
            </w:tcBorders>
            <w:noWrap/>
            <w:vAlign w:val="bottom"/>
          </w:tcPr>
          <w:p w14:paraId="5F2F312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1.200万像素1/2.8"海螺半球网络摄像机；</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2.焦距支持2.8/4.0/6.0mm定焦可选；</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3.最低照度不低于0.0005lux(彩色)，0.0001lux(黑白)；</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4.水平中心分辨力检验≥1100TVL；</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5.支持拾音功能，设备可对距离设备15m处的声音进行采集，并可通过客户端软件进行播放；</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6.支持识别距离设备100m处人体轮廓（1.7m×0.5m）轮廓；</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7.支持内置Mic；</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8.支持MicroSD卡插槽，支持 MicroSDHC/MicroSDXC，支持容量小于等于512GB的内存卡；</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9.支持人脸抓拍功能，可对经过设定区域的行人进行人脸检测和人脸跟踪，当检测到人脸后，可抓拍人脸图片，抓拍图片数量可设，可设置抓拍人脸小图，在同一场景中可同时对≥8张人脸进行检测并进行图片抓拍；</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10.支持通过IE浏览器或客户端软件设置身份认证模式，设置选项包括无、Basic和Digest三种；</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11.供电方式：DC12V(±25%)、POE；</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12.支持防护等级≥IP67。</w:t>
            </w:r>
          </w:p>
        </w:tc>
        <w:tc>
          <w:tcPr>
            <w:tcW w:w="1239" w:type="dxa"/>
            <w:tcBorders>
              <w:top w:val="single" w:color="000000" w:sz="4" w:space="0"/>
              <w:left w:val="single" w:color="000000" w:sz="4" w:space="0"/>
              <w:bottom w:val="single" w:color="000000" w:sz="4" w:space="0"/>
              <w:right w:val="single" w:color="000000" w:sz="4" w:space="0"/>
            </w:tcBorders>
            <w:noWrap/>
            <w:vAlign w:val="bottom"/>
          </w:tcPr>
          <w:p w14:paraId="7524E18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110台</w:t>
            </w:r>
          </w:p>
        </w:tc>
      </w:tr>
      <w:tr w14:paraId="4435A561">
        <w:tblPrEx>
          <w:tblCellMar>
            <w:top w:w="0" w:type="dxa"/>
            <w:left w:w="108" w:type="dxa"/>
            <w:bottom w:w="0" w:type="dxa"/>
            <w:right w:w="108" w:type="dxa"/>
          </w:tblCellMar>
        </w:tblPrEx>
        <w:trPr>
          <w:trHeight w:val="351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252E371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1613C01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枪式摄像机</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277FE8F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1.图像传感器优于或相当于1/2.8英寸CMOS；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2.图像像素不低于200万；</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3.焦距支持4.0/6.0/8.0/12.0mm定焦可选；</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4.图像分辨率≥1920×1080；</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5.支持MicroSD卡插槽，支持 MicroSDHC/MicroSDXC，支持容量小于等于512GB的内存卡，支持内存卡热插拔；</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6.最低照度检验：彩色≤0.0005lux，黑色≤0.0001lux；</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7.支持识别距离设备不低于150m处人体轮廓（1.7m×0.5m）轮廓；</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8.支持开启走廊模式后，监控画面可90°旋转并自动调整宽高比；</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9.支持人脸抓拍功能，可对经过设定区域的行人进行人脸检测和人脸跟踪，当检测到人脸后，可抓拍人脸图片，抓拍图片数量可设，可设置抓拍人脸小图，在同一场景中可同时对≥8张人脸进行检测并进行图片抓拍；</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10.支持网关ARP绑定功能，当使用错误的网关MAC地址即不是设备绑定的MAC地址则不能访问设备；</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11.支持内置高品质麦克风，声音效果洪亮清晰；</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12.防护等级≥IP67。</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351D024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77台</w:t>
            </w:r>
          </w:p>
        </w:tc>
      </w:tr>
      <w:tr w14:paraId="154DFAE1">
        <w:tblPrEx>
          <w:tblCellMar>
            <w:top w:w="0" w:type="dxa"/>
            <w:left w:w="108" w:type="dxa"/>
            <w:bottom w:w="0" w:type="dxa"/>
            <w:right w:w="108" w:type="dxa"/>
          </w:tblCellMar>
        </w:tblPrEx>
        <w:trPr>
          <w:trHeight w:val="27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11BE32C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2C246C4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枪机支架</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7BFFE50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铝合金材质，用于枪机壁装</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085DCBF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77个</w:t>
            </w:r>
          </w:p>
        </w:tc>
      </w:tr>
      <w:tr w14:paraId="394F2D55">
        <w:tblPrEx>
          <w:tblCellMar>
            <w:top w:w="0" w:type="dxa"/>
            <w:left w:w="108" w:type="dxa"/>
            <w:bottom w:w="0" w:type="dxa"/>
            <w:right w:w="108" w:type="dxa"/>
          </w:tblCellMar>
        </w:tblPrEx>
        <w:trPr>
          <w:trHeight w:val="459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21ABCBD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445C1B1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室内外球形摄像机</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44A93F9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1.图像传感器优于或相当于1/2.7英寸CMOS；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2.图像像素不低于200万；</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3.支持内置CPU、GPU、NPU一体化芯片、8GB eMMC芯片，具有不少于1个RJ45接口、2个报警输入接口、1个报警输出接口、1个音频输入接口、1个音频输出接口、1个RS485接口、1个TF卡槽；</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4.焦距范围不小于5.0~165mm，33倍光学变倍；</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5.图像分辨率≥ 1920*1080；</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6.最低照度不低于0.00051x (彩色)，0.00011x(黑白)；</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7.补光距离不小于150米红外补光；</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8.预置位不少于1024个；</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9.支持MJPEG、H.264、H.265等多种视频编码格式；在同一静止场景、相同图像参数，摄像机开启高级编码模式与普通模式相比，码率减少≥92％；</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10.支持人脸抓拍功能，支持对两眼瞳距不小于20像素的人脸进行检测，同时叠加目标提示框，支持同时对至少40个人脸目标进行检测支持一键人脸抓拍功能；</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11.支持在设备启动过程中若发现当前启动阶段代码有非法篡改，立即停止系统，不再启动；</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12.支持启用视频内容保护功能，可对视频图像码流进行随机混淆处理，通过平台播放、回放下载设备的视频需要解码密钥；</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13.供电方式：DC12V±10%；</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14.防护等级≥IP66。</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71CE297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7台</w:t>
            </w:r>
          </w:p>
        </w:tc>
      </w:tr>
      <w:tr w14:paraId="2AAE9024">
        <w:tblPrEx>
          <w:tblCellMar>
            <w:top w:w="0" w:type="dxa"/>
            <w:left w:w="108" w:type="dxa"/>
            <w:bottom w:w="0" w:type="dxa"/>
            <w:right w:w="108" w:type="dxa"/>
          </w:tblCellMar>
        </w:tblPrEx>
        <w:trPr>
          <w:trHeight w:val="27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04DAB2F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20F454E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球机支架</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1BD8812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铝合金材质，用于球机安装</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747A08D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7个</w:t>
            </w:r>
          </w:p>
        </w:tc>
      </w:tr>
      <w:tr w14:paraId="70244FA4">
        <w:tblPrEx>
          <w:tblCellMar>
            <w:top w:w="0" w:type="dxa"/>
            <w:left w:w="108" w:type="dxa"/>
            <w:bottom w:w="0" w:type="dxa"/>
            <w:right w:w="108" w:type="dxa"/>
          </w:tblCellMar>
        </w:tblPrEx>
        <w:trPr>
          <w:trHeight w:val="378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261072F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w:t>
            </w:r>
          </w:p>
        </w:tc>
        <w:tc>
          <w:tcPr>
            <w:tcW w:w="1001" w:type="dxa"/>
            <w:vMerge w:val="restart"/>
            <w:tcBorders>
              <w:top w:val="single" w:color="000000" w:sz="4" w:space="0"/>
              <w:left w:val="single" w:color="000000" w:sz="4" w:space="0"/>
              <w:bottom w:val="single" w:color="000000" w:sz="4" w:space="0"/>
              <w:right w:val="single" w:color="000000" w:sz="4" w:space="0"/>
            </w:tcBorders>
            <w:noWrap/>
            <w:vAlign w:val="center"/>
          </w:tcPr>
          <w:p w14:paraId="13CA79A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电梯</w:t>
            </w:r>
            <w:r>
              <w:rPr>
                <w:rFonts w:hint="eastAsia" w:ascii="仿宋" w:hAnsi="仿宋" w:eastAsia="仿宋" w:cs="仿宋"/>
                <w:color w:val="000000"/>
                <w:sz w:val="24"/>
                <w:szCs w:val="22"/>
                <w:lang w:eastAsia="zh-CN"/>
              </w:rPr>
              <w:t>摄像机</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24969C5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1.图像传感器优于或相当于1/2.8英寸CMOS；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2.图像像素不低于200万；</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3.焦距不小于2.8mm；</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4.图像分辨率≥ 1920*1080；</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5.最低照度不低于0.0005lux (彩色)，0.0001 lux(黑白)；</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6.照度适应范围不小于135dB；</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7.水平中心分辨力≥1100TVL；</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8.支持内置拾音，可对距离设备不少于15m处的声音进行采集，并可通过客户端软件进行播放；</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 xml:space="preserve">9.支持MicroSD卡插槽，支持 MicroSDHC/MicroSDXC，支持容量小于等于512GB的内存卡；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10.支持启用视频内容保护功能，可对视频图像码流进行随机混淆处理，通过平台播放、回放下载设备的视频需要解码密钥；</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11.支持网关ARP绑定功能，当使用错误的网关MAC地址即不是设备绑定的MAC地址则不能访问设备；</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12.供电方式：DC12V(±25%)、POE；</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13.防护等级≥IP67；</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14.</w:t>
            </w:r>
            <w:r>
              <w:rPr>
                <w:rFonts w:hint="eastAsia" w:ascii="仿宋" w:hAnsi="仿宋" w:eastAsia="仿宋" w:cs="仿宋"/>
                <w:color w:val="000000"/>
                <w:sz w:val="24"/>
                <w:szCs w:val="22"/>
                <w:lang w:eastAsia="zh-CN"/>
              </w:rPr>
              <w:t>防爆</w:t>
            </w:r>
            <w:r>
              <w:rPr>
                <w:rFonts w:hint="eastAsia" w:ascii="仿宋" w:hAnsi="仿宋" w:eastAsia="仿宋" w:cs="仿宋"/>
                <w:color w:val="000000"/>
                <w:sz w:val="24"/>
                <w:szCs w:val="22"/>
              </w:rPr>
              <w:t>等级≥IK10。</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B43269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3台</w:t>
            </w:r>
          </w:p>
        </w:tc>
      </w:tr>
      <w:tr w14:paraId="6B141444">
        <w:tblPrEx>
          <w:tblCellMar>
            <w:top w:w="0" w:type="dxa"/>
            <w:left w:w="108" w:type="dxa"/>
            <w:bottom w:w="0" w:type="dxa"/>
            <w:right w:w="108" w:type="dxa"/>
          </w:tblCellMar>
        </w:tblPrEx>
        <w:trPr>
          <w:trHeight w:val="81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3439F43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w:t>
            </w:r>
          </w:p>
        </w:tc>
        <w:tc>
          <w:tcPr>
            <w:tcW w:w="1001" w:type="dxa"/>
            <w:vMerge w:val="continue"/>
            <w:tcBorders>
              <w:top w:val="single" w:color="000000" w:sz="4" w:space="0"/>
              <w:left w:val="single" w:color="000000" w:sz="4" w:space="0"/>
              <w:bottom w:val="single" w:color="000000" w:sz="4" w:space="0"/>
              <w:right w:val="single" w:color="000000" w:sz="4" w:space="0"/>
            </w:tcBorders>
            <w:noWrap/>
            <w:vAlign w:val="center"/>
          </w:tcPr>
          <w:p w14:paraId="1C476425">
            <w:pPr>
              <w:pStyle w:val="30"/>
              <w:spacing w:line="360" w:lineRule="auto"/>
              <w:rPr>
                <w:rFonts w:ascii="仿宋" w:hAnsi="仿宋" w:eastAsia="仿宋" w:cs="仿宋"/>
                <w:color w:val="000000"/>
                <w:sz w:val="24"/>
                <w:szCs w:val="22"/>
              </w:rPr>
            </w:pP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391F943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1.输入不小于100-240V~50/60Hz，最大0.7A；</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2.输出不小于12V/2.0A；</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3.工作环境范围不小于-40℃~45℃。</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21C5C3A5">
            <w:pPr>
              <w:pStyle w:val="30"/>
              <w:spacing w:line="360" w:lineRule="auto"/>
              <w:rPr>
                <w:rFonts w:ascii="仿宋" w:hAnsi="仿宋" w:eastAsia="仿宋" w:cs="仿宋"/>
                <w:color w:val="000000"/>
                <w:sz w:val="24"/>
                <w:szCs w:val="22"/>
              </w:rPr>
            </w:pPr>
          </w:p>
        </w:tc>
      </w:tr>
      <w:tr w14:paraId="5C409289">
        <w:tblPrEx>
          <w:tblCellMar>
            <w:top w:w="0" w:type="dxa"/>
            <w:left w:w="108" w:type="dxa"/>
            <w:bottom w:w="0" w:type="dxa"/>
            <w:right w:w="108" w:type="dxa"/>
          </w:tblCellMar>
        </w:tblPrEx>
        <w:trPr>
          <w:trHeight w:val="135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05E4946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7878FEC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无线网桥</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16F5D75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端口速率:≥百兆</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支持标准:IEEE802.11 b/g/n（2T2R 300Mbps）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支持协议:不少于 TCP/UDP/ARP/ICMP/DHCP/HTTP/NTP</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最大传输距离:≥200m</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整机功耗:5W</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4E47B17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3套</w:t>
            </w:r>
          </w:p>
        </w:tc>
      </w:tr>
      <w:tr w14:paraId="681397F8">
        <w:tblPrEx>
          <w:tblCellMar>
            <w:top w:w="0" w:type="dxa"/>
            <w:left w:w="108" w:type="dxa"/>
            <w:bottom w:w="0" w:type="dxa"/>
            <w:right w:w="108" w:type="dxa"/>
          </w:tblCellMar>
        </w:tblPrEx>
        <w:trPr>
          <w:trHeight w:val="54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3415390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10</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3BFEF08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无线网桥支架</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5173171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无线网桥安装</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4395DB0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3套</w:t>
            </w:r>
          </w:p>
        </w:tc>
      </w:tr>
      <w:tr w14:paraId="600A9DA5">
        <w:tblPrEx>
          <w:tblCellMar>
            <w:top w:w="0" w:type="dxa"/>
            <w:left w:w="108" w:type="dxa"/>
            <w:bottom w:w="0" w:type="dxa"/>
            <w:right w:w="108" w:type="dxa"/>
          </w:tblCellMar>
        </w:tblPrEx>
        <w:trPr>
          <w:trHeight w:val="324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51EF80C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11</w:t>
            </w:r>
          </w:p>
        </w:tc>
        <w:tc>
          <w:tcPr>
            <w:tcW w:w="1001" w:type="dxa"/>
            <w:vMerge w:val="restart"/>
            <w:tcBorders>
              <w:top w:val="single" w:color="000000" w:sz="4" w:space="0"/>
              <w:left w:val="single" w:color="000000" w:sz="4" w:space="0"/>
              <w:bottom w:val="single" w:color="000000" w:sz="4" w:space="0"/>
              <w:right w:val="single" w:color="000000" w:sz="4" w:space="0"/>
            </w:tcBorders>
            <w:noWrap/>
            <w:vAlign w:val="center"/>
          </w:tcPr>
          <w:p w14:paraId="454D93B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拼接屏</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09DFD17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1.采用工业级面板，尺寸≥46英寸；</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2.物理拼缝≤1.7mm；</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3.亮度≥500 cd/m2；</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4.对比度≥4000:1；</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5.分辨率不小于1920*1080；</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6.视频输入接口至少具备1个DVI接口，2个HDMI接口，1个VGA接口；</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7.支持蓝光护眼检测，开启护眼模式后，蓝光量可下降40%，减弱蓝光，对观看人员的眼睛进行有效保护；</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8.支持防极化检测，防止长时间运行造成的极化现象；</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9.支持具备唯一ID设置，内置拼接处理引擎，无需外设可实现自动拼接功能，可支持≥220块屏拼接显示；</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10.支持垂直视角≥178°，水平视角≥178°；</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11.智能温控风扇系统，根据设备运行温度来控制风扇的启停及转速，具备有效温度监控机制、高、低温告警及断电保护功能，且温度阈值可调，可有效降低系统噪音，延长风扇使用寿命。</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6B1D519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12台</w:t>
            </w:r>
          </w:p>
        </w:tc>
      </w:tr>
      <w:tr w14:paraId="16BEC353">
        <w:tblPrEx>
          <w:tblCellMar>
            <w:top w:w="0" w:type="dxa"/>
            <w:left w:w="108" w:type="dxa"/>
            <w:bottom w:w="0" w:type="dxa"/>
            <w:right w:w="108" w:type="dxa"/>
          </w:tblCellMar>
        </w:tblPrEx>
        <w:trPr>
          <w:trHeight w:val="27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264D2EF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12</w:t>
            </w:r>
          </w:p>
        </w:tc>
        <w:tc>
          <w:tcPr>
            <w:tcW w:w="1001" w:type="dxa"/>
            <w:vMerge w:val="continue"/>
            <w:tcBorders>
              <w:top w:val="single" w:color="000000" w:sz="4" w:space="0"/>
              <w:left w:val="single" w:color="000000" w:sz="4" w:space="0"/>
              <w:bottom w:val="single" w:color="000000" w:sz="4" w:space="0"/>
              <w:right w:val="single" w:color="000000" w:sz="4" w:space="0"/>
            </w:tcBorders>
            <w:noWrap/>
            <w:vAlign w:val="center"/>
          </w:tcPr>
          <w:p w14:paraId="74691B02">
            <w:pPr>
              <w:pStyle w:val="30"/>
              <w:spacing w:line="360" w:lineRule="auto"/>
              <w:rPr>
                <w:rFonts w:ascii="仿宋" w:hAnsi="仿宋" w:eastAsia="仿宋" w:cs="仿宋"/>
                <w:color w:val="000000"/>
                <w:sz w:val="24"/>
                <w:szCs w:val="22"/>
              </w:rPr>
            </w:pP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66C55FF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20mHDMI线缆</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0E28E13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12</w:t>
            </w:r>
          </w:p>
        </w:tc>
      </w:tr>
      <w:tr w14:paraId="730A6752">
        <w:tblPrEx>
          <w:tblCellMar>
            <w:top w:w="0" w:type="dxa"/>
            <w:left w:w="108" w:type="dxa"/>
            <w:bottom w:w="0" w:type="dxa"/>
            <w:right w:w="108" w:type="dxa"/>
          </w:tblCellMar>
        </w:tblPrEx>
        <w:trPr>
          <w:trHeight w:val="27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6CAE49A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13</w:t>
            </w:r>
          </w:p>
        </w:tc>
        <w:tc>
          <w:tcPr>
            <w:tcW w:w="1001" w:type="dxa"/>
            <w:vMerge w:val="restart"/>
            <w:tcBorders>
              <w:top w:val="single" w:color="000000" w:sz="4" w:space="0"/>
              <w:left w:val="single" w:color="000000" w:sz="4" w:space="0"/>
              <w:bottom w:val="single" w:color="000000" w:sz="4" w:space="0"/>
              <w:right w:val="single" w:color="000000" w:sz="4" w:space="0"/>
            </w:tcBorders>
            <w:noWrap/>
            <w:vAlign w:val="center"/>
          </w:tcPr>
          <w:p w14:paraId="24A6E77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拼接支架</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7EE06DD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拼接屏安装</w:t>
            </w:r>
          </w:p>
        </w:tc>
        <w:tc>
          <w:tcPr>
            <w:tcW w:w="1239" w:type="dxa"/>
            <w:vMerge w:val="restart"/>
            <w:tcBorders>
              <w:top w:val="single" w:color="000000" w:sz="4" w:space="0"/>
              <w:left w:val="single" w:color="000000" w:sz="4" w:space="0"/>
              <w:right w:val="single" w:color="000000" w:sz="4" w:space="0"/>
            </w:tcBorders>
            <w:noWrap/>
            <w:vAlign w:val="center"/>
          </w:tcPr>
          <w:p w14:paraId="5359D10F">
            <w:pPr>
              <w:pStyle w:val="30"/>
              <w:tabs>
                <w:tab w:val="clear" w:pos="4153"/>
              </w:tabs>
              <w:spacing w:line="360" w:lineRule="auto"/>
              <w:ind w:firstLine="531"/>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1511558A">
        <w:tblPrEx>
          <w:tblCellMar>
            <w:top w:w="0" w:type="dxa"/>
            <w:left w:w="108" w:type="dxa"/>
            <w:bottom w:w="0" w:type="dxa"/>
            <w:right w:w="108" w:type="dxa"/>
          </w:tblCellMar>
        </w:tblPrEx>
        <w:trPr>
          <w:trHeight w:val="27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64A4675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14</w:t>
            </w:r>
          </w:p>
        </w:tc>
        <w:tc>
          <w:tcPr>
            <w:tcW w:w="1001" w:type="dxa"/>
            <w:vMerge w:val="continue"/>
            <w:tcBorders>
              <w:top w:val="single" w:color="000000" w:sz="4" w:space="0"/>
              <w:left w:val="single" w:color="000000" w:sz="4" w:space="0"/>
              <w:bottom w:val="single" w:color="000000" w:sz="4" w:space="0"/>
              <w:right w:val="single" w:color="000000" w:sz="4" w:space="0"/>
            </w:tcBorders>
            <w:noWrap/>
            <w:vAlign w:val="center"/>
          </w:tcPr>
          <w:p w14:paraId="323FA9B5">
            <w:pPr>
              <w:pStyle w:val="30"/>
              <w:spacing w:line="360" w:lineRule="auto"/>
              <w:rPr>
                <w:rFonts w:ascii="仿宋" w:hAnsi="仿宋" w:eastAsia="仿宋" w:cs="仿宋"/>
                <w:color w:val="000000"/>
                <w:sz w:val="24"/>
                <w:szCs w:val="22"/>
              </w:rPr>
            </w:pP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65AE981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拼接屏安装</w:t>
            </w:r>
          </w:p>
        </w:tc>
        <w:tc>
          <w:tcPr>
            <w:tcW w:w="1239" w:type="dxa"/>
            <w:vMerge w:val="continue"/>
            <w:tcBorders>
              <w:left w:val="single" w:color="000000" w:sz="4" w:space="0"/>
              <w:bottom w:val="single" w:color="000000" w:sz="4" w:space="0"/>
              <w:right w:val="single" w:color="000000" w:sz="4" w:space="0"/>
            </w:tcBorders>
            <w:noWrap/>
            <w:vAlign w:val="center"/>
          </w:tcPr>
          <w:p w14:paraId="7A213DBD">
            <w:pPr>
              <w:pStyle w:val="30"/>
              <w:spacing w:line="360" w:lineRule="auto"/>
              <w:rPr>
                <w:rFonts w:ascii="仿宋" w:hAnsi="仿宋" w:eastAsia="仿宋" w:cs="仿宋"/>
                <w:color w:val="000000"/>
                <w:sz w:val="24"/>
                <w:szCs w:val="22"/>
              </w:rPr>
            </w:pPr>
          </w:p>
        </w:tc>
      </w:tr>
      <w:tr w14:paraId="3B229A1A">
        <w:tblPrEx>
          <w:tblCellMar>
            <w:top w:w="0" w:type="dxa"/>
            <w:left w:w="108" w:type="dxa"/>
            <w:bottom w:w="0" w:type="dxa"/>
            <w:right w:w="108" w:type="dxa"/>
          </w:tblCellMar>
        </w:tblPrEx>
        <w:trPr>
          <w:trHeight w:val="351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6708A82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15</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6E888F4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档案库存储</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4D40F82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1.国产X86架构CPU，支持千兆GE口和万兆10GE口；</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2.采用4U机架式设计，高密度存储结构以及独特的散热结构设计，支持48块数据盘，硬盘模块采用前面板热插拔方式便于用户后期维护；</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3.可通过MiniSASHD（SAS3.0）接口连接扩展柜进行存储扩展，支持9级扩展柜级联；支持在线扩容；</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 存储主机可接入最大20TSATA硬盘、SAS硬盘和SSD硬盘；支持不同品牌（希捷、西数、东芝）不同类型磁盘混插；</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5.支持录像打标签（支持≥4096个标签），通过标签快速定位播放录像；</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6.支持主机管理≥24台从机；支持通过国标协议接入上级平台；</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7.在磁盘发生故障导致RAID阵列处于降级／重建状态下，同时写入不少于1024路4Mbps视频流时，数据写入无任何影响；</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8.支持部件模块化冗余，电源模块、电池模块、风扇模块等关键部件使用冗余架构设计，支持热插拔及在线更换，保证业务的连续性和数据的可靠性，系统可用性达到99.999％；</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9.支持协议不少于iSCSI、FC、NFS(V2、V3、V4)、CIFS/SMB、FTP、AFP；</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10.支持双控制器，其中任一控制器出现前端网络故障、主机故障、存储故障时，业务均会自动无缝切换到另一控制器，无数据丢失，故障排除后，业务可自动恢复到原控制器上；</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11. 支持存储主机掉电后电池会继续进行供电，在缓存中的数据不丢失，可通过数码管显示缓存数据的保存进度，可查看断电前1s的视频录像；</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1123344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2C1A4AD3">
        <w:tblPrEx>
          <w:tblCellMar>
            <w:top w:w="0" w:type="dxa"/>
            <w:left w:w="108" w:type="dxa"/>
            <w:bottom w:w="0" w:type="dxa"/>
            <w:right w:w="108" w:type="dxa"/>
          </w:tblCellMar>
        </w:tblPrEx>
        <w:trPr>
          <w:trHeight w:val="135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1BC4112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18</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2DDD572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档案库存储硬盘</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4E63DB3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1.硬盘容量：≥10TB；</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2.硬盘类型：企业级；</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3.硬盘缓存≥256MB；</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4.硬盘转速≥7200转/分钟；</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5.硬盘外部传输速率≥6Gb/s；</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3F75AC8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48</w:t>
            </w:r>
          </w:p>
        </w:tc>
      </w:tr>
      <w:tr w14:paraId="1EE48F14">
        <w:tblPrEx>
          <w:tblCellMar>
            <w:top w:w="0" w:type="dxa"/>
            <w:left w:w="108" w:type="dxa"/>
            <w:bottom w:w="0" w:type="dxa"/>
            <w:right w:w="108" w:type="dxa"/>
          </w:tblCellMar>
        </w:tblPrEx>
        <w:trPr>
          <w:trHeight w:val="351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6F40804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19</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30E42DC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普通存储</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204656A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1.国产X86架构CPU，支持千兆GE口和万兆10GE口；</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2.采用4U机架式设计，高密度存储结构以及独特的散热结构设计，支持48块数据盘，硬盘模块采用前面板热插拔方式便于用户后期维护；</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3.可通过MiniSASHD（SAS3.0）接口连接扩展柜进行存储扩展，支持9级扩展柜级联；支持在线扩容；</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 存储主机可接入最大20TSATA硬盘、SAS硬盘和SSD硬盘；支持不同品牌（希捷、西数、东芝）不同类型磁盘混插；</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5.支持录像打标签（支持≥4096个标签），通过标签快速定位播放录像；</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6.支持主机管理≥24台从机；支持通过国标协议接入上级平台；</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7.在磁盘发生故障导致RAID阵列处于降级／重建状态下，同时写入不少于1024路4Mbps视频流时，数据写入无任何影响；</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8.支持部件模块化冗余，电源模块、电池模块、风扇模块等关键部件使用冗余架构设计，支持热插拔及在线更换，保证业务的连续性和数据的可靠性，系统可用性达到99.999％；</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9.支持协议不少于iSCSI、FC、NFS(V2、V3、V4)、CIFS/SMB、FTP、AFP；</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10. 支持双控制器，其中任一控制器出现前端网络故障、主机故障、存储故障时，业务均会自动无缝切换到另一控制器，无数据丢失，故障排除后，业务可自动恢复到原控制器上；</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11.支持存储主机掉电后电池会继续进行供电，在缓存中的数据不丢失，可通过数码管显示缓存数据的保存进度，可查看断电前1s的视频录像；</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6DFB421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r>
      <w:tr w14:paraId="017454B2">
        <w:tblPrEx>
          <w:tblCellMar>
            <w:top w:w="0" w:type="dxa"/>
            <w:left w:w="108" w:type="dxa"/>
            <w:bottom w:w="0" w:type="dxa"/>
            <w:right w:w="108" w:type="dxa"/>
          </w:tblCellMar>
        </w:tblPrEx>
        <w:trPr>
          <w:trHeight w:val="135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453E0ED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22</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759D2AA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普通存储硬盘</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4FF889A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1.硬盘容量：≥8TB；</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2.硬盘类型：企业级；</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3.硬盘缓存≥256MB；</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4.硬盘转速≥7200转/分钟；</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5.硬盘外部传输速率≥6Gb/s；</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6C2144D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62块</w:t>
            </w:r>
          </w:p>
        </w:tc>
      </w:tr>
      <w:tr w14:paraId="162B04F6">
        <w:tblPrEx>
          <w:tblCellMar>
            <w:top w:w="0" w:type="dxa"/>
            <w:left w:w="108" w:type="dxa"/>
            <w:bottom w:w="0" w:type="dxa"/>
            <w:right w:w="108" w:type="dxa"/>
          </w:tblCellMar>
        </w:tblPrEx>
        <w:trPr>
          <w:trHeight w:val="27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146666F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23</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4E09A5B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客户端主机</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201FF62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同智能化平台硬件部分需求一相同</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061B09F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r>
      <w:tr w14:paraId="1F8340D6">
        <w:tblPrEx>
          <w:tblCellMar>
            <w:top w:w="0" w:type="dxa"/>
            <w:left w:w="108" w:type="dxa"/>
            <w:bottom w:w="0" w:type="dxa"/>
            <w:right w:w="108" w:type="dxa"/>
          </w:tblCellMar>
        </w:tblPrEx>
        <w:trPr>
          <w:trHeight w:val="1587"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17121DB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24</w:t>
            </w:r>
          </w:p>
        </w:tc>
        <w:tc>
          <w:tcPr>
            <w:tcW w:w="1001" w:type="dxa"/>
            <w:vMerge w:val="restart"/>
            <w:tcBorders>
              <w:top w:val="single" w:color="000000" w:sz="4" w:space="0"/>
              <w:left w:val="single" w:color="000000" w:sz="4" w:space="0"/>
              <w:bottom w:val="single" w:color="000000" w:sz="4" w:space="0"/>
              <w:right w:val="single" w:color="000000" w:sz="4" w:space="0"/>
            </w:tcBorders>
            <w:noWrap/>
            <w:vAlign w:val="center"/>
          </w:tcPr>
          <w:p w14:paraId="3369212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综合平台一体机</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5F2BAC7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1.支持模块化设计，输入卡、输出卡、控制卡、级联卡、风扇、电源等全部采用模块化设计；</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 xml:space="preserve">2.支持双电源备份功能，当其中一路电源模块出现异常时，系统可自动无缝切换到备用电源模块，电源切换过程中系统能保证正常运行；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3.支持输入输出板卡支持热插拔，直接拔插后，上墙业务可自动恢复；</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4.支持一键复位功能，可通过复位键重启设备，或者恢复至出厂设置，保证设备出现异常或宕机时可快速恢复，不影响用户正常业务；</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w:t>
            </w:r>
            <w:r>
              <w:rPr>
                <w:rFonts w:hint="eastAsia" w:ascii="仿宋" w:hAnsi="仿宋" w:eastAsia="仿宋" w:cs="仿宋"/>
                <w:color w:val="000000"/>
                <w:sz w:val="24"/>
                <w:szCs w:val="22"/>
                <w:lang w:eastAsia="zh-CN"/>
              </w:rPr>
              <w:t>业务</w:t>
            </w:r>
            <w:r>
              <w:rPr>
                <w:rFonts w:hint="eastAsia" w:ascii="仿宋" w:hAnsi="仿宋" w:eastAsia="仿宋" w:cs="仿宋"/>
                <w:color w:val="000000"/>
                <w:sz w:val="24"/>
                <w:szCs w:val="22"/>
              </w:rPr>
              <w:t>支持务槽位数量≥10个；</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6.支持任意位置开窗，支持图层拼接、缩放、漫游、叠加以及时钟级同步；</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7.支持输入输出板卡热插拔，直接拔插后，上墙业务可自动恢复；</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8.最大解码分辨率不低于1600W；</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9.支持接入具有视频保护功能的摄像机并对开启该功能后输出的码流进行解码和显示；</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10.支持可接入第三方厂商的摄像机、录像机，并解码上墙；可接入将传输协议设置为GB/T 28181、ONVIF或RTSP的摄像机并进行解码上墙；</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11.设备的业务板卡槽位可接入多种型号板卡，且输入板卡槽位和输出板卡槽位可进行混插并正常工作；</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12.支持添加、删除、更改虚拟LED字幕，字幕可跨拼接屏显示，并可设置滚动，可根据需求启动/停用所有虚拟LED字幕，最多可支持256条虚拟LED字幕。</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 xml:space="preserve">13.支持1、2、3、4、5、6、7、8、9、10、13、16、25、36、64、96分屏显示；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14.电视墙布局不会发生改变的情况下，从50路视频场景切换到另外50路视频场景的切换时间≤0.5S，切换过程中无明显黑屏现象；</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15.支持多台设备级联使用。</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08699EC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4E3C4388">
        <w:tblPrEx>
          <w:tblCellMar>
            <w:top w:w="0" w:type="dxa"/>
            <w:left w:w="108" w:type="dxa"/>
            <w:bottom w:w="0" w:type="dxa"/>
            <w:right w:w="108" w:type="dxa"/>
          </w:tblCellMar>
        </w:tblPrEx>
        <w:trPr>
          <w:trHeight w:val="135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0B744D8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25</w:t>
            </w:r>
          </w:p>
        </w:tc>
        <w:tc>
          <w:tcPr>
            <w:tcW w:w="1001" w:type="dxa"/>
            <w:vMerge w:val="continue"/>
            <w:tcBorders>
              <w:top w:val="single" w:color="000000" w:sz="4" w:space="0"/>
              <w:left w:val="single" w:color="000000" w:sz="4" w:space="0"/>
              <w:bottom w:val="single" w:color="000000" w:sz="4" w:space="0"/>
              <w:right w:val="single" w:color="000000" w:sz="4" w:space="0"/>
            </w:tcBorders>
            <w:noWrap/>
            <w:vAlign w:val="center"/>
          </w:tcPr>
          <w:p w14:paraId="16FBD74E">
            <w:pPr>
              <w:pStyle w:val="30"/>
              <w:spacing w:line="360" w:lineRule="auto"/>
              <w:rPr>
                <w:rFonts w:ascii="仿宋" w:hAnsi="仿宋" w:eastAsia="仿宋" w:cs="仿宋"/>
                <w:color w:val="000000"/>
                <w:sz w:val="24"/>
                <w:szCs w:val="22"/>
              </w:rPr>
            </w:pP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4CFACB8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1.单板卡支持4路HDMI视频输出口，解码能力单板卡：2路7680*4320@30Hz或8路3840*2160@30Hz或32路1080P@30Hz或72路720P@30Hz或144路D1@30Hz；</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2.输出分辨率支持:XGA：1024*768@60Hz、720P：1280*720@60Hz、SXGA：1280*1024@60Hz、WXGA+：1440*900@60Hz、UXGA：1600*1200@60Hz、1080P：1920*1080@60Hz、WUXGA：1920*1200@60Hz</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3.自定义输出分辨率范围:最大宽2048，最大高2048；总面积不超过1920*1200</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37B180F8">
            <w:pPr>
              <w:pStyle w:val="30"/>
              <w:spacing w:line="360" w:lineRule="auto"/>
              <w:rPr>
                <w:rFonts w:ascii="仿宋" w:hAnsi="仿宋" w:eastAsia="仿宋" w:cs="仿宋"/>
                <w:color w:val="000000"/>
                <w:sz w:val="24"/>
                <w:szCs w:val="22"/>
              </w:rPr>
            </w:pPr>
          </w:p>
        </w:tc>
      </w:tr>
      <w:tr w14:paraId="0469696B">
        <w:tblPrEx>
          <w:tblCellMar>
            <w:top w:w="0" w:type="dxa"/>
            <w:left w:w="108" w:type="dxa"/>
            <w:bottom w:w="0" w:type="dxa"/>
            <w:right w:w="108" w:type="dxa"/>
          </w:tblCellMar>
        </w:tblPrEx>
        <w:trPr>
          <w:trHeight w:val="108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2961E14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26</w:t>
            </w:r>
          </w:p>
        </w:tc>
        <w:tc>
          <w:tcPr>
            <w:tcW w:w="1001" w:type="dxa"/>
            <w:vMerge w:val="continue"/>
            <w:tcBorders>
              <w:top w:val="single" w:color="000000" w:sz="4" w:space="0"/>
              <w:left w:val="single" w:color="000000" w:sz="4" w:space="0"/>
              <w:bottom w:val="single" w:color="000000" w:sz="4" w:space="0"/>
              <w:right w:val="single" w:color="000000" w:sz="4" w:space="0"/>
            </w:tcBorders>
            <w:noWrap/>
            <w:vAlign w:val="center"/>
          </w:tcPr>
          <w:p w14:paraId="760AA1D2">
            <w:pPr>
              <w:pStyle w:val="30"/>
              <w:spacing w:line="360" w:lineRule="auto"/>
              <w:rPr>
                <w:rFonts w:ascii="仿宋" w:hAnsi="仿宋" w:eastAsia="仿宋" w:cs="仿宋"/>
                <w:color w:val="000000"/>
                <w:sz w:val="24"/>
                <w:szCs w:val="22"/>
              </w:rPr>
            </w:pP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7979DFF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1.单板卡支持4路HDMI视频输入口，输入分辨率支持:XGA：1024*768@60Hz、720P：1280*720@50Hz、</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720P：1280*720@60Hz、SXGA：1280*1024@60Hz、WXGA+：1440*900@60Hz、UXGA：1600*1200@60Hz、1080P：1920*1080@50Hz、1080P：1920*1080@60Hz、WUXGA：1920*1200@60Hz</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2.自定义输入分辨率范围：最大宽2048，最大高4032；总面积不超过1920*1200</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26DF859C">
            <w:pPr>
              <w:pStyle w:val="30"/>
              <w:spacing w:line="360" w:lineRule="auto"/>
              <w:rPr>
                <w:rFonts w:ascii="仿宋" w:hAnsi="仿宋" w:eastAsia="仿宋" w:cs="仿宋"/>
                <w:color w:val="000000"/>
                <w:sz w:val="24"/>
                <w:szCs w:val="22"/>
              </w:rPr>
            </w:pPr>
          </w:p>
        </w:tc>
      </w:tr>
      <w:tr w14:paraId="54CEBECF">
        <w:tblPrEx>
          <w:tblCellMar>
            <w:top w:w="0" w:type="dxa"/>
            <w:left w:w="108" w:type="dxa"/>
            <w:bottom w:w="0" w:type="dxa"/>
            <w:right w:w="108" w:type="dxa"/>
          </w:tblCellMar>
        </w:tblPrEx>
        <w:trPr>
          <w:trHeight w:val="1367"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036315B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27</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2B45ED1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综合管理服务器</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6592A68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1.本域摄像机数≥3000，可管理摄像机总数≥10000；</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2.同时在线用户数：最大在线用户≥100，最大并发控制≥20；</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3.最大可管理报警设备数≥800；</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4.媒体流入口带宽≥512Mbps，媒体流出口带宽≥512Mbps；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5.最大支持门口机数量≥128个；</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6.最大支持管理机数量≥4个；</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 xml:space="preserve">7.采用LINUX操作系统，自带不少于3个GE接口； 具有不少于4个内存槽位，单槽位支持最大32G内存，标配32G内存，可扩至128G；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8.支持对实时告警、预案告警、历史告警的查询和确认； 支持按日、月、周对报警总数、已处理报警数、报警处理率进行统计展示；</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 xml:space="preserve">9.最大支持30万员工入库； 最大支持5万访客入库； 最大支持1万布控人员入库；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10.支持实况画面1/4/6/8/9/10/13/16/17/25分屏布局；</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11.支持选择机动车或人脸或人体或非机动车数据生成轨迹； 支持选择机动车或人脸或人体或非机动车数据放入暂存夹，并支持选择暂存夹中的数据进行恢复轨迹呈现；</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12.支持（百度、高德、谷歌等）第三方世界地图、图片地图、POI和地图路网等地图类型，支持手动绘制室内路网，并支持地图切换使用；</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011F24E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30C7E077">
        <w:tblPrEx>
          <w:tblCellMar>
            <w:top w:w="0" w:type="dxa"/>
            <w:left w:w="108" w:type="dxa"/>
            <w:bottom w:w="0" w:type="dxa"/>
            <w:right w:w="108" w:type="dxa"/>
          </w:tblCellMar>
        </w:tblPrEx>
        <w:trPr>
          <w:trHeight w:val="54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5BE33DA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28</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3D71D74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安防综合管理平台软件</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259F7F3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安防综合管理平台软件</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1803059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3E276EE2">
        <w:tblPrEx>
          <w:tblCellMar>
            <w:top w:w="0" w:type="dxa"/>
            <w:left w:w="108" w:type="dxa"/>
            <w:bottom w:w="0" w:type="dxa"/>
            <w:right w:w="108" w:type="dxa"/>
          </w:tblCellMar>
        </w:tblPrEx>
        <w:trPr>
          <w:trHeight w:val="324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758778B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29</w:t>
            </w:r>
          </w:p>
        </w:tc>
        <w:tc>
          <w:tcPr>
            <w:tcW w:w="1001" w:type="dxa"/>
            <w:vMerge w:val="restart"/>
            <w:tcBorders>
              <w:top w:val="single" w:color="000000" w:sz="4" w:space="0"/>
              <w:left w:val="single" w:color="000000" w:sz="4" w:space="0"/>
              <w:bottom w:val="single" w:color="000000" w:sz="4" w:space="0"/>
              <w:right w:val="single" w:color="000000" w:sz="4" w:space="0"/>
            </w:tcBorders>
            <w:noWrap/>
            <w:vAlign w:val="center"/>
          </w:tcPr>
          <w:p w14:paraId="7BE8BED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视频安全准入网关</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40F6B31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1.支持全网设备状态巡检，支持设备自动发现功能：支持智能识别视频监控网内设备的基础属性；</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2.支持全网设备管理并可自定义添加属性；</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支持标识属性自定义功能：支持对资产的标识属性进行自定义添加操作，如新增设备所属运营商、责任人、安装位置图片等，新增的标识属性支持文本格式、图片格式、下拉框选项格式等，标识属性字段添加≥100+；</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4.支持设备查询功能：支持通过设备名称、 IP 地址、告警级别、通信状态查询设备信息；</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5.支持设备性能监测：支持监测网络状态、设备在线状态、报警状态、 CPU、内存、硬盘、带宽使用率；支持监测进程运行状态；支持配置监测报警阈值参数；</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6.支持视频质量异常的告警上报；</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7.支持拓扑视图功能：能够自动发现全网拓扑，自动生成全网拓扑图，且拓扑图可自定义设置；支持在网络拓扑图上显示子网的 IP地址；支持自定义网络拓扑视图；支持在拓扑图中显示报警设备，并可使用不同颜色显示报警级别；</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8.支持平台稳定性统计功能：统计下级平台在考核周期内掉线次数；</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9.支持和视频监控管理平台配套使用。</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2324A4E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7DBFDE19">
        <w:tblPrEx>
          <w:tblCellMar>
            <w:top w:w="0" w:type="dxa"/>
            <w:left w:w="108" w:type="dxa"/>
            <w:bottom w:w="0" w:type="dxa"/>
            <w:right w:w="108" w:type="dxa"/>
          </w:tblCellMar>
        </w:tblPrEx>
        <w:trPr>
          <w:trHeight w:val="1829"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38DDE2B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30</w:t>
            </w:r>
          </w:p>
        </w:tc>
        <w:tc>
          <w:tcPr>
            <w:tcW w:w="1001" w:type="dxa"/>
            <w:vMerge w:val="continue"/>
            <w:tcBorders>
              <w:top w:val="single" w:color="000000" w:sz="4" w:space="0"/>
              <w:left w:val="single" w:color="000000" w:sz="4" w:space="0"/>
              <w:bottom w:val="single" w:color="000000" w:sz="4" w:space="0"/>
              <w:right w:val="single" w:color="000000" w:sz="4" w:space="0"/>
            </w:tcBorders>
            <w:noWrap/>
            <w:vAlign w:val="center"/>
          </w:tcPr>
          <w:p w14:paraId="6D697CE6">
            <w:pPr>
              <w:pStyle w:val="30"/>
              <w:spacing w:line="360" w:lineRule="auto"/>
              <w:rPr>
                <w:rFonts w:ascii="仿宋" w:hAnsi="仿宋" w:eastAsia="仿宋" w:cs="仿宋"/>
                <w:color w:val="000000"/>
                <w:sz w:val="24"/>
                <w:szCs w:val="22"/>
              </w:rPr>
            </w:pP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2ABE792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1.处理器：≥1颗海光处理器，≥8核16线程，≥3.0GHz；</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2.内存：≥1*16GB；内存插槽数：4个；</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3.标配硬盘：≥1*【3.5寸 7.2K SATA】 4TB；硬盘扩展：4个3.5英寸硬盘槽位</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3.支持RAID卡：可选配支持RAID0、1、10、5、50、6、60等</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4.支持GPU卡：≥2张 单宽半高半长GPU卡（如T4）</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5.管理网口：1*GE；业务网口：2*GE；PCI-E插槽：2个；</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6.输出接口：支持≥1个后置VGA接口；USB接口：2个前置USB接口+2个后置USB接口；</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7.工作环境温度范围不劣于5℃～35℃；工作环境湿度范围不劣于20%～80%，无冷凝</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611E52A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6DE44167">
        <w:tblPrEx>
          <w:tblCellMar>
            <w:top w:w="0" w:type="dxa"/>
            <w:left w:w="108" w:type="dxa"/>
            <w:bottom w:w="0" w:type="dxa"/>
            <w:right w:w="108" w:type="dxa"/>
          </w:tblCellMar>
        </w:tblPrEx>
        <w:trPr>
          <w:trHeight w:val="1619"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7516604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31</w:t>
            </w:r>
          </w:p>
        </w:tc>
        <w:tc>
          <w:tcPr>
            <w:tcW w:w="1001" w:type="dxa"/>
            <w:vMerge w:val="continue"/>
            <w:tcBorders>
              <w:top w:val="single" w:color="000000" w:sz="4" w:space="0"/>
              <w:left w:val="single" w:color="000000" w:sz="4" w:space="0"/>
              <w:bottom w:val="single" w:color="000000" w:sz="4" w:space="0"/>
              <w:right w:val="single" w:color="000000" w:sz="4" w:space="0"/>
            </w:tcBorders>
            <w:noWrap/>
            <w:vAlign w:val="center"/>
          </w:tcPr>
          <w:p w14:paraId="42B9295E">
            <w:pPr>
              <w:pStyle w:val="30"/>
              <w:spacing w:line="360" w:lineRule="auto"/>
              <w:rPr>
                <w:rFonts w:ascii="仿宋" w:hAnsi="仿宋" w:eastAsia="仿宋" w:cs="仿宋"/>
                <w:color w:val="000000"/>
                <w:sz w:val="24"/>
                <w:szCs w:val="22"/>
              </w:rPr>
            </w:pP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68CF034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1.具有不少于4个1000M光电复用接口、8个1000M RJ45网络接口、1个10G光纤接口、1个Console口、1个带外管理GE口、2个USB接口，1个复位键，1个扩展槽，采用AC220V供电；</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2.支持入网设备监测功能，支持检测并显示接入前端网络的终端设备，支持将检测到的终端设备上报至后端监控平台，并对该设备状态进行更新和显示；</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3.支持基于监控业务的流量准入功能，当监控平台通过标准协议向前端设备发起媒体流请求后，对应的媒体流可正常进行通信，其余媒体流的通信应被拒绝；</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4.支持动态联动功能，当前端设备在监控平台上线后，该设备能被自动加入到合法设备名单中，支持对合法前端设备进行数量统计并显示；</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5.支持通过可视化图形界面显示IP地址的使用状态、使用终端类型、终端厂商等信息；</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6.支持接入300路码率为4Mbps的视频码流并进行转发；</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7.支持Bypass功能：支持（旁路）断电功能，当设备断电或重启时，系统业务不中断。</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2D03940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580673D2">
        <w:tblPrEx>
          <w:tblCellMar>
            <w:top w:w="0" w:type="dxa"/>
            <w:left w:w="108" w:type="dxa"/>
            <w:bottom w:w="0" w:type="dxa"/>
            <w:right w:w="108" w:type="dxa"/>
          </w:tblCellMar>
        </w:tblPrEx>
        <w:trPr>
          <w:trHeight w:val="54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619ADE9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32</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5A46DE0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操作系统</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14AB82C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同智能化平台硬件部分需求相同</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DF9AC9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r>
      <w:tr w14:paraId="57F3916B">
        <w:tblPrEx>
          <w:tblCellMar>
            <w:top w:w="0" w:type="dxa"/>
            <w:left w:w="108" w:type="dxa"/>
            <w:bottom w:w="0" w:type="dxa"/>
            <w:right w:w="108" w:type="dxa"/>
          </w:tblCellMar>
        </w:tblPrEx>
        <w:trPr>
          <w:trHeight w:val="54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2C1FEEC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33</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0DCA99E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数据库</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1EC19C7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polarDB（同智能化平台硬件部分需求相同）</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5BF3081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39602045">
        <w:tblPrEx>
          <w:tblCellMar>
            <w:top w:w="0" w:type="dxa"/>
            <w:left w:w="108" w:type="dxa"/>
            <w:bottom w:w="0" w:type="dxa"/>
            <w:right w:w="108" w:type="dxa"/>
          </w:tblCellMar>
        </w:tblPrEx>
        <w:trPr>
          <w:trHeight w:val="189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2EDC5CD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34</w:t>
            </w:r>
          </w:p>
        </w:tc>
        <w:tc>
          <w:tcPr>
            <w:tcW w:w="1001" w:type="dxa"/>
            <w:tcBorders>
              <w:top w:val="single" w:color="000000" w:sz="4" w:space="0"/>
              <w:left w:val="single" w:color="000000" w:sz="4" w:space="0"/>
              <w:bottom w:val="single" w:color="000000" w:sz="4" w:space="0"/>
              <w:right w:val="single" w:color="000000" w:sz="4" w:space="0"/>
            </w:tcBorders>
            <w:noWrap/>
            <w:vAlign w:val="center"/>
          </w:tcPr>
          <w:p w14:paraId="222CA80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数据库服务器</w:t>
            </w:r>
          </w:p>
        </w:tc>
        <w:tc>
          <w:tcPr>
            <w:tcW w:w="6191" w:type="dxa"/>
            <w:tcBorders>
              <w:top w:val="single" w:color="000000" w:sz="4" w:space="0"/>
              <w:left w:val="single" w:color="000000" w:sz="4" w:space="0"/>
              <w:bottom w:val="single" w:color="000000" w:sz="4" w:space="0"/>
              <w:right w:val="single" w:color="000000" w:sz="4" w:space="0"/>
            </w:tcBorders>
            <w:noWrap/>
            <w:vAlign w:val="center"/>
          </w:tcPr>
          <w:p w14:paraId="628C1C1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1.处理器：≥2颗海光处理器，≥16核32线程，≥2.5GHz；</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2.内存：≥2*32GB；内存插槽数：≥16个；</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3.标配硬盘：≥1*【3.5寸 7.2K SATA】 4TB；硬盘扩展：≥12个2.5/3.5英寸硬盘槽位 2个2.5英寸硬盘槽位 1个M.2 SSD硬盘槽位；</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4.RAID卡：标配一张SAS卡，支持RAID0、1，可选配支持RAID0、1、10、5、50、6、60等；</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5.业务网口：≥2*GE；PCI-E插槽：≥6个</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USB接口：≥2个前置USB接口+2个后置USB接口；视频输出接口：≥1个后置VGA接口；</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工作环境：工作环境温度：5℃～45℃；工作环境湿度：20%～80%，无冷凝；</w:t>
            </w:r>
          </w:p>
        </w:tc>
        <w:tc>
          <w:tcPr>
            <w:tcW w:w="1239" w:type="dxa"/>
            <w:tcBorders>
              <w:top w:val="single" w:color="000000" w:sz="4" w:space="0"/>
              <w:left w:val="single" w:color="000000" w:sz="4" w:space="0"/>
              <w:bottom w:val="single" w:color="000000" w:sz="4" w:space="0"/>
              <w:right w:val="single" w:color="000000" w:sz="4" w:space="0"/>
            </w:tcBorders>
            <w:noWrap/>
            <w:vAlign w:val="center"/>
          </w:tcPr>
          <w:p w14:paraId="6EB9DD4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bl>
    <w:p w14:paraId="10A3CD1D">
      <w:pPr>
        <w:pStyle w:val="30"/>
        <w:spacing w:line="360" w:lineRule="auto"/>
        <w:rPr>
          <w:rFonts w:ascii="仿宋" w:hAnsi="仿宋" w:eastAsia="仿宋" w:cs="仿宋"/>
          <w:color w:val="000000"/>
          <w:sz w:val="24"/>
          <w:szCs w:val="22"/>
        </w:rPr>
      </w:pPr>
    </w:p>
    <w:p w14:paraId="10576A62">
      <w:pPr>
        <w:pStyle w:val="30"/>
        <w:spacing w:line="360" w:lineRule="auto"/>
        <w:outlineLvl w:val="4"/>
        <w:rPr>
          <w:rFonts w:ascii="仿宋" w:hAnsi="仿宋" w:eastAsia="仿宋" w:cs="仿宋"/>
          <w:color w:val="000000"/>
          <w:sz w:val="24"/>
          <w:szCs w:val="22"/>
        </w:rPr>
      </w:pPr>
      <w:r>
        <w:rPr>
          <w:rFonts w:hint="eastAsia" w:ascii="仿宋" w:hAnsi="仿宋" w:eastAsia="仿宋" w:cs="仿宋"/>
          <w:color w:val="000000"/>
          <w:sz w:val="24"/>
          <w:szCs w:val="22"/>
        </w:rPr>
        <w:t>II门禁子系统</w:t>
      </w:r>
    </w:p>
    <w:p w14:paraId="2C64C4E7">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针对档案馆各出入口设置门禁系统，利用门禁系统将公共区域与内部区域分割开。重点区域的门加装门禁系统并能够设置独立权限管理及记录出入人员信息。</w:t>
      </w:r>
    </w:p>
    <w:p w14:paraId="63A9322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门禁系统设置按照档案馆安全为基础，针对档案馆各出入口设置门禁系统，利用门禁系统将公共区域与内部区域分隔开。重点区域的门加装门禁系统并能够设置独立权限管理及记录出入人员信息。</w:t>
      </w:r>
    </w:p>
    <w:p w14:paraId="4D1F33B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门禁卡应做加密处理，卡片具有不可复制使用的功能。门禁系统顾名思义主要针对档案馆各部位的门加装门禁，通过对门的控制实现人员进出的管理。档案馆需要控制人员出入的门大体上分为三大类。</w:t>
      </w:r>
    </w:p>
    <w:p w14:paraId="2571928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一、重要区域，特殊区域的进出需要设置门禁，并针对进入权限及人员进行管理。</w:t>
      </w:r>
    </w:p>
    <w:p w14:paraId="622E015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二、档案馆开馆时间段内对外开放区域与内部办公区域的通道门进出的管理。</w:t>
      </w:r>
    </w:p>
    <w:p w14:paraId="7EF3474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三、档案馆闭馆时间内进出办公楼的通道门的管理。</w:t>
      </w:r>
    </w:p>
    <w:p w14:paraId="39D788A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通过对以上的三类门针对不同区域不同类别和功能的门加装相对应的门禁设备并通过门禁的管理软件实现出入的管理。</w:t>
      </w:r>
    </w:p>
    <w:tbl>
      <w:tblPr>
        <w:tblStyle w:val="45"/>
        <w:tblW w:w="8537" w:type="dxa"/>
        <w:tblInd w:w="93" w:type="dxa"/>
        <w:tblLayout w:type="fixed"/>
        <w:tblCellMar>
          <w:top w:w="0" w:type="dxa"/>
          <w:left w:w="108" w:type="dxa"/>
          <w:bottom w:w="0" w:type="dxa"/>
          <w:right w:w="108" w:type="dxa"/>
        </w:tblCellMar>
      </w:tblPr>
      <w:tblGrid>
        <w:gridCol w:w="680"/>
        <w:gridCol w:w="1068"/>
        <w:gridCol w:w="5616"/>
        <w:gridCol w:w="1173"/>
      </w:tblGrid>
      <w:tr w14:paraId="5837B752">
        <w:tblPrEx>
          <w:tblCellMar>
            <w:top w:w="0" w:type="dxa"/>
            <w:left w:w="108" w:type="dxa"/>
            <w:bottom w:w="0" w:type="dxa"/>
            <w:right w:w="108" w:type="dxa"/>
          </w:tblCellMar>
        </w:tblPrEx>
        <w:trPr>
          <w:trHeight w:val="908"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1C1F1031">
            <w:pPr>
              <w:pStyle w:val="30"/>
              <w:spacing w:line="360" w:lineRule="auto"/>
              <w:rPr>
                <w:rFonts w:ascii="仿宋" w:hAnsi="仿宋" w:eastAsia="仿宋" w:cs="仿宋"/>
                <w:color w:val="000000"/>
                <w:kern w:val="2"/>
                <w:sz w:val="24"/>
                <w:szCs w:val="22"/>
              </w:rPr>
            </w:pPr>
            <w:r>
              <w:rPr>
                <w:rFonts w:hint="eastAsia" w:ascii="仿宋" w:hAnsi="仿宋" w:eastAsia="仿宋" w:cs="仿宋"/>
                <w:color w:val="000000"/>
                <w:sz w:val="24"/>
                <w:szCs w:val="22"/>
              </w:rPr>
              <w:t>序号</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2FB15F5">
            <w:pPr>
              <w:pStyle w:val="30"/>
              <w:spacing w:line="360" w:lineRule="auto"/>
              <w:rPr>
                <w:rFonts w:ascii="仿宋" w:hAnsi="仿宋" w:eastAsia="仿宋" w:cs="仿宋"/>
                <w:color w:val="000000"/>
                <w:kern w:val="2"/>
                <w:sz w:val="24"/>
                <w:szCs w:val="22"/>
              </w:rPr>
            </w:pPr>
            <w:r>
              <w:rPr>
                <w:rFonts w:hint="eastAsia" w:ascii="仿宋" w:hAnsi="仿宋" w:eastAsia="仿宋" w:cs="仿宋"/>
                <w:color w:val="000000"/>
                <w:sz w:val="24"/>
                <w:szCs w:val="22"/>
              </w:rPr>
              <w:t>设备名称</w:t>
            </w:r>
          </w:p>
        </w:tc>
        <w:tc>
          <w:tcPr>
            <w:tcW w:w="5616" w:type="dxa"/>
            <w:tcBorders>
              <w:top w:val="single" w:color="000000" w:sz="4" w:space="0"/>
              <w:left w:val="single" w:color="000000" w:sz="4" w:space="0"/>
              <w:bottom w:val="single" w:color="000000" w:sz="4" w:space="0"/>
              <w:right w:val="single" w:color="000000" w:sz="4" w:space="0"/>
            </w:tcBorders>
            <w:noWrap/>
            <w:vAlign w:val="center"/>
          </w:tcPr>
          <w:p w14:paraId="638A911B">
            <w:pPr>
              <w:pStyle w:val="30"/>
              <w:spacing w:line="360" w:lineRule="auto"/>
              <w:rPr>
                <w:rFonts w:ascii="仿宋" w:hAnsi="仿宋" w:eastAsia="仿宋" w:cs="仿宋"/>
                <w:color w:val="000000"/>
                <w:kern w:val="2"/>
                <w:sz w:val="24"/>
                <w:szCs w:val="22"/>
              </w:rPr>
            </w:pPr>
            <w:r>
              <w:rPr>
                <w:rFonts w:hint="eastAsia" w:ascii="仿宋" w:hAnsi="仿宋" w:eastAsia="仿宋" w:cs="仿宋"/>
                <w:color w:val="000000"/>
                <w:sz w:val="24"/>
                <w:szCs w:val="22"/>
              </w:rPr>
              <w:t>★基本参数</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1A92C4E3">
            <w:pPr>
              <w:pStyle w:val="30"/>
              <w:spacing w:line="360" w:lineRule="auto"/>
              <w:rPr>
                <w:rFonts w:ascii="仿宋" w:hAnsi="仿宋" w:eastAsia="仿宋" w:cs="仿宋"/>
                <w:color w:val="000000"/>
                <w:kern w:val="2"/>
                <w:sz w:val="24"/>
                <w:szCs w:val="22"/>
              </w:rPr>
            </w:pPr>
            <w:r>
              <w:rPr>
                <w:rFonts w:hint="eastAsia" w:ascii="仿宋" w:hAnsi="仿宋" w:eastAsia="仿宋" w:cs="仿宋"/>
                <w:color w:val="000000"/>
                <w:sz w:val="24"/>
                <w:szCs w:val="22"/>
              </w:rPr>
              <w:t>数量</w:t>
            </w:r>
          </w:p>
        </w:tc>
      </w:tr>
      <w:tr w14:paraId="1C85565E">
        <w:tblPrEx>
          <w:tblCellMar>
            <w:top w:w="0" w:type="dxa"/>
            <w:left w:w="108" w:type="dxa"/>
            <w:bottom w:w="0" w:type="dxa"/>
            <w:right w:w="108" w:type="dxa"/>
          </w:tblCellMar>
        </w:tblPrEx>
        <w:trPr>
          <w:trHeight w:val="2007"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19B8E5E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D8547E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人脸识别一体机</w:t>
            </w:r>
          </w:p>
        </w:tc>
        <w:tc>
          <w:tcPr>
            <w:tcW w:w="5616" w:type="dxa"/>
            <w:tcBorders>
              <w:top w:val="single" w:color="000000" w:sz="4" w:space="0"/>
              <w:left w:val="single" w:color="000000" w:sz="4" w:space="0"/>
              <w:bottom w:val="single" w:color="000000" w:sz="4" w:space="0"/>
              <w:right w:val="single" w:color="000000" w:sz="4" w:space="0"/>
            </w:tcBorders>
            <w:noWrap/>
            <w:vAlign w:val="center"/>
          </w:tcPr>
          <w:p w14:paraId="6DA054F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1.屏幕尺寸≥7英寸触摸屏；</w:t>
            </w:r>
          </w:p>
          <w:p w14:paraId="2BFA976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2.屏幕分辨率≥600×1024；</w:t>
            </w:r>
          </w:p>
          <w:p w14:paraId="3E7F69B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3.屏幕比例：10:16；</w:t>
            </w:r>
          </w:p>
          <w:p w14:paraId="47BFACD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4.内置麦克风，拾音距离≦1米；</w:t>
            </w:r>
          </w:p>
          <w:p w14:paraId="6D5C3D4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5.内置扬声器；</w:t>
            </w:r>
          </w:p>
          <w:p w14:paraId="1ED36C0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6.内置IC卡读卡器；</w:t>
            </w:r>
          </w:p>
          <w:p w14:paraId="3DDB372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7.支持红外补光；</w:t>
            </w:r>
          </w:p>
          <w:p w14:paraId="5B86AC4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8.屏幕流明度不低于300cd/㎡；</w:t>
            </w:r>
          </w:p>
          <w:p w14:paraId="49A317F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9.支持单个人员导入≥6张底库照片；</w:t>
            </w:r>
          </w:p>
          <w:p w14:paraId="6A4C9F2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10.卡号最大库容≥1.5W；</w:t>
            </w:r>
          </w:p>
          <w:p w14:paraId="508DFD6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11.多人员库管理：支持最多16 个人员库；</w:t>
            </w:r>
          </w:p>
          <w:p w14:paraId="7A8BEE9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12.本机记录容量≥10万条事件记录（不含图片）；</w:t>
            </w:r>
          </w:p>
          <w:p w14:paraId="22F2040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13.人脸识别平均响应时间试验500次平均响应时间应≤120ms；</w:t>
            </w:r>
          </w:p>
          <w:p w14:paraId="367AFB2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14.应支持节能休眠并支持设置节能休眠时间（1min～30min）；</w:t>
            </w:r>
          </w:p>
          <w:p w14:paraId="044F56D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15.工作温度：-20℃-60℃。</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7ECDDDD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39套</w:t>
            </w:r>
          </w:p>
        </w:tc>
      </w:tr>
      <w:tr w14:paraId="5F9743B6">
        <w:tblPrEx>
          <w:tblCellMar>
            <w:top w:w="0" w:type="dxa"/>
            <w:left w:w="108" w:type="dxa"/>
            <w:bottom w:w="0" w:type="dxa"/>
            <w:right w:w="108" w:type="dxa"/>
          </w:tblCellMar>
        </w:tblPrEx>
        <w:trPr>
          <w:trHeight w:val="81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03A1E88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A1D4EB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一体机电源</w:t>
            </w:r>
          </w:p>
        </w:tc>
        <w:tc>
          <w:tcPr>
            <w:tcW w:w="5616" w:type="dxa"/>
            <w:tcBorders>
              <w:top w:val="single" w:color="000000" w:sz="4" w:space="0"/>
              <w:left w:val="single" w:color="000000" w:sz="4" w:space="0"/>
              <w:bottom w:val="single" w:color="000000" w:sz="4" w:space="0"/>
              <w:right w:val="single" w:color="000000" w:sz="4" w:space="0"/>
            </w:tcBorders>
            <w:noWrap/>
            <w:vAlign w:val="center"/>
          </w:tcPr>
          <w:p w14:paraId="5594C62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1.输入不小于100-240V~50/60Hz，最大0.7A；</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2.输出不小于12V/2.0A；</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3.工作环境范围不小于-40℃~45℃。</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2D11A9D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39套</w:t>
            </w:r>
          </w:p>
        </w:tc>
      </w:tr>
      <w:tr w14:paraId="115D21BD">
        <w:tblPrEx>
          <w:tblCellMar>
            <w:top w:w="0" w:type="dxa"/>
            <w:left w:w="108" w:type="dxa"/>
            <w:bottom w:w="0" w:type="dxa"/>
            <w:right w:w="108" w:type="dxa"/>
          </w:tblCellMar>
        </w:tblPrEx>
        <w:trPr>
          <w:trHeight w:val="1017"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20EAC90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w:t>
            </w:r>
          </w:p>
        </w:tc>
        <w:tc>
          <w:tcPr>
            <w:tcW w:w="1068" w:type="dxa"/>
            <w:vMerge w:val="restart"/>
            <w:tcBorders>
              <w:top w:val="single" w:color="000000" w:sz="4" w:space="0"/>
              <w:left w:val="single" w:color="000000" w:sz="4" w:space="0"/>
              <w:bottom w:val="single" w:color="000000" w:sz="4" w:space="0"/>
              <w:right w:val="single" w:color="000000" w:sz="4" w:space="0"/>
            </w:tcBorders>
            <w:noWrap/>
            <w:vAlign w:val="center"/>
          </w:tcPr>
          <w:p w14:paraId="44AF61F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单门电磁锁</w:t>
            </w:r>
          </w:p>
        </w:tc>
        <w:tc>
          <w:tcPr>
            <w:tcW w:w="5616" w:type="dxa"/>
            <w:tcBorders>
              <w:top w:val="single" w:color="000000" w:sz="4" w:space="0"/>
              <w:left w:val="single" w:color="000000" w:sz="4" w:space="0"/>
              <w:bottom w:val="single" w:color="000000" w:sz="4" w:space="0"/>
              <w:right w:val="single" w:color="000000" w:sz="4" w:space="0"/>
            </w:tcBorders>
            <w:noWrap/>
            <w:vAlign w:val="center"/>
          </w:tcPr>
          <w:p w14:paraId="219769B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1.承受拉力≥280KG±15%</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2.内置反向电流保护装置（MOV）</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3.接口形式需满足锁状态信号输出</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4.双重锁体绝缘处理，外壳采用高强度铝合金材料</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5A78A68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7套</w:t>
            </w:r>
          </w:p>
        </w:tc>
      </w:tr>
      <w:tr w14:paraId="13BE0716">
        <w:tblPrEx>
          <w:tblCellMar>
            <w:top w:w="0" w:type="dxa"/>
            <w:left w:w="108" w:type="dxa"/>
            <w:bottom w:w="0" w:type="dxa"/>
            <w:right w:w="108" w:type="dxa"/>
          </w:tblCellMar>
        </w:tblPrEx>
        <w:trPr>
          <w:trHeight w:val="671"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6CE14C0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w:t>
            </w:r>
          </w:p>
        </w:tc>
        <w:tc>
          <w:tcPr>
            <w:tcW w:w="1068" w:type="dxa"/>
            <w:vMerge w:val="continue"/>
            <w:tcBorders>
              <w:top w:val="single" w:color="000000" w:sz="4" w:space="0"/>
              <w:left w:val="single" w:color="000000" w:sz="4" w:space="0"/>
              <w:bottom w:val="single" w:color="000000" w:sz="4" w:space="0"/>
              <w:right w:val="single" w:color="000000" w:sz="4" w:space="0"/>
            </w:tcBorders>
            <w:noWrap/>
            <w:vAlign w:val="center"/>
          </w:tcPr>
          <w:p w14:paraId="108D830F">
            <w:pPr>
              <w:pStyle w:val="30"/>
              <w:spacing w:line="360" w:lineRule="auto"/>
              <w:rPr>
                <w:rFonts w:ascii="仿宋" w:hAnsi="仿宋" w:eastAsia="仿宋" w:cs="仿宋"/>
                <w:color w:val="000000"/>
                <w:sz w:val="24"/>
                <w:szCs w:val="22"/>
              </w:rPr>
            </w:pPr>
          </w:p>
        </w:tc>
        <w:tc>
          <w:tcPr>
            <w:tcW w:w="5616" w:type="dxa"/>
            <w:tcBorders>
              <w:top w:val="single" w:color="000000" w:sz="4" w:space="0"/>
              <w:left w:val="single" w:color="000000" w:sz="4" w:space="0"/>
              <w:bottom w:val="single" w:color="000000" w:sz="4" w:space="0"/>
              <w:right w:val="single" w:color="000000" w:sz="4" w:space="0"/>
            </w:tcBorders>
            <w:noWrap/>
            <w:vAlign w:val="center"/>
          </w:tcPr>
          <w:p w14:paraId="37740A1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单门磁力锁ZL型支架</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6FEDD28A">
            <w:pPr>
              <w:pStyle w:val="30"/>
              <w:spacing w:line="360" w:lineRule="auto"/>
              <w:rPr>
                <w:rFonts w:ascii="仿宋" w:hAnsi="仿宋" w:eastAsia="仿宋" w:cs="仿宋"/>
                <w:color w:val="000000"/>
                <w:sz w:val="24"/>
                <w:szCs w:val="22"/>
              </w:rPr>
            </w:pPr>
          </w:p>
        </w:tc>
      </w:tr>
      <w:tr w14:paraId="17B152E7">
        <w:tblPrEx>
          <w:tblCellMar>
            <w:top w:w="0" w:type="dxa"/>
            <w:left w:w="108" w:type="dxa"/>
            <w:bottom w:w="0" w:type="dxa"/>
            <w:right w:w="108" w:type="dxa"/>
          </w:tblCellMar>
        </w:tblPrEx>
        <w:trPr>
          <w:trHeight w:val="108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288C0EE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w:t>
            </w:r>
          </w:p>
        </w:tc>
        <w:tc>
          <w:tcPr>
            <w:tcW w:w="1068" w:type="dxa"/>
            <w:vMerge w:val="restart"/>
            <w:tcBorders>
              <w:top w:val="single" w:color="000000" w:sz="4" w:space="0"/>
              <w:left w:val="single" w:color="000000" w:sz="4" w:space="0"/>
              <w:bottom w:val="single" w:color="000000" w:sz="4" w:space="0"/>
              <w:right w:val="single" w:color="000000" w:sz="4" w:space="0"/>
            </w:tcBorders>
            <w:noWrap/>
            <w:vAlign w:val="center"/>
          </w:tcPr>
          <w:p w14:paraId="130529B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双门磁力锁</w:t>
            </w:r>
          </w:p>
        </w:tc>
        <w:tc>
          <w:tcPr>
            <w:tcW w:w="5616" w:type="dxa"/>
            <w:tcBorders>
              <w:top w:val="single" w:color="000000" w:sz="4" w:space="0"/>
              <w:left w:val="single" w:color="000000" w:sz="4" w:space="0"/>
              <w:bottom w:val="single" w:color="000000" w:sz="4" w:space="0"/>
              <w:right w:val="single" w:color="000000" w:sz="4" w:space="0"/>
            </w:tcBorders>
            <w:noWrap/>
            <w:vAlign w:val="center"/>
          </w:tcPr>
          <w:p w14:paraId="6FDDABC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1.承受拉力≥280KG*2±15%</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2.内置反向电流保护装置（MOV）</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3.接口形式需满足锁状态信号输出</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4.双重锁体绝缘处理，外壳采用高强度铝合金材料</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340EDB5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32套</w:t>
            </w:r>
          </w:p>
        </w:tc>
      </w:tr>
      <w:tr w14:paraId="466684BB">
        <w:tblPrEx>
          <w:tblCellMar>
            <w:top w:w="0" w:type="dxa"/>
            <w:left w:w="108" w:type="dxa"/>
            <w:bottom w:w="0" w:type="dxa"/>
            <w:right w:w="108" w:type="dxa"/>
          </w:tblCellMar>
        </w:tblPrEx>
        <w:trPr>
          <w:trHeight w:val="27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78C6F37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w:t>
            </w:r>
          </w:p>
        </w:tc>
        <w:tc>
          <w:tcPr>
            <w:tcW w:w="1068" w:type="dxa"/>
            <w:vMerge w:val="continue"/>
            <w:tcBorders>
              <w:top w:val="single" w:color="000000" w:sz="4" w:space="0"/>
              <w:left w:val="single" w:color="000000" w:sz="4" w:space="0"/>
              <w:bottom w:val="single" w:color="000000" w:sz="4" w:space="0"/>
              <w:right w:val="single" w:color="000000" w:sz="4" w:space="0"/>
            </w:tcBorders>
            <w:noWrap/>
            <w:vAlign w:val="center"/>
          </w:tcPr>
          <w:p w14:paraId="30346BA1">
            <w:pPr>
              <w:pStyle w:val="30"/>
              <w:spacing w:line="360" w:lineRule="auto"/>
              <w:rPr>
                <w:rFonts w:ascii="仿宋" w:hAnsi="仿宋" w:eastAsia="仿宋" w:cs="仿宋"/>
                <w:color w:val="000000"/>
                <w:sz w:val="24"/>
                <w:szCs w:val="22"/>
              </w:rPr>
            </w:pPr>
          </w:p>
        </w:tc>
        <w:tc>
          <w:tcPr>
            <w:tcW w:w="5616" w:type="dxa"/>
            <w:tcBorders>
              <w:top w:val="single" w:color="000000" w:sz="4" w:space="0"/>
              <w:left w:val="single" w:color="000000" w:sz="4" w:space="0"/>
              <w:bottom w:val="single" w:color="000000" w:sz="4" w:space="0"/>
              <w:right w:val="single" w:color="000000" w:sz="4" w:space="0"/>
            </w:tcBorders>
            <w:noWrap/>
            <w:vAlign w:val="center"/>
          </w:tcPr>
          <w:p w14:paraId="3648E5F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单门磁力锁ZL型支架</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064F7897">
            <w:pPr>
              <w:pStyle w:val="30"/>
              <w:spacing w:line="360" w:lineRule="auto"/>
              <w:rPr>
                <w:rFonts w:ascii="仿宋" w:hAnsi="仿宋" w:eastAsia="仿宋" w:cs="仿宋"/>
                <w:color w:val="000000"/>
                <w:sz w:val="24"/>
                <w:szCs w:val="22"/>
              </w:rPr>
            </w:pPr>
          </w:p>
        </w:tc>
      </w:tr>
      <w:tr w14:paraId="57BDC60D">
        <w:tblPrEx>
          <w:tblCellMar>
            <w:top w:w="0" w:type="dxa"/>
            <w:left w:w="108" w:type="dxa"/>
            <w:bottom w:w="0" w:type="dxa"/>
            <w:right w:w="108" w:type="dxa"/>
          </w:tblCellMar>
        </w:tblPrEx>
        <w:trPr>
          <w:trHeight w:val="81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5C04058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F6D4B4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电磁锁电源</w:t>
            </w:r>
          </w:p>
        </w:tc>
        <w:tc>
          <w:tcPr>
            <w:tcW w:w="5616" w:type="dxa"/>
            <w:tcBorders>
              <w:top w:val="single" w:color="000000" w:sz="4" w:space="0"/>
              <w:left w:val="single" w:color="000000" w:sz="4" w:space="0"/>
              <w:bottom w:val="single" w:color="000000" w:sz="4" w:space="0"/>
              <w:right w:val="single" w:color="000000" w:sz="4" w:space="0"/>
            </w:tcBorders>
            <w:noWrap/>
            <w:vAlign w:val="center"/>
          </w:tcPr>
          <w:p w14:paraId="381964F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1.输入不小于100-240V~50/60Hz，最大0.7A；</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2.输出不小于12V/2.0A；</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3.工作环境范围不小于-40℃~45℃。</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15C377F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39套</w:t>
            </w:r>
          </w:p>
        </w:tc>
      </w:tr>
      <w:tr w14:paraId="298E5FA3">
        <w:tblPrEx>
          <w:tblCellMar>
            <w:top w:w="0" w:type="dxa"/>
            <w:left w:w="108" w:type="dxa"/>
            <w:bottom w:w="0" w:type="dxa"/>
            <w:right w:w="108" w:type="dxa"/>
          </w:tblCellMar>
        </w:tblPrEx>
        <w:trPr>
          <w:trHeight w:val="108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442249D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87B6CD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开门按钮</w:t>
            </w:r>
          </w:p>
        </w:tc>
        <w:tc>
          <w:tcPr>
            <w:tcW w:w="5616" w:type="dxa"/>
            <w:tcBorders>
              <w:top w:val="single" w:color="000000" w:sz="4" w:space="0"/>
              <w:left w:val="single" w:color="000000" w:sz="4" w:space="0"/>
              <w:bottom w:val="single" w:color="000000" w:sz="4" w:space="0"/>
              <w:right w:val="single" w:color="000000" w:sz="4" w:space="0"/>
            </w:tcBorders>
            <w:noWrap/>
            <w:vAlign w:val="center"/>
          </w:tcPr>
          <w:p w14:paraId="488C157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1.材质:不锈钢拉丝</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2.尺寸:86*86*28mm</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3.工作电压:DC12V</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4.使用环境:工作温度：-30℃-+60℃， 工作湿度：≤95%</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6D7E7BF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39个</w:t>
            </w:r>
          </w:p>
        </w:tc>
      </w:tr>
      <w:tr w14:paraId="396CE02E">
        <w:tblPrEx>
          <w:tblCellMar>
            <w:top w:w="0" w:type="dxa"/>
            <w:left w:w="108" w:type="dxa"/>
            <w:bottom w:w="0" w:type="dxa"/>
            <w:right w:w="108" w:type="dxa"/>
          </w:tblCellMar>
        </w:tblPrEx>
        <w:trPr>
          <w:trHeight w:val="108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3FBD760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76F5BF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紧急出门按钮</w:t>
            </w:r>
          </w:p>
        </w:tc>
        <w:tc>
          <w:tcPr>
            <w:tcW w:w="5616" w:type="dxa"/>
            <w:tcBorders>
              <w:top w:val="single" w:color="000000" w:sz="4" w:space="0"/>
              <w:left w:val="single" w:color="000000" w:sz="4" w:space="0"/>
              <w:bottom w:val="single" w:color="000000" w:sz="4" w:space="0"/>
              <w:right w:val="single" w:color="000000" w:sz="4" w:space="0"/>
            </w:tcBorders>
            <w:noWrap/>
            <w:vAlign w:val="center"/>
          </w:tcPr>
          <w:p w14:paraId="1C0BD85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1.材质:不锈钢拉丝</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2.尺寸:86*86*50mm</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3.工作电压:DC36V</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4.使用环境:工作温度：-20℃~+50℃， 工作湿度：≤95%</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740D194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39个</w:t>
            </w:r>
          </w:p>
        </w:tc>
      </w:tr>
      <w:tr w14:paraId="2590721F">
        <w:tblPrEx>
          <w:tblCellMar>
            <w:top w:w="0" w:type="dxa"/>
            <w:left w:w="108" w:type="dxa"/>
            <w:bottom w:w="0" w:type="dxa"/>
            <w:right w:w="108" w:type="dxa"/>
          </w:tblCellMar>
        </w:tblPrEx>
        <w:trPr>
          <w:trHeight w:val="81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672E226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10</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71DCF0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闭门器</w:t>
            </w:r>
          </w:p>
        </w:tc>
        <w:tc>
          <w:tcPr>
            <w:tcW w:w="5616" w:type="dxa"/>
            <w:tcBorders>
              <w:top w:val="single" w:color="000000" w:sz="4" w:space="0"/>
              <w:left w:val="single" w:color="000000" w:sz="4" w:space="0"/>
              <w:bottom w:val="single" w:color="000000" w:sz="4" w:space="0"/>
              <w:right w:val="single" w:color="000000" w:sz="4" w:space="0"/>
            </w:tcBorders>
            <w:noWrap/>
            <w:vAlign w:val="center"/>
          </w:tcPr>
          <w:p w14:paraId="7BF4970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1.适用门重 ≤65Kg</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2.适用门宽 ≤750mm</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3.最大开门角度≥130°</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650AFCD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39套</w:t>
            </w:r>
          </w:p>
        </w:tc>
      </w:tr>
      <w:tr w14:paraId="406BADA3">
        <w:tblPrEx>
          <w:tblCellMar>
            <w:top w:w="0" w:type="dxa"/>
            <w:left w:w="108" w:type="dxa"/>
            <w:bottom w:w="0" w:type="dxa"/>
            <w:right w:w="108" w:type="dxa"/>
          </w:tblCellMar>
        </w:tblPrEx>
        <w:trPr>
          <w:trHeight w:val="27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7F01A9C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12</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D6D3EA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客户端主机</w:t>
            </w:r>
          </w:p>
        </w:tc>
        <w:tc>
          <w:tcPr>
            <w:tcW w:w="5616" w:type="dxa"/>
            <w:tcBorders>
              <w:top w:val="single" w:color="000000" w:sz="4" w:space="0"/>
              <w:left w:val="single" w:color="000000" w:sz="4" w:space="0"/>
              <w:bottom w:val="single" w:color="000000" w:sz="4" w:space="0"/>
              <w:right w:val="single" w:color="000000" w:sz="4" w:space="0"/>
            </w:tcBorders>
            <w:noWrap/>
            <w:vAlign w:val="center"/>
          </w:tcPr>
          <w:p w14:paraId="3969B9B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同智能化平台硬件部分需求一相同</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0E12494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126D0C7C">
        <w:tblPrEx>
          <w:tblCellMar>
            <w:top w:w="0" w:type="dxa"/>
            <w:left w:w="108" w:type="dxa"/>
            <w:bottom w:w="0" w:type="dxa"/>
            <w:right w:w="108" w:type="dxa"/>
          </w:tblCellMar>
        </w:tblPrEx>
        <w:trPr>
          <w:trHeight w:val="54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54A24C1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13</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5353A9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门禁管理软件</w:t>
            </w:r>
          </w:p>
        </w:tc>
        <w:tc>
          <w:tcPr>
            <w:tcW w:w="5616" w:type="dxa"/>
            <w:tcBorders>
              <w:top w:val="single" w:color="000000" w:sz="4" w:space="0"/>
              <w:left w:val="single" w:color="000000" w:sz="4" w:space="0"/>
              <w:bottom w:val="single" w:color="000000" w:sz="4" w:space="0"/>
              <w:right w:val="single" w:color="000000" w:sz="4" w:space="0"/>
            </w:tcBorders>
            <w:noWrap/>
            <w:vAlign w:val="center"/>
          </w:tcPr>
          <w:p w14:paraId="4C9AFCC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为保障系统的稳定性，要求门禁系统设备与监控系统设备为同一品牌</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3FB711B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229367B0">
        <w:tblPrEx>
          <w:tblCellMar>
            <w:top w:w="0" w:type="dxa"/>
            <w:left w:w="108" w:type="dxa"/>
            <w:bottom w:w="0" w:type="dxa"/>
            <w:right w:w="108" w:type="dxa"/>
          </w:tblCellMar>
        </w:tblPrEx>
        <w:trPr>
          <w:trHeight w:val="189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56A04E3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14</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766A6C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发卡器</w:t>
            </w:r>
          </w:p>
        </w:tc>
        <w:tc>
          <w:tcPr>
            <w:tcW w:w="5616" w:type="dxa"/>
            <w:tcBorders>
              <w:top w:val="single" w:color="000000" w:sz="4" w:space="0"/>
              <w:left w:val="single" w:color="000000" w:sz="4" w:space="0"/>
              <w:bottom w:val="single" w:color="000000" w:sz="4" w:space="0"/>
              <w:right w:val="single" w:color="000000" w:sz="4" w:space="0"/>
            </w:tcBorders>
            <w:noWrap/>
            <w:vAlign w:val="center"/>
          </w:tcPr>
          <w:p w14:paraId="59D7BCA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1.工作频率符合13.56MHz</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2.支持产品标准:ISO/IEC14443A、ISO7816-3</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3.电源输入:USB 5V（±5%）</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4.工作温度范围不劣于-20℃-+60℃</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5.支持输出接口:即免驱USB接口</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6.支持IC卡、CPU卡读写</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5AFCFFA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21F648BA">
        <w:tblPrEx>
          <w:tblCellMar>
            <w:top w:w="0" w:type="dxa"/>
            <w:left w:w="108" w:type="dxa"/>
            <w:bottom w:w="0" w:type="dxa"/>
            <w:right w:w="108" w:type="dxa"/>
          </w:tblCellMar>
        </w:tblPrEx>
        <w:trPr>
          <w:trHeight w:val="243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52A7F12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15</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05BD71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生物信息采集仪</w:t>
            </w:r>
          </w:p>
        </w:tc>
        <w:tc>
          <w:tcPr>
            <w:tcW w:w="5616" w:type="dxa"/>
            <w:tcBorders>
              <w:top w:val="single" w:color="000000" w:sz="4" w:space="0"/>
              <w:left w:val="single" w:color="000000" w:sz="4" w:space="0"/>
              <w:bottom w:val="single" w:color="000000" w:sz="4" w:space="0"/>
              <w:right w:val="single" w:color="000000" w:sz="4" w:space="0"/>
            </w:tcBorders>
            <w:noWrap/>
            <w:vAlign w:val="center"/>
          </w:tcPr>
          <w:p w14:paraId="31E7519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1.读取居民身份证芯片中的身份证信息，将获取的身份证照片与现场自动采集照片进行快速比对核验，验证成功自动录入人员信息到系统</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2.屏幕分辨率≥600*1024</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3.屏幕比例≥9:16</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4.摄像头参数检查可见光摄像头分辨率1080×1920</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5.500次平均响应时间应≤120ms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6.支持人员添加、修改、删除和查询功能，注册数据包括人员信息、人脸图像；应支持本地或远程数据管理模式，支持现场注册和历史图像注册</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7.卡号最大库容≥5W</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8.支持多人员库管理，支持≥16个人员库</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9：N核验最大库容≥5W</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65F1B0A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4DD68B51">
        <w:tblPrEx>
          <w:tblCellMar>
            <w:top w:w="0" w:type="dxa"/>
            <w:left w:w="108" w:type="dxa"/>
            <w:bottom w:w="0" w:type="dxa"/>
            <w:right w:w="108" w:type="dxa"/>
          </w:tblCellMar>
        </w:tblPrEx>
        <w:trPr>
          <w:trHeight w:val="810" w:hRule="atLeast"/>
        </w:trPr>
        <w:tc>
          <w:tcPr>
            <w:tcW w:w="680" w:type="dxa"/>
            <w:tcBorders>
              <w:top w:val="single" w:color="000000" w:sz="4" w:space="0"/>
              <w:left w:val="single" w:color="000000" w:sz="4" w:space="0"/>
              <w:bottom w:val="single" w:color="000000" w:sz="4" w:space="0"/>
              <w:right w:val="single" w:color="000000" w:sz="4" w:space="0"/>
            </w:tcBorders>
            <w:noWrap/>
            <w:vAlign w:val="center"/>
          </w:tcPr>
          <w:p w14:paraId="735AC52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16</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66FBE5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生物信息采集仪电源</w:t>
            </w:r>
          </w:p>
        </w:tc>
        <w:tc>
          <w:tcPr>
            <w:tcW w:w="5616" w:type="dxa"/>
            <w:tcBorders>
              <w:top w:val="single" w:color="000000" w:sz="4" w:space="0"/>
              <w:left w:val="single" w:color="000000" w:sz="4" w:space="0"/>
              <w:bottom w:val="single" w:color="000000" w:sz="4" w:space="0"/>
              <w:right w:val="single" w:color="000000" w:sz="4" w:space="0"/>
            </w:tcBorders>
            <w:noWrap/>
            <w:vAlign w:val="center"/>
          </w:tcPr>
          <w:p w14:paraId="2DE4027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生物信息采集仪电源</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1.输出电压≥DC12V±5%</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2.工作温度范围不劣于-20～55℃</w:t>
            </w:r>
          </w:p>
        </w:tc>
        <w:tc>
          <w:tcPr>
            <w:tcW w:w="1173" w:type="dxa"/>
            <w:tcBorders>
              <w:top w:val="single" w:color="000000" w:sz="4" w:space="0"/>
              <w:left w:val="single" w:color="000000" w:sz="4" w:space="0"/>
              <w:bottom w:val="single" w:color="000000" w:sz="4" w:space="0"/>
              <w:right w:val="single" w:color="000000" w:sz="4" w:space="0"/>
            </w:tcBorders>
            <w:noWrap/>
            <w:vAlign w:val="center"/>
          </w:tcPr>
          <w:p w14:paraId="53800B5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bl>
    <w:p w14:paraId="3E036529">
      <w:pPr>
        <w:pStyle w:val="30"/>
        <w:spacing w:line="360" w:lineRule="auto"/>
        <w:rPr>
          <w:rFonts w:ascii="仿宋" w:hAnsi="仿宋" w:eastAsia="仿宋" w:cs="仿宋"/>
          <w:color w:val="000000"/>
          <w:sz w:val="24"/>
          <w:szCs w:val="22"/>
        </w:rPr>
      </w:pPr>
    </w:p>
    <w:p w14:paraId="16FC3DD1">
      <w:pPr>
        <w:pStyle w:val="30"/>
        <w:spacing w:line="360" w:lineRule="auto"/>
        <w:outlineLvl w:val="4"/>
        <w:rPr>
          <w:rFonts w:ascii="仿宋" w:hAnsi="仿宋" w:eastAsia="仿宋" w:cs="仿宋"/>
          <w:color w:val="000000"/>
          <w:sz w:val="24"/>
          <w:szCs w:val="22"/>
        </w:rPr>
      </w:pPr>
      <w:r>
        <w:rPr>
          <w:rFonts w:hint="eastAsia" w:ascii="仿宋" w:hAnsi="仿宋" w:eastAsia="仿宋" w:cs="仿宋"/>
          <w:color w:val="000000"/>
          <w:sz w:val="24"/>
          <w:szCs w:val="22"/>
          <w:lang w:eastAsia="zh-CN"/>
        </w:rPr>
        <w:t>Ⅲ</w:t>
      </w:r>
      <w:r>
        <w:rPr>
          <w:rFonts w:hint="eastAsia" w:ascii="仿宋" w:hAnsi="仿宋" w:eastAsia="仿宋" w:cs="仿宋"/>
          <w:color w:val="000000"/>
          <w:sz w:val="24"/>
          <w:szCs w:val="22"/>
        </w:rPr>
        <w:t>报警子系统</w:t>
      </w:r>
    </w:p>
    <w:p w14:paraId="2899A71C">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在重点防范区域及主要的出入口进行设置报警探测设备。主要防范重点区域的非法侵入行为且能够及时地给工作人员发出告警信息，对外服务区域设置的残疾人卫生间按照残卫的建设标准需设置有求助按钮。报警系统总体上是为档案馆工作人员提供有效准确的报警信息，并能够通过视频的联动实现报警信息提示功能。</w:t>
      </w:r>
    </w:p>
    <w:tbl>
      <w:tblPr>
        <w:tblStyle w:val="45"/>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82"/>
        <w:gridCol w:w="5454"/>
        <w:gridCol w:w="1230"/>
      </w:tblGrid>
      <w:tr w14:paraId="35B7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ign w:val="center"/>
          </w:tcPr>
          <w:p w14:paraId="6A9DF865">
            <w:pPr>
              <w:pStyle w:val="30"/>
              <w:spacing w:line="360" w:lineRule="auto"/>
              <w:rPr>
                <w:rFonts w:ascii="仿宋" w:hAnsi="仿宋" w:eastAsia="仿宋" w:cs="仿宋"/>
                <w:color w:val="000000"/>
                <w:kern w:val="2"/>
                <w:sz w:val="24"/>
                <w:szCs w:val="22"/>
              </w:rPr>
            </w:pPr>
            <w:r>
              <w:rPr>
                <w:rFonts w:hint="eastAsia" w:ascii="仿宋" w:hAnsi="仿宋" w:eastAsia="仿宋" w:cs="仿宋"/>
                <w:color w:val="000000"/>
                <w:sz w:val="24"/>
                <w:szCs w:val="22"/>
              </w:rPr>
              <w:t>序号</w:t>
            </w:r>
          </w:p>
        </w:tc>
        <w:tc>
          <w:tcPr>
            <w:tcW w:w="1282" w:type="dxa"/>
            <w:noWrap/>
            <w:vAlign w:val="center"/>
          </w:tcPr>
          <w:p w14:paraId="0BD54D99">
            <w:pPr>
              <w:pStyle w:val="30"/>
              <w:spacing w:line="360" w:lineRule="auto"/>
              <w:rPr>
                <w:rFonts w:ascii="仿宋" w:hAnsi="仿宋" w:eastAsia="仿宋" w:cs="仿宋"/>
                <w:color w:val="000000"/>
                <w:kern w:val="2"/>
                <w:sz w:val="24"/>
                <w:szCs w:val="22"/>
              </w:rPr>
            </w:pPr>
            <w:r>
              <w:rPr>
                <w:rFonts w:hint="eastAsia" w:ascii="仿宋" w:hAnsi="仿宋" w:eastAsia="仿宋" w:cs="仿宋"/>
                <w:color w:val="000000"/>
                <w:sz w:val="24"/>
                <w:szCs w:val="22"/>
              </w:rPr>
              <w:t>设备名称</w:t>
            </w:r>
          </w:p>
        </w:tc>
        <w:tc>
          <w:tcPr>
            <w:tcW w:w="5454" w:type="dxa"/>
            <w:noWrap/>
            <w:vAlign w:val="center"/>
          </w:tcPr>
          <w:p w14:paraId="7D7846EF">
            <w:pPr>
              <w:pStyle w:val="30"/>
              <w:spacing w:line="360" w:lineRule="auto"/>
              <w:rPr>
                <w:rFonts w:ascii="仿宋" w:hAnsi="仿宋" w:eastAsia="仿宋" w:cs="仿宋"/>
                <w:color w:val="000000"/>
                <w:kern w:val="2"/>
                <w:sz w:val="24"/>
                <w:szCs w:val="22"/>
              </w:rPr>
            </w:pPr>
            <w:r>
              <w:rPr>
                <w:rFonts w:hint="eastAsia" w:ascii="仿宋" w:hAnsi="仿宋" w:eastAsia="仿宋" w:cs="仿宋"/>
                <w:color w:val="000000"/>
                <w:sz w:val="24"/>
                <w:szCs w:val="22"/>
              </w:rPr>
              <w:t>★基本参数</w:t>
            </w:r>
          </w:p>
        </w:tc>
        <w:tc>
          <w:tcPr>
            <w:tcW w:w="1230" w:type="dxa"/>
            <w:noWrap/>
            <w:vAlign w:val="center"/>
          </w:tcPr>
          <w:p w14:paraId="62BA9497">
            <w:pPr>
              <w:pStyle w:val="30"/>
              <w:spacing w:line="360" w:lineRule="auto"/>
              <w:rPr>
                <w:rFonts w:ascii="仿宋" w:hAnsi="仿宋" w:eastAsia="仿宋" w:cs="仿宋"/>
                <w:color w:val="000000"/>
                <w:kern w:val="2"/>
                <w:sz w:val="24"/>
                <w:szCs w:val="22"/>
              </w:rPr>
            </w:pPr>
            <w:r>
              <w:rPr>
                <w:rFonts w:hint="eastAsia" w:ascii="仿宋" w:hAnsi="仿宋" w:eastAsia="仿宋" w:cs="仿宋"/>
                <w:color w:val="000000"/>
                <w:sz w:val="24"/>
                <w:szCs w:val="22"/>
              </w:rPr>
              <w:t>数量</w:t>
            </w:r>
          </w:p>
        </w:tc>
      </w:tr>
      <w:tr w14:paraId="4E21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56" w:type="dxa"/>
            <w:noWrap/>
            <w:vAlign w:val="center"/>
          </w:tcPr>
          <w:p w14:paraId="73A89C5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w:t>
            </w:r>
          </w:p>
        </w:tc>
        <w:tc>
          <w:tcPr>
            <w:tcW w:w="1282" w:type="dxa"/>
            <w:noWrap/>
            <w:vAlign w:val="center"/>
          </w:tcPr>
          <w:p w14:paraId="48CEF1A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报警主机</w:t>
            </w:r>
          </w:p>
        </w:tc>
        <w:tc>
          <w:tcPr>
            <w:tcW w:w="5454" w:type="dxa"/>
            <w:noWrap/>
            <w:vAlign w:val="center"/>
          </w:tcPr>
          <w:p w14:paraId="1DE329A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报警输入：支持本地≥16 路报警输入，最大可扩展到 256 路；支持接入常开或常闭型探测器；支持探测器防拆、防短、防遮挡功能。</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报警输出：支持本地≥ 4 路报警输出，最大可扩展到 256 路；支持强制开启、强制关闭、自动控制功能，支持报警联动。</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防区类型：支持即时防区、延时防区、24 小时无声等多种防区类型。</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接口保护：支持报警输入输出接口电路保护功能。</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异常报警 ：支持主机防拆报警、键盘防拆报警、主电掉电报警、蓄电池掉电报警、蓄电池欠压报警、PSTN 掉线报警、网络断开报警、IP 冲突报警、MAC 冲突报警等。</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RS-485 接口 ：支持 2 路 RS - 485 接口，支持最大 32 路键盘接入，支持打印机接入。</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紧急报警 ：支持火警、医疗、胁迫等紧急报警。</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通信功能 ：支持 CID（Contact ID protocol），</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报警中心 ：支持多个接警中心和报警数据上传策略。</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日志查询 ：支持海量日志查询功能。</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数据存储： 支持 ≥1024 条报警事件记录、操作事件、事件带日期功能。</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布撤防方式 ：支持报警键盘、管理平台、单机版软件等多种布撤防方式，支持对单个防区、子系统等进行单独布撤防。</w:t>
            </w:r>
          </w:p>
        </w:tc>
        <w:tc>
          <w:tcPr>
            <w:tcW w:w="1230" w:type="dxa"/>
            <w:noWrap/>
            <w:vAlign w:val="center"/>
          </w:tcPr>
          <w:p w14:paraId="7F1CDE8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764E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ign w:val="center"/>
          </w:tcPr>
          <w:p w14:paraId="1651D98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w:t>
            </w:r>
          </w:p>
        </w:tc>
        <w:tc>
          <w:tcPr>
            <w:tcW w:w="1282" w:type="dxa"/>
            <w:noWrap/>
            <w:vAlign w:val="center"/>
          </w:tcPr>
          <w:p w14:paraId="51F9EB5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网络模块</w:t>
            </w:r>
          </w:p>
        </w:tc>
        <w:tc>
          <w:tcPr>
            <w:tcW w:w="5454" w:type="dxa"/>
            <w:noWrap/>
            <w:vAlign w:val="center"/>
          </w:tcPr>
          <w:p w14:paraId="43308DE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数据转换 :内置高性能处理芯片，可将报警系统模拟总线数据信号转换成 TCP/IP 协议数据包通过以太网传输。</w:t>
            </w:r>
          </w:p>
        </w:tc>
        <w:tc>
          <w:tcPr>
            <w:tcW w:w="1230" w:type="dxa"/>
            <w:noWrap/>
            <w:vAlign w:val="center"/>
          </w:tcPr>
          <w:p w14:paraId="72C19B7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7C02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ign w:val="center"/>
          </w:tcPr>
          <w:p w14:paraId="46DF8AB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w:t>
            </w:r>
          </w:p>
        </w:tc>
        <w:tc>
          <w:tcPr>
            <w:tcW w:w="1282" w:type="dxa"/>
            <w:noWrap/>
            <w:vAlign w:val="center"/>
          </w:tcPr>
          <w:p w14:paraId="2FDC7E8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LCD系统控制键盘</w:t>
            </w:r>
          </w:p>
        </w:tc>
        <w:tc>
          <w:tcPr>
            <w:tcW w:w="5454" w:type="dxa"/>
            <w:noWrap/>
            <w:vAlign w:val="center"/>
          </w:tcPr>
          <w:p w14:paraId="69537F5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通讯接口： 采用 485 通讯接口</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屏幕显示：高清分辨率液晶屏显示。</w:t>
            </w:r>
          </w:p>
        </w:tc>
        <w:tc>
          <w:tcPr>
            <w:tcW w:w="1230" w:type="dxa"/>
            <w:noWrap/>
            <w:vAlign w:val="center"/>
          </w:tcPr>
          <w:p w14:paraId="2378B01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2BA4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456" w:type="dxa"/>
            <w:noWrap/>
            <w:vAlign w:val="center"/>
          </w:tcPr>
          <w:p w14:paraId="17BB121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w:t>
            </w:r>
          </w:p>
        </w:tc>
        <w:tc>
          <w:tcPr>
            <w:tcW w:w="1282" w:type="dxa"/>
            <w:noWrap/>
            <w:vAlign w:val="center"/>
          </w:tcPr>
          <w:p w14:paraId="06979B0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声光报警器</w:t>
            </w:r>
          </w:p>
        </w:tc>
        <w:tc>
          <w:tcPr>
            <w:tcW w:w="5454" w:type="dxa"/>
            <w:noWrap/>
            <w:vAlign w:val="center"/>
          </w:tcPr>
          <w:p w14:paraId="4812B0A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外壳材质： 防火 ABS 阻燃外壳。</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声压参数 ：声压 (VDC)：110±3。</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报警分贝 ：不低于110dB。</w:t>
            </w:r>
          </w:p>
        </w:tc>
        <w:tc>
          <w:tcPr>
            <w:tcW w:w="1230" w:type="dxa"/>
            <w:noWrap/>
            <w:vAlign w:val="center"/>
          </w:tcPr>
          <w:p w14:paraId="4F55A85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5台</w:t>
            </w:r>
          </w:p>
        </w:tc>
      </w:tr>
      <w:tr w14:paraId="3F71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456" w:type="dxa"/>
            <w:noWrap/>
            <w:vAlign w:val="center"/>
          </w:tcPr>
          <w:p w14:paraId="2DDB246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w:t>
            </w:r>
          </w:p>
        </w:tc>
        <w:tc>
          <w:tcPr>
            <w:tcW w:w="1282" w:type="dxa"/>
            <w:noWrap/>
            <w:vAlign w:val="center"/>
          </w:tcPr>
          <w:p w14:paraId="1B94E1E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紧急按钮</w:t>
            </w:r>
          </w:p>
        </w:tc>
        <w:tc>
          <w:tcPr>
            <w:tcW w:w="5454" w:type="dxa"/>
            <w:noWrap/>
            <w:vAlign w:val="center"/>
          </w:tcPr>
          <w:p w14:paraId="60CDAD8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报警输出 ：NC/NO 报警输出可选</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工作温度 ：-10°C~+55°C</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工作湿度： ≤95%RH</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触发报警响应时间： ≤400ms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触发报警动作值： ≥1mm</w:t>
            </w:r>
          </w:p>
        </w:tc>
        <w:tc>
          <w:tcPr>
            <w:tcW w:w="1230" w:type="dxa"/>
            <w:noWrap/>
            <w:vAlign w:val="center"/>
          </w:tcPr>
          <w:p w14:paraId="7FA28E4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5套</w:t>
            </w:r>
          </w:p>
        </w:tc>
      </w:tr>
      <w:tr w14:paraId="241C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ign w:val="center"/>
          </w:tcPr>
          <w:p w14:paraId="0E36E9D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w:t>
            </w:r>
          </w:p>
        </w:tc>
        <w:tc>
          <w:tcPr>
            <w:tcW w:w="1282" w:type="dxa"/>
            <w:noWrap/>
            <w:vAlign w:val="center"/>
          </w:tcPr>
          <w:p w14:paraId="5219DEE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双鉴探测器</w:t>
            </w:r>
          </w:p>
        </w:tc>
        <w:tc>
          <w:tcPr>
            <w:tcW w:w="5454" w:type="dxa"/>
            <w:noWrap/>
            <w:vAlign w:val="center"/>
          </w:tcPr>
          <w:p w14:paraId="57DE0AF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探测距离 ：≥12m</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探测角度 ： ≥84～110 度</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报警输出 ：常开 / 常闭可调</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防拆开关 ：常闭</w:t>
            </w:r>
          </w:p>
        </w:tc>
        <w:tc>
          <w:tcPr>
            <w:tcW w:w="1230" w:type="dxa"/>
            <w:noWrap/>
            <w:vAlign w:val="center"/>
          </w:tcPr>
          <w:p w14:paraId="7E51051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22套</w:t>
            </w:r>
          </w:p>
        </w:tc>
      </w:tr>
      <w:tr w14:paraId="60BD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456" w:type="dxa"/>
            <w:noWrap/>
            <w:vAlign w:val="center"/>
          </w:tcPr>
          <w:p w14:paraId="490B896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w:t>
            </w:r>
          </w:p>
        </w:tc>
        <w:tc>
          <w:tcPr>
            <w:tcW w:w="1282" w:type="dxa"/>
            <w:noWrap/>
            <w:vAlign w:val="center"/>
          </w:tcPr>
          <w:p w14:paraId="0A39C03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单防区地址模块</w:t>
            </w:r>
          </w:p>
        </w:tc>
        <w:tc>
          <w:tcPr>
            <w:tcW w:w="5454" w:type="dxa"/>
            <w:noWrap/>
            <w:vAlign w:val="center"/>
          </w:tcPr>
          <w:p w14:paraId="0CA3DD7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工作电压：DC12V</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防区数量：1防区</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消耗电流： ≤50mA</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工作温度 ：-10℃～+45℃</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工作湿度： ≤90%</w:t>
            </w:r>
          </w:p>
        </w:tc>
        <w:tc>
          <w:tcPr>
            <w:tcW w:w="1230" w:type="dxa"/>
            <w:noWrap/>
            <w:vAlign w:val="center"/>
          </w:tcPr>
          <w:p w14:paraId="2BD0A41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31套</w:t>
            </w:r>
          </w:p>
        </w:tc>
      </w:tr>
      <w:tr w14:paraId="56A7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ign w:val="center"/>
          </w:tcPr>
          <w:p w14:paraId="0FC37B0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w:t>
            </w:r>
          </w:p>
        </w:tc>
        <w:tc>
          <w:tcPr>
            <w:tcW w:w="1282" w:type="dxa"/>
            <w:noWrap/>
            <w:vAlign w:val="center"/>
          </w:tcPr>
          <w:p w14:paraId="4201010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语音对讲分机</w:t>
            </w:r>
          </w:p>
        </w:tc>
        <w:tc>
          <w:tcPr>
            <w:tcW w:w="5454" w:type="dxa"/>
            <w:noWrap/>
            <w:vAlign w:val="center"/>
          </w:tcPr>
          <w:p w14:paraId="6C447F3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处理器 :高性能嵌入式 SOC 处理器。</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操作系统 :嵌入式 LINUX 操作系统。</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传感器 :不低于200W 像素 CMOS 传感器。</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视频压缩 :H.264/30FPS。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音频输入:内置高灵敏全向麦克风。</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音频输出 :内置扬声器 + 1XLINE OUT。</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压缩标准: G.711、G.713、GSM、DAC。</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压缩码率 :64KBPS/8KBPS。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音质 :专业回声消除和噪音抑制。</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以太网: 10M/100M 自适应。</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网络协议 :4G、TCP/IP、DNP。</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网口 :10/100M 自适应以太网口。</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报警接口: 1 路 12V 输出。</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电源 :DC 12V1A。</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功耗 :5W。</w:t>
            </w:r>
          </w:p>
        </w:tc>
        <w:tc>
          <w:tcPr>
            <w:tcW w:w="1230" w:type="dxa"/>
            <w:noWrap/>
            <w:vAlign w:val="center"/>
          </w:tcPr>
          <w:p w14:paraId="50AC4AE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4套</w:t>
            </w:r>
          </w:p>
        </w:tc>
      </w:tr>
      <w:tr w14:paraId="4070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456" w:type="dxa"/>
            <w:noWrap/>
            <w:vAlign w:val="center"/>
          </w:tcPr>
          <w:p w14:paraId="168D59F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w:t>
            </w:r>
          </w:p>
        </w:tc>
        <w:tc>
          <w:tcPr>
            <w:tcW w:w="1282" w:type="dxa"/>
            <w:noWrap/>
            <w:vAlign w:val="center"/>
          </w:tcPr>
          <w:p w14:paraId="5E0FB3A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语音对讲主机</w:t>
            </w:r>
          </w:p>
        </w:tc>
        <w:tc>
          <w:tcPr>
            <w:tcW w:w="5454" w:type="dxa"/>
            <w:noWrap/>
            <w:vAlign w:val="center"/>
          </w:tcPr>
          <w:p w14:paraId="0EE5CA4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屏幕参数：≥ 15.6 寸 TFT LCD 彩色触摸屏，分辨率 ：≥ 1920 (H) x1080 (V)，支持最大：≥  256G 的 Micro SD 卡，实现将音视频同步存储到设备 Micro SD 卡中，当在双向对讲通话时录像存储应为双向通过混音的音视频复合流，支持本地 Micro SD 卡存储的音视频文件回放，支持 1 倍速、2 倍速和 4 倍速播放。</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远程控制 ：支持远程开启 / 关闭前端设备的电锁、警灯、警铃等前端外接配件，在收到呼叫后可以自动接听该呼叫，自动接听时间可配置，配置范围 ：0s~30s。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网口 ：1000M/100M 自适应双网口。</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按键设置 :报警 / 呼叫按键，通话 / 挂机按键，音量按键 +/- 按键。</w:t>
            </w:r>
            <w:r>
              <w:rPr>
                <w:rFonts w:hint="eastAsia" w:ascii="仿宋" w:hAnsi="仿宋" w:eastAsia="仿宋" w:cs="仿宋"/>
                <w:color w:val="000000"/>
                <w:sz w:val="24"/>
                <w:szCs w:val="22"/>
              </w:rPr>
              <w:br w:type="textWrapping"/>
            </w:r>
          </w:p>
        </w:tc>
        <w:tc>
          <w:tcPr>
            <w:tcW w:w="1230" w:type="dxa"/>
            <w:noWrap/>
            <w:vAlign w:val="center"/>
          </w:tcPr>
          <w:p w14:paraId="66E9823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27EF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56" w:type="dxa"/>
            <w:noWrap/>
          </w:tcPr>
          <w:p w14:paraId="0338B5E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10</w:t>
            </w:r>
          </w:p>
        </w:tc>
        <w:tc>
          <w:tcPr>
            <w:tcW w:w="1282" w:type="dxa"/>
            <w:noWrap/>
          </w:tcPr>
          <w:p w14:paraId="0E13163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客户端主机</w:t>
            </w:r>
          </w:p>
        </w:tc>
        <w:tc>
          <w:tcPr>
            <w:tcW w:w="5454" w:type="dxa"/>
            <w:noWrap/>
          </w:tcPr>
          <w:p w14:paraId="1ADE096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同硬件部分需求</w:t>
            </w:r>
          </w:p>
        </w:tc>
        <w:tc>
          <w:tcPr>
            <w:tcW w:w="1230" w:type="dxa"/>
            <w:noWrap/>
          </w:tcPr>
          <w:p w14:paraId="3455FB1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bl>
    <w:p w14:paraId="64231DFD">
      <w:pPr>
        <w:pStyle w:val="30"/>
        <w:spacing w:line="360" w:lineRule="auto"/>
        <w:rPr>
          <w:rFonts w:ascii="仿宋" w:hAnsi="仿宋" w:eastAsia="仿宋" w:cs="仿宋"/>
          <w:color w:val="000000"/>
          <w:sz w:val="24"/>
          <w:szCs w:val="22"/>
        </w:rPr>
      </w:pPr>
    </w:p>
    <w:p w14:paraId="6FE1A2A6">
      <w:pPr>
        <w:pStyle w:val="30"/>
        <w:spacing w:line="360" w:lineRule="auto"/>
        <w:outlineLvl w:val="4"/>
        <w:rPr>
          <w:rFonts w:ascii="仿宋" w:hAnsi="仿宋" w:eastAsia="仿宋" w:cs="仿宋"/>
          <w:color w:val="000000"/>
          <w:sz w:val="24"/>
          <w:szCs w:val="22"/>
        </w:rPr>
      </w:pPr>
      <w:r>
        <w:rPr>
          <w:rFonts w:hint="eastAsia" w:ascii="仿宋" w:hAnsi="仿宋" w:eastAsia="仿宋" w:cs="仿宋"/>
          <w:color w:val="000000"/>
          <w:sz w:val="24"/>
          <w:szCs w:val="22"/>
        </w:rPr>
        <w:t>IV电子巡更子系统</w:t>
      </w:r>
    </w:p>
    <w:p w14:paraId="7F0ABAFD">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系统软件采用智能排班、自动数据处理及核查，可一目了然地显示巡更人员是否按照要求的时间、路线巡查，有没有未巡、漏巡、迟到、早到、顺序走错等情况。可轻松地选择不同时间段，线路，巡逻点，巡逻人员等要素进行查询和统计。（巡更系统与报警系统共用一台客户端主机）</w:t>
      </w:r>
    </w:p>
    <w:p w14:paraId="4A9BC6B7">
      <w:pPr>
        <w:pStyle w:val="30"/>
        <w:spacing w:line="360" w:lineRule="auto"/>
        <w:rPr>
          <w:rFonts w:ascii="仿宋" w:hAnsi="仿宋" w:eastAsia="仿宋" w:cs="仿宋"/>
          <w:color w:val="000000"/>
          <w:sz w:val="24"/>
          <w:szCs w:val="22"/>
        </w:rPr>
      </w:pPr>
    </w:p>
    <w:tbl>
      <w:tblPr>
        <w:tblStyle w:val="45"/>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394"/>
        <w:gridCol w:w="5066"/>
        <w:gridCol w:w="1231"/>
      </w:tblGrid>
      <w:tr w14:paraId="0CA7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ign w:val="center"/>
          </w:tcPr>
          <w:p w14:paraId="4EF38C77">
            <w:pPr>
              <w:pStyle w:val="30"/>
              <w:spacing w:line="360" w:lineRule="auto"/>
              <w:rPr>
                <w:rFonts w:ascii="仿宋" w:hAnsi="仿宋" w:eastAsia="仿宋" w:cs="仿宋"/>
                <w:color w:val="000000"/>
                <w:kern w:val="2"/>
                <w:sz w:val="24"/>
                <w:szCs w:val="22"/>
              </w:rPr>
            </w:pPr>
            <w:r>
              <w:rPr>
                <w:rFonts w:hint="eastAsia" w:ascii="仿宋" w:hAnsi="仿宋" w:eastAsia="仿宋" w:cs="仿宋"/>
                <w:color w:val="000000"/>
                <w:sz w:val="24"/>
                <w:szCs w:val="22"/>
              </w:rPr>
              <w:t>序号</w:t>
            </w:r>
          </w:p>
        </w:tc>
        <w:tc>
          <w:tcPr>
            <w:tcW w:w="1394" w:type="dxa"/>
            <w:noWrap/>
            <w:vAlign w:val="center"/>
          </w:tcPr>
          <w:p w14:paraId="2FC13620">
            <w:pPr>
              <w:pStyle w:val="30"/>
              <w:spacing w:line="360" w:lineRule="auto"/>
              <w:rPr>
                <w:rFonts w:ascii="仿宋" w:hAnsi="仿宋" w:eastAsia="仿宋" w:cs="仿宋"/>
                <w:color w:val="000000"/>
                <w:kern w:val="2"/>
                <w:sz w:val="24"/>
                <w:szCs w:val="22"/>
              </w:rPr>
            </w:pPr>
            <w:r>
              <w:rPr>
                <w:rFonts w:hint="eastAsia" w:ascii="仿宋" w:hAnsi="仿宋" w:eastAsia="仿宋" w:cs="仿宋"/>
                <w:color w:val="000000"/>
                <w:sz w:val="24"/>
                <w:szCs w:val="22"/>
              </w:rPr>
              <w:t>设备名称</w:t>
            </w:r>
          </w:p>
        </w:tc>
        <w:tc>
          <w:tcPr>
            <w:tcW w:w="5066" w:type="dxa"/>
            <w:noWrap/>
            <w:vAlign w:val="center"/>
          </w:tcPr>
          <w:p w14:paraId="64DFC49E">
            <w:pPr>
              <w:pStyle w:val="30"/>
              <w:spacing w:line="360" w:lineRule="auto"/>
              <w:rPr>
                <w:rFonts w:ascii="仿宋" w:hAnsi="仿宋" w:eastAsia="仿宋" w:cs="仿宋"/>
                <w:color w:val="000000"/>
                <w:kern w:val="2"/>
                <w:sz w:val="24"/>
                <w:szCs w:val="22"/>
              </w:rPr>
            </w:pPr>
            <w:r>
              <w:rPr>
                <w:rFonts w:hint="eastAsia" w:ascii="仿宋" w:hAnsi="仿宋" w:eastAsia="仿宋" w:cs="仿宋"/>
                <w:color w:val="000000"/>
                <w:sz w:val="24"/>
                <w:szCs w:val="22"/>
              </w:rPr>
              <w:t>★基本参数</w:t>
            </w:r>
          </w:p>
        </w:tc>
        <w:tc>
          <w:tcPr>
            <w:tcW w:w="1231" w:type="dxa"/>
            <w:noWrap/>
            <w:vAlign w:val="center"/>
          </w:tcPr>
          <w:p w14:paraId="7B6669DF">
            <w:pPr>
              <w:pStyle w:val="30"/>
              <w:spacing w:line="360" w:lineRule="auto"/>
              <w:rPr>
                <w:rFonts w:ascii="仿宋" w:hAnsi="仿宋" w:eastAsia="仿宋" w:cs="仿宋"/>
                <w:color w:val="000000"/>
                <w:kern w:val="2"/>
                <w:sz w:val="24"/>
                <w:szCs w:val="22"/>
              </w:rPr>
            </w:pPr>
            <w:r>
              <w:rPr>
                <w:rFonts w:hint="eastAsia" w:ascii="仿宋" w:hAnsi="仿宋" w:eastAsia="仿宋" w:cs="仿宋"/>
                <w:color w:val="000000"/>
                <w:sz w:val="24"/>
                <w:szCs w:val="22"/>
              </w:rPr>
              <w:t>数量</w:t>
            </w:r>
          </w:p>
        </w:tc>
      </w:tr>
      <w:tr w14:paraId="5E8F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ign w:val="center"/>
          </w:tcPr>
          <w:p w14:paraId="64E91DC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w:t>
            </w:r>
          </w:p>
        </w:tc>
        <w:tc>
          <w:tcPr>
            <w:tcW w:w="1394" w:type="dxa"/>
            <w:noWrap/>
            <w:vAlign w:val="center"/>
          </w:tcPr>
          <w:p w14:paraId="639A133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巡更点</w:t>
            </w:r>
          </w:p>
        </w:tc>
        <w:tc>
          <w:tcPr>
            <w:tcW w:w="5066" w:type="dxa"/>
            <w:noWrap/>
            <w:vAlign w:val="center"/>
          </w:tcPr>
          <w:p w14:paraId="3AC15AB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技术指标：内置不可修改的全球唯一的ID码。</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环境指标：-30℃至+70℃</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 xml:space="preserve">配有防拆罩，防人为拆除  </w:t>
            </w:r>
          </w:p>
        </w:tc>
        <w:tc>
          <w:tcPr>
            <w:tcW w:w="1231" w:type="dxa"/>
            <w:noWrap/>
            <w:vAlign w:val="center"/>
          </w:tcPr>
          <w:p w14:paraId="180B081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51套</w:t>
            </w:r>
          </w:p>
        </w:tc>
      </w:tr>
      <w:tr w14:paraId="49E3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tcPr>
          <w:p w14:paraId="1289AFE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w:t>
            </w:r>
          </w:p>
        </w:tc>
        <w:tc>
          <w:tcPr>
            <w:tcW w:w="1394" w:type="dxa"/>
            <w:noWrap/>
          </w:tcPr>
          <w:p w14:paraId="78FF5D7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手持巡检器</w:t>
            </w:r>
          </w:p>
        </w:tc>
        <w:tc>
          <w:tcPr>
            <w:tcW w:w="5066" w:type="dxa"/>
            <w:noWrap/>
            <w:vAlign w:val="center"/>
          </w:tcPr>
          <w:p w14:paraId="0142252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LED显示屏：显示地点名称、读卡情况，摔机警报、巡更次数、时间等信息；</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自动感应：无需按键，RFID自动感应读卡；</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防护等级：IP 68；</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存储容量：≥10000条；</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读卡距离：3-5cm；</w:t>
            </w:r>
          </w:p>
        </w:tc>
        <w:tc>
          <w:tcPr>
            <w:tcW w:w="1231" w:type="dxa"/>
            <w:noWrap/>
            <w:vAlign w:val="center"/>
          </w:tcPr>
          <w:p w14:paraId="2D96D65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r>
    </w:tbl>
    <w:p w14:paraId="67125FF5">
      <w:pPr>
        <w:pStyle w:val="30"/>
        <w:spacing w:line="360" w:lineRule="auto"/>
        <w:rPr>
          <w:rFonts w:ascii="仿宋" w:hAnsi="仿宋" w:eastAsia="仿宋" w:cs="仿宋"/>
          <w:color w:val="000000"/>
          <w:sz w:val="24"/>
          <w:szCs w:val="22"/>
        </w:rPr>
      </w:pPr>
    </w:p>
    <w:p w14:paraId="58573317">
      <w:pPr>
        <w:pStyle w:val="30"/>
        <w:spacing w:line="360" w:lineRule="auto"/>
        <w:outlineLvl w:val="4"/>
        <w:rPr>
          <w:rFonts w:ascii="仿宋" w:hAnsi="仿宋" w:eastAsia="仿宋" w:cs="仿宋"/>
          <w:color w:val="000000"/>
          <w:sz w:val="24"/>
          <w:szCs w:val="22"/>
        </w:rPr>
      </w:pPr>
      <w:r>
        <w:rPr>
          <w:rFonts w:hint="eastAsia" w:ascii="仿宋" w:hAnsi="仿宋" w:eastAsia="仿宋" w:cs="仿宋"/>
          <w:color w:val="000000"/>
          <w:sz w:val="24"/>
          <w:szCs w:val="22"/>
        </w:rPr>
        <w:fldChar w:fldCharType="begin"/>
      </w:r>
      <w:r>
        <w:rPr>
          <w:rFonts w:hint="eastAsia" w:ascii="仿宋" w:hAnsi="仿宋" w:eastAsia="仿宋" w:cs="仿宋"/>
          <w:color w:val="000000"/>
          <w:sz w:val="24"/>
          <w:szCs w:val="22"/>
        </w:rPr>
        <w:instrText xml:space="preserve"> = 5 \* ROMAN </w:instrText>
      </w:r>
      <w:r>
        <w:rPr>
          <w:rFonts w:hint="eastAsia" w:ascii="仿宋" w:hAnsi="仿宋" w:eastAsia="仿宋" w:cs="仿宋"/>
          <w:color w:val="000000"/>
          <w:sz w:val="24"/>
          <w:szCs w:val="22"/>
        </w:rPr>
        <w:fldChar w:fldCharType="separate"/>
      </w:r>
      <w:r>
        <w:rPr>
          <w:rFonts w:hint="eastAsia" w:ascii="仿宋" w:hAnsi="仿宋" w:eastAsia="仿宋" w:cs="仿宋"/>
          <w:color w:val="000000"/>
          <w:sz w:val="24"/>
          <w:szCs w:val="22"/>
        </w:rPr>
        <w:t>V</w:t>
      </w:r>
      <w:r>
        <w:rPr>
          <w:rFonts w:hint="eastAsia" w:ascii="仿宋" w:hAnsi="仿宋" w:eastAsia="仿宋" w:cs="仿宋"/>
          <w:color w:val="000000"/>
          <w:sz w:val="24"/>
          <w:szCs w:val="22"/>
        </w:rPr>
        <w:fldChar w:fldCharType="end"/>
      </w:r>
      <w:r>
        <w:rPr>
          <w:rFonts w:hint="eastAsia" w:ascii="仿宋" w:hAnsi="仿宋" w:eastAsia="仿宋" w:cs="仿宋"/>
          <w:color w:val="000000"/>
          <w:sz w:val="24"/>
          <w:szCs w:val="22"/>
        </w:rPr>
        <w:t>停车场管理子系统</w:t>
      </w:r>
    </w:p>
    <w:p w14:paraId="3BB7E718">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档案馆地下两层为停车场，需在档案馆西门设置停车场管理系统。系统可区分内部与外部车辆，内部车辆可正常无阻通行；外部车辆按照停留时间收费通行；停车场系统具备无人值守收费功能。停车场网络为独立网络不与馆内其他三网连接。停车场设置本地服务器与管理主机并提供查询、管理、查账等功能。停车场系统需根据政府相关要求对接政府收费管理的服务平台。</w:t>
      </w:r>
    </w:p>
    <w:tbl>
      <w:tblPr>
        <w:tblStyle w:val="45"/>
        <w:tblW w:w="9033" w:type="dxa"/>
        <w:tblInd w:w="93" w:type="dxa"/>
        <w:tblLayout w:type="fixed"/>
        <w:tblCellMar>
          <w:top w:w="0" w:type="dxa"/>
          <w:left w:w="108" w:type="dxa"/>
          <w:bottom w:w="0" w:type="dxa"/>
          <w:right w:w="108" w:type="dxa"/>
        </w:tblCellMar>
      </w:tblPr>
      <w:tblGrid>
        <w:gridCol w:w="696"/>
        <w:gridCol w:w="1261"/>
        <w:gridCol w:w="5994"/>
        <w:gridCol w:w="1082"/>
      </w:tblGrid>
      <w:tr w14:paraId="7C81B0DF">
        <w:trPr>
          <w:trHeight w:val="7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3DDBAC1">
            <w:pPr>
              <w:pStyle w:val="30"/>
              <w:spacing w:line="360" w:lineRule="auto"/>
              <w:rPr>
                <w:rFonts w:ascii="仿宋" w:hAnsi="仿宋" w:eastAsia="仿宋" w:cs="仿宋"/>
                <w:color w:val="000000"/>
                <w:kern w:val="2"/>
                <w:sz w:val="24"/>
                <w:szCs w:val="22"/>
              </w:rPr>
            </w:pPr>
            <w:r>
              <w:rPr>
                <w:rFonts w:hint="eastAsia" w:ascii="仿宋" w:hAnsi="仿宋" w:eastAsia="仿宋" w:cs="仿宋"/>
                <w:color w:val="000000"/>
                <w:sz w:val="24"/>
                <w:szCs w:val="22"/>
              </w:rPr>
              <w:t>序号</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5631EE85">
            <w:pPr>
              <w:pStyle w:val="30"/>
              <w:spacing w:line="360" w:lineRule="auto"/>
              <w:rPr>
                <w:rFonts w:ascii="仿宋" w:hAnsi="仿宋" w:eastAsia="仿宋" w:cs="仿宋"/>
                <w:color w:val="000000"/>
                <w:kern w:val="2"/>
                <w:sz w:val="24"/>
                <w:szCs w:val="22"/>
              </w:rPr>
            </w:pPr>
            <w:r>
              <w:rPr>
                <w:rFonts w:hint="eastAsia" w:ascii="仿宋" w:hAnsi="仿宋" w:eastAsia="仿宋" w:cs="仿宋"/>
                <w:color w:val="000000"/>
                <w:sz w:val="24"/>
                <w:szCs w:val="22"/>
              </w:rPr>
              <w:t>设备名称</w:t>
            </w:r>
          </w:p>
        </w:tc>
        <w:tc>
          <w:tcPr>
            <w:tcW w:w="5994" w:type="dxa"/>
            <w:tcBorders>
              <w:top w:val="single" w:color="000000" w:sz="4" w:space="0"/>
              <w:left w:val="single" w:color="000000" w:sz="4" w:space="0"/>
              <w:bottom w:val="single" w:color="000000" w:sz="4" w:space="0"/>
              <w:right w:val="single" w:color="000000" w:sz="4" w:space="0"/>
            </w:tcBorders>
            <w:noWrap/>
            <w:vAlign w:val="center"/>
          </w:tcPr>
          <w:p w14:paraId="6C661DF4">
            <w:pPr>
              <w:pStyle w:val="30"/>
              <w:spacing w:line="360" w:lineRule="auto"/>
              <w:rPr>
                <w:rFonts w:ascii="仿宋" w:hAnsi="仿宋" w:eastAsia="仿宋" w:cs="仿宋"/>
                <w:color w:val="000000"/>
                <w:kern w:val="2"/>
                <w:sz w:val="24"/>
                <w:szCs w:val="22"/>
              </w:rPr>
            </w:pPr>
            <w:r>
              <w:rPr>
                <w:rFonts w:hint="eastAsia" w:ascii="仿宋" w:hAnsi="仿宋" w:eastAsia="仿宋" w:cs="仿宋"/>
                <w:color w:val="000000"/>
                <w:sz w:val="24"/>
                <w:szCs w:val="22"/>
              </w:rPr>
              <w:t>★基本参数</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4E35306">
            <w:pPr>
              <w:pStyle w:val="30"/>
              <w:spacing w:line="360" w:lineRule="auto"/>
              <w:rPr>
                <w:rFonts w:ascii="仿宋" w:hAnsi="仿宋" w:eastAsia="仿宋" w:cs="仿宋"/>
                <w:color w:val="000000"/>
                <w:kern w:val="2"/>
                <w:sz w:val="24"/>
                <w:szCs w:val="22"/>
              </w:rPr>
            </w:pPr>
            <w:r>
              <w:rPr>
                <w:rFonts w:hint="eastAsia" w:ascii="仿宋" w:hAnsi="仿宋" w:eastAsia="仿宋" w:cs="仿宋"/>
                <w:color w:val="000000"/>
                <w:sz w:val="24"/>
                <w:szCs w:val="22"/>
              </w:rPr>
              <w:t>数量</w:t>
            </w:r>
          </w:p>
        </w:tc>
      </w:tr>
      <w:tr w14:paraId="770BF9A4">
        <w:tblPrEx>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3F9A41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0D1DC95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中心岗亭服务器</w:t>
            </w:r>
          </w:p>
        </w:tc>
        <w:tc>
          <w:tcPr>
            <w:tcW w:w="5994" w:type="dxa"/>
            <w:tcBorders>
              <w:top w:val="single" w:color="000000" w:sz="4" w:space="0"/>
              <w:left w:val="single" w:color="000000" w:sz="4" w:space="0"/>
              <w:bottom w:val="single" w:color="000000" w:sz="4" w:space="0"/>
              <w:right w:val="single" w:color="000000" w:sz="4" w:space="0"/>
            </w:tcBorders>
            <w:noWrap/>
            <w:vAlign w:val="center"/>
          </w:tcPr>
          <w:p w14:paraId="005067A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1.最大车辆库库容≥5万辆</w:t>
            </w:r>
          </w:p>
          <w:p w14:paraId="1F0F2C0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2.最大车辆库个数≥1个主库+7个子库</w:t>
            </w:r>
          </w:p>
          <w:p w14:paraId="16B8BF1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3.支持车辆进出权限的增删改查</w:t>
            </w:r>
          </w:p>
          <w:p w14:paraId="2F00EEC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4.支持对包期车辆进行分组管理</w:t>
            </w:r>
          </w:p>
          <w:p w14:paraId="377871F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5.支持显示车辆基本信息、充值状态</w:t>
            </w:r>
          </w:p>
          <w:p w14:paraId="268EC38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6.支持对停车场进行增加、删除、编辑，可设置停车场名称、停车位数、固定车位数、收费规则分组（默认分组）</w:t>
            </w:r>
          </w:p>
          <w:p w14:paraId="4E70DB6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7.最多可添加≥8个停车场（1主库+7子库）、16出入口、32个车道</w:t>
            </w:r>
          </w:p>
          <w:p w14:paraId="46317CD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8.支持启停显示场景配置，显示场景包括：空闲、包期车、禁行车、授权车、临时车、无牌车</w:t>
            </w:r>
          </w:p>
          <w:p w14:paraId="68224B9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9.支持配置语音音量、显示时间、滚动方式、字体颜色</w:t>
            </w:r>
          </w:p>
          <w:p w14:paraId="396E791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10.显示信息可配置≥4行，可显示车牌号码、车辆类型、车辆属性、时间、剩余天数、总剩余车位、主、子库余位、停车时长、收费总额、过期提醒，4行信息可选择是否语音播报</w:t>
            </w:r>
          </w:p>
          <w:p w14:paraId="55A115C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11.支持通过通用协议进行数据的对接</w:t>
            </w:r>
          </w:p>
          <w:p w14:paraId="0614C40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12.支持按起始时间、车牌号码、停车场、出入口、车辆属性、车辆类型、车辆颜色、车主姓名、过车方向、黑名单与否等搜索项进行查询及对应信息显示，可重置选项</w:t>
            </w:r>
          </w:p>
          <w:p w14:paraId="41B40D1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13.场内车辆查询 支持按车牌号码、置信度范围、停车场、车辆属性、车辆类型、车辆颜色、入场时间、停车时长等搜索项进行查询及对应信息显示，可重置选项</w:t>
            </w:r>
          </w:p>
          <w:p w14:paraId="3D0F238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14.临时车缴费记录 支持按起始时间、车牌号码、停车场、付款方式、放行方式、操作员等搜索项进行查询及相关收费信息显示，可重置配置</w:t>
            </w:r>
          </w:p>
          <w:p w14:paraId="0DBC882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15.支持放行方式：正常放行、免费放行、异常收费放行</w:t>
            </w:r>
          </w:p>
          <w:p w14:paraId="028697F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16.支持导出信息，按照呼叫记录 支持按设备、呼叫状态、呼叫时间、操作人员等搜索项进行查询</w:t>
            </w:r>
          </w:p>
          <w:p w14:paraId="51FB0C0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17.支持收费统计，支持按停车场、缴费类型、操作员、统计单位等搜索项进行查询及相关信息显示，可重置配置，统计单位：按日、按月、按年</w:t>
            </w:r>
          </w:p>
          <w:p w14:paraId="06BEF3B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18.车流量统计 支持按停车类型、出入口、统计单位等搜索项进行查询及相关信息显示，可重置配置，支持区分入口车辆与出口车辆显示车流量</w:t>
            </w:r>
          </w:p>
          <w:p w14:paraId="13BD0BA8">
            <w:pPr>
              <w:pStyle w:val="30"/>
              <w:spacing w:line="360" w:lineRule="auto"/>
              <w:rPr>
                <w:rFonts w:ascii="仿宋" w:hAnsi="仿宋" w:eastAsia="仿宋" w:cs="仿宋"/>
                <w:color w:val="000000"/>
                <w:sz w:val="24"/>
                <w:szCs w:val="22"/>
              </w:rPr>
            </w:pPr>
            <w:r>
              <w:rPr>
                <w:rFonts w:hint="eastAsia" w:ascii="仿宋" w:hAnsi="仿宋" w:eastAsia="仿宋" w:cs="仿宋"/>
                <w:b/>
                <w:bCs/>
                <w:color w:val="000000"/>
                <w:sz w:val="24"/>
                <w:szCs w:val="22"/>
              </w:rPr>
              <w:t>国产服务器、操作系统。</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7B09B0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7E60E1E8">
        <w:tblPrEx>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985BD2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w:t>
            </w:r>
          </w:p>
        </w:tc>
        <w:tc>
          <w:tcPr>
            <w:tcW w:w="1261" w:type="dxa"/>
            <w:tcBorders>
              <w:top w:val="nil"/>
              <w:left w:val="single" w:color="000000" w:sz="4" w:space="0"/>
              <w:bottom w:val="single" w:color="000000" w:sz="4" w:space="0"/>
              <w:right w:val="single" w:color="000000" w:sz="4" w:space="0"/>
            </w:tcBorders>
            <w:noWrap/>
            <w:vAlign w:val="center"/>
          </w:tcPr>
          <w:p w14:paraId="600D00C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数据库服务器</w:t>
            </w:r>
          </w:p>
        </w:tc>
        <w:tc>
          <w:tcPr>
            <w:tcW w:w="5994" w:type="dxa"/>
            <w:tcBorders>
              <w:top w:val="single" w:color="000000" w:sz="4" w:space="0"/>
              <w:left w:val="single" w:color="000000" w:sz="4" w:space="0"/>
              <w:bottom w:val="single" w:color="000000" w:sz="4" w:space="0"/>
              <w:right w:val="single" w:color="000000" w:sz="4" w:space="0"/>
            </w:tcBorders>
            <w:noWrap/>
            <w:vAlign w:val="center"/>
          </w:tcPr>
          <w:p w14:paraId="2A786EF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1.CPU: ≥2颗海光处理器，≥16核32线程，≥2.5GHz</w:t>
            </w:r>
          </w:p>
          <w:p w14:paraId="7FA8D3A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2.内存: ≥32GB DDR4 * 2，内存插槽数量16个</w:t>
            </w:r>
          </w:p>
          <w:p w14:paraId="60CC251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3.硬盘: ≥【3.5寸 7.2K SATA】 8TB * 1</w:t>
            </w:r>
          </w:p>
          <w:p w14:paraId="2410C3E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4.硬盘背板: ≥12盘位硬盘背板</w:t>
            </w:r>
          </w:p>
          <w:p w14:paraId="28A2C10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5.网口: 1GB 千兆电口≥ 2</w:t>
            </w:r>
          </w:p>
          <w:p w14:paraId="685D1D3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6.支持USB 接口≥4， VGA接口≥1</w:t>
            </w:r>
          </w:p>
          <w:p w14:paraId="30C53B6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7.PCI-E插槽: 支持≥6个PCI-E插槽</w:t>
            </w:r>
          </w:p>
          <w:p w14:paraId="387E66C4">
            <w:pPr>
              <w:pStyle w:val="30"/>
              <w:spacing w:line="360" w:lineRule="auto"/>
              <w:rPr>
                <w:rFonts w:ascii="仿宋" w:hAnsi="仿宋" w:eastAsia="仿宋" w:cs="仿宋"/>
                <w:color w:val="000000"/>
                <w:sz w:val="24"/>
                <w:szCs w:val="22"/>
              </w:rPr>
            </w:pPr>
            <w:r>
              <w:rPr>
                <w:rFonts w:hint="eastAsia" w:ascii="仿宋" w:hAnsi="仿宋" w:eastAsia="仿宋" w:cs="仿宋"/>
                <w:b/>
                <w:bCs/>
                <w:color w:val="000000"/>
                <w:sz w:val="24"/>
                <w:szCs w:val="22"/>
              </w:rPr>
              <w:t>国产服务器、操作系统、数据库。</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703B27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78E8FF5A">
        <w:tblPrEx>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2F99B8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55F659C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客户端主机</w:t>
            </w:r>
          </w:p>
        </w:tc>
        <w:tc>
          <w:tcPr>
            <w:tcW w:w="5994" w:type="dxa"/>
            <w:tcBorders>
              <w:top w:val="single" w:color="000000" w:sz="4" w:space="0"/>
              <w:left w:val="single" w:color="000000" w:sz="4" w:space="0"/>
              <w:bottom w:val="single" w:color="000000" w:sz="4" w:space="0"/>
              <w:right w:val="single" w:color="000000" w:sz="4" w:space="0"/>
            </w:tcBorders>
            <w:noWrap/>
            <w:vAlign w:val="center"/>
          </w:tcPr>
          <w:p w14:paraId="15E96C9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同智能化平台硬件部分需求</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7A24AF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r>
      <w:tr w14:paraId="7E8A3743">
        <w:tblPrEx>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AD2DDF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267D16C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电动道闸</w:t>
            </w:r>
          </w:p>
        </w:tc>
        <w:tc>
          <w:tcPr>
            <w:tcW w:w="5994" w:type="dxa"/>
            <w:tcBorders>
              <w:top w:val="single" w:color="000000" w:sz="4" w:space="0"/>
              <w:left w:val="single" w:color="000000" w:sz="4" w:space="0"/>
              <w:bottom w:val="single" w:color="000000" w:sz="4" w:space="0"/>
              <w:right w:val="single" w:color="000000" w:sz="4" w:space="0"/>
            </w:tcBorders>
            <w:noWrap/>
            <w:vAlign w:val="center"/>
          </w:tcPr>
          <w:p w14:paraId="20E2856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1.类型:直流无刷</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2.升降时间:2~6秒可调节</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3.升降次数:≥500万次</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4.标配防砸雷达</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5.支持遥控器功能:开闸、落闸、暂停</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6.支持断电手抬，遇阻返回，延时落杆:支持</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7.工作电压:AC 220V ±10%</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8.使用温度范围不劣于-35℃~80℃</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9.防护等级≥IP54</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FC4AFA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r>
      <w:tr w14:paraId="76472868">
        <w:tblPrEx>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608893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655FEE5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挡车杆</w:t>
            </w:r>
          </w:p>
        </w:tc>
        <w:tc>
          <w:tcPr>
            <w:tcW w:w="5994" w:type="dxa"/>
            <w:tcBorders>
              <w:top w:val="single" w:color="000000" w:sz="4" w:space="0"/>
              <w:left w:val="single" w:color="000000" w:sz="4" w:space="0"/>
              <w:bottom w:val="single" w:color="000000" w:sz="4" w:space="0"/>
              <w:right w:val="single" w:color="000000" w:sz="4" w:space="0"/>
            </w:tcBorders>
            <w:noWrap/>
            <w:vAlign w:val="center"/>
          </w:tcPr>
          <w:p w14:paraId="316BE2E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1.材料:铝合金+珍珠棉</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2.主杆:4000MM，直径50MM</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3.安装方式:内六角不锈钢螺丝固定</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0D522D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r>
      <w:tr w14:paraId="4461E268">
        <w:tblPrEx>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4420EFD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77A6CDB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车牌识别仪</w:t>
            </w:r>
          </w:p>
        </w:tc>
        <w:tc>
          <w:tcPr>
            <w:tcW w:w="5994" w:type="dxa"/>
            <w:tcBorders>
              <w:top w:val="single" w:color="000000" w:sz="4" w:space="0"/>
              <w:left w:val="single" w:color="000000" w:sz="4" w:space="0"/>
              <w:bottom w:val="single" w:color="000000" w:sz="4" w:space="0"/>
              <w:right w:val="single" w:color="000000" w:sz="4" w:space="0"/>
            </w:tcBorders>
            <w:noWrap/>
            <w:vAlign w:val="center"/>
          </w:tcPr>
          <w:p w14:paraId="357C513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1.成像器件≥1/1.8 inch 400万像素CMOS图像传感器；</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2.焦距范围：2.8mm~12mm；</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3.视频压缩格式:H.264、H.265；</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4.支持车牌识别、车型识别、车标识别、车款识别、车身颜色、车牌颜色识别；</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5.车辆检测方式:默认视频触发，支持地感线圈、雷达触发；</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6.支持microSD卡，最大支持128GB；</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7. 支持物理按键使用语音对讲功能；</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8.支持内置LED补光灯≥2颗暖光；</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9.支持对车牌（蓝牌、黄牌、绿牌、警牌、新武警、新军牌、单双车、粤港澳车牌、新式使馆车牌、民航车牌）进行识别；</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10.支持配置允许通行名单≥20000条车辆，允许禁止名单≥20000条车辆；</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11.水平视角≥120°；</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12.垂直视角≥120°；</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13.亮度≥1500cd/㎡；</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14.支持接口：具有RJ45 100M Base-TX自适应以太网口2个，开关量输出口2个 4.开关量输入口1个，MIC接口1个，喇叭1个；</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15.工作环境：-20~70℃，≤90%RH；</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16.防护等级≥IP54。</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77A3D2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r>
      <w:tr w14:paraId="682BCE87">
        <w:tblPrEx>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FEFBB2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72CAA4B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车辆检测器</w:t>
            </w:r>
          </w:p>
        </w:tc>
        <w:tc>
          <w:tcPr>
            <w:tcW w:w="5994" w:type="dxa"/>
            <w:tcBorders>
              <w:top w:val="single" w:color="000000" w:sz="4" w:space="0"/>
              <w:left w:val="single" w:color="000000" w:sz="4" w:space="0"/>
              <w:bottom w:val="single" w:color="000000" w:sz="4" w:space="0"/>
              <w:right w:val="single" w:color="000000" w:sz="4" w:space="0"/>
            </w:tcBorders>
            <w:noWrap/>
            <w:vAlign w:val="center"/>
          </w:tcPr>
          <w:p w14:paraId="5CEC7FA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1.灵敏度:四级可调</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2.反应时间≤10ms</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3.频率范围不劣于20KHz-170KHz</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4.支持环境补偿:自动漂移补偿</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 xml:space="preserve">5.工作电压（V）:AC 220V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6.工作温度范围不劣于-40℃—65℃</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7.工作湿度:≤90%（无凝露）</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7C9C66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r>
      <w:tr w14:paraId="4C158AF9">
        <w:tblPrEx>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D00582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0182FBD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LED显示屏</w:t>
            </w:r>
          </w:p>
        </w:tc>
        <w:tc>
          <w:tcPr>
            <w:tcW w:w="5994" w:type="dxa"/>
            <w:tcBorders>
              <w:top w:val="single" w:color="000000" w:sz="4" w:space="0"/>
              <w:left w:val="single" w:color="000000" w:sz="4" w:space="0"/>
              <w:bottom w:val="single" w:color="000000" w:sz="4" w:space="0"/>
              <w:right w:val="single" w:color="000000" w:sz="4" w:space="0"/>
            </w:tcBorders>
            <w:noWrap/>
            <w:vAlign w:val="center"/>
          </w:tcPr>
          <w:p w14:paraId="1C8298C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1.面板材料:钢化玻璃</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2.文字显示:发光灯箱文字</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3.模组尺寸:320mm*160mm</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4.类型:LED</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5.工作供电:AC100~240V</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6.工作温度: -20℃～+50℃</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7.防护等级:IP54</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66C4A7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00549056">
        <w:tblPrEx>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E58760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5B0F13C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电动伸缩门</w:t>
            </w:r>
          </w:p>
        </w:tc>
        <w:tc>
          <w:tcPr>
            <w:tcW w:w="5994" w:type="dxa"/>
            <w:tcBorders>
              <w:top w:val="single" w:color="000000" w:sz="4" w:space="0"/>
              <w:left w:val="single" w:color="000000" w:sz="4" w:space="0"/>
              <w:bottom w:val="single" w:color="000000" w:sz="4" w:space="0"/>
              <w:right w:val="single" w:color="000000" w:sz="4" w:space="0"/>
            </w:tcBorders>
            <w:noWrap/>
            <w:vAlign w:val="center"/>
          </w:tcPr>
          <w:p w14:paraId="6178C10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 主材：需采用高强度锌合金材料，表面采用电泳着色，磨沙处理。主框规格为：前32mm×50mm×1.0mm 后32mm×80mm×1.0mm。</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2. 交叉杆规格为：32mm×45mm×1.0mm，连接处理内置PA 耐磨套。</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3. 配置优质电机；驱动：电控、台式发射器、手柄遥控器、防撞、LED滚动显示屏；LED屏可输入500以内中英文字幕及时间、日期。</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4.轮子需采用凹凸轮胎壮防滑轮，适合雨雪天气。轮子内置滚针轴承，运行流畅，噪音低。</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5. 轮罩采用PNBR上等胶粉制作。</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6. 门体下面需安置抗风夹子，奈抗8级大风不被刮倒。</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7. 抗风轨道采用8#轻钢或“T”型道。</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082B36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068481EA">
        <w:tblPrEx>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5F56251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10</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0402857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岗亭</w:t>
            </w:r>
          </w:p>
        </w:tc>
        <w:tc>
          <w:tcPr>
            <w:tcW w:w="5994" w:type="dxa"/>
            <w:tcBorders>
              <w:top w:val="single" w:color="000000" w:sz="4" w:space="0"/>
              <w:left w:val="single" w:color="000000" w:sz="4" w:space="0"/>
              <w:bottom w:val="single" w:color="000000" w:sz="4" w:space="0"/>
              <w:right w:val="single" w:color="000000" w:sz="4" w:space="0"/>
            </w:tcBorders>
            <w:noWrap/>
            <w:vAlign w:val="center"/>
          </w:tcPr>
          <w:p w14:paraId="079F90C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 xml:space="preserve">主体材料： 外 不锈钢板：≥1.2mm ； 内 铝塑板：≥ 3mm  ；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颜    色： 外 本色 ；  内 银灰色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 xml:space="preserve">玻  璃： 热弯玻璃 ≥ 10mm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 xml:space="preserve">地    板： 钢结构打底，上铺大芯板，再铺复合地板。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 xml:space="preserve">吊顶材料 ：铝塑板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 xml:space="preserve">门 ：不锈钢门≥5mm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 xml:space="preserve">锁 ：不锈钢锁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 xml:space="preserve">推 拉 窗 ：不锈钢推拉窗 ≥ 5mm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 xml:space="preserve">照    明 ：≥30W日光灯（一盏）    </w:t>
            </w:r>
            <w:r>
              <w:rPr>
                <w:rFonts w:hint="eastAsia" w:ascii="仿宋" w:hAnsi="仿宋" w:eastAsia="仿宋" w:cs="仿宋"/>
                <w:color w:val="000000"/>
                <w:sz w:val="24"/>
                <w:szCs w:val="22"/>
              </w:rPr>
              <w:br w:type="textWrapping"/>
            </w:r>
            <w:r>
              <w:rPr>
                <w:rFonts w:hint="eastAsia" w:ascii="仿宋" w:hAnsi="仿宋" w:eastAsia="仿宋" w:cs="仿宋"/>
                <w:color w:val="000000"/>
                <w:sz w:val="24"/>
                <w:szCs w:val="22"/>
              </w:rPr>
              <w:t>基本配置： 五孔插座两组，空气开关，漏电开关各壹组，按扭开关壹个，工作台1个   1.5匹空调1台</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E00096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bl>
    <w:p w14:paraId="2B3A07DE">
      <w:pPr>
        <w:pStyle w:val="30"/>
        <w:spacing w:line="360" w:lineRule="auto"/>
        <w:rPr>
          <w:rFonts w:ascii="仿宋" w:hAnsi="仿宋" w:eastAsia="仿宋" w:cs="仿宋"/>
          <w:color w:val="000000"/>
          <w:sz w:val="24"/>
          <w:szCs w:val="22"/>
        </w:rPr>
      </w:pPr>
    </w:p>
    <w:p w14:paraId="0B7FC993">
      <w:pPr>
        <w:pStyle w:val="30"/>
        <w:numPr>
          <w:ilvl w:val="0"/>
          <w:numId w:val="20"/>
        </w:numPr>
        <w:spacing w:line="360" w:lineRule="auto"/>
        <w:outlineLvl w:val="3"/>
        <w:rPr>
          <w:rFonts w:ascii="仿宋" w:hAnsi="仿宋" w:eastAsia="仿宋" w:cs="仿宋"/>
          <w:color w:val="000000"/>
          <w:sz w:val="24"/>
          <w:szCs w:val="22"/>
        </w:rPr>
      </w:pPr>
      <w:r>
        <w:rPr>
          <w:rFonts w:hint="eastAsia" w:ascii="仿宋" w:hAnsi="仿宋" w:eastAsia="仿宋" w:cs="仿宋"/>
          <w:color w:val="000000"/>
          <w:sz w:val="24"/>
          <w:szCs w:val="22"/>
        </w:rPr>
        <w:t>楼宇自控系统设备材料需求</w:t>
      </w:r>
    </w:p>
    <w:p w14:paraId="552D903A">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档案馆楼宇自控系统是建立在机电系统的基础上，利用自控技术、计算机软件技术、计算机网络通信技术，将档案馆中的不同机电系统设备产生的信息汇集起来，实现各类设备之间的数据、信息交换，并对各种不同类型的信息进行综合处理，以实现对所有被监控机电设备的综合管理。</w:t>
      </w:r>
    </w:p>
    <w:p w14:paraId="0E18D2F5">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依据档案馆机电设备可划分以下控制系统：</w:t>
      </w:r>
    </w:p>
    <w:p w14:paraId="08C759F4">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冷源群控系统</w:t>
      </w:r>
    </w:p>
    <w:p w14:paraId="1C90EF28">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热源控制系统</w:t>
      </w:r>
    </w:p>
    <w:p w14:paraId="28E4B7A5">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空调控制系统</w:t>
      </w:r>
    </w:p>
    <w:p w14:paraId="17C2E2B3">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新风机组控制系统</w:t>
      </w:r>
    </w:p>
    <w:p w14:paraId="6E8F37FC">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送排风控制系统</w:t>
      </w:r>
    </w:p>
    <w:p w14:paraId="5501C9EB">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给排水控制系统</w:t>
      </w:r>
    </w:p>
    <w:p w14:paraId="5ED73451">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照明控制系统</w:t>
      </w:r>
    </w:p>
    <w:p w14:paraId="58647BB2">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针对不同的控制系统，制定相应的逻辑控制策略。</w:t>
      </w:r>
    </w:p>
    <w:p w14:paraId="19FC9F12">
      <w:pPr>
        <w:pStyle w:val="30"/>
        <w:spacing w:line="360" w:lineRule="auto"/>
        <w:ind w:firstLine="480" w:firstLineChars="200"/>
        <w:rPr>
          <w:rFonts w:ascii="仿宋" w:hAnsi="仿宋" w:eastAsia="仿宋" w:cs="仿宋"/>
          <w:color w:val="000000"/>
          <w:sz w:val="24"/>
          <w:szCs w:val="22"/>
        </w:rPr>
      </w:pPr>
    </w:p>
    <w:p w14:paraId="6C3DF9D5">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#楼宇自控系统主要设备（管理软件、网络控制器、直接数字控制器（DDC）、执行器）和智能照明系统主要设备（软件、控制模块、IP路由器、网络管理器）应均为同一品牌。</w:t>
      </w:r>
    </w:p>
    <w:p w14:paraId="71D49B92">
      <w:pPr>
        <w:pStyle w:val="30"/>
        <w:spacing w:line="360" w:lineRule="auto"/>
        <w:ind w:firstLine="480" w:firstLineChars="200"/>
        <w:outlineLvl w:val="4"/>
        <w:rPr>
          <w:rFonts w:ascii="仿宋" w:hAnsi="仿宋" w:eastAsia="仿宋" w:cs="仿宋"/>
          <w:color w:val="000000"/>
          <w:sz w:val="24"/>
          <w:szCs w:val="22"/>
        </w:rPr>
      </w:pPr>
      <w:r>
        <w:rPr>
          <w:rFonts w:hint="eastAsia" w:ascii="仿宋" w:hAnsi="仿宋" w:eastAsia="仿宋" w:cs="仿宋"/>
          <w:color w:val="000000"/>
          <w:sz w:val="24"/>
          <w:szCs w:val="22"/>
        </w:rPr>
        <w:t>I楼宇自控系统</w:t>
      </w:r>
    </w:p>
    <w:p w14:paraId="310A3266">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1.系统软件</w:t>
      </w:r>
    </w:p>
    <w:p w14:paraId="635A05BC">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#1.1.系统软件应支持BACnet Ethernet，BACnet local IP，BACnet remote IP，BACnet SC等主流楼宇自控系统的网络通信协议。要求BTL认证的B-AWS级别和B-SCHUB级别，需提供BTL认证证书。</w:t>
      </w:r>
    </w:p>
    <w:p w14:paraId="63B2F36D">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#1.2.系统软件须简洁容易操作。DDC的点位建立，数据库建立，程序编写，人机界面绘制等功能要求在同一个软件内完成，并开放管理员权限。不可在软件主体外安装其他软件及插件。需提供软件产品彩页。</w:t>
      </w:r>
    </w:p>
    <w:p w14:paraId="0CFD05AC">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#1.3.为满足日后调整控制逻辑或增加集成功能的需求，系统软件对以下类别点位进行数量扩容支持：集成接口软件点、编程运算模块、逻辑虚拟点。</w:t>
      </w:r>
    </w:p>
    <w:p w14:paraId="1B1F704F">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#1.4.为满足管理和使用需求，软件需要支持多类用户访问，且不可限制用户或用户组上限。可以对不同用户进行用户组管理，对其权限进行分类设置。</w:t>
      </w:r>
    </w:p>
    <w:p w14:paraId="476B3A59">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#1.5.为便于数据批量导入，软件需要支持LDAP（轻量级目录访问协议）数据同步，用于访问和维护分布式目录信息服务。</w:t>
      </w:r>
    </w:p>
    <w:p w14:paraId="4EA67B28">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#1.6.系统需要具有与第三方系统集成的通讯接口或协议，并不限制第三方接口数量。</w:t>
      </w:r>
    </w:p>
    <w:p w14:paraId="1858B58D">
      <w:pPr>
        <w:pStyle w:val="30"/>
        <w:spacing w:line="360" w:lineRule="auto"/>
        <w:ind w:firstLine="480" w:firstLineChars="200"/>
        <w:rPr>
          <w:rFonts w:ascii="仿宋" w:hAnsi="仿宋" w:eastAsia="仿宋" w:cs="仿宋"/>
          <w:color w:val="000000"/>
          <w:sz w:val="24"/>
          <w:szCs w:val="22"/>
        </w:rPr>
      </w:pPr>
    </w:p>
    <w:p w14:paraId="1E78F9AD">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2.直接数字控制器（DDC）</w:t>
      </w:r>
    </w:p>
    <w:p w14:paraId="539BE373">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#2.1.所有应用控制器DDC要求BTL认证的B-AAC级别，并提供BACnet协会官方的BTL认证资料，需提供BTL listing文件。系统承包商应根据不同类型的监控点之数量而提供符合要求和数量的控制器。每个DDC应有10-15%点数的余量。</w:t>
      </w:r>
    </w:p>
    <w:p w14:paraId="5567046D">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#2.2.DDC具备在本地编程，PID运算，时间表，历史记录，报警等各种常用功能，并不限制上述功能对象的数量。需提供本项目配置使用的DDC控制器产品彩页并加盖厂家公章。</w:t>
      </w:r>
    </w:p>
    <w:p w14:paraId="7668CD8C">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#2.3.DDC需即支持IP组网方式，也支持485组网方式。提供产品彩页加盖公章。</w:t>
      </w:r>
    </w:p>
    <w:p w14:paraId="47290BC7">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#2.4.DDC的输入点必须是通用点（UI）。产品彩页加盖公章。</w:t>
      </w:r>
    </w:p>
    <w:p w14:paraId="72183413">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#2.5.各DDC控制箱内控制点必须大于或等于下表的I/O点数要求。</w:t>
      </w:r>
    </w:p>
    <w:tbl>
      <w:tblPr>
        <w:tblStyle w:val="45"/>
        <w:tblW w:w="5093" w:type="dxa"/>
        <w:tblInd w:w="756" w:type="dxa"/>
        <w:tblLayout w:type="autofit"/>
        <w:tblCellMar>
          <w:top w:w="0" w:type="dxa"/>
          <w:left w:w="108" w:type="dxa"/>
          <w:bottom w:w="0" w:type="dxa"/>
          <w:right w:w="108" w:type="dxa"/>
        </w:tblCellMar>
      </w:tblPr>
      <w:tblGrid>
        <w:gridCol w:w="1691"/>
        <w:gridCol w:w="1134"/>
        <w:gridCol w:w="1134"/>
        <w:gridCol w:w="1134"/>
      </w:tblGrid>
      <w:tr w14:paraId="7A79E0BE">
        <w:tblPrEx>
          <w:tblCellMar>
            <w:top w:w="0" w:type="dxa"/>
            <w:left w:w="108" w:type="dxa"/>
            <w:bottom w:w="0" w:type="dxa"/>
            <w:right w:w="108" w:type="dxa"/>
          </w:tblCellMar>
        </w:tblPrEx>
        <w:trPr>
          <w:trHeight w:val="280" w:hRule="atLeast"/>
        </w:trPr>
        <w:tc>
          <w:tcPr>
            <w:tcW w:w="1691" w:type="dxa"/>
            <w:tcBorders>
              <w:top w:val="single" w:color="auto" w:sz="8" w:space="0"/>
              <w:left w:val="single" w:color="auto" w:sz="8" w:space="0"/>
              <w:bottom w:val="single" w:color="auto" w:sz="4" w:space="0"/>
              <w:right w:val="single" w:color="auto" w:sz="4" w:space="0"/>
            </w:tcBorders>
            <w:noWrap/>
            <w:vAlign w:val="center"/>
          </w:tcPr>
          <w:p w14:paraId="73BDB54D">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　</w:t>
            </w:r>
          </w:p>
        </w:tc>
        <w:tc>
          <w:tcPr>
            <w:tcW w:w="1134" w:type="dxa"/>
            <w:tcBorders>
              <w:top w:val="single" w:color="auto" w:sz="8" w:space="0"/>
              <w:left w:val="nil"/>
              <w:bottom w:val="single" w:color="auto" w:sz="4" w:space="0"/>
              <w:right w:val="single" w:color="auto" w:sz="4" w:space="0"/>
            </w:tcBorders>
            <w:noWrap/>
            <w:vAlign w:val="center"/>
          </w:tcPr>
          <w:p w14:paraId="54C7878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UI</w:t>
            </w:r>
          </w:p>
        </w:tc>
        <w:tc>
          <w:tcPr>
            <w:tcW w:w="1134" w:type="dxa"/>
            <w:tcBorders>
              <w:top w:val="single" w:color="auto" w:sz="8" w:space="0"/>
              <w:left w:val="nil"/>
              <w:bottom w:val="single" w:color="auto" w:sz="4" w:space="0"/>
              <w:right w:val="single" w:color="auto" w:sz="4" w:space="0"/>
            </w:tcBorders>
            <w:noWrap/>
            <w:vAlign w:val="center"/>
          </w:tcPr>
          <w:p w14:paraId="4C1E7DC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AO</w:t>
            </w:r>
          </w:p>
        </w:tc>
        <w:tc>
          <w:tcPr>
            <w:tcW w:w="1134" w:type="dxa"/>
            <w:tcBorders>
              <w:top w:val="single" w:color="auto" w:sz="8" w:space="0"/>
              <w:left w:val="nil"/>
              <w:bottom w:val="single" w:color="auto" w:sz="4" w:space="0"/>
              <w:right w:val="single" w:color="auto" w:sz="8" w:space="0"/>
            </w:tcBorders>
            <w:noWrap/>
            <w:vAlign w:val="center"/>
          </w:tcPr>
          <w:p w14:paraId="022C173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DO</w:t>
            </w:r>
          </w:p>
        </w:tc>
      </w:tr>
      <w:tr w14:paraId="1B14A718">
        <w:tblPrEx>
          <w:tblCellMar>
            <w:top w:w="0" w:type="dxa"/>
            <w:left w:w="108" w:type="dxa"/>
            <w:bottom w:w="0" w:type="dxa"/>
            <w:right w:w="108" w:type="dxa"/>
          </w:tblCellMar>
        </w:tblPrEx>
        <w:trPr>
          <w:trHeight w:val="280" w:hRule="atLeast"/>
        </w:trPr>
        <w:tc>
          <w:tcPr>
            <w:tcW w:w="1691" w:type="dxa"/>
            <w:tcBorders>
              <w:top w:val="nil"/>
              <w:left w:val="single" w:color="auto" w:sz="8" w:space="0"/>
              <w:bottom w:val="single" w:color="auto" w:sz="4" w:space="0"/>
              <w:right w:val="single" w:color="auto" w:sz="4" w:space="0"/>
            </w:tcBorders>
            <w:noWrap/>
            <w:vAlign w:val="center"/>
          </w:tcPr>
          <w:p w14:paraId="10E299F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DDC控制箱B</w:t>
            </w:r>
          </w:p>
        </w:tc>
        <w:tc>
          <w:tcPr>
            <w:tcW w:w="1134" w:type="dxa"/>
            <w:tcBorders>
              <w:top w:val="nil"/>
              <w:left w:val="nil"/>
              <w:bottom w:val="single" w:color="auto" w:sz="4" w:space="0"/>
              <w:right w:val="single" w:color="auto" w:sz="4" w:space="0"/>
            </w:tcBorders>
            <w:noWrap/>
            <w:vAlign w:val="center"/>
          </w:tcPr>
          <w:p w14:paraId="28B3507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22</w:t>
            </w:r>
          </w:p>
        </w:tc>
        <w:tc>
          <w:tcPr>
            <w:tcW w:w="1134" w:type="dxa"/>
            <w:tcBorders>
              <w:top w:val="nil"/>
              <w:left w:val="nil"/>
              <w:bottom w:val="single" w:color="auto" w:sz="4" w:space="0"/>
              <w:right w:val="single" w:color="auto" w:sz="4" w:space="0"/>
            </w:tcBorders>
            <w:noWrap/>
            <w:vAlign w:val="center"/>
          </w:tcPr>
          <w:p w14:paraId="62062BC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w:t>
            </w:r>
          </w:p>
        </w:tc>
        <w:tc>
          <w:tcPr>
            <w:tcW w:w="1134" w:type="dxa"/>
            <w:tcBorders>
              <w:top w:val="nil"/>
              <w:left w:val="nil"/>
              <w:bottom w:val="single" w:color="auto" w:sz="4" w:space="0"/>
              <w:right w:val="single" w:color="auto" w:sz="8" w:space="0"/>
            </w:tcBorders>
            <w:noWrap/>
            <w:vAlign w:val="center"/>
          </w:tcPr>
          <w:p w14:paraId="7833BED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w:t>
            </w:r>
          </w:p>
        </w:tc>
      </w:tr>
      <w:tr w14:paraId="3A9559ED">
        <w:tblPrEx>
          <w:tblCellMar>
            <w:top w:w="0" w:type="dxa"/>
            <w:left w:w="108" w:type="dxa"/>
            <w:bottom w:w="0" w:type="dxa"/>
            <w:right w:w="108" w:type="dxa"/>
          </w:tblCellMar>
        </w:tblPrEx>
        <w:trPr>
          <w:trHeight w:val="280" w:hRule="atLeast"/>
        </w:trPr>
        <w:tc>
          <w:tcPr>
            <w:tcW w:w="1691" w:type="dxa"/>
            <w:tcBorders>
              <w:top w:val="nil"/>
              <w:left w:val="single" w:color="auto" w:sz="8" w:space="0"/>
              <w:bottom w:val="single" w:color="auto" w:sz="4" w:space="0"/>
              <w:right w:val="single" w:color="auto" w:sz="4" w:space="0"/>
            </w:tcBorders>
            <w:noWrap/>
            <w:vAlign w:val="center"/>
          </w:tcPr>
          <w:p w14:paraId="4782F88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DDC控制箱C</w:t>
            </w:r>
          </w:p>
        </w:tc>
        <w:tc>
          <w:tcPr>
            <w:tcW w:w="1134" w:type="dxa"/>
            <w:tcBorders>
              <w:top w:val="nil"/>
              <w:left w:val="nil"/>
              <w:bottom w:val="single" w:color="auto" w:sz="4" w:space="0"/>
              <w:right w:val="single" w:color="auto" w:sz="4" w:space="0"/>
            </w:tcBorders>
            <w:noWrap/>
            <w:vAlign w:val="center"/>
          </w:tcPr>
          <w:p w14:paraId="61C91E8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27</w:t>
            </w:r>
          </w:p>
        </w:tc>
        <w:tc>
          <w:tcPr>
            <w:tcW w:w="1134" w:type="dxa"/>
            <w:tcBorders>
              <w:top w:val="nil"/>
              <w:left w:val="nil"/>
              <w:bottom w:val="single" w:color="auto" w:sz="4" w:space="0"/>
              <w:right w:val="single" w:color="auto" w:sz="4" w:space="0"/>
            </w:tcBorders>
            <w:noWrap/>
            <w:vAlign w:val="center"/>
          </w:tcPr>
          <w:p w14:paraId="7EB385C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w:t>
            </w:r>
          </w:p>
        </w:tc>
        <w:tc>
          <w:tcPr>
            <w:tcW w:w="1134" w:type="dxa"/>
            <w:tcBorders>
              <w:top w:val="nil"/>
              <w:left w:val="nil"/>
              <w:bottom w:val="single" w:color="auto" w:sz="4" w:space="0"/>
              <w:right w:val="single" w:color="auto" w:sz="8" w:space="0"/>
            </w:tcBorders>
            <w:noWrap/>
            <w:vAlign w:val="center"/>
          </w:tcPr>
          <w:p w14:paraId="4AAF2EF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w:t>
            </w:r>
          </w:p>
        </w:tc>
      </w:tr>
      <w:tr w14:paraId="7430542C">
        <w:tblPrEx>
          <w:tblCellMar>
            <w:top w:w="0" w:type="dxa"/>
            <w:left w:w="108" w:type="dxa"/>
            <w:bottom w:w="0" w:type="dxa"/>
            <w:right w:w="108" w:type="dxa"/>
          </w:tblCellMar>
        </w:tblPrEx>
        <w:trPr>
          <w:trHeight w:val="290" w:hRule="atLeast"/>
        </w:trPr>
        <w:tc>
          <w:tcPr>
            <w:tcW w:w="1691" w:type="dxa"/>
            <w:tcBorders>
              <w:top w:val="nil"/>
              <w:left w:val="single" w:color="auto" w:sz="8" w:space="0"/>
              <w:bottom w:val="single" w:color="auto" w:sz="8" w:space="0"/>
              <w:right w:val="single" w:color="auto" w:sz="4" w:space="0"/>
            </w:tcBorders>
            <w:noWrap/>
            <w:vAlign w:val="center"/>
          </w:tcPr>
          <w:p w14:paraId="4A7E41F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DDC控制箱D</w:t>
            </w:r>
          </w:p>
        </w:tc>
        <w:tc>
          <w:tcPr>
            <w:tcW w:w="1134" w:type="dxa"/>
            <w:tcBorders>
              <w:top w:val="nil"/>
              <w:left w:val="nil"/>
              <w:bottom w:val="single" w:color="auto" w:sz="8" w:space="0"/>
              <w:right w:val="single" w:color="auto" w:sz="4" w:space="0"/>
            </w:tcBorders>
            <w:noWrap/>
            <w:vAlign w:val="center"/>
          </w:tcPr>
          <w:p w14:paraId="1DB89A0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35</w:t>
            </w:r>
          </w:p>
        </w:tc>
        <w:tc>
          <w:tcPr>
            <w:tcW w:w="1134" w:type="dxa"/>
            <w:tcBorders>
              <w:top w:val="nil"/>
              <w:left w:val="nil"/>
              <w:bottom w:val="single" w:color="auto" w:sz="8" w:space="0"/>
              <w:right w:val="single" w:color="auto" w:sz="4" w:space="0"/>
            </w:tcBorders>
            <w:noWrap/>
            <w:vAlign w:val="center"/>
          </w:tcPr>
          <w:p w14:paraId="5CBE10B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w:t>
            </w:r>
          </w:p>
        </w:tc>
        <w:tc>
          <w:tcPr>
            <w:tcW w:w="1134" w:type="dxa"/>
            <w:tcBorders>
              <w:top w:val="nil"/>
              <w:left w:val="nil"/>
              <w:bottom w:val="single" w:color="auto" w:sz="8" w:space="0"/>
              <w:right w:val="single" w:color="auto" w:sz="8" w:space="0"/>
            </w:tcBorders>
            <w:noWrap/>
            <w:vAlign w:val="center"/>
          </w:tcPr>
          <w:p w14:paraId="37F2617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w:t>
            </w:r>
          </w:p>
        </w:tc>
      </w:tr>
    </w:tbl>
    <w:p w14:paraId="52433DC2">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2.6.各监控对象设备现场配置相应的传感器件、监控模块，采集监控信号/数据。每个DDC箱内应配置具有至少1台独立CPU的DDC控制器，需提供产品单页。</w:t>
      </w:r>
    </w:p>
    <w:p w14:paraId="07D373D3">
      <w:pPr>
        <w:pStyle w:val="30"/>
        <w:spacing w:line="360" w:lineRule="auto"/>
        <w:ind w:firstLine="480" w:firstLineChars="200"/>
        <w:rPr>
          <w:rFonts w:ascii="仿宋" w:hAnsi="仿宋" w:eastAsia="仿宋" w:cs="仿宋"/>
          <w:color w:val="000000"/>
          <w:sz w:val="24"/>
          <w:szCs w:val="22"/>
        </w:rPr>
      </w:pPr>
    </w:p>
    <w:p w14:paraId="3A96B276">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3.网络控制器</w:t>
      </w:r>
    </w:p>
    <w:p w14:paraId="20B4B474">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#3.1.网络控制器具有BTL认证的BACnet 楼宇控制器(B-BC)，BACnet网关,并提供BACnet协会官方的BTL认证资料，需提供BTL listing文件。</w:t>
      </w:r>
    </w:p>
    <w:p w14:paraId="2474B090">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#3.2.具备4G 以上闪存，256 MB SDRAM以上内存，不少于3 端口（10/100 Ethernet交换机），支持BACnet/IP 及 BACnet / Ethernet协议，不少于2 RS-485 端口、2 USB 端口。支持Modbus协议,支持BACnet SC协议。支持实时时钟(温度补偿)、NTP协议。超级电容电源备份（RTC 及存储器数据的电源后备）。不低于上述参数要求，并出具产品手册加盖厂家公章。</w:t>
      </w:r>
    </w:p>
    <w:p w14:paraId="60FF58E5">
      <w:pPr>
        <w:pStyle w:val="30"/>
        <w:spacing w:line="360" w:lineRule="auto"/>
        <w:ind w:firstLine="480" w:firstLineChars="200"/>
        <w:rPr>
          <w:rFonts w:ascii="仿宋" w:hAnsi="仿宋" w:eastAsia="仿宋" w:cs="仿宋"/>
          <w:color w:val="000000"/>
          <w:sz w:val="24"/>
          <w:szCs w:val="22"/>
        </w:rPr>
      </w:pPr>
    </w:p>
    <w:p w14:paraId="3D3B1A83">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4.传感器及执行器</w:t>
      </w:r>
    </w:p>
    <w:p w14:paraId="43BC09EC">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所有的执行器要求与楼宇自控系统管理软件、网络控制器、直接数字控制器（DDC）应均为同一品牌。</w:t>
      </w:r>
    </w:p>
    <w:p w14:paraId="78A89CF7">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4.1.电磁流量变速器</w:t>
      </w:r>
    </w:p>
    <w:p w14:paraId="7D58A695">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供电要求支持24VDC；测量口径在DN50~DN400可选；输出可以支持0-10V信号；防护等级不低于IP68。</w:t>
      </w:r>
    </w:p>
    <w:p w14:paraId="786C85E1">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4.2.水压力变送器</w:t>
      </w:r>
    </w:p>
    <w:p w14:paraId="3398280F">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量程处于0~16bar之间；信号输出可以支持4-20mA。</w:t>
      </w:r>
    </w:p>
    <w:p w14:paraId="73D8D8E4">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4.3.水道温度传感器</w:t>
      </w:r>
    </w:p>
    <w:p w14:paraId="0E287BD4">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信号类型可以支持NTC10K；位于水道安装，需带安装套管，长度不小于125mm；防护等级最低为IP65。</w:t>
      </w:r>
    </w:p>
    <w:p w14:paraId="571787E2">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4.4.防冻保护开关</w:t>
      </w:r>
    </w:p>
    <w:p w14:paraId="6F84F451">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输出方式可以为开关输出SPDT；探头长度至少为3m；防护等级至少为IP54。</w:t>
      </w:r>
    </w:p>
    <w:p w14:paraId="3266A25D">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4.5.压差开关</w:t>
      </w:r>
    </w:p>
    <w:p w14:paraId="79E02374">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测量量程应在50-500Pa之间；使用螺丝端子连接，并带安装配件包。</w:t>
      </w:r>
    </w:p>
    <w:p w14:paraId="238373B4">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4.6.温湿度传感器</w:t>
      </w:r>
    </w:p>
    <w:p w14:paraId="37C272F5">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湿度测量量程应在0~99%RH之间；输出信号至少可以选为0~10VDC(三线)或4~20mA(二线)；测量精度应不低于±3%@20~80%RH；温度测量信号应支持NTC10K-</w:t>
      </w:r>
      <w:r>
        <w:rPr>
          <w:rFonts w:hint="eastAsia" w:ascii="仿宋" w:hAnsi="仿宋" w:eastAsia="仿宋" w:cs="仿宋"/>
          <w:color w:val="000000"/>
          <w:sz w:val="24"/>
          <w:szCs w:val="22"/>
          <w:lang w:eastAsia="zh-CN"/>
        </w:rPr>
        <w:t>Ⅲ</w:t>
      </w:r>
      <w:r>
        <w:rPr>
          <w:rFonts w:hint="eastAsia" w:ascii="仿宋" w:hAnsi="仿宋" w:eastAsia="仿宋" w:cs="仿宋"/>
          <w:color w:val="000000"/>
          <w:sz w:val="24"/>
          <w:szCs w:val="22"/>
        </w:rPr>
        <w:t>，精度应不低于±0.5℃@25℃；传感器防护等级应不低于IP65 。</w:t>
      </w:r>
    </w:p>
    <w:p w14:paraId="6515A73D">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4.7.CO变送器</w:t>
      </w:r>
    </w:p>
    <w:p w14:paraId="234C827A">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输出信号应支持0~10V或4~20mA；量程应在0-100ppm之间；精度不低于±5%FS@25℃。</w:t>
      </w:r>
    </w:p>
    <w:p w14:paraId="5C8C95EF">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4.8.CO2变送器</w:t>
      </w:r>
    </w:p>
    <w:p w14:paraId="316A3F8E">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输出信号应支持0~10V或4~20mA ；量程应在0-2000ppm之间；精度不低于±75ppm±3%FS。</w:t>
      </w:r>
    </w:p>
    <w:p w14:paraId="1409DA5E">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4.9.液位开关</w:t>
      </w:r>
    </w:p>
    <w:p w14:paraId="020423D1">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液位开关应为电缆浮球式；输出方式可以支持开关方式，SPDT，1NO1NC；线缆长度不低于3米；需带有重锤，材料使用ABS。</w:t>
      </w:r>
    </w:p>
    <w:p w14:paraId="60AFB487">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4.10.漏水检测</w:t>
      </w:r>
    </w:p>
    <w:p w14:paraId="1A12A4DD">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电源应在12-24VDC之间；灵敏度至少可以分为5级调节。</w:t>
      </w:r>
    </w:p>
    <w:p w14:paraId="5FE06926">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4.11.风阀执行器</w:t>
      </w:r>
    </w:p>
    <w:p w14:paraId="72423759">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风阀执行器（开关型）：供电应支持24VAC；扭矩至少为16NM，并带2个反馈开关。</w:t>
      </w:r>
    </w:p>
    <w:p w14:paraId="77C7D94D">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风阀执行器（调节型）：供电应支持24VAC；扭矩至少为16NM；输出信号类型可以支持0~10V。</w:t>
      </w:r>
    </w:p>
    <w:p w14:paraId="64397A42">
      <w:pPr>
        <w:pStyle w:val="30"/>
        <w:spacing w:line="360" w:lineRule="auto"/>
        <w:ind w:firstLine="480" w:firstLineChars="200"/>
        <w:rPr>
          <w:rFonts w:ascii="仿宋" w:hAnsi="仿宋" w:eastAsia="仿宋" w:cs="仿宋"/>
          <w:color w:val="000000"/>
          <w:sz w:val="24"/>
          <w:szCs w:val="22"/>
        </w:rPr>
      </w:pPr>
    </w:p>
    <w:p w14:paraId="4C148675">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5.控制箱</w:t>
      </w:r>
    </w:p>
    <w:p w14:paraId="28521048">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DDC控制箱尺寸要求如下：</w:t>
      </w:r>
    </w:p>
    <w:tbl>
      <w:tblPr>
        <w:tblStyle w:val="45"/>
        <w:tblW w:w="4952" w:type="dxa"/>
        <w:tblInd w:w="564" w:type="dxa"/>
        <w:tblLayout w:type="autofit"/>
        <w:tblCellMar>
          <w:top w:w="0" w:type="dxa"/>
          <w:left w:w="108" w:type="dxa"/>
          <w:bottom w:w="0" w:type="dxa"/>
          <w:right w:w="108" w:type="dxa"/>
        </w:tblCellMar>
      </w:tblPr>
      <w:tblGrid>
        <w:gridCol w:w="2117"/>
        <w:gridCol w:w="2835"/>
      </w:tblGrid>
      <w:tr w14:paraId="716D8BCC">
        <w:tblPrEx>
          <w:tblCellMar>
            <w:top w:w="0" w:type="dxa"/>
            <w:left w:w="108" w:type="dxa"/>
            <w:bottom w:w="0" w:type="dxa"/>
            <w:right w:w="108" w:type="dxa"/>
          </w:tblCellMar>
        </w:tblPrEx>
        <w:trPr>
          <w:trHeight w:val="280" w:hRule="atLeast"/>
        </w:trPr>
        <w:tc>
          <w:tcPr>
            <w:tcW w:w="2117" w:type="dxa"/>
            <w:tcBorders>
              <w:top w:val="single" w:color="auto" w:sz="8" w:space="0"/>
              <w:left w:val="single" w:color="auto" w:sz="8" w:space="0"/>
              <w:bottom w:val="single" w:color="auto" w:sz="4" w:space="0"/>
              <w:right w:val="single" w:color="auto" w:sz="4" w:space="0"/>
            </w:tcBorders>
            <w:noWrap/>
            <w:vAlign w:val="center"/>
          </w:tcPr>
          <w:p w14:paraId="0D8678EC">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　单位（mm）</w:t>
            </w:r>
          </w:p>
        </w:tc>
        <w:tc>
          <w:tcPr>
            <w:tcW w:w="2835" w:type="dxa"/>
            <w:tcBorders>
              <w:top w:val="single" w:color="auto" w:sz="8" w:space="0"/>
              <w:left w:val="nil"/>
              <w:bottom w:val="single" w:color="auto" w:sz="4" w:space="0"/>
              <w:right w:val="single" w:color="auto" w:sz="8" w:space="0"/>
            </w:tcBorders>
            <w:noWrap/>
            <w:vAlign w:val="center"/>
          </w:tcPr>
          <w:p w14:paraId="05B97185">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箱体尺寸</w:t>
            </w:r>
          </w:p>
        </w:tc>
      </w:tr>
      <w:tr w14:paraId="43E393BD">
        <w:tblPrEx>
          <w:tblCellMar>
            <w:top w:w="0" w:type="dxa"/>
            <w:left w:w="108" w:type="dxa"/>
            <w:bottom w:w="0" w:type="dxa"/>
            <w:right w:w="108" w:type="dxa"/>
          </w:tblCellMar>
        </w:tblPrEx>
        <w:trPr>
          <w:trHeight w:val="280" w:hRule="atLeast"/>
        </w:trPr>
        <w:tc>
          <w:tcPr>
            <w:tcW w:w="2117" w:type="dxa"/>
            <w:tcBorders>
              <w:top w:val="nil"/>
              <w:left w:val="single" w:color="auto" w:sz="8" w:space="0"/>
              <w:bottom w:val="single" w:color="auto" w:sz="4" w:space="0"/>
              <w:right w:val="single" w:color="auto" w:sz="4" w:space="0"/>
            </w:tcBorders>
            <w:noWrap/>
            <w:vAlign w:val="center"/>
          </w:tcPr>
          <w:p w14:paraId="6F0B6750">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DDC控制箱A</w:t>
            </w:r>
          </w:p>
        </w:tc>
        <w:tc>
          <w:tcPr>
            <w:tcW w:w="2835" w:type="dxa"/>
            <w:tcBorders>
              <w:top w:val="nil"/>
              <w:left w:val="nil"/>
              <w:bottom w:val="single" w:color="auto" w:sz="4" w:space="0"/>
              <w:right w:val="single" w:color="auto" w:sz="8" w:space="0"/>
            </w:tcBorders>
            <w:noWrap/>
            <w:vAlign w:val="center"/>
          </w:tcPr>
          <w:p w14:paraId="3A1560C8">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400x500x200</w:t>
            </w:r>
          </w:p>
        </w:tc>
      </w:tr>
      <w:tr w14:paraId="5888C385">
        <w:tblPrEx>
          <w:tblCellMar>
            <w:top w:w="0" w:type="dxa"/>
            <w:left w:w="108" w:type="dxa"/>
            <w:bottom w:w="0" w:type="dxa"/>
            <w:right w:w="108" w:type="dxa"/>
          </w:tblCellMar>
        </w:tblPrEx>
        <w:trPr>
          <w:trHeight w:val="280" w:hRule="atLeast"/>
        </w:trPr>
        <w:tc>
          <w:tcPr>
            <w:tcW w:w="2117" w:type="dxa"/>
            <w:tcBorders>
              <w:top w:val="nil"/>
              <w:left w:val="single" w:color="auto" w:sz="8" w:space="0"/>
              <w:bottom w:val="single" w:color="auto" w:sz="4" w:space="0"/>
              <w:right w:val="single" w:color="auto" w:sz="4" w:space="0"/>
            </w:tcBorders>
            <w:noWrap/>
            <w:vAlign w:val="center"/>
          </w:tcPr>
          <w:p w14:paraId="1E1BC387">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DDC控制箱B</w:t>
            </w:r>
          </w:p>
        </w:tc>
        <w:tc>
          <w:tcPr>
            <w:tcW w:w="2835" w:type="dxa"/>
            <w:tcBorders>
              <w:top w:val="nil"/>
              <w:left w:val="nil"/>
              <w:bottom w:val="single" w:color="auto" w:sz="4" w:space="0"/>
              <w:right w:val="single" w:color="auto" w:sz="8" w:space="0"/>
            </w:tcBorders>
            <w:noWrap/>
            <w:vAlign w:val="center"/>
          </w:tcPr>
          <w:p w14:paraId="238FA743">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500x700x200</w:t>
            </w:r>
          </w:p>
        </w:tc>
      </w:tr>
      <w:tr w14:paraId="581360DB">
        <w:tblPrEx>
          <w:tblCellMar>
            <w:top w:w="0" w:type="dxa"/>
            <w:left w:w="108" w:type="dxa"/>
            <w:bottom w:w="0" w:type="dxa"/>
            <w:right w:w="108" w:type="dxa"/>
          </w:tblCellMar>
        </w:tblPrEx>
        <w:trPr>
          <w:trHeight w:val="280" w:hRule="atLeast"/>
        </w:trPr>
        <w:tc>
          <w:tcPr>
            <w:tcW w:w="2117" w:type="dxa"/>
            <w:tcBorders>
              <w:top w:val="nil"/>
              <w:left w:val="single" w:color="auto" w:sz="8" w:space="0"/>
              <w:bottom w:val="single" w:color="auto" w:sz="4" w:space="0"/>
              <w:right w:val="single" w:color="auto" w:sz="4" w:space="0"/>
            </w:tcBorders>
            <w:noWrap/>
            <w:vAlign w:val="center"/>
          </w:tcPr>
          <w:p w14:paraId="145CA496">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DDC控制箱C</w:t>
            </w:r>
          </w:p>
        </w:tc>
        <w:tc>
          <w:tcPr>
            <w:tcW w:w="2835" w:type="dxa"/>
            <w:tcBorders>
              <w:top w:val="nil"/>
              <w:left w:val="nil"/>
              <w:bottom w:val="single" w:color="auto" w:sz="4" w:space="0"/>
              <w:right w:val="single" w:color="auto" w:sz="8" w:space="0"/>
            </w:tcBorders>
            <w:noWrap/>
            <w:vAlign w:val="center"/>
          </w:tcPr>
          <w:p w14:paraId="4C57BDDD">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600x800x200</w:t>
            </w:r>
          </w:p>
        </w:tc>
      </w:tr>
      <w:tr w14:paraId="501CF185">
        <w:tblPrEx>
          <w:tblCellMar>
            <w:top w:w="0" w:type="dxa"/>
            <w:left w:w="108" w:type="dxa"/>
            <w:bottom w:w="0" w:type="dxa"/>
            <w:right w:w="108" w:type="dxa"/>
          </w:tblCellMar>
        </w:tblPrEx>
        <w:trPr>
          <w:trHeight w:val="290" w:hRule="atLeast"/>
        </w:trPr>
        <w:tc>
          <w:tcPr>
            <w:tcW w:w="2117" w:type="dxa"/>
            <w:tcBorders>
              <w:top w:val="nil"/>
              <w:left w:val="single" w:color="auto" w:sz="8" w:space="0"/>
              <w:bottom w:val="single" w:color="auto" w:sz="8" w:space="0"/>
              <w:right w:val="single" w:color="auto" w:sz="4" w:space="0"/>
            </w:tcBorders>
            <w:noWrap/>
            <w:vAlign w:val="center"/>
          </w:tcPr>
          <w:p w14:paraId="474A0FAA">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DDC控制箱D</w:t>
            </w:r>
          </w:p>
        </w:tc>
        <w:tc>
          <w:tcPr>
            <w:tcW w:w="2835" w:type="dxa"/>
            <w:tcBorders>
              <w:top w:val="nil"/>
              <w:left w:val="nil"/>
              <w:bottom w:val="single" w:color="auto" w:sz="8" w:space="0"/>
              <w:right w:val="single" w:color="auto" w:sz="8" w:space="0"/>
            </w:tcBorders>
            <w:noWrap/>
            <w:vAlign w:val="center"/>
          </w:tcPr>
          <w:p w14:paraId="1E774742">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800x1000x200</w:t>
            </w:r>
          </w:p>
        </w:tc>
      </w:tr>
    </w:tbl>
    <w:p w14:paraId="24C010A7">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#壁厚不低于1.2mm，具备变压器、开关电源、空气开关、保险、接线端子排、线槽、内线及相对应盘箱图纸等配套元器件。不低于IP48。需提供盘箱图。</w:t>
      </w:r>
    </w:p>
    <w:p w14:paraId="1D12AD56">
      <w:pPr>
        <w:pStyle w:val="30"/>
        <w:spacing w:line="360" w:lineRule="auto"/>
        <w:ind w:firstLine="480" w:firstLineChars="200"/>
        <w:rPr>
          <w:rFonts w:ascii="仿宋" w:hAnsi="仿宋" w:eastAsia="仿宋" w:cs="仿宋"/>
          <w:color w:val="000000"/>
          <w:sz w:val="24"/>
          <w:szCs w:val="22"/>
        </w:rPr>
      </w:pPr>
    </w:p>
    <w:p w14:paraId="2678BD41">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6.屏幕</w:t>
      </w:r>
    </w:p>
    <w:p w14:paraId="394338F9">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屏幕内置处理器不低于4核1.4GHZ；电源应在AC/DC 12~24V范围内；Flash不低于8GB，内存不低于1G；系统采用LINUX；屏幕分辨率应为1280*800。</w:t>
      </w:r>
    </w:p>
    <w:p w14:paraId="41B324E8">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液晶屏采用10.1”TFT；功耗不高于10W；材质应为金属外壳；应具有1个网口100M/10M，4个RS485接口，1个232接口。</w:t>
      </w:r>
    </w:p>
    <w:p w14:paraId="2EB3BD70">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应支持AUTO MDI/MDIX；工作温度处于-10～50℃范围内，储运温度处于 -20～70℃范围内。</w:t>
      </w:r>
    </w:p>
    <w:p w14:paraId="7CF92DE6">
      <w:pPr>
        <w:pStyle w:val="30"/>
        <w:spacing w:line="360" w:lineRule="auto"/>
        <w:ind w:firstLine="480" w:firstLineChars="200"/>
        <w:outlineLvl w:val="4"/>
        <w:rPr>
          <w:rFonts w:ascii="仿宋" w:hAnsi="仿宋" w:eastAsia="仿宋" w:cs="仿宋"/>
          <w:color w:val="000000"/>
          <w:sz w:val="24"/>
          <w:szCs w:val="22"/>
        </w:rPr>
      </w:pPr>
      <w:r>
        <w:rPr>
          <w:rFonts w:hint="eastAsia" w:ascii="仿宋" w:hAnsi="仿宋" w:eastAsia="仿宋" w:cs="仿宋"/>
          <w:color w:val="000000"/>
          <w:sz w:val="24"/>
          <w:szCs w:val="22"/>
        </w:rPr>
        <w:t>II智能照明系统</w:t>
      </w:r>
    </w:p>
    <w:p w14:paraId="08069346">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1.系统操作软件</w:t>
      </w:r>
    </w:p>
    <w:p w14:paraId="15809FF8">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1.1.为方便统一管理，提升管理效能，智能照明系统软件、控制模块、IP路由器和网络管理器等主要设备应与楼宇自控系统采用同一品牌的产品。</w:t>
      </w:r>
    </w:p>
    <w:p w14:paraId="08C2E44D">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#1.2.软件支持API等高阶接口到第三方平台进行对接。</w:t>
      </w:r>
    </w:p>
    <w:p w14:paraId="08D14EFF">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2.开关执行器</w:t>
      </w:r>
    </w:p>
    <w:p w14:paraId="48B4A2EC">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#需采用KNX协议模块，可以选择4路，8路，12路控制模块，额定电压：250V AC(50~60Hz) ，额定电流不低于：16A/200uF。可以具备35mmDIN导轨安装条件，需具有手动开关。防护等级不低于IP20。</w:t>
      </w:r>
    </w:p>
    <w:p w14:paraId="152F8FEC">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3.系统管理器</w:t>
      </w:r>
    </w:p>
    <w:p w14:paraId="3BD0E1C5">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#具备综合编程和网络管理功能，具备BTL B-BC级别认证。具有200MB以上内存，以满足各类复杂逻辑和联动逻辑的编写需求。</w:t>
      </w:r>
    </w:p>
    <w:p w14:paraId="70785440">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4.总线电源</w:t>
      </w:r>
    </w:p>
    <w:p w14:paraId="26A1BF4B">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输入电压应在95~255VAC范围内，50/60Hz；提供至少640mA电源；需具备短路保护功能。</w:t>
      </w:r>
    </w:p>
    <w:p w14:paraId="20B3D8B4">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5.KNX路由器</w:t>
      </w:r>
    </w:p>
    <w:p w14:paraId="5C543143">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#总线电压应在21-30VDC范围内；总线电流不高于12mA；总线功耗不高于360mW；LAN连接应通过RJ45 端口，10/100 Base-T。需模块化安装设备，安装在 35mm导轨。</w:t>
      </w:r>
    </w:p>
    <w:p w14:paraId="1E34122F">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6.智能面板</w:t>
      </w:r>
    </w:p>
    <w:p w14:paraId="7F4900F1">
      <w:pPr>
        <w:pStyle w:val="30"/>
        <w:spacing w:line="360" w:lineRule="auto"/>
        <w:ind w:firstLine="482" w:firstLineChars="200"/>
        <w:rPr>
          <w:rFonts w:ascii="仿宋" w:hAnsi="仿宋" w:eastAsia="仿宋" w:cs="仿宋"/>
          <w:b/>
          <w:bCs/>
          <w:color w:val="000000"/>
          <w:sz w:val="24"/>
          <w:szCs w:val="22"/>
        </w:rPr>
      </w:pPr>
      <w:r>
        <w:rPr>
          <w:rFonts w:hint="eastAsia" w:ascii="仿宋" w:hAnsi="仿宋" w:eastAsia="仿宋" w:cs="仿宋"/>
          <w:b/>
          <w:bCs/>
          <w:color w:val="000000"/>
          <w:sz w:val="24"/>
          <w:szCs w:val="22"/>
        </w:rPr>
        <w:t>#工作电压应在 21-30 VDC范围内，总线电流不高于12mA /30V，按键数量至少为4按键并满足现场场景需求。KNX连接使用总线连接端子(直径0.8mm)。</w:t>
      </w:r>
    </w:p>
    <w:p w14:paraId="7EA98650">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7.照明控制箱400X500X200</w:t>
      </w:r>
    </w:p>
    <w:p w14:paraId="2E296AC6">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箱体尺寸：400X500X200mm，壁厚不低于1.2mm，具备变压器、开关电源、空气开关、保险、接线端子排、线槽、内线及相对应盘箱图纸等配套元器件。不低于IP48。</w:t>
      </w:r>
    </w:p>
    <w:p w14:paraId="23452D35">
      <w:pPr>
        <w:pStyle w:val="30"/>
        <w:numPr>
          <w:ilvl w:val="0"/>
          <w:numId w:val="20"/>
        </w:numPr>
        <w:spacing w:line="360" w:lineRule="auto"/>
        <w:outlineLvl w:val="3"/>
        <w:rPr>
          <w:rFonts w:ascii="仿宋" w:hAnsi="仿宋" w:eastAsia="仿宋" w:cs="仿宋"/>
          <w:color w:val="000000"/>
          <w:sz w:val="24"/>
          <w:szCs w:val="22"/>
        </w:rPr>
      </w:pPr>
      <w:r>
        <w:rPr>
          <w:rFonts w:hint="eastAsia" w:ascii="仿宋" w:hAnsi="仿宋" w:eastAsia="仿宋" w:cs="仿宋"/>
          <w:color w:val="000000"/>
          <w:sz w:val="24"/>
          <w:szCs w:val="22"/>
        </w:rPr>
        <w:t>音视频会议系统设备材料需求</w:t>
      </w:r>
    </w:p>
    <w:p w14:paraId="0A070A67">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I信息发布子系统</w:t>
      </w:r>
    </w:p>
    <w:p w14:paraId="762E5D05">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信息发布系统是在档案馆大厅接待处、会议室接待处、人群较密集处放置信息发布终端。系统是展示档案馆信息，宣传档案馆文化，树立档案馆形象，发布档案馆活动通知的平台。</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222"/>
        <w:gridCol w:w="5822"/>
        <w:gridCol w:w="706"/>
      </w:tblGrid>
      <w:tr w14:paraId="5DA6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6B218D9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序号</w:t>
            </w:r>
          </w:p>
        </w:tc>
        <w:tc>
          <w:tcPr>
            <w:tcW w:w="1222" w:type="dxa"/>
            <w:noWrap/>
            <w:vAlign w:val="center"/>
          </w:tcPr>
          <w:p w14:paraId="21A45F1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设备名称</w:t>
            </w:r>
          </w:p>
        </w:tc>
        <w:tc>
          <w:tcPr>
            <w:tcW w:w="5822" w:type="dxa"/>
            <w:noWrap/>
          </w:tcPr>
          <w:p w14:paraId="0849002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★基本参数</w:t>
            </w:r>
          </w:p>
        </w:tc>
        <w:tc>
          <w:tcPr>
            <w:tcW w:w="706" w:type="dxa"/>
            <w:noWrap/>
          </w:tcPr>
          <w:p w14:paraId="6AB3E2B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数量</w:t>
            </w:r>
          </w:p>
        </w:tc>
      </w:tr>
      <w:tr w14:paraId="60A1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tcPr>
          <w:p w14:paraId="50D21D4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w:t>
            </w:r>
          </w:p>
        </w:tc>
        <w:tc>
          <w:tcPr>
            <w:tcW w:w="1222" w:type="dxa"/>
            <w:noWrap/>
          </w:tcPr>
          <w:p w14:paraId="269D5E6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服务器</w:t>
            </w:r>
          </w:p>
        </w:tc>
        <w:tc>
          <w:tcPr>
            <w:tcW w:w="5822" w:type="dxa"/>
            <w:noWrap/>
          </w:tcPr>
          <w:p w14:paraId="2DA52EC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国产服务器及数据库，同智能化平台硬件部分要求一致</w:t>
            </w:r>
          </w:p>
        </w:tc>
        <w:tc>
          <w:tcPr>
            <w:tcW w:w="706" w:type="dxa"/>
            <w:noWrap/>
          </w:tcPr>
          <w:p w14:paraId="7557A04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2A45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tcPr>
          <w:p w14:paraId="4E6163F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w:t>
            </w:r>
          </w:p>
        </w:tc>
        <w:tc>
          <w:tcPr>
            <w:tcW w:w="1222" w:type="dxa"/>
            <w:noWrap/>
          </w:tcPr>
          <w:p w14:paraId="290838C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客户端主机</w:t>
            </w:r>
          </w:p>
        </w:tc>
        <w:tc>
          <w:tcPr>
            <w:tcW w:w="5822" w:type="dxa"/>
            <w:noWrap/>
          </w:tcPr>
          <w:p w14:paraId="22B1004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同智能化平台硬件部分需求</w:t>
            </w:r>
          </w:p>
        </w:tc>
        <w:tc>
          <w:tcPr>
            <w:tcW w:w="706" w:type="dxa"/>
            <w:noWrap/>
          </w:tcPr>
          <w:p w14:paraId="508F2EB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5E70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tcPr>
          <w:p w14:paraId="4DBE625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w:t>
            </w:r>
          </w:p>
        </w:tc>
        <w:tc>
          <w:tcPr>
            <w:tcW w:w="1222" w:type="dxa"/>
            <w:noWrap/>
          </w:tcPr>
          <w:p w14:paraId="44A4718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软件</w:t>
            </w:r>
          </w:p>
        </w:tc>
        <w:tc>
          <w:tcPr>
            <w:tcW w:w="5822" w:type="dxa"/>
            <w:noWrap/>
          </w:tcPr>
          <w:p w14:paraId="3ACB81A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1.具备≥4种播放模式，支持连续播放、周期播放、空闲播放、插播，支持未结束节目撤回功能。</w:t>
            </w:r>
          </w:p>
          <w:p w14:paraId="7C99CAF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2.具备查看设备硬件信息，查看设备存储使用率，支持清除设备缓存，刷新/下载设备当前播放画面截屏，具备设备当前播放任务日期形式查看，设备当前定时任务日期形式查看。</w:t>
            </w:r>
          </w:p>
          <w:p w14:paraId="4BDC178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3.具备图片、视频、文件、音频素材资源发布，支持png、jpg、jpeg、gif、bmp、tiff图片格式，支持mp4、avi、mkv、rmvb、ts视频格式，支持mp3音频格式，支持pdf、ppt、pptx、doc、docx、xls、xlsx文件格式。</w:t>
            </w:r>
          </w:p>
          <w:p w14:paraId="0E95332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4.内嵌H5编辑器，支持多图层分层编辑，具备主图、标题、描述等基本设置，可添加背景音乐、加载动画、翻页动画、页面背景设置，支持背景、模板、尺寸、底色设置。</w:t>
            </w:r>
          </w:p>
          <w:p w14:paraId="703349B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5.具备文件批量上传图片、文件快速定位搜索、文件详情查看、具备列表/宫格形式查看、具备文件分组管理。</w:t>
            </w:r>
          </w:p>
          <w:p w14:paraId="36CC729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6.具备插播字幕，自定义设置文本大小、背景颜色、字体颜色、滚动速度、显示位置，实时编辑实时预览。</w:t>
            </w:r>
          </w:p>
          <w:p w14:paraId="26DB9FD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7.具备文件上传审核、文件发布审核、资源发布审核，支持设置≥5级审核人，每级≥1人；支持节目审核成功或拒绝后通知提交人，节目待审核时通知审核人。</w:t>
            </w:r>
          </w:p>
          <w:p w14:paraId="2A4C679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8.具备管理员创建多个角色，每个角色拥有不同的管理权限，设备管理权限可单独分配。</w:t>
            </w:r>
          </w:p>
          <w:p w14:paraId="16494DA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支持通过安卓手机或iOS手机专属APP对信息发布系统进行访问和远程操作，具备在移动端上传本地图片、文档、视频、音频素材，具备创建和编辑节目，具备素材上传审核和节目发布审核，具备远程监控设备的运行状态和设备控制管理。</w:t>
            </w:r>
          </w:p>
        </w:tc>
        <w:tc>
          <w:tcPr>
            <w:tcW w:w="706" w:type="dxa"/>
            <w:noWrap/>
          </w:tcPr>
          <w:p w14:paraId="70FBD6C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01C3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tcPr>
          <w:p w14:paraId="10DB904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w:t>
            </w:r>
          </w:p>
        </w:tc>
        <w:tc>
          <w:tcPr>
            <w:tcW w:w="1222" w:type="dxa"/>
            <w:noWrap/>
          </w:tcPr>
          <w:p w14:paraId="3AC9BDC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信息发布盒</w:t>
            </w:r>
          </w:p>
        </w:tc>
        <w:tc>
          <w:tcPr>
            <w:tcW w:w="5822" w:type="dxa"/>
            <w:noWrap/>
          </w:tcPr>
          <w:p w14:paraId="584EFAF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1.具备播放图片、视频、音频、文件等素材资源，具备多种音视频编码格式、图片格式、文件格式。</w:t>
            </w:r>
          </w:p>
          <w:p w14:paraId="7D763F8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2.具备节目设置播放方式和日程等，如连续播放、循环播放、定时播放、实时插播等。具备设定节目有效期，节目过期后自动停止播放、清除节目素材。</w:t>
            </w:r>
          </w:p>
          <w:p w14:paraId="68005A1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3.具备插播字幕（跑马灯），支持通过信息发布系统自定义文本内容，包括文本大小、文本背景、文本颜色、滚动速度、显示位置。</w:t>
            </w:r>
          </w:p>
          <w:p w14:paraId="43D9457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 xml:space="preserve">4.操作系统等同或优于Android 7.1，配置≥双核Cortex-A72+ 四核 Cortex-A53处理器，≥4G运行内存，≥32G存储内存。具备≥2x2 MIMO </w:t>
            </w:r>
            <w:r>
              <w:rPr>
                <w:rFonts w:hint="eastAsia" w:ascii="仿宋" w:hAnsi="仿宋" w:eastAsia="仿宋" w:cs="仿宋"/>
                <w:color w:val="000000"/>
                <w:sz w:val="24"/>
                <w:szCs w:val="22"/>
                <w:lang w:eastAsia="zh-CN"/>
              </w:rPr>
              <w:t>Wi-Fi</w:t>
            </w:r>
            <w:r>
              <w:rPr>
                <w:rFonts w:hint="eastAsia" w:ascii="仿宋" w:hAnsi="仿宋" w:eastAsia="仿宋" w:cs="仿宋"/>
                <w:color w:val="000000"/>
                <w:sz w:val="24"/>
                <w:szCs w:val="22"/>
              </w:rPr>
              <w:t>+等同或优于蓝牙4.1。具备看门狗功能。</w:t>
            </w:r>
          </w:p>
          <w:p w14:paraId="3F3C6D6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5.具备≥3840×2160分辨率视频信号输出，具备兼容1080P全高清解码。</w:t>
            </w:r>
          </w:p>
          <w:p w14:paraId="237E90A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6.具有≥1*RJ45千兆网络接口，≥1*HDMI2.0接口，≥2*天线接口，≥1*3.5mm接口，≥1*TYPE-C接口，≥1*TF接口，≥1*USB3.0接口，≥3*USB2.0接口。</w:t>
            </w:r>
          </w:p>
        </w:tc>
        <w:tc>
          <w:tcPr>
            <w:tcW w:w="706" w:type="dxa"/>
            <w:noWrap/>
          </w:tcPr>
          <w:p w14:paraId="27D99A6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14台</w:t>
            </w:r>
          </w:p>
        </w:tc>
      </w:tr>
      <w:tr w14:paraId="184B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tcPr>
          <w:p w14:paraId="5929393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w:t>
            </w:r>
          </w:p>
        </w:tc>
        <w:tc>
          <w:tcPr>
            <w:tcW w:w="1222" w:type="dxa"/>
            <w:noWrap/>
          </w:tcPr>
          <w:p w14:paraId="7613C51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43寸电视机</w:t>
            </w:r>
          </w:p>
        </w:tc>
        <w:tc>
          <w:tcPr>
            <w:tcW w:w="5822" w:type="dxa"/>
            <w:noWrap/>
          </w:tcPr>
          <w:p w14:paraId="3F46330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屏幕尺寸 ：43英寸；分辨率： 1080P（1920*1080）；图像技术： G画质引擎；硬件配置CPU：≥ 64位；RAM：≥ 64 1GB；ROM：≥ 64 8GB；</w:t>
            </w:r>
          </w:p>
          <w:p w14:paraId="10604B0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无线智能：支持人工智能语音 远场语音；支持多屏互动 支持投屏；网络功能：支持</w:t>
            </w:r>
            <w:r>
              <w:rPr>
                <w:rFonts w:hint="eastAsia" w:ascii="仿宋" w:hAnsi="仿宋" w:eastAsia="仿宋" w:cs="仿宋"/>
                <w:color w:val="000000"/>
                <w:sz w:val="24"/>
                <w:szCs w:val="22"/>
                <w:lang w:eastAsia="zh-CN"/>
              </w:rPr>
              <w:t>Wi-Fi</w:t>
            </w:r>
          </w:p>
          <w:p w14:paraId="14501F1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机身接口</w:t>
            </w:r>
          </w:p>
          <w:p w14:paraId="6A2F825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HDMI接口： 2*HDMI；USB接口： 1*USB2.0；其他接口 RF输入，音视频输入；</w:t>
            </w:r>
          </w:p>
        </w:tc>
        <w:tc>
          <w:tcPr>
            <w:tcW w:w="706" w:type="dxa"/>
            <w:noWrap/>
          </w:tcPr>
          <w:p w14:paraId="0EDCFD3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3台</w:t>
            </w:r>
          </w:p>
        </w:tc>
      </w:tr>
      <w:tr w14:paraId="2543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tcPr>
          <w:p w14:paraId="764B575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w:t>
            </w:r>
          </w:p>
        </w:tc>
        <w:tc>
          <w:tcPr>
            <w:tcW w:w="1222" w:type="dxa"/>
            <w:noWrap/>
          </w:tcPr>
          <w:p w14:paraId="3BEA733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55寸电视机</w:t>
            </w:r>
          </w:p>
        </w:tc>
        <w:tc>
          <w:tcPr>
            <w:tcW w:w="5822" w:type="dxa"/>
            <w:noWrap/>
          </w:tcPr>
          <w:p w14:paraId="1988C39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屏幕尺寸： 55英寸；分辨率 ：支持4k超高清（3840×2160）；</w:t>
            </w:r>
          </w:p>
          <w:p w14:paraId="23C1852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屏幕比例 ：16:9；背光方式：支持直下式/DLED；操作系统 Coocaa（Android）刷新率： ≥120Hz；响应时间≤ 8ms；屏幕亮度：≥ 800cd/㎡；广色域 ：≥130%sRGB；扬声器： ≥30W；硬件配置CPU: ≥ 四核A55;RAM: ≥ 3GB;ROM: ≥ 64GB</w:t>
            </w:r>
          </w:p>
          <w:p w14:paraId="13FFF86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无线智能支持人工智能语音； 网络功能：支持有线/</w:t>
            </w:r>
            <w:r>
              <w:rPr>
                <w:rFonts w:hint="eastAsia" w:ascii="仿宋" w:hAnsi="仿宋" w:eastAsia="仿宋" w:cs="仿宋"/>
                <w:color w:val="000000"/>
                <w:sz w:val="24"/>
                <w:szCs w:val="22"/>
                <w:lang w:eastAsia="zh-CN"/>
              </w:rPr>
              <w:t>Wi-Fi</w:t>
            </w:r>
          </w:p>
          <w:p w14:paraId="7C662CA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机身接口HDMI接口 ：≥3×HDMI 2.1；USB接口： ≥2×USB2.0</w:t>
            </w:r>
          </w:p>
        </w:tc>
        <w:tc>
          <w:tcPr>
            <w:tcW w:w="706" w:type="dxa"/>
            <w:noWrap/>
          </w:tcPr>
          <w:p w14:paraId="626608D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4台</w:t>
            </w:r>
          </w:p>
        </w:tc>
      </w:tr>
      <w:tr w14:paraId="2084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tcPr>
          <w:p w14:paraId="696BE8A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w:t>
            </w:r>
          </w:p>
        </w:tc>
        <w:tc>
          <w:tcPr>
            <w:tcW w:w="1222" w:type="dxa"/>
            <w:noWrap/>
          </w:tcPr>
          <w:p w14:paraId="2ECD7FA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电梯广告机</w:t>
            </w:r>
          </w:p>
        </w:tc>
        <w:tc>
          <w:tcPr>
            <w:tcW w:w="5822" w:type="dxa"/>
            <w:noWrap/>
          </w:tcPr>
          <w:p w14:paraId="2533593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 xml:space="preserve"> 尺寸 ：≥31.5"；分辨率（W×H）：≥1920*1080；色彩度：≥ 16.7M（8bits）对比度 ：≥1100:1 (typ)；亮度 ：≥500cd/m² (typ.)；响应时间：≤ 8ms(typ);系统 操作系统 Android 处理器CPU：≥四核A55ARM内部缓存容量：≥ 4G/32G;菜单语言 ：支持中英文；解码分辨率：支持 Up to 1080P</w:t>
            </w:r>
          </w:p>
          <w:p w14:paraId="7E5D466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触控： 触摸式类型 电容</w:t>
            </w:r>
          </w:p>
          <w:p w14:paraId="7101998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 xml:space="preserve"> 触控点数：≥ 10点；钢化玻璃 ：≥2mm,硬度≥7H；玻璃透光率： ≥80%；触摸高度：≥ 0mm；触摸精度 ：≥1.5mm；喇叭 内置喇叭：≥ 5W x 2</w:t>
            </w:r>
          </w:p>
        </w:tc>
        <w:tc>
          <w:tcPr>
            <w:tcW w:w="706" w:type="dxa"/>
            <w:noWrap/>
          </w:tcPr>
          <w:p w14:paraId="25F1091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3台</w:t>
            </w:r>
          </w:p>
        </w:tc>
      </w:tr>
    </w:tbl>
    <w:p w14:paraId="11654CB4"/>
    <w:p w14:paraId="6C862E39">
      <w:pPr>
        <w:pStyle w:val="30"/>
        <w:spacing w:line="360" w:lineRule="auto"/>
        <w:outlineLvl w:val="4"/>
        <w:rPr>
          <w:rFonts w:ascii="仿宋" w:hAnsi="仿宋" w:eastAsia="仿宋" w:cs="仿宋"/>
          <w:color w:val="000000"/>
          <w:sz w:val="24"/>
          <w:szCs w:val="22"/>
        </w:rPr>
      </w:pPr>
      <w:r>
        <w:rPr>
          <w:rFonts w:hint="eastAsia" w:ascii="仿宋" w:hAnsi="仿宋" w:eastAsia="仿宋" w:cs="仿宋"/>
          <w:color w:val="000000"/>
          <w:sz w:val="24"/>
          <w:szCs w:val="22"/>
        </w:rPr>
        <w:t>II LED显示子系统</w:t>
      </w:r>
    </w:p>
    <w:p w14:paraId="15163AA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档案馆首层大厅设计一块LED屏，主要用于播放档案馆宣传文字、图片视频等资料。该显示屏可独立控制显示内容也可接驳馆内其他系统作为显示设备使用。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222"/>
        <w:gridCol w:w="5822"/>
        <w:gridCol w:w="756"/>
      </w:tblGrid>
      <w:tr w14:paraId="1BE4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5F3D2931">
            <w:pPr>
              <w:spacing w:line="360" w:lineRule="auto"/>
              <w:rPr>
                <w:rFonts w:ascii="仿宋" w:hAnsi="仿宋" w:eastAsia="仿宋" w:cs="仿宋"/>
                <w:color w:val="000000"/>
                <w:sz w:val="24"/>
              </w:rPr>
            </w:pPr>
            <w:r>
              <w:rPr>
                <w:rFonts w:hint="eastAsia" w:ascii="仿宋" w:hAnsi="仿宋" w:eastAsia="仿宋" w:cs="仿宋"/>
                <w:color w:val="000000"/>
                <w:sz w:val="24"/>
              </w:rPr>
              <w:t>序号</w:t>
            </w:r>
          </w:p>
        </w:tc>
        <w:tc>
          <w:tcPr>
            <w:tcW w:w="1222" w:type="dxa"/>
            <w:noWrap/>
            <w:vAlign w:val="center"/>
          </w:tcPr>
          <w:p w14:paraId="6A8D24E3">
            <w:pPr>
              <w:spacing w:line="360" w:lineRule="auto"/>
              <w:rPr>
                <w:rFonts w:ascii="仿宋" w:hAnsi="仿宋" w:eastAsia="仿宋" w:cs="仿宋"/>
                <w:color w:val="000000"/>
                <w:sz w:val="24"/>
              </w:rPr>
            </w:pPr>
            <w:r>
              <w:rPr>
                <w:rFonts w:hint="eastAsia" w:ascii="仿宋" w:hAnsi="仿宋" w:eastAsia="仿宋" w:cs="仿宋"/>
                <w:color w:val="000000"/>
                <w:sz w:val="24"/>
              </w:rPr>
              <w:t>设备名称</w:t>
            </w:r>
          </w:p>
        </w:tc>
        <w:tc>
          <w:tcPr>
            <w:tcW w:w="5822" w:type="dxa"/>
            <w:noWrap/>
          </w:tcPr>
          <w:p w14:paraId="0C52B0D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szCs w:val="22"/>
              </w:rPr>
              <w:t>★</w:t>
            </w:r>
            <w:r>
              <w:rPr>
                <w:rFonts w:hint="eastAsia" w:ascii="仿宋" w:hAnsi="仿宋" w:eastAsia="仿宋" w:cs="仿宋"/>
                <w:color w:val="000000"/>
                <w:sz w:val="24"/>
              </w:rPr>
              <w:t>基本参数</w:t>
            </w:r>
          </w:p>
        </w:tc>
        <w:tc>
          <w:tcPr>
            <w:tcW w:w="706" w:type="dxa"/>
            <w:noWrap/>
          </w:tcPr>
          <w:p w14:paraId="0451737E">
            <w:pPr>
              <w:spacing w:line="360" w:lineRule="auto"/>
              <w:rPr>
                <w:rFonts w:ascii="仿宋" w:hAnsi="仿宋" w:eastAsia="仿宋" w:cs="仿宋"/>
                <w:color w:val="000000"/>
                <w:sz w:val="24"/>
              </w:rPr>
            </w:pPr>
            <w:r>
              <w:rPr>
                <w:rFonts w:hint="eastAsia" w:ascii="仿宋" w:hAnsi="仿宋" w:eastAsia="仿宋" w:cs="仿宋"/>
                <w:color w:val="000000"/>
                <w:sz w:val="24"/>
              </w:rPr>
              <w:t>备注</w:t>
            </w:r>
          </w:p>
        </w:tc>
      </w:tr>
      <w:tr w14:paraId="4371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341844D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w:t>
            </w:r>
          </w:p>
        </w:tc>
        <w:tc>
          <w:tcPr>
            <w:tcW w:w="1222" w:type="dxa"/>
            <w:noWrap/>
            <w:vAlign w:val="center"/>
          </w:tcPr>
          <w:p w14:paraId="0FB4468D">
            <w:pPr>
              <w:spacing w:line="360" w:lineRule="auto"/>
              <w:rPr>
                <w:rFonts w:ascii="仿宋" w:hAnsi="仿宋" w:eastAsia="仿宋" w:cs="仿宋"/>
                <w:color w:val="000000"/>
                <w:sz w:val="24"/>
              </w:rPr>
            </w:pPr>
            <w:r>
              <w:rPr>
                <w:rFonts w:hint="eastAsia" w:ascii="仿宋" w:hAnsi="仿宋" w:eastAsia="仿宋" w:cs="仿宋"/>
                <w:color w:val="000000"/>
                <w:sz w:val="24"/>
              </w:rPr>
              <w:t>LED屏</w:t>
            </w:r>
          </w:p>
        </w:tc>
        <w:tc>
          <w:tcPr>
            <w:tcW w:w="5822" w:type="dxa"/>
            <w:noWrap/>
          </w:tcPr>
          <w:p w14:paraId="6529912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1.LED显示屏灯珠采用表贴三合一铜线封装；LED封装形式：SMD1212黑灯；</w:t>
            </w:r>
          </w:p>
          <w:p w14:paraId="5AA713C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2.LED显示屏采用≤1.5625mm点间距；</w:t>
            </w:r>
          </w:p>
          <w:p w14:paraId="2B04F6B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3.LED显示屏采用CNC一体成型压铸铝箱体；</w:t>
            </w:r>
          </w:p>
          <w:p w14:paraId="134F76D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4.LED显示屏单元箱体宽度为600mm，高度为337.5mm，含显示模组厚度≤31.5mm；</w:t>
            </w:r>
          </w:p>
          <w:p w14:paraId="0FBCCB0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LED显示屏模组采用无塑料底壳套件设计，压铸铝箱体与PCB线路板直接接触，PCB线路板边缘直接接触压铸箱四边接触面可提高导热性能，相比带塑胶套件底壳能够更好地解决色彩漂移问题，并保证因导热而影响屏体加速老化、减少使用寿命等现象；</w:t>
            </w:r>
          </w:p>
          <w:p w14:paraId="4E1502A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LED显示屏单元模组与单元箱体之间采用工业级精密浮动无线连接器，具备嵌合纠偏能力，连接更稳定，以模组为单位可对整屏拼缝进行精细调节，避免模组间因拼缝产生亮暗线效果，箱体内部看不到信号排线、低压电源线，可带电直接插拔；</w:t>
            </w:r>
          </w:p>
          <w:p w14:paraId="47F94D3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7.LED显示屏符合等同或优于IP5X防护等级；</w:t>
            </w:r>
          </w:p>
          <w:p w14:paraId="6806CA6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LED显示屏为了保障现场安装屏体的水平角度、垂直角度、平整度、提高客户的最终观看体验，LED箱体内部具备水平、垂直检测模块，现场可直观的对水平、垂直角度进行校正，保障项目施工过程中LED箱体结构安装的水平度、垂直度；</w:t>
            </w:r>
          </w:p>
          <w:p w14:paraId="72ADDEE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9.LED显示屏开关电源具备PFC功能，功率因素≥0.95，电源效率≥91%@25℃，并具有过流、短路、过压、欠压的保护功能；</w:t>
            </w:r>
          </w:p>
          <w:p w14:paraId="701BB32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10.LED显示屏亮度可达到200-800cd/m²，可通过配套软件0-100%调节，设置亮度定时调节；</w:t>
            </w:r>
          </w:p>
          <w:p w14:paraId="00C156D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11.LED显示屏对比度≥10000：1；LED显示屏杂点率≤1/100000且无连续失控点；LED显示屏亮度均匀性≥99%；LED显示色度均匀性±0.001Cx,Cy之内；LED显示屏像素中心距相对偏差≤1%；LED显示屏观看水平/垂直视角≥175°；LED显示屏平均故障恢复时间（MTTR）≤2分钟；</w:t>
            </w:r>
          </w:p>
          <w:p w14:paraId="45B8DA8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12.LED显示屏刷新频率≥4200Hz，可通过配套控制软件调节刷新率设置选项；</w:t>
            </w:r>
          </w:p>
          <w:p w14:paraId="0EF7868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13.LED显示屏色温100K-20000K连续可调，可设冷色、暖色、标准等多档白场调节,色温为8500K时，100%、75%、50%、25%四档电平白场调节色温误差≤100K；</w:t>
            </w:r>
          </w:p>
          <w:p w14:paraId="6FE6417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14.LED显示屏峰值功耗为≤500W/㎡；LED显示屏平均功耗为≤125W/㎡；</w:t>
            </w:r>
          </w:p>
          <w:p w14:paraId="2D7C32D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15.LED显示屏为防止金属离子迁移、线路短路现象，PCB采用FR-4四层板同等级或更高材料，PCB导线更宽、导线间距和过孔间距更大，能更好的杜绝模块黑屏、显示异常、灯珠缺色、毛毛虫等现象，表面沉金处理，板厚≥2mm，铜厚≥1盎司，TG≥170℃，PCB板表面具备防潮/防尘/防静电；</w:t>
            </w:r>
          </w:p>
          <w:p w14:paraId="027C895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16.LED显示屏箱体背面带测试按键，可实现红、绿、蓝、白四种单色显示，横扫、竖扫等方式扫描显示，无需拆掉箱体正面模组在箱体内部按键才能进行此种测试功能；</w:t>
            </w:r>
          </w:p>
          <w:p w14:paraId="5D68D3F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17.LED显示屏具备单电源漏电电流≤0.3mA，杜绝多个电源形成的漏电电流对上级电箱造成跳闸等风险；</w:t>
            </w:r>
          </w:p>
          <w:p w14:paraId="37D6AD3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18.LED显示屏具备低蓝光模式，可在控制软件中选择30%、40%、70%三挡调节显示屏蓝光输出，有效减少蓝光辐射对眼睛的伤害；</w:t>
            </w:r>
          </w:p>
          <w:p w14:paraId="212563E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19.具备LED显示屏开关机次数、使用时长记录，可形成数据保存周期≥100天，并支持对现场温湿度的监测，可在控制软件端实时显示数据。</w:t>
            </w:r>
          </w:p>
        </w:tc>
        <w:tc>
          <w:tcPr>
            <w:tcW w:w="706" w:type="dxa"/>
            <w:noWrap/>
          </w:tcPr>
          <w:p w14:paraId="4309DDE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1套21平米</w:t>
            </w:r>
          </w:p>
        </w:tc>
      </w:tr>
      <w:tr w14:paraId="2CE5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26129AF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w:t>
            </w:r>
          </w:p>
        </w:tc>
        <w:tc>
          <w:tcPr>
            <w:tcW w:w="1222" w:type="dxa"/>
            <w:noWrap/>
            <w:vAlign w:val="center"/>
          </w:tcPr>
          <w:p w14:paraId="03FA370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发送盒</w:t>
            </w:r>
          </w:p>
        </w:tc>
        <w:tc>
          <w:tcPr>
            <w:tcW w:w="5822" w:type="dxa"/>
            <w:noWrap/>
          </w:tcPr>
          <w:p w14:paraId="6B43C3A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1.具备带载面积≥230万像素，宽度≥3840点，高度≥3840点；</w:t>
            </w:r>
          </w:p>
          <w:p w14:paraId="0B4971AE">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2.具备≥1路音频输入；</w:t>
            </w:r>
          </w:p>
          <w:p w14:paraId="5BD76F65">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3.具备≥1路光探头接口；</w:t>
            </w:r>
          </w:p>
          <w:p w14:paraId="19D75B93">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4.具备逐点亮色度校正功能；</w:t>
            </w:r>
          </w:p>
          <w:p w14:paraId="572735B7">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5.具备≥1路DVI输入接口，≥1路HDMI1.3输入接口，≥4路网口输出；</w:t>
            </w:r>
          </w:p>
        </w:tc>
        <w:tc>
          <w:tcPr>
            <w:tcW w:w="706" w:type="dxa"/>
            <w:noWrap/>
          </w:tcPr>
          <w:p w14:paraId="1D4C0F3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6台</w:t>
            </w:r>
          </w:p>
        </w:tc>
      </w:tr>
      <w:tr w14:paraId="1563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4BA3BAE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w:t>
            </w:r>
          </w:p>
        </w:tc>
        <w:tc>
          <w:tcPr>
            <w:tcW w:w="1222" w:type="dxa"/>
            <w:noWrap/>
            <w:vAlign w:val="center"/>
          </w:tcPr>
          <w:p w14:paraId="7ECBE57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显示屏控制设备嵌入式软件</w:t>
            </w:r>
          </w:p>
        </w:tc>
        <w:tc>
          <w:tcPr>
            <w:tcW w:w="5822" w:type="dxa"/>
            <w:noWrap/>
          </w:tcPr>
          <w:p w14:paraId="6515BD7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LED显示屏控制设备嵌入式软件是一款用于LED显示屏控制和播放的专业软件。该软件功能丰富、性能优越，兼具良好的操作界面，易学易用；软件提供了丰富灵活的视频切换功能、分区特效，以及三维特效动画，让显示屏的显示效果得到完美展现。</w:t>
            </w:r>
          </w:p>
          <w:p w14:paraId="62E9F54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2.支持视频、音频、图像、文字、Flash、Gif等形式的媒体文件播放；</w:t>
            </w:r>
          </w:p>
          <w:p w14:paraId="1DB2AA2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3.支持Microsoft office的Word、Excel、PPT显示；支持多页面多分区节目编辑；</w:t>
            </w:r>
          </w:p>
          <w:p w14:paraId="3F08CB9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4.支持时钟、计时、网页、表格、数据库、天气预报显示；支持外部视频、环境信息、体育比分、桌面拷贝播放；</w:t>
            </w:r>
          </w:p>
          <w:p w14:paraId="123B436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5.支持对LED大屏幕的手工校正，同时兼容其它专业校正设备采集的校正数据；</w:t>
            </w:r>
          </w:p>
        </w:tc>
        <w:tc>
          <w:tcPr>
            <w:tcW w:w="706" w:type="dxa"/>
            <w:noWrap/>
          </w:tcPr>
          <w:p w14:paraId="3DDE8A4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6套</w:t>
            </w:r>
          </w:p>
        </w:tc>
      </w:tr>
      <w:tr w14:paraId="57CE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0F86FCE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w:t>
            </w:r>
          </w:p>
        </w:tc>
        <w:tc>
          <w:tcPr>
            <w:tcW w:w="1222" w:type="dxa"/>
            <w:noWrap/>
            <w:vAlign w:val="center"/>
          </w:tcPr>
          <w:p w14:paraId="092B765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拼接处理器</w:t>
            </w:r>
          </w:p>
        </w:tc>
        <w:tc>
          <w:tcPr>
            <w:tcW w:w="5822" w:type="dxa"/>
            <w:noWrap/>
          </w:tcPr>
          <w:p w14:paraId="594ED02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机箱采用≥4U主机箱体+平行地面横向插卡卡槽设计，输入槽位≥4，输出槽位≥4，支持冗余扩展模式，便于系统的安全扩展升级结构，机箱两侧具备风扇，输入模块、输出模块、切换模块、控制模块、电源模块、风扇模块均支持热插拔；</w:t>
            </w:r>
          </w:p>
          <w:p w14:paraId="68EBDBC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2.采用纯硬件FPGA阵列、底板运算交换技术设计，启动时间＜5S，上电即可工作，系统安全稳定可靠、无病毒感染风险，支持全年365天、7*24小时不间断运行；</w:t>
            </w:r>
          </w:p>
          <w:p w14:paraId="559732B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3.前面板具备显示屏搭配按键面板结构方式，可进行输入输出通道信号切换操作；支持多种控制方式，支持红外遥控、中控（RS-232）、键盘、面板按键等多种控制功能；</w:t>
            </w:r>
          </w:p>
          <w:p w14:paraId="178EF83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4.支持输出分辨率自定义，针对LED模块分辨率不规则的特点可任意设置分辨率输出，与LED屏分辨率完美匹配；支持设置分辨率为1920×1200、1920×1080、1600×900、1400×1050、1366×768.1024×768；支持图像帧率60帧/秒；</w:t>
            </w:r>
          </w:p>
          <w:p w14:paraId="1A50213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5.采用输出帧同步处理功能，内部统一时钟，确保输出的每路信号均同步输出；</w:t>
            </w:r>
          </w:p>
          <w:p w14:paraId="6093834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6.支持任意开窗，任意输出接口支持≥4路窗口显示画面，单张板卡支持≥16个信号窗口；</w:t>
            </w:r>
          </w:p>
          <w:p w14:paraId="387C2B3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7.支持所有显示窗口均可在屏幕上进行任意移动、缩放、多画面、切换、叠加、画中画等功能；</w:t>
            </w:r>
          </w:p>
          <w:p w14:paraId="3BAF0E5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8.支持字符叠加显示功能，对入口信号进行字幕标注，可对叠加字符的字体、字号、颜色、位置等进行自定义编辑；</w:t>
            </w:r>
          </w:p>
          <w:p w14:paraId="16A5FF7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9.支持软件回显功能，通过软件界面即可对当前屏幕上显示的画面进行查看，并可对接入的任意一路信号进行预监查看及全屏回显，回显刷新频率为30Hz，回显图像清晰流畅；</w:t>
            </w:r>
          </w:p>
          <w:p w14:paraId="5107C8A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10.支持多用户控制管理功能，可通过软件划设操作权限，依据权限级别制定不同的操作功能，级别不同，所具有的操作权限也不同；支持多级用户权限管理，可划分管理员、操作员、用户的权限模式，制定分区管理，分级、分权管理；</w:t>
            </w:r>
          </w:p>
          <w:p w14:paraId="1C97231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11.采用C/S管理控制结构，基于TCP/IP网络以及串口的多用户实时操作，可实现对多种信号源定义、调度和管理；</w:t>
            </w:r>
          </w:p>
          <w:p w14:paraId="0086E69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12.支持自定义编辑和预存不同的场景，支持多达128个场景模式，可实现场景一键式快速调用，可定义不同场景切换效果及场景名称，支持自定义编辑会议模式、调用预存的会议模式；支持场景轮询，轮询时间可调；</w:t>
            </w:r>
          </w:p>
        </w:tc>
        <w:tc>
          <w:tcPr>
            <w:tcW w:w="706" w:type="dxa"/>
            <w:noWrap/>
          </w:tcPr>
          <w:p w14:paraId="40AA774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1套</w:t>
            </w:r>
          </w:p>
        </w:tc>
      </w:tr>
      <w:tr w14:paraId="1883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1D83720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w:t>
            </w:r>
          </w:p>
        </w:tc>
        <w:tc>
          <w:tcPr>
            <w:tcW w:w="1222" w:type="dxa"/>
            <w:noWrap/>
            <w:vAlign w:val="center"/>
          </w:tcPr>
          <w:p w14:paraId="47C1CFE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通讯板卡</w:t>
            </w:r>
          </w:p>
        </w:tc>
        <w:tc>
          <w:tcPr>
            <w:tcW w:w="5822" w:type="dxa"/>
            <w:noWrap/>
          </w:tcPr>
          <w:p w14:paraId="0A9EF76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1.软件回显输出卡兼控制卡，可对输入的信号进行可视化识别，通过显示器即可查看系统的当前显示状态；</w:t>
            </w:r>
          </w:p>
          <w:p w14:paraId="682922F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2.具有流畅清晰的预监回显界面，软件运行图像回显刷新速度＞30Hz；</w:t>
            </w:r>
          </w:p>
          <w:p w14:paraId="2970A20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3.回显输出接口：≥RJ45*1；</w:t>
            </w:r>
          </w:p>
          <w:p w14:paraId="65C71C9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4.控制接口：≥RJ45*1、≥RS232*2；</w:t>
            </w:r>
          </w:p>
        </w:tc>
        <w:tc>
          <w:tcPr>
            <w:tcW w:w="706" w:type="dxa"/>
            <w:noWrap/>
          </w:tcPr>
          <w:p w14:paraId="44821FC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1块</w:t>
            </w:r>
          </w:p>
        </w:tc>
      </w:tr>
      <w:tr w14:paraId="7CB9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4AB0A90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w:t>
            </w:r>
          </w:p>
        </w:tc>
        <w:tc>
          <w:tcPr>
            <w:tcW w:w="1222" w:type="dxa"/>
            <w:noWrap/>
            <w:vAlign w:val="center"/>
          </w:tcPr>
          <w:p w14:paraId="12E7B1E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HDMI输入板卡</w:t>
            </w:r>
          </w:p>
        </w:tc>
        <w:tc>
          <w:tcPr>
            <w:tcW w:w="5822" w:type="dxa"/>
            <w:noWrap/>
          </w:tcPr>
          <w:p w14:paraId="0C02090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1.LED图像处理器的高清图像输入板卡，支持≥4路HDMI高清数字信号输入；</w:t>
            </w:r>
          </w:p>
          <w:p w14:paraId="3D8EC91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2.信号分辨率：1920*1080@60Hz；</w:t>
            </w:r>
          </w:p>
          <w:p w14:paraId="5B0DD3C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3.HDCP：支持；</w:t>
            </w:r>
          </w:p>
          <w:p w14:paraId="7FA6C60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4.EDID编辑：支持；</w:t>
            </w:r>
          </w:p>
        </w:tc>
        <w:tc>
          <w:tcPr>
            <w:tcW w:w="706" w:type="dxa"/>
            <w:noWrap/>
          </w:tcPr>
          <w:p w14:paraId="7C775CE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1块</w:t>
            </w:r>
          </w:p>
        </w:tc>
      </w:tr>
      <w:tr w14:paraId="0D6C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7B8F62E1">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w:t>
            </w:r>
          </w:p>
        </w:tc>
        <w:tc>
          <w:tcPr>
            <w:tcW w:w="1222" w:type="dxa"/>
            <w:noWrap/>
            <w:vAlign w:val="center"/>
          </w:tcPr>
          <w:p w14:paraId="54E1FA6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HDMI输出板卡</w:t>
            </w:r>
          </w:p>
        </w:tc>
        <w:tc>
          <w:tcPr>
            <w:tcW w:w="5822" w:type="dxa"/>
            <w:noWrap/>
          </w:tcPr>
          <w:p w14:paraId="0112F00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1.LED图像处理器的高清图像输出板卡，支持≥4路DVI高清数字信号输出；</w:t>
            </w:r>
          </w:p>
          <w:p w14:paraId="7EF9003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2.信号分辨率：1920*1200@60Hz；</w:t>
            </w:r>
          </w:p>
          <w:p w14:paraId="29ECCF5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3.HDCP：支持；</w:t>
            </w:r>
          </w:p>
          <w:p w14:paraId="5405C65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4.分辨率自定义：支持；</w:t>
            </w:r>
          </w:p>
          <w:p w14:paraId="46431B6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5.每个输出接口开窗数：≥4画面；</w:t>
            </w:r>
          </w:p>
        </w:tc>
        <w:tc>
          <w:tcPr>
            <w:tcW w:w="706" w:type="dxa"/>
            <w:noWrap/>
          </w:tcPr>
          <w:p w14:paraId="319956F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2块</w:t>
            </w:r>
          </w:p>
        </w:tc>
      </w:tr>
      <w:tr w14:paraId="0AC0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022A228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8</w:t>
            </w:r>
          </w:p>
        </w:tc>
        <w:tc>
          <w:tcPr>
            <w:tcW w:w="1222" w:type="dxa"/>
            <w:noWrap/>
            <w:vAlign w:val="center"/>
          </w:tcPr>
          <w:p w14:paraId="50AA94B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配电柜</w:t>
            </w:r>
          </w:p>
        </w:tc>
        <w:tc>
          <w:tcPr>
            <w:tcW w:w="5822" w:type="dxa"/>
            <w:noWrap/>
          </w:tcPr>
          <w:p w14:paraId="49FE480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1.额定功率：≥20kW，输出路数：≥6路</w:t>
            </w:r>
          </w:p>
          <w:p w14:paraId="33983DA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2.输入电压：三相五线制AC380V±10%，频率50Hz±5%，具有高温断电、浪涌、短路、过流、过载保护功能；</w:t>
            </w:r>
          </w:p>
          <w:p w14:paraId="56FEA6E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3.输出电压：单相三线制AC220V±10%；</w:t>
            </w:r>
          </w:p>
          <w:p w14:paraId="75D6C4C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4.内置避雷器，具有避雷防雷功能；</w:t>
            </w:r>
          </w:p>
          <w:p w14:paraId="4536D15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5.配电柜含多功能卡控制，具有远程控制功能、RS232串口或千兆网口通信；</w:t>
            </w:r>
          </w:p>
          <w:p w14:paraId="2A27A84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6.通过LED显示屏智慧控制系统软件搭配多功能卡实现电源监视、温度监控操作；</w:t>
            </w:r>
          </w:p>
        </w:tc>
        <w:tc>
          <w:tcPr>
            <w:tcW w:w="706" w:type="dxa"/>
            <w:noWrap/>
          </w:tcPr>
          <w:p w14:paraId="4817187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1套</w:t>
            </w:r>
          </w:p>
        </w:tc>
      </w:tr>
      <w:tr w14:paraId="066E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45A8E0C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9</w:t>
            </w:r>
          </w:p>
        </w:tc>
        <w:tc>
          <w:tcPr>
            <w:tcW w:w="1222" w:type="dxa"/>
            <w:noWrap/>
            <w:vAlign w:val="center"/>
          </w:tcPr>
          <w:p w14:paraId="499DAC2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音柱</w:t>
            </w:r>
          </w:p>
        </w:tc>
        <w:tc>
          <w:tcPr>
            <w:tcW w:w="5822" w:type="dxa"/>
            <w:noWrap/>
          </w:tcPr>
          <w:p w14:paraId="5580A9F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1．额定功率（100V）：20W,40W</w:t>
            </w:r>
          </w:p>
          <w:p w14:paraId="79B6672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2．额定功率（70V）：10W,20W</w:t>
            </w:r>
          </w:p>
          <w:p w14:paraId="505C85E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3．灵敏度：92dB±3dB</w:t>
            </w:r>
          </w:p>
          <w:p w14:paraId="46910F3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4．频率响应：100Hz-16KHz</w:t>
            </w:r>
          </w:p>
          <w:p w14:paraId="757BF39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5．喇叭单元：2.5"×6</w:t>
            </w:r>
          </w:p>
        </w:tc>
        <w:tc>
          <w:tcPr>
            <w:tcW w:w="706" w:type="dxa"/>
            <w:noWrap/>
          </w:tcPr>
          <w:p w14:paraId="6D1EF75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2台</w:t>
            </w:r>
          </w:p>
        </w:tc>
      </w:tr>
      <w:tr w14:paraId="0337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53B6683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10</w:t>
            </w:r>
          </w:p>
        </w:tc>
        <w:tc>
          <w:tcPr>
            <w:tcW w:w="1222" w:type="dxa"/>
            <w:noWrap/>
            <w:vAlign w:val="center"/>
          </w:tcPr>
          <w:p w14:paraId="2A7E80F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数字合并式功放</w:t>
            </w:r>
          </w:p>
        </w:tc>
        <w:tc>
          <w:tcPr>
            <w:tcW w:w="5822" w:type="dxa"/>
            <w:noWrap/>
          </w:tcPr>
          <w:p w14:paraId="70B37D3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1.具备节能开关电源与D类数字功率放大器相结合。</w:t>
            </w:r>
          </w:p>
          <w:p w14:paraId="1C9746A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2.各路输入具有独立音量调节，且总音量具有高音、低音调节及音量大小控制。</w:t>
            </w:r>
          </w:p>
          <w:p w14:paraId="29016D4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3.具备≥1路EMC输入，≥2路AUX输入，≥4路MIC输入。</w:t>
            </w:r>
          </w:p>
          <w:p w14:paraId="23C6C5D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4.通道优先功能EMC&gt;MIC1&gt;MIC2, MIC3, AUX1, AUX2。 </w:t>
            </w:r>
          </w:p>
          <w:p w14:paraId="567EEAB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5.支持2种输出方式：定压输出100V、4-16Ω；输出功率≥120W。</w:t>
            </w:r>
          </w:p>
        </w:tc>
        <w:tc>
          <w:tcPr>
            <w:tcW w:w="706" w:type="dxa"/>
            <w:noWrap/>
          </w:tcPr>
          <w:p w14:paraId="7D719FD7">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1台</w:t>
            </w:r>
          </w:p>
        </w:tc>
      </w:tr>
      <w:tr w14:paraId="4B7E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475E0AD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11</w:t>
            </w:r>
          </w:p>
        </w:tc>
        <w:tc>
          <w:tcPr>
            <w:tcW w:w="1222" w:type="dxa"/>
            <w:noWrap/>
            <w:vAlign w:val="center"/>
          </w:tcPr>
          <w:p w14:paraId="268CD8C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客户端主机</w:t>
            </w:r>
          </w:p>
        </w:tc>
        <w:tc>
          <w:tcPr>
            <w:tcW w:w="5822" w:type="dxa"/>
            <w:noWrap/>
          </w:tcPr>
          <w:p w14:paraId="0737DDC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同硬件部分需求</w:t>
            </w:r>
          </w:p>
        </w:tc>
        <w:tc>
          <w:tcPr>
            <w:tcW w:w="706" w:type="dxa"/>
            <w:noWrap/>
          </w:tcPr>
          <w:p w14:paraId="45F25AB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1套</w:t>
            </w:r>
          </w:p>
        </w:tc>
      </w:tr>
      <w:tr w14:paraId="3A54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30D4706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12</w:t>
            </w:r>
          </w:p>
        </w:tc>
        <w:tc>
          <w:tcPr>
            <w:tcW w:w="1222" w:type="dxa"/>
            <w:noWrap/>
            <w:vAlign w:val="center"/>
          </w:tcPr>
          <w:p w14:paraId="08B98E0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机柜、机架</w:t>
            </w:r>
          </w:p>
        </w:tc>
        <w:tc>
          <w:tcPr>
            <w:tcW w:w="5822" w:type="dxa"/>
            <w:noWrap/>
          </w:tcPr>
          <w:p w14:paraId="24906F6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长宽高：600*600*2000mm；承载静载：≥800KG；标准：符合GB/T3047.2-92标准兼容19’/国际标准/ 公制标准/ETSI标准；表面处理：水洗/脱脂/磷化/喷塑；机柜容量：42U；安装梁厚度：≥1.5mm；主要材料：SPCC优质</w:t>
            </w:r>
            <w:r>
              <w:rPr>
                <w:rFonts w:hint="eastAsia" w:ascii="仿宋" w:hAnsi="仿宋" w:eastAsia="仿宋" w:cs="仿宋"/>
                <w:color w:val="000000"/>
                <w:sz w:val="24"/>
                <w:lang w:eastAsia="zh-CN"/>
              </w:rPr>
              <w:t>冷轧</w:t>
            </w:r>
            <w:r>
              <w:rPr>
                <w:rFonts w:hint="eastAsia" w:ascii="仿宋" w:hAnsi="仿宋" w:eastAsia="仿宋" w:cs="仿宋"/>
                <w:color w:val="000000"/>
                <w:sz w:val="24"/>
              </w:rPr>
              <w:t>钢板制作；托盘：≥1.2mm；其它厚度：≥1.2mm；防护等级：IP20；方孔条厚度：≥2.0mm；高度：≥2.0M；颜色：黑色；配置：前后为网孔门</w:t>
            </w:r>
          </w:p>
        </w:tc>
        <w:tc>
          <w:tcPr>
            <w:tcW w:w="706" w:type="dxa"/>
            <w:noWrap/>
          </w:tcPr>
          <w:p w14:paraId="4CC906C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1套</w:t>
            </w:r>
          </w:p>
        </w:tc>
      </w:tr>
    </w:tbl>
    <w:p w14:paraId="12A543AE">
      <w:pPr>
        <w:spacing w:line="360" w:lineRule="auto"/>
        <w:ind w:firstLine="480" w:firstLineChars="200"/>
        <w:rPr>
          <w:rFonts w:ascii="仿宋" w:hAnsi="仿宋" w:eastAsia="仿宋" w:cs="仿宋"/>
          <w:color w:val="000000"/>
          <w:sz w:val="24"/>
        </w:rPr>
      </w:pPr>
    </w:p>
    <w:p w14:paraId="4E1CF3B1">
      <w:pPr>
        <w:pStyle w:val="30"/>
        <w:spacing w:line="360" w:lineRule="auto"/>
        <w:outlineLvl w:val="4"/>
        <w:rPr>
          <w:rFonts w:ascii="仿宋" w:hAnsi="仿宋" w:eastAsia="仿宋" w:cs="仿宋"/>
          <w:color w:val="000000"/>
          <w:sz w:val="24"/>
          <w:szCs w:val="22"/>
        </w:rPr>
      </w:pPr>
      <w:r>
        <w:rPr>
          <w:rFonts w:hint="eastAsia" w:ascii="仿宋" w:hAnsi="仿宋" w:eastAsia="仿宋" w:cs="仿宋"/>
          <w:color w:val="000000"/>
          <w:sz w:val="24"/>
          <w:szCs w:val="22"/>
          <w:lang w:eastAsia="zh-CN"/>
        </w:rPr>
        <w:t>Ⅲ</w:t>
      </w:r>
      <w:r>
        <w:rPr>
          <w:rFonts w:hint="eastAsia" w:ascii="仿宋" w:hAnsi="仿宋" w:eastAsia="仿宋" w:cs="仿宋"/>
          <w:color w:val="000000"/>
          <w:sz w:val="24"/>
          <w:szCs w:val="22"/>
        </w:rPr>
        <w:t>报告厅子系统</w:t>
      </w:r>
    </w:p>
    <w:p w14:paraId="07A4C933">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报告厅子系统集成了先进的多媒体显示系统、专业的音响扩声系统、高清的录制直播系统。</w:t>
      </w:r>
    </w:p>
    <w:p w14:paraId="0B3D12C9">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档案馆报告厅设置报告厅显示系统：包含投影仪、4K高清电视、会标屏、控制矩阵等设备组成。</w:t>
      </w:r>
    </w:p>
    <w:p w14:paraId="6E794F74">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报告厅设置一套会议室扩声系统：系统包含无线数字话筒、多编组调音台、音频处理器、专业功放、音响、天花喇叭等设备；</w:t>
      </w:r>
    </w:p>
    <w:p w14:paraId="3A319CEB">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设置会议系统一套：包含会议管理系统、会议话筒、会议主机等组成；</w:t>
      </w:r>
    </w:p>
    <w:p w14:paraId="15F6A576">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设置会议录播系统：包含会议录播主机及3台录播摄像机；</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222"/>
        <w:gridCol w:w="5822"/>
        <w:gridCol w:w="706"/>
      </w:tblGrid>
      <w:tr w14:paraId="165B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03C011F0">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序号</w:t>
            </w:r>
          </w:p>
        </w:tc>
        <w:tc>
          <w:tcPr>
            <w:tcW w:w="1222" w:type="dxa"/>
            <w:noWrap/>
            <w:vAlign w:val="center"/>
          </w:tcPr>
          <w:p w14:paraId="63055A1E">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设备名称</w:t>
            </w:r>
          </w:p>
        </w:tc>
        <w:tc>
          <w:tcPr>
            <w:tcW w:w="5822" w:type="dxa"/>
            <w:noWrap/>
          </w:tcPr>
          <w:p w14:paraId="7CCD2BE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w:t>
            </w:r>
            <w:r>
              <w:rPr>
                <w:rFonts w:ascii="仿宋" w:hAnsi="仿宋" w:eastAsia="仿宋" w:cs="仿宋"/>
                <w:color w:val="000000"/>
                <w:sz w:val="24"/>
                <w:szCs w:val="22"/>
              </w:rPr>
              <w:t>基本参数</w:t>
            </w:r>
          </w:p>
        </w:tc>
        <w:tc>
          <w:tcPr>
            <w:tcW w:w="706" w:type="dxa"/>
            <w:noWrap/>
          </w:tcPr>
          <w:p w14:paraId="481F3F3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备注</w:t>
            </w:r>
          </w:p>
        </w:tc>
      </w:tr>
      <w:tr w14:paraId="59FC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51C05A2C">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w:t>
            </w:r>
          </w:p>
        </w:tc>
        <w:tc>
          <w:tcPr>
            <w:tcW w:w="1222" w:type="dxa"/>
            <w:noWrap/>
            <w:vAlign w:val="center"/>
          </w:tcPr>
          <w:p w14:paraId="42E54A04">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投影仪</w:t>
            </w:r>
          </w:p>
        </w:tc>
        <w:tc>
          <w:tcPr>
            <w:tcW w:w="5822" w:type="dxa"/>
            <w:noWrap/>
          </w:tcPr>
          <w:p w14:paraId="69CEBFFA">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投影尺寸：30-300英寸；投影光源：激光；3D播放：支持3D功能；安装方式：支持吊装正投；吊装背投；桌上正投；桌上背投；360度投影；720度投影；焦距类型：长焦/超短焦；</w:t>
            </w:r>
          </w:p>
          <w:p w14:paraId="25FCD97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显示参数光学变焦：支持光学变焦；ISO亮度：≥5500lm</w:t>
            </w:r>
          </w:p>
          <w:p w14:paraId="4E420EF1">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ANSI亮度：≥5500lm；最大兼容分辨率：≥1920*1200dpi</w:t>
            </w:r>
          </w:p>
          <w:p w14:paraId="2525A834">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支持梯形校正、垂直校正；投射比：1.21-1.97：1；对焦方式：</w:t>
            </w:r>
          </w:p>
          <w:p w14:paraId="63C93EC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手动；对比度：≥100000：1；显示比例16:9；</w:t>
            </w:r>
          </w:p>
        </w:tc>
        <w:tc>
          <w:tcPr>
            <w:tcW w:w="706" w:type="dxa"/>
            <w:noWrap/>
          </w:tcPr>
          <w:p w14:paraId="48D1884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5636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6704F82A">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w:t>
            </w:r>
          </w:p>
        </w:tc>
        <w:tc>
          <w:tcPr>
            <w:tcW w:w="1222" w:type="dxa"/>
            <w:noWrap/>
            <w:vAlign w:val="center"/>
          </w:tcPr>
          <w:p w14:paraId="423D1C9E">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投影仪支架</w:t>
            </w:r>
          </w:p>
        </w:tc>
        <w:tc>
          <w:tcPr>
            <w:tcW w:w="5822" w:type="dxa"/>
            <w:noWrap/>
          </w:tcPr>
          <w:p w14:paraId="21C94330">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承载重量：≥60kg</w:t>
            </w:r>
          </w:p>
          <w:p w14:paraId="6769D81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行程：≥4000mm</w:t>
            </w:r>
          </w:p>
          <w:p w14:paraId="1B802D35">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机箱高度：≥350mm</w:t>
            </w:r>
          </w:p>
          <w:p w14:paraId="4EA7D4C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电机类型：管桩电机</w:t>
            </w:r>
          </w:p>
          <w:p w14:paraId="08E3AC8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年级功率：≥30N/M</w:t>
            </w:r>
          </w:p>
          <w:p w14:paraId="383E0FB5">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限位方式：支持电子限位</w:t>
            </w:r>
          </w:p>
          <w:p w14:paraId="5182E01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控制方式：支持无线遥控+485 协议控制端</w:t>
            </w:r>
          </w:p>
        </w:tc>
        <w:tc>
          <w:tcPr>
            <w:tcW w:w="706" w:type="dxa"/>
            <w:noWrap/>
          </w:tcPr>
          <w:p w14:paraId="16ED49B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71ED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4E3072F4">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w:t>
            </w:r>
          </w:p>
        </w:tc>
        <w:tc>
          <w:tcPr>
            <w:tcW w:w="1222" w:type="dxa"/>
            <w:noWrap/>
            <w:vAlign w:val="center"/>
          </w:tcPr>
          <w:p w14:paraId="7BA6B53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100寸电视机</w:t>
            </w:r>
          </w:p>
        </w:tc>
        <w:tc>
          <w:tcPr>
            <w:tcW w:w="5822" w:type="dxa"/>
            <w:noWrap/>
          </w:tcPr>
          <w:p w14:paraId="044C187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屏幕尺寸：1000英寸；分辨率：支持 4K（3840*2160）；</w:t>
            </w:r>
          </w:p>
          <w:p w14:paraId="3FAC2E15">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 xml:space="preserve">屏幕显示刷新率：≥240Hz；对比度 ：≥10000000:1；峰值亮度 ：≥1000.000；背光分区：≥ 百级；广色域 ：≥99% </w:t>
            </w:r>
          </w:p>
          <w:p w14:paraId="76E75AF5">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机身接口：HDMI接口 1*HDMI2.0 2*HDMI2.1</w:t>
            </w:r>
          </w:p>
          <w:p w14:paraId="5D51F5CC">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网络接口： 1×网络接口</w:t>
            </w:r>
          </w:p>
          <w:p w14:paraId="455F738C">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USB接口 ：1*USB3.0，1*USB2.0</w:t>
            </w:r>
          </w:p>
          <w:p w14:paraId="2F54C410">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其他接口 ：1*RF输入，1*同轴输出，AV输入</w:t>
            </w:r>
          </w:p>
        </w:tc>
        <w:tc>
          <w:tcPr>
            <w:tcW w:w="706" w:type="dxa"/>
            <w:noWrap/>
          </w:tcPr>
          <w:p w14:paraId="76F170C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2台</w:t>
            </w:r>
          </w:p>
        </w:tc>
      </w:tr>
      <w:tr w14:paraId="3156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671B813D">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w:t>
            </w:r>
          </w:p>
        </w:tc>
        <w:tc>
          <w:tcPr>
            <w:tcW w:w="1222" w:type="dxa"/>
            <w:noWrap/>
            <w:vAlign w:val="center"/>
          </w:tcPr>
          <w:p w14:paraId="4E7FE52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会标屏</w:t>
            </w:r>
          </w:p>
        </w:tc>
        <w:tc>
          <w:tcPr>
            <w:tcW w:w="5822" w:type="dxa"/>
            <w:noWrap/>
          </w:tcPr>
          <w:p w14:paraId="02FFD6B4">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1.LED封装形式：SMD2121，发光点颜色组合：1R。</w:t>
            </w:r>
          </w:p>
          <w:p w14:paraId="78C2BB50">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2.物理点间距：≤4.75mm；分辨率：44321点/㎡。</w:t>
            </w:r>
          </w:p>
          <w:p w14:paraId="0FCB40B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3.单元板分辨率：64*32，单元板尺寸（mm）：304*152，白平衡亮度：200CD/㎡。</w:t>
            </w:r>
          </w:p>
          <w:p w14:paraId="60EBDDC2">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4.水平视角：≥120°；垂直视角：≥120°。</w:t>
            </w:r>
          </w:p>
          <w:p w14:paraId="497B419D">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5.杂点率：≤1/10000且无连续失控点</w:t>
            </w:r>
          </w:p>
          <w:p w14:paraId="672514CE">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6.平均无故障时间：≥10000H</w:t>
            </w:r>
          </w:p>
          <w:p w14:paraId="023A1C65">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7.控制方式：异步控制；驱动器件：恒流；刷新频率：360Hz；换帧频率：≥60Hz；驱动方式：1/16扫描。</w:t>
            </w:r>
          </w:p>
          <w:p w14:paraId="76CA77CC">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8.环境温度：存储-35℃~+85℃，工作温度：－20℃~+50℃。</w:t>
            </w:r>
          </w:p>
          <w:p w14:paraId="118D8CCF">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9.亮度调节方式：软件0到16无级调节。</w:t>
            </w:r>
          </w:p>
        </w:tc>
        <w:tc>
          <w:tcPr>
            <w:tcW w:w="706" w:type="dxa"/>
            <w:noWrap/>
          </w:tcPr>
          <w:p w14:paraId="163FB0B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184A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62020E6E">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w:t>
            </w:r>
          </w:p>
        </w:tc>
        <w:tc>
          <w:tcPr>
            <w:tcW w:w="1222" w:type="dxa"/>
            <w:noWrap/>
            <w:vAlign w:val="center"/>
          </w:tcPr>
          <w:p w14:paraId="10C1C445">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控制卡</w:t>
            </w:r>
          </w:p>
        </w:tc>
        <w:tc>
          <w:tcPr>
            <w:tcW w:w="5822" w:type="dxa"/>
            <w:noWrap/>
          </w:tcPr>
          <w:p w14:paraId="717ED2DD">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1.支持控制单色带载≥4800*512，向下兼容；双色带载≥4096*512，向下兼容；</w:t>
            </w:r>
          </w:p>
          <w:p w14:paraId="2794A69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2.支持适配各种规格的单色/双基色LED显示屏；</w:t>
            </w:r>
          </w:p>
          <w:p w14:paraId="34FB9A61">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3.支持分组集群管理、多节目编辑、多区域显示、多种语言版本；</w:t>
            </w:r>
          </w:p>
          <w:p w14:paraId="68CE85DA">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4.支持≥256个节目，每个节目划分为≥32个区域；</w:t>
            </w:r>
          </w:p>
          <w:p w14:paraId="7EE072E5">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5.支持区域有天气区、图文区、字幕区、动画区、农历区、时间区、模拟表盘区、正负计时区、传感器区；</w:t>
            </w:r>
          </w:p>
          <w:p w14:paraId="1722BA9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6.支持时钟显示农历、模拟表盘、中英文时钟、正负计时 (均支持多组显示)；</w:t>
            </w:r>
          </w:p>
          <w:p w14:paraId="280198C7">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7.支持温度、温湿度、亮度传感器；，扩展支持其它RS485接口传感器。</w:t>
            </w:r>
          </w:p>
          <w:p w14:paraId="62E5E2F7">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8.支持16级亮度，支持分时调亮、软件调亮、遥控调亮；</w:t>
            </w:r>
          </w:p>
          <w:p w14:paraId="68AC553C">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9.支持屏幕配置参数的保存与回读；</w:t>
            </w:r>
          </w:p>
        </w:tc>
        <w:tc>
          <w:tcPr>
            <w:tcW w:w="706" w:type="dxa"/>
            <w:noWrap/>
          </w:tcPr>
          <w:p w14:paraId="4C53EF3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3BC8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026A424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6</w:t>
            </w:r>
          </w:p>
        </w:tc>
        <w:tc>
          <w:tcPr>
            <w:tcW w:w="1222" w:type="dxa"/>
            <w:noWrap/>
            <w:vAlign w:val="center"/>
          </w:tcPr>
          <w:p w14:paraId="56E2913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转接板</w:t>
            </w:r>
          </w:p>
        </w:tc>
        <w:tc>
          <w:tcPr>
            <w:tcW w:w="5822" w:type="dxa"/>
            <w:noWrap/>
          </w:tcPr>
          <w:p w14:paraId="07FB30E5">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1.配套转接板；50PIN背插连接，结构紧凑；</w:t>
            </w:r>
          </w:p>
          <w:p w14:paraId="1EDE3AAD">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2.最大高度：≥128行（≥4组T8接口）；</w:t>
            </w:r>
          </w:p>
        </w:tc>
        <w:tc>
          <w:tcPr>
            <w:tcW w:w="706" w:type="dxa"/>
            <w:noWrap/>
          </w:tcPr>
          <w:p w14:paraId="580EFD6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78B3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0C0E231F">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7</w:t>
            </w:r>
          </w:p>
        </w:tc>
        <w:tc>
          <w:tcPr>
            <w:tcW w:w="1222" w:type="dxa"/>
            <w:noWrap/>
            <w:vAlign w:val="center"/>
          </w:tcPr>
          <w:p w14:paraId="6683462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配电柜</w:t>
            </w:r>
          </w:p>
        </w:tc>
        <w:tc>
          <w:tcPr>
            <w:tcW w:w="5822" w:type="dxa"/>
            <w:noWrap/>
          </w:tcPr>
          <w:p w14:paraId="4D29B0E7">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1.额定功率：≥10kW，输出路数：≥3路</w:t>
            </w:r>
          </w:p>
          <w:p w14:paraId="02CA8FDB">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2.输入电压：三相五线制AC380V±10%，频率50Hz±5%，具有高温断电、浪涌、短路、过流、过载保护功能；</w:t>
            </w:r>
          </w:p>
          <w:p w14:paraId="57722121">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3.输出电压：单相三线制AC220V±10%；</w:t>
            </w:r>
          </w:p>
          <w:p w14:paraId="1E3069F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4.内置避雷器，具有避雷防雷功能；</w:t>
            </w:r>
          </w:p>
          <w:p w14:paraId="207AE2DA">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5.配电柜含多功能卡控制，具有远程控制功能、RS232串口或千兆网口通信；</w:t>
            </w:r>
          </w:p>
          <w:p w14:paraId="17A906D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6.通过LED显示屏智慧控制系统软件搭配多功能卡实现电源监视、温度监控操作；</w:t>
            </w:r>
          </w:p>
        </w:tc>
        <w:tc>
          <w:tcPr>
            <w:tcW w:w="706" w:type="dxa"/>
            <w:noWrap/>
          </w:tcPr>
          <w:p w14:paraId="7852EFF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53FF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0F5CE97B">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8</w:t>
            </w:r>
          </w:p>
        </w:tc>
        <w:tc>
          <w:tcPr>
            <w:tcW w:w="1222" w:type="dxa"/>
            <w:noWrap/>
            <w:vAlign w:val="center"/>
          </w:tcPr>
          <w:p w14:paraId="2C294D52">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无缝高清矩阵切换器</w:t>
            </w:r>
          </w:p>
        </w:tc>
        <w:tc>
          <w:tcPr>
            <w:tcW w:w="5822" w:type="dxa"/>
            <w:noWrap/>
          </w:tcPr>
          <w:p w14:paraId="70A98881">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1.矩阵采用纯硬件标准化机箱设计，支持配置≥16×16路信号切换，支持HDMI、DVI、VGA、SDI、HDBaseT、光纤的任意输入/输出信号卡，其中DVI输入卡兼容CVBS，YUV,VGA信号，VGA输入/输出卡均兼容CVBS，YUV,VGA信号。</w:t>
            </w:r>
          </w:p>
          <w:p w14:paraId="225B6D70">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2.采用板卡模块化设计，支持接入≥4块输入卡、≥4块输出卡、≥1块控制卡；通过定制配置各类相同或不同的输入输出卡可以组成单一接口类型或多接口类型的矩阵，如HDMI矩阵，DVI矩阵，VGA矩阵，YUV矩阵。</w:t>
            </w:r>
          </w:p>
          <w:p w14:paraId="1FBBBB7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3.支持无缝切换功能，切换过程无黑屏信号。</w:t>
            </w:r>
          </w:p>
          <w:p w14:paraId="7B94D7B6">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4.输入输出分辨率支持≥4K@60Hz；支持断电记忆功能；系统内可存储多组预切换指令，调用时可以一键切换。</w:t>
            </w:r>
          </w:p>
          <w:p w14:paraId="3DF29AA4">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5.支持模拟音频与HDMI内嵌音频选择输入、支持模拟音频与HDMI内嵌音频同时输出。</w:t>
            </w:r>
          </w:p>
          <w:p w14:paraId="15B53E5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6.采用多线程通信技术，支持接入≥1块控制板卡，具有≥1路RS-232接口,≥1路RS-485接口,≥1路TCP/IP端口，支持扩展延长触控屏控制。</w:t>
            </w:r>
          </w:p>
          <w:p w14:paraId="2E455EDD">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7.HDBaseT输入输出信号支持双向RS-232和双向IR 信号传输，可对RS-232和IR信号选择随视频信号切换，或分离切换模式。</w:t>
            </w:r>
          </w:p>
          <w:p w14:paraId="33CAEFF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8.机箱前面板内置≥7英寸全彩触摸屏，可通过前面板触控屏进行通道切换、场景调用、切换、保存操作，具备自定义设置场景名称功能，可查看设备IP地址、通道信息、切换状态，可进行IP地址设置、重置，具备通道切换状态显示，支持输出分辨率显示，支持板卡接入状态显示，具备中英文双语切换功能。</w:t>
            </w:r>
          </w:p>
          <w:p w14:paraId="05E1868E">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9.采用无极缩放算法与视频编解码处理技术，支持画面色度、亮度、对比度、色温、伽马值等调节，支持HDR画质增强功能。</w:t>
            </w:r>
          </w:p>
        </w:tc>
        <w:tc>
          <w:tcPr>
            <w:tcW w:w="706" w:type="dxa"/>
            <w:noWrap/>
          </w:tcPr>
          <w:p w14:paraId="050753C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27F1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61F2490E">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9</w:t>
            </w:r>
          </w:p>
        </w:tc>
        <w:tc>
          <w:tcPr>
            <w:tcW w:w="1222" w:type="dxa"/>
            <w:noWrap/>
            <w:vAlign w:val="center"/>
          </w:tcPr>
          <w:p w14:paraId="23C31072">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HDMI无缝高清输入卡</w:t>
            </w:r>
          </w:p>
        </w:tc>
        <w:tc>
          <w:tcPr>
            <w:tcW w:w="5822" w:type="dxa"/>
            <w:noWrap/>
          </w:tcPr>
          <w:p w14:paraId="61300FB1">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1.支持≥4路HDMI-A母接口和3.5mm音频座，支持模拟音频与HDMI内嵌音频选择输入；支持热插拔。</w:t>
            </w:r>
          </w:p>
          <w:p w14:paraId="26EBA3FB">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2.支持快速无缝切换，无闪烁，无黑屏。</w:t>
            </w:r>
          </w:p>
          <w:p w14:paraId="04E67D7E">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3.支持断电现场切换记忆保护功能，特有ESD静电保护功能。</w:t>
            </w:r>
          </w:p>
          <w:p w14:paraId="77027E1A">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4.兼容HDMI1.3a的标准，HDCP1.3协议，DVI1.0协议。支持分辨率≥1920X1200P@60。</w:t>
            </w:r>
          </w:p>
        </w:tc>
        <w:tc>
          <w:tcPr>
            <w:tcW w:w="706" w:type="dxa"/>
            <w:noWrap/>
          </w:tcPr>
          <w:p w14:paraId="3C49972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3块</w:t>
            </w:r>
          </w:p>
        </w:tc>
      </w:tr>
      <w:tr w14:paraId="2ECC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2C14F33E">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10</w:t>
            </w:r>
          </w:p>
        </w:tc>
        <w:tc>
          <w:tcPr>
            <w:tcW w:w="1222" w:type="dxa"/>
            <w:noWrap/>
            <w:vAlign w:val="center"/>
          </w:tcPr>
          <w:p w14:paraId="14D0C24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HDMI无缝高清输出卡</w:t>
            </w:r>
          </w:p>
        </w:tc>
        <w:tc>
          <w:tcPr>
            <w:tcW w:w="5822" w:type="dxa"/>
            <w:noWrap/>
          </w:tcPr>
          <w:p w14:paraId="23B9DF6A">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1.支持≥4路HDMI-A母接口和3.5mm音频座，支持模拟音频与HDMI内嵌音频同时输出。支持热插拔。</w:t>
            </w:r>
          </w:p>
          <w:p w14:paraId="0F223DD2">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2.支持快速无缝切换，无闪烁，无黑屏。</w:t>
            </w:r>
          </w:p>
          <w:p w14:paraId="3A66AD22">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3.支持断电现场切换记忆保护功能，特有ESD静电保护功能。</w:t>
            </w:r>
          </w:p>
          <w:p w14:paraId="0B1C2B2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4.兼容HDMI1.3a的标准，HDCP1.3协议，DVI1.0协议。支持倍线功能，分辨率支持≥1080P。</w:t>
            </w:r>
          </w:p>
        </w:tc>
        <w:tc>
          <w:tcPr>
            <w:tcW w:w="706" w:type="dxa"/>
            <w:noWrap/>
          </w:tcPr>
          <w:p w14:paraId="1B8D653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2块</w:t>
            </w:r>
          </w:p>
        </w:tc>
      </w:tr>
      <w:tr w14:paraId="6BE4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51B341F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11</w:t>
            </w:r>
          </w:p>
        </w:tc>
        <w:tc>
          <w:tcPr>
            <w:tcW w:w="1222" w:type="dxa"/>
            <w:noWrap/>
            <w:vAlign w:val="center"/>
          </w:tcPr>
          <w:p w14:paraId="4A88BFC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SDI无缝高清输出卡</w:t>
            </w:r>
          </w:p>
        </w:tc>
        <w:tc>
          <w:tcPr>
            <w:tcW w:w="5822" w:type="dxa"/>
            <w:noWrap/>
          </w:tcPr>
          <w:p w14:paraId="01431D6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1.支持≥4路SDI视频信号输出，支持热插拔。</w:t>
            </w:r>
          </w:p>
          <w:p w14:paraId="73B7ECB5">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2.带宽支持19Mbps至2.97Gbps，支持分辨率≥1080P,完全兼容HDTV。</w:t>
            </w:r>
          </w:p>
          <w:p w14:paraId="44F101CC">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3.快速无缝切换，无闪烁，无黑屏。</w:t>
            </w:r>
          </w:p>
          <w:p w14:paraId="0322E9A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4.支持断电现场切换记忆保护功能。</w:t>
            </w:r>
          </w:p>
          <w:p w14:paraId="0D7D1B4A">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5.兼容各种格式的SDI信号，包括：SD/HD/3G-SDI(自适应)。</w:t>
            </w:r>
          </w:p>
        </w:tc>
        <w:tc>
          <w:tcPr>
            <w:tcW w:w="706" w:type="dxa"/>
            <w:noWrap/>
          </w:tcPr>
          <w:p w14:paraId="53D29B3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1块</w:t>
            </w:r>
          </w:p>
        </w:tc>
      </w:tr>
      <w:tr w14:paraId="25EB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7B9DC3E0">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12</w:t>
            </w:r>
          </w:p>
        </w:tc>
        <w:tc>
          <w:tcPr>
            <w:tcW w:w="1222" w:type="dxa"/>
            <w:noWrap/>
            <w:vAlign w:val="center"/>
          </w:tcPr>
          <w:p w14:paraId="46AF2A8A">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客户端主机</w:t>
            </w:r>
          </w:p>
        </w:tc>
        <w:tc>
          <w:tcPr>
            <w:tcW w:w="5822" w:type="dxa"/>
            <w:noWrap/>
          </w:tcPr>
          <w:p w14:paraId="4FFF34E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同硬件部分需求</w:t>
            </w:r>
          </w:p>
        </w:tc>
        <w:tc>
          <w:tcPr>
            <w:tcW w:w="706" w:type="dxa"/>
            <w:noWrap/>
          </w:tcPr>
          <w:p w14:paraId="469281C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07E2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0E1A776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13</w:t>
            </w:r>
          </w:p>
        </w:tc>
        <w:tc>
          <w:tcPr>
            <w:tcW w:w="1222" w:type="dxa"/>
            <w:noWrap/>
            <w:vAlign w:val="center"/>
          </w:tcPr>
          <w:p w14:paraId="752B53BC">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主音箱</w:t>
            </w:r>
          </w:p>
        </w:tc>
        <w:tc>
          <w:tcPr>
            <w:tcW w:w="5822" w:type="dxa"/>
            <w:noWrap/>
          </w:tcPr>
          <w:p w14:paraId="6EC5979B">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1．阻抗≤8Ω</w:t>
            </w:r>
          </w:p>
          <w:p w14:paraId="47B4E175">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2．频响等同或优于45Hz-20KHz</w:t>
            </w:r>
          </w:p>
          <w:p w14:paraId="53FE72D7">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3．额定功率≥300W</w:t>
            </w:r>
          </w:p>
          <w:p w14:paraId="468FFDB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4．灵敏度≥98dB/W/M</w:t>
            </w:r>
          </w:p>
          <w:p w14:paraId="6A7190EB">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5．水平覆盖角≥90°，垂直覆盖角≥80°</w:t>
            </w:r>
          </w:p>
          <w:p w14:paraId="5185FA3B">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6．高音：≥1.7"压缩高音单元×1；低音：10"低音×1</w:t>
            </w:r>
          </w:p>
        </w:tc>
        <w:tc>
          <w:tcPr>
            <w:tcW w:w="706" w:type="dxa"/>
            <w:noWrap/>
          </w:tcPr>
          <w:p w14:paraId="1D7747D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r>
      <w:tr w14:paraId="5442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30EFC561">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14</w:t>
            </w:r>
          </w:p>
        </w:tc>
        <w:tc>
          <w:tcPr>
            <w:tcW w:w="1222" w:type="dxa"/>
            <w:noWrap/>
            <w:vAlign w:val="center"/>
          </w:tcPr>
          <w:p w14:paraId="5C46E1B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主音箱功放</w:t>
            </w:r>
          </w:p>
        </w:tc>
        <w:tc>
          <w:tcPr>
            <w:tcW w:w="5822" w:type="dxa"/>
            <w:noWrap/>
          </w:tcPr>
          <w:p w14:paraId="0EC82B5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1.标准≤1U机柜式设计；采用PFC+开关电源+D类数字功放设计方案；输出功率：立体声@8Ω：≥500W×2；立体声@4Ω：≥850W×2；桥接@8Ω：≥1700W。</w:t>
            </w:r>
          </w:p>
          <w:p w14:paraId="5AE0684E">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2.开关电源采用LLC谐振电源短路保护电路和D类数字功放一体模块化设计，保证半桥LLC开关电源稳定性和可靠性。</w:t>
            </w:r>
          </w:p>
          <w:p w14:paraId="1E0C3540">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3.支持开机软启动功能，软启动过程中电源需求缓慢上升，减少对电网和其他电子设备的电流冲击。</w:t>
            </w:r>
          </w:p>
          <w:p w14:paraId="1C69D8B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4.开关电源内置EMI电路，有效的抑制电源谐波，达到欧盟绿色电源标准。</w:t>
            </w:r>
          </w:p>
          <w:p w14:paraId="15E059B1">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5.数字功放核心的调制和匹配电路技术，让功放还原真实原声。</w:t>
            </w:r>
          </w:p>
          <w:p w14:paraId="234A4C37">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6.整机转换效率达到85%以上。</w:t>
            </w:r>
          </w:p>
          <w:p w14:paraId="6D97F6D5">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 xml:space="preserve">7.数字功放电源自适应音频调整节能功能，实现智能削峰限幅器，控制功率模块及扬声器系统在安全范围内工作。 </w:t>
            </w:r>
          </w:p>
          <w:p w14:paraId="68F519DA">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8.MONO /STEREO/BRIDGE三种模式可选择切换。</w:t>
            </w:r>
          </w:p>
          <w:p w14:paraId="5AB124CD">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9.开机软启动，防止开机时向电网吸收大电流，干扰其它用电设备。</w:t>
            </w:r>
          </w:p>
          <w:p w14:paraId="0C9A015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10.内置六大保护电路模块，为功放的可靠性保驾护航，具有：过压保护，欠压保护，过流保护，直流保护，输出短路保护，温控风扇等功能。</w:t>
            </w:r>
          </w:p>
        </w:tc>
        <w:tc>
          <w:tcPr>
            <w:tcW w:w="706" w:type="dxa"/>
            <w:noWrap/>
          </w:tcPr>
          <w:p w14:paraId="2AB5487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377A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207BF18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15</w:t>
            </w:r>
          </w:p>
        </w:tc>
        <w:tc>
          <w:tcPr>
            <w:tcW w:w="1222" w:type="dxa"/>
            <w:noWrap/>
            <w:vAlign w:val="center"/>
          </w:tcPr>
          <w:p w14:paraId="33BEBE8D">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天花喇叭</w:t>
            </w:r>
          </w:p>
        </w:tc>
        <w:tc>
          <w:tcPr>
            <w:tcW w:w="5822" w:type="dxa"/>
            <w:noWrap/>
          </w:tcPr>
          <w:p w14:paraId="21AF0882">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1.采用≥1只6.5寸中低音喇叭单元和≥1只1.5"球顶高音单元的同轴设计方案；</w:t>
            </w:r>
          </w:p>
          <w:p w14:paraId="1510F722">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2.采用吸顶安装方式，采用铁质网罩内贴防尘网棉。</w:t>
            </w:r>
          </w:p>
          <w:p w14:paraId="1378E6ED">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3.分频器优化功率响应及人声部分的中频表现力。</w:t>
            </w:r>
          </w:p>
          <w:p w14:paraId="6171907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4.额定功率≥100W</w:t>
            </w:r>
          </w:p>
          <w:p w14:paraId="2559817C">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5.阻抗：≤8Ω</w:t>
            </w:r>
          </w:p>
          <w:p w14:paraId="6654E83C">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6.灵敏度(1W/1M)≥92dB</w:t>
            </w:r>
          </w:p>
          <w:p w14:paraId="421F2565">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7.频率响应(-10dB)等同或优于60Hz-20KHz</w:t>
            </w:r>
          </w:p>
        </w:tc>
        <w:tc>
          <w:tcPr>
            <w:tcW w:w="706" w:type="dxa"/>
            <w:noWrap/>
          </w:tcPr>
          <w:p w14:paraId="67F2C9D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12台</w:t>
            </w:r>
          </w:p>
        </w:tc>
      </w:tr>
      <w:tr w14:paraId="7E76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370BADA6">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16</w:t>
            </w:r>
          </w:p>
        </w:tc>
        <w:tc>
          <w:tcPr>
            <w:tcW w:w="1222" w:type="dxa"/>
            <w:noWrap/>
            <w:vAlign w:val="center"/>
          </w:tcPr>
          <w:p w14:paraId="128137F4">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喇叭功放</w:t>
            </w:r>
          </w:p>
        </w:tc>
        <w:tc>
          <w:tcPr>
            <w:tcW w:w="5822" w:type="dxa"/>
            <w:noWrap/>
          </w:tcPr>
          <w:p w14:paraId="22CC480F">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1.标准≤1U机箱设计，采用D类数字功放设计方案。</w:t>
            </w:r>
          </w:p>
          <w:p w14:paraId="52A2148A">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2.标准XLR输入接口，和LINK输出口。</w:t>
            </w:r>
          </w:p>
          <w:p w14:paraId="52CDE1BB">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3.电源采用开关电源技术，效率高，有效的抑制电源谐波。</w:t>
            </w:r>
          </w:p>
          <w:p w14:paraId="5BB9C122">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 xml:space="preserve">4.内置智能削峰限幅器，支持开机软启动，防止开机时向电网吸收大电流，干扰其它用电设备。 </w:t>
            </w:r>
          </w:p>
          <w:p w14:paraId="1ADAF80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5.具有：过压保护，欠压保护，过流保护，直流保护，输出短路保护，温控风扇等功能。</w:t>
            </w:r>
          </w:p>
          <w:p w14:paraId="07346447">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6.输出功率：立体声@8Ω：≥200W×2；立体声@4Ω：≥400W×2。</w:t>
            </w:r>
          </w:p>
        </w:tc>
        <w:tc>
          <w:tcPr>
            <w:tcW w:w="706" w:type="dxa"/>
            <w:noWrap/>
          </w:tcPr>
          <w:p w14:paraId="021FCBE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3台</w:t>
            </w:r>
          </w:p>
        </w:tc>
      </w:tr>
      <w:tr w14:paraId="4FD9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4965E657">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17</w:t>
            </w:r>
          </w:p>
        </w:tc>
        <w:tc>
          <w:tcPr>
            <w:tcW w:w="1222" w:type="dxa"/>
            <w:noWrap/>
            <w:vAlign w:val="center"/>
          </w:tcPr>
          <w:p w14:paraId="0F37B3A6">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数字调音台</w:t>
            </w:r>
          </w:p>
        </w:tc>
        <w:tc>
          <w:tcPr>
            <w:tcW w:w="5822" w:type="dxa"/>
            <w:noWrap/>
          </w:tcPr>
          <w:p w14:paraId="61FDF7E4">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1.具有≥8路数字增益话放通道、≥2路高阻单声通道、≥2组立体声输入通道，话筒输入接口带48V幻象电源。</w:t>
            </w:r>
          </w:p>
          <w:p w14:paraId="5B6BB616">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2.具有≥1组立体主输出通道、≥4路AUX辅助输出通道、≥1路TRS监听输出通道。</w:t>
            </w:r>
          </w:p>
          <w:p w14:paraId="094E0C46">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3.具有≥8路DCA编组、≥8路静音编组，输入输出、效果器通道均可编入。（提供设备接口图佐证）</w:t>
            </w:r>
          </w:p>
          <w:p w14:paraId="6DC221DC">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4.具有≥2路USB播放通道，支持USB录音、播放功能，支持APE\MP3\FLAC\WAV无损音频格式。内置4G的媒体空间，可导入音乐文件或导出录音文件。</w:t>
            </w:r>
          </w:p>
          <w:p w14:paraId="263EE24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5.具有≥1个7英寸高清触摸屏，支持≥1024×600分辨率。</w:t>
            </w:r>
          </w:p>
          <w:p w14:paraId="0D66EEC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6.具有≥4个内置效果器，设备自带有经典混响、大房间混响等效果。</w:t>
            </w:r>
          </w:p>
          <w:p w14:paraId="4D455850">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7.内置自适应陷波反馈抑制算法。</w:t>
            </w:r>
          </w:p>
          <w:p w14:paraId="358CEF71">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8.具有≥30组场景预设，可导入USB存储，便于备份调用。</w:t>
            </w:r>
          </w:p>
          <w:p w14:paraId="416DA1F1">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9.具有Link连接功能，可进行相邻通道绑定设置。</w:t>
            </w:r>
          </w:p>
          <w:p w14:paraId="7DFBFAC4">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10.具有≥1路网络接口，支持主流操作系统windows、linux ubuntu、Android、ios、MacOS进行远程控制。</w:t>
            </w:r>
          </w:p>
          <w:p w14:paraId="7AE184EB">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11.具有防误触碰、误操作面板锁。</w:t>
            </w:r>
          </w:p>
        </w:tc>
        <w:tc>
          <w:tcPr>
            <w:tcW w:w="706" w:type="dxa"/>
            <w:noWrap/>
          </w:tcPr>
          <w:p w14:paraId="4223918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0EA4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45E2ACF4">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18</w:t>
            </w:r>
          </w:p>
        </w:tc>
        <w:tc>
          <w:tcPr>
            <w:tcW w:w="1222" w:type="dxa"/>
            <w:noWrap/>
            <w:vAlign w:val="center"/>
          </w:tcPr>
          <w:p w14:paraId="1C71E7FE">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音频处理器</w:t>
            </w:r>
          </w:p>
        </w:tc>
        <w:tc>
          <w:tcPr>
            <w:tcW w:w="5822" w:type="dxa"/>
            <w:noWrap/>
          </w:tcPr>
          <w:p w14:paraId="5B803A80">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后面板具有≥8路线路音频凤凰端子平衡输入接口（具有48V幻象供电）、≥8路线路音频凤凰端子平衡输出接口、≥1个拨码开关、≥1个RJ45接口、≥1个RS232接口、≥1个RS485接口、≥8个可编程GPIO控制接口、≥1个接地柱；前面板具有≥2.0英寸 IPS 真彩显示屏、≥1个编码旋钮、≥1个USB存储设备接口。</w:t>
            </w:r>
          </w:p>
          <w:p w14:paraId="551233F4">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p>
          <w:p w14:paraId="2C6D1E30">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3.具有矩阵增益调节功能，每个输入通道参与混音的增益可调，增益调节范围等同或优于-72db到12db。</w:t>
            </w:r>
          </w:p>
          <w:p w14:paraId="75364EAB">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4.音频处理器具有跨平台软件，可运行的操作系统版本≥8种，包括Windows7/10/11、银河麒麟桌面操作系统（兆芯版）、银河麒麟桌面操作系统（飞腾版）、macOS系统、统信UOS、Ubuntu桌面版操作系统。</w:t>
            </w:r>
          </w:p>
          <w:p w14:paraId="42F8EE6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5.产品具有PC客户端、手机移动端、安卓平板端不同控制方式，可以通同时登入APP软件、PC客户端同时连接设备，并实现多端数据的同步。</w:t>
            </w:r>
          </w:p>
          <w:p w14:paraId="69233D8F">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6.设备具有编码旋钮和IPS屏幕，可用于控制和配置设备静音，增益，场景；IPS屏幕能够显示IP地址，输入和输出通道的实时电平。</w:t>
            </w:r>
          </w:p>
          <w:p w14:paraId="05DAFB7F">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7.具有设备定位功能，客户端一键定位局域网内同类设备，被定位的设备会显示定位信息。</w:t>
            </w:r>
          </w:p>
          <w:p w14:paraId="76782CFB">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8.设备具有统一集中控制功能，支持≥65535台设备通过软件集中控制。</w:t>
            </w:r>
          </w:p>
          <w:p w14:paraId="5849729A">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706" w:type="dxa"/>
            <w:noWrap/>
          </w:tcPr>
          <w:p w14:paraId="618850C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3FB0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541BAE5E">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19</w:t>
            </w:r>
          </w:p>
        </w:tc>
        <w:tc>
          <w:tcPr>
            <w:tcW w:w="1222" w:type="dxa"/>
            <w:noWrap/>
            <w:vAlign w:val="center"/>
          </w:tcPr>
          <w:p w14:paraId="75D86A1B">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无线话筒</w:t>
            </w:r>
          </w:p>
        </w:tc>
        <w:tc>
          <w:tcPr>
            <w:tcW w:w="5822" w:type="dxa"/>
            <w:noWrap/>
          </w:tcPr>
          <w:p w14:paraId="26B374D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1.频率指标：等同或优于530-580MHz，640-690MHz，调制方式：宽带FM，频道数目：≥200个频道。</w:t>
            </w:r>
          </w:p>
          <w:p w14:paraId="66EF5382">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2.配套有≥1台接收主机和≥2个无线手持话筒。</w:t>
            </w:r>
          </w:p>
          <w:p w14:paraId="333EE37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3.采用UHF超高频段双真分集接收，并采用PLL锁相环多信道频率合成技术。</w:t>
            </w:r>
          </w:p>
          <w:p w14:paraId="6EC3FA72">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4.接收机指标：采用自动选讯接收方式，灵敏度:≥12dB μV（80dBS/N)，频率响应等同或优于50Hz-16.5kHz。</w:t>
            </w:r>
          </w:p>
          <w:p w14:paraId="3CCFADD7">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5.发射机指标：音头采用动圈式麦克风；手持麦克风内置螺旋天线。</w:t>
            </w:r>
          </w:p>
          <w:p w14:paraId="54C810DD">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6.输出功率:≥30mW。</w:t>
            </w:r>
          </w:p>
        </w:tc>
        <w:tc>
          <w:tcPr>
            <w:tcW w:w="706" w:type="dxa"/>
            <w:noWrap/>
          </w:tcPr>
          <w:p w14:paraId="3D9695A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r>
      <w:tr w14:paraId="4E33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772" w:type="dxa"/>
            <w:noWrap/>
            <w:vAlign w:val="center"/>
          </w:tcPr>
          <w:p w14:paraId="3DE1968A">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20</w:t>
            </w:r>
          </w:p>
        </w:tc>
        <w:tc>
          <w:tcPr>
            <w:tcW w:w="1222" w:type="dxa"/>
            <w:noWrap/>
            <w:vAlign w:val="center"/>
          </w:tcPr>
          <w:p w14:paraId="42A66392">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话筒呼叫控制嵌入软件</w:t>
            </w:r>
          </w:p>
        </w:tc>
        <w:tc>
          <w:tcPr>
            <w:tcW w:w="5822" w:type="dxa"/>
            <w:noWrap/>
          </w:tcPr>
          <w:p w14:paraId="6AB17EE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1.软件内嵌于无线话筒系统设备，话筒呼叫控制功能。</w:t>
            </w:r>
          </w:p>
          <w:p w14:paraId="2162786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2.采用UHF超高频段双真分集接收，并采用PLL锁相环多信道频率合成技术。</w:t>
            </w:r>
          </w:p>
          <w:p w14:paraId="7432D7FB">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3.支持自动选讯接收方式。</w:t>
            </w:r>
          </w:p>
          <w:p w14:paraId="7E39EC5F">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4.支持信道选择、频率可调、可设置主机与话筒配对。</w:t>
            </w:r>
          </w:p>
        </w:tc>
        <w:tc>
          <w:tcPr>
            <w:tcW w:w="706" w:type="dxa"/>
            <w:noWrap/>
          </w:tcPr>
          <w:p w14:paraId="53F2569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r>
      <w:tr w14:paraId="22C0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00CB586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21</w:t>
            </w:r>
          </w:p>
        </w:tc>
        <w:tc>
          <w:tcPr>
            <w:tcW w:w="1222" w:type="dxa"/>
            <w:noWrap/>
            <w:vAlign w:val="center"/>
          </w:tcPr>
          <w:p w14:paraId="360B40B2">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话筒天线</w:t>
            </w:r>
          </w:p>
        </w:tc>
        <w:tc>
          <w:tcPr>
            <w:tcW w:w="5822" w:type="dxa"/>
            <w:noWrap/>
          </w:tcPr>
          <w:p w14:paraId="37199E6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1.射频频率范围等同或优于450-950MHz</w:t>
            </w:r>
          </w:p>
          <w:p w14:paraId="2A80826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2.驻波比：≤2.0</w:t>
            </w:r>
          </w:p>
          <w:p w14:paraId="025C05ED">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3.输入阻抗：≤50Ω</w:t>
            </w:r>
          </w:p>
          <w:p w14:paraId="744520A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4.放大器底噪：＜3.6dB</w:t>
            </w:r>
          </w:p>
          <w:p w14:paraId="21FF1484">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5.增益：≥18db(典型)</w:t>
            </w:r>
          </w:p>
          <w:p w14:paraId="437CAEB0">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6.极化方式：垂直</w:t>
            </w:r>
          </w:p>
          <w:p w14:paraId="500ADB6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7.前后比：≥25dB</w:t>
            </w:r>
          </w:p>
          <w:p w14:paraId="64C2576D">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8.指向性：≥180度指向</w:t>
            </w:r>
          </w:p>
        </w:tc>
        <w:tc>
          <w:tcPr>
            <w:tcW w:w="706" w:type="dxa"/>
            <w:noWrap/>
          </w:tcPr>
          <w:p w14:paraId="48AF2C8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r>
      <w:tr w14:paraId="534B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5132A966">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22</w:t>
            </w:r>
          </w:p>
        </w:tc>
        <w:tc>
          <w:tcPr>
            <w:tcW w:w="1222" w:type="dxa"/>
            <w:noWrap/>
            <w:vAlign w:val="center"/>
          </w:tcPr>
          <w:p w14:paraId="3258DFF7">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电源管理器</w:t>
            </w:r>
          </w:p>
        </w:tc>
        <w:tc>
          <w:tcPr>
            <w:tcW w:w="5822" w:type="dxa"/>
            <w:noWrap/>
          </w:tcPr>
          <w:p w14:paraId="456CE274">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1.支持≥8通道电源时序打开/关闭，每路动作延时时间：≤1秒，支持远程控制（上电+24V直流信号）8通道电源时序打开/关闭—当电源开关处于off位置时有效。支持配置CH1和CH2通道为受控或不受控状态。</w:t>
            </w:r>
          </w:p>
          <w:p w14:paraId="46E47255">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2.当远程控制有效时同时控制后板ALARM（报警）端口导通以起到级联控制ALARM（报警）功能。</w:t>
            </w:r>
          </w:p>
          <w:p w14:paraId="137B110E">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3.单个通道最大负载功率≥2200W，所有通道负载总功率≥6000W。输出连接器：多用途电源插座。</w:t>
            </w:r>
          </w:p>
          <w:p w14:paraId="013E0F1D">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4.具有一路及以上USB输出接口。</w:t>
            </w:r>
          </w:p>
        </w:tc>
        <w:tc>
          <w:tcPr>
            <w:tcW w:w="706" w:type="dxa"/>
            <w:noWrap/>
          </w:tcPr>
          <w:p w14:paraId="3EAB91F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1EEC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76488FC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23</w:t>
            </w:r>
          </w:p>
        </w:tc>
        <w:tc>
          <w:tcPr>
            <w:tcW w:w="1222" w:type="dxa"/>
            <w:noWrap/>
            <w:vAlign w:val="center"/>
          </w:tcPr>
          <w:p w14:paraId="6D88433A">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有源音箱</w:t>
            </w:r>
          </w:p>
        </w:tc>
        <w:tc>
          <w:tcPr>
            <w:tcW w:w="5822" w:type="dxa"/>
            <w:noWrap/>
          </w:tcPr>
          <w:p w14:paraId="3CA7083F">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1.有源音箱内置高保真扬声器，额定输出功率支持≥2×25W，支持4-8Ω输出阻抗。</w:t>
            </w:r>
          </w:p>
          <w:p w14:paraId="34A96DC4">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2.支持≥1路话筒和≥1路立体声线路输入接口、≥1路立体声线路输出接口，带默音功能，话筒优先于线路输入。具有≥1个麦克风音量调节，≥1个线路输入音量调节，≥2个高低音调节。</w:t>
            </w:r>
          </w:p>
          <w:p w14:paraId="31FC4EAF">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3.支持≥100V广播输入接口。</w:t>
            </w:r>
          </w:p>
          <w:p w14:paraId="3B68CDF0">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4.具有输出过载、过压、短路保护。</w:t>
            </w:r>
          </w:p>
          <w:p w14:paraId="7A75D8EE">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5.信噪比≥70dB，频率响应等同或优于40Hz~20KHz(≤±3dB)，谐波失真≤1%。</w:t>
            </w:r>
          </w:p>
        </w:tc>
        <w:tc>
          <w:tcPr>
            <w:tcW w:w="706" w:type="dxa"/>
            <w:noWrap/>
          </w:tcPr>
          <w:p w14:paraId="59AA132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6D2B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674C7B7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24</w:t>
            </w:r>
          </w:p>
        </w:tc>
        <w:tc>
          <w:tcPr>
            <w:tcW w:w="1222" w:type="dxa"/>
            <w:noWrap/>
            <w:vAlign w:val="center"/>
          </w:tcPr>
          <w:p w14:paraId="6ABFE30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桌面</w:t>
            </w:r>
            <w:r>
              <w:rPr>
                <w:rFonts w:ascii="仿宋" w:hAnsi="仿宋" w:eastAsia="仿宋" w:cs="仿宋"/>
                <w:color w:val="000000"/>
                <w:sz w:val="24"/>
                <w:szCs w:val="22"/>
              </w:rPr>
              <w:t>话筒</w:t>
            </w:r>
          </w:p>
        </w:tc>
        <w:tc>
          <w:tcPr>
            <w:tcW w:w="5822" w:type="dxa"/>
            <w:noWrap/>
          </w:tcPr>
          <w:p w14:paraId="684F5C81">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1.话筒采用≥48kHz采样率。</w:t>
            </w:r>
          </w:p>
          <w:p w14:paraId="734B4876">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2.采用芯片架构及算法，话筒开机连接时间≤5秒。</w:t>
            </w:r>
          </w:p>
          <w:p w14:paraId="3A4F144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3.具有智能检测故障功能，提示用户AP故障、主机通信故障、信号强度过低等情况。</w:t>
            </w:r>
          </w:p>
          <w:p w14:paraId="7D25279A">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4.支持通过Type-C口充电，支持18W快充，具有智能指标状态。</w:t>
            </w:r>
          </w:p>
          <w:p w14:paraId="4B5B3AC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5.可通过UI设置SSID。</w:t>
            </w:r>
          </w:p>
          <w:p w14:paraId="5AC871B4">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6.具有中英文切换显示功能，通过PC软件统一设置。</w:t>
            </w:r>
          </w:p>
          <w:p w14:paraId="74E42D7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7.具有发言计时和定时发言功能。</w:t>
            </w:r>
          </w:p>
          <w:p w14:paraId="2B561E71">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8.具有声控功能。通过软件调节声控灵敏度及设置关闭时间。</w:t>
            </w:r>
          </w:p>
          <w:p w14:paraId="2F6F4D6F">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9.支持签到功能，通过PC软件设置并发起。</w:t>
            </w:r>
          </w:p>
          <w:p w14:paraId="4FC86A1D">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10.支持会议投票功能、支持五键选举、三键表决功能。</w:t>
            </w:r>
          </w:p>
          <w:p w14:paraId="445563D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11.采用≥128位AES加密技术，支持 WPA/WPA2 无线安全技术。</w:t>
            </w:r>
          </w:p>
          <w:p w14:paraId="14A7F671">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12.主席具备优先权功能，可关闭正在发言的所有代表话筒。</w:t>
            </w:r>
          </w:p>
          <w:p w14:paraId="28B2D9F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13.采用全彩触屏，咪杆长度≤380mm。</w:t>
            </w:r>
          </w:p>
          <w:p w14:paraId="382301E1">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14.具备≥3.5mm耳机孔，可连接外置麦克风。</w:t>
            </w:r>
          </w:p>
          <w:p w14:paraId="20F92A1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15.内置锂电池，电池容量支持≥14小时持续发言。</w:t>
            </w:r>
          </w:p>
        </w:tc>
        <w:tc>
          <w:tcPr>
            <w:tcW w:w="706" w:type="dxa"/>
            <w:noWrap/>
          </w:tcPr>
          <w:p w14:paraId="4AB0FBC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6台</w:t>
            </w:r>
          </w:p>
        </w:tc>
      </w:tr>
      <w:tr w14:paraId="69B5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4E0629BB">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25</w:t>
            </w:r>
          </w:p>
        </w:tc>
        <w:tc>
          <w:tcPr>
            <w:tcW w:w="1222" w:type="dxa"/>
            <w:noWrap/>
            <w:vAlign w:val="center"/>
          </w:tcPr>
          <w:p w14:paraId="516BEB0B">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智能混音器</w:t>
            </w:r>
          </w:p>
        </w:tc>
        <w:tc>
          <w:tcPr>
            <w:tcW w:w="5822" w:type="dxa"/>
            <w:noWrap/>
          </w:tcPr>
          <w:p w14:paraId="1D9E848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1.支持≥4096台有线会议单元和≥300台无线会议单元同时接入管理使用；支持≥4396台会议单元同时参与会议议程（签到、表决、服务）以及发言控制。</w:t>
            </w:r>
          </w:p>
          <w:p w14:paraId="0F53BFC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2.主机兼容同时连接有线与无线会议单元，二者可并行使用；采用跨域音频同步技术，有线与无线会议单元音频的音频无缝混音输出。</w:t>
            </w:r>
          </w:p>
          <w:p w14:paraId="043D9B3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3.设备采用分段压缩混音处理技术和时钟同步传输技术，会议单元拾音到主机输出延时≤5ms。</w:t>
            </w:r>
          </w:p>
          <w:p w14:paraId="1189553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设备具有≥1个USB接口；后面板具有≥2路RS-232接口、≥1路RS-485接口、≥4路RJ45通讯接口；具有≥1路RCA输入、≥1路卡侬输入、≥2路凤凰端子输入接口；≥1路RCA输出、≥1路卡侬输出、≥16路凤凰端子输出接口；≥1个拨码开关、≥1个接地柱。</w:t>
            </w:r>
          </w:p>
          <w:p w14:paraId="349ADE4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前面板具有≥5个状态指示灯，可显示有线无线会议单元使用状态；其中≥4个有线会议发言单元通讯指示灯，有线会议单元正常通讯使用为闪烁状态；其中≥1个为无线会议发言单元通讯指示灯，接上无线收发器正常使用进入闪烁状态；未接入设备时不亮，可快速检测链路使用状态。</w:t>
            </w:r>
          </w:p>
          <w:p w14:paraId="482D689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具有≥16路音频输出通道，通过扩展可实现≥272个音频输出通道，音频输出通道可配置为有线角色分离输出模式、无线角色分离输出模式、同传输出模式；每个音频输出通道都能独立调节音频参数，包括≥30级音量调节、≥10段均衡器调节、≥100级延时器调节功能。</w:t>
            </w:r>
          </w:p>
          <w:p w14:paraId="3C2CC39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7.主机具有≥16通道音频分组输出接口；采用会议分区相控技术，可拆分≥16个独立的会议系统使用，也可以组成一个大型的会议系统使用，实现多种方式的会议室合并/拆分。</w:t>
            </w:r>
          </w:p>
          <w:p w14:paraId="2D176A7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8.支持主机U盘和客户端软件两种录音方式；搭配会议话筒和录音盒可以录制单个会议单元发言音频</w:t>
            </w:r>
          </w:p>
          <w:p w14:paraId="4D6AA01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具有C/S、B/S管控架构，包括客户端、WEB端、本机全彩触摸屏、安卓手机/平板控制方式；通过客户端、WEB端可调节音频矩阵参数（包括EQ、音量、延时器、会议单元灵敏度）、≥16通道输出模式切换、开关会议单元、中英俄法四种语言切换、控制角色分离主机功能；使用本机全彩触摸屏可调节会议模式、有线/无线会议单元开麦数量、编ID、主机/从机设置、中英俄法四种语言切换、显示亮度/输出音量调节、显示剩余使用天数、输入注册码进行主机注册功能；使用安卓手机/平板可控制会议单元开关、开启签到、投票、表决、接收会议服务信息、一键关闭无线会议单元功能，免PC操作。</w:t>
            </w:r>
          </w:p>
          <w:p w14:paraId="58A23B4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10.WEB管理端具有切换个性化主题风格功能，可切换≥4种风格，可选简约主题、政务主题、时尚主题、活力主题，不同主题提供不同UI界面背景颜色。</w:t>
            </w:r>
          </w:p>
          <w:p w14:paraId="2B112BB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11.超大数据处理能力：系统支持≥24台会议单元同时发言，其中支持≥16台有线会议单元和≥8台无线会议单元同时发言；具有自定义会议单元发言人数功能，有线会议单元发言人数范围可设置为等同或优于1至16之间的任意数量；无线会议单元发言人数范围可设置为等同或优于1至8之间的任意数量。</w:t>
            </w:r>
          </w:p>
          <w:p w14:paraId="7901E37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12.具有≥3种备份机制；支持主机双机热备功能，可设置一台设备为主机，另一台设置为从机，当主机出现故障时，可自动切换至从机运行，实现双备份功能；支持环形双链路功能，确保在其中的一条网线断开或者单元出问题时，会议能继续正常进行；支持T型链路备份功能，链路中即使多台会议单元出现故障，其他会议单元不受影响，保障会议正常进行。</w:t>
            </w:r>
          </w:p>
          <w:p w14:paraId="3953706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13.采用会议系统多环路检测及网络补给技术，实现会议单元手拉手链路出现故障时快速恢复，环路恢复时间≤5ms。</w:t>
            </w:r>
          </w:p>
          <w:p w14:paraId="6BE4483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14.具有C/S、B/S架构管理软件，客户端、WEB端软件均可运行的操作系统版本≥8种，包括Windows7/10/11、银河麒麟桌面操作系统（兆芯版）、银河麒麟桌面操作系统（飞腾版）、macOS系统、统信UOS、Ubuntu桌面版操作系统。</w:t>
            </w:r>
          </w:p>
          <w:p w14:paraId="49647B8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15.支持搭配会议话筒处理器使用，主机与话筒处理器之间通过网线连接方式传输音频，可以同时传输≥16路有线会议单元和≥8路无线会议单元发言的音频信号，并提供反馈抑制、智能混音以及自动增益音频调节处理功能。</w:t>
            </w:r>
          </w:p>
          <w:p w14:paraId="097807B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16.会议主机软件融入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功能和一键还原配置信息功能。</w:t>
            </w:r>
          </w:p>
        </w:tc>
        <w:tc>
          <w:tcPr>
            <w:tcW w:w="706" w:type="dxa"/>
            <w:noWrap/>
          </w:tcPr>
          <w:p w14:paraId="1E328FB5">
            <w:pPr>
              <w:pStyle w:val="30"/>
              <w:spacing w:line="360" w:lineRule="auto"/>
              <w:rPr>
                <w:rFonts w:ascii="仿宋" w:hAnsi="仿宋" w:eastAsia="仿宋" w:cs="仿宋"/>
                <w:color w:val="000000"/>
                <w:sz w:val="24"/>
                <w:szCs w:val="22"/>
              </w:rPr>
            </w:pPr>
          </w:p>
          <w:p w14:paraId="55B779F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50E0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55BFA946">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26</w:t>
            </w:r>
          </w:p>
        </w:tc>
        <w:tc>
          <w:tcPr>
            <w:tcW w:w="1222" w:type="dxa"/>
            <w:noWrap/>
            <w:vAlign w:val="center"/>
          </w:tcPr>
          <w:p w14:paraId="1DDE77C7">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录播主机</w:t>
            </w:r>
          </w:p>
        </w:tc>
        <w:tc>
          <w:tcPr>
            <w:tcW w:w="5822" w:type="dxa"/>
            <w:noWrap/>
          </w:tcPr>
          <w:p w14:paraId="5B4B1B00">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1.采用一体化硬件设计，嵌入式Linux操作系统，高度集成图像识别跟踪、自动导播、直播、点播、采集、录制等系统模块。</w:t>
            </w:r>
          </w:p>
          <w:p w14:paraId="2E85016D">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2.基于B/S架构，</w:t>
            </w:r>
            <w:r>
              <w:rPr>
                <w:rFonts w:hint="eastAsia" w:ascii="仿宋" w:hAnsi="仿宋" w:eastAsia="仿宋" w:cs="仿宋"/>
                <w:color w:val="000000"/>
                <w:sz w:val="24"/>
                <w:szCs w:val="22"/>
                <w:lang w:eastAsia="zh-CN"/>
              </w:rPr>
              <w:t>登录</w:t>
            </w:r>
            <w:r>
              <w:rPr>
                <w:rFonts w:ascii="仿宋" w:hAnsi="仿宋" w:eastAsia="仿宋" w:cs="仿宋"/>
                <w:color w:val="000000"/>
                <w:sz w:val="24"/>
                <w:szCs w:val="22"/>
              </w:rPr>
              <w:t>web端即可实现直播管理、信号管理、分组管理、用户管理、文件管理、预约录制、中控管理以及系统管理等功能。</w:t>
            </w:r>
          </w:p>
          <w:p w14:paraId="6BCAC4C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3.音频采用AAC高清编码方式，音视频精准同步录制。视频采用H.264编码方式，码率可调，支持视频编码256kbps～12Mbps，支持≥1920x1080分辨率（HDMI分辨率可支持≥3840x2160）。</w:t>
            </w:r>
          </w:p>
          <w:p w14:paraId="652BB9F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4.主机内置LCD屏，显示系统硬盘空间、版本号和录制状态、IP地址等设备信息。</w:t>
            </w:r>
          </w:p>
          <w:p w14:paraId="5417D477">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5.无需安装辅助跟踪分析摄像机，即可实现对低龄、身高差大班级的学生进行精准跟踪，自适应不同班级学生的高度。</w:t>
            </w:r>
          </w:p>
          <w:p w14:paraId="46865F97">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6.主机具备≥4个快捷按键，实现录制、停止、直播以及一键拷贝录制文件功能。</w:t>
            </w:r>
          </w:p>
          <w:p w14:paraId="2067AEF2">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7.主机具备≥3路HDMI信号输入接口、≥4路SDI信号输入接口，≥3路HDMI视频输出接口，≥6路控制接口，≥5路USB接口，≥2路音频输出接口。</w:t>
            </w:r>
          </w:p>
          <w:p w14:paraId="7C0D372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8.主机的SDI接口具备POC功能，支持POC设备自适应识别，实现一条线完成视频传输、云台控制和供电功能。</w:t>
            </w:r>
          </w:p>
          <w:p w14:paraId="58DC581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9.支持≥8台云台摄像头同时控制转动、缩放。</w:t>
            </w:r>
          </w:p>
          <w:p w14:paraId="37E9638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10.支持通过导播软件进行手动导播，也可配合内置的自动导播模块进行全自动导播式。支持≥三画面、四画面以及对话画面等7种画面布局，并支持≥2种自定义画面布局。</w:t>
            </w:r>
          </w:p>
          <w:p w14:paraId="7968DF4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11.支持单流单画面/单流多画面/多流多画面的录制方式，可实现每路输入信号分别保存为单独的文件，最多支持同时录制5路视频画面，可自定义类别进行分类录制和分类存储，支持MP4、AVI、MOV、FLV和MKV等多种格式。</w:t>
            </w:r>
          </w:p>
          <w:p w14:paraId="28691C54">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12.支持二维抠像功能。将人物从绿幕或蓝幕背景中抠出来，与二维虚拟背景画面融合，合成一路画面。</w:t>
            </w:r>
          </w:p>
          <w:p w14:paraId="7CC0ADFF">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13.支持图像点击跟踪功能，一键即可到位。</w:t>
            </w:r>
          </w:p>
          <w:p w14:paraId="3EDC2322">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14.支持在线语音转写功能，实现将语音转写成文本并自动生成字幕。</w:t>
            </w:r>
          </w:p>
          <w:p w14:paraId="607B48FF">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15.支持字幕设置功能，内置字幕模版，用户可自定义设置字母的大小、色彩、位置。</w:t>
            </w:r>
          </w:p>
          <w:p w14:paraId="4FC58CF2">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16.支持自定义添加片头功能，上传自定的片头并且自定义其显示时间长短。</w:t>
            </w:r>
          </w:p>
          <w:p w14:paraId="29E9DAC1">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17.支持对各个视频画面打标签，区分画面显示不同内容。</w:t>
            </w:r>
          </w:p>
          <w:p w14:paraId="76EE0EAE">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18.支持视频文件修复功能。录制过程中，由断电导致损坏的视频文件可进行修复。</w:t>
            </w:r>
          </w:p>
          <w:p w14:paraId="357BCB07">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19.支持一键复位功能，避免出现文件损坏、ip地址丢失以及管理员密码丢失的情况导致系统不能使用。</w:t>
            </w:r>
          </w:p>
          <w:p w14:paraId="656BA33E">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20.加密录制：支持国密算法音视频加密录制，≥2种加密方式；支持对录制视频进行加密操作，支持配置多个加密狗使用；加密视频需使用解密播放器进行播放，需使用U盾或密码对加密视频进行授权播放。</w:t>
            </w:r>
          </w:p>
        </w:tc>
        <w:tc>
          <w:tcPr>
            <w:tcW w:w="706" w:type="dxa"/>
            <w:noWrap/>
          </w:tcPr>
          <w:p w14:paraId="6B3A3C3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4F8D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0A588BD2">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27</w:t>
            </w:r>
          </w:p>
        </w:tc>
        <w:tc>
          <w:tcPr>
            <w:tcW w:w="1222" w:type="dxa"/>
            <w:noWrap/>
            <w:vAlign w:val="center"/>
          </w:tcPr>
          <w:p w14:paraId="0C711584">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自动录制控制内嵌软件</w:t>
            </w:r>
          </w:p>
        </w:tc>
        <w:tc>
          <w:tcPr>
            <w:tcW w:w="5822" w:type="dxa"/>
            <w:noWrap/>
          </w:tcPr>
          <w:p w14:paraId="24FB0664">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1.软件内嵌录播主机，运行在Linux操作系统环境，支持B/S管理。</w:t>
            </w:r>
          </w:p>
          <w:p w14:paraId="192CFCFC">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2.软件支持添加录制片头、添加字幕、添加logo以及预约录制等功能。</w:t>
            </w:r>
          </w:p>
          <w:p w14:paraId="408F814E">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3.软件支持对课堂或培训课堂录制的控制和管理，具有录制资源模式、录制电影模式、录制暂停、选择录制格式等功能。</w:t>
            </w:r>
          </w:p>
          <w:p w14:paraId="35C73991">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4.软件支持多画面模式等，支持自定义布局。</w:t>
            </w:r>
          </w:p>
          <w:p w14:paraId="11236BFB">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5.软件支持通过导播台、导播键盘、导播软件等方式进行控制和管理录播主机。</w:t>
            </w:r>
          </w:p>
        </w:tc>
        <w:tc>
          <w:tcPr>
            <w:tcW w:w="706" w:type="dxa"/>
            <w:noWrap/>
          </w:tcPr>
          <w:p w14:paraId="4A1D3E1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7398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51B7A77E">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28</w:t>
            </w:r>
          </w:p>
        </w:tc>
        <w:tc>
          <w:tcPr>
            <w:tcW w:w="1222" w:type="dxa"/>
            <w:noWrap/>
            <w:vAlign w:val="center"/>
          </w:tcPr>
          <w:p w14:paraId="2B644FCA">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摄像机</w:t>
            </w:r>
          </w:p>
        </w:tc>
        <w:tc>
          <w:tcPr>
            <w:tcW w:w="5822" w:type="dxa"/>
            <w:noWrap/>
          </w:tcPr>
          <w:p w14:paraId="5E6D27B1">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1.高清摄像机具备≥20倍光学变倍镜头，并支持≥16倍数字变焦；采用1/2.8英寸、≥207万有效像素的高品质HD CMOS传感器。</w:t>
            </w:r>
          </w:p>
          <w:p w14:paraId="37D562FF">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2.镜头焦距f4.42mm ~ 88.5mm, 光圈系数F1.8 ~ F2.8 。</w:t>
            </w:r>
          </w:p>
          <w:p w14:paraId="4D48585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3.支持1080P60，1080P59.94，1080P50，1080I60，1080I59.94，1080I50，1080P30，1080P29.97，1080P25，720P60，720P59.94，720P50分辨率，支持输出帧率≥60帧/秒。</w:t>
            </w:r>
          </w:p>
          <w:p w14:paraId="6504A914">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4.支持HDMI、SDI、USB、网络四路视频同时输出。</w:t>
            </w:r>
          </w:p>
          <w:p w14:paraId="2C7A632F">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5.支持RS232和RS485串口，可对摄像机进行控制；支持预置位数量≥255个，预置位精度：≤0.1°。</w:t>
            </w:r>
          </w:p>
          <w:p w14:paraId="7647B1FA">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6.水平视场角：60.7°～3.36°；支持水平转动范围：-170°～+170°，垂直转动范围：-30°～+90°，水平转动速度范围：水平：1.7° ~ 100°/s，俯仰：1.7° ~ 69.9°/s。</w:t>
            </w:r>
          </w:p>
          <w:p w14:paraId="592F2E44">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7.支持先进的2D、3D降噪技术。</w:t>
            </w:r>
          </w:p>
          <w:p w14:paraId="7B94DEB6">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8.内置AI技术和行人重识别技术，实现自动识别目标人形并跟踪、自动框选功能。</w:t>
            </w:r>
          </w:p>
          <w:p w14:paraId="290AD53F">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9.支持AAC音频编码，音质更佳，带宽占用更小。</w:t>
            </w:r>
          </w:p>
          <w:p w14:paraId="39D0622D">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10.支持PoE供电。</w:t>
            </w:r>
          </w:p>
          <w:p w14:paraId="1F06A4D2">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11.具备≥1路HDMI输出接口、≥1路3G-SDI输出接口、≥1路USB3.0输出接口，具备≥1路3.5mm音频输入接口和≥1路3.5mm音频输出接口。</w:t>
            </w:r>
          </w:p>
        </w:tc>
        <w:tc>
          <w:tcPr>
            <w:tcW w:w="706" w:type="dxa"/>
            <w:noWrap/>
          </w:tcPr>
          <w:p w14:paraId="1CE8C15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3台</w:t>
            </w:r>
          </w:p>
        </w:tc>
      </w:tr>
      <w:tr w14:paraId="6B37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0F2418F7">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29</w:t>
            </w:r>
          </w:p>
        </w:tc>
        <w:tc>
          <w:tcPr>
            <w:tcW w:w="1222" w:type="dxa"/>
            <w:noWrap/>
            <w:vAlign w:val="center"/>
          </w:tcPr>
          <w:p w14:paraId="1EF4405B">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高清视频会议专用摄像头内嵌软件</w:t>
            </w:r>
          </w:p>
        </w:tc>
        <w:tc>
          <w:tcPr>
            <w:tcW w:w="5822" w:type="dxa"/>
            <w:noWrap/>
          </w:tcPr>
          <w:p w14:paraId="12999185">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1.软件内嵌于高清视频会议专用摄像头，实现高清视频拍摄采集处理功能。</w:t>
            </w:r>
          </w:p>
          <w:p w14:paraId="2A9B8C0D">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2.支持对高清视频信号的处理、传输；支持H.264视频编解码技术能力。</w:t>
            </w:r>
          </w:p>
          <w:p w14:paraId="40147D06">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3.支持光学变焦处理能力，支持通过串口实现远程控制。</w:t>
            </w:r>
          </w:p>
          <w:p w14:paraId="31BC80BF">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4.支持2D、3D降噪技术。</w:t>
            </w:r>
          </w:p>
          <w:p w14:paraId="0F2DBB81">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5.支持预置位设定及调用功能。</w:t>
            </w:r>
          </w:p>
        </w:tc>
        <w:tc>
          <w:tcPr>
            <w:tcW w:w="706" w:type="dxa"/>
            <w:noWrap/>
          </w:tcPr>
          <w:p w14:paraId="3038BD5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3套</w:t>
            </w:r>
          </w:p>
        </w:tc>
      </w:tr>
      <w:tr w14:paraId="787D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48C7C8A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30</w:t>
            </w:r>
          </w:p>
        </w:tc>
        <w:tc>
          <w:tcPr>
            <w:tcW w:w="1222" w:type="dxa"/>
            <w:noWrap/>
            <w:vAlign w:val="center"/>
          </w:tcPr>
          <w:p w14:paraId="79D978A8">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机柜</w:t>
            </w:r>
          </w:p>
        </w:tc>
        <w:tc>
          <w:tcPr>
            <w:tcW w:w="5822" w:type="dxa"/>
            <w:noWrap/>
          </w:tcPr>
          <w:p w14:paraId="26F15CB1">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长宽高：600*600*2000mm；承载静载：≥800KG；标准：符合GB/T3047.2-92标准兼容19’/国际标准/ 公制标准/ETSI标准；表面处理：水洗/脱脂/磷化/喷塑；机柜容量：42U；安装梁厚度：≥1.5mm；主要材料：SPCC优质冷扎钢板制作；托盘：≥1.2mm；其它厚度：≥1.2mm；防护等级：IP20；方孔条厚度：≥2.0mm；高度：≥2.0M；颜色：黑色；配置：前后为网孔门</w:t>
            </w:r>
          </w:p>
        </w:tc>
        <w:tc>
          <w:tcPr>
            <w:tcW w:w="706" w:type="dxa"/>
            <w:noWrap/>
          </w:tcPr>
          <w:p w14:paraId="4613721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bl>
    <w:p w14:paraId="2B323343">
      <w:pPr>
        <w:pStyle w:val="30"/>
        <w:spacing w:line="360" w:lineRule="auto"/>
        <w:rPr>
          <w:rFonts w:ascii="仿宋" w:hAnsi="仿宋" w:eastAsia="仿宋" w:cs="仿宋"/>
          <w:color w:val="000000"/>
          <w:sz w:val="24"/>
          <w:szCs w:val="22"/>
        </w:rPr>
      </w:pPr>
    </w:p>
    <w:p w14:paraId="589D9AE2">
      <w:pPr>
        <w:pStyle w:val="30"/>
        <w:spacing w:line="360" w:lineRule="auto"/>
        <w:ind w:firstLine="480" w:firstLineChars="200"/>
        <w:outlineLvl w:val="4"/>
        <w:rPr>
          <w:rFonts w:ascii="仿宋" w:hAnsi="仿宋" w:eastAsia="仿宋" w:cs="仿宋"/>
          <w:color w:val="000000"/>
          <w:sz w:val="24"/>
          <w:szCs w:val="22"/>
        </w:rPr>
      </w:pPr>
      <w:r>
        <w:rPr>
          <w:rFonts w:hint="eastAsia" w:ascii="仿宋" w:hAnsi="仿宋" w:eastAsia="仿宋" w:cs="仿宋"/>
          <w:color w:val="000000"/>
          <w:sz w:val="24"/>
          <w:szCs w:val="22"/>
        </w:rPr>
        <w:t>IV会议室子系统</w:t>
      </w:r>
    </w:p>
    <w:p w14:paraId="199ADFB0">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会议室子系统集成了先进的多媒体显示系统、专业的音响扩声系统。</w:t>
      </w:r>
    </w:p>
    <w:p w14:paraId="52AB865D">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档案馆五层会议室设置显示系统：包含投影仪、智能交互屏、会标屏、控制矩阵等设备组成。</w:t>
      </w:r>
    </w:p>
    <w:p w14:paraId="2AFB491D">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会议室设置一套会议室扩声系统：系统包含无线数字话筒、多编组调音台、音频处理器、专业功放、音响、天花喇叭等设备；</w:t>
      </w:r>
    </w:p>
    <w:p w14:paraId="72C78777">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设置会议系统一套：包含会议管理系统、会议话筒、会议主机等组成；</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222"/>
        <w:gridCol w:w="5822"/>
        <w:gridCol w:w="706"/>
      </w:tblGrid>
      <w:tr w14:paraId="1B24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5A9CC6E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序号</w:t>
            </w:r>
          </w:p>
        </w:tc>
        <w:tc>
          <w:tcPr>
            <w:tcW w:w="1222" w:type="dxa"/>
            <w:noWrap/>
            <w:vAlign w:val="center"/>
          </w:tcPr>
          <w:p w14:paraId="71A1F78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设备名称</w:t>
            </w:r>
          </w:p>
        </w:tc>
        <w:tc>
          <w:tcPr>
            <w:tcW w:w="5822" w:type="dxa"/>
            <w:noWrap/>
          </w:tcPr>
          <w:p w14:paraId="3A77082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★基本参数</w:t>
            </w:r>
          </w:p>
        </w:tc>
        <w:tc>
          <w:tcPr>
            <w:tcW w:w="706" w:type="dxa"/>
            <w:noWrap/>
          </w:tcPr>
          <w:p w14:paraId="523AD31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备注</w:t>
            </w:r>
          </w:p>
        </w:tc>
      </w:tr>
      <w:tr w14:paraId="4842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3B6F49A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w:t>
            </w:r>
          </w:p>
        </w:tc>
        <w:tc>
          <w:tcPr>
            <w:tcW w:w="1222" w:type="dxa"/>
            <w:noWrap/>
            <w:vAlign w:val="center"/>
          </w:tcPr>
          <w:p w14:paraId="2755280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投影仪</w:t>
            </w:r>
          </w:p>
        </w:tc>
        <w:tc>
          <w:tcPr>
            <w:tcW w:w="5822" w:type="dxa"/>
            <w:noWrap/>
          </w:tcPr>
          <w:p w14:paraId="3EAACB9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投影尺寸：30-300英寸；投影光源：激光；3D播放：支持3D功能；安装方式：支持吊装正投；吊装背投；桌上正投；桌上背投；360度投影；720度投影；焦距类型：长焦/超短焦；</w:t>
            </w:r>
          </w:p>
          <w:p w14:paraId="517D57A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显示参数光学变焦：支持光学变焦；ISO亮度：≥5500lm</w:t>
            </w:r>
          </w:p>
          <w:p w14:paraId="2E60AC0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ANSI亮度：≥5500lm；最大兼容分辨率：≥1920*1200dpi</w:t>
            </w:r>
          </w:p>
          <w:p w14:paraId="488C5D2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支持梯形校正、垂直校正；投射比：1.21-1.97：1；对焦方式：</w:t>
            </w:r>
          </w:p>
          <w:p w14:paraId="3C20EEB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手动；对比度：≥100000：1；显示比例16:9；</w:t>
            </w:r>
          </w:p>
        </w:tc>
        <w:tc>
          <w:tcPr>
            <w:tcW w:w="706" w:type="dxa"/>
            <w:noWrap/>
          </w:tcPr>
          <w:p w14:paraId="4A84931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5FAA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24049FD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w:t>
            </w:r>
          </w:p>
        </w:tc>
        <w:tc>
          <w:tcPr>
            <w:tcW w:w="1222" w:type="dxa"/>
            <w:noWrap/>
            <w:vAlign w:val="center"/>
          </w:tcPr>
          <w:p w14:paraId="71ACB7F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投影支架</w:t>
            </w:r>
          </w:p>
        </w:tc>
        <w:tc>
          <w:tcPr>
            <w:tcW w:w="5822" w:type="dxa"/>
            <w:noWrap/>
          </w:tcPr>
          <w:p w14:paraId="1FF0E99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承载重量：≥30KG</w:t>
            </w:r>
          </w:p>
          <w:p w14:paraId="0114B5C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材质：冷轧钢</w:t>
            </w:r>
          </w:p>
          <w:p w14:paraId="1739EB3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其他性能：可伸缩调节</w:t>
            </w:r>
          </w:p>
        </w:tc>
        <w:tc>
          <w:tcPr>
            <w:tcW w:w="706" w:type="dxa"/>
            <w:noWrap/>
          </w:tcPr>
          <w:p w14:paraId="73601DD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60F4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75DD6D7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w:t>
            </w:r>
          </w:p>
        </w:tc>
        <w:tc>
          <w:tcPr>
            <w:tcW w:w="1222" w:type="dxa"/>
            <w:noWrap/>
            <w:vAlign w:val="center"/>
          </w:tcPr>
          <w:p w14:paraId="5F88867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交互智能平板</w:t>
            </w:r>
          </w:p>
        </w:tc>
        <w:tc>
          <w:tcPr>
            <w:tcW w:w="5822" w:type="dxa"/>
            <w:noWrap/>
          </w:tcPr>
          <w:p w14:paraId="34188F6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1.内置安卓操作系统，系统版本优于或等同于安卓11，采用配置优于或等同于Quad-Core A55四核，Mali-G52 MP2双核处理器、4G内存、32G存储空间，支持USB多媒体文件播放功能。</w:t>
            </w:r>
          </w:p>
          <w:p w14:paraId="5A9A649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2.支持PC端≥20点触摸，安卓端≥10点触摸；支持触摸操作图片放大、缩小、旋转等；支持信号源切换后触摸功能可用。</w:t>
            </w:r>
          </w:p>
          <w:p w14:paraId="71EF6F5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3.支持各信号源显示状态下，通过触摸操作信号源、音量等菜单，支持2.0音频通道，内置喇叭≥2*15W。</w:t>
            </w:r>
          </w:p>
          <w:p w14:paraId="4852DE5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4.支持HDMI通道信号输入智能唤醒功能，HDMI支持4K60Hz，书写屏表面硬度≥7H。</w:t>
            </w:r>
          </w:p>
          <w:p w14:paraId="7D20927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5.支持任意通道下书写批注功能。</w:t>
            </w:r>
          </w:p>
          <w:p w14:paraId="43440CF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6.支持触摸菜单，实现返回键、菜单操作、任务预览、通道切换、音量调整、快捷电子白板操作。</w:t>
            </w:r>
          </w:p>
          <w:p w14:paraId="693D269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7.支持无线传屏，将电脑/笔记本电脑信号传输至交互平板上显示，支持同时接收≥4个信号显示在同一个交互平板上。</w:t>
            </w:r>
          </w:p>
          <w:p w14:paraId="3FF2C07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8.支持录屏功能、电子白板、手写批注功能。</w:t>
            </w:r>
          </w:p>
          <w:p w14:paraId="0E94665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9.支持计时功能，具备有计时器小工具。</w:t>
            </w:r>
          </w:p>
          <w:p w14:paraId="5CE616A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10.采用LED液晶显示屏，显示尺寸≥98英寸（16：9），刷新率≥60Hz，亮度≥450cd/㎡，视角（度）≥178°，支持分辨率≥3840（H）*2160（V）。</w:t>
            </w:r>
          </w:p>
          <w:p w14:paraId="022550F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11.输入端口：TYPE-C≥2个；TOUCH口≥1个；USB3.0≥2个；HDMI≥3个；RJ45 IN≥1个；AUDIOIN≥1个；VGAIN≥1个；DPIN≥1个；输出端口：OPTICAL OUT≥1个；USB2.0≥1个；TOUCH≥1个；USB3.0≥2个；WIFI≥4个；HDMI OUT≥1个；RJ45 OUT≥1个；LINE OUT≥1个；</w:t>
            </w:r>
          </w:p>
          <w:p w14:paraId="3403C3D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12.内置≥4800万（8000x6000@5fps）像素高清摄像头，≥8阵列麦克风，摄像头视场角D：≥80°H：≥75° V：≥50°，麦克风拾音距离:≥8m。</w:t>
            </w:r>
          </w:p>
        </w:tc>
        <w:tc>
          <w:tcPr>
            <w:tcW w:w="706" w:type="dxa"/>
            <w:noWrap/>
          </w:tcPr>
          <w:p w14:paraId="4DBDA24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5E8C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600A1CC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w:t>
            </w:r>
          </w:p>
        </w:tc>
        <w:tc>
          <w:tcPr>
            <w:tcW w:w="1222" w:type="dxa"/>
            <w:noWrap/>
            <w:vAlign w:val="center"/>
          </w:tcPr>
          <w:p w14:paraId="4C2258C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OPS电脑模块</w:t>
            </w:r>
          </w:p>
        </w:tc>
        <w:tc>
          <w:tcPr>
            <w:tcW w:w="5822" w:type="dxa"/>
            <w:noWrap/>
          </w:tcPr>
          <w:p w14:paraId="5448B7A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1.操作系统：银河麒麟桌面操作系统（兆芯版）V10（正版已激活）</w:t>
            </w:r>
          </w:p>
          <w:p w14:paraId="1715E91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2.处理器等同或优于：采用国产CPU优于或等同于8核，内存≥DDR4-8G，硬盘≥SSD-256G</w:t>
            </w:r>
          </w:p>
          <w:p w14:paraId="3B33094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3.设备具有电源开关、电源指示灯、硬盘指示灯</w:t>
            </w:r>
          </w:p>
          <w:p w14:paraId="62DAE76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3.设备接口：</w:t>
            </w:r>
          </w:p>
          <w:p w14:paraId="26A9283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（1）前I/O：USB2.0≥1，USB3.0≥4，HDMI OUT(Max. 4K/30Hz)≥1，RJ45≥1，防盗锁孔≥1，LINE-OUT×1,MIC-IN≥1,</w:t>
            </w:r>
          </w:p>
          <w:p w14:paraId="38199C7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（2）后I/O：≥1×80pin (JAE 80pin)，≥1×DC IN (2.5/5.5mm）</w:t>
            </w:r>
          </w:p>
          <w:p w14:paraId="7DE8069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（3）扩展接口：≥1×MXM 显卡扩展槽 ，≥1×面板插针（4pin wafer 开关+Power LED)，≥1×COM串口插针（ 9pin 2.0mm）</w:t>
            </w:r>
          </w:p>
        </w:tc>
        <w:tc>
          <w:tcPr>
            <w:tcW w:w="706" w:type="dxa"/>
            <w:noWrap/>
          </w:tcPr>
          <w:p w14:paraId="0A30EE7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1613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47FCCD2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w:t>
            </w:r>
          </w:p>
        </w:tc>
        <w:tc>
          <w:tcPr>
            <w:tcW w:w="1222" w:type="dxa"/>
            <w:noWrap/>
            <w:vAlign w:val="center"/>
          </w:tcPr>
          <w:p w14:paraId="594DE76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投屏器</w:t>
            </w:r>
          </w:p>
        </w:tc>
        <w:tc>
          <w:tcPr>
            <w:tcW w:w="5822" w:type="dxa"/>
            <w:noWrap/>
          </w:tcPr>
          <w:p w14:paraId="33E20D1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1.支持操作系统：Windows7/8/10 Mac OS</w:t>
            </w:r>
          </w:p>
          <w:p w14:paraId="4ADD4B3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2.帧数：可达≥30 帧</w:t>
            </w:r>
          </w:p>
          <w:p w14:paraId="1533E28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3.输出分辨率：1920×1080</w:t>
            </w:r>
          </w:p>
          <w:p w14:paraId="33E5DEF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4.输入分辨率：1920×1080&amp;3840×2160</w:t>
            </w:r>
          </w:p>
          <w:p w14:paraId="37EC586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5.噪音级别：最大28dBA</w:t>
            </w:r>
          </w:p>
          <w:p w14:paraId="338BF38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6.音频：兼容音频</w:t>
            </w:r>
          </w:p>
          <w:p w14:paraId="1EA6AFA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7.无线传输协议：802.11 a/g/n</w:t>
            </w:r>
          </w:p>
          <w:p w14:paraId="0BDF7E1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8.无线数据速率：≥400Mbps</w:t>
            </w:r>
          </w:p>
          <w:p w14:paraId="1C74720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9.频段：2.4 GHz 和5 GHz</w:t>
            </w:r>
          </w:p>
        </w:tc>
        <w:tc>
          <w:tcPr>
            <w:tcW w:w="706" w:type="dxa"/>
            <w:noWrap/>
          </w:tcPr>
          <w:p w14:paraId="08B017B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77B5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6F30CBC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w:t>
            </w:r>
          </w:p>
        </w:tc>
        <w:tc>
          <w:tcPr>
            <w:tcW w:w="1222" w:type="dxa"/>
            <w:noWrap/>
            <w:vAlign w:val="center"/>
          </w:tcPr>
          <w:p w14:paraId="4149AE3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桌插</w:t>
            </w:r>
          </w:p>
        </w:tc>
        <w:tc>
          <w:tcPr>
            <w:tcW w:w="5822" w:type="dxa"/>
            <w:noWrap/>
          </w:tcPr>
          <w:p w14:paraId="32E9D1F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1.插座采用全铝结构，信息模块接口采用标准模块。</w:t>
            </w:r>
          </w:p>
          <w:p w14:paraId="0F3A8F2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2.弹起式桌面插座，支持45°仰角。</w:t>
            </w:r>
          </w:p>
          <w:p w14:paraId="2231D69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3.具有≥1个功能按键，支持自定义按键的功能，搭配中控矩阵使用可实现视频切换、搭配中控系统支持扩展场景调用功能、搭配中控会议系统实现会议系统电源开启关闭功能等。</w:t>
            </w:r>
          </w:p>
          <w:p w14:paraId="10E1D6C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4.配置接口：≥1个多功能电源接口、≥2个RJ45网络、≥1个3.5音频、≥1个HDMI高清视频接口、≥1个功能按键</w:t>
            </w:r>
          </w:p>
        </w:tc>
        <w:tc>
          <w:tcPr>
            <w:tcW w:w="706" w:type="dxa"/>
            <w:noWrap/>
          </w:tcPr>
          <w:p w14:paraId="098B230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r>
      <w:tr w14:paraId="297E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4444922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w:t>
            </w:r>
          </w:p>
        </w:tc>
        <w:tc>
          <w:tcPr>
            <w:tcW w:w="1222" w:type="dxa"/>
            <w:noWrap/>
            <w:vAlign w:val="center"/>
          </w:tcPr>
          <w:p w14:paraId="40900A5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会标屏</w:t>
            </w:r>
          </w:p>
        </w:tc>
        <w:tc>
          <w:tcPr>
            <w:tcW w:w="5822" w:type="dxa"/>
            <w:noWrap/>
          </w:tcPr>
          <w:p w14:paraId="2B7C470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1.LED封装形式：SMD2121，发光点颜色组合：1R。</w:t>
            </w:r>
          </w:p>
          <w:p w14:paraId="3ABF0E7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2.物理点间距：≤4.75mm；分辨率：44321点/㎡。</w:t>
            </w:r>
          </w:p>
          <w:p w14:paraId="5E0E85D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3.单元板分辨率：64*32，单元板尺寸（mm）：304*152，白平衡亮度：200CD/㎡。</w:t>
            </w:r>
          </w:p>
          <w:p w14:paraId="73FFB31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4.水平视角：≥120°；垂直视角：≥120°。</w:t>
            </w:r>
          </w:p>
          <w:p w14:paraId="6A6937F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5.杂点率：≤1/10000且无连续失控点</w:t>
            </w:r>
          </w:p>
          <w:p w14:paraId="6CE2443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6.平均无故障时间：≥10000H</w:t>
            </w:r>
          </w:p>
          <w:p w14:paraId="75C3F04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7.控制方式：异步控制；驱动器件：恒流；刷新频率：360Hz；换帧频率：≥60Hz；驱动方式：1/16扫描。</w:t>
            </w:r>
          </w:p>
          <w:p w14:paraId="7743BF4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8.环境温度：存储-35℃~+85℃，工作温度：－20℃~+50℃。</w:t>
            </w:r>
          </w:p>
          <w:p w14:paraId="376FC42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9.亮度调节方式：软件0到16无级调节。</w:t>
            </w:r>
          </w:p>
        </w:tc>
        <w:tc>
          <w:tcPr>
            <w:tcW w:w="706" w:type="dxa"/>
            <w:noWrap/>
          </w:tcPr>
          <w:p w14:paraId="435D03C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4DA2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56DDAC8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w:t>
            </w:r>
          </w:p>
        </w:tc>
        <w:tc>
          <w:tcPr>
            <w:tcW w:w="1222" w:type="dxa"/>
            <w:noWrap/>
            <w:vAlign w:val="center"/>
          </w:tcPr>
          <w:p w14:paraId="5117288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控制卡</w:t>
            </w:r>
          </w:p>
        </w:tc>
        <w:tc>
          <w:tcPr>
            <w:tcW w:w="5822" w:type="dxa"/>
            <w:noWrap/>
          </w:tcPr>
          <w:p w14:paraId="6279606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1.支持控制单色带载≥4800*512，向下兼容；双色带载≥4096*512，向下兼容；</w:t>
            </w:r>
          </w:p>
          <w:p w14:paraId="562BFE5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2.支持适配各种规格的单色/双基色LED显示屏；</w:t>
            </w:r>
          </w:p>
          <w:p w14:paraId="31FA739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3.支持分组集群管理、多节目编辑、多区域显示、多种语言版本；</w:t>
            </w:r>
          </w:p>
          <w:p w14:paraId="4294A18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4.支持≥256个节目，每个节目划分为≥32个区域；</w:t>
            </w:r>
          </w:p>
          <w:p w14:paraId="735D237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5.支持区域有天气区、图文区、字幕区、动画区、农历区、时间区、模拟表盘区、正负计时区、传感器区；</w:t>
            </w:r>
          </w:p>
          <w:p w14:paraId="487CA93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6.支持时钟显示农历、模拟表盘、中英文时钟、正负计时 (均支持多组显示)；</w:t>
            </w:r>
          </w:p>
          <w:p w14:paraId="339E022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7.支持温度、温湿度、亮度传感器；，扩展支持其它RS485接口传感器。</w:t>
            </w:r>
          </w:p>
          <w:p w14:paraId="1D8CF21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8.支持16级亮度，支持分时调亮、软件调亮、遥控调亮；</w:t>
            </w:r>
          </w:p>
          <w:p w14:paraId="0159930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9.支持屏幕配置参数的保存与回读；</w:t>
            </w:r>
          </w:p>
        </w:tc>
        <w:tc>
          <w:tcPr>
            <w:tcW w:w="706" w:type="dxa"/>
            <w:noWrap/>
          </w:tcPr>
          <w:p w14:paraId="75AC026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7948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71BEAFD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w:t>
            </w:r>
          </w:p>
        </w:tc>
        <w:tc>
          <w:tcPr>
            <w:tcW w:w="1222" w:type="dxa"/>
            <w:noWrap/>
            <w:vAlign w:val="center"/>
          </w:tcPr>
          <w:p w14:paraId="528263D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转接板</w:t>
            </w:r>
          </w:p>
        </w:tc>
        <w:tc>
          <w:tcPr>
            <w:tcW w:w="5822" w:type="dxa"/>
            <w:noWrap/>
          </w:tcPr>
          <w:p w14:paraId="7144517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1.配套转接板；50PIN背插连接，结构紧凑；</w:t>
            </w:r>
          </w:p>
          <w:p w14:paraId="375DA30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2.最大高度：≥128行（≥4组T8接口）；</w:t>
            </w:r>
          </w:p>
        </w:tc>
        <w:tc>
          <w:tcPr>
            <w:tcW w:w="706" w:type="dxa"/>
            <w:noWrap/>
          </w:tcPr>
          <w:p w14:paraId="1FA2E1F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29F4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794A6C2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10</w:t>
            </w:r>
          </w:p>
        </w:tc>
        <w:tc>
          <w:tcPr>
            <w:tcW w:w="1222" w:type="dxa"/>
            <w:noWrap/>
            <w:vAlign w:val="center"/>
          </w:tcPr>
          <w:p w14:paraId="47B275D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配电柜</w:t>
            </w:r>
          </w:p>
        </w:tc>
        <w:tc>
          <w:tcPr>
            <w:tcW w:w="5822" w:type="dxa"/>
            <w:noWrap/>
          </w:tcPr>
          <w:p w14:paraId="7825794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1.额定功率：≥10kW，输出路数：≥3路</w:t>
            </w:r>
          </w:p>
          <w:p w14:paraId="1EAD303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2.输入电压：三相五线制AC380V±10%，频率50Hz±5%，具有高温断电、浪涌、短路、过流、过载保护功能；</w:t>
            </w:r>
          </w:p>
          <w:p w14:paraId="412DB70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3.输出电压：单相三线制AC220V±10%；</w:t>
            </w:r>
          </w:p>
          <w:p w14:paraId="3BF60AB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4.内置避雷器，具有避雷防雷功能；</w:t>
            </w:r>
          </w:p>
          <w:p w14:paraId="6A8EBFD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5.配电柜含多功能卡控制，具有远程控制功能、RS232串口或千兆网口通信；</w:t>
            </w:r>
          </w:p>
          <w:p w14:paraId="0875B54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6.通过LED显示屏智慧控制系统软件搭配多功能卡实现电源监视、温度监控操作；</w:t>
            </w:r>
          </w:p>
        </w:tc>
        <w:tc>
          <w:tcPr>
            <w:tcW w:w="706" w:type="dxa"/>
            <w:noWrap/>
          </w:tcPr>
          <w:p w14:paraId="1EE5632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2160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5CF928D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11</w:t>
            </w:r>
          </w:p>
        </w:tc>
        <w:tc>
          <w:tcPr>
            <w:tcW w:w="1222" w:type="dxa"/>
            <w:noWrap/>
            <w:vAlign w:val="center"/>
          </w:tcPr>
          <w:p w14:paraId="25C8EB1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无缝高清矩阵切换器</w:t>
            </w:r>
          </w:p>
        </w:tc>
        <w:tc>
          <w:tcPr>
            <w:tcW w:w="5822" w:type="dxa"/>
            <w:noWrap/>
          </w:tcPr>
          <w:p w14:paraId="4B5469D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1.矩阵采用纯硬件标准化机箱设计，支持配置≥8×8路信号切换，支持HDMI、DVI、VGA、SDI、HDBaseT、光纤的任意输入/输出信号卡，其中DVI输入卡兼容CVBS，YUV,VGA信号，VGA输入/输出卡均兼容CVBS，YUV,VGA信号。</w:t>
            </w:r>
          </w:p>
          <w:p w14:paraId="3A76F9A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2.采用板卡模块化设计，支持接入≥2块输入卡、≥2块输出卡、≥1块控制卡；通过定制配置各类相同或不同的输入输出卡可以组成单一接口类型或多接口类型的矩阵，如HDMI矩阵，DVI矩阵，VGA矩阵，YUV矩阵。</w:t>
            </w:r>
          </w:p>
          <w:p w14:paraId="5A49E38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3.支持无缝切换功能，切换过程无黑屏信号。</w:t>
            </w:r>
          </w:p>
          <w:p w14:paraId="5C62085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4.输入输出分辨率支持≥4K@60Hz；支持断电记忆功能；系统内可存储多组预切换指令，调用时可以一键切换。</w:t>
            </w:r>
          </w:p>
          <w:p w14:paraId="2919676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5.支持模拟音频与HDMI内嵌音频选择输入、支持模拟音频与HDMI内嵌音频同时输出。</w:t>
            </w:r>
          </w:p>
          <w:p w14:paraId="4416D41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6.采用多线程通信技术，支持接入≥1块控制板卡，具有≥1路RS-232接口,≥1路RS-485接口,≥1路TCP/IP端口，支持扩展延长触控屏控制。</w:t>
            </w:r>
          </w:p>
          <w:p w14:paraId="0989D26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7.HDBaseT输入输出信号支持双向RS-232和双向IR 信号传输，可对RS-232和IR信号选择随视频信号切换，或分离切换模式。</w:t>
            </w:r>
          </w:p>
          <w:p w14:paraId="21B46EA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机箱前面板内置≥7英寸全彩触摸屏，可通过前面板触控屏进行通道切换、场景调用、切换、保存操作，具备自定义设置场景名称功能，可查看设备IP地址、通道信息、切换状态，可进行IP地址设置、重置，具备通道切换状态显示，支持输出分辨率显示，支持板卡接入状态显示，具备中英文双语切换功能。</w:t>
            </w:r>
          </w:p>
          <w:p w14:paraId="20ADBCF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9.采用无极缩放算法与视频编解码处理技术，支持画面色度、亮度、对比度、色温、伽马值等调节，支持HDR画质增强功能。</w:t>
            </w:r>
          </w:p>
        </w:tc>
        <w:tc>
          <w:tcPr>
            <w:tcW w:w="706" w:type="dxa"/>
            <w:noWrap/>
          </w:tcPr>
          <w:p w14:paraId="046376D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6AD3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29D4594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12</w:t>
            </w:r>
          </w:p>
        </w:tc>
        <w:tc>
          <w:tcPr>
            <w:tcW w:w="1222" w:type="dxa"/>
            <w:noWrap/>
            <w:vAlign w:val="center"/>
          </w:tcPr>
          <w:p w14:paraId="51677D1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HDMI无缝高清输入卡</w:t>
            </w:r>
          </w:p>
        </w:tc>
        <w:tc>
          <w:tcPr>
            <w:tcW w:w="5822" w:type="dxa"/>
            <w:noWrap/>
          </w:tcPr>
          <w:p w14:paraId="376EDE1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1.支持≥4路HDMI-A母接口和3.5mm音频座，支持模拟音频与HDMI内嵌音频选择输入；支持热插拔。</w:t>
            </w:r>
          </w:p>
          <w:p w14:paraId="52F2558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2.支持快速无缝切换，无闪烁，无黑屏。</w:t>
            </w:r>
          </w:p>
          <w:p w14:paraId="670C4D3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3.支持断电现场切换记忆保护功能，特有ESD静电保护功能。</w:t>
            </w:r>
          </w:p>
          <w:p w14:paraId="4C97EFC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 xml:space="preserve">4.兼容HDMI1.3a的标准，HDCP1.3协议，DVI1.0协议。支持分辨率≥1920X1200P@60。 </w:t>
            </w:r>
          </w:p>
        </w:tc>
        <w:tc>
          <w:tcPr>
            <w:tcW w:w="706" w:type="dxa"/>
            <w:noWrap/>
          </w:tcPr>
          <w:p w14:paraId="7185231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2块</w:t>
            </w:r>
          </w:p>
        </w:tc>
      </w:tr>
      <w:tr w14:paraId="7B42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5127FCF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13</w:t>
            </w:r>
          </w:p>
        </w:tc>
        <w:tc>
          <w:tcPr>
            <w:tcW w:w="1222" w:type="dxa"/>
            <w:noWrap/>
            <w:vAlign w:val="center"/>
          </w:tcPr>
          <w:p w14:paraId="16DC367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HDMI无缝高清输出卡</w:t>
            </w:r>
          </w:p>
        </w:tc>
        <w:tc>
          <w:tcPr>
            <w:tcW w:w="5822" w:type="dxa"/>
            <w:noWrap/>
          </w:tcPr>
          <w:p w14:paraId="6AC3FD7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1.支持≥4路HDMI-A母接口和3.5mm音频座，支持模拟音频与HDMI内嵌音频同时输出。支持热插拔。</w:t>
            </w:r>
          </w:p>
          <w:p w14:paraId="280CE19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2.支持快速无缝切换，无闪烁，无黑屏。</w:t>
            </w:r>
          </w:p>
          <w:p w14:paraId="7EF094F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3.支持断电现场切换记忆保护功能，特有ESD静电保护功能。</w:t>
            </w:r>
          </w:p>
          <w:p w14:paraId="08F5501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4.兼容HDMI1.3a的标准，HDCP1.3协议，DVI1.0协议。支持倍线功能，分辨率支持≥1080P。</w:t>
            </w:r>
          </w:p>
        </w:tc>
        <w:tc>
          <w:tcPr>
            <w:tcW w:w="706" w:type="dxa"/>
            <w:noWrap/>
          </w:tcPr>
          <w:p w14:paraId="3A435DA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2块</w:t>
            </w:r>
          </w:p>
        </w:tc>
      </w:tr>
      <w:tr w14:paraId="4150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2795B7C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14</w:t>
            </w:r>
          </w:p>
        </w:tc>
        <w:tc>
          <w:tcPr>
            <w:tcW w:w="1222" w:type="dxa"/>
            <w:noWrap/>
            <w:vAlign w:val="center"/>
          </w:tcPr>
          <w:p w14:paraId="1062A35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客户端主机</w:t>
            </w:r>
          </w:p>
        </w:tc>
        <w:tc>
          <w:tcPr>
            <w:tcW w:w="5822" w:type="dxa"/>
            <w:noWrap/>
          </w:tcPr>
          <w:p w14:paraId="07AFDA9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同硬件部分需求</w:t>
            </w:r>
          </w:p>
        </w:tc>
        <w:tc>
          <w:tcPr>
            <w:tcW w:w="706" w:type="dxa"/>
            <w:noWrap/>
          </w:tcPr>
          <w:p w14:paraId="542349B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0909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1491D06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15</w:t>
            </w:r>
          </w:p>
        </w:tc>
        <w:tc>
          <w:tcPr>
            <w:tcW w:w="1222" w:type="dxa"/>
            <w:noWrap/>
            <w:vAlign w:val="center"/>
          </w:tcPr>
          <w:p w14:paraId="2883214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主音箱</w:t>
            </w:r>
          </w:p>
        </w:tc>
        <w:tc>
          <w:tcPr>
            <w:tcW w:w="5822" w:type="dxa"/>
            <w:noWrap/>
          </w:tcPr>
          <w:p w14:paraId="12C6991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1.采用≥6只3寸全频喇叭单元。</w:t>
            </w:r>
          </w:p>
          <w:p w14:paraId="467F31F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2.箱体采用≥12mm高密度板，CNC加工，耐磨喷漆处理。</w:t>
            </w:r>
          </w:p>
          <w:p w14:paraId="732E29A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3.拼接排列扬声器设计。</w:t>
            </w:r>
          </w:p>
          <w:p w14:paraId="4274B7A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4.额定功率≥200W；峰值功率≥800W</w:t>
            </w:r>
          </w:p>
          <w:p w14:paraId="563B015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5.灵敏度≥95dB(1M/1W)</w:t>
            </w:r>
          </w:p>
          <w:p w14:paraId="2D1EF0F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6.最大声压级（额定/峰值）≥118dB/124dB</w:t>
            </w:r>
          </w:p>
          <w:p w14:paraId="1D49440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7.标称阻抗≤6Ω</w:t>
            </w:r>
          </w:p>
          <w:p w14:paraId="13A6DE7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8.频率范围等同或优于80Hz-20kHz</w:t>
            </w:r>
          </w:p>
        </w:tc>
        <w:tc>
          <w:tcPr>
            <w:tcW w:w="706" w:type="dxa"/>
            <w:noWrap/>
          </w:tcPr>
          <w:p w14:paraId="5A05661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2套</w:t>
            </w:r>
          </w:p>
        </w:tc>
      </w:tr>
      <w:tr w14:paraId="04CD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31D3BF4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16</w:t>
            </w:r>
          </w:p>
        </w:tc>
        <w:tc>
          <w:tcPr>
            <w:tcW w:w="1222" w:type="dxa"/>
            <w:noWrap/>
            <w:vAlign w:val="center"/>
          </w:tcPr>
          <w:p w14:paraId="314C503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主音箱功放</w:t>
            </w:r>
          </w:p>
        </w:tc>
        <w:tc>
          <w:tcPr>
            <w:tcW w:w="5822" w:type="dxa"/>
            <w:noWrap/>
          </w:tcPr>
          <w:p w14:paraId="3CABC16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1.标准≤1U机箱设计，采用D类数字功放设计方案。</w:t>
            </w:r>
          </w:p>
          <w:p w14:paraId="7DD669E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2.标准XLR输入接口，和LINK输出口。</w:t>
            </w:r>
          </w:p>
          <w:p w14:paraId="42FD37B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3.电源采用开关电源技术，效率高，有效的抑制电源谐波。</w:t>
            </w:r>
          </w:p>
          <w:p w14:paraId="4BCF623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 xml:space="preserve">4.内置智能削峰限幅器，支持开机软启动，防止开机时向电网吸收大电流，干扰其它用电设备。 </w:t>
            </w:r>
          </w:p>
          <w:p w14:paraId="2817875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5.具有：过压保护，欠压保护，过流保护，直流保护，输出短路保护，温控风扇等功能。</w:t>
            </w:r>
          </w:p>
          <w:p w14:paraId="651D0BF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6.输出功率：立体声@8Ω：≥350W×2；立体声@4Ω：≥600W×2。</w:t>
            </w:r>
          </w:p>
        </w:tc>
        <w:tc>
          <w:tcPr>
            <w:tcW w:w="706" w:type="dxa"/>
            <w:noWrap/>
          </w:tcPr>
          <w:p w14:paraId="1AB1251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1A1E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4932C27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17</w:t>
            </w:r>
          </w:p>
        </w:tc>
        <w:tc>
          <w:tcPr>
            <w:tcW w:w="1222" w:type="dxa"/>
            <w:noWrap/>
            <w:vAlign w:val="center"/>
          </w:tcPr>
          <w:p w14:paraId="3E2CF53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天花喇叭</w:t>
            </w:r>
          </w:p>
        </w:tc>
        <w:tc>
          <w:tcPr>
            <w:tcW w:w="5822" w:type="dxa"/>
            <w:noWrap/>
          </w:tcPr>
          <w:p w14:paraId="51AE659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1.采用≥1只6.5寸中低音喇叭单元和≥1只1.5"球顶高音单元的同轴设计方案；</w:t>
            </w:r>
          </w:p>
          <w:p w14:paraId="01D1BEC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2.采用吸顶安装方式，采用铁质网罩内贴防尘网棉。</w:t>
            </w:r>
          </w:p>
          <w:p w14:paraId="6925AA4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3.分频器优化功率响应及人声部分的中频表现力。</w:t>
            </w:r>
          </w:p>
          <w:p w14:paraId="24BA00C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4.额定功率≥100W</w:t>
            </w:r>
          </w:p>
          <w:p w14:paraId="6E8FF54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5.阻抗：≤8Ω</w:t>
            </w:r>
          </w:p>
          <w:p w14:paraId="1A6DDF0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6.灵敏度(1W/1M)≥92dB</w:t>
            </w:r>
          </w:p>
          <w:p w14:paraId="6236E82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7.频率响应(-10dB)等同或优于60Hz-20KHz</w:t>
            </w:r>
          </w:p>
        </w:tc>
        <w:tc>
          <w:tcPr>
            <w:tcW w:w="706" w:type="dxa"/>
            <w:noWrap/>
          </w:tcPr>
          <w:p w14:paraId="015F2B8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6台</w:t>
            </w:r>
          </w:p>
        </w:tc>
      </w:tr>
      <w:tr w14:paraId="298D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44F85D6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18</w:t>
            </w:r>
          </w:p>
        </w:tc>
        <w:tc>
          <w:tcPr>
            <w:tcW w:w="1222" w:type="dxa"/>
            <w:noWrap/>
            <w:vAlign w:val="center"/>
          </w:tcPr>
          <w:p w14:paraId="4C522BA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喇叭功放</w:t>
            </w:r>
          </w:p>
        </w:tc>
        <w:tc>
          <w:tcPr>
            <w:tcW w:w="5822" w:type="dxa"/>
            <w:noWrap/>
          </w:tcPr>
          <w:p w14:paraId="7863CD1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1.标准≤1U机箱设计，采用D类数字功放设计方案。</w:t>
            </w:r>
          </w:p>
          <w:p w14:paraId="37F44F9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2.标准XLR输入接口，和LINK输出口。</w:t>
            </w:r>
          </w:p>
          <w:p w14:paraId="268B996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3.电源采用开关电源技术，效率高，有效的抑制电源谐波。</w:t>
            </w:r>
          </w:p>
          <w:p w14:paraId="20EB586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 xml:space="preserve">4.内置智能削峰限幅器，支持开机软启动，防止开机时向电网吸收大电流，干扰其它用电设备。 </w:t>
            </w:r>
          </w:p>
          <w:p w14:paraId="23FE3EE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5.具有：过压保护，欠压保护，过流保护，直流保护，输出短路保护，温控风扇等功能。</w:t>
            </w:r>
          </w:p>
          <w:p w14:paraId="025B600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6.输出功率：立体声@8Ω：≥200W×2；立体声@4Ω：≥400W×2。</w:t>
            </w:r>
          </w:p>
        </w:tc>
        <w:tc>
          <w:tcPr>
            <w:tcW w:w="706" w:type="dxa"/>
            <w:noWrap/>
          </w:tcPr>
          <w:p w14:paraId="29A0482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3台</w:t>
            </w:r>
          </w:p>
        </w:tc>
      </w:tr>
      <w:tr w14:paraId="51B0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365712E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19</w:t>
            </w:r>
          </w:p>
        </w:tc>
        <w:tc>
          <w:tcPr>
            <w:tcW w:w="1222" w:type="dxa"/>
            <w:noWrap/>
            <w:vAlign w:val="center"/>
          </w:tcPr>
          <w:p w14:paraId="609EE82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数字调音台</w:t>
            </w:r>
          </w:p>
        </w:tc>
        <w:tc>
          <w:tcPr>
            <w:tcW w:w="5822" w:type="dxa"/>
            <w:noWrap/>
          </w:tcPr>
          <w:p w14:paraId="707B93E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1.支持≥8路麦克风输入兼容6路线路输入接口，支持≥2路立体声输入接口，≥4路RCA输入，话筒接口幻象电源：+48V。</w:t>
            </w:r>
          </w:p>
          <w:p w14:paraId="6F0E5A3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2.具有≥2组立体声输出、≥4路编组输出、≥4路辅助输出、≥1个耳机监听输出、≥1个接口双路效果输出 、≥1组控制室输出、≥1组主混音断点插入、≥6个断点插入。</w:t>
            </w:r>
          </w:p>
          <w:p w14:paraId="0CFC6AC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3.内置≥24位DSP效果器，提供≥100种预设效果。</w:t>
            </w:r>
          </w:p>
          <w:p w14:paraId="385E301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4.具备≥13个60mm行程的高精密碳膜推子。</w:t>
            </w:r>
          </w:p>
          <w:p w14:paraId="67EC6B5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5.内置USB声卡模块，支持连接电脑进行音乐播放和声音录音；内置MP3播放器，支持≥1个USB接口接U盘播放音乐。</w:t>
            </w:r>
          </w:p>
        </w:tc>
        <w:tc>
          <w:tcPr>
            <w:tcW w:w="706" w:type="dxa"/>
            <w:noWrap/>
          </w:tcPr>
          <w:p w14:paraId="61E3FF8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3BFE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00A076E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20</w:t>
            </w:r>
          </w:p>
        </w:tc>
        <w:tc>
          <w:tcPr>
            <w:tcW w:w="1222" w:type="dxa"/>
            <w:noWrap/>
            <w:vAlign w:val="center"/>
          </w:tcPr>
          <w:p w14:paraId="50D98E6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音频处理器</w:t>
            </w:r>
          </w:p>
        </w:tc>
        <w:tc>
          <w:tcPr>
            <w:tcW w:w="5822" w:type="dxa"/>
            <w:noWrap/>
          </w:tcPr>
          <w:p w14:paraId="4D8B5D6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后面板具有≥8路线路音频凤凰端子平衡输入接口（具有48V幻象供电）、≥8路线路音频凤凰端子平衡输出接口、≥1个拨码开关、≥1个RJ45接口、≥1个RS232接口、≥1个RS485接口、≥8个可编程GPIO控制接口、≥1个接地柱；前面板具有≥2.0英寸 IPS 真彩显示屏、≥1个编码旋钮、≥1个USB存储设备接口。</w:t>
            </w:r>
          </w:p>
          <w:p w14:paraId="4D94A19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p>
          <w:p w14:paraId="2D70AD4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3.具有矩阵增益调节功能，每个输入通道参与混音的增益可调，增益调节范围等同或优于-72db到12db。</w:t>
            </w:r>
          </w:p>
          <w:p w14:paraId="2C20BD2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4.音频处理器具有跨平台软件，可运行的操作系统版本≥8种，包括Windows7/10/11、银河麒麟桌面操作系统（兆芯版）、银河麒麟桌面操作系统（飞腾版）、macOS系统、统信UOS、Ubuntu桌面版操作系统。</w:t>
            </w:r>
          </w:p>
          <w:p w14:paraId="6DCD5CC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5.产品具有PC客户端、手机移动端、安卓平板端不同控制方式，可以通同时登入APP软件、PC客户端同时连接设备，并实现多端数据的同步。</w:t>
            </w:r>
          </w:p>
          <w:p w14:paraId="53956B7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6.设备具有编码旋钮和IPS屏幕，可用于控制和配置设备静音，增益，场景；IPS屏幕能够显示IP地址，输入和输出通道的实时电平。</w:t>
            </w:r>
          </w:p>
          <w:p w14:paraId="619553E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7.具有设备定位功能，客户端一键定位局域网内同类设备，被定位的设备会显示定位信息。</w:t>
            </w:r>
          </w:p>
          <w:p w14:paraId="0770C61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8.设备具有统一集中控制功能，支持≥65535台设备通过软件集中控制。</w:t>
            </w:r>
          </w:p>
          <w:p w14:paraId="17F6FAB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706" w:type="dxa"/>
            <w:noWrap/>
          </w:tcPr>
          <w:p w14:paraId="62A6D52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3378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5684E18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21</w:t>
            </w:r>
          </w:p>
        </w:tc>
        <w:tc>
          <w:tcPr>
            <w:tcW w:w="1222" w:type="dxa"/>
            <w:noWrap/>
            <w:vAlign w:val="center"/>
          </w:tcPr>
          <w:p w14:paraId="24B0985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无线话筒</w:t>
            </w:r>
          </w:p>
        </w:tc>
        <w:tc>
          <w:tcPr>
            <w:tcW w:w="5822" w:type="dxa"/>
            <w:noWrap/>
          </w:tcPr>
          <w:p w14:paraId="37741E3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1.频率指标等同或优于支持470-510MHz,530-598MHz,630-698MHz,788-830MHz。</w:t>
            </w:r>
          </w:p>
          <w:p w14:paraId="6EE5002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2.配套有≥1台接收主机和≥2个无线手持话筒。</w:t>
            </w:r>
          </w:p>
          <w:p w14:paraId="6B41AAB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采用UHF超高频段双真分集接收，并采用PLL锁相环多信道频率合成技术；V/A显示屏在任何角度观察字体清晰同时显示信道号与工作频率。红外对频功能，使发射机与接收机频率同步，具有抗干扰能力，能有效抑制由外部带来的噪音干扰及同频干扰。</w:t>
            </w:r>
          </w:p>
          <w:p w14:paraId="00DAC2A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4.带≥8级射频电平显示，≥8级音频电平显示，频道菜单显示，静音显示；具有SCAN 自动扫频功能，使用前按SET功能键自动找一个环境最干净的频点处停下来，此频率作为接收机的使用频率。</w:t>
            </w:r>
          </w:p>
          <w:p w14:paraId="2F2302F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5.平衡和非平衡两种选择输出端口，适应不同的设备连接需求。</w:t>
            </w:r>
          </w:p>
          <w:p w14:paraId="5D5CE3F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6.接收机指标：采用二次变频超外差的接收机方式，灵敏度:≥ 12dB μV（80dBS/N)，灵敏度调节范围等同或优12-32dB μV，频率响应等同或优于80Hz-18KHz（±3dB）。</w:t>
            </w:r>
          </w:p>
          <w:p w14:paraId="487FF63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7.发射机指标：音头采用动圈式麦克风</w:t>
            </w:r>
          </w:p>
        </w:tc>
        <w:tc>
          <w:tcPr>
            <w:tcW w:w="706" w:type="dxa"/>
            <w:noWrap/>
          </w:tcPr>
          <w:p w14:paraId="66AA695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1D29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494FD76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22</w:t>
            </w:r>
          </w:p>
        </w:tc>
        <w:tc>
          <w:tcPr>
            <w:tcW w:w="1222" w:type="dxa"/>
            <w:noWrap/>
            <w:vAlign w:val="center"/>
          </w:tcPr>
          <w:p w14:paraId="4544509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话筒呼叫控制嵌入软件</w:t>
            </w:r>
          </w:p>
        </w:tc>
        <w:tc>
          <w:tcPr>
            <w:tcW w:w="5822" w:type="dxa"/>
            <w:noWrap/>
          </w:tcPr>
          <w:p w14:paraId="30F61C1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1.软件内嵌于无线话筒系统设备，话筒呼叫控制功能。</w:t>
            </w:r>
          </w:p>
          <w:p w14:paraId="27A694B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2.采用UHF超高频段双真分集接收，并采用PLL锁相环多信道频率合成技术。</w:t>
            </w:r>
          </w:p>
          <w:p w14:paraId="1FB4802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3.支持二次变频超外差接收机方式。</w:t>
            </w:r>
          </w:p>
          <w:p w14:paraId="37750C8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4.支持单独调节音量。</w:t>
            </w:r>
          </w:p>
          <w:p w14:paraId="7E5ED4E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5.支持信道选择、频率可调、可设置主机与话筒配对。</w:t>
            </w:r>
          </w:p>
        </w:tc>
        <w:tc>
          <w:tcPr>
            <w:tcW w:w="706" w:type="dxa"/>
            <w:noWrap/>
          </w:tcPr>
          <w:p w14:paraId="37D901A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6272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31C80A3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23</w:t>
            </w:r>
          </w:p>
        </w:tc>
        <w:tc>
          <w:tcPr>
            <w:tcW w:w="1222" w:type="dxa"/>
            <w:noWrap/>
            <w:vAlign w:val="center"/>
          </w:tcPr>
          <w:p w14:paraId="7134F88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抑制器</w:t>
            </w:r>
          </w:p>
        </w:tc>
        <w:tc>
          <w:tcPr>
            <w:tcW w:w="5822" w:type="dxa"/>
            <w:noWrap/>
          </w:tcPr>
          <w:p w14:paraId="09391C7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1.基于啸叫检测门限更新法，具有移频+陷波反馈抑制功能，可以使用≥48个可编程陷波点。</w:t>
            </w:r>
          </w:p>
          <w:p w14:paraId="75C6BFD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前面板具有≥48个LED灯陷波状态指示灯（具有≥2×12个静态点和≥2×12个动态点）、≥2英寸IPS真彩显示屏、≥1个编码旋钮；后面板具有≥1个船形开关、≥2路XLR母座+2路TRS母座模拟输入、≥2路XLR公座+2路TRS母座模拟输出、≥1个RJ45接口。</w:t>
            </w:r>
          </w:p>
          <w:p w14:paraId="4818918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3.设备具有编码旋钮和≥2.0英寸IPS屏幕，可用于控制和配置设备直通、场景。IPS屏幕能够显示IP地址，输入和输出通道的实时电平。</w:t>
            </w:r>
          </w:p>
          <w:p w14:paraId="555E4AC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4.具有设备定位，PC客户端具有一键定位局域网内同类设备功能，被定位到的设备会在显示屏上显示定位信息。</w:t>
            </w:r>
          </w:p>
          <w:p w14:paraId="5C4F49A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5.设备具有统一集中控制功能，支持≥65535台设备通过软件集中控制。</w:t>
            </w:r>
          </w:p>
          <w:p w14:paraId="612CB9E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6.支持多客户端数据同步，≥2个客户端以上连接混音器设备时，可实现多端数据同步。</w:t>
            </w:r>
          </w:p>
          <w:p w14:paraId="62721A2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706" w:type="dxa"/>
            <w:noWrap/>
          </w:tcPr>
          <w:p w14:paraId="6DACD9D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03D8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3DBAFF9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24</w:t>
            </w:r>
          </w:p>
        </w:tc>
        <w:tc>
          <w:tcPr>
            <w:tcW w:w="1222" w:type="dxa"/>
            <w:noWrap/>
            <w:vAlign w:val="center"/>
          </w:tcPr>
          <w:p w14:paraId="6BC69A0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电源管理器</w:t>
            </w:r>
          </w:p>
        </w:tc>
        <w:tc>
          <w:tcPr>
            <w:tcW w:w="5822" w:type="dxa"/>
            <w:noWrap/>
          </w:tcPr>
          <w:p w14:paraId="53E68EB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1.支持≥8通道电源时序打开/关闭，每路动作延时时间：≤1秒，支持远程控制（上电+24V直流信号）8通道电源时序打开/关闭—当电源开关处于off位置时有效。支持配置CH1和CH2通道为受控或不受控状态。</w:t>
            </w:r>
          </w:p>
          <w:p w14:paraId="6FDF8C9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2.当远程控制有效时同时控制后板ALARM（报警）端口导通以起到级联控制ALARM（报警）功能。</w:t>
            </w:r>
          </w:p>
          <w:p w14:paraId="0AE46F2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3.单个通道最大负载功率≥2200W，所有通道负载总功率≥6000W。输出连接器：多用途电源插座。</w:t>
            </w:r>
          </w:p>
          <w:p w14:paraId="738A3A4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4.具有一路及以上USB输出接口。</w:t>
            </w:r>
          </w:p>
        </w:tc>
        <w:tc>
          <w:tcPr>
            <w:tcW w:w="706" w:type="dxa"/>
            <w:noWrap/>
          </w:tcPr>
          <w:p w14:paraId="7D2BD9F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r w14:paraId="0DA2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4A2C912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25</w:t>
            </w:r>
          </w:p>
        </w:tc>
        <w:tc>
          <w:tcPr>
            <w:tcW w:w="1222" w:type="dxa"/>
            <w:noWrap/>
            <w:vAlign w:val="center"/>
          </w:tcPr>
          <w:p w14:paraId="4328450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话筒</w:t>
            </w:r>
          </w:p>
        </w:tc>
        <w:tc>
          <w:tcPr>
            <w:tcW w:w="5822" w:type="dxa"/>
            <w:noWrap/>
          </w:tcPr>
          <w:p w14:paraId="2767374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1.话筒采用≥48kHz采样率。</w:t>
            </w:r>
          </w:p>
          <w:p w14:paraId="142D4AF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2.采用芯片架构及算法，话筒开机连接时间≤5秒。</w:t>
            </w:r>
          </w:p>
          <w:p w14:paraId="5BE318E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3.具有智能检测故障功能，提示用户AP故障、主机通信故障、信号强度过低等情况。</w:t>
            </w:r>
          </w:p>
          <w:p w14:paraId="2253225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4.支持通过Type-C口充电，支持18W快充，具有智能指标状态。</w:t>
            </w:r>
          </w:p>
          <w:p w14:paraId="1CDF552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5.可通过UI设置SSID。</w:t>
            </w:r>
          </w:p>
          <w:p w14:paraId="1DFA897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6.具有中英文切换显示功能，通过PC软件统一设置。</w:t>
            </w:r>
          </w:p>
          <w:p w14:paraId="2B64469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7.具有发言计时和定时发言功能。</w:t>
            </w:r>
          </w:p>
          <w:p w14:paraId="0D37FEB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8.具有声控功能。通过软件调节声控灵敏度及设置关闭时间。</w:t>
            </w:r>
          </w:p>
          <w:p w14:paraId="74D4ACA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9.支持签到功能，通过PC软件设置并发起。</w:t>
            </w:r>
          </w:p>
          <w:p w14:paraId="6A2D3A3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10.支持会议投票功能、支持五键选举、三键表决功能。</w:t>
            </w:r>
          </w:p>
          <w:p w14:paraId="568FD77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11.采用≥128位AES加密技术，支持 WPA/WPA2 无线安全技术。</w:t>
            </w:r>
          </w:p>
          <w:p w14:paraId="5EA2EF6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12.主席具备优先权功能，可关闭正在发言的所有代表话筒。</w:t>
            </w:r>
          </w:p>
          <w:p w14:paraId="0F35268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13.采用全彩触屏，咪杆长度≤380mm。</w:t>
            </w:r>
          </w:p>
          <w:p w14:paraId="5511D48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14.具备≥3.5mm耳机孔，可连接外置麦克风。</w:t>
            </w:r>
          </w:p>
          <w:p w14:paraId="53AD76B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15.内置锂电池，电池容量支持≥14小时持续发言。</w:t>
            </w:r>
          </w:p>
        </w:tc>
        <w:tc>
          <w:tcPr>
            <w:tcW w:w="706" w:type="dxa"/>
            <w:noWrap/>
          </w:tcPr>
          <w:p w14:paraId="58AD65B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11套</w:t>
            </w:r>
          </w:p>
        </w:tc>
      </w:tr>
      <w:tr w14:paraId="1EC1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5F2FD63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26</w:t>
            </w:r>
          </w:p>
        </w:tc>
        <w:tc>
          <w:tcPr>
            <w:tcW w:w="1222" w:type="dxa"/>
            <w:noWrap/>
            <w:vAlign w:val="center"/>
          </w:tcPr>
          <w:p w14:paraId="7DD17A7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智能混音器</w:t>
            </w:r>
          </w:p>
        </w:tc>
        <w:tc>
          <w:tcPr>
            <w:tcW w:w="5822" w:type="dxa"/>
            <w:noWrap/>
          </w:tcPr>
          <w:p w14:paraId="60B9907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1.支持≥4096台有线会议单元和≥300台无线会议单元同时接入管理使用；支持≥4396台会议单元同时参与会议议程（签到、表决、服务）以及发言控制。</w:t>
            </w:r>
          </w:p>
          <w:p w14:paraId="2A2C80B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2.主机兼容同时连接有线与无线会议单元，二者可并行使用；采用跨域音频同步技术，有线与无线会议单元音频的音频无缝混音输出。</w:t>
            </w:r>
          </w:p>
          <w:p w14:paraId="116CA77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3.设备采用分段压缩混音处理技术和时钟同步传输技术，会议单元拾音到主机输出延时≤5ms。</w:t>
            </w:r>
          </w:p>
          <w:p w14:paraId="1A152EF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4.设备具有≥1个USB接口；后面板具有≥2路RS-232接口、≥1路RS-485接口、≥4路RJ45通讯接口；具有≥1路RCA输入、≥1路卡侬输入、≥2路凤凰端子输入接口；≥1路RCA输出、≥1路卡侬输出、≥16路凤凰端子输出接口；≥1个拨码开关、≥1个接地柱。</w:t>
            </w:r>
          </w:p>
          <w:p w14:paraId="1F3F676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5.前面板具有≥5个状态指示灯，可显示有线无线会议单元使用状态；其中≥4个有线会议发言单元通讯指示灯，有线会议单元正常通讯使用为闪烁状态；其中≥1个为无线会议发言单元通讯指示灯，接上无线收发器正常使用进入闪烁状态；未接入设备时不亮，可快速检测链路使用状态。</w:t>
            </w:r>
          </w:p>
          <w:p w14:paraId="020DF95A">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6.具有≥16路音频输出通道，通过扩展可实现≥272个音频输出通道，音频输出通道可配置为有线角色分离输出模式、无线角色分离输出模式、同传输出模式；每个音频输出通道都能独立调节音频参数，包括≥30级音量调节、≥10段均衡器调节、≥100级延时器调节功能。</w:t>
            </w:r>
          </w:p>
          <w:p w14:paraId="38A79E9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7.主机具有≥16通道音频分组输出接口；采用会议分区相控技术，可拆分≥16个独立的会议系统使用，也可以组成一个大型的会议系统使用，实现多种方式的会议室合并/拆分。</w:t>
            </w:r>
          </w:p>
          <w:p w14:paraId="554C086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8.支持主机U盘和客户端软件两种录音方式；搭配会议话筒和录音盒可以录制单个会议单元发言音频</w:t>
            </w:r>
          </w:p>
          <w:p w14:paraId="65EA9F30">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9.具有C/S、B/S管控架构，包括客户端、WEB端、本机全彩触摸屏、安卓手机/平板控制方式；通过客户端、WEB端可调节音频矩阵参数（包括EQ、音量、延时器、会议单元灵敏度）、≥16通道输出模式切换、开关会议单元、中英俄法四种语言切换、控制角色分离主机功能；使用本机全彩触摸屏可调节会议模式、有线/无线会议单元开麦数量、编ID、主机/从机设置、中英俄法四种语言切换、显示亮度/输出音量调节、显示剩余使用天数、输入注册码进行主机注册功能；使用安卓手机/平板可控制会议单元开关、开启签到、投票、表决、接收会议服务信息、一键关闭无线会议单元功能，免PC操作。</w:t>
            </w:r>
          </w:p>
          <w:p w14:paraId="3E9832C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10.WEB管理端具有切换个性化主题风格功能，可切换≥4种风格，可选简约主题、政务主题、时尚主题、活力主题，不同主题提供不同UI界面背景颜色。</w:t>
            </w:r>
          </w:p>
          <w:p w14:paraId="7508940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11.超大数据处理能力：系统支持≥24台会议单元同时发言，其中支持≥16台有线会议单元和≥8台无线会议单元同时发言；具有自定义会议单元发言人数功能，有线会议单元发言人数范围可设置为等同或优于1至16之间的任意数量；无线会议单元发言人数范围可设置为等同或优于1至8之间的任意数量。</w:t>
            </w:r>
          </w:p>
          <w:p w14:paraId="1AFB9A3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12.具有≥3种备份机制；支持主机双机热备功能，可设置一台设备为主机，另一台设置为从机，当主机出现故障时，可自动切换至从机运行，实现双备份功能；支持环形双链路功能，确保在其中的一条网线断开或者单元出问题时，会议能继续正常进行；支持T型链路备份功能，链路中即使多台会议单元出现故障，其他会议单元不受影响，保障会议正常进行。</w:t>
            </w:r>
          </w:p>
          <w:p w14:paraId="35C6001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13.采用会议系统多环路检测及网络补给技术，实现会议单元手拉手链路出现故障时快速恢复，环路恢复时间≤5ms。</w:t>
            </w:r>
          </w:p>
          <w:p w14:paraId="631743BE">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14.具有C/S、B/S架构管理软件，客户端、WEB端软件均可运行的操作系统版本≥8种，包括Windows7/10/11、银河麒麟桌面操作系统（兆芯版）、银河麒麟桌面操作系统（飞腾版）、macOS系统、统信UOS、Ubuntu桌面版操作系统。</w:t>
            </w:r>
          </w:p>
          <w:p w14:paraId="1B8E43E3">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15.支持搭配会议话筒处理器使用，主机与话筒处理器之间通过网线连接方式传输音频，可以同时传输≥16路有线会议单元和≥8路无线会议单元发言的音频信号，并提供反馈抑制、智能混音以及自动增益音频调节处理功能。</w:t>
            </w:r>
          </w:p>
          <w:p w14:paraId="66D08A42">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16.会议主机软件融入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功能和一键还原配置信息功能。</w:t>
            </w:r>
          </w:p>
        </w:tc>
        <w:tc>
          <w:tcPr>
            <w:tcW w:w="706" w:type="dxa"/>
            <w:noWrap/>
          </w:tcPr>
          <w:p w14:paraId="5F7E9831">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1台</w:t>
            </w:r>
          </w:p>
        </w:tc>
      </w:tr>
      <w:tr w14:paraId="01F7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ign w:val="center"/>
          </w:tcPr>
          <w:p w14:paraId="292D4FF4">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27</w:t>
            </w:r>
          </w:p>
        </w:tc>
        <w:tc>
          <w:tcPr>
            <w:tcW w:w="1222" w:type="dxa"/>
            <w:noWrap/>
            <w:vAlign w:val="center"/>
          </w:tcPr>
          <w:p w14:paraId="635D7E5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机柜</w:t>
            </w:r>
          </w:p>
        </w:tc>
        <w:tc>
          <w:tcPr>
            <w:tcW w:w="5822" w:type="dxa"/>
            <w:noWrap/>
          </w:tcPr>
          <w:p w14:paraId="06C2AB15">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长宽高：600*600*2000mm；承载静载：≥800KG；标准：符合GB/T3047.2-92标准兼容19’/国际标准/ 公制标准/ETSI标准；表面处理：水洗/脱脂/磷化/喷塑；机柜容量：42U；安装梁厚度：≥1.5mm；主要材料：SPCC优质</w:t>
            </w:r>
            <w:r>
              <w:rPr>
                <w:rFonts w:hint="eastAsia" w:ascii="仿宋" w:hAnsi="仿宋" w:eastAsia="仿宋" w:cs="仿宋"/>
                <w:color w:val="000000"/>
                <w:sz w:val="24"/>
                <w:szCs w:val="22"/>
                <w:lang w:eastAsia="zh-CN"/>
              </w:rPr>
              <w:t>冷轧</w:t>
            </w:r>
            <w:r>
              <w:rPr>
                <w:rFonts w:hint="eastAsia" w:ascii="仿宋" w:hAnsi="仿宋" w:eastAsia="仿宋" w:cs="仿宋"/>
                <w:color w:val="000000"/>
                <w:sz w:val="24"/>
                <w:szCs w:val="22"/>
              </w:rPr>
              <w:t>钢板制作；托盘：≥1.2mm；其它厚度：≥1.2mm；防护等级：IP20；方孔条厚度：≥2.0mm；高度：≥2.0M；颜色：黑色；配置：前后为网孔门</w:t>
            </w:r>
          </w:p>
        </w:tc>
        <w:tc>
          <w:tcPr>
            <w:tcW w:w="706" w:type="dxa"/>
            <w:noWrap/>
          </w:tcPr>
          <w:p w14:paraId="5A539C9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1套</w:t>
            </w:r>
          </w:p>
        </w:tc>
      </w:tr>
    </w:tbl>
    <w:p w14:paraId="26ACE1F7">
      <w:pPr>
        <w:pStyle w:val="30"/>
        <w:spacing w:line="360" w:lineRule="auto"/>
        <w:rPr>
          <w:rFonts w:ascii="仿宋" w:hAnsi="仿宋" w:eastAsia="仿宋" w:cs="仿宋"/>
          <w:color w:val="000000"/>
          <w:sz w:val="24"/>
          <w:szCs w:val="22"/>
        </w:rPr>
      </w:pPr>
    </w:p>
    <w:p w14:paraId="46747CBD">
      <w:pPr>
        <w:pStyle w:val="30"/>
        <w:numPr>
          <w:ilvl w:val="0"/>
          <w:numId w:val="20"/>
        </w:numPr>
        <w:spacing w:line="360" w:lineRule="auto"/>
        <w:outlineLvl w:val="3"/>
        <w:rPr>
          <w:rFonts w:ascii="仿宋" w:hAnsi="仿宋" w:eastAsia="仿宋" w:cs="仿宋"/>
          <w:color w:val="000000"/>
          <w:sz w:val="24"/>
          <w:szCs w:val="22"/>
        </w:rPr>
      </w:pPr>
      <w:r>
        <w:rPr>
          <w:rFonts w:hint="eastAsia" w:ascii="仿宋" w:hAnsi="仿宋" w:eastAsia="仿宋" w:cs="仿宋"/>
          <w:color w:val="000000"/>
          <w:sz w:val="24"/>
          <w:szCs w:val="22"/>
        </w:rPr>
        <w:t>门头沟区数字档案馆建设项目配套网络安全平台设备材料需求</w:t>
      </w:r>
    </w:p>
    <w:p w14:paraId="5AFD5187">
      <w:pPr>
        <w:pStyle w:val="30"/>
        <w:spacing w:line="360" w:lineRule="auto"/>
        <w:outlineLvl w:val="4"/>
        <w:rPr>
          <w:rFonts w:ascii="仿宋" w:hAnsi="仿宋" w:eastAsia="仿宋" w:cs="仿宋"/>
          <w:color w:val="000000"/>
          <w:sz w:val="24"/>
          <w:szCs w:val="22"/>
        </w:rPr>
      </w:pPr>
      <w:r>
        <w:rPr>
          <w:rFonts w:hint="eastAsia" w:ascii="仿宋" w:hAnsi="仿宋" w:eastAsia="仿宋" w:cs="仿宋"/>
          <w:color w:val="000000"/>
          <w:sz w:val="24"/>
          <w:szCs w:val="22"/>
        </w:rPr>
        <w:t>I局域网网络安全平台</w:t>
      </w:r>
    </w:p>
    <w:p w14:paraId="74577220">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通过对局域网划分安全区域并部署安装网络安全产品（防火墙、WAF、入侵检测、数据库审计、漏洞扫描、日志审计、堡垒机、主机安全等）实现等保三级安全使用环境。</w:t>
      </w:r>
    </w:p>
    <w:p w14:paraId="05DB3237">
      <w:pPr>
        <w:pStyle w:val="30"/>
        <w:spacing w:line="360" w:lineRule="auto"/>
        <w:outlineLvl w:val="4"/>
        <w:rPr>
          <w:rFonts w:ascii="仿宋" w:hAnsi="仿宋" w:eastAsia="仿宋" w:cs="仿宋"/>
          <w:color w:val="000000"/>
          <w:sz w:val="24"/>
          <w:szCs w:val="22"/>
        </w:rPr>
      </w:pPr>
      <w:r>
        <w:rPr>
          <w:rFonts w:hint="eastAsia" w:ascii="仿宋" w:hAnsi="仿宋" w:eastAsia="仿宋" w:cs="仿宋"/>
          <w:color w:val="000000"/>
          <w:sz w:val="24"/>
          <w:szCs w:val="22"/>
        </w:rPr>
        <w:t>II政务外网网络安全平台</w:t>
      </w:r>
    </w:p>
    <w:p w14:paraId="39DDB594">
      <w:pPr>
        <w:pStyle w:val="30"/>
        <w:spacing w:line="360" w:lineRule="auto"/>
        <w:ind w:firstLine="480" w:firstLineChars="200"/>
        <w:rPr>
          <w:rFonts w:ascii="仿宋" w:hAnsi="仿宋" w:eastAsia="仿宋" w:cs="仿宋"/>
          <w:color w:val="000000"/>
          <w:sz w:val="24"/>
          <w:szCs w:val="22"/>
        </w:rPr>
      </w:pPr>
      <w:r>
        <w:rPr>
          <w:rFonts w:hint="eastAsia" w:ascii="仿宋" w:hAnsi="仿宋" w:eastAsia="仿宋" w:cs="仿宋"/>
          <w:color w:val="000000"/>
          <w:sz w:val="24"/>
          <w:szCs w:val="22"/>
        </w:rPr>
        <w:t>通过对政务外网划分安全区域并部署安装网络安全产品（防火墙、WAF、入侵检测、数据库审计、漏洞扫描、日志审计、堡垒机、主机安全等）实现等保三级安全使用环境。</w:t>
      </w:r>
    </w:p>
    <w:p w14:paraId="7DF2A870">
      <w:pPr>
        <w:pStyle w:val="30"/>
        <w:spacing w:line="360" w:lineRule="auto"/>
        <w:outlineLvl w:val="4"/>
        <w:rPr>
          <w:rFonts w:ascii="仿宋" w:hAnsi="仿宋" w:eastAsia="仿宋" w:cs="仿宋"/>
          <w:color w:val="000000"/>
          <w:sz w:val="24"/>
          <w:szCs w:val="22"/>
        </w:rPr>
      </w:pPr>
      <w:r>
        <w:rPr>
          <w:rFonts w:hint="eastAsia" w:ascii="仿宋" w:hAnsi="仿宋" w:eastAsia="仿宋" w:cs="仿宋"/>
          <w:color w:val="000000"/>
          <w:sz w:val="24"/>
          <w:szCs w:val="22"/>
          <w:lang w:eastAsia="zh-CN"/>
        </w:rPr>
        <w:t>Ⅲ</w:t>
      </w:r>
      <w:r>
        <w:rPr>
          <w:rFonts w:hint="eastAsia" w:ascii="仿宋" w:hAnsi="仿宋" w:eastAsia="仿宋" w:cs="仿宋"/>
          <w:color w:val="000000"/>
          <w:sz w:val="24"/>
          <w:szCs w:val="22"/>
        </w:rPr>
        <w:t>产品清单及指标要求</w:t>
      </w:r>
    </w:p>
    <w:tbl>
      <w:tblPr>
        <w:tblStyle w:val="249"/>
        <w:tblpPr w:leftFromText="180" w:rightFromText="180" w:vertAnchor="text" w:horzAnchor="page" w:tblpX="2119" w:tblpY="210"/>
        <w:tblOverlap w:val="never"/>
        <w:tblW w:w="73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2707"/>
        <w:gridCol w:w="1195"/>
        <w:gridCol w:w="998"/>
        <w:gridCol w:w="1659"/>
      </w:tblGrid>
      <w:tr w14:paraId="188BC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58" w:type="dxa"/>
            <w:shd w:val="clear" w:color="auto" w:fill="BFBFBF"/>
            <w:noWrap/>
          </w:tcPr>
          <w:p w14:paraId="60DD92F7">
            <w:pPr>
              <w:pStyle w:val="30"/>
              <w:spacing w:line="360" w:lineRule="auto"/>
              <w:rPr>
                <w:rFonts w:ascii="仿宋" w:hAnsi="仿宋" w:eastAsia="仿宋" w:cs="仿宋"/>
                <w:color w:val="000000"/>
                <w:sz w:val="24"/>
                <w:szCs w:val="22"/>
                <w:lang w:eastAsia="en-US"/>
              </w:rPr>
            </w:pPr>
          </w:p>
        </w:tc>
        <w:tc>
          <w:tcPr>
            <w:tcW w:w="2707" w:type="dxa"/>
            <w:shd w:val="clear" w:color="auto" w:fill="BFBFBF"/>
            <w:noWrap/>
          </w:tcPr>
          <w:p w14:paraId="7EAB055E">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货物名称</w:t>
            </w:r>
          </w:p>
        </w:tc>
        <w:tc>
          <w:tcPr>
            <w:tcW w:w="1195" w:type="dxa"/>
            <w:shd w:val="clear" w:color="auto" w:fill="BFBFBF"/>
            <w:noWrap/>
          </w:tcPr>
          <w:p w14:paraId="0AEF9FBE">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单位</w:t>
            </w:r>
          </w:p>
        </w:tc>
        <w:tc>
          <w:tcPr>
            <w:tcW w:w="998" w:type="dxa"/>
            <w:shd w:val="clear" w:color="auto" w:fill="BFBFBF"/>
            <w:noWrap/>
          </w:tcPr>
          <w:p w14:paraId="2DAE6335">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数量</w:t>
            </w:r>
          </w:p>
        </w:tc>
        <w:tc>
          <w:tcPr>
            <w:tcW w:w="1659" w:type="dxa"/>
            <w:shd w:val="clear" w:color="auto" w:fill="BFBFBF"/>
            <w:noWrap/>
          </w:tcPr>
          <w:p w14:paraId="2FB5A44B">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产地</w:t>
            </w:r>
          </w:p>
        </w:tc>
      </w:tr>
      <w:tr w14:paraId="4871F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8" w:type="dxa"/>
            <w:noWrap/>
          </w:tcPr>
          <w:p w14:paraId="4F296C54">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1</w:t>
            </w:r>
          </w:p>
        </w:tc>
        <w:tc>
          <w:tcPr>
            <w:tcW w:w="2707" w:type="dxa"/>
            <w:noWrap/>
          </w:tcPr>
          <w:p w14:paraId="3B8167A6">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防火墙</w:t>
            </w:r>
          </w:p>
        </w:tc>
        <w:tc>
          <w:tcPr>
            <w:tcW w:w="1195" w:type="dxa"/>
            <w:noWrap/>
          </w:tcPr>
          <w:p w14:paraId="5452A61E">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台</w:t>
            </w:r>
          </w:p>
        </w:tc>
        <w:tc>
          <w:tcPr>
            <w:tcW w:w="998" w:type="dxa"/>
            <w:noWrap/>
          </w:tcPr>
          <w:p w14:paraId="13213417">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4</w:t>
            </w:r>
          </w:p>
        </w:tc>
        <w:tc>
          <w:tcPr>
            <w:tcW w:w="1659" w:type="dxa"/>
            <w:noWrap/>
          </w:tcPr>
          <w:p w14:paraId="6B3A2246">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国产</w:t>
            </w:r>
          </w:p>
        </w:tc>
      </w:tr>
      <w:tr w14:paraId="39293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58" w:type="dxa"/>
            <w:noWrap/>
          </w:tcPr>
          <w:p w14:paraId="31D6DCCE">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2</w:t>
            </w:r>
          </w:p>
        </w:tc>
        <w:tc>
          <w:tcPr>
            <w:tcW w:w="2707" w:type="dxa"/>
            <w:noWrap/>
          </w:tcPr>
          <w:p w14:paraId="2B3E939E">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边界防火墙</w:t>
            </w:r>
          </w:p>
        </w:tc>
        <w:tc>
          <w:tcPr>
            <w:tcW w:w="1195" w:type="dxa"/>
            <w:noWrap/>
          </w:tcPr>
          <w:p w14:paraId="367D38DC">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台</w:t>
            </w:r>
          </w:p>
        </w:tc>
        <w:tc>
          <w:tcPr>
            <w:tcW w:w="998" w:type="dxa"/>
            <w:noWrap/>
          </w:tcPr>
          <w:p w14:paraId="5AE99FBA">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2</w:t>
            </w:r>
          </w:p>
        </w:tc>
        <w:tc>
          <w:tcPr>
            <w:tcW w:w="1659" w:type="dxa"/>
            <w:noWrap/>
          </w:tcPr>
          <w:p w14:paraId="09D8AB3C">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国产</w:t>
            </w:r>
          </w:p>
        </w:tc>
      </w:tr>
      <w:tr w14:paraId="1A207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58" w:type="dxa"/>
            <w:noWrap/>
          </w:tcPr>
          <w:p w14:paraId="5DF57C21">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3</w:t>
            </w:r>
          </w:p>
        </w:tc>
        <w:tc>
          <w:tcPr>
            <w:tcW w:w="2707" w:type="dxa"/>
            <w:noWrap/>
          </w:tcPr>
          <w:p w14:paraId="6BD9EE9F">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WEB应用防火墙</w:t>
            </w:r>
          </w:p>
        </w:tc>
        <w:tc>
          <w:tcPr>
            <w:tcW w:w="1195" w:type="dxa"/>
            <w:noWrap/>
          </w:tcPr>
          <w:p w14:paraId="08546167">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台</w:t>
            </w:r>
          </w:p>
        </w:tc>
        <w:tc>
          <w:tcPr>
            <w:tcW w:w="998" w:type="dxa"/>
            <w:noWrap/>
          </w:tcPr>
          <w:p w14:paraId="24E7C76F">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4</w:t>
            </w:r>
          </w:p>
        </w:tc>
        <w:tc>
          <w:tcPr>
            <w:tcW w:w="1659" w:type="dxa"/>
            <w:noWrap/>
          </w:tcPr>
          <w:p w14:paraId="61B420D6">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国产</w:t>
            </w:r>
          </w:p>
        </w:tc>
      </w:tr>
      <w:tr w14:paraId="3E829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8" w:type="dxa"/>
            <w:noWrap/>
          </w:tcPr>
          <w:p w14:paraId="60B0099F">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4</w:t>
            </w:r>
          </w:p>
        </w:tc>
        <w:tc>
          <w:tcPr>
            <w:tcW w:w="2707" w:type="dxa"/>
            <w:noWrap/>
          </w:tcPr>
          <w:p w14:paraId="322D7A8C">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日志审计</w:t>
            </w:r>
          </w:p>
        </w:tc>
        <w:tc>
          <w:tcPr>
            <w:tcW w:w="1195" w:type="dxa"/>
            <w:noWrap/>
          </w:tcPr>
          <w:p w14:paraId="0F1A25D6">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台</w:t>
            </w:r>
          </w:p>
        </w:tc>
        <w:tc>
          <w:tcPr>
            <w:tcW w:w="998" w:type="dxa"/>
            <w:noWrap/>
          </w:tcPr>
          <w:p w14:paraId="3A266DB6">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2</w:t>
            </w:r>
          </w:p>
        </w:tc>
        <w:tc>
          <w:tcPr>
            <w:tcW w:w="1659" w:type="dxa"/>
            <w:noWrap/>
          </w:tcPr>
          <w:p w14:paraId="2C425EE1">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国产</w:t>
            </w:r>
          </w:p>
        </w:tc>
      </w:tr>
      <w:tr w14:paraId="22507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8" w:type="dxa"/>
            <w:noWrap/>
          </w:tcPr>
          <w:p w14:paraId="68F28825">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5</w:t>
            </w:r>
          </w:p>
        </w:tc>
        <w:tc>
          <w:tcPr>
            <w:tcW w:w="2707" w:type="dxa"/>
            <w:noWrap/>
          </w:tcPr>
          <w:p w14:paraId="33D3EFE7">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堡垒机</w:t>
            </w:r>
          </w:p>
        </w:tc>
        <w:tc>
          <w:tcPr>
            <w:tcW w:w="1195" w:type="dxa"/>
            <w:noWrap/>
          </w:tcPr>
          <w:p w14:paraId="0074FD31">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台</w:t>
            </w:r>
          </w:p>
        </w:tc>
        <w:tc>
          <w:tcPr>
            <w:tcW w:w="998" w:type="dxa"/>
            <w:noWrap/>
          </w:tcPr>
          <w:p w14:paraId="3BCF1D64">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2</w:t>
            </w:r>
          </w:p>
        </w:tc>
        <w:tc>
          <w:tcPr>
            <w:tcW w:w="1659" w:type="dxa"/>
            <w:noWrap/>
          </w:tcPr>
          <w:p w14:paraId="34213C5E">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国产</w:t>
            </w:r>
          </w:p>
        </w:tc>
      </w:tr>
      <w:tr w14:paraId="1280F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8" w:type="dxa"/>
            <w:noWrap/>
          </w:tcPr>
          <w:p w14:paraId="54901FE9">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6</w:t>
            </w:r>
          </w:p>
        </w:tc>
        <w:tc>
          <w:tcPr>
            <w:tcW w:w="2707" w:type="dxa"/>
            <w:noWrap/>
          </w:tcPr>
          <w:p w14:paraId="5500D1AD">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入侵检测</w:t>
            </w:r>
          </w:p>
        </w:tc>
        <w:tc>
          <w:tcPr>
            <w:tcW w:w="1195" w:type="dxa"/>
            <w:noWrap/>
          </w:tcPr>
          <w:p w14:paraId="6956E1F2">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台</w:t>
            </w:r>
          </w:p>
        </w:tc>
        <w:tc>
          <w:tcPr>
            <w:tcW w:w="998" w:type="dxa"/>
            <w:noWrap/>
          </w:tcPr>
          <w:p w14:paraId="1EF48861">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2</w:t>
            </w:r>
          </w:p>
        </w:tc>
        <w:tc>
          <w:tcPr>
            <w:tcW w:w="1659" w:type="dxa"/>
            <w:noWrap/>
          </w:tcPr>
          <w:p w14:paraId="67E53277">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国产</w:t>
            </w:r>
          </w:p>
        </w:tc>
      </w:tr>
      <w:tr w14:paraId="7D508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58" w:type="dxa"/>
            <w:noWrap/>
          </w:tcPr>
          <w:p w14:paraId="26D8A2B5">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7</w:t>
            </w:r>
          </w:p>
        </w:tc>
        <w:tc>
          <w:tcPr>
            <w:tcW w:w="2707" w:type="dxa"/>
            <w:noWrap/>
          </w:tcPr>
          <w:p w14:paraId="2FB54D50">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漏洞扫描</w:t>
            </w:r>
          </w:p>
        </w:tc>
        <w:tc>
          <w:tcPr>
            <w:tcW w:w="1195" w:type="dxa"/>
            <w:noWrap/>
          </w:tcPr>
          <w:p w14:paraId="24506A24">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台</w:t>
            </w:r>
          </w:p>
        </w:tc>
        <w:tc>
          <w:tcPr>
            <w:tcW w:w="998" w:type="dxa"/>
            <w:noWrap/>
          </w:tcPr>
          <w:p w14:paraId="262B2B28">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2</w:t>
            </w:r>
          </w:p>
        </w:tc>
        <w:tc>
          <w:tcPr>
            <w:tcW w:w="1659" w:type="dxa"/>
            <w:noWrap/>
          </w:tcPr>
          <w:p w14:paraId="22C3D00F">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国产</w:t>
            </w:r>
          </w:p>
        </w:tc>
      </w:tr>
      <w:tr w14:paraId="38052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58" w:type="dxa"/>
            <w:noWrap/>
          </w:tcPr>
          <w:p w14:paraId="30B43349">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8</w:t>
            </w:r>
          </w:p>
        </w:tc>
        <w:tc>
          <w:tcPr>
            <w:tcW w:w="2707" w:type="dxa"/>
            <w:noWrap/>
          </w:tcPr>
          <w:p w14:paraId="5EE13017">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数据审计</w:t>
            </w:r>
          </w:p>
        </w:tc>
        <w:tc>
          <w:tcPr>
            <w:tcW w:w="1195" w:type="dxa"/>
            <w:noWrap/>
          </w:tcPr>
          <w:p w14:paraId="424772AB">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台</w:t>
            </w:r>
          </w:p>
        </w:tc>
        <w:tc>
          <w:tcPr>
            <w:tcW w:w="998" w:type="dxa"/>
            <w:noWrap/>
          </w:tcPr>
          <w:p w14:paraId="1C7B41F4">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2</w:t>
            </w:r>
          </w:p>
        </w:tc>
        <w:tc>
          <w:tcPr>
            <w:tcW w:w="1659" w:type="dxa"/>
            <w:noWrap/>
          </w:tcPr>
          <w:p w14:paraId="4BC6B8CB">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国产</w:t>
            </w:r>
          </w:p>
        </w:tc>
      </w:tr>
      <w:tr w14:paraId="68FE7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58" w:type="dxa"/>
            <w:noWrap/>
          </w:tcPr>
          <w:p w14:paraId="07F4366B">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9</w:t>
            </w:r>
          </w:p>
        </w:tc>
        <w:tc>
          <w:tcPr>
            <w:tcW w:w="2707" w:type="dxa"/>
            <w:noWrap/>
          </w:tcPr>
          <w:p w14:paraId="7422E075">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杀毒软件</w:t>
            </w:r>
          </w:p>
        </w:tc>
        <w:tc>
          <w:tcPr>
            <w:tcW w:w="1195" w:type="dxa"/>
            <w:noWrap/>
          </w:tcPr>
          <w:p w14:paraId="1066D5A1">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套</w:t>
            </w:r>
          </w:p>
        </w:tc>
        <w:tc>
          <w:tcPr>
            <w:tcW w:w="998" w:type="dxa"/>
            <w:noWrap/>
          </w:tcPr>
          <w:p w14:paraId="13A85DBB">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2</w:t>
            </w:r>
          </w:p>
        </w:tc>
        <w:tc>
          <w:tcPr>
            <w:tcW w:w="1659" w:type="dxa"/>
            <w:noWrap/>
          </w:tcPr>
          <w:p w14:paraId="50FEA10E">
            <w:pPr>
              <w:pStyle w:val="30"/>
              <w:spacing w:line="360" w:lineRule="auto"/>
              <w:rPr>
                <w:rFonts w:ascii="仿宋" w:hAnsi="仿宋" w:eastAsia="仿宋" w:cs="仿宋"/>
                <w:color w:val="000000"/>
                <w:sz w:val="24"/>
                <w:szCs w:val="22"/>
                <w:lang w:eastAsia="en-US"/>
              </w:rPr>
            </w:pPr>
            <w:r>
              <w:rPr>
                <w:rFonts w:hint="eastAsia" w:ascii="仿宋" w:hAnsi="仿宋" w:eastAsia="仿宋" w:cs="仿宋"/>
                <w:color w:val="000000"/>
                <w:sz w:val="24"/>
                <w:szCs w:val="22"/>
                <w:lang w:eastAsia="en-US"/>
              </w:rPr>
              <w:t>国产</w:t>
            </w:r>
          </w:p>
        </w:tc>
      </w:tr>
    </w:tbl>
    <w:p w14:paraId="2D9D6E55">
      <w:pPr>
        <w:pStyle w:val="30"/>
        <w:spacing w:line="360" w:lineRule="auto"/>
        <w:rPr>
          <w:rFonts w:ascii="仿宋" w:hAnsi="仿宋" w:eastAsia="仿宋" w:cs="仿宋"/>
          <w:color w:val="000000"/>
          <w:sz w:val="24"/>
          <w:szCs w:val="22"/>
        </w:rPr>
      </w:pPr>
    </w:p>
    <w:p w14:paraId="69477269">
      <w:pPr>
        <w:pStyle w:val="30"/>
        <w:spacing w:line="360" w:lineRule="auto"/>
        <w:ind w:firstLine="480" w:firstLineChars="200"/>
        <w:rPr>
          <w:rFonts w:ascii="仿宋" w:hAnsi="仿宋" w:eastAsia="仿宋" w:cs="仿宋"/>
          <w:color w:val="000000"/>
          <w:sz w:val="24"/>
          <w:szCs w:val="22"/>
        </w:rPr>
      </w:pPr>
    </w:p>
    <w:p w14:paraId="1C60253A">
      <w:pPr>
        <w:pStyle w:val="30"/>
        <w:spacing w:line="360" w:lineRule="auto"/>
        <w:ind w:firstLine="480" w:firstLineChars="200"/>
        <w:rPr>
          <w:rFonts w:ascii="仿宋" w:hAnsi="仿宋" w:eastAsia="仿宋" w:cs="仿宋"/>
          <w:color w:val="000000"/>
          <w:sz w:val="24"/>
          <w:szCs w:val="22"/>
        </w:rPr>
      </w:pPr>
    </w:p>
    <w:p w14:paraId="3EF37750">
      <w:pPr>
        <w:pStyle w:val="30"/>
        <w:spacing w:line="360" w:lineRule="auto"/>
        <w:ind w:firstLine="480" w:firstLineChars="200"/>
        <w:rPr>
          <w:rFonts w:ascii="仿宋" w:hAnsi="仿宋" w:eastAsia="仿宋" w:cs="仿宋"/>
          <w:color w:val="000000"/>
          <w:sz w:val="24"/>
          <w:szCs w:val="22"/>
        </w:rPr>
      </w:pPr>
    </w:p>
    <w:p w14:paraId="3315CF35">
      <w:pPr>
        <w:pStyle w:val="30"/>
        <w:spacing w:line="360" w:lineRule="auto"/>
        <w:ind w:firstLine="480" w:firstLineChars="200"/>
        <w:rPr>
          <w:rFonts w:ascii="仿宋" w:hAnsi="仿宋" w:eastAsia="仿宋" w:cs="仿宋"/>
          <w:color w:val="000000"/>
          <w:sz w:val="24"/>
          <w:szCs w:val="22"/>
        </w:rPr>
      </w:pPr>
    </w:p>
    <w:p w14:paraId="7F392D70">
      <w:pPr>
        <w:pStyle w:val="30"/>
        <w:spacing w:line="360" w:lineRule="auto"/>
        <w:ind w:firstLine="480" w:firstLineChars="200"/>
        <w:rPr>
          <w:rFonts w:ascii="仿宋" w:hAnsi="仿宋" w:eastAsia="仿宋" w:cs="仿宋"/>
          <w:color w:val="000000"/>
          <w:sz w:val="24"/>
          <w:szCs w:val="22"/>
        </w:rPr>
      </w:pPr>
    </w:p>
    <w:p w14:paraId="2221B1B5">
      <w:pPr>
        <w:pStyle w:val="30"/>
        <w:spacing w:line="360" w:lineRule="auto"/>
        <w:ind w:firstLine="480" w:firstLineChars="200"/>
        <w:rPr>
          <w:rFonts w:ascii="仿宋" w:hAnsi="仿宋" w:eastAsia="仿宋" w:cs="仿宋"/>
          <w:color w:val="000000"/>
          <w:sz w:val="24"/>
          <w:szCs w:val="22"/>
        </w:rPr>
      </w:pPr>
    </w:p>
    <w:p w14:paraId="674B24DF">
      <w:pPr>
        <w:rPr>
          <w:lang w:eastAsia="en-US"/>
        </w:rPr>
      </w:pPr>
    </w:p>
    <w:p w14:paraId="43446887">
      <w:pPr>
        <w:rPr>
          <w:lang w:eastAsia="en-US"/>
        </w:rPr>
      </w:pPr>
    </w:p>
    <w:p w14:paraId="6B37B9EE">
      <w:pPr>
        <w:rPr>
          <w:lang w:eastAsia="en-US"/>
        </w:rPr>
      </w:pPr>
    </w:p>
    <w:p w14:paraId="5C52A241">
      <w:pPr>
        <w:rPr>
          <w:lang w:eastAsia="en-US"/>
        </w:rPr>
      </w:pPr>
    </w:p>
    <w:p w14:paraId="30BDCDBE">
      <w:pPr>
        <w:rPr>
          <w:lang w:eastAsia="en-US"/>
        </w:rPr>
      </w:pPr>
    </w:p>
    <w:p w14:paraId="3A4FE987">
      <w:pPr>
        <w:rPr>
          <w:lang w:eastAsia="en-US"/>
        </w:rPr>
      </w:pPr>
    </w:p>
    <w:p w14:paraId="425ED6A8">
      <w:pPr>
        <w:rPr>
          <w:rFonts w:hint="eastAsia" w:eastAsia="宋体"/>
          <w:lang w:val="en-US" w:eastAsia="zh-CN"/>
        </w:rPr>
      </w:pPr>
    </w:p>
    <w:p w14:paraId="66A3FE09">
      <w:pPr>
        <w:rPr>
          <w:rFonts w:hint="eastAsia" w:eastAsia="宋体"/>
          <w:lang w:val="en-US" w:eastAsia="zh-CN"/>
        </w:rPr>
      </w:pPr>
    </w:p>
    <w:p w14:paraId="1A554C9D">
      <w:pPr>
        <w:rPr>
          <w:lang w:eastAsia="en-US"/>
        </w:rPr>
      </w:pPr>
      <w:r>
        <w:rPr>
          <w:rFonts w:hint="eastAsia"/>
          <w:lang w:eastAsia="en-US"/>
        </w:rPr>
        <w:t>防火墙</w:t>
      </w:r>
    </w:p>
    <w:tbl>
      <w:tblPr>
        <w:tblStyle w:val="249"/>
        <w:tblW w:w="8269"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061"/>
        <w:gridCol w:w="1932"/>
        <w:gridCol w:w="4515"/>
      </w:tblGrid>
      <w:tr w14:paraId="1F088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61" w:type="dxa"/>
            <w:shd w:val="clear" w:color="auto" w:fill="A6A6A6"/>
            <w:noWrap/>
            <w:vAlign w:val="center"/>
          </w:tcPr>
          <w:p w14:paraId="675A48AB">
            <w:pPr>
              <w:autoSpaceDE w:val="0"/>
              <w:autoSpaceDN w:val="0"/>
              <w:rPr>
                <w:rFonts w:ascii="Calibri" w:hAnsi="Calibri"/>
                <w:lang w:eastAsia="en-US"/>
              </w:rPr>
            </w:pPr>
            <w:r>
              <w:rPr>
                <w:rFonts w:hint="eastAsia" w:ascii="Calibri" w:hAnsi="Calibri"/>
                <w:lang w:eastAsia="en-US"/>
              </w:rPr>
              <w:t>序号</w:t>
            </w:r>
          </w:p>
        </w:tc>
        <w:tc>
          <w:tcPr>
            <w:tcW w:w="1061" w:type="dxa"/>
            <w:shd w:val="clear" w:color="auto" w:fill="A6A6A6"/>
            <w:noWrap/>
            <w:vAlign w:val="center"/>
          </w:tcPr>
          <w:p w14:paraId="36048506">
            <w:pPr>
              <w:autoSpaceDE w:val="0"/>
              <w:autoSpaceDN w:val="0"/>
              <w:rPr>
                <w:rFonts w:ascii="Calibri" w:hAnsi="Calibri"/>
                <w:lang w:eastAsia="en-US"/>
              </w:rPr>
            </w:pPr>
            <w:r>
              <w:rPr>
                <w:rFonts w:hint="eastAsia" w:ascii="Calibri" w:hAnsi="Calibri"/>
                <w:lang w:eastAsia="en-US"/>
              </w:rPr>
              <w:t>重要性</w:t>
            </w:r>
          </w:p>
        </w:tc>
        <w:tc>
          <w:tcPr>
            <w:tcW w:w="1932" w:type="dxa"/>
            <w:shd w:val="clear" w:color="auto" w:fill="A6A6A6"/>
            <w:noWrap/>
            <w:vAlign w:val="center"/>
          </w:tcPr>
          <w:p w14:paraId="0998BA47">
            <w:pPr>
              <w:autoSpaceDE w:val="0"/>
              <w:autoSpaceDN w:val="0"/>
              <w:rPr>
                <w:rFonts w:ascii="Calibri" w:hAnsi="Calibri"/>
                <w:lang w:eastAsia="en-US"/>
              </w:rPr>
            </w:pPr>
            <w:r>
              <w:rPr>
                <w:rFonts w:hint="eastAsia" w:ascii="Calibri" w:hAnsi="Calibri"/>
                <w:lang w:eastAsia="en-US"/>
              </w:rPr>
              <w:t>指标项</w:t>
            </w:r>
          </w:p>
        </w:tc>
        <w:tc>
          <w:tcPr>
            <w:tcW w:w="4515" w:type="dxa"/>
            <w:shd w:val="clear" w:color="auto" w:fill="A6A6A6"/>
            <w:noWrap/>
            <w:vAlign w:val="center"/>
          </w:tcPr>
          <w:p w14:paraId="6F8C41B2">
            <w:pPr>
              <w:autoSpaceDE w:val="0"/>
              <w:autoSpaceDN w:val="0"/>
              <w:rPr>
                <w:rFonts w:ascii="Calibri" w:hAnsi="Calibri"/>
                <w:lang w:eastAsia="en-US"/>
              </w:rPr>
            </w:pPr>
            <w:r>
              <w:rPr>
                <w:rFonts w:hint="eastAsia" w:ascii="Calibri" w:hAnsi="Calibri"/>
                <w:lang w:eastAsia="en-US"/>
              </w:rPr>
              <w:t>指标要求</w:t>
            </w:r>
          </w:p>
        </w:tc>
      </w:tr>
      <w:tr w14:paraId="1594F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761" w:type="dxa"/>
            <w:noWrap/>
            <w:vAlign w:val="center"/>
          </w:tcPr>
          <w:p w14:paraId="44DD1A3E">
            <w:pPr>
              <w:autoSpaceDE w:val="0"/>
              <w:autoSpaceDN w:val="0"/>
              <w:rPr>
                <w:rFonts w:ascii="Calibri" w:hAnsi="Calibri"/>
                <w:lang w:eastAsia="en-US"/>
              </w:rPr>
            </w:pPr>
            <w:r>
              <w:rPr>
                <w:rFonts w:hint="eastAsia" w:ascii="Calibri" w:hAnsi="Calibri"/>
                <w:lang w:eastAsia="en-US"/>
              </w:rPr>
              <w:t>1</w:t>
            </w:r>
          </w:p>
        </w:tc>
        <w:tc>
          <w:tcPr>
            <w:tcW w:w="1061" w:type="dxa"/>
            <w:noWrap/>
            <w:vAlign w:val="center"/>
          </w:tcPr>
          <w:p w14:paraId="7D599404">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0D0360FA">
            <w:pPr>
              <w:autoSpaceDE w:val="0"/>
              <w:autoSpaceDN w:val="0"/>
              <w:rPr>
                <w:rFonts w:ascii="Calibri" w:hAnsi="Calibri"/>
                <w:lang w:eastAsia="en-US"/>
              </w:rPr>
            </w:pPr>
            <w:r>
              <w:rPr>
                <w:rFonts w:hint="eastAsia" w:ascii="Calibri" w:hAnsi="Calibri"/>
                <w:lang w:eastAsia="en-US"/>
              </w:rPr>
              <w:t>硬件配置要求</w:t>
            </w:r>
          </w:p>
        </w:tc>
        <w:tc>
          <w:tcPr>
            <w:tcW w:w="4515" w:type="dxa"/>
            <w:noWrap/>
            <w:vAlign w:val="center"/>
          </w:tcPr>
          <w:p w14:paraId="37BEE778">
            <w:pPr>
              <w:autoSpaceDE w:val="0"/>
              <w:autoSpaceDN w:val="0"/>
              <w:rPr>
                <w:rFonts w:ascii="Calibri" w:hAnsi="Calibri"/>
                <w:lang w:eastAsia="en-US"/>
              </w:rPr>
            </w:pPr>
            <w:r>
              <w:rPr>
                <w:rFonts w:hint="eastAsia" w:ascii="Calibri" w:hAnsi="Calibri"/>
                <w:lang w:eastAsia="en-US"/>
              </w:rPr>
              <w:t>2U机架式，CPU≥8核8线程，内存≥16GB，硬盘≥2TB HDD，电源规格：1+1冗余电源（额定功率350W），风扇数：3个。网络接口：千兆电口≥16个(含2组电口Bypass），管理电口≥1个，HA电口≥1个，千兆光口≥16个，万兆光口≥8个，接口扩展槽≥4个。</w:t>
            </w:r>
          </w:p>
        </w:tc>
      </w:tr>
      <w:tr w14:paraId="4FF2E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61" w:type="dxa"/>
            <w:noWrap/>
            <w:vAlign w:val="center"/>
          </w:tcPr>
          <w:p w14:paraId="37EA0F2D">
            <w:pPr>
              <w:autoSpaceDE w:val="0"/>
              <w:autoSpaceDN w:val="0"/>
              <w:rPr>
                <w:rFonts w:ascii="Calibri" w:hAnsi="Calibri"/>
                <w:lang w:eastAsia="en-US"/>
              </w:rPr>
            </w:pPr>
            <w:r>
              <w:rPr>
                <w:rFonts w:hint="eastAsia" w:ascii="Calibri" w:hAnsi="Calibri"/>
                <w:lang w:eastAsia="en-US"/>
              </w:rPr>
              <w:t>2</w:t>
            </w:r>
          </w:p>
        </w:tc>
        <w:tc>
          <w:tcPr>
            <w:tcW w:w="1061" w:type="dxa"/>
            <w:noWrap/>
            <w:vAlign w:val="center"/>
          </w:tcPr>
          <w:p w14:paraId="6902E439">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3DF44CEA">
            <w:pPr>
              <w:autoSpaceDE w:val="0"/>
              <w:autoSpaceDN w:val="0"/>
              <w:rPr>
                <w:rFonts w:ascii="Calibri" w:hAnsi="Calibri"/>
                <w:lang w:eastAsia="en-US"/>
              </w:rPr>
            </w:pPr>
            <w:r>
              <w:rPr>
                <w:rFonts w:hint="eastAsia" w:ascii="Calibri" w:hAnsi="Calibri"/>
                <w:lang w:eastAsia="en-US"/>
              </w:rPr>
              <w:t>性能要求</w:t>
            </w:r>
          </w:p>
        </w:tc>
        <w:tc>
          <w:tcPr>
            <w:tcW w:w="4515" w:type="dxa"/>
            <w:noWrap/>
            <w:vAlign w:val="center"/>
          </w:tcPr>
          <w:p w14:paraId="22FC7FC9">
            <w:pPr>
              <w:autoSpaceDE w:val="0"/>
              <w:autoSpaceDN w:val="0"/>
              <w:rPr>
                <w:rFonts w:ascii="Calibri" w:hAnsi="Calibri"/>
                <w:lang w:eastAsia="en-US"/>
              </w:rPr>
            </w:pPr>
            <w:r>
              <w:rPr>
                <w:rFonts w:hint="eastAsia" w:ascii="Calibri" w:hAnsi="Calibri"/>
                <w:lang w:eastAsia="en-US"/>
              </w:rPr>
              <w:t>整机吞吐≥20Gbps；最大并发数≥600万；最大新建数≥50万/秒；</w:t>
            </w:r>
          </w:p>
        </w:tc>
      </w:tr>
      <w:tr w14:paraId="6265C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61" w:type="dxa"/>
            <w:noWrap/>
            <w:vAlign w:val="center"/>
          </w:tcPr>
          <w:p w14:paraId="208B4AB7">
            <w:pPr>
              <w:autoSpaceDE w:val="0"/>
              <w:autoSpaceDN w:val="0"/>
              <w:rPr>
                <w:rFonts w:ascii="Calibri" w:hAnsi="Calibri"/>
                <w:lang w:eastAsia="en-US"/>
              </w:rPr>
            </w:pPr>
            <w:r>
              <w:rPr>
                <w:rFonts w:hint="eastAsia" w:ascii="Calibri" w:hAnsi="Calibri"/>
                <w:lang w:eastAsia="en-US"/>
              </w:rPr>
              <w:t>3</w:t>
            </w:r>
          </w:p>
        </w:tc>
        <w:tc>
          <w:tcPr>
            <w:tcW w:w="1061" w:type="dxa"/>
            <w:noWrap/>
            <w:vAlign w:val="center"/>
          </w:tcPr>
          <w:p w14:paraId="28C84E77">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6A8A10E0">
            <w:pPr>
              <w:autoSpaceDE w:val="0"/>
              <w:autoSpaceDN w:val="0"/>
              <w:rPr>
                <w:rFonts w:ascii="Calibri" w:hAnsi="Calibri"/>
                <w:lang w:eastAsia="en-US"/>
              </w:rPr>
            </w:pPr>
            <w:r>
              <w:rPr>
                <w:rFonts w:hint="eastAsia" w:ascii="Calibri" w:hAnsi="Calibri"/>
                <w:lang w:eastAsia="en-US"/>
              </w:rPr>
              <w:t>关键部件安全要求</w:t>
            </w:r>
          </w:p>
        </w:tc>
        <w:tc>
          <w:tcPr>
            <w:tcW w:w="4515" w:type="dxa"/>
            <w:noWrap/>
            <w:vAlign w:val="center"/>
          </w:tcPr>
          <w:p w14:paraId="448E8084">
            <w:pPr>
              <w:autoSpaceDE w:val="0"/>
              <w:autoSpaceDN w:val="0"/>
              <w:rPr>
                <w:rFonts w:ascii="Calibri" w:hAnsi="Calibri"/>
                <w:lang w:eastAsia="en-US"/>
              </w:rPr>
            </w:pPr>
            <w:r>
              <w:rPr>
                <w:rFonts w:hint="eastAsia" w:ascii="Calibri" w:hAnsi="Calibri"/>
                <w:lang w:eastAsia="en-US"/>
              </w:rPr>
              <w:t>所提供产品的 CPU 芯片应当符合</w:t>
            </w:r>
          </w:p>
          <w:p w14:paraId="778C8FDA">
            <w:pPr>
              <w:autoSpaceDE w:val="0"/>
              <w:autoSpaceDN w:val="0"/>
              <w:rPr>
                <w:rFonts w:ascii="Calibri" w:hAnsi="Calibri"/>
                <w:lang w:eastAsia="en-US"/>
              </w:rPr>
            </w:pPr>
            <w:r>
              <w:rPr>
                <w:rFonts w:hint="eastAsia" w:ascii="Calibri" w:hAnsi="Calibri"/>
                <w:lang w:eastAsia="en-US"/>
              </w:rPr>
              <w:t>安全可靠测评要求</w:t>
            </w:r>
          </w:p>
        </w:tc>
      </w:tr>
      <w:tr w14:paraId="4A7C6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761" w:type="dxa"/>
            <w:noWrap/>
            <w:vAlign w:val="center"/>
          </w:tcPr>
          <w:p w14:paraId="76836DE7">
            <w:pPr>
              <w:autoSpaceDE w:val="0"/>
              <w:autoSpaceDN w:val="0"/>
              <w:rPr>
                <w:rFonts w:ascii="Calibri" w:hAnsi="Calibri"/>
                <w:lang w:eastAsia="en-US"/>
              </w:rPr>
            </w:pPr>
            <w:r>
              <w:rPr>
                <w:rFonts w:hint="eastAsia" w:ascii="Calibri" w:hAnsi="Calibri"/>
                <w:lang w:eastAsia="en-US"/>
              </w:rPr>
              <w:t>4</w:t>
            </w:r>
          </w:p>
        </w:tc>
        <w:tc>
          <w:tcPr>
            <w:tcW w:w="1061" w:type="dxa"/>
            <w:noWrap/>
            <w:vAlign w:val="center"/>
          </w:tcPr>
          <w:p w14:paraId="56622F0A">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54E7ED6C">
            <w:pPr>
              <w:autoSpaceDE w:val="0"/>
              <w:autoSpaceDN w:val="0"/>
              <w:rPr>
                <w:rFonts w:ascii="Calibri" w:hAnsi="Calibri"/>
                <w:lang w:eastAsia="en-US"/>
              </w:rPr>
            </w:pPr>
            <w:r>
              <w:rPr>
                <w:rFonts w:hint="eastAsia" w:ascii="Calibri" w:hAnsi="Calibri"/>
                <w:lang w:eastAsia="en-US"/>
              </w:rPr>
              <w:t>部署模式</w:t>
            </w:r>
          </w:p>
        </w:tc>
        <w:tc>
          <w:tcPr>
            <w:tcW w:w="4515" w:type="dxa"/>
            <w:noWrap/>
            <w:vAlign w:val="center"/>
          </w:tcPr>
          <w:p w14:paraId="1B5EB429">
            <w:pPr>
              <w:autoSpaceDE w:val="0"/>
              <w:autoSpaceDN w:val="0"/>
              <w:rPr>
                <w:rFonts w:ascii="Calibri" w:hAnsi="Calibri"/>
                <w:lang w:eastAsia="en-US"/>
              </w:rPr>
            </w:pPr>
            <w:r>
              <w:rPr>
                <w:rFonts w:hint="eastAsia" w:ascii="Calibri" w:hAnsi="Calibri"/>
                <w:lang w:eastAsia="en-US"/>
              </w:rPr>
              <w:t>支持路由模式、交换模式、旁路模式、虚拟网线工作模式；部署模式切换无需重启设备</w:t>
            </w:r>
          </w:p>
        </w:tc>
      </w:tr>
    </w:tbl>
    <w:p w14:paraId="500B1294"/>
    <w:p w14:paraId="22715B3F">
      <w:pPr>
        <w:rPr>
          <w:lang w:eastAsia="en-US"/>
        </w:rPr>
      </w:pPr>
      <w:r>
        <w:rPr>
          <w:rFonts w:hint="eastAsia"/>
          <w:lang w:eastAsia="en-US"/>
        </w:rPr>
        <w:t>边界防火墙</w:t>
      </w:r>
    </w:p>
    <w:tbl>
      <w:tblPr>
        <w:tblStyle w:val="249"/>
        <w:tblW w:w="8324"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061"/>
        <w:gridCol w:w="1932"/>
        <w:gridCol w:w="4570"/>
      </w:tblGrid>
      <w:tr w14:paraId="6E314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61" w:type="dxa"/>
            <w:shd w:val="clear" w:color="auto" w:fill="A6A6A6"/>
            <w:noWrap/>
            <w:vAlign w:val="center"/>
          </w:tcPr>
          <w:p w14:paraId="5510FFB6">
            <w:pPr>
              <w:autoSpaceDE w:val="0"/>
              <w:autoSpaceDN w:val="0"/>
              <w:rPr>
                <w:rFonts w:ascii="Calibri" w:hAnsi="Calibri"/>
                <w:lang w:eastAsia="en-US"/>
              </w:rPr>
            </w:pPr>
            <w:r>
              <w:rPr>
                <w:rFonts w:hint="eastAsia" w:ascii="Calibri" w:hAnsi="Calibri"/>
                <w:lang w:eastAsia="en-US"/>
              </w:rPr>
              <w:t>序号</w:t>
            </w:r>
          </w:p>
        </w:tc>
        <w:tc>
          <w:tcPr>
            <w:tcW w:w="1061" w:type="dxa"/>
            <w:shd w:val="clear" w:color="auto" w:fill="A6A6A6"/>
            <w:noWrap/>
            <w:vAlign w:val="center"/>
          </w:tcPr>
          <w:p w14:paraId="10EB3971">
            <w:pPr>
              <w:autoSpaceDE w:val="0"/>
              <w:autoSpaceDN w:val="0"/>
              <w:rPr>
                <w:rFonts w:ascii="Calibri" w:hAnsi="Calibri"/>
                <w:lang w:eastAsia="en-US"/>
              </w:rPr>
            </w:pPr>
            <w:r>
              <w:rPr>
                <w:rFonts w:hint="eastAsia" w:ascii="Calibri" w:hAnsi="Calibri"/>
                <w:lang w:eastAsia="en-US"/>
              </w:rPr>
              <w:t>重要性</w:t>
            </w:r>
          </w:p>
        </w:tc>
        <w:tc>
          <w:tcPr>
            <w:tcW w:w="1932" w:type="dxa"/>
            <w:shd w:val="clear" w:color="auto" w:fill="A6A6A6"/>
            <w:noWrap/>
            <w:vAlign w:val="center"/>
          </w:tcPr>
          <w:p w14:paraId="3F3D91E9">
            <w:pPr>
              <w:autoSpaceDE w:val="0"/>
              <w:autoSpaceDN w:val="0"/>
              <w:rPr>
                <w:rFonts w:ascii="Calibri" w:hAnsi="Calibri"/>
                <w:lang w:eastAsia="en-US"/>
              </w:rPr>
            </w:pPr>
            <w:r>
              <w:rPr>
                <w:rFonts w:hint="eastAsia" w:ascii="Calibri" w:hAnsi="Calibri"/>
                <w:lang w:eastAsia="en-US"/>
              </w:rPr>
              <w:t>指标项</w:t>
            </w:r>
          </w:p>
        </w:tc>
        <w:tc>
          <w:tcPr>
            <w:tcW w:w="4570" w:type="dxa"/>
            <w:shd w:val="clear" w:color="auto" w:fill="A6A6A6"/>
            <w:noWrap/>
            <w:vAlign w:val="center"/>
          </w:tcPr>
          <w:p w14:paraId="6CB6BFAD">
            <w:pPr>
              <w:autoSpaceDE w:val="0"/>
              <w:autoSpaceDN w:val="0"/>
              <w:rPr>
                <w:rFonts w:ascii="Calibri" w:hAnsi="Calibri"/>
                <w:lang w:eastAsia="en-US"/>
              </w:rPr>
            </w:pPr>
            <w:r>
              <w:rPr>
                <w:rFonts w:hint="eastAsia" w:ascii="Calibri" w:hAnsi="Calibri"/>
                <w:lang w:eastAsia="en-US"/>
              </w:rPr>
              <w:t>指标要求</w:t>
            </w:r>
          </w:p>
        </w:tc>
      </w:tr>
      <w:tr w14:paraId="4B68A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761" w:type="dxa"/>
            <w:noWrap/>
            <w:vAlign w:val="center"/>
          </w:tcPr>
          <w:p w14:paraId="31138078">
            <w:pPr>
              <w:autoSpaceDE w:val="0"/>
              <w:autoSpaceDN w:val="0"/>
              <w:rPr>
                <w:rFonts w:ascii="Calibri" w:hAnsi="Calibri"/>
                <w:lang w:eastAsia="en-US"/>
              </w:rPr>
            </w:pPr>
            <w:r>
              <w:rPr>
                <w:rFonts w:hint="eastAsia" w:ascii="Calibri" w:hAnsi="Calibri"/>
                <w:lang w:eastAsia="en-US"/>
              </w:rPr>
              <w:t>1</w:t>
            </w:r>
          </w:p>
        </w:tc>
        <w:tc>
          <w:tcPr>
            <w:tcW w:w="1061" w:type="dxa"/>
            <w:noWrap/>
            <w:vAlign w:val="center"/>
          </w:tcPr>
          <w:p w14:paraId="7BD47239">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5407732E">
            <w:pPr>
              <w:autoSpaceDE w:val="0"/>
              <w:autoSpaceDN w:val="0"/>
              <w:rPr>
                <w:rFonts w:ascii="Calibri" w:hAnsi="Calibri"/>
                <w:lang w:eastAsia="en-US"/>
              </w:rPr>
            </w:pPr>
            <w:r>
              <w:rPr>
                <w:rFonts w:hint="eastAsia" w:ascii="Calibri" w:hAnsi="Calibri"/>
                <w:lang w:eastAsia="en-US"/>
              </w:rPr>
              <w:t>硬件配置要求</w:t>
            </w:r>
          </w:p>
        </w:tc>
        <w:tc>
          <w:tcPr>
            <w:tcW w:w="4570" w:type="dxa"/>
            <w:noWrap/>
            <w:vAlign w:val="center"/>
          </w:tcPr>
          <w:p w14:paraId="56B07CA8">
            <w:pPr>
              <w:autoSpaceDE w:val="0"/>
              <w:autoSpaceDN w:val="0"/>
              <w:rPr>
                <w:rFonts w:ascii="Calibri" w:hAnsi="Calibri"/>
                <w:lang w:eastAsia="en-US"/>
              </w:rPr>
            </w:pPr>
            <w:r>
              <w:rPr>
                <w:rFonts w:hint="eastAsia" w:ascii="Calibri" w:hAnsi="Calibri"/>
                <w:lang w:eastAsia="en-US"/>
              </w:rPr>
              <w:t>2U机架式，CPU≥8核8线程，内存≥16GB，硬盘≥2TB HDD，电源规格：1+1冗余电源（额定功率350W），风扇数：3个。网络接口：千兆电口≥16个(含2组电口Bypass），管理电口≥1个，HA电口≥1个，千兆光口≥16个，万兆光口≥8个，接口扩展槽≥4个。</w:t>
            </w:r>
          </w:p>
        </w:tc>
      </w:tr>
      <w:tr w14:paraId="58BC5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61" w:type="dxa"/>
            <w:noWrap/>
            <w:vAlign w:val="center"/>
          </w:tcPr>
          <w:p w14:paraId="475B8203">
            <w:pPr>
              <w:autoSpaceDE w:val="0"/>
              <w:autoSpaceDN w:val="0"/>
              <w:rPr>
                <w:rFonts w:ascii="Calibri" w:hAnsi="Calibri"/>
                <w:lang w:eastAsia="en-US"/>
              </w:rPr>
            </w:pPr>
            <w:r>
              <w:rPr>
                <w:rFonts w:hint="eastAsia" w:ascii="Calibri" w:hAnsi="Calibri"/>
                <w:lang w:eastAsia="en-US"/>
              </w:rPr>
              <w:t>2</w:t>
            </w:r>
          </w:p>
        </w:tc>
        <w:tc>
          <w:tcPr>
            <w:tcW w:w="1061" w:type="dxa"/>
            <w:noWrap/>
            <w:vAlign w:val="center"/>
          </w:tcPr>
          <w:p w14:paraId="6C078CA6">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4B320A3E">
            <w:pPr>
              <w:autoSpaceDE w:val="0"/>
              <w:autoSpaceDN w:val="0"/>
              <w:rPr>
                <w:rFonts w:ascii="Calibri" w:hAnsi="Calibri"/>
                <w:lang w:eastAsia="en-US"/>
              </w:rPr>
            </w:pPr>
            <w:r>
              <w:rPr>
                <w:rFonts w:hint="eastAsia" w:ascii="Calibri" w:hAnsi="Calibri"/>
                <w:lang w:eastAsia="en-US"/>
              </w:rPr>
              <w:t>性能要求</w:t>
            </w:r>
          </w:p>
        </w:tc>
        <w:tc>
          <w:tcPr>
            <w:tcW w:w="4570" w:type="dxa"/>
            <w:noWrap/>
            <w:vAlign w:val="center"/>
          </w:tcPr>
          <w:p w14:paraId="69A245FD">
            <w:pPr>
              <w:autoSpaceDE w:val="0"/>
              <w:autoSpaceDN w:val="0"/>
              <w:rPr>
                <w:rFonts w:ascii="Calibri" w:hAnsi="Calibri"/>
                <w:lang w:eastAsia="en-US"/>
              </w:rPr>
            </w:pPr>
            <w:r>
              <w:rPr>
                <w:rFonts w:hint="eastAsia" w:ascii="Calibri" w:hAnsi="Calibri"/>
                <w:lang w:eastAsia="en-US"/>
              </w:rPr>
              <w:t>整机吞吐≥20Gbps；最大并发数≥600万；最大新建数≥50万/秒；</w:t>
            </w:r>
          </w:p>
        </w:tc>
      </w:tr>
      <w:tr w14:paraId="50E81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61" w:type="dxa"/>
            <w:noWrap/>
            <w:vAlign w:val="center"/>
          </w:tcPr>
          <w:p w14:paraId="5A1ECA28">
            <w:pPr>
              <w:autoSpaceDE w:val="0"/>
              <w:autoSpaceDN w:val="0"/>
              <w:rPr>
                <w:rFonts w:ascii="Calibri" w:hAnsi="Calibri"/>
                <w:lang w:eastAsia="en-US"/>
              </w:rPr>
            </w:pPr>
            <w:r>
              <w:rPr>
                <w:rFonts w:hint="eastAsia" w:ascii="Calibri" w:hAnsi="Calibri"/>
                <w:lang w:eastAsia="en-US"/>
              </w:rPr>
              <w:t>3</w:t>
            </w:r>
          </w:p>
        </w:tc>
        <w:tc>
          <w:tcPr>
            <w:tcW w:w="1061" w:type="dxa"/>
            <w:noWrap/>
            <w:vAlign w:val="center"/>
          </w:tcPr>
          <w:p w14:paraId="7929106A">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325427D4">
            <w:pPr>
              <w:autoSpaceDE w:val="0"/>
              <w:autoSpaceDN w:val="0"/>
              <w:rPr>
                <w:rFonts w:ascii="Calibri" w:hAnsi="Calibri"/>
                <w:lang w:eastAsia="en-US"/>
              </w:rPr>
            </w:pPr>
            <w:r>
              <w:rPr>
                <w:rFonts w:hint="eastAsia" w:ascii="Calibri" w:hAnsi="Calibri"/>
                <w:lang w:eastAsia="en-US"/>
              </w:rPr>
              <w:t>关键部件安全要求</w:t>
            </w:r>
          </w:p>
        </w:tc>
        <w:tc>
          <w:tcPr>
            <w:tcW w:w="4570" w:type="dxa"/>
            <w:noWrap/>
            <w:vAlign w:val="center"/>
          </w:tcPr>
          <w:p w14:paraId="28CBC795">
            <w:pPr>
              <w:autoSpaceDE w:val="0"/>
              <w:autoSpaceDN w:val="0"/>
              <w:rPr>
                <w:rFonts w:ascii="Calibri" w:hAnsi="Calibri"/>
                <w:lang w:eastAsia="en-US"/>
              </w:rPr>
            </w:pPr>
            <w:r>
              <w:rPr>
                <w:rFonts w:hint="eastAsia" w:ascii="Calibri" w:hAnsi="Calibri"/>
                <w:lang w:eastAsia="en-US"/>
              </w:rPr>
              <w:t>所提供产品的 CPU 芯片应当符合</w:t>
            </w:r>
          </w:p>
          <w:p w14:paraId="47D5A7E9">
            <w:pPr>
              <w:autoSpaceDE w:val="0"/>
              <w:autoSpaceDN w:val="0"/>
              <w:rPr>
                <w:rFonts w:ascii="Calibri" w:hAnsi="Calibri"/>
                <w:lang w:eastAsia="en-US"/>
              </w:rPr>
            </w:pPr>
            <w:r>
              <w:rPr>
                <w:rFonts w:hint="eastAsia" w:ascii="Calibri" w:hAnsi="Calibri"/>
                <w:lang w:eastAsia="en-US"/>
              </w:rPr>
              <w:t>安全可靠测评要求</w:t>
            </w:r>
          </w:p>
        </w:tc>
      </w:tr>
      <w:tr w14:paraId="0128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761" w:type="dxa"/>
            <w:noWrap/>
            <w:vAlign w:val="center"/>
          </w:tcPr>
          <w:p w14:paraId="3ED0A3F8">
            <w:pPr>
              <w:autoSpaceDE w:val="0"/>
              <w:autoSpaceDN w:val="0"/>
              <w:rPr>
                <w:rFonts w:ascii="Calibri" w:hAnsi="Calibri"/>
                <w:lang w:eastAsia="en-US"/>
              </w:rPr>
            </w:pPr>
            <w:r>
              <w:rPr>
                <w:rFonts w:hint="eastAsia" w:ascii="Calibri" w:hAnsi="Calibri"/>
                <w:lang w:eastAsia="en-US"/>
              </w:rPr>
              <w:t>4</w:t>
            </w:r>
          </w:p>
        </w:tc>
        <w:tc>
          <w:tcPr>
            <w:tcW w:w="1061" w:type="dxa"/>
            <w:noWrap/>
            <w:vAlign w:val="center"/>
          </w:tcPr>
          <w:p w14:paraId="16C0A346">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3428F85E">
            <w:pPr>
              <w:autoSpaceDE w:val="0"/>
              <w:autoSpaceDN w:val="0"/>
              <w:rPr>
                <w:rFonts w:ascii="Calibri" w:hAnsi="Calibri"/>
                <w:lang w:eastAsia="en-US"/>
              </w:rPr>
            </w:pPr>
            <w:r>
              <w:rPr>
                <w:rFonts w:hint="eastAsia" w:ascii="Calibri" w:hAnsi="Calibri"/>
                <w:lang w:eastAsia="en-US"/>
              </w:rPr>
              <w:t>部署模式</w:t>
            </w:r>
          </w:p>
        </w:tc>
        <w:tc>
          <w:tcPr>
            <w:tcW w:w="4570" w:type="dxa"/>
            <w:noWrap/>
            <w:vAlign w:val="center"/>
          </w:tcPr>
          <w:p w14:paraId="57BC3C21">
            <w:pPr>
              <w:autoSpaceDE w:val="0"/>
              <w:autoSpaceDN w:val="0"/>
              <w:rPr>
                <w:rFonts w:ascii="Calibri" w:hAnsi="Calibri"/>
                <w:lang w:eastAsia="en-US"/>
              </w:rPr>
            </w:pPr>
            <w:r>
              <w:rPr>
                <w:rFonts w:hint="eastAsia" w:ascii="Calibri" w:hAnsi="Calibri"/>
                <w:lang w:eastAsia="en-US"/>
              </w:rPr>
              <w:t>支持路由模式、交换模式、旁路模式、虚拟网线工作模式；部署模式切换无需重启设备</w:t>
            </w:r>
          </w:p>
        </w:tc>
      </w:tr>
    </w:tbl>
    <w:p w14:paraId="7D330D76"/>
    <w:p w14:paraId="5A2EED2F">
      <w:r>
        <w:rPr>
          <w:rFonts w:hint="eastAsia"/>
          <w:lang w:eastAsia="en-US"/>
        </w:rPr>
        <w:t>WEB应用防火墙</w:t>
      </w:r>
    </w:p>
    <w:tbl>
      <w:tblPr>
        <w:tblStyle w:val="249"/>
        <w:tblW w:w="8204"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061"/>
        <w:gridCol w:w="1932"/>
        <w:gridCol w:w="4450"/>
      </w:tblGrid>
      <w:tr w14:paraId="249E3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61" w:type="dxa"/>
            <w:shd w:val="clear" w:color="auto" w:fill="A6A6A6"/>
            <w:noWrap/>
            <w:vAlign w:val="center"/>
          </w:tcPr>
          <w:p w14:paraId="414D7EB7">
            <w:pPr>
              <w:autoSpaceDE w:val="0"/>
              <w:autoSpaceDN w:val="0"/>
              <w:rPr>
                <w:rFonts w:ascii="Calibri" w:hAnsi="Calibri"/>
                <w:lang w:eastAsia="en-US"/>
              </w:rPr>
            </w:pPr>
            <w:r>
              <w:rPr>
                <w:rFonts w:hint="eastAsia" w:ascii="Calibri" w:hAnsi="Calibri"/>
                <w:lang w:eastAsia="en-US"/>
              </w:rPr>
              <w:t>序号</w:t>
            </w:r>
          </w:p>
        </w:tc>
        <w:tc>
          <w:tcPr>
            <w:tcW w:w="1061" w:type="dxa"/>
            <w:shd w:val="clear" w:color="auto" w:fill="A6A6A6"/>
            <w:noWrap/>
            <w:vAlign w:val="center"/>
          </w:tcPr>
          <w:p w14:paraId="58C56847">
            <w:pPr>
              <w:autoSpaceDE w:val="0"/>
              <w:autoSpaceDN w:val="0"/>
              <w:rPr>
                <w:rFonts w:ascii="Calibri" w:hAnsi="Calibri"/>
                <w:lang w:eastAsia="en-US"/>
              </w:rPr>
            </w:pPr>
            <w:r>
              <w:rPr>
                <w:rFonts w:hint="eastAsia" w:ascii="Calibri" w:hAnsi="Calibri"/>
                <w:lang w:eastAsia="en-US"/>
              </w:rPr>
              <w:t>重要性</w:t>
            </w:r>
          </w:p>
        </w:tc>
        <w:tc>
          <w:tcPr>
            <w:tcW w:w="1932" w:type="dxa"/>
            <w:shd w:val="clear" w:color="auto" w:fill="A6A6A6"/>
            <w:noWrap/>
            <w:vAlign w:val="center"/>
          </w:tcPr>
          <w:p w14:paraId="1748A10C">
            <w:pPr>
              <w:autoSpaceDE w:val="0"/>
              <w:autoSpaceDN w:val="0"/>
              <w:rPr>
                <w:rFonts w:ascii="Calibri" w:hAnsi="Calibri"/>
                <w:lang w:eastAsia="en-US"/>
              </w:rPr>
            </w:pPr>
            <w:r>
              <w:rPr>
                <w:rFonts w:hint="eastAsia" w:ascii="Calibri" w:hAnsi="Calibri"/>
                <w:lang w:eastAsia="en-US"/>
              </w:rPr>
              <w:t>指标项</w:t>
            </w:r>
          </w:p>
        </w:tc>
        <w:tc>
          <w:tcPr>
            <w:tcW w:w="4450" w:type="dxa"/>
            <w:shd w:val="clear" w:color="auto" w:fill="A6A6A6"/>
            <w:noWrap/>
            <w:vAlign w:val="center"/>
          </w:tcPr>
          <w:p w14:paraId="6E0886ED">
            <w:pPr>
              <w:autoSpaceDE w:val="0"/>
              <w:autoSpaceDN w:val="0"/>
              <w:rPr>
                <w:rFonts w:ascii="Calibri" w:hAnsi="Calibri"/>
                <w:lang w:eastAsia="en-US"/>
              </w:rPr>
            </w:pPr>
            <w:r>
              <w:rPr>
                <w:rFonts w:hint="eastAsia" w:ascii="Calibri" w:hAnsi="Calibri"/>
                <w:lang w:eastAsia="en-US"/>
              </w:rPr>
              <w:t>指标要求</w:t>
            </w:r>
          </w:p>
        </w:tc>
      </w:tr>
      <w:tr w14:paraId="6F2BF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761" w:type="dxa"/>
            <w:noWrap/>
            <w:vAlign w:val="center"/>
          </w:tcPr>
          <w:p w14:paraId="76EF4A17">
            <w:pPr>
              <w:autoSpaceDE w:val="0"/>
              <w:autoSpaceDN w:val="0"/>
              <w:rPr>
                <w:rFonts w:ascii="Calibri" w:hAnsi="Calibri"/>
                <w:lang w:eastAsia="en-US"/>
              </w:rPr>
            </w:pPr>
            <w:r>
              <w:rPr>
                <w:rFonts w:hint="eastAsia" w:ascii="Calibri" w:hAnsi="Calibri"/>
                <w:lang w:eastAsia="en-US"/>
              </w:rPr>
              <w:t>1</w:t>
            </w:r>
          </w:p>
        </w:tc>
        <w:tc>
          <w:tcPr>
            <w:tcW w:w="1061" w:type="dxa"/>
            <w:noWrap/>
            <w:vAlign w:val="center"/>
          </w:tcPr>
          <w:p w14:paraId="10176085">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19ED17FE">
            <w:pPr>
              <w:autoSpaceDE w:val="0"/>
              <w:autoSpaceDN w:val="0"/>
              <w:rPr>
                <w:rFonts w:ascii="Calibri" w:hAnsi="Calibri"/>
                <w:lang w:eastAsia="en-US"/>
              </w:rPr>
            </w:pPr>
            <w:r>
              <w:rPr>
                <w:rFonts w:hint="eastAsia" w:ascii="Calibri" w:hAnsi="Calibri"/>
                <w:lang w:eastAsia="en-US"/>
              </w:rPr>
              <w:t>硬件配置要求</w:t>
            </w:r>
          </w:p>
        </w:tc>
        <w:tc>
          <w:tcPr>
            <w:tcW w:w="4450" w:type="dxa"/>
            <w:noWrap/>
            <w:vAlign w:val="center"/>
          </w:tcPr>
          <w:p w14:paraId="30C00FC5">
            <w:pPr>
              <w:autoSpaceDE w:val="0"/>
              <w:autoSpaceDN w:val="0"/>
              <w:rPr>
                <w:rFonts w:ascii="Calibri" w:hAnsi="Calibri"/>
                <w:lang w:eastAsia="en-US"/>
              </w:rPr>
            </w:pPr>
            <w:r>
              <w:rPr>
                <w:rFonts w:hint="eastAsia" w:ascii="Calibri" w:hAnsi="Calibri"/>
                <w:lang w:eastAsia="en-US"/>
              </w:rPr>
              <w:t>标准2U机架式，电源：1+1冗余电源，内存≥16G，硬盘容量≥2T，网络接口：≥1个管理口、≥1个HA口、千兆电口≥4（含2组硬件BYPASS）、千兆光口≥4（含2个千兆多模光模块）；</w:t>
            </w:r>
          </w:p>
        </w:tc>
      </w:tr>
      <w:tr w14:paraId="4AF07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61" w:type="dxa"/>
            <w:noWrap/>
            <w:vAlign w:val="center"/>
          </w:tcPr>
          <w:p w14:paraId="4F7E5F95">
            <w:pPr>
              <w:autoSpaceDE w:val="0"/>
              <w:autoSpaceDN w:val="0"/>
              <w:rPr>
                <w:rFonts w:ascii="Calibri" w:hAnsi="Calibri"/>
                <w:lang w:eastAsia="en-US"/>
              </w:rPr>
            </w:pPr>
            <w:r>
              <w:rPr>
                <w:rFonts w:hint="eastAsia" w:ascii="Calibri" w:hAnsi="Calibri"/>
                <w:lang w:eastAsia="en-US"/>
              </w:rPr>
              <w:t>2</w:t>
            </w:r>
          </w:p>
        </w:tc>
        <w:tc>
          <w:tcPr>
            <w:tcW w:w="1061" w:type="dxa"/>
            <w:noWrap/>
            <w:vAlign w:val="center"/>
          </w:tcPr>
          <w:p w14:paraId="4CA1C34A">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6A1164F4">
            <w:pPr>
              <w:autoSpaceDE w:val="0"/>
              <w:autoSpaceDN w:val="0"/>
              <w:rPr>
                <w:rFonts w:ascii="Calibri" w:hAnsi="Calibri"/>
                <w:lang w:eastAsia="en-US"/>
              </w:rPr>
            </w:pPr>
            <w:r>
              <w:rPr>
                <w:rFonts w:hint="eastAsia" w:ascii="Calibri" w:hAnsi="Calibri"/>
                <w:lang w:eastAsia="en-US"/>
              </w:rPr>
              <w:t>性能要求</w:t>
            </w:r>
          </w:p>
        </w:tc>
        <w:tc>
          <w:tcPr>
            <w:tcW w:w="4450" w:type="dxa"/>
            <w:noWrap/>
            <w:vAlign w:val="center"/>
          </w:tcPr>
          <w:p w14:paraId="2B42BCB4">
            <w:pPr>
              <w:autoSpaceDE w:val="0"/>
              <w:autoSpaceDN w:val="0"/>
              <w:rPr>
                <w:rFonts w:ascii="Calibri" w:hAnsi="Calibri"/>
                <w:lang w:eastAsia="en-US"/>
              </w:rPr>
            </w:pPr>
            <w:r>
              <w:rPr>
                <w:rFonts w:hint="eastAsia" w:ascii="Calibri" w:hAnsi="Calibri"/>
                <w:lang w:eastAsia="en-US"/>
              </w:rPr>
              <w:t>HTTP应用层吞吐量≥3192.401Mbps；HTTP最大新建数≥54000个；HTTP最大并发数≥1000000个；</w:t>
            </w:r>
          </w:p>
        </w:tc>
      </w:tr>
      <w:tr w14:paraId="3636D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61" w:type="dxa"/>
            <w:noWrap/>
            <w:vAlign w:val="center"/>
          </w:tcPr>
          <w:p w14:paraId="5796BB1A">
            <w:pPr>
              <w:autoSpaceDE w:val="0"/>
              <w:autoSpaceDN w:val="0"/>
              <w:rPr>
                <w:rFonts w:ascii="Calibri" w:hAnsi="Calibri"/>
                <w:lang w:eastAsia="en-US"/>
              </w:rPr>
            </w:pPr>
            <w:r>
              <w:rPr>
                <w:rFonts w:hint="eastAsia" w:ascii="Calibri" w:hAnsi="Calibri"/>
                <w:lang w:eastAsia="en-US"/>
              </w:rPr>
              <w:t>3</w:t>
            </w:r>
          </w:p>
        </w:tc>
        <w:tc>
          <w:tcPr>
            <w:tcW w:w="1061" w:type="dxa"/>
            <w:noWrap/>
            <w:vAlign w:val="center"/>
          </w:tcPr>
          <w:p w14:paraId="668BE421">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6248561F">
            <w:pPr>
              <w:autoSpaceDE w:val="0"/>
              <w:autoSpaceDN w:val="0"/>
              <w:rPr>
                <w:rFonts w:ascii="Calibri" w:hAnsi="Calibri"/>
                <w:lang w:eastAsia="en-US"/>
              </w:rPr>
            </w:pPr>
            <w:r>
              <w:rPr>
                <w:rFonts w:hint="eastAsia" w:ascii="Calibri" w:hAnsi="Calibri"/>
                <w:lang w:eastAsia="en-US"/>
              </w:rPr>
              <w:t>关键部件安全要求</w:t>
            </w:r>
          </w:p>
        </w:tc>
        <w:tc>
          <w:tcPr>
            <w:tcW w:w="4450" w:type="dxa"/>
            <w:noWrap/>
            <w:vAlign w:val="center"/>
          </w:tcPr>
          <w:p w14:paraId="360B2CAA">
            <w:pPr>
              <w:autoSpaceDE w:val="0"/>
              <w:autoSpaceDN w:val="0"/>
              <w:rPr>
                <w:rFonts w:ascii="Calibri" w:hAnsi="Calibri"/>
                <w:lang w:eastAsia="en-US"/>
              </w:rPr>
            </w:pPr>
            <w:r>
              <w:rPr>
                <w:rFonts w:hint="eastAsia" w:ascii="Calibri" w:hAnsi="Calibri"/>
                <w:lang w:eastAsia="en-US"/>
              </w:rPr>
              <w:t>所提供产品的 CPU 芯片应当符合</w:t>
            </w:r>
          </w:p>
          <w:p w14:paraId="0F4AB33F">
            <w:pPr>
              <w:autoSpaceDE w:val="0"/>
              <w:autoSpaceDN w:val="0"/>
              <w:rPr>
                <w:rFonts w:ascii="Calibri" w:hAnsi="Calibri"/>
                <w:lang w:eastAsia="en-US"/>
              </w:rPr>
            </w:pPr>
            <w:r>
              <w:rPr>
                <w:rFonts w:hint="eastAsia" w:ascii="Calibri" w:hAnsi="Calibri"/>
                <w:lang w:eastAsia="en-US"/>
              </w:rPr>
              <w:t>安全可靠测评要求</w:t>
            </w:r>
          </w:p>
        </w:tc>
      </w:tr>
    </w:tbl>
    <w:p w14:paraId="27CA8141">
      <w:pPr>
        <w:rPr>
          <w:lang w:eastAsia="en-US"/>
        </w:rPr>
      </w:pPr>
    </w:p>
    <w:p w14:paraId="71F93302">
      <w:pPr>
        <w:rPr>
          <w:lang w:eastAsia="en-US"/>
        </w:rPr>
      </w:pPr>
      <w:r>
        <w:rPr>
          <w:rFonts w:hint="eastAsia"/>
          <w:lang w:eastAsia="en-US"/>
        </w:rPr>
        <w:t>日志审计</w:t>
      </w:r>
    </w:p>
    <w:tbl>
      <w:tblPr>
        <w:tblStyle w:val="249"/>
        <w:tblW w:w="8260"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061"/>
        <w:gridCol w:w="1932"/>
        <w:gridCol w:w="4506"/>
      </w:tblGrid>
      <w:tr w14:paraId="58955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61" w:type="dxa"/>
            <w:shd w:val="clear" w:color="auto" w:fill="A6A6A6"/>
            <w:noWrap/>
            <w:vAlign w:val="center"/>
          </w:tcPr>
          <w:p w14:paraId="538F3879">
            <w:pPr>
              <w:autoSpaceDE w:val="0"/>
              <w:autoSpaceDN w:val="0"/>
              <w:rPr>
                <w:rFonts w:ascii="Calibri" w:hAnsi="Calibri"/>
                <w:lang w:eastAsia="en-US"/>
              </w:rPr>
            </w:pPr>
            <w:r>
              <w:rPr>
                <w:rFonts w:hint="eastAsia" w:ascii="Calibri" w:hAnsi="Calibri"/>
                <w:lang w:eastAsia="en-US"/>
              </w:rPr>
              <w:t>序号</w:t>
            </w:r>
          </w:p>
        </w:tc>
        <w:tc>
          <w:tcPr>
            <w:tcW w:w="1061" w:type="dxa"/>
            <w:shd w:val="clear" w:color="auto" w:fill="A6A6A6"/>
            <w:noWrap/>
            <w:vAlign w:val="center"/>
          </w:tcPr>
          <w:p w14:paraId="1421A1D4">
            <w:pPr>
              <w:autoSpaceDE w:val="0"/>
              <w:autoSpaceDN w:val="0"/>
              <w:rPr>
                <w:rFonts w:ascii="Calibri" w:hAnsi="Calibri"/>
                <w:lang w:eastAsia="en-US"/>
              </w:rPr>
            </w:pPr>
            <w:r>
              <w:rPr>
                <w:rFonts w:hint="eastAsia" w:ascii="Calibri" w:hAnsi="Calibri"/>
                <w:lang w:eastAsia="en-US"/>
              </w:rPr>
              <w:t>重要性</w:t>
            </w:r>
          </w:p>
        </w:tc>
        <w:tc>
          <w:tcPr>
            <w:tcW w:w="1932" w:type="dxa"/>
            <w:shd w:val="clear" w:color="auto" w:fill="A6A6A6"/>
            <w:noWrap/>
            <w:vAlign w:val="center"/>
          </w:tcPr>
          <w:p w14:paraId="1909506F">
            <w:pPr>
              <w:autoSpaceDE w:val="0"/>
              <w:autoSpaceDN w:val="0"/>
              <w:rPr>
                <w:rFonts w:ascii="Calibri" w:hAnsi="Calibri"/>
                <w:lang w:eastAsia="en-US"/>
              </w:rPr>
            </w:pPr>
            <w:r>
              <w:rPr>
                <w:rFonts w:hint="eastAsia" w:ascii="Calibri" w:hAnsi="Calibri"/>
                <w:lang w:eastAsia="en-US"/>
              </w:rPr>
              <w:t>指标项</w:t>
            </w:r>
          </w:p>
        </w:tc>
        <w:tc>
          <w:tcPr>
            <w:tcW w:w="4506" w:type="dxa"/>
            <w:shd w:val="clear" w:color="auto" w:fill="A6A6A6"/>
            <w:noWrap/>
            <w:vAlign w:val="center"/>
          </w:tcPr>
          <w:p w14:paraId="6D290C35">
            <w:pPr>
              <w:autoSpaceDE w:val="0"/>
              <w:autoSpaceDN w:val="0"/>
              <w:rPr>
                <w:rFonts w:ascii="Calibri" w:hAnsi="Calibri"/>
                <w:lang w:eastAsia="en-US"/>
              </w:rPr>
            </w:pPr>
            <w:r>
              <w:rPr>
                <w:rFonts w:hint="eastAsia" w:ascii="Calibri" w:hAnsi="Calibri"/>
                <w:lang w:eastAsia="en-US"/>
              </w:rPr>
              <w:t>指标要求</w:t>
            </w:r>
          </w:p>
        </w:tc>
      </w:tr>
      <w:tr w14:paraId="432E3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761" w:type="dxa"/>
            <w:noWrap/>
            <w:vAlign w:val="center"/>
          </w:tcPr>
          <w:p w14:paraId="7AB754E9">
            <w:pPr>
              <w:autoSpaceDE w:val="0"/>
              <w:autoSpaceDN w:val="0"/>
              <w:rPr>
                <w:rFonts w:ascii="Calibri" w:hAnsi="Calibri"/>
                <w:lang w:eastAsia="en-US"/>
              </w:rPr>
            </w:pPr>
            <w:r>
              <w:rPr>
                <w:rFonts w:hint="eastAsia" w:ascii="Calibri" w:hAnsi="Calibri"/>
                <w:lang w:eastAsia="en-US"/>
              </w:rPr>
              <w:t>1</w:t>
            </w:r>
          </w:p>
        </w:tc>
        <w:tc>
          <w:tcPr>
            <w:tcW w:w="1061" w:type="dxa"/>
            <w:noWrap/>
            <w:vAlign w:val="center"/>
          </w:tcPr>
          <w:p w14:paraId="2DD68F10">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7C828FAF">
            <w:pPr>
              <w:autoSpaceDE w:val="0"/>
              <w:autoSpaceDN w:val="0"/>
              <w:rPr>
                <w:rFonts w:ascii="Calibri" w:hAnsi="Calibri"/>
                <w:lang w:eastAsia="en-US"/>
              </w:rPr>
            </w:pPr>
            <w:r>
              <w:rPr>
                <w:rFonts w:hint="eastAsia" w:ascii="Calibri" w:hAnsi="Calibri"/>
                <w:lang w:eastAsia="en-US"/>
              </w:rPr>
              <w:t>硬件配置要求</w:t>
            </w:r>
          </w:p>
        </w:tc>
        <w:tc>
          <w:tcPr>
            <w:tcW w:w="4506" w:type="dxa"/>
            <w:noWrap/>
            <w:vAlign w:val="center"/>
          </w:tcPr>
          <w:p w14:paraId="1265B1F1">
            <w:pPr>
              <w:autoSpaceDE w:val="0"/>
              <w:autoSpaceDN w:val="0"/>
              <w:rPr>
                <w:rFonts w:ascii="Calibri" w:hAnsi="Calibri"/>
                <w:lang w:eastAsia="en-US"/>
              </w:rPr>
            </w:pPr>
            <w:r>
              <w:rPr>
                <w:rFonts w:hint="eastAsia" w:ascii="Calibri" w:hAnsi="Calibri"/>
                <w:lang w:eastAsia="en-US"/>
              </w:rPr>
              <w:t>标准1U硬件，内存≥16G（8G*2），硬盘≥4T， 电源：双电源， 网口：千兆电口≥6（包含管理口*1，HA口*1，业务口*4）；千兆光口≥4（含2个千兆SFP多模光模块）</w:t>
            </w:r>
          </w:p>
        </w:tc>
      </w:tr>
      <w:tr w14:paraId="5FCC1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61" w:type="dxa"/>
            <w:noWrap/>
            <w:vAlign w:val="center"/>
          </w:tcPr>
          <w:p w14:paraId="40765866">
            <w:pPr>
              <w:autoSpaceDE w:val="0"/>
              <w:autoSpaceDN w:val="0"/>
              <w:rPr>
                <w:rFonts w:ascii="Calibri" w:hAnsi="Calibri"/>
                <w:lang w:eastAsia="en-US"/>
              </w:rPr>
            </w:pPr>
            <w:r>
              <w:rPr>
                <w:rFonts w:hint="eastAsia" w:ascii="Calibri" w:hAnsi="Calibri"/>
                <w:lang w:eastAsia="en-US"/>
              </w:rPr>
              <w:t>2</w:t>
            </w:r>
          </w:p>
        </w:tc>
        <w:tc>
          <w:tcPr>
            <w:tcW w:w="1061" w:type="dxa"/>
            <w:noWrap/>
            <w:vAlign w:val="center"/>
          </w:tcPr>
          <w:p w14:paraId="6ED69CA7">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7E5D0FC8">
            <w:pPr>
              <w:autoSpaceDE w:val="0"/>
              <w:autoSpaceDN w:val="0"/>
              <w:rPr>
                <w:rFonts w:ascii="Calibri" w:hAnsi="Calibri"/>
                <w:lang w:eastAsia="en-US"/>
              </w:rPr>
            </w:pPr>
            <w:r>
              <w:rPr>
                <w:rFonts w:hint="eastAsia" w:ascii="Calibri" w:hAnsi="Calibri"/>
                <w:lang w:eastAsia="en-US"/>
              </w:rPr>
              <w:t>性能要求</w:t>
            </w:r>
          </w:p>
        </w:tc>
        <w:tc>
          <w:tcPr>
            <w:tcW w:w="4506" w:type="dxa"/>
            <w:noWrap/>
            <w:vAlign w:val="center"/>
          </w:tcPr>
          <w:p w14:paraId="6DD6ED33">
            <w:pPr>
              <w:autoSpaceDE w:val="0"/>
              <w:autoSpaceDN w:val="0"/>
              <w:rPr>
                <w:rFonts w:ascii="Calibri" w:hAnsi="Calibri"/>
                <w:lang w:eastAsia="en-US"/>
              </w:rPr>
            </w:pPr>
            <w:r>
              <w:rPr>
                <w:rFonts w:hint="eastAsia" w:ascii="Calibri" w:hAnsi="Calibri"/>
                <w:lang w:eastAsia="en-US"/>
              </w:rPr>
              <w:t>授权资产数≥80个；每秒事务处理数≥1500个（条）；</w:t>
            </w:r>
          </w:p>
        </w:tc>
      </w:tr>
      <w:tr w14:paraId="48B4B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61" w:type="dxa"/>
            <w:noWrap/>
            <w:vAlign w:val="center"/>
          </w:tcPr>
          <w:p w14:paraId="7C365048">
            <w:pPr>
              <w:autoSpaceDE w:val="0"/>
              <w:autoSpaceDN w:val="0"/>
              <w:rPr>
                <w:rFonts w:ascii="Calibri" w:hAnsi="Calibri"/>
                <w:lang w:eastAsia="en-US"/>
              </w:rPr>
            </w:pPr>
            <w:r>
              <w:rPr>
                <w:rFonts w:hint="eastAsia" w:ascii="Calibri" w:hAnsi="Calibri"/>
                <w:lang w:eastAsia="en-US"/>
              </w:rPr>
              <w:t>3</w:t>
            </w:r>
          </w:p>
        </w:tc>
        <w:tc>
          <w:tcPr>
            <w:tcW w:w="1061" w:type="dxa"/>
            <w:noWrap/>
            <w:vAlign w:val="center"/>
          </w:tcPr>
          <w:p w14:paraId="24B0A5F7">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703A3B74">
            <w:pPr>
              <w:autoSpaceDE w:val="0"/>
              <w:autoSpaceDN w:val="0"/>
              <w:rPr>
                <w:rFonts w:ascii="Calibri" w:hAnsi="Calibri"/>
                <w:lang w:eastAsia="en-US"/>
              </w:rPr>
            </w:pPr>
            <w:r>
              <w:rPr>
                <w:rFonts w:hint="eastAsia" w:ascii="Calibri" w:hAnsi="Calibri"/>
                <w:lang w:eastAsia="en-US"/>
              </w:rPr>
              <w:t>关键部件安全要求</w:t>
            </w:r>
          </w:p>
        </w:tc>
        <w:tc>
          <w:tcPr>
            <w:tcW w:w="4506" w:type="dxa"/>
            <w:noWrap/>
            <w:vAlign w:val="center"/>
          </w:tcPr>
          <w:p w14:paraId="4F6152C0">
            <w:pPr>
              <w:autoSpaceDE w:val="0"/>
              <w:autoSpaceDN w:val="0"/>
              <w:rPr>
                <w:rFonts w:ascii="Calibri" w:hAnsi="Calibri"/>
                <w:lang w:eastAsia="en-US"/>
              </w:rPr>
            </w:pPr>
            <w:r>
              <w:rPr>
                <w:rFonts w:hint="eastAsia" w:ascii="Calibri" w:hAnsi="Calibri"/>
                <w:lang w:eastAsia="en-US"/>
              </w:rPr>
              <w:t>所提供产品的 CPU 芯片应当符合</w:t>
            </w:r>
          </w:p>
          <w:p w14:paraId="336AB793">
            <w:pPr>
              <w:autoSpaceDE w:val="0"/>
              <w:autoSpaceDN w:val="0"/>
              <w:rPr>
                <w:rFonts w:ascii="Calibri" w:hAnsi="Calibri"/>
                <w:lang w:eastAsia="en-US"/>
              </w:rPr>
            </w:pPr>
            <w:r>
              <w:rPr>
                <w:rFonts w:hint="eastAsia" w:ascii="Calibri" w:hAnsi="Calibri"/>
                <w:lang w:eastAsia="en-US"/>
              </w:rPr>
              <w:t>安全可靠测评要求</w:t>
            </w:r>
          </w:p>
        </w:tc>
      </w:tr>
    </w:tbl>
    <w:p w14:paraId="4C3B4DD1">
      <w:pPr>
        <w:rPr>
          <w:lang w:eastAsia="en-US"/>
        </w:rPr>
      </w:pPr>
    </w:p>
    <w:p w14:paraId="6DA404DE">
      <w:pPr>
        <w:rPr>
          <w:lang w:eastAsia="en-US"/>
        </w:rPr>
      </w:pPr>
      <w:r>
        <w:rPr>
          <w:rFonts w:hint="eastAsia"/>
          <w:lang w:eastAsia="en-US"/>
        </w:rPr>
        <w:t>堡垒机</w:t>
      </w:r>
    </w:p>
    <w:tbl>
      <w:tblPr>
        <w:tblStyle w:val="249"/>
        <w:tblW w:w="8343"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061"/>
        <w:gridCol w:w="1932"/>
        <w:gridCol w:w="4589"/>
      </w:tblGrid>
      <w:tr w14:paraId="39FB9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61" w:type="dxa"/>
            <w:shd w:val="clear" w:color="auto" w:fill="A6A6A6"/>
            <w:noWrap/>
            <w:vAlign w:val="center"/>
          </w:tcPr>
          <w:p w14:paraId="476CC61B">
            <w:pPr>
              <w:autoSpaceDE w:val="0"/>
              <w:autoSpaceDN w:val="0"/>
              <w:rPr>
                <w:rFonts w:ascii="Calibri" w:hAnsi="Calibri"/>
                <w:lang w:eastAsia="en-US"/>
              </w:rPr>
            </w:pPr>
            <w:r>
              <w:rPr>
                <w:rFonts w:hint="eastAsia" w:ascii="Calibri" w:hAnsi="Calibri"/>
                <w:lang w:eastAsia="en-US"/>
              </w:rPr>
              <w:t>序号</w:t>
            </w:r>
          </w:p>
        </w:tc>
        <w:tc>
          <w:tcPr>
            <w:tcW w:w="1061" w:type="dxa"/>
            <w:shd w:val="clear" w:color="auto" w:fill="A6A6A6"/>
            <w:noWrap/>
            <w:vAlign w:val="center"/>
          </w:tcPr>
          <w:p w14:paraId="6DD91836">
            <w:pPr>
              <w:autoSpaceDE w:val="0"/>
              <w:autoSpaceDN w:val="0"/>
              <w:rPr>
                <w:rFonts w:ascii="Calibri" w:hAnsi="Calibri"/>
                <w:lang w:eastAsia="en-US"/>
              </w:rPr>
            </w:pPr>
            <w:r>
              <w:rPr>
                <w:rFonts w:hint="eastAsia" w:ascii="Calibri" w:hAnsi="Calibri"/>
                <w:lang w:eastAsia="en-US"/>
              </w:rPr>
              <w:t>重要性</w:t>
            </w:r>
          </w:p>
        </w:tc>
        <w:tc>
          <w:tcPr>
            <w:tcW w:w="1932" w:type="dxa"/>
            <w:shd w:val="clear" w:color="auto" w:fill="A6A6A6"/>
            <w:noWrap/>
            <w:vAlign w:val="center"/>
          </w:tcPr>
          <w:p w14:paraId="6753AC62">
            <w:pPr>
              <w:autoSpaceDE w:val="0"/>
              <w:autoSpaceDN w:val="0"/>
              <w:rPr>
                <w:rFonts w:ascii="Calibri" w:hAnsi="Calibri"/>
                <w:lang w:eastAsia="en-US"/>
              </w:rPr>
            </w:pPr>
            <w:r>
              <w:rPr>
                <w:rFonts w:hint="eastAsia" w:ascii="Calibri" w:hAnsi="Calibri"/>
                <w:lang w:eastAsia="en-US"/>
              </w:rPr>
              <w:t>指标项</w:t>
            </w:r>
          </w:p>
        </w:tc>
        <w:tc>
          <w:tcPr>
            <w:tcW w:w="4589" w:type="dxa"/>
            <w:shd w:val="clear" w:color="auto" w:fill="A6A6A6"/>
            <w:noWrap/>
            <w:vAlign w:val="center"/>
          </w:tcPr>
          <w:p w14:paraId="447F4817">
            <w:pPr>
              <w:autoSpaceDE w:val="0"/>
              <w:autoSpaceDN w:val="0"/>
              <w:rPr>
                <w:rFonts w:ascii="Calibri" w:hAnsi="Calibri"/>
                <w:lang w:eastAsia="en-US"/>
              </w:rPr>
            </w:pPr>
            <w:r>
              <w:rPr>
                <w:rFonts w:hint="eastAsia" w:ascii="Calibri" w:hAnsi="Calibri"/>
                <w:lang w:eastAsia="en-US"/>
              </w:rPr>
              <w:t>指标要求</w:t>
            </w:r>
          </w:p>
        </w:tc>
      </w:tr>
      <w:tr w14:paraId="43307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761" w:type="dxa"/>
            <w:noWrap/>
            <w:vAlign w:val="center"/>
          </w:tcPr>
          <w:p w14:paraId="1A1719A1">
            <w:pPr>
              <w:autoSpaceDE w:val="0"/>
              <w:autoSpaceDN w:val="0"/>
              <w:rPr>
                <w:rFonts w:ascii="Calibri" w:hAnsi="Calibri"/>
                <w:lang w:eastAsia="en-US"/>
              </w:rPr>
            </w:pPr>
            <w:r>
              <w:rPr>
                <w:rFonts w:hint="eastAsia" w:ascii="Calibri" w:hAnsi="Calibri"/>
                <w:lang w:eastAsia="en-US"/>
              </w:rPr>
              <w:t>1</w:t>
            </w:r>
          </w:p>
        </w:tc>
        <w:tc>
          <w:tcPr>
            <w:tcW w:w="1061" w:type="dxa"/>
            <w:noWrap/>
            <w:vAlign w:val="center"/>
          </w:tcPr>
          <w:p w14:paraId="639CEED9">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5FCEE2E3">
            <w:pPr>
              <w:autoSpaceDE w:val="0"/>
              <w:autoSpaceDN w:val="0"/>
              <w:rPr>
                <w:rFonts w:ascii="Calibri" w:hAnsi="Calibri"/>
                <w:lang w:eastAsia="en-US"/>
              </w:rPr>
            </w:pPr>
            <w:r>
              <w:rPr>
                <w:rFonts w:hint="eastAsia" w:ascii="Calibri" w:hAnsi="Calibri"/>
                <w:lang w:eastAsia="en-US"/>
              </w:rPr>
              <w:t>硬件配置要求</w:t>
            </w:r>
          </w:p>
        </w:tc>
        <w:tc>
          <w:tcPr>
            <w:tcW w:w="4589" w:type="dxa"/>
            <w:noWrap/>
            <w:vAlign w:val="center"/>
          </w:tcPr>
          <w:p w14:paraId="1A6A9464">
            <w:pPr>
              <w:autoSpaceDE w:val="0"/>
              <w:autoSpaceDN w:val="0"/>
              <w:rPr>
                <w:rFonts w:ascii="Calibri" w:hAnsi="Calibri"/>
                <w:lang w:eastAsia="en-US"/>
              </w:rPr>
            </w:pPr>
            <w:r>
              <w:rPr>
                <w:rFonts w:hint="eastAsia" w:ascii="Calibri" w:hAnsi="Calibri"/>
                <w:lang w:eastAsia="en-US"/>
              </w:rPr>
              <w:t>标准2U机架式，内存：≥16G 硬盘容量：≥500G SSD，≥2T机械硬盘 电源：1+1冗余电源，网络接口：千兆电口管理口≥2（管理口≥1，HA口≥1）、千兆业务电口≥6、千兆业务光口≥4（含2个千兆多模光模块）；</w:t>
            </w:r>
          </w:p>
        </w:tc>
      </w:tr>
      <w:tr w14:paraId="169BF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61" w:type="dxa"/>
            <w:noWrap/>
            <w:vAlign w:val="center"/>
          </w:tcPr>
          <w:p w14:paraId="536613E4">
            <w:pPr>
              <w:autoSpaceDE w:val="0"/>
              <w:autoSpaceDN w:val="0"/>
              <w:rPr>
                <w:rFonts w:ascii="Calibri" w:hAnsi="Calibri"/>
                <w:lang w:eastAsia="en-US"/>
              </w:rPr>
            </w:pPr>
            <w:r>
              <w:rPr>
                <w:rFonts w:hint="eastAsia" w:ascii="Calibri" w:hAnsi="Calibri"/>
                <w:lang w:eastAsia="en-US"/>
              </w:rPr>
              <w:t>2</w:t>
            </w:r>
          </w:p>
        </w:tc>
        <w:tc>
          <w:tcPr>
            <w:tcW w:w="1061" w:type="dxa"/>
            <w:noWrap/>
            <w:vAlign w:val="center"/>
          </w:tcPr>
          <w:p w14:paraId="078D444E">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1C9553F5">
            <w:pPr>
              <w:autoSpaceDE w:val="0"/>
              <w:autoSpaceDN w:val="0"/>
              <w:rPr>
                <w:rFonts w:ascii="Calibri" w:hAnsi="Calibri"/>
                <w:lang w:eastAsia="en-US"/>
              </w:rPr>
            </w:pPr>
            <w:r>
              <w:rPr>
                <w:rFonts w:hint="eastAsia" w:ascii="Calibri" w:hAnsi="Calibri"/>
                <w:lang w:eastAsia="en-US"/>
              </w:rPr>
              <w:t>性能要求</w:t>
            </w:r>
          </w:p>
        </w:tc>
        <w:tc>
          <w:tcPr>
            <w:tcW w:w="4589" w:type="dxa"/>
            <w:noWrap/>
            <w:vAlign w:val="center"/>
          </w:tcPr>
          <w:p w14:paraId="6736C0E8">
            <w:pPr>
              <w:autoSpaceDE w:val="0"/>
              <w:autoSpaceDN w:val="0"/>
              <w:rPr>
                <w:rFonts w:ascii="Calibri" w:hAnsi="Calibri"/>
                <w:lang w:eastAsia="en-US"/>
              </w:rPr>
            </w:pPr>
            <w:r>
              <w:rPr>
                <w:rFonts w:hint="eastAsia" w:ascii="Calibri" w:hAnsi="Calibri"/>
                <w:lang w:eastAsia="en-US"/>
              </w:rPr>
              <w:t>授权资产数≥500个；并发字符连接最大数≥200个；并发图形连接最大数≥30个；</w:t>
            </w:r>
          </w:p>
        </w:tc>
      </w:tr>
      <w:tr w14:paraId="04D1D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61" w:type="dxa"/>
            <w:noWrap/>
            <w:vAlign w:val="center"/>
          </w:tcPr>
          <w:p w14:paraId="6F7ECD44">
            <w:pPr>
              <w:autoSpaceDE w:val="0"/>
              <w:autoSpaceDN w:val="0"/>
              <w:rPr>
                <w:rFonts w:ascii="Calibri" w:hAnsi="Calibri"/>
                <w:lang w:eastAsia="en-US"/>
              </w:rPr>
            </w:pPr>
            <w:r>
              <w:rPr>
                <w:rFonts w:hint="eastAsia" w:ascii="Calibri" w:hAnsi="Calibri"/>
                <w:lang w:eastAsia="en-US"/>
              </w:rPr>
              <w:t>3</w:t>
            </w:r>
          </w:p>
        </w:tc>
        <w:tc>
          <w:tcPr>
            <w:tcW w:w="1061" w:type="dxa"/>
            <w:noWrap/>
            <w:vAlign w:val="center"/>
          </w:tcPr>
          <w:p w14:paraId="42309A88">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0D47FFD5">
            <w:pPr>
              <w:autoSpaceDE w:val="0"/>
              <w:autoSpaceDN w:val="0"/>
              <w:rPr>
                <w:rFonts w:ascii="Calibri" w:hAnsi="Calibri"/>
                <w:lang w:eastAsia="en-US"/>
              </w:rPr>
            </w:pPr>
            <w:r>
              <w:rPr>
                <w:rFonts w:hint="eastAsia" w:ascii="Calibri" w:hAnsi="Calibri"/>
                <w:lang w:eastAsia="en-US"/>
              </w:rPr>
              <w:t>关键部件安全要求</w:t>
            </w:r>
          </w:p>
        </w:tc>
        <w:tc>
          <w:tcPr>
            <w:tcW w:w="4589" w:type="dxa"/>
            <w:noWrap/>
            <w:vAlign w:val="center"/>
          </w:tcPr>
          <w:p w14:paraId="7A4CC8BB">
            <w:pPr>
              <w:autoSpaceDE w:val="0"/>
              <w:autoSpaceDN w:val="0"/>
              <w:rPr>
                <w:rFonts w:ascii="Calibri" w:hAnsi="Calibri"/>
                <w:lang w:eastAsia="en-US"/>
              </w:rPr>
            </w:pPr>
            <w:r>
              <w:rPr>
                <w:rFonts w:hint="eastAsia" w:ascii="Calibri" w:hAnsi="Calibri"/>
                <w:lang w:eastAsia="en-US"/>
              </w:rPr>
              <w:t>所提供产品的 CPU 芯片应当符合</w:t>
            </w:r>
          </w:p>
          <w:p w14:paraId="632E591E">
            <w:pPr>
              <w:autoSpaceDE w:val="0"/>
              <w:autoSpaceDN w:val="0"/>
              <w:rPr>
                <w:rFonts w:ascii="Calibri" w:hAnsi="Calibri"/>
                <w:lang w:eastAsia="en-US"/>
              </w:rPr>
            </w:pPr>
            <w:r>
              <w:rPr>
                <w:rFonts w:hint="eastAsia" w:ascii="Calibri" w:hAnsi="Calibri"/>
                <w:lang w:eastAsia="en-US"/>
              </w:rPr>
              <w:t>安全可靠测评要求</w:t>
            </w:r>
          </w:p>
        </w:tc>
      </w:tr>
    </w:tbl>
    <w:p w14:paraId="2AEDA0F6">
      <w:pPr>
        <w:rPr>
          <w:lang w:eastAsia="en-US"/>
        </w:rPr>
      </w:pPr>
    </w:p>
    <w:p w14:paraId="5F231867">
      <w:pPr>
        <w:rPr>
          <w:lang w:eastAsia="en-US"/>
        </w:rPr>
      </w:pPr>
      <w:r>
        <w:rPr>
          <w:rFonts w:hint="eastAsia"/>
          <w:lang w:eastAsia="en-US"/>
        </w:rPr>
        <w:t>入侵检测</w:t>
      </w:r>
    </w:p>
    <w:tbl>
      <w:tblPr>
        <w:tblStyle w:val="249"/>
        <w:tblW w:w="8297"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061"/>
        <w:gridCol w:w="1932"/>
        <w:gridCol w:w="4543"/>
      </w:tblGrid>
      <w:tr w14:paraId="69DB0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61" w:type="dxa"/>
            <w:shd w:val="clear" w:color="auto" w:fill="A6A6A6"/>
            <w:noWrap/>
            <w:vAlign w:val="center"/>
          </w:tcPr>
          <w:p w14:paraId="2A7DAB89">
            <w:pPr>
              <w:autoSpaceDE w:val="0"/>
              <w:autoSpaceDN w:val="0"/>
              <w:rPr>
                <w:rFonts w:ascii="Calibri" w:hAnsi="Calibri"/>
                <w:lang w:eastAsia="en-US"/>
              </w:rPr>
            </w:pPr>
            <w:r>
              <w:rPr>
                <w:rFonts w:hint="eastAsia" w:ascii="Calibri" w:hAnsi="Calibri"/>
                <w:lang w:eastAsia="en-US"/>
              </w:rPr>
              <w:t>序号</w:t>
            </w:r>
          </w:p>
        </w:tc>
        <w:tc>
          <w:tcPr>
            <w:tcW w:w="1061" w:type="dxa"/>
            <w:shd w:val="clear" w:color="auto" w:fill="A6A6A6"/>
            <w:noWrap/>
            <w:vAlign w:val="center"/>
          </w:tcPr>
          <w:p w14:paraId="2C294E48">
            <w:pPr>
              <w:autoSpaceDE w:val="0"/>
              <w:autoSpaceDN w:val="0"/>
              <w:rPr>
                <w:rFonts w:ascii="Calibri" w:hAnsi="Calibri"/>
                <w:lang w:eastAsia="en-US"/>
              </w:rPr>
            </w:pPr>
            <w:r>
              <w:rPr>
                <w:rFonts w:hint="eastAsia" w:ascii="Calibri" w:hAnsi="Calibri"/>
                <w:lang w:eastAsia="en-US"/>
              </w:rPr>
              <w:t>重要性</w:t>
            </w:r>
          </w:p>
        </w:tc>
        <w:tc>
          <w:tcPr>
            <w:tcW w:w="1932" w:type="dxa"/>
            <w:shd w:val="clear" w:color="auto" w:fill="A6A6A6"/>
            <w:noWrap/>
            <w:vAlign w:val="center"/>
          </w:tcPr>
          <w:p w14:paraId="66955002">
            <w:pPr>
              <w:autoSpaceDE w:val="0"/>
              <w:autoSpaceDN w:val="0"/>
              <w:rPr>
                <w:rFonts w:ascii="Calibri" w:hAnsi="Calibri"/>
                <w:lang w:eastAsia="en-US"/>
              </w:rPr>
            </w:pPr>
            <w:r>
              <w:rPr>
                <w:rFonts w:hint="eastAsia" w:ascii="Calibri" w:hAnsi="Calibri"/>
                <w:lang w:eastAsia="en-US"/>
              </w:rPr>
              <w:t>指标项</w:t>
            </w:r>
          </w:p>
        </w:tc>
        <w:tc>
          <w:tcPr>
            <w:tcW w:w="4543" w:type="dxa"/>
            <w:shd w:val="clear" w:color="auto" w:fill="A6A6A6"/>
            <w:noWrap/>
            <w:vAlign w:val="center"/>
          </w:tcPr>
          <w:p w14:paraId="5BDF6C21">
            <w:pPr>
              <w:autoSpaceDE w:val="0"/>
              <w:autoSpaceDN w:val="0"/>
              <w:rPr>
                <w:rFonts w:ascii="Calibri" w:hAnsi="Calibri"/>
                <w:lang w:eastAsia="en-US"/>
              </w:rPr>
            </w:pPr>
            <w:r>
              <w:rPr>
                <w:rFonts w:hint="eastAsia" w:ascii="Calibri" w:hAnsi="Calibri"/>
                <w:lang w:eastAsia="en-US"/>
              </w:rPr>
              <w:t>指标要求</w:t>
            </w:r>
          </w:p>
        </w:tc>
      </w:tr>
      <w:tr w14:paraId="51BC7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761" w:type="dxa"/>
            <w:noWrap/>
            <w:vAlign w:val="center"/>
          </w:tcPr>
          <w:p w14:paraId="3D47ADCD">
            <w:pPr>
              <w:autoSpaceDE w:val="0"/>
              <w:autoSpaceDN w:val="0"/>
              <w:rPr>
                <w:rFonts w:ascii="Calibri" w:hAnsi="Calibri"/>
                <w:lang w:eastAsia="en-US"/>
              </w:rPr>
            </w:pPr>
            <w:r>
              <w:rPr>
                <w:rFonts w:hint="eastAsia" w:ascii="Calibri" w:hAnsi="Calibri"/>
                <w:lang w:eastAsia="en-US"/>
              </w:rPr>
              <w:t>1</w:t>
            </w:r>
          </w:p>
        </w:tc>
        <w:tc>
          <w:tcPr>
            <w:tcW w:w="1061" w:type="dxa"/>
            <w:noWrap/>
            <w:vAlign w:val="center"/>
          </w:tcPr>
          <w:p w14:paraId="717EA597">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5A047A36">
            <w:pPr>
              <w:autoSpaceDE w:val="0"/>
              <w:autoSpaceDN w:val="0"/>
              <w:rPr>
                <w:rFonts w:ascii="Calibri" w:hAnsi="Calibri"/>
                <w:lang w:eastAsia="en-US"/>
              </w:rPr>
            </w:pPr>
            <w:r>
              <w:rPr>
                <w:rFonts w:hint="eastAsia" w:ascii="Calibri" w:hAnsi="Calibri"/>
                <w:lang w:eastAsia="en-US"/>
              </w:rPr>
              <w:t>硬件配置要求</w:t>
            </w:r>
          </w:p>
        </w:tc>
        <w:tc>
          <w:tcPr>
            <w:tcW w:w="4543" w:type="dxa"/>
            <w:noWrap/>
            <w:vAlign w:val="center"/>
          </w:tcPr>
          <w:p w14:paraId="6E601972">
            <w:pPr>
              <w:autoSpaceDE w:val="0"/>
              <w:autoSpaceDN w:val="0"/>
              <w:rPr>
                <w:rFonts w:ascii="Calibri" w:hAnsi="Calibri"/>
                <w:lang w:eastAsia="en-US"/>
              </w:rPr>
            </w:pPr>
            <w:r>
              <w:rPr>
                <w:rFonts w:hint="eastAsia" w:ascii="Calibri" w:hAnsi="Calibri"/>
                <w:lang w:eastAsia="en-US"/>
              </w:rPr>
              <w:t>"基础机架式：2U；CPU≥2.7GHz 8核8线程；内存：≥16G；硬盘：≥2T；网络接口：管理口≥2千兆电，业务口≥6千兆电，≥4千兆光；电源规格：1+1冗余电源 国标；风扇个数：2；风道：前进风 后出风；Console口≥1个；USB：USB2.0≥3；</w:t>
            </w:r>
          </w:p>
        </w:tc>
      </w:tr>
      <w:tr w14:paraId="4AD48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61" w:type="dxa"/>
            <w:noWrap/>
            <w:vAlign w:val="center"/>
          </w:tcPr>
          <w:p w14:paraId="06408FB2">
            <w:pPr>
              <w:autoSpaceDE w:val="0"/>
              <w:autoSpaceDN w:val="0"/>
              <w:rPr>
                <w:rFonts w:ascii="Calibri" w:hAnsi="Calibri"/>
                <w:lang w:eastAsia="en-US"/>
              </w:rPr>
            </w:pPr>
            <w:r>
              <w:rPr>
                <w:rFonts w:hint="eastAsia" w:ascii="Calibri" w:hAnsi="Calibri"/>
                <w:lang w:eastAsia="en-US"/>
              </w:rPr>
              <w:t>2</w:t>
            </w:r>
          </w:p>
        </w:tc>
        <w:tc>
          <w:tcPr>
            <w:tcW w:w="1061" w:type="dxa"/>
            <w:noWrap/>
            <w:vAlign w:val="center"/>
          </w:tcPr>
          <w:p w14:paraId="0D45EDF6">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01B6E0D6">
            <w:pPr>
              <w:autoSpaceDE w:val="0"/>
              <w:autoSpaceDN w:val="0"/>
              <w:rPr>
                <w:rFonts w:ascii="Calibri" w:hAnsi="Calibri"/>
                <w:lang w:eastAsia="en-US"/>
              </w:rPr>
            </w:pPr>
            <w:r>
              <w:rPr>
                <w:rFonts w:hint="eastAsia" w:ascii="Calibri" w:hAnsi="Calibri"/>
                <w:lang w:eastAsia="en-US"/>
              </w:rPr>
              <w:t>性能要求</w:t>
            </w:r>
          </w:p>
        </w:tc>
        <w:tc>
          <w:tcPr>
            <w:tcW w:w="4543" w:type="dxa"/>
            <w:noWrap/>
            <w:vAlign w:val="center"/>
          </w:tcPr>
          <w:p w14:paraId="072F5372">
            <w:pPr>
              <w:autoSpaceDE w:val="0"/>
              <w:autoSpaceDN w:val="0"/>
              <w:rPr>
                <w:rFonts w:ascii="Calibri" w:hAnsi="Calibri"/>
                <w:lang w:eastAsia="en-US"/>
              </w:rPr>
            </w:pPr>
            <w:r>
              <w:rPr>
                <w:rFonts w:hint="eastAsia" w:ascii="Calibri" w:hAnsi="Calibri"/>
                <w:lang w:eastAsia="en-US"/>
              </w:rPr>
              <w:t>满检速率≥4340.000Mbps</w:t>
            </w:r>
          </w:p>
        </w:tc>
      </w:tr>
      <w:tr w14:paraId="60081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61" w:type="dxa"/>
            <w:noWrap/>
            <w:vAlign w:val="center"/>
          </w:tcPr>
          <w:p w14:paraId="51927891">
            <w:pPr>
              <w:autoSpaceDE w:val="0"/>
              <w:autoSpaceDN w:val="0"/>
              <w:rPr>
                <w:rFonts w:ascii="Calibri" w:hAnsi="Calibri"/>
                <w:lang w:eastAsia="en-US"/>
              </w:rPr>
            </w:pPr>
            <w:r>
              <w:rPr>
                <w:rFonts w:hint="eastAsia" w:ascii="Calibri" w:hAnsi="Calibri"/>
                <w:lang w:eastAsia="en-US"/>
              </w:rPr>
              <w:t>3</w:t>
            </w:r>
          </w:p>
        </w:tc>
        <w:tc>
          <w:tcPr>
            <w:tcW w:w="1061" w:type="dxa"/>
            <w:noWrap/>
            <w:vAlign w:val="center"/>
          </w:tcPr>
          <w:p w14:paraId="0379EB72">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328941A6">
            <w:pPr>
              <w:autoSpaceDE w:val="0"/>
              <w:autoSpaceDN w:val="0"/>
              <w:rPr>
                <w:rFonts w:ascii="Calibri" w:hAnsi="Calibri"/>
                <w:lang w:eastAsia="en-US"/>
              </w:rPr>
            </w:pPr>
            <w:r>
              <w:rPr>
                <w:rFonts w:hint="eastAsia" w:ascii="Calibri" w:hAnsi="Calibri"/>
                <w:lang w:eastAsia="en-US"/>
              </w:rPr>
              <w:t>关键部件安全要求</w:t>
            </w:r>
          </w:p>
        </w:tc>
        <w:tc>
          <w:tcPr>
            <w:tcW w:w="4543" w:type="dxa"/>
            <w:noWrap/>
            <w:vAlign w:val="center"/>
          </w:tcPr>
          <w:p w14:paraId="37384E34">
            <w:pPr>
              <w:autoSpaceDE w:val="0"/>
              <w:autoSpaceDN w:val="0"/>
              <w:rPr>
                <w:rFonts w:ascii="Calibri" w:hAnsi="Calibri"/>
                <w:lang w:eastAsia="en-US"/>
              </w:rPr>
            </w:pPr>
            <w:r>
              <w:rPr>
                <w:rFonts w:hint="eastAsia" w:ascii="Calibri" w:hAnsi="Calibri"/>
                <w:lang w:eastAsia="en-US"/>
              </w:rPr>
              <w:t>所提供产品的 CPU 芯片应当符合</w:t>
            </w:r>
          </w:p>
          <w:p w14:paraId="1A8D6854">
            <w:pPr>
              <w:autoSpaceDE w:val="0"/>
              <w:autoSpaceDN w:val="0"/>
              <w:rPr>
                <w:rFonts w:ascii="Calibri" w:hAnsi="Calibri"/>
                <w:lang w:eastAsia="en-US"/>
              </w:rPr>
            </w:pPr>
            <w:r>
              <w:rPr>
                <w:rFonts w:hint="eastAsia" w:ascii="Calibri" w:hAnsi="Calibri"/>
                <w:lang w:eastAsia="en-US"/>
              </w:rPr>
              <w:t>安全可靠测评要求</w:t>
            </w:r>
          </w:p>
        </w:tc>
      </w:tr>
    </w:tbl>
    <w:p w14:paraId="7C8188FB">
      <w:pPr>
        <w:rPr>
          <w:lang w:eastAsia="en-US"/>
        </w:rPr>
      </w:pPr>
    </w:p>
    <w:p w14:paraId="56D231C3">
      <w:r>
        <w:rPr>
          <w:rFonts w:hint="eastAsia"/>
          <w:lang w:eastAsia="en-US"/>
        </w:rPr>
        <w:t>漏洞扫描</w:t>
      </w:r>
    </w:p>
    <w:tbl>
      <w:tblPr>
        <w:tblStyle w:val="249"/>
        <w:tblW w:w="8306"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061"/>
        <w:gridCol w:w="1932"/>
        <w:gridCol w:w="4552"/>
      </w:tblGrid>
      <w:tr w14:paraId="3BDC8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61" w:type="dxa"/>
            <w:shd w:val="clear" w:color="auto" w:fill="A6A6A6"/>
            <w:noWrap/>
            <w:vAlign w:val="center"/>
          </w:tcPr>
          <w:p w14:paraId="6FAA0504">
            <w:pPr>
              <w:autoSpaceDE w:val="0"/>
              <w:autoSpaceDN w:val="0"/>
              <w:rPr>
                <w:rFonts w:ascii="Calibri" w:hAnsi="Calibri"/>
                <w:lang w:eastAsia="en-US"/>
              </w:rPr>
            </w:pPr>
            <w:r>
              <w:rPr>
                <w:rFonts w:hint="eastAsia" w:ascii="Calibri" w:hAnsi="Calibri"/>
                <w:lang w:eastAsia="en-US"/>
              </w:rPr>
              <w:t>序号</w:t>
            </w:r>
          </w:p>
        </w:tc>
        <w:tc>
          <w:tcPr>
            <w:tcW w:w="1061" w:type="dxa"/>
            <w:shd w:val="clear" w:color="auto" w:fill="A6A6A6"/>
            <w:noWrap/>
            <w:vAlign w:val="center"/>
          </w:tcPr>
          <w:p w14:paraId="342D6E83">
            <w:pPr>
              <w:autoSpaceDE w:val="0"/>
              <w:autoSpaceDN w:val="0"/>
              <w:rPr>
                <w:rFonts w:ascii="Calibri" w:hAnsi="Calibri"/>
                <w:lang w:eastAsia="en-US"/>
              </w:rPr>
            </w:pPr>
            <w:r>
              <w:rPr>
                <w:rFonts w:hint="eastAsia" w:ascii="Calibri" w:hAnsi="Calibri"/>
                <w:lang w:eastAsia="en-US"/>
              </w:rPr>
              <w:t>重要性</w:t>
            </w:r>
          </w:p>
        </w:tc>
        <w:tc>
          <w:tcPr>
            <w:tcW w:w="1932" w:type="dxa"/>
            <w:shd w:val="clear" w:color="auto" w:fill="A6A6A6"/>
            <w:noWrap/>
            <w:vAlign w:val="center"/>
          </w:tcPr>
          <w:p w14:paraId="249E5F55">
            <w:pPr>
              <w:autoSpaceDE w:val="0"/>
              <w:autoSpaceDN w:val="0"/>
              <w:rPr>
                <w:rFonts w:ascii="Calibri" w:hAnsi="Calibri"/>
                <w:lang w:eastAsia="en-US"/>
              </w:rPr>
            </w:pPr>
            <w:r>
              <w:rPr>
                <w:rFonts w:hint="eastAsia" w:ascii="Calibri" w:hAnsi="Calibri"/>
                <w:lang w:eastAsia="en-US"/>
              </w:rPr>
              <w:t>指标项</w:t>
            </w:r>
          </w:p>
        </w:tc>
        <w:tc>
          <w:tcPr>
            <w:tcW w:w="4552" w:type="dxa"/>
            <w:shd w:val="clear" w:color="auto" w:fill="A6A6A6"/>
            <w:noWrap/>
            <w:vAlign w:val="center"/>
          </w:tcPr>
          <w:p w14:paraId="1C06E8BD">
            <w:pPr>
              <w:autoSpaceDE w:val="0"/>
              <w:autoSpaceDN w:val="0"/>
              <w:rPr>
                <w:rFonts w:ascii="Calibri" w:hAnsi="Calibri"/>
                <w:lang w:eastAsia="en-US"/>
              </w:rPr>
            </w:pPr>
            <w:r>
              <w:rPr>
                <w:rFonts w:hint="eastAsia" w:ascii="Calibri" w:hAnsi="Calibri"/>
                <w:lang w:eastAsia="en-US"/>
              </w:rPr>
              <w:t>指标要求</w:t>
            </w:r>
          </w:p>
        </w:tc>
      </w:tr>
      <w:tr w14:paraId="08C4A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761" w:type="dxa"/>
            <w:noWrap/>
            <w:vAlign w:val="center"/>
          </w:tcPr>
          <w:p w14:paraId="7E0E62DD">
            <w:pPr>
              <w:autoSpaceDE w:val="0"/>
              <w:autoSpaceDN w:val="0"/>
              <w:rPr>
                <w:rFonts w:ascii="Calibri" w:hAnsi="Calibri"/>
                <w:lang w:eastAsia="en-US"/>
              </w:rPr>
            </w:pPr>
            <w:r>
              <w:rPr>
                <w:rFonts w:hint="eastAsia" w:ascii="Calibri" w:hAnsi="Calibri"/>
                <w:lang w:eastAsia="en-US"/>
              </w:rPr>
              <w:t>1</w:t>
            </w:r>
          </w:p>
        </w:tc>
        <w:tc>
          <w:tcPr>
            <w:tcW w:w="1061" w:type="dxa"/>
            <w:noWrap/>
            <w:vAlign w:val="center"/>
          </w:tcPr>
          <w:p w14:paraId="36137B7C">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4FC082D7">
            <w:pPr>
              <w:autoSpaceDE w:val="0"/>
              <w:autoSpaceDN w:val="0"/>
              <w:rPr>
                <w:rFonts w:ascii="Calibri" w:hAnsi="Calibri"/>
                <w:lang w:eastAsia="en-US"/>
              </w:rPr>
            </w:pPr>
            <w:r>
              <w:rPr>
                <w:rFonts w:hint="eastAsia" w:ascii="Calibri" w:hAnsi="Calibri"/>
                <w:lang w:eastAsia="en-US"/>
              </w:rPr>
              <w:t>硬件配置要求</w:t>
            </w:r>
          </w:p>
        </w:tc>
        <w:tc>
          <w:tcPr>
            <w:tcW w:w="4552" w:type="dxa"/>
            <w:noWrap/>
            <w:vAlign w:val="center"/>
          </w:tcPr>
          <w:p w14:paraId="398DBF2E">
            <w:pPr>
              <w:autoSpaceDE w:val="0"/>
              <w:autoSpaceDN w:val="0"/>
              <w:rPr>
                <w:rFonts w:ascii="Calibri" w:hAnsi="Calibri"/>
                <w:lang w:eastAsia="en-US"/>
              </w:rPr>
            </w:pPr>
            <w:r>
              <w:rPr>
                <w:rFonts w:hint="eastAsia" w:ascii="Calibri" w:hAnsi="Calibri"/>
                <w:lang w:eastAsia="en-US"/>
              </w:rPr>
              <w:t>CPU≥4核，内存≥16GB，硬盘≥2T，双电源、网络接口（千兆电口 ≥8个，千兆光口插槽 ≥4个</w:t>
            </w:r>
          </w:p>
        </w:tc>
      </w:tr>
      <w:tr w14:paraId="24784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61" w:type="dxa"/>
            <w:noWrap/>
            <w:vAlign w:val="center"/>
          </w:tcPr>
          <w:p w14:paraId="1F3D5914">
            <w:pPr>
              <w:autoSpaceDE w:val="0"/>
              <w:autoSpaceDN w:val="0"/>
              <w:rPr>
                <w:rFonts w:ascii="Calibri" w:hAnsi="Calibri"/>
                <w:lang w:eastAsia="en-US"/>
              </w:rPr>
            </w:pPr>
            <w:r>
              <w:rPr>
                <w:rFonts w:hint="eastAsia" w:ascii="Calibri" w:hAnsi="Calibri"/>
                <w:lang w:eastAsia="en-US"/>
              </w:rPr>
              <w:t>2</w:t>
            </w:r>
          </w:p>
        </w:tc>
        <w:tc>
          <w:tcPr>
            <w:tcW w:w="1061" w:type="dxa"/>
            <w:noWrap/>
            <w:vAlign w:val="center"/>
          </w:tcPr>
          <w:p w14:paraId="40BC2F23">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6DF31934">
            <w:pPr>
              <w:autoSpaceDE w:val="0"/>
              <w:autoSpaceDN w:val="0"/>
              <w:rPr>
                <w:rFonts w:ascii="Calibri" w:hAnsi="Calibri"/>
                <w:lang w:eastAsia="en-US"/>
              </w:rPr>
            </w:pPr>
            <w:r>
              <w:rPr>
                <w:rFonts w:hint="eastAsia" w:ascii="Calibri" w:hAnsi="Calibri"/>
                <w:lang w:eastAsia="en-US"/>
              </w:rPr>
              <w:t>性能要求</w:t>
            </w:r>
          </w:p>
        </w:tc>
        <w:tc>
          <w:tcPr>
            <w:tcW w:w="4552" w:type="dxa"/>
            <w:noWrap/>
            <w:vAlign w:val="center"/>
          </w:tcPr>
          <w:p w14:paraId="7EC3A0E7">
            <w:pPr>
              <w:autoSpaceDE w:val="0"/>
              <w:autoSpaceDN w:val="0"/>
              <w:rPr>
                <w:rFonts w:ascii="Calibri" w:hAnsi="Calibri"/>
                <w:lang w:eastAsia="en-US"/>
              </w:rPr>
            </w:pPr>
            <w:r>
              <w:rPr>
                <w:rFonts w:hint="eastAsia" w:ascii="Calibri" w:hAnsi="Calibri"/>
                <w:lang w:eastAsia="en-US"/>
              </w:rPr>
              <w:t>性能并发主机数 ≥60；并发任务数 ≥10个；资产授权：≥2048个IP资产</w:t>
            </w:r>
          </w:p>
        </w:tc>
      </w:tr>
      <w:tr w14:paraId="2EA02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61" w:type="dxa"/>
            <w:noWrap/>
            <w:vAlign w:val="center"/>
          </w:tcPr>
          <w:p w14:paraId="28B42E60">
            <w:pPr>
              <w:autoSpaceDE w:val="0"/>
              <w:autoSpaceDN w:val="0"/>
              <w:rPr>
                <w:rFonts w:ascii="Calibri" w:hAnsi="Calibri"/>
                <w:lang w:eastAsia="en-US"/>
              </w:rPr>
            </w:pPr>
            <w:r>
              <w:rPr>
                <w:rFonts w:hint="eastAsia" w:ascii="Calibri" w:hAnsi="Calibri"/>
                <w:lang w:eastAsia="en-US"/>
              </w:rPr>
              <w:t>3</w:t>
            </w:r>
          </w:p>
        </w:tc>
        <w:tc>
          <w:tcPr>
            <w:tcW w:w="1061" w:type="dxa"/>
            <w:noWrap/>
            <w:vAlign w:val="center"/>
          </w:tcPr>
          <w:p w14:paraId="33A9900C">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1F41F7C9">
            <w:pPr>
              <w:autoSpaceDE w:val="0"/>
              <w:autoSpaceDN w:val="0"/>
              <w:rPr>
                <w:rFonts w:ascii="Calibri" w:hAnsi="Calibri"/>
                <w:lang w:eastAsia="en-US"/>
              </w:rPr>
            </w:pPr>
            <w:r>
              <w:rPr>
                <w:rFonts w:hint="eastAsia" w:ascii="Calibri" w:hAnsi="Calibri"/>
                <w:lang w:eastAsia="en-US"/>
              </w:rPr>
              <w:t>关键部件安全要求</w:t>
            </w:r>
          </w:p>
        </w:tc>
        <w:tc>
          <w:tcPr>
            <w:tcW w:w="4552" w:type="dxa"/>
            <w:noWrap/>
            <w:vAlign w:val="center"/>
          </w:tcPr>
          <w:p w14:paraId="26CF8835">
            <w:pPr>
              <w:autoSpaceDE w:val="0"/>
              <w:autoSpaceDN w:val="0"/>
              <w:rPr>
                <w:rFonts w:ascii="Calibri" w:hAnsi="Calibri"/>
                <w:lang w:eastAsia="en-US"/>
              </w:rPr>
            </w:pPr>
            <w:r>
              <w:rPr>
                <w:rFonts w:hint="eastAsia" w:ascii="Calibri" w:hAnsi="Calibri"/>
                <w:lang w:eastAsia="en-US"/>
              </w:rPr>
              <w:t>所提供产品的 CPU 芯片应当符合</w:t>
            </w:r>
          </w:p>
          <w:p w14:paraId="336FFC72">
            <w:pPr>
              <w:autoSpaceDE w:val="0"/>
              <w:autoSpaceDN w:val="0"/>
              <w:rPr>
                <w:rFonts w:ascii="Calibri" w:hAnsi="Calibri"/>
                <w:lang w:eastAsia="en-US"/>
              </w:rPr>
            </w:pPr>
            <w:r>
              <w:rPr>
                <w:rFonts w:hint="eastAsia" w:ascii="Calibri" w:hAnsi="Calibri"/>
                <w:lang w:eastAsia="en-US"/>
              </w:rPr>
              <w:t>安全可靠测评要求</w:t>
            </w:r>
          </w:p>
        </w:tc>
      </w:tr>
    </w:tbl>
    <w:p w14:paraId="46D1B31B">
      <w:pPr>
        <w:rPr>
          <w:lang w:eastAsia="en-US"/>
        </w:rPr>
      </w:pPr>
    </w:p>
    <w:p w14:paraId="690071A1">
      <w:pPr>
        <w:rPr>
          <w:lang w:eastAsia="en-US"/>
        </w:rPr>
      </w:pPr>
      <w:r>
        <w:rPr>
          <w:rFonts w:hint="eastAsia"/>
          <w:lang w:eastAsia="en-US"/>
        </w:rPr>
        <w:t>数据审计</w:t>
      </w:r>
    </w:p>
    <w:tbl>
      <w:tblPr>
        <w:tblStyle w:val="249"/>
        <w:tblW w:w="8370"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061"/>
        <w:gridCol w:w="1932"/>
        <w:gridCol w:w="4616"/>
      </w:tblGrid>
      <w:tr w14:paraId="254D9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61" w:type="dxa"/>
            <w:shd w:val="clear" w:color="auto" w:fill="A6A6A6"/>
            <w:noWrap/>
            <w:vAlign w:val="center"/>
          </w:tcPr>
          <w:p w14:paraId="2F34084C">
            <w:pPr>
              <w:autoSpaceDE w:val="0"/>
              <w:autoSpaceDN w:val="0"/>
              <w:rPr>
                <w:rFonts w:ascii="Calibri" w:hAnsi="Calibri"/>
                <w:lang w:eastAsia="en-US"/>
              </w:rPr>
            </w:pPr>
            <w:r>
              <w:rPr>
                <w:rFonts w:hint="eastAsia" w:ascii="Calibri" w:hAnsi="Calibri"/>
                <w:lang w:eastAsia="en-US"/>
              </w:rPr>
              <w:t>序号</w:t>
            </w:r>
          </w:p>
        </w:tc>
        <w:tc>
          <w:tcPr>
            <w:tcW w:w="1061" w:type="dxa"/>
            <w:shd w:val="clear" w:color="auto" w:fill="A6A6A6"/>
            <w:noWrap/>
            <w:vAlign w:val="center"/>
          </w:tcPr>
          <w:p w14:paraId="1C7E0A12">
            <w:pPr>
              <w:autoSpaceDE w:val="0"/>
              <w:autoSpaceDN w:val="0"/>
              <w:rPr>
                <w:rFonts w:ascii="Calibri" w:hAnsi="Calibri"/>
                <w:lang w:eastAsia="en-US"/>
              </w:rPr>
            </w:pPr>
            <w:r>
              <w:rPr>
                <w:rFonts w:hint="eastAsia" w:ascii="Calibri" w:hAnsi="Calibri"/>
                <w:lang w:eastAsia="en-US"/>
              </w:rPr>
              <w:t>重要性</w:t>
            </w:r>
          </w:p>
        </w:tc>
        <w:tc>
          <w:tcPr>
            <w:tcW w:w="1932" w:type="dxa"/>
            <w:shd w:val="clear" w:color="auto" w:fill="A6A6A6"/>
            <w:noWrap/>
            <w:vAlign w:val="center"/>
          </w:tcPr>
          <w:p w14:paraId="2A67CA61">
            <w:pPr>
              <w:autoSpaceDE w:val="0"/>
              <w:autoSpaceDN w:val="0"/>
              <w:rPr>
                <w:rFonts w:ascii="Calibri" w:hAnsi="Calibri"/>
                <w:lang w:eastAsia="en-US"/>
              </w:rPr>
            </w:pPr>
            <w:r>
              <w:rPr>
                <w:rFonts w:hint="eastAsia" w:ascii="Calibri" w:hAnsi="Calibri"/>
                <w:lang w:eastAsia="en-US"/>
              </w:rPr>
              <w:t>指标项</w:t>
            </w:r>
          </w:p>
        </w:tc>
        <w:tc>
          <w:tcPr>
            <w:tcW w:w="4616" w:type="dxa"/>
            <w:shd w:val="clear" w:color="auto" w:fill="A6A6A6"/>
            <w:noWrap/>
            <w:vAlign w:val="center"/>
          </w:tcPr>
          <w:p w14:paraId="5401FDD2">
            <w:pPr>
              <w:autoSpaceDE w:val="0"/>
              <w:autoSpaceDN w:val="0"/>
              <w:rPr>
                <w:rFonts w:ascii="Calibri" w:hAnsi="Calibri"/>
                <w:lang w:eastAsia="en-US"/>
              </w:rPr>
            </w:pPr>
            <w:r>
              <w:rPr>
                <w:rFonts w:hint="eastAsia" w:ascii="Calibri" w:hAnsi="Calibri"/>
                <w:lang w:eastAsia="en-US"/>
              </w:rPr>
              <w:t>指标要求</w:t>
            </w:r>
          </w:p>
        </w:tc>
      </w:tr>
      <w:tr w14:paraId="6E53C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761" w:type="dxa"/>
            <w:noWrap/>
            <w:vAlign w:val="center"/>
          </w:tcPr>
          <w:p w14:paraId="59B44E38">
            <w:pPr>
              <w:autoSpaceDE w:val="0"/>
              <w:autoSpaceDN w:val="0"/>
              <w:rPr>
                <w:rFonts w:ascii="Calibri" w:hAnsi="Calibri"/>
                <w:lang w:eastAsia="en-US"/>
              </w:rPr>
            </w:pPr>
            <w:r>
              <w:rPr>
                <w:rFonts w:hint="eastAsia" w:ascii="Calibri" w:hAnsi="Calibri"/>
                <w:lang w:eastAsia="en-US"/>
              </w:rPr>
              <w:t>1</w:t>
            </w:r>
          </w:p>
        </w:tc>
        <w:tc>
          <w:tcPr>
            <w:tcW w:w="1061" w:type="dxa"/>
            <w:noWrap/>
            <w:vAlign w:val="center"/>
          </w:tcPr>
          <w:p w14:paraId="374ACA16">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6A95A008">
            <w:pPr>
              <w:autoSpaceDE w:val="0"/>
              <w:autoSpaceDN w:val="0"/>
              <w:rPr>
                <w:rFonts w:ascii="Calibri" w:hAnsi="Calibri"/>
                <w:lang w:eastAsia="en-US"/>
              </w:rPr>
            </w:pPr>
            <w:r>
              <w:rPr>
                <w:rFonts w:hint="eastAsia" w:ascii="Calibri" w:hAnsi="Calibri"/>
                <w:lang w:eastAsia="en-US"/>
              </w:rPr>
              <w:t>硬件配置要求</w:t>
            </w:r>
          </w:p>
        </w:tc>
        <w:tc>
          <w:tcPr>
            <w:tcW w:w="4616" w:type="dxa"/>
            <w:noWrap/>
            <w:vAlign w:val="center"/>
          </w:tcPr>
          <w:p w14:paraId="365DB8E1">
            <w:pPr>
              <w:autoSpaceDE w:val="0"/>
              <w:autoSpaceDN w:val="0"/>
              <w:rPr>
                <w:rFonts w:ascii="Calibri" w:hAnsi="Calibri"/>
                <w:lang w:eastAsia="en-US"/>
              </w:rPr>
            </w:pPr>
            <w:r>
              <w:rPr>
                <w:rFonts w:hint="eastAsia" w:ascii="Calibri" w:hAnsi="Calibri"/>
                <w:lang w:eastAsia="en-US"/>
              </w:rPr>
              <w:t>基础机架式：2U信创工控机；CPU≥8核8线程；内存≥16G内存；硬盘≥2T硬盘；电源规格：1+1冗余电源 国标；风扇个数2个；风道：前进风 后出风；Console口≥1个；USB：USB2.0≥3；网络接口：业务口：≥6千兆电，≥4千兆光，管理口(千兆电)≥1个，HA口(千兆电)≥1个；接口扩展槽≥1个</w:t>
            </w:r>
          </w:p>
        </w:tc>
      </w:tr>
      <w:tr w14:paraId="24121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61" w:type="dxa"/>
            <w:noWrap/>
            <w:vAlign w:val="center"/>
          </w:tcPr>
          <w:p w14:paraId="455D8A26">
            <w:pPr>
              <w:autoSpaceDE w:val="0"/>
              <w:autoSpaceDN w:val="0"/>
              <w:rPr>
                <w:rFonts w:ascii="Calibri" w:hAnsi="Calibri"/>
                <w:lang w:eastAsia="en-US"/>
              </w:rPr>
            </w:pPr>
            <w:r>
              <w:rPr>
                <w:rFonts w:hint="eastAsia" w:ascii="Calibri" w:hAnsi="Calibri"/>
                <w:lang w:eastAsia="en-US"/>
              </w:rPr>
              <w:t>2</w:t>
            </w:r>
          </w:p>
        </w:tc>
        <w:tc>
          <w:tcPr>
            <w:tcW w:w="1061" w:type="dxa"/>
            <w:noWrap/>
            <w:vAlign w:val="center"/>
          </w:tcPr>
          <w:p w14:paraId="5877A8FE">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6991FE92">
            <w:pPr>
              <w:autoSpaceDE w:val="0"/>
              <w:autoSpaceDN w:val="0"/>
              <w:rPr>
                <w:rFonts w:ascii="Calibri" w:hAnsi="Calibri"/>
                <w:lang w:eastAsia="en-US"/>
              </w:rPr>
            </w:pPr>
            <w:r>
              <w:rPr>
                <w:rFonts w:hint="eastAsia" w:ascii="Calibri" w:hAnsi="Calibri"/>
                <w:lang w:eastAsia="en-US"/>
              </w:rPr>
              <w:t>性能要求</w:t>
            </w:r>
          </w:p>
        </w:tc>
        <w:tc>
          <w:tcPr>
            <w:tcW w:w="4616" w:type="dxa"/>
            <w:noWrap/>
            <w:vAlign w:val="center"/>
          </w:tcPr>
          <w:p w14:paraId="2E166258">
            <w:pPr>
              <w:autoSpaceDE w:val="0"/>
              <w:autoSpaceDN w:val="0"/>
              <w:rPr>
                <w:rFonts w:ascii="Calibri" w:hAnsi="Calibri"/>
                <w:lang w:eastAsia="en-US"/>
              </w:rPr>
            </w:pPr>
            <w:r>
              <w:rPr>
                <w:rFonts w:hint="eastAsia" w:ascii="Calibri" w:hAnsi="Calibri"/>
                <w:lang w:eastAsia="en-US"/>
              </w:rPr>
              <w:t>整机吞吐≥1000Mbps；双向审计数据库流量≥100Mbps；峰值SQL事务处理能力≥10000条/秒；数据库实例数≥12个；</w:t>
            </w:r>
          </w:p>
        </w:tc>
      </w:tr>
      <w:tr w14:paraId="60A2C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61" w:type="dxa"/>
            <w:noWrap/>
            <w:vAlign w:val="center"/>
          </w:tcPr>
          <w:p w14:paraId="347E8EBA">
            <w:pPr>
              <w:autoSpaceDE w:val="0"/>
              <w:autoSpaceDN w:val="0"/>
              <w:rPr>
                <w:rFonts w:ascii="Calibri" w:hAnsi="Calibri"/>
                <w:lang w:eastAsia="en-US"/>
              </w:rPr>
            </w:pPr>
            <w:r>
              <w:rPr>
                <w:rFonts w:hint="eastAsia" w:ascii="Calibri" w:hAnsi="Calibri"/>
                <w:lang w:eastAsia="en-US"/>
              </w:rPr>
              <w:t>3</w:t>
            </w:r>
          </w:p>
        </w:tc>
        <w:tc>
          <w:tcPr>
            <w:tcW w:w="1061" w:type="dxa"/>
            <w:noWrap/>
            <w:vAlign w:val="center"/>
          </w:tcPr>
          <w:p w14:paraId="2BCCA745">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0DE94DAA">
            <w:pPr>
              <w:autoSpaceDE w:val="0"/>
              <w:autoSpaceDN w:val="0"/>
              <w:rPr>
                <w:rFonts w:ascii="Calibri" w:hAnsi="Calibri"/>
                <w:lang w:eastAsia="en-US"/>
              </w:rPr>
            </w:pPr>
            <w:r>
              <w:rPr>
                <w:rFonts w:hint="eastAsia" w:ascii="Calibri" w:hAnsi="Calibri"/>
                <w:lang w:eastAsia="en-US"/>
              </w:rPr>
              <w:t>关键部件安全要求</w:t>
            </w:r>
          </w:p>
        </w:tc>
        <w:tc>
          <w:tcPr>
            <w:tcW w:w="4616" w:type="dxa"/>
            <w:noWrap/>
            <w:vAlign w:val="center"/>
          </w:tcPr>
          <w:p w14:paraId="6EF49211">
            <w:pPr>
              <w:autoSpaceDE w:val="0"/>
              <w:autoSpaceDN w:val="0"/>
              <w:rPr>
                <w:rFonts w:ascii="Calibri" w:hAnsi="Calibri"/>
                <w:lang w:eastAsia="en-US"/>
              </w:rPr>
            </w:pPr>
            <w:r>
              <w:rPr>
                <w:rFonts w:hint="eastAsia" w:ascii="Calibri" w:hAnsi="Calibri"/>
                <w:lang w:eastAsia="en-US"/>
              </w:rPr>
              <w:t>所提供产品的 CPU 芯片应当符合</w:t>
            </w:r>
          </w:p>
          <w:p w14:paraId="02A8019E">
            <w:pPr>
              <w:autoSpaceDE w:val="0"/>
              <w:autoSpaceDN w:val="0"/>
              <w:rPr>
                <w:rFonts w:ascii="Calibri" w:hAnsi="Calibri"/>
                <w:lang w:eastAsia="en-US"/>
              </w:rPr>
            </w:pPr>
            <w:r>
              <w:rPr>
                <w:rFonts w:hint="eastAsia" w:ascii="Calibri" w:hAnsi="Calibri"/>
                <w:lang w:eastAsia="en-US"/>
              </w:rPr>
              <w:t>安全可靠测评要求</w:t>
            </w:r>
          </w:p>
        </w:tc>
      </w:tr>
    </w:tbl>
    <w:p w14:paraId="72F9DEC9">
      <w:pPr>
        <w:rPr>
          <w:lang w:eastAsia="en-US"/>
        </w:rPr>
      </w:pPr>
    </w:p>
    <w:p w14:paraId="0B3DD915">
      <w:pPr>
        <w:rPr>
          <w:lang w:eastAsia="en-US"/>
        </w:rPr>
      </w:pPr>
      <w:r>
        <w:rPr>
          <w:rFonts w:hint="eastAsia"/>
          <w:lang w:eastAsia="en-US"/>
        </w:rPr>
        <w:t>杀毒软件</w:t>
      </w:r>
    </w:p>
    <w:tbl>
      <w:tblPr>
        <w:tblStyle w:val="249"/>
        <w:tblW w:w="8278"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061"/>
        <w:gridCol w:w="1932"/>
        <w:gridCol w:w="4524"/>
      </w:tblGrid>
      <w:tr w14:paraId="3DC27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61" w:type="dxa"/>
            <w:shd w:val="clear" w:color="auto" w:fill="A6A6A6"/>
            <w:noWrap/>
            <w:vAlign w:val="center"/>
          </w:tcPr>
          <w:p w14:paraId="1B6FB351">
            <w:pPr>
              <w:autoSpaceDE w:val="0"/>
              <w:autoSpaceDN w:val="0"/>
              <w:rPr>
                <w:rFonts w:ascii="Calibri" w:hAnsi="Calibri"/>
                <w:lang w:eastAsia="en-US"/>
              </w:rPr>
            </w:pPr>
            <w:r>
              <w:rPr>
                <w:rFonts w:hint="eastAsia" w:ascii="Calibri" w:hAnsi="Calibri"/>
                <w:lang w:eastAsia="en-US"/>
              </w:rPr>
              <w:t>序号</w:t>
            </w:r>
          </w:p>
        </w:tc>
        <w:tc>
          <w:tcPr>
            <w:tcW w:w="1061" w:type="dxa"/>
            <w:shd w:val="clear" w:color="auto" w:fill="A6A6A6"/>
            <w:noWrap/>
            <w:vAlign w:val="center"/>
          </w:tcPr>
          <w:p w14:paraId="03A4AF4B">
            <w:pPr>
              <w:autoSpaceDE w:val="0"/>
              <w:autoSpaceDN w:val="0"/>
              <w:rPr>
                <w:rFonts w:ascii="Calibri" w:hAnsi="Calibri"/>
                <w:lang w:eastAsia="en-US"/>
              </w:rPr>
            </w:pPr>
            <w:r>
              <w:rPr>
                <w:rFonts w:hint="eastAsia" w:ascii="Calibri" w:hAnsi="Calibri"/>
                <w:lang w:eastAsia="en-US"/>
              </w:rPr>
              <w:t>重要性</w:t>
            </w:r>
          </w:p>
        </w:tc>
        <w:tc>
          <w:tcPr>
            <w:tcW w:w="1932" w:type="dxa"/>
            <w:shd w:val="clear" w:color="auto" w:fill="A6A6A6"/>
            <w:noWrap/>
            <w:vAlign w:val="center"/>
          </w:tcPr>
          <w:p w14:paraId="42ACBE32">
            <w:pPr>
              <w:autoSpaceDE w:val="0"/>
              <w:autoSpaceDN w:val="0"/>
              <w:rPr>
                <w:rFonts w:ascii="Calibri" w:hAnsi="Calibri"/>
                <w:lang w:eastAsia="en-US"/>
              </w:rPr>
            </w:pPr>
            <w:r>
              <w:rPr>
                <w:rFonts w:hint="eastAsia" w:ascii="Calibri" w:hAnsi="Calibri"/>
                <w:lang w:eastAsia="en-US"/>
              </w:rPr>
              <w:t>指标项</w:t>
            </w:r>
          </w:p>
        </w:tc>
        <w:tc>
          <w:tcPr>
            <w:tcW w:w="4524" w:type="dxa"/>
            <w:shd w:val="clear" w:color="auto" w:fill="A6A6A6"/>
            <w:noWrap/>
            <w:vAlign w:val="center"/>
          </w:tcPr>
          <w:p w14:paraId="727F87F1">
            <w:pPr>
              <w:autoSpaceDE w:val="0"/>
              <w:autoSpaceDN w:val="0"/>
              <w:rPr>
                <w:rFonts w:ascii="Calibri" w:hAnsi="Calibri"/>
                <w:lang w:eastAsia="en-US"/>
              </w:rPr>
            </w:pPr>
            <w:r>
              <w:rPr>
                <w:rFonts w:hint="eastAsia" w:ascii="Calibri" w:hAnsi="Calibri"/>
                <w:lang w:eastAsia="en-US"/>
              </w:rPr>
              <w:t>指标要求</w:t>
            </w:r>
          </w:p>
        </w:tc>
      </w:tr>
      <w:tr w14:paraId="02EFF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61" w:type="dxa"/>
            <w:noWrap/>
            <w:vAlign w:val="center"/>
          </w:tcPr>
          <w:p w14:paraId="59089795">
            <w:pPr>
              <w:autoSpaceDE w:val="0"/>
              <w:autoSpaceDN w:val="0"/>
              <w:rPr>
                <w:rFonts w:ascii="Calibri" w:hAnsi="Calibri"/>
                <w:lang w:eastAsia="en-US"/>
              </w:rPr>
            </w:pPr>
            <w:r>
              <w:rPr>
                <w:rFonts w:hint="eastAsia" w:ascii="Calibri" w:hAnsi="Calibri"/>
                <w:lang w:eastAsia="en-US"/>
              </w:rPr>
              <w:t>1</w:t>
            </w:r>
          </w:p>
        </w:tc>
        <w:tc>
          <w:tcPr>
            <w:tcW w:w="1061" w:type="dxa"/>
            <w:noWrap/>
            <w:vAlign w:val="center"/>
          </w:tcPr>
          <w:p w14:paraId="7E3A1D44">
            <w:pPr>
              <w:autoSpaceDE w:val="0"/>
              <w:autoSpaceDN w:val="0"/>
              <w:rPr>
                <w:rFonts w:ascii="Calibri" w:hAnsi="Calibri"/>
                <w:lang w:eastAsia="en-US"/>
              </w:rPr>
            </w:pPr>
            <w:r>
              <w:rPr>
                <w:rFonts w:hint="eastAsia" w:ascii="Calibri" w:hAnsi="Calibri"/>
                <w:lang w:eastAsia="en-US"/>
              </w:rPr>
              <w:t>★</w:t>
            </w:r>
          </w:p>
        </w:tc>
        <w:tc>
          <w:tcPr>
            <w:tcW w:w="1932" w:type="dxa"/>
            <w:noWrap/>
            <w:vAlign w:val="center"/>
          </w:tcPr>
          <w:p w14:paraId="7D4688BB">
            <w:pPr>
              <w:autoSpaceDE w:val="0"/>
              <w:autoSpaceDN w:val="0"/>
              <w:rPr>
                <w:rFonts w:ascii="Calibri" w:hAnsi="Calibri"/>
                <w:lang w:eastAsia="en-US"/>
              </w:rPr>
            </w:pPr>
            <w:r>
              <w:rPr>
                <w:rFonts w:hint="eastAsia" w:ascii="Calibri" w:hAnsi="Calibri"/>
                <w:lang w:eastAsia="en-US"/>
              </w:rPr>
              <w:t>性能要求</w:t>
            </w:r>
          </w:p>
        </w:tc>
        <w:tc>
          <w:tcPr>
            <w:tcW w:w="4524" w:type="dxa"/>
            <w:noWrap/>
            <w:vAlign w:val="center"/>
          </w:tcPr>
          <w:p w14:paraId="382550BD">
            <w:pPr>
              <w:autoSpaceDE w:val="0"/>
              <w:autoSpaceDN w:val="0"/>
              <w:rPr>
                <w:rFonts w:ascii="Calibri" w:hAnsi="Calibri"/>
                <w:lang w:eastAsia="en-US"/>
              </w:rPr>
            </w:pPr>
            <w:r>
              <w:rPr>
                <w:rFonts w:hint="eastAsia" w:ascii="Calibri" w:hAnsi="Calibri"/>
                <w:lang w:eastAsia="en-US"/>
              </w:rPr>
              <w:t>≥50个客户端点数授权</w:t>
            </w:r>
          </w:p>
        </w:tc>
      </w:tr>
    </w:tbl>
    <w:p w14:paraId="16F0A8A2">
      <w:pPr>
        <w:rPr>
          <w:lang w:eastAsia="en-US"/>
        </w:rPr>
      </w:pPr>
    </w:p>
    <w:p w14:paraId="052430C7">
      <w:pPr>
        <w:rPr>
          <w:lang w:eastAsia="en-US"/>
        </w:rPr>
      </w:pPr>
      <w:r>
        <w:rPr>
          <w:rFonts w:hint="eastAsia"/>
          <w:lang w:eastAsia="en-US"/>
        </w:rPr>
        <w:t>服务要求</w:t>
      </w:r>
    </w:p>
    <w:p w14:paraId="2CE35D2F">
      <w:pPr>
        <w:rPr>
          <w:lang w:eastAsia="en-US"/>
        </w:rPr>
      </w:pPr>
    </w:p>
    <w:tbl>
      <w:tblPr>
        <w:tblStyle w:val="249"/>
        <w:tblW w:w="8123" w:type="dxa"/>
        <w:tblInd w:w="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9"/>
        <w:gridCol w:w="1261"/>
        <w:gridCol w:w="743"/>
        <w:gridCol w:w="5510"/>
      </w:tblGrid>
      <w:tr w14:paraId="502E5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09" w:type="dxa"/>
            <w:noWrap/>
            <w:textDirection w:val="tbRlV"/>
            <w:vAlign w:val="center"/>
          </w:tcPr>
          <w:p w14:paraId="1766335C">
            <w:pPr>
              <w:autoSpaceDE w:val="0"/>
              <w:autoSpaceDN w:val="0"/>
              <w:rPr>
                <w:rFonts w:ascii="Calibri" w:hAnsi="Calibri"/>
                <w:lang w:eastAsia="en-US"/>
              </w:rPr>
            </w:pPr>
            <w:r>
              <w:rPr>
                <w:rFonts w:hint="eastAsia" w:ascii="Calibri" w:hAnsi="Calibri"/>
                <w:lang w:eastAsia="en-US"/>
              </w:rPr>
              <w:t>序号</w:t>
            </w:r>
          </w:p>
        </w:tc>
        <w:tc>
          <w:tcPr>
            <w:tcW w:w="1261" w:type="dxa"/>
            <w:noWrap/>
            <w:vAlign w:val="center"/>
          </w:tcPr>
          <w:p w14:paraId="62A5A935">
            <w:pPr>
              <w:autoSpaceDE w:val="0"/>
              <w:autoSpaceDN w:val="0"/>
              <w:rPr>
                <w:rFonts w:ascii="Calibri" w:hAnsi="Calibri"/>
                <w:lang w:eastAsia="en-US"/>
              </w:rPr>
            </w:pPr>
            <w:r>
              <w:rPr>
                <w:rFonts w:hint="eastAsia" w:ascii="Calibri" w:hAnsi="Calibri"/>
                <w:lang w:eastAsia="en-US"/>
              </w:rPr>
              <w:t>内容</w:t>
            </w:r>
          </w:p>
        </w:tc>
        <w:tc>
          <w:tcPr>
            <w:tcW w:w="743" w:type="dxa"/>
            <w:noWrap/>
            <w:vAlign w:val="center"/>
          </w:tcPr>
          <w:p w14:paraId="19BD2CDC">
            <w:pPr>
              <w:autoSpaceDE w:val="0"/>
              <w:autoSpaceDN w:val="0"/>
              <w:rPr>
                <w:rFonts w:ascii="Calibri" w:hAnsi="Calibri"/>
                <w:lang w:eastAsia="en-US"/>
              </w:rPr>
            </w:pPr>
            <w:r>
              <w:rPr>
                <w:rFonts w:hint="eastAsia" w:ascii="Calibri" w:hAnsi="Calibri"/>
                <w:lang w:eastAsia="en-US"/>
              </w:rPr>
              <w:t>重要性</w:t>
            </w:r>
          </w:p>
        </w:tc>
        <w:tc>
          <w:tcPr>
            <w:tcW w:w="5510" w:type="dxa"/>
            <w:noWrap/>
            <w:vAlign w:val="center"/>
          </w:tcPr>
          <w:p w14:paraId="614D2320">
            <w:pPr>
              <w:autoSpaceDE w:val="0"/>
              <w:autoSpaceDN w:val="0"/>
              <w:rPr>
                <w:rFonts w:ascii="Calibri" w:hAnsi="Calibri"/>
                <w:lang w:eastAsia="en-US"/>
              </w:rPr>
            </w:pPr>
            <w:r>
              <w:rPr>
                <w:rFonts w:hint="eastAsia" w:ascii="Calibri" w:hAnsi="Calibri"/>
                <w:lang w:eastAsia="en-US"/>
              </w:rPr>
              <w:t>服务要求标准</w:t>
            </w:r>
          </w:p>
        </w:tc>
      </w:tr>
      <w:tr w14:paraId="72D4A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609" w:type="dxa"/>
            <w:noWrap/>
            <w:vAlign w:val="center"/>
          </w:tcPr>
          <w:p w14:paraId="34487A05">
            <w:pPr>
              <w:autoSpaceDE w:val="0"/>
              <w:autoSpaceDN w:val="0"/>
              <w:rPr>
                <w:rFonts w:ascii="Calibri" w:hAnsi="Calibri"/>
                <w:lang w:eastAsia="en-US"/>
              </w:rPr>
            </w:pPr>
            <w:r>
              <w:rPr>
                <w:rFonts w:hint="eastAsia" w:ascii="Calibri" w:hAnsi="Calibri"/>
                <w:lang w:eastAsia="en-US"/>
              </w:rPr>
              <w:t>1</w:t>
            </w:r>
          </w:p>
        </w:tc>
        <w:tc>
          <w:tcPr>
            <w:tcW w:w="1261" w:type="dxa"/>
            <w:noWrap/>
            <w:vAlign w:val="center"/>
          </w:tcPr>
          <w:p w14:paraId="233459A8">
            <w:pPr>
              <w:autoSpaceDE w:val="0"/>
              <w:autoSpaceDN w:val="0"/>
              <w:rPr>
                <w:rFonts w:ascii="Calibri" w:hAnsi="Calibri"/>
                <w:lang w:eastAsia="en-US"/>
              </w:rPr>
            </w:pPr>
            <w:r>
              <w:rPr>
                <w:rFonts w:hint="eastAsia" w:ascii="Calibri" w:hAnsi="Calibri"/>
                <w:lang w:eastAsia="en-US"/>
              </w:rPr>
              <w:t>原厂售后服务承诺函</w:t>
            </w:r>
          </w:p>
        </w:tc>
        <w:tc>
          <w:tcPr>
            <w:tcW w:w="743" w:type="dxa"/>
            <w:noWrap/>
            <w:vAlign w:val="center"/>
          </w:tcPr>
          <w:p w14:paraId="52408604">
            <w:pPr>
              <w:autoSpaceDE w:val="0"/>
              <w:autoSpaceDN w:val="0"/>
              <w:rPr>
                <w:rFonts w:ascii="Calibri" w:hAnsi="Calibri"/>
                <w:lang w:eastAsia="en-US"/>
              </w:rPr>
            </w:pPr>
            <w:r>
              <w:rPr>
                <w:rFonts w:hint="eastAsia" w:ascii="Calibri" w:hAnsi="Calibri"/>
                <w:lang w:eastAsia="en-US"/>
              </w:rPr>
              <w:t>★</w:t>
            </w:r>
          </w:p>
        </w:tc>
        <w:tc>
          <w:tcPr>
            <w:tcW w:w="5510" w:type="dxa"/>
            <w:noWrap/>
            <w:vAlign w:val="center"/>
          </w:tcPr>
          <w:p w14:paraId="1A25E9DE">
            <w:pPr>
              <w:autoSpaceDE w:val="0"/>
              <w:autoSpaceDN w:val="0"/>
              <w:rPr>
                <w:rFonts w:ascii="Calibri" w:hAnsi="Calibri"/>
                <w:lang w:eastAsia="en-US"/>
              </w:rPr>
            </w:pPr>
            <w:r>
              <w:rPr>
                <w:rFonts w:hint="eastAsia" w:ascii="Calibri" w:hAnsi="Calibri"/>
                <w:lang w:eastAsia="en-US"/>
              </w:rPr>
              <w:t>本项目所有产品整体提供三年免费质保服务，提供原厂售后 服务承诺函。</w:t>
            </w:r>
          </w:p>
        </w:tc>
      </w:tr>
    </w:tbl>
    <w:p w14:paraId="770B4E35"/>
    <w:p w14:paraId="3FA5A03D"/>
    <w:p w14:paraId="44E9D949"/>
    <w:p w14:paraId="54F657D9">
      <w:pPr>
        <w:pStyle w:val="30"/>
        <w:spacing w:line="360" w:lineRule="auto"/>
        <w:outlineLvl w:val="2"/>
        <w:rPr>
          <w:rFonts w:ascii="仿宋" w:hAnsi="仿宋" w:eastAsia="仿宋" w:cs="仿宋"/>
          <w:b/>
          <w:bCs/>
          <w:color w:val="000000"/>
          <w:sz w:val="24"/>
          <w:szCs w:val="22"/>
        </w:rPr>
      </w:pPr>
      <w:r>
        <w:rPr>
          <w:rFonts w:hint="eastAsia" w:ascii="仿宋" w:hAnsi="仿宋" w:eastAsia="仿宋" w:cs="仿宋"/>
          <w:b/>
          <w:bCs/>
          <w:color w:val="000000"/>
          <w:sz w:val="24"/>
          <w:szCs w:val="22"/>
        </w:rPr>
        <w:t>2.2 采购标的需满足的服务标准、期限、效率等要求（质保）</w:t>
      </w:r>
    </w:p>
    <w:p w14:paraId="3E9E600C">
      <w:pPr>
        <w:pStyle w:val="30"/>
        <w:spacing w:line="360" w:lineRule="auto"/>
        <w:outlineLvl w:val="3"/>
        <w:rPr>
          <w:rFonts w:ascii="仿宋" w:hAnsi="仿宋" w:eastAsia="仿宋" w:cs="仿宋"/>
          <w:b/>
          <w:bCs/>
          <w:color w:val="000000"/>
          <w:sz w:val="24"/>
          <w:szCs w:val="22"/>
        </w:rPr>
      </w:pPr>
      <w:r>
        <w:rPr>
          <w:rFonts w:hint="eastAsia" w:ascii="仿宋" w:hAnsi="仿宋" w:eastAsia="仿宋" w:cs="仿宋"/>
          <w:b/>
          <w:bCs/>
          <w:color w:val="000000"/>
          <w:sz w:val="24"/>
          <w:szCs w:val="22"/>
        </w:rPr>
        <w:t>1、交付</w:t>
      </w:r>
    </w:p>
    <w:p w14:paraId="6D2D3596">
      <w:pPr>
        <w:pStyle w:val="30"/>
        <w:spacing w:line="360" w:lineRule="auto"/>
        <w:outlineLvl w:val="9"/>
        <w:rPr>
          <w:rFonts w:hint="default" w:ascii="仿宋" w:hAnsi="仿宋" w:eastAsia="仿宋" w:cs="仿宋"/>
          <w:b w:val="0"/>
          <w:bCs w:val="0"/>
          <w:color w:val="000000"/>
          <w:sz w:val="24"/>
          <w:szCs w:val="22"/>
        </w:rPr>
      </w:pPr>
      <w:r>
        <w:rPr>
          <w:rFonts w:hint="default" w:ascii="仿宋" w:hAnsi="仿宋" w:eastAsia="仿宋" w:cs="仿宋"/>
          <w:b w:val="0"/>
          <w:bCs w:val="0"/>
          <w:color w:val="000000"/>
          <w:sz w:val="24"/>
          <w:szCs w:val="22"/>
        </w:rPr>
        <w:t>自合同签订之日起至120日历天完成全部内容。</w:t>
      </w:r>
    </w:p>
    <w:p w14:paraId="41861E24">
      <w:pPr>
        <w:pStyle w:val="30"/>
        <w:spacing w:line="360" w:lineRule="auto"/>
        <w:outlineLvl w:val="3"/>
        <w:rPr>
          <w:rFonts w:ascii="仿宋" w:hAnsi="仿宋" w:eastAsia="仿宋" w:cs="仿宋"/>
          <w:b/>
          <w:bCs/>
          <w:color w:val="000000"/>
          <w:sz w:val="24"/>
          <w:szCs w:val="22"/>
        </w:rPr>
      </w:pPr>
      <w:r>
        <w:rPr>
          <w:rFonts w:hint="eastAsia" w:ascii="仿宋" w:hAnsi="仿宋" w:eastAsia="仿宋" w:cs="仿宋"/>
          <w:b/>
          <w:bCs/>
          <w:color w:val="000000"/>
          <w:sz w:val="24"/>
          <w:szCs w:val="22"/>
        </w:rPr>
        <w:t>2、质保</w:t>
      </w:r>
    </w:p>
    <w:p w14:paraId="23CCA70F">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本项目质保服务为三年；对人员及服务响应及培训要求如下：</w:t>
      </w:r>
    </w:p>
    <w:p w14:paraId="5A4754D2">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（1）人员要求</w:t>
      </w:r>
    </w:p>
    <w:p w14:paraId="1C5906A6">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针对项目的软硬件至少配备2人驻场进行服务。</w:t>
      </w:r>
    </w:p>
    <w:p w14:paraId="6D6A2D99">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（2）服务响应要求</w:t>
      </w:r>
    </w:p>
    <w:p w14:paraId="45B312D3">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解决故障的时间不得长于24小时。</w:t>
      </w:r>
    </w:p>
    <w:p w14:paraId="31FEAA2B">
      <w:pPr>
        <w:pStyle w:val="30"/>
        <w:spacing w:line="360" w:lineRule="auto"/>
        <w:rPr>
          <w:rFonts w:ascii="仿宋" w:hAnsi="仿宋" w:eastAsia="仿宋" w:cs="仿宋"/>
          <w:color w:val="000000"/>
          <w:sz w:val="24"/>
          <w:szCs w:val="22"/>
        </w:rPr>
      </w:pPr>
      <w:r>
        <w:rPr>
          <w:rFonts w:ascii="仿宋" w:hAnsi="仿宋" w:eastAsia="仿宋" w:cs="仿宋"/>
          <w:color w:val="000000"/>
          <w:sz w:val="24"/>
          <w:szCs w:val="22"/>
        </w:rPr>
        <w:t>（3）培训要求</w:t>
      </w:r>
    </w:p>
    <w:p w14:paraId="3C4C4A67">
      <w:pPr>
        <w:pStyle w:val="30"/>
        <w:spacing w:line="360" w:lineRule="auto"/>
        <w:ind w:firstLine="480" w:firstLineChars="200"/>
      </w:pPr>
      <w:r>
        <w:rPr>
          <w:rFonts w:ascii="仿宋" w:hAnsi="仿宋" w:eastAsia="仿宋" w:cs="仿宋"/>
          <w:color w:val="000000"/>
          <w:sz w:val="24"/>
          <w:szCs w:val="22"/>
        </w:rPr>
        <w:t>北京市门头沟区新馆网络通讯安全系统及楼宇控制系统工程项目培训目的是：通过对局域网、政务外网、设备网应用平台、各子系统应用功能点应用培训，使各角色用户（业务人员、管理人员、领导）熟练操作使用和管理配置门头沟区档案馆各子系统应用的需求。</w:t>
      </w:r>
    </w:p>
    <w:p w14:paraId="003F2D33">
      <w:pPr>
        <w:pStyle w:val="30"/>
        <w:spacing w:line="360" w:lineRule="auto"/>
        <w:outlineLvl w:val="2"/>
        <w:rPr>
          <w:rFonts w:ascii="仿宋" w:hAnsi="仿宋" w:eastAsia="仿宋" w:cs="仿宋"/>
          <w:b/>
          <w:bCs/>
          <w:color w:val="000000"/>
          <w:sz w:val="24"/>
          <w:szCs w:val="22"/>
        </w:rPr>
      </w:pPr>
      <w:r>
        <w:rPr>
          <w:rFonts w:hint="eastAsia" w:ascii="仿宋" w:hAnsi="仿宋" w:eastAsia="仿宋" w:cs="仿宋"/>
          <w:b/>
          <w:bCs/>
          <w:color w:val="000000"/>
          <w:sz w:val="24"/>
          <w:szCs w:val="22"/>
        </w:rPr>
        <w:t>2.3 为落实政府采购政策需满足的要求</w:t>
      </w:r>
    </w:p>
    <w:p w14:paraId="069E379F">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促进中小企业发展政策：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6EF62D77">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 xml:space="preserve"> 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7BCE0B8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14:paraId="01ED444A">
      <w:pPr>
        <w:pStyle w:val="30"/>
        <w:spacing w:line="360" w:lineRule="auto"/>
        <w:outlineLvl w:val="2"/>
        <w:rPr>
          <w:rFonts w:ascii="仿宋" w:hAnsi="仿宋" w:eastAsia="仿宋" w:cs="仿宋"/>
          <w:b/>
          <w:bCs/>
          <w:color w:val="000000"/>
          <w:sz w:val="24"/>
          <w:szCs w:val="22"/>
        </w:rPr>
      </w:pPr>
      <w:r>
        <w:rPr>
          <w:rFonts w:hint="eastAsia" w:ascii="仿宋" w:hAnsi="仿宋" w:eastAsia="仿宋" w:cs="仿宋"/>
          <w:b/>
          <w:bCs/>
          <w:color w:val="000000"/>
          <w:sz w:val="24"/>
          <w:szCs w:val="22"/>
        </w:rPr>
        <w:t>2.4 采购标的的其他技术、服务等要求(无）</w:t>
      </w:r>
    </w:p>
    <w:p w14:paraId="3DCC76BE">
      <w:pPr>
        <w:pStyle w:val="30"/>
        <w:spacing w:line="360" w:lineRule="auto"/>
        <w:outlineLvl w:val="2"/>
        <w:rPr>
          <w:rFonts w:ascii="仿宋" w:hAnsi="仿宋" w:eastAsia="仿宋" w:cs="仿宋"/>
          <w:b/>
          <w:bCs/>
          <w:color w:val="000000"/>
          <w:sz w:val="24"/>
          <w:szCs w:val="22"/>
        </w:rPr>
      </w:pPr>
      <w:r>
        <w:rPr>
          <w:rFonts w:hint="eastAsia" w:ascii="仿宋" w:hAnsi="仿宋" w:eastAsia="仿宋" w:cs="仿宋"/>
          <w:b/>
          <w:bCs/>
          <w:color w:val="000000"/>
          <w:sz w:val="24"/>
          <w:szCs w:val="22"/>
        </w:rPr>
        <w:t>2.5 需由供应商提供设计方案 、解决方案或者组织方案的采购项目，应当说明采购 标的的功能、应用场景、 目标等基本要求</w:t>
      </w:r>
    </w:p>
    <w:p w14:paraId="544ADFFF">
      <w:pPr>
        <w:pStyle w:val="30"/>
        <w:spacing w:line="360" w:lineRule="auto"/>
        <w:outlineLvl w:val="1"/>
        <w:rPr>
          <w:rFonts w:ascii="仿宋" w:hAnsi="仿宋" w:eastAsia="仿宋" w:cs="仿宋"/>
          <w:b/>
          <w:bCs/>
          <w:color w:val="000000"/>
          <w:sz w:val="24"/>
          <w:szCs w:val="22"/>
        </w:rPr>
      </w:pPr>
      <w:r>
        <w:rPr>
          <w:rFonts w:hint="eastAsia" w:ascii="仿宋" w:hAnsi="仿宋" w:eastAsia="仿宋" w:cs="仿宋"/>
          <w:b/>
          <w:bCs/>
          <w:color w:val="000000"/>
          <w:sz w:val="24"/>
          <w:szCs w:val="22"/>
        </w:rPr>
        <w:t>3. 验收标准</w:t>
      </w:r>
    </w:p>
    <w:p w14:paraId="590EA789">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国家三级等级保护标准和国家三级密码应用标准</w:t>
      </w:r>
    </w:p>
    <w:p w14:paraId="0EC3505B">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国家信创相关标准和要求</w:t>
      </w:r>
    </w:p>
    <w:p w14:paraId="29F6CC26">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信息化项目其他相关标准</w:t>
      </w:r>
    </w:p>
    <w:p w14:paraId="7823C94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《安全防范系统验收规则》GA308-2001</w:t>
      </w:r>
    </w:p>
    <w:p w14:paraId="2BF50868">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《综合布线系统工程验收规范》</w:t>
      </w:r>
      <w:r>
        <w:rPr>
          <w:rFonts w:hint="eastAsia" w:ascii="仿宋" w:hAnsi="仿宋" w:eastAsia="仿宋" w:cs="仿宋"/>
          <w:color w:val="000000"/>
          <w:sz w:val="24"/>
          <w:szCs w:val="22"/>
          <w:lang w:val="en-US" w:eastAsia="zh-CN"/>
        </w:rPr>
        <w:t>GB/T 50312-2016</w:t>
      </w:r>
    </w:p>
    <w:p w14:paraId="1E56431D">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《电气装置安装工程电缆线路施工及验收规范》GB50168-20</w:t>
      </w:r>
      <w:r>
        <w:rPr>
          <w:rFonts w:hint="eastAsia" w:ascii="仿宋" w:hAnsi="仿宋" w:eastAsia="仿宋" w:cs="仿宋"/>
          <w:color w:val="000000"/>
          <w:sz w:val="24"/>
          <w:szCs w:val="22"/>
          <w:lang w:val="en-US" w:eastAsia="zh-CN"/>
        </w:rPr>
        <w:t>18</w:t>
      </w:r>
    </w:p>
    <w:p w14:paraId="44D732EC">
      <w:pPr>
        <w:pStyle w:val="30"/>
        <w:spacing w:line="360" w:lineRule="auto"/>
        <w:rPr>
          <w:rFonts w:ascii="仿宋" w:hAnsi="仿宋" w:eastAsia="仿宋" w:cs="仿宋"/>
          <w:color w:val="000000"/>
          <w:sz w:val="24"/>
          <w:szCs w:val="22"/>
        </w:rPr>
      </w:pPr>
      <w:r>
        <w:rPr>
          <w:rFonts w:hint="eastAsia" w:ascii="仿宋" w:hAnsi="仿宋" w:eastAsia="仿宋" w:cs="仿宋"/>
          <w:color w:val="000000"/>
          <w:sz w:val="24"/>
          <w:szCs w:val="22"/>
        </w:rPr>
        <w:t>《通信电源设备安装工程验收规范》</w:t>
      </w:r>
      <w:r>
        <w:rPr>
          <w:rFonts w:hint="eastAsia" w:ascii="仿宋" w:hAnsi="仿宋" w:eastAsia="仿宋" w:cs="仿宋"/>
          <w:color w:val="000000"/>
          <w:sz w:val="24"/>
          <w:szCs w:val="22"/>
          <w:lang w:val="en-US" w:eastAsia="zh-CN"/>
        </w:rPr>
        <w:t>GB51199-2016</w:t>
      </w:r>
    </w:p>
    <w:p w14:paraId="01D11494">
      <w:pPr>
        <w:pStyle w:val="30"/>
        <w:numPr>
          <w:ilvl w:val="0"/>
          <w:numId w:val="16"/>
        </w:numPr>
        <w:spacing w:line="360" w:lineRule="auto"/>
        <w:outlineLvl w:val="1"/>
        <w:rPr>
          <w:rFonts w:ascii="仿宋" w:hAnsi="仿宋" w:eastAsia="仿宋" w:cs="仿宋"/>
          <w:b/>
          <w:bCs/>
          <w:color w:val="000000"/>
          <w:sz w:val="24"/>
          <w:szCs w:val="22"/>
        </w:rPr>
      </w:pPr>
      <w:r>
        <w:rPr>
          <w:rFonts w:hint="eastAsia" w:ascii="仿宋" w:hAnsi="仿宋" w:eastAsia="仿宋" w:cs="仿宋"/>
          <w:b/>
          <w:bCs/>
          <w:color w:val="000000"/>
          <w:sz w:val="24"/>
          <w:szCs w:val="22"/>
        </w:rPr>
        <w:t>其他要求（如有）</w:t>
      </w:r>
      <w:r>
        <w:rPr>
          <w:rFonts w:hint="eastAsia" w:ascii="仿宋" w:hAnsi="仿宋" w:eastAsia="仿宋" w:cs="仿宋"/>
          <w:b/>
          <w:bCs/>
          <w:color w:val="000000"/>
          <w:sz w:val="24"/>
          <w:szCs w:val="22"/>
        </w:rPr>
        <w:br w:type="textWrapping"/>
      </w:r>
      <w:r>
        <w:rPr>
          <w:rFonts w:hint="eastAsia" w:ascii="仿宋" w:hAnsi="仿宋" w:eastAsia="仿宋" w:cs="仿宋"/>
          <w:b/>
          <w:bCs/>
          <w:color w:val="000000"/>
          <w:sz w:val="24"/>
          <w:szCs w:val="22"/>
        </w:rPr>
        <w:t>工程量清单与计价表及图纸（详见附件）</w:t>
      </w:r>
      <w:r>
        <w:rPr>
          <w:rFonts w:hint="eastAsia" w:ascii="仿宋" w:hAnsi="仿宋" w:eastAsia="仿宋" w:cs="仿宋"/>
          <w:b/>
          <w:bCs/>
          <w:color w:val="000000"/>
          <w:sz w:val="24"/>
          <w:szCs w:val="22"/>
        </w:rPr>
        <w:br w:type="textWrapping"/>
      </w:r>
      <w:r>
        <w:rPr>
          <w:rFonts w:hint="eastAsia" w:ascii="仿宋" w:hAnsi="仿宋" w:eastAsia="仿宋" w:cs="仿宋"/>
          <w:b/>
          <w:bCs/>
          <w:color w:val="000000"/>
          <w:sz w:val="24"/>
          <w:szCs w:val="22"/>
        </w:rPr>
        <w:t>施工现场安全生产标准化管理目标等级：达标（合格）</w:t>
      </w:r>
    </w:p>
    <w:p w14:paraId="26CF2885">
      <w:pPr>
        <w:pStyle w:val="30"/>
        <w:spacing w:line="360" w:lineRule="auto"/>
        <w:outlineLvl w:val="1"/>
        <w:rPr>
          <w:rFonts w:ascii="仿宋" w:hAnsi="仿宋" w:eastAsia="仿宋" w:cs="仿宋"/>
          <w:color w:val="000000"/>
          <w:sz w:val="24"/>
          <w:szCs w:val="22"/>
        </w:rPr>
      </w:pPr>
    </w:p>
    <w:p w14:paraId="781E683F"/>
    <w:p w14:paraId="0BF24140">
      <w:pPr>
        <w:spacing w:line="360" w:lineRule="auto"/>
        <w:rPr>
          <w:rFonts w:ascii="宋体" w:hAnsi="宋体" w:cs="宋体"/>
          <w:sz w:val="24"/>
        </w:rPr>
      </w:pPr>
    </w:p>
    <w:p w14:paraId="5815AE99">
      <w:pPr>
        <w:pStyle w:val="41"/>
        <w:outlineLvl w:val="9"/>
        <w:rPr>
          <w:sz w:val="24"/>
          <w:szCs w:val="24"/>
        </w:rPr>
      </w:pPr>
    </w:p>
    <w:p w14:paraId="5B0DDB74">
      <w:pPr>
        <w:rPr>
          <w:sz w:val="24"/>
        </w:rPr>
      </w:pPr>
    </w:p>
    <w:p w14:paraId="057E8471">
      <w:pPr>
        <w:rPr>
          <w:sz w:val="24"/>
        </w:rPr>
      </w:pPr>
    </w:p>
    <w:p w14:paraId="6A7599FB">
      <w:pPr>
        <w:rPr>
          <w:sz w:val="24"/>
        </w:rPr>
        <w:sectPr>
          <w:pgSz w:w="11907" w:h="16840"/>
          <w:pgMar w:top="1418" w:right="1134" w:bottom="1418" w:left="1701" w:header="851" w:footer="851" w:gutter="0"/>
          <w:cols w:space="720" w:num="1"/>
          <w:docGrid w:linePitch="462" w:charSpace="0"/>
        </w:sectPr>
      </w:pPr>
    </w:p>
    <w:p w14:paraId="238D615A">
      <w:pPr>
        <w:rPr>
          <w:sz w:val="24"/>
        </w:rPr>
      </w:pPr>
    </w:p>
    <w:p w14:paraId="1F1F74CF">
      <w:pPr>
        <w:pStyle w:val="2"/>
      </w:pPr>
      <w:bookmarkStart w:id="831" w:name="_Toc22499"/>
      <w:bookmarkStart w:id="832" w:name="_Toc22160"/>
      <w:r>
        <w:t>第六章   拟签订的合同文本</w:t>
      </w:r>
      <w:bookmarkEnd w:id="826"/>
      <w:bookmarkEnd w:id="831"/>
      <w:bookmarkEnd w:id="832"/>
    </w:p>
    <w:p w14:paraId="0DC1D8E9">
      <w:pPr>
        <w:tabs>
          <w:tab w:val="left" w:pos="900"/>
          <w:tab w:val="left" w:pos="1080"/>
        </w:tabs>
        <w:snapToGrid w:val="0"/>
        <w:spacing w:line="360" w:lineRule="auto"/>
        <w:rPr>
          <w:kern w:val="0"/>
          <w:sz w:val="18"/>
          <w:szCs w:val="18"/>
        </w:rPr>
      </w:pPr>
    </w:p>
    <w:p w14:paraId="26FE9647">
      <w:pPr>
        <w:keepNext/>
        <w:keepLines/>
        <w:widowControl/>
        <w:adjustRightInd w:val="0"/>
        <w:snapToGrid w:val="0"/>
        <w:spacing w:before="120" w:after="120" w:line="360" w:lineRule="auto"/>
        <w:jc w:val="center"/>
        <w:outlineLvl w:val="0"/>
        <w:rPr>
          <w:rFonts w:ascii="宋体" w:hAnsi="宋体"/>
          <w:b/>
          <w:sz w:val="36"/>
          <w:szCs w:val="36"/>
        </w:rPr>
      </w:pPr>
      <w:bookmarkStart w:id="833" w:name="_Toc25745"/>
      <w:bookmarkStart w:id="834" w:name="_Toc27090"/>
      <w:bookmarkStart w:id="835" w:name="_Toc32361"/>
      <w:r>
        <w:rPr>
          <w:rFonts w:hint="eastAsia" w:ascii="宋体" w:hAnsi="宋体" w:cs="宋体"/>
          <w:b/>
          <w:kern w:val="0"/>
          <w:sz w:val="24"/>
        </w:rPr>
        <w:t>（最终合同文本以甲乙双方根据招标文件及投标文件协商后签订）</w:t>
      </w:r>
      <w:bookmarkEnd w:id="833"/>
      <w:bookmarkEnd w:id="834"/>
      <w:bookmarkEnd w:id="835"/>
    </w:p>
    <w:p w14:paraId="0B9BFB9D">
      <w:pPr>
        <w:spacing w:before="120" w:line="360" w:lineRule="auto"/>
        <w:jc w:val="center"/>
        <w:rPr>
          <w:rFonts w:ascii="宋体" w:hAnsi="宋体" w:cs="宋体"/>
          <w:b/>
          <w:sz w:val="24"/>
        </w:rPr>
      </w:pPr>
    </w:p>
    <w:p w14:paraId="71C384AE">
      <w:pPr>
        <w:spacing w:afterLines="50" w:line="360" w:lineRule="auto"/>
        <w:jc w:val="center"/>
        <w:rPr>
          <w:rFonts w:ascii="宋体" w:hAnsi="宋体" w:cs="宋体"/>
          <w:b/>
          <w:color w:val="000000"/>
          <w:sz w:val="96"/>
          <w:szCs w:val="300"/>
        </w:rPr>
      </w:pPr>
    </w:p>
    <w:p w14:paraId="1C150CCE">
      <w:pPr>
        <w:spacing w:afterLines="50" w:line="360" w:lineRule="auto"/>
        <w:jc w:val="center"/>
        <w:rPr>
          <w:rFonts w:ascii="宋体" w:hAnsi="宋体" w:cs="宋体"/>
          <w:b/>
          <w:color w:val="000000"/>
          <w:sz w:val="28"/>
          <w:szCs w:val="40"/>
        </w:rPr>
      </w:pPr>
      <w:r>
        <w:rPr>
          <w:rFonts w:hint="eastAsia" w:ascii="宋体" w:hAnsi="宋体" w:cs="宋体"/>
          <w:b/>
          <w:color w:val="000000"/>
          <w:sz w:val="96"/>
          <w:szCs w:val="300"/>
        </w:rPr>
        <w:t>政府采购合同</w:t>
      </w:r>
    </w:p>
    <w:p w14:paraId="78F293D1">
      <w:pPr>
        <w:spacing w:afterLines="50" w:line="560" w:lineRule="exact"/>
        <w:ind w:firstLine="562" w:firstLineChars="200"/>
        <w:jc w:val="center"/>
        <w:rPr>
          <w:rFonts w:ascii="宋体" w:hAnsi="宋体" w:cs="宋体"/>
          <w:b/>
          <w:color w:val="000000"/>
          <w:sz w:val="28"/>
          <w:szCs w:val="40"/>
        </w:rPr>
      </w:pPr>
    </w:p>
    <w:p w14:paraId="326592BD">
      <w:pPr>
        <w:spacing w:afterLines="50" w:line="560" w:lineRule="exact"/>
        <w:ind w:firstLine="562" w:firstLineChars="200"/>
        <w:jc w:val="center"/>
        <w:rPr>
          <w:rFonts w:ascii="宋体" w:hAnsi="宋体" w:cs="宋体"/>
          <w:b/>
          <w:color w:val="000000"/>
          <w:sz w:val="28"/>
          <w:szCs w:val="40"/>
        </w:rPr>
      </w:pPr>
    </w:p>
    <w:p w14:paraId="348C050B">
      <w:pPr>
        <w:spacing w:afterLines="50" w:line="560" w:lineRule="exact"/>
        <w:ind w:firstLine="562" w:firstLineChars="200"/>
        <w:jc w:val="center"/>
        <w:rPr>
          <w:rFonts w:ascii="宋体" w:hAnsi="宋体" w:cs="宋体"/>
          <w:b/>
          <w:color w:val="000000"/>
          <w:sz w:val="28"/>
          <w:szCs w:val="40"/>
        </w:rPr>
      </w:pPr>
    </w:p>
    <w:p w14:paraId="5B675CE7">
      <w:pPr>
        <w:spacing w:afterLines="50" w:line="560" w:lineRule="exact"/>
        <w:ind w:firstLine="562" w:firstLineChars="200"/>
        <w:jc w:val="center"/>
        <w:rPr>
          <w:rFonts w:ascii="宋体" w:hAnsi="宋体" w:cs="宋体"/>
          <w:b/>
          <w:color w:val="000000"/>
          <w:sz w:val="28"/>
          <w:szCs w:val="40"/>
        </w:rPr>
      </w:pPr>
    </w:p>
    <w:p w14:paraId="6077CCF5">
      <w:pPr>
        <w:spacing w:afterLines="50" w:line="560" w:lineRule="exact"/>
        <w:ind w:firstLine="562" w:firstLineChars="200"/>
        <w:jc w:val="center"/>
        <w:rPr>
          <w:rFonts w:ascii="宋体" w:hAnsi="宋体" w:cs="宋体"/>
          <w:b/>
          <w:color w:val="000000"/>
          <w:sz w:val="28"/>
          <w:szCs w:val="30"/>
        </w:rPr>
      </w:pPr>
    </w:p>
    <w:p w14:paraId="5801645E">
      <w:pPr>
        <w:pStyle w:val="43"/>
        <w:shd w:val="clear" w:color="auto" w:fill="FFFFFF"/>
        <w:spacing w:afterLines="50" w:line="560" w:lineRule="exact"/>
        <w:ind w:firstLine="1405" w:firstLineChars="500"/>
        <w:rPr>
          <w:rFonts w:cs="宋体"/>
          <w:b/>
          <w:bCs/>
          <w:sz w:val="28"/>
          <w:szCs w:val="30"/>
          <w:u w:val="single"/>
        </w:rPr>
      </w:pPr>
      <w:r>
        <w:rPr>
          <w:rFonts w:hint="eastAsia" w:cs="宋体"/>
          <w:b/>
          <w:bCs/>
          <w:sz w:val="28"/>
          <w:szCs w:val="30"/>
        </w:rPr>
        <w:t>合同编号：</w:t>
      </w:r>
      <w:r>
        <w:rPr>
          <w:rFonts w:hint="eastAsia" w:cs="宋体"/>
          <w:b/>
          <w:bCs/>
          <w:sz w:val="28"/>
          <w:szCs w:val="30"/>
          <w:u w:val="single"/>
        </w:rPr>
        <w:t xml:space="preserve">                                    </w:t>
      </w:r>
    </w:p>
    <w:p w14:paraId="6536BF9B">
      <w:pPr>
        <w:pStyle w:val="43"/>
        <w:shd w:val="clear" w:color="auto" w:fill="FFFFFF"/>
        <w:spacing w:afterLines="50" w:line="560" w:lineRule="exact"/>
        <w:ind w:firstLine="1405" w:firstLineChars="500"/>
        <w:jc w:val="center"/>
        <w:rPr>
          <w:rFonts w:cs="宋体"/>
          <w:b/>
          <w:bCs/>
          <w:sz w:val="28"/>
          <w:szCs w:val="30"/>
          <w:u w:val="single"/>
        </w:rPr>
      </w:pPr>
      <w:r>
        <w:rPr>
          <w:rFonts w:hint="eastAsia" w:cs="宋体"/>
          <w:b/>
          <w:bCs/>
          <w:sz w:val="28"/>
          <w:szCs w:val="30"/>
        </w:rPr>
        <w:t>项目名称：</w:t>
      </w:r>
      <w:r>
        <w:rPr>
          <w:rFonts w:hint="eastAsia"/>
          <w:bCs/>
          <w:sz w:val="36"/>
          <w:szCs w:val="36"/>
          <w:u w:val="single"/>
        </w:rPr>
        <w:t xml:space="preserve"> 北京市门头沟区档案馆新馆网络通讯安全系统及楼宇控制系统工程</w:t>
      </w:r>
    </w:p>
    <w:p w14:paraId="0FFC2DA3">
      <w:pPr>
        <w:pStyle w:val="43"/>
        <w:shd w:val="clear" w:color="auto" w:fill="FFFFFF"/>
        <w:spacing w:afterLines="50" w:line="560" w:lineRule="exact"/>
        <w:ind w:firstLine="1405" w:firstLineChars="500"/>
        <w:rPr>
          <w:rFonts w:cs="宋体"/>
          <w:b/>
          <w:bCs/>
          <w:sz w:val="28"/>
          <w:szCs w:val="30"/>
          <w:u w:val="single"/>
        </w:rPr>
      </w:pPr>
      <w:r>
        <w:rPr>
          <w:rFonts w:hint="eastAsia" w:cs="宋体"/>
          <w:b/>
          <w:bCs/>
          <w:sz w:val="28"/>
          <w:szCs w:val="30"/>
        </w:rPr>
        <w:t>委托方（甲方）：</w:t>
      </w:r>
      <w:r>
        <w:rPr>
          <w:rFonts w:hint="eastAsia" w:cs="宋体"/>
          <w:b/>
          <w:bCs/>
          <w:sz w:val="28"/>
          <w:szCs w:val="30"/>
          <w:u w:val="single"/>
        </w:rPr>
        <w:t xml:space="preserve">  </w:t>
      </w:r>
      <w:bookmarkStart w:id="836" w:name="_Hlk151059250"/>
      <w:r>
        <w:rPr>
          <w:rFonts w:hint="eastAsia"/>
          <w:bCs/>
          <w:sz w:val="36"/>
          <w:szCs w:val="36"/>
          <w:u w:val="single"/>
        </w:rPr>
        <w:t>北京市门头沟区档案史志馆</w:t>
      </w:r>
      <w:bookmarkEnd w:id="836"/>
      <w:r>
        <w:rPr>
          <w:rFonts w:cs="宋体"/>
          <w:b/>
          <w:bCs/>
          <w:sz w:val="28"/>
          <w:szCs w:val="30"/>
          <w:u w:val="single"/>
        </w:rPr>
        <w:t xml:space="preserve"> </w:t>
      </w:r>
      <w:r>
        <w:rPr>
          <w:rFonts w:hint="eastAsia" w:cs="宋体"/>
          <w:b/>
          <w:bCs/>
          <w:sz w:val="28"/>
          <w:szCs w:val="30"/>
          <w:u w:val="single"/>
        </w:rPr>
        <w:t xml:space="preserve">                           </w:t>
      </w:r>
    </w:p>
    <w:p w14:paraId="4C43B7C0">
      <w:pPr>
        <w:pStyle w:val="43"/>
        <w:shd w:val="clear" w:color="auto" w:fill="FFFFFF"/>
        <w:spacing w:afterLines="50" w:line="560" w:lineRule="exact"/>
        <w:ind w:firstLine="1405" w:firstLineChars="500"/>
        <w:rPr>
          <w:rFonts w:cs="宋体"/>
          <w:b/>
          <w:bCs/>
          <w:sz w:val="28"/>
          <w:szCs w:val="30"/>
          <w:u w:val="single"/>
        </w:rPr>
      </w:pPr>
      <w:r>
        <w:rPr>
          <w:rFonts w:hint="eastAsia" w:cs="宋体"/>
          <w:b/>
          <w:bCs/>
          <w:sz w:val="28"/>
          <w:szCs w:val="30"/>
        </w:rPr>
        <w:t>受托方（乙方）：</w:t>
      </w:r>
      <w:r>
        <w:rPr>
          <w:rFonts w:hint="eastAsia" w:cs="宋体"/>
          <w:b/>
          <w:bCs/>
          <w:sz w:val="28"/>
          <w:szCs w:val="30"/>
          <w:u w:val="single"/>
        </w:rPr>
        <w:t xml:space="preserve">                             </w:t>
      </w:r>
      <w:r>
        <w:rPr>
          <w:rFonts w:hint="eastAsia"/>
          <w:bCs/>
          <w:sz w:val="36"/>
          <w:szCs w:val="36"/>
          <w:u w:val="single"/>
        </w:rPr>
        <w:t xml:space="preserve"> </w:t>
      </w:r>
      <w:r>
        <w:rPr>
          <w:rFonts w:hint="eastAsia" w:cs="宋体"/>
          <w:b/>
          <w:bCs/>
          <w:sz w:val="28"/>
          <w:szCs w:val="30"/>
          <w:u w:val="single"/>
        </w:rPr>
        <w:t xml:space="preserve"> </w:t>
      </w:r>
    </w:p>
    <w:p w14:paraId="1FD46ABF">
      <w:pPr>
        <w:spacing w:afterLines="50" w:line="560" w:lineRule="exact"/>
        <w:ind w:firstLine="1405" w:firstLineChars="500"/>
        <w:jc w:val="left"/>
        <w:rPr>
          <w:rFonts w:ascii="宋体" w:hAnsi="宋体" w:cs="宋体"/>
          <w:b/>
          <w:color w:val="000000"/>
          <w:sz w:val="28"/>
          <w:szCs w:val="30"/>
        </w:rPr>
      </w:pPr>
      <w:r>
        <w:rPr>
          <w:rFonts w:hint="eastAsia" w:ascii="宋体" w:hAnsi="宋体" w:cs="宋体"/>
          <w:b/>
          <w:bCs/>
          <w:sz w:val="28"/>
          <w:szCs w:val="30"/>
        </w:rPr>
        <w:t>签订时间：</w:t>
      </w:r>
      <w:r>
        <w:rPr>
          <w:rFonts w:hint="eastAsia" w:ascii="宋体" w:hAnsi="宋体" w:cs="宋体"/>
          <w:b/>
          <w:bCs/>
          <w:sz w:val="28"/>
          <w:szCs w:val="30"/>
          <w:u w:val="single"/>
        </w:rPr>
        <w:t xml:space="preserve">  </w:t>
      </w:r>
      <w:r>
        <w:rPr>
          <w:rFonts w:hint="eastAsia" w:ascii="宋体" w:hAnsi="宋体"/>
          <w:bCs/>
          <w:sz w:val="36"/>
          <w:szCs w:val="36"/>
          <w:u w:val="single"/>
        </w:rPr>
        <w:t xml:space="preserve"> </w:t>
      </w:r>
      <w:r>
        <w:rPr>
          <w:rFonts w:ascii="宋体" w:hAnsi="宋体"/>
          <w:bCs/>
          <w:sz w:val="36"/>
          <w:szCs w:val="36"/>
          <w:u w:val="single"/>
        </w:rPr>
        <w:t>202</w:t>
      </w:r>
      <w:r>
        <w:rPr>
          <w:rFonts w:hint="eastAsia" w:ascii="宋体" w:hAnsi="宋体"/>
          <w:bCs/>
          <w:sz w:val="36"/>
          <w:szCs w:val="36"/>
          <w:u w:val="single"/>
        </w:rPr>
        <w:t>5</w:t>
      </w:r>
      <w:r>
        <w:rPr>
          <w:rFonts w:ascii="宋体" w:hAnsi="宋体"/>
          <w:bCs/>
          <w:sz w:val="36"/>
          <w:szCs w:val="36"/>
          <w:u w:val="single"/>
        </w:rPr>
        <w:t xml:space="preserve"> </w:t>
      </w:r>
      <w:r>
        <w:rPr>
          <w:rFonts w:hint="eastAsia" w:ascii="宋体" w:hAnsi="宋体"/>
          <w:bCs/>
          <w:sz w:val="36"/>
          <w:szCs w:val="36"/>
          <w:u w:val="single"/>
        </w:rPr>
        <w:t xml:space="preserve">年  </w:t>
      </w:r>
      <w:r>
        <w:rPr>
          <w:rFonts w:ascii="宋体" w:hAnsi="宋体"/>
          <w:bCs/>
          <w:sz w:val="36"/>
          <w:szCs w:val="36"/>
          <w:u w:val="single"/>
        </w:rPr>
        <w:t xml:space="preserve"> </w:t>
      </w:r>
      <w:r>
        <w:rPr>
          <w:rFonts w:hint="eastAsia" w:ascii="宋体" w:hAnsi="宋体"/>
          <w:bCs/>
          <w:sz w:val="36"/>
          <w:szCs w:val="36"/>
          <w:u w:val="single"/>
        </w:rPr>
        <w:t xml:space="preserve">月 </w:t>
      </w:r>
      <w:r>
        <w:rPr>
          <w:rFonts w:ascii="宋体" w:hAnsi="宋体"/>
          <w:bCs/>
          <w:sz w:val="36"/>
          <w:szCs w:val="36"/>
          <w:u w:val="single"/>
        </w:rPr>
        <w:t xml:space="preserve">  </w:t>
      </w:r>
      <w:r>
        <w:rPr>
          <w:rFonts w:hint="eastAsia" w:ascii="宋体" w:hAnsi="宋体"/>
          <w:bCs/>
          <w:sz w:val="36"/>
          <w:szCs w:val="36"/>
          <w:u w:val="single"/>
        </w:rPr>
        <w:t>日</w:t>
      </w:r>
      <w:r>
        <w:rPr>
          <w:rFonts w:hint="eastAsia" w:ascii="宋体" w:hAnsi="宋体" w:cs="宋体"/>
          <w:b/>
          <w:bCs/>
          <w:sz w:val="28"/>
          <w:szCs w:val="30"/>
          <w:u w:val="single"/>
        </w:rPr>
        <w:t xml:space="preserve">   </w:t>
      </w:r>
    </w:p>
    <w:p w14:paraId="09BEC94D">
      <w:pPr>
        <w:spacing w:afterLines="50" w:line="560" w:lineRule="exact"/>
        <w:ind w:firstLine="562" w:firstLineChars="200"/>
        <w:jc w:val="center"/>
        <w:rPr>
          <w:rFonts w:ascii="宋体" w:hAnsi="宋体" w:cs="宋体"/>
          <w:b/>
          <w:color w:val="000000"/>
          <w:sz w:val="28"/>
          <w:szCs w:val="30"/>
        </w:rPr>
      </w:pPr>
      <w:r>
        <w:rPr>
          <w:rFonts w:hint="eastAsia" w:ascii="宋体" w:hAnsi="宋体" w:cs="宋体"/>
          <w:b/>
          <w:color w:val="000000"/>
          <w:sz w:val="28"/>
          <w:szCs w:val="30"/>
        </w:rPr>
        <w:br w:type="page"/>
      </w:r>
      <w:r>
        <w:rPr>
          <w:rFonts w:hint="eastAsia" w:ascii="宋体" w:hAnsi="宋体" w:cs="宋体"/>
          <w:b/>
          <w:color w:val="000000"/>
          <w:sz w:val="36"/>
          <w:szCs w:val="36"/>
        </w:rPr>
        <w:t>目  录</w:t>
      </w:r>
    </w:p>
    <w:p w14:paraId="6A09B74A">
      <w:pPr>
        <w:pStyle w:val="32"/>
        <w:tabs>
          <w:tab w:val="right" w:leader="dot" w:pos="8730"/>
          <w:tab w:val="clear" w:pos="1050"/>
          <w:tab w:val="clear" w:pos="8937"/>
        </w:tabs>
      </w:pPr>
      <w:r>
        <w:rPr>
          <w:rFonts w:hint="eastAsia" w:cs="宋体"/>
          <w:b w:val="0"/>
          <w:color w:val="000000"/>
          <w:sz w:val="28"/>
          <w:szCs w:val="30"/>
        </w:rPr>
        <w:fldChar w:fldCharType="begin"/>
      </w:r>
      <w:r>
        <w:rPr>
          <w:rFonts w:hint="eastAsia" w:cs="宋体"/>
          <w:b w:val="0"/>
          <w:color w:val="000000"/>
          <w:sz w:val="28"/>
          <w:szCs w:val="30"/>
        </w:rPr>
        <w:instrText xml:space="preserve"> TOC \o "1-1" \h \z \u </w:instrText>
      </w:r>
      <w:r>
        <w:rPr>
          <w:rFonts w:hint="eastAsia" w:cs="宋体"/>
          <w:b w:val="0"/>
          <w:color w:val="000000"/>
          <w:sz w:val="28"/>
          <w:szCs w:val="30"/>
        </w:rPr>
        <w:fldChar w:fldCharType="separate"/>
      </w:r>
      <w:r>
        <w:fldChar w:fldCharType="begin"/>
      </w:r>
      <w:r>
        <w:instrText xml:space="preserve"> HYPERLINK \l "_Toc17939" </w:instrText>
      </w:r>
      <w:r>
        <w:fldChar w:fldCharType="separate"/>
      </w:r>
      <w:r>
        <w:rPr>
          <w:rFonts w:hint="eastAsia" w:cs="宋体"/>
          <w:bCs/>
          <w:szCs w:val="30"/>
        </w:rPr>
        <w:t>第一条  服务内容</w:t>
      </w:r>
      <w:r>
        <w:tab/>
      </w:r>
      <w:r>
        <w:fldChar w:fldCharType="begin"/>
      </w:r>
      <w:r>
        <w:instrText xml:space="preserve"> PAGEREF _Toc17939 \h </w:instrText>
      </w:r>
      <w:r>
        <w:fldChar w:fldCharType="separate"/>
      </w:r>
      <w:r>
        <w:t>137</w:t>
      </w:r>
      <w:r>
        <w:fldChar w:fldCharType="end"/>
      </w:r>
      <w:r>
        <w:fldChar w:fldCharType="end"/>
      </w:r>
    </w:p>
    <w:p w14:paraId="5C782D92">
      <w:pPr>
        <w:pStyle w:val="32"/>
        <w:tabs>
          <w:tab w:val="right" w:leader="dot" w:pos="8730"/>
          <w:tab w:val="clear" w:pos="1050"/>
          <w:tab w:val="clear" w:pos="8937"/>
        </w:tabs>
      </w:pPr>
      <w:r>
        <w:fldChar w:fldCharType="begin"/>
      </w:r>
      <w:r>
        <w:instrText xml:space="preserve"> HYPERLINK \l "_Toc22555" </w:instrText>
      </w:r>
      <w:r>
        <w:fldChar w:fldCharType="separate"/>
      </w:r>
      <w:r>
        <w:rPr>
          <w:rFonts w:hint="eastAsia" w:cs="宋体"/>
          <w:szCs w:val="30"/>
        </w:rPr>
        <w:t>第二条 合同价款及付款方式</w:t>
      </w:r>
      <w:r>
        <w:tab/>
      </w:r>
      <w:r>
        <w:fldChar w:fldCharType="begin"/>
      </w:r>
      <w:r>
        <w:instrText xml:space="preserve"> PAGEREF _Toc22555 \h </w:instrText>
      </w:r>
      <w:r>
        <w:fldChar w:fldCharType="separate"/>
      </w:r>
      <w:r>
        <w:t>138</w:t>
      </w:r>
      <w:r>
        <w:fldChar w:fldCharType="end"/>
      </w:r>
      <w:r>
        <w:fldChar w:fldCharType="end"/>
      </w:r>
    </w:p>
    <w:p w14:paraId="54388874">
      <w:pPr>
        <w:pStyle w:val="32"/>
        <w:tabs>
          <w:tab w:val="right" w:leader="dot" w:pos="8730"/>
          <w:tab w:val="clear" w:pos="1050"/>
          <w:tab w:val="clear" w:pos="8937"/>
        </w:tabs>
      </w:pPr>
      <w:r>
        <w:fldChar w:fldCharType="begin"/>
      </w:r>
      <w:r>
        <w:instrText xml:space="preserve"> HYPERLINK \l "_Toc30473" </w:instrText>
      </w:r>
      <w:r>
        <w:fldChar w:fldCharType="separate"/>
      </w:r>
      <w:r>
        <w:rPr>
          <w:rFonts w:hint="eastAsia" w:cs="宋体"/>
          <w:bCs/>
          <w:szCs w:val="30"/>
        </w:rPr>
        <w:t>第三条 合同的定义</w:t>
      </w:r>
      <w:r>
        <w:tab/>
      </w:r>
      <w:r>
        <w:fldChar w:fldCharType="begin"/>
      </w:r>
      <w:r>
        <w:instrText xml:space="preserve"> PAGEREF _Toc30473 \h </w:instrText>
      </w:r>
      <w:r>
        <w:fldChar w:fldCharType="separate"/>
      </w:r>
      <w:r>
        <w:t>139</w:t>
      </w:r>
      <w:r>
        <w:fldChar w:fldCharType="end"/>
      </w:r>
      <w:r>
        <w:fldChar w:fldCharType="end"/>
      </w:r>
    </w:p>
    <w:p w14:paraId="2CBF7CCB">
      <w:pPr>
        <w:pStyle w:val="32"/>
        <w:tabs>
          <w:tab w:val="right" w:leader="dot" w:pos="8730"/>
          <w:tab w:val="clear" w:pos="1050"/>
          <w:tab w:val="clear" w:pos="8937"/>
        </w:tabs>
      </w:pPr>
      <w:r>
        <w:fldChar w:fldCharType="begin"/>
      </w:r>
      <w:r>
        <w:instrText xml:space="preserve"> HYPERLINK \l "_Toc18460" </w:instrText>
      </w:r>
      <w:r>
        <w:fldChar w:fldCharType="separate"/>
      </w:r>
      <w:r>
        <w:rPr>
          <w:rFonts w:hint="eastAsia" w:cs="宋体"/>
          <w:bCs/>
          <w:szCs w:val="30"/>
        </w:rPr>
        <w:t>第四条 质量标准和要求</w:t>
      </w:r>
      <w:r>
        <w:tab/>
      </w:r>
      <w:r>
        <w:fldChar w:fldCharType="begin"/>
      </w:r>
      <w:r>
        <w:instrText xml:space="preserve"> PAGEREF _Toc18460 \h </w:instrText>
      </w:r>
      <w:r>
        <w:fldChar w:fldCharType="separate"/>
      </w:r>
      <w:r>
        <w:t>140</w:t>
      </w:r>
      <w:r>
        <w:fldChar w:fldCharType="end"/>
      </w:r>
      <w:r>
        <w:fldChar w:fldCharType="end"/>
      </w:r>
    </w:p>
    <w:p w14:paraId="574201A0">
      <w:pPr>
        <w:pStyle w:val="32"/>
        <w:tabs>
          <w:tab w:val="right" w:leader="dot" w:pos="8730"/>
          <w:tab w:val="clear" w:pos="1050"/>
          <w:tab w:val="clear" w:pos="8937"/>
        </w:tabs>
      </w:pPr>
      <w:r>
        <w:fldChar w:fldCharType="begin"/>
      </w:r>
      <w:r>
        <w:instrText xml:space="preserve"> HYPERLINK \l "_Toc1149" </w:instrText>
      </w:r>
      <w:r>
        <w:fldChar w:fldCharType="separate"/>
      </w:r>
      <w:r>
        <w:rPr>
          <w:rFonts w:hint="eastAsia" w:cs="宋体"/>
          <w:bCs/>
          <w:szCs w:val="30"/>
        </w:rPr>
        <w:t>第五条 硬件货物包装、运输、保险</w:t>
      </w:r>
      <w:r>
        <w:tab/>
      </w:r>
      <w:r>
        <w:fldChar w:fldCharType="begin"/>
      </w:r>
      <w:r>
        <w:instrText xml:space="preserve"> PAGEREF _Toc1149 \h </w:instrText>
      </w:r>
      <w:r>
        <w:fldChar w:fldCharType="separate"/>
      </w:r>
      <w:r>
        <w:t>140</w:t>
      </w:r>
      <w:r>
        <w:fldChar w:fldCharType="end"/>
      </w:r>
      <w:r>
        <w:fldChar w:fldCharType="end"/>
      </w:r>
    </w:p>
    <w:p w14:paraId="2A5883E2">
      <w:pPr>
        <w:pStyle w:val="32"/>
        <w:tabs>
          <w:tab w:val="right" w:leader="dot" w:pos="8730"/>
          <w:tab w:val="clear" w:pos="1050"/>
          <w:tab w:val="clear" w:pos="8937"/>
        </w:tabs>
      </w:pPr>
      <w:r>
        <w:fldChar w:fldCharType="begin"/>
      </w:r>
      <w:r>
        <w:instrText xml:space="preserve"> HYPERLINK \l "_Toc21755" </w:instrText>
      </w:r>
      <w:r>
        <w:fldChar w:fldCharType="separate"/>
      </w:r>
      <w:r>
        <w:rPr>
          <w:rFonts w:hint="eastAsia" w:cs="宋体"/>
          <w:bCs/>
          <w:szCs w:val="30"/>
        </w:rPr>
        <w:t>第六条 硬件货物的交货方法、到货地点和完工期限</w:t>
      </w:r>
      <w:r>
        <w:tab/>
      </w:r>
      <w:r>
        <w:fldChar w:fldCharType="begin"/>
      </w:r>
      <w:r>
        <w:instrText xml:space="preserve"> PAGEREF _Toc21755 \h </w:instrText>
      </w:r>
      <w:r>
        <w:fldChar w:fldCharType="separate"/>
      </w:r>
      <w:r>
        <w:t>141</w:t>
      </w:r>
      <w:r>
        <w:fldChar w:fldCharType="end"/>
      </w:r>
      <w:r>
        <w:fldChar w:fldCharType="end"/>
      </w:r>
    </w:p>
    <w:p w14:paraId="78F5FE7C">
      <w:pPr>
        <w:pStyle w:val="32"/>
        <w:tabs>
          <w:tab w:val="right" w:leader="dot" w:pos="8730"/>
          <w:tab w:val="clear" w:pos="1050"/>
          <w:tab w:val="clear" w:pos="8937"/>
        </w:tabs>
      </w:pPr>
      <w:r>
        <w:fldChar w:fldCharType="begin"/>
      </w:r>
      <w:r>
        <w:instrText xml:space="preserve"> HYPERLINK \l "_Toc21840" </w:instrText>
      </w:r>
      <w:r>
        <w:fldChar w:fldCharType="separate"/>
      </w:r>
      <w:r>
        <w:rPr>
          <w:rFonts w:hint="eastAsia" w:cs="宋体"/>
          <w:bCs/>
          <w:szCs w:val="30"/>
        </w:rPr>
        <w:t>第七条 对硬件货物提出异议的时间和办法</w:t>
      </w:r>
      <w:r>
        <w:tab/>
      </w:r>
      <w:r>
        <w:fldChar w:fldCharType="begin"/>
      </w:r>
      <w:r>
        <w:instrText xml:space="preserve"> PAGEREF _Toc21840 \h </w:instrText>
      </w:r>
      <w:r>
        <w:fldChar w:fldCharType="separate"/>
      </w:r>
      <w:r>
        <w:t>142</w:t>
      </w:r>
      <w:r>
        <w:fldChar w:fldCharType="end"/>
      </w:r>
      <w:r>
        <w:fldChar w:fldCharType="end"/>
      </w:r>
    </w:p>
    <w:p w14:paraId="3FBC01E7">
      <w:pPr>
        <w:pStyle w:val="32"/>
        <w:tabs>
          <w:tab w:val="right" w:leader="dot" w:pos="8730"/>
          <w:tab w:val="clear" w:pos="1050"/>
          <w:tab w:val="clear" w:pos="8937"/>
        </w:tabs>
      </w:pPr>
      <w:r>
        <w:fldChar w:fldCharType="begin"/>
      </w:r>
      <w:r>
        <w:instrText xml:space="preserve"> HYPERLINK \l "_Toc14040" </w:instrText>
      </w:r>
      <w:r>
        <w:fldChar w:fldCharType="separate"/>
      </w:r>
      <w:r>
        <w:rPr>
          <w:rFonts w:hint="eastAsia" w:cs="宋体"/>
          <w:bCs/>
          <w:szCs w:val="30"/>
        </w:rPr>
        <w:t>第八条 应用系统软件权利瑕疵担保</w:t>
      </w:r>
      <w:r>
        <w:tab/>
      </w:r>
      <w:r>
        <w:fldChar w:fldCharType="begin"/>
      </w:r>
      <w:r>
        <w:instrText xml:space="preserve"> PAGEREF _Toc14040 \h </w:instrText>
      </w:r>
      <w:r>
        <w:fldChar w:fldCharType="separate"/>
      </w:r>
      <w:r>
        <w:t>142</w:t>
      </w:r>
      <w:r>
        <w:fldChar w:fldCharType="end"/>
      </w:r>
      <w:r>
        <w:fldChar w:fldCharType="end"/>
      </w:r>
    </w:p>
    <w:p w14:paraId="417A5F2C">
      <w:pPr>
        <w:pStyle w:val="32"/>
        <w:tabs>
          <w:tab w:val="right" w:leader="dot" w:pos="8730"/>
          <w:tab w:val="clear" w:pos="1050"/>
          <w:tab w:val="clear" w:pos="8937"/>
        </w:tabs>
      </w:pPr>
      <w:r>
        <w:fldChar w:fldCharType="begin"/>
      </w:r>
      <w:r>
        <w:instrText xml:space="preserve"> HYPERLINK \l "_Toc728" </w:instrText>
      </w:r>
      <w:r>
        <w:fldChar w:fldCharType="separate"/>
      </w:r>
      <w:r>
        <w:rPr>
          <w:rFonts w:hint="eastAsia" w:cs="宋体"/>
          <w:bCs/>
          <w:szCs w:val="30"/>
        </w:rPr>
        <w:t>第九条 项目集成实施、试运行和验收</w:t>
      </w:r>
      <w:r>
        <w:tab/>
      </w:r>
      <w:r>
        <w:fldChar w:fldCharType="begin"/>
      </w:r>
      <w:r>
        <w:instrText xml:space="preserve"> PAGEREF _Toc728 \h </w:instrText>
      </w:r>
      <w:r>
        <w:fldChar w:fldCharType="separate"/>
      </w:r>
      <w:r>
        <w:t>143</w:t>
      </w:r>
      <w:r>
        <w:fldChar w:fldCharType="end"/>
      </w:r>
      <w:r>
        <w:fldChar w:fldCharType="end"/>
      </w:r>
    </w:p>
    <w:p w14:paraId="3C4A7EBC">
      <w:pPr>
        <w:pStyle w:val="32"/>
        <w:tabs>
          <w:tab w:val="right" w:leader="dot" w:pos="8730"/>
          <w:tab w:val="clear" w:pos="1050"/>
          <w:tab w:val="clear" w:pos="8937"/>
        </w:tabs>
      </w:pPr>
      <w:r>
        <w:fldChar w:fldCharType="begin"/>
      </w:r>
      <w:r>
        <w:instrText xml:space="preserve"> HYPERLINK \l "_Toc17538" </w:instrText>
      </w:r>
      <w:r>
        <w:fldChar w:fldCharType="separate"/>
      </w:r>
      <w:r>
        <w:rPr>
          <w:rFonts w:hint="eastAsia" w:cs="宋体"/>
          <w:bCs/>
          <w:szCs w:val="30"/>
        </w:rPr>
        <w:t>第十条 知识产权和保密</w:t>
      </w:r>
      <w:r>
        <w:tab/>
      </w:r>
      <w:r>
        <w:fldChar w:fldCharType="begin"/>
      </w:r>
      <w:r>
        <w:instrText xml:space="preserve"> PAGEREF _Toc17538 \h </w:instrText>
      </w:r>
      <w:r>
        <w:fldChar w:fldCharType="separate"/>
      </w:r>
      <w:r>
        <w:t>146</w:t>
      </w:r>
      <w:r>
        <w:fldChar w:fldCharType="end"/>
      </w:r>
      <w:r>
        <w:fldChar w:fldCharType="end"/>
      </w:r>
    </w:p>
    <w:p w14:paraId="79191D6C">
      <w:pPr>
        <w:pStyle w:val="32"/>
        <w:tabs>
          <w:tab w:val="right" w:leader="dot" w:pos="8730"/>
          <w:tab w:val="clear" w:pos="1050"/>
          <w:tab w:val="clear" w:pos="8937"/>
        </w:tabs>
      </w:pPr>
      <w:r>
        <w:fldChar w:fldCharType="begin"/>
      </w:r>
      <w:r>
        <w:instrText xml:space="preserve"> HYPERLINK \l "_Toc26676" </w:instrText>
      </w:r>
      <w:r>
        <w:fldChar w:fldCharType="separate"/>
      </w:r>
      <w:r>
        <w:rPr>
          <w:rFonts w:hint="eastAsia" w:cs="宋体"/>
          <w:bCs/>
          <w:szCs w:val="30"/>
        </w:rPr>
        <w:t>第十二条 项目售后运维要求</w:t>
      </w:r>
      <w:r>
        <w:tab/>
      </w:r>
      <w:r>
        <w:fldChar w:fldCharType="begin"/>
      </w:r>
      <w:r>
        <w:instrText xml:space="preserve"> PAGEREF _Toc26676 \h </w:instrText>
      </w:r>
      <w:r>
        <w:fldChar w:fldCharType="separate"/>
      </w:r>
      <w:r>
        <w:t>147</w:t>
      </w:r>
      <w:r>
        <w:fldChar w:fldCharType="end"/>
      </w:r>
      <w:r>
        <w:fldChar w:fldCharType="end"/>
      </w:r>
    </w:p>
    <w:p w14:paraId="7E723D23">
      <w:pPr>
        <w:pStyle w:val="32"/>
        <w:tabs>
          <w:tab w:val="right" w:leader="dot" w:pos="8730"/>
          <w:tab w:val="clear" w:pos="1050"/>
          <w:tab w:val="clear" w:pos="8937"/>
        </w:tabs>
      </w:pPr>
      <w:r>
        <w:fldChar w:fldCharType="begin"/>
      </w:r>
      <w:r>
        <w:instrText xml:space="preserve"> HYPERLINK \l "_Toc30207" </w:instrText>
      </w:r>
      <w:r>
        <w:fldChar w:fldCharType="separate"/>
      </w:r>
      <w:r>
        <w:rPr>
          <w:rFonts w:hint="eastAsia" w:cs="宋体"/>
          <w:bCs/>
          <w:szCs w:val="30"/>
        </w:rPr>
        <w:t>第十三条 质量缺陷补救措施和索赔</w:t>
      </w:r>
      <w:r>
        <w:tab/>
      </w:r>
      <w:r>
        <w:fldChar w:fldCharType="begin"/>
      </w:r>
      <w:r>
        <w:instrText xml:space="preserve"> PAGEREF _Toc30207 \h </w:instrText>
      </w:r>
      <w:r>
        <w:fldChar w:fldCharType="separate"/>
      </w:r>
      <w:r>
        <w:t>148</w:t>
      </w:r>
      <w:r>
        <w:fldChar w:fldCharType="end"/>
      </w:r>
      <w:r>
        <w:fldChar w:fldCharType="end"/>
      </w:r>
    </w:p>
    <w:p w14:paraId="784BCA13">
      <w:pPr>
        <w:pStyle w:val="32"/>
        <w:tabs>
          <w:tab w:val="right" w:leader="dot" w:pos="8730"/>
          <w:tab w:val="clear" w:pos="1050"/>
          <w:tab w:val="clear" w:pos="8937"/>
        </w:tabs>
      </w:pPr>
      <w:r>
        <w:fldChar w:fldCharType="begin"/>
      </w:r>
      <w:r>
        <w:instrText xml:space="preserve"> HYPERLINK \l "_Toc2350" </w:instrText>
      </w:r>
      <w:r>
        <w:fldChar w:fldCharType="separate"/>
      </w:r>
      <w:r>
        <w:rPr>
          <w:rFonts w:hint="eastAsia" w:cs="宋体"/>
          <w:bCs/>
          <w:szCs w:val="30"/>
        </w:rPr>
        <w:t>第十四条 违约责任与赔偿</w:t>
      </w:r>
      <w:r>
        <w:tab/>
      </w:r>
      <w:r>
        <w:fldChar w:fldCharType="begin"/>
      </w:r>
      <w:r>
        <w:instrText xml:space="preserve"> PAGEREF _Toc2350 \h </w:instrText>
      </w:r>
      <w:r>
        <w:fldChar w:fldCharType="separate"/>
      </w:r>
      <w:r>
        <w:t>149</w:t>
      </w:r>
      <w:r>
        <w:fldChar w:fldCharType="end"/>
      </w:r>
      <w:r>
        <w:fldChar w:fldCharType="end"/>
      </w:r>
    </w:p>
    <w:p w14:paraId="09B2A435">
      <w:pPr>
        <w:pStyle w:val="32"/>
        <w:tabs>
          <w:tab w:val="right" w:leader="dot" w:pos="8730"/>
          <w:tab w:val="clear" w:pos="1050"/>
          <w:tab w:val="clear" w:pos="8937"/>
        </w:tabs>
      </w:pPr>
      <w:r>
        <w:fldChar w:fldCharType="begin"/>
      </w:r>
      <w:r>
        <w:instrText xml:space="preserve"> HYPERLINK \l "_Toc25696" </w:instrText>
      </w:r>
      <w:r>
        <w:fldChar w:fldCharType="separate"/>
      </w:r>
      <w:r>
        <w:rPr>
          <w:rFonts w:hint="eastAsia" w:cs="宋体"/>
          <w:bCs/>
          <w:szCs w:val="30"/>
        </w:rPr>
        <w:t>第十五条 违约终止合同</w:t>
      </w:r>
      <w:r>
        <w:tab/>
      </w:r>
      <w:r>
        <w:fldChar w:fldCharType="begin"/>
      </w:r>
      <w:r>
        <w:instrText xml:space="preserve"> PAGEREF _Toc25696 \h </w:instrText>
      </w:r>
      <w:r>
        <w:fldChar w:fldCharType="separate"/>
      </w:r>
      <w:r>
        <w:t>150</w:t>
      </w:r>
      <w:r>
        <w:fldChar w:fldCharType="end"/>
      </w:r>
      <w:r>
        <w:fldChar w:fldCharType="end"/>
      </w:r>
    </w:p>
    <w:p w14:paraId="59DBF2C8">
      <w:pPr>
        <w:pStyle w:val="32"/>
        <w:tabs>
          <w:tab w:val="right" w:leader="dot" w:pos="8730"/>
          <w:tab w:val="clear" w:pos="1050"/>
          <w:tab w:val="clear" w:pos="8937"/>
        </w:tabs>
      </w:pPr>
      <w:r>
        <w:fldChar w:fldCharType="begin"/>
      </w:r>
      <w:r>
        <w:instrText xml:space="preserve"> HYPERLINK \l "_Toc30009" </w:instrText>
      </w:r>
      <w:r>
        <w:fldChar w:fldCharType="separate"/>
      </w:r>
      <w:r>
        <w:rPr>
          <w:rFonts w:hint="eastAsia" w:cs="宋体"/>
          <w:bCs/>
          <w:szCs w:val="30"/>
        </w:rPr>
        <w:t>第十六条 破产终止合同</w:t>
      </w:r>
      <w:r>
        <w:tab/>
      </w:r>
      <w:r>
        <w:fldChar w:fldCharType="begin"/>
      </w:r>
      <w:r>
        <w:instrText xml:space="preserve"> PAGEREF _Toc30009 \h </w:instrText>
      </w:r>
      <w:r>
        <w:fldChar w:fldCharType="separate"/>
      </w:r>
      <w:r>
        <w:t>151</w:t>
      </w:r>
      <w:r>
        <w:fldChar w:fldCharType="end"/>
      </w:r>
      <w:r>
        <w:fldChar w:fldCharType="end"/>
      </w:r>
    </w:p>
    <w:p w14:paraId="1A4ADA50">
      <w:pPr>
        <w:pStyle w:val="32"/>
        <w:tabs>
          <w:tab w:val="right" w:leader="dot" w:pos="8730"/>
          <w:tab w:val="clear" w:pos="1050"/>
          <w:tab w:val="clear" w:pos="8937"/>
        </w:tabs>
      </w:pPr>
      <w:r>
        <w:fldChar w:fldCharType="begin"/>
      </w:r>
      <w:r>
        <w:instrText xml:space="preserve"> HYPERLINK \l "_Toc31058" </w:instrText>
      </w:r>
      <w:r>
        <w:fldChar w:fldCharType="separate"/>
      </w:r>
      <w:r>
        <w:rPr>
          <w:rFonts w:hint="eastAsia" w:cs="宋体"/>
          <w:bCs/>
          <w:szCs w:val="30"/>
        </w:rPr>
        <w:t>第十七条 税费</w:t>
      </w:r>
      <w:r>
        <w:tab/>
      </w:r>
      <w:r>
        <w:fldChar w:fldCharType="begin"/>
      </w:r>
      <w:r>
        <w:instrText xml:space="preserve"> PAGEREF _Toc31058 \h </w:instrText>
      </w:r>
      <w:r>
        <w:fldChar w:fldCharType="separate"/>
      </w:r>
      <w:r>
        <w:t>151</w:t>
      </w:r>
      <w:r>
        <w:fldChar w:fldCharType="end"/>
      </w:r>
      <w:r>
        <w:fldChar w:fldCharType="end"/>
      </w:r>
    </w:p>
    <w:p w14:paraId="2F20A48C">
      <w:pPr>
        <w:pStyle w:val="32"/>
        <w:tabs>
          <w:tab w:val="right" w:leader="dot" w:pos="8730"/>
          <w:tab w:val="clear" w:pos="1050"/>
          <w:tab w:val="clear" w:pos="8937"/>
        </w:tabs>
      </w:pPr>
      <w:r>
        <w:fldChar w:fldCharType="begin"/>
      </w:r>
      <w:r>
        <w:instrText xml:space="preserve"> HYPERLINK \l "_Toc21506" </w:instrText>
      </w:r>
      <w:r>
        <w:fldChar w:fldCharType="separate"/>
      </w:r>
      <w:r>
        <w:rPr>
          <w:rFonts w:hint="eastAsia" w:cs="宋体"/>
          <w:bCs/>
          <w:szCs w:val="30"/>
        </w:rPr>
        <w:t>第十八条 不可抗力</w:t>
      </w:r>
      <w:r>
        <w:tab/>
      </w:r>
      <w:r>
        <w:fldChar w:fldCharType="begin"/>
      </w:r>
      <w:r>
        <w:instrText xml:space="preserve"> PAGEREF _Toc21506 \h </w:instrText>
      </w:r>
      <w:r>
        <w:fldChar w:fldCharType="separate"/>
      </w:r>
      <w:r>
        <w:t>151</w:t>
      </w:r>
      <w:r>
        <w:fldChar w:fldCharType="end"/>
      </w:r>
      <w:r>
        <w:fldChar w:fldCharType="end"/>
      </w:r>
    </w:p>
    <w:p w14:paraId="1FE1CFC1">
      <w:pPr>
        <w:pStyle w:val="32"/>
        <w:tabs>
          <w:tab w:val="right" w:leader="dot" w:pos="8730"/>
          <w:tab w:val="clear" w:pos="1050"/>
          <w:tab w:val="clear" w:pos="8937"/>
        </w:tabs>
      </w:pPr>
      <w:r>
        <w:fldChar w:fldCharType="begin"/>
      </w:r>
      <w:r>
        <w:instrText xml:space="preserve"> HYPERLINK \l "_Toc10662" </w:instrText>
      </w:r>
      <w:r>
        <w:fldChar w:fldCharType="separate"/>
      </w:r>
      <w:r>
        <w:rPr>
          <w:rFonts w:hint="eastAsia" w:cs="宋体"/>
          <w:bCs/>
          <w:szCs w:val="30"/>
        </w:rPr>
        <w:t>第十九条 争端的解决</w:t>
      </w:r>
      <w:r>
        <w:tab/>
      </w:r>
      <w:r>
        <w:fldChar w:fldCharType="begin"/>
      </w:r>
      <w:r>
        <w:instrText xml:space="preserve"> PAGEREF _Toc10662 \h </w:instrText>
      </w:r>
      <w:r>
        <w:fldChar w:fldCharType="separate"/>
      </w:r>
      <w:r>
        <w:t>152</w:t>
      </w:r>
      <w:r>
        <w:fldChar w:fldCharType="end"/>
      </w:r>
      <w:r>
        <w:fldChar w:fldCharType="end"/>
      </w:r>
    </w:p>
    <w:p w14:paraId="1F3A18C9">
      <w:pPr>
        <w:pStyle w:val="32"/>
        <w:tabs>
          <w:tab w:val="right" w:leader="dot" w:pos="8730"/>
          <w:tab w:val="clear" w:pos="1050"/>
          <w:tab w:val="clear" w:pos="8937"/>
        </w:tabs>
      </w:pPr>
      <w:r>
        <w:fldChar w:fldCharType="begin"/>
      </w:r>
      <w:r>
        <w:instrText xml:space="preserve"> HYPERLINK \l "_Toc22093" </w:instrText>
      </w:r>
      <w:r>
        <w:fldChar w:fldCharType="separate"/>
      </w:r>
      <w:r>
        <w:rPr>
          <w:rFonts w:hint="eastAsia" w:cs="宋体"/>
          <w:bCs/>
          <w:szCs w:val="30"/>
        </w:rPr>
        <w:t>第二十条 合同生效</w:t>
      </w:r>
      <w:r>
        <w:tab/>
      </w:r>
      <w:r>
        <w:fldChar w:fldCharType="begin"/>
      </w:r>
      <w:r>
        <w:instrText xml:space="preserve"> PAGEREF _Toc22093 \h </w:instrText>
      </w:r>
      <w:r>
        <w:fldChar w:fldCharType="separate"/>
      </w:r>
      <w:r>
        <w:t>152</w:t>
      </w:r>
      <w:r>
        <w:fldChar w:fldCharType="end"/>
      </w:r>
      <w:r>
        <w:fldChar w:fldCharType="end"/>
      </w:r>
    </w:p>
    <w:p w14:paraId="4FEE81DB">
      <w:pPr>
        <w:pStyle w:val="32"/>
        <w:tabs>
          <w:tab w:val="right" w:leader="dot" w:pos="8730"/>
          <w:tab w:val="clear" w:pos="1050"/>
          <w:tab w:val="clear" w:pos="8937"/>
        </w:tabs>
      </w:pPr>
      <w:r>
        <w:fldChar w:fldCharType="begin"/>
      </w:r>
      <w:r>
        <w:instrText xml:space="preserve"> HYPERLINK \l "_Toc7375" </w:instrText>
      </w:r>
      <w:r>
        <w:fldChar w:fldCharType="separate"/>
      </w:r>
      <w:r>
        <w:rPr>
          <w:rFonts w:hint="eastAsia" w:cs="宋体"/>
          <w:bCs/>
          <w:szCs w:val="30"/>
        </w:rPr>
        <w:t>第二十一条 其他</w:t>
      </w:r>
      <w:r>
        <w:tab/>
      </w:r>
      <w:r>
        <w:fldChar w:fldCharType="begin"/>
      </w:r>
      <w:r>
        <w:instrText xml:space="preserve"> PAGEREF _Toc7375 \h </w:instrText>
      </w:r>
      <w:r>
        <w:fldChar w:fldCharType="separate"/>
      </w:r>
      <w:r>
        <w:t>152</w:t>
      </w:r>
      <w:r>
        <w:fldChar w:fldCharType="end"/>
      </w:r>
      <w:r>
        <w:fldChar w:fldCharType="end"/>
      </w:r>
    </w:p>
    <w:p w14:paraId="0C4482A1">
      <w:pPr>
        <w:spacing w:afterLines="50" w:line="560" w:lineRule="exact"/>
        <w:ind w:firstLine="420" w:firstLineChars="200"/>
        <w:rPr>
          <w:rFonts w:ascii="宋体" w:hAnsi="宋体" w:cs="宋体"/>
          <w:color w:val="000000"/>
          <w:sz w:val="28"/>
          <w:szCs w:val="30"/>
        </w:rPr>
      </w:pPr>
      <w:r>
        <w:rPr>
          <w:rFonts w:hint="eastAsia" w:ascii="宋体" w:hAnsi="宋体" w:cs="宋体"/>
          <w:bCs/>
          <w:color w:val="000000"/>
          <w:szCs w:val="30"/>
        </w:rPr>
        <w:fldChar w:fldCharType="end"/>
      </w:r>
    </w:p>
    <w:p w14:paraId="7009D894">
      <w:pPr>
        <w:widowControl/>
        <w:shd w:val="clear" w:color="auto" w:fill="FFFFFF"/>
        <w:spacing w:afterLines="50" w:line="560" w:lineRule="exact"/>
        <w:ind w:firstLine="562" w:firstLineChars="200"/>
        <w:jc w:val="left"/>
        <w:rPr>
          <w:rFonts w:ascii="宋体" w:hAnsi="宋体" w:cs="宋体"/>
          <w:kern w:val="0"/>
          <w:sz w:val="28"/>
          <w:szCs w:val="30"/>
          <w:highlight w:val="none"/>
        </w:rPr>
      </w:pPr>
      <w:r>
        <w:rPr>
          <w:rFonts w:hint="eastAsia" w:ascii="宋体" w:hAnsi="宋体" w:cs="宋体"/>
          <w:b/>
          <w:color w:val="000000"/>
          <w:sz w:val="28"/>
          <w:szCs w:val="30"/>
        </w:rPr>
        <w:br w:type="page"/>
      </w:r>
      <w:r>
        <w:rPr>
          <w:rFonts w:hint="eastAsia" w:ascii="宋体" w:hAnsi="宋体" w:cs="宋体"/>
          <w:color w:val="000000"/>
          <w:sz w:val="28"/>
          <w:szCs w:val="30"/>
        </w:rPr>
        <w:t>本项目采用公开招标方式，经本项目评标委员会认真评审，决定将合</w:t>
      </w:r>
      <w:r>
        <w:rPr>
          <w:rFonts w:hint="eastAsia" w:ascii="宋体" w:hAnsi="宋体" w:cs="宋体"/>
          <w:color w:val="000000"/>
          <w:sz w:val="28"/>
          <w:szCs w:val="30"/>
          <w:highlight w:val="none"/>
        </w:rPr>
        <w:t>同授予乙方。为进一步明确双方的责任，确保合同的顺利履行，根据《中华人民共和国民法典》、招标文件、中标（成交）通知书等相关资料的要求，遵循平等、自愿、公平和诚实信用的原则，甲乙双方经充分协商，特订立本合同，以便共同遵守。</w:t>
      </w:r>
    </w:p>
    <w:p w14:paraId="3C936C6A">
      <w:pPr>
        <w:widowControl/>
        <w:shd w:val="clear" w:color="auto" w:fill="FFFFFF"/>
        <w:spacing w:afterLines="50" w:line="560" w:lineRule="exact"/>
        <w:ind w:firstLine="560" w:firstLineChars="200"/>
        <w:jc w:val="left"/>
        <w:rPr>
          <w:rFonts w:ascii="宋体" w:hAnsi="宋体" w:cs="宋体"/>
          <w:kern w:val="0"/>
          <w:sz w:val="28"/>
          <w:szCs w:val="30"/>
          <w:highlight w:val="none"/>
        </w:rPr>
      </w:pPr>
    </w:p>
    <w:p w14:paraId="6C0C5C39">
      <w:pPr>
        <w:pStyle w:val="2"/>
        <w:keepNext w:val="0"/>
        <w:keepLines w:val="0"/>
        <w:spacing w:afterLines="50" w:line="560" w:lineRule="exact"/>
        <w:ind w:firstLine="562" w:firstLineChars="200"/>
        <w:rPr>
          <w:rFonts w:hAnsi="宋体" w:cs="宋体"/>
          <w:bCs/>
          <w:sz w:val="28"/>
          <w:szCs w:val="30"/>
          <w:highlight w:val="none"/>
        </w:rPr>
      </w:pPr>
      <w:bookmarkStart w:id="837" w:name="_Toc12987"/>
      <w:bookmarkStart w:id="838" w:name="_Toc17939"/>
      <w:r>
        <w:rPr>
          <w:rFonts w:hint="eastAsia" w:hAnsi="宋体" w:cs="宋体"/>
          <w:bCs/>
          <w:sz w:val="28"/>
          <w:szCs w:val="30"/>
          <w:highlight w:val="none"/>
        </w:rPr>
        <w:t>第一条  服务内容</w:t>
      </w:r>
      <w:bookmarkEnd w:id="837"/>
      <w:bookmarkEnd w:id="838"/>
    </w:p>
    <w:p w14:paraId="41B4151F">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 xml:space="preserve">1.1 合同文件 </w:t>
      </w:r>
    </w:p>
    <w:p w14:paraId="2B2F3985">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 xml:space="preserve">下列文件构成本合同的组成部分，应该认为是一个整体，彼此相互解释，相互补充。 </w:t>
      </w:r>
    </w:p>
    <w:p w14:paraId="6DB1D4EA">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 xml:space="preserve">a. 本合同（合同书.合同特殊条款.合同一般条款.合同补充条款或协议）； </w:t>
      </w:r>
    </w:p>
    <w:p w14:paraId="0777C174">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 xml:space="preserve">b. 中标通知书； </w:t>
      </w:r>
    </w:p>
    <w:p w14:paraId="6B52FFBD">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 xml:space="preserve">c. 投标文件（含澄清文件）； </w:t>
      </w:r>
    </w:p>
    <w:p w14:paraId="6CC94D33">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d. 招标文件（含招标文件补充通知）；</w:t>
      </w:r>
    </w:p>
    <w:p w14:paraId="0876D58A">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1.2服务内容</w:t>
      </w:r>
    </w:p>
    <w:p w14:paraId="24D817AD">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(1)</w:t>
      </w:r>
      <w:r>
        <w:rPr>
          <w:rFonts w:hint="eastAsia" w:ascii="宋体" w:hAnsi="宋体" w:eastAsia="宋体" w:cs="宋体"/>
          <w:sz w:val="28"/>
          <w:szCs w:val="28"/>
          <w:highlight w:val="none"/>
        </w:rPr>
        <w:t>开发综合管理平台系统</w:t>
      </w:r>
    </w:p>
    <w:p w14:paraId="56EC9221">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(2)</w:t>
      </w:r>
      <w:r>
        <w:rPr>
          <w:rFonts w:hint="eastAsia" w:ascii="宋体" w:hAnsi="宋体" w:eastAsia="宋体" w:cs="宋体"/>
          <w:sz w:val="28"/>
          <w:szCs w:val="28"/>
          <w:highlight w:val="none"/>
        </w:rPr>
        <w:t>网络通讯系统</w:t>
      </w:r>
    </w:p>
    <w:p w14:paraId="07BB4F96">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(3)</w:t>
      </w:r>
      <w:r>
        <w:rPr>
          <w:rFonts w:hint="eastAsia" w:ascii="宋体" w:hAnsi="宋体" w:eastAsia="宋体" w:cs="宋体"/>
          <w:sz w:val="28"/>
          <w:szCs w:val="28"/>
          <w:highlight w:val="none"/>
        </w:rPr>
        <w:t>建筑安防系统</w:t>
      </w:r>
    </w:p>
    <w:p w14:paraId="0AB203C3">
      <w:pPr>
        <w:spacing w:afterLines="50" w:line="560" w:lineRule="exact"/>
        <w:ind w:firstLine="560" w:firstLineChars="200"/>
        <w:rPr>
          <w:rFonts w:hint="eastAsia" w:ascii="宋体" w:hAnsi="宋体" w:eastAsia="宋体" w:cs="宋体"/>
          <w:sz w:val="28"/>
          <w:szCs w:val="28"/>
          <w:highlight w:val="none"/>
        </w:rPr>
      </w:pPr>
      <w:r>
        <w:rPr>
          <w:rFonts w:hint="eastAsia" w:ascii="宋体" w:hAnsi="宋体" w:cs="宋体"/>
          <w:color w:val="000000"/>
          <w:sz w:val="28"/>
          <w:szCs w:val="30"/>
          <w:highlight w:val="none"/>
        </w:rPr>
        <w:t>(4)</w:t>
      </w:r>
      <w:r>
        <w:rPr>
          <w:rFonts w:hint="eastAsia" w:ascii="宋体" w:hAnsi="宋体" w:eastAsia="宋体" w:cs="宋体"/>
          <w:sz w:val="28"/>
          <w:szCs w:val="28"/>
          <w:highlight w:val="none"/>
        </w:rPr>
        <w:t>楼宇自控系统</w:t>
      </w:r>
    </w:p>
    <w:p w14:paraId="4E3B2776">
      <w:pPr>
        <w:spacing w:afterLines="50" w:line="560" w:lineRule="exact"/>
        <w:ind w:firstLine="560" w:firstLineChars="200"/>
        <w:rPr>
          <w:rFonts w:hint="eastAsia" w:ascii="宋体" w:hAnsi="宋体" w:eastAsia="宋体" w:cs="宋体"/>
          <w:sz w:val="28"/>
          <w:szCs w:val="28"/>
          <w:highlight w:val="none"/>
        </w:rPr>
      </w:pPr>
      <w:r>
        <w:rPr>
          <w:rFonts w:hint="eastAsia" w:ascii="宋体" w:hAnsi="宋体" w:cs="宋体"/>
          <w:color w:val="000000"/>
          <w:sz w:val="28"/>
          <w:szCs w:val="30"/>
          <w:highlight w:val="none"/>
        </w:rPr>
        <w:t>(</w:t>
      </w:r>
      <w:r>
        <w:rPr>
          <w:rFonts w:hint="eastAsia" w:ascii="宋体" w:hAnsi="宋体" w:cs="宋体"/>
          <w:color w:val="000000"/>
          <w:sz w:val="28"/>
          <w:szCs w:val="30"/>
          <w:highlight w:val="none"/>
          <w:lang w:val="en-US" w:eastAsia="zh-CN"/>
        </w:rPr>
        <w:t>5</w:t>
      </w:r>
      <w:r>
        <w:rPr>
          <w:rFonts w:hint="eastAsia" w:ascii="宋体" w:hAnsi="宋体" w:cs="宋体"/>
          <w:color w:val="000000"/>
          <w:sz w:val="28"/>
          <w:szCs w:val="30"/>
          <w:highlight w:val="none"/>
        </w:rPr>
        <w:t>)</w:t>
      </w:r>
      <w:r>
        <w:rPr>
          <w:rFonts w:hint="eastAsia" w:ascii="宋体" w:hAnsi="宋体" w:eastAsia="宋体" w:cs="宋体"/>
          <w:sz w:val="28"/>
          <w:szCs w:val="28"/>
          <w:highlight w:val="none"/>
        </w:rPr>
        <w:t>音视频会议系统</w:t>
      </w:r>
    </w:p>
    <w:p w14:paraId="1719EEC1">
      <w:pPr>
        <w:spacing w:afterLines="50" w:line="560" w:lineRule="exact"/>
        <w:ind w:firstLine="560" w:firstLineChars="200"/>
        <w:rPr>
          <w:rFonts w:hint="eastAsia" w:ascii="宋体" w:hAnsi="宋体" w:cs="宋体"/>
          <w:color w:val="000000"/>
          <w:sz w:val="28"/>
          <w:szCs w:val="30"/>
          <w:highlight w:val="none"/>
        </w:rPr>
      </w:pPr>
      <w:r>
        <w:rPr>
          <w:rFonts w:hint="eastAsia" w:ascii="宋体" w:hAnsi="宋体" w:cs="宋体"/>
          <w:color w:val="000000"/>
          <w:sz w:val="28"/>
          <w:szCs w:val="30"/>
          <w:highlight w:val="none"/>
        </w:rPr>
        <w:t>(</w:t>
      </w:r>
      <w:r>
        <w:rPr>
          <w:rFonts w:hint="eastAsia" w:ascii="宋体" w:hAnsi="宋体" w:cs="宋体"/>
          <w:color w:val="000000"/>
          <w:sz w:val="28"/>
          <w:szCs w:val="30"/>
          <w:highlight w:val="none"/>
          <w:lang w:val="en-US" w:eastAsia="zh-CN"/>
        </w:rPr>
        <w:t>6</w:t>
      </w:r>
      <w:r>
        <w:rPr>
          <w:rFonts w:hint="eastAsia" w:ascii="宋体" w:hAnsi="宋体" w:cs="宋体"/>
          <w:color w:val="000000"/>
          <w:sz w:val="28"/>
          <w:szCs w:val="30"/>
          <w:highlight w:val="none"/>
        </w:rPr>
        <w:t>)</w:t>
      </w:r>
      <w:r>
        <w:rPr>
          <w:rFonts w:hint="eastAsia" w:ascii="宋体" w:hAnsi="宋体" w:eastAsia="宋体" w:cs="宋体"/>
          <w:sz w:val="28"/>
          <w:szCs w:val="28"/>
          <w:highlight w:val="none"/>
        </w:rPr>
        <w:t>网络安全系统</w:t>
      </w:r>
    </w:p>
    <w:p w14:paraId="447B6581">
      <w:pPr>
        <w:spacing w:afterLines="50" w:line="560" w:lineRule="exact"/>
        <w:ind w:firstLine="560" w:firstLineChars="200"/>
        <w:rPr>
          <w:rFonts w:hint="eastAsia" w:ascii="宋体" w:hAnsi="宋体" w:cs="宋体"/>
          <w:color w:val="000000"/>
          <w:sz w:val="28"/>
          <w:szCs w:val="30"/>
          <w:highlight w:val="none"/>
        </w:rPr>
      </w:pPr>
    </w:p>
    <w:p w14:paraId="3FA9BC67">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及其他招标文件中载明的服务内容等。</w:t>
      </w:r>
    </w:p>
    <w:p w14:paraId="4C0D2A1D">
      <w:pPr>
        <w:tabs>
          <w:tab w:val="left" w:pos="2400"/>
          <w:tab w:val="left" w:pos="2700"/>
          <w:tab w:val="left" w:pos="3000"/>
          <w:tab w:val="left" w:pos="3300"/>
          <w:tab w:val="left" w:pos="3600"/>
        </w:tabs>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1.3项目实施期限</w:t>
      </w:r>
    </w:p>
    <w:p w14:paraId="160BE79D">
      <w:pPr>
        <w:widowControl/>
        <w:shd w:val="clear" w:color="auto" w:fill="FFFFFF"/>
        <w:spacing w:afterLines="50" w:line="560" w:lineRule="exact"/>
        <w:ind w:firstLine="560" w:firstLineChars="200"/>
        <w:jc w:val="left"/>
        <w:rPr>
          <w:rFonts w:ascii="宋体" w:hAnsi="宋体" w:cs="宋体"/>
          <w:kern w:val="0"/>
          <w:sz w:val="28"/>
          <w:szCs w:val="30"/>
          <w:highlight w:val="none"/>
        </w:rPr>
      </w:pPr>
      <w:r>
        <w:rPr>
          <w:rFonts w:hint="eastAsia" w:ascii="宋体" w:hAnsi="宋体" w:cs="宋体"/>
          <w:kern w:val="0"/>
          <w:sz w:val="28"/>
          <w:szCs w:val="30"/>
          <w:highlight w:val="none"/>
        </w:rPr>
        <w:t xml:space="preserve">计划开工日期： </w:t>
      </w:r>
      <w:r>
        <w:rPr>
          <w:rFonts w:hint="eastAsia" w:ascii="宋体" w:hAnsi="宋体" w:cs="宋体"/>
          <w:kern w:val="0"/>
          <w:sz w:val="28"/>
          <w:szCs w:val="30"/>
          <w:highlight w:val="none"/>
          <w:u w:val="single"/>
        </w:rPr>
        <w:t xml:space="preserve">  </w:t>
      </w:r>
      <w:r>
        <w:rPr>
          <w:rFonts w:ascii="宋体" w:hAnsi="宋体" w:cs="宋体"/>
          <w:kern w:val="0"/>
          <w:sz w:val="28"/>
          <w:szCs w:val="30"/>
          <w:highlight w:val="none"/>
          <w:u w:val="single"/>
        </w:rPr>
        <w:t>202</w:t>
      </w:r>
      <w:r>
        <w:rPr>
          <w:rFonts w:hint="eastAsia" w:ascii="宋体" w:hAnsi="宋体" w:cs="宋体"/>
          <w:kern w:val="0"/>
          <w:sz w:val="28"/>
          <w:szCs w:val="30"/>
          <w:highlight w:val="none"/>
          <w:u w:val="single"/>
        </w:rPr>
        <w:t>5年</w:t>
      </w:r>
      <w:r>
        <w:rPr>
          <w:rFonts w:hint="eastAsia" w:ascii="宋体" w:hAnsi="宋体" w:cs="宋体"/>
          <w:kern w:val="0"/>
          <w:sz w:val="28"/>
          <w:szCs w:val="30"/>
          <w:highlight w:val="none"/>
          <w:u w:val="single"/>
          <w:lang w:val="en-US" w:eastAsia="zh-CN"/>
        </w:rPr>
        <w:t xml:space="preserve">  </w:t>
      </w:r>
      <w:r>
        <w:rPr>
          <w:rFonts w:hint="eastAsia" w:ascii="宋体" w:hAnsi="宋体" w:cs="宋体"/>
          <w:kern w:val="0"/>
          <w:sz w:val="28"/>
          <w:szCs w:val="30"/>
          <w:highlight w:val="none"/>
          <w:u w:val="single"/>
        </w:rPr>
        <w:t>月</w:t>
      </w:r>
      <w:r>
        <w:rPr>
          <w:rFonts w:hint="eastAsia" w:ascii="宋体" w:hAnsi="宋体" w:cs="宋体"/>
          <w:kern w:val="0"/>
          <w:sz w:val="28"/>
          <w:szCs w:val="30"/>
          <w:highlight w:val="none"/>
          <w:u w:val="single"/>
          <w:lang w:val="en-US" w:eastAsia="zh-CN"/>
        </w:rPr>
        <w:t xml:space="preserve">  </w:t>
      </w:r>
      <w:r>
        <w:rPr>
          <w:rFonts w:hint="eastAsia" w:ascii="宋体" w:hAnsi="宋体" w:cs="宋体"/>
          <w:kern w:val="0"/>
          <w:sz w:val="28"/>
          <w:szCs w:val="30"/>
          <w:highlight w:val="none"/>
          <w:u w:val="single"/>
        </w:rPr>
        <w:t xml:space="preserve">日  </w:t>
      </w:r>
      <w:r>
        <w:rPr>
          <w:rFonts w:hint="eastAsia" w:ascii="宋体" w:hAnsi="宋体" w:cs="宋体"/>
          <w:kern w:val="0"/>
          <w:sz w:val="28"/>
          <w:szCs w:val="30"/>
          <w:highlight w:val="none"/>
        </w:rPr>
        <w:t>（实际以开工时间为准）。</w:t>
      </w:r>
    </w:p>
    <w:p w14:paraId="10DA07DE">
      <w:pPr>
        <w:widowControl/>
        <w:shd w:val="clear" w:color="auto" w:fill="FFFFFF"/>
        <w:spacing w:afterLines="50" w:line="560" w:lineRule="exact"/>
        <w:ind w:firstLine="560" w:firstLineChars="200"/>
        <w:jc w:val="left"/>
        <w:rPr>
          <w:rFonts w:ascii="宋体" w:hAnsi="宋体" w:cs="宋体"/>
          <w:kern w:val="0"/>
          <w:sz w:val="28"/>
          <w:szCs w:val="30"/>
          <w:highlight w:val="none"/>
          <w:u w:val="single"/>
        </w:rPr>
      </w:pPr>
      <w:r>
        <w:rPr>
          <w:rFonts w:hint="eastAsia" w:ascii="宋体" w:hAnsi="宋体" w:cs="宋体"/>
          <w:kern w:val="0"/>
          <w:sz w:val="28"/>
          <w:szCs w:val="30"/>
          <w:highlight w:val="none"/>
        </w:rPr>
        <w:t xml:space="preserve">计划竣工日期： </w:t>
      </w:r>
      <w:r>
        <w:rPr>
          <w:rFonts w:hint="eastAsia" w:ascii="宋体" w:hAnsi="宋体" w:cs="宋体"/>
          <w:kern w:val="0"/>
          <w:sz w:val="28"/>
          <w:szCs w:val="30"/>
          <w:highlight w:val="none"/>
          <w:u w:val="single"/>
        </w:rPr>
        <w:t xml:space="preserve">   </w:t>
      </w:r>
      <w:r>
        <w:rPr>
          <w:rFonts w:ascii="宋体" w:hAnsi="宋体" w:cs="宋体"/>
          <w:kern w:val="0"/>
          <w:sz w:val="28"/>
          <w:szCs w:val="30"/>
          <w:highlight w:val="none"/>
          <w:u w:val="single"/>
        </w:rPr>
        <w:t>2025</w:t>
      </w:r>
      <w:r>
        <w:rPr>
          <w:rFonts w:hint="eastAsia" w:ascii="宋体" w:hAnsi="宋体" w:cs="宋体"/>
          <w:kern w:val="0"/>
          <w:sz w:val="28"/>
          <w:szCs w:val="30"/>
          <w:highlight w:val="none"/>
          <w:u w:val="single"/>
        </w:rPr>
        <w:t>年</w:t>
      </w:r>
      <w:r>
        <w:rPr>
          <w:rFonts w:hint="eastAsia" w:ascii="宋体" w:hAnsi="宋体" w:cs="宋体"/>
          <w:kern w:val="0"/>
          <w:sz w:val="28"/>
          <w:szCs w:val="30"/>
          <w:highlight w:val="none"/>
          <w:u w:val="single"/>
          <w:lang w:val="en-US" w:eastAsia="zh-CN"/>
        </w:rPr>
        <w:t xml:space="preserve">  </w:t>
      </w:r>
      <w:r>
        <w:rPr>
          <w:rFonts w:hint="eastAsia" w:ascii="宋体" w:hAnsi="宋体" w:cs="宋体"/>
          <w:kern w:val="0"/>
          <w:sz w:val="28"/>
          <w:szCs w:val="30"/>
          <w:highlight w:val="none"/>
          <w:u w:val="single"/>
        </w:rPr>
        <w:t>月</w:t>
      </w:r>
      <w:r>
        <w:rPr>
          <w:rFonts w:hint="eastAsia" w:ascii="宋体" w:hAnsi="宋体" w:cs="宋体"/>
          <w:kern w:val="0"/>
          <w:sz w:val="28"/>
          <w:szCs w:val="30"/>
          <w:highlight w:val="none"/>
          <w:u w:val="single"/>
          <w:lang w:val="en-US" w:eastAsia="zh-CN"/>
        </w:rPr>
        <w:t xml:space="preserve">  </w:t>
      </w:r>
      <w:r>
        <w:rPr>
          <w:rFonts w:hint="eastAsia" w:ascii="宋体" w:hAnsi="宋体" w:cs="宋体"/>
          <w:kern w:val="0"/>
          <w:sz w:val="28"/>
          <w:szCs w:val="30"/>
          <w:highlight w:val="none"/>
          <w:u w:val="single"/>
        </w:rPr>
        <w:t xml:space="preserve">日  </w:t>
      </w:r>
    </w:p>
    <w:p w14:paraId="1DB985A4">
      <w:pPr>
        <w:widowControl/>
        <w:shd w:val="clear" w:color="auto" w:fill="FFFFFF"/>
        <w:spacing w:afterLines="50" w:line="560" w:lineRule="exact"/>
        <w:ind w:firstLine="560" w:firstLineChars="200"/>
        <w:jc w:val="left"/>
        <w:rPr>
          <w:rFonts w:ascii="宋体" w:hAnsi="宋体" w:cs="宋体"/>
          <w:kern w:val="0"/>
          <w:sz w:val="28"/>
          <w:szCs w:val="30"/>
          <w:highlight w:val="none"/>
        </w:rPr>
      </w:pPr>
      <w:r>
        <w:rPr>
          <w:rFonts w:hint="eastAsia" w:ascii="宋体" w:hAnsi="宋体" w:cs="宋体"/>
          <w:kern w:val="0"/>
          <w:sz w:val="28"/>
          <w:szCs w:val="30"/>
          <w:highlight w:val="none"/>
        </w:rPr>
        <w:t>工期总日历天数：</w:t>
      </w:r>
      <w:r>
        <w:rPr>
          <w:rFonts w:hint="eastAsia" w:ascii="宋体" w:hAnsi="宋体" w:cs="宋体"/>
          <w:kern w:val="0"/>
          <w:sz w:val="28"/>
          <w:szCs w:val="30"/>
          <w:highlight w:val="none"/>
          <w:u w:val="single"/>
        </w:rPr>
        <w:t xml:space="preserve"> 120 </w:t>
      </w:r>
      <w:r>
        <w:rPr>
          <w:rFonts w:hint="eastAsia" w:ascii="宋体" w:hAnsi="宋体" w:cs="宋体"/>
          <w:kern w:val="0"/>
          <w:sz w:val="28"/>
          <w:szCs w:val="30"/>
          <w:highlight w:val="none"/>
        </w:rPr>
        <w:t>日历天。</w:t>
      </w:r>
    </w:p>
    <w:p w14:paraId="4E03292F">
      <w:pPr>
        <w:widowControl/>
        <w:shd w:val="clear" w:color="auto" w:fill="FFFFFF"/>
        <w:spacing w:afterLines="50" w:line="560" w:lineRule="exact"/>
        <w:ind w:firstLine="560" w:firstLineChars="200"/>
        <w:jc w:val="left"/>
        <w:rPr>
          <w:rFonts w:ascii="宋体" w:hAnsi="宋体" w:cs="宋体"/>
          <w:kern w:val="0"/>
          <w:sz w:val="28"/>
          <w:szCs w:val="30"/>
          <w:highlight w:val="none"/>
        </w:rPr>
      </w:pPr>
      <w:r>
        <w:rPr>
          <w:rFonts w:hint="eastAsia" w:ascii="宋体" w:hAnsi="宋体" w:cs="宋体"/>
          <w:kern w:val="0"/>
          <w:sz w:val="28"/>
          <w:szCs w:val="30"/>
          <w:highlight w:val="none"/>
        </w:rPr>
        <w:t>工期总日历天数与根据前述计划开竣工日期计算的工期天数不一致的，以工期总日历天数为准。</w:t>
      </w:r>
    </w:p>
    <w:p w14:paraId="3E948AC8">
      <w:pPr>
        <w:tabs>
          <w:tab w:val="left" w:pos="2400"/>
          <w:tab w:val="left" w:pos="2700"/>
          <w:tab w:val="left" w:pos="3000"/>
          <w:tab w:val="left" w:pos="3300"/>
          <w:tab w:val="left" w:pos="3600"/>
        </w:tabs>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1.4工作地点：</w:t>
      </w:r>
      <w:r>
        <w:rPr>
          <w:rFonts w:hint="eastAsia" w:ascii="宋体" w:hAnsi="宋体" w:cs="宋体"/>
          <w:color w:val="000000"/>
          <w:sz w:val="28"/>
          <w:szCs w:val="30"/>
          <w:highlight w:val="none"/>
          <w:u w:val="single"/>
        </w:rPr>
        <w:t>北京市门头沟区档案史志馆指定地点。</w:t>
      </w:r>
    </w:p>
    <w:p w14:paraId="2F3D243D">
      <w:pPr>
        <w:pStyle w:val="2"/>
        <w:keepNext w:val="0"/>
        <w:keepLines w:val="0"/>
        <w:spacing w:afterLines="50" w:line="560" w:lineRule="exact"/>
        <w:ind w:firstLine="562" w:firstLineChars="200"/>
        <w:rPr>
          <w:rFonts w:hAnsi="宋体" w:cs="宋体"/>
          <w:sz w:val="28"/>
          <w:szCs w:val="30"/>
          <w:highlight w:val="none"/>
        </w:rPr>
      </w:pPr>
      <w:bookmarkStart w:id="839" w:name="_Toc22555"/>
      <w:bookmarkStart w:id="840" w:name="_Toc5124"/>
      <w:r>
        <w:rPr>
          <w:rFonts w:hint="eastAsia" w:hAnsi="宋体" w:cs="宋体"/>
          <w:sz w:val="28"/>
          <w:szCs w:val="30"/>
          <w:highlight w:val="none"/>
        </w:rPr>
        <w:t>第二条 合同价款及付款方式</w:t>
      </w:r>
      <w:bookmarkEnd w:id="839"/>
      <w:bookmarkEnd w:id="840"/>
    </w:p>
    <w:p w14:paraId="3D893880">
      <w:pPr>
        <w:pStyle w:val="263"/>
        <w:shd w:val="clear" w:color="auto" w:fill="FFFFFF"/>
        <w:spacing w:afterLines="50" w:line="560" w:lineRule="exact"/>
        <w:ind w:firstLine="560" w:firstLineChars="200"/>
        <w:rPr>
          <w:rFonts w:ascii="宋体" w:hAnsi="宋体" w:eastAsia="宋体" w:cs="宋体"/>
          <w:color w:val="000000"/>
          <w:sz w:val="28"/>
          <w:szCs w:val="30"/>
          <w:highlight w:val="none"/>
        </w:rPr>
      </w:pPr>
      <w:r>
        <w:rPr>
          <w:rFonts w:hint="eastAsia" w:ascii="宋体" w:hAnsi="宋体" w:eastAsia="宋体" w:cs="宋体"/>
          <w:color w:val="000000"/>
          <w:sz w:val="28"/>
          <w:szCs w:val="30"/>
          <w:highlight w:val="none"/>
        </w:rPr>
        <w:t xml:space="preserve">2.1合同价款总额为¥ </w:t>
      </w:r>
      <w:r>
        <w:rPr>
          <w:rFonts w:hint="eastAsia" w:ascii="宋体" w:hAnsi="宋体" w:eastAsia="宋体" w:cs="宋体"/>
          <w:color w:val="000000"/>
          <w:sz w:val="28"/>
          <w:szCs w:val="30"/>
          <w:highlight w:val="none"/>
          <w:u w:val="single"/>
        </w:rPr>
        <w:t xml:space="preserve">           </w:t>
      </w:r>
      <w:r>
        <w:rPr>
          <w:rFonts w:hint="eastAsia" w:ascii="宋体" w:hAnsi="宋体" w:eastAsia="宋体" w:cs="宋体"/>
          <w:color w:val="000000"/>
          <w:sz w:val="28"/>
          <w:szCs w:val="30"/>
          <w:highlight w:val="none"/>
        </w:rPr>
        <w:t>（大写：</w:t>
      </w:r>
      <w:r>
        <w:rPr>
          <w:rFonts w:hint="eastAsia" w:ascii="宋体" w:hAnsi="宋体" w:eastAsia="宋体" w:cs="宋体"/>
          <w:color w:val="000000"/>
          <w:sz w:val="28"/>
          <w:szCs w:val="30"/>
          <w:highlight w:val="none"/>
          <w:u w:val="single"/>
        </w:rPr>
        <w:t xml:space="preserve">           ，含税。</w:t>
      </w:r>
      <w:r>
        <w:rPr>
          <w:rFonts w:hint="eastAsia" w:ascii="宋体" w:hAnsi="宋体" w:eastAsia="宋体" w:cs="宋体"/>
          <w:color w:val="000000"/>
          <w:sz w:val="28"/>
          <w:szCs w:val="30"/>
          <w:highlight w:val="none"/>
        </w:rPr>
        <w:t>），币种为</w:t>
      </w:r>
      <w:r>
        <w:rPr>
          <w:rFonts w:hint="eastAsia" w:ascii="宋体" w:hAnsi="宋体" w:eastAsia="宋体" w:cs="宋体"/>
          <w:color w:val="000000"/>
          <w:sz w:val="28"/>
          <w:szCs w:val="30"/>
          <w:highlight w:val="none"/>
          <w:u w:val="single"/>
        </w:rPr>
        <w:t>人民币</w:t>
      </w:r>
      <w:r>
        <w:rPr>
          <w:rFonts w:hint="eastAsia" w:ascii="宋体" w:hAnsi="宋体" w:eastAsia="宋体" w:cs="宋体"/>
          <w:color w:val="000000"/>
          <w:sz w:val="28"/>
          <w:szCs w:val="30"/>
          <w:highlight w:val="none"/>
        </w:rPr>
        <w:t>。</w:t>
      </w:r>
    </w:p>
    <w:p w14:paraId="22FA9BF8">
      <w:pPr>
        <w:pStyle w:val="263"/>
        <w:shd w:val="clear" w:color="auto" w:fill="FFFFFF"/>
        <w:spacing w:afterLines="50" w:line="560" w:lineRule="exact"/>
        <w:ind w:firstLine="560" w:firstLineChars="200"/>
        <w:rPr>
          <w:rFonts w:ascii="宋体" w:hAnsi="宋体" w:eastAsia="宋体" w:cs="宋体"/>
          <w:color w:val="000000"/>
          <w:sz w:val="28"/>
          <w:szCs w:val="30"/>
          <w:highlight w:val="none"/>
        </w:rPr>
      </w:pPr>
      <w:r>
        <w:rPr>
          <w:rFonts w:hint="eastAsia" w:ascii="宋体" w:hAnsi="宋体" w:eastAsia="宋体" w:cs="宋体"/>
          <w:color w:val="000000"/>
          <w:sz w:val="28"/>
          <w:szCs w:val="30"/>
          <w:highlight w:val="none"/>
        </w:rPr>
        <w:t>2.2合同总价包含为完成招标文件项下全部服务内容的费用，具体包括符合招标技术需求</w:t>
      </w:r>
      <w:r>
        <w:rPr>
          <w:rFonts w:hint="eastAsia" w:ascii="宋体" w:hAnsi="宋体" w:eastAsia="宋体" w:cs="宋体"/>
          <w:sz w:val="28"/>
          <w:szCs w:val="28"/>
          <w:highlight w:val="none"/>
        </w:rPr>
        <w:t>开发综合管理平台系统，连接网络通讯系统、</w:t>
      </w:r>
      <w:r>
        <w:rPr>
          <w:rFonts w:hint="eastAsia" w:ascii="宋体" w:hAnsi="宋体" w:eastAsia="宋体" w:cs="宋体"/>
          <w:sz w:val="30"/>
          <w:szCs w:val="30"/>
          <w:highlight w:val="none"/>
        </w:rPr>
        <w:t>建筑安防系统</w:t>
      </w:r>
      <w:r>
        <w:rPr>
          <w:rFonts w:hint="eastAsia" w:ascii="宋体" w:hAnsi="宋体" w:eastAsia="宋体" w:cs="宋体"/>
          <w:sz w:val="28"/>
          <w:szCs w:val="28"/>
          <w:highlight w:val="none"/>
        </w:rPr>
        <w:t>、楼宇自控系统、音视频会议系统，网络安全系统的建设费用</w:t>
      </w:r>
      <w:r>
        <w:rPr>
          <w:rFonts w:hint="eastAsia" w:ascii="宋体" w:hAnsi="宋体" w:eastAsia="宋体" w:cs="宋体"/>
          <w:color w:val="000000"/>
          <w:sz w:val="28"/>
          <w:szCs w:val="30"/>
          <w:highlight w:val="none"/>
        </w:rPr>
        <w:t>、设备采购费用及其所发生的一切辅助性.配合性的相关费用；按规定应计取的规费.保险.税金等；驻场人员的相关费用、培训费用等；配合“</w:t>
      </w:r>
      <w:r>
        <w:rPr>
          <w:rFonts w:hint="eastAsia" w:ascii="宋体" w:hAnsi="宋体" w:eastAsia="宋体" w:cs="宋体"/>
          <w:sz w:val="28"/>
          <w:szCs w:val="28"/>
          <w:highlight w:val="none"/>
        </w:rPr>
        <w:t>等级保护辅助测评</w:t>
      </w:r>
      <w:r>
        <w:rPr>
          <w:rFonts w:hint="eastAsia" w:ascii="宋体" w:hAnsi="宋体" w:eastAsia="宋体" w:cs="宋体"/>
          <w:color w:val="000000"/>
          <w:sz w:val="28"/>
          <w:szCs w:val="30"/>
          <w:highlight w:val="none"/>
        </w:rPr>
        <w:t>”及整改费用等，并且充分考虑合同包含的责任.义务和一般风险等各项全部费用，甲方不再另行支付任何费用。</w:t>
      </w:r>
    </w:p>
    <w:p w14:paraId="3BE0DB2E">
      <w:pPr>
        <w:spacing w:afterLines="50" w:line="560" w:lineRule="exact"/>
        <w:ind w:firstLine="560" w:firstLineChars="200"/>
        <w:rPr>
          <w:rFonts w:ascii="宋体" w:hAnsi="宋体" w:cs="宋体"/>
          <w:sz w:val="28"/>
          <w:szCs w:val="30"/>
          <w:highlight w:val="none"/>
        </w:rPr>
      </w:pPr>
      <w:r>
        <w:rPr>
          <w:rFonts w:hint="eastAsia" w:ascii="宋体" w:hAnsi="宋体" w:cs="宋体"/>
          <w:color w:val="000000"/>
          <w:sz w:val="28"/>
          <w:szCs w:val="30"/>
          <w:highlight w:val="none"/>
        </w:rPr>
        <w:t>2.3</w:t>
      </w:r>
      <w:r>
        <w:rPr>
          <w:rFonts w:hint="eastAsia" w:ascii="宋体" w:hAnsi="宋体" w:cs="宋体"/>
          <w:sz w:val="28"/>
          <w:szCs w:val="30"/>
          <w:highlight w:val="none"/>
        </w:rPr>
        <w:t>付款方式：</w:t>
      </w:r>
      <w:r>
        <w:rPr>
          <w:rFonts w:hint="eastAsia" w:ascii="宋体" w:hAnsi="宋体" w:cs="宋体"/>
          <w:sz w:val="28"/>
          <w:szCs w:val="30"/>
          <w:highlight w:val="none"/>
          <w:u w:val="single"/>
        </w:rPr>
        <w:t xml:space="preserve">  分期付款   </w:t>
      </w:r>
      <w:r>
        <w:rPr>
          <w:rFonts w:hint="eastAsia" w:ascii="宋体" w:hAnsi="宋体" w:cs="宋体"/>
          <w:sz w:val="28"/>
          <w:szCs w:val="30"/>
          <w:highlight w:val="none"/>
        </w:rPr>
        <w:t>在甲方和乙方合同签订后，甲方付款前，由乙方先行开具并送达等额、合法发票，甲方财政资金到位后，按下款要求支付相应的合同款项。</w:t>
      </w:r>
    </w:p>
    <w:p w14:paraId="1B3894B8">
      <w:pPr>
        <w:pStyle w:val="263"/>
        <w:shd w:val="clear" w:color="auto" w:fill="FFFFFF"/>
        <w:spacing w:afterLines="50" w:line="560" w:lineRule="exact"/>
        <w:ind w:firstLine="560" w:firstLineChars="200"/>
        <w:rPr>
          <w:rFonts w:ascii="宋体" w:hAnsi="宋体" w:eastAsia="宋体" w:cs="宋体"/>
          <w:sz w:val="28"/>
          <w:szCs w:val="30"/>
          <w:highlight w:val="none"/>
        </w:rPr>
      </w:pPr>
      <w:r>
        <w:rPr>
          <w:rFonts w:hint="eastAsia" w:ascii="宋体" w:hAnsi="宋体" w:eastAsia="宋体" w:cs="宋体"/>
          <w:sz w:val="28"/>
          <w:szCs w:val="30"/>
          <w:highlight w:val="none"/>
        </w:rPr>
        <w:t>2.3.1付款条件：</w:t>
      </w:r>
    </w:p>
    <w:p w14:paraId="2941655D">
      <w:pPr>
        <w:pStyle w:val="263"/>
        <w:numPr>
          <w:ilvl w:val="0"/>
          <w:numId w:val="21"/>
        </w:numPr>
        <w:shd w:val="clear" w:color="auto" w:fill="FFFFFF"/>
        <w:spacing w:afterLines="50" w:line="560" w:lineRule="exact"/>
        <w:ind w:left="-140" w:firstLine="560"/>
        <w:rPr>
          <w:rFonts w:ascii="宋体" w:hAnsi="宋体" w:eastAsia="宋体" w:cs="宋体"/>
          <w:sz w:val="28"/>
          <w:szCs w:val="30"/>
          <w:highlight w:val="none"/>
        </w:rPr>
      </w:pPr>
      <w:r>
        <w:rPr>
          <w:rFonts w:hint="eastAsia" w:ascii="宋体" w:hAnsi="宋体" w:eastAsia="宋体" w:cs="宋体"/>
          <w:sz w:val="28"/>
          <w:szCs w:val="30"/>
          <w:highlight w:val="none"/>
        </w:rPr>
        <w:t>第一笔付款：在本合同签订后</w:t>
      </w:r>
      <w:r>
        <w:rPr>
          <w:rFonts w:hint="eastAsia" w:ascii="宋体" w:hAnsi="宋体" w:eastAsia="宋体" w:cs="宋体"/>
          <w:sz w:val="28"/>
          <w:szCs w:val="30"/>
          <w:highlight w:val="none"/>
          <w:u w:val="single"/>
        </w:rPr>
        <w:t>30个工作日</w:t>
      </w:r>
      <w:r>
        <w:rPr>
          <w:rFonts w:hint="eastAsia" w:ascii="宋体" w:hAnsi="宋体" w:eastAsia="宋体" w:cs="宋体"/>
          <w:sz w:val="28"/>
          <w:szCs w:val="30"/>
          <w:highlight w:val="none"/>
        </w:rPr>
        <w:t>内，甲方向乙方支付合同金额的</w:t>
      </w:r>
      <w:r>
        <w:rPr>
          <w:rFonts w:hint="eastAsia" w:ascii="宋体" w:hAnsi="宋体" w:eastAsia="宋体" w:cs="宋体"/>
          <w:sz w:val="28"/>
          <w:szCs w:val="30"/>
          <w:highlight w:val="none"/>
          <w:u w:val="single"/>
        </w:rPr>
        <w:t xml:space="preserve"> 30%  </w:t>
      </w:r>
      <w:r>
        <w:rPr>
          <w:rFonts w:hint="eastAsia" w:ascii="宋体" w:hAnsi="宋体" w:eastAsia="宋体" w:cs="宋体"/>
          <w:sz w:val="28"/>
          <w:szCs w:val="30"/>
          <w:highlight w:val="none"/>
        </w:rPr>
        <w:t>。</w:t>
      </w:r>
    </w:p>
    <w:p w14:paraId="73B552AA">
      <w:pPr>
        <w:pStyle w:val="263"/>
        <w:numPr>
          <w:ilvl w:val="0"/>
          <w:numId w:val="21"/>
        </w:numPr>
        <w:shd w:val="clear" w:color="auto" w:fill="FFFFFF"/>
        <w:spacing w:afterLines="50" w:line="560" w:lineRule="exact"/>
        <w:ind w:left="-140" w:firstLine="560"/>
        <w:rPr>
          <w:rFonts w:ascii="宋体" w:hAnsi="宋体" w:eastAsia="宋体" w:cs="宋体"/>
          <w:sz w:val="28"/>
          <w:szCs w:val="30"/>
          <w:highlight w:val="none"/>
        </w:rPr>
      </w:pPr>
      <w:r>
        <w:rPr>
          <w:rFonts w:hint="eastAsia" w:ascii="宋体" w:hAnsi="宋体" w:eastAsia="宋体" w:cs="宋体"/>
          <w:sz w:val="28"/>
          <w:szCs w:val="30"/>
          <w:highlight w:val="none"/>
        </w:rPr>
        <w:t>第二笔付款：乙方完成所有系统安装调试内容，完成项目初验。甲方向乙方支付合同金额的40%。</w:t>
      </w:r>
    </w:p>
    <w:p w14:paraId="6C88D833">
      <w:pPr>
        <w:pStyle w:val="263"/>
        <w:numPr>
          <w:ilvl w:val="0"/>
          <w:numId w:val="21"/>
        </w:numPr>
        <w:shd w:val="clear" w:color="auto" w:fill="FFFFFF"/>
        <w:spacing w:afterLines="50" w:line="560" w:lineRule="exact"/>
        <w:ind w:left="-140" w:firstLine="560"/>
        <w:rPr>
          <w:rFonts w:ascii="宋体" w:hAnsi="宋体" w:eastAsia="宋体" w:cs="宋体"/>
          <w:sz w:val="28"/>
          <w:szCs w:val="30"/>
          <w:highlight w:val="none"/>
          <w:u w:val="single"/>
        </w:rPr>
      </w:pPr>
      <w:r>
        <w:rPr>
          <w:rFonts w:hint="eastAsia" w:ascii="宋体" w:hAnsi="宋体" w:eastAsia="宋体" w:cs="宋体"/>
          <w:sz w:val="28"/>
          <w:szCs w:val="30"/>
          <w:highlight w:val="none"/>
        </w:rPr>
        <w:t>第三笔付款：</w:t>
      </w:r>
      <w:r>
        <w:rPr>
          <w:rFonts w:hint="eastAsia" w:ascii="宋体" w:hAnsi="宋体" w:eastAsia="宋体" w:cs="宋体"/>
          <w:sz w:val="28"/>
          <w:szCs w:val="30"/>
          <w:highlight w:val="none"/>
          <w:u w:val="single"/>
        </w:rPr>
        <w:t>项目最终验收合格且合同分项结算后 ，</w:t>
      </w:r>
      <w:r>
        <w:rPr>
          <w:rFonts w:hint="eastAsia" w:ascii="宋体" w:hAnsi="宋体" w:eastAsia="宋体" w:cs="宋体"/>
          <w:sz w:val="28"/>
          <w:szCs w:val="30"/>
          <w:highlight w:val="none"/>
        </w:rPr>
        <w:t>甲方向乙方支付</w:t>
      </w:r>
      <w:r>
        <w:rPr>
          <w:rFonts w:hint="eastAsia" w:ascii="宋体" w:hAnsi="宋体" w:eastAsia="宋体" w:cs="宋体"/>
          <w:sz w:val="28"/>
          <w:szCs w:val="30"/>
          <w:highlight w:val="none"/>
          <w:u w:val="single"/>
        </w:rPr>
        <w:t xml:space="preserve">至结算金额的97%  </w:t>
      </w:r>
      <w:r>
        <w:rPr>
          <w:rFonts w:hint="eastAsia" w:ascii="宋体" w:hAnsi="宋体" w:eastAsia="宋体" w:cs="宋体"/>
          <w:sz w:val="28"/>
          <w:szCs w:val="30"/>
          <w:highlight w:val="none"/>
        </w:rPr>
        <w:t>。</w:t>
      </w:r>
    </w:p>
    <w:p w14:paraId="5E4B5848">
      <w:pPr>
        <w:pStyle w:val="263"/>
        <w:numPr>
          <w:ilvl w:val="0"/>
          <w:numId w:val="21"/>
        </w:numPr>
        <w:shd w:val="clear" w:color="auto" w:fill="FFFFFF"/>
        <w:spacing w:afterLines="50" w:line="560" w:lineRule="exact"/>
        <w:ind w:left="-140" w:firstLine="560"/>
        <w:rPr>
          <w:rFonts w:ascii="宋体" w:hAnsi="宋体" w:eastAsia="宋体" w:cs="宋体"/>
          <w:sz w:val="28"/>
          <w:szCs w:val="30"/>
          <w:highlight w:val="none"/>
        </w:rPr>
      </w:pPr>
      <w:r>
        <w:rPr>
          <w:rFonts w:hint="eastAsia" w:ascii="宋体" w:hAnsi="宋体" w:eastAsia="宋体" w:cs="宋体"/>
          <w:sz w:val="28"/>
          <w:szCs w:val="30"/>
          <w:highlight w:val="none"/>
        </w:rPr>
        <w:t>质保金：采用扣留形式，约定比例：3%。质保期满后，经乙方书面申请后支付。质保期为3年，自整个项目最终验收合格之日起计算。</w:t>
      </w:r>
    </w:p>
    <w:p w14:paraId="1B7A5522">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2.3.2乙方因自身原因造成返工的工作量，甲方将不予计量和支付。</w:t>
      </w:r>
    </w:p>
    <w:p w14:paraId="78007929">
      <w:pPr>
        <w:pStyle w:val="2"/>
        <w:keepNext w:val="0"/>
        <w:keepLines w:val="0"/>
        <w:spacing w:afterLines="50" w:line="560" w:lineRule="exact"/>
        <w:ind w:firstLine="562" w:firstLineChars="200"/>
        <w:rPr>
          <w:rFonts w:hAnsi="宋体" w:cs="宋体"/>
          <w:bCs/>
          <w:sz w:val="28"/>
          <w:szCs w:val="30"/>
          <w:highlight w:val="none"/>
        </w:rPr>
      </w:pPr>
      <w:bookmarkStart w:id="841" w:name="_Toc1276247421"/>
      <w:bookmarkStart w:id="842" w:name="_Toc30523"/>
      <w:bookmarkStart w:id="843" w:name="_Toc30473"/>
      <w:r>
        <w:rPr>
          <w:rFonts w:hint="eastAsia" w:hAnsi="宋体" w:cs="宋体"/>
          <w:bCs/>
          <w:sz w:val="28"/>
          <w:szCs w:val="30"/>
          <w:highlight w:val="none"/>
        </w:rPr>
        <w:t>第三条 合同</w:t>
      </w:r>
      <w:bookmarkEnd w:id="841"/>
      <w:r>
        <w:rPr>
          <w:rFonts w:hint="eastAsia" w:hAnsi="宋体" w:cs="宋体"/>
          <w:bCs/>
          <w:sz w:val="28"/>
          <w:szCs w:val="30"/>
          <w:highlight w:val="none"/>
        </w:rPr>
        <w:t>的定义</w:t>
      </w:r>
      <w:bookmarkEnd w:id="842"/>
      <w:bookmarkEnd w:id="843"/>
    </w:p>
    <w:p w14:paraId="179FB1B3">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 xml:space="preserve">3.1 定义 </w:t>
      </w:r>
    </w:p>
    <w:p w14:paraId="76069FAE">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 xml:space="preserve">本合同中的下列术语应解释为： </w:t>
      </w:r>
    </w:p>
    <w:p w14:paraId="6F5D6770">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 xml:space="preserve">3.1.1 合同：系指需供双方签署的、合同格式中载明的需供双方所达成的协议，包括所有的附件、附录和构成合同的其它文件。 </w:t>
      </w:r>
    </w:p>
    <w:p w14:paraId="1C45C21E">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 xml:space="preserve">3.1.2 合同价：系指根据合同约定，乙方在完全履行合同义务后甲方应付给乙方的价格。 </w:t>
      </w:r>
    </w:p>
    <w:p w14:paraId="2750397C">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 xml:space="preserve">3.1.3 货物：系指乙方根据合同约定须向甲方提供的一切设备、机械、仪表、备件，包括工具、手册等其它相关资料。 </w:t>
      </w:r>
    </w:p>
    <w:p w14:paraId="5337F115">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 xml:space="preserve">3.1.4 服务：系指根据合同约定乙方承担与供货有关的辅助服务，如运输、保险及安装、 调试、提供技术援助、培训和其他类似的服务。 </w:t>
      </w:r>
    </w:p>
    <w:p w14:paraId="25DF0E1A">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 xml:space="preserve">3.1.5 甲方：系指与中标人签署供货合同的单位（含最终用户）。 </w:t>
      </w:r>
    </w:p>
    <w:p w14:paraId="1D171249">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 xml:space="preserve">3.1.6 乙方：系指根据合同约定提供货物及相关服务的中标人。 </w:t>
      </w:r>
    </w:p>
    <w:p w14:paraId="34B39EBA">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 xml:space="preserve">3.1.7 现场：系指合同约定货物将要运至和安装的地点。 </w:t>
      </w:r>
    </w:p>
    <w:p w14:paraId="0D5455D1">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 xml:space="preserve">3.1.8 验收：系指合同双方依据强制性的国家技术质量规范和合同约定，确认合同项下的货物、服务符合合同规定的活动。 </w:t>
      </w:r>
    </w:p>
    <w:p w14:paraId="0B6339CD">
      <w:pPr>
        <w:pStyle w:val="2"/>
        <w:keepNext w:val="0"/>
        <w:keepLines w:val="0"/>
        <w:spacing w:afterLines="50" w:line="560" w:lineRule="exact"/>
        <w:ind w:firstLine="562" w:firstLineChars="200"/>
        <w:rPr>
          <w:rFonts w:hAnsi="宋体" w:cs="宋体"/>
          <w:bCs/>
          <w:sz w:val="28"/>
          <w:szCs w:val="30"/>
          <w:highlight w:val="none"/>
        </w:rPr>
      </w:pPr>
      <w:bookmarkStart w:id="844" w:name="_Toc16144"/>
      <w:bookmarkStart w:id="845" w:name="_Toc18460"/>
      <w:bookmarkStart w:id="846" w:name="_Toc823738511"/>
      <w:r>
        <w:rPr>
          <w:rFonts w:hint="eastAsia" w:hAnsi="宋体" w:cs="宋体"/>
          <w:bCs/>
          <w:sz w:val="28"/>
          <w:szCs w:val="30"/>
          <w:highlight w:val="none"/>
        </w:rPr>
        <w:t>第四条 质量标准和要求</w:t>
      </w:r>
      <w:bookmarkEnd w:id="844"/>
      <w:bookmarkEnd w:id="845"/>
      <w:bookmarkEnd w:id="846"/>
    </w:p>
    <w:p w14:paraId="06E0AFF3">
      <w:pPr>
        <w:widowControl/>
        <w:shd w:val="clear" w:color="auto" w:fill="FFFFFF"/>
        <w:spacing w:afterLines="50" w:line="560" w:lineRule="exact"/>
        <w:ind w:firstLine="560" w:firstLineChars="200"/>
        <w:jc w:val="left"/>
        <w:rPr>
          <w:rFonts w:ascii="宋体" w:hAnsi="宋体" w:cs="宋体"/>
          <w:kern w:val="0"/>
          <w:sz w:val="28"/>
          <w:szCs w:val="30"/>
          <w:highlight w:val="none"/>
        </w:rPr>
      </w:pPr>
      <w:r>
        <w:rPr>
          <w:rFonts w:hint="eastAsia" w:ascii="宋体" w:hAnsi="宋体" w:cs="宋体"/>
          <w:kern w:val="0"/>
          <w:sz w:val="28"/>
          <w:szCs w:val="30"/>
          <w:highlight w:val="none"/>
        </w:rPr>
        <w:t>4.1乙方所交付应用软件系统、基础支撑软硬件、数据资源建设等的质量标准按照国家标准、行业标准或制造厂商企业标准确定，上述标准不一致的，以严格的标准为准。没有国家标准、行业标准和企业标准的，按照通常标准或者按照甲乙双方在合同中商定的技术条件、样品或补充的技术要求执行。</w:t>
      </w:r>
    </w:p>
    <w:p w14:paraId="1143CFA0">
      <w:pPr>
        <w:widowControl/>
        <w:shd w:val="clear" w:color="auto" w:fill="FFFFFF"/>
        <w:spacing w:afterLines="50" w:line="560" w:lineRule="exact"/>
        <w:ind w:firstLine="560" w:firstLineChars="200"/>
        <w:jc w:val="left"/>
        <w:rPr>
          <w:rFonts w:ascii="宋体" w:hAnsi="宋体" w:cs="宋体"/>
          <w:kern w:val="0"/>
          <w:sz w:val="28"/>
          <w:szCs w:val="30"/>
          <w:highlight w:val="none"/>
        </w:rPr>
      </w:pPr>
      <w:r>
        <w:rPr>
          <w:rFonts w:hint="eastAsia" w:ascii="宋体" w:hAnsi="宋体" w:cs="宋体"/>
          <w:kern w:val="0"/>
          <w:sz w:val="28"/>
          <w:szCs w:val="30"/>
          <w:highlight w:val="none"/>
        </w:rPr>
        <w:t>4.2乙方提供和交付的硬件货物技术标准应与招标文件规定的技术标准相一致。若技术标准中无相应规定，所交付的货物应符合相应的国际标准或原产地国家有关部门最新颁布的相应的正式标准。</w:t>
      </w:r>
    </w:p>
    <w:p w14:paraId="1CC65D7A">
      <w:pPr>
        <w:widowControl/>
        <w:shd w:val="clear" w:color="auto" w:fill="FFFFFF"/>
        <w:spacing w:afterLines="50" w:line="560" w:lineRule="exact"/>
        <w:ind w:firstLine="560" w:firstLineChars="200"/>
        <w:jc w:val="left"/>
        <w:rPr>
          <w:rFonts w:ascii="宋体" w:hAnsi="宋体" w:cs="宋体"/>
          <w:kern w:val="0"/>
          <w:sz w:val="28"/>
          <w:szCs w:val="30"/>
          <w:highlight w:val="none"/>
        </w:rPr>
      </w:pPr>
      <w:r>
        <w:rPr>
          <w:rFonts w:hint="eastAsia" w:ascii="宋体" w:hAnsi="宋体" w:cs="宋体"/>
          <w:kern w:val="0"/>
          <w:sz w:val="28"/>
          <w:szCs w:val="30"/>
          <w:highlight w:val="none"/>
        </w:rPr>
        <w:t>4.3乙方所提供的硬件货物应是全新、未使用过的，是完全符合以上质量标准的原装正品（含零部件、配件、随机工具等），表面无划伤、无碰撞；相关的施工安装是由持有有权部门核发上岗证书的安装调试人员按照国际或国家现行安装验收规范来实施的；乙方所提供的货物在正确安装、正常使用和保养条件下，在其使用寿命内应具有满意的性能。</w:t>
      </w:r>
    </w:p>
    <w:p w14:paraId="24F4CF18">
      <w:pPr>
        <w:pStyle w:val="2"/>
        <w:keepNext w:val="0"/>
        <w:keepLines w:val="0"/>
        <w:spacing w:afterLines="50" w:line="560" w:lineRule="exact"/>
        <w:ind w:firstLine="562" w:firstLineChars="200"/>
        <w:rPr>
          <w:rFonts w:hAnsi="宋体" w:cs="宋体"/>
          <w:bCs/>
          <w:sz w:val="28"/>
          <w:szCs w:val="30"/>
          <w:highlight w:val="none"/>
        </w:rPr>
      </w:pPr>
      <w:bookmarkStart w:id="847" w:name="_Toc16148"/>
      <w:bookmarkStart w:id="848" w:name="_Toc1893565815"/>
      <w:bookmarkStart w:id="849" w:name="_Toc1149"/>
      <w:r>
        <w:rPr>
          <w:rFonts w:hint="eastAsia" w:hAnsi="宋体" w:cs="宋体"/>
          <w:bCs/>
          <w:sz w:val="28"/>
          <w:szCs w:val="30"/>
          <w:highlight w:val="none"/>
        </w:rPr>
        <w:t>第五条 硬件货物包装、运输、保险</w:t>
      </w:r>
      <w:bookmarkEnd w:id="847"/>
      <w:bookmarkEnd w:id="848"/>
      <w:bookmarkEnd w:id="849"/>
    </w:p>
    <w:p w14:paraId="4F8FFA91">
      <w:pPr>
        <w:widowControl/>
        <w:shd w:val="clear" w:color="auto" w:fill="FFFFFF"/>
        <w:spacing w:afterLines="50" w:line="560" w:lineRule="exact"/>
        <w:ind w:firstLine="560" w:firstLineChars="200"/>
        <w:jc w:val="left"/>
        <w:rPr>
          <w:rFonts w:ascii="宋体" w:hAnsi="宋体" w:cs="宋体"/>
          <w:kern w:val="0"/>
          <w:sz w:val="28"/>
          <w:szCs w:val="30"/>
          <w:highlight w:val="none"/>
        </w:rPr>
      </w:pPr>
      <w:r>
        <w:rPr>
          <w:rFonts w:hint="eastAsia" w:ascii="宋体" w:hAnsi="宋体" w:cs="宋体"/>
          <w:kern w:val="0"/>
          <w:sz w:val="28"/>
          <w:szCs w:val="30"/>
          <w:highlight w:val="none"/>
        </w:rPr>
        <w:t>5.1乙方所供货物的制造商原装出厂包装箱号与设备出厂批号一致。</w:t>
      </w:r>
    </w:p>
    <w:p w14:paraId="2D798A03">
      <w:pPr>
        <w:widowControl/>
        <w:shd w:val="clear" w:color="auto" w:fill="FFFFFF"/>
        <w:spacing w:afterLines="50" w:line="560" w:lineRule="exact"/>
        <w:ind w:firstLine="560" w:firstLineChars="200"/>
        <w:jc w:val="left"/>
        <w:rPr>
          <w:rFonts w:ascii="宋体" w:hAnsi="宋体" w:cs="宋体"/>
          <w:kern w:val="0"/>
          <w:sz w:val="28"/>
          <w:szCs w:val="30"/>
          <w:highlight w:val="none"/>
        </w:rPr>
      </w:pPr>
      <w:r>
        <w:rPr>
          <w:rFonts w:hint="eastAsia" w:ascii="宋体" w:hAnsi="宋体" w:cs="宋体"/>
          <w:kern w:val="0"/>
          <w:sz w:val="28"/>
          <w:szCs w:val="30"/>
          <w:highlight w:val="none"/>
        </w:rPr>
        <w:t>5.2包装必须与运输方式相适应，包装方式的确定及包装费用均由乙方负责，由于不适当的包装而造成货物在运输过程中有任何损坏、丢失由乙方负责。</w:t>
      </w:r>
    </w:p>
    <w:p w14:paraId="758D7A2E">
      <w:pPr>
        <w:widowControl/>
        <w:shd w:val="clear" w:color="auto" w:fill="FFFFFF"/>
        <w:spacing w:afterLines="50" w:line="560" w:lineRule="exact"/>
        <w:ind w:firstLine="560" w:firstLineChars="200"/>
        <w:jc w:val="left"/>
        <w:rPr>
          <w:rFonts w:ascii="宋体" w:hAnsi="宋体" w:cs="宋体"/>
          <w:kern w:val="0"/>
          <w:sz w:val="28"/>
          <w:szCs w:val="30"/>
          <w:highlight w:val="none"/>
        </w:rPr>
      </w:pPr>
      <w:r>
        <w:rPr>
          <w:rFonts w:hint="eastAsia" w:ascii="宋体" w:hAnsi="宋体" w:cs="宋体"/>
          <w:kern w:val="0"/>
          <w:sz w:val="28"/>
          <w:szCs w:val="30"/>
          <w:highlight w:val="none"/>
        </w:rPr>
        <w:t>5.3包装应足以承受整个过程中的运输、转运、贮存等，并考虑地区的气候特点。</w:t>
      </w:r>
    </w:p>
    <w:p w14:paraId="74292130">
      <w:pPr>
        <w:widowControl/>
        <w:shd w:val="clear" w:color="auto" w:fill="FFFFFF"/>
        <w:spacing w:afterLines="50" w:line="560" w:lineRule="exact"/>
        <w:ind w:firstLine="560" w:firstLineChars="200"/>
        <w:jc w:val="left"/>
        <w:rPr>
          <w:rFonts w:ascii="宋体" w:hAnsi="宋体" w:cs="宋体"/>
          <w:kern w:val="0"/>
          <w:sz w:val="28"/>
          <w:szCs w:val="30"/>
          <w:highlight w:val="none"/>
        </w:rPr>
      </w:pPr>
      <w:r>
        <w:rPr>
          <w:rFonts w:hint="eastAsia" w:ascii="宋体" w:hAnsi="宋体" w:cs="宋体"/>
          <w:kern w:val="0"/>
          <w:sz w:val="28"/>
          <w:szCs w:val="30"/>
          <w:highlight w:val="none"/>
        </w:rPr>
        <w:t>5.4每一包装箱两个侧面用不褪色的容易识别的中文字样作出标记：箱号、装运标志、毛重、净重、到货地址、收货人名称、货物名称等。</w:t>
      </w:r>
    </w:p>
    <w:p w14:paraId="74848092">
      <w:pPr>
        <w:widowControl/>
        <w:shd w:val="clear" w:color="auto" w:fill="FFFFFF"/>
        <w:spacing w:afterLines="50" w:line="560" w:lineRule="exact"/>
        <w:ind w:firstLine="560" w:firstLineChars="200"/>
        <w:jc w:val="left"/>
        <w:rPr>
          <w:rFonts w:ascii="宋体" w:hAnsi="宋体" w:cs="宋体"/>
          <w:kern w:val="0"/>
          <w:sz w:val="28"/>
          <w:szCs w:val="30"/>
          <w:highlight w:val="none"/>
        </w:rPr>
      </w:pPr>
      <w:r>
        <w:rPr>
          <w:rFonts w:hint="eastAsia" w:ascii="宋体" w:hAnsi="宋体" w:cs="宋体"/>
          <w:kern w:val="0"/>
          <w:sz w:val="28"/>
          <w:szCs w:val="30"/>
          <w:highlight w:val="none"/>
        </w:rPr>
        <w:t>5.5货物在验收合格前的保险由乙方负责，并负责其派出的现场服务人员人身意外保险。【注：合同中约定的包装标准应与乙方在投标文件中承诺的一致，且投标文件应作为合同附件与合同具有同等法律效力。】</w:t>
      </w:r>
    </w:p>
    <w:p w14:paraId="2CD42F3F">
      <w:pPr>
        <w:pStyle w:val="2"/>
        <w:keepNext w:val="0"/>
        <w:keepLines w:val="0"/>
        <w:spacing w:afterLines="50" w:line="560" w:lineRule="exact"/>
        <w:ind w:firstLine="562" w:firstLineChars="200"/>
        <w:rPr>
          <w:rFonts w:hAnsi="宋体" w:cs="宋体"/>
          <w:bCs/>
          <w:sz w:val="28"/>
          <w:szCs w:val="30"/>
          <w:highlight w:val="none"/>
        </w:rPr>
      </w:pPr>
      <w:bookmarkStart w:id="850" w:name="_Toc29876"/>
      <w:bookmarkStart w:id="851" w:name="_Toc21755"/>
      <w:bookmarkStart w:id="852" w:name="_Toc1600487812"/>
      <w:r>
        <w:rPr>
          <w:rFonts w:hint="eastAsia" w:hAnsi="宋体" w:cs="宋体"/>
          <w:bCs/>
          <w:sz w:val="28"/>
          <w:szCs w:val="30"/>
          <w:highlight w:val="none"/>
        </w:rPr>
        <w:t>第六条 硬件货物的交货方法、到货地点和完工期限</w:t>
      </w:r>
      <w:bookmarkEnd w:id="850"/>
      <w:bookmarkEnd w:id="851"/>
      <w:bookmarkEnd w:id="852"/>
    </w:p>
    <w:p w14:paraId="5C6D551B">
      <w:pPr>
        <w:widowControl/>
        <w:shd w:val="clear" w:color="auto" w:fill="FFFFFF"/>
        <w:spacing w:afterLines="50" w:line="560" w:lineRule="exact"/>
        <w:ind w:left="420" w:leftChars="200"/>
        <w:jc w:val="left"/>
        <w:rPr>
          <w:rFonts w:ascii="宋体" w:hAnsi="宋体" w:cs="宋体"/>
          <w:kern w:val="0"/>
          <w:sz w:val="28"/>
          <w:szCs w:val="30"/>
          <w:highlight w:val="none"/>
        </w:rPr>
      </w:pPr>
      <w:r>
        <w:rPr>
          <w:rFonts w:hint="eastAsia" w:ascii="宋体" w:hAnsi="宋体" w:cs="宋体"/>
          <w:kern w:val="0"/>
          <w:sz w:val="28"/>
          <w:szCs w:val="30"/>
          <w:highlight w:val="none"/>
        </w:rPr>
        <w:t>6.1交货方法：乙方送货上门。</w:t>
      </w:r>
    </w:p>
    <w:p w14:paraId="20131FCB">
      <w:pPr>
        <w:widowControl/>
        <w:shd w:val="clear" w:color="auto" w:fill="FFFFFF"/>
        <w:spacing w:afterLines="50" w:line="560" w:lineRule="exact"/>
        <w:ind w:left="420" w:leftChars="200"/>
        <w:jc w:val="left"/>
        <w:rPr>
          <w:rFonts w:ascii="宋体" w:hAnsi="宋体" w:cs="宋体"/>
          <w:kern w:val="0"/>
          <w:sz w:val="28"/>
          <w:szCs w:val="30"/>
          <w:highlight w:val="none"/>
        </w:rPr>
      </w:pPr>
      <w:r>
        <w:rPr>
          <w:rFonts w:hint="eastAsia" w:ascii="宋体" w:hAnsi="宋体" w:cs="宋体"/>
          <w:kern w:val="0"/>
          <w:sz w:val="28"/>
          <w:szCs w:val="30"/>
          <w:highlight w:val="none"/>
        </w:rPr>
        <w:t>6.2交货及安装调试地点：甲方指定的地点。</w:t>
      </w:r>
    </w:p>
    <w:p w14:paraId="396D7BEA">
      <w:pPr>
        <w:pStyle w:val="44"/>
        <w:shd w:val="clear" w:color="auto" w:fill="FFFFFF"/>
        <w:spacing w:afterLines="50" w:line="560" w:lineRule="exact"/>
        <w:ind w:firstLine="0" w:firstLineChars="0"/>
        <w:rPr>
          <w:rFonts w:ascii="宋体" w:hAnsi="宋体" w:cs="宋体"/>
          <w:kern w:val="0"/>
          <w:sz w:val="28"/>
          <w:szCs w:val="30"/>
          <w:highlight w:val="none"/>
        </w:rPr>
      </w:pPr>
      <w:r>
        <w:rPr>
          <w:rFonts w:hint="eastAsia" w:ascii="宋体" w:hAnsi="宋体" w:cs="宋体"/>
          <w:kern w:val="0"/>
          <w:sz w:val="28"/>
          <w:szCs w:val="30"/>
          <w:highlight w:val="none"/>
        </w:rPr>
        <w:t>6.3乙方应提供以下服务：</w:t>
      </w:r>
    </w:p>
    <w:p w14:paraId="3D2E139B">
      <w:pPr>
        <w:pStyle w:val="43"/>
        <w:numPr>
          <w:ilvl w:val="0"/>
          <w:numId w:val="22"/>
        </w:numPr>
        <w:shd w:val="clear" w:color="auto" w:fill="FFFFFF"/>
        <w:spacing w:afterLines="50" w:line="560" w:lineRule="exact"/>
        <w:ind w:left="0" w:firstLine="560" w:firstLineChars="200"/>
        <w:rPr>
          <w:rFonts w:cs="宋体"/>
          <w:sz w:val="28"/>
          <w:szCs w:val="30"/>
          <w:highlight w:val="none"/>
        </w:rPr>
      </w:pPr>
      <w:r>
        <w:rPr>
          <w:rFonts w:hint="eastAsia" w:cs="宋体"/>
          <w:sz w:val="28"/>
          <w:szCs w:val="30"/>
          <w:highlight w:val="none"/>
        </w:rPr>
        <w:t>硬件设备的现场移动、安装、调试及技术支持；</w:t>
      </w:r>
    </w:p>
    <w:p w14:paraId="23A0199E">
      <w:pPr>
        <w:pStyle w:val="43"/>
        <w:numPr>
          <w:ilvl w:val="0"/>
          <w:numId w:val="22"/>
        </w:numPr>
        <w:shd w:val="clear" w:color="auto" w:fill="FFFFFF"/>
        <w:spacing w:afterLines="50" w:line="560" w:lineRule="exact"/>
        <w:ind w:left="0" w:firstLine="560" w:firstLineChars="200"/>
        <w:rPr>
          <w:rFonts w:cs="宋体"/>
          <w:sz w:val="28"/>
          <w:szCs w:val="30"/>
          <w:highlight w:val="none"/>
        </w:rPr>
      </w:pPr>
      <w:r>
        <w:rPr>
          <w:rFonts w:hint="eastAsia" w:cs="宋体"/>
          <w:sz w:val="28"/>
          <w:szCs w:val="30"/>
          <w:highlight w:val="none"/>
        </w:rPr>
        <w:t>乙方应提交所提供硬件设备的技术文件，包括相应的每一套设备和仪器的中文技术文件，例如：产品目录、图纸、操作手册、使用说明、维护手册和/或服务指南。这些文件应包装好随同设备一起发运。</w:t>
      </w:r>
    </w:p>
    <w:p w14:paraId="4048E640">
      <w:pPr>
        <w:pStyle w:val="43"/>
        <w:numPr>
          <w:ilvl w:val="0"/>
          <w:numId w:val="22"/>
        </w:numPr>
        <w:shd w:val="clear" w:color="auto" w:fill="FFFFFF"/>
        <w:spacing w:afterLines="50" w:line="560" w:lineRule="exact"/>
        <w:ind w:left="0" w:firstLine="560" w:firstLineChars="200"/>
        <w:rPr>
          <w:rFonts w:cs="宋体"/>
          <w:sz w:val="28"/>
          <w:szCs w:val="30"/>
          <w:highlight w:val="none"/>
        </w:rPr>
      </w:pPr>
      <w:r>
        <w:rPr>
          <w:rFonts w:hint="eastAsia" w:cs="宋体"/>
          <w:sz w:val="28"/>
          <w:szCs w:val="30"/>
          <w:highlight w:val="none"/>
          <w:lang w:val="en-US" w:eastAsia="zh-CN"/>
        </w:rPr>
        <w:t>乙方施工期间在施工区域、范围所产生的水、电、垃圾清运等安全文明施工所涉及的费用由乙方承担。</w:t>
      </w:r>
    </w:p>
    <w:p w14:paraId="1C55859B">
      <w:pPr>
        <w:widowControl/>
        <w:shd w:val="clear" w:color="auto" w:fill="FFFFFF"/>
        <w:spacing w:afterLines="50" w:line="560" w:lineRule="exact"/>
        <w:ind w:left="420" w:leftChars="200"/>
        <w:jc w:val="left"/>
        <w:rPr>
          <w:rFonts w:ascii="宋体" w:hAnsi="宋体" w:cs="宋体"/>
          <w:kern w:val="0"/>
          <w:sz w:val="28"/>
          <w:szCs w:val="30"/>
          <w:highlight w:val="none"/>
        </w:rPr>
      </w:pPr>
      <w:r>
        <w:rPr>
          <w:rFonts w:hint="eastAsia" w:ascii="宋体" w:hAnsi="宋体" w:cs="宋体"/>
          <w:kern w:val="0"/>
          <w:sz w:val="28"/>
          <w:szCs w:val="30"/>
          <w:highlight w:val="none"/>
        </w:rPr>
        <w:t>6.4硬件货物验收方法：</w:t>
      </w:r>
    </w:p>
    <w:p w14:paraId="77AB9A19">
      <w:pPr>
        <w:widowControl/>
        <w:shd w:val="clear" w:color="auto" w:fill="FFFFFF"/>
        <w:spacing w:afterLines="50" w:line="560" w:lineRule="exact"/>
        <w:ind w:firstLine="560" w:firstLineChars="200"/>
        <w:jc w:val="left"/>
        <w:rPr>
          <w:rFonts w:ascii="宋体" w:hAnsi="宋体" w:cs="宋体"/>
          <w:sz w:val="28"/>
          <w:szCs w:val="30"/>
          <w:highlight w:val="none"/>
        </w:rPr>
      </w:pPr>
      <w:r>
        <w:rPr>
          <w:rFonts w:hint="eastAsia" w:ascii="宋体" w:hAnsi="宋体" w:cs="宋体"/>
          <w:kern w:val="0"/>
          <w:sz w:val="28"/>
          <w:szCs w:val="30"/>
          <w:highlight w:val="none"/>
        </w:rPr>
        <w:t>6.4.1乙方安装调试后，在 7 天内通知甲方组织验收，验收不合格的，乙方应负责重新提供达到本合同约定的质量要求的产品并完成安装调试，再次申请甲方组织验收。直至验收合格。</w:t>
      </w:r>
    </w:p>
    <w:p w14:paraId="3B2E3BF2">
      <w:pPr>
        <w:widowControl/>
        <w:shd w:val="clear" w:color="auto" w:fill="FFFFFF"/>
        <w:spacing w:afterLines="50" w:line="560" w:lineRule="exact"/>
        <w:ind w:firstLine="560" w:firstLineChars="200"/>
        <w:jc w:val="left"/>
        <w:rPr>
          <w:rFonts w:ascii="宋体" w:hAnsi="宋体" w:cs="宋体"/>
          <w:sz w:val="28"/>
          <w:szCs w:val="30"/>
          <w:highlight w:val="none"/>
        </w:rPr>
      </w:pPr>
      <w:r>
        <w:rPr>
          <w:rFonts w:hint="eastAsia" w:ascii="宋体" w:hAnsi="宋体" w:cs="宋体"/>
          <w:kern w:val="0"/>
          <w:sz w:val="28"/>
          <w:szCs w:val="30"/>
          <w:highlight w:val="none"/>
        </w:rPr>
        <w:t>6.4.2甲、乙双方应严格履行合同有关条款，如果验收过程中发现乙方在没有征得甲方同意的情况下擅自变更合同标的物，将拒绝通过验收，由此引起的一切后果及损失由乙方承担。</w:t>
      </w:r>
    </w:p>
    <w:p w14:paraId="2CDCCCAD">
      <w:pPr>
        <w:widowControl/>
        <w:shd w:val="clear" w:color="auto" w:fill="FFFFFF"/>
        <w:spacing w:afterLines="50" w:line="560" w:lineRule="exact"/>
        <w:ind w:firstLine="560" w:firstLineChars="200"/>
        <w:jc w:val="left"/>
        <w:rPr>
          <w:rFonts w:ascii="宋体" w:hAnsi="宋体" w:cs="宋体"/>
          <w:sz w:val="28"/>
          <w:szCs w:val="30"/>
          <w:highlight w:val="none"/>
        </w:rPr>
      </w:pPr>
      <w:r>
        <w:rPr>
          <w:rFonts w:hint="eastAsia" w:ascii="宋体" w:hAnsi="宋体" w:cs="宋体"/>
          <w:kern w:val="0"/>
          <w:sz w:val="28"/>
          <w:szCs w:val="30"/>
          <w:highlight w:val="none"/>
        </w:rPr>
        <w:t>6.4.3甲方验收时，由相关人员组成验收小组，明确责任，严格依照招标文件、投标文件、中标（成交）通知书、合同及相关验收规范进行核对、验收，形成验收结论，并出具书面验收报告。</w:t>
      </w:r>
    </w:p>
    <w:p w14:paraId="0C32A786">
      <w:pPr>
        <w:widowControl/>
        <w:shd w:val="clear" w:color="auto" w:fill="FFFFFF"/>
        <w:spacing w:afterLines="50" w:line="560" w:lineRule="exact"/>
        <w:ind w:firstLine="560" w:firstLineChars="200"/>
        <w:jc w:val="left"/>
        <w:rPr>
          <w:rFonts w:ascii="宋体" w:hAnsi="宋体" w:cs="宋体"/>
          <w:sz w:val="28"/>
          <w:szCs w:val="30"/>
          <w:highlight w:val="none"/>
        </w:rPr>
      </w:pPr>
      <w:r>
        <w:rPr>
          <w:rFonts w:hint="eastAsia" w:ascii="宋体" w:hAnsi="宋体" w:cs="宋体"/>
          <w:kern w:val="0"/>
          <w:sz w:val="28"/>
          <w:szCs w:val="30"/>
          <w:highlight w:val="none"/>
        </w:rPr>
        <w:t>6.4.4涉及安全、消防、环保等其他需要由质检或行业主管部门进行验收的项目，必须邀请相关部门或相关专家参与验收。</w:t>
      </w:r>
    </w:p>
    <w:p w14:paraId="635D6410">
      <w:pPr>
        <w:widowControl/>
        <w:shd w:val="clear" w:color="auto" w:fill="FFFFFF"/>
        <w:spacing w:afterLines="50" w:line="560" w:lineRule="exact"/>
        <w:ind w:firstLine="560" w:firstLineChars="200"/>
        <w:jc w:val="left"/>
        <w:rPr>
          <w:rFonts w:ascii="宋体" w:hAnsi="宋体" w:cs="宋体"/>
          <w:kern w:val="0"/>
          <w:sz w:val="28"/>
          <w:szCs w:val="30"/>
          <w:highlight w:val="none"/>
        </w:rPr>
      </w:pPr>
      <w:r>
        <w:rPr>
          <w:rFonts w:hint="eastAsia" w:ascii="宋体" w:hAnsi="宋体" w:cs="宋体"/>
          <w:kern w:val="0"/>
          <w:sz w:val="28"/>
          <w:szCs w:val="30"/>
          <w:highlight w:val="none"/>
        </w:rPr>
        <w:t>6.4.5检测、验收费用均由乙方承担。</w:t>
      </w:r>
    </w:p>
    <w:p w14:paraId="30932881">
      <w:pPr>
        <w:pStyle w:val="2"/>
        <w:keepNext w:val="0"/>
        <w:keepLines w:val="0"/>
        <w:spacing w:afterLines="50" w:line="560" w:lineRule="exact"/>
        <w:ind w:firstLine="562" w:firstLineChars="200"/>
        <w:rPr>
          <w:rFonts w:hAnsi="宋体" w:cs="宋体"/>
          <w:bCs/>
          <w:sz w:val="28"/>
          <w:szCs w:val="30"/>
          <w:highlight w:val="none"/>
        </w:rPr>
      </w:pPr>
      <w:bookmarkStart w:id="853" w:name="_Toc21840"/>
      <w:bookmarkStart w:id="854" w:name="_Toc18493962"/>
      <w:bookmarkStart w:id="855" w:name="_Toc15934"/>
      <w:r>
        <w:rPr>
          <w:rFonts w:hint="eastAsia" w:hAnsi="宋体" w:cs="宋体"/>
          <w:bCs/>
          <w:sz w:val="28"/>
          <w:szCs w:val="30"/>
          <w:highlight w:val="none"/>
        </w:rPr>
        <w:t>第七条 对硬件货物提出异议的时间和办法</w:t>
      </w:r>
      <w:bookmarkEnd w:id="853"/>
      <w:bookmarkEnd w:id="854"/>
      <w:bookmarkEnd w:id="855"/>
    </w:p>
    <w:p w14:paraId="02FA9A4A">
      <w:pPr>
        <w:widowControl/>
        <w:shd w:val="clear" w:color="auto" w:fill="FFFFFF"/>
        <w:spacing w:afterLines="50" w:line="560" w:lineRule="exact"/>
        <w:ind w:firstLine="560" w:firstLineChars="200"/>
        <w:jc w:val="left"/>
        <w:rPr>
          <w:rFonts w:ascii="宋体" w:hAnsi="宋体" w:cs="宋体"/>
          <w:kern w:val="0"/>
          <w:sz w:val="28"/>
          <w:szCs w:val="30"/>
          <w:highlight w:val="none"/>
        </w:rPr>
      </w:pPr>
      <w:r>
        <w:rPr>
          <w:rFonts w:hint="eastAsia" w:ascii="宋体" w:hAnsi="宋体" w:cs="宋体"/>
          <w:kern w:val="0"/>
          <w:sz w:val="28"/>
          <w:szCs w:val="30"/>
          <w:highlight w:val="none"/>
        </w:rPr>
        <w:t>7.1甲方在验收中，如果发现产品不符合合同约定的，向乙方书面提出异议，具体说明产品不符合规定的内容并附相关验收材料，同时提出不符合规定产品的处理意见。在产品验收合格后又发现产品有质量问题或产品出现故障，甲方有权在质保期内向乙方提出，同时提出不符合规定产品的处理意见。</w:t>
      </w:r>
    </w:p>
    <w:p w14:paraId="56A693EA">
      <w:pPr>
        <w:widowControl/>
        <w:shd w:val="clear" w:color="auto" w:fill="FFFFFF"/>
        <w:spacing w:afterLines="50" w:line="560" w:lineRule="exact"/>
        <w:ind w:firstLine="560" w:firstLineChars="200"/>
        <w:jc w:val="left"/>
        <w:rPr>
          <w:rFonts w:ascii="宋体" w:hAnsi="宋体" w:cs="宋体"/>
          <w:kern w:val="0"/>
          <w:sz w:val="28"/>
          <w:szCs w:val="30"/>
          <w:highlight w:val="none"/>
        </w:rPr>
      </w:pPr>
      <w:r>
        <w:rPr>
          <w:rFonts w:hint="eastAsia" w:ascii="宋体" w:hAnsi="宋体" w:cs="宋体"/>
          <w:kern w:val="0"/>
          <w:sz w:val="28"/>
          <w:szCs w:val="30"/>
          <w:highlight w:val="none"/>
        </w:rPr>
        <w:t>7.2乙方在接到甲方异议后，应在 7个工作日内负责处理，否则，即视为承认并接受甲方提出的异议和处理意见。</w:t>
      </w:r>
    </w:p>
    <w:p w14:paraId="06E2AE4C">
      <w:pPr>
        <w:pStyle w:val="2"/>
        <w:keepNext w:val="0"/>
        <w:keepLines w:val="0"/>
        <w:spacing w:afterLines="50" w:line="560" w:lineRule="exact"/>
        <w:ind w:firstLine="562" w:firstLineChars="200"/>
        <w:rPr>
          <w:rFonts w:hAnsi="宋体" w:cs="宋体"/>
          <w:bCs/>
          <w:sz w:val="28"/>
          <w:szCs w:val="30"/>
          <w:highlight w:val="none"/>
        </w:rPr>
      </w:pPr>
      <w:bookmarkStart w:id="856" w:name="_Toc1590374166"/>
      <w:bookmarkStart w:id="857" w:name="_Toc16396"/>
      <w:bookmarkStart w:id="858" w:name="_Toc14040"/>
      <w:r>
        <w:rPr>
          <w:rFonts w:hint="eastAsia" w:hAnsi="宋体" w:cs="宋体"/>
          <w:bCs/>
          <w:sz w:val="28"/>
          <w:szCs w:val="30"/>
          <w:highlight w:val="none"/>
        </w:rPr>
        <w:t>第八条 应用系统软件权利瑕疵担保</w:t>
      </w:r>
      <w:bookmarkEnd w:id="856"/>
      <w:bookmarkEnd w:id="857"/>
      <w:bookmarkEnd w:id="858"/>
    </w:p>
    <w:p w14:paraId="3B10887E">
      <w:pPr>
        <w:widowControl/>
        <w:shd w:val="clear" w:color="auto" w:fill="FFFFFF"/>
        <w:spacing w:afterLines="50" w:line="560" w:lineRule="exact"/>
        <w:ind w:firstLine="560" w:firstLineChars="200"/>
        <w:jc w:val="left"/>
        <w:rPr>
          <w:rFonts w:ascii="宋体" w:hAnsi="宋体" w:cs="宋体"/>
          <w:kern w:val="0"/>
          <w:sz w:val="28"/>
          <w:szCs w:val="30"/>
          <w:highlight w:val="none"/>
        </w:rPr>
      </w:pPr>
      <w:r>
        <w:rPr>
          <w:rFonts w:hint="eastAsia" w:ascii="宋体" w:hAnsi="宋体" w:cs="宋体"/>
          <w:kern w:val="0"/>
          <w:sz w:val="28"/>
          <w:szCs w:val="30"/>
          <w:highlight w:val="none"/>
        </w:rPr>
        <w:t>8.1乙方保证对其开发、交付的应用系统软件享有合法的权利，并且就交付的应用系统软件不做任何的权利保留。</w:t>
      </w:r>
    </w:p>
    <w:p w14:paraId="408BD556">
      <w:pPr>
        <w:widowControl/>
        <w:shd w:val="clear" w:color="auto" w:fill="FFFFFF"/>
        <w:spacing w:afterLines="50" w:line="560" w:lineRule="exact"/>
        <w:ind w:firstLine="560" w:firstLineChars="200"/>
        <w:jc w:val="left"/>
        <w:rPr>
          <w:rFonts w:ascii="宋体" w:hAnsi="宋体" w:cs="宋体"/>
          <w:kern w:val="0"/>
          <w:sz w:val="28"/>
          <w:szCs w:val="30"/>
          <w:highlight w:val="none"/>
        </w:rPr>
      </w:pPr>
      <w:r>
        <w:rPr>
          <w:rFonts w:hint="eastAsia" w:ascii="宋体" w:hAnsi="宋体" w:cs="宋体"/>
          <w:kern w:val="0"/>
          <w:sz w:val="28"/>
          <w:szCs w:val="30"/>
          <w:highlight w:val="none"/>
        </w:rPr>
        <w:t>8.2乙方保证在其交付的应用系统不存在任何未曾向甲方透露的担保物权，如抵押权、质押权、留置权等，不存在会造成甲方任何合同外义务的负担。</w:t>
      </w:r>
    </w:p>
    <w:p w14:paraId="61A0C603">
      <w:pPr>
        <w:widowControl/>
        <w:shd w:val="clear" w:color="auto" w:fill="FFFFFF"/>
        <w:spacing w:afterLines="50" w:line="560" w:lineRule="exact"/>
        <w:ind w:firstLine="560" w:firstLineChars="200"/>
        <w:jc w:val="left"/>
        <w:rPr>
          <w:rFonts w:ascii="宋体" w:hAnsi="宋体" w:cs="宋体"/>
          <w:kern w:val="0"/>
          <w:sz w:val="28"/>
          <w:szCs w:val="30"/>
          <w:highlight w:val="none"/>
        </w:rPr>
      </w:pPr>
      <w:r>
        <w:rPr>
          <w:rFonts w:hint="eastAsia" w:ascii="宋体" w:hAnsi="宋体" w:cs="宋体"/>
          <w:kern w:val="0"/>
          <w:sz w:val="28"/>
          <w:szCs w:val="30"/>
          <w:highlight w:val="none"/>
        </w:rPr>
        <w:t>8.3乙方保证其所交付的应用系统软件没有侵犯任何第三人的知识产权和商业秘密等权利。</w:t>
      </w:r>
    </w:p>
    <w:p w14:paraId="04E16A0C">
      <w:pPr>
        <w:widowControl/>
        <w:shd w:val="clear" w:color="auto" w:fill="FFFFFF"/>
        <w:spacing w:afterLines="50" w:line="560" w:lineRule="exact"/>
        <w:ind w:firstLine="560" w:firstLineChars="200"/>
        <w:jc w:val="left"/>
        <w:rPr>
          <w:rFonts w:ascii="宋体" w:hAnsi="宋体" w:cs="宋体"/>
          <w:kern w:val="0"/>
          <w:sz w:val="28"/>
          <w:szCs w:val="30"/>
          <w:highlight w:val="none"/>
        </w:rPr>
      </w:pPr>
      <w:r>
        <w:rPr>
          <w:rFonts w:hint="eastAsia" w:ascii="宋体" w:hAnsi="宋体" w:cs="宋体"/>
          <w:kern w:val="0"/>
          <w:sz w:val="28"/>
          <w:szCs w:val="30"/>
          <w:highlight w:val="none"/>
        </w:rPr>
        <w:t>8.4如甲方使用该应用系统软件而被第三方主张侵权的，乙方应向甲方提供相应的证据以协助甲方应诉。如法院或仲裁机构认定甲方构成侵权的，由此导致甲方的损失，由乙方全部承担。</w:t>
      </w:r>
    </w:p>
    <w:p w14:paraId="7506652D">
      <w:pPr>
        <w:pStyle w:val="2"/>
        <w:keepNext w:val="0"/>
        <w:keepLines w:val="0"/>
        <w:spacing w:afterLines="50" w:line="560" w:lineRule="exact"/>
        <w:ind w:firstLine="562" w:firstLineChars="200"/>
        <w:rPr>
          <w:rFonts w:hAnsi="宋体" w:cs="宋体"/>
          <w:bCs/>
          <w:sz w:val="28"/>
          <w:szCs w:val="30"/>
          <w:highlight w:val="none"/>
        </w:rPr>
      </w:pPr>
      <w:bookmarkStart w:id="859" w:name="_Toc728"/>
      <w:bookmarkStart w:id="860" w:name="_Toc1612"/>
      <w:bookmarkStart w:id="861" w:name="_Toc1837137400"/>
      <w:r>
        <w:rPr>
          <w:rFonts w:hint="eastAsia" w:hAnsi="宋体" w:cs="宋体"/>
          <w:bCs/>
          <w:sz w:val="28"/>
          <w:szCs w:val="30"/>
          <w:highlight w:val="none"/>
        </w:rPr>
        <w:t>第九条 项目集成实施、试运行和验收</w:t>
      </w:r>
      <w:bookmarkEnd w:id="859"/>
      <w:bookmarkEnd w:id="860"/>
      <w:bookmarkEnd w:id="861"/>
    </w:p>
    <w:p w14:paraId="37559F8F">
      <w:pPr>
        <w:shd w:val="clear" w:color="auto" w:fill="FFFFFF"/>
        <w:tabs>
          <w:tab w:val="left" w:pos="0"/>
        </w:tabs>
        <w:spacing w:afterLines="50" w:line="560" w:lineRule="exact"/>
        <w:ind w:firstLine="562" w:firstLineChars="200"/>
        <w:rPr>
          <w:rFonts w:ascii="宋体" w:hAnsi="宋体" w:cs="宋体"/>
          <w:b/>
          <w:bCs/>
          <w:sz w:val="28"/>
          <w:szCs w:val="30"/>
          <w:highlight w:val="none"/>
        </w:rPr>
      </w:pPr>
      <w:r>
        <w:rPr>
          <w:rFonts w:hint="eastAsia" w:ascii="宋体" w:hAnsi="宋体" w:cs="宋体"/>
          <w:b/>
          <w:bCs/>
          <w:sz w:val="28"/>
          <w:szCs w:val="30"/>
          <w:highlight w:val="none"/>
        </w:rPr>
        <w:t>9.1项目集成实施</w:t>
      </w:r>
    </w:p>
    <w:p w14:paraId="4791538B">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9.1.1甲方应依据乙方工作的范围内容、条件和性质，按照合同文件明确的要求向乙方提供整体项目的施工、安装和集成环境。</w:t>
      </w:r>
    </w:p>
    <w:p w14:paraId="6EB66DCB">
      <w:pPr>
        <w:spacing w:line="360" w:lineRule="auto"/>
        <w:ind w:firstLine="560" w:firstLineChars="200"/>
        <w:rPr>
          <w:rFonts w:ascii="宋体" w:hAnsi="宋体" w:cs="宋体"/>
          <w:sz w:val="28"/>
          <w:szCs w:val="28"/>
          <w:highlight w:val="none"/>
        </w:rPr>
      </w:pPr>
      <w:r>
        <w:rPr>
          <w:rFonts w:hint="eastAsia" w:ascii="宋体" w:hAnsi="宋体" w:cs="宋体"/>
          <w:sz w:val="28"/>
          <w:szCs w:val="30"/>
          <w:highlight w:val="none"/>
        </w:rPr>
        <w:t>9.1.2乙方负责通过开发综合管理平台系统，连接网络通讯系统、建筑安防系统、楼宇自控系统、音视频会议系统，实现新馆建筑的常规智能化管理。通过建设局域网、政务外网建设网络安全系统，实现本地两个网络的等保三级安全运行环境</w:t>
      </w:r>
      <w:r>
        <w:rPr>
          <w:rFonts w:hint="eastAsia" w:ascii="宋体" w:hAnsi="宋体" w:cs="宋体"/>
          <w:sz w:val="28"/>
          <w:szCs w:val="28"/>
          <w:highlight w:val="none"/>
        </w:rPr>
        <w:t>。</w:t>
      </w:r>
    </w:p>
    <w:p w14:paraId="250245E5">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在实施现场的安装和调试、操作培训等全部工作，保证各分项工作质量符合法律法规之规定以及甲方技术服务要求，建筑工程质量良好、硬件运行稳定、应用系统使用流畅、功能点完善全面、数据互联互通，按照合同文件工作与管理要求负责对项目进度的安排、现场的安全文明施工统一管理和协调，严格遵守国家、本市安全生产有关管理规定，严格按安全标准组织项目实施，采取必要的安全防护措施，消除安全事故隐患。由于乙方管理与安全措施不力造成事故的责任和因此发生的费用，由乙方承担。</w:t>
      </w:r>
    </w:p>
    <w:p w14:paraId="7F9F58D9">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9.2项目变更</w:t>
      </w:r>
    </w:p>
    <w:p w14:paraId="7488BFFD">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9.2.1 项目变更</w:t>
      </w:r>
    </w:p>
    <w:p w14:paraId="4E279EB1">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（1）甲乙双方均有权在本合同履行过程中提出变更.扩展.替换或修改本项目内容的建议，包括但不限于增加或减少系统的相应功能.提高有关技术参数.变更产品交付或系统安装的时间与地点等。</w:t>
      </w:r>
    </w:p>
    <w:p w14:paraId="0CCF56B3">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（2）甲方提出的项目变更建议超出招标文件中载明的服务范围、服务需求及服务标准的，乙方应配合变更，延误的工期相应顺延，因此导致乙方费用增加的，由甲、乙双方另行协商确定。</w:t>
      </w:r>
    </w:p>
    <w:p w14:paraId="174D6DF4">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（3）乙方为了达到甲方要求进行的技术变更，不涉及费用调整，如该变更系乙方实施不当所致，延误工期不予顺延。</w:t>
      </w:r>
    </w:p>
    <w:p w14:paraId="71F839FF">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9.2.2 变更后价格的调整</w:t>
      </w:r>
    </w:p>
    <w:p w14:paraId="057F4FA9">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（1）技术变更合同单价及总价不做调整。</w:t>
      </w:r>
    </w:p>
    <w:p w14:paraId="336524CC">
      <w:pPr>
        <w:spacing w:afterLines="50" w:line="560" w:lineRule="exact"/>
        <w:ind w:firstLine="560" w:firstLineChars="200"/>
        <w:rPr>
          <w:rFonts w:ascii="宋体" w:hAnsi="宋体" w:cs="宋体"/>
          <w:color w:val="000000"/>
          <w:sz w:val="28"/>
          <w:szCs w:val="30"/>
          <w:highlight w:val="none"/>
        </w:rPr>
      </w:pPr>
      <w:r>
        <w:rPr>
          <w:rFonts w:hint="eastAsia" w:ascii="宋体" w:hAnsi="宋体" w:cs="宋体"/>
          <w:color w:val="000000"/>
          <w:sz w:val="28"/>
          <w:szCs w:val="30"/>
          <w:highlight w:val="none"/>
        </w:rPr>
        <w:t>（2）非技术变更的价格调整依据项目上级主管部门的要求进行调整并进行结算。</w:t>
      </w:r>
    </w:p>
    <w:p w14:paraId="46C1BEA1">
      <w:pPr>
        <w:pStyle w:val="44"/>
        <w:shd w:val="clear" w:color="auto" w:fill="FFFFFF"/>
        <w:spacing w:afterLines="50" w:line="560" w:lineRule="exact"/>
        <w:ind w:left="0" w:leftChars="0" w:firstLine="562"/>
        <w:rPr>
          <w:rFonts w:ascii="宋体" w:hAnsi="宋体" w:cs="宋体"/>
          <w:b/>
          <w:bCs/>
          <w:sz w:val="28"/>
          <w:szCs w:val="30"/>
          <w:highlight w:val="none"/>
        </w:rPr>
      </w:pPr>
      <w:r>
        <w:rPr>
          <w:rFonts w:hint="eastAsia" w:ascii="宋体" w:hAnsi="宋体" w:cs="宋体"/>
          <w:b/>
          <w:bCs/>
          <w:sz w:val="28"/>
          <w:szCs w:val="30"/>
          <w:highlight w:val="none"/>
        </w:rPr>
        <w:t>9.3项目初验</w:t>
      </w:r>
    </w:p>
    <w:p w14:paraId="0B7311C5">
      <w:pPr>
        <w:widowControl/>
        <w:shd w:val="clear" w:color="auto" w:fill="FFFFFF"/>
        <w:spacing w:afterLines="50" w:line="560" w:lineRule="exact"/>
        <w:ind w:firstLine="560" w:firstLineChars="200"/>
        <w:jc w:val="left"/>
        <w:rPr>
          <w:rFonts w:ascii="宋体" w:hAnsi="宋体" w:cs="宋体"/>
          <w:sz w:val="28"/>
          <w:szCs w:val="30"/>
          <w:highlight w:val="none"/>
        </w:rPr>
      </w:pPr>
      <w:r>
        <w:rPr>
          <w:rFonts w:hint="eastAsia" w:ascii="宋体" w:hAnsi="宋体" w:cs="宋体"/>
          <w:kern w:val="0"/>
          <w:sz w:val="28"/>
          <w:szCs w:val="30"/>
          <w:highlight w:val="none"/>
        </w:rPr>
        <w:t xml:space="preserve"> 本项目所有建设内容包括</w:t>
      </w:r>
      <w:r>
        <w:rPr>
          <w:rFonts w:hint="eastAsia" w:ascii="宋体" w:hAnsi="宋体" w:cs="宋体"/>
          <w:sz w:val="28"/>
          <w:szCs w:val="30"/>
          <w:highlight w:val="none"/>
        </w:rPr>
        <w:t>基础支撑软硬件设备</w:t>
      </w:r>
      <w:r>
        <w:rPr>
          <w:rFonts w:hint="eastAsia" w:ascii="宋体" w:hAnsi="宋体" w:cs="宋体"/>
          <w:kern w:val="0"/>
          <w:sz w:val="28"/>
          <w:szCs w:val="30"/>
          <w:highlight w:val="none"/>
        </w:rPr>
        <w:t>已按照</w:t>
      </w:r>
      <w:r>
        <w:rPr>
          <w:rFonts w:hint="eastAsia" w:ascii="宋体" w:hAnsi="宋体" w:cs="宋体"/>
          <w:sz w:val="28"/>
          <w:szCs w:val="30"/>
          <w:highlight w:val="none"/>
        </w:rPr>
        <w:t>招标要求及合同</w:t>
      </w:r>
      <w:r>
        <w:rPr>
          <w:rFonts w:hint="eastAsia" w:ascii="宋体" w:hAnsi="宋体" w:cs="宋体"/>
          <w:kern w:val="0"/>
          <w:sz w:val="28"/>
          <w:szCs w:val="30"/>
          <w:highlight w:val="none"/>
        </w:rPr>
        <w:t>建设完成；</w:t>
      </w:r>
      <w:r>
        <w:rPr>
          <w:rFonts w:hint="eastAsia" w:ascii="宋体" w:hAnsi="宋体" w:cs="宋体"/>
          <w:sz w:val="28"/>
          <w:szCs w:val="30"/>
          <w:highlight w:val="none"/>
        </w:rPr>
        <w:t>应用软件已根据招标要求及合同中的检测标准进行完整全面的功能和运行检测</w:t>
      </w:r>
      <w:r>
        <w:rPr>
          <w:rFonts w:hint="eastAsia" w:ascii="宋体" w:hAnsi="宋体" w:cs="宋体"/>
          <w:sz w:val="28"/>
          <w:szCs w:val="30"/>
          <w:highlight w:val="none"/>
          <w:lang w:eastAsia="zh-CN"/>
        </w:rPr>
        <w:t>、</w:t>
      </w:r>
      <w:r>
        <w:rPr>
          <w:rFonts w:hint="eastAsia" w:ascii="宋体" w:hAnsi="宋体" w:cs="宋体"/>
          <w:sz w:val="28"/>
          <w:szCs w:val="30"/>
          <w:highlight w:val="none"/>
        </w:rPr>
        <w:t>等保测试报告、系统功能完善，运行流畅；</w:t>
      </w:r>
      <w:r>
        <w:rPr>
          <w:rFonts w:hint="eastAsia" w:ascii="宋体" w:hAnsi="宋体" w:cs="宋体"/>
          <w:kern w:val="0"/>
          <w:sz w:val="28"/>
          <w:szCs w:val="30"/>
          <w:highlight w:val="none"/>
        </w:rPr>
        <w:t>已按照合同约定的全部所有建设内容，能满足甲方要求，</w:t>
      </w:r>
      <w:r>
        <w:rPr>
          <w:rFonts w:hint="eastAsia" w:ascii="宋体" w:hAnsi="宋体" w:cs="宋体"/>
          <w:sz w:val="28"/>
          <w:szCs w:val="30"/>
          <w:highlight w:val="none"/>
        </w:rPr>
        <w:t>启动项目初验</w:t>
      </w:r>
      <w:r>
        <w:rPr>
          <w:rFonts w:hint="eastAsia" w:ascii="宋体" w:hAnsi="宋体" w:cs="宋体"/>
          <w:kern w:val="0"/>
          <w:sz w:val="28"/>
          <w:szCs w:val="30"/>
          <w:highlight w:val="none"/>
        </w:rPr>
        <w:t>。</w:t>
      </w:r>
    </w:p>
    <w:p w14:paraId="54AD7495">
      <w:pPr>
        <w:pStyle w:val="44"/>
        <w:shd w:val="clear" w:color="auto" w:fill="FFFFFF"/>
        <w:spacing w:afterLines="50" w:line="560" w:lineRule="exact"/>
        <w:ind w:left="0" w:leftChars="0" w:firstLine="562"/>
        <w:rPr>
          <w:rFonts w:ascii="宋体" w:hAnsi="宋体" w:cs="宋体"/>
          <w:b/>
          <w:bCs/>
          <w:sz w:val="28"/>
          <w:szCs w:val="30"/>
          <w:highlight w:val="none"/>
        </w:rPr>
      </w:pPr>
      <w:r>
        <w:rPr>
          <w:rFonts w:hint="eastAsia" w:ascii="宋体" w:hAnsi="宋体" w:cs="宋体"/>
          <w:b/>
          <w:bCs/>
          <w:sz w:val="28"/>
          <w:szCs w:val="30"/>
          <w:highlight w:val="none"/>
        </w:rPr>
        <w:t>9.4项目试运行</w:t>
      </w:r>
    </w:p>
    <w:p w14:paraId="254FC5C2">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9.4.1项目初验通过，启动试运行，甲方拥有不少于 1 个月的整体项目试运行权利。</w:t>
      </w:r>
    </w:p>
    <w:p w14:paraId="35996A03">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9.4.2在试运行期间设备出现故障或问题，乙方应及时排除该故障或问题。以上行为产生的费用均由乙方承担。</w:t>
      </w:r>
    </w:p>
    <w:p w14:paraId="75E59143">
      <w:pPr>
        <w:pStyle w:val="44"/>
        <w:shd w:val="clear" w:color="auto" w:fill="FFFFFF"/>
        <w:spacing w:afterLines="50" w:line="560" w:lineRule="exact"/>
        <w:ind w:left="0" w:leftChars="0" w:firstLine="562"/>
        <w:rPr>
          <w:rFonts w:ascii="宋体" w:hAnsi="宋体" w:cs="宋体"/>
          <w:b/>
          <w:bCs/>
          <w:sz w:val="28"/>
          <w:szCs w:val="30"/>
          <w:highlight w:val="none"/>
        </w:rPr>
      </w:pPr>
      <w:r>
        <w:rPr>
          <w:rFonts w:hint="eastAsia" w:ascii="宋体" w:hAnsi="宋体" w:cs="宋体"/>
          <w:b/>
          <w:bCs/>
          <w:sz w:val="28"/>
          <w:szCs w:val="30"/>
          <w:highlight w:val="none"/>
        </w:rPr>
        <w:t>9.5项目终验</w:t>
      </w:r>
    </w:p>
    <w:p w14:paraId="2D92EC1F">
      <w:pPr>
        <w:widowControl/>
        <w:shd w:val="clear" w:color="auto" w:fill="FFFFFF"/>
        <w:spacing w:afterLines="50" w:line="560" w:lineRule="exact"/>
        <w:ind w:firstLine="560" w:firstLineChars="200"/>
        <w:jc w:val="left"/>
        <w:rPr>
          <w:rFonts w:ascii="宋体" w:hAnsi="宋体" w:cs="宋体"/>
          <w:sz w:val="28"/>
          <w:szCs w:val="30"/>
          <w:highlight w:val="none"/>
        </w:rPr>
      </w:pPr>
      <w:r>
        <w:rPr>
          <w:rFonts w:hint="eastAsia" w:ascii="宋体" w:hAnsi="宋体" w:cs="宋体"/>
          <w:sz w:val="28"/>
          <w:szCs w:val="30"/>
          <w:highlight w:val="none"/>
        </w:rPr>
        <w:t>9.5.1</w:t>
      </w:r>
      <w:r>
        <w:rPr>
          <w:rFonts w:hint="eastAsia" w:ascii="宋体" w:hAnsi="宋体" w:cs="宋体"/>
          <w:kern w:val="0"/>
          <w:sz w:val="28"/>
          <w:szCs w:val="30"/>
          <w:highlight w:val="none"/>
        </w:rPr>
        <w:t>本项目经过一个月的整体试运行，期间所有问题都已经解决，达到甲方要求后启动项目终验。</w:t>
      </w:r>
      <w:r>
        <w:rPr>
          <w:rFonts w:hint="eastAsia" w:ascii="宋体" w:hAnsi="宋体" w:cs="宋体"/>
          <w:sz w:val="28"/>
          <w:szCs w:val="30"/>
          <w:highlight w:val="none"/>
        </w:rPr>
        <w:t>项目终验通过的日期为实际竣工日期。乙方应在进行项目交付前 5 个工作日内，以书面方式通知甲方并向甲方提供完整的验收资料、最终验收报告。乙方应按照合同及其附件所约定的内容进行交付，如果本合同约定甲方可以使用或拥有某软件源代码的，乙方应同时交付软件的源代码并不做任何的权利保留。所交付的文档与文件应当是可供人阅读的书面和电子文档。</w:t>
      </w:r>
    </w:p>
    <w:p w14:paraId="43FB41E7">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9.5.2乙方应当以书面形式向甲方递交验收通知书，甲方在收到验收通知书后的 5 个工作日内，确定具体日期，由双方按照本合同约定的验收标准进行项目终验。甲方验收时，由相关人员组成验收小组，明确责任，严格依照招标文件、投标文件、中标（成交）通知书、合同及相关验收规范进行核对、验收，形成验收结论，并出具书面验收报告。甲方有权委托第三方检测机构进行验收，对此乙方应当配合。</w:t>
      </w:r>
    </w:p>
    <w:p w14:paraId="4FF60CD6">
      <w:pPr>
        <w:widowControl/>
        <w:shd w:val="clear" w:color="auto" w:fill="FFFFFF"/>
        <w:tabs>
          <w:tab w:val="left" w:pos="0"/>
        </w:tabs>
        <w:spacing w:afterLines="50" w:line="560" w:lineRule="exact"/>
        <w:ind w:firstLine="560" w:firstLineChars="200"/>
        <w:jc w:val="left"/>
        <w:rPr>
          <w:rFonts w:ascii="宋体" w:hAnsi="宋体" w:cs="宋体"/>
          <w:sz w:val="28"/>
          <w:szCs w:val="30"/>
          <w:highlight w:val="none"/>
        </w:rPr>
      </w:pPr>
      <w:r>
        <w:rPr>
          <w:rFonts w:hint="eastAsia" w:ascii="宋体" w:hAnsi="宋体" w:cs="宋体"/>
          <w:sz w:val="28"/>
          <w:szCs w:val="30"/>
          <w:highlight w:val="none"/>
        </w:rPr>
        <w:t>9.5.3甲方在本项目交付后，应当在 5 个工作日内向乙方出具书面文件，以确认其初步达到符合本合同所约定全部的任务、需求和功能。如有缺陷，应向乙方陈述需要改进的缺陷。乙方应立即改进此项缺陷，并再次进行检测和评估。期间乙方需承担由自身原因造成修改的费用。甲、乙双方将重复9.5.1、9.5.2项程序直至甲方领受或甲方依法或依约终止本合同为止。</w:t>
      </w:r>
    </w:p>
    <w:p w14:paraId="3FF28309">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9.5.4如果属于乙方原因致使整体项目未能通过验收，乙方应当排除故障，并自行承担有关费用，同时延长试运行期</w:t>
      </w:r>
      <w:r>
        <w:rPr>
          <w:rFonts w:hint="eastAsia" w:ascii="宋体" w:hAnsi="宋体" w:cs="宋体"/>
          <w:sz w:val="28"/>
          <w:szCs w:val="30"/>
          <w:highlight w:val="none"/>
          <w:u w:val="single"/>
        </w:rPr>
        <w:t xml:space="preserve"> 1</w:t>
      </w:r>
      <w:r>
        <w:rPr>
          <w:rFonts w:hint="eastAsia" w:ascii="宋体" w:hAnsi="宋体" w:cs="宋体"/>
          <w:sz w:val="28"/>
          <w:szCs w:val="30"/>
          <w:highlight w:val="none"/>
        </w:rPr>
        <w:t xml:space="preserve"> 个月，直至整体项目完全符合验收标准。</w:t>
      </w:r>
    </w:p>
    <w:p w14:paraId="6E1FE06F">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9.5.5如果属于甲方原因致使整体项目未能通过验收，甲方应在合理时间内排除故障，再次进行验收。</w:t>
      </w:r>
    </w:p>
    <w:p w14:paraId="7B83303A">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9.5.6甲方根据整体项目的技术规格要求和质量标准，对整体项目验收合格的，签署验收意见。</w:t>
      </w:r>
    </w:p>
    <w:p w14:paraId="01E65120">
      <w:pPr>
        <w:pStyle w:val="2"/>
        <w:keepNext w:val="0"/>
        <w:keepLines w:val="0"/>
        <w:spacing w:afterLines="50" w:line="560" w:lineRule="exact"/>
        <w:ind w:firstLine="562" w:firstLineChars="200"/>
        <w:rPr>
          <w:rFonts w:hAnsi="宋体" w:cs="宋体"/>
          <w:bCs/>
          <w:sz w:val="28"/>
          <w:szCs w:val="30"/>
          <w:highlight w:val="none"/>
        </w:rPr>
      </w:pPr>
      <w:bookmarkStart w:id="862" w:name="_Toc23490"/>
      <w:bookmarkStart w:id="863" w:name="_Toc248405234"/>
      <w:bookmarkStart w:id="864" w:name="_Toc17538"/>
      <w:r>
        <w:rPr>
          <w:rFonts w:hint="eastAsia" w:hAnsi="宋体" w:cs="宋体"/>
          <w:bCs/>
          <w:sz w:val="28"/>
          <w:szCs w:val="30"/>
          <w:highlight w:val="none"/>
        </w:rPr>
        <w:t>第十条 知识产权和保密</w:t>
      </w:r>
      <w:bookmarkEnd w:id="862"/>
      <w:bookmarkEnd w:id="863"/>
      <w:bookmarkEnd w:id="864"/>
    </w:p>
    <w:p w14:paraId="26452BA6">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10.1甲方委托乙方开发的应用系统知识产权归甲方所有。乙方向甲方交付使用的</w:t>
      </w:r>
      <w:r>
        <w:rPr>
          <w:rFonts w:hint="eastAsia" w:ascii="宋体" w:hAnsi="宋体" w:cs="宋体"/>
          <w:kern w:val="0"/>
          <w:sz w:val="28"/>
          <w:szCs w:val="30"/>
          <w:highlight w:val="none"/>
        </w:rPr>
        <w:t>应用系统软件</w:t>
      </w:r>
      <w:r>
        <w:rPr>
          <w:rFonts w:hint="eastAsia" w:ascii="宋体" w:hAnsi="宋体" w:cs="宋体"/>
          <w:sz w:val="28"/>
          <w:szCs w:val="30"/>
          <w:highlight w:val="none"/>
        </w:rPr>
        <w:t>已享有知识产权的，甲方可在合同文件明确的范围内自主使用。未经甲方书面同意，乙方不得使用或许可他人使用甲方享有知识产权的应用系统。</w:t>
      </w:r>
    </w:p>
    <w:p w14:paraId="53A989FE">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10.2在本合同项下的任何权利和义务不因合同乙方发生收购、兼并、重组、分立而发生变化。如果发生上述情形，则本合同项下的权利随之转移至收购、兼并、重组后的企业继续履行合同，分立后成立的企业共同对甲方承担连带责任。</w:t>
      </w:r>
    </w:p>
    <w:p w14:paraId="1A632B50">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10.3乙方应遵守合同文件约定内容的保密要求，对甲方提供的所有文件资料负有保密义务。</w:t>
      </w:r>
      <w:bookmarkStart w:id="865" w:name="_Toc238558070"/>
      <w:bookmarkStart w:id="866" w:name="_Toc304"/>
    </w:p>
    <w:p w14:paraId="363BE39E">
      <w:pPr>
        <w:shd w:val="clear" w:color="auto" w:fill="FFFFFF"/>
        <w:tabs>
          <w:tab w:val="left" w:pos="0"/>
        </w:tabs>
        <w:spacing w:afterLines="50" w:line="560" w:lineRule="exact"/>
        <w:ind w:firstLine="3092" w:firstLineChars="1100"/>
        <w:rPr>
          <w:rFonts w:ascii="宋体" w:hAnsi="宋体" w:cs="宋体"/>
          <w:sz w:val="28"/>
          <w:szCs w:val="30"/>
          <w:highlight w:val="none"/>
        </w:rPr>
      </w:pPr>
      <w:r>
        <w:rPr>
          <w:rFonts w:hint="eastAsia" w:ascii="宋体" w:hAnsi="宋体" w:cs="宋体"/>
          <w:b/>
          <w:bCs/>
          <w:sz w:val="28"/>
          <w:szCs w:val="30"/>
          <w:highlight w:val="none"/>
        </w:rPr>
        <w:t>第十一条 应用系统保证</w:t>
      </w:r>
      <w:bookmarkEnd w:id="865"/>
      <w:bookmarkEnd w:id="866"/>
    </w:p>
    <w:p w14:paraId="5A9BBA54">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11.1在乙方所交付的</w:t>
      </w:r>
      <w:r>
        <w:rPr>
          <w:rFonts w:hint="eastAsia" w:ascii="宋体" w:hAnsi="宋体" w:cs="宋体"/>
          <w:kern w:val="0"/>
          <w:sz w:val="28"/>
          <w:szCs w:val="30"/>
          <w:highlight w:val="none"/>
        </w:rPr>
        <w:t>应用系统软件</w:t>
      </w:r>
      <w:r>
        <w:rPr>
          <w:rFonts w:hint="eastAsia" w:ascii="宋体" w:hAnsi="宋体" w:cs="宋体"/>
          <w:sz w:val="28"/>
          <w:szCs w:val="30"/>
          <w:highlight w:val="none"/>
        </w:rPr>
        <w:t>中，不得含有未经甲方书面许可的可以自动终止或妨碍系统运作的软件和硬件，否则乙方应承担赔偿责任。</w:t>
      </w:r>
    </w:p>
    <w:p w14:paraId="5C17A759">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11.2 乙方所提供的软件，包括受甲方委托所开发的软件，如果需要经国家有关部门登记、备案、审批或许可的，乙方应当保证所提供的软件已经完成上述手续。</w:t>
      </w:r>
    </w:p>
    <w:p w14:paraId="3622043F">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11.3乙方保证，依据本合同向甲方提供的</w:t>
      </w:r>
      <w:r>
        <w:rPr>
          <w:rFonts w:hint="eastAsia" w:ascii="宋体" w:hAnsi="宋体" w:cs="宋体"/>
          <w:kern w:val="0"/>
          <w:sz w:val="28"/>
          <w:szCs w:val="30"/>
          <w:highlight w:val="none"/>
        </w:rPr>
        <w:t>应用系统软件</w:t>
      </w:r>
      <w:r>
        <w:rPr>
          <w:rFonts w:hint="eastAsia" w:ascii="宋体" w:hAnsi="宋体" w:cs="宋体"/>
          <w:sz w:val="28"/>
          <w:szCs w:val="30"/>
          <w:highlight w:val="none"/>
        </w:rPr>
        <w:t>及其附属产品不存在品质或工艺上的瑕疵，能够按照《招标文件》的技术要求、基表标准及本合同所规定的技术规范、要求和功能进行正常运行。乙方保证其所提供的应用系统在当前情况下是最新且适合本项目的版本，并符合有关法律法规对于网络安全、数据安全、个人信息保护等的要求。</w:t>
      </w:r>
    </w:p>
    <w:p w14:paraId="2B97CCF6">
      <w:pPr>
        <w:pStyle w:val="2"/>
        <w:keepNext w:val="0"/>
        <w:keepLines w:val="0"/>
        <w:spacing w:afterLines="50" w:line="560" w:lineRule="exact"/>
        <w:ind w:firstLine="562" w:firstLineChars="200"/>
        <w:rPr>
          <w:rFonts w:hAnsi="宋体" w:cs="宋体"/>
          <w:bCs/>
          <w:sz w:val="28"/>
          <w:szCs w:val="30"/>
          <w:highlight w:val="none"/>
        </w:rPr>
      </w:pPr>
      <w:bookmarkStart w:id="867" w:name="_Toc26676"/>
      <w:bookmarkStart w:id="868" w:name="_Toc1058"/>
      <w:bookmarkStart w:id="869" w:name="_Toc93513541"/>
      <w:r>
        <w:rPr>
          <w:rFonts w:hint="eastAsia" w:hAnsi="宋体" w:cs="宋体"/>
          <w:bCs/>
          <w:sz w:val="28"/>
          <w:szCs w:val="30"/>
          <w:highlight w:val="none"/>
        </w:rPr>
        <w:t>第十二条 项目售后运维要求</w:t>
      </w:r>
      <w:bookmarkEnd w:id="867"/>
      <w:bookmarkEnd w:id="868"/>
      <w:bookmarkEnd w:id="869"/>
    </w:p>
    <w:p w14:paraId="3956E291">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12.1乙方自项目整体交付且终验通过之日起向甲方委派至少2名工作人员免费驻场服务直至质保期结束，负责应用</w:t>
      </w:r>
      <w:r>
        <w:rPr>
          <w:rFonts w:hint="eastAsia" w:ascii="宋体" w:hAnsi="宋体" w:cs="宋体"/>
          <w:kern w:val="0"/>
          <w:sz w:val="28"/>
          <w:szCs w:val="30"/>
          <w:highlight w:val="none"/>
        </w:rPr>
        <w:t>系统软件</w:t>
      </w:r>
      <w:r>
        <w:rPr>
          <w:rFonts w:hint="eastAsia" w:ascii="宋体" w:hAnsi="宋体" w:cs="宋体"/>
          <w:sz w:val="28"/>
          <w:szCs w:val="30"/>
          <w:highlight w:val="none"/>
        </w:rPr>
        <w:t>运维和培训工作，该运维人员需具备同类项目经验，工作内容由甲方分配，如运维人员不能满足甲方需求，乙方应在收到甲方通知之日起的三日内予以更换。质保期内若甲方需求变动，乙方仍应免费按照甲方需求对应用系统做出相应修改，以满足甲方要求。</w:t>
      </w:r>
    </w:p>
    <w:p w14:paraId="0A4194EA">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12.2乙方自项目整体交付且终验之日起向甲方提供硬件货物及软件3年免费质保，免费质保维保期内包括但不仅限于质量、使用等一切问题均由乙方负责，由此产生的费用均由乙方承担。如果厂商对系统产品中的相应部分的保修期超过上述期限的，仍按本合同约定期限进行免费保修。</w:t>
      </w:r>
    </w:p>
    <w:p w14:paraId="5F1FEB2D">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12.3质保期内，提供7×24小时技术支持和服务，一般性问题半小时之内响应，2到4小时内解决问题，重大问题2到4小时到达现场，8小时内解决问题，问题解决后24小时内，提交问题处理报告，说明问题种类、问题原因、问题解决中使用的方法及造成的损失等情况；根据甲方要求，对重大或紧急问题提供现场技术支持。维护方式包括：远程支持、邮件支持和现场支持。</w:t>
      </w:r>
    </w:p>
    <w:p w14:paraId="53BE21FE">
      <w:pPr>
        <w:pStyle w:val="2"/>
        <w:keepNext w:val="0"/>
        <w:keepLines w:val="0"/>
        <w:spacing w:afterLines="50" w:line="560" w:lineRule="exact"/>
        <w:ind w:firstLine="562" w:firstLineChars="200"/>
        <w:rPr>
          <w:rFonts w:hAnsi="宋体" w:cs="宋体"/>
          <w:bCs/>
          <w:sz w:val="28"/>
          <w:szCs w:val="30"/>
          <w:highlight w:val="none"/>
        </w:rPr>
      </w:pPr>
      <w:bookmarkStart w:id="870" w:name="_Toc13192"/>
      <w:bookmarkStart w:id="871" w:name="_Toc30207"/>
      <w:bookmarkStart w:id="872" w:name="_Toc1871537630"/>
      <w:r>
        <w:rPr>
          <w:rFonts w:hint="eastAsia" w:hAnsi="宋体" w:cs="宋体"/>
          <w:bCs/>
          <w:sz w:val="28"/>
          <w:szCs w:val="30"/>
          <w:highlight w:val="none"/>
        </w:rPr>
        <w:t>第十三条 质量缺陷补救措施和索赔</w:t>
      </w:r>
      <w:bookmarkEnd w:id="870"/>
      <w:bookmarkEnd w:id="871"/>
      <w:bookmarkEnd w:id="872"/>
    </w:p>
    <w:p w14:paraId="3C4754A3">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13.1如果应用系统的质量或规格与合同不符，或证实应用系统是有缺陷的，包括潜在的缺陷或使用不符合要求的材料等，甲方可以根据本合同第 13条规定以书面形式向乙方提出补救措施或索赔。</w:t>
      </w:r>
    </w:p>
    <w:p w14:paraId="1E6674AF">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13.2乙方在约定的时间内未能弥补缺陷，甲方可采取必要的补救措施，但其风险和费用将由乙方承担，甲方根据合同规定对乙方行使的其他权利不受影响。</w:t>
      </w:r>
    </w:p>
    <w:p w14:paraId="70472381">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13.3甲方有权根据合同文件要求或质量检测部门出具的检验证书向乙方提出索赔。</w:t>
      </w:r>
    </w:p>
    <w:p w14:paraId="356D8299">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13.4在质保期内，如果乙方对缺陷产品负有责任而甲方提出索赔，乙方应按照甲方同意的下列一种或多种方式解决索赔事宜：</w:t>
      </w:r>
    </w:p>
    <w:p w14:paraId="488FAA4B">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（1）乙方同意退货并将货款退还给甲方，由此发生的一切费用和损失由乙方承担。</w:t>
      </w:r>
    </w:p>
    <w:p w14:paraId="7F738FCB">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（2）根据信息系统的质量状况以及甲方所遭受的损失，经过双方商定降低信息系统的价格。</w:t>
      </w:r>
    </w:p>
    <w:p w14:paraId="29432F6B">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3）乙方应在接到甲方通知后七天内负责采用符合合同规定的规格、质量和性能要求的措施和设备来更换有缺陷的部分或修补缺陷部分，其费用由乙方负担。同时，乙方应在约定的质量保证期基础上重新计算修补和/或更换件的质量保证期。</w:t>
      </w:r>
    </w:p>
    <w:p w14:paraId="158F9910">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13.5如果在甲方发出索赔通知后十天内乙方未作答复，上述索赔应视为已被乙方接受。如果乙方未能按照上述规定的任何一种方法采取补救措施或解决索赔事宜，甲方有权从质保金中扣除索赔金额，如不足以弥补甲方损失的，甲方有权进一步要求乙方赔偿。</w:t>
      </w:r>
    </w:p>
    <w:p w14:paraId="6B5F83B0">
      <w:pPr>
        <w:pStyle w:val="2"/>
        <w:keepNext w:val="0"/>
        <w:keepLines w:val="0"/>
        <w:spacing w:afterLines="50" w:line="560" w:lineRule="exact"/>
        <w:ind w:firstLine="562" w:firstLineChars="200"/>
        <w:rPr>
          <w:rFonts w:hAnsi="宋体" w:cs="宋体"/>
          <w:bCs/>
          <w:sz w:val="28"/>
          <w:szCs w:val="30"/>
          <w:highlight w:val="none"/>
        </w:rPr>
      </w:pPr>
      <w:bookmarkStart w:id="873" w:name="_Toc739969801"/>
      <w:bookmarkStart w:id="874" w:name="_Toc1745"/>
      <w:bookmarkStart w:id="875" w:name="_Toc2350"/>
      <w:r>
        <w:rPr>
          <w:rFonts w:hint="eastAsia" w:hAnsi="宋体" w:cs="宋体"/>
          <w:bCs/>
          <w:sz w:val="28"/>
          <w:szCs w:val="30"/>
          <w:highlight w:val="none"/>
        </w:rPr>
        <w:t>第十四条 违约责任与赔偿</w:t>
      </w:r>
      <w:bookmarkEnd w:id="873"/>
      <w:bookmarkEnd w:id="874"/>
      <w:bookmarkEnd w:id="875"/>
    </w:p>
    <w:p w14:paraId="1A3FF582">
      <w:pPr>
        <w:pStyle w:val="44"/>
        <w:shd w:val="clear" w:color="auto" w:fill="FFFFFF"/>
        <w:spacing w:afterLines="50" w:line="560" w:lineRule="exact"/>
        <w:ind w:left="0" w:leftChars="0" w:firstLine="562"/>
        <w:rPr>
          <w:rFonts w:ascii="宋体" w:hAnsi="宋体" w:cs="宋体"/>
          <w:b/>
          <w:bCs/>
          <w:sz w:val="28"/>
          <w:szCs w:val="30"/>
          <w:highlight w:val="none"/>
        </w:rPr>
      </w:pPr>
      <w:r>
        <w:rPr>
          <w:rFonts w:hint="eastAsia" w:ascii="宋体" w:hAnsi="宋体" w:cs="宋体"/>
          <w:b/>
          <w:bCs/>
          <w:sz w:val="28"/>
          <w:szCs w:val="30"/>
          <w:highlight w:val="none"/>
        </w:rPr>
        <w:t>14.1乙方的违约责任</w:t>
      </w:r>
    </w:p>
    <w:p w14:paraId="1ADE47E4">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14.1.1乙方不能交货导致甲方合同目的不能实现的，甲方有权解除合同，乙方退还已付款项，并承担违约责任，应向甲方偿付合同金额 30%的违约金并承担以此给甲方造成的损失。</w:t>
      </w:r>
    </w:p>
    <w:p w14:paraId="55DC6CA8">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14.1.2乙方所交产品、软件不符合合同规定的，应根据产品的具体情况，由乙方负责包换、包修或重新开发，并承担修理、调换或退货、重新开发而支付的实际费用,同时乙方应按规定，对重新开发系统、更换件相应延长质量保证期，并赔偿甲方相应的损失。乙方不能修理、不能调换的或经修理、调换、再开发仍然不能满足甲方要求或不能通过</w:t>
      </w:r>
      <w:r>
        <w:rPr>
          <w:rFonts w:hint="eastAsia" w:ascii="宋体" w:hAnsi="宋体" w:cs="宋体"/>
          <w:color w:val="000000"/>
          <w:sz w:val="28"/>
          <w:szCs w:val="30"/>
          <w:highlight w:val="none"/>
        </w:rPr>
        <w:t>数字档案馆系统测试的</w:t>
      </w:r>
      <w:r>
        <w:rPr>
          <w:rFonts w:hint="eastAsia" w:ascii="宋体" w:hAnsi="宋体" w:cs="宋体"/>
          <w:sz w:val="28"/>
          <w:szCs w:val="30"/>
          <w:highlight w:val="none"/>
        </w:rPr>
        <w:t>，甲方有权解除或部分解除本协议，乙方全部退还或部分退还未完成部分的款项，并承担合同金额30%的违约责任。</w:t>
      </w:r>
    </w:p>
    <w:p w14:paraId="6F68C291">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14.1.3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合格证书。</w:t>
      </w:r>
    </w:p>
    <w:p w14:paraId="062364FB">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14.1.4如果乙方没有按照规定的时间交货、完成货物安装和提供服务，应向甲方支付违约金，违约金从货款中扣除，按每天迟交货物或未提供服务交货价的 1%计收。但违约金的最高限额为迟交货物或提供服务合同价的 30%。违约金达到最高限额，甲方有权提前解除本合同，并要求乙方按照合同总价款的30%支付违约金，给甲方造成的其它损失，乙方还应额外进行赔偿。乙方应按投标承诺时间完成设备的验收交付使用，否则，每延迟一天支付违约金 5000元，延迟 30天以上，甲方有权提前解除本合同并要求乙方按照合同总价款的30%支付违约金，给甲方造成的其它损失，乙方还应额外进行赔偿。</w:t>
      </w:r>
    </w:p>
    <w:p w14:paraId="67CF3E5D">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14.1.5乙方提前交货的产品、多交的产品和不符合合同规定的产品，甲方不同意接收，因此而导致产品的毁损由乙方承担。如甲方同意接收但仅为代保管，由此产生的保管、保养等费用以及非因甲方保管不善而发生的损失，应当由乙方承担。</w:t>
      </w:r>
    </w:p>
    <w:p w14:paraId="69DAC32B">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14.1.6乙方应对其所提供的货物承担所有权担保责任，并应保证甲方在中华人民共和国内使用该货物时不侵犯第三人的知识产权。否则乙方应承担由此引起的一切法律责任及费用。</w:t>
      </w:r>
    </w:p>
    <w:p w14:paraId="7EA1D3D6">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14.1.7除本合同另有约定外，乙方未经甲方书面同意而单方面解除合同的，应向甲方赔偿相当于本合同总价款</w:t>
      </w:r>
      <w:r>
        <w:rPr>
          <w:rFonts w:hint="eastAsia" w:ascii="宋体" w:hAnsi="宋体" w:cs="宋体"/>
          <w:sz w:val="28"/>
          <w:szCs w:val="30"/>
          <w:highlight w:val="none"/>
          <w:u w:val="single"/>
        </w:rPr>
        <w:t xml:space="preserve"> 30 %</w:t>
      </w:r>
      <w:r>
        <w:rPr>
          <w:rFonts w:hint="eastAsia" w:ascii="宋体" w:hAnsi="宋体" w:cs="宋体"/>
          <w:sz w:val="28"/>
          <w:szCs w:val="30"/>
          <w:highlight w:val="none"/>
        </w:rPr>
        <w:t>违约金。</w:t>
      </w:r>
    </w:p>
    <w:p w14:paraId="1B4CEE18">
      <w:pPr>
        <w:pStyle w:val="44"/>
        <w:shd w:val="clear" w:color="auto" w:fill="FFFFFF"/>
        <w:spacing w:afterLines="50" w:line="560" w:lineRule="exact"/>
        <w:ind w:left="0" w:leftChars="0" w:firstLine="562"/>
        <w:rPr>
          <w:rFonts w:ascii="宋体" w:hAnsi="宋体" w:cs="宋体"/>
          <w:b/>
          <w:bCs/>
          <w:sz w:val="28"/>
          <w:szCs w:val="30"/>
          <w:highlight w:val="none"/>
        </w:rPr>
      </w:pPr>
      <w:r>
        <w:rPr>
          <w:rFonts w:hint="eastAsia" w:ascii="宋体" w:hAnsi="宋体" w:cs="宋体"/>
          <w:b/>
          <w:bCs/>
          <w:sz w:val="28"/>
          <w:szCs w:val="30"/>
          <w:highlight w:val="none"/>
        </w:rPr>
        <w:t>14.2甲方的违约责任</w:t>
      </w:r>
    </w:p>
    <w:p w14:paraId="48DA5FCA">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14.2.1甲方违反合同规定拒绝接货的，应当承担由此造成的损失。</w:t>
      </w:r>
    </w:p>
    <w:p w14:paraId="26A688D2">
      <w:pPr>
        <w:pStyle w:val="2"/>
        <w:keepNext w:val="0"/>
        <w:keepLines w:val="0"/>
        <w:spacing w:afterLines="50" w:line="560" w:lineRule="exact"/>
        <w:ind w:firstLine="562" w:firstLineChars="200"/>
        <w:rPr>
          <w:rFonts w:hAnsi="宋体" w:cs="宋体"/>
          <w:bCs/>
          <w:sz w:val="28"/>
          <w:szCs w:val="30"/>
          <w:highlight w:val="none"/>
        </w:rPr>
      </w:pPr>
      <w:bookmarkStart w:id="876" w:name="_Toc594645630"/>
      <w:bookmarkStart w:id="877" w:name="_Toc25696"/>
      <w:bookmarkStart w:id="878" w:name="_Toc2553"/>
      <w:r>
        <w:rPr>
          <w:rFonts w:hint="eastAsia" w:hAnsi="宋体" w:cs="宋体"/>
          <w:bCs/>
          <w:sz w:val="28"/>
          <w:szCs w:val="30"/>
          <w:highlight w:val="none"/>
        </w:rPr>
        <w:t>第十五条 违约终止合同</w:t>
      </w:r>
      <w:bookmarkEnd w:id="876"/>
      <w:bookmarkEnd w:id="877"/>
      <w:bookmarkEnd w:id="878"/>
    </w:p>
    <w:p w14:paraId="0F86F4BC">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15.1 因一方违约使合同不能履行，另一方有权以通知解除的方式提前解除本合同。本合同在解除通知到达违约方时解除，违约方应按照本合同总价款的30%支付违约金。</w:t>
      </w:r>
    </w:p>
    <w:p w14:paraId="2D704EC4">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15.2 甲、乙双方不能按合同履行自己的各项义务、支付款项及发生其他使合同无法履行的行为，应赔偿对方因其违约造成的直接经济损失。</w:t>
      </w:r>
    </w:p>
    <w:p w14:paraId="1266F526">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15.3 在甲方针对乙方违约行为而采取的任何补救措施不受影响的情况下，甲方可在下列情况下向乙方发出书面通知书，提出解除部分或全部合同。</w:t>
      </w:r>
    </w:p>
    <w:p w14:paraId="33ECC909">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（1）乙方未能在合同规定的期限或甲方同意延长的期限内提供部分或全部应用系统软件或硬件货物。</w:t>
      </w:r>
    </w:p>
    <w:p w14:paraId="5EF9CD44">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（2）乙方未能履行合同规定的其他义务。</w:t>
      </w:r>
    </w:p>
    <w:p w14:paraId="4FD3CF6C">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15.4 如果甲方根据上述 15.3 款的规定，解除全部或部分合同，甲方可以依其认为适当的条件和方法向第三方购买未交付的应用系统软件或硬件货物，乙方应承担甲方购买类似的应用系统软件或硬件货物所超出的费用，并赔偿甲方因其违约造成的直接经济损失。同时乙方应继续执行合同中未解除的部分。</w:t>
      </w:r>
    </w:p>
    <w:p w14:paraId="65B3C65A">
      <w:pPr>
        <w:pStyle w:val="2"/>
        <w:keepNext w:val="0"/>
        <w:keepLines w:val="0"/>
        <w:spacing w:afterLines="50" w:line="560" w:lineRule="exact"/>
        <w:ind w:firstLine="562" w:firstLineChars="200"/>
        <w:rPr>
          <w:rFonts w:hAnsi="宋体" w:cs="宋体"/>
          <w:bCs/>
          <w:sz w:val="28"/>
          <w:szCs w:val="30"/>
          <w:highlight w:val="none"/>
        </w:rPr>
      </w:pPr>
      <w:bookmarkStart w:id="879" w:name="_Toc30009"/>
      <w:bookmarkStart w:id="880" w:name="_Toc1967693919"/>
      <w:bookmarkStart w:id="881" w:name="_Toc25896"/>
      <w:r>
        <w:rPr>
          <w:rFonts w:hint="eastAsia" w:hAnsi="宋体" w:cs="宋体"/>
          <w:bCs/>
          <w:sz w:val="28"/>
          <w:szCs w:val="30"/>
          <w:highlight w:val="none"/>
        </w:rPr>
        <w:t>第十六条 破产终止合同</w:t>
      </w:r>
      <w:bookmarkEnd w:id="879"/>
      <w:bookmarkEnd w:id="880"/>
      <w:bookmarkEnd w:id="881"/>
    </w:p>
    <w:p w14:paraId="05C2DA6B">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16.1 如果乙方丧失履约能力或被宣告破产，甲方可在任何时候以书面形式通知乙方终止合同而不给乙方补偿。该终止合同将不损害或影响甲方已经采取或将要采取任何行动或补救措施的权利。</w:t>
      </w:r>
    </w:p>
    <w:p w14:paraId="41964FDD">
      <w:pPr>
        <w:pStyle w:val="2"/>
        <w:keepNext w:val="0"/>
        <w:keepLines w:val="0"/>
        <w:spacing w:afterLines="50" w:line="560" w:lineRule="exact"/>
        <w:ind w:firstLine="562" w:firstLineChars="200"/>
        <w:rPr>
          <w:rFonts w:hAnsi="宋体" w:cs="宋体"/>
          <w:bCs/>
          <w:sz w:val="28"/>
          <w:szCs w:val="30"/>
          <w:highlight w:val="none"/>
        </w:rPr>
      </w:pPr>
      <w:bookmarkStart w:id="882" w:name="_Toc31058"/>
      <w:bookmarkStart w:id="883" w:name="_Toc1931016480"/>
      <w:bookmarkStart w:id="884" w:name="_Toc21142"/>
      <w:r>
        <w:rPr>
          <w:rFonts w:hint="eastAsia" w:hAnsi="宋体" w:cs="宋体"/>
          <w:bCs/>
          <w:sz w:val="28"/>
          <w:szCs w:val="30"/>
          <w:highlight w:val="none"/>
        </w:rPr>
        <w:t>第十七条 税费</w:t>
      </w:r>
      <w:bookmarkEnd w:id="882"/>
      <w:bookmarkEnd w:id="883"/>
      <w:bookmarkEnd w:id="884"/>
    </w:p>
    <w:p w14:paraId="1EDDBAAC">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本合同执行中相关的一切税费均由乙方承担。</w:t>
      </w:r>
    </w:p>
    <w:p w14:paraId="2F5E45CE">
      <w:pPr>
        <w:pStyle w:val="2"/>
        <w:keepNext w:val="0"/>
        <w:keepLines w:val="0"/>
        <w:spacing w:afterLines="50" w:line="560" w:lineRule="exact"/>
        <w:ind w:firstLine="562" w:firstLineChars="200"/>
        <w:rPr>
          <w:rFonts w:hAnsi="宋体" w:cs="宋体"/>
          <w:bCs/>
          <w:sz w:val="28"/>
          <w:szCs w:val="30"/>
          <w:highlight w:val="none"/>
        </w:rPr>
      </w:pPr>
      <w:bookmarkStart w:id="885" w:name="_Toc21506"/>
      <w:r>
        <w:rPr>
          <w:rFonts w:hint="eastAsia" w:hAnsi="宋体" w:cs="宋体"/>
          <w:bCs/>
          <w:sz w:val="28"/>
          <w:szCs w:val="30"/>
          <w:highlight w:val="none"/>
        </w:rPr>
        <w:t>第十八条 不可抗力</w:t>
      </w:r>
      <w:bookmarkEnd w:id="885"/>
    </w:p>
    <w:p w14:paraId="0898FFD9">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18.1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56603250">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18.2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0CF9E497">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18.3不可抗力事件延续120天以上，双方应通过友好协商，确定是否继续履行协议。</w:t>
      </w:r>
    </w:p>
    <w:p w14:paraId="4DD54FA1">
      <w:pPr>
        <w:pStyle w:val="2"/>
        <w:keepNext w:val="0"/>
        <w:keepLines w:val="0"/>
        <w:spacing w:afterLines="50" w:line="560" w:lineRule="exact"/>
        <w:ind w:firstLine="562" w:firstLineChars="200"/>
        <w:rPr>
          <w:rFonts w:hAnsi="宋体" w:cs="宋体"/>
          <w:bCs/>
          <w:sz w:val="28"/>
          <w:szCs w:val="30"/>
          <w:highlight w:val="none"/>
        </w:rPr>
      </w:pPr>
      <w:bookmarkStart w:id="886" w:name="_Toc19060"/>
      <w:bookmarkStart w:id="887" w:name="_Toc1389857028"/>
      <w:bookmarkStart w:id="888" w:name="_Toc10662"/>
      <w:r>
        <w:rPr>
          <w:rFonts w:hint="eastAsia" w:hAnsi="宋体" w:cs="宋体"/>
          <w:bCs/>
          <w:sz w:val="28"/>
          <w:szCs w:val="30"/>
          <w:highlight w:val="none"/>
        </w:rPr>
        <w:t>第十九条 争端的解决</w:t>
      </w:r>
      <w:bookmarkEnd w:id="886"/>
      <w:bookmarkEnd w:id="887"/>
      <w:bookmarkEnd w:id="888"/>
    </w:p>
    <w:p w14:paraId="4456C5A9">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19.1本合同如发生纠纷，当事人双方应当及时友好协商解决，如从协商开始十天内仍不能解决，按以下方式处理：任何一方有权向甲方所在地人民法院提起诉讼，在诉讼期间，除正在进行诉讼的部分外，本合同的其他部分应继续执行。</w:t>
      </w:r>
    </w:p>
    <w:p w14:paraId="6C8BF9B8">
      <w:pPr>
        <w:pStyle w:val="2"/>
        <w:keepNext w:val="0"/>
        <w:keepLines w:val="0"/>
        <w:spacing w:afterLines="50" w:line="560" w:lineRule="exact"/>
        <w:ind w:firstLine="562" w:firstLineChars="200"/>
        <w:rPr>
          <w:rFonts w:hAnsi="宋体" w:cs="宋体"/>
          <w:bCs/>
          <w:sz w:val="28"/>
          <w:szCs w:val="30"/>
          <w:highlight w:val="none"/>
        </w:rPr>
      </w:pPr>
      <w:bookmarkStart w:id="889" w:name="_Toc1147441177"/>
      <w:bookmarkStart w:id="890" w:name="_Toc22093"/>
      <w:bookmarkStart w:id="891" w:name="_Toc8730"/>
      <w:r>
        <w:rPr>
          <w:rFonts w:hint="eastAsia" w:hAnsi="宋体" w:cs="宋体"/>
          <w:bCs/>
          <w:sz w:val="28"/>
          <w:szCs w:val="30"/>
          <w:highlight w:val="none"/>
        </w:rPr>
        <w:t>第二十条 合同生效</w:t>
      </w:r>
      <w:bookmarkEnd w:id="889"/>
      <w:bookmarkEnd w:id="890"/>
      <w:bookmarkEnd w:id="891"/>
    </w:p>
    <w:p w14:paraId="109A52B3">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20.1 本合同在双方</w:t>
      </w:r>
      <w:r>
        <w:rPr>
          <w:rFonts w:hint="eastAsia" w:ascii="宋体" w:hAnsi="宋体" w:cs="宋体"/>
          <w:sz w:val="28"/>
          <w:szCs w:val="30"/>
          <w:highlight w:val="none"/>
          <w:lang w:val="en-US" w:eastAsia="zh-CN"/>
        </w:rPr>
        <w:t>法定代表人或授权代表</w:t>
      </w:r>
      <w:r>
        <w:rPr>
          <w:rFonts w:hint="eastAsia" w:ascii="宋体" w:hAnsi="宋体" w:cs="宋体"/>
          <w:sz w:val="28"/>
          <w:szCs w:val="30"/>
          <w:highlight w:val="none"/>
        </w:rPr>
        <w:t>签字并</w:t>
      </w:r>
      <w:r>
        <w:rPr>
          <w:rFonts w:hint="eastAsia" w:ascii="宋体" w:hAnsi="宋体" w:cs="宋体"/>
          <w:sz w:val="28"/>
          <w:szCs w:val="30"/>
          <w:highlight w:val="none"/>
          <w:lang w:val="en-US" w:eastAsia="zh-CN"/>
        </w:rPr>
        <w:t>加盖公章之日起</w:t>
      </w:r>
      <w:r>
        <w:rPr>
          <w:rFonts w:hint="eastAsia" w:ascii="宋体" w:hAnsi="宋体" w:cs="宋体"/>
          <w:sz w:val="28"/>
          <w:szCs w:val="30"/>
          <w:highlight w:val="none"/>
        </w:rPr>
        <w:t>生效。</w:t>
      </w:r>
    </w:p>
    <w:p w14:paraId="2C96625D">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20.2 本合同一式捌份，具有同等法律效力，以中文书写，甲方执</w:t>
      </w:r>
      <w:r>
        <w:rPr>
          <w:rFonts w:hint="eastAsia" w:ascii="宋体" w:hAnsi="宋体" w:cs="宋体"/>
          <w:sz w:val="28"/>
          <w:szCs w:val="30"/>
          <w:highlight w:val="none"/>
          <w:lang w:val="en-US" w:eastAsia="zh-CN"/>
        </w:rPr>
        <w:t>肆</w:t>
      </w:r>
      <w:r>
        <w:rPr>
          <w:rFonts w:hint="eastAsia" w:ascii="宋体" w:hAnsi="宋体" w:cs="宋体"/>
          <w:sz w:val="28"/>
          <w:szCs w:val="30"/>
          <w:highlight w:val="none"/>
        </w:rPr>
        <w:t>份，乙方执</w:t>
      </w:r>
      <w:r>
        <w:rPr>
          <w:rFonts w:hint="eastAsia" w:ascii="宋体" w:hAnsi="宋体" w:cs="宋体"/>
          <w:sz w:val="28"/>
          <w:szCs w:val="30"/>
          <w:highlight w:val="none"/>
          <w:lang w:val="en-US" w:eastAsia="zh-CN"/>
        </w:rPr>
        <w:t>肆</w:t>
      </w:r>
      <w:r>
        <w:rPr>
          <w:rFonts w:hint="eastAsia" w:ascii="宋体" w:hAnsi="宋体" w:cs="宋体"/>
          <w:sz w:val="28"/>
          <w:szCs w:val="30"/>
          <w:highlight w:val="none"/>
        </w:rPr>
        <w:t>份。</w:t>
      </w:r>
    </w:p>
    <w:p w14:paraId="50B81E4F">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20.3 本合同中双方的地址、传真等联系方式为文书、信息送达地址，变更须书面通知对方。</w:t>
      </w:r>
    </w:p>
    <w:p w14:paraId="09332E37">
      <w:pPr>
        <w:pStyle w:val="2"/>
        <w:keepNext w:val="0"/>
        <w:keepLines w:val="0"/>
        <w:spacing w:afterLines="50" w:line="560" w:lineRule="exact"/>
        <w:ind w:firstLine="562" w:firstLineChars="200"/>
        <w:rPr>
          <w:rFonts w:hAnsi="宋体" w:cs="宋体"/>
          <w:bCs/>
          <w:sz w:val="28"/>
          <w:szCs w:val="30"/>
          <w:highlight w:val="none"/>
        </w:rPr>
      </w:pPr>
      <w:bookmarkStart w:id="892" w:name="_Toc640711779"/>
      <w:bookmarkStart w:id="893" w:name="_Toc10449"/>
      <w:bookmarkStart w:id="894" w:name="_Toc7375"/>
      <w:r>
        <w:rPr>
          <w:rFonts w:hint="eastAsia" w:hAnsi="宋体" w:cs="宋体"/>
          <w:bCs/>
          <w:sz w:val="28"/>
          <w:szCs w:val="30"/>
          <w:highlight w:val="none"/>
        </w:rPr>
        <w:t>第二十一条 其他</w:t>
      </w:r>
      <w:bookmarkEnd w:id="892"/>
      <w:bookmarkEnd w:id="893"/>
      <w:bookmarkEnd w:id="894"/>
    </w:p>
    <w:p w14:paraId="1FD7E8A0">
      <w:pPr>
        <w:shd w:val="clear" w:color="auto" w:fill="FFFFFF"/>
        <w:tabs>
          <w:tab w:val="left" w:pos="0"/>
        </w:tabs>
        <w:spacing w:afterLines="50" w:line="560" w:lineRule="exact"/>
        <w:ind w:firstLine="560" w:firstLineChars="200"/>
        <w:rPr>
          <w:rFonts w:ascii="宋体" w:hAnsi="宋体" w:cs="宋体"/>
          <w:bCs/>
          <w:sz w:val="28"/>
          <w:szCs w:val="30"/>
          <w:highlight w:val="none"/>
        </w:rPr>
      </w:pPr>
      <w:r>
        <w:rPr>
          <w:rFonts w:hint="eastAsia" w:ascii="宋体" w:hAnsi="宋体" w:cs="宋体"/>
          <w:sz w:val="28"/>
          <w:szCs w:val="30"/>
          <w:highlight w:val="none"/>
        </w:rPr>
        <w:t>21.1在签订本协议时，应同时签订《保密协议》、《保密承诺书》。</w:t>
      </w:r>
    </w:p>
    <w:p w14:paraId="6B4FC34D">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21.2 《保密协议》、《保密承诺书》、招标文件、投标文件均作为本合同的组成部分，具有同等效力。</w:t>
      </w:r>
    </w:p>
    <w:p w14:paraId="67B861F3">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21.</w:t>
      </w:r>
      <w:r>
        <w:rPr>
          <w:rFonts w:hint="eastAsia" w:ascii="宋体" w:hAnsi="宋体" w:cs="宋体"/>
          <w:sz w:val="28"/>
          <w:szCs w:val="30"/>
          <w:highlight w:val="none"/>
          <w:lang w:val="en-US" w:eastAsia="zh-CN"/>
        </w:rPr>
        <w:t>3</w:t>
      </w:r>
      <w:r>
        <w:rPr>
          <w:rFonts w:hint="eastAsia" w:ascii="宋体" w:hAnsi="宋体" w:cs="宋体"/>
          <w:sz w:val="28"/>
          <w:szCs w:val="30"/>
          <w:highlight w:val="none"/>
        </w:rPr>
        <w:t>.本合同未尽事宜双方应本着友好协商的精神，根据国家的有关法律、法规、规定和项目实际对合同条款进行补充或修改。</w:t>
      </w:r>
    </w:p>
    <w:p w14:paraId="09492902">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21.</w:t>
      </w:r>
      <w:r>
        <w:rPr>
          <w:rFonts w:hint="eastAsia" w:ascii="宋体" w:hAnsi="宋体" w:cs="宋体"/>
          <w:sz w:val="28"/>
          <w:szCs w:val="30"/>
          <w:highlight w:val="none"/>
          <w:lang w:val="en-US" w:eastAsia="zh-CN"/>
        </w:rPr>
        <w:t>4</w:t>
      </w:r>
      <w:r>
        <w:rPr>
          <w:rFonts w:hint="eastAsia" w:ascii="宋体" w:hAnsi="宋体" w:cs="宋体"/>
          <w:sz w:val="28"/>
          <w:szCs w:val="30"/>
          <w:highlight w:val="none"/>
        </w:rPr>
        <w:t>经补充或修改后的合同条款所形成的合同补充协议书是合同的组成部分，对甲乙双方具有约束力。</w:t>
      </w:r>
    </w:p>
    <w:p w14:paraId="4E839EBC">
      <w:pPr>
        <w:shd w:val="clear" w:color="auto" w:fill="FFFFFF"/>
        <w:tabs>
          <w:tab w:val="left" w:pos="0"/>
        </w:tabs>
        <w:spacing w:afterLines="50" w:line="560" w:lineRule="exact"/>
        <w:ind w:firstLine="560" w:firstLineChars="200"/>
        <w:rPr>
          <w:rFonts w:ascii="宋体" w:hAnsi="宋体" w:cs="宋体"/>
          <w:sz w:val="28"/>
          <w:szCs w:val="30"/>
          <w:highlight w:val="none"/>
        </w:rPr>
      </w:pPr>
      <w:r>
        <w:rPr>
          <w:rFonts w:hint="eastAsia" w:ascii="宋体" w:hAnsi="宋体" w:cs="宋体"/>
          <w:sz w:val="28"/>
          <w:szCs w:val="30"/>
          <w:highlight w:val="none"/>
        </w:rPr>
        <w:t>21.</w:t>
      </w:r>
      <w:r>
        <w:rPr>
          <w:rFonts w:hint="eastAsia" w:ascii="宋体" w:hAnsi="宋体" w:cs="宋体"/>
          <w:sz w:val="28"/>
          <w:szCs w:val="30"/>
          <w:highlight w:val="none"/>
          <w:lang w:val="en-US" w:eastAsia="zh-CN"/>
        </w:rPr>
        <w:t>5</w:t>
      </w:r>
      <w:r>
        <w:rPr>
          <w:rFonts w:hint="eastAsia" w:ascii="宋体" w:hAnsi="宋体" w:cs="宋体"/>
          <w:sz w:val="28"/>
          <w:szCs w:val="30"/>
          <w:highlight w:val="none"/>
        </w:rPr>
        <w:t>本合同未尽事宜，遵照《中华人民共和国民法典》有关条文执行。</w:t>
      </w:r>
    </w:p>
    <w:p w14:paraId="40157701">
      <w:pPr>
        <w:spacing w:afterLines="50" w:line="560" w:lineRule="exact"/>
        <w:ind w:firstLine="560" w:firstLineChars="200"/>
        <w:rPr>
          <w:rFonts w:ascii="宋体" w:hAnsi="宋体" w:cs="宋体"/>
          <w:color w:val="000000"/>
          <w:sz w:val="28"/>
          <w:szCs w:val="30"/>
          <w:highlight w:val="none"/>
        </w:rPr>
      </w:pPr>
    </w:p>
    <w:p w14:paraId="63E27BC8">
      <w:pPr>
        <w:pStyle w:val="43"/>
        <w:shd w:val="clear" w:color="auto" w:fill="FFFFFF"/>
        <w:spacing w:afterLines="50" w:line="560" w:lineRule="exact"/>
        <w:ind w:firstLine="560" w:firstLineChars="200"/>
        <w:rPr>
          <w:rFonts w:cs="宋体"/>
          <w:kern w:val="0"/>
          <w:sz w:val="28"/>
          <w:szCs w:val="30"/>
          <w:highlight w:val="none"/>
        </w:rPr>
      </w:pPr>
      <w:r>
        <w:rPr>
          <w:rFonts w:hint="eastAsia" w:cs="宋体"/>
          <w:kern w:val="0"/>
          <w:sz w:val="28"/>
          <w:szCs w:val="30"/>
          <w:highlight w:val="none"/>
        </w:rPr>
        <w:t xml:space="preserve">甲方：（盖章）  北京市门头沟区档案史志馆                  </w:t>
      </w:r>
    </w:p>
    <w:p w14:paraId="65F89119">
      <w:pPr>
        <w:pStyle w:val="43"/>
        <w:shd w:val="clear" w:color="auto" w:fill="FFFFFF"/>
        <w:spacing w:afterLines="50" w:line="560" w:lineRule="exact"/>
        <w:ind w:firstLine="560" w:firstLineChars="200"/>
        <w:rPr>
          <w:rFonts w:cs="宋体"/>
          <w:kern w:val="0"/>
          <w:sz w:val="28"/>
          <w:szCs w:val="30"/>
          <w:highlight w:val="none"/>
        </w:rPr>
      </w:pPr>
      <w:r>
        <w:rPr>
          <w:rFonts w:hint="eastAsia" w:cs="宋体"/>
          <w:kern w:val="0"/>
          <w:sz w:val="28"/>
          <w:szCs w:val="30"/>
          <w:highlight w:val="none"/>
        </w:rPr>
        <w:t>法定代表人（授权委托人）</w:t>
      </w:r>
    </w:p>
    <w:p w14:paraId="5B3AD2A8">
      <w:pPr>
        <w:pStyle w:val="43"/>
        <w:shd w:val="clear" w:color="auto" w:fill="FFFFFF"/>
        <w:spacing w:afterLines="50" w:line="560" w:lineRule="exact"/>
        <w:ind w:firstLine="560" w:firstLineChars="200"/>
        <w:rPr>
          <w:rFonts w:cs="宋体"/>
          <w:kern w:val="0"/>
          <w:sz w:val="28"/>
          <w:szCs w:val="30"/>
          <w:highlight w:val="none"/>
        </w:rPr>
      </w:pPr>
      <w:r>
        <w:rPr>
          <w:rFonts w:hint="eastAsia" w:cs="宋体"/>
          <w:kern w:val="0"/>
          <w:sz w:val="28"/>
          <w:szCs w:val="30"/>
          <w:highlight w:val="none"/>
        </w:rPr>
        <w:t xml:space="preserve">（签章）：                          </w:t>
      </w:r>
    </w:p>
    <w:p w14:paraId="2BDEF61B">
      <w:pPr>
        <w:pStyle w:val="43"/>
        <w:shd w:val="clear" w:color="auto" w:fill="FFFFFF"/>
        <w:spacing w:afterLines="50" w:line="560" w:lineRule="exact"/>
        <w:ind w:firstLine="560" w:firstLineChars="200"/>
        <w:rPr>
          <w:rFonts w:cs="宋体"/>
          <w:kern w:val="0"/>
          <w:sz w:val="28"/>
          <w:szCs w:val="30"/>
          <w:highlight w:val="none"/>
        </w:rPr>
      </w:pPr>
      <w:r>
        <w:rPr>
          <w:rFonts w:hint="eastAsia" w:cs="宋体"/>
          <w:kern w:val="0"/>
          <w:sz w:val="28"/>
          <w:szCs w:val="30"/>
          <w:highlight w:val="none"/>
        </w:rPr>
        <w:t xml:space="preserve">联系方式：                          </w:t>
      </w:r>
    </w:p>
    <w:p w14:paraId="51AAA174">
      <w:pPr>
        <w:pStyle w:val="43"/>
        <w:shd w:val="clear" w:color="auto" w:fill="FFFFFF"/>
        <w:spacing w:afterLines="50" w:line="560" w:lineRule="exact"/>
        <w:ind w:firstLine="560" w:firstLineChars="200"/>
        <w:rPr>
          <w:rFonts w:cs="宋体"/>
          <w:kern w:val="0"/>
          <w:sz w:val="28"/>
          <w:szCs w:val="30"/>
          <w:highlight w:val="none"/>
        </w:rPr>
      </w:pPr>
      <w:r>
        <w:rPr>
          <w:rFonts w:hint="eastAsia" w:cs="宋体"/>
          <w:kern w:val="0"/>
          <w:sz w:val="28"/>
          <w:szCs w:val="30"/>
          <w:highlight w:val="none"/>
        </w:rPr>
        <w:t>时    间：        年      月      日</w:t>
      </w:r>
    </w:p>
    <w:p w14:paraId="43A6F758">
      <w:pPr>
        <w:pStyle w:val="43"/>
        <w:shd w:val="clear" w:color="auto" w:fill="FFFFFF"/>
        <w:spacing w:afterLines="50" w:line="560" w:lineRule="exact"/>
        <w:ind w:firstLine="560" w:firstLineChars="200"/>
        <w:rPr>
          <w:rFonts w:cs="宋体"/>
          <w:kern w:val="0"/>
          <w:sz w:val="28"/>
          <w:szCs w:val="30"/>
          <w:highlight w:val="none"/>
        </w:rPr>
      </w:pPr>
    </w:p>
    <w:p w14:paraId="221EC266">
      <w:pPr>
        <w:pStyle w:val="43"/>
        <w:shd w:val="clear" w:color="auto" w:fill="FFFFFF"/>
        <w:spacing w:afterLines="50" w:line="560" w:lineRule="exact"/>
        <w:ind w:firstLine="560" w:firstLineChars="200"/>
        <w:rPr>
          <w:rFonts w:cs="宋体"/>
          <w:kern w:val="0"/>
          <w:sz w:val="28"/>
          <w:szCs w:val="30"/>
          <w:highlight w:val="none"/>
        </w:rPr>
      </w:pPr>
      <w:r>
        <w:rPr>
          <w:rFonts w:hint="eastAsia" w:cs="宋体"/>
          <w:kern w:val="0"/>
          <w:sz w:val="28"/>
          <w:szCs w:val="30"/>
          <w:highlight w:val="none"/>
        </w:rPr>
        <w:t xml:space="preserve">乙方：（盖章）                     </w:t>
      </w:r>
    </w:p>
    <w:p w14:paraId="4BDD1492">
      <w:pPr>
        <w:pStyle w:val="43"/>
        <w:shd w:val="clear" w:color="auto" w:fill="FFFFFF"/>
        <w:spacing w:afterLines="50" w:line="560" w:lineRule="exact"/>
        <w:ind w:firstLine="560" w:firstLineChars="200"/>
        <w:rPr>
          <w:rFonts w:cs="宋体"/>
          <w:kern w:val="0"/>
          <w:sz w:val="28"/>
          <w:szCs w:val="30"/>
          <w:highlight w:val="none"/>
        </w:rPr>
      </w:pPr>
      <w:r>
        <w:rPr>
          <w:rFonts w:hint="eastAsia" w:cs="宋体"/>
          <w:kern w:val="0"/>
          <w:sz w:val="28"/>
          <w:szCs w:val="30"/>
          <w:highlight w:val="none"/>
        </w:rPr>
        <w:t>法定代表人（授权委托人）</w:t>
      </w:r>
    </w:p>
    <w:p w14:paraId="7C2EC44F">
      <w:pPr>
        <w:pStyle w:val="43"/>
        <w:shd w:val="clear" w:color="auto" w:fill="FFFFFF"/>
        <w:spacing w:afterLines="50" w:line="560" w:lineRule="exact"/>
        <w:ind w:firstLine="560" w:firstLineChars="200"/>
        <w:rPr>
          <w:rFonts w:cs="宋体"/>
          <w:kern w:val="0"/>
          <w:sz w:val="28"/>
          <w:szCs w:val="30"/>
          <w:highlight w:val="none"/>
        </w:rPr>
      </w:pPr>
      <w:r>
        <w:rPr>
          <w:rFonts w:hint="eastAsia" w:cs="宋体"/>
          <w:kern w:val="0"/>
          <w:sz w:val="28"/>
          <w:szCs w:val="30"/>
          <w:highlight w:val="none"/>
        </w:rPr>
        <w:t xml:space="preserve">（签章）：                          </w:t>
      </w:r>
    </w:p>
    <w:p w14:paraId="589F5536">
      <w:pPr>
        <w:pStyle w:val="43"/>
        <w:shd w:val="clear" w:color="auto" w:fill="FFFFFF"/>
        <w:spacing w:afterLines="50" w:line="560" w:lineRule="exact"/>
        <w:ind w:firstLine="560" w:firstLineChars="200"/>
        <w:rPr>
          <w:rFonts w:cs="宋体"/>
          <w:kern w:val="0"/>
          <w:sz w:val="28"/>
          <w:szCs w:val="30"/>
          <w:highlight w:val="none"/>
        </w:rPr>
      </w:pPr>
      <w:r>
        <w:rPr>
          <w:rFonts w:hint="eastAsia" w:cs="宋体"/>
          <w:kern w:val="0"/>
          <w:sz w:val="28"/>
          <w:szCs w:val="30"/>
          <w:highlight w:val="none"/>
        </w:rPr>
        <w:t xml:space="preserve">联系方式：                          </w:t>
      </w:r>
    </w:p>
    <w:p w14:paraId="09F816F0">
      <w:pPr>
        <w:pStyle w:val="43"/>
        <w:shd w:val="clear" w:color="auto" w:fill="FFFFFF"/>
        <w:spacing w:afterLines="50" w:line="560" w:lineRule="exact"/>
        <w:ind w:firstLine="560" w:firstLineChars="200"/>
        <w:rPr>
          <w:rFonts w:cs="宋体"/>
          <w:kern w:val="0"/>
          <w:sz w:val="28"/>
          <w:szCs w:val="30"/>
          <w:highlight w:val="none"/>
          <w:u w:val="single"/>
        </w:rPr>
      </w:pPr>
      <w:r>
        <w:rPr>
          <w:rFonts w:hint="eastAsia" w:cs="宋体"/>
          <w:kern w:val="0"/>
          <w:sz w:val="28"/>
          <w:szCs w:val="30"/>
          <w:highlight w:val="none"/>
        </w:rPr>
        <w:t>时    间：</w:t>
      </w:r>
      <w:r>
        <w:rPr>
          <w:rFonts w:cs="宋体"/>
          <w:kern w:val="0"/>
          <w:sz w:val="28"/>
          <w:szCs w:val="30"/>
          <w:highlight w:val="none"/>
        </w:rPr>
        <w:t xml:space="preserve">        </w:t>
      </w:r>
      <w:r>
        <w:rPr>
          <w:rFonts w:hint="eastAsia" w:cs="宋体"/>
          <w:kern w:val="0"/>
          <w:sz w:val="28"/>
          <w:szCs w:val="30"/>
          <w:highlight w:val="none"/>
        </w:rPr>
        <w:t>年      月      日</w:t>
      </w:r>
    </w:p>
    <w:p w14:paraId="08A8BA3A">
      <w:pPr>
        <w:spacing w:afterLines="50" w:line="560" w:lineRule="exact"/>
        <w:rPr>
          <w:rFonts w:ascii="宋体" w:hAnsi="宋体" w:cs="宋体"/>
          <w:b/>
          <w:color w:val="000000"/>
          <w:sz w:val="28"/>
          <w:szCs w:val="30"/>
        </w:rPr>
      </w:pPr>
    </w:p>
    <w:p w14:paraId="4A3FE5AA">
      <w:pPr>
        <w:spacing w:afterLines="50" w:line="560" w:lineRule="exact"/>
        <w:rPr>
          <w:rFonts w:ascii="宋体" w:hAnsi="宋体" w:cs="宋体"/>
          <w:b/>
          <w:color w:val="000000"/>
          <w:sz w:val="28"/>
          <w:szCs w:val="30"/>
        </w:rPr>
      </w:pPr>
    </w:p>
    <w:p w14:paraId="6BBC371D">
      <w:pPr>
        <w:pStyle w:val="2"/>
        <w:rPr>
          <w:sz w:val="24"/>
        </w:rPr>
      </w:pPr>
      <w:r>
        <w:t>第七章   投标文件格式</w:t>
      </w:r>
      <w:bookmarkEnd w:id="823"/>
      <w:bookmarkEnd w:id="824"/>
      <w:bookmarkEnd w:id="825"/>
    </w:p>
    <w:p w14:paraId="76218D6E">
      <w:pPr>
        <w:tabs>
          <w:tab w:val="left" w:pos="900"/>
          <w:tab w:val="left" w:pos="1980"/>
        </w:tabs>
        <w:snapToGrid w:val="0"/>
        <w:spacing w:line="360" w:lineRule="auto"/>
        <w:ind w:left="142"/>
        <w:rPr>
          <w:b/>
          <w:sz w:val="24"/>
        </w:rPr>
      </w:pPr>
    </w:p>
    <w:p w14:paraId="0ECB0EB4">
      <w:pPr>
        <w:tabs>
          <w:tab w:val="left" w:pos="900"/>
          <w:tab w:val="left" w:pos="1980"/>
        </w:tabs>
        <w:snapToGrid w:val="0"/>
        <w:spacing w:line="360" w:lineRule="auto"/>
        <w:ind w:left="142"/>
        <w:rPr>
          <w:sz w:val="24"/>
        </w:rPr>
      </w:pPr>
      <w:r>
        <w:rPr>
          <w:b/>
          <w:sz w:val="24"/>
        </w:rPr>
        <w:t>投标人编制文件须知</w:t>
      </w:r>
    </w:p>
    <w:p w14:paraId="2129F2D9">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0B56D09A">
      <w:pPr>
        <w:tabs>
          <w:tab w:val="left" w:pos="900"/>
          <w:tab w:val="left" w:pos="1980"/>
        </w:tabs>
        <w:snapToGrid w:val="0"/>
        <w:spacing w:line="360" w:lineRule="auto"/>
        <w:ind w:left="142"/>
        <w:rPr>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w:t>
      </w:r>
      <w:r>
        <w:rPr>
          <w:sz w:val="24"/>
        </w:rPr>
        <w:t>记“实质性格式”的文件和招标文件未提供格式的内容，可由投标人自行编写。</w:t>
      </w:r>
    </w:p>
    <w:p w14:paraId="34B80B8E">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69360387">
      <w:pPr>
        <w:tabs>
          <w:tab w:val="left" w:pos="900"/>
          <w:tab w:val="left" w:pos="1980"/>
        </w:tabs>
        <w:snapToGrid w:val="0"/>
        <w:spacing w:line="360" w:lineRule="auto"/>
        <w:ind w:left="142"/>
        <w:rPr>
          <w:b/>
          <w:bCs/>
          <w:sz w:val="24"/>
        </w:rPr>
      </w:pPr>
    </w:p>
    <w:p w14:paraId="3793C865">
      <w:pPr>
        <w:tabs>
          <w:tab w:val="left" w:pos="900"/>
          <w:tab w:val="left" w:pos="1980"/>
        </w:tabs>
        <w:snapToGrid w:val="0"/>
        <w:spacing w:line="360" w:lineRule="auto"/>
        <w:ind w:left="142"/>
        <w:rPr>
          <w:sz w:val="24"/>
        </w:rPr>
      </w:pPr>
    </w:p>
    <w:p w14:paraId="018EA714">
      <w:pPr>
        <w:tabs>
          <w:tab w:val="left" w:pos="900"/>
          <w:tab w:val="left" w:pos="1980"/>
        </w:tabs>
        <w:snapToGrid w:val="0"/>
        <w:spacing w:line="360" w:lineRule="auto"/>
        <w:ind w:left="142"/>
        <w:rPr>
          <w:b/>
          <w:kern w:val="0"/>
          <w:sz w:val="30"/>
          <w:szCs w:val="20"/>
        </w:rPr>
      </w:pPr>
      <w:r>
        <w:rPr>
          <w:sz w:val="24"/>
        </w:rPr>
        <w:br w:type="page"/>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Pr>
          <w:b/>
          <w:spacing w:val="20"/>
          <w:sz w:val="24"/>
        </w:rPr>
        <w:t>一、资格证明文件格式</w:t>
      </w:r>
    </w:p>
    <w:p w14:paraId="71685A39">
      <w:pPr>
        <w:rPr>
          <w:b/>
          <w:spacing w:val="20"/>
          <w:szCs w:val="21"/>
        </w:rPr>
      </w:pPr>
    </w:p>
    <w:p w14:paraId="2B6F9168">
      <w:pPr>
        <w:rPr>
          <w:b/>
          <w:sz w:val="24"/>
        </w:rPr>
      </w:pPr>
      <w:r>
        <w:rPr>
          <w:b/>
          <w:spacing w:val="20"/>
          <w:sz w:val="24"/>
        </w:rPr>
        <w:t>投标文件（资格证明文件）</w:t>
      </w:r>
      <w:r>
        <w:rPr>
          <w:b/>
          <w:sz w:val="24"/>
        </w:rPr>
        <w:t>封面（非实质性格式）</w:t>
      </w:r>
    </w:p>
    <w:p w14:paraId="7111E9C4">
      <w:pPr>
        <w:jc w:val="center"/>
        <w:rPr>
          <w:szCs w:val="21"/>
        </w:rPr>
      </w:pPr>
    </w:p>
    <w:p w14:paraId="427D4B07">
      <w:pPr>
        <w:jc w:val="center"/>
        <w:rPr>
          <w:b/>
          <w:spacing w:val="60"/>
          <w:sz w:val="84"/>
          <w:szCs w:val="84"/>
        </w:rPr>
      </w:pPr>
      <w:r>
        <w:rPr>
          <w:b/>
          <w:spacing w:val="60"/>
          <w:sz w:val="84"/>
          <w:szCs w:val="84"/>
        </w:rPr>
        <w:t>投 标 文 件</w:t>
      </w:r>
    </w:p>
    <w:p w14:paraId="5C51AAB9">
      <w:pPr>
        <w:jc w:val="center"/>
        <w:rPr>
          <w:b/>
          <w:spacing w:val="60"/>
          <w:sz w:val="52"/>
          <w:szCs w:val="52"/>
        </w:rPr>
      </w:pPr>
      <w:r>
        <w:rPr>
          <w:b/>
          <w:spacing w:val="60"/>
          <w:sz w:val="52"/>
          <w:szCs w:val="52"/>
        </w:rPr>
        <w:t>（资格证明文件）</w:t>
      </w:r>
    </w:p>
    <w:p w14:paraId="4F463F33">
      <w:pPr>
        <w:ind w:firstLine="542" w:firstLineChars="150"/>
        <w:rPr>
          <w:b/>
          <w:spacing w:val="20"/>
          <w:sz w:val="32"/>
          <w:szCs w:val="32"/>
        </w:rPr>
      </w:pPr>
    </w:p>
    <w:p w14:paraId="4ADCE02F">
      <w:pPr>
        <w:ind w:firstLine="542" w:firstLineChars="150"/>
        <w:rPr>
          <w:b/>
          <w:spacing w:val="20"/>
          <w:sz w:val="32"/>
          <w:szCs w:val="32"/>
        </w:rPr>
      </w:pPr>
    </w:p>
    <w:p w14:paraId="1A33E072">
      <w:pPr>
        <w:pStyle w:val="30"/>
        <w:rPr>
          <w:b/>
          <w:spacing w:val="20"/>
          <w:sz w:val="32"/>
          <w:szCs w:val="32"/>
        </w:rPr>
      </w:pPr>
    </w:p>
    <w:p w14:paraId="0D9C4AD9">
      <w:pPr>
        <w:pStyle w:val="30"/>
        <w:rPr>
          <w:b/>
          <w:spacing w:val="20"/>
          <w:sz w:val="32"/>
          <w:szCs w:val="32"/>
        </w:rPr>
      </w:pPr>
    </w:p>
    <w:p w14:paraId="0108595A">
      <w:pPr>
        <w:pStyle w:val="30"/>
        <w:rPr>
          <w:b/>
          <w:spacing w:val="20"/>
          <w:sz w:val="32"/>
          <w:szCs w:val="32"/>
        </w:rPr>
      </w:pPr>
    </w:p>
    <w:p w14:paraId="67A93640">
      <w:pPr>
        <w:pStyle w:val="30"/>
        <w:rPr>
          <w:b/>
          <w:spacing w:val="20"/>
          <w:sz w:val="32"/>
          <w:szCs w:val="32"/>
        </w:rPr>
      </w:pPr>
    </w:p>
    <w:p w14:paraId="057BE7B4">
      <w:pPr>
        <w:ind w:firstLine="542" w:firstLineChars="150"/>
        <w:rPr>
          <w:b/>
          <w:spacing w:val="20"/>
          <w:sz w:val="32"/>
          <w:szCs w:val="32"/>
        </w:rPr>
      </w:pPr>
      <w:r>
        <w:rPr>
          <w:rFonts w:hint="eastAsia"/>
          <w:b/>
          <w:spacing w:val="20"/>
          <w:sz w:val="32"/>
          <w:szCs w:val="32"/>
        </w:rPr>
        <w:t>项目名称：</w:t>
      </w:r>
    </w:p>
    <w:p w14:paraId="754DEEEB">
      <w:pPr>
        <w:pStyle w:val="30"/>
      </w:pPr>
    </w:p>
    <w:p w14:paraId="6680A9BE">
      <w:pPr>
        <w:ind w:firstLine="542" w:firstLineChars="150"/>
        <w:rPr>
          <w:b/>
          <w:spacing w:val="20"/>
          <w:sz w:val="32"/>
          <w:szCs w:val="32"/>
        </w:rPr>
      </w:pPr>
    </w:p>
    <w:p w14:paraId="6E8F2845">
      <w:pPr>
        <w:pStyle w:val="30"/>
        <w:rPr>
          <w:b/>
          <w:spacing w:val="20"/>
          <w:sz w:val="32"/>
          <w:szCs w:val="32"/>
        </w:rPr>
      </w:pPr>
    </w:p>
    <w:p w14:paraId="2810AC56">
      <w:pPr>
        <w:spacing w:before="36" w:line="225" w:lineRule="auto"/>
        <w:ind w:left="545"/>
        <w:rPr>
          <w:b/>
          <w:spacing w:val="20"/>
          <w:sz w:val="32"/>
          <w:szCs w:val="32"/>
        </w:rPr>
      </w:pPr>
      <w:r>
        <w:rPr>
          <w:b/>
          <w:spacing w:val="20"/>
          <w:sz w:val="32"/>
          <w:szCs w:val="32"/>
        </w:rPr>
        <w:t>项目编号：</w:t>
      </w:r>
    </w:p>
    <w:p w14:paraId="17E196F3">
      <w:pPr>
        <w:ind w:firstLine="542" w:firstLineChars="150"/>
        <w:rPr>
          <w:b/>
          <w:spacing w:val="20"/>
          <w:sz w:val="32"/>
          <w:szCs w:val="32"/>
        </w:rPr>
      </w:pPr>
    </w:p>
    <w:p w14:paraId="7AD4973D">
      <w:pPr>
        <w:ind w:firstLine="542" w:firstLineChars="150"/>
        <w:rPr>
          <w:b/>
          <w:spacing w:val="20"/>
          <w:sz w:val="32"/>
          <w:szCs w:val="32"/>
        </w:rPr>
      </w:pPr>
    </w:p>
    <w:p w14:paraId="06298164">
      <w:pPr>
        <w:jc w:val="center"/>
        <w:rPr>
          <w:b/>
          <w:sz w:val="32"/>
          <w:szCs w:val="32"/>
        </w:rPr>
      </w:pPr>
    </w:p>
    <w:p w14:paraId="3B601336">
      <w:pPr>
        <w:jc w:val="center"/>
        <w:rPr>
          <w:b/>
          <w:sz w:val="32"/>
          <w:szCs w:val="32"/>
        </w:rPr>
      </w:pPr>
    </w:p>
    <w:p w14:paraId="0BAE064D">
      <w:pPr>
        <w:jc w:val="center"/>
        <w:rPr>
          <w:b/>
          <w:sz w:val="32"/>
          <w:szCs w:val="32"/>
        </w:rPr>
      </w:pPr>
    </w:p>
    <w:p w14:paraId="5CC37866">
      <w:pPr>
        <w:jc w:val="center"/>
        <w:rPr>
          <w:b/>
          <w:spacing w:val="20"/>
          <w:sz w:val="32"/>
          <w:szCs w:val="32"/>
        </w:rPr>
      </w:pPr>
    </w:p>
    <w:p w14:paraId="504D348A">
      <w:pPr>
        <w:jc w:val="center"/>
        <w:rPr>
          <w:b/>
          <w:spacing w:val="20"/>
          <w:sz w:val="32"/>
          <w:szCs w:val="32"/>
        </w:rPr>
      </w:pPr>
    </w:p>
    <w:p w14:paraId="173842E5">
      <w:pPr>
        <w:jc w:val="center"/>
        <w:rPr>
          <w:b/>
          <w:spacing w:val="20"/>
          <w:sz w:val="32"/>
          <w:szCs w:val="32"/>
        </w:rPr>
      </w:pPr>
    </w:p>
    <w:p w14:paraId="4FAEB315">
      <w:pPr>
        <w:spacing w:line="360" w:lineRule="auto"/>
        <w:ind w:firstLine="1445" w:firstLineChars="400"/>
        <w:jc w:val="left"/>
        <w:rPr>
          <w:b/>
          <w:spacing w:val="20"/>
          <w:sz w:val="32"/>
          <w:szCs w:val="32"/>
        </w:rPr>
      </w:pPr>
      <w:r>
        <w:rPr>
          <w:b/>
          <w:spacing w:val="20"/>
          <w:sz w:val="32"/>
          <w:szCs w:val="32"/>
        </w:rPr>
        <w:t>投标人名称：</w:t>
      </w:r>
    </w:p>
    <w:p w14:paraId="30BEAA77">
      <w:pPr>
        <w:jc w:val="center"/>
        <w:rPr>
          <w:b/>
          <w:sz w:val="32"/>
          <w:szCs w:val="32"/>
        </w:rPr>
      </w:pPr>
    </w:p>
    <w:p w14:paraId="550E9BBC">
      <w:pPr>
        <w:rPr>
          <w:b/>
        </w:rPr>
      </w:pPr>
      <w:r>
        <w:rPr>
          <w:b/>
          <w:spacing w:val="20"/>
          <w:sz w:val="32"/>
          <w:szCs w:val="32"/>
        </w:rPr>
        <w:br w:type="page"/>
      </w:r>
    </w:p>
    <w:p w14:paraId="2142D0A5">
      <w:pPr>
        <w:spacing w:line="360" w:lineRule="auto"/>
        <w:outlineLvl w:val="2"/>
        <w:rPr>
          <w:color w:val="000000"/>
          <w:sz w:val="24"/>
          <w:szCs w:val="20"/>
        </w:rPr>
      </w:pPr>
      <w:r>
        <w:rPr>
          <w:color w:val="000000"/>
          <w:sz w:val="24"/>
          <w:szCs w:val="20"/>
        </w:rPr>
        <w:t xml:space="preserve">1 </w:t>
      </w:r>
      <w:r>
        <w:rPr>
          <w:sz w:val="24"/>
        </w:rPr>
        <w:t>满足《中华人民共和国政府采购法》第二十二条规定及法律法规的其他规定</w:t>
      </w:r>
    </w:p>
    <w:p w14:paraId="18EB411C">
      <w:pPr>
        <w:spacing w:line="360" w:lineRule="auto"/>
        <w:outlineLvl w:val="2"/>
        <w:rPr>
          <w:color w:val="000000"/>
          <w:sz w:val="24"/>
          <w:szCs w:val="20"/>
        </w:rPr>
      </w:pPr>
      <w:r>
        <w:rPr>
          <w:color w:val="000000"/>
          <w:sz w:val="24"/>
          <w:szCs w:val="20"/>
        </w:rPr>
        <w:t>1-1营业执照等证明文件</w:t>
      </w:r>
    </w:p>
    <w:p w14:paraId="7A4060F4">
      <w:pPr>
        <w:tabs>
          <w:tab w:val="left" w:pos="1080"/>
        </w:tabs>
        <w:snapToGrid w:val="0"/>
        <w:rPr>
          <w:sz w:val="24"/>
        </w:rPr>
      </w:pPr>
    </w:p>
    <w:p w14:paraId="3896B051">
      <w:pPr>
        <w:widowControl/>
        <w:jc w:val="left"/>
        <w:rPr>
          <w:bCs/>
          <w:color w:val="000000"/>
        </w:rPr>
      </w:pPr>
      <w:r>
        <w:rPr>
          <w:color w:val="000000"/>
          <w:sz w:val="24"/>
        </w:rPr>
        <w:br w:type="page"/>
      </w:r>
      <w:r>
        <w:rPr>
          <w:color w:val="000000"/>
        </w:rPr>
        <w:t>1-2 投标人资格声明书（实质性格式）</w:t>
      </w:r>
    </w:p>
    <w:p w14:paraId="3BF6EF03">
      <w:pPr>
        <w:jc w:val="center"/>
        <w:rPr>
          <w:b/>
          <w:color w:val="000000"/>
          <w:sz w:val="36"/>
          <w:szCs w:val="36"/>
        </w:rPr>
      </w:pPr>
      <w:r>
        <w:rPr>
          <w:rFonts w:hint="eastAsia"/>
          <w:b/>
          <w:color w:val="000000"/>
          <w:sz w:val="36"/>
          <w:szCs w:val="36"/>
        </w:rPr>
        <w:t>投标人资格声明书</w:t>
      </w:r>
    </w:p>
    <w:p w14:paraId="21EEEBF9">
      <w:pPr>
        <w:tabs>
          <w:tab w:val="left" w:pos="5580"/>
        </w:tabs>
        <w:spacing w:line="360" w:lineRule="auto"/>
        <w:rPr>
          <w:sz w:val="24"/>
        </w:rPr>
      </w:pPr>
    </w:p>
    <w:p w14:paraId="471E95AA">
      <w:pPr>
        <w:tabs>
          <w:tab w:val="left" w:pos="5580"/>
        </w:tabs>
        <w:spacing w:line="360" w:lineRule="auto"/>
        <w:rPr>
          <w:sz w:val="24"/>
        </w:rPr>
      </w:pPr>
      <w:r>
        <w:rPr>
          <w:sz w:val="24"/>
        </w:rPr>
        <w:t>致：</w:t>
      </w:r>
      <w:r>
        <w:rPr>
          <w:sz w:val="24"/>
          <w:u w:val="single"/>
        </w:rPr>
        <w:t>采购人或采购代理机构</w:t>
      </w:r>
    </w:p>
    <w:p w14:paraId="11D2561E">
      <w:pPr>
        <w:spacing w:line="360" w:lineRule="auto"/>
        <w:ind w:firstLine="480" w:firstLineChars="200"/>
        <w:rPr>
          <w:sz w:val="24"/>
        </w:rPr>
      </w:pPr>
      <w:r>
        <w:rPr>
          <w:sz w:val="24"/>
        </w:rPr>
        <w:t>在参与本次项目投标中，我单位承诺：</w:t>
      </w:r>
    </w:p>
    <w:p w14:paraId="653FF935">
      <w:pPr>
        <w:numPr>
          <w:ilvl w:val="0"/>
          <w:numId w:val="23"/>
        </w:numPr>
        <w:spacing w:line="360" w:lineRule="auto"/>
        <w:ind w:left="1134"/>
        <w:rPr>
          <w:sz w:val="24"/>
          <w:szCs w:val="22"/>
        </w:rPr>
      </w:pPr>
      <w:r>
        <w:rPr>
          <w:sz w:val="24"/>
          <w:szCs w:val="22"/>
        </w:rPr>
        <w:t>具有良好的商业信誉和健全的财务会计制度；</w:t>
      </w:r>
    </w:p>
    <w:p w14:paraId="56EF277F">
      <w:pPr>
        <w:numPr>
          <w:ilvl w:val="0"/>
          <w:numId w:val="23"/>
        </w:numPr>
        <w:spacing w:line="360" w:lineRule="auto"/>
        <w:ind w:left="1134"/>
        <w:rPr>
          <w:sz w:val="24"/>
          <w:szCs w:val="22"/>
        </w:rPr>
      </w:pPr>
      <w:r>
        <w:rPr>
          <w:sz w:val="24"/>
          <w:szCs w:val="22"/>
        </w:rPr>
        <w:t>具有履行合同所必需的设备和专业技术能力；</w:t>
      </w:r>
    </w:p>
    <w:p w14:paraId="67588B83">
      <w:pPr>
        <w:numPr>
          <w:ilvl w:val="0"/>
          <w:numId w:val="23"/>
        </w:numPr>
        <w:spacing w:line="360" w:lineRule="auto"/>
        <w:ind w:left="1134"/>
        <w:rPr>
          <w:sz w:val="24"/>
          <w:szCs w:val="22"/>
        </w:rPr>
      </w:pPr>
      <w:r>
        <w:rPr>
          <w:sz w:val="24"/>
          <w:szCs w:val="22"/>
        </w:rPr>
        <w:t>有依法缴纳税收和社会保障资金的良好记录；</w:t>
      </w:r>
    </w:p>
    <w:p w14:paraId="38E10C60">
      <w:pPr>
        <w:numPr>
          <w:ilvl w:val="0"/>
          <w:numId w:val="23"/>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5A360A4">
      <w:pPr>
        <w:numPr>
          <w:ilvl w:val="0"/>
          <w:numId w:val="23"/>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21C0B117">
      <w:pPr>
        <w:numPr>
          <w:ilvl w:val="0"/>
          <w:numId w:val="23"/>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2EA29A29">
      <w:pPr>
        <w:numPr>
          <w:ilvl w:val="0"/>
          <w:numId w:val="23"/>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5"/>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6DD1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8AB9E13">
            <w:pPr>
              <w:jc w:val="center"/>
              <w:rPr>
                <w:sz w:val="24"/>
              </w:rPr>
            </w:pPr>
            <w:r>
              <w:rPr>
                <w:sz w:val="24"/>
              </w:rPr>
              <w:t>序号</w:t>
            </w:r>
          </w:p>
        </w:tc>
        <w:tc>
          <w:tcPr>
            <w:tcW w:w="4574" w:type="dxa"/>
            <w:vAlign w:val="center"/>
          </w:tcPr>
          <w:p w14:paraId="1A4E7B9E">
            <w:pPr>
              <w:jc w:val="center"/>
              <w:rPr>
                <w:sz w:val="24"/>
              </w:rPr>
            </w:pPr>
            <w:r>
              <w:rPr>
                <w:sz w:val="24"/>
              </w:rPr>
              <w:t>单位名称</w:t>
            </w:r>
          </w:p>
        </w:tc>
        <w:tc>
          <w:tcPr>
            <w:tcW w:w="2976" w:type="dxa"/>
            <w:vAlign w:val="center"/>
          </w:tcPr>
          <w:p w14:paraId="1586FA15">
            <w:pPr>
              <w:jc w:val="center"/>
              <w:rPr>
                <w:sz w:val="24"/>
              </w:rPr>
            </w:pPr>
            <w:r>
              <w:rPr>
                <w:sz w:val="24"/>
              </w:rPr>
              <w:t>相互关系</w:t>
            </w:r>
          </w:p>
        </w:tc>
      </w:tr>
      <w:tr w14:paraId="58B0B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834FC32">
            <w:pPr>
              <w:jc w:val="center"/>
              <w:rPr>
                <w:sz w:val="24"/>
              </w:rPr>
            </w:pPr>
            <w:r>
              <w:rPr>
                <w:sz w:val="24"/>
              </w:rPr>
              <w:t>1</w:t>
            </w:r>
          </w:p>
        </w:tc>
        <w:tc>
          <w:tcPr>
            <w:tcW w:w="4574" w:type="dxa"/>
            <w:vAlign w:val="center"/>
          </w:tcPr>
          <w:p w14:paraId="1C84F4C2">
            <w:pPr>
              <w:jc w:val="center"/>
              <w:rPr>
                <w:sz w:val="24"/>
              </w:rPr>
            </w:pPr>
          </w:p>
        </w:tc>
        <w:tc>
          <w:tcPr>
            <w:tcW w:w="2976" w:type="dxa"/>
            <w:vAlign w:val="center"/>
          </w:tcPr>
          <w:p w14:paraId="140A821D">
            <w:pPr>
              <w:jc w:val="center"/>
              <w:rPr>
                <w:sz w:val="24"/>
              </w:rPr>
            </w:pPr>
          </w:p>
        </w:tc>
      </w:tr>
      <w:tr w14:paraId="2383D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12F8250">
            <w:pPr>
              <w:jc w:val="center"/>
              <w:rPr>
                <w:sz w:val="24"/>
              </w:rPr>
            </w:pPr>
            <w:r>
              <w:rPr>
                <w:sz w:val="24"/>
              </w:rPr>
              <w:t>2</w:t>
            </w:r>
          </w:p>
        </w:tc>
        <w:tc>
          <w:tcPr>
            <w:tcW w:w="4574" w:type="dxa"/>
            <w:vAlign w:val="center"/>
          </w:tcPr>
          <w:p w14:paraId="2DE2487E">
            <w:pPr>
              <w:jc w:val="center"/>
              <w:rPr>
                <w:sz w:val="24"/>
              </w:rPr>
            </w:pPr>
          </w:p>
        </w:tc>
        <w:tc>
          <w:tcPr>
            <w:tcW w:w="2976" w:type="dxa"/>
            <w:vAlign w:val="center"/>
          </w:tcPr>
          <w:p w14:paraId="7063B852">
            <w:pPr>
              <w:jc w:val="center"/>
              <w:rPr>
                <w:sz w:val="24"/>
              </w:rPr>
            </w:pPr>
          </w:p>
        </w:tc>
      </w:tr>
      <w:tr w14:paraId="244B3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4BA37F0">
            <w:pPr>
              <w:jc w:val="center"/>
              <w:rPr>
                <w:sz w:val="24"/>
              </w:rPr>
            </w:pPr>
            <w:r>
              <w:rPr>
                <w:sz w:val="24"/>
              </w:rPr>
              <w:t>…</w:t>
            </w:r>
          </w:p>
        </w:tc>
        <w:tc>
          <w:tcPr>
            <w:tcW w:w="4574" w:type="dxa"/>
            <w:vAlign w:val="center"/>
          </w:tcPr>
          <w:p w14:paraId="0EEA4E05">
            <w:pPr>
              <w:jc w:val="center"/>
              <w:rPr>
                <w:sz w:val="24"/>
              </w:rPr>
            </w:pPr>
          </w:p>
        </w:tc>
        <w:tc>
          <w:tcPr>
            <w:tcW w:w="2976" w:type="dxa"/>
            <w:vAlign w:val="center"/>
          </w:tcPr>
          <w:p w14:paraId="184C9706">
            <w:pPr>
              <w:jc w:val="center"/>
              <w:rPr>
                <w:sz w:val="24"/>
              </w:rPr>
            </w:pPr>
          </w:p>
        </w:tc>
      </w:tr>
    </w:tbl>
    <w:p w14:paraId="3CD67E0C"/>
    <w:p w14:paraId="60010C91">
      <w:pPr>
        <w:ind w:firstLine="480" w:firstLineChars="200"/>
        <w:rPr>
          <w:sz w:val="24"/>
          <w:szCs w:val="22"/>
        </w:rPr>
      </w:pPr>
      <w:r>
        <w:rPr>
          <w:sz w:val="24"/>
        </w:rPr>
        <w:t>上述声明真实有效，否则我方负全部责任。</w:t>
      </w:r>
    </w:p>
    <w:p w14:paraId="5C71450A">
      <w:pPr>
        <w:spacing w:line="360" w:lineRule="auto"/>
        <w:rPr>
          <w:sz w:val="24"/>
        </w:rPr>
      </w:pPr>
    </w:p>
    <w:p w14:paraId="51D6621F">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14:paraId="19FC3A55">
      <w:pPr>
        <w:spacing w:line="360" w:lineRule="auto"/>
        <w:ind w:right="360" w:firstLine="480"/>
        <w:jc w:val="right"/>
        <w:rPr>
          <w:sz w:val="24"/>
        </w:rPr>
      </w:pPr>
      <w:r>
        <w:rPr>
          <w:color w:val="000000"/>
          <w:sz w:val="24"/>
          <w:szCs w:val="20"/>
        </w:rPr>
        <w:t xml:space="preserve">日期：_____年______月______日   </w:t>
      </w:r>
    </w:p>
    <w:p w14:paraId="5B56CB41">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68506464">
      <w:pPr>
        <w:tabs>
          <w:tab w:val="left" w:pos="5580"/>
        </w:tabs>
        <w:spacing w:line="360" w:lineRule="auto"/>
        <w:rPr>
          <w:sz w:val="24"/>
        </w:rPr>
        <w:sectPr>
          <w:pgSz w:w="11907" w:h="16840"/>
          <w:pgMar w:top="1418" w:right="1134" w:bottom="1418" w:left="1701" w:header="851" w:footer="851" w:gutter="0"/>
          <w:cols w:space="720" w:num="1"/>
          <w:docGrid w:linePitch="462" w:charSpace="0"/>
        </w:sectPr>
      </w:pPr>
    </w:p>
    <w:p w14:paraId="03FC84FB">
      <w:pPr>
        <w:spacing w:line="360" w:lineRule="auto"/>
        <w:outlineLvl w:val="2"/>
        <w:rPr>
          <w:color w:val="000000"/>
          <w:sz w:val="24"/>
          <w:szCs w:val="20"/>
        </w:rPr>
      </w:pPr>
      <w:r>
        <w:rPr>
          <w:color w:val="000000"/>
          <w:sz w:val="24"/>
          <w:szCs w:val="20"/>
        </w:rPr>
        <w:t>2 落实政府采购政策需满足的资格要求（如有）</w:t>
      </w:r>
    </w:p>
    <w:p w14:paraId="6464C7CA">
      <w:pPr>
        <w:spacing w:line="360" w:lineRule="auto"/>
        <w:outlineLvl w:val="2"/>
        <w:rPr>
          <w:color w:val="000000"/>
          <w:sz w:val="24"/>
          <w:szCs w:val="20"/>
        </w:rPr>
      </w:pPr>
      <w:r>
        <w:rPr>
          <w:color w:val="000000"/>
          <w:sz w:val="24"/>
          <w:szCs w:val="20"/>
        </w:rPr>
        <w:t>2-1中小</w:t>
      </w:r>
      <w:r>
        <w:rPr>
          <w:sz w:val="24"/>
        </w:rPr>
        <w:t>企业政策证明文件</w:t>
      </w:r>
    </w:p>
    <w:p w14:paraId="386DE596">
      <w:pPr>
        <w:tabs>
          <w:tab w:val="left" w:pos="5580"/>
        </w:tabs>
        <w:spacing w:line="360" w:lineRule="auto"/>
        <w:rPr>
          <w:sz w:val="24"/>
        </w:rPr>
      </w:pPr>
      <w:r>
        <w:rPr>
          <w:sz w:val="24"/>
        </w:rPr>
        <w:t>说明：</w:t>
      </w:r>
    </w:p>
    <w:p w14:paraId="7638D2D3">
      <w:pPr>
        <w:tabs>
          <w:tab w:val="left" w:pos="5580"/>
        </w:tabs>
        <w:spacing w:line="360" w:lineRule="auto"/>
        <w:rPr>
          <w:sz w:val="24"/>
        </w:rPr>
      </w:pPr>
      <w:r>
        <w:rPr>
          <w:sz w:val="24"/>
        </w:rPr>
        <w:t>（1）如本项目（包）不专门面向中小企业预留采购份额， 资格证明文件部分无需</w:t>
      </w:r>
      <w:r>
        <w:rPr>
          <w:rFonts w:hint="eastAsia"/>
          <w:sz w:val="24"/>
        </w:rPr>
        <w:t>提</w:t>
      </w:r>
      <w:r>
        <w:rPr>
          <w:sz w:val="24"/>
        </w:rPr>
        <w:t>供 《中小企业声明函》或《残疾人福利性单位声明函》或由省级以上监狱管理局、戒毒管 理局（含新疆生产建设兵团） 出具的属于监狱企业的证明文件； 供应商如具有上述证明文件，建议在商务技术文件中</w:t>
      </w:r>
      <w:r>
        <w:rPr>
          <w:rFonts w:hint="eastAsia"/>
          <w:sz w:val="24"/>
        </w:rPr>
        <w:t>提</w:t>
      </w:r>
      <w:r>
        <w:rPr>
          <w:sz w:val="24"/>
        </w:rPr>
        <w:t>供。</w:t>
      </w:r>
    </w:p>
    <w:p w14:paraId="430BAF07">
      <w:pPr>
        <w:tabs>
          <w:tab w:val="left" w:pos="5580"/>
        </w:tabs>
        <w:spacing w:line="360" w:lineRule="auto"/>
        <w:rPr>
          <w:sz w:val="24"/>
        </w:rPr>
      </w:pPr>
      <w:r>
        <w:rPr>
          <w:sz w:val="24"/>
        </w:rPr>
        <w:t>（2）如本项目（包） 专门面向中小企业采购， 投标文件中须</w:t>
      </w:r>
      <w:r>
        <w:rPr>
          <w:rFonts w:hint="eastAsia"/>
          <w:sz w:val="24"/>
        </w:rPr>
        <w:t>提</w:t>
      </w:r>
      <w:r>
        <w:rPr>
          <w:sz w:val="24"/>
        </w:rPr>
        <w:t>供《中小企业声明函》 或《残疾人福利性单位声明函》或由省级以上监狱管理局、戒毒管理局（含新疆生产建</w:t>
      </w:r>
    </w:p>
    <w:p w14:paraId="38D4FBE4">
      <w:pPr>
        <w:tabs>
          <w:tab w:val="left" w:pos="5580"/>
        </w:tabs>
        <w:spacing w:line="360" w:lineRule="auto"/>
        <w:rPr>
          <w:sz w:val="24"/>
        </w:rPr>
      </w:pPr>
      <w:r>
        <w:rPr>
          <w:sz w:val="24"/>
        </w:rPr>
        <w:t>设兵团）出具的属于监狱企业的证明文件，且建议在资格证明文件部分</w:t>
      </w:r>
      <w:r>
        <w:rPr>
          <w:rFonts w:hint="eastAsia"/>
          <w:sz w:val="24"/>
        </w:rPr>
        <w:t>提</w:t>
      </w:r>
      <w:r>
        <w:rPr>
          <w:sz w:val="24"/>
        </w:rPr>
        <w:t>供。</w:t>
      </w:r>
    </w:p>
    <w:p w14:paraId="58574D65">
      <w:pPr>
        <w:tabs>
          <w:tab w:val="left" w:pos="5580"/>
        </w:tabs>
        <w:spacing w:line="360" w:lineRule="auto"/>
        <w:rPr>
          <w:sz w:val="24"/>
        </w:rPr>
      </w:pPr>
      <w:r>
        <w:rPr>
          <w:sz w:val="24"/>
        </w:rPr>
        <w:t>（3）如本项目（包） 预留部分采购项目预算专门面向中小企业采购，且要求获得采购 合同的供应商将采购项目中的一定比例分包给一家或者多家中小企业的， 投标文件中除须</w:t>
      </w:r>
      <w:r>
        <w:rPr>
          <w:rFonts w:hint="eastAsia"/>
          <w:sz w:val="24"/>
        </w:rPr>
        <w:t>提</w:t>
      </w:r>
      <w:r>
        <w:rPr>
          <w:sz w:val="24"/>
        </w:rPr>
        <w:t>供《中小企业声明函》或《残疾人福利性单位声明函》或由省级以上监狱管理局、 戒毒管理局（含新疆生产建设兵团）出具的属于监狱企业的证明文件， 还须同</w:t>
      </w:r>
      <w:r>
        <w:rPr>
          <w:rFonts w:hint="eastAsia"/>
          <w:sz w:val="24"/>
        </w:rPr>
        <w:t>提</w:t>
      </w:r>
      <w:r>
        <w:rPr>
          <w:sz w:val="24"/>
        </w:rPr>
        <w:t>供《拟分包情况说明》及《分包意向协议》，且建议在资格证明文件部分</w:t>
      </w:r>
      <w:r>
        <w:rPr>
          <w:rFonts w:hint="eastAsia"/>
          <w:sz w:val="24"/>
        </w:rPr>
        <w:t>提</w:t>
      </w:r>
      <w:r>
        <w:rPr>
          <w:sz w:val="24"/>
        </w:rPr>
        <w:t>供。</w:t>
      </w:r>
    </w:p>
    <w:p w14:paraId="18E9BD79">
      <w:pPr>
        <w:tabs>
          <w:tab w:val="left" w:pos="5580"/>
        </w:tabs>
        <w:spacing w:line="360" w:lineRule="auto"/>
        <w:rPr>
          <w:sz w:val="24"/>
        </w:rPr>
      </w:pPr>
      <w:r>
        <w:rPr>
          <w:sz w:val="24"/>
        </w:rPr>
        <w:t>（4）如本项目（包）预留部分采购项目预算专门面向中小企业采购，且要求供应商以 联合体形式参加采购活动，投标文件中除须⃞供《中小企业声明函》或《残疾人福利性 单位声明函》或由省级以上监狱管理局、戒毒管理局（含新疆生产建设兵团） 出具的属于监狱企业的证明文件，还须同时</w:t>
      </w:r>
      <w:r>
        <w:rPr>
          <w:rFonts w:hint="eastAsia"/>
          <w:sz w:val="24"/>
        </w:rPr>
        <w:t>提</w:t>
      </w:r>
      <w:r>
        <w:rPr>
          <w:sz w:val="24"/>
        </w:rPr>
        <w:t>供《联合协议》；上述文件建议在资格证明文件部</w:t>
      </w:r>
    </w:p>
    <w:p w14:paraId="6C0D3F13">
      <w:pPr>
        <w:tabs>
          <w:tab w:val="left" w:pos="5580"/>
        </w:tabs>
        <w:spacing w:line="360" w:lineRule="auto"/>
        <w:rPr>
          <w:sz w:val="24"/>
        </w:rPr>
      </w:pPr>
      <w:r>
        <w:rPr>
          <w:sz w:val="24"/>
        </w:rPr>
        <w:t>分</w:t>
      </w:r>
      <w:r>
        <w:rPr>
          <w:rFonts w:hint="eastAsia"/>
          <w:sz w:val="24"/>
        </w:rPr>
        <w:t>提</w:t>
      </w:r>
      <w:r>
        <w:rPr>
          <w:sz w:val="24"/>
        </w:rPr>
        <w:t>供。</w:t>
      </w:r>
    </w:p>
    <w:p w14:paraId="3D7683D7">
      <w:pPr>
        <w:tabs>
          <w:tab w:val="left" w:pos="5580"/>
        </w:tabs>
        <w:spacing w:line="360" w:lineRule="auto"/>
        <w:rPr>
          <w:sz w:val="24"/>
        </w:rPr>
      </w:pPr>
      <w:r>
        <w:rPr>
          <w:sz w:val="24"/>
        </w:rPr>
        <w:t>（5）中小企业声明函填写注意事项</w:t>
      </w:r>
    </w:p>
    <w:p w14:paraId="6C323C77">
      <w:pPr>
        <w:tabs>
          <w:tab w:val="left" w:pos="5580"/>
        </w:tabs>
        <w:spacing w:line="360" w:lineRule="auto"/>
        <w:rPr>
          <w:sz w:val="24"/>
        </w:rPr>
      </w:pPr>
      <w:r>
        <w:rPr>
          <w:sz w:val="24"/>
        </w:rPr>
        <w:t>1）《中小企业声明函》由参加政府采购活动的投标人出具。联合体投标的，《中小企业声明函》可由牵头人出具。</w:t>
      </w:r>
    </w:p>
    <w:p w14:paraId="7BD0C22A">
      <w:pPr>
        <w:tabs>
          <w:tab w:val="left" w:pos="5580"/>
        </w:tabs>
        <w:spacing w:line="360" w:lineRule="auto"/>
        <w:rPr>
          <w:sz w:val="24"/>
        </w:rPr>
      </w:pPr>
      <w:r>
        <w:rPr>
          <w:sz w:val="24"/>
        </w:rPr>
        <w:t xml:space="preserve">2）对于联合体中由中小企业承担的部分，或者分包给中小企业的部分，必须全部由中 小企业制造、承建或者承接。供应商应当在声明函 </w:t>
      </w:r>
      <w:r>
        <w:rPr>
          <w:sz w:val="24"/>
        </w:rPr>
        <w:drawing>
          <wp:inline distT="0" distB="0" distL="0" distR="0">
            <wp:extent cx="65405" cy="38100"/>
            <wp:effectExtent l="0" t="0" r="10795" b="7620"/>
            <wp:docPr id="228" name="IM 228"/>
            <wp:cNvGraphicFramePr/>
            <a:graphic xmlns:a="http://schemas.openxmlformats.org/drawingml/2006/main">
              <a:graphicData uri="http://schemas.openxmlformats.org/drawingml/2006/picture">
                <pic:pic xmlns:pic="http://schemas.openxmlformats.org/drawingml/2006/picture">
                  <pic:nvPicPr>
                    <pic:cNvPr id="228" name="IM 228"/>
                    <pic:cNvPicPr/>
                  </pic:nvPicPr>
                  <pic:blipFill>
                    <a:blip r:embed="rId29" cstate="print"/>
                    <a:stretch>
                      <a:fillRect/>
                    </a:stretch>
                  </pic:blipFill>
                  <pic:spPr>
                    <a:xfrm>
                      <a:off x="0" y="0"/>
                      <a:ext cx="65992" cy="38254"/>
                    </a:xfrm>
                    <a:prstGeom prst="rect">
                      <a:avLst/>
                    </a:prstGeom>
                  </pic:spPr>
                </pic:pic>
              </a:graphicData>
            </a:graphic>
          </wp:inline>
        </w:drawing>
      </w:r>
      <w:r>
        <w:rPr>
          <w:rFonts w:hint="eastAsia"/>
          <w:sz w:val="24"/>
        </w:rPr>
        <w:t>项目名称</w:t>
      </w:r>
      <w:r>
        <w:rPr>
          <w:sz w:val="24"/>
        </w:rPr>
        <w:t xml:space="preserve"> </w:t>
      </w:r>
      <w:r>
        <w:rPr>
          <w:sz w:val="24"/>
        </w:rPr>
        <w:drawing>
          <wp:inline distT="0" distB="0" distL="0" distR="0">
            <wp:extent cx="65405" cy="38100"/>
            <wp:effectExtent l="0" t="0" r="10795" b="7620"/>
            <wp:docPr id="230" name="IM 230"/>
            <wp:cNvGraphicFramePr/>
            <a:graphic xmlns:a="http://schemas.openxmlformats.org/drawingml/2006/main">
              <a:graphicData uri="http://schemas.openxmlformats.org/drawingml/2006/picture">
                <pic:pic xmlns:pic="http://schemas.openxmlformats.org/drawingml/2006/picture">
                  <pic:nvPicPr>
                    <pic:cNvPr id="230" name="IM 230"/>
                    <pic:cNvPicPr/>
                  </pic:nvPicPr>
                  <pic:blipFill>
                    <a:blip r:embed="rId30" cstate="print"/>
                    <a:stretch>
                      <a:fillRect/>
                    </a:stretch>
                  </pic:blipFill>
                  <pic:spPr>
                    <a:xfrm>
                      <a:off x="0" y="0"/>
                      <a:ext cx="65992" cy="38254"/>
                    </a:xfrm>
                    <a:prstGeom prst="rect">
                      <a:avLst/>
                    </a:prstGeom>
                  </pic:spPr>
                </pic:pic>
              </a:graphicData>
            </a:graphic>
          </wp:inline>
        </w:drawing>
      </w:r>
      <w:r>
        <w:rPr>
          <w:sz w:val="24"/>
        </w:rPr>
        <w:t>部分标明联合体中中小企</w:t>
      </w:r>
    </w:p>
    <w:p w14:paraId="5D518657">
      <w:pPr>
        <w:tabs>
          <w:tab w:val="left" w:pos="5580"/>
        </w:tabs>
        <w:spacing w:line="360" w:lineRule="auto"/>
        <w:rPr>
          <w:sz w:val="24"/>
        </w:rPr>
      </w:pPr>
      <w:r>
        <w:rPr>
          <w:sz w:val="24"/>
        </w:rPr>
        <w:t>业承担的具体内容或者中小企业的具体分包内容。</w:t>
      </w:r>
    </w:p>
    <w:p w14:paraId="6917C3DF">
      <w:pPr>
        <w:tabs>
          <w:tab w:val="left" w:pos="5580"/>
        </w:tabs>
        <w:spacing w:line="360" w:lineRule="auto"/>
        <w:rPr>
          <w:sz w:val="24"/>
        </w:rPr>
      </w:pPr>
      <w:r>
        <w:rPr>
          <w:sz w:val="24"/>
        </w:rPr>
        <w:t>3）对于多标的采购项目，投标人应充分、准确地了解所⃞供货物的制造企业、</w:t>
      </w:r>
      <w:r>
        <w:rPr>
          <w:rFonts w:hint="eastAsia"/>
          <w:sz w:val="24"/>
        </w:rPr>
        <w:t>提</w:t>
      </w:r>
      <w:r>
        <w:rPr>
          <w:sz w:val="24"/>
        </w:rPr>
        <w:t>供服</w:t>
      </w:r>
    </w:p>
    <w:p w14:paraId="3347A343">
      <w:pPr>
        <w:tabs>
          <w:tab w:val="left" w:pos="5580"/>
        </w:tabs>
        <w:spacing w:line="360" w:lineRule="auto"/>
        <w:rPr>
          <w:sz w:val="24"/>
        </w:rPr>
      </w:pPr>
      <w:r>
        <w:rPr>
          <w:sz w:val="24"/>
        </w:rPr>
        <w:t>务的承接企业信息。对相关情况了解不清楚的，不建议填报本声明函。</w:t>
      </w:r>
    </w:p>
    <w:p w14:paraId="5B99AA64">
      <w:pPr>
        <w:tabs>
          <w:tab w:val="left" w:pos="5580"/>
        </w:tabs>
        <w:spacing w:line="360" w:lineRule="auto"/>
        <w:rPr>
          <w:sz w:val="24"/>
        </w:rPr>
        <w:sectPr>
          <w:headerReference r:id="rId18" w:type="default"/>
          <w:footerReference r:id="rId19" w:type="default"/>
          <w:pgSz w:w="11907" w:h="16840"/>
          <w:pgMar w:top="1117" w:right="1119" w:bottom="1060" w:left="1700" w:header="878" w:footer="886" w:gutter="0"/>
          <w:cols w:space="720" w:num="1"/>
        </w:sectPr>
      </w:pPr>
      <w:r>
        <w:rPr>
          <w:sz w:val="24"/>
        </w:rPr>
        <w:t>（6）温馨</w:t>
      </w:r>
      <w:r>
        <w:rPr>
          <w:rFonts w:hint="eastAsia"/>
          <w:sz w:val="24"/>
        </w:rPr>
        <w:t>提</w:t>
      </w:r>
      <w:r>
        <w:rPr>
          <w:sz w:val="24"/>
        </w:rPr>
        <w:t>示： 为方便广大中小企业识别企业规模类型， 工业和信息化部组织开发了中小企业规模类型自测小程序， 在国务院客户端和工业和信息化部网站上均有链接， 投标人填写所属的行业和指标数据可自动生成企业规模类型测试结果。本项目中小企业划 分标准所属行业详见第二章《投标人须知资料表》，如在该程序中未找到本项目文件规 定的中小企业划分标准所属行业， 则按照《关于印发中小企业划型标准规定的通知（工信部联企业﹝2011﹞300 号）》及本项目文件规定的中小企业划分标准所属行业执行。</w:t>
      </w:r>
    </w:p>
    <w:p w14:paraId="234A2E7A">
      <w:pPr>
        <w:pStyle w:val="19"/>
        <w:spacing w:before="78" w:line="220" w:lineRule="auto"/>
        <w:ind w:left="126"/>
      </w:pPr>
      <w:r>
        <w:rPr>
          <w:rFonts w:ascii="Arial" w:hAnsi="Arial" w:eastAsia="Arial" w:cs="Arial"/>
          <w:spacing w:val="1"/>
        </w:rPr>
        <w:t>2-1</w:t>
      </w:r>
      <w:r>
        <w:rPr>
          <w:rFonts w:hint="eastAsia" w:ascii="Arial" w:hAnsi="Arial" w:cs="Arial"/>
          <w:spacing w:val="1"/>
        </w:rPr>
        <w:t>-1</w:t>
      </w:r>
      <w:r>
        <w:rPr>
          <w:spacing w:val="1"/>
        </w:rPr>
        <w:t>中小企业声明函及残疾人福利性单位声明函格式</w:t>
      </w:r>
    </w:p>
    <w:p w14:paraId="426E44A8">
      <w:pPr>
        <w:tabs>
          <w:tab w:val="left" w:pos="5580"/>
        </w:tabs>
        <w:spacing w:line="360" w:lineRule="auto"/>
        <w:rPr>
          <w:sz w:val="24"/>
        </w:rPr>
      </w:pPr>
    </w:p>
    <w:p w14:paraId="163D57E5">
      <w:pPr>
        <w:spacing w:beforeLines="100" w:afterLines="100" w:line="360" w:lineRule="auto"/>
        <w:jc w:val="center"/>
        <w:rPr>
          <w:b/>
          <w:bCs/>
          <w:color w:val="000000"/>
          <w:sz w:val="36"/>
          <w:szCs w:val="36"/>
        </w:rPr>
      </w:pPr>
      <w:r>
        <w:rPr>
          <w:rFonts w:hint="eastAsia"/>
          <w:b/>
          <w:bCs/>
          <w:color w:val="000000"/>
          <w:sz w:val="36"/>
          <w:szCs w:val="36"/>
        </w:rPr>
        <w:t>中小企业声明函（工程、服务）格式</w:t>
      </w:r>
    </w:p>
    <w:p w14:paraId="4C374DDC">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DE00648">
      <w:pPr>
        <w:spacing w:line="360" w:lineRule="auto"/>
        <w:ind w:firstLine="504"/>
        <w:rPr>
          <w:spacing w:val="6"/>
          <w:sz w:val="24"/>
        </w:rPr>
      </w:pPr>
      <w:r>
        <w:rPr>
          <w:spacing w:val="6"/>
          <w:sz w:val="24"/>
        </w:rPr>
        <w:t>1.</w:t>
      </w:r>
      <w:r>
        <w:rPr>
          <w:spacing w:val="6"/>
          <w:sz w:val="24"/>
          <w:u w:val="single"/>
        </w:rPr>
        <w:t>（</w:t>
      </w:r>
      <w:r>
        <w:rPr>
          <w:rFonts w:hint="eastAsia"/>
          <w:spacing w:val="6"/>
          <w:sz w:val="24"/>
          <w:u w:val="single"/>
        </w:rPr>
        <w:t>项目名称</w:t>
      </w:r>
      <w:r>
        <w:rPr>
          <w:spacing w:val="6"/>
          <w:sz w:val="24"/>
          <w:u w:val="single"/>
        </w:rPr>
        <w:t>）</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14:paraId="288AFE26">
      <w:pPr>
        <w:spacing w:line="360" w:lineRule="auto"/>
        <w:ind w:firstLine="504"/>
        <w:rPr>
          <w:spacing w:val="6"/>
          <w:sz w:val="24"/>
        </w:rPr>
      </w:pPr>
      <w:r>
        <w:rPr>
          <w:spacing w:val="6"/>
          <w:sz w:val="24"/>
        </w:rPr>
        <w:t>2.</w:t>
      </w:r>
      <w:r>
        <w:rPr>
          <w:spacing w:val="6"/>
          <w:sz w:val="24"/>
          <w:u w:val="single"/>
        </w:rPr>
        <w:t>（</w:t>
      </w:r>
      <w:r>
        <w:rPr>
          <w:rFonts w:hint="eastAsia"/>
          <w:spacing w:val="6"/>
          <w:sz w:val="24"/>
          <w:u w:val="single"/>
        </w:rPr>
        <w:t>项目名称</w:t>
      </w:r>
      <w:r>
        <w:rPr>
          <w:spacing w:val="6"/>
          <w:sz w:val="24"/>
          <w:u w:val="single"/>
        </w:rPr>
        <w:t>）</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247EE851">
      <w:pPr>
        <w:spacing w:line="360" w:lineRule="auto"/>
        <w:ind w:firstLine="504"/>
        <w:rPr>
          <w:spacing w:val="6"/>
          <w:sz w:val="24"/>
        </w:rPr>
      </w:pPr>
      <w:r>
        <w:rPr>
          <w:spacing w:val="6"/>
          <w:sz w:val="24"/>
        </w:rPr>
        <w:t>……</w:t>
      </w:r>
    </w:p>
    <w:p w14:paraId="6F69B893">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40CE54A">
      <w:pPr>
        <w:spacing w:line="360" w:lineRule="auto"/>
        <w:ind w:firstLine="504"/>
        <w:rPr>
          <w:spacing w:val="6"/>
          <w:sz w:val="24"/>
        </w:rPr>
      </w:pPr>
      <w:r>
        <w:rPr>
          <w:spacing w:val="6"/>
          <w:sz w:val="24"/>
        </w:rPr>
        <w:t>本企业对上述声明内容的真实性负责。如有虚假，将依法承担相应责任。</w:t>
      </w:r>
    </w:p>
    <w:p w14:paraId="5CB50286">
      <w:pPr>
        <w:spacing w:line="360" w:lineRule="auto"/>
        <w:ind w:right="360" w:firstLine="480"/>
        <w:jc w:val="right"/>
        <w:rPr>
          <w:color w:val="000000"/>
          <w:sz w:val="24"/>
        </w:rPr>
      </w:pPr>
    </w:p>
    <w:p w14:paraId="51EC87EF">
      <w:pPr>
        <w:spacing w:line="360" w:lineRule="auto"/>
        <w:ind w:right="360" w:firstLine="480"/>
        <w:jc w:val="right"/>
        <w:rPr>
          <w:color w:val="000000"/>
          <w:sz w:val="24"/>
        </w:rPr>
      </w:pPr>
      <w:r>
        <w:rPr>
          <w:color w:val="000000"/>
          <w:sz w:val="24"/>
        </w:rPr>
        <w:t>企业名称（盖章）：________</w:t>
      </w:r>
    </w:p>
    <w:p w14:paraId="027FFEA7">
      <w:pPr>
        <w:spacing w:line="360" w:lineRule="auto"/>
        <w:ind w:right="360" w:firstLine="480"/>
        <w:jc w:val="right"/>
        <w:rPr>
          <w:color w:val="000000"/>
          <w:sz w:val="24"/>
        </w:rPr>
      </w:pPr>
      <w:r>
        <w:rPr>
          <w:color w:val="000000"/>
          <w:sz w:val="24"/>
        </w:rPr>
        <w:t>日 期：________</w:t>
      </w:r>
    </w:p>
    <w:p w14:paraId="047FE0DF">
      <w:pPr>
        <w:adjustRightInd w:val="0"/>
        <w:snapToGrid w:val="0"/>
        <w:jc w:val="left"/>
        <w:rPr>
          <w:color w:val="000000"/>
          <w:sz w:val="24"/>
          <w:szCs w:val="21"/>
        </w:rPr>
      </w:pPr>
    </w:p>
    <w:p w14:paraId="420DC23E">
      <w:pPr>
        <w:adjustRightInd w:val="0"/>
        <w:snapToGrid w:val="0"/>
        <w:jc w:val="left"/>
        <w:rPr>
          <w:color w:val="000000"/>
          <w:sz w:val="24"/>
          <w:szCs w:val="21"/>
        </w:rPr>
      </w:pPr>
    </w:p>
    <w:tbl>
      <w:tblPr>
        <w:tblStyle w:val="4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7AB306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759A08B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31EAAAB0">
      <w:pPr>
        <w:adjustRightInd w:val="0"/>
        <w:snapToGrid w:val="0"/>
        <w:jc w:val="left"/>
        <w:rPr>
          <w:color w:val="000000"/>
          <w:szCs w:val="21"/>
          <w:vertAlign w:val="superscript"/>
        </w:rPr>
      </w:pPr>
    </w:p>
    <w:p w14:paraId="05C4406A">
      <w:pPr>
        <w:spacing w:line="360" w:lineRule="auto"/>
        <w:ind w:right="360" w:firstLine="480"/>
        <w:jc w:val="right"/>
        <w:rPr>
          <w:color w:val="000000"/>
          <w:sz w:val="24"/>
        </w:rPr>
      </w:pPr>
    </w:p>
    <w:p w14:paraId="37C1A16A">
      <w:pPr>
        <w:spacing w:line="360" w:lineRule="auto"/>
        <w:ind w:right="360" w:firstLine="480"/>
        <w:jc w:val="right"/>
        <w:rPr>
          <w:color w:val="000000"/>
          <w:sz w:val="24"/>
        </w:rPr>
      </w:pPr>
    </w:p>
    <w:p w14:paraId="289F842B">
      <w:pPr>
        <w:spacing w:line="360" w:lineRule="auto"/>
        <w:rPr>
          <w:color w:val="000000"/>
          <w:sz w:val="24"/>
          <w:szCs w:val="20"/>
        </w:rPr>
      </w:pPr>
      <w:r>
        <w:rPr>
          <w:color w:val="000000"/>
          <w:sz w:val="24"/>
          <w:szCs w:val="20"/>
        </w:rPr>
        <w:br w:type="page"/>
      </w:r>
    </w:p>
    <w:p w14:paraId="4E035B33">
      <w:pPr>
        <w:spacing w:beforeLines="100" w:afterLines="10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14:paraId="1D30BF37">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14:paraId="5EAE8D58">
      <w:pPr>
        <w:spacing w:line="588" w:lineRule="exact"/>
        <w:ind w:firstLine="482"/>
        <w:rPr>
          <w:b/>
          <w:spacing w:val="6"/>
          <w:sz w:val="24"/>
        </w:rPr>
      </w:pPr>
      <w:r>
        <w:rPr>
          <w:b/>
          <w:sz w:val="24"/>
        </w:rPr>
        <w:t>□</w:t>
      </w:r>
      <w:r>
        <w:rPr>
          <w:b/>
          <w:spacing w:val="6"/>
          <w:sz w:val="24"/>
        </w:rPr>
        <w:t>不属于符合条件的残疾人福利性单位。</w:t>
      </w:r>
    </w:p>
    <w:p w14:paraId="62299062">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6E25D8B">
      <w:pPr>
        <w:spacing w:line="588" w:lineRule="exact"/>
        <w:ind w:firstLine="506" w:firstLineChars="200"/>
        <w:rPr>
          <w:spacing w:val="6"/>
          <w:sz w:val="24"/>
        </w:rPr>
      </w:pPr>
      <w:r>
        <w:rPr>
          <w:b/>
          <w:spacing w:val="6"/>
          <w:sz w:val="24"/>
        </w:rPr>
        <w:t>本单位对上述声明的真实性负责。如有虚假，将依法承担相应责任。</w:t>
      </w:r>
    </w:p>
    <w:p w14:paraId="19A40028">
      <w:pPr>
        <w:spacing w:line="588" w:lineRule="exact"/>
        <w:ind w:firstLine="504" w:firstLineChars="200"/>
        <w:rPr>
          <w:spacing w:val="6"/>
          <w:sz w:val="24"/>
        </w:rPr>
      </w:pPr>
    </w:p>
    <w:p w14:paraId="12350E63">
      <w:pPr>
        <w:spacing w:line="588" w:lineRule="exact"/>
        <w:ind w:firstLine="504" w:firstLineChars="200"/>
        <w:rPr>
          <w:spacing w:val="6"/>
          <w:sz w:val="24"/>
        </w:rPr>
      </w:pPr>
    </w:p>
    <w:p w14:paraId="4B11255B">
      <w:pPr>
        <w:tabs>
          <w:tab w:val="left" w:pos="4860"/>
        </w:tabs>
        <w:spacing w:line="588" w:lineRule="exact"/>
        <w:ind w:right="1560" w:firstLine="504" w:firstLineChars="200"/>
        <w:jc w:val="center"/>
        <w:rPr>
          <w:spacing w:val="6"/>
          <w:sz w:val="24"/>
        </w:rPr>
      </w:pPr>
      <w:r>
        <w:rPr>
          <w:spacing w:val="6"/>
          <w:sz w:val="24"/>
        </w:rPr>
        <w:t xml:space="preserve">               单位名称（盖章）：</w:t>
      </w:r>
    </w:p>
    <w:p w14:paraId="3B71F038">
      <w:pPr>
        <w:tabs>
          <w:tab w:val="left" w:pos="4860"/>
        </w:tabs>
        <w:spacing w:line="588" w:lineRule="exact"/>
        <w:ind w:right="1560" w:firstLine="504" w:firstLineChars="200"/>
        <w:jc w:val="center"/>
        <w:rPr>
          <w:spacing w:val="6"/>
          <w:sz w:val="24"/>
        </w:rPr>
      </w:pPr>
      <w:r>
        <w:rPr>
          <w:spacing w:val="6"/>
          <w:sz w:val="24"/>
        </w:rPr>
        <w:t xml:space="preserve">       日  期：</w:t>
      </w:r>
    </w:p>
    <w:p w14:paraId="41811E06">
      <w:pPr>
        <w:widowControl/>
        <w:jc w:val="left"/>
        <w:rPr>
          <w:color w:val="000000"/>
          <w:sz w:val="24"/>
          <w:szCs w:val="20"/>
        </w:rPr>
      </w:pPr>
      <w:r>
        <w:rPr>
          <w:color w:val="000000"/>
          <w:sz w:val="24"/>
          <w:szCs w:val="20"/>
        </w:rPr>
        <w:br w:type="page"/>
      </w:r>
    </w:p>
    <w:p w14:paraId="7E75DA6D">
      <w:pPr>
        <w:spacing w:line="360" w:lineRule="auto"/>
        <w:outlineLvl w:val="2"/>
        <w:rPr>
          <w:color w:val="000000"/>
          <w:sz w:val="24"/>
          <w:szCs w:val="20"/>
        </w:rPr>
      </w:pPr>
      <w:r>
        <w:rPr>
          <w:color w:val="000000"/>
          <w:sz w:val="24"/>
          <w:szCs w:val="20"/>
        </w:rPr>
        <w:t>2-</w:t>
      </w:r>
      <w:r>
        <w:rPr>
          <w:rFonts w:hint="eastAsia"/>
          <w:color w:val="000000"/>
          <w:sz w:val="24"/>
          <w:szCs w:val="20"/>
        </w:rPr>
        <w:t>1-2</w:t>
      </w:r>
      <w:r>
        <w:rPr>
          <w:color w:val="000000"/>
          <w:sz w:val="24"/>
          <w:szCs w:val="20"/>
        </w:rPr>
        <w:t>拟分包情况说明及分包意向协议（类型一）（实质性格式）</w:t>
      </w:r>
    </w:p>
    <w:p w14:paraId="0446480C">
      <w:pPr>
        <w:autoSpaceDE w:val="0"/>
        <w:autoSpaceDN w:val="0"/>
        <w:adjustRightInd w:val="0"/>
        <w:jc w:val="center"/>
        <w:rPr>
          <w:color w:val="000000"/>
          <w:sz w:val="30"/>
          <w:szCs w:val="30"/>
        </w:rPr>
      </w:pPr>
    </w:p>
    <w:p w14:paraId="2E107895">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2FBD3F8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EDE948F">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9"/>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5D187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7E35E1D0">
            <w:pPr>
              <w:pStyle w:val="250"/>
              <w:jc w:val="center"/>
              <w:rPr>
                <w:sz w:val="24"/>
              </w:rPr>
            </w:pPr>
            <w:r>
              <w:rPr>
                <w:sz w:val="24"/>
              </w:rPr>
              <w:t>序号</w:t>
            </w:r>
          </w:p>
        </w:tc>
        <w:tc>
          <w:tcPr>
            <w:tcW w:w="1287" w:type="dxa"/>
            <w:vAlign w:val="center"/>
          </w:tcPr>
          <w:p w14:paraId="44EA84A9">
            <w:pPr>
              <w:pStyle w:val="250"/>
              <w:jc w:val="center"/>
              <w:rPr>
                <w:sz w:val="24"/>
              </w:rPr>
            </w:pPr>
            <w:r>
              <w:rPr>
                <w:sz w:val="24"/>
              </w:rPr>
              <w:t>分包承担</w:t>
            </w:r>
          </w:p>
          <w:p w14:paraId="16BD1403">
            <w:pPr>
              <w:pStyle w:val="250"/>
              <w:jc w:val="center"/>
              <w:rPr>
                <w:sz w:val="24"/>
              </w:rPr>
            </w:pPr>
            <w:r>
              <w:rPr>
                <w:sz w:val="24"/>
              </w:rPr>
              <w:t>主体名称</w:t>
            </w:r>
          </w:p>
        </w:tc>
        <w:tc>
          <w:tcPr>
            <w:tcW w:w="1513" w:type="dxa"/>
            <w:vAlign w:val="center"/>
          </w:tcPr>
          <w:p w14:paraId="01144A8E">
            <w:pPr>
              <w:pStyle w:val="250"/>
              <w:jc w:val="center"/>
              <w:rPr>
                <w:sz w:val="24"/>
                <w:lang w:eastAsia="zh-CN"/>
              </w:rPr>
            </w:pPr>
            <w:r>
              <w:rPr>
                <w:sz w:val="24"/>
                <w:lang w:eastAsia="zh-CN"/>
              </w:rPr>
              <w:t>分包承担</w:t>
            </w:r>
          </w:p>
          <w:p w14:paraId="4F155C01">
            <w:pPr>
              <w:pStyle w:val="250"/>
              <w:jc w:val="center"/>
              <w:rPr>
                <w:sz w:val="24"/>
                <w:lang w:eastAsia="zh-CN"/>
              </w:rPr>
            </w:pPr>
            <w:r>
              <w:rPr>
                <w:sz w:val="24"/>
                <w:lang w:eastAsia="zh-CN"/>
              </w:rPr>
              <w:t>主体类型</w:t>
            </w:r>
          </w:p>
          <w:p w14:paraId="3ABB34E7">
            <w:pPr>
              <w:pStyle w:val="250"/>
              <w:jc w:val="center"/>
              <w:rPr>
                <w:sz w:val="24"/>
                <w:lang w:eastAsia="zh-CN"/>
              </w:rPr>
            </w:pPr>
            <w:r>
              <w:rPr>
                <w:rFonts w:hint="eastAsia"/>
                <w:sz w:val="24"/>
                <w:lang w:eastAsia="zh-CN"/>
              </w:rPr>
              <w:t>（勾选）</w:t>
            </w:r>
          </w:p>
        </w:tc>
        <w:tc>
          <w:tcPr>
            <w:tcW w:w="1125" w:type="dxa"/>
            <w:vAlign w:val="center"/>
          </w:tcPr>
          <w:p w14:paraId="72130682">
            <w:pPr>
              <w:pStyle w:val="250"/>
              <w:jc w:val="center"/>
              <w:rPr>
                <w:sz w:val="24"/>
              </w:rPr>
            </w:pPr>
            <w:r>
              <w:rPr>
                <w:sz w:val="24"/>
              </w:rPr>
              <w:t>资质等级</w:t>
            </w:r>
          </w:p>
        </w:tc>
        <w:tc>
          <w:tcPr>
            <w:tcW w:w="1561" w:type="dxa"/>
            <w:vAlign w:val="center"/>
          </w:tcPr>
          <w:p w14:paraId="2415473D">
            <w:pPr>
              <w:pStyle w:val="250"/>
              <w:jc w:val="center"/>
              <w:rPr>
                <w:sz w:val="24"/>
              </w:rPr>
            </w:pPr>
            <w:r>
              <w:rPr>
                <w:sz w:val="24"/>
              </w:rPr>
              <w:t>拟分包</w:t>
            </w:r>
          </w:p>
          <w:p w14:paraId="0BF536CF">
            <w:pPr>
              <w:pStyle w:val="250"/>
              <w:jc w:val="center"/>
              <w:rPr>
                <w:sz w:val="24"/>
              </w:rPr>
            </w:pPr>
            <w:r>
              <w:rPr>
                <w:sz w:val="24"/>
              </w:rPr>
              <w:t>合同内容</w:t>
            </w:r>
          </w:p>
        </w:tc>
        <w:tc>
          <w:tcPr>
            <w:tcW w:w="1498" w:type="dxa"/>
            <w:vAlign w:val="center"/>
          </w:tcPr>
          <w:p w14:paraId="42089423">
            <w:pPr>
              <w:pStyle w:val="250"/>
              <w:jc w:val="center"/>
              <w:rPr>
                <w:sz w:val="24"/>
                <w:lang w:eastAsia="zh-CN"/>
              </w:rPr>
            </w:pPr>
            <w:r>
              <w:rPr>
                <w:sz w:val="24"/>
                <w:lang w:eastAsia="zh-CN"/>
              </w:rPr>
              <w:t>拟分包</w:t>
            </w:r>
          </w:p>
          <w:p w14:paraId="2C6262F2">
            <w:pPr>
              <w:pStyle w:val="250"/>
              <w:jc w:val="center"/>
              <w:rPr>
                <w:sz w:val="24"/>
                <w:lang w:eastAsia="zh-CN"/>
              </w:rPr>
            </w:pPr>
            <w:r>
              <w:rPr>
                <w:sz w:val="24"/>
                <w:lang w:eastAsia="zh-CN"/>
              </w:rPr>
              <w:t>合同金额</w:t>
            </w:r>
          </w:p>
          <w:p w14:paraId="7F29C2F8">
            <w:pPr>
              <w:pStyle w:val="250"/>
              <w:jc w:val="center"/>
              <w:rPr>
                <w:sz w:val="24"/>
                <w:lang w:eastAsia="zh-CN"/>
              </w:rPr>
            </w:pPr>
            <w:r>
              <w:rPr>
                <w:sz w:val="24"/>
                <w:lang w:eastAsia="zh-CN"/>
              </w:rPr>
              <w:t>（人民币元）</w:t>
            </w:r>
          </w:p>
        </w:tc>
        <w:tc>
          <w:tcPr>
            <w:tcW w:w="1564" w:type="dxa"/>
            <w:vAlign w:val="center"/>
          </w:tcPr>
          <w:p w14:paraId="37E569D2">
            <w:pPr>
              <w:pStyle w:val="250"/>
              <w:jc w:val="center"/>
              <w:rPr>
                <w:sz w:val="24"/>
                <w:lang w:eastAsia="zh-CN"/>
              </w:rPr>
            </w:pPr>
            <w:r>
              <w:rPr>
                <w:sz w:val="24"/>
                <w:lang w:eastAsia="zh-CN"/>
              </w:rPr>
              <w:t>占该采购包</w:t>
            </w:r>
          </w:p>
          <w:p w14:paraId="14B56202">
            <w:pPr>
              <w:pStyle w:val="250"/>
              <w:jc w:val="center"/>
              <w:rPr>
                <w:b/>
                <w:sz w:val="24"/>
                <w:lang w:eastAsia="zh-CN"/>
              </w:rPr>
            </w:pPr>
            <w:r>
              <w:rPr>
                <w:rFonts w:hint="eastAsia"/>
                <w:b/>
                <w:sz w:val="24"/>
                <w:lang w:eastAsia="zh-CN"/>
              </w:rPr>
              <w:t>预算</w:t>
            </w:r>
            <w:r>
              <w:rPr>
                <w:b/>
                <w:sz w:val="24"/>
                <w:lang w:eastAsia="zh-CN"/>
              </w:rPr>
              <w:t>金额的</w:t>
            </w:r>
          </w:p>
          <w:p w14:paraId="244C17E6">
            <w:pPr>
              <w:pStyle w:val="250"/>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14:paraId="22F99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74C0946">
            <w:pPr>
              <w:pStyle w:val="250"/>
              <w:jc w:val="center"/>
              <w:rPr>
                <w:rFonts w:ascii="Times New Roman"/>
                <w:sz w:val="24"/>
              </w:rPr>
            </w:pPr>
            <w:r>
              <w:rPr>
                <w:rFonts w:ascii="Times New Roman"/>
                <w:sz w:val="24"/>
              </w:rPr>
              <w:t>1</w:t>
            </w:r>
          </w:p>
        </w:tc>
        <w:tc>
          <w:tcPr>
            <w:tcW w:w="1287" w:type="dxa"/>
            <w:vAlign w:val="center"/>
          </w:tcPr>
          <w:p w14:paraId="67DC6675">
            <w:pPr>
              <w:pStyle w:val="250"/>
              <w:jc w:val="center"/>
              <w:rPr>
                <w:rFonts w:ascii="Times New Roman" w:hAnsi="Times New Roman" w:cs="Times New Roman"/>
                <w:sz w:val="30"/>
              </w:rPr>
            </w:pPr>
          </w:p>
        </w:tc>
        <w:tc>
          <w:tcPr>
            <w:tcW w:w="1513" w:type="dxa"/>
            <w:vAlign w:val="center"/>
          </w:tcPr>
          <w:p w14:paraId="26BDCE2B">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61A7E947">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tc>
        <w:tc>
          <w:tcPr>
            <w:tcW w:w="1125" w:type="dxa"/>
            <w:vAlign w:val="center"/>
          </w:tcPr>
          <w:p w14:paraId="208B4D6D">
            <w:pPr>
              <w:pStyle w:val="250"/>
              <w:jc w:val="center"/>
              <w:rPr>
                <w:rFonts w:ascii="Times New Roman"/>
                <w:sz w:val="30"/>
                <w:lang w:eastAsia="zh-CN"/>
              </w:rPr>
            </w:pPr>
          </w:p>
        </w:tc>
        <w:tc>
          <w:tcPr>
            <w:tcW w:w="1561" w:type="dxa"/>
            <w:vAlign w:val="center"/>
          </w:tcPr>
          <w:p w14:paraId="70DC3311">
            <w:pPr>
              <w:pStyle w:val="250"/>
              <w:jc w:val="center"/>
              <w:rPr>
                <w:rFonts w:ascii="Times New Roman"/>
                <w:sz w:val="30"/>
                <w:lang w:eastAsia="zh-CN"/>
              </w:rPr>
            </w:pPr>
          </w:p>
        </w:tc>
        <w:tc>
          <w:tcPr>
            <w:tcW w:w="1498" w:type="dxa"/>
            <w:vAlign w:val="center"/>
          </w:tcPr>
          <w:p w14:paraId="353D7272">
            <w:pPr>
              <w:pStyle w:val="250"/>
              <w:jc w:val="center"/>
              <w:rPr>
                <w:rFonts w:ascii="Times New Roman"/>
                <w:sz w:val="30"/>
                <w:lang w:eastAsia="zh-CN"/>
              </w:rPr>
            </w:pPr>
          </w:p>
        </w:tc>
        <w:tc>
          <w:tcPr>
            <w:tcW w:w="1564" w:type="dxa"/>
            <w:vAlign w:val="center"/>
          </w:tcPr>
          <w:p w14:paraId="742A4C01">
            <w:pPr>
              <w:pStyle w:val="250"/>
              <w:jc w:val="center"/>
              <w:rPr>
                <w:rFonts w:ascii="Times New Roman"/>
                <w:sz w:val="30"/>
                <w:lang w:eastAsia="zh-CN"/>
              </w:rPr>
            </w:pPr>
          </w:p>
        </w:tc>
      </w:tr>
      <w:tr w14:paraId="0CF1C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1790053">
            <w:pPr>
              <w:pStyle w:val="250"/>
              <w:jc w:val="center"/>
              <w:rPr>
                <w:rFonts w:ascii="Times New Roman"/>
                <w:sz w:val="24"/>
                <w:lang w:eastAsia="zh-CN"/>
              </w:rPr>
            </w:pPr>
            <w:r>
              <w:rPr>
                <w:rFonts w:hint="eastAsia" w:ascii="Times New Roman"/>
                <w:sz w:val="24"/>
                <w:lang w:eastAsia="zh-CN"/>
              </w:rPr>
              <w:t>2</w:t>
            </w:r>
          </w:p>
        </w:tc>
        <w:tc>
          <w:tcPr>
            <w:tcW w:w="1287" w:type="dxa"/>
            <w:vAlign w:val="center"/>
          </w:tcPr>
          <w:p w14:paraId="57782AC0">
            <w:pPr>
              <w:pStyle w:val="250"/>
              <w:jc w:val="center"/>
              <w:rPr>
                <w:rFonts w:ascii="Times New Roman"/>
                <w:sz w:val="30"/>
              </w:rPr>
            </w:pPr>
          </w:p>
        </w:tc>
        <w:tc>
          <w:tcPr>
            <w:tcW w:w="1513" w:type="dxa"/>
            <w:vAlign w:val="center"/>
          </w:tcPr>
          <w:p w14:paraId="06D87061">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1CC1533D">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tc>
        <w:tc>
          <w:tcPr>
            <w:tcW w:w="1125" w:type="dxa"/>
            <w:vAlign w:val="center"/>
          </w:tcPr>
          <w:p w14:paraId="71368FD9">
            <w:pPr>
              <w:pStyle w:val="250"/>
              <w:jc w:val="center"/>
              <w:rPr>
                <w:rFonts w:ascii="Times New Roman"/>
                <w:sz w:val="30"/>
                <w:lang w:eastAsia="zh-CN"/>
              </w:rPr>
            </w:pPr>
          </w:p>
        </w:tc>
        <w:tc>
          <w:tcPr>
            <w:tcW w:w="1561" w:type="dxa"/>
            <w:vAlign w:val="center"/>
          </w:tcPr>
          <w:p w14:paraId="236D152A">
            <w:pPr>
              <w:pStyle w:val="250"/>
              <w:jc w:val="center"/>
              <w:rPr>
                <w:rFonts w:ascii="Times New Roman"/>
                <w:sz w:val="30"/>
                <w:lang w:eastAsia="zh-CN"/>
              </w:rPr>
            </w:pPr>
          </w:p>
        </w:tc>
        <w:tc>
          <w:tcPr>
            <w:tcW w:w="1498" w:type="dxa"/>
            <w:vAlign w:val="center"/>
          </w:tcPr>
          <w:p w14:paraId="5D1A732B">
            <w:pPr>
              <w:pStyle w:val="250"/>
              <w:jc w:val="center"/>
              <w:rPr>
                <w:rFonts w:ascii="Times New Roman"/>
                <w:sz w:val="30"/>
                <w:lang w:eastAsia="zh-CN"/>
              </w:rPr>
            </w:pPr>
          </w:p>
        </w:tc>
        <w:tc>
          <w:tcPr>
            <w:tcW w:w="1564" w:type="dxa"/>
            <w:vAlign w:val="center"/>
          </w:tcPr>
          <w:p w14:paraId="1448C109">
            <w:pPr>
              <w:pStyle w:val="250"/>
              <w:jc w:val="center"/>
              <w:rPr>
                <w:rFonts w:ascii="Times New Roman"/>
                <w:sz w:val="30"/>
                <w:lang w:eastAsia="zh-CN"/>
              </w:rPr>
            </w:pPr>
          </w:p>
        </w:tc>
      </w:tr>
      <w:tr w14:paraId="77EF7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DA2D12A">
            <w:pPr>
              <w:pStyle w:val="250"/>
              <w:jc w:val="center"/>
              <w:rPr>
                <w:rFonts w:ascii="Times New Roman"/>
                <w:sz w:val="24"/>
                <w:lang w:eastAsia="zh-CN"/>
              </w:rPr>
            </w:pPr>
            <w:r>
              <w:rPr>
                <w:rFonts w:ascii="Times New Roman"/>
                <w:sz w:val="24"/>
                <w:lang w:eastAsia="zh-CN"/>
              </w:rPr>
              <w:t>…</w:t>
            </w:r>
          </w:p>
        </w:tc>
        <w:tc>
          <w:tcPr>
            <w:tcW w:w="1287" w:type="dxa"/>
            <w:vAlign w:val="center"/>
          </w:tcPr>
          <w:p w14:paraId="1A07B583">
            <w:pPr>
              <w:pStyle w:val="250"/>
              <w:jc w:val="center"/>
              <w:rPr>
                <w:rFonts w:ascii="Times New Roman"/>
                <w:sz w:val="30"/>
              </w:rPr>
            </w:pPr>
          </w:p>
        </w:tc>
        <w:tc>
          <w:tcPr>
            <w:tcW w:w="1513" w:type="dxa"/>
            <w:vAlign w:val="center"/>
          </w:tcPr>
          <w:p w14:paraId="79A9918D">
            <w:pPr>
              <w:pStyle w:val="250"/>
              <w:tabs>
                <w:tab w:val="left" w:pos="235"/>
              </w:tabs>
              <w:jc w:val="center"/>
              <w:rPr>
                <w:sz w:val="24"/>
              </w:rPr>
            </w:pPr>
          </w:p>
        </w:tc>
        <w:tc>
          <w:tcPr>
            <w:tcW w:w="1125" w:type="dxa"/>
            <w:vAlign w:val="center"/>
          </w:tcPr>
          <w:p w14:paraId="6B18046A">
            <w:pPr>
              <w:pStyle w:val="250"/>
              <w:jc w:val="center"/>
              <w:rPr>
                <w:rFonts w:ascii="Times New Roman"/>
                <w:sz w:val="30"/>
              </w:rPr>
            </w:pPr>
          </w:p>
        </w:tc>
        <w:tc>
          <w:tcPr>
            <w:tcW w:w="1561" w:type="dxa"/>
            <w:vAlign w:val="center"/>
          </w:tcPr>
          <w:p w14:paraId="312F2DAA">
            <w:pPr>
              <w:pStyle w:val="250"/>
              <w:jc w:val="center"/>
              <w:rPr>
                <w:rFonts w:ascii="Times New Roman"/>
                <w:sz w:val="30"/>
              </w:rPr>
            </w:pPr>
          </w:p>
        </w:tc>
        <w:tc>
          <w:tcPr>
            <w:tcW w:w="1498" w:type="dxa"/>
            <w:vAlign w:val="center"/>
          </w:tcPr>
          <w:p w14:paraId="385460FB">
            <w:pPr>
              <w:pStyle w:val="250"/>
              <w:jc w:val="center"/>
              <w:rPr>
                <w:rFonts w:ascii="Times New Roman"/>
                <w:sz w:val="30"/>
              </w:rPr>
            </w:pPr>
          </w:p>
        </w:tc>
        <w:tc>
          <w:tcPr>
            <w:tcW w:w="1564" w:type="dxa"/>
            <w:vAlign w:val="center"/>
          </w:tcPr>
          <w:p w14:paraId="2CBA8C0E">
            <w:pPr>
              <w:pStyle w:val="250"/>
              <w:jc w:val="center"/>
              <w:rPr>
                <w:rFonts w:ascii="Times New Roman"/>
                <w:sz w:val="30"/>
              </w:rPr>
            </w:pPr>
          </w:p>
        </w:tc>
      </w:tr>
      <w:tr w14:paraId="589A3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364AA1ED">
            <w:pPr>
              <w:pStyle w:val="250"/>
              <w:ind w:right="57" w:rightChars="27"/>
              <w:jc w:val="right"/>
              <w:rPr>
                <w:sz w:val="24"/>
                <w:lang w:eastAsia="zh-CN"/>
              </w:rPr>
            </w:pPr>
            <w:r>
              <w:rPr>
                <w:rFonts w:hint="eastAsia"/>
                <w:sz w:val="24"/>
                <w:lang w:eastAsia="zh-CN"/>
              </w:rPr>
              <w:t>合计：</w:t>
            </w:r>
          </w:p>
        </w:tc>
        <w:tc>
          <w:tcPr>
            <w:tcW w:w="1498" w:type="dxa"/>
            <w:vAlign w:val="center"/>
          </w:tcPr>
          <w:p w14:paraId="32DAE3AE">
            <w:pPr>
              <w:pStyle w:val="250"/>
              <w:jc w:val="center"/>
              <w:rPr>
                <w:rFonts w:ascii="Times New Roman"/>
                <w:sz w:val="30"/>
              </w:rPr>
            </w:pPr>
          </w:p>
        </w:tc>
        <w:tc>
          <w:tcPr>
            <w:tcW w:w="1564" w:type="dxa"/>
            <w:vAlign w:val="center"/>
          </w:tcPr>
          <w:p w14:paraId="360303D7">
            <w:pPr>
              <w:pStyle w:val="250"/>
              <w:jc w:val="center"/>
              <w:rPr>
                <w:rFonts w:ascii="Times New Roman"/>
                <w:sz w:val="30"/>
              </w:rPr>
            </w:pPr>
          </w:p>
        </w:tc>
      </w:tr>
    </w:tbl>
    <w:p w14:paraId="227AC054">
      <w:pPr>
        <w:adjustRightInd w:val="0"/>
        <w:snapToGrid w:val="0"/>
        <w:spacing w:line="360" w:lineRule="auto"/>
        <w:ind w:firstLine="480" w:firstLineChars="200"/>
        <w:jc w:val="left"/>
        <w:rPr>
          <w:sz w:val="24"/>
        </w:rPr>
      </w:pPr>
    </w:p>
    <w:p w14:paraId="15553B76">
      <w:pPr>
        <w:adjustRightInd w:val="0"/>
        <w:snapToGrid w:val="0"/>
        <w:spacing w:line="360" w:lineRule="auto"/>
        <w:jc w:val="left"/>
        <w:rPr>
          <w:sz w:val="24"/>
        </w:rPr>
      </w:pPr>
    </w:p>
    <w:p w14:paraId="3E4107C0">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14:paraId="63832593">
      <w:pPr>
        <w:spacing w:line="360" w:lineRule="auto"/>
        <w:ind w:right="-57" w:firstLine="480"/>
        <w:jc w:val="right"/>
        <w:rPr>
          <w:color w:val="000000"/>
          <w:sz w:val="24"/>
        </w:rPr>
      </w:pPr>
      <w:r>
        <w:rPr>
          <w:color w:val="000000"/>
          <w:sz w:val="24"/>
          <w:szCs w:val="20"/>
        </w:rPr>
        <w:t>日期：_____年______月______日</w:t>
      </w:r>
    </w:p>
    <w:p w14:paraId="0188AFB8">
      <w:pPr>
        <w:adjustRightInd w:val="0"/>
        <w:snapToGrid w:val="0"/>
        <w:spacing w:line="360" w:lineRule="auto"/>
        <w:jc w:val="left"/>
        <w:rPr>
          <w:sz w:val="24"/>
        </w:rPr>
      </w:pPr>
    </w:p>
    <w:p w14:paraId="3E7C3B3D">
      <w:pPr>
        <w:adjustRightInd w:val="0"/>
        <w:snapToGrid w:val="0"/>
        <w:spacing w:line="360" w:lineRule="auto"/>
        <w:jc w:val="left"/>
        <w:rPr>
          <w:sz w:val="24"/>
        </w:rPr>
      </w:pPr>
      <w:r>
        <w:rPr>
          <w:sz w:val="24"/>
        </w:rPr>
        <w:t>说明：</w:t>
      </w:r>
    </w:p>
    <w:p w14:paraId="289D53E5">
      <w:pPr>
        <w:pStyle w:val="19"/>
        <w:spacing w:before="174" w:line="359" w:lineRule="auto"/>
        <w:ind w:left="13" w:right="57"/>
      </w:pPr>
      <w:r>
        <w:rPr>
          <w:spacing w:val="-2"/>
        </w:rPr>
        <w:t>如本招标文件《投标人须知资料表》载明本项目分包承担主体应具备的相应资质条件，</w:t>
      </w:r>
      <w:r>
        <w:rPr>
          <w:spacing w:val="10"/>
        </w:rPr>
        <w:t xml:space="preserve"> </w:t>
      </w:r>
      <w:r>
        <w:rPr>
          <w:spacing w:val="-6"/>
        </w:rPr>
        <w:t>则投标人须在本表中列明分包承担主体的资质等级，并后附资质证书电子件，否</w:t>
      </w:r>
      <w:r>
        <w:rPr>
          <w:spacing w:val="-7"/>
        </w:rPr>
        <w:t>则投标</w:t>
      </w:r>
      <w:r>
        <w:rPr>
          <w:spacing w:val="-4"/>
        </w:rPr>
        <w:t>无效。</w:t>
      </w:r>
    </w:p>
    <w:p w14:paraId="5C479105">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t>附：分包意向协议</w:t>
      </w:r>
    </w:p>
    <w:p w14:paraId="163F4E30">
      <w:pPr>
        <w:adjustRightInd w:val="0"/>
        <w:snapToGrid w:val="0"/>
        <w:spacing w:line="360" w:lineRule="auto"/>
        <w:ind w:firstLine="480" w:firstLineChars="200"/>
        <w:jc w:val="left"/>
        <w:rPr>
          <w:sz w:val="24"/>
        </w:rPr>
      </w:pPr>
      <w:r>
        <w:rPr>
          <w:sz w:val="24"/>
        </w:rPr>
        <w:t>甲方（投标人）：________</w:t>
      </w:r>
    </w:p>
    <w:p w14:paraId="25D3D3EA">
      <w:pPr>
        <w:adjustRightInd w:val="0"/>
        <w:snapToGrid w:val="0"/>
        <w:spacing w:line="360" w:lineRule="auto"/>
        <w:ind w:firstLine="480" w:firstLineChars="200"/>
        <w:jc w:val="left"/>
        <w:rPr>
          <w:sz w:val="24"/>
        </w:rPr>
      </w:pPr>
      <w:r>
        <w:rPr>
          <w:sz w:val="24"/>
        </w:rPr>
        <w:t>乙方（拟分包单位）：________</w:t>
      </w:r>
    </w:p>
    <w:p w14:paraId="6517A680">
      <w:pPr>
        <w:adjustRightInd w:val="0"/>
        <w:snapToGrid w:val="0"/>
        <w:spacing w:line="360" w:lineRule="auto"/>
        <w:ind w:firstLine="480" w:firstLineChars="200"/>
        <w:jc w:val="left"/>
        <w:rPr>
          <w:sz w:val="24"/>
        </w:rPr>
      </w:pPr>
      <w:r>
        <w:rPr>
          <w:sz w:val="24"/>
        </w:rPr>
        <w:t>甲方承诺，一旦在_________（</w:t>
      </w:r>
      <w:r>
        <w:rPr>
          <w:rFonts w:hint="eastAsia"/>
          <w:sz w:val="24"/>
        </w:rPr>
        <w:t>项目名称</w:t>
      </w:r>
      <w:r>
        <w:rPr>
          <w:sz w:val="24"/>
        </w:rPr>
        <w:t>）（项目编号/包号为：_______）招标采购项目中获得采购合同，将按照下述约定将合同项下部分内容分包给乙方：</w:t>
      </w:r>
    </w:p>
    <w:p w14:paraId="1B4B7DCE">
      <w:pPr>
        <w:adjustRightInd w:val="0"/>
        <w:snapToGrid w:val="0"/>
        <w:spacing w:line="360" w:lineRule="auto"/>
        <w:ind w:firstLine="480" w:firstLineChars="200"/>
        <w:jc w:val="left"/>
        <w:rPr>
          <w:sz w:val="24"/>
        </w:rPr>
      </w:pPr>
      <w:r>
        <w:rPr>
          <w:sz w:val="24"/>
        </w:rPr>
        <w:t>1.分包内容：_____。</w:t>
      </w:r>
    </w:p>
    <w:p w14:paraId="6A51BC04">
      <w:pPr>
        <w:adjustRightInd w:val="0"/>
        <w:snapToGrid w:val="0"/>
        <w:spacing w:line="360" w:lineRule="auto"/>
        <w:ind w:firstLine="480" w:firstLineChars="200"/>
        <w:jc w:val="left"/>
        <w:rPr>
          <w:sz w:val="24"/>
        </w:rPr>
      </w:pPr>
      <w:r>
        <w:rPr>
          <w:sz w:val="24"/>
        </w:rPr>
        <w:t>2.分包金额：_____，该金额占该采购包预算总金额的比例为___%。</w:t>
      </w:r>
    </w:p>
    <w:p w14:paraId="66B72FB6">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6DF3D136">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38FD1E74">
      <w:pPr>
        <w:spacing w:line="360" w:lineRule="auto"/>
        <w:ind w:firstLine="471"/>
        <w:rPr>
          <w:b/>
          <w:color w:val="000000"/>
          <w:sz w:val="24"/>
        </w:rPr>
      </w:pPr>
    </w:p>
    <w:p w14:paraId="616A13D6">
      <w:pPr>
        <w:spacing w:line="360" w:lineRule="auto"/>
        <w:ind w:firstLine="471"/>
        <w:rPr>
          <w:b/>
          <w:color w:val="000000"/>
          <w:sz w:val="24"/>
        </w:rPr>
      </w:pPr>
      <w:r>
        <w:rPr>
          <w:color w:val="000000"/>
          <w:sz w:val="24"/>
        </w:rPr>
        <w:t>甲方（盖章）：_________                 乙方（盖章）：_________</w:t>
      </w:r>
    </w:p>
    <w:p w14:paraId="399DED5C">
      <w:pPr>
        <w:spacing w:line="360" w:lineRule="auto"/>
        <w:ind w:left="480"/>
        <w:jc w:val="right"/>
        <w:rPr>
          <w:color w:val="000000"/>
          <w:sz w:val="24"/>
        </w:rPr>
      </w:pPr>
    </w:p>
    <w:p w14:paraId="58F85D3D">
      <w:pPr>
        <w:wordWrap w:val="0"/>
        <w:spacing w:line="360" w:lineRule="auto"/>
        <w:ind w:left="480"/>
        <w:jc w:val="right"/>
        <w:rPr>
          <w:b/>
          <w:color w:val="000000"/>
          <w:sz w:val="24"/>
        </w:rPr>
      </w:pPr>
      <w:r>
        <w:rPr>
          <w:color w:val="000000"/>
          <w:sz w:val="24"/>
          <w:szCs w:val="20"/>
        </w:rPr>
        <w:t xml:space="preserve">日期：_____年______月______日   </w:t>
      </w:r>
    </w:p>
    <w:p w14:paraId="18A150AC">
      <w:pPr>
        <w:tabs>
          <w:tab w:val="left" w:pos="8280"/>
        </w:tabs>
        <w:spacing w:line="360" w:lineRule="auto"/>
        <w:ind w:firstLine="480"/>
        <w:rPr>
          <w:color w:val="000000"/>
          <w:sz w:val="24"/>
        </w:rPr>
      </w:pPr>
    </w:p>
    <w:p w14:paraId="0CBA8DF6">
      <w:pPr>
        <w:widowControl/>
        <w:jc w:val="left"/>
      </w:pPr>
      <w:r>
        <w:rPr>
          <w:color w:val="000000"/>
          <w:sz w:val="24"/>
        </w:rPr>
        <w:t>说明：</w:t>
      </w:r>
      <w:r>
        <w:rPr>
          <w:rFonts w:hint="eastAsia" w:ascii="宋体" w:hAnsi="宋体" w:cs="宋体"/>
          <w:color w:val="000000"/>
          <w:kern w:val="0"/>
          <w:sz w:val="24"/>
        </w:rPr>
        <w:t>本协议仅在投标人为“落实政府采购政策</w:t>
      </w:r>
      <w:r>
        <w:rPr>
          <w:rFonts w:ascii="宋体" w:hAnsi="宋体" w:cs="宋体"/>
          <w:color w:val="000000"/>
          <w:kern w:val="0"/>
          <w:sz w:val="24"/>
        </w:rPr>
        <w:t>”</w:t>
      </w:r>
      <w:r>
        <w:rPr>
          <w:rFonts w:hint="eastAsia" w:ascii="宋体" w:hAnsi="宋体" w:cs="宋体"/>
          <w:color w:val="000000"/>
          <w:kern w:val="0"/>
          <w:sz w:val="24"/>
        </w:rPr>
        <w:t>而向中小企业分包时必须提供，否则</w:t>
      </w:r>
      <w:r>
        <w:rPr>
          <w:rFonts w:hint="eastAsia" w:ascii="宋体" w:hAnsi="宋体" w:cs="宋体"/>
          <w:b/>
          <w:bCs/>
          <w:color w:val="000000"/>
          <w:kern w:val="0"/>
          <w:sz w:val="24"/>
        </w:rPr>
        <w:t>投标无效</w:t>
      </w:r>
      <w:r>
        <w:rPr>
          <w:rFonts w:hint="eastAsia" w:ascii="宋体" w:hAnsi="宋体" w:cs="宋体"/>
          <w:color w:val="000000"/>
          <w:kern w:val="0"/>
          <w:sz w:val="24"/>
        </w:rPr>
        <w:t>；且投标人须与所有拟分包单位分别签订《分包意向协议》，每单位签订一份，并在投标文件中提交全部协议原件的电子件，否则</w:t>
      </w:r>
      <w:r>
        <w:rPr>
          <w:rFonts w:hint="eastAsia" w:ascii="宋体" w:hAnsi="宋体" w:cs="宋体"/>
          <w:b/>
          <w:bCs/>
          <w:color w:val="000000"/>
          <w:kern w:val="0"/>
          <w:sz w:val="24"/>
        </w:rPr>
        <w:t>投标无效</w:t>
      </w:r>
      <w:r>
        <w:rPr>
          <w:rFonts w:hint="eastAsia" w:ascii="宋体" w:hAnsi="宋体" w:cs="宋体"/>
          <w:color w:val="000000"/>
          <w:kern w:val="0"/>
          <w:sz w:val="24"/>
        </w:rPr>
        <w:t>。</w:t>
      </w:r>
    </w:p>
    <w:p w14:paraId="6D0A4454">
      <w:pPr>
        <w:tabs>
          <w:tab w:val="left" w:pos="8280"/>
        </w:tabs>
        <w:spacing w:line="360" w:lineRule="auto"/>
        <w:rPr>
          <w:color w:val="000000"/>
          <w:sz w:val="24"/>
        </w:rPr>
        <w:sectPr>
          <w:headerReference r:id="rId21" w:type="first"/>
          <w:footerReference r:id="rId24" w:type="first"/>
          <w:footerReference r:id="rId22" w:type="default"/>
          <w:headerReference r:id="rId20" w:type="even"/>
          <w:footerReference r:id="rId23" w:type="even"/>
          <w:pgSz w:w="11907" w:h="16840"/>
          <w:pgMar w:top="1418" w:right="1134" w:bottom="1418" w:left="1701" w:header="851" w:footer="851" w:gutter="0"/>
          <w:cols w:space="720" w:num="1"/>
          <w:docGrid w:linePitch="462" w:charSpace="0"/>
        </w:sectPr>
      </w:pPr>
    </w:p>
    <w:p w14:paraId="6966A40F">
      <w:pPr>
        <w:spacing w:line="360" w:lineRule="auto"/>
        <w:outlineLvl w:val="2"/>
        <w:rPr>
          <w:color w:val="000000"/>
          <w:sz w:val="24"/>
          <w:szCs w:val="20"/>
        </w:rPr>
      </w:pPr>
      <w:r>
        <w:rPr>
          <w:color w:val="000000"/>
          <w:sz w:val="24"/>
          <w:szCs w:val="20"/>
        </w:rPr>
        <w:t>2-</w:t>
      </w:r>
      <w:r>
        <w:rPr>
          <w:rFonts w:hint="eastAsia"/>
          <w:color w:val="000000"/>
          <w:sz w:val="24"/>
          <w:szCs w:val="20"/>
        </w:rPr>
        <w:t>2</w:t>
      </w:r>
      <w:r>
        <w:rPr>
          <w:sz w:val="24"/>
        </w:rPr>
        <w:t>其它落实政府采购政策的资格要求</w:t>
      </w:r>
      <w:r>
        <w:rPr>
          <w:color w:val="000000"/>
          <w:sz w:val="24"/>
          <w:szCs w:val="20"/>
        </w:rPr>
        <w:t>（如有）</w:t>
      </w:r>
    </w:p>
    <w:p w14:paraId="0B2704FB">
      <w:pPr>
        <w:rPr>
          <w:color w:val="000000"/>
          <w:sz w:val="24"/>
          <w:szCs w:val="20"/>
        </w:rPr>
      </w:pPr>
      <w:r>
        <w:rPr>
          <w:color w:val="000000"/>
          <w:sz w:val="24"/>
          <w:szCs w:val="20"/>
        </w:rPr>
        <w:br w:type="page"/>
      </w:r>
    </w:p>
    <w:p w14:paraId="42AF1AE5">
      <w:pPr>
        <w:spacing w:line="360" w:lineRule="auto"/>
        <w:outlineLvl w:val="2"/>
        <w:rPr>
          <w:sz w:val="24"/>
        </w:rPr>
      </w:pPr>
      <w:r>
        <w:rPr>
          <w:color w:val="000000"/>
          <w:sz w:val="24"/>
          <w:szCs w:val="20"/>
        </w:rPr>
        <w:t xml:space="preserve">3 </w:t>
      </w:r>
      <w:r>
        <w:rPr>
          <w:sz w:val="24"/>
        </w:rPr>
        <w:t>本项目的特定资格要求</w:t>
      </w:r>
      <w:r>
        <w:rPr>
          <w:color w:val="000000"/>
          <w:sz w:val="24"/>
          <w:szCs w:val="20"/>
        </w:rPr>
        <w:t>（如有）</w:t>
      </w:r>
    </w:p>
    <w:p w14:paraId="50073842">
      <w:pPr>
        <w:spacing w:line="360" w:lineRule="auto"/>
        <w:outlineLvl w:val="2"/>
        <w:rPr>
          <w:color w:val="000000"/>
          <w:sz w:val="24"/>
          <w:szCs w:val="20"/>
        </w:rPr>
      </w:pPr>
      <w:r>
        <w:rPr>
          <w:color w:val="000000"/>
          <w:sz w:val="24"/>
          <w:szCs w:val="20"/>
        </w:rPr>
        <w:t>3-1联合协议（如有）</w:t>
      </w:r>
    </w:p>
    <w:p w14:paraId="1FD78487">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164E179D">
      <w:pPr>
        <w:spacing w:line="360" w:lineRule="auto"/>
        <w:ind w:firstLine="828" w:firstLineChars="345"/>
        <w:rPr>
          <w:bCs/>
          <w:color w:val="000000"/>
        </w:rPr>
      </w:pPr>
      <w:r>
        <w:rPr>
          <w:bCs/>
          <w:color w:val="000000"/>
          <w:sz w:val="24"/>
        </w:rPr>
        <w:t>______ 、 _____ 及 _____就“________（</w:t>
      </w:r>
      <w:r>
        <w:rPr>
          <w:rFonts w:hint="eastAsia"/>
          <w:sz w:val="24"/>
        </w:rPr>
        <w:t>项目名称</w:t>
      </w:r>
      <w:r>
        <w:rPr>
          <w:bCs/>
          <w:color w:val="000000"/>
          <w:sz w:val="24"/>
        </w:rPr>
        <w:t>）</w:t>
      </w:r>
      <w:r>
        <w:rPr>
          <w:color w:val="000000"/>
          <w:sz w:val="24"/>
        </w:rPr>
        <w:t>”____包</w:t>
      </w:r>
      <w:r>
        <w:rPr>
          <w:bCs/>
          <w:color w:val="000000"/>
          <w:sz w:val="24"/>
        </w:rPr>
        <w:t>招标项目的投标事宜，经各方充分协商一致，达成如下协议：</w:t>
      </w:r>
    </w:p>
    <w:p w14:paraId="47F15F94">
      <w:pPr>
        <w:numPr>
          <w:ilvl w:val="0"/>
          <w:numId w:val="24"/>
        </w:numPr>
        <w:spacing w:line="360" w:lineRule="auto"/>
        <w:rPr>
          <w:bCs/>
          <w:color w:val="000000"/>
          <w:sz w:val="24"/>
        </w:rPr>
      </w:pPr>
      <w:r>
        <w:rPr>
          <w:bCs/>
          <w:color w:val="000000"/>
          <w:sz w:val="24"/>
        </w:rPr>
        <w:t>由_________牵头，_________、__________参加，组成联合体共同进行招标项目的投标工作。</w:t>
      </w:r>
    </w:p>
    <w:p w14:paraId="5AADAAC0">
      <w:pPr>
        <w:numPr>
          <w:ilvl w:val="0"/>
          <w:numId w:val="24"/>
        </w:numPr>
        <w:spacing w:line="360" w:lineRule="auto"/>
        <w:rPr>
          <w:bCs/>
          <w:color w:val="000000"/>
          <w:sz w:val="24"/>
        </w:rPr>
      </w:pPr>
      <w:r>
        <w:rPr>
          <w:bCs/>
          <w:color w:val="000000"/>
          <w:sz w:val="24"/>
        </w:rPr>
        <w:t>______为本次投标的牵头人，联合体以牵头人的名义参加投标，联合体中标后，联合体各方共同与采购人签订合同，就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40D29010">
      <w:pPr>
        <w:numPr>
          <w:ilvl w:val="0"/>
          <w:numId w:val="24"/>
        </w:numPr>
        <w:spacing w:line="360" w:lineRule="auto"/>
        <w:rPr>
          <w:bCs/>
          <w:color w:val="000000"/>
          <w:sz w:val="24"/>
        </w:rPr>
      </w:pPr>
      <w:r>
        <w:rPr>
          <w:bCs/>
          <w:color w:val="000000"/>
          <w:sz w:val="24"/>
        </w:rPr>
        <w:t>联合体各方均同意由牵头人代表其他联合体成员单位按招标文件要求出具《授权委托书》。</w:t>
      </w:r>
    </w:p>
    <w:p w14:paraId="77B5F219">
      <w:pPr>
        <w:numPr>
          <w:ilvl w:val="0"/>
          <w:numId w:val="24"/>
        </w:numPr>
        <w:spacing w:line="360" w:lineRule="auto"/>
        <w:rPr>
          <w:bCs/>
          <w:color w:val="000000"/>
          <w:sz w:val="24"/>
        </w:rPr>
      </w:pPr>
      <w:r>
        <w:rPr>
          <w:bCs/>
          <w:color w:val="000000"/>
          <w:sz w:val="24"/>
        </w:rPr>
        <w:t>牵头人为项目的总负责单位；组织各参加方进行项目实施工作。</w:t>
      </w:r>
    </w:p>
    <w:p w14:paraId="56D99EBB">
      <w:pPr>
        <w:numPr>
          <w:ilvl w:val="0"/>
          <w:numId w:val="24"/>
        </w:numPr>
        <w:spacing w:line="360" w:lineRule="auto"/>
        <w:rPr>
          <w:bCs/>
          <w:color w:val="000000"/>
          <w:sz w:val="24"/>
        </w:rPr>
      </w:pPr>
      <w:r>
        <w:rPr>
          <w:bCs/>
          <w:color w:val="000000"/>
          <w:sz w:val="24"/>
        </w:rPr>
        <w:t>______负责_____，具体工作范围、内容以投标文件及合同为准。</w:t>
      </w:r>
    </w:p>
    <w:p w14:paraId="33F6C68D">
      <w:pPr>
        <w:numPr>
          <w:ilvl w:val="0"/>
          <w:numId w:val="24"/>
        </w:numPr>
        <w:spacing w:line="360" w:lineRule="auto"/>
        <w:rPr>
          <w:bCs/>
          <w:color w:val="000000"/>
          <w:sz w:val="24"/>
        </w:rPr>
      </w:pPr>
      <w:r>
        <w:rPr>
          <w:bCs/>
          <w:color w:val="000000"/>
          <w:sz w:val="24"/>
        </w:rPr>
        <w:t>______负责_____，具体工作范围、内容以投标文件及合同为准。</w:t>
      </w:r>
    </w:p>
    <w:p w14:paraId="09170218">
      <w:pPr>
        <w:numPr>
          <w:ilvl w:val="0"/>
          <w:numId w:val="24"/>
        </w:numPr>
        <w:spacing w:line="360" w:lineRule="auto"/>
        <w:rPr>
          <w:bCs/>
          <w:color w:val="000000"/>
          <w:sz w:val="24"/>
        </w:rPr>
      </w:pPr>
      <w:r>
        <w:rPr>
          <w:bCs/>
          <w:color w:val="000000"/>
          <w:sz w:val="24"/>
        </w:rPr>
        <w:t>______负责_____（如有），具体工作范围、内容以投标文件及合同为准。</w:t>
      </w:r>
    </w:p>
    <w:p w14:paraId="3C602131">
      <w:pPr>
        <w:numPr>
          <w:ilvl w:val="0"/>
          <w:numId w:val="24"/>
        </w:numPr>
        <w:spacing w:line="360" w:lineRule="auto"/>
        <w:rPr>
          <w:sz w:val="24"/>
        </w:rPr>
      </w:pPr>
      <w:r>
        <w:rPr>
          <w:sz w:val="24"/>
        </w:rPr>
        <w:t>本项目联合协议合同总额为________元，联合体各成员按照如下比例分摊（按联合体成员分别列明）：</w:t>
      </w:r>
    </w:p>
    <w:p w14:paraId="0CA8096B">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38042607">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75C921AC">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3C43081B">
      <w:pPr>
        <w:numPr>
          <w:ilvl w:val="0"/>
          <w:numId w:val="24"/>
        </w:numPr>
        <w:tabs>
          <w:tab w:val="left" w:pos="993"/>
        </w:tabs>
        <w:spacing w:line="360" w:lineRule="auto"/>
        <w:rPr>
          <w:bCs/>
          <w:color w:val="000000"/>
          <w:sz w:val="24"/>
        </w:rPr>
      </w:pP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14:paraId="175C4792">
      <w:pPr>
        <w:numPr>
          <w:ilvl w:val="0"/>
          <w:numId w:val="24"/>
        </w:numPr>
        <w:spacing w:line="360" w:lineRule="auto"/>
        <w:rPr>
          <w:bCs/>
          <w:color w:val="000000"/>
          <w:sz w:val="24"/>
        </w:rPr>
      </w:pPr>
      <w:r>
        <w:rPr>
          <w:bCs/>
          <w:color w:val="000000"/>
          <w:sz w:val="24"/>
        </w:rPr>
        <w:t>其他约定（如有）：_______</w:t>
      </w:r>
      <w:r>
        <w:rPr>
          <w:rFonts w:hint="eastAsia"/>
          <w:bCs/>
          <w:color w:val="000000"/>
          <w:sz w:val="24"/>
        </w:rPr>
        <w:t>。</w:t>
      </w:r>
    </w:p>
    <w:p w14:paraId="37C3B1EC">
      <w:pPr>
        <w:tabs>
          <w:tab w:val="left" w:pos="780"/>
        </w:tabs>
        <w:spacing w:line="360" w:lineRule="auto"/>
        <w:ind w:firstLine="480" w:firstLineChars="20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r>
        <w:rPr>
          <w:color w:val="000000"/>
          <w:sz w:val="24"/>
        </w:rPr>
        <w:br w:type="page"/>
      </w:r>
    </w:p>
    <w:p w14:paraId="2BEC3352">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14:paraId="12AD946D">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42169F1D">
      <w:pPr>
        <w:spacing w:line="360" w:lineRule="auto"/>
        <w:ind w:firstLine="471"/>
        <w:rPr>
          <w:color w:val="000000"/>
          <w:sz w:val="24"/>
        </w:rPr>
      </w:pPr>
    </w:p>
    <w:p w14:paraId="1835465C">
      <w:pPr>
        <w:spacing w:line="360" w:lineRule="auto"/>
        <w:ind w:firstLine="471"/>
        <w:rPr>
          <w:color w:val="000000"/>
          <w:sz w:val="24"/>
        </w:rPr>
      </w:pPr>
    </w:p>
    <w:p w14:paraId="220B0C9D">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3A5D4555">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4F7B3206">
      <w:pPr>
        <w:spacing w:line="360" w:lineRule="auto"/>
        <w:ind w:firstLine="471"/>
        <w:rPr>
          <w:color w:val="000000"/>
          <w:sz w:val="24"/>
        </w:rPr>
      </w:pPr>
    </w:p>
    <w:p w14:paraId="087B94A0">
      <w:pPr>
        <w:spacing w:line="360" w:lineRule="auto"/>
        <w:ind w:firstLine="471"/>
        <w:rPr>
          <w:color w:val="000000"/>
          <w:sz w:val="24"/>
        </w:rPr>
      </w:pPr>
    </w:p>
    <w:p w14:paraId="3E079442">
      <w:pPr>
        <w:spacing w:line="360" w:lineRule="auto"/>
        <w:ind w:left="480"/>
        <w:jc w:val="right"/>
        <w:rPr>
          <w:color w:val="000000"/>
          <w:sz w:val="24"/>
        </w:rPr>
      </w:pPr>
    </w:p>
    <w:p w14:paraId="3195AC5C">
      <w:pPr>
        <w:spacing w:line="360" w:lineRule="auto"/>
        <w:ind w:left="480"/>
        <w:jc w:val="right"/>
        <w:rPr>
          <w:color w:val="000000"/>
          <w:sz w:val="24"/>
        </w:rPr>
      </w:pPr>
      <w:r>
        <w:rPr>
          <w:color w:val="000000"/>
          <w:sz w:val="24"/>
          <w:szCs w:val="20"/>
        </w:rPr>
        <w:t>日期：_____年______月______日</w:t>
      </w:r>
    </w:p>
    <w:p w14:paraId="55E6E8CB">
      <w:pPr>
        <w:spacing w:line="360" w:lineRule="auto"/>
        <w:ind w:left="480"/>
        <w:jc w:val="right"/>
        <w:rPr>
          <w:b/>
          <w:color w:val="000000"/>
          <w:sz w:val="24"/>
        </w:rPr>
      </w:pPr>
    </w:p>
    <w:p w14:paraId="3A65E70B">
      <w:pPr>
        <w:tabs>
          <w:tab w:val="left" w:pos="8280"/>
        </w:tabs>
        <w:spacing w:line="360" w:lineRule="auto"/>
        <w:ind w:firstLine="480"/>
        <w:rPr>
          <w:color w:val="000000"/>
          <w:sz w:val="24"/>
        </w:rPr>
      </w:pPr>
    </w:p>
    <w:p w14:paraId="54A0D298">
      <w:pPr>
        <w:tabs>
          <w:tab w:val="left" w:pos="8280"/>
        </w:tabs>
        <w:spacing w:line="360" w:lineRule="auto"/>
        <w:ind w:firstLine="480"/>
        <w:rPr>
          <w:color w:val="000000"/>
          <w:sz w:val="24"/>
        </w:rPr>
      </w:pPr>
    </w:p>
    <w:p w14:paraId="4A8D5D1E">
      <w:pPr>
        <w:spacing w:line="360" w:lineRule="auto"/>
        <w:rPr>
          <w:color w:val="000000"/>
          <w:sz w:val="24"/>
        </w:rPr>
      </w:pPr>
      <w:r>
        <w:rPr>
          <w:color w:val="000000"/>
          <w:sz w:val="24"/>
        </w:rPr>
        <w:t>注：</w:t>
      </w:r>
      <w:r>
        <w:rPr>
          <w:rFonts w:hint="eastAsia"/>
          <w:color w:val="000000"/>
          <w:sz w:val="24"/>
        </w:rPr>
        <w:t>1. 如本项目（包）接受供应商以联合体形式参加采购活动，且供应商以联合体形式参与时，须供《联合协议》，否则</w:t>
      </w:r>
      <w:r>
        <w:rPr>
          <w:rFonts w:hint="eastAsia"/>
          <w:b/>
          <w:bCs/>
          <w:color w:val="000000"/>
          <w:sz w:val="24"/>
        </w:rPr>
        <w:t>投标无效</w:t>
      </w:r>
      <w:r>
        <w:rPr>
          <w:rFonts w:hint="eastAsia"/>
          <w:color w:val="000000"/>
          <w:sz w:val="24"/>
        </w:rPr>
        <w:t xml:space="preserve">。 </w:t>
      </w:r>
    </w:p>
    <w:p w14:paraId="21568627">
      <w:pPr>
        <w:spacing w:line="360" w:lineRule="auto"/>
        <w:ind w:firstLine="471"/>
        <w:rPr>
          <w:color w:val="000000"/>
          <w:sz w:val="24"/>
        </w:rPr>
      </w:pPr>
      <w:r>
        <w:rPr>
          <w:color w:val="000000"/>
          <w:sz w:val="24"/>
        </w:rPr>
        <w:t xml:space="preserve">2. </w:t>
      </w:r>
      <w:r>
        <w:rPr>
          <w:rFonts w:hint="eastAsia"/>
          <w:color w:val="000000"/>
          <w:sz w:val="24"/>
        </w:rPr>
        <w:t>联合体各方成员需在本协议上共同盖章。</w:t>
      </w:r>
    </w:p>
    <w:p w14:paraId="2D1BA7C9">
      <w:pPr>
        <w:spacing w:line="360" w:lineRule="auto"/>
        <w:ind w:left="719" w:leftChars="228" w:hanging="240" w:hangingChars="100"/>
        <w:rPr>
          <w:sz w:val="24"/>
        </w:rPr>
      </w:pPr>
    </w:p>
    <w:p w14:paraId="19B229B4">
      <w:pPr>
        <w:spacing w:line="360" w:lineRule="auto"/>
        <w:rPr>
          <w:color w:val="000000"/>
          <w:sz w:val="24"/>
          <w:szCs w:val="20"/>
        </w:rPr>
      </w:pPr>
      <w:r>
        <w:rPr>
          <w:sz w:val="24"/>
        </w:rPr>
        <w:br w:type="page"/>
      </w:r>
    </w:p>
    <w:p w14:paraId="325075E3">
      <w:pPr>
        <w:spacing w:line="360" w:lineRule="auto"/>
        <w:outlineLvl w:val="2"/>
        <w:rPr>
          <w:sz w:val="24"/>
          <w:szCs w:val="20"/>
        </w:rPr>
      </w:pPr>
      <w:r>
        <w:rPr>
          <w:rFonts w:hint="eastAsia"/>
          <w:color w:val="000000"/>
          <w:sz w:val="24"/>
          <w:szCs w:val="20"/>
        </w:rPr>
        <w:t>.</w:t>
      </w:r>
      <w:r>
        <w:rPr>
          <w:color w:val="000000"/>
          <w:sz w:val="24"/>
          <w:szCs w:val="20"/>
        </w:rPr>
        <w:t>3-</w:t>
      </w:r>
      <w:r>
        <w:rPr>
          <w:rFonts w:hint="eastAsia"/>
          <w:color w:val="000000"/>
          <w:sz w:val="24"/>
          <w:szCs w:val="20"/>
        </w:rPr>
        <w:t>2</w:t>
      </w:r>
      <w:r>
        <w:rPr>
          <w:color w:val="000000"/>
          <w:sz w:val="24"/>
          <w:szCs w:val="20"/>
        </w:rPr>
        <w:t>其他</w:t>
      </w:r>
      <w:r>
        <w:rPr>
          <w:sz w:val="24"/>
          <w:szCs w:val="20"/>
        </w:rPr>
        <w:t>特定资格要求</w:t>
      </w:r>
    </w:p>
    <w:p w14:paraId="05D2BFFB">
      <w:pPr>
        <w:widowControl/>
        <w:jc w:val="left"/>
        <w:rPr>
          <w:b/>
          <w:spacing w:val="20"/>
          <w:sz w:val="24"/>
        </w:rPr>
      </w:pPr>
      <w:r>
        <w:rPr>
          <w:sz w:val="24"/>
          <w:szCs w:val="20"/>
        </w:rPr>
        <w:br w:type="page"/>
      </w:r>
      <w:r>
        <w:rPr>
          <w:b/>
          <w:spacing w:val="20"/>
          <w:sz w:val="24"/>
        </w:rPr>
        <w:t>二、商务技术文件格式</w:t>
      </w:r>
    </w:p>
    <w:p w14:paraId="0F888FA6">
      <w:pPr>
        <w:rPr>
          <w:b/>
          <w:spacing w:val="20"/>
          <w:szCs w:val="21"/>
        </w:rPr>
      </w:pPr>
    </w:p>
    <w:p w14:paraId="1A9A451D">
      <w:pPr>
        <w:rPr>
          <w:b/>
          <w:sz w:val="24"/>
        </w:rPr>
      </w:pPr>
      <w:r>
        <w:rPr>
          <w:b/>
          <w:spacing w:val="20"/>
          <w:sz w:val="24"/>
        </w:rPr>
        <w:t>投标文件（商务技术文件）</w:t>
      </w:r>
      <w:r>
        <w:rPr>
          <w:b/>
          <w:sz w:val="24"/>
        </w:rPr>
        <w:t>封面（非实质性格式）</w:t>
      </w:r>
    </w:p>
    <w:p w14:paraId="0069B7BB">
      <w:pPr>
        <w:jc w:val="center"/>
        <w:rPr>
          <w:szCs w:val="21"/>
        </w:rPr>
      </w:pPr>
    </w:p>
    <w:p w14:paraId="4B435342">
      <w:pPr>
        <w:jc w:val="center"/>
        <w:rPr>
          <w:b/>
          <w:spacing w:val="60"/>
          <w:sz w:val="84"/>
          <w:szCs w:val="84"/>
        </w:rPr>
      </w:pPr>
      <w:r>
        <w:rPr>
          <w:b/>
          <w:spacing w:val="60"/>
          <w:sz w:val="84"/>
          <w:szCs w:val="84"/>
        </w:rPr>
        <w:t>投 标 文 件</w:t>
      </w:r>
    </w:p>
    <w:p w14:paraId="1214468D">
      <w:pPr>
        <w:jc w:val="center"/>
        <w:rPr>
          <w:b/>
          <w:spacing w:val="60"/>
          <w:sz w:val="52"/>
          <w:szCs w:val="52"/>
        </w:rPr>
      </w:pPr>
      <w:r>
        <w:rPr>
          <w:b/>
          <w:spacing w:val="60"/>
          <w:sz w:val="52"/>
          <w:szCs w:val="52"/>
        </w:rPr>
        <w:t>（商务技术文件）</w:t>
      </w:r>
    </w:p>
    <w:p w14:paraId="44F37D81">
      <w:pPr>
        <w:ind w:firstLine="542" w:firstLineChars="150"/>
        <w:rPr>
          <w:b/>
          <w:spacing w:val="20"/>
          <w:sz w:val="32"/>
          <w:szCs w:val="32"/>
        </w:rPr>
      </w:pPr>
    </w:p>
    <w:p w14:paraId="669FD7B3">
      <w:pPr>
        <w:ind w:firstLine="542" w:firstLineChars="150"/>
        <w:rPr>
          <w:b/>
          <w:spacing w:val="20"/>
          <w:sz w:val="32"/>
          <w:szCs w:val="32"/>
        </w:rPr>
      </w:pPr>
      <w:r>
        <w:rPr>
          <w:rFonts w:hint="eastAsia"/>
          <w:b/>
          <w:spacing w:val="20"/>
          <w:sz w:val="32"/>
          <w:szCs w:val="32"/>
        </w:rPr>
        <w:t xml:space="preserve"> </w:t>
      </w:r>
    </w:p>
    <w:p w14:paraId="371A11F3">
      <w:pPr>
        <w:pStyle w:val="30"/>
        <w:rPr>
          <w:b/>
          <w:spacing w:val="20"/>
          <w:sz w:val="32"/>
          <w:szCs w:val="32"/>
        </w:rPr>
      </w:pPr>
    </w:p>
    <w:p w14:paraId="1E2E76BD">
      <w:pPr>
        <w:pStyle w:val="30"/>
        <w:rPr>
          <w:b/>
          <w:spacing w:val="20"/>
          <w:sz w:val="32"/>
          <w:szCs w:val="32"/>
        </w:rPr>
      </w:pPr>
    </w:p>
    <w:p w14:paraId="7BBB9948">
      <w:pPr>
        <w:pStyle w:val="30"/>
        <w:rPr>
          <w:b/>
          <w:spacing w:val="20"/>
          <w:sz w:val="32"/>
          <w:szCs w:val="32"/>
        </w:rPr>
      </w:pPr>
    </w:p>
    <w:p w14:paraId="5D8C5A84">
      <w:pPr>
        <w:spacing w:before="36" w:line="225" w:lineRule="auto"/>
        <w:ind w:left="545"/>
        <w:rPr>
          <w:b/>
          <w:spacing w:val="20"/>
          <w:sz w:val="32"/>
          <w:szCs w:val="32"/>
        </w:rPr>
      </w:pPr>
      <w:r>
        <w:rPr>
          <w:rFonts w:hint="eastAsia"/>
          <w:b/>
          <w:spacing w:val="20"/>
          <w:sz w:val="32"/>
          <w:szCs w:val="32"/>
        </w:rPr>
        <w:t>项目名称：</w:t>
      </w:r>
    </w:p>
    <w:p w14:paraId="71BBF4A4">
      <w:pPr>
        <w:pStyle w:val="30"/>
      </w:pPr>
    </w:p>
    <w:p w14:paraId="39C82677">
      <w:pPr>
        <w:ind w:firstLine="542" w:firstLineChars="150"/>
        <w:rPr>
          <w:b/>
          <w:spacing w:val="20"/>
          <w:sz w:val="32"/>
          <w:szCs w:val="32"/>
        </w:rPr>
      </w:pPr>
    </w:p>
    <w:p w14:paraId="2953E4B1">
      <w:pPr>
        <w:pStyle w:val="30"/>
        <w:rPr>
          <w:rFonts w:ascii="Times New Roman"/>
          <w:b/>
          <w:spacing w:val="20"/>
          <w:kern w:val="2"/>
          <w:sz w:val="32"/>
          <w:szCs w:val="32"/>
        </w:rPr>
      </w:pPr>
    </w:p>
    <w:p w14:paraId="072436FA">
      <w:pPr>
        <w:spacing w:before="36" w:line="225" w:lineRule="auto"/>
        <w:ind w:left="545"/>
        <w:rPr>
          <w:b/>
          <w:spacing w:val="20"/>
          <w:sz w:val="32"/>
          <w:szCs w:val="32"/>
        </w:rPr>
      </w:pPr>
      <w:r>
        <w:rPr>
          <w:b/>
          <w:spacing w:val="20"/>
          <w:sz w:val="32"/>
          <w:szCs w:val="32"/>
        </w:rPr>
        <w:t>项目编号：</w:t>
      </w:r>
    </w:p>
    <w:p w14:paraId="64FF99EB">
      <w:pPr>
        <w:ind w:firstLine="542" w:firstLineChars="150"/>
        <w:rPr>
          <w:b/>
          <w:spacing w:val="20"/>
          <w:sz w:val="32"/>
          <w:szCs w:val="32"/>
        </w:rPr>
      </w:pPr>
    </w:p>
    <w:p w14:paraId="17A55C54">
      <w:pPr>
        <w:ind w:firstLine="542" w:firstLineChars="150"/>
        <w:rPr>
          <w:b/>
          <w:spacing w:val="20"/>
          <w:sz w:val="32"/>
          <w:szCs w:val="32"/>
        </w:rPr>
      </w:pPr>
    </w:p>
    <w:p w14:paraId="13C8EAEC">
      <w:pPr>
        <w:jc w:val="center"/>
        <w:rPr>
          <w:b/>
          <w:sz w:val="32"/>
          <w:szCs w:val="32"/>
        </w:rPr>
      </w:pPr>
    </w:p>
    <w:p w14:paraId="51AEA79A">
      <w:pPr>
        <w:jc w:val="center"/>
        <w:rPr>
          <w:b/>
          <w:sz w:val="32"/>
          <w:szCs w:val="32"/>
        </w:rPr>
      </w:pPr>
    </w:p>
    <w:p w14:paraId="52EA59B5">
      <w:pPr>
        <w:jc w:val="center"/>
        <w:rPr>
          <w:b/>
          <w:sz w:val="32"/>
          <w:szCs w:val="32"/>
        </w:rPr>
      </w:pPr>
    </w:p>
    <w:p w14:paraId="082D82F6">
      <w:pPr>
        <w:jc w:val="center"/>
        <w:rPr>
          <w:b/>
          <w:spacing w:val="20"/>
          <w:sz w:val="32"/>
          <w:szCs w:val="32"/>
        </w:rPr>
      </w:pPr>
    </w:p>
    <w:p w14:paraId="76346154">
      <w:pPr>
        <w:jc w:val="center"/>
        <w:rPr>
          <w:b/>
          <w:spacing w:val="20"/>
          <w:sz w:val="32"/>
          <w:szCs w:val="32"/>
        </w:rPr>
      </w:pPr>
    </w:p>
    <w:p w14:paraId="68022BCE">
      <w:pPr>
        <w:jc w:val="center"/>
        <w:rPr>
          <w:b/>
          <w:spacing w:val="20"/>
          <w:sz w:val="32"/>
          <w:szCs w:val="32"/>
        </w:rPr>
      </w:pPr>
    </w:p>
    <w:p w14:paraId="40C35FD0">
      <w:pPr>
        <w:spacing w:line="360" w:lineRule="auto"/>
        <w:ind w:firstLine="723" w:firstLineChars="200"/>
        <w:jc w:val="left"/>
        <w:rPr>
          <w:b/>
          <w:spacing w:val="20"/>
          <w:sz w:val="32"/>
          <w:szCs w:val="32"/>
        </w:rPr>
      </w:pPr>
      <w:r>
        <w:rPr>
          <w:b/>
          <w:spacing w:val="20"/>
          <w:sz w:val="32"/>
          <w:szCs w:val="32"/>
        </w:rPr>
        <w:t>投标人名称：</w:t>
      </w:r>
    </w:p>
    <w:p w14:paraId="0F19EB92">
      <w:pPr>
        <w:jc w:val="center"/>
        <w:rPr>
          <w:b/>
          <w:sz w:val="32"/>
          <w:szCs w:val="32"/>
        </w:rPr>
      </w:pPr>
    </w:p>
    <w:p w14:paraId="64FB430A">
      <w:pPr>
        <w:spacing w:line="360" w:lineRule="auto"/>
        <w:outlineLvl w:val="2"/>
        <w:rPr>
          <w:color w:val="000000"/>
          <w:sz w:val="24"/>
          <w:szCs w:val="20"/>
        </w:rPr>
      </w:pPr>
      <w:r>
        <w:rPr>
          <w:b/>
          <w:sz w:val="24"/>
        </w:rPr>
        <w:br w:type="page"/>
      </w:r>
      <w:bookmarkStart w:id="895" w:name="_Hlt520273711"/>
      <w:bookmarkEnd w:id="895"/>
      <w:bookmarkStart w:id="896" w:name="_Hlt520274407"/>
      <w:bookmarkEnd w:id="896"/>
      <w:bookmarkStart w:id="897" w:name="_Hlt520274393"/>
      <w:bookmarkEnd w:id="897"/>
      <w:bookmarkStart w:id="898" w:name="_Hlt520350918"/>
      <w:bookmarkEnd w:id="898"/>
      <w:bookmarkStart w:id="899" w:name="_Hlt520274065"/>
      <w:bookmarkEnd w:id="899"/>
      <w:bookmarkStart w:id="900" w:name="_Hlt520355504"/>
      <w:bookmarkEnd w:id="900"/>
      <w:bookmarkStart w:id="901" w:name="_Hlt520343392"/>
      <w:bookmarkEnd w:id="901"/>
      <w:bookmarkStart w:id="902" w:name="_Hlt520271212"/>
      <w:bookmarkEnd w:id="902"/>
      <w:bookmarkStart w:id="903" w:name="_Hlt520274121"/>
      <w:bookmarkEnd w:id="903"/>
      <w:bookmarkStart w:id="904" w:name="_Hlt520343000"/>
      <w:bookmarkEnd w:id="904"/>
      <w:bookmarkStart w:id="905" w:name="_Ref467988698"/>
      <w:bookmarkStart w:id="906" w:name="_Toc480942349"/>
      <w:bookmarkStart w:id="907" w:name="_Toc150774761"/>
      <w:bookmarkStart w:id="908" w:name="_Toc226309800"/>
      <w:bookmarkStart w:id="909" w:name="_Toc520356217"/>
      <w:bookmarkStart w:id="910" w:name="_Toc150480794"/>
      <w:bookmarkStart w:id="911" w:name="_Toc226965746"/>
      <w:bookmarkStart w:id="912" w:name="_Toc142311058"/>
      <w:bookmarkStart w:id="913" w:name="_Toc127151556"/>
      <w:bookmarkStart w:id="914" w:name="_Toc226337252"/>
      <w:bookmarkStart w:id="915" w:name="_Toc195842921"/>
      <w:bookmarkStart w:id="916" w:name="_Toc226965829"/>
      <w:r>
        <w:rPr>
          <w:color w:val="000000"/>
          <w:sz w:val="24"/>
        </w:rPr>
        <w:t>1  投标</w:t>
      </w:r>
      <w:bookmarkEnd w:id="905"/>
      <w:bookmarkEnd w:id="906"/>
      <w:r>
        <w:rPr>
          <w:color w:val="000000"/>
          <w:sz w:val="24"/>
        </w:rPr>
        <w:t>书</w:t>
      </w:r>
      <w:bookmarkEnd w:id="907"/>
      <w:bookmarkEnd w:id="908"/>
      <w:bookmarkEnd w:id="909"/>
      <w:bookmarkEnd w:id="910"/>
      <w:bookmarkEnd w:id="911"/>
      <w:bookmarkEnd w:id="912"/>
      <w:bookmarkEnd w:id="913"/>
      <w:bookmarkEnd w:id="914"/>
      <w:bookmarkEnd w:id="915"/>
      <w:bookmarkEnd w:id="916"/>
      <w:r>
        <w:rPr>
          <w:color w:val="000000"/>
          <w:sz w:val="24"/>
        </w:rPr>
        <w:t>（实质性格式）</w:t>
      </w:r>
    </w:p>
    <w:p w14:paraId="2339B049">
      <w:pPr>
        <w:tabs>
          <w:tab w:val="left" w:pos="5580"/>
        </w:tabs>
        <w:spacing w:line="360" w:lineRule="auto"/>
        <w:rPr>
          <w:color w:val="000000"/>
          <w:sz w:val="24"/>
        </w:rPr>
      </w:pPr>
    </w:p>
    <w:p w14:paraId="2C5A2102">
      <w:pPr>
        <w:spacing w:line="360" w:lineRule="auto"/>
        <w:jc w:val="center"/>
        <w:rPr>
          <w:b/>
          <w:color w:val="000000"/>
          <w:sz w:val="36"/>
          <w:szCs w:val="36"/>
        </w:rPr>
      </w:pPr>
      <w:r>
        <w:rPr>
          <w:rFonts w:hint="eastAsia"/>
          <w:b/>
          <w:color w:val="000000"/>
          <w:sz w:val="36"/>
          <w:szCs w:val="36"/>
        </w:rPr>
        <w:t>投标书</w:t>
      </w:r>
    </w:p>
    <w:p w14:paraId="3FDE7338">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D42808B">
      <w:pPr>
        <w:tabs>
          <w:tab w:val="left" w:pos="5580"/>
        </w:tabs>
        <w:spacing w:line="360" w:lineRule="auto"/>
        <w:rPr>
          <w:color w:val="000000"/>
          <w:sz w:val="24"/>
          <w:szCs w:val="20"/>
        </w:rPr>
      </w:pPr>
    </w:p>
    <w:p w14:paraId="622370FB">
      <w:pPr>
        <w:tabs>
          <w:tab w:val="left" w:pos="5580"/>
        </w:tabs>
        <w:spacing w:line="360" w:lineRule="auto"/>
        <w:ind w:firstLine="408"/>
        <w:rPr>
          <w:color w:val="000000"/>
          <w:sz w:val="24"/>
          <w:szCs w:val="20"/>
        </w:rPr>
      </w:pPr>
      <w:r>
        <w:rPr>
          <w:color w:val="000000"/>
          <w:sz w:val="24"/>
          <w:szCs w:val="20"/>
        </w:rPr>
        <w:t>我方参加你方就___________（</w:t>
      </w:r>
      <w:r>
        <w:rPr>
          <w:rFonts w:hint="eastAsia"/>
          <w:sz w:val="24"/>
        </w:rPr>
        <w:t>项目名称</w:t>
      </w:r>
      <w:r>
        <w:rPr>
          <w:rFonts w:ascii="宋体" w:hAnsi="宋体" w:cs="宋体"/>
          <w:sz w:val="24"/>
        </w:rPr>
        <w:t>，项目编号</w:t>
      </w:r>
      <w:r>
        <w:rPr>
          <w:color w:val="000000"/>
          <w:sz w:val="24"/>
          <w:szCs w:val="20"/>
        </w:rPr>
        <w:t>）组织的招标活动，并对此项目进行投标。</w:t>
      </w:r>
    </w:p>
    <w:p w14:paraId="5F4FB747">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14:paraId="42C168A4">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14:paraId="1656C17B">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14:paraId="366BE159">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32A003C7">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14:paraId="5A6D25C9">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25E339D8">
      <w:pPr>
        <w:spacing w:line="360" w:lineRule="auto"/>
        <w:ind w:firstLine="480" w:firstLineChars="200"/>
        <w:rPr>
          <w:color w:val="000000"/>
          <w:sz w:val="24"/>
        </w:rPr>
      </w:pPr>
      <w:r>
        <w:rPr>
          <w:color w:val="000000"/>
          <w:sz w:val="24"/>
        </w:rPr>
        <w:t>与本投标有关的一切正式往来信函请寄：</w:t>
      </w:r>
    </w:p>
    <w:p w14:paraId="78D2D0AF">
      <w:pPr>
        <w:tabs>
          <w:tab w:val="left" w:pos="5580"/>
        </w:tabs>
        <w:spacing w:line="360" w:lineRule="auto"/>
        <w:ind w:left="420"/>
        <w:rPr>
          <w:color w:val="000000"/>
          <w:sz w:val="24"/>
          <w:szCs w:val="20"/>
        </w:rPr>
      </w:pPr>
    </w:p>
    <w:p w14:paraId="712BA8F5">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54843175">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526B806B">
      <w:pPr>
        <w:tabs>
          <w:tab w:val="left" w:pos="5580"/>
        </w:tabs>
        <w:spacing w:line="360" w:lineRule="auto"/>
        <w:ind w:left="420"/>
        <w:rPr>
          <w:color w:val="000000"/>
          <w:sz w:val="24"/>
          <w:szCs w:val="20"/>
        </w:rPr>
      </w:pPr>
    </w:p>
    <w:p w14:paraId="1AD4B3BB">
      <w:pPr>
        <w:tabs>
          <w:tab w:val="left" w:pos="5580"/>
        </w:tabs>
        <w:spacing w:line="360" w:lineRule="auto"/>
        <w:ind w:left="420"/>
        <w:rPr>
          <w:color w:val="000000"/>
          <w:sz w:val="24"/>
          <w:szCs w:val="20"/>
        </w:rPr>
      </w:pPr>
      <w:r>
        <w:rPr>
          <w:color w:val="000000"/>
          <w:sz w:val="24"/>
          <w:szCs w:val="20"/>
        </w:rPr>
        <w:t>投标人名称（加盖公章） ___________</w:t>
      </w:r>
    </w:p>
    <w:p w14:paraId="002A9914">
      <w:pPr>
        <w:tabs>
          <w:tab w:val="left" w:pos="5580"/>
        </w:tabs>
        <w:spacing w:line="360" w:lineRule="auto"/>
        <w:ind w:left="420"/>
        <w:rPr>
          <w:color w:val="000000"/>
          <w:sz w:val="24"/>
          <w:szCs w:val="20"/>
        </w:rPr>
      </w:pPr>
      <w:r>
        <w:rPr>
          <w:color w:val="000000"/>
          <w:sz w:val="24"/>
          <w:szCs w:val="20"/>
        </w:rPr>
        <w:t xml:space="preserve">日期：_____年______月______日    </w:t>
      </w:r>
    </w:p>
    <w:p w14:paraId="0110E72F">
      <w:pPr>
        <w:tabs>
          <w:tab w:val="left" w:pos="5580"/>
        </w:tabs>
        <w:spacing w:line="360" w:lineRule="auto"/>
        <w:ind w:left="420"/>
        <w:rPr>
          <w:color w:val="000000"/>
          <w:sz w:val="24"/>
          <w:szCs w:val="20"/>
          <w:u w:val="single"/>
        </w:rPr>
      </w:pPr>
    </w:p>
    <w:p w14:paraId="261D8592">
      <w:pPr>
        <w:widowControl/>
        <w:jc w:val="left"/>
        <w:rPr>
          <w:color w:val="000000"/>
          <w:sz w:val="24"/>
        </w:rPr>
      </w:pPr>
      <w:bookmarkStart w:id="917" w:name="_Hlt520356243"/>
      <w:bookmarkEnd w:id="917"/>
      <w:bookmarkStart w:id="918" w:name="_Hlt520355938"/>
      <w:bookmarkEnd w:id="918"/>
      <w:bookmarkStart w:id="919" w:name="_Toc226309801"/>
      <w:bookmarkStart w:id="920" w:name="_Toc520356218"/>
      <w:bookmarkStart w:id="921" w:name="_Toc226965747"/>
      <w:bookmarkStart w:id="922" w:name="_Toc265228395"/>
      <w:bookmarkStart w:id="923" w:name="_Toc480942350"/>
      <w:bookmarkStart w:id="924" w:name="_Toc142311059"/>
      <w:bookmarkStart w:id="925" w:name="_Toc226965830"/>
      <w:bookmarkStart w:id="926" w:name="_Toc264969247"/>
      <w:bookmarkStart w:id="927" w:name="_Toc305158899"/>
      <w:bookmarkStart w:id="928" w:name="_Toc195842922"/>
      <w:bookmarkStart w:id="929" w:name="_Ref467988705"/>
      <w:bookmarkStart w:id="930" w:name="_Toc150480795"/>
      <w:bookmarkStart w:id="931" w:name="_Toc127151557"/>
      <w:bookmarkStart w:id="932" w:name="_Toc305158825"/>
      <w:bookmarkStart w:id="933" w:name="_Toc150774762"/>
      <w:bookmarkStart w:id="934" w:name="_Toc226337253"/>
      <w:r>
        <w:rPr>
          <w:color w:val="000000"/>
          <w:sz w:val="24"/>
        </w:rPr>
        <w:br w:type="page"/>
      </w:r>
    </w:p>
    <w:p w14:paraId="2093757B">
      <w:pPr>
        <w:spacing w:line="360" w:lineRule="auto"/>
        <w:outlineLvl w:val="2"/>
        <w:rPr>
          <w:color w:val="000000"/>
          <w:sz w:val="24"/>
        </w:rPr>
      </w:pPr>
      <w:r>
        <w:rPr>
          <w:color w:val="000000"/>
          <w:sz w:val="24"/>
        </w:rPr>
        <w:t>2  授权委托书（实质性格式）</w:t>
      </w:r>
    </w:p>
    <w:p w14:paraId="3D295475">
      <w:pPr>
        <w:spacing w:line="360" w:lineRule="exact"/>
        <w:jc w:val="center"/>
        <w:rPr>
          <w:rFonts w:ascii="宋体" w:hAnsi="宋体"/>
          <w:b/>
          <w:color w:val="000000"/>
          <w:sz w:val="36"/>
          <w:szCs w:val="36"/>
        </w:rPr>
      </w:pPr>
      <w:r>
        <w:rPr>
          <w:rFonts w:hint="eastAsia" w:ascii="宋体" w:hAnsi="宋体"/>
          <w:b/>
          <w:color w:val="000000"/>
          <w:sz w:val="36"/>
          <w:szCs w:val="36"/>
        </w:rPr>
        <w:t>授权委托书</w:t>
      </w:r>
    </w:p>
    <w:p w14:paraId="7C99C37F">
      <w:pPr>
        <w:spacing w:line="360" w:lineRule="auto"/>
        <w:ind w:firstLine="420"/>
        <w:rPr>
          <w:rFonts w:ascii="宋体" w:hAnsi="宋体"/>
          <w:color w:val="000000"/>
          <w:sz w:val="24"/>
          <w:szCs w:val="20"/>
        </w:rPr>
      </w:pPr>
    </w:p>
    <w:p w14:paraId="3593ABC0">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hint="eastAsia"/>
          <w:sz w:val="24"/>
        </w:rPr>
        <w:t>项目名称</w:t>
      </w:r>
      <w:r>
        <w:rPr>
          <w:rFonts w:ascii="宋体" w:hAnsi="宋体" w:cs="宋体"/>
          <w:sz w:val="24"/>
        </w:rPr>
        <w:t>，项目编号</w:t>
      </w:r>
      <w:r>
        <w:rPr>
          <w:rFonts w:ascii="宋体" w:hAnsi="宋体"/>
          <w:color w:val="000000"/>
          <w:sz w:val="24"/>
          <w:szCs w:val="20"/>
        </w:rPr>
        <w:t>）</w:t>
      </w:r>
      <w:r>
        <w:rPr>
          <w:rFonts w:hint="eastAsia" w:ascii="宋体" w:hAnsi="宋体"/>
          <w:color w:val="000000"/>
          <w:sz w:val="24"/>
          <w:szCs w:val="20"/>
        </w:rPr>
        <w:t>响应</w:t>
      </w:r>
      <w:r>
        <w:rPr>
          <w:rFonts w:ascii="宋体" w:hAnsi="宋体"/>
          <w:color w:val="000000"/>
          <w:sz w:val="24"/>
          <w:szCs w:val="20"/>
        </w:rPr>
        <w:t>文件</w:t>
      </w:r>
      <w:r>
        <w:rPr>
          <w:rFonts w:hint="eastAsia" w:ascii="宋体" w:hAnsi="宋体"/>
          <w:color w:val="000000"/>
          <w:sz w:val="24"/>
          <w:szCs w:val="20"/>
        </w:rPr>
        <w:t>和</w:t>
      </w:r>
      <w:r>
        <w:rPr>
          <w:rFonts w:ascii="宋体" w:hAnsi="宋体"/>
          <w:color w:val="000000"/>
          <w:sz w:val="24"/>
          <w:szCs w:val="20"/>
        </w:rPr>
        <w:t>处理有关事宜，其法律后果由我方承担。</w:t>
      </w:r>
    </w:p>
    <w:p w14:paraId="5502D92F">
      <w:pPr>
        <w:spacing w:line="360" w:lineRule="auto"/>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14:paraId="253564FF">
      <w:pPr>
        <w:spacing w:line="360" w:lineRule="auto"/>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14:paraId="20162F0E">
      <w:pPr>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249C7045">
      <w:pPr>
        <w:spacing w:line="360" w:lineRule="auto"/>
        <w:rPr>
          <w:rFonts w:ascii="宋体" w:hAnsi="宋体"/>
          <w:color w:val="000000"/>
          <w:sz w:val="24"/>
          <w:szCs w:val="20"/>
        </w:rPr>
      </w:pPr>
      <w:r>
        <w:rPr>
          <w:rFonts w:ascii="宋体" w:hAnsi="宋体"/>
          <w:color w:val="000000"/>
          <w:sz w:val="24"/>
          <w:szCs w:val="20"/>
        </w:rPr>
        <w:t>法定代表人（单位负责人）（</w:t>
      </w:r>
      <w:r>
        <w:rPr>
          <w:rFonts w:hint="eastAsia" w:ascii="宋体" w:hAnsi="宋体"/>
          <w:color w:val="000000"/>
          <w:sz w:val="24"/>
          <w:szCs w:val="20"/>
        </w:rPr>
        <w:t>签字或盖章）</w:t>
      </w:r>
      <w:r>
        <w:rPr>
          <w:rFonts w:ascii="宋体" w:hAnsi="宋体"/>
          <w:color w:val="000000"/>
          <w:sz w:val="24"/>
          <w:szCs w:val="20"/>
        </w:rPr>
        <w:t>：</w:t>
      </w:r>
      <w:r>
        <w:rPr>
          <w:rFonts w:ascii="宋体" w:hAnsi="宋体"/>
          <w:color w:val="000000"/>
          <w:sz w:val="24"/>
          <w:lang w:val="zh-CN"/>
        </w:rPr>
        <w:t>________________</w:t>
      </w:r>
    </w:p>
    <w:p w14:paraId="35CB11D8">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hint="eastAsia" w:ascii="宋体" w:hAnsi="宋体"/>
          <w:color w:val="000000"/>
          <w:sz w:val="24"/>
        </w:rPr>
        <w:t>或盖章</w:t>
      </w:r>
      <w:r>
        <w:rPr>
          <w:rFonts w:ascii="宋体" w:hAnsi="宋体"/>
          <w:color w:val="000000"/>
          <w:sz w:val="24"/>
        </w:rPr>
        <w:t>）：</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14:paraId="705383B0">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7717AD21">
      <w:pPr>
        <w:pStyle w:val="19"/>
        <w:spacing w:before="78" w:line="219" w:lineRule="auto"/>
        <w:ind w:left="141"/>
      </w:pPr>
      <w:r>
        <w:rPr>
          <w:spacing w:val="-4"/>
        </w:rPr>
        <w:t>附：</w:t>
      </w:r>
      <w:r>
        <w:rPr>
          <w:spacing w:val="-1"/>
        </w:rPr>
        <w:t>法定代表人（单位负责人）及委托代理人身份证明文件电子件：</w:t>
      </w:r>
    </w:p>
    <w:p w14:paraId="6A9691C8">
      <w:pPr>
        <w:tabs>
          <w:tab w:val="left" w:pos="5580"/>
        </w:tabs>
        <w:spacing w:line="360" w:lineRule="auto"/>
        <w:ind w:firstLine="480" w:firstLineChars="200"/>
        <w:rPr>
          <w:rFonts w:ascii="宋体" w:hAnsi="宋体"/>
          <w:color w:val="000000"/>
          <w:sz w:val="24"/>
          <w:szCs w:val="20"/>
        </w:rPr>
      </w:pP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9"/>
      </w:tblGrid>
      <w:tr w14:paraId="5B39D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624D8E97">
            <w:pPr>
              <w:tabs>
                <w:tab w:val="left" w:pos="5580"/>
              </w:tabs>
              <w:spacing w:line="360" w:lineRule="auto"/>
              <w:jc w:val="left"/>
              <w:rPr>
                <w:rFonts w:ascii="宋体" w:hAnsi="宋体"/>
                <w:color w:val="000000"/>
                <w:sz w:val="24"/>
                <w:szCs w:val="20"/>
              </w:rPr>
            </w:pPr>
          </w:p>
          <w:p w14:paraId="3E2A4811">
            <w:pPr>
              <w:tabs>
                <w:tab w:val="left" w:pos="5580"/>
              </w:tabs>
              <w:spacing w:line="360" w:lineRule="auto"/>
              <w:jc w:val="left"/>
              <w:rPr>
                <w:rFonts w:ascii="宋体" w:hAnsi="宋体"/>
                <w:color w:val="000000"/>
                <w:sz w:val="24"/>
                <w:szCs w:val="20"/>
              </w:rPr>
            </w:pPr>
          </w:p>
          <w:p w14:paraId="344A9FC3">
            <w:pPr>
              <w:tabs>
                <w:tab w:val="left" w:pos="5580"/>
              </w:tabs>
              <w:spacing w:line="360" w:lineRule="auto"/>
              <w:jc w:val="left"/>
              <w:rPr>
                <w:rFonts w:ascii="宋体" w:hAnsi="宋体"/>
                <w:color w:val="000000"/>
                <w:sz w:val="24"/>
                <w:szCs w:val="20"/>
              </w:rPr>
            </w:pPr>
          </w:p>
          <w:p w14:paraId="27F14A0C">
            <w:pPr>
              <w:tabs>
                <w:tab w:val="left" w:pos="5580"/>
              </w:tabs>
              <w:spacing w:line="360" w:lineRule="auto"/>
              <w:jc w:val="left"/>
              <w:rPr>
                <w:rFonts w:ascii="宋体" w:hAnsi="宋体"/>
                <w:color w:val="000000"/>
                <w:sz w:val="24"/>
                <w:szCs w:val="20"/>
              </w:rPr>
            </w:pPr>
          </w:p>
          <w:p w14:paraId="0147F5D2">
            <w:pPr>
              <w:tabs>
                <w:tab w:val="left" w:pos="5580"/>
              </w:tabs>
              <w:spacing w:line="360" w:lineRule="auto"/>
              <w:jc w:val="left"/>
              <w:rPr>
                <w:rFonts w:ascii="宋体" w:hAnsi="宋体"/>
                <w:color w:val="000000"/>
                <w:sz w:val="24"/>
                <w:szCs w:val="20"/>
              </w:rPr>
            </w:pPr>
          </w:p>
          <w:p w14:paraId="3B135533">
            <w:pPr>
              <w:tabs>
                <w:tab w:val="left" w:pos="5580"/>
              </w:tabs>
              <w:spacing w:line="360" w:lineRule="auto"/>
              <w:jc w:val="left"/>
              <w:rPr>
                <w:rFonts w:ascii="宋体" w:hAnsi="宋体"/>
                <w:color w:val="000000"/>
                <w:sz w:val="24"/>
                <w:szCs w:val="20"/>
              </w:rPr>
            </w:pPr>
          </w:p>
        </w:tc>
      </w:tr>
    </w:tbl>
    <w:p w14:paraId="681CA193">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14:paraId="6AC7FC72">
      <w:pPr>
        <w:autoSpaceDE w:val="0"/>
        <w:autoSpaceDN w:val="0"/>
        <w:adjustRightInd w:val="0"/>
        <w:spacing w:line="360" w:lineRule="auto"/>
        <w:jc w:val="left"/>
        <w:rPr>
          <w:color w:val="000000"/>
          <w:kern w:val="0"/>
          <w:sz w:val="24"/>
        </w:rPr>
      </w:pPr>
      <w:r>
        <w:rPr>
          <w:color w:val="000000"/>
          <w:kern w:val="0"/>
          <w:sz w:val="24"/>
        </w:rPr>
        <w:t>1.若供应商为事业单位或其他组织或分支机构， 则法定代表人（单位负责人）处的签署</w:t>
      </w:r>
    </w:p>
    <w:p w14:paraId="21F51225">
      <w:pPr>
        <w:autoSpaceDE w:val="0"/>
        <w:autoSpaceDN w:val="0"/>
        <w:adjustRightInd w:val="0"/>
        <w:spacing w:line="360" w:lineRule="auto"/>
        <w:jc w:val="left"/>
        <w:rPr>
          <w:color w:val="000000"/>
          <w:kern w:val="0"/>
          <w:sz w:val="24"/>
        </w:rPr>
      </w:pPr>
      <w:r>
        <w:rPr>
          <w:color w:val="000000"/>
          <w:kern w:val="0"/>
          <w:sz w:val="24"/>
        </w:rPr>
        <w:t>人可为单位负责人。</w:t>
      </w:r>
    </w:p>
    <w:p w14:paraId="581D9E0E">
      <w:pPr>
        <w:autoSpaceDE w:val="0"/>
        <w:autoSpaceDN w:val="0"/>
        <w:adjustRightInd w:val="0"/>
        <w:spacing w:line="360" w:lineRule="auto"/>
        <w:jc w:val="left"/>
        <w:rPr>
          <w:color w:val="000000"/>
          <w:kern w:val="0"/>
          <w:sz w:val="24"/>
        </w:rPr>
      </w:pPr>
      <w:r>
        <w:rPr>
          <w:color w:val="000000"/>
          <w:kern w:val="0"/>
          <w:sz w:val="24"/>
        </w:rPr>
        <w:t>2.若投标文件中签字之处均为法定代表人（单位负责人）本人签署， 则可不</w:t>
      </w:r>
      <w:r>
        <w:rPr>
          <w:rFonts w:hint="eastAsia"/>
          <w:color w:val="000000"/>
          <w:kern w:val="0"/>
          <w:sz w:val="24"/>
        </w:rPr>
        <w:t>提</w:t>
      </w:r>
      <w:r>
        <w:rPr>
          <w:color w:val="000000"/>
          <w:kern w:val="0"/>
          <w:sz w:val="24"/>
        </w:rPr>
        <w:t>供本《授权委托书》，但须</w:t>
      </w:r>
      <w:r>
        <w:rPr>
          <w:rFonts w:hint="eastAsia"/>
          <w:color w:val="000000"/>
          <w:kern w:val="0"/>
          <w:sz w:val="24"/>
        </w:rPr>
        <w:t>提</w:t>
      </w:r>
      <w:r>
        <w:rPr>
          <w:color w:val="000000"/>
          <w:kern w:val="0"/>
          <w:sz w:val="24"/>
        </w:rPr>
        <w:t>供《法定代表人（单位负责人）身份证明》；否则， 不需要</w:t>
      </w:r>
      <w:r>
        <w:rPr>
          <w:rFonts w:hint="eastAsia"/>
          <w:color w:val="000000"/>
          <w:kern w:val="0"/>
          <w:sz w:val="24"/>
        </w:rPr>
        <w:t>提</w:t>
      </w:r>
      <w:r>
        <w:rPr>
          <w:color w:val="000000"/>
          <w:kern w:val="0"/>
          <w:sz w:val="24"/>
        </w:rPr>
        <w:t>供《法</w:t>
      </w:r>
    </w:p>
    <w:p w14:paraId="444E494E">
      <w:pPr>
        <w:autoSpaceDE w:val="0"/>
        <w:autoSpaceDN w:val="0"/>
        <w:adjustRightInd w:val="0"/>
        <w:spacing w:line="360" w:lineRule="auto"/>
        <w:jc w:val="left"/>
        <w:rPr>
          <w:color w:val="000000"/>
          <w:kern w:val="0"/>
          <w:sz w:val="24"/>
        </w:rPr>
      </w:pPr>
      <w:r>
        <w:rPr>
          <w:color w:val="000000"/>
          <w:kern w:val="0"/>
          <w:sz w:val="24"/>
        </w:rPr>
        <w:t>定代表人（单位负责人）身份证明》。</w:t>
      </w:r>
    </w:p>
    <w:p w14:paraId="6415543C">
      <w:pPr>
        <w:autoSpaceDE w:val="0"/>
        <w:autoSpaceDN w:val="0"/>
        <w:adjustRightInd w:val="0"/>
        <w:spacing w:line="360" w:lineRule="auto"/>
        <w:jc w:val="left"/>
        <w:rPr>
          <w:color w:val="000000"/>
          <w:kern w:val="0"/>
          <w:sz w:val="24"/>
        </w:rPr>
      </w:pPr>
      <w:r>
        <w:rPr>
          <w:color w:val="000000"/>
          <w:kern w:val="0"/>
          <w:sz w:val="24"/>
        </w:rPr>
        <w:t>3.供应商为自然人的情形，可不</w:t>
      </w:r>
      <w:r>
        <w:rPr>
          <w:rFonts w:hint="eastAsia"/>
          <w:color w:val="000000"/>
          <w:kern w:val="0"/>
          <w:sz w:val="24"/>
        </w:rPr>
        <w:t>提</w:t>
      </w:r>
      <w:r>
        <w:rPr>
          <w:color w:val="000000"/>
          <w:kern w:val="0"/>
          <w:sz w:val="24"/>
        </w:rPr>
        <w:t>供本《授权委托书》。</w:t>
      </w:r>
    </w:p>
    <w:p w14:paraId="5D3B11AD">
      <w:pPr>
        <w:autoSpaceDE w:val="0"/>
        <w:autoSpaceDN w:val="0"/>
        <w:adjustRightInd w:val="0"/>
        <w:spacing w:line="360" w:lineRule="auto"/>
        <w:jc w:val="left"/>
        <w:rPr>
          <w:color w:val="000000"/>
          <w:kern w:val="0"/>
          <w:sz w:val="24"/>
        </w:rPr>
      </w:pPr>
      <w:r>
        <w:rPr>
          <w:color w:val="000000"/>
          <w:kern w:val="0"/>
          <w:sz w:val="24"/>
        </w:rPr>
        <w:t>4.供应商应随本《授权委托书》同时</w:t>
      </w:r>
      <w:r>
        <w:rPr>
          <w:rFonts w:hint="eastAsia"/>
          <w:color w:val="000000"/>
          <w:kern w:val="0"/>
          <w:sz w:val="24"/>
        </w:rPr>
        <w:t>提</w:t>
      </w:r>
      <w:r>
        <w:rPr>
          <w:color w:val="000000"/>
          <w:kern w:val="0"/>
          <w:sz w:val="24"/>
        </w:rPr>
        <w:t>供法定代表人（单位负责人）及委托代理人的有效的身份证、护照等身份证明文件电子件。</w:t>
      </w:r>
      <w:r>
        <w:rPr>
          <w:rFonts w:hint="eastAsia"/>
          <w:color w:val="000000"/>
          <w:kern w:val="0"/>
          <w:sz w:val="24"/>
        </w:rPr>
        <w:t>提</w:t>
      </w:r>
      <w:r>
        <w:rPr>
          <w:color w:val="000000"/>
          <w:kern w:val="0"/>
          <w:sz w:val="24"/>
        </w:rPr>
        <w:t>供身份证的， 应同时</w:t>
      </w:r>
      <w:r>
        <w:rPr>
          <w:rFonts w:hint="eastAsia"/>
          <w:color w:val="000000"/>
          <w:kern w:val="0"/>
          <w:sz w:val="24"/>
        </w:rPr>
        <w:t>提</w:t>
      </w:r>
      <w:r>
        <w:rPr>
          <w:color w:val="000000"/>
          <w:kern w:val="0"/>
          <w:sz w:val="24"/>
        </w:rPr>
        <w:t>供身份证双面电子件。</w:t>
      </w:r>
    </w:p>
    <w:p w14:paraId="27149E4A">
      <w:pPr>
        <w:spacing w:line="220" w:lineRule="auto"/>
        <w:rPr>
          <w:sz w:val="24"/>
        </w:rPr>
        <w:sectPr>
          <w:headerReference r:id="rId25" w:type="default"/>
          <w:footerReference r:id="rId26" w:type="default"/>
          <w:pgSz w:w="11907" w:h="16840"/>
          <w:pgMar w:top="1117" w:right="1132" w:bottom="1060" w:left="1588" w:header="878" w:footer="886" w:gutter="0"/>
          <w:cols w:space="720" w:num="1"/>
        </w:sectPr>
      </w:pPr>
    </w:p>
    <w:p w14:paraId="68CF7311">
      <w:pPr>
        <w:tabs>
          <w:tab w:val="left" w:pos="5580"/>
        </w:tabs>
        <w:spacing w:line="360" w:lineRule="auto"/>
        <w:jc w:val="left"/>
        <w:rPr>
          <w:rFonts w:ascii="宋体" w:hAnsi="宋体"/>
          <w:b/>
          <w:color w:val="000000"/>
          <w:sz w:val="36"/>
          <w:szCs w:val="36"/>
        </w:rPr>
      </w:pPr>
      <w:r>
        <w:rPr>
          <w:rFonts w:hint="eastAsia" w:ascii="宋体" w:hAnsi="宋体"/>
          <w:b/>
          <w:color w:val="000000"/>
          <w:sz w:val="36"/>
          <w:szCs w:val="36"/>
        </w:rPr>
        <w:t>附：</w:t>
      </w:r>
      <w:r>
        <w:rPr>
          <w:rFonts w:ascii="宋体" w:hAnsi="宋体"/>
          <w:b/>
          <w:color w:val="000000"/>
          <w:sz w:val="36"/>
          <w:szCs w:val="36"/>
        </w:rPr>
        <w:t>法定代表人（单位负责人）身份证明</w:t>
      </w:r>
    </w:p>
    <w:p w14:paraId="77164F23">
      <w:pPr>
        <w:kinsoku w:val="0"/>
        <w:overflowPunct w:val="0"/>
        <w:spacing w:line="200" w:lineRule="exact"/>
        <w:rPr>
          <w:rFonts w:ascii="宋体" w:hAnsi="宋体"/>
          <w:sz w:val="20"/>
          <w:szCs w:val="20"/>
        </w:rPr>
      </w:pPr>
    </w:p>
    <w:p w14:paraId="370016EA">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hint="eastAsia" w:ascii="宋体" w:hAnsi="宋体"/>
          <w:color w:val="000000"/>
          <w:sz w:val="24"/>
          <w:u w:val="single"/>
        </w:rPr>
        <w:t>采购人或</w:t>
      </w:r>
      <w:r>
        <w:rPr>
          <w:rFonts w:ascii="宋体" w:hAnsi="宋体"/>
          <w:color w:val="000000"/>
          <w:sz w:val="24"/>
          <w:u w:val="single"/>
        </w:rPr>
        <w:t>采购代理机构）</w:t>
      </w:r>
    </w:p>
    <w:p w14:paraId="6DF97194">
      <w:pPr>
        <w:pStyle w:val="19"/>
        <w:tabs>
          <w:tab w:val="left" w:pos="2412"/>
          <w:tab w:val="left" w:pos="3883"/>
          <w:tab w:val="left" w:pos="5352"/>
          <w:tab w:val="left" w:pos="6821"/>
        </w:tabs>
        <w:kinsoku w:val="0"/>
        <w:overflowPunct w:val="0"/>
        <w:spacing w:line="335" w:lineRule="exact"/>
        <w:ind w:firstLine="480" w:firstLineChars="200"/>
      </w:pPr>
      <w:r>
        <w:rPr>
          <w:rFonts w:hint="eastAsia"/>
        </w:rPr>
        <w:t>兹证明，</w:t>
      </w:r>
    </w:p>
    <w:p w14:paraId="4A99F8A9">
      <w:pPr>
        <w:pStyle w:val="19"/>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14:paraId="593A8EAC">
      <w:pPr>
        <w:pStyle w:val="19"/>
        <w:tabs>
          <w:tab w:val="left" w:pos="2412"/>
          <w:tab w:val="left" w:pos="3883"/>
          <w:tab w:val="left" w:pos="5352"/>
          <w:tab w:val="left" w:pos="6821"/>
        </w:tabs>
        <w:kinsoku w:val="0"/>
        <w:overflowPunct w:val="0"/>
        <w:spacing w:line="335" w:lineRule="exact"/>
      </w:pPr>
    </w:p>
    <w:p w14:paraId="2DFF49D3">
      <w:pPr>
        <w:pStyle w:val="19"/>
        <w:tabs>
          <w:tab w:val="left" w:pos="2250"/>
          <w:tab w:val="left" w:pos="2412"/>
          <w:tab w:val="left" w:pos="3883"/>
          <w:tab w:val="left" w:pos="5352"/>
          <w:tab w:val="left" w:pos="6821"/>
          <w:tab w:val="clear" w:pos="567"/>
        </w:tabs>
        <w:kinsoku w:val="0"/>
        <w:overflowPunct w:val="0"/>
        <w:spacing w:line="335" w:lineRule="exact"/>
      </w:pPr>
      <w:r>
        <w:t>系</w:t>
      </w:r>
      <w:r>
        <w:rPr>
          <w:u w:val="single"/>
        </w:rPr>
        <w:tab/>
      </w:r>
      <w:r>
        <w:t>（</w:t>
      </w:r>
      <w:r>
        <w:rPr>
          <w:rFonts w:hint="eastAsia"/>
        </w:rPr>
        <w:t>投标人</w:t>
      </w:r>
      <w:r>
        <w:t>名称）的法定代表人（单位负责人）。</w:t>
      </w:r>
    </w:p>
    <w:p w14:paraId="741DDCC3">
      <w:pPr>
        <w:pStyle w:val="19"/>
        <w:tabs>
          <w:tab w:val="left" w:pos="2412"/>
          <w:tab w:val="left" w:pos="3883"/>
          <w:tab w:val="left" w:pos="5352"/>
          <w:tab w:val="left" w:pos="6821"/>
        </w:tabs>
        <w:kinsoku w:val="0"/>
        <w:overflowPunct w:val="0"/>
        <w:spacing w:line="335" w:lineRule="exact"/>
      </w:pPr>
    </w:p>
    <w:p w14:paraId="02463F7A">
      <w:pPr>
        <w:pStyle w:val="19"/>
        <w:tabs>
          <w:tab w:val="left" w:pos="2412"/>
          <w:tab w:val="left" w:pos="3883"/>
          <w:tab w:val="left" w:pos="5352"/>
          <w:tab w:val="left" w:pos="6821"/>
        </w:tabs>
        <w:kinsoku w:val="0"/>
        <w:overflowPunct w:val="0"/>
        <w:spacing w:line="335" w:lineRule="exact"/>
      </w:pPr>
    </w:p>
    <w:p w14:paraId="19F588F3">
      <w:pPr>
        <w:pStyle w:val="19"/>
        <w:tabs>
          <w:tab w:val="left" w:pos="2412"/>
          <w:tab w:val="left" w:pos="3883"/>
          <w:tab w:val="left" w:pos="5352"/>
          <w:tab w:val="left" w:pos="6821"/>
        </w:tabs>
        <w:kinsoku w:val="0"/>
        <w:overflowPunct w:val="0"/>
        <w:spacing w:line="335" w:lineRule="exact"/>
      </w:pPr>
    </w:p>
    <w:p w14:paraId="63D86704">
      <w:pPr>
        <w:pStyle w:val="19"/>
        <w:kinsoku w:val="0"/>
        <w:overflowPunct w:val="0"/>
        <w:spacing w:line="583" w:lineRule="auto"/>
        <w:ind w:right="-46"/>
        <w:rPr>
          <w:spacing w:val="-3"/>
        </w:rPr>
      </w:pPr>
      <w:r>
        <w:t>附：</w:t>
      </w:r>
      <w:r>
        <w:rPr>
          <w:spacing w:val="-3"/>
        </w:rPr>
        <w:t>法定代表人（单位负责人）身份证、护照等身份证明文件电子件</w:t>
      </w:r>
    </w:p>
    <w:tbl>
      <w:tblPr>
        <w:tblStyle w:val="4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9"/>
      </w:tblGrid>
      <w:tr w14:paraId="05119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68A0037F">
            <w:pPr>
              <w:tabs>
                <w:tab w:val="left" w:pos="5580"/>
              </w:tabs>
              <w:spacing w:line="360" w:lineRule="auto"/>
              <w:jc w:val="left"/>
              <w:rPr>
                <w:rFonts w:ascii="宋体" w:hAnsi="宋体"/>
                <w:color w:val="000000"/>
                <w:sz w:val="24"/>
                <w:szCs w:val="20"/>
              </w:rPr>
            </w:pPr>
          </w:p>
          <w:p w14:paraId="4EF41334">
            <w:pPr>
              <w:tabs>
                <w:tab w:val="left" w:pos="5580"/>
              </w:tabs>
              <w:spacing w:line="360" w:lineRule="auto"/>
              <w:jc w:val="left"/>
              <w:rPr>
                <w:rFonts w:ascii="宋体" w:hAnsi="宋体"/>
                <w:color w:val="000000"/>
                <w:sz w:val="24"/>
                <w:szCs w:val="20"/>
              </w:rPr>
            </w:pPr>
          </w:p>
          <w:p w14:paraId="7E5DDC28">
            <w:pPr>
              <w:tabs>
                <w:tab w:val="left" w:pos="5580"/>
              </w:tabs>
              <w:spacing w:line="360" w:lineRule="auto"/>
              <w:jc w:val="left"/>
              <w:rPr>
                <w:rFonts w:ascii="宋体" w:hAnsi="宋体"/>
                <w:color w:val="000000"/>
                <w:sz w:val="24"/>
                <w:szCs w:val="20"/>
              </w:rPr>
            </w:pPr>
          </w:p>
          <w:p w14:paraId="248FA562">
            <w:pPr>
              <w:tabs>
                <w:tab w:val="left" w:pos="5580"/>
              </w:tabs>
              <w:spacing w:line="360" w:lineRule="auto"/>
              <w:jc w:val="left"/>
              <w:rPr>
                <w:rFonts w:ascii="宋体" w:hAnsi="宋体"/>
                <w:color w:val="000000"/>
                <w:sz w:val="24"/>
                <w:szCs w:val="20"/>
              </w:rPr>
            </w:pPr>
          </w:p>
          <w:p w14:paraId="68D43912">
            <w:pPr>
              <w:tabs>
                <w:tab w:val="left" w:pos="5580"/>
              </w:tabs>
              <w:spacing w:line="360" w:lineRule="auto"/>
              <w:jc w:val="left"/>
              <w:rPr>
                <w:rFonts w:ascii="宋体" w:hAnsi="宋体"/>
                <w:color w:val="000000"/>
                <w:sz w:val="24"/>
                <w:szCs w:val="20"/>
              </w:rPr>
            </w:pPr>
          </w:p>
          <w:p w14:paraId="077F4C59">
            <w:pPr>
              <w:tabs>
                <w:tab w:val="left" w:pos="5580"/>
              </w:tabs>
              <w:spacing w:line="360" w:lineRule="auto"/>
              <w:jc w:val="left"/>
              <w:rPr>
                <w:rFonts w:ascii="宋体" w:hAnsi="宋体"/>
                <w:color w:val="000000"/>
                <w:sz w:val="24"/>
                <w:szCs w:val="20"/>
              </w:rPr>
            </w:pPr>
          </w:p>
        </w:tc>
      </w:tr>
    </w:tbl>
    <w:p w14:paraId="4451F211">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：________________</w:t>
      </w:r>
    </w:p>
    <w:p w14:paraId="2C08DBA0">
      <w:pPr>
        <w:pStyle w:val="19"/>
        <w:kinsoku w:val="0"/>
        <w:overflowPunct w:val="0"/>
        <w:spacing w:line="583" w:lineRule="auto"/>
        <w:ind w:right="95"/>
        <w:rPr>
          <w:color w:val="000000"/>
        </w:rPr>
      </w:pPr>
      <w:r>
        <w:rPr>
          <w:rFonts w:hint="eastAsia"/>
          <w:spacing w:val="-3"/>
        </w:rPr>
        <w:t>法定代表人（</w:t>
      </w:r>
      <w:r>
        <w:t>单位</w:t>
      </w:r>
      <w:r>
        <w:rPr>
          <w:rFonts w:hint="eastAsia"/>
          <w:spacing w:val="-3"/>
        </w:rPr>
        <w:t>负责人）（签字或盖章）：__</w:t>
      </w:r>
      <w:r>
        <w:rPr>
          <w:spacing w:val="-3"/>
        </w:rPr>
        <w:t>_____</w:t>
      </w:r>
    </w:p>
    <w:p w14:paraId="4DF36938">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14:paraId="48C74C7F">
      <w:pPr>
        <w:widowControl/>
        <w:jc w:val="left"/>
        <w:rPr>
          <w:rFonts w:ascii="宋体" w:hAnsi="宋体"/>
          <w:i/>
          <w:color w:val="000000"/>
          <w:sz w:val="24"/>
          <w:szCs w:val="20"/>
          <w:u w:val="single"/>
        </w:rPr>
      </w:pPr>
    </w:p>
    <w:p w14:paraId="27244820">
      <w:pPr>
        <w:widowControl/>
        <w:jc w:val="left"/>
        <w:rPr>
          <w:color w:val="000000"/>
          <w:sz w:val="24"/>
          <w:szCs w:val="20"/>
        </w:rPr>
      </w:pPr>
      <w:r>
        <w:rPr>
          <w:color w:val="000000"/>
          <w:sz w:val="24"/>
          <w:szCs w:val="20"/>
        </w:rPr>
        <w:br w:type="page"/>
      </w:r>
    </w:p>
    <w:p w14:paraId="210A5533">
      <w:pPr>
        <w:spacing w:line="360" w:lineRule="auto"/>
        <w:outlineLvl w:val="2"/>
        <w:rPr>
          <w:color w:val="000000"/>
          <w:sz w:val="24"/>
          <w:szCs w:val="20"/>
        </w:rPr>
      </w:pPr>
      <w:r>
        <w:rPr>
          <w:color w:val="000000"/>
          <w:sz w:val="24"/>
          <w:szCs w:val="20"/>
        </w:rPr>
        <w:t>3  开标一览表</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r>
        <w:rPr>
          <w:color w:val="000000"/>
          <w:sz w:val="24"/>
          <w:szCs w:val="20"/>
        </w:rPr>
        <w:t>（实质性格式）</w:t>
      </w:r>
    </w:p>
    <w:p w14:paraId="198169BC">
      <w:pPr>
        <w:spacing w:line="360" w:lineRule="exact"/>
        <w:jc w:val="center"/>
        <w:rPr>
          <w:b/>
          <w:color w:val="000000"/>
          <w:sz w:val="36"/>
          <w:szCs w:val="36"/>
        </w:rPr>
      </w:pPr>
      <w:bookmarkStart w:id="935" w:name="_Toc305158900"/>
      <w:bookmarkStart w:id="936" w:name="_Toc226965748"/>
      <w:bookmarkStart w:id="937" w:name="_Toc305158826"/>
      <w:bookmarkStart w:id="938" w:name="_Toc164608827"/>
      <w:bookmarkStart w:id="939" w:name="_Toc164608672"/>
      <w:bookmarkStart w:id="940" w:name="_Toc264969248"/>
      <w:bookmarkStart w:id="941" w:name="_Toc226965831"/>
      <w:bookmarkStart w:id="942" w:name="_Toc265228396"/>
      <w:bookmarkStart w:id="943" w:name="_Toc226309802"/>
      <w:bookmarkStart w:id="944" w:name="_Toc226337254"/>
      <w:bookmarkStart w:id="945" w:name="_Toc195842923"/>
      <w:r>
        <w:rPr>
          <w:rFonts w:hint="eastAsia"/>
          <w:b/>
          <w:color w:val="000000"/>
          <w:sz w:val="36"/>
          <w:szCs w:val="36"/>
        </w:rPr>
        <w:t>开标一览表</w:t>
      </w:r>
      <w:bookmarkEnd w:id="935"/>
      <w:bookmarkEnd w:id="936"/>
      <w:bookmarkEnd w:id="937"/>
      <w:bookmarkEnd w:id="938"/>
      <w:bookmarkEnd w:id="939"/>
      <w:bookmarkEnd w:id="940"/>
      <w:bookmarkEnd w:id="941"/>
      <w:bookmarkEnd w:id="942"/>
      <w:bookmarkEnd w:id="943"/>
      <w:bookmarkEnd w:id="944"/>
      <w:bookmarkEnd w:id="945"/>
    </w:p>
    <w:p w14:paraId="01B8D583">
      <w:pPr>
        <w:tabs>
          <w:tab w:val="left" w:pos="1800"/>
          <w:tab w:val="left" w:pos="5580"/>
        </w:tabs>
        <w:spacing w:line="360" w:lineRule="auto"/>
        <w:jc w:val="left"/>
        <w:rPr>
          <w:i/>
          <w:color w:val="FF0000"/>
          <w:sz w:val="24"/>
        </w:rPr>
      </w:pPr>
    </w:p>
    <w:p w14:paraId="425306F7">
      <w:pPr>
        <w:spacing w:before="78" w:line="220" w:lineRule="auto"/>
        <w:rPr>
          <w:rFonts w:ascii="宋体" w:hAnsi="宋体" w:cs="宋体"/>
          <w:sz w:val="24"/>
        </w:rPr>
      </w:pPr>
      <w:r>
        <w:rPr>
          <w:rFonts w:ascii="宋体" w:hAnsi="宋体" w:cs="宋体"/>
          <w:spacing w:val="-2"/>
          <w:sz w:val="24"/>
        </w:rPr>
        <w:t>项目编号：</w:t>
      </w:r>
      <w:r>
        <w:rPr>
          <w:rFonts w:ascii="宋体" w:hAnsi="宋体" w:cs="宋体"/>
          <w:spacing w:val="-2"/>
          <w:sz w:val="24"/>
          <w:u w:val="single"/>
        </w:rPr>
        <w:t xml:space="preserve">                </w:t>
      </w:r>
      <w:r>
        <w:rPr>
          <w:rFonts w:ascii="宋体" w:hAnsi="宋体" w:cs="宋体"/>
          <w:spacing w:val="-3"/>
          <w:sz w:val="24"/>
          <w:u w:val="single"/>
        </w:rPr>
        <w:t xml:space="preserve">     </w:t>
      </w:r>
      <w:r>
        <w:rPr>
          <w:rFonts w:ascii="宋体" w:hAnsi="宋体" w:cs="宋体"/>
          <w:spacing w:val="-3"/>
          <w:sz w:val="24"/>
        </w:rPr>
        <w:t xml:space="preserve">    </w:t>
      </w:r>
      <w:r>
        <w:rPr>
          <w:rFonts w:hint="eastAsia"/>
          <w:sz w:val="24"/>
        </w:rPr>
        <w:t>项目名称</w:t>
      </w:r>
      <w:r>
        <w:rPr>
          <w:rFonts w:ascii="宋体" w:hAnsi="宋体" w:cs="宋体"/>
          <w:spacing w:val="-3"/>
          <w:sz w:val="24"/>
        </w:rPr>
        <w:t>：</w:t>
      </w:r>
      <w:r>
        <w:rPr>
          <w:rFonts w:ascii="宋体" w:hAnsi="宋体" w:cs="宋体"/>
          <w:spacing w:val="-3"/>
          <w:sz w:val="24"/>
          <w:u w:val="single"/>
        </w:rPr>
        <w:t xml:space="preserve">              </w:t>
      </w:r>
    </w:p>
    <w:p w14:paraId="7DADAD14">
      <w:pPr>
        <w:tabs>
          <w:tab w:val="left" w:pos="1800"/>
          <w:tab w:val="left" w:pos="5580"/>
        </w:tabs>
        <w:spacing w:line="360" w:lineRule="auto"/>
        <w:ind w:firstLine="240" w:firstLineChars="100"/>
        <w:jc w:val="left"/>
        <w:rPr>
          <w:color w:val="000000"/>
          <w:sz w:val="24"/>
          <w:u w:val="single"/>
        </w:rPr>
      </w:pPr>
    </w:p>
    <w:tbl>
      <w:tblPr>
        <w:tblStyle w:val="45"/>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3709"/>
        <w:gridCol w:w="1989"/>
        <w:gridCol w:w="1984"/>
      </w:tblGrid>
      <w:tr w14:paraId="5C56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90" w:type="dxa"/>
            <w:vMerge w:val="restart"/>
            <w:vAlign w:val="center"/>
          </w:tcPr>
          <w:p w14:paraId="7F542A41">
            <w:pPr>
              <w:tabs>
                <w:tab w:val="left" w:pos="5580"/>
              </w:tabs>
              <w:jc w:val="center"/>
              <w:rPr>
                <w:b/>
                <w:sz w:val="24"/>
              </w:rPr>
            </w:pPr>
            <w:r>
              <w:rPr>
                <w:b/>
                <w:sz w:val="24"/>
              </w:rPr>
              <w:t>序号</w:t>
            </w:r>
          </w:p>
        </w:tc>
        <w:tc>
          <w:tcPr>
            <w:tcW w:w="3709" w:type="dxa"/>
            <w:vMerge w:val="restart"/>
            <w:vAlign w:val="center"/>
          </w:tcPr>
          <w:p w14:paraId="798C75F5">
            <w:pPr>
              <w:tabs>
                <w:tab w:val="left" w:pos="5580"/>
              </w:tabs>
              <w:jc w:val="center"/>
              <w:rPr>
                <w:b/>
                <w:sz w:val="24"/>
              </w:rPr>
            </w:pPr>
            <w:r>
              <w:rPr>
                <w:b/>
                <w:sz w:val="24"/>
              </w:rPr>
              <w:t>投标人名称</w:t>
            </w:r>
          </w:p>
        </w:tc>
        <w:tc>
          <w:tcPr>
            <w:tcW w:w="3973" w:type="dxa"/>
            <w:gridSpan w:val="2"/>
            <w:vAlign w:val="center"/>
          </w:tcPr>
          <w:p w14:paraId="7677C944">
            <w:pPr>
              <w:tabs>
                <w:tab w:val="left" w:pos="5580"/>
              </w:tabs>
              <w:jc w:val="center"/>
              <w:rPr>
                <w:b/>
                <w:sz w:val="24"/>
              </w:rPr>
            </w:pPr>
            <w:r>
              <w:rPr>
                <w:b/>
                <w:sz w:val="24"/>
              </w:rPr>
              <w:t>投标报价</w:t>
            </w:r>
          </w:p>
        </w:tc>
      </w:tr>
      <w:tr w14:paraId="1588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90" w:type="dxa"/>
            <w:vMerge w:val="continue"/>
            <w:vAlign w:val="center"/>
          </w:tcPr>
          <w:p w14:paraId="69CEECAD">
            <w:pPr>
              <w:tabs>
                <w:tab w:val="left" w:pos="5580"/>
              </w:tabs>
              <w:jc w:val="center"/>
              <w:rPr>
                <w:sz w:val="24"/>
              </w:rPr>
            </w:pPr>
          </w:p>
        </w:tc>
        <w:tc>
          <w:tcPr>
            <w:tcW w:w="3709" w:type="dxa"/>
            <w:vMerge w:val="continue"/>
            <w:vAlign w:val="center"/>
          </w:tcPr>
          <w:p w14:paraId="0DA0046B">
            <w:pPr>
              <w:tabs>
                <w:tab w:val="left" w:pos="5580"/>
              </w:tabs>
              <w:jc w:val="center"/>
              <w:rPr>
                <w:sz w:val="24"/>
              </w:rPr>
            </w:pPr>
          </w:p>
        </w:tc>
        <w:tc>
          <w:tcPr>
            <w:tcW w:w="1989" w:type="dxa"/>
            <w:vAlign w:val="center"/>
          </w:tcPr>
          <w:p w14:paraId="0CBEA826">
            <w:pPr>
              <w:tabs>
                <w:tab w:val="left" w:pos="5580"/>
              </w:tabs>
              <w:jc w:val="center"/>
              <w:rPr>
                <w:b/>
                <w:sz w:val="24"/>
              </w:rPr>
            </w:pPr>
            <w:r>
              <w:rPr>
                <w:b/>
                <w:sz w:val="24"/>
              </w:rPr>
              <w:t>大写</w:t>
            </w:r>
          </w:p>
        </w:tc>
        <w:tc>
          <w:tcPr>
            <w:tcW w:w="1984" w:type="dxa"/>
            <w:vAlign w:val="center"/>
          </w:tcPr>
          <w:p w14:paraId="1782C692">
            <w:pPr>
              <w:tabs>
                <w:tab w:val="left" w:pos="5580"/>
              </w:tabs>
              <w:jc w:val="center"/>
              <w:rPr>
                <w:b/>
                <w:sz w:val="24"/>
              </w:rPr>
            </w:pPr>
            <w:r>
              <w:rPr>
                <w:b/>
                <w:sz w:val="24"/>
              </w:rPr>
              <w:t>小写</w:t>
            </w:r>
          </w:p>
        </w:tc>
      </w:tr>
      <w:tr w14:paraId="3EE2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90" w:type="dxa"/>
            <w:vAlign w:val="center"/>
          </w:tcPr>
          <w:p w14:paraId="5D3A8DC7">
            <w:pPr>
              <w:tabs>
                <w:tab w:val="left" w:pos="5580"/>
              </w:tabs>
              <w:jc w:val="center"/>
              <w:rPr>
                <w:sz w:val="24"/>
              </w:rPr>
            </w:pPr>
          </w:p>
        </w:tc>
        <w:tc>
          <w:tcPr>
            <w:tcW w:w="3709" w:type="dxa"/>
            <w:vAlign w:val="center"/>
          </w:tcPr>
          <w:p w14:paraId="3D4D0859">
            <w:pPr>
              <w:tabs>
                <w:tab w:val="left" w:pos="5580"/>
              </w:tabs>
              <w:jc w:val="center"/>
              <w:rPr>
                <w:sz w:val="24"/>
              </w:rPr>
            </w:pPr>
          </w:p>
        </w:tc>
        <w:tc>
          <w:tcPr>
            <w:tcW w:w="1989" w:type="dxa"/>
            <w:vAlign w:val="center"/>
          </w:tcPr>
          <w:p w14:paraId="6AD85BFF">
            <w:pPr>
              <w:tabs>
                <w:tab w:val="left" w:pos="5580"/>
              </w:tabs>
              <w:jc w:val="center"/>
              <w:rPr>
                <w:sz w:val="24"/>
              </w:rPr>
            </w:pPr>
          </w:p>
        </w:tc>
        <w:tc>
          <w:tcPr>
            <w:tcW w:w="1984" w:type="dxa"/>
            <w:vAlign w:val="center"/>
          </w:tcPr>
          <w:p w14:paraId="6D72D24D">
            <w:pPr>
              <w:tabs>
                <w:tab w:val="left" w:pos="5580"/>
              </w:tabs>
              <w:jc w:val="center"/>
              <w:rPr>
                <w:sz w:val="24"/>
              </w:rPr>
            </w:pPr>
          </w:p>
        </w:tc>
      </w:tr>
    </w:tbl>
    <w:p w14:paraId="717DDF32">
      <w:pPr>
        <w:autoSpaceDE w:val="0"/>
        <w:autoSpaceDN w:val="0"/>
        <w:adjustRightInd w:val="0"/>
        <w:jc w:val="left"/>
        <w:rPr>
          <w:color w:val="000000"/>
          <w:kern w:val="0"/>
          <w:sz w:val="24"/>
        </w:rPr>
      </w:pPr>
    </w:p>
    <w:p w14:paraId="2A43E5FF">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14:paraId="0A297E5A">
      <w:pPr>
        <w:tabs>
          <w:tab w:val="left" w:pos="5580"/>
        </w:tabs>
        <w:ind w:firstLine="480" w:firstLineChars="200"/>
        <w:rPr>
          <w:color w:val="000000"/>
          <w:sz w:val="24"/>
          <w:szCs w:val="20"/>
        </w:rPr>
      </w:pPr>
      <w:r>
        <w:rPr>
          <w:color w:val="000000"/>
          <w:sz w:val="24"/>
          <w:szCs w:val="20"/>
        </w:rPr>
        <w:t>2.本表必须按包分别填写。</w:t>
      </w:r>
    </w:p>
    <w:p w14:paraId="4D6C5FD4">
      <w:pPr>
        <w:autoSpaceDE w:val="0"/>
        <w:autoSpaceDN w:val="0"/>
        <w:adjustRightInd w:val="0"/>
        <w:snapToGrid w:val="0"/>
        <w:spacing w:before="25" w:after="25" w:line="360" w:lineRule="auto"/>
        <w:rPr>
          <w:color w:val="000000"/>
          <w:sz w:val="24"/>
          <w:lang w:val="zh-CN"/>
        </w:rPr>
      </w:pPr>
    </w:p>
    <w:p w14:paraId="778F9637">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4AC122A">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6B19F9F3">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023824B9">
      <w:pPr>
        <w:widowControl/>
        <w:jc w:val="left"/>
        <w:rPr>
          <w:color w:val="000000"/>
          <w:sz w:val="24"/>
          <w:szCs w:val="20"/>
        </w:rPr>
      </w:pPr>
      <w:bookmarkStart w:id="946" w:name="_Toc305158901"/>
      <w:bookmarkStart w:id="947" w:name="_Toc226965749"/>
      <w:bookmarkStart w:id="948" w:name="_Toc265228397"/>
      <w:bookmarkStart w:id="949" w:name="_Toc226309803"/>
      <w:bookmarkStart w:id="950" w:name="_Toc226965832"/>
      <w:bookmarkStart w:id="951" w:name="_Toc195842924"/>
      <w:bookmarkStart w:id="952" w:name="_Toc150480796"/>
      <w:bookmarkStart w:id="953" w:name="_Toc305158827"/>
      <w:bookmarkStart w:id="954" w:name="_Toc127151558"/>
      <w:bookmarkStart w:id="955" w:name="_Toc142311060"/>
      <w:bookmarkStart w:id="956" w:name="_Toc150774763"/>
      <w:bookmarkStart w:id="957" w:name="_Toc226337255"/>
      <w:bookmarkStart w:id="958" w:name="_Toc264969249"/>
      <w:r>
        <w:rPr>
          <w:color w:val="000000"/>
          <w:sz w:val="24"/>
          <w:szCs w:val="20"/>
        </w:rPr>
        <w:br w:type="page"/>
      </w:r>
    </w:p>
    <w:p w14:paraId="291743AB">
      <w:pPr>
        <w:spacing w:line="360" w:lineRule="auto"/>
        <w:outlineLvl w:val="2"/>
        <w:rPr>
          <w:color w:val="000000"/>
          <w:sz w:val="24"/>
          <w:szCs w:val="20"/>
        </w:rPr>
      </w:pPr>
      <w:r>
        <w:rPr>
          <w:color w:val="000000"/>
          <w:sz w:val="24"/>
          <w:szCs w:val="20"/>
        </w:rPr>
        <w:t>4  投标分项报价表</w:t>
      </w:r>
      <w:bookmarkEnd w:id="946"/>
      <w:bookmarkEnd w:id="947"/>
      <w:bookmarkEnd w:id="948"/>
      <w:bookmarkEnd w:id="949"/>
      <w:bookmarkEnd w:id="950"/>
      <w:bookmarkEnd w:id="951"/>
      <w:bookmarkEnd w:id="952"/>
      <w:bookmarkEnd w:id="953"/>
      <w:bookmarkEnd w:id="954"/>
      <w:bookmarkEnd w:id="955"/>
      <w:bookmarkEnd w:id="956"/>
      <w:bookmarkEnd w:id="957"/>
      <w:bookmarkEnd w:id="958"/>
      <w:r>
        <w:rPr>
          <w:color w:val="000000"/>
          <w:sz w:val="24"/>
          <w:szCs w:val="20"/>
        </w:rPr>
        <w:t>（实质性格式）</w:t>
      </w:r>
    </w:p>
    <w:p w14:paraId="2CC83DBE">
      <w:pPr>
        <w:spacing w:line="360" w:lineRule="exact"/>
        <w:jc w:val="center"/>
        <w:rPr>
          <w:color w:val="000000"/>
          <w:sz w:val="36"/>
          <w:szCs w:val="36"/>
        </w:rPr>
      </w:pPr>
    </w:p>
    <w:p w14:paraId="170DE5F1">
      <w:pPr>
        <w:spacing w:line="360" w:lineRule="exact"/>
        <w:jc w:val="center"/>
        <w:rPr>
          <w:b/>
          <w:color w:val="000000"/>
          <w:sz w:val="36"/>
          <w:szCs w:val="36"/>
        </w:rPr>
      </w:pPr>
      <w:r>
        <w:rPr>
          <w:rFonts w:hint="eastAsia"/>
          <w:b/>
          <w:color w:val="000000"/>
          <w:sz w:val="36"/>
          <w:szCs w:val="36"/>
        </w:rPr>
        <w:t>投标分项报价表</w:t>
      </w:r>
    </w:p>
    <w:p w14:paraId="4377A88F">
      <w:pPr>
        <w:spacing w:line="360" w:lineRule="exact"/>
        <w:jc w:val="center"/>
        <w:rPr>
          <w:b/>
          <w:color w:val="000000"/>
          <w:sz w:val="36"/>
          <w:szCs w:val="36"/>
        </w:rPr>
      </w:pPr>
    </w:p>
    <w:p w14:paraId="27C0D120">
      <w:pPr>
        <w:tabs>
          <w:tab w:val="left" w:pos="1800"/>
          <w:tab w:val="left" w:pos="5580"/>
        </w:tabs>
        <w:ind w:firstLine="480" w:firstLineChars="200"/>
        <w:jc w:val="left"/>
        <w:rPr>
          <w:sz w:val="24"/>
        </w:rPr>
      </w:pPr>
      <w:r>
        <w:rPr>
          <w:rFonts w:hint="eastAsia"/>
          <w:sz w:val="24"/>
        </w:rPr>
        <w:t>其他分项表格样式应按照招标提供的工程量清单使用广联达软件进行编制，符合《建设工程工程量清单计价规范》（GB 50500-2013）以及北京市工程造价管理部门的相关配套规定。</w:t>
      </w:r>
    </w:p>
    <w:p w14:paraId="6D2D95EF">
      <w:pPr>
        <w:tabs>
          <w:tab w:val="left" w:pos="1800"/>
          <w:tab w:val="left" w:pos="5580"/>
        </w:tabs>
        <w:jc w:val="left"/>
        <w:rPr>
          <w:color w:val="000000"/>
          <w:sz w:val="24"/>
        </w:rPr>
      </w:pPr>
    </w:p>
    <w:p w14:paraId="7D1615DB">
      <w:pPr>
        <w:tabs>
          <w:tab w:val="left" w:pos="1800"/>
          <w:tab w:val="left" w:pos="5580"/>
        </w:tabs>
        <w:jc w:val="left"/>
        <w:rPr>
          <w:color w:val="000000"/>
          <w:sz w:val="24"/>
        </w:rPr>
      </w:pPr>
    </w:p>
    <w:p w14:paraId="1135A21C">
      <w:pPr>
        <w:tabs>
          <w:tab w:val="left" w:pos="1800"/>
          <w:tab w:val="left" w:pos="5580"/>
        </w:tabs>
        <w:jc w:val="left"/>
        <w:rPr>
          <w:color w:val="000000"/>
          <w:sz w:val="24"/>
        </w:rPr>
      </w:pPr>
    </w:p>
    <w:p w14:paraId="6A53206A">
      <w:pPr>
        <w:autoSpaceDE w:val="0"/>
        <w:autoSpaceDN w:val="0"/>
        <w:adjustRightInd w:val="0"/>
        <w:snapToGrid w:val="0"/>
        <w:spacing w:before="25" w:after="25" w:line="360" w:lineRule="auto"/>
        <w:rPr>
          <w:color w:val="000000"/>
          <w:sz w:val="24"/>
        </w:rPr>
      </w:pPr>
    </w:p>
    <w:p w14:paraId="09DC2F1E">
      <w:pPr>
        <w:autoSpaceDE w:val="0"/>
        <w:autoSpaceDN w:val="0"/>
        <w:adjustRightInd w:val="0"/>
        <w:snapToGrid w:val="0"/>
        <w:spacing w:before="25" w:after="25" w:line="360" w:lineRule="auto"/>
        <w:rPr>
          <w:color w:val="000000"/>
          <w:sz w:val="24"/>
        </w:rPr>
      </w:pPr>
    </w:p>
    <w:p w14:paraId="0B7BDEFB">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5CC69F1F">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5BDD5BEF">
      <w:pPr>
        <w:spacing w:line="360" w:lineRule="auto"/>
        <w:outlineLvl w:val="2"/>
        <w:rPr>
          <w:color w:val="000000"/>
          <w:sz w:val="24"/>
          <w:szCs w:val="20"/>
        </w:rPr>
      </w:pPr>
      <w:bookmarkStart w:id="959" w:name="_Toc195842927"/>
      <w:bookmarkStart w:id="960" w:name="_Toc305158830"/>
      <w:bookmarkStart w:id="961" w:name="_Toc150480798"/>
      <w:bookmarkStart w:id="962" w:name="_Toc226965752"/>
      <w:bookmarkStart w:id="963" w:name="_Toc226309806"/>
      <w:bookmarkStart w:id="964" w:name="_Toc265228400"/>
      <w:bookmarkStart w:id="965" w:name="_Toc305158904"/>
      <w:bookmarkStart w:id="966" w:name="_Toc150774765"/>
      <w:bookmarkStart w:id="967" w:name="_Toc264969252"/>
      <w:bookmarkStart w:id="968" w:name="_Toc226337258"/>
      <w:bookmarkStart w:id="969" w:name="_Toc142311062"/>
      <w:bookmarkStart w:id="970" w:name="_Toc226965835"/>
      <w:bookmarkStart w:id="971" w:name="_Toc127151562"/>
      <w:bookmarkStart w:id="972" w:name="_Toc127151561"/>
      <w:bookmarkStart w:id="973" w:name="_Toc264969251"/>
      <w:bookmarkStart w:id="974" w:name="_Toc195842926"/>
      <w:bookmarkStart w:id="975" w:name="_Toc305158903"/>
      <w:bookmarkStart w:id="976" w:name="_Toc265228399"/>
      <w:bookmarkStart w:id="977" w:name="_Toc226309805"/>
      <w:bookmarkStart w:id="978" w:name="_Toc150480797"/>
      <w:bookmarkStart w:id="979" w:name="_Toc150774764"/>
      <w:bookmarkStart w:id="980" w:name="_Toc305158829"/>
      <w:bookmarkStart w:id="981" w:name="_Toc226965751"/>
      <w:bookmarkStart w:id="982" w:name="_Toc226965834"/>
      <w:bookmarkStart w:id="983" w:name="_Toc226337257"/>
      <w:bookmarkStart w:id="984" w:name="_Toc142311061"/>
      <w:r>
        <w:rPr>
          <w:color w:val="000000"/>
          <w:sz w:val="24"/>
          <w:szCs w:val="20"/>
        </w:rPr>
        <w:br w:type="page"/>
      </w:r>
      <w:r>
        <w:rPr>
          <w:color w:val="000000"/>
          <w:sz w:val="24"/>
          <w:szCs w:val="20"/>
        </w:rPr>
        <w:t>5  合同条款偏离表</w:t>
      </w:r>
      <w:bookmarkEnd w:id="959"/>
      <w:bookmarkEnd w:id="960"/>
      <w:bookmarkEnd w:id="961"/>
      <w:bookmarkEnd w:id="962"/>
      <w:bookmarkEnd w:id="963"/>
      <w:bookmarkEnd w:id="964"/>
      <w:bookmarkEnd w:id="965"/>
      <w:bookmarkEnd w:id="966"/>
      <w:bookmarkEnd w:id="967"/>
      <w:bookmarkEnd w:id="968"/>
      <w:bookmarkEnd w:id="969"/>
      <w:bookmarkEnd w:id="970"/>
      <w:bookmarkEnd w:id="971"/>
      <w:r>
        <w:rPr>
          <w:color w:val="000000"/>
          <w:sz w:val="24"/>
          <w:szCs w:val="20"/>
        </w:rPr>
        <w:t>（实质性格式）</w:t>
      </w:r>
    </w:p>
    <w:p w14:paraId="71BE4F58">
      <w:pPr>
        <w:spacing w:line="360" w:lineRule="auto"/>
        <w:rPr>
          <w:color w:val="000000"/>
          <w:sz w:val="24"/>
          <w:szCs w:val="20"/>
        </w:rPr>
      </w:pPr>
    </w:p>
    <w:p w14:paraId="62E4314F">
      <w:pPr>
        <w:tabs>
          <w:tab w:val="left" w:pos="2775"/>
          <w:tab w:val="center" w:pos="4153"/>
        </w:tabs>
        <w:autoSpaceDE w:val="0"/>
        <w:autoSpaceDN w:val="0"/>
        <w:adjustRightInd w:val="0"/>
        <w:spacing w:line="360" w:lineRule="auto"/>
        <w:jc w:val="center"/>
        <w:rPr>
          <w:b/>
          <w:color w:val="000000"/>
          <w:sz w:val="36"/>
          <w:szCs w:val="36"/>
        </w:rPr>
      </w:pPr>
      <w:r>
        <w:rPr>
          <w:rFonts w:hint="eastAsia"/>
          <w:b/>
          <w:color w:val="000000"/>
          <w:sz w:val="36"/>
          <w:szCs w:val="36"/>
        </w:rPr>
        <w:t>合同条款偏离表</w:t>
      </w:r>
    </w:p>
    <w:p w14:paraId="5B07EADE">
      <w:pPr>
        <w:spacing w:before="78" w:line="220" w:lineRule="auto"/>
        <w:rPr>
          <w:rFonts w:ascii="宋体" w:hAnsi="宋体" w:cs="宋体"/>
          <w:sz w:val="24"/>
        </w:rPr>
      </w:pPr>
      <w:r>
        <w:rPr>
          <w:rFonts w:ascii="宋体" w:hAnsi="宋体" w:cs="宋体"/>
          <w:spacing w:val="-2"/>
          <w:sz w:val="24"/>
        </w:rPr>
        <w:t>项目编号：</w:t>
      </w:r>
      <w:r>
        <w:rPr>
          <w:rFonts w:ascii="宋体" w:hAnsi="宋体" w:cs="宋体"/>
          <w:spacing w:val="-2"/>
          <w:sz w:val="24"/>
          <w:u w:val="single"/>
        </w:rPr>
        <w:t xml:space="preserve">                </w:t>
      </w:r>
      <w:r>
        <w:rPr>
          <w:rFonts w:ascii="宋体" w:hAnsi="宋体" w:cs="宋体"/>
          <w:spacing w:val="-3"/>
          <w:sz w:val="24"/>
          <w:u w:val="single"/>
        </w:rPr>
        <w:t xml:space="preserve">     </w:t>
      </w:r>
      <w:r>
        <w:rPr>
          <w:rFonts w:ascii="宋体" w:hAnsi="宋体" w:cs="宋体"/>
          <w:spacing w:val="-3"/>
          <w:sz w:val="24"/>
        </w:rPr>
        <w:t xml:space="preserve">    </w:t>
      </w:r>
      <w:r>
        <w:rPr>
          <w:rFonts w:hint="eastAsia"/>
          <w:sz w:val="24"/>
        </w:rPr>
        <w:t>项目名称</w:t>
      </w:r>
      <w:r>
        <w:rPr>
          <w:rFonts w:ascii="宋体" w:hAnsi="宋体" w:cs="宋体"/>
          <w:spacing w:val="-3"/>
          <w:sz w:val="24"/>
        </w:rPr>
        <w:t>：</w:t>
      </w:r>
      <w:r>
        <w:rPr>
          <w:rFonts w:ascii="宋体" w:hAnsi="宋体" w:cs="宋体"/>
          <w:spacing w:val="-3"/>
          <w:sz w:val="24"/>
          <w:u w:val="single"/>
        </w:rPr>
        <w:t xml:space="preserve">              </w:t>
      </w:r>
    </w:p>
    <w:p w14:paraId="67137903">
      <w:pPr>
        <w:spacing w:line="360" w:lineRule="auto"/>
        <w:rPr>
          <w:color w:val="000000"/>
          <w:sz w:val="24"/>
          <w:szCs w:val="20"/>
        </w:rPr>
      </w:pPr>
    </w:p>
    <w:tbl>
      <w:tblPr>
        <w:tblStyle w:val="4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1"/>
        <w:gridCol w:w="1981"/>
        <w:gridCol w:w="1982"/>
        <w:gridCol w:w="2424"/>
        <w:gridCol w:w="782"/>
      </w:tblGrid>
      <w:tr w14:paraId="2E5A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0052FB5B">
            <w:pPr>
              <w:adjustRightInd w:val="0"/>
              <w:snapToGrid w:val="0"/>
              <w:jc w:val="center"/>
              <w:rPr>
                <w:color w:val="000000"/>
                <w:sz w:val="24"/>
              </w:rPr>
            </w:pPr>
            <w:r>
              <w:rPr>
                <w:color w:val="000000"/>
                <w:sz w:val="24"/>
              </w:rPr>
              <w:t>序号</w:t>
            </w:r>
          </w:p>
        </w:tc>
        <w:tc>
          <w:tcPr>
            <w:tcW w:w="1291" w:type="dxa"/>
            <w:vAlign w:val="center"/>
          </w:tcPr>
          <w:p w14:paraId="02C512D9">
            <w:pPr>
              <w:adjustRightInd w:val="0"/>
              <w:snapToGrid w:val="0"/>
              <w:jc w:val="center"/>
              <w:rPr>
                <w:color w:val="000000"/>
                <w:sz w:val="24"/>
              </w:rPr>
            </w:pPr>
            <w:r>
              <w:rPr>
                <w:color w:val="000000"/>
                <w:sz w:val="24"/>
                <w:szCs w:val="21"/>
              </w:rPr>
              <w:t>招标文件</w:t>
            </w:r>
            <w:r>
              <w:rPr>
                <w:color w:val="000000"/>
                <w:sz w:val="24"/>
              </w:rPr>
              <w:t>条目号（页码）</w:t>
            </w:r>
          </w:p>
        </w:tc>
        <w:tc>
          <w:tcPr>
            <w:tcW w:w="1981" w:type="dxa"/>
            <w:vAlign w:val="center"/>
          </w:tcPr>
          <w:p w14:paraId="66A044B6">
            <w:pPr>
              <w:adjustRightInd w:val="0"/>
              <w:snapToGrid w:val="0"/>
              <w:jc w:val="center"/>
              <w:rPr>
                <w:color w:val="000000"/>
                <w:sz w:val="24"/>
              </w:rPr>
            </w:pPr>
            <w:r>
              <w:rPr>
                <w:color w:val="000000"/>
                <w:sz w:val="24"/>
                <w:szCs w:val="21"/>
              </w:rPr>
              <w:t>招标文件</w:t>
            </w:r>
            <w:r>
              <w:rPr>
                <w:color w:val="000000"/>
                <w:sz w:val="24"/>
              </w:rPr>
              <w:t>要求</w:t>
            </w:r>
          </w:p>
        </w:tc>
        <w:tc>
          <w:tcPr>
            <w:tcW w:w="1982" w:type="dxa"/>
            <w:vAlign w:val="center"/>
          </w:tcPr>
          <w:p w14:paraId="00F77761">
            <w:pPr>
              <w:adjustRightInd w:val="0"/>
              <w:snapToGrid w:val="0"/>
              <w:jc w:val="center"/>
              <w:rPr>
                <w:color w:val="000000"/>
                <w:sz w:val="24"/>
              </w:rPr>
            </w:pPr>
            <w:r>
              <w:rPr>
                <w:color w:val="000000"/>
                <w:sz w:val="24"/>
              </w:rPr>
              <w:t>投标文件内容</w:t>
            </w:r>
          </w:p>
        </w:tc>
        <w:tc>
          <w:tcPr>
            <w:tcW w:w="2424" w:type="dxa"/>
            <w:vAlign w:val="center"/>
          </w:tcPr>
          <w:p w14:paraId="2009F729">
            <w:pPr>
              <w:adjustRightInd w:val="0"/>
              <w:snapToGrid w:val="0"/>
              <w:jc w:val="center"/>
              <w:rPr>
                <w:color w:val="000000"/>
                <w:sz w:val="24"/>
              </w:rPr>
            </w:pPr>
            <w:r>
              <w:rPr>
                <w:color w:val="000000"/>
                <w:sz w:val="24"/>
              </w:rPr>
              <w:t>偏离情况</w:t>
            </w:r>
          </w:p>
        </w:tc>
        <w:tc>
          <w:tcPr>
            <w:tcW w:w="782" w:type="dxa"/>
            <w:vAlign w:val="center"/>
          </w:tcPr>
          <w:p w14:paraId="3A81893E">
            <w:pPr>
              <w:adjustRightInd w:val="0"/>
              <w:snapToGrid w:val="0"/>
              <w:jc w:val="center"/>
              <w:rPr>
                <w:color w:val="000000"/>
                <w:sz w:val="24"/>
              </w:rPr>
            </w:pPr>
            <w:r>
              <w:rPr>
                <w:color w:val="000000"/>
                <w:sz w:val="24"/>
              </w:rPr>
              <w:t>说明</w:t>
            </w:r>
          </w:p>
        </w:tc>
      </w:tr>
      <w:tr w14:paraId="1DA1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3BE05C48">
            <w:pPr>
              <w:spacing w:before="38" w:line="219" w:lineRule="auto"/>
              <w:rPr>
                <w:rFonts w:ascii="宋体" w:hAnsi="宋体" w:cs="宋体"/>
                <w:sz w:val="24"/>
              </w:rPr>
            </w:pPr>
            <w:r>
              <w:rPr>
                <w:rFonts w:hint="eastAsia" w:ascii="宋体" w:hAnsi="宋体" w:cs="宋体"/>
                <w:sz w:val="24"/>
              </w:rPr>
              <w:t>对本项目合同条款的偏离情况（应进行选择，未选择投标无效</w:t>
            </w:r>
            <w:r>
              <w:rPr>
                <w:rFonts w:hint="eastAsia" w:ascii="宋体" w:hAnsi="宋体" w:cs="宋体"/>
                <w:spacing w:val="-63"/>
                <w:w w:val="98"/>
                <w:sz w:val="24"/>
              </w:rPr>
              <w:t>）：</w:t>
            </w:r>
          </w:p>
          <w:p w14:paraId="789287F1">
            <w:pPr>
              <w:spacing w:before="27" w:line="197" w:lineRule="auto"/>
              <w:ind w:right="115"/>
              <w:rPr>
                <w:rFonts w:ascii="宋体" w:hAnsi="宋体" w:cs="宋体"/>
                <w:sz w:val="24"/>
              </w:rPr>
            </w:pPr>
            <w:r>
              <w:rPr>
                <w:rFonts w:hint="eastAsia" w:ascii="宋体" w:hAnsi="宋体" w:cs="宋体"/>
                <w:b/>
                <w:bCs/>
                <w:spacing w:val="-16"/>
                <w:sz w:val="24"/>
              </w:rPr>
              <w:t>口</w:t>
            </w:r>
            <w:r>
              <w:rPr>
                <w:rFonts w:hint="eastAsia" w:ascii="宋体" w:hAnsi="宋体" w:cs="宋体"/>
                <w:spacing w:val="-16"/>
                <w:sz w:val="24"/>
              </w:rPr>
              <w:t>无偏离（如无偏离，仅选择无偏离即可；无偏离即为对合同条款中的所有要求，均视</w:t>
            </w:r>
            <w:r>
              <w:rPr>
                <w:rFonts w:hint="eastAsia" w:ascii="宋体" w:hAnsi="宋体" w:cs="宋体"/>
                <w:spacing w:val="-11"/>
                <w:sz w:val="24"/>
              </w:rPr>
              <w:t>作供应商已对之理解和响应。）</w:t>
            </w:r>
          </w:p>
          <w:p w14:paraId="4B177715">
            <w:pPr>
              <w:adjustRightInd w:val="0"/>
              <w:snapToGrid w:val="0"/>
              <w:rPr>
                <w:color w:val="000000"/>
                <w:sz w:val="24"/>
              </w:rPr>
            </w:pPr>
            <w:r>
              <w:rPr>
                <w:rFonts w:hint="eastAsia" w:ascii="宋体" w:hAnsi="宋体" w:cs="宋体"/>
                <w:b/>
                <w:bCs/>
                <w:spacing w:val="-10"/>
                <w:sz w:val="24"/>
              </w:rPr>
              <w:t>口</w:t>
            </w:r>
            <w:r>
              <w:rPr>
                <w:rFonts w:hint="eastAsia" w:ascii="宋体" w:hAnsi="宋体" w:cs="宋体"/>
                <w:spacing w:val="-10"/>
                <w:sz w:val="24"/>
              </w:rPr>
              <w:t>有偏离（如有偏离，则应在本表中对偏离项逐一列明，否则投标无效；对合同条款中</w:t>
            </w:r>
            <w:r>
              <w:rPr>
                <w:rFonts w:hint="eastAsia" w:ascii="宋体" w:hAnsi="宋体" w:cs="宋体"/>
                <w:spacing w:val="-5"/>
                <w:sz w:val="24"/>
              </w:rPr>
              <w:t>的所有要求，除本表列明的偏离外，均视作供应商已对之理</w:t>
            </w:r>
            <w:r>
              <w:rPr>
                <w:rFonts w:hint="eastAsia" w:ascii="宋体" w:hAnsi="宋体" w:cs="宋体"/>
                <w:spacing w:val="-6"/>
                <w:sz w:val="24"/>
              </w:rPr>
              <w:t>解和响应。）</w:t>
            </w:r>
          </w:p>
        </w:tc>
      </w:tr>
      <w:tr w14:paraId="79F6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001E2182">
            <w:pPr>
              <w:adjustRightInd w:val="0"/>
              <w:snapToGrid w:val="0"/>
              <w:jc w:val="center"/>
              <w:rPr>
                <w:color w:val="000000"/>
                <w:sz w:val="24"/>
              </w:rPr>
            </w:pPr>
          </w:p>
        </w:tc>
        <w:tc>
          <w:tcPr>
            <w:tcW w:w="1291" w:type="dxa"/>
            <w:vAlign w:val="center"/>
          </w:tcPr>
          <w:p w14:paraId="3C3AA5B7">
            <w:pPr>
              <w:adjustRightInd w:val="0"/>
              <w:snapToGrid w:val="0"/>
              <w:jc w:val="center"/>
              <w:rPr>
                <w:color w:val="000000"/>
                <w:sz w:val="24"/>
              </w:rPr>
            </w:pPr>
          </w:p>
        </w:tc>
        <w:tc>
          <w:tcPr>
            <w:tcW w:w="1981" w:type="dxa"/>
            <w:vAlign w:val="center"/>
          </w:tcPr>
          <w:p w14:paraId="5C216181">
            <w:pPr>
              <w:adjustRightInd w:val="0"/>
              <w:snapToGrid w:val="0"/>
              <w:jc w:val="center"/>
              <w:rPr>
                <w:color w:val="000000"/>
                <w:sz w:val="24"/>
              </w:rPr>
            </w:pPr>
          </w:p>
        </w:tc>
        <w:tc>
          <w:tcPr>
            <w:tcW w:w="1982" w:type="dxa"/>
            <w:vAlign w:val="center"/>
          </w:tcPr>
          <w:p w14:paraId="249B67A0">
            <w:pPr>
              <w:adjustRightInd w:val="0"/>
              <w:snapToGrid w:val="0"/>
              <w:jc w:val="center"/>
              <w:rPr>
                <w:color w:val="000000"/>
                <w:sz w:val="24"/>
              </w:rPr>
            </w:pPr>
          </w:p>
        </w:tc>
        <w:tc>
          <w:tcPr>
            <w:tcW w:w="2424" w:type="dxa"/>
            <w:vAlign w:val="center"/>
          </w:tcPr>
          <w:p w14:paraId="546CFC18">
            <w:pPr>
              <w:adjustRightInd w:val="0"/>
              <w:snapToGrid w:val="0"/>
              <w:jc w:val="center"/>
              <w:rPr>
                <w:color w:val="000000"/>
                <w:sz w:val="24"/>
              </w:rPr>
            </w:pPr>
          </w:p>
        </w:tc>
        <w:tc>
          <w:tcPr>
            <w:tcW w:w="782" w:type="dxa"/>
            <w:vAlign w:val="center"/>
          </w:tcPr>
          <w:p w14:paraId="327F661D">
            <w:pPr>
              <w:adjustRightInd w:val="0"/>
              <w:snapToGrid w:val="0"/>
              <w:jc w:val="center"/>
              <w:rPr>
                <w:color w:val="000000"/>
                <w:sz w:val="24"/>
              </w:rPr>
            </w:pPr>
          </w:p>
        </w:tc>
      </w:tr>
      <w:tr w14:paraId="0E12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55278C9D">
            <w:pPr>
              <w:adjustRightInd w:val="0"/>
              <w:snapToGrid w:val="0"/>
              <w:jc w:val="center"/>
              <w:rPr>
                <w:color w:val="000000"/>
                <w:sz w:val="24"/>
              </w:rPr>
            </w:pPr>
          </w:p>
        </w:tc>
        <w:tc>
          <w:tcPr>
            <w:tcW w:w="1291" w:type="dxa"/>
            <w:vAlign w:val="center"/>
          </w:tcPr>
          <w:p w14:paraId="25B2042A">
            <w:pPr>
              <w:adjustRightInd w:val="0"/>
              <w:snapToGrid w:val="0"/>
              <w:jc w:val="center"/>
              <w:rPr>
                <w:color w:val="000000"/>
                <w:sz w:val="24"/>
              </w:rPr>
            </w:pPr>
          </w:p>
        </w:tc>
        <w:tc>
          <w:tcPr>
            <w:tcW w:w="1981" w:type="dxa"/>
            <w:vAlign w:val="center"/>
          </w:tcPr>
          <w:p w14:paraId="40C76C64">
            <w:pPr>
              <w:adjustRightInd w:val="0"/>
              <w:snapToGrid w:val="0"/>
              <w:jc w:val="center"/>
              <w:rPr>
                <w:color w:val="000000"/>
                <w:sz w:val="24"/>
              </w:rPr>
            </w:pPr>
          </w:p>
        </w:tc>
        <w:tc>
          <w:tcPr>
            <w:tcW w:w="1982" w:type="dxa"/>
            <w:vAlign w:val="center"/>
          </w:tcPr>
          <w:p w14:paraId="10FCF065">
            <w:pPr>
              <w:adjustRightInd w:val="0"/>
              <w:snapToGrid w:val="0"/>
              <w:jc w:val="center"/>
              <w:rPr>
                <w:color w:val="000000"/>
                <w:sz w:val="24"/>
              </w:rPr>
            </w:pPr>
          </w:p>
        </w:tc>
        <w:tc>
          <w:tcPr>
            <w:tcW w:w="2424" w:type="dxa"/>
            <w:vAlign w:val="center"/>
          </w:tcPr>
          <w:p w14:paraId="52C534AF">
            <w:pPr>
              <w:adjustRightInd w:val="0"/>
              <w:snapToGrid w:val="0"/>
              <w:jc w:val="center"/>
              <w:rPr>
                <w:color w:val="000000"/>
                <w:sz w:val="24"/>
              </w:rPr>
            </w:pPr>
          </w:p>
        </w:tc>
        <w:tc>
          <w:tcPr>
            <w:tcW w:w="782" w:type="dxa"/>
            <w:vAlign w:val="center"/>
          </w:tcPr>
          <w:p w14:paraId="5762A7A6">
            <w:pPr>
              <w:adjustRightInd w:val="0"/>
              <w:snapToGrid w:val="0"/>
              <w:jc w:val="center"/>
              <w:rPr>
                <w:color w:val="000000"/>
                <w:sz w:val="24"/>
              </w:rPr>
            </w:pPr>
          </w:p>
        </w:tc>
      </w:tr>
      <w:tr w14:paraId="13A1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272DB3FB">
            <w:pPr>
              <w:adjustRightInd w:val="0"/>
              <w:snapToGrid w:val="0"/>
              <w:jc w:val="center"/>
              <w:rPr>
                <w:color w:val="000000"/>
                <w:sz w:val="24"/>
              </w:rPr>
            </w:pPr>
          </w:p>
        </w:tc>
        <w:tc>
          <w:tcPr>
            <w:tcW w:w="1291" w:type="dxa"/>
            <w:vAlign w:val="center"/>
          </w:tcPr>
          <w:p w14:paraId="1D2A3E6E">
            <w:pPr>
              <w:adjustRightInd w:val="0"/>
              <w:snapToGrid w:val="0"/>
              <w:jc w:val="center"/>
              <w:rPr>
                <w:color w:val="000000"/>
                <w:sz w:val="24"/>
              </w:rPr>
            </w:pPr>
          </w:p>
        </w:tc>
        <w:tc>
          <w:tcPr>
            <w:tcW w:w="1981" w:type="dxa"/>
            <w:vAlign w:val="center"/>
          </w:tcPr>
          <w:p w14:paraId="4B6074EF">
            <w:pPr>
              <w:adjustRightInd w:val="0"/>
              <w:snapToGrid w:val="0"/>
              <w:jc w:val="center"/>
              <w:rPr>
                <w:color w:val="000000"/>
                <w:sz w:val="24"/>
              </w:rPr>
            </w:pPr>
          </w:p>
        </w:tc>
        <w:tc>
          <w:tcPr>
            <w:tcW w:w="1982" w:type="dxa"/>
            <w:vAlign w:val="center"/>
          </w:tcPr>
          <w:p w14:paraId="24FDC51C">
            <w:pPr>
              <w:adjustRightInd w:val="0"/>
              <w:snapToGrid w:val="0"/>
              <w:jc w:val="center"/>
              <w:rPr>
                <w:color w:val="000000"/>
                <w:sz w:val="24"/>
              </w:rPr>
            </w:pPr>
          </w:p>
        </w:tc>
        <w:tc>
          <w:tcPr>
            <w:tcW w:w="2424" w:type="dxa"/>
            <w:vAlign w:val="center"/>
          </w:tcPr>
          <w:p w14:paraId="13B400BA">
            <w:pPr>
              <w:adjustRightInd w:val="0"/>
              <w:snapToGrid w:val="0"/>
              <w:jc w:val="center"/>
              <w:rPr>
                <w:color w:val="000000"/>
                <w:sz w:val="24"/>
              </w:rPr>
            </w:pPr>
          </w:p>
        </w:tc>
        <w:tc>
          <w:tcPr>
            <w:tcW w:w="782" w:type="dxa"/>
            <w:vAlign w:val="center"/>
          </w:tcPr>
          <w:p w14:paraId="70BA2EA6">
            <w:pPr>
              <w:adjustRightInd w:val="0"/>
              <w:snapToGrid w:val="0"/>
              <w:jc w:val="center"/>
              <w:rPr>
                <w:color w:val="000000"/>
                <w:sz w:val="24"/>
              </w:rPr>
            </w:pPr>
          </w:p>
        </w:tc>
      </w:tr>
    </w:tbl>
    <w:p w14:paraId="6C7B3380">
      <w:pPr>
        <w:tabs>
          <w:tab w:val="left" w:pos="1800"/>
          <w:tab w:val="left" w:pos="5580"/>
        </w:tabs>
        <w:jc w:val="left"/>
        <w:rPr>
          <w:color w:val="000000"/>
          <w:sz w:val="24"/>
        </w:rPr>
      </w:pPr>
    </w:p>
    <w:p w14:paraId="2412C964">
      <w:pPr>
        <w:tabs>
          <w:tab w:val="left" w:pos="1800"/>
          <w:tab w:val="left" w:pos="5580"/>
        </w:tabs>
        <w:jc w:val="left"/>
        <w:rPr>
          <w:color w:val="000000"/>
          <w:sz w:val="24"/>
        </w:rPr>
      </w:pPr>
      <w:r>
        <w:rPr>
          <w:color w:val="000000"/>
          <w:sz w:val="24"/>
        </w:rPr>
        <w:t>注：</w:t>
      </w:r>
    </w:p>
    <w:p w14:paraId="3877910A">
      <w:pPr>
        <w:tabs>
          <w:tab w:val="left" w:pos="1800"/>
          <w:tab w:val="left" w:pos="5580"/>
        </w:tabs>
        <w:jc w:val="left"/>
        <w:rPr>
          <w:sz w:val="24"/>
        </w:rPr>
      </w:pPr>
      <w:r>
        <w:rPr>
          <w:rFonts w:hint="eastAsia"/>
          <w:color w:val="000000"/>
          <w:sz w:val="24"/>
        </w:rPr>
        <w:t>1</w:t>
      </w:r>
      <w:r>
        <w:rPr>
          <w:color w:val="000000"/>
          <w:sz w:val="24"/>
        </w:rPr>
        <w:t xml:space="preserve">. </w:t>
      </w:r>
      <w:r>
        <w:rPr>
          <w:sz w:val="24"/>
        </w:rPr>
        <w:t>对合同条款中的所有要求，除本表所列明的所有偏离外，均视作供应商已对之理解和</w:t>
      </w:r>
      <w:r>
        <w:rPr>
          <w:rFonts w:hint="eastAsia"/>
          <w:sz w:val="24"/>
        </w:rPr>
        <w:t>响应</w:t>
      </w:r>
      <w:r>
        <w:rPr>
          <w:sz w:val="24"/>
        </w:rPr>
        <w:t>。</w:t>
      </w:r>
    </w:p>
    <w:p w14:paraId="223216FF">
      <w:pPr>
        <w:tabs>
          <w:tab w:val="left" w:pos="1800"/>
          <w:tab w:val="left" w:pos="5580"/>
        </w:tabs>
        <w:jc w:val="left"/>
        <w:rPr>
          <w:color w:val="000000"/>
          <w:sz w:val="24"/>
        </w:rPr>
      </w:pPr>
      <w:r>
        <w:rPr>
          <w:rFonts w:hint="eastAsia"/>
          <w:sz w:val="24"/>
        </w:rPr>
        <w:t>2</w:t>
      </w:r>
      <w:r>
        <w:rPr>
          <w:sz w:val="24"/>
        </w:rPr>
        <w:t xml:space="preserve">. </w:t>
      </w:r>
      <w:r>
        <w:rPr>
          <w:rFonts w:hint="eastAsia"/>
          <w:sz w:val="24"/>
        </w:rPr>
        <w:t>“偏离情况”列应</w:t>
      </w:r>
      <w:r>
        <w:rPr>
          <w:color w:val="000000"/>
          <w:sz w:val="24"/>
        </w:rPr>
        <w:t>据实</w:t>
      </w:r>
      <w:r>
        <w:rPr>
          <w:rFonts w:hint="eastAsia"/>
          <w:sz w:val="24"/>
        </w:rPr>
        <w:t>填写“正偏离”或“负偏离”。</w:t>
      </w:r>
    </w:p>
    <w:p w14:paraId="60AF348C">
      <w:pPr>
        <w:spacing w:line="360" w:lineRule="auto"/>
        <w:rPr>
          <w:color w:val="000000"/>
          <w:sz w:val="24"/>
          <w:szCs w:val="20"/>
        </w:rPr>
      </w:pPr>
    </w:p>
    <w:p w14:paraId="2E1AC842">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9683FDC">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54C1801E">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40C1D1D0">
      <w:pPr>
        <w:spacing w:line="360" w:lineRule="auto"/>
        <w:outlineLvl w:val="2"/>
        <w:rPr>
          <w:color w:val="000000"/>
          <w:sz w:val="24"/>
          <w:szCs w:val="20"/>
        </w:rPr>
      </w:pPr>
      <w:r>
        <w:rPr>
          <w:color w:val="000000"/>
          <w:sz w:val="24"/>
          <w:szCs w:val="20"/>
        </w:rPr>
        <w:br w:type="page"/>
      </w:r>
      <w:r>
        <w:rPr>
          <w:color w:val="000000"/>
          <w:sz w:val="24"/>
          <w:szCs w:val="20"/>
        </w:rPr>
        <w:t xml:space="preserve">6  </w:t>
      </w:r>
      <w:bookmarkEnd w:id="972"/>
      <w:bookmarkEnd w:id="973"/>
      <w:bookmarkEnd w:id="974"/>
      <w:bookmarkEnd w:id="975"/>
      <w:bookmarkEnd w:id="976"/>
      <w:bookmarkEnd w:id="977"/>
      <w:bookmarkEnd w:id="978"/>
      <w:bookmarkEnd w:id="979"/>
      <w:bookmarkEnd w:id="980"/>
      <w:bookmarkEnd w:id="981"/>
      <w:bookmarkEnd w:id="982"/>
      <w:bookmarkEnd w:id="983"/>
      <w:bookmarkEnd w:id="984"/>
      <w:r>
        <w:rPr>
          <w:color w:val="000000"/>
          <w:sz w:val="24"/>
          <w:szCs w:val="20"/>
        </w:rPr>
        <w:t>采购需求偏离表（实质性格式）</w:t>
      </w:r>
    </w:p>
    <w:p w14:paraId="705BE726">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1A8A977C">
      <w:pPr>
        <w:spacing w:before="78" w:line="220" w:lineRule="auto"/>
        <w:rPr>
          <w:rFonts w:ascii="宋体" w:hAnsi="宋体" w:cs="宋体"/>
          <w:sz w:val="24"/>
        </w:rPr>
      </w:pPr>
      <w:r>
        <w:rPr>
          <w:rFonts w:ascii="宋体" w:hAnsi="宋体" w:cs="宋体"/>
          <w:spacing w:val="-2"/>
          <w:sz w:val="24"/>
        </w:rPr>
        <w:t>项目编号：</w:t>
      </w:r>
      <w:r>
        <w:rPr>
          <w:rFonts w:ascii="宋体" w:hAnsi="宋体" w:cs="宋体"/>
          <w:spacing w:val="-2"/>
          <w:sz w:val="24"/>
          <w:u w:val="single"/>
        </w:rPr>
        <w:t xml:space="preserve">                </w:t>
      </w:r>
      <w:r>
        <w:rPr>
          <w:rFonts w:ascii="宋体" w:hAnsi="宋体" w:cs="宋体"/>
          <w:spacing w:val="-3"/>
          <w:sz w:val="24"/>
          <w:u w:val="single"/>
        </w:rPr>
        <w:t xml:space="preserve">     </w:t>
      </w:r>
      <w:r>
        <w:rPr>
          <w:rFonts w:ascii="宋体" w:hAnsi="宋体" w:cs="宋体"/>
          <w:spacing w:val="-3"/>
          <w:sz w:val="24"/>
        </w:rPr>
        <w:t xml:space="preserve">    </w:t>
      </w:r>
      <w:r>
        <w:rPr>
          <w:rFonts w:hint="eastAsia"/>
          <w:sz w:val="24"/>
        </w:rPr>
        <w:t>项目名称</w:t>
      </w:r>
      <w:r>
        <w:rPr>
          <w:rFonts w:ascii="宋体" w:hAnsi="宋体" w:cs="宋体"/>
          <w:spacing w:val="-3"/>
          <w:sz w:val="24"/>
        </w:rPr>
        <w:t>：</w:t>
      </w:r>
      <w:r>
        <w:rPr>
          <w:rFonts w:ascii="宋体" w:hAnsi="宋体" w:cs="宋体"/>
          <w:spacing w:val="-3"/>
          <w:sz w:val="24"/>
          <w:u w:val="single"/>
        </w:rPr>
        <w:t xml:space="preserve">              </w:t>
      </w:r>
    </w:p>
    <w:p w14:paraId="6D4C4E25">
      <w:pPr>
        <w:tabs>
          <w:tab w:val="left" w:pos="1800"/>
          <w:tab w:val="left" w:pos="5580"/>
        </w:tabs>
        <w:spacing w:line="360" w:lineRule="auto"/>
        <w:ind w:firstLine="240" w:firstLineChars="100"/>
        <w:jc w:val="left"/>
        <w:rPr>
          <w:color w:val="000000"/>
          <w:sz w:val="24"/>
          <w:u w:val="single"/>
        </w:rPr>
      </w:pP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70E5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3995EF47">
            <w:pPr>
              <w:adjustRightInd w:val="0"/>
              <w:snapToGrid w:val="0"/>
              <w:jc w:val="center"/>
              <w:rPr>
                <w:color w:val="000000"/>
                <w:sz w:val="24"/>
              </w:rPr>
            </w:pPr>
            <w:r>
              <w:rPr>
                <w:color w:val="000000"/>
                <w:sz w:val="24"/>
              </w:rPr>
              <w:t>序号</w:t>
            </w:r>
          </w:p>
        </w:tc>
        <w:tc>
          <w:tcPr>
            <w:tcW w:w="1482" w:type="dxa"/>
            <w:vAlign w:val="center"/>
          </w:tcPr>
          <w:p w14:paraId="34239629">
            <w:pPr>
              <w:adjustRightInd w:val="0"/>
              <w:snapToGrid w:val="0"/>
              <w:jc w:val="center"/>
              <w:rPr>
                <w:color w:val="000000"/>
                <w:sz w:val="24"/>
              </w:rPr>
            </w:pPr>
            <w:r>
              <w:rPr>
                <w:color w:val="000000"/>
                <w:sz w:val="24"/>
              </w:rPr>
              <w:t>招标文件条目号(页码)</w:t>
            </w:r>
          </w:p>
        </w:tc>
        <w:tc>
          <w:tcPr>
            <w:tcW w:w="2384" w:type="dxa"/>
            <w:vAlign w:val="center"/>
          </w:tcPr>
          <w:p w14:paraId="3898C321">
            <w:pPr>
              <w:adjustRightInd w:val="0"/>
              <w:snapToGrid w:val="0"/>
              <w:jc w:val="center"/>
              <w:rPr>
                <w:color w:val="000000"/>
                <w:sz w:val="24"/>
              </w:rPr>
            </w:pPr>
            <w:r>
              <w:rPr>
                <w:color w:val="000000"/>
                <w:sz w:val="24"/>
              </w:rPr>
              <w:t>招标文件要求</w:t>
            </w:r>
          </w:p>
        </w:tc>
        <w:tc>
          <w:tcPr>
            <w:tcW w:w="2126" w:type="dxa"/>
            <w:vAlign w:val="center"/>
          </w:tcPr>
          <w:p w14:paraId="04340A9B">
            <w:pPr>
              <w:adjustRightInd w:val="0"/>
              <w:snapToGrid w:val="0"/>
              <w:jc w:val="center"/>
              <w:rPr>
                <w:color w:val="000000"/>
                <w:sz w:val="24"/>
              </w:rPr>
            </w:pPr>
            <w:r>
              <w:rPr>
                <w:color w:val="000000"/>
                <w:sz w:val="24"/>
              </w:rPr>
              <w:t>投标响应内容</w:t>
            </w:r>
          </w:p>
        </w:tc>
        <w:tc>
          <w:tcPr>
            <w:tcW w:w="1875" w:type="dxa"/>
            <w:vAlign w:val="center"/>
          </w:tcPr>
          <w:p w14:paraId="53331340">
            <w:pPr>
              <w:adjustRightInd w:val="0"/>
              <w:snapToGrid w:val="0"/>
              <w:jc w:val="center"/>
              <w:rPr>
                <w:color w:val="000000"/>
                <w:sz w:val="24"/>
              </w:rPr>
            </w:pPr>
            <w:r>
              <w:rPr>
                <w:color w:val="000000"/>
                <w:sz w:val="24"/>
              </w:rPr>
              <w:t>偏离情况</w:t>
            </w:r>
          </w:p>
        </w:tc>
        <w:tc>
          <w:tcPr>
            <w:tcW w:w="1009" w:type="dxa"/>
            <w:vAlign w:val="center"/>
          </w:tcPr>
          <w:p w14:paraId="02BFFEA3">
            <w:pPr>
              <w:adjustRightInd w:val="0"/>
              <w:snapToGrid w:val="0"/>
              <w:jc w:val="center"/>
              <w:rPr>
                <w:color w:val="000000"/>
                <w:sz w:val="24"/>
              </w:rPr>
            </w:pPr>
            <w:r>
              <w:rPr>
                <w:color w:val="000000"/>
                <w:sz w:val="24"/>
              </w:rPr>
              <w:t>说明</w:t>
            </w:r>
          </w:p>
        </w:tc>
      </w:tr>
      <w:tr w14:paraId="2780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86DC3CD">
            <w:pPr>
              <w:adjustRightInd w:val="0"/>
              <w:snapToGrid w:val="0"/>
              <w:jc w:val="center"/>
              <w:rPr>
                <w:color w:val="000000"/>
                <w:sz w:val="24"/>
              </w:rPr>
            </w:pPr>
          </w:p>
        </w:tc>
        <w:tc>
          <w:tcPr>
            <w:tcW w:w="1482" w:type="dxa"/>
            <w:vAlign w:val="center"/>
          </w:tcPr>
          <w:p w14:paraId="7E7C79DA">
            <w:pPr>
              <w:adjustRightInd w:val="0"/>
              <w:snapToGrid w:val="0"/>
              <w:jc w:val="center"/>
              <w:rPr>
                <w:color w:val="000000"/>
                <w:sz w:val="24"/>
              </w:rPr>
            </w:pPr>
          </w:p>
        </w:tc>
        <w:tc>
          <w:tcPr>
            <w:tcW w:w="2384" w:type="dxa"/>
            <w:vAlign w:val="center"/>
          </w:tcPr>
          <w:p w14:paraId="5BA987BD">
            <w:pPr>
              <w:adjustRightInd w:val="0"/>
              <w:snapToGrid w:val="0"/>
              <w:jc w:val="center"/>
              <w:rPr>
                <w:color w:val="000000"/>
                <w:sz w:val="24"/>
              </w:rPr>
            </w:pPr>
          </w:p>
        </w:tc>
        <w:tc>
          <w:tcPr>
            <w:tcW w:w="2126" w:type="dxa"/>
            <w:vAlign w:val="center"/>
          </w:tcPr>
          <w:p w14:paraId="507362FA">
            <w:pPr>
              <w:adjustRightInd w:val="0"/>
              <w:snapToGrid w:val="0"/>
              <w:jc w:val="center"/>
              <w:rPr>
                <w:color w:val="000000"/>
                <w:sz w:val="24"/>
              </w:rPr>
            </w:pPr>
          </w:p>
        </w:tc>
        <w:tc>
          <w:tcPr>
            <w:tcW w:w="1875" w:type="dxa"/>
            <w:vAlign w:val="center"/>
          </w:tcPr>
          <w:p w14:paraId="39DC035E">
            <w:pPr>
              <w:adjustRightInd w:val="0"/>
              <w:snapToGrid w:val="0"/>
              <w:jc w:val="center"/>
              <w:rPr>
                <w:color w:val="000000"/>
                <w:sz w:val="24"/>
              </w:rPr>
            </w:pPr>
          </w:p>
        </w:tc>
        <w:tc>
          <w:tcPr>
            <w:tcW w:w="1009" w:type="dxa"/>
            <w:vAlign w:val="center"/>
          </w:tcPr>
          <w:p w14:paraId="38C730E3">
            <w:pPr>
              <w:adjustRightInd w:val="0"/>
              <w:snapToGrid w:val="0"/>
              <w:jc w:val="center"/>
              <w:rPr>
                <w:color w:val="000000"/>
                <w:sz w:val="24"/>
              </w:rPr>
            </w:pPr>
          </w:p>
        </w:tc>
      </w:tr>
      <w:tr w14:paraId="63E6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475819A">
            <w:pPr>
              <w:adjustRightInd w:val="0"/>
              <w:snapToGrid w:val="0"/>
              <w:jc w:val="center"/>
              <w:rPr>
                <w:color w:val="000000"/>
                <w:sz w:val="24"/>
              </w:rPr>
            </w:pPr>
          </w:p>
        </w:tc>
        <w:tc>
          <w:tcPr>
            <w:tcW w:w="1482" w:type="dxa"/>
            <w:vAlign w:val="center"/>
          </w:tcPr>
          <w:p w14:paraId="78389DA6">
            <w:pPr>
              <w:adjustRightInd w:val="0"/>
              <w:snapToGrid w:val="0"/>
              <w:jc w:val="center"/>
              <w:rPr>
                <w:color w:val="000000"/>
                <w:sz w:val="24"/>
              </w:rPr>
            </w:pPr>
          </w:p>
        </w:tc>
        <w:tc>
          <w:tcPr>
            <w:tcW w:w="2384" w:type="dxa"/>
            <w:vAlign w:val="center"/>
          </w:tcPr>
          <w:p w14:paraId="0B20D075">
            <w:pPr>
              <w:adjustRightInd w:val="0"/>
              <w:snapToGrid w:val="0"/>
              <w:jc w:val="center"/>
              <w:rPr>
                <w:color w:val="000000"/>
                <w:sz w:val="24"/>
              </w:rPr>
            </w:pPr>
          </w:p>
        </w:tc>
        <w:tc>
          <w:tcPr>
            <w:tcW w:w="2126" w:type="dxa"/>
            <w:vAlign w:val="center"/>
          </w:tcPr>
          <w:p w14:paraId="0D341914">
            <w:pPr>
              <w:adjustRightInd w:val="0"/>
              <w:snapToGrid w:val="0"/>
              <w:jc w:val="center"/>
              <w:rPr>
                <w:color w:val="000000"/>
                <w:sz w:val="24"/>
              </w:rPr>
            </w:pPr>
          </w:p>
        </w:tc>
        <w:tc>
          <w:tcPr>
            <w:tcW w:w="1875" w:type="dxa"/>
            <w:vAlign w:val="center"/>
          </w:tcPr>
          <w:p w14:paraId="421CCBDE">
            <w:pPr>
              <w:adjustRightInd w:val="0"/>
              <w:snapToGrid w:val="0"/>
              <w:jc w:val="center"/>
              <w:rPr>
                <w:color w:val="000000"/>
                <w:sz w:val="24"/>
              </w:rPr>
            </w:pPr>
          </w:p>
        </w:tc>
        <w:tc>
          <w:tcPr>
            <w:tcW w:w="1009" w:type="dxa"/>
            <w:vAlign w:val="center"/>
          </w:tcPr>
          <w:p w14:paraId="3F5E5DCF">
            <w:pPr>
              <w:adjustRightInd w:val="0"/>
              <w:snapToGrid w:val="0"/>
              <w:jc w:val="center"/>
              <w:rPr>
                <w:color w:val="000000"/>
                <w:sz w:val="24"/>
              </w:rPr>
            </w:pPr>
          </w:p>
        </w:tc>
      </w:tr>
      <w:tr w14:paraId="6BC6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1581385">
            <w:pPr>
              <w:adjustRightInd w:val="0"/>
              <w:snapToGrid w:val="0"/>
              <w:jc w:val="center"/>
              <w:rPr>
                <w:color w:val="000000"/>
                <w:sz w:val="24"/>
              </w:rPr>
            </w:pPr>
          </w:p>
        </w:tc>
        <w:tc>
          <w:tcPr>
            <w:tcW w:w="1482" w:type="dxa"/>
            <w:vAlign w:val="center"/>
          </w:tcPr>
          <w:p w14:paraId="2AEF2CDE">
            <w:pPr>
              <w:adjustRightInd w:val="0"/>
              <w:snapToGrid w:val="0"/>
              <w:jc w:val="center"/>
              <w:rPr>
                <w:color w:val="000000"/>
                <w:sz w:val="24"/>
              </w:rPr>
            </w:pPr>
          </w:p>
        </w:tc>
        <w:tc>
          <w:tcPr>
            <w:tcW w:w="2384" w:type="dxa"/>
            <w:vAlign w:val="center"/>
          </w:tcPr>
          <w:p w14:paraId="4B5E2493">
            <w:pPr>
              <w:adjustRightInd w:val="0"/>
              <w:snapToGrid w:val="0"/>
              <w:jc w:val="center"/>
              <w:rPr>
                <w:color w:val="000000"/>
                <w:sz w:val="24"/>
              </w:rPr>
            </w:pPr>
          </w:p>
        </w:tc>
        <w:tc>
          <w:tcPr>
            <w:tcW w:w="2126" w:type="dxa"/>
            <w:vAlign w:val="center"/>
          </w:tcPr>
          <w:p w14:paraId="45834368">
            <w:pPr>
              <w:adjustRightInd w:val="0"/>
              <w:snapToGrid w:val="0"/>
              <w:jc w:val="center"/>
              <w:rPr>
                <w:color w:val="000000"/>
                <w:sz w:val="24"/>
              </w:rPr>
            </w:pPr>
          </w:p>
        </w:tc>
        <w:tc>
          <w:tcPr>
            <w:tcW w:w="1875" w:type="dxa"/>
            <w:vAlign w:val="center"/>
          </w:tcPr>
          <w:p w14:paraId="6757464B">
            <w:pPr>
              <w:adjustRightInd w:val="0"/>
              <w:snapToGrid w:val="0"/>
              <w:jc w:val="center"/>
              <w:rPr>
                <w:color w:val="000000"/>
                <w:sz w:val="24"/>
              </w:rPr>
            </w:pPr>
          </w:p>
        </w:tc>
        <w:tc>
          <w:tcPr>
            <w:tcW w:w="1009" w:type="dxa"/>
            <w:vAlign w:val="center"/>
          </w:tcPr>
          <w:p w14:paraId="256D60CF">
            <w:pPr>
              <w:adjustRightInd w:val="0"/>
              <w:snapToGrid w:val="0"/>
              <w:jc w:val="center"/>
              <w:rPr>
                <w:color w:val="000000"/>
                <w:sz w:val="24"/>
              </w:rPr>
            </w:pPr>
          </w:p>
        </w:tc>
      </w:tr>
      <w:tr w14:paraId="40BC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E59D8A2">
            <w:pPr>
              <w:adjustRightInd w:val="0"/>
              <w:snapToGrid w:val="0"/>
              <w:jc w:val="center"/>
              <w:rPr>
                <w:color w:val="000000"/>
                <w:sz w:val="24"/>
              </w:rPr>
            </w:pPr>
          </w:p>
        </w:tc>
        <w:tc>
          <w:tcPr>
            <w:tcW w:w="1482" w:type="dxa"/>
            <w:vAlign w:val="center"/>
          </w:tcPr>
          <w:p w14:paraId="06187BF5">
            <w:pPr>
              <w:adjustRightInd w:val="0"/>
              <w:snapToGrid w:val="0"/>
              <w:jc w:val="center"/>
              <w:rPr>
                <w:color w:val="000000"/>
                <w:sz w:val="24"/>
              </w:rPr>
            </w:pPr>
          </w:p>
        </w:tc>
        <w:tc>
          <w:tcPr>
            <w:tcW w:w="2384" w:type="dxa"/>
            <w:vAlign w:val="center"/>
          </w:tcPr>
          <w:p w14:paraId="7DE4D71A">
            <w:pPr>
              <w:adjustRightInd w:val="0"/>
              <w:snapToGrid w:val="0"/>
              <w:jc w:val="center"/>
              <w:rPr>
                <w:color w:val="000000"/>
                <w:sz w:val="24"/>
              </w:rPr>
            </w:pPr>
          </w:p>
        </w:tc>
        <w:tc>
          <w:tcPr>
            <w:tcW w:w="2126" w:type="dxa"/>
            <w:vAlign w:val="center"/>
          </w:tcPr>
          <w:p w14:paraId="076198CD">
            <w:pPr>
              <w:adjustRightInd w:val="0"/>
              <w:snapToGrid w:val="0"/>
              <w:jc w:val="center"/>
              <w:rPr>
                <w:color w:val="000000"/>
                <w:sz w:val="24"/>
              </w:rPr>
            </w:pPr>
          </w:p>
        </w:tc>
        <w:tc>
          <w:tcPr>
            <w:tcW w:w="1875" w:type="dxa"/>
            <w:vAlign w:val="center"/>
          </w:tcPr>
          <w:p w14:paraId="58841FD0">
            <w:pPr>
              <w:adjustRightInd w:val="0"/>
              <w:snapToGrid w:val="0"/>
              <w:jc w:val="center"/>
              <w:rPr>
                <w:color w:val="000000"/>
                <w:sz w:val="24"/>
              </w:rPr>
            </w:pPr>
          </w:p>
        </w:tc>
        <w:tc>
          <w:tcPr>
            <w:tcW w:w="1009" w:type="dxa"/>
            <w:vAlign w:val="center"/>
          </w:tcPr>
          <w:p w14:paraId="0054028A">
            <w:pPr>
              <w:adjustRightInd w:val="0"/>
              <w:snapToGrid w:val="0"/>
              <w:jc w:val="center"/>
              <w:rPr>
                <w:color w:val="000000"/>
                <w:sz w:val="24"/>
              </w:rPr>
            </w:pPr>
          </w:p>
        </w:tc>
      </w:tr>
      <w:tr w14:paraId="3267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97A107C">
            <w:pPr>
              <w:adjustRightInd w:val="0"/>
              <w:snapToGrid w:val="0"/>
              <w:jc w:val="center"/>
              <w:rPr>
                <w:color w:val="000000"/>
                <w:sz w:val="24"/>
              </w:rPr>
            </w:pPr>
          </w:p>
        </w:tc>
        <w:tc>
          <w:tcPr>
            <w:tcW w:w="1482" w:type="dxa"/>
            <w:vAlign w:val="center"/>
          </w:tcPr>
          <w:p w14:paraId="07F9F764">
            <w:pPr>
              <w:adjustRightInd w:val="0"/>
              <w:snapToGrid w:val="0"/>
              <w:jc w:val="center"/>
              <w:rPr>
                <w:color w:val="000000"/>
                <w:sz w:val="24"/>
              </w:rPr>
            </w:pPr>
          </w:p>
        </w:tc>
        <w:tc>
          <w:tcPr>
            <w:tcW w:w="2384" w:type="dxa"/>
            <w:vAlign w:val="center"/>
          </w:tcPr>
          <w:p w14:paraId="4FEE740B">
            <w:pPr>
              <w:adjustRightInd w:val="0"/>
              <w:snapToGrid w:val="0"/>
              <w:jc w:val="center"/>
              <w:rPr>
                <w:color w:val="000000"/>
                <w:sz w:val="24"/>
              </w:rPr>
            </w:pPr>
          </w:p>
        </w:tc>
        <w:tc>
          <w:tcPr>
            <w:tcW w:w="2126" w:type="dxa"/>
            <w:vAlign w:val="center"/>
          </w:tcPr>
          <w:p w14:paraId="6A42B084">
            <w:pPr>
              <w:adjustRightInd w:val="0"/>
              <w:snapToGrid w:val="0"/>
              <w:jc w:val="center"/>
              <w:rPr>
                <w:color w:val="000000"/>
                <w:sz w:val="24"/>
              </w:rPr>
            </w:pPr>
          </w:p>
        </w:tc>
        <w:tc>
          <w:tcPr>
            <w:tcW w:w="1875" w:type="dxa"/>
            <w:vAlign w:val="center"/>
          </w:tcPr>
          <w:p w14:paraId="03D178A1">
            <w:pPr>
              <w:adjustRightInd w:val="0"/>
              <w:snapToGrid w:val="0"/>
              <w:jc w:val="center"/>
              <w:rPr>
                <w:color w:val="000000"/>
                <w:sz w:val="24"/>
              </w:rPr>
            </w:pPr>
          </w:p>
        </w:tc>
        <w:tc>
          <w:tcPr>
            <w:tcW w:w="1009" w:type="dxa"/>
            <w:vAlign w:val="center"/>
          </w:tcPr>
          <w:p w14:paraId="7847C657">
            <w:pPr>
              <w:adjustRightInd w:val="0"/>
              <w:snapToGrid w:val="0"/>
              <w:jc w:val="center"/>
              <w:rPr>
                <w:color w:val="000000"/>
                <w:sz w:val="24"/>
              </w:rPr>
            </w:pPr>
          </w:p>
        </w:tc>
      </w:tr>
      <w:tr w14:paraId="7AD3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58D77CA">
            <w:pPr>
              <w:adjustRightInd w:val="0"/>
              <w:snapToGrid w:val="0"/>
              <w:jc w:val="center"/>
              <w:rPr>
                <w:color w:val="000000"/>
                <w:sz w:val="24"/>
              </w:rPr>
            </w:pPr>
          </w:p>
        </w:tc>
        <w:tc>
          <w:tcPr>
            <w:tcW w:w="1482" w:type="dxa"/>
            <w:vAlign w:val="center"/>
          </w:tcPr>
          <w:p w14:paraId="6C9E4D6B">
            <w:pPr>
              <w:adjustRightInd w:val="0"/>
              <w:snapToGrid w:val="0"/>
              <w:jc w:val="center"/>
              <w:rPr>
                <w:color w:val="000000"/>
                <w:sz w:val="24"/>
              </w:rPr>
            </w:pPr>
          </w:p>
        </w:tc>
        <w:tc>
          <w:tcPr>
            <w:tcW w:w="2384" w:type="dxa"/>
            <w:vAlign w:val="center"/>
          </w:tcPr>
          <w:p w14:paraId="30EDD21E">
            <w:pPr>
              <w:adjustRightInd w:val="0"/>
              <w:snapToGrid w:val="0"/>
              <w:jc w:val="center"/>
              <w:rPr>
                <w:color w:val="000000"/>
                <w:sz w:val="24"/>
              </w:rPr>
            </w:pPr>
          </w:p>
        </w:tc>
        <w:tc>
          <w:tcPr>
            <w:tcW w:w="2126" w:type="dxa"/>
            <w:vAlign w:val="center"/>
          </w:tcPr>
          <w:p w14:paraId="026F9DCF">
            <w:pPr>
              <w:adjustRightInd w:val="0"/>
              <w:snapToGrid w:val="0"/>
              <w:jc w:val="center"/>
              <w:rPr>
                <w:color w:val="000000"/>
                <w:sz w:val="24"/>
              </w:rPr>
            </w:pPr>
          </w:p>
        </w:tc>
        <w:tc>
          <w:tcPr>
            <w:tcW w:w="1875" w:type="dxa"/>
            <w:vAlign w:val="center"/>
          </w:tcPr>
          <w:p w14:paraId="3C2F60E1">
            <w:pPr>
              <w:adjustRightInd w:val="0"/>
              <w:snapToGrid w:val="0"/>
              <w:jc w:val="center"/>
              <w:rPr>
                <w:color w:val="000000"/>
                <w:sz w:val="24"/>
              </w:rPr>
            </w:pPr>
          </w:p>
        </w:tc>
        <w:tc>
          <w:tcPr>
            <w:tcW w:w="1009" w:type="dxa"/>
            <w:vAlign w:val="center"/>
          </w:tcPr>
          <w:p w14:paraId="6A9B6541">
            <w:pPr>
              <w:adjustRightInd w:val="0"/>
              <w:snapToGrid w:val="0"/>
              <w:jc w:val="center"/>
              <w:rPr>
                <w:color w:val="000000"/>
                <w:sz w:val="24"/>
              </w:rPr>
            </w:pPr>
          </w:p>
        </w:tc>
      </w:tr>
    </w:tbl>
    <w:p w14:paraId="3AC3E2DF">
      <w:pPr>
        <w:tabs>
          <w:tab w:val="left" w:pos="1800"/>
          <w:tab w:val="left" w:pos="5580"/>
        </w:tabs>
        <w:spacing w:line="360" w:lineRule="auto"/>
        <w:ind w:firstLine="360" w:firstLineChars="150"/>
        <w:jc w:val="left"/>
        <w:rPr>
          <w:color w:val="000000"/>
          <w:sz w:val="24"/>
          <w:u w:val="single"/>
        </w:rPr>
      </w:pPr>
    </w:p>
    <w:p w14:paraId="47EA0B69">
      <w:pPr>
        <w:tabs>
          <w:tab w:val="left" w:pos="1800"/>
          <w:tab w:val="left" w:pos="5580"/>
        </w:tabs>
        <w:spacing w:line="360" w:lineRule="auto"/>
        <w:ind w:firstLine="360" w:firstLineChars="150"/>
        <w:jc w:val="left"/>
        <w:rPr>
          <w:color w:val="000000"/>
          <w:sz w:val="24"/>
          <w:u w:val="single"/>
        </w:rPr>
      </w:pPr>
    </w:p>
    <w:p w14:paraId="68654366">
      <w:pPr>
        <w:tabs>
          <w:tab w:val="left" w:pos="1800"/>
          <w:tab w:val="left" w:pos="5580"/>
        </w:tabs>
        <w:jc w:val="left"/>
        <w:rPr>
          <w:color w:val="000000"/>
          <w:sz w:val="24"/>
        </w:rPr>
      </w:pPr>
      <w:r>
        <w:rPr>
          <w:color w:val="000000"/>
          <w:sz w:val="24"/>
        </w:rPr>
        <w:t>注：</w:t>
      </w:r>
    </w:p>
    <w:p w14:paraId="269BBEB4">
      <w:pPr>
        <w:tabs>
          <w:tab w:val="left" w:pos="1800"/>
          <w:tab w:val="left" w:pos="5580"/>
        </w:tabs>
        <w:jc w:val="left"/>
        <w:rPr>
          <w:sz w:val="24"/>
        </w:rPr>
      </w:pPr>
      <w:r>
        <w:rPr>
          <w:rFonts w:hint="eastAsia"/>
          <w:color w:val="000000"/>
          <w:sz w:val="24"/>
        </w:rPr>
        <w:t>1</w:t>
      </w:r>
      <w:r>
        <w:rPr>
          <w:color w:val="000000"/>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14:paraId="1A14FE57">
      <w:pPr>
        <w:tabs>
          <w:tab w:val="left" w:pos="1800"/>
          <w:tab w:val="left" w:pos="5580"/>
        </w:tabs>
        <w:jc w:val="left"/>
        <w:rPr>
          <w:color w:val="000000"/>
          <w:sz w:val="24"/>
        </w:rPr>
      </w:pPr>
      <w:r>
        <w:rPr>
          <w:sz w:val="24"/>
        </w:rPr>
        <w:t>2.</w:t>
      </w:r>
      <w:r>
        <w:rPr>
          <w:rFonts w:hint="eastAsia"/>
          <w:sz w:val="24"/>
        </w:rPr>
        <w:t>“偏离情况”列应</w:t>
      </w:r>
      <w:r>
        <w:rPr>
          <w:color w:val="000000"/>
          <w:sz w:val="24"/>
        </w:rPr>
        <w:t>据实</w:t>
      </w:r>
      <w:r>
        <w:rPr>
          <w:rFonts w:hint="eastAsia"/>
          <w:sz w:val="24"/>
        </w:rPr>
        <w:t>填写“正偏离”或“负偏离”。</w:t>
      </w:r>
    </w:p>
    <w:p w14:paraId="21642D07">
      <w:pPr>
        <w:tabs>
          <w:tab w:val="left" w:pos="1800"/>
          <w:tab w:val="left" w:pos="5580"/>
        </w:tabs>
        <w:jc w:val="left"/>
        <w:rPr>
          <w:sz w:val="24"/>
        </w:rPr>
      </w:pPr>
    </w:p>
    <w:p w14:paraId="7F826D05">
      <w:pPr>
        <w:tabs>
          <w:tab w:val="left" w:pos="1800"/>
          <w:tab w:val="left" w:pos="5580"/>
        </w:tabs>
        <w:jc w:val="left"/>
        <w:rPr>
          <w:color w:val="000000"/>
          <w:sz w:val="24"/>
        </w:rPr>
      </w:pPr>
    </w:p>
    <w:p w14:paraId="15AD7A0F">
      <w:pPr>
        <w:rPr>
          <w:color w:val="000000"/>
          <w:sz w:val="24"/>
          <w:szCs w:val="20"/>
        </w:rPr>
      </w:pPr>
    </w:p>
    <w:p w14:paraId="0A7D3C3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5B5268B">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754F4A8E">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40433EAD">
      <w:pPr>
        <w:spacing w:line="360" w:lineRule="auto"/>
        <w:outlineLvl w:val="2"/>
        <w:rPr>
          <w:color w:val="000000"/>
          <w:sz w:val="24"/>
          <w:szCs w:val="20"/>
        </w:rPr>
      </w:pPr>
      <w:r>
        <w:rPr>
          <w:color w:val="000000"/>
          <w:sz w:val="24"/>
          <w:szCs w:val="20"/>
        </w:rPr>
        <w:br w:type="page"/>
      </w:r>
      <w:r>
        <w:rPr>
          <w:color w:val="000000"/>
          <w:sz w:val="24"/>
          <w:szCs w:val="20"/>
        </w:rPr>
        <w:t>7  中小企业声明函</w:t>
      </w:r>
      <w:r>
        <w:rPr>
          <w:b/>
          <w:sz w:val="24"/>
        </w:rPr>
        <w:t>（如有）</w:t>
      </w:r>
    </w:p>
    <w:p w14:paraId="1407AFE8">
      <w:pPr>
        <w:tabs>
          <w:tab w:val="left" w:pos="5580"/>
        </w:tabs>
        <w:spacing w:line="360" w:lineRule="auto"/>
        <w:rPr>
          <w:sz w:val="24"/>
        </w:rPr>
      </w:pPr>
      <w:r>
        <w:rPr>
          <w:rFonts w:hint="eastAsia"/>
          <w:sz w:val="24"/>
        </w:rPr>
        <w:t>说明：</w:t>
      </w:r>
    </w:p>
    <w:p w14:paraId="55CFA030">
      <w:pPr>
        <w:tabs>
          <w:tab w:val="left" w:pos="5580"/>
        </w:tabs>
        <w:spacing w:line="360" w:lineRule="auto"/>
        <w:rPr>
          <w:sz w:val="24"/>
        </w:rPr>
      </w:pPr>
      <w:r>
        <w:rPr>
          <w:rFonts w:hint="eastAsia"/>
          <w:sz w:val="24"/>
        </w:rPr>
        <w:t>1）中小企业参加政府采购活动，应当出具此格式文件。《中小企业声明函》由参加政府采购活动的投标人出具。联合体投标的，《中小企业声明函》由牵头人出具。</w:t>
      </w:r>
    </w:p>
    <w:p w14:paraId="5BB100FE">
      <w:pPr>
        <w:tabs>
          <w:tab w:val="left" w:pos="5580"/>
        </w:tabs>
        <w:spacing w:line="360" w:lineRule="auto"/>
        <w:rPr>
          <w:sz w:val="24"/>
        </w:rPr>
      </w:pPr>
      <w:r>
        <w:rPr>
          <w:rFonts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7A9535E">
      <w:pPr>
        <w:tabs>
          <w:tab w:val="left" w:pos="5580"/>
        </w:tabs>
        <w:spacing w:line="360" w:lineRule="auto"/>
        <w:rPr>
          <w:sz w:val="24"/>
        </w:rPr>
      </w:pPr>
      <w:r>
        <w:rPr>
          <w:rFonts w:hint="eastAsia"/>
          <w:sz w:val="24"/>
        </w:rPr>
        <w:t>3）对于多标的的采购项目，投标人应充分、准确地了解所投产品制造企业信息。对相关情况了解不清楚的，不建议填报本声明函。</w:t>
      </w:r>
    </w:p>
    <w:p w14:paraId="3F42270C">
      <w:pPr>
        <w:tabs>
          <w:tab w:val="left" w:pos="5580"/>
        </w:tabs>
        <w:spacing w:line="360" w:lineRule="auto"/>
        <w:rPr>
          <w:sz w:val="24"/>
        </w:rPr>
      </w:pPr>
      <w:r>
        <w:rPr>
          <w:rFonts w:hint="eastAsia"/>
          <w:sz w:val="24"/>
        </w:rPr>
        <w:t xml:space="preserve">4）温馨提示：为方便广大中小企业识别企业规模类型，工业和信息化部组织开发了中 </w:t>
      </w:r>
    </w:p>
    <w:p w14:paraId="51302908">
      <w:pPr>
        <w:tabs>
          <w:tab w:val="left" w:pos="5580"/>
        </w:tabs>
        <w:spacing w:line="360" w:lineRule="auto"/>
        <w:rPr>
          <w:sz w:val="24"/>
        </w:rPr>
      </w:pPr>
      <w:r>
        <w:rPr>
          <w:rFonts w:hint="eastAsia"/>
          <w:sz w:val="24"/>
        </w:rPr>
        <w:t xml:space="preserve">小企业规模类型自测小程序，在国务院客户端和工业和信息化部网站上均有链接，投标 </w:t>
      </w:r>
    </w:p>
    <w:p w14:paraId="786D70AE">
      <w:pPr>
        <w:tabs>
          <w:tab w:val="left" w:pos="5580"/>
        </w:tabs>
        <w:spacing w:line="360" w:lineRule="auto"/>
        <w:rPr>
          <w:sz w:val="24"/>
        </w:rPr>
      </w:pPr>
      <w:r>
        <w:rPr>
          <w:rFonts w:hint="eastAsia"/>
          <w:sz w:val="24"/>
        </w:rPr>
        <w:t xml:space="preserve">人填写所属的行业和指标数据可自动生成企业规模类型测试结果。本项目中小企业划分 </w:t>
      </w:r>
    </w:p>
    <w:p w14:paraId="157D675F">
      <w:pPr>
        <w:tabs>
          <w:tab w:val="left" w:pos="5580"/>
        </w:tabs>
        <w:spacing w:line="360" w:lineRule="auto"/>
        <w:rPr>
          <w:sz w:val="24"/>
        </w:rPr>
      </w:pPr>
      <w:r>
        <w:rPr>
          <w:rFonts w:hint="eastAsia"/>
          <w:sz w:val="24"/>
        </w:rPr>
        <w:t xml:space="preserve">标准所属行业详见第二章《投标人须知资料表》，如在该程序中未找到本项目文件规定 </w:t>
      </w:r>
    </w:p>
    <w:p w14:paraId="06D953FF">
      <w:pPr>
        <w:tabs>
          <w:tab w:val="left" w:pos="5580"/>
        </w:tabs>
        <w:spacing w:line="360" w:lineRule="auto"/>
        <w:rPr>
          <w:sz w:val="24"/>
        </w:rPr>
      </w:pPr>
      <w:r>
        <w:rPr>
          <w:rFonts w:hint="eastAsia"/>
          <w:sz w:val="24"/>
        </w:rPr>
        <w:t xml:space="preserve">的中小企业划分标准所属行业，则按照《关于印发中小企业划型标准规定的通知（工信 </w:t>
      </w:r>
    </w:p>
    <w:p w14:paraId="0F564A9C">
      <w:pPr>
        <w:tabs>
          <w:tab w:val="left" w:pos="5580"/>
        </w:tabs>
        <w:spacing w:line="360" w:lineRule="auto"/>
        <w:rPr>
          <w:sz w:val="24"/>
        </w:rPr>
      </w:pPr>
      <w:r>
        <w:rPr>
          <w:rFonts w:hint="eastAsia"/>
          <w:sz w:val="24"/>
        </w:rPr>
        <w:t>部联企业﹝2011﹞</w:t>
      </w:r>
      <w:r>
        <w:rPr>
          <w:sz w:val="24"/>
        </w:rPr>
        <w:t xml:space="preserve">300 </w:t>
      </w:r>
      <w:r>
        <w:rPr>
          <w:rFonts w:hint="eastAsia"/>
          <w:sz w:val="24"/>
        </w:rPr>
        <w:t xml:space="preserve">号）》及本项目文件规定的中小企业划分标准所属行业执行。 </w:t>
      </w:r>
    </w:p>
    <w:p w14:paraId="32733346">
      <w:pPr>
        <w:tabs>
          <w:tab w:val="left" w:pos="5580"/>
        </w:tabs>
        <w:spacing w:line="360" w:lineRule="auto"/>
        <w:rPr>
          <w:sz w:val="24"/>
        </w:rPr>
      </w:pPr>
    </w:p>
    <w:p w14:paraId="0F18CEFF">
      <w:pPr>
        <w:widowControl/>
        <w:jc w:val="center"/>
        <w:rPr>
          <w:b/>
          <w:bCs/>
          <w:color w:val="000000"/>
          <w:sz w:val="36"/>
          <w:szCs w:val="36"/>
        </w:rPr>
      </w:pPr>
      <w:r>
        <w:rPr>
          <w:b/>
          <w:bCs/>
          <w:color w:val="000000"/>
          <w:sz w:val="24"/>
        </w:rPr>
        <w:br w:type="page"/>
      </w:r>
      <w:r>
        <w:rPr>
          <w:b/>
          <w:bCs/>
          <w:color w:val="000000"/>
          <w:sz w:val="36"/>
          <w:szCs w:val="36"/>
        </w:rPr>
        <w:t>中小企业声明函（工程、服务）格式</w:t>
      </w:r>
    </w:p>
    <w:p w14:paraId="5808A937">
      <w:pPr>
        <w:pStyle w:val="30"/>
      </w:pPr>
    </w:p>
    <w:p w14:paraId="1555F927">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5BB2778">
      <w:pPr>
        <w:numPr>
          <w:ilvl w:val="0"/>
          <w:numId w:val="25"/>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w:t>
      </w:r>
      <w:r>
        <w:rPr>
          <w:rFonts w:hint="eastAsia"/>
          <w:i/>
          <w:kern w:val="0"/>
          <w:sz w:val="24"/>
          <w:u w:val="single" w:color="000000"/>
        </w:rPr>
        <w:t>项目名称</w:t>
      </w:r>
      <w:r>
        <w:rPr>
          <w:i/>
          <w:kern w:val="0"/>
          <w:sz w:val="24"/>
          <w:u w:val="single" w:color="000000"/>
        </w:rPr>
        <w:t>）</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rPr>
        <w:t>（中型企业、小型企业、微型企业）</w:t>
      </w:r>
      <w:r>
        <w:rPr>
          <w:kern w:val="0"/>
          <w:sz w:val="24"/>
        </w:rPr>
        <w:t>；</w:t>
      </w:r>
    </w:p>
    <w:p w14:paraId="14B62B45">
      <w:pPr>
        <w:numPr>
          <w:ilvl w:val="0"/>
          <w:numId w:val="25"/>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w:t>
      </w:r>
      <w:r>
        <w:rPr>
          <w:rFonts w:hint="eastAsia"/>
          <w:i/>
          <w:kern w:val="0"/>
          <w:sz w:val="24"/>
          <w:u w:val="single" w:color="000000"/>
        </w:rPr>
        <w:t>项目名称</w:t>
      </w:r>
      <w:r>
        <w:rPr>
          <w:i/>
          <w:kern w:val="0"/>
          <w:sz w:val="24"/>
          <w:u w:val="single" w:color="000000"/>
        </w:rPr>
        <w:t>）</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0F4FF2B6">
      <w:pPr>
        <w:autoSpaceDE w:val="0"/>
        <w:autoSpaceDN w:val="0"/>
        <w:spacing w:line="360" w:lineRule="auto"/>
        <w:ind w:left="860"/>
        <w:jc w:val="left"/>
        <w:rPr>
          <w:kern w:val="0"/>
          <w:sz w:val="24"/>
        </w:rPr>
      </w:pPr>
      <w:r>
        <w:rPr>
          <w:kern w:val="0"/>
          <w:sz w:val="24"/>
        </w:rPr>
        <w:t>……</w:t>
      </w:r>
    </w:p>
    <w:p w14:paraId="62D23D04">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4988CCFD">
      <w:pPr>
        <w:spacing w:line="360" w:lineRule="auto"/>
        <w:ind w:firstLine="504"/>
        <w:rPr>
          <w:spacing w:val="6"/>
          <w:sz w:val="24"/>
        </w:rPr>
      </w:pPr>
      <w:r>
        <w:rPr>
          <w:kern w:val="0"/>
          <w:sz w:val="24"/>
        </w:rPr>
        <w:t>本企业对上述声明内容的真实性负责。如有虚假，将依法承担相应责任。</w:t>
      </w:r>
    </w:p>
    <w:p w14:paraId="3854378A">
      <w:pPr>
        <w:spacing w:line="360" w:lineRule="auto"/>
        <w:ind w:firstLine="504"/>
        <w:rPr>
          <w:spacing w:val="6"/>
          <w:sz w:val="24"/>
        </w:rPr>
      </w:pPr>
    </w:p>
    <w:p w14:paraId="16C68816">
      <w:pPr>
        <w:spacing w:line="360" w:lineRule="auto"/>
        <w:ind w:right="360" w:firstLine="480"/>
        <w:jc w:val="right"/>
        <w:rPr>
          <w:color w:val="000000"/>
          <w:sz w:val="24"/>
        </w:rPr>
      </w:pPr>
    </w:p>
    <w:p w14:paraId="68751EF6">
      <w:pPr>
        <w:spacing w:line="360" w:lineRule="auto"/>
        <w:ind w:right="360" w:firstLine="480"/>
        <w:jc w:val="right"/>
        <w:rPr>
          <w:color w:val="000000"/>
          <w:sz w:val="24"/>
        </w:rPr>
      </w:pPr>
      <w:r>
        <w:rPr>
          <w:color w:val="000000"/>
          <w:sz w:val="24"/>
        </w:rPr>
        <w:t>企业名称（盖章）：________</w:t>
      </w:r>
    </w:p>
    <w:p w14:paraId="3D3F3290">
      <w:pPr>
        <w:spacing w:line="360" w:lineRule="auto"/>
        <w:ind w:right="360" w:firstLine="480"/>
        <w:jc w:val="right"/>
        <w:rPr>
          <w:color w:val="000000"/>
          <w:sz w:val="24"/>
        </w:rPr>
      </w:pPr>
      <w:r>
        <w:rPr>
          <w:color w:val="000000"/>
          <w:sz w:val="24"/>
        </w:rPr>
        <w:t>日 期：________</w:t>
      </w:r>
    </w:p>
    <w:p w14:paraId="0BACE563">
      <w:pPr>
        <w:spacing w:line="360" w:lineRule="auto"/>
        <w:ind w:right="360" w:firstLine="480"/>
        <w:jc w:val="right"/>
        <w:rPr>
          <w:color w:val="000000"/>
          <w:sz w:val="24"/>
        </w:rPr>
      </w:pPr>
    </w:p>
    <w:p w14:paraId="18D83F01">
      <w:pPr>
        <w:adjustRightInd w:val="0"/>
        <w:snapToGrid w:val="0"/>
        <w:jc w:val="left"/>
        <w:rPr>
          <w:color w:val="000000"/>
          <w:sz w:val="24"/>
          <w:szCs w:val="21"/>
        </w:rPr>
      </w:pPr>
    </w:p>
    <w:tbl>
      <w:tblPr>
        <w:tblStyle w:val="4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2BF3272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030DD764">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4F797E23">
      <w:pPr>
        <w:adjustRightInd w:val="0"/>
        <w:snapToGrid w:val="0"/>
        <w:jc w:val="left"/>
        <w:rPr>
          <w:color w:val="000000"/>
          <w:szCs w:val="21"/>
          <w:vertAlign w:val="superscript"/>
        </w:rPr>
      </w:pPr>
    </w:p>
    <w:p w14:paraId="33E27CAB">
      <w:pPr>
        <w:spacing w:line="360" w:lineRule="auto"/>
        <w:ind w:right="360" w:firstLine="480"/>
        <w:jc w:val="right"/>
        <w:rPr>
          <w:color w:val="000000"/>
          <w:sz w:val="24"/>
        </w:rPr>
      </w:pPr>
    </w:p>
    <w:p w14:paraId="3605FA78">
      <w:pPr>
        <w:spacing w:line="360" w:lineRule="auto"/>
        <w:ind w:right="360" w:firstLine="480"/>
        <w:jc w:val="right"/>
        <w:rPr>
          <w:color w:val="000000"/>
          <w:sz w:val="24"/>
        </w:rPr>
      </w:pPr>
    </w:p>
    <w:p w14:paraId="4FE7D96B">
      <w:pPr>
        <w:spacing w:line="360" w:lineRule="auto"/>
        <w:rPr>
          <w:color w:val="000000"/>
          <w:sz w:val="24"/>
          <w:szCs w:val="20"/>
        </w:rPr>
      </w:pPr>
      <w:r>
        <w:rPr>
          <w:color w:val="000000"/>
          <w:sz w:val="24"/>
          <w:szCs w:val="20"/>
        </w:rPr>
        <w:br w:type="page"/>
      </w:r>
    </w:p>
    <w:p w14:paraId="08FFB462">
      <w:pPr>
        <w:spacing w:beforeLines="10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14:paraId="7228DF22">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（请进行勾选）</w:t>
      </w:r>
      <w:r>
        <w:rPr>
          <w:spacing w:val="6"/>
          <w:sz w:val="24"/>
        </w:rPr>
        <w:t>：</w:t>
      </w:r>
    </w:p>
    <w:p w14:paraId="085E3920">
      <w:pPr>
        <w:spacing w:line="588" w:lineRule="exact"/>
        <w:ind w:firstLine="482"/>
        <w:rPr>
          <w:b/>
          <w:spacing w:val="6"/>
          <w:sz w:val="24"/>
        </w:rPr>
      </w:pPr>
      <w:r>
        <w:rPr>
          <w:b/>
          <w:sz w:val="24"/>
        </w:rPr>
        <w:t>□</w:t>
      </w:r>
      <w:r>
        <w:rPr>
          <w:b/>
          <w:spacing w:val="6"/>
          <w:sz w:val="24"/>
        </w:rPr>
        <w:t>不属于符合条件的残疾人福利性单位。</w:t>
      </w:r>
    </w:p>
    <w:p w14:paraId="15D28B36">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4CA2CDFF">
      <w:pPr>
        <w:spacing w:line="588" w:lineRule="exact"/>
        <w:ind w:firstLine="506" w:firstLineChars="200"/>
        <w:rPr>
          <w:spacing w:val="6"/>
          <w:sz w:val="24"/>
        </w:rPr>
      </w:pPr>
      <w:r>
        <w:rPr>
          <w:b/>
          <w:spacing w:val="6"/>
          <w:sz w:val="24"/>
        </w:rPr>
        <w:t>本单位对上述声明的真实性负责。如有虚假，将依法承担相应责任。</w:t>
      </w:r>
    </w:p>
    <w:p w14:paraId="52DD3807">
      <w:pPr>
        <w:spacing w:line="588" w:lineRule="exact"/>
        <w:ind w:firstLine="504" w:firstLineChars="200"/>
        <w:rPr>
          <w:spacing w:val="6"/>
          <w:sz w:val="24"/>
        </w:rPr>
      </w:pPr>
    </w:p>
    <w:p w14:paraId="5100FDA3">
      <w:pPr>
        <w:spacing w:line="588" w:lineRule="exact"/>
        <w:ind w:firstLine="504" w:firstLineChars="200"/>
        <w:rPr>
          <w:spacing w:val="6"/>
          <w:sz w:val="24"/>
        </w:rPr>
      </w:pPr>
    </w:p>
    <w:p w14:paraId="05254711">
      <w:pPr>
        <w:tabs>
          <w:tab w:val="left" w:pos="4860"/>
        </w:tabs>
        <w:spacing w:line="588" w:lineRule="exact"/>
        <w:ind w:right="1560" w:firstLine="504" w:firstLineChars="200"/>
        <w:jc w:val="center"/>
        <w:rPr>
          <w:spacing w:val="6"/>
          <w:sz w:val="24"/>
        </w:rPr>
      </w:pPr>
      <w:r>
        <w:rPr>
          <w:spacing w:val="6"/>
          <w:sz w:val="24"/>
        </w:rPr>
        <w:t xml:space="preserve">               单位名称（盖章）：</w:t>
      </w:r>
    </w:p>
    <w:p w14:paraId="5D5D6817">
      <w:pPr>
        <w:tabs>
          <w:tab w:val="left" w:pos="4860"/>
        </w:tabs>
        <w:spacing w:line="588" w:lineRule="exact"/>
        <w:ind w:right="1560" w:firstLine="504" w:firstLineChars="200"/>
        <w:jc w:val="center"/>
        <w:rPr>
          <w:spacing w:val="6"/>
          <w:sz w:val="24"/>
        </w:rPr>
      </w:pPr>
      <w:r>
        <w:rPr>
          <w:spacing w:val="6"/>
          <w:sz w:val="24"/>
        </w:rPr>
        <w:t xml:space="preserve">       日  期：</w:t>
      </w:r>
    </w:p>
    <w:p w14:paraId="564F50E6">
      <w:pPr>
        <w:pStyle w:val="30"/>
        <w:rPr>
          <w:color w:val="000000"/>
          <w:sz w:val="24"/>
        </w:rPr>
      </w:pPr>
      <w:r>
        <w:rPr>
          <w:color w:val="000000"/>
        </w:rPr>
        <w:br w:type="page"/>
      </w:r>
    </w:p>
    <w:p w14:paraId="07DFF671">
      <w:pPr>
        <w:spacing w:line="360" w:lineRule="auto"/>
        <w:outlineLvl w:val="2"/>
        <w:rPr>
          <w:b/>
          <w:sz w:val="36"/>
          <w:szCs w:val="36"/>
        </w:rPr>
      </w:pPr>
      <w:r>
        <w:rPr>
          <w:rFonts w:hint="eastAsia"/>
          <w:color w:val="000000"/>
          <w:sz w:val="24"/>
          <w:szCs w:val="20"/>
        </w:rPr>
        <w:t>8</w:t>
      </w:r>
      <w:r>
        <w:rPr>
          <w:color w:val="000000"/>
          <w:sz w:val="24"/>
          <w:szCs w:val="20"/>
        </w:rPr>
        <w:t xml:space="preserve"> 招标文件要求提供或投标人认为应附的其他材料</w:t>
      </w:r>
    </w:p>
    <w:p w14:paraId="2F433FCB">
      <w:pPr>
        <w:pStyle w:val="19"/>
        <w:spacing w:before="308" w:line="242" w:lineRule="auto"/>
        <w:ind w:left="128" w:right="3784"/>
        <w:rPr>
          <w:spacing w:val="1"/>
        </w:rPr>
      </w:pPr>
      <w:r>
        <w:rPr>
          <w:rFonts w:hint="eastAsia"/>
          <w:spacing w:val="1"/>
        </w:rPr>
        <w:t>8</w:t>
      </w:r>
      <w:r>
        <w:rPr>
          <w:spacing w:val="1"/>
        </w:rPr>
        <w:t>-1 供应商信息采集表</w:t>
      </w:r>
    </w:p>
    <w:tbl>
      <w:tblPr>
        <w:tblStyle w:val="24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4BA96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1102F648">
            <w:pPr>
              <w:autoSpaceDE w:val="0"/>
              <w:autoSpaceDN w:val="0"/>
              <w:spacing w:before="43" w:line="195" w:lineRule="auto"/>
              <w:ind w:left="112"/>
              <w:rPr>
                <w:rFonts w:ascii="宋体" w:hAnsi="宋体"/>
                <w:spacing w:val="1"/>
                <w:sz w:val="24"/>
                <w:lang w:eastAsia="en-US"/>
              </w:rPr>
            </w:pPr>
            <w:r>
              <w:rPr>
                <w:rFonts w:ascii="宋体" w:hAnsi="宋体"/>
                <w:spacing w:val="1"/>
                <w:sz w:val="24"/>
                <w:lang w:eastAsia="en-US"/>
              </w:rPr>
              <w:t>供应商名称</w:t>
            </w:r>
          </w:p>
        </w:tc>
        <w:tc>
          <w:tcPr>
            <w:tcW w:w="3095" w:type="dxa"/>
          </w:tcPr>
          <w:p w14:paraId="21786EC1">
            <w:pPr>
              <w:autoSpaceDE w:val="0"/>
              <w:autoSpaceDN w:val="0"/>
              <w:spacing w:before="43" w:line="195" w:lineRule="auto"/>
              <w:ind w:left="109"/>
              <w:rPr>
                <w:rFonts w:ascii="宋体" w:hAnsi="宋体"/>
                <w:spacing w:val="1"/>
                <w:sz w:val="24"/>
                <w:lang w:eastAsia="en-US"/>
              </w:rPr>
            </w:pPr>
            <w:r>
              <w:rPr>
                <w:rFonts w:ascii="宋体" w:hAnsi="宋体"/>
                <w:spacing w:val="1"/>
                <w:sz w:val="24"/>
                <w:lang w:eastAsia="en-US"/>
              </w:rPr>
              <w:t>供应商所属性别</w:t>
            </w:r>
          </w:p>
        </w:tc>
        <w:tc>
          <w:tcPr>
            <w:tcW w:w="3098" w:type="dxa"/>
          </w:tcPr>
          <w:p w14:paraId="0DB6BFF6">
            <w:pPr>
              <w:autoSpaceDE w:val="0"/>
              <w:autoSpaceDN w:val="0"/>
              <w:spacing w:before="43" w:line="195" w:lineRule="auto"/>
              <w:ind w:left="110"/>
              <w:rPr>
                <w:rFonts w:ascii="宋体" w:hAnsi="宋体"/>
                <w:spacing w:val="1"/>
                <w:sz w:val="24"/>
                <w:lang w:eastAsia="en-US"/>
              </w:rPr>
            </w:pPr>
            <w:r>
              <w:rPr>
                <w:rFonts w:ascii="宋体" w:hAnsi="宋体"/>
                <w:spacing w:val="1"/>
                <w:sz w:val="24"/>
                <w:lang w:eastAsia="en-US"/>
              </w:rPr>
              <w:t>外商投资类型</w:t>
            </w:r>
          </w:p>
        </w:tc>
      </w:tr>
      <w:tr w14:paraId="040C0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022AC68B">
            <w:pPr>
              <w:autoSpaceDE w:val="0"/>
              <w:autoSpaceDN w:val="0"/>
              <w:spacing w:before="43" w:line="195" w:lineRule="auto"/>
              <w:ind w:left="112"/>
              <w:rPr>
                <w:rFonts w:ascii="宋体" w:hAnsi="宋体"/>
                <w:spacing w:val="1"/>
                <w:sz w:val="24"/>
                <w:lang w:eastAsia="en-US"/>
              </w:rPr>
            </w:pPr>
          </w:p>
        </w:tc>
        <w:tc>
          <w:tcPr>
            <w:tcW w:w="3095" w:type="dxa"/>
          </w:tcPr>
          <w:p w14:paraId="647E2C3A">
            <w:pPr>
              <w:autoSpaceDE w:val="0"/>
              <w:autoSpaceDN w:val="0"/>
              <w:spacing w:before="43" w:line="195" w:lineRule="auto"/>
              <w:ind w:left="109"/>
              <w:rPr>
                <w:rFonts w:ascii="宋体" w:hAnsi="宋体"/>
                <w:spacing w:val="1"/>
                <w:sz w:val="24"/>
                <w:lang w:eastAsia="en-US"/>
              </w:rPr>
            </w:pPr>
          </w:p>
        </w:tc>
        <w:tc>
          <w:tcPr>
            <w:tcW w:w="3098" w:type="dxa"/>
          </w:tcPr>
          <w:p w14:paraId="66D4A1CF">
            <w:pPr>
              <w:autoSpaceDE w:val="0"/>
              <w:autoSpaceDN w:val="0"/>
              <w:spacing w:before="43" w:line="195" w:lineRule="auto"/>
              <w:ind w:left="110"/>
              <w:rPr>
                <w:rFonts w:ascii="宋体" w:hAnsi="宋体"/>
                <w:spacing w:val="1"/>
                <w:sz w:val="24"/>
                <w:lang w:eastAsia="en-US"/>
              </w:rPr>
            </w:pPr>
          </w:p>
        </w:tc>
      </w:tr>
      <w:tr w14:paraId="43902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18F74187">
            <w:pPr>
              <w:autoSpaceDE w:val="0"/>
              <w:autoSpaceDN w:val="0"/>
              <w:spacing w:before="43" w:line="195" w:lineRule="auto"/>
              <w:ind w:left="112"/>
              <w:rPr>
                <w:rFonts w:ascii="宋体" w:hAnsi="宋体"/>
                <w:spacing w:val="1"/>
                <w:sz w:val="24"/>
                <w:lang w:eastAsia="en-US"/>
              </w:rPr>
            </w:pPr>
          </w:p>
        </w:tc>
        <w:tc>
          <w:tcPr>
            <w:tcW w:w="3095" w:type="dxa"/>
          </w:tcPr>
          <w:p w14:paraId="1B2CEBF8">
            <w:pPr>
              <w:autoSpaceDE w:val="0"/>
              <w:autoSpaceDN w:val="0"/>
              <w:spacing w:before="43" w:line="195" w:lineRule="auto"/>
              <w:ind w:left="109"/>
              <w:rPr>
                <w:rFonts w:ascii="宋体" w:hAnsi="宋体"/>
                <w:spacing w:val="1"/>
                <w:sz w:val="24"/>
                <w:lang w:eastAsia="en-US"/>
              </w:rPr>
            </w:pPr>
          </w:p>
        </w:tc>
        <w:tc>
          <w:tcPr>
            <w:tcW w:w="3098" w:type="dxa"/>
          </w:tcPr>
          <w:p w14:paraId="2F1F7300">
            <w:pPr>
              <w:autoSpaceDE w:val="0"/>
              <w:autoSpaceDN w:val="0"/>
              <w:spacing w:before="43" w:line="195" w:lineRule="auto"/>
              <w:ind w:left="110"/>
              <w:rPr>
                <w:rFonts w:ascii="宋体" w:hAnsi="宋体"/>
                <w:spacing w:val="1"/>
                <w:sz w:val="24"/>
                <w:lang w:eastAsia="en-US"/>
              </w:rPr>
            </w:pPr>
          </w:p>
        </w:tc>
      </w:tr>
      <w:tr w14:paraId="23F00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tcPr>
          <w:p w14:paraId="71AD377D">
            <w:pPr>
              <w:autoSpaceDE w:val="0"/>
              <w:autoSpaceDN w:val="0"/>
              <w:spacing w:before="43" w:line="195" w:lineRule="auto"/>
              <w:ind w:left="112"/>
              <w:rPr>
                <w:rFonts w:ascii="宋体" w:hAnsi="宋体"/>
                <w:spacing w:val="1"/>
                <w:sz w:val="24"/>
                <w:lang w:eastAsia="en-US"/>
              </w:rPr>
            </w:pPr>
          </w:p>
        </w:tc>
        <w:tc>
          <w:tcPr>
            <w:tcW w:w="3095" w:type="dxa"/>
          </w:tcPr>
          <w:p w14:paraId="31191B8D">
            <w:pPr>
              <w:autoSpaceDE w:val="0"/>
              <w:autoSpaceDN w:val="0"/>
              <w:spacing w:before="43" w:line="195" w:lineRule="auto"/>
              <w:ind w:left="109"/>
              <w:rPr>
                <w:rFonts w:ascii="宋体" w:hAnsi="宋体"/>
                <w:spacing w:val="1"/>
                <w:sz w:val="24"/>
                <w:lang w:eastAsia="en-US"/>
              </w:rPr>
            </w:pPr>
          </w:p>
        </w:tc>
        <w:tc>
          <w:tcPr>
            <w:tcW w:w="3098" w:type="dxa"/>
          </w:tcPr>
          <w:p w14:paraId="099F4C75">
            <w:pPr>
              <w:autoSpaceDE w:val="0"/>
              <w:autoSpaceDN w:val="0"/>
              <w:spacing w:before="43" w:line="195" w:lineRule="auto"/>
              <w:ind w:left="110"/>
              <w:rPr>
                <w:rFonts w:ascii="宋体" w:hAnsi="宋体"/>
                <w:spacing w:val="1"/>
                <w:sz w:val="24"/>
                <w:lang w:eastAsia="en-US"/>
              </w:rPr>
            </w:pPr>
          </w:p>
        </w:tc>
      </w:tr>
    </w:tbl>
    <w:p w14:paraId="65F4461F">
      <w:pPr>
        <w:pStyle w:val="19"/>
        <w:spacing w:before="39" w:line="200" w:lineRule="auto"/>
        <w:ind w:left="123"/>
        <w:rPr>
          <w:rFonts w:cs="宋体"/>
          <w:spacing w:val="-1"/>
        </w:rPr>
      </w:pPr>
    </w:p>
    <w:p w14:paraId="625BF767">
      <w:pPr>
        <w:pStyle w:val="19"/>
        <w:spacing w:before="39" w:line="200" w:lineRule="auto"/>
        <w:ind w:left="123"/>
        <w:rPr>
          <w:rFonts w:cs="宋体"/>
          <w:spacing w:val="-1"/>
        </w:rPr>
      </w:pPr>
    </w:p>
    <w:p w14:paraId="3D8D711F">
      <w:pPr>
        <w:pStyle w:val="19"/>
        <w:spacing w:before="39" w:line="360" w:lineRule="auto"/>
        <w:ind w:left="123"/>
        <w:rPr>
          <w:rFonts w:cs="宋体"/>
        </w:rPr>
      </w:pPr>
      <w:r>
        <w:rPr>
          <w:rFonts w:hint="eastAsia" w:cs="宋体"/>
          <w:spacing w:val="-1"/>
        </w:rPr>
        <w:t>注：</w:t>
      </w:r>
      <w:r>
        <w:rPr>
          <w:rFonts w:hint="eastAsia" w:cs="宋体"/>
          <w:spacing w:val="-29"/>
        </w:rPr>
        <w:t xml:space="preserve"> </w:t>
      </w:r>
      <w:r>
        <w:rPr>
          <w:rFonts w:hint="eastAsia" w:cs="宋体"/>
          <w:spacing w:val="-1"/>
        </w:rPr>
        <w:t>1.供应商如为联合体，则应填写联合体各成员信息。</w:t>
      </w:r>
    </w:p>
    <w:p w14:paraId="5C1DE13E">
      <w:pPr>
        <w:pStyle w:val="19"/>
        <w:spacing w:before="3" w:line="360" w:lineRule="auto"/>
        <w:ind w:left="118" w:right="36" w:firstLine="491"/>
        <w:rPr>
          <w:rFonts w:cs="宋体"/>
        </w:rPr>
      </w:pPr>
      <w:r>
        <w:rPr>
          <w:rFonts w:hint="eastAsia" w:cs="宋体"/>
          <w:spacing w:val="1"/>
        </w:rPr>
        <w:t>2.供应商所属性别请填写</w:t>
      </w:r>
      <w:r>
        <w:rPr>
          <w:rFonts w:hint="eastAsia" w:cs="宋体"/>
          <w:spacing w:val="-36"/>
        </w:rPr>
        <w:t xml:space="preserve"> </w:t>
      </w:r>
      <w:r>
        <w:rPr>
          <w:rFonts w:hint="eastAsia" w:cs="宋体"/>
          <w:spacing w:val="1"/>
        </w:rPr>
        <w:t>“男</w:t>
      </w:r>
      <w:r>
        <w:rPr>
          <w:rFonts w:hint="eastAsia" w:cs="宋体"/>
          <w:spacing w:val="-50"/>
        </w:rPr>
        <w:t xml:space="preserve"> </w:t>
      </w:r>
      <w:r>
        <w:rPr>
          <w:rFonts w:hint="eastAsia" w:cs="宋体"/>
          <w:spacing w:val="1"/>
        </w:rPr>
        <w:t>”或</w:t>
      </w:r>
      <w:r>
        <w:rPr>
          <w:rFonts w:hint="eastAsia" w:cs="宋体"/>
          <w:spacing w:val="-51"/>
        </w:rPr>
        <w:t xml:space="preserve"> </w:t>
      </w:r>
      <w:r>
        <w:rPr>
          <w:rFonts w:hint="eastAsia" w:cs="宋体"/>
          <w:spacing w:val="1"/>
        </w:rPr>
        <w:t>“女</w:t>
      </w:r>
      <w:r>
        <w:rPr>
          <w:rFonts w:hint="eastAsia" w:cs="宋体"/>
          <w:spacing w:val="-51"/>
        </w:rPr>
        <w:t xml:space="preserve"> </w:t>
      </w:r>
      <w:r>
        <w:rPr>
          <w:rFonts w:hint="eastAsia" w:cs="宋体"/>
          <w:spacing w:val="1"/>
        </w:rPr>
        <w:t>”，指拥有供应商 51%以上绝对所有权的性别；</w:t>
      </w:r>
      <w:r>
        <w:rPr>
          <w:rFonts w:hint="eastAsia" w:cs="宋体"/>
        </w:rPr>
        <w:t xml:space="preserve"> 绝对所有权拥有者可以是一个人，也可以是</w:t>
      </w:r>
      <w:r>
        <w:rPr>
          <w:rFonts w:hint="eastAsia" w:cs="宋体"/>
          <w:spacing w:val="-1"/>
        </w:rPr>
        <w:t>多人合计计算。</w:t>
      </w:r>
    </w:p>
    <w:p w14:paraId="127B202D">
      <w:pPr>
        <w:pStyle w:val="19"/>
        <w:spacing w:before="4" w:line="360" w:lineRule="auto"/>
        <w:ind w:left="611"/>
        <w:rPr>
          <w:rFonts w:cs="宋体"/>
        </w:rPr>
      </w:pPr>
      <w:r>
        <w:rPr>
          <w:rFonts w:hint="eastAsia" w:cs="宋体"/>
          <w:spacing w:val="3"/>
        </w:rPr>
        <w:t>3.外商投资类型请填写</w:t>
      </w:r>
      <w:r>
        <w:rPr>
          <w:rFonts w:hint="eastAsia" w:cs="宋体"/>
          <w:spacing w:val="-35"/>
        </w:rPr>
        <w:t xml:space="preserve"> </w:t>
      </w:r>
      <w:r>
        <w:rPr>
          <w:rFonts w:hint="eastAsia" w:cs="宋体"/>
          <w:spacing w:val="3"/>
        </w:rPr>
        <w:t>“外商单独投资</w:t>
      </w:r>
      <w:r>
        <w:rPr>
          <w:rFonts w:hint="eastAsia" w:cs="宋体"/>
          <w:spacing w:val="-50"/>
        </w:rPr>
        <w:t xml:space="preserve"> </w:t>
      </w:r>
      <w:r>
        <w:rPr>
          <w:rFonts w:hint="eastAsia" w:cs="宋体"/>
          <w:spacing w:val="3"/>
        </w:rPr>
        <w:t>”</w:t>
      </w:r>
      <w:r>
        <w:rPr>
          <w:rFonts w:hint="eastAsia" w:cs="宋体"/>
          <w:spacing w:val="-43"/>
        </w:rPr>
        <w:t xml:space="preserve"> </w:t>
      </w:r>
      <w:r>
        <w:rPr>
          <w:rFonts w:hint="eastAsia" w:cs="宋体"/>
          <w:spacing w:val="3"/>
        </w:rPr>
        <w:t>、“外商部分投资</w:t>
      </w:r>
      <w:r>
        <w:rPr>
          <w:rFonts w:hint="eastAsia" w:cs="宋体"/>
          <w:spacing w:val="-51"/>
        </w:rPr>
        <w:t xml:space="preserve"> </w:t>
      </w:r>
      <w:r>
        <w:rPr>
          <w:rFonts w:hint="eastAsia" w:cs="宋体"/>
          <w:spacing w:val="3"/>
        </w:rPr>
        <w:t>”或</w:t>
      </w:r>
      <w:r>
        <w:rPr>
          <w:rFonts w:hint="eastAsia" w:cs="宋体"/>
          <w:spacing w:val="-50"/>
        </w:rPr>
        <w:t xml:space="preserve"> </w:t>
      </w:r>
      <w:r>
        <w:rPr>
          <w:rFonts w:hint="eastAsia" w:cs="宋体"/>
          <w:spacing w:val="3"/>
        </w:rPr>
        <w:t>“</w:t>
      </w:r>
      <w:r>
        <w:rPr>
          <w:rFonts w:hint="eastAsia" w:cs="宋体"/>
          <w:spacing w:val="-36"/>
        </w:rPr>
        <w:t xml:space="preserve"> </w:t>
      </w:r>
      <w:r>
        <w:rPr>
          <w:rFonts w:hint="eastAsia" w:cs="宋体"/>
          <w:spacing w:val="3"/>
        </w:rPr>
        <w:t>内资</w:t>
      </w:r>
      <w:r>
        <w:rPr>
          <w:rFonts w:hint="eastAsia" w:cs="宋体"/>
          <w:spacing w:val="-51"/>
        </w:rPr>
        <w:t xml:space="preserve"> </w:t>
      </w:r>
      <w:r>
        <w:rPr>
          <w:rFonts w:hint="eastAsia" w:cs="宋体"/>
          <w:spacing w:val="3"/>
        </w:rPr>
        <w:t>”。</w:t>
      </w:r>
    </w:p>
    <w:p w14:paraId="26396781">
      <w:pPr>
        <w:widowControl/>
        <w:jc w:val="left"/>
        <w:rPr>
          <w:b/>
          <w:sz w:val="36"/>
          <w:szCs w:val="36"/>
        </w:rPr>
      </w:pPr>
    </w:p>
    <w:sectPr>
      <w:footerReference r:id="rId27" w:type="default"/>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4D1CD">
    <w:pPr>
      <w:pStyle w:val="3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7491C">
    <w:pPr>
      <w:pStyle w:val="3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600623">
                          <w:pPr>
                            <w:pStyle w:val="30"/>
                          </w:pPr>
                          <w:r>
                            <w:fldChar w:fldCharType="begin"/>
                          </w:r>
                          <w:r>
                            <w:instrText xml:space="preserve"> PAGE  \* MERGEFORMAT </w:instrText>
                          </w:r>
                          <w:r>
                            <w:fldChar w:fldCharType="separate"/>
                          </w:r>
                          <w:r>
                            <w:t>161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75600623">
                    <w:pPr>
                      <w:pStyle w:val="30"/>
                    </w:pPr>
                    <w:r>
                      <w:fldChar w:fldCharType="begin"/>
                    </w:r>
                    <w:r>
                      <w:instrText xml:space="preserve"> PAGE  \* MERGEFORMAT </w:instrText>
                    </w:r>
                    <w:r>
                      <w:fldChar w:fldCharType="separate"/>
                    </w:r>
                    <w:r>
                      <w:t>161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8A1FC">
    <w:pPr>
      <w:pStyle w:val="3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7DE79A">
                          <w:pPr>
                            <w:pStyle w:val="30"/>
                          </w:pPr>
                          <w:r>
                            <w:fldChar w:fldCharType="begin"/>
                          </w:r>
                          <w:r>
                            <w:instrText xml:space="preserve"> PAGE  \* MERGEFORMAT </w:instrText>
                          </w:r>
                          <w:r>
                            <w:fldChar w:fldCharType="separate"/>
                          </w:r>
                          <w:r>
                            <w:t>165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297DE79A">
                    <w:pPr>
                      <w:pStyle w:val="30"/>
                    </w:pPr>
                    <w:r>
                      <w:fldChar w:fldCharType="begin"/>
                    </w:r>
                    <w:r>
                      <w:instrText xml:space="preserve"> PAGE  \* MERGEFORMAT </w:instrText>
                    </w:r>
                    <w:r>
                      <w:fldChar w:fldCharType="separate"/>
                    </w:r>
                    <w:r>
                      <w:t>165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B730">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22026A11">
    <w:pPr>
      <w:pStyle w:val="30"/>
      <w:ind w:right="360"/>
    </w:pPr>
  </w:p>
  <w:p w14:paraId="58ED2B45"/>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30F51">
    <w:pPr>
      <w:pStyle w:val="3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2CE80">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8F3F33">
                          <w:pPr>
                            <w:pStyle w:val="30"/>
                          </w:pPr>
                          <w:r>
                            <w:fldChar w:fldCharType="begin"/>
                          </w:r>
                          <w:r>
                            <w:instrText xml:space="preserve"> PAGE  \* MERGEFORMAT </w:instrText>
                          </w:r>
                          <w:r>
                            <w:fldChar w:fldCharType="separate"/>
                          </w:r>
                          <w:r>
                            <w:t>172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2A8F3F33">
                    <w:pPr>
                      <w:pStyle w:val="30"/>
                    </w:pPr>
                    <w:r>
                      <w:fldChar w:fldCharType="begin"/>
                    </w:r>
                    <w:r>
                      <w:instrText xml:space="preserve"> PAGE  \* MERGEFORMAT </w:instrText>
                    </w:r>
                    <w:r>
                      <w:fldChar w:fldCharType="separate"/>
                    </w:r>
                    <w:r>
                      <w:t>172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9E512">
    <w:pPr>
      <w:spacing w:line="186" w:lineRule="auto"/>
      <w:ind w:left="4446"/>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6C54E7">
                          <w:pPr>
                            <w:pStyle w:val="30"/>
                          </w:pPr>
                          <w:r>
                            <w:fldChar w:fldCharType="begin"/>
                          </w:r>
                          <w:r>
                            <w:instrText xml:space="preserve"> PAGE  \* MERGEFORMAT </w:instrText>
                          </w:r>
                          <w:r>
                            <w:fldChar w:fldCharType="separate"/>
                          </w:r>
                          <w:r>
                            <w:t>181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196C54E7">
                    <w:pPr>
                      <w:pStyle w:val="30"/>
                    </w:pPr>
                    <w:r>
                      <w:fldChar w:fldCharType="begin"/>
                    </w:r>
                    <w:r>
                      <w:instrText xml:space="preserve"> PAGE  \* MERGEFORMAT </w:instrText>
                    </w:r>
                    <w:r>
                      <w:fldChar w:fldCharType="separate"/>
                    </w:r>
                    <w:r>
                      <w:t>181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095A">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472CD">
    <w:pPr>
      <w:pStyle w:val="30"/>
      <w:framePr w:wrap="around" w:vAnchor="text" w:hAnchor="margin" w:xAlign="right" w:y="1"/>
      <w:rPr>
        <w:rStyle w:val="50"/>
      </w:rPr>
    </w:pPr>
  </w:p>
  <w:p w14:paraId="3DA9E88E">
    <w:pPr>
      <w:pStyle w:val="30"/>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EF883">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9AF22">
    <w:pPr>
      <w:pStyle w:val="30"/>
      <w:framePr w:wrap="around" w:vAnchor="text" w:hAnchor="margin" w:xAlign="right" w:y="1"/>
      <w:rPr>
        <w:rStyle w:val="50"/>
      </w:rPr>
    </w:pPr>
  </w:p>
  <w:p w14:paraId="1537DFFE">
    <w:pPr>
      <w:pStyle w:val="30"/>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F2A7E">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1B51DF">
                          <w:pPr>
                            <w:pStyle w:val="3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F1B51DF">
                    <w:pPr>
                      <w:pStyle w:val="3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241D9">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24B0AD49">
    <w:pPr>
      <w:pStyle w:val="3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91A19">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1E690">
    <w:pPr>
      <w:spacing w:line="170" w:lineRule="auto"/>
      <w:ind w:left="4389"/>
      <w:rPr>
        <w:rFonts w:ascii="宋体" w:hAnsi="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F6F406">
                          <w:pPr>
                            <w:pStyle w:val="30"/>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57F6F406">
                    <w:pPr>
                      <w:pStyle w:val="30"/>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D941C">
    <w:pPr>
      <w:pStyle w:val="31"/>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09719">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C3C89">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76479">
    <w:pPr>
      <w:pStyle w:val="3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C100D">
    <w:pPr>
      <w:pStyle w:val="3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DA426">
    <w:pPr>
      <w:pStyle w:val="3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9BB5A">
    <w:pPr>
      <w:pStyle w:val="31"/>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002E3">
    <w:pPr>
      <w:pStyle w:val="31"/>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20011">
    <w:pPr>
      <w:pStyle w:val="31"/>
    </w:pPr>
  </w:p>
  <w:p w14:paraId="1CC7312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B844B">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B8490"/>
    <w:multiLevelType w:val="singleLevel"/>
    <w:tmpl w:val="89DB8490"/>
    <w:lvl w:ilvl="0" w:tentative="0">
      <w:start w:val="1"/>
      <w:numFmt w:val="decimalEnclosedCircleChinese"/>
      <w:suff w:val="nothing"/>
      <w:lvlText w:val="%1　"/>
      <w:lvlJc w:val="left"/>
      <w:pPr>
        <w:ind w:left="0" w:firstLine="400"/>
      </w:pPr>
      <w:rPr>
        <w:rFonts w:hint="eastAsia"/>
      </w:rPr>
    </w:lvl>
  </w:abstractNum>
  <w:abstractNum w:abstractNumId="1">
    <w:nsid w:val="A936DF6D"/>
    <w:multiLevelType w:val="singleLevel"/>
    <w:tmpl w:val="A936DF6D"/>
    <w:lvl w:ilvl="0" w:tentative="0">
      <w:start w:val="2"/>
      <w:numFmt w:val="decimal"/>
      <w:suff w:val="nothing"/>
      <w:lvlText w:val="%1、"/>
      <w:lvlJc w:val="left"/>
    </w:lvl>
  </w:abstractNum>
  <w:abstractNum w:abstractNumId="2">
    <w:nsid w:val="AC4E151C"/>
    <w:multiLevelType w:val="singleLevel"/>
    <w:tmpl w:val="AC4E151C"/>
    <w:lvl w:ilvl="0" w:tentative="0">
      <w:start w:val="4"/>
      <w:numFmt w:val="decimal"/>
      <w:suff w:val="nothing"/>
      <w:lvlText w:val="（%1）"/>
      <w:lvlJc w:val="left"/>
    </w:lvl>
  </w:abstractNum>
  <w:abstractNum w:abstractNumId="3">
    <w:nsid w:val="FA52EC04"/>
    <w:multiLevelType w:val="singleLevel"/>
    <w:tmpl w:val="FA52EC04"/>
    <w:lvl w:ilvl="0" w:tentative="0">
      <w:start w:val="2"/>
      <w:numFmt w:val="chineseCounting"/>
      <w:suff w:val="nothing"/>
      <w:lvlText w:val="%1、"/>
      <w:lvlJc w:val="left"/>
      <w:rPr>
        <w:rFonts w:hint="eastAsia"/>
      </w:rPr>
    </w:lvl>
  </w:abstractNum>
  <w:abstractNum w:abstractNumId="4">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5">
    <w:nsid w:val="0000000A"/>
    <w:multiLevelType w:val="multilevel"/>
    <w:tmpl w:val="0000000A"/>
    <w:lvl w:ilvl="0" w:tentative="0">
      <w:start w:val="1"/>
      <w:numFmt w:val="decimal"/>
      <w:pStyle w:val="11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D"/>
    <w:multiLevelType w:val="multilevel"/>
    <w:tmpl w:val="0000000D"/>
    <w:lvl w:ilvl="0" w:tentative="0">
      <w:start w:val="1"/>
      <w:numFmt w:val="lowerLetter"/>
      <w:pStyle w:val="18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00000013"/>
    <w:multiLevelType w:val="singleLevel"/>
    <w:tmpl w:val="00000013"/>
    <w:lvl w:ilvl="0" w:tentative="0">
      <w:start w:val="1"/>
      <w:numFmt w:val="decimal"/>
      <w:pStyle w:val="159"/>
      <w:lvlText w:val="%1."/>
      <w:lvlJc w:val="left"/>
      <w:pPr>
        <w:tabs>
          <w:tab w:val="left" w:pos="360"/>
        </w:tabs>
        <w:ind w:left="360" w:hanging="360"/>
      </w:pPr>
      <w:rPr>
        <w:rFonts w:hint="default"/>
      </w:rPr>
    </w:lvl>
  </w:abstractNum>
  <w:abstractNum w:abstractNumId="8">
    <w:nsid w:val="00000026"/>
    <w:multiLevelType w:val="multilevel"/>
    <w:tmpl w:val="00000026"/>
    <w:lvl w:ilvl="0" w:tentative="0">
      <w:start w:val="1"/>
      <w:numFmt w:val="decimal"/>
      <w:pStyle w:val="10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9">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0">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0000002F"/>
    <w:multiLevelType w:val="multilevel"/>
    <w:tmpl w:val="0000002F"/>
    <w:lvl w:ilvl="0" w:tentative="0">
      <w:start w:val="1"/>
      <w:numFmt w:val="decimal"/>
      <w:pStyle w:val="11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3">
    <w:nsid w:val="032A8299"/>
    <w:multiLevelType w:val="singleLevel"/>
    <w:tmpl w:val="032A8299"/>
    <w:lvl w:ilvl="0" w:tentative="0">
      <w:start w:val="10"/>
      <w:numFmt w:val="decimal"/>
      <w:suff w:val="nothing"/>
      <w:lvlText w:val="（%1）"/>
      <w:lvlJc w:val="left"/>
    </w:lvl>
  </w:abstractNum>
  <w:abstractNum w:abstractNumId="14">
    <w:nsid w:val="0E230849"/>
    <w:multiLevelType w:val="multilevel"/>
    <w:tmpl w:val="0E230849"/>
    <w:lvl w:ilvl="0" w:tentative="0">
      <w:start w:val="1"/>
      <w:numFmt w:val="decimal"/>
      <w:pStyle w:val="214"/>
      <w:lvlText w:val="%1"/>
      <w:lvlJc w:val="left"/>
      <w:pPr>
        <w:ind w:left="680" w:hanging="680"/>
      </w:pPr>
      <w:rPr>
        <w:rFonts w:hint="eastAsia" w:ascii="宋体" w:hAnsi="宋体" w:eastAsia="宋体"/>
      </w:rPr>
    </w:lvl>
    <w:lvl w:ilvl="1" w:tentative="0">
      <w:start w:val="1"/>
      <w:numFmt w:val="decimal"/>
      <w:pStyle w:val="215"/>
      <w:lvlText w:val="%1.%2"/>
      <w:lvlJc w:val="left"/>
      <w:pPr>
        <w:ind w:left="851" w:hanging="851"/>
      </w:pPr>
      <w:rPr>
        <w:rFonts w:hint="eastAsia" w:ascii="宋体" w:hAnsi="宋体" w:eastAsia="宋体"/>
        <w:color w:val="auto"/>
      </w:rPr>
    </w:lvl>
    <w:lvl w:ilvl="2" w:tentative="0">
      <w:start w:val="1"/>
      <w:numFmt w:val="decimal"/>
      <w:pStyle w:val="21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5">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2DEB5301"/>
    <w:multiLevelType w:val="singleLevel"/>
    <w:tmpl w:val="2DEB5301"/>
    <w:lvl w:ilvl="0" w:tentative="0">
      <w:start w:val="1"/>
      <w:numFmt w:val="decimal"/>
      <w:suff w:val="nothing"/>
      <w:lvlText w:val="（%1）"/>
      <w:lvlJc w:val="left"/>
    </w:lvl>
  </w:abstractNum>
  <w:abstractNum w:abstractNumId="18">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3AB4E490"/>
    <w:multiLevelType w:val="singleLevel"/>
    <w:tmpl w:val="3AB4E490"/>
    <w:lvl w:ilvl="0" w:tentative="0">
      <w:start w:val="2"/>
      <w:numFmt w:val="decimal"/>
      <w:suff w:val="space"/>
      <w:lvlText w:val="%1."/>
      <w:lvlJc w:val="left"/>
    </w:lvl>
  </w:abstractNum>
  <w:abstractNum w:abstractNumId="20">
    <w:nsid w:val="3B5B2E8A"/>
    <w:multiLevelType w:val="singleLevel"/>
    <w:tmpl w:val="3B5B2E8A"/>
    <w:lvl w:ilvl="0" w:tentative="0">
      <w:start w:val="1"/>
      <w:numFmt w:val="decimal"/>
      <w:suff w:val="nothing"/>
      <w:lvlText w:val="（%1）"/>
      <w:lvlJc w:val="left"/>
      <w:pPr>
        <w:ind w:left="-40"/>
      </w:pPr>
    </w:lvl>
  </w:abstractNum>
  <w:abstractNum w:abstractNumId="21">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3">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4">
    <w:nsid w:val="6E757565"/>
    <w:multiLevelType w:val="singleLevel"/>
    <w:tmpl w:val="6E757565"/>
    <w:lvl w:ilvl="0" w:tentative="0">
      <w:start w:val="1"/>
      <w:numFmt w:val="decimal"/>
      <w:lvlText w:val="(%1)"/>
      <w:lvlJc w:val="left"/>
      <w:pPr>
        <w:ind w:left="425" w:hanging="425"/>
      </w:pPr>
      <w:rPr>
        <w:rFonts w:hint="default"/>
      </w:rPr>
    </w:lvl>
  </w:abstractNum>
  <w:num w:numId="1">
    <w:abstractNumId w:val="8"/>
  </w:num>
  <w:num w:numId="2">
    <w:abstractNumId w:val="11"/>
  </w:num>
  <w:num w:numId="3">
    <w:abstractNumId w:val="5"/>
  </w:num>
  <w:num w:numId="4">
    <w:abstractNumId w:val="9"/>
  </w:num>
  <w:num w:numId="5">
    <w:abstractNumId w:val="7"/>
  </w:num>
  <w:num w:numId="6">
    <w:abstractNumId w:val="6"/>
  </w:num>
  <w:num w:numId="7">
    <w:abstractNumId w:val="14"/>
  </w:num>
  <w:num w:numId="8">
    <w:abstractNumId w:val="13"/>
  </w:num>
  <w:num w:numId="9">
    <w:abstractNumId w:val="10"/>
  </w:num>
  <w:num w:numId="10">
    <w:abstractNumId w:val="16"/>
  </w:num>
  <w:num w:numId="11">
    <w:abstractNumId w:val="4"/>
  </w:num>
  <w:num w:numId="12">
    <w:abstractNumId w:val="21"/>
  </w:num>
  <w:num w:numId="13">
    <w:abstractNumId w:val="15"/>
  </w:num>
  <w:num w:numId="14">
    <w:abstractNumId w:val="23"/>
  </w:num>
  <w:num w:numId="15">
    <w:abstractNumId w:val="3"/>
  </w:num>
  <w:num w:numId="16">
    <w:abstractNumId w:val="19"/>
  </w:num>
  <w:num w:numId="17">
    <w:abstractNumId w:val="17"/>
  </w:num>
  <w:num w:numId="18">
    <w:abstractNumId w:val="1"/>
  </w:num>
  <w:num w:numId="19">
    <w:abstractNumId w:val="0"/>
  </w:num>
  <w:num w:numId="20">
    <w:abstractNumId w:val="2"/>
  </w:num>
  <w:num w:numId="21">
    <w:abstractNumId w:val="20"/>
  </w:num>
  <w:num w:numId="22">
    <w:abstractNumId w:val="24"/>
  </w:num>
  <w:num w:numId="23">
    <w:abstractNumId w:val="18"/>
  </w:num>
  <w:num w:numId="24">
    <w:abstractNumId w:val="22"/>
  </w:num>
  <w:num w:numId="2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匕鬯不惊">
    <w15:presenceInfo w15:providerId="WPS Office" w15:userId="6956145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WI1YjY3MmE0MmE0MTQyYjg3Y2Y2ZGNiZmNlNGQxYz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3FD1"/>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2CC"/>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6C0"/>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0C"/>
    <w:rsid w:val="00032727"/>
    <w:rsid w:val="00032743"/>
    <w:rsid w:val="000328FF"/>
    <w:rsid w:val="00032B14"/>
    <w:rsid w:val="00032C55"/>
    <w:rsid w:val="00032E71"/>
    <w:rsid w:val="00033034"/>
    <w:rsid w:val="00033192"/>
    <w:rsid w:val="00033263"/>
    <w:rsid w:val="00033665"/>
    <w:rsid w:val="000337D2"/>
    <w:rsid w:val="00033A69"/>
    <w:rsid w:val="000340F3"/>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16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6ED"/>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0E5"/>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1E"/>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4FA"/>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CFE"/>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1C"/>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076"/>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C26"/>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84B"/>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5EC"/>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788"/>
    <w:rsid w:val="001948CB"/>
    <w:rsid w:val="00194C53"/>
    <w:rsid w:val="00194DE9"/>
    <w:rsid w:val="001950C6"/>
    <w:rsid w:val="0019525E"/>
    <w:rsid w:val="00195427"/>
    <w:rsid w:val="001954DF"/>
    <w:rsid w:val="00195A71"/>
    <w:rsid w:val="00195B1E"/>
    <w:rsid w:val="00195D3C"/>
    <w:rsid w:val="001961CE"/>
    <w:rsid w:val="00196296"/>
    <w:rsid w:val="001968D5"/>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6EA"/>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C7C"/>
    <w:rsid w:val="00204E72"/>
    <w:rsid w:val="00204FA5"/>
    <w:rsid w:val="00205CED"/>
    <w:rsid w:val="00205D16"/>
    <w:rsid w:val="00205F4E"/>
    <w:rsid w:val="00206410"/>
    <w:rsid w:val="00206722"/>
    <w:rsid w:val="00206A04"/>
    <w:rsid w:val="00206ACA"/>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47B"/>
    <w:rsid w:val="00227679"/>
    <w:rsid w:val="00227B21"/>
    <w:rsid w:val="00227BC9"/>
    <w:rsid w:val="00230A63"/>
    <w:rsid w:val="00230AEB"/>
    <w:rsid w:val="00230B42"/>
    <w:rsid w:val="00230CB0"/>
    <w:rsid w:val="00230CFB"/>
    <w:rsid w:val="00230EA6"/>
    <w:rsid w:val="0023108B"/>
    <w:rsid w:val="0023109B"/>
    <w:rsid w:val="002310C2"/>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8D6"/>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77F29"/>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90E"/>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3F8A"/>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59B"/>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832"/>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10"/>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4D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DF6"/>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01D"/>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06D"/>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CD2"/>
    <w:rsid w:val="00375F03"/>
    <w:rsid w:val="0037616A"/>
    <w:rsid w:val="0037621C"/>
    <w:rsid w:val="00376256"/>
    <w:rsid w:val="00376533"/>
    <w:rsid w:val="0037659D"/>
    <w:rsid w:val="003767B6"/>
    <w:rsid w:val="003769B4"/>
    <w:rsid w:val="00376A4B"/>
    <w:rsid w:val="00376B06"/>
    <w:rsid w:val="00376B49"/>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657"/>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453"/>
    <w:rsid w:val="003C6594"/>
    <w:rsid w:val="003C66FA"/>
    <w:rsid w:val="003C67C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28"/>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2AF"/>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83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5A3"/>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391"/>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A69"/>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C9"/>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625"/>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AE3"/>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1C"/>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EA0"/>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7A"/>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882"/>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072"/>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173"/>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60"/>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671"/>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4E8"/>
    <w:rsid w:val="00617613"/>
    <w:rsid w:val="00617B36"/>
    <w:rsid w:val="00620093"/>
    <w:rsid w:val="006202D7"/>
    <w:rsid w:val="006203E2"/>
    <w:rsid w:val="00620414"/>
    <w:rsid w:val="0062047E"/>
    <w:rsid w:val="006206D0"/>
    <w:rsid w:val="006207AE"/>
    <w:rsid w:val="00620976"/>
    <w:rsid w:val="00620C57"/>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3F15"/>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EE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C0E"/>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8F4"/>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539"/>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4FC"/>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2E6A"/>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1A"/>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EE"/>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804"/>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2F9"/>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3"/>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585"/>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33F"/>
    <w:rsid w:val="007867C5"/>
    <w:rsid w:val="007867D9"/>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CFD"/>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11"/>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2A2"/>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B66"/>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A38"/>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58B"/>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0E"/>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843"/>
    <w:rsid w:val="008B0A4C"/>
    <w:rsid w:val="008B0CCF"/>
    <w:rsid w:val="008B0CF7"/>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D0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7E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3CA"/>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85"/>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79B"/>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34D"/>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568"/>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491"/>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480"/>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5E2"/>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A8"/>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9B6"/>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54D"/>
    <w:rsid w:val="00982649"/>
    <w:rsid w:val="009828C1"/>
    <w:rsid w:val="00982AB7"/>
    <w:rsid w:val="00982C2F"/>
    <w:rsid w:val="00982E88"/>
    <w:rsid w:val="0098335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DC6"/>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789"/>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0B8"/>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AA4"/>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909"/>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9DF"/>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D9F"/>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807"/>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0B1"/>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3"/>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38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ECB"/>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0F3"/>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40"/>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438"/>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85C"/>
    <w:rsid w:val="00B24924"/>
    <w:rsid w:val="00B2492E"/>
    <w:rsid w:val="00B24C0A"/>
    <w:rsid w:val="00B24C8B"/>
    <w:rsid w:val="00B24E0C"/>
    <w:rsid w:val="00B24EB8"/>
    <w:rsid w:val="00B24EE1"/>
    <w:rsid w:val="00B250EA"/>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75"/>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654"/>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42D"/>
    <w:rsid w:val="00B8160D"/>
    <w:rsid w:val="00B816E8"/>
    <w:rsid w:val="00B819DA"/>
    <w:rsid w:val="00B81AED"/>
    <w:rsid w:val="00B81E2B"/>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A6"/>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6E99"/>
    <w:rsid w:val="00BD7023"/>
    <w:rsid w:val="00BD720C"/>
    <w:rsid w:val="00BD7317"/>
    <w:rsid w:val="00BD732A"/>
    <w:rsid w:val="00BD7F8E"/>
    <w:rsid w:val="00BE00B5"/>
    <w:rsid w:val="00BE02B3"/>
    <w:rsid w:val="00BE02F7"/>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CE"/>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78A"/>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780"/>
    <w:rsid w:val="00C468B8"/>
    <w:rsid w:val="00C46D4F"/>
    <w:rsid w:val="00C470B9"/>
    <w:rsid w:val="00C47118"/>
    <w:rsid w:val="00C473FF"/>
    <w:rsid w:val="00C47432"/>
    <w:rsid w:val="00C4764A"/>
    <w:rsid w:val="00C47885"/>
    <w:rsid w:val="00C47A6F"/>
    <w:rsid w:val="00C47D7C"/>
    <w:rsid w:val="00C47F39"/>
    <w:rsid w:val="00C47FE6"/>
    <w:rsid w:val="00C50321"/>
    <w:rsid w:val="00C50B26"/>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41C"/>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ADF"/>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550"/>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0A9"/>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AD"/>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28"/>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3DE0"/>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BAF"/>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C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7A"/>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AED"/>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BF"/>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043"/>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9BA"/>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4F77"/>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4BB"/>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5D6"/>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02"/>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2F"/>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79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2C"/>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6"/>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A4"/>
    <w:rsid w:val="00E90CB1"/>
    <w:rsid w:val="00E90E8B"/>
    <w:rsid w:val="00E90ECC"/>
    <w:rsid w:val="00E90FA8"/>
    <w:rsid w:val="00E90FB4"/>
    <w:rsid w:val="00E9104C"/>
    <w:rsid w:val="00E910A5"/>
    <w:rsid w:val="00E917E9"/>
    <w:rsid w:val="00E9181C"/>
    <w:rsid w:val="00E9191F"/>
    <w:rsid w:val="00E91A1A"/>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27"/>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D5E"/>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BE5"/>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9E"/>
    <w:rsid w:val="00ED12FF"/>
    <w:rsid w:val="00ED15F6"/>
    <w:rsid w:val="00ED1687"/>
    <w:rsid w:val="00ED16CF"/>
    <w:rsid w:val="00ED187E"/>
    <w:rsid w:val="00ED1BD9"/>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A5"/>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911"/>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0E21"/>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2BF"/>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601"/>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7FC"/>
    <w:rsid w:val="00F56875"/>
    <w:rsid w:val="00F56902"/>
    <w:rsid w:val="00F56990"/>
    <w:rsid w:val="00F569A9"/>
    <w:rsid w:val="00F56BB3"/>
    <w:rsid w:val="00F56E0C"/>
    <w:rsid w:val="00F57039"/>
    <w:rsid w:val="00F5709C"/>
    <w:rsid w:val="00F57232"/>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2"/>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90"/>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4EE"/>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8BA"/>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31"/>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4EA3"/>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6CE1"/>
    <w:rsid w:val="00FF7060"/>
    <w:rsid w:val="00FF7636"/>
    <w:rsid w:val="00FF765F"/>
    <w:rsid w:val="00FF7989"/>
    <w:rsid w:val="00FF7D03"/>
    <w:rsid w:val="01617766"/>
    <w:rsid w:val="01863B5B"/>
    <w:rsid w:val="0223765F"/>
    <w:rsid w:val="02306473"/>
    <w:rsid w:val="025A529E"/>
    <w:rsid w:val="0295277A"/>
    <w:rsid w:val="04DD389B"/>
    <w:rsid w:val="0580480E"/>
    <w:rsid w:val="05994970"/>
    <w:rsid w:val="05BB6053"/>
    <w:rsid w:val="079C0DE2"/>
    <w:rsid w:val="081735C8"/>
    <w:rsid w:val="08537052"/>
    <w:rsid w:val="088F599E"/>
    <w:rsid w:val="08A10B0E"/>
    <w:rsid w:val="08B66FA6"/>
    <w:rsid w:val="08FB693F"/>
    <w:rsid w:val="0989613F"/>
    <w:rsid w:val="09D17A16"/>
    <w:rsid w:val="0AA10705"/>
    <w:rsid w:val="0B660C1A"/>
    <w:rsid w:val="0B865355"/>
    <w:rsid w:val="0B871A12"/>
    <w:rsid w:val="0B9807AE"/>
    <w:rsid w:val="0CBFA5CB"/>
    <w:rsid w:val="0DA22505"/>
    <w:rsid w:val="0DEFAC52"/>
    <w:rsid w:val="11014C83"/>
    <w:rsid w:val="119F1EA5"/>
    <w:rsid w:val="12696BD2"/>
    <w:rsid w:val="13FF7E99"/>
    <w:rsid w:val="140908D1"/>
    <w:rsid w:val="141E46CC"/>
    <w:rsid w:val="143C4803"/>
    <w:rsid w:val="14A57229"/>
    <w:rsid w:val="151D58F6"/>
    <w:rsid w:val="15AC3C0A"/>
    <w:rsid w:val="163C166A"/>
    <w:rsid w:val="169E17A5"/>
    <w:rsid w:val="16C27353"/>
    <w:rsid w:val="16FD6AE2"/>
    <w:rsid w:val="170B69CA"/>
    <w:rsid w:val="177C5A5D"/>
    <w:rsid w:val="17F93E0B"/>
    <w:rsid w:val="186E4F84"/>
    <w:rsid w:val="193D46CA"/>
    <w:rsid w:val="1B784113"/>
    <w:rsid w:val="1C455CA5"/>
    <w:rsid w:val="1CEA7CE5"/>
    <w:rsid w:val="1D2C69D2"/>
    <w:rsid w:val="1EB13564"/>
    <w:rsid w:val="1EE9287C"/>
    <w:rsid w:val="1FFF36E4"/>
    <w:rsid w:val="1FFF7C78"/>
    <w:rsid w:val="200A269B"/>
    <w:rsid w:val="2094148D"/>
    <w:rsid w:val="20E70D1D"/>
    <w:rsid w:val="210C1A01"/>
    <w:rsid w:val="214E2B5A"/>
    <w:rsid w:val="22AA131F"/>
    <w:rsid w:val="239E00B4"/>
    <w:rsid w:val="24B338E1"/>
    <w:rsid w:val="24E57F07"/>
    <w:rsid w:val="25077A43"/>
    <w:rsid w:val="251E74A4"/>
    <w:rsid w:val="25480CB6"/>
    <w:rsid w:val="25C11EEE"/>
    <w:rsid w:val="25CE47EF"/>
    <w:rsid w:val="27843CE5"/>
    <w:rsid w:val="27E20788"/>
    <w:rsid w:val="27FE01F8"/>
    <w:rsid w:val="29FF3AFB"/>
    <w:rsid w:val="2A4B5CF6"/>
    <w:rsid w:val="2A82053D"/>
    <w:rsid w:val="2A840A03"/>
    <w:rsid w:val="2B2636BF"/>
    <w:rsid w:val="2B411548"/>
    <w:rsid w:val="2B6F5066"/>
    <w:rsid w:val="2BAC4B0C"/>
    <w:rsid w:val="2BC97038"/>
    <w:rsid w:val="2CA11A41"/>
    <w:rsid w:val="2CFA5433"/>
    <w:rsid w:val="2DE41CA7"/>
    <w:rsid w:val="2E2A34C6"/>
    <w:rsid w:val="2EC24767"/>
    <w:rsid w:val="2ECA17B2"/>
    <w:rsid w:val="2F261EE0"/>
    <w:rsid w:val="2F2665DF"/>
    <w:rsid w:val="2F5B602D"/>
    <w:rsid w:val="301C11B5"/>
    <w:rsid w:val="303A6DDF"/>
    <w:rsid w:val="306E3B3E"/>
    <w:rsid w:val="30A1738A"/>
    <w:rsid w:val="31DA4A4D"/>
    <w:rsid w:val="32454D73"/>
    <w:rsid w:val="32677380"/>
    <w:rsid w:val="327F502B"/>
    <w:rsid w:val="32CB5278"/>
    <w:rsid w:val="32EB653A"/>
    <w:rsid w:val="3333106F"/>
    <w:rsid w:val="334078AF"/>
    <w:rsid w:val="335D5F5C"/>
    <w:rsid w:val="33D11FB6"/>
    <w:rsid w:val="342866FA"/>
    <w:rsid w:val="34342063"/>
    <w:rsid w:val="34481063"/>
    <w:rsid w:val="35A11704"/>
    <w:rsid w:val="35F04FF6"/>
    <w:rsid w:val="35FA7C22"/>
    <w:rsid w:val="36383817"/>
    <w:rsid w:val="37BA1D5F"/>
    <w:rsid w:val="37DC2DFC"/>
    <w:rsid w:val="37FF7C14"/>
    <w:rsid w:val="39715D2D"/>
    <w:rsid w:val="3B5D312D"/>
    <w:rsid w:val="3BB457F0"/>
    <w:rsid w:val="3BCB6780"/>
    <w:rsid w:val="3BF54D6F"/>
    <w:rsid w:val="3C361318"/>
    <w:rsid w:val="3CF24BA0"/>
    <w:rsid w:val="3D530111"/>
    <w:rsid w:val="3E722969"/>
    <w:rsid w:val="3EE576C2"/>
    <w:rsid w:val="3F17563E"/>
    <w:rsid w:val="3F8240C6"/>
    <w:rsid w:val="3FD15E98"/>
    <w:rsid w:val="402225A6"/>
    <w:rsid w:val="408D6BE0"/>
    <w:rsid w:val="40C10152"/>
    <w:rsid w:val="41C81F24"/>
    <w:rsid w:val="41E02A3D"/>
    <w:rsid w:val="41E30AE3"/>
    <w:rsid w:val="42621C94"/>
    <w:rsid w:val="42CD0A98"/>
    <w:rsid w:val="42CD2318"/>
    <w:rsid w:val="43043D8C"/>
    <w:rsid w:val="431A0C09"/>
    <w:rsid w:val="433A54E4"/>
    <w:rsid w:val="438D20D6"/>
    <w:rsid w:val="4391515C"/>
    <w:rsid w:val="43F22539"/>
    <w:rsid w:val="446B0669"/>
    <w:rsid w:val="45CB19F2"/>
    <w:rsid w:val="46273DC2"/>
    <w:rsid w:val="466B5AD5"/>
    <w:rsid w:val="46D25840"/>
    <w:rsid w:val="46DC75FC"/>
    <w:rsid w:val="480E2158"/>
    <w:rsid w:val="49D13DB2"/>
    <w:rsid w:val="49D265A2"/>
    <w:rsid w:val="4AF84B73"/>
    <w:rsid w:val="4B014574"/>
    <w:rsid w:val="4B65373A"/>
    <w:rsid w:val="4BC93B48"/>
    <w:rsid w:val="4C9170DB"/>
    <w:rsid w:val="4CE10790"/>
    <w:rsid w:val="4D00163A"/>
    <w:rsid w:val="4ED7D937"/>
    <w:rsid w:val="4F0F5BE3"/>
    <w:rsid w:val="505533A8"/>
    <w:rsid w:val="50882B58"/>
    <w:rsid w:val="51D00906"/>
    <w:rsid w:val="51DF36F1"/>
    <w:rsid w:val="52025453"/>
    <w:rsid w:val="52422029"/>
    <w:rsid w:val="52A55F09"/>
    <w:rsid w:val="53173882"/>
    <w:rsid w:val="540B10EF"/>
    <w:rsid w:val="54150149"/>
    <w:rsid w:val="546456F6"/>
    <w:rsid w:val="548D36F6"/>
    <w:rsid w:val="54F63F7F"/>
    <w:rsid w:val="55040901"/>
    <w:rsid w:val="556F3FB1"/>
    <w:rsid w:val="559717E8"/>
    <w:rsid w:val="56DF05DE"/>
    <w:rsid w:val="56E7F4E5"/>
    <w:rsid w:val="56F70118"/>
    <w:rsid w:val="57FC6189"/>
    <w:rsid w:val="58612C0E"/>
    <w:rsid w:val="58C30DD7"/>
    <w:rsid w:val="5A0804CD"/>
    <w:rsid w:val="5A804BC1"/>
    <w:rsid w:val="5AEE3497"/>
    <w:rsid w:val="5BF72108"/>
    <w:rsid w:val="5C294C3A"/>
    <w:rsid w:val="5C6F20EA"/>
    <w:rsid w:val="5C750147"/>
    <w:rsid w:val="5CE04D59"/>
    <w:rsid w:val="5DF0073E"/>
    <w:rsid w:val="5E455888"/>
    <w:rsid w:val="5E581806"/>
    <w:rsid w:val="5F073306"/>
    <w:rsid w:val="5F5F73B9"/>
    <w:rsid w:val="5F7D6915"/>
    <w:rsid w:val="5F9A4680"/>
    <w:rsid w:val="5FAF06C8"/>
    <w:rsid w:val="5FD13294"/>
    <w:rsid w:val="60C11962"/>
    <w:rsid w:val="619E3FDC"/>
    <w:rsid w:val="61EB4FEA"/>
    <w:rsid w:val="65F33C78"/>
    <w:rsid w:val="66405E8D"/>
    <w:rsid w:val="67FD51CC"/>
    <w:rsid w:val="67FEC80E"/>
    <w:rsid w:val="6838144E"/>
    <w:rsid w:val="685A617B"/>
    <w:rsid w:val="68AA7398"/>
    <w:rsid w:val="68F86023"/>
    <w:rsid w:val="691D372D"/>
    <w:rsid w:val="69BB3B99"/>
    <w:rsid w:val="6A0D48B8"/>
    <w:rsid w:val="6A125288"/>
    <w:rsid w:val="6A6432E1"/>
    <w:rsid w:val="6A770DE6"/>
    <w:rsid w:val="6B795186"/>
    <w:rsid w:val="6C0040E9"/>
    <w:rsid w:val="6CB57F46"/>
    <w:rsid w:val="6CBF6494"/>
    <w:rsid w:val="6CF9F561"/>
    <w:rsid w:val="6D53421F"/>
    <w:rsid w:val="6DB043D4"/>
    <w:rsid w:val="6DE52BC9"/>
    <w:rsid w:val="6E6935BC"/>
    <w:rsid w:val="6EF70BC7"/>
    <w:rsid w:val="6F97D24A"/>
    <w:rsid w:val="6F9938FE"/>
    <w:rsid w:val="6FFE885E"/>
    <w:rsid w:val="704C7286"/>
    <w:rsid w:val="70526301"/>
    <w:rsid w:val="7088621A"/>
    <w:rsid w:val="708B143B"/>
    <w:rsid w:val="709345C1"/>
    <w:rsid w:val="715225CD"/>
    <w:rsid w:val="71E909FE"/>
    <w:rsid w:val="721D23F9"/>
    <w:rsid w:val="72D44F01"/>
    <w:rsid w:val="732D08E8"/>
    <w:rsid w:val="73EF7628"/>
    <w:rsid w:val="742C597A"/>
    <w:rsid w:val="743744D3"/>
    <w:rsid w:val="74621BBF"/>
    <w:rsid w:val="74E973E4"/>
    <w:rsid w:val="7665169E"/>
    <w:rsid w:val="768B7C34"/>
    <w:rsid w:val="770E6AAE"/>
    <w:rsid w:val="77A967D7"/>
    <w:rsid w:val="77D276A3"/>
    <w:rsid w:val="782E6709"/>
    <w:rsid w:val="79F7AA82"/>
    <w:rsid w:val="7A3852AB"/>
    <w:rsid w:val="7A456C8B"/>
    <w:rsid w:val="7AFD49C5"/>
    <w:rsid w:val="7B787C1E"/>
    <w:rsid w:val="7B827006"/>
    <w:rsid w:val="7BC506FF"/>
    <w:rsid w:val="7BD7758B"/>
    <w:rsid w:val="7BDF8420"/>
    <w:rsid w:val="7BF52BC3"/>
    <w:rsid w:val="7C3E1BE4"/>
    <w:rsid w:val="7DB71A0E"/>
    <w:rsid w:val="7DBF3AF5"/>
    <w:rsid w:val="7DEF9A99"/>
    <w:rsid w:val="7E062BD5"/>
    <w:rsid w:val="7E5C4E19"/>
    <w:rsid w:val="7E5F220C"/>
    <w:rsid w:val="7E742771"/>
    <w:rsid w:val="7EB625EF"/>
    <w:rsid w:val="7EDC4BA6"/>
    <w:rsid w:val="7EEB5927"/>
    <w:rsid w:val="7EFCC85D"/>
    <w:rsid w:val="7F686F78"/>
    <w:rsid w:val="7F97D7F2"/>
    <w:rsid w:val="7FD413B0"/>
    <w:rsid w:val="7FE75530"/>
    <w:rsid w:val="7FED87D9"/>
    <w:rsid w:val="7FFF0C1F"/>
    <w:rsid w:val="97AC1628"/>
    <w:rsid w:val="9BFE6723"/>
    <w:rsid w:val="A6FEB8E8"/>
    <w:rsid w:val="A7EBE032"/>
    <w:rsid w:val="B7D7DBA5"/>
    <w:rsid w:val="B85FDB83"/>
    <w:rsid w:val="BE7A2F6F"/>
    <w:rsid w:val="BECF2EBB"/>
    <w:rsid w:val="C1BF7C39"/>
    <w:rsid w:val="C4BD4666"/>
    <w:rsid w:val="DAEFF1AE"/>
    <w:rsid w:val="DAF67373"/>
    <w:rsid w:val="DC7C6527"/>
    <w:rsid w:val="DEE73C2B"/>
    <w:rsid w:val="EBA7250A"/>
    <w:rsid w:val="EDFF1E69"/>
    <w:rsid w:val="EF7CB3D9"/>
    <w:rsid w:val="EFBF3EC7"/>
    <w:rsid w:val="F56D3908"/>
    <w:rsid w:val="F6FF9A60"/>
    <w:rsid w:val="F77FD041"/>
    <w:rsid w:val="F7E7B72A"/>
    <w:rsid w:val="F7FFA9AE"/>
    <w:rsid w:val="F9F3A651"/>
    <w:rsid w:val="FAFCCE76"/>
    <w:rsid w:val="FEB7B089"/>
    <w:rsid w:val="FF7F5F80"/>
    <w:rsid w:val="FFF98A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6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6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63"/>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64"/>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66"/>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6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table of authorities"/>
    <w:basedOn w:val="1"/>
    <w:next w:val="1"/>
    <w:unhideWhenUsed/>
    <w:qFormat/>
    <w:uiPriority w:val="99"/>
    <w:pPr>
      <w:ind w:left="420" w:leftChars="200"/>
    </w:pPr>
  </w:style>
  <w:style w:type="paragraph" w:styleId="13">
    <w:name w:val="Normal Indent"/>
    <w:basedOn w:val="1"/>
    <w:link w:val="62"/>
    <w:qFormat/>
    <w:uiPriority w:val="0"/>
    <w:pPr>
      <w:autoSpaceDE w:val="0"/>
      <w:autoSpaceDN w:val="0"/>
      <w:adjustRightInd w:val="0"/>
      <w:ind w:firstLine="420"/>
      <w:jc w:val="left"/>
    </w:pPr>
    <w:rPr>
      <w:rFonts w:ascii="宋体"/>
      <w:sz w:val="24"/>
    </w:r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9"/>
    <w:qFormat/>
    <w:uiPriority w:val="0"/>
    <w:pPr>
      <w:shd w:val="clear" w:color="auto" w:fill="000080"/>
    </w:pPr>
  </w:style>
  <w:style w:type="paragraph" w:styleId="16">
    <w:name w:val="toa heading"/>
    <w:basedOn w:val="1"/>
    <w:next w:val="1"/>
    <w:qFormat/>
    <w:uiPriority w:val="0"/>
    <w:pPr>
      <w:spacing w:before="120"/>
    </w:pPr>
    <w:rPr>
      <w:rFonts w:ascii="Arial" w:hAnsi="Arial"/>
      <w:sz w:val="24"/>
    </w:rPr>
  </w:style>
  <w:style w:type="paragraph" w:styleId="17">
    <w:name w:val="annotation text"/>
    <w:basedOn w:val="1"/>
    <w:link w:val="70"/>
    <w:qFormat/>
    <w:uiPriority w:val="99"/>
    <w:pPr>
      <w:jc w:val="left"/>
    </w:pPr>
  </w:style>
  <w:style w:type="paragraph" w:styleId="18">
    <w:name w:val="Body Text 3"/>
    <w:basedOn w:val="1"/>
    <w:link w:val="71"/>
    <w:qFormat/>
    <w:uiPriority w:val="0"/>
    <w:pPr>
      <w:spacing w:after="120"/>
    </w:pPr>
    <w:rPr>
      <w:sz w:val="16"/>
      <w:szCs w:val="16"/>
    </w:rPr>
  </w:style>
  <w:style w:type="paragraph" w:styleId="19">
    <w:name w:val="Body Text"/>
    <w:basedOn w:val="1"/>
    <w:link w:val="72"/>
    <w:qFormat/>
    <w:uiPriority w:val="0"/>
    <w:pPr>
      <w:tabs>
        <w:tab w:val="left" w:pos="567"/>
      </w:tabs>
      <w:spacing w:before="120" w:line="22" w:lineRule="atLeast"/>
    </w:pPr>
    <w:rPr>
      <w:rFonts w:ascii="宋体" w:hAnsi="宋体"/>
      <w:sz w:val="24"/>
    </w:rPr>
  </w:style>
  <w:style w:type="paragraph" w:styleId="20">
    <w:name w:val="Body Text Indent"/>
    <w:basedOn w:val="1"/>
    <w:link w:val="73"/>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74"/>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75"/>
    <w:qFormat/>
    <w:uiPriority w:val="0"/>
    <w:pPr>
      <w:ind w:left="100" w:leftChars="2500"/>
    </w:pPr>
    <w:rPr>
      <w:rFonts w:ascii="仿宋_GB2312" w:hAnsi="宋体" w:eastAsia="仿宋_GB2312"/>
      <w:color w:val="000000"/>
      <w:sz w:val="24"/>
    </w:rPr>
  </w:style>
  <w:style w:type="paragraph" w:styleId="28">
    <w:name w:val="Body Text Indent 2"/>
    <w:basedOn w:val="1"/>
    <w:link w:val="76"/>
    <w:qFormat/>
    <w:uiPriority w:val="0"/>
    <w:pPr>
      <w:ind w:firstLine="480" w:firstLineChars="200"/>
    </w:pPr>
    <w:rPr>
      <w:rFonts w:ascii="仿宋_GB2312" w:eastAsia="仿宋_GB2312"/>
      <w:sz w:val="24"/>
    </w:rPr>
  </w:style>
  <w:style w:type="paragraph" w:styleId="29">
    <w:name w:val="Balloon Text"/>
    <w:basedOn w:val="1"/>
    <w:link w:val="77"/>
    <w:qFormat/>
    <w:uiPriority w:val="0"/>
    <w:rPr>
      <w:sz w:val="18"/>
      <w:szCs w:val="18"/>
    </w:rPr>
  </w:style>
  <w:style w:type="paragraph" w:styleId="30">
    <w:name w:val="footer"/>
    <w:basedOn w:val="1"/>
    <w:link w:val="5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7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next w:val="1"/>
    <w:link w:val="81"/>
    <w:qFormat/>
    <w:uiPriority w:val="0"/>
    <w:pPr>
      <w:jc w:val="center"/>
      <w:outlineLvl w:val="0"/>
    </w:pPr>
    <w:rPr>
      <w:b/>
      <w:sz w:val="32"/>
      <w:szCs w:val="20"/>
    </w:rPr>
  </w:style>
  <w:style w:type="paragraph" w:styleId="42">
    <w:name w:val="annotation subject"/>
    <w:basedOn w:val="17"/>
    <w:next w:val="17"/>
    <w:link w:val="82"/>
    <w:qFormat/>
    <w:uiPriority w:val="0"/>
    <w:rPr>
      <w:b/>
      <w:bCs/>
    </w:rPr>
  </w:style>
  <w:style w:type="paragraph" w:styleId="43">
    <w:name w:val="Body Text First Indent"/>
    <w:basedOn w:val="19"/>
    <w:qFormat/>
    <w:uiPriority w:val="0"/>
    <w:pPr>
      <w:ind w:firstLine="420" w:firstLineChars="100"/>
    </w:pPr>
  </w:style>
  <w:style w:type="paragraph" w:styleId="44">
    <w:name w:val="Body Text First Indent 2"/>
    <w:basedOn w:val="20"/>
    <w:link w:val="84"/>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character" w:customStyle="1" w:styleId="56">
    <w:name w:val="标题 3 Char"/>
    <w:qFormat/>
    <w:uiPriority w:val="0"/>
    <w:rPr>
      <w:rFonts w:ascii="宋体" w:eastAsia="宋体"/>
      <w:b/>
      <w:sz w:val="24"/>
      <w:u w:val="single"/>
      <w:lang w:val="en-US" w:eastAsia="zh-CN" w:bidi="ar-SA"/>
    </w:rPr>
  </w:style>
  <w:style w:type="character" w:customStyle="1" w:styleId="57">
    <w:name w:val="标题 2 Char"/>
    <w:qFormat/>
    <w:uiPriority w:val="0"/>
    <w:rPr>
      <w:rFonts w:ascii="Arial" w:hAnsi="Arial" w:eastAsia="黑体"/>
      <w:b/>
      <w:sz w:val="30"/>
      <w:lang w:val="en-US" w:eastAsia="zh-CN" w:bidi="ar-SA"/>
    </w:rPr>
  </w:style>
  <w:style w:type="character" w:customStyle="1" w:styleId="58">
    <w:name w:val="页脚 Char1"/>
    <w:link w:val="30"/>
    <w:qFormat/>
    <w:uiPriority w:val="99"/>
    <w:rPr>
      <w:rFonts w:ascii="宋体" w:eastAsia="宋体"/>
      <w:sz w:val="18"/>
      <w:lang w:val="en-US" w:eastAsia="zh-CN" w:bidi="ar-SA"/>
    </w:rPr>
  </w:style>
  <w:style w:type="character" w:customStyle="1" w:styleId="59">
    <w:name w:val="标题 1 Char"/>
    <w:basedOn w:val="48"/>
    <w:link w:val="2"/>
    <w:qFormat/>
    <w:uiPriority w:val="0"/>
    <w:rPr>
      <w:rFonts w:ascii="宋体"/>
      <w:b/>
      <w:kern w:val="44"/>
      <w:sz w:val="32"/>
    </w:rPr>
  </w:style>
  <w:style w:type="character" w:customStyle="1" w:styleId="60">
    <w:name w:val="标题 2 Char1"/>
    <w:link w:val="3"/>
    <w:qFormat/>
    <w:uiPriority w:val="0"/>
    <w:rPr>
      <w:rFonts w:ascii="Arial" w:hAnsi="Arial" w:eastAsia="黑体"/>
      <w:b/>
      <w:sz w:val="30"/>
      <w:lang w:val="en-US" w:eastAsia="zh-CN" w:bidi="ar-SA"/>
    </w:rPr>
  </w:style>
  <w:style w:type="character" w:customStyle="1" w:styleId="61">
    <w:name w:val="标题 3 Char1"/>
    <w:link w:val="4"/>
    <w:qFormat/>
    <w:uiPriority w:val="0"/>
    <w:rPr>
      <w:rFonts w:ascii="宋体" w:eastAsia="宋体"/>
      <w:b/>
      <w:sz w:val="24"/>
      <w:u w:val="single"/>
      <w:lang w:val="en-US" w:eastAsia="zh-CN" w:bidi="ar-SA"/>
    </w:rPr>
  </w:style>
  <w:style w:type="character" w:customStyle="1" w:styleId="62">
    <w:name w:val="正文缩进 Char1"/>
    <w:link w:val="13"/>
    <w:qFormat/>
    <w:uiPriority w:val="0"/>
    <w:rPr>
      <w:rFonts w:ascii="宋体" w:eastAsia="宋体"/>
      <w:kern w:val="2"/>
      <w:sz w:val="24"/>
      <w:szCs w:val="24"/>
      <w:lang w:val="en-US" w:eastAsia="zh-CN" w:bidi="ar-SA"/>
    </w:rPr>
  </w:style>
  <w:style w:type="character" w:customStyle="1" w:styleId="63">
    <w:name w:val="标题 4 Char"/>
    <w:basedOn w:val="48"/>
    <w:link w:val="5"/>
    <w:qFormat/>
    <w:uiPriority w:val="0"/>
    <w:rPr>
      <w:rFonts w:ascii="Arial" w:hAnsi="Arial" w:eastAsia="黑体"/>
      <w:b/>
      <w:sz w:val="28"/>
    </w:rPr>
  </w:style>
  <w:style w:type="character" w:customStyle="1" w:styleId="64">
    <w:name w:val="标题 5 Char"/>
    <w:basedOn w:val="48"/>
    <w:link w:val="6"/>
    <w:qFormat/>
    <w:uiPriority w:val="0"/>
    <w:rPr>
      <w:b/>
      <w:sz w:val="28"/>
    </w:rPr>
  </w:style>
  <w:style w:type="character" w:customStyle="1" w:styleId="65">
    <w:name w:val="标题 6 Char"/>
    <w:basedOn w:val="48"/>
    <w:link w:val="7"/>
    <w:qFormat/>
    <w:uiPriority w:val="0"/>
    <w:rPr>
      <w:rFonts w:ascii="Arial" w:hAnsi="Arial" w:eastAsia="黑体"/>
      <w:b/>
      <w:sz w:val="24"/>
    </w:rPr>
  </w:style>
  <w:style w:type="character" w:customStyle="1" w:styleId="66">
    <w:name w:val="标题 7 Char"/>
    <w:basedOn w:val="48"/>
    <w:link w:val="8"/>
    <w:qFormat/>
    <w:uiPriority w:val="0"/>
    <w:rPr>
      <w:b/>
      <w:sz w:val="24"/>
    </w:rPr>
  </w:style>
  <w:style w:type="character" w:customStyle="1" w:styleId="67">
    <w:name w:val="标题 8 Char"/>
    <w:basedOn w:val="48"/>
    <w:link w:val="9"/>
    <w:qFormat/>
    <w:uiPriority w:val="0"/>
    <w:rPr>
      <w:rFonts w:ascii="Arial" w:hAnsi="Arial" w:eastAsia="黑体"/>
      <w:sz w:val="24"/>
    </w:rPr>
  </w:style>
  <w:style w:type="character" w:customStyle="1" w:styleId="68">
    <w:name w:val="标题 9 Char"/>
    <w:basedOn w:val="48"/>
    <w:link w:val="10"/>
    <w:qFormat/>
    <w:uiPriority w:val="0"/>
    <w:rPr>
      <w:rFonts w:ascii="Arial" w:hAnsi="Arial" w:eastAsia="黑体"/>
      <w:sz w:val="21"/>
    </w:rPr>
  </w:style>
  <w:style w:type="character" w:customStyle="1" w:styleId="69">
    <w:name w:val="文档结构图 Char"/>
    <w:basedOn w:val="48"/>
    <w:link w:val="15"/>
    <w:qFormat/>
    <w:uiPriority w:val="0"/>
    <w:rPr>
      <w:kern w:val="2"/>
      <w:sz w:val="21"/>
      <w:szCs w:val="24"/>
      <w:shd w:val="clear" w:color="auto" w:fill="000080"/>
    </w:rPr>
  </w:style>
  <w:style w:type="character" w:customStyle="1" w:styleId="70">
    <w:name w:val="批注文字 Char1"/>
    <w:link w:val="17"/>
    <w:qFormat/>
    <w:uiPriority w:val="99"/>
    <w:rPr>
      <w:kern w:val="2"/>
      <w:sz w:val="21"/>
      <w:szCs w:val="24"/>
    </w:rPr>
  </w:style>
  <w:style w:type="character" w:customStyle="1" w:styleId="71">
    <w:name w:val="正文文本 3 Char"/>
    <w:basedOn w:val="48"/>
    <w:link w:val="18"/>
    <w:qFormat/>
    <w:uiPriority w:val="0"/>
    <w:rPr>
      <w:kern w:val="2"/>
      <w:sz w:val="16"/>
      <w:szCs w:val="16"/>
    </w:rPr>
  </w:style>
  <w:style w:type="character" w:customStyle="1" w:styleId="72">
    <w:name w:val="正文文本 Char"/>
    <w:basedOn w:val="48"/>
    <w:link w:val="19"/>
    <w:qFormat/>
    <w:uiPriority w:val="0"/>
    <w:rPr>
      <w:rFonts w:ascii="宋体" w:hAnsi="宋体"/>
      <w:kern w:val="2"/>
      <w:sz w:val="24"/>
      <w:szCs w:val="24"/>
    </w:rPr>
  </w:style>
  <w:style w:type="character" w:customStyle="1" w:styleId="73">
    <w:name w:val="正文文本缩进 Char2"/>
    <w:link w:val="20"/>
    <w:qFormat/>
    <w:uiPriority w:val="0"/>
    <w:rPr>
      <w:rFonts w:eastAsia="宋体"/>
      <w:kern w:val="2"/>
      <w:sz w:val="24"/>
      <w:szCs w:val="24"/>
      <w:lang w:val="en-US" w:eastAsia="zh-CN" w:bidi="ar-SA"/>
    </w:rPr>
  </w:style>
  <w:style w:type="character" w:customStyle="1" w:styleId="74">
    <w:name w:val="纯文本 Char"/>
    <w:basedOn w:val="48"/>
    <w:link w:val="25"/>
    <w:qFormat/>
    <w:uiPriority w:val="0"/>
    <w:rPr>
      <w:rFonts w:hint="eastAsia" w:ascii="宋体" w:hAnsi="Courier New" w:eastAsia="宋体" w:cs="宋体"/>
      <w:kern w:val="2"/>
      <w:sz w:val="21"/>
    </w:rPr>
  </w:style>
  <w:style w:type="character" w:customStyle="1" w:styleId="75">
    <w:name w:val="日期 Char"/>
    <w:basedOn w:val="48"/>
    <w:link w:val="27"/>
    <w:qFormat/>
    <w:uiPriority w:val="0"/>
    <w:rPr>
      <w:rFonts w:ascii="仿宋_GB2312" w:hAnsi="宋体" w:eastAsia="仿宋_GB2312"/>
      <w:color w:val="000000"/>
      <w:kern w:val="2"/>
      <w:sz w:val="24"/>
      <w:szCs w:val="24"/>
    </w:rPr>
  </w:style>
  <w:style w:type="character" w:customStyle="1" w:styleId="76">
    <w:name w:val="正文文本缩进 2 Char"/>
    <w:basedOn w:val="48"/>
    <w:link w:val="28"/>
    <w:qFormat/>
    <w:uiPriority w:val="0"/>
    <w:rPr>
      <w:rFonts w:ascii="仿宋_GB2312" w:eastAsia="仿宋_GB2312"/>
      <w:kern w:val="2"/>
      <w:sz w:val="24"/>
      <w:szCs w:val="24"/>
    </w:rPr>
  </w:style>
  <w:style w:type="character" w:customStyle="1" w:styleId="77">
    <w:name w:val="批注框文本 Char"/>
    <w:basedOn w:val="48"/>
    <w:link w:val="29"/>
    <w:qFormat/>
    <w:uiPriority w:val="0"/>
    <w:rPr>
      <w:kern w:val="2"/>
      <w:sz w:val="18"/>
      <w:szCs w:val="18"/>
    </w:rPr>
  </w:style>
  <w:style w:type="character" w:customStyle="1" w:styleId="78">
    <w:name w:val="页眉 Char1"/>
    <w:link w:val="31"/>
    <w:qFormat/>
    <w:uiPriority w:val="0"/>
    <w:rPr>
      <w:rFonts w:eastAsia="宋体"/>
      <w:kern w:val="2"/>
      <w:sz w:val="18"/>
      <w:szCs w:val="18"/>
      <w:lang w:val="en-US" w:eastAsia="zh-CN" w:bidi="ar-SA"/>
    </w:rPr>
  </w:style>
  <w:style w:type="character" w:customStyle="1" w:styleId="79">
    <w:name w:val="正文文本缩进 3 Char"/>
    <w:basedOn w:val="48"/>
    <w:link w:val="35"/>
    <w:qFormat/>
    <w:uiPriority w:val="0"/>
    <w:rPr>
      <w:rFonts w:ascii="宋体"/>
      <w:sz w:val="24"/>
    </w:rPr>
  </w:style>
  <w:style w:type="character" w:customStyle="1" w:styleId="80">
    <w:name w:val="HTML 预设格式 Char"/>
    <w:basedOn w:val="48"/>
    <w:link w:val="38"/>
    <w:qFormat/>
    <w:uiPriority w:val="0"/>
    <w:rPr>
      <w:rFonts w:ascii="宋体" w:hAnsi="宋体" w:cs="宋体"/>
      <w:sz w:val="24"/>
      <w:szCs w:val="24"/>
    </w:rPr>
  </w:style>
  <w:style w:type="character" w:customStyle="1" w:styleId="81">
    <w:name w:val="标题 Char1"/>
    <w:link w:val="41"/>
    <w:qFormat/>
    <w:uiPriority w:val="0"/>
    <w:rPr>
      <w:b/>
      <w:kern w:val="2"/>
      <w:sz w:val="32"/>
    </w:rPr>
  </w:style>
  <w:style w:type="character" w:customStyle="1" w:styleId="82">
    <w:name w:val="批注主题 Char"/>
    <w:basedOn w:val="83"/>
    <w:link w:val="42"/>
    <w:qFormat/>
    <w:uiPriority w:val="0"/>
    <w:rPr>
      <w:rFonts w:ascii="Times New Roman" w:hAnsi="Times New Roman" w:eastAsia="宋体" w:cs="Times New Roman"/>
      <w:b/>
      <w:bCs/>
      <w:kern w:val="2"/>
      <w:sz w:val="21"/>
      <w:szCs w:val="24"/>
      <w:lang w:val="en-US" w:eastAsia="zh-CN" w:bidi="ar-SA"/>
    </w:rPr>
  </w:style>
  <w:style w:type="character" w:customStyle="1" w:styleId="83">
    <w:name w:val="批注文字 字符"/>
    <w:qFormat/>
    <w:uiPriority w:val="99"/>
    <w:rPr>
      <w:rFonts w:ascii="Times New Roman" w:hAnsi="Times New Roman" w:eastAsia="宋体" w:cs="Times New Roman"/>
      <w:sz w:val="24"/>
      <w:lang w:val="en-US" w:eastAsia="zh-CN" w:bidi="ar-SA"/>
    </w:rPr>
  </w:style>
  <w:style w:type="character" w:customStyle="1" w:styleId="84">
    <w:name w:val="正文首行缩进 2 Char"/>
    <w:basedOn w:val="73"/>
    <w:link w:val="44"/>
    <w:qFormat/>
    <w:uiPriority w:val="0"/>
    <w:rPr>
      <w:rFonts w:eastAsia="宋体"/>
      <w:kern w:val="2"/>
      <w:sz w:val="24"/>
      <w:szCs w:val="24"/>
      <w:lang w:val="en-US" w:eastAsia="zh-CN" w:bidi="ar-SA"/>
    </w:rPr>
  </w:style>
  <w:style w:type="character" w:customStyle="1" w:styleId="85">
    <w:name w:val="c21"/>
    <w:qFormat/>
    <w:uiPriority w:val="0"/>
    <w:rPr>
      <w:rFonts w:hint="default" w:ascii="ˎ̥" w:hAnsi="ˎ̥"/>
      <w:color w:val="000000"/>
      <w:sz w:val="20"/>
      <w:szCs w:val="20"/>
      <w:u w:val="none"/>
    </w:rPr>
  </w:style>
  <w:style w:type="character" w:customStyle="1" w:styleId="86">
    <w:name w:val="title4"/>
    <w:qFormat/>
    <w:uiPriority w:val="0"/>
    <w:rPr>
      <w:b/>
      <w:bCs/>
      <w:color w:val="1D87B3"/>
      <w:sz w:val="15"/>
      <w:szCs w:val="15"/>
    </w:rPr>
  </w:style>
  <w:style w:type="character" w:customStyle="1" w:styleId="87">
    <w:name w:val="标题 2 Char Char"/>
    <w:qFormat/>
    <w:uiPriority w:val="0"/>
    <w:rPr>
      <w:rFonts w:ascii="Arial" w:hAnsi="Arial" w:eastAsia="黑体"/>
      <w:b/>
      <w:bCs/>
      <w:kern w:val="2"/>
      <w:sz w:val="32"/>
      <w:szCs w:val="32"/>
      <w:lang w:val="en-US" w:eastAsia="zh-CN" w:bidi="ar-SA"/>
    </w:rPr>
  </w:style>
  <w:style w:type="character" w:customStyle="1" w:styleId="88">
    <w:name w:val="black1"/>
    <w:qFormat/>
    <w:uiPriority w:val="0"/>
    <w:rPr>
      <w:color w:val="000000"/>
    </w:rPr>
  </w:style>
  <w:style w:type="character" w:customStyle="1" w:styleId="89">
    <w:name w:val="street-address"/>
    <w:basedOn w:val="48"/>
    <w:qFormat/>
    <w:uiPriority w:val="0"/>
  </w:style>
  <w:style w:type="character" w:customStyle="1" w:styleId="90">
    <w:name w:val="locality"/>
    <w:basedOn w:val="48"/>
    <w:qFormat/>
    <w:uiPriority w:val="0"/>
  </w:style>
  <w:style w:type="character" w:customStyle="1" w:styleId="91">
    <w:name w:val="正文文本缩进 Char1"/>
    <w:link w:val="92"/>
    <w:qFormat/>
    <w:uiPriority w:val="0"/>
    <w:rPr>
      <w:rFonts w:ascii="宋体" w:hAnsi="宋体" w:eastAsia="宋体"/>
      <w:sz w:val="24"/>
      <w:szCs w:val="24"/>
      <w:lang w:bidi="ar-SA"/>
    </w:rPr>
  </w:style>
  <w:style w:type="paragraph" w:customStyle="1" w:styleId="92">
    <w:name w:val="正文文本缩进1"/>
    <w:basedOn w:val="1"/>
    <w:link w:val="91"/>
    <w:qFormat/>
    <w:uiPriority w:val="0"/>
    <w:pPr>
      <w:spacing w:line="480" w:lineRule="exact"/>
      <w:ind w:firstLine="480" w:firstLineChars="200"/>
    </w:pPr>
    <w:rPr>
      <w:rFonts w:ascii="宋体" w:hAnsi="宋体"/>
      <w:kern w:val="0"/>
      <w:sz w:val="24"/>
    </w:rPr>
  </w:style>
  <w:style w:type="character" w:customStyle="1" w:styleId="93">
    <w:name w:val="Char Char11"/>
    <w:qFormat/>
    <w:uiPriority w:val="0"/>
    <w:rPr>
      <w:rFonts w:ascii="宋体" w:eastAsia="宋体"/>
      <w:b/>
      <w:sz w:val="24"/>
      <w:u w:val="single"/>
      <w:lang w:val="en-US" w:eastAsia="zh-CN" w:bidi="ar-SA"/>
    </w:rPr>
  </w:style>
  <w:style w:type="character" w:customStyle="1" w:styleId="94">
    <w:name w:val="txt"/>
    <w:basedOn w:val="48"/>
    <w:qFormat/>
    <w:uiPriority w:val="0"/>
  </w:style>
  <w:style w:type="character" w:customStyle="1" w:styleId="95">
    <w:name w:val="正文缩进 Char Char"/>
    <w:link w:val="96"/>
    <w:qFormat/>
    <w:uiPriority w:val="0"/>
    <w:rPr>
      <w:rFonts w:ascii="宋体" w:eastAsia="宋体"/>
      <w:snapToGrid w:val="0"/>
      <w:color w:val="000000"/>
      <w:kern w:val="28"/>
      <w:sz w:val="28"/>
      <w:lang w:bidi="ar-SA"/>
    </w:rPr>
  </w:style>
  <w:style w:type="paragraph" w:customStyle="1" w:styleId="96">
    <w:name w:val="正文缩进1"/>
    <w:basedOn w:val="1"/>
    <w:link w:val="9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qFormat/>
    <w:uiPriority w:val="0"/>
    <w:rPr>
      <w:rFonts w:ascii="宋体" w:hAnsi="Courier New" w:eastAsia="宋体"/>
      <w:kern w:val="2"/>
      <w:sz w:val="21"/>
      <w:lang w:val="en-US" w:eastAsia="zh-CN" w:bidi="ar-SA"/>
    </w:rPr>
  </w:style>
  <w:style w:type="character" w:customStyle="1" w:styleId="98">
    <w:name w:val="chanpin1"/>
    <w:qFormat/>
    <w:uiPriority w:val="0"/>
    <w:rPr>
      <w:rFonts w:hint="default" w:ascii="ˎ̥" w:hAnsi="ˎ̥"/>
      <w:color w:val="000000"/>
      <w:sz w:val="20"/>
      <w:szCs w:val="20"/>
      <w:u w:val="none"/>
    </w:rPr>
  </w:style>
  <w:style w:type="character" w:customStyle="1" w:styleId="99">
    <w:name w:val="列出段落 Char1"/>
    <w:link w:val="100"/>
    <w:qFormat/>
    <w:uiPriority w:val="34"/>
    <w:rPr>
      <w:rFonts w:ascii="Calibri" w:hAnsi="Calibri" w:eastAsia="宋体"/>
      <w:kern w:val="2"/>
      <w:sz w:val="21"/>
      <w:szCs w:val="22"/>
      <w:lang w:val="en-US" w:eastAsia="zh-CN" w:bidi="ar-SA"/>
    </w:rPr>
  </w:style>
  <w:style w:type="paragraph" w:styleId="100">
    <w:name w:val="List Paragraph"/>
    <w:basedOn w:val="1"/>
    <w:link w:val="99"/>
    <w:qFormat/>
    <w:uiPriority w:val="34"/>
    <w:pPr>
      <w:ind w:firstLine="420" w:firstLineChars="200"/>
    </w:pPr>
    <w:rPr>
      <w:rFonts w:ascii="Calibri" w:hAnsi="Calibri"/>
      <w:szCs w:val="22"/>
    </w:rPr>
  </w:style>
  <w:style w:type="character" w:customStyle="1" w:styleId="101">
    <w:name w:val="标题 3 Char Char"/>
    <w:qFormat/>
    <w:uiPriority w:val="0"/>
    <w:rPr>
      <w:rFonts w:eastAsia="宋体"/>
      <w:b/>
      <w:bCs/>
      <w:kern w:val="2"/>
      <w:sz w:val="32"/>
      <w:szCs w:val="32"/>
      <w:lang w:val="en-US" w:eastAsia="zh-CN" w:bidi="ar-SA"/>
    </w:rPr>
  </w:style>
  <w:style w:type="character" w:customStyle="1" w:styleId="102">
    <w:name w:val="段1 Char"/>
    <w:qFormat/>
    <w:uiPriority w:val="0"/>
    <w:rPr>
      <w:rFonts w:ascii="宋体" w:eastAsia="宋体"/>
      <w:sz w:val="24"/>
      <w:lang w:val="en-US" w:eastAsia="zh-CN" w:bidi="ar-SA"/>
    </w:rPr>
  </w:style>
  <w:style w:type="character" w:customStyle="1" w:styleId="103">
    <w:name w:val="chanpin拷贝"/>
    <w:basedOn w:val="48"/>
    <w:qFormat/>
    <w:uiPriority w:val="0"/>
  </w:style>
  <w:style w:type="character" w:customStyle="1" w:styleId="104">
    <w:name w:val="纯文本 Char1"/>
    <w:qFormat/>
    <w:uiPriority w:val="0"/>
    <w:rPr>
      <w:rFonts w:ascii="宋体" w:hAnsi="Courier New" w:eastAsia="宋体"/>
      <w:kern w:val="2"/>
      <w:sz w:val="21"/>
      <w:lang w:val="en-US" w:eastAsia="zh-CN" w:bidi="ar-SA"/>
    </w:rPr>
  </w:style>
  <w:style w:type="character" w:customStyle="1" w:styleId="105">
    <w:name w:val="apple-style-span"/>
    <w:qFormat/>
    <w:uiPriority w:val="0"/>
    <w:rPr>
      <w:rFonts w:cs="Times New Roman"/>
    </w:rPr>
  </w:style>
  <w:style w:type="paragraph" w:customStyle="1" w:styleId="106">
    <w:name w:val="二级条标题"/>
    <w:basedOn w:val="10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7">
    <w:name w:val="一级条标题"/>
    <w:basedOn w:val="108"/>
    <w:next w:val="1"/>
    <w:qFormat/>
    <w:uiPriority w:val="0"/>
    <w:pPr>
      <w:numPr>
        <w:ilvl w:val="1"/>
      </w:numPr>
      <w:tabs>
        <w:tab w:val="left" w:pos="360"/>
        <w:tab w:val="left" w:pos="840"/>
      </w:tabs>
      <w:ind w:left="0" w:hanging="840"/>
      <w:outlineLvl w:val="1"/>
    </w:pPr>
  </w:style>
  <w:style w:type="paragraph" w:customStyle="1" w:styleId="108">
    <w:name w:val="章标题"/>
    <w:next w:val="1"/>
    <w:qFormat/>
    <w:uiPriority w:val="0"/>
    <w:pPr>
      <w:numPr>
        <w:ilvl w:val="0"/>
        <w:numId w:val="1"/>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0">
    <w:name w:val="字元 字元"/>
    <w:basedOn w:val="1"/>
    <w:qFormat/>
    <w:uiPriority w:val="0"/>
    <w:rPr>
      <w:rFonts w:ascii="Tahoma" w:hAnsi="Tahoma"/>
      <w:sz w:val="24"/>
      <w:szCs w:val="20"/>
    </w:rPr>
  </w:style>
  <w:style w:type="paragraph" w:customStyle="1" w:styleId="111">
    <w:name w:val="Char3 Char Char Char"/>
    <w:basedOn w:val="1"/>
    <w:qFormat/>
    <w:uiPriority w:val="0"/>
    <w:rPr>
      <w:rFonts w:ascii="Tahoma" w:hAnsi="Tahoma"/>
      <w:sz w:val="24"/>
      <w:szCs w:val="20"/>
    </w:rPr>
  </w:style>
  <w:style w:type="paragraph" w:customStyle="1" w:styleId="11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3">
    <w:name w:val="项目编号2"/>
    <w:basedOn w:val="114"/>
    <w:qFormat/>
    <w:uiPriority w:val="0"/>
    <w:pPr>
      <w:numPr>
        <w:numId w:val="2"/>
      </w:numPr>
    </w:pPr>
  </w:style>
  <w:style w:type="paragraph" w:customStyle="1" w:styleId="114">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5">
    <w:name w:val="图中文字"/>
    <w:basedOn w:val="1"/>
    <w:qFormat/>
    <w:uiPriority w:val="0"/>
    <w:pPr>
      <w:adjustRightInd w:val="0"/>
      <w:snapToGrid w:val="0"/>
      <w:spacing w:line="0" w:lineRule="atLeast"/>
      <w:jc w:val="center"/>
    </w:pPr>
    <w:rPr>
      <w:sz w:val="24"/>
      <w:szCs w:val="20"/>
    </w:rPr>
  </w:style>
  <w:style w:type="paragraph" w:customStyle="1" w:styleId="11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8">
    <w:name w:val="Char2"/>
    <w:basedOn w:val="1"/>
    <w:qFormat/>
    <w:uiPriority w:val="0"/>
    <w:rPr>
      <w:rFonts w:ascii="Tahoma" w:hAnsi="Tahoma"/>
      <w:sz w:val="24"/>
      <w:szCs w:val="20"/>
    </w:rPr>
  </w:style>
  <w:style w:type="paragraph" w:customStyle="1" w:styleId="11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8">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2">
    <w:name w:val="font8"/>
    <w:basedOn w:val="1"/>
    <w:qFormat/>
    <w:uiPriority w:val="0"/>
    <w:pPr>
      <w:widowControl/>
      <w:spacing w:before="100" w:beforeAutospacing="1" w:after="100" w:afterAutospacing="1"/>
      <w:jc w:val="left"/>
    </w:pPr>
    <w:rPr>
      <w:kern w:val="0"/>
      <w:sz w:val="36"/>
      <w:szCs w:val="36"/>
    </w:rPr>
  </w:style>
  <w:style w:type="paragraph" w:customStyle="1" w:styleId="133">
    <w:name w:val="Char"/>
    <w:basedOn w:val="1"/>
    <w:qFormat/>
    <w:uiPriority w:val="0"/>
    <w:pPr>
      <w:tabs>
        <w:tab w:val="left" w:pos="360"/>
      </w:tabs>
    </w:pPr>
    <w:rPr>
      <w:sz w:val="24"/>
    </w:rPr>
  </w:style>
  <w:style w:type="paragraph" w:customStyle="1" w:styleId="134">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7">
    <w:name w:val="Char Char1"/>
    <w:basedOn w:val="15"/>
    <w:qFormat/>
    <w:uiPriority w:val="0"/>
    <w:rPr>
      <w:rFonts w:ascii="Tahoma" w:hAnsi="Tahoma"/>
      <w:sz w:val="24"/>
    </w:rPr>
  </w:style>
  <w:style w:type="paragraph" w:customStyle="1" w:styleId="1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0">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2">
    <w:name w:val="Char1 Char Char Char1"/>
    <w:basedOn w:val="1"/>
    <w:qFormat/>
    <w:uiPriority w:val="0"/>
    <w:rPr>
      <w:rFonts w:ascii="Tahoma" w:hAnsi="Tahoma" w:cs="仿宋_GB2312"/>
      <w:sz w:val="24"/>
      <w:szCs w:val="28"/>
    </w:rPr>
  </w:style>
  <w:style w:type="paragraph" w:customStyle="1" w:styleId="143">
    <w:name w:val="四级条标题"/>
    <w:basedOn w:val="144"/>
    <w:next w:val="1"/>
    <w:qFormat/>
    <w:uiPriority w:val="0"/>
    <w:pPr>
      <w:numPr>
        <w:ilvl w:val="4"/>
      </w:numPr>
      <w:tabs>
        <w:tab w:val="left" w:pos="360"/>
        <w:tab w:val="left" w:pos="840"/>
      </w:tabs>
      <w:ind w:left="0" w:hanging="840"/>
      <w:outlineLvl w:val="4"/>
    </w:pPr>
  </w:style>
  <w:style w:type="paragraph" w:customStyle="1" w:styleId="144">
    <w:name w:val="三级条标题"/>
    <w:basedOn w:val="106"/>
    <w:next w:val="1"/>
    <w:qFormat/>
    <w:uiPriority w:val="0"/>
    <w:pPr>
      <w:numPr>
        <w:ilvl w:val="3"/>
        <w:numId w:val="1"/>
      </w:numPr>
      <w:ind w:left="0" w:hanging="840"/>
      <w:outlineLvl w:val="3"/>
    </w:pPr>
  </w:style>
  <w:style w:type="paragraph" w:customStyle="1" w:styleId="145">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6">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7">
    <w:name w:val="List Paragraph1"/>
    <w:basedOn w:val="1"/>
    <w:qFormat/>
    <w:uiPriority w:val="0"/>
    <w:pPr>
      <w:ind w:firstLine="420" w:firstLineChars="200"/>
    </w:pPr>
    <w:rPr>
      <w:rFonts w:ascii="Calibri" w:hAnsi="Calibri"/>
      <w:szCs w:val="22"/>
    </w:rPr>
  </w:style>
  <w:style w:type="paragraph" w:customStyle="1" w:styleId="148">
    <w:name w:val="项目符号1"/>
    <w:basedOn w:val="149"/>
    <w:qFormat/>
    <w:uiPriority w:val="0"/>
    <w:pPr>
      <w:ind w:left="-25" w:firstLine="0"/>
    </w:pPr>
  </w:style>
  <w:style w:type="paragraph" w:customStyle="1" w:styleId="149">
    <w:name w:val="正文文本样式"/>
    <w:basedOn w:val="1"/>
    <w:qFormat/>
    <w:uiPriority w:val="0"/>
    <w:pPr>
      <w:spacing w:line="360" w:lineRule="auto"/>
      <w:ind w:firstLine="482"/>
    </w:pPr>
    <w:rPr>
      <w:rFonts w:cs="宋体"/>
      <w:sz w:val="24"/>
      <w:szCs w:val="20"/>
    </w:rPr>
  </w:style>
  <w:style w:type="paragraph" w:customStyle="1" w:styleId="1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五级条标题"/>
    <w:basedOn w:val="143"/>
    <w:next w:val="1"/>
    <w:qFormat/>
    <w:uiPriority w:val="0"/>
    <w:pPr>
      <w:numPr>
        <w:ilvl w:val="5"/>
      </w:numPr>
      <w:ind w:left="0" w:hanging="840"/>
      <w:outlineLvl w:val="5"/>
    </w:pPr>
  </w:style>
  <w:style w:type="paragraph" w:customStyle="1" w:styleId="15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4">
    <w:name w:val="文档正文"/>
    <w:basedOn w:val="1"/>
    <w:qFormat/>
    <w:uiPriority w:val="0"/>
    <w:pPr>
      <w:snapToGrid w:val="0"/>
      <w:spacing w:before="120" w:after="120" w:line="180" w:lineRule="auto"/>
    </w:pPr>
    <w:rPr>
      <w:rFonts w:ascii="Arial" w:hAnsi="Arial"/>
      <w:szCs w:val="20"/>
    </w:rPr>
  </w:style>
  <w:style w:type="paragraph" w:customStyle="1" w:styleId="1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7">
    <w:name w:val="Char Char Char1 Char"/>
    <w:basedOn w:val="1"/>
    <w:qFormat/>
    <w:uiPriority w:val="0"/>
    <w:rPr>
      <w:rFonts w:ascii="Tahoma" w:hAnsi="Tahoma"/>
      <w:sz w:val="24"/>
      <w:szCs w:val="20"/>
    </w:rPr>
  </w:style>
  <w:style w:type="paragraph" w:customStyle="1" w:styleId="15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9">
    <w:name w:val="1名"/>
    <w:basedOn w:val="1"/>
    <w:qFormat/>
    <w:uiPriority w:val="0"/>
    <w:pPr>
      <w:numPr>
        <w:ilvl w:val="0"/>
        <w:numId w:val="5"/>
      </w:numPr>
      <w:spacing w:before="120"/>
    </w:pPr>
    <w:rPr>
      <w:rFonts w:ascii="宋体"/>
      <w:sz w:val="28"/>
      <w:szCs w:val="20"/>
    </w:rPr>
  </w:style>
  <w:style w:type="paragraph" w:customStyle="1" w:styleId="16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1">
    <w:name w:val="Char Char Char1 Char1"/>
    <w:basedOn w:val="1"/>
    <w:qFormat/>
    <w:uiPriority w:val="0"/>
    <w:rPr>
      <w:rFonts w:ascii="Tahoma" w:hAnsi="Tahoma"/>
      <w:sz w:val="24"/>
      <w:szCs w:val="20"/>
    </w:rPr>
  </w:style>
  <w:style w:type="paragraph" w:customStyle="1" w:styleId="162">
    <w:name w:val="Char Char Char Char Char Char Char Char Char Char"/>
    <w:basedOn w:val="1"/>
    <w:qFormat/>
    <w:uiPriority w:val="0"/>
  </w:style>
  <w:style w:type="paragraph" w:customStyle="1" w:styleId="16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Char1"/>
    <w:basedOn w:val="1"/>
    <w:qFormat/>
    <w:uiPriority w:val="0"/>
    <w:pPr>
      <w:tabs>
        <w:tab w:val="left" w:pos="360"/>
      </w:tabs>
    </w:pPr>
    <w:rPr>
      <w:sz w:val="24"/>
    </w:rPr>
  </w:style>
  <w:style w:type="paragraph" w:customStyle="1" w:styleId="16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8">
    <w:name w:val="默认段落字体 Para Char Char Char Char"/>
    <w:basedOn w:val="1"/>
    <w:qFormat/>
    <w:uiPriority w:val="0"/>
    <w:rPr>
      <w:rFonts w:ascii="Arial" w:hAnsi="Arial" w:cs="Arial"/>
      <w:szCs w:val="21"/>
    </w:rPr>
  </w:style>
  <w:style w:type="paragraph" w:customStyle="1" w:styleId="16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4">
    <w:name w:val="缺省文本"/>
    <w:basedOn w:val="1"/>
    <w:qFormat/>
    <w:uiPriority w:val="0"/>
    <w:pPr>
      <w:autoSpaceDE w:val="0"/>
      <w:autoSpaceDN w:val="0"/>
      <w:adjustRightInd w:val="0"/>
      <w:jc w:val="left"/>
    </w:pPr>
    <w:rPr>
      <w:kern w:val="0"/>
      <w:sz w:val="24"/>
    </w:rPr>
  </w:style>
  <w:style w:type="paragraph" w:customStyle="1" w:styleId="175">
    <w:name w:val="Char Char Char1"/>
    <w:basedOn w:val="1"/>
    <w:qFormat/>
    <w:uiPriority w:val="0"/>
    <w:rPr>
      <w:rFonts w:ascii="Tahoma" w:hAnsi="Tahoma"/>
      <w:sz w:val="24"/>
      <w:szCs w:val="20"/>
    </w:rPr>
  </w:style>
  <w:style w:type="paragraph" w:customStyle="1" w:styleId="17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8">
    <w:name w:val="样式2"/>
    <w:basedOn w:val="40"/>
    <w:qFormat/>
    <w:uiPriority w:val="0"/>
    <w:pPr>
      <w:spacing w:line="360" w:lineRule="auto"/>
      <w:jc w:val="center"/>
    </w:pPr>
    <w:rPr>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1">
    <w:name w:val="正文 + 楷体_GB2312"/>
    <w:basedOn w:val="1"/>
    <w:qFormat/>
    <w:uiPriority w:val="0"/>
    <w:pPr>
      <w:widowControl/>
      <w:jc w:val="left"/>
    </w:pPr>
    <w:rPr>
      <w:rFonts w:ascii="楷体_GB2312" w:eastAsia="楷体_GB2312" w:cs="Arial"/>
      <w:kern w:val="0"/>
      <w:sz w:val="24"/>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3">
    <w:name w:val="1 Char Char Char Char"/>
    <w:basedOn w:val="1"/>
    <w:qFormat/>
    <w:uiPriority w:val="0"/>
    <w:rPr>
      <w:rFonts w:ascii="Tahoma" w:hAnsi="Tahoma"/>
      <w:sz w:val="24"/>
      <w:szCs w:val="20"/>
    </w:rPr>
  </w:style>
  <w:style w:type="paragraph" w:customStyle="1" w:styleId="18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5">
    <w:name w:val="列出段落1"/>
    <w:basedOn w:val="1"/>
    <w:qFormat/>
    <w:uiPriority w:val="0"/>
    <w:pPr>
      <w:ind w:firstLine="420" w:firstLineChars="200"/>
    </w:pPr>
    <w:rPr>
      <w:rFonts w:ascii="Calibri" w:hAnsi="Calibri"/>
      <w:szCs w:val="22"/>
    </w:rPr>
  </w:style>
  <w:style w:type="paragraph" w:customStyle="1" w:styleId="186">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字元 字元1"/>
    <w:basedOn w:val="1"/>
    <w:qFormat/>
    <w:uiPriority w:val="0"/>
    <w:rPr>
      <w:rFonts w:ascii="Tahoma" w:hAnsi="Tahoma"/>
      <w:sz w:val="24"/>
      <w:szCs w:val="20"/>
    </w:rPr>
  </w:style>
  <w:style w:type="paragraph" w:customStyle="1" w:styleId="188">
    <w:name w:val="_Style 160"/>
    <w:qFormat/>
    <w:uiPriority w:val="0"/>
    <w:rPr>
      <w:rFonts w:ascii="Times New Roman" w:hAnsi="Times New Roman" w:eastAsia="宋体" w:cs="Times New Roman"/>
      <w:kern w:val="2"/>
      <w:sz w:val="21"/>
      <w:szCs w:val="24"/>
      <w:lang w:val="en-US" w:eastAsia="zh-CN" w:bidi="ar-SA"/>
    </w:rPr>
  </w:style>
  <w:style w:type="paragraph" w:customStyle="1" w:styleId="189">
    <w:name w:val="项目编号3"/>
    <w:basedOn w:val="149"/>
    <w:qFormat/>
    <w:uiPriority w:val="0"/>
    <w:pPr>
      <w:numPr>
        <w:ilvl w:val="0"/>
        <w:numId w:val="6"/>
      </w:numPr>
    </w:pPr>
  </w:style>
  <w:style w:type="paragraph" w:customStyle="1" w:styleId="190">
    <w:name w:val="Char21"/>
    <w:basedOn w:val="1"/>
    <w:qFormat/>
    <w:uiPriority w:val="0"/>
    <w:rPr>
      <w:rFonts w:ascii="Tahoma" w:hAnsi="Tahoma"/>
      <w:sz w:val="24"/>
      <w:szCs w:val="20"/>
    </w:rPr>
  </w:style>
  <w:style w:type="paragraph" w:customStyle="1" w:styleId="191">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92">
    <w:name w:val="Char Char Char Char Char Char Char Char Char Char1"/>
    <w:basedOn w:val="1"/>
    <w:qFormat/>
    <w:uiPriority w:val="0"/>
    <w:rPr>
      <w:rFonts w:ascii="宋体" w:hAnsi="宋体" w:cs="Courier New"/>
      <w:sz w:val="32"/>
      <w:szCs w:val="32"/>
    </w:rPr>
  </w:style>
  <w:style w:type="paragraph" w:customStyle="1" w:styleId="193">
    <w:name w:val="正文文本样式 加粗"/>
    <w:basedOn w:val="149"/>
    <w:qFormat/>
    <w:uiPriority w:val="0"/>
    <w:rPr>
      <w:b/>
    </w:rPr>
  </w:style>
  <w:style w:type="paragraph" w:customStyle="1" w:styleId="194">
    <w:name w:val="Char2 Char Char Char Char Char Char"/>
    <w:basedOn w:val="1"/>
    <w:qFormat/>
    <w:uiPriority w:val="0"/>
    <w:pPr>
      <w:widowControl/>
      <w:spacing w:line="400" w:lineRule="exact"/>
      <w:jc w:val="center"/>
    </w:pPr>
  </w:style>
  <w:style w:type="paragraph" w:customStyle="1" w:styleId="195">
    <w:name w:val="Char Char4"/>
    <w:basedOn w:val="1"/>
    <w:qFormat/>
    <w:uiPriority w:val="0"/>
    <w:pPr>
      <w:widowControl/>
      <w:spacing w:line="400" w:lineRule="exact"/>
      <w:jc w:val="center"/>
    </w:pPr>
  </w:style>
  <w:style w:type="paragraph" w:customStyle="1" w:styleId="196">
    <w:name w:val="Char3 Char Char Char1"/>
    <w:basedOn w:val="1"/>
    <w:qFormat/>
    <w:uiPriority w:val="0"/>
    <w:rPr>
      <w:rFonts w:ascii="Tahoma" w:hAnsi="Tahoma"/>
      <w:sz w:val="24"/>
      <w:szCs w:val="20"/>
    </w:rPr>
  </w:style>
  <w:style w:type="paragraph" w:styleId="19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9">
    <w:name w:val="中等深浅网格 1 - 强调文字颜色 2 Char"/>
    <w:link w:val="200"/>
    <w:qFormat/>
    <w:uiPriority w:val="0"/>
    <w:rPr>
      <w:kern w:val="2"/>
      <w:sz w:val="21"/>
      <w:szCs w:val="24"/>
      <w:lang w:val="zh-CN" w:eastAsia="zh-CN"/>
    </w:rPr>
  </w:style>
  <w:style w:type="paragraph" w:customStyle="1" w:styleId="200">
    <w:name w:val="1"/>
    <w:link w:val="199"/>
    <w:qFormat/>
    <w:uiPriority w:val="0"/>
    <w:rPr>
      <w:rFonts w:ascii="Times New Roman" w:hAnsi="Times New Roman" w:eastAsia="宋体" w:cs="Times New Roman"/>
      <w:kern w:val="2"/>
      <w:sz w:val="21"/>
      <w:szCs w:val="24"/>
      <w:lang w:val="zh-CN" w:eastAsia="zh-CN" w:bidi="ar-SA"/>
    </w:rPr>
  </w:style>
  <w:style w:type="paragraph" w:customStyle="1" w:styleId="201">
    <w:name w:val="图文"/>
    <w:basedOn w:val="1"/>
    <w:qFormat/>
    <w:uiPriority w:val="0"/>
    <w:pPr>
      <w:adjustRightInd w:val="0"/>
      <w:snapToGrid w:val="0"/>
      <w:spacing w:after="50" w:line="360" w:lineRule="auto"/>
    </w:pPr>
    <w:rPr>
      <w:sz w:val="24"/>
    </w:rPr>
  </w:style>
  <w:style w:type="paragraph" w:customStyle="1" w:styleId="202">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3">
    <w:name w:val="正文表格"/>
    <w:basedOn w:val="1"/>
    <w:link w:val="204"/>
    <w:qFormat/>
    <w:uiPriority w:val="0"/>
    <w:pPr>
      <w:adjustRightInd w:val="0"/>
      <w:snapToGrid w:val="0"/>
      <w:jc w:val="left"/>
    </w:pPr>
    <w:rPr>
      <w:rFonts w:ascii="宋体" w:hAnsi="宋体"/>
      <w:color w:val="000000"/>
      <w:szCs w:val="21"/>
    </w:rPr>
  </w:style>
  <w:style w:type="character" w:customStyle="1" w:styleId="204">
    <w:name w:val="正文表格 Char"/>
    <w:link w:val="203"/>
    <w:qFormat/>
    <w:uiPriority w:val="0"/>
    <w:rPr>
      <w:rFonts w:ascii="宋体" w:hAnsi="宋体"/>
      <w:color w:val="000000"/>
      <w:kern w:val="2"/>
      <w:sz w:val="21"/>
      <w:szCs w:val="21"/>
    </w:rPr>
  </w:style>
  <w:style w:type="paragraph" w:customStyle="1" w:styleId="205">
    <w:name w:val="正文重点"/>
    <w:basedOn w:val="1"/>
    <w:link w:val="206"/>
    <w:qFormat/>
    <w:uiPriority w:val="0"/>
    <w:pPr>
      <w:adjustRightInd w:val="0"/>
      <w:spacing w:line="360" w:lineRule="auto"/>
      <w:ind w:firstLine="482" w:firstLineChars="200"/>
      <w:jc w:val="left"/>
      <w:textAlignment w:val="baseline"/>
    </w:pPr>
    <w:rPr>
      <w:b/>
      <w:kern w:val="0"/>
      <w:sz w:val="24"/>
      <w:szCs w:val="20"/>
    </w:rPr>
  </w:style>
  <w:style w:type="character" w:customStyle="1" w:styleId="206">
    <w:name w:val="正文重点 Char"/>
    <w:link w:val="205"/>
    <w:qFormat/>
    <w:uiPriority w:val="0"/>
    <w:rPr>
      <w:b/>
      <w:sz w:val="24"/>
    </w:rPr>
  </w:style>
  <w:style w:type="paragraph" w:customStyle="1" w:styleId="207">
    <w:name w:val="标题1-附件"/>
    <w:basedOn w:val="2"/>
    <w:qFormat/>
    <w:uiPriority w:val="0"/>
    <w:pPr>
      <w:jc w:val="left"/>
    </w:pPr>
    <w:rPr>
      <w:sz w:val="24"/>
      <w:szCs w:val="24"/>
    </w:rPr>
  </w:style>
  <w:style w:type="paragraph" w:customStyle="1" w:styleId="208">
    <w:name w:val="正文小标题"/>
    <w:basedOn w:val="1"/>
    <w:next w:val="13"/>
    <w:link w:val="209"/>
    <w:qFormat/>
    <w:uiPriority w:val="0"/>
    <w:pPr>
      <w:adjustRightInd w:val="0"/>
      <w:snapToGrid w:val="0"/>
      <w:spacing w:beforeLines="100" w:afterLines="100"/>
      <w:ind w:firstLine="482"/>
      <w:jc w:val="left"/>
    </w:pPr>
    <w:rPr>
      <w:rFonts w:ascii="宋体" w:hAnsi="宋体"/>
      <w:b/>
      <w:i/>
      <w:color w:val="FF0000"/>
      <w:sz w:val="24"/>
      <w:szCs w:val="20"/>
    </w:rPr>
  </w:style>
  <w:style w:type="character" w:customStyle="1" w:styleId="209">
    <w:name w:val="正文小标题 Char"/>
    <w:link w:val="208"/>
    <w:qFormat/>
    <w:uiPriority w:val="0"/>
    <w:rPr>
      <w:rFonts w:ascii="宋体" w:hAnsi="宋体"/>
      <w:b/>
      <w:i/>
      <w:color w:val="FF0000"/>
      <w:kern w:val="2"/>
      <w:sz w:val="24"/>
    </w:rPr>
  </w:style>
  <w:style w:type="paragraph" w:customStyle="1" w:styleId="210">
    <w:name w:val="正文大标题"/>
    <w:basedOn w:val="208"/>
    <w:next w:val="13"/>
    <w:link w:val="211"/>
    <w:qFormat/>
    <w:uiPriority w:val="0"/>
    <w:pPr>
      <w:jc w:val="center"/>
    </w:pPr>
    <w:rPr>
      <w:i w:val="0"/>
      <w:color w:val="000000"/>
      <w:sz w:val="28"/>
      <w:szCs w:val="21"/>
    </w:rPr>
  </w:style>
  <w:style w:type="character" w:customStyle="1" w:styleId="211">
    <w:name w:val="正文大标题 Char"/>
    <w:link w:val="210"/>
    <w:qFormat/>
    <w:uiPriority w:val="0"/>
    <w:rPr>
      <w:rFonts w:ascii="宋体" w:hAnsi="宋体"/>
      <w:b/>
      <w:color w:val="000000"/>
      <w:kern w:val="2"/>
      <w:sz w:val="28"/>
      <w:szCs w:val="21"/>
    </w:rPr>
  </w:style>
  <w:style w:type="paragraph" w:customStyle="1" w:styleId="212">
    <w:name w:val="注释"/>
    <w:basedOn w:val="1"/>
    <w:link w:val="213"/>
    <w:qFormat/>
    <w:uiPriority w:val="0"/>
    <w:pPr>
      <w:adjustRightInd w:val="0"/>
      <w:snapToGrid w:val="0"/>
      <w:ind w:left="420" w:hanging="420" w:hangingChars="200"/>
      <w:jc w:val="left"/>
    </w:pPr>
    <w:rPr>
      <w:rFonts w:ascii="宋体" w:hAnsi="宋体"/>
      <w:szCs w:val="21"/>
    </w:rPr>
  </w:style>
  <w:style w:type="character" w:customStyle="1" w:styleId="213">
    <w:name w:val="注释 Char"/>
    <w:link w:val="212"/>
    <w:qFormat/>
    <w:uiPriority w:val="0"/>
    <w:rPr>
      <w:rFonts w:ascii="宋体" w:hAnsi="宋体"/>
      <w:kern w:val="2"/>
      <w:sz w:val="21"/>
      <w:szCs w:val="21"/>
    </w:rPr>
  </w:style>
  <w:style w:type="paragraph" w:customStyle="1" w:styleId="214">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5">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6">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7">
    <w:name w:val="纯文本 字符"/>
    <w:qFormat/>
    <w:uiPriority w:val="99"/>
    <w:rPr>
      <w:rFonts w:ascii="宋体" w:hAnsi="Courier New" w:eastAsia="宋体" w:cs="Times New Roman"/>
      <w:kern w:val="2"/>
      <w:sz w:val="21"/>
      <w:szCs w:val="21"/>
      <w:lang w:val="en-US" w:eastAsia="zh-CN" w:bidi="ar-SA"/>
    </w:rPr>
  </w:style>
  <w:style w:type="paragraph" w:customStyle="1" w:styleId="218">
    <w:name w:val="表格1"/>
    <w:basedOn w:val="1"/>
    <w:qFormat/>
    <w:uiPriority w:val="0"/>
    <w:pPr>
      <w:ind w:firstLine="480" w:firstLineChars="200"/>
      <w:jc w:val="center"/>
    </w:pPr>
    <w:rPr>
      <w:sz w:val="24"/>
      <w:szCs w:val="20"/>
    </w:rPr>
  </w:style>
  <w:style w:type="character" w:customStyle="1" w:styleId="219">
    <w:name w:val="纯文本 字符1"/>
    <w:qFormat/>
    <w:uiPriority w:val="0"/>
    <w:rPr>
      <w:rFonts w:ascii="宋体" w:hAnsi="Courier New"/>
    </w:rPr>
  </w:style>
  <w:style w:type="character" w:customStyle="1" w:styleId="220">
    <w:name w:val="bjh-p"/>
    <w:qFormat/>
    <w:uiPriority w:val="0"/>
  </w:style>
  <w:style w:type="paragraph" w:customStyle="1" w:styleId="22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2">
    <w:name w:val="正文格式 Char"/>
    <w:link w:val="223"/>
    <w:qFormat/>
    <w:locked/>
    <w:uiPriority w:val="0"/>
    <w:rPr>
      <w:rFonts w:ascii="宋体" w:hAnsi="宋体"/>
      <w:sz w:val="24"/>
      <w:szCs w:val="24"/>
      <w:lang w:val="en-GB"/>
    </w:rPr>
  </w:style>
  <w:style w:type="paragraph" w:customStyle="1" w:styleId="223">
    <w:name w:val="正文格式"/>
    <w:basedOn w:val="1"/>
    <w:link w:val="222"/>
    <w:qFormat/>
    <w:uiPriority w:val="0"/>
    <w:pPr>
      <w:spacing w:beforeLines="50" w:line="360" w:lineRule="auto"/>
      <w:ind w:firstLine="480" w:firstLineChars="200"/>
    </w:pPr>
    <w:rPr>
      <w:rFonts w:ascii="宋体" w:hAnsi="宋体"/>
      <w:kern w:val="0"/>
      <w:sz w:val="24"/>
      <w:lang w:val="en-GB"/>
    </w:rPr>
  </w:style>
  <w:style w:type="character" w:customStyle="1" w:styleId="224">
    <w:name w:val="正文缩进 Char"/>
    <w:qFormat/>
    <w:uiPriority w:val="0"/>
    <w:rPr>
      <w:rFonts w:ascii="宋体" w:eastAsia="宋体"/>
      <w:kern w:val="2"/>
      <w:sz w:val="24"/>
      <w:szCs w:val="24"/>
      <w:lang w:val="en-US" w:eastAsia="zh-CN" w:bidi="ar-SA"/>
    </w:rPr>
  </w:style>
  <w:style w:type="character" w:customStyle="1" w:styleId="225">
    <w:name w:val="Char Char111"/>
    <w:qFormat/>
    <w:uiPriority w:val="0"/>
    <w:rPr>
      <w:rFonts w:ascii="宋体" w:eastAsia="宋体"/>
      <w:b/>
      <w:sz w:val="24"/>
      <w:u w:val="single"/>
      <w:lang w:val="en-US" w:eastAsia="zh-CN" w:bidi="ar-SA"/>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列出段落 Char"/>
    <w:qFormat/>
    <w:uiPriority w:val="0"/>
    <w:rPr>
      <w:rFonts w:ascii="Calibri" w:hAnsi="Calibri" w:eastAsia="宋体"/>
      <w:kern w:val="2"/>
      <w:sz w:val="21"/>
      <w:szCs w:val="22"/>
      <w:lang w:val="en-US" w:eastAsia="zh-CN" w:bidi="ar-SA"/>
    </w:rPr>
  </w:style>
  <w:style w:type="character" w:customStyle="1" w:styleId="228">
    <w:name w:val="页眉 Char"/>
    <w:qFormat/>
    <w:uiPriority w:val="0"/>
    <w:rPr>
      <w:rFonts w:eastAsia="宋体"/>
      <w:kern w:val="2"/>
      <w:sz w:val="18"/>
      <w:szCs w:val="18"/>
      <w:lang w:val="en-US" w:eastAsia="zh-CN" w:bidi="ar-SA"/>
    </w:rPr>
  </w:style>
  <w:style w:type="paragraph" w:customStyle="1" w:styleId="229">
    <w:name w:val="字元 字元2"/>
    <w:basedOn w:val="1"/>
    <w:qFormat/>
    <w:uiPriority w:val="0"/>
    <w:rPr>
      <w:rFonts w:ascii="Tahoma" w:hAnsi="Tahoma"/>
      <w:sz w:val="24"/>
      <w:szCs w:val="20"/>
    </w:rPr>
  </w:style>
  <w:style w:type="paragraph" w:customStyle="1" w:styleId="230">
    <w:name w:val="Char3 Char Char Char2"/>
    <w:basedOn w:val="1"/>
    <w:qFormat/>
    <w:uiPriority w:val="0"/>
    <w:rPr>
      <w:rFonts w:ascii="Tahoma" w:hAnsi="Tahoma"/>
      <w:sz w:val="24"/>
      <w:szCs w:val="20"/>
    </w:rPr>
  </w:style>
  <w:style w:type="paragraph" w:customStyle="1" w:styleId="231">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2">
    <w:name w:val="Char3"/>
    <w:basedOn w:val="1"/>
    <w:qFormat/>
    <w:uiPriority w:val="0"/>
    <w:pPr>
      <w:tabs>
        <w:tab w:val="left" w:pos="360"/>
      </w:tabs>
    </w:pPr>
    <w:rPr>
      <w:sz w:val="24"/>
    </w:rPr>
  </w:style>
  <w:style w:type="paragraph" w:customStyle="1" w:styleId="23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列出段落2"/>
    <w:basedOn w:val="1"/>
    <w:qFormat/>
    <w:uiPriority w:val="0"/>
    <w:pPr>
      <w:ind w:firstLine="420" w:firstLineChars="200"/>
    </w:pPr>
    <w:rPr>
      <w:rFonts w:ascii="Calibri" w:hAnsi="Calibri"/>
      <w:szCs w:val="22"/>
    </w:rPr>
  </w:style>
  <w:style w:type="paragraph" w:customStyle="1" w:styleId="236">
    <w:name w:val="Char Char Char1 Char2"/>
    <w:basedOn w:val="1"/>
    <w:qFormat/>
    <w:uiPriority w:val="0"/>
    <w:rPr>
      <w:rFonts w:ascii="Tahoma" w:hAnsi="Tahoma"/>
      <w:sz w:val="24"/>
      <w:szCs w:val="20"/>
    </w:rPr>
  </w:style>
  <w:style w:type="paragraph" w:customStyle="1" w:styleId="237">
    <w:name w:val="Char Char Char2"/>
    <w:basedOn w:val="1"/>
    <w:qFormat/>
    <w:uiPriority w:val="0"/>
    <w:rPr>
      <w:rFonts w:ascii="Tahoma" w:hAnsi="Tahoma"/>
      <w:sz w:val="24"/>
      <w:szCs w:val="20"/>
    </w:rPr>
  </w:style>
  <w:style w:type="paragraph" w:customStyle="1" w:styleId="23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0">
    <w:name w:val="修订1"/>
    <w:qFormat/>
    <w:uiPriority w:val="0"/>
    <w:rPr>
      <w:rFonts w:ascii="Times New Roman" w:hAnsi="Times New Roman" w:eastAsia="宋体" w:cs="Times New Roman"/>
      <w:kern w:val="2"/>
      <w:sz w:val="21"/>
      <w:szCs w:val="24"/>
      <w:lang w:val="en-US" w:eastAsia="zh-CN" w:bidi="ar-SA"/>
    </w:rPr>
  </w:style>
  <w:style w:type="paragraph" w:customStyle="1" w:styleId="241">
    <w:name w:val="Char22"/>
    <w:basedOn w:val="1"/>
    <w:qFormat/>
    <w:uiPriority w:val="0"/>
    <w:rPr>
      <w:rFonts w:ascii="Tahoma" w:hAnsi="Tahoma"/>
      <w:sz w:val="24"/>
      <w:szCs w:val="20"/>
    </w:rPr>
  </w:style>
  <w:style w:type="paragraph" w:customStyle="1" w:styleId="242">
    <w:name w:val="Char Char Char Char Char Char Char Char Char Char2"/>
    <w:basedOn w:val="1"/>
    <w:qFormat/>
    <w:uiPriority w:val="0"/>
    <w:rPr>
      <w:rFonts w:ascii="宋体" w:hAnsi="宋体" w:cs="Courier New"/>
      <w:sz w:val="32"/>
      <w:szCs w:val="32"/>
    </w:rPr>
  </w:style>
  <w:style w:type="paragraph" w:customStyle="1" w:styleId="243">
    <w:name w:val="Char2 Char Char Char Char Char Char1"/>
    <w:basedOn w:val="1"/>
    <w:qFormat/>
    <w:uiPriority w:val="0"/>
    <w:pPr>
      <w:widowControl/>
      <w:spacing w:line="400" w:lineRule="exact"/>
      <w:jc w:val="center"/>
    </w:pPr>
  </w:style>
  <w:style w:type="character" w:customStyle="1" w:styleId="244">
    <w:name w:val="页脚 Char"/>
    <w:qFormat/>
    <w:uiPriority w:val="0"/>
    <w:rPr>
      <w:rFonts w:ascii="宋体" w:eastAsia="宋体"/>
      <w:sz w:val="18"/>
      <w:lang w:val="en-US" w:eastAsia="zh-CN" w:bidi="ar-SA"/>
    </w:rPr>
  </w:style>
  <w:style w:type="paragraph" w:customStyle="1" w:styleId="245">
    <w:name w:val="Char Char41"/>
    <w:basedOn w:val="1"/>
    <w:qFormat/>
    <w:uiPriority w:val="0"/>
    <w:pPr>
      <w:widowControl/>
      <w:spacing w:line="400" w:lineRule="exact"/>
      <w:jc w:val="center"/>
    </w:pPr>
  </w:style>
  <w:style w:type="character" w:customStyle="1" w:styleId="246">
    <w:name w:val="批注文字 Char"/>
    <w:qFormat/>
    <w:uiPriority w:val="99"/>
    <w:rPr>
      <w:kern w:val="2"/>
      <w:sz w:val="21"/>
      <w:szCs w:val="24"/>
    </w:rPr>
  </w:style>
  <w:style w:type="character" w:customStyle="1" w:styleId="247">
    <w:name w:val="标题 Char"/>
    <w:qFormat/>
    <w:uiPriority w:val="0"/>
    <w:rPr>
      <w:b/>
      <w:kern w:val="2"/>
      <w:sz w:val="32"/>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table" w:customStyle="1" w:styleId="249">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0">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1">
    <w:name w:val="WPSOffice手动目录 1"/>
    <w:qFormat/>
    <w:uiPriority w:val="0"/>
    <w:rPr>
      <w:rFonts w:ascii="Times New Roman" w:hAnsi="Times New Roman" w:eastAsia="宋体" w:cs="Times New Roman"/>
      <w:lang w:val="en-US" w:eastAsia="zh-CN" w:bidi="ar-SA"/>
    </w:rPr>
  </w:style>
  <w:style w:type="paragraph" w:customStyle="1" w:styleId="252">
    <w:name w:val="Table Text"/>
    <w:basedOn w:val="1"/>
    <w:semiHidden/>
    <w:qFormat/>
    <w:uiPriority w:val="0"/>
    <w:pPr>
      <w:framePr w:hSpace="180" w:wrap="around" w:vAnchor="text" w:hAnchor="page" w:x="1939" w:y="362"/>
      <w:spacing w:before="78" w:line="232" w:lineRule="auto"/>
      <w:ind w:right="182"/>
    </w:pPr>
    <w:rPr>
      <w:rFonts w:ascii="宋体" w:hAnsi="宋体" w:cs="宋体"/>
      <w:sz w:val="24"/>
      <w:lang w:eastAsia="en-US"/>
    </w:rPr>
  </w:style>
  <w:style w:type="paragraph" w:customStyle="1" w:styleId="25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54">
    <w:name w:val="样式 正文缩进 + 首行缩进:  2 字符"/>
    <w:basedOn w:val="13"/>
    <w:qFormat/>
    <w:uiPriority w:val="0"/>
    <w:pPr>
      <w:autoSpaceDE/>
      <w:autoSpaceDN/>
      <w:adjustRightInd/>
      <w:spacing w:line="360" w:lineRule="auto"/>
      <w:ind w:firstLine="200" w:firstLineChars="200"/>
      <w:jc w:val="both"/>
    </w:pPr>
    <w:rPr>
      <w:rFonts w:ascii="Times New Roman" w:cs="宋体"/>
    </w:rPr>
  </w:style>
  <w:style w:type="paragraph" w:customStyle="1" w:styleId="25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56">
    <w:name w:val="正文my"/>
    <w:basedOn w:val="1"/>
    <w:qFormat/>
    <w:uiPriority w:val="0"/>
    <w:rPr>
      <w:rFonts w:ascii="等线" w:hAnsi="等线" w:eastAsia="仿宋"/>
      <w:sz w:val="30"/>
    </w:rPr>
  </w:style>
  <w:style w:type="paragraph" w:customStyle="1" w:styleId="257">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258">
    <w:name w:val="font31"/>
    <w:basedOn w:val="48"/>
    <w:qFormat/>
    <w:uiPriority w:val="0"/>
    <w:rPr>
      <w:rFonts w:hint="eastAsia" w:ascii="宋体" w:hAnsi="宋体" w:eastAsia="宋体" w:cs="宋体"/>
      <w:color w:val="000000"/>
      <w:sz w:val="18"/>
      <w:szCs w:val="18"/>
      <w:u w:val="none"/>
    </w:rPr>
  </w:style>
  <w:style w:type="character" w:customStyle="1" w:styleId="259">
    <w:name w:val="font21"/>
    <w:basedOn w:val="48"/>
    <w:qFormat/>
    <w:uiPriority w:val="0"/>
    <w:rPr>
      <w:rFonts w:hint="eastAsia" w:ascii="宋体" w:hAnsi="宋体" w:eastAsia="宋体" w:cs="宋体"/>
      <w:color w:val="000000"/>
      <w:sz w:val="21"/>
      <w:szCs w:val="21"/>
      <w:u w:val="none"/>
    </w:rPr>
  </w:style>
  <w:style w:type="character" w:customStyle="1" w:styleId="260">
    <w:name w:val="font71"/>
    <w:basedOn w:val="48"/>
    <w:qFormat/>
    <w:uiPriority w:val="0"/>
    <w:rPr>
      <w:rFonts w:hint="default" w:ascii="Times New Roman" w:hAnsi="Times New Roman" w:cs="Times New Roman"/>
      <w:color w:val="000000"/>
      <w:sz w:val="21"/>
      <w:szCs w:val="21"/>
      <w:u w:val="none"/>
    </w:rPr>
  </w:style>
  <w:style w:type="paragraph" w:customStyle="1" w:styleId="261">
    <w:name w:val="内文"/>
    <w:basedOn w:val="1"/>
    <w:qFormat/>
    <w:uiPriority w:val="99"/>
    <w:pPr>
      <w:spacing w:line="560" w:lineRule="exact"/>
      <w:ind w:firstLine="200" w:firstLineChars="200"/>
      <w:jc w:val="left"/>
    </w:pPr>
    <w:rPr>
      <w:rFonts w:ascii="宋体" w:hAnsi="宋体" w:cs="宋体" w:eastAsiaTheme="minorEastAsia"/>
      <w:sz w:val="24"/>
      <w:szCs w:val="28"/>
    </w:rPr>
  </w:style>
  <w:style w:type="paragraph" w:customStyle="1" w:styleId="262">
    <w:name w:val="表格"/>
    <w:qFormat/>
    <w:uiPriority w:val="0"/>
    <w:pPr>
      <w:kinsoku w:val="0"/>
      <w:autoSpaceDE w:val="0"/>
      <w:autoSpaceDN w:val="0"/>
      <w:adjustRightInd w:val="0"/>
      <w:snapToGrid w:val="0"/>
      <w:spacing w:line="360" w:lineRule="auto"/>
      <w:jc w:val="center"/>
      <w:textAlignment w:val="baseline"/>
    </w:pPr>
    <w:rPr>
      <w:rFonts w:hint="eastAsia" w:ascii="宋体" w:hAnsi="宋体" w:eastAsia="宋体" w:cs="宋体"/>
      <w:bCs/>
      <w:snapToGrid w:val="0"/>
      <w:color w:val="000000"/>
      <w:spacing w:val="-6"/>
      <w:sz w:val="24"/>
      <w:szCs w:val="21"/>
      <w:lang w:val="en-US" w:eastAsia="en-US" w:bidi="ar-SA"/>
    </w:rPr>
  </w:style>
  <w:style w:type="paragraph" w:customStyle="1" w:styleId="263">
    <w:name w:val="*正文_1"/>
    <w:basedOn w:val="1"/>
    <w:next w:val="1"/>
    <w:qFormat/>
    <w:uiPriority w:val="0"/>
    <w:pPr>
      <w:widowControl/>
      <w:ind w:firstLine="482"/>
    </w:pPr>
    <w:rPr>
      <w:rFonts w:ascii="微软雅黑" w:hAnsi="微软雅黑" w:eastAsia="微软雅黑"/>
      <w:kern w:val="0"/>
      <w:szCs w:val="20"/>
    </w:rPr>
  </w:style>
  <w:style w:type="character" w:customStyle="1" w:styleId="264">
    <w:name w:val="font61"/>
    <w:basedOn w:val="4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181</Pages>
  <Words>88037</Words>
  <Characters>100816</Characters>
  <Lines>780</Lines>
  <Paragraphs>219</Paragraphs>
  <TotalTime>219</TotalTime>
  <ScaleCrop>false</ScaleCrop>
  <LinksUpToDate>false</LinksUpToDate>
  <CharactersWithSpaces>103438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2025-02-16T09:03:00Z</dcterms:created>
  <dc:creator>尹皓</dc:creator>
  <cp:lastModifiedBy>匕鬯不惊</cp:lastModifiedBy>
  <cp:lastPrinted>2024-02-02T04:09:00Z</cp:lastPrinted>
  <dcterms:modified xsi:type="dcterms:W3CDTF">2025-07-18T01:28:16Z</dcterms:modified>
  <dc:title>02年杜范本稿</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CE362241D8B34066A50F494764E360D7_13</vt:lpwstr>
  </property>
  <property fmtid="{D5CDD505-2E9C-101B-9397-08002B2CF9AE}" pid="4" name="KSOTemplateDocerSaveRecord">
    <vt:lpwstr>eyJoZGlkIjoiZWIxZTJlYTBjMTlhYjg1ZDRhZmU5OTFmZDIyMDRmMzIiLCJ1c2VySWQiOiIxNTUwMzU2MDE3In0=</vt:lpwstr>
  </property>
</Properties>
</file>