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C82E756">
      <w:pPr>
        <w:pStyle w:val="45"/>
        <w:spacing w:line="240" w:lineRule="auto"/>
        <w:ind w:left="0" w:leftChars="0" w:firstLine="0" w:firstLineChars="0"/>
        <w:rPr>
          <w:rFonts w:hint="eastAsia" w:ascii="宋体" w:hAnsi="宋体" w:eastAsia="宋体" w:cs="宋体"/>
          <w:b/>
          <w:bCs/>
          <w:sz w:val="56"/>
          <w:szCs w:val="56"/>
        </w:rPr>
      </w:pPr>
    </w:p>
    <w:p w14:paraId="2B53D53A">
      <w:pPr>
        <w:rPr>
          <w:rFonts w:hint="eastAsia"/>
        </w:rPr>
      </w:pPr>
    </w:p>
    <w:p w14:paraId="75ED4D37">
      <w:pPr>
        <w:pStyle w:val="45"/>
        <w:spacing w:line="480" w:lineRule="auto"/>
        <w:ind w:left="0" w:leftChars="0" w:firstLine="0" w:firstLineChars="0"/>
        <w:jc w:val="center"/>
        <w:rPr>
          <w:rFonts w:hint="eastAsia" w:ascii="宋体" w:hAnsi="宋体" w:cs="宋体"/>
          <w:b/>
          <w:bCs/>
          <w:kern w:val="2"/>
          <w:sz w:val="52"/>
          <w:szCs w:val="52"/>
          <w:lang w:val="en-US" w:eastAsia="zh-CN" w:bidi="ar-SA"/>
        </w:rPr>
      </w:pPr>
      <w:r>
        <w:rPr>
          <w:rFonts w:hint="eastAsia" w:ascii="宋体" w:hAnsi="宋体" w:cs="宋体"/>
          <w:b/>
          <w:bCs/>
          <w:kern w:val="2"/>
          <w:sz w:val="52"/>
          <w:szCs w:val="52"/>
          <w:lang w:val="en-US" w:eastAsia="zh-CN" w:bidi="ar-SA"/>
        </w:rPr>
        <w:t>2025年大兴区人口健康信息平台</w:t>
      </w:r>
    </w:p>
    <w:p w14:paraId="4F3DB047">
      <w:pPr>
        <w:pStyle w:val="45"/>
        <w:spacing w:line="480" w:lineRule="auto"/>
        <w:ind w:left="0" w:leftChars="0" w:firstLine="0" w:firstLineChars="0"/>
        <w:jc w:val="center"/>
        <w:rPr>
          <w:rFonts w:hint="eastAsia" w:ascii="宋体" w:hAnsi="宋体" w:eastAsia="宋体" w:cs="宋体"/>
          <w:sz w:val="32"/>
          <w:szCs w:val="22"/>
        </w:rPr>
      </w:pPr>
      <w:r>
        <w:rPr>
          <w:rFonts w:hint="eastAsia" w:ascii="宋体" w:hAnsi="宋体" w:cs="宋体"/>
          <w:b/>
          <w:bCs/>
          <w:kern w:val="2"/>
          <w:sz w:val="52"/>
          <w:szCs w:val="52"/>
          <w:lang w:val="en-US" w:eastAsia="zh-CN" w:bidi="ar-SA"/>
        </w:rPr>
        <w:t>软件运维</w:t>
      </w:r>
    </w:p>
    <w:p w14:paraId="1AD9CD75">
      <w:pPr>
        <w:spacing w:line="480" w:lineRule="auto"/>
        <w:jc w:val="center"/>
        <w:outlineLvl w:val="0"/>
        <w:rPr>
          <w:rFonts w:hint="eastAsia" w:ascii="宋体" w:hAnsi="宋体" w:eastAsia="宋体" w:cs="宋体"/>
          <w:b/>
          <w:bCs/>
          <w:sz w:val="56"/>
          <w:szCs w:val="56"/>
        </w:rPr>
      </w:pPr>
      <w:r>
        <w:rPr>
          <w:rFonts w:hint="eastAsia" w:ascii="宋体" w:hAnsi="宋体" w:eastAsia="宋体" w:cs="宋体"/>
          <w:b/>
          <w:bCs/>
          <w:sz w:val="56"/>
          <w:szCs w:val="56"/>
        </w:rPr>
        <w:t>公开招标</w:t>
      </w:r>
    </w:p>
    <w:p w14:paraId="6AA673DA">
      <w:pPr>
        <w:jc w:val="center"/>
        <w:rPr>
          <w:rFonts w:hint="eastAsia" w:ascii="宋体" w:hAnsi="宋体" w:eastAsia="宋体" w:cs="宋体"/>
          <w:b/>
          <w:bCs/>
          <w:sz w:val="60"/>
          <w:szCs w:val="60"/>
        </w:rPr>
      </w:pPr>
    </w:p>
    <w:p w14:paraId="55AE4988">
      <w:pPr>
        <w:pStyle w:val="45"/>
        <w:ind w:left="0" w:leftChars="0" w:firstLine="0" w:firstLineChars="0"/>
        <w:rPr>
          <w:rFonts w:hint="eastAsia" w:ascii="宋体" w:hAnsi="宋体" w:eastAsia="宋体" w:cs="宋体"/>
          <w:b/>
          <w:bCs/>
          <w:sz w:val="60"/>
          <w:szCs w:val="60"/>
        </w:rPr>
      </w:pPr>
    </w:p>
    <w:p w14:paraId="1D9250C7">
      <w:pPr>
        <w:rPr>
          <w:rFonts w:hint="eastAsia"/>
        </w:rPr>
      </w:pPr>
    </w:p>
    <w:p w14:paraId="561CAC83">
      <w:pPr>
        <w:pStyle w:val="45"/>
        <w:rPr>
          <w:rFonts w:hint="eastAsia"/>
        </w:rPr>
      </w:pPr>
    </w:p>
    <w:p w14:paraId="4FDCCB2E">
      <w:pPr>
        <w:pStyle w:val="24"/>
        <w:rPr>
          <w:rFonts w:hint="eastAsia"/>
        </w:rPr>
      </w:pPr>
    </w:p>
    <w:p w14:paraId="3D30816A">
      <w:pPr>
        <w:rPr>
          <w:rFonts w:hint="eastAsia"/>
        </w:rPr>
      </w:pPr>
    </w:p>
    <w:p w14:paraId="23869077">
      <w:pPr>
        <w:pStyle w:val="45"/>
        <w:ind w:firstLine="560"/>
        <w:rPr>
          <w:rFonts w:hint="eastAsia" w:ascii="宋体" w:hAnsi="宋体" w:eastAsia="宋体" w:cs="宋体"/>
          <w:sz w:val="28"/>
          <w:szCs w:val="28"/>
        </w:rPr>
      </w:pPr>
    </w:p>
    <w:p w14:paraId="36EC3FDA">
      <w:pPr>
        <w:rPr>
          <w:rFonts w:hint="eastAsia"/>
        </w:rPr>
      </w:pPr>
    </w:p>
    <w:p w14:paraId="26D6B089">
      <w:pPr>
        <w:tabs>
          <w:tab w:val="left" w:pos="3240"/>
          <w:tab w:val="left" w:pos="3420"/>
        </w:tabs>
        <w:spacing w:line="360" w:lineRule="auto"/>
        <w:ind w:left="1800" w:hanging="1800" w:hangingChars="500"/>
        <w:jc w:val="left"/>
        <w:outlineLvl w:val="0"/>
        <w:rPr>
          <w:rFonts w:hint="eastAsia" w:ascii="宋体" w:hAnsi="宋体" w:eastAsia="宋体" w:cs="宋体"/>
          <w:bCs/>
          <w:sz w:val="36"/>
          <w:szCs w:val="36"/>
          <w:highlight w:val="none"/>
          <w:lang w:eastAsia="zh-CN"/>
        </w:rPr>
      </w:pPr>
      <w:r>
        <w:rPr>
          <w:rFonts w:hint="eastAsia" w:ascii="宋体" w:hAnsi="宋体" w:eastAsia="宋体" w:cs="宋体"/>
          <w:bCs/>
          <w:sz w:val="36"/>
          <w:szCs w:val="36"/>
        </w:rPr>
        <w:t>项目名称：</w:t>
      </w:r>
      <w:r>
        <w:rPr>
          <w:rFonts w:hint="eastAsia" w:ascii="宋体" w:hAnsi="宋体" w:cs="宋体"/>
          <w:bCs/>
          <w:sz w:val="36"/>
          <w:szCs w:val="36"/>
          <w:lang w:eastAsia="zh-CN"/>
        </w:rPr>
        <w:t>2025年大兴区人口健康信息平台软件运维</w:t>
      </w:r>
    </w:p>
    <w:p w14:paraId="6813B039">
      <w:pPr>
        <w:tabs>
          <w:tab w:val="left" w:pos="3240"/>
          <w:tab w:val="left" w:pos="3420"/>
        </w:tabs>
        <w:spacing w:line="360" w:lineRule="auto"/>
        <w:ind w:left="2948" w:hanging="2948" w:hangingChars="819"/>
        <w:jc w:val="left"/>
        <w:outlineLvl w:val="0"/>
        <w:rPr>
          <w:rFonts w:hint="eastAsia" w:ascii="宋体" w:hAnsi="宋体" w:eastAsia="宋体" w:cs="宋体"/>
          <w:bCs/>
          <w:sz w:val="36"/>
          <w:szCs w:val="36"/>
          <w:highlight w:val="none"/>
          <w:lang w:eastAsia="zh-CN"/>
        </w:rPr>
      </w:pPr>
      <w:r>
        <w:rPr>
          <w:rFonts w:hint="eastAsia" w:ascii="宋体" w:hAnsi="宋体" w:eastAsia="宋体" w:cs="宋体"/>
          <w:bCs/>
          <w:sz w:val="36"/>
          <w:szCs w:val="36"/>
          <w:highlight w:val="none"/>
        </w:rPr>
        <w:t>项目编号：</w:t>
      </w:r>
      <w:r>
        <w:rPr>
          <w:rFonts w:hint="eastAsia" w:ascii="宋体" w:hAnsi="宋体" w:cs="宋体"/>
          <w:bCs/>
          <w:sz w:val="36"/>
          <w:szCs w:val="36"/>
          <w:highlight w:val="none"/>
          <w:lang w:eastAsia="zh-CN"/>
        </w:rPr>
        <w:t>11011525210200027238-XM001</w:t>
      </w:r>
    </w:p>
    <w:p w14:paraId="178EF83E">
      <w:pPr>
        <w:tabs>
          <w:tab w:val="left" w:pos="3240"/>
          <w:tab w:val="left" w:pos="3420"/>
        </w:tabs>
        <w:spacing w:line="360" w:lineRule="auto"/>
        <w:ind w:left="2948" w:hanging="2948" w:hangingChars="819"/>
        <w:jc w:val="left"/>
        <w:outlineLvl w:val="0"/>
        <w:rPr>
          <w:rFonts w:hint="eastAsia" w:ascii="宋体" w:hAnsi="宋体" w:eastAsia="宋体" w:cs="宋体"/>
          <w:bCs/>
          <w:sz w:val="36"/>
          <w:szCs w:val="36"/>
          <w:lang w:eastAsia="zh-CN"/>
        </w:rPr>
      </w:pPr>
      <w:r>
        <w:rPr>
          <w:rFonts w:hint="eastAsia" w:ascii="宋体" w:hAnsi="宋体" w:eastAsia="宋体" w:cs="宋体"/>
          <w:bCs/>
          <w:sz w:val="36"/>
          <w:szCs w:val="36"/>
        </w:rPr>
        <w:t>采 购 人：</w:t>
      </w:r>
      <w:r>
        <w:rPr>
          <w:rFonts w:hint="eastAsia" w:ascii="宋体" w:hAnsi="宋体" w:cs="宋体"/>
          <w:bCs/>
          <w:sz w:val="36"/>
          <w:szCs w:val="36"/>
          <w:lang w:eastAsia="zh-CN"/>
        </w:rPr>
        <w:t>北京市大兴区卫生健康委员会</w:t>
      </w:r>
    </w:p>
    <w:p w14:paraId="1714F0BC">
      <w:pPr>
        <w:tabs>
          <w:tab w:val="left" w:pos="3240"/>
          <w:tab w:val="left" w:pos="3420"/>
        </w:tabs>
        <w:spacing w:line="360" w:lineRule="auto"/>
        <w:ind w:left="2948" w:hanging="2948" w:hangingChars="819"/>
        <w:jc w:val="left"/>
        <w:outlineLvl w:val="0"/>
        <w:rPr>
          <w:rFonts w:hint="eastAsia" w:ascii="宋体" w:hAnsi="宋体" w:eastAsia="宋体" w:cs="宋体"/>
          <w:bCs/>
          <w:sz w:val="36"/>
          <w:szCs w:val="36"/>
        </w:rPr>
      </w:pPr>
      <w:r>
        <w:rPr>
          <w:rFonts w:hint="eastAsia" w:ascii="宋体" w:hAnsi="宋体" w:eastAsia="宋体" w:cs="宋体"/>
          <w:bCs/>
          <w:sz w:val="36"/>
          <w:szCs w:val="36"/>
        </w:rPr>
        <w:t xml:space="preserve">采购代理机构：北京中兴天诚招标代理有限公司 </w:t>
      </w:r>
    </w:p>
    <w:p w14:paraId="7429E57F">
      <w:pPr>
        <w:spacing w:line="360" w:lineRule="auto"/>
        <w:rPr>
          <w:rFonts w:hint="eastAsia" w:ascii="宋体" w:hAnsi="宋体" w:eastAsia="宋体" w:cs="宋体"/>
          <w:b/>
          <w:sz w:val="72"/>
        </w:rPr>
        <w:sectPr>
          <w:headerReference r:id="rId4" w:type="first"/>
          <w:footerReference r:id="rId7" w:type="first"/>
          <w:headerReference r:id="rId3" w:type="default"/>
          <w:footerReference r:id="rId5" w:type="default"/>
          <w:footerReference r:id="rId6" w:type="even"/>
          <w:type w:val="nextColumn"/>
          <w:pgSz w:w="11907" w:h="16840"/>
          <w:pgMar w:top="1911" w:right="1474" w:bottom="1882" w:left="1587" w:header="851" w:footer="851" w:gutter="0"/>
          <w:pgBorders>
            <w:top w:val="none" w:sz="0" w:space="0"/>
            <w:left w:val="none" w:sz="0" w:space="0"/>
            <w:bottom w:val="none" w:sz="0" w:space="0"/>
            <w:right w:val="none" w:sz="0" w:space="0"/>
          </w:pgBorders>
          <w:pgNumType w:fmt="decimal" w:start="1"/>
          <w:cols w:space="720" w:num="1"/>
          <w:titlePg/>
          <w:docGrid w:linePitch="462" w:charSpace="0"/>
        </w:sectPr>
      </w:pPr>
    </w:p>
    <w:p w14:paraId="0DED39D0">
      <w:pPr>
        <w:spacing w:line="360" w:lineRule="auto"/>
        <w:jc w:val="center"/>
        <w:outlineLvl w:val="0"/>
        <w:rPr>
          <w:rFonts w:hint="eastAsia" w:ascii="宋体" w:hAnsi="宋体" w:eastAsia="宋体" w:cs="宋体"/>
          <w:b/>
          <w:sz w:val="36"/>
          <w:szCs w:val="36"/>
        </w:rPr>
      </w:pPr>
      <w:bookmarkStart w:id="0" w:name="_Toc99301418"/>
      <w:r>
        <w:rPr>
          <w:rFonts w:hint="eastAsia" w:ascii="宋体" w:hAnsi="宋体" w:eastAsia="宋体" w:cs="宋体"/>
          <w:b/>
          <w:sz w:val="36"/>
          <w:szCs w:val="36"/>
        </w:rPr>
        <w:t>目      录</w:t>
      </w:r>
      <w:bookmarkEnd w:id="0"/>
    </w:p>
    <w:p w14:paraId="33113FBE">
      <w:pPr>
        <w:rPr>
          <w:rFonts w:hint="eastAsia" w:ascii="宋体" w:hAnsi="宋体" w:eastAsia="宋体" w:cs="宋体"/>
        </w:rPr>
      </w:pPr>
    </w:p>
    <w:p w14:paraId="4AD2E50A">
      <w:pPr>
        <w:rPr>
          <w:rFonts w:hint="eastAsia" w:ascii="宋体" w:hAnsi="宋体" w:eastAsia="宋体" w:cs="宋体"/>
        </w:rPr>
      </w:pPr>
    </w:p>
    <w:p w14:paraId="09048B4F">
      <w:pPr>
        <w:rPr>
          <w:rFonts w:hint="eastAsia" w:ascii="宋体" w:hAnsi="宋体" w:eastAsia="宋体" w:cs="宋体"/>
        </w:rPr>
      </w:pPr>
    </w:p>
    <w:p w14:paraId="43BB45F7">
      <w:pPr>
        <w:pStyle w:val="32"/>
        <w:rPr>
          <w:rFonts w:hint="eastAsia" w:ascii="宋体" w:hAnsi="宋体" w:eastAsia="宋体" w:cs="宋体"/>
          <w:b w:val="0"/>
          <w:sz w:val="21"/>
          <w:szCs w:val="22"/>
        </w:rPr>
      </w:pPr>
      <w:r>
        <w:rPr>
          <w:rFonts w:hint="eastAsia" w:ascii="宋体" w:hAnsi="宋体" w:eastAsia="宋体" w:cs="宋体"/>
          <w:b w:val="0"/>
        </w:rPr>
        <w:fldChar w:fldCharType="begin"/>
      </w:r>
      <w:r>
        <w:rPr>
          <w:rFonts w:hint="eastAsia" w:ascii="宋体" w:hAnsi="宋体" w:eastAsia="宋体" w:cs="宋体"/>
          <w:b w:val="0"/>
        </w:rPr>
        <w:instrText xml:space="preserve"> TOC \o "1-1" \h \z \u </w:instrText>
      </w:r>
      <w:r>
        <w:rPr>
          <w:rFonts w:hint="eastAsia" w:ascii="宋体" w:hAnsi="宋体" w:eastAsia="宋体" w:cs="宋体"/>
          <w:b w:val="0"/>
        </w:rPr>
        <w:fldChar w:fldCharType="separate"/>
      </w:r>
    </w:p>
    <w:p w14:paraId="69DDD027">
      <w:pPr>
        <w:pStyle w:val="32"/>
        <w:spacing w:line="360" w:lineRule="auto"/>
        <w:rPr>
          <w:rFonts w:hint="eastAsia" w:ascii="宋体" w:hAnsi="宋体" w:eastAsia="宋体" w:cs="宋体"/>
          <w:b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"_Toc99301419" </w:instrText>
      </w:r>
      <w:r>
        <w:rPr>
          <w:rFonts w:hint="eastAsia" w:ascii="宋体" w:hAnsi="宋体" w:eastAsia="宋体" w:cs="宋体"/>
        </w:rPr>
        <w:fldChar w:fldCharType="separate"/>
      </w:r>
      <w:r>
        <w:rPr>
          <w:rStyle w:val="57"/>
          <w:rFonts w:hint="eastAsia" w:ascii="宋体" w:hAnsi="宋体" w:eastAsia="宋体" w:cs="宋体"/>
          <w:color w:val="auto"/>
        </w:rPr>
        <w:t>第一章   投标邀请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_Toc99301419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64A2B51E">
      <w:pPr>
        <w:pStyle w:val="32"/>
        <w:spacing w:line="360" w:lineRule="auto"/>
        <w:rPr>
          <w:rFonts w:hint="eastAsia" w:ascii="宋体" w:hAnsi="宋体" w:eastAsia="宋体" w:cs="宋体"/>
          <w:b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"_Toc99301420" </w:instrText>
      </w:r>
      <w:r>
        <w:rPr>
          <w:rFonts w:hint="eastAsia" w:ascii="宋体" w:hAnsi="宋体" w:eastAsia="宋体" w:cs="宋体"/>
        </w:rPr>
        <w:fldChar w:fldCharType="separate"/>
      </w:r>
      <w:r>
        <w:rPr>
          <w:rStyle w:val="57"/>
          <w:rFonts w:hint="eastAsia" w:ascii="宋体" w:hAnsi="宋体" w:eastAsia="宋体" w:cs="宋体"/>
          <w:color w:val="auto"/>
        </w:rPr>
        <w:t>第二章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_Toc99301420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3207C4B0">
      <w:pPr>
        <w:pStyle w:val="32"/>
        <w:spacing w:line="360" w:lineRule="auto"/>
        <w:rPr>
          <w:rFonts w:hint="eastAsia" w:ascii="宋体" w:hAnsi="宋体" w:eastAsia="宋体" w:cs="宋体"/>
          <w:b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"_Toc99301421" </w:instrText>
      </w:r>
      <w:r>
        <w:rPr>
          <w:rFonts w:hint="eastAsia" w:ascii="宋体" w:hAnsi="宋体" w:eastAsia="宋体" w:cs="宋体"/>
        </w:rPr>
        <w:fldChar w:fldCharType="separate"/>
      </w:r>
      <w:r>
        <w:rPr>
          <w:rStyle w:val="57"/>
          <w:rFonts w:hint="eastAsia" w:ascii="宋体" w:hAnsi="宋体" w:eastAsia="宋体" w:cs="宋体"/>
          <w:color w:val="auto"/>
        </w:rPr>
        <w:t>第三章   资格审查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_Toc99301421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57C00A3D">
      <w:pPr>
        <w:pStyle w:val="32"/>
        <w:spacing w:line="360" w:lineRule="auto"/>
        <w:rPr>
          <w:rFonts w:hint="eastAsia" w:ascii="宋体" w:hAnsi="宋体" w:eastAsia="宋体" w:cs="宋体"/>
          <w:b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"_Toc99301423" </w:instrText>
      </w:r>
      <w:r>
        <w:rPr>
          <w:rFonts w:hint="eastAsia" w:ascii="宋体" w:hAnsi="宋体" w:eastAsia="宋体" w:cs="宋体"/>
        </w:rPr>
        <w:fldChar w:fldCharType="separate"/>
      </w:r>
      <w:r>
        <w:rPr>
          <w:rStyle w:val="57"/>
          <w:rFonts w:hint="eastAsia" w:ascii="宋体" w:hAnsi="宋体" w:eastAsia="宋体" w:cs="宋体"/>
          <w:color w:val="auto"/>
        </w:rPr>
        <w:t>第四章   评标程序、评标方法和评标标准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_Toc99301423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14:paraId="7969EC23">
      <w:pPr>
        <w:pStyle w:val="32"/>
        <w:spacing w:line="360" w:lineRule="auto"/>
        <w:rPr>
          <w:rFonts w:hint="eastAsia" w:ascii="宋体" w:hAnsi="宋体" w:eastAsia="宋体" w:cs="宋体"/>
          <w:b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"_Toc99301424" </w:instrText>
      </w:r>
      <w:r>
        <w:rPr>
          <w:rFonts w:hint="eastAsia" w:ascii="宋体" w:hAnsi="宋体" w:eastAsia="宋体" w:cs="宋体"/>
        </w:rPr>
        <w:fldChar w:fldCharType="separate"/>
      </w:r>
      <w:r>
        <w:rPr>
          <w:rStyle w:val="57"/>
          <w:rFonts w:hint="eastAsia" w:ascii="宋体" w:hAnsi="宋体" w:eastAsia="宋体" w:cs="宋体"/>
          <w:color w:val="auto"/>
        </w:rPr>
        <w:t>第五章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_Toc99301424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14:paraId="1920D2C1">
      <w:pPr>
        <w:pStyle w:val="32"/>
        <w:spacing w:line="360" w:lineRule="auto"/>
        <w:rPr>
          <w:rFonts w:hint="eastAsia" w:ascii="宋体" w:hAnsi="宋体" w:eastAsia="宋体" w:cs="宋体"/>
          <w:b w:val="0"/>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"_Toc99301425" </w:instrText>
      </w:r>
      <w:r>
        <w:rPr>
          <w:rFonts w:hint="eastAsia" w:ascii="宋体" w:hAnsi="宋体" w:eastAsia="宋体" w:cs="宋体"/>
        </w:rPr>
        <w:fldChar w:fldCharType="separate"/>
      </w:r>
      <w:r>
        <w:rPr>
          <w:rStyle w:val="57"/>
          <w:rFonts w:hint="eastAsia" w:ascii="宋体" w:hAnsi="宋体" w:eastAsia="宋体" w:cs="宋体"/>
          <w:color w:val="auto"/>
        </w:rPr>
        <w:t>第六章   政府采购合同</w:t>
      </w:r>
      <w:r>
        <w:rPr>
          <w:rFonts w:hint="eastAsia" w:ascii="宋体" w:hAnsi="宋体" w:eastAsia="宋体" w:cs="宋体"/>
        </w:rPr>
        <w:tab/>
      </w:r>
      <w:r>
        <w:rPr>
          <w:rFonts w:hint="eastAsia" w:cs="宋体"/>
          <w:lang w:val="en-US" w:eastAsia="zh-CN"/>
        </w:rPr>
        <w:t>3</w:t>
      </w:r>
      <w:r>
        <w:rPr>
          <w:rFonts w:hint="eastAsia" w:ascii="宋体" w:hAnsi="宋体" w:eastAsia="宋体" w:cs="宋体"/>
        </w:rPr>
        <w:fldChar w:fldCharType="end"/>
      </w:r>
      <w:r>
        <w:rPr>
          <w:rFonts w:hint="eastAsia" w:cs="宋体"/>
          <w:lang w:val="en-US" w:eastAsia="zh-CN"/>
        </w:rPr>
        <w:t>3</w:t>
      </w:r>
    </w:p>
    <w:p w14:paraId="3EAB8F06">
      <w:pPr>
        <w:pStyle w:val="32"/>
        <w:spacing w:line="360" w:lineRule="auto"/>
        <w:rPr>
          <w:rFonts w:hint="eastAsia" w:ascii="宋体" w:hAnsi="宋体" w:eastAsia="宋体" w:cs="宋体"/>
          <w:b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"_Toc99301426" </w:instrText>
      </w:r>
      <w:r>
        <w:rPr>
          <w:rFonts w:hint="eastAsia" w:ascii="宋体" w:hAnsi="宋体" w:eastAsia="宋体" w:cs="宋体"/>
        </w:rPr>
        <w:fldChar w:fldCharType="separate"/>
      </w:r>
      <w:r>
        <w:rPr>
          <w:rStyle w:val="57"/>
          <w:rFonts w:hint="eastAsia" w:ascii="宋体" w:hAnsi="宋体" w:eastAsia="宋体" w:cs="宋体"/>
          <w:color w:val="auto"/>
        </w:rPr>
        <w:t>第七章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_Toc99301426 \h </w:instrText>
      </w:r>
      <w:r>
        <w:rPr>
          <w:rFonts w:hint="eastAsia" w:ascii="宋体" w:hAnsi="宋体" w:eastAsia="宋体" w:cs="宋体"/>
        </w:rPr>
        <w:fldChar w:fldCharType="separate"/>
      </w:r>
      <w:r>
        <w:rPr>
          <w:rFonts w:hint="eastAsia" w:ascii="宋体" w:hAnsi="宋体" w:eastAsia="宋体" w:cs="宋体"/>
        </w:rPr>
        <w:t>62</w:t>
      </w:r>
      <w:r>
        <w:rPr>
          <w:rFonts w:hint="eastAsia" w:ascii="宋体" w:hAnsi="宋体" w:eastAsia="宋体" w:cs="宋体"/>
        </w:rPr>
        <w:fldChar w:fldCharType="end"/>
      </w:r>
      <w:r>
        <w:rPr>
          <w:rFonts w:hint="eastAsia" w:ascii="宋体" w:hAnsi="宋体" w:eastAsia="宋体" w:cs="宋体"/>
        </w:rPr>
        <w:fldChar w:fldCharType="end"/>
      </w:r>
    </w:p>
    <w:p w14:paraId="4951D1A6">
      <w:pPr>
        <w:pStyle w:val="32"/>
        <w:spacing w:line="360" w:lineRule="auto"/>
        <w:rPr>
          <w:rFonts w:hint="eastAsia" w:ascii="宋体" w:hAnsi="宋体" w:eastAsia="宋体" w:cs="宋体"/>
          <w:b w:val="0"/>
        </w:rPr>
      </w:pPr>
      <w:r>
        <w:rPr>
          <w:rFonts w:hint="eastAsia" w:ascii="宋体" w:hAnsi="宋体" w:eastAsia="宋体" w:cs="宋体"/>
          <w:b w:val="0"/>
        </w:rPr>
        <w:fldChar w:fldCharType="end"/>
      </w:r>
    </w:p>
    <w:p w14:paraId="4C0725CF">
      <w:pPr>
        <w:spacing w:line="360" w:lineRule="auto"/>
        <w:jc w:val="center"/>
        <w:outlineLvl w:val="0"/>
        <w:rPr>
          <w:rFonts w:hint="eastAsia" w:ascii="宋体" w:hAnsi="宋体" w:eastAsia="宋体" w:cs="宋体"/>
          <w:sz w:val="32"/>
          <w:szCs w:val="32"/>
        </w:rPr>
      </w:pPr>
      <w:r>
        <w:rPr>
          <w:rFonts w:hint="eastAsia" w:ascii="宋体" w:hAnsi="宋体" w:eastAsia="宋体" w:cs="宋体"/>
          <w:sz w:val="24"/>
        </w:rPr>
        <w:br w:type="page"/>
      </w:r>
      <w:bookmarkStart w:id="1" w:name="_Toc99301419"/>
      <w:r>
        <w:rPr>
          <w:rFonts w:hint="eastAsia" w:ascii="宋体" w:hAnsi="宋体" w:eastAsia="宋体" w:cs="宋体"/>
          <w:b/>
          <w:sz w:val="36"/>
          <w:szCs w:val="36"/>
        </w:rPr>
        <w:t>第一章   投标邀请</w:t>
      </w:r>
      <w:bookmarkEnd w:id="1"/>
    </w:p>
    <w:p w14:paraId="79A4CB6E">
      <w:pPr>
        <w:pStyle w:val="4"/>
        <w:spacing w:before="0" w:line="360" w:lineRule="auto"/>
        <w:jc w:val="left"/>
        <w:rPr>
          <w:rFonts w:hint="eastAsia" w:ascii="宋体" w:hAnsi="宋体" w:eastAsia="宋体" w:cs="宋体"/>
          <w:sz w:val="24"/>
          <w:szCs w:val="24"/>
        </w:rPr>
      </w:pPr>
      <w:bookmarkStart w:id="2" w:name="_Toc35393621"/>
      <w:bookmarkStart w:id="3" w:name="_Toc28359002"/>
      <w:bookmarkStart w:id="4" w:name="_Toc35393790"/>
      <w:bookmarkStart w:id="5" w:name="_Toc28359079"/>
      <w:bookmarkStart w:id="6" w:name="_Hlk24379207"/>
      <w:r>
        <w:rPr>
          <w:rFonts w:hint="eastAsia" w:ascii="宋体" w:hAnsi="宋体" w:eastAsia="宋体" w:cs="宋体"/>
          <w:sz w:val="24"/>
          <w:szCs w:val="24"/>
        </w:rPr>
        <w:t>一、项目基本情况</w:t>
      </w:r>
      <w:bookmarkEnd w:id="2"/>
      <w:bookmarkEnd w:id="3"/>
      <w:bookmarkEnd w:id="4"/>
      <w:bookmarkEnd w:id="5"/>
    </w:p>
    <w:p w14:paraId="5E26E960">
      <w:pPr>
        <w:spacing w:line="360" w:lineRule="auto"/>
        <w:ind w:firstLine="480" w:firstLineChars="200"/>
        <w:outlineLvl w:val="2"/>
        <w:rPr>
          <w:rFonts w:hint="eastAsia" w:ascii="宋体" w:hAnsi="宋体" w:eastAsia="宋体" w:cs="宋体"/>
          <w:sz w:val="24"/>
          <w:highlight w:val="yellow"/>
          <w:lang w:eastAsia="zh-CN"/>
        </w:rPr>
      </w:pPr>
      <w:r>
        <w:rPr>
          <w:rFonts w:hint="eastAsia" w:ascii="宋体" w:hAnsi="宋体" w:eastAsia="宋体" w:cs="宋体"/>
          <w:sz w:val="24"/>
          <w:highlight w:val="none"/>
        </w:rPr>
        <w:t>1.项目编号：</w:t>
      </w:r>
      <w:r>
        <w:rPr>
          <w:rFonts w:hint="eastAsia" w:ascii="宋体" w:hAnsi="宋体" w:cs="宋体"/>
          <w:sz w:val="24"/>
          <w:highlight w:val="none"/>
          <w:lang w:eastAsia="zh-CN"/>
        </w:rPr>
        <w:t>11011525210200027238-XM001</w:t>
      </w:r>
    </w:p>
    <w:p w14:paraId="54C643E4">
      <w:pPr>
        <w:spacing w:line="360" w:lineRule="auto"/>
        <w:ind w:firstLine="480" w:firstLineChars="200"/>
        <w:outlineLvl w:val="2"/>
        <w:rPr>
          <w:rFonts w:hint="eastAsia" w:ascii="宋体" w:hAnsi="宋体" w:eastAsia="宋体" w:cs="宋体"/>
          <w:sz w:val="24"/>
          <w:highlight w:val="none"/>
          <w:u w:val="single"/>
          <w:lang w:eastAsia="zh-CN"/>
        </w:rPr>
      </w:pPr>
      <w:r>
        <w:rPr>
          <w:rFonts w:hint="eastAsia" w:ascii="宋体" w:hAnsi="宋体" w:eastAsia="宋体" w:cs="宋体"/>
          <w:sz w:val="24"/>
          <w:highlight w:val="none"/>
        </w:rPr>
        <w:t>2.项目名称：</w:t>
      </w:r>
      <w:bookmarkEnd w:id="6"/>
      <w:r>
        <w:rPr>
          <w:rFonts w:hint="eastAsia" w:ascii="宋体" w:hAnsi="宋体" w:cs="宋体"/>
          <w:sz w:val="24"/>
          <w:highlight w:val="none"/>
          <w:lang w:eastAsia="zh-CN"/>
        </w:rPr>
        <w:t>2025年大兴区人口健康信息平台软件运维</w:t>
      </w:r>
    </w:p>
    <w:p w14:paraId="1D29EA4F">
      <w:pPr>
        <w:spacing w:line="360" w:lineRule="auto"/>
        <w:ind w:firstLine="480" w:firstLineChars="200"/>
        <w:outlineLvl w:val="2"/>
        <w:rPr>
          <w:rFonts w:hint="eastAsia" w:ascii="宋体" w:hAnsi="宋体" w:eastAsia="宋体" w:cs="宋体"/>
          <w:sz w:val="24"/>
          <w:highlight w:val="none"/>
          <w:u w:val="single"/>
        </w:rPr>
      </w:pPr>
      <w:r>
        <w:rPr>
          <w:rFonts w:hint="eastAsia" w:ascii="宋体" w:hAnsi="宋体" w:eastAsia="宋体" w:cs="宋体"/>
          <w:sz w:val="24"/>
        </w:rPr>
        <w:t>3.项目预算金额：</w:t>
      </w:r>
      <w:r>
        <w:rPr>
          <w:rFonts w:hint="eastAsia" w:ascii="宋体" w:hAnsi="宋体" w:eastAsia="宋体" w:cs="宋体"/>
          <w:sz w:val="24"/>
          <w:highlight w:val="none"/>
          <w:u w:val="single"/>
        </w:rPr>
        <w:t>293.79万元</w:t>
      </w:r>
    </w:p>
    <w:p w14:paraId="54C3F371">
      <w:pPr>
        <w:spacing w:line="360" w:lineRule="auto"/>
        <w:ind w:firstLine="480" w:firstLineChars="200"/>
        <w:outlineLvl w:val="2"/>
        <w:rPr>
          <w:rFonts w:hint="eastAsia" w:ascii="宋体" w:hAnsi="宋体" w:eastAsia="宋体" w:cs="宋体"/>
          <w:sz w:val="24"/>
          <w:highlight w:val="none"/>
        </w:rPr>
      </w:pPr>
      <w:r>
        <w:rPr>
          <w:rFonts w:hint="eastAsia" w:ascii="宋体" w:hAnsi="宋体" w:eastAsia="宋体" w:cs="宋体"/>
          <w:sz w:val="24"/>
          <w:highlight w:val="none"/>
        </w:rPr>
        <w:t>4.采购简要需求：</w:t>
      </w:r>
    </w:p>
    <w:p w14:paraId="6D630847">
      <w:pPr>
        <w:numPr>
          <w:ilvl w:val="0"/>
          <w:numId w:val="0"/>
        </w:numPr>
        <w:spacing w:line="360" w:lineRule="auto"/>
        <w:ind w:firstLine="480" w:firstLineChars="200"/>
        <w:outlineLvl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本项目运维的医疗机构主要为大兴区二、三级医疗机构、社区卫生服务中心及下属社区卫生服务站、村卫生室等提供软件运维服务</w:t>
      </w:r>
    </w:p>
    <w:p w14:paraId="1D3A5EEF">
      <w:pPr>
        <w:numPr>
          <w:ilvl w:val="0"/>
          <w:numId w:val="8"/>
        </w:numPr>
        <w:spacing w:line="360" w:lineRule="auto"/>
        <w:ind w:firstLine="480" w:firstLineChars="200"/>
        <w:outlineLvl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服务期</w:t>
      </w:r>
      <w:r>
        <w:rPr>
          <w:rFonts w:hint="eastAsia" w:asciiTheme="minorEastAsia" w:hAnsiTheme="minorEastAsia" w:eastAsiaTheme="minorEastAsia" w:cstheme="minorEastAsia"/>
          <w:sz w:val="24"/>
          <w:szCs w:val="24"/>
          <w:lang w:val="en-US" w:eastAsia="zh-CN"/>
        </w:rPr>
        <w:t>:一年</w:t>
      </w:r>
    </w:p>
    <w:p w14:paraId="0F281160">
      <w:pPr>
        <w:numPr>
          <w:ilvl w:val="0"/>
          <w:numId w:val="8"/>
        </w:numPr>
        <w:spacing w:line="360" w:lineRule="auto"/>
        <w:ind w:firstLine="480" w:firstLineChars="200"/>
        <w:outlineLvl w:val="2"/>
        <w:rPr>
          <w:rFonts w:hint="eastAsia" w:ascii="宋体" w:hAnsi="宋体" w:eastAsia="宋体" w:cs="宋体"/>
          <w:sz w:val="24"/>
          <w:highlight w:val="none"/>
        </w:rPr>
      </w:pPr>
      <w:r>
        <w:rPr>
          <w:rFonts w:hint="eastAsia" w:ascii="宋体" w:hAnsi="宋体" w:eastAsia="宋体" w:cs="宋体"/>
          <w:sz w:val="24"/>
          <w:highlight w:val="none"/>
        </w:rPr>
        <w:t>本项目是否接受联合体投标：□ 是   ☑ 否。</w:t>
      </w:r>
    </w:p>
    <w:p w14:paraId="71DB6382">
      <w:pPr>
        <w:pStyle w:val="4"/>
        <w:spacing w:before="0" w:line="360" w:lineRule="auto"/>
        <w:jc w:val="left"/>
        <w:rPr>
          <w:rFonts w:hint="eastAsia" w:ascii="宋体" w:hAnsi="宋体" w:eastAsia="宋体" w:cs="宋体"/>
          <w:sz w:val="24"/>
          <w:szCs w:val="24"/>
        </w:rPr>
      </w:pPr>
      <w:bookmarkStart w:id="7" w:name="_Toc35393791"/>
      <w:bookmarkStart w:id="8" w:name="_Toc28359003"/>
      <w:bookmarkStart w:id="9" w:name="_Toc28359080"/>
      <w:bookmarkStart w:id="10" w:name="_Toc35393622"/>
      <w:r>
        <w:rPr>
          <w:rFonts w:hint="eastAsia" w:ascii="宋体" w:hAnsi="宋体" w:eastAsia="宋体" w:cs="宋体"/>
          <w:sz w:val="24"/>
          <w:szCs w:val="24"/>
        </w:rPr>
        <w:t>二、申请人的资格要求（须同时满足）</w:t>
      </w:r>
      <w:bookmarkEnd w:id="7"/>
      <w:bookmarkEnd w:id="8"/>
      <w:bookmarkEnd w:id="9"/>
      <w:bookmarkEnd w:id="10"/>
    </w:p>
    <w:p w14:paraId="4986B25B">
      <w:pPr>
        <w:spacing w:line="360" w:lineRule="auto"/>
        <w:ind w:firstLine="480" w:firstLineChars="200"/>
        <w:outlineLvl w:val="2"/>
        <w:rPr>
          <w:rFonts w:hint="eastAsia" w:ascii="宋体" w:hAnsi="宋体" w:eastAsia="宋体" w:cs="宋体"/>
          <w:sz w:val="24"/>
        </w:rPr>
      </w:pPr>
      <w:r>
        <w:rPr>
          <w:rFonts w:hint="eastAsia" w:ascii="宋体" w:hAnsi="宋体" w:eastAsia="宋体" w:cs="宋体"/>
          <w:sz w:val="24"/>
        </w:rPr>
        <w:t>1.满足《中华人民共和国政府采购法》第二十二条规定；</w:t>
      </w:r>
    </w:p>
    <w:p w14:paraId="6CF1EE88">
      <w:pPr>
        <w:spacing w:line="360" w:lineRule="auto"/>
        <w:ind w:firstLine="480" w:firstLineChars="200"/>
        <w:outlineLvl w:val="2"/>
        <w:rPr>
          <w:rFonts w:hint="eastAsia" w:ascii="宋体" w:hAnsi="宋体" w:eastAsia="宋体" w:cs="宋体"/>
          <w:sz w:val="24"/>
          <w:highlight w:val="none"/>
        </w:rPr>
      </w:pPr>
      <w:bookmarkStart w:id="11" w:name="_Toc28359081"/>
      <w:bookmarkStart w:id="12" w:name="_Toc28359004"/>
      <w:r>
        <w:rPr>
          <w:rFonts w:hint="eastAsia" w:ascii="宋体" w:hAnsi="宋体" w:eastAsia="宋体" w:cs="宋体"/>
          <w:sz w:val="24"/>
        </w:rPr>
        <w:t>2.落实政府采购政</w:t>
      </w:r>
      <w:r>
        <w:rPr>
          <w:rFonts w:hint="eastAsia" w:ascii="宋体" w:hAnsi="宋体" w:eastAsia="宋体" w:cs="宋体"/>
          <w:sz w:val="24"/>
          <w:highlight w:val="none"/>
        </w:rPr>
        <w:t>策需满足的资格要求：</w:t>
      </w:r>
    </w:p>
    <w:p w14:paraId="6D128C1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中小企业政策</w:t>
      </w:r>
    </w:p>
    <w:p w14:paraId="01A60287">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eastAsia="zh-CN"/>
        </w:rPr>
        <w:t>□</w:t>
      </w:r>
      <w:r>
        <w:rPr>
          <w:rFonts w:hint="eastAsia" w:ascii="宋体" w:hAnsi="宋体" w:eastAsia="宋体" w:cs="宋体"/>
          <w:sz w:val="24"/>
          <w:highlight w:val="none"/>
        </w:rPr>
        <w:t xml:space="preserve"> 本项目不专门面向中小企业预留采购份额。</w:t>
      </w:r>
    </w:p>
    <w:p w14:paraId="7A9C35E3">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eastAsia="zh-CN"/>
        </w:rPr>
        <w:t>☑</w:t>
      </w:r>
      <w:r>
        <w:rPr>
          <w:rFonts w:hint="eastAsia" w:ascii="宋体" w:hAnsi="宋体" w:eastAsia="宋体" w:cs="宋体"/>
          <w:sz w:val="24"/>
          <w:highlight w:val="none"/>
        </w:rPr>
        <w:t xml:space="preserve"> 本项目专门面向  </w:t>
      </w:r>
      <w:r>
        <w:rPr>
          <w:rFonts w:hint="eastAsia" w:ascii="宋体" w:hAnsi="宋体" w:cs="宋体"/>
          <w:sz w:val="24"/>
          <w:highlight w:val="none"/>
          <w:lang w:eastAsia="zh-CN"/>
        </w:rPr>
        <w:t>□</w:t>
      </w:r>
      <w:r>
        <w:rPr>
          <w:rFonts w:hint="eastAsia" w:ascii="宋体" w:hAnsi="宋体" w:eastAsia="宋体" w:cs="宋体"/>
          <w:sz w:val="24"/>
          <w:highlight w:val="none"/>
        </w:rPr>
        <w:t xml:space="preserve"> 中小 </w:t>
      </w:r>
      <w:r>
        <w:rPr>
          <w:rFonts w:hint="eastAsia" w:ascii="宋体" w:hAnsi="宋体" w:cs="宋体"/>
          <w:sz w:val="24"/>
          <w:highlight w:val="none"/>
          <w:lang w:eastAsia="zh-CN"/>
        </w:rPr>
        <w:t>☑</w:t>
      </w:r>
      <w:r>
        <w:rPr>
          <w:rFonts w:hint="eastAsia" w:ascii="宋体" w:hAnsi="宋体" w:eastAsia="宋体" w:cs="宋体"/>
          <w:sz w:val="24"/>
          <w:highlight w:val="none"/>
        </w:rPr>
        <w:t xml:space="preserve"> 小微企业  采购。即：提供的服务全部由符合政策要求的小微企业承接。</w:t>
      </w:r>
    </w:p>
    <w:p w14:paraId="032712FF">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eastAsia="zh-CN"/>
        </w:rPr>
        <w:t>□</w:t>
      </w:r>
      <w:r>
        <w:rPr>
          <w:rFonts w:hint="eastAsia" w:ascii="宋体" w:hAnsi="宋体" w:eastAsia="宋体" w:cs="宋体"/>
          <w:sz w:val="24"/>
          <w:highlight w:val="none"/>
        </w:rPr>
        <w:t xml:space="preserve"> 本项目全部预留采购项目预算专门面向中小企业采购。对于预留份额，提供的服务由符合政策要求的中小企业承接。</w:t>
      </w:r>
    </w:p>
    <w:p w14:paraId="126D145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其它落实政府采购政策的资格要求（如有）：</w:t>
      </w:r>
    </w:p>
    <w:p w14:paraId="34BC36C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（1）投标人必须符合《中华人民共和国政府采购法》第二十二条之规定；</w:t>
      </w:r>
    </w:p>
    <w:p w14:paraId="4EE0049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（2）落实政府采购政策需满足的资格要求：是否专门面向小微型企业采购：</w:t>
      </w:r>
      <w:r>
        <w:rPr>
          <w:rFonts w:hint="eastAsia" w:ascii="宋体" w:hAnsi="宋体" w:cs="宋体"/>
          <w:sz w:val="24"/>
          <w:highlight w:val="none"/>
          <w:lang w:val="en-US" w:eastAsia="zh-CN"/>
        </w:rPr>
        <w:t>是</w:t>
      </w:r>
      <w:r>
        <w:rPr>
          <w:rFonts w:hint="eastAsia" w:ascii="宋体" w:hAnsi="宋体" w:eastAsia="宋体" w:cs="宋体"/>
          <w:sz w:val="24"/>
          <w:highlight w:val="none"/>
        </w:rPr>
        <w:t>；</w:t>
      </w:r>
    </w:p>
    <w:p w14:paraId="4CBBA7EF">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（3）供应商必须为未被列入信用中国网站(www.creditchina.gov.cn) 重大税收违法失信主体、中国执行信息公开网（http://zxgk.court.gov.cn/shixin/）失信被执行人、中国政府采购网(www.ccgp.gov.cn)政府采购严重违法失信行为信息记录；</w:t>
      </w:r>
    </w:p>
    <w:p w14:paraId="1CAEB655">
      <w:pPr>
        <w:spacing w:line="360" w:lineRule="auto"/>
        <w:ind w:firstLine="480" w:firstLineChars="200"/>
        <w:rPr>
          <w:rFonts w:hint="eastAsia" w:ascii="宋体" w:hAnsi="宋体" w:eastAsia="宋体" w:cs="宋体"/>
          <w:sz w:val="24"/>
        </w:rPr>
      </w:pPr>
      <w:r>
        <w:rPr>
          <w:rFonts w:hint="eastAsia" w:ascii="宋体" w:hAnsi="宋体" w:eastAsia="宋体" w:cs="宋体"/>
          <w:sz w:val="24"/>
        </w:rPr>
        <w:t>（4）单位负责人为同一人或者存在直接控股、管理关系的不同供应商，不得同时参加本项目的投标活动；</w:t>
      </w:r>
    </w:p>
    <w:p w14:paraId="6203B781">
      <w:pPr>
        <w:spacing w:line="360" w:lineRule="auto"/>
        <w:ind w:firstLine="480" w:firstLineChars="200"/>
        <w:rPr>
          <w:rFonts w:hint="eastAsia" w:ascii="宋体" w:hAnsi="宋体" w:eastAsia="宋体" w:cs="宋体"/>
          <w:sz w:val="24"/>
        </w:rPr>
      </w:pPr>
      <w:r>
        <w:rPr>
          <w:rFonts w:hint="eastAsia" w:ascii="宋体" w:hAnsi="宋体" w:eastAsia="宋体" w:cs="宋体"/>
          <w:sz w:val="24"/>
        </w:rPr>
        <w:t>（5）本项目不允许转包，不接受联合体投标。</w:t>
      </w:r>
    </w:p>
    <w:p w14:paraId="136F2BA7">
      <w:pPr>
        <w:pStyle w:val="45"/>
        <w:spacing w:line="360" w:lineRule="auto"/>
        <w:ind w:left="0" w:leftChars="0" w:firstLine="480"/>
        <w:outlineLvl w:val="2"/>
        <w:rPr>
          <w:rFonts w:hint="eastAsia" w:ascii="宋体" w:hAnsi="宋体" w:eastAsia="宋体" w:cs="宋体"/>
          <w:highlight w:val="none"/>
          <w:lang w:val="en-US" w:eastAsia="zh-CN"/>
        </w:rPr>
      </w:pPr>
      <w:r>
        <w:rPr>
          <w:rFonts w:hint="eastAsia" w:ascii="宋体" w:hAnsi="宋体" w:eastAsia="宋体" w:cs="宋体"/>
          <w:highlight w:val="none"/>
        </w:rPr>
        <w:t>3.本项目的特定资格要求：</w:t>
      </w:r>
      <w:r>
        <w:rPr>
          <w:rFonts w:hint="eastAsia" w:ascii="宋体" w:hAnsi="宋体" w:cs="宋体"/>
          <w:highlight w:val="none"/>
          <w:lang w:val="en-US" w:eastAsia="zh-CN"/>
        </w:rPr>
        <w:t>无</w:t>
      </w:r>
    </w:p>
    <w:p w14:paraId="41A18336">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3.1本项目是否接受分支机构参与投标：</w:t>
      </w:r>
      <w:r>
        <w:rPr>
          <w:rFonts w:hint="eastAsia" w:ascii="宋体" w:hAnsi="宋体" w:cs="宋体"/>
          <w:sz w:val="24"/>
          <w:lang w:eastAsia="zh-CN"/>
        </w:rPr>
        <w:t>□</w:t>
      </w:r>
      <w:r>
        <w:rPr>
          <w:rFonts w:hint="eastAsia" w:ascii="宋体" w:hAnsi="宋体" w:cs="宋体"/>
          <w:sz w:val="24"/>
          <w:lang w:val="en-US" w:eastAsia="zh-CN"/>
        </w:rPr>
        <w:t xml:space="preserve"> </w:t>
      </w:r>
      <w:r>
        <w:rPr>
          <w:rFonts w:hint="eastAsia" w:ascii="宋体" w:hAnsi="宋体" w:eastAsia="宋体" w:cs="宋体"/>
          <w:sz w:val="24"/>
        </w:rPr>
        <w:t xml:space="preserve">是   </w:t>
      </w:r>
      <w:r>
        <w:rPr>
          <w:rFonts w:hint="eastAsia" w:ascii="宋体" w:hAnsi="宋体" w:cs="宋体"/>
          <w:sz w:val="24"/>
          <w:lang w:eastAsia="zh-CN"/>
        </w:rPr>
        <w:t>☑</w:t>
      </w:r>
      <w:r>
        <w:rPr>
          <w:rFonts w:hint="eastAsia" w:ascii="宋体" w:hAnsi="宋体" w:eastAsia="宋体" w:cs="宋体"/>
          <w:sz w:val="24"/>
        </w:rPr>
        <w:t xml:space="preserve"> 否；</w:t>
      </w:r>
    </w:p>
    <w:p w14:paraId="0EA56A31">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3.2本项目是否属于政府购买服务：</w:t>
      </w:r>
    </w:p>
    <w:p w14:paraId="63B4BBA7">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sz w:val="24"/>
          <w:lang w:eastAsia="zh-CN"/>
        </w:rPr>
        <w:t>☑</w:t>
      </w:r>
      <w:r>
        <w:rPr>
          <w:rFonts w:hint="eastAsia" w:ascii="宋体" w:hAnsi="宋体" w:eastAsia="宋体" w:cs="宋体"/>
          <w:sz w:val="24"/>
        </w:rPr>
        <w:t xml:space="preserve"> 否</w:t>
      </w:r>
    </w:p>
    <w:p w14:paraId="1F352118">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sz w:val="24"/>
          <w:highlight w:val="none"/>
        </w:rPr>
        <w:t>□是，公益一类事业单位、使用事业编制且由财政拨款保障的群团组织，不得作为承接主体；</w:t>
      </w:r>
    </w:p>
    <w:bookmarkEnd w:id="11"/>
    <w:bookmarkEnd w:id="12"/>
    <w:p w14:paraId="094B5F49">
      <w:pPr>
        <w:pStyle w:val="4"/>
        <w:widowControl/>
        <w:spacing w:before="0" w:line="360" w:lineRule="auto"/>
        <w:jc w:val="left"/>
        <w:rPr>
          <w:rFonts w:hint="eastAsia" w:ascii="宋体" w:hAnsi="宋体" w:eastAsia="宋体" w:cs="宋体"/>
          <w:sz w:val="24"/>
          <w:szCs w:val="24"/>
          <w:highlight w:val="none"/>
        </w:rPr>
      </w:pPr>
      <w:bookmarkStart w:id="13" w:name="_Toc35393623"/>
      <w:bookmarkStart w:id="14" w:name="_Toc35393792"/>
      <w:r>
        <w:rPr>
          <w:rFonts w:hint="eastAsia" w:ascii="宋体" w:hAnsi="宋体" w:eastAsia="宋体" w:cs="宋体"/>
          <w:sz w:val="24"/>
          <w:szCs w:val="24"/>
          <w:highlight w:val="none"/>
        </w:rPr>
        <w:t>三、获取招标文件</w:t>
      </w:r>
      <w:bookmarkEnd w:id="13"/>
      <w:bookmarkEnd w:id="14"/>
    </w:p>
    <w:p w14:paraId="18ACC77D">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1.时间：202</w:t>
      </w:r>
      <w:r>
        <w:rPr>
          <w:rFonts w:hint="eastAsia" w:ascii="宋体" w:hAnsi="宋体" w:cs="宋体"/>
          <w:sz w:val="24"/>
          <w:highlight w:val="none"/>
          <w:lang w:val="en-US" w:eastAsia="zh-CN" w:bidi="ar"/>
        </w:rPr>
        <w:t>5</w:t>
      </w:r>
      <w:r>
        <w:rPr>
          <w:rFonts w:hint="eastAsia" w:ascii="宋体" w:hAnsi="宋体" w:eastAsia="宋体" w:cs="宋体"/>
          <w:sz w:val="24"/>
          <w:highlight w:val="none"/>
          <w:lang w:bidi="ar"/>
        </w:rPr>
        <w:t>年07月18日至202</w:t>
      </w:r>
      <w:r>
        <w:rPr>
          <w:rFonts w:hint="eastAsia" w:ascii="宋体" w:hAnsi="宋体" w:cs="宋体"/>
          <w:sz w:val="24"/>
          <w:highlight w:val="none"/>
          <w:lang w:val="en-US" w:eastAsia="zh-CN" w:bidi="ar"/>
        </w:rPr>
        <w:t>5</w:t>
      </w:r>
      <w:r>
        <w:rPr>
          <w:rFonts w:hint="eastAsia" w:ascii="宋体" w:hAnsi="宋体" w:eastAsia="宋体" w:cs="宋体"/>
          <w:sz w:val="24"/>
          <w:highlight w:val="none"/>
          <w:lang w:bidi="ar"/>
        </w:rPr>
        <w:t>年07月24日，每天上午09:00至11:00，下午14:00至16:00（北京时间，法定节假日除外）。</w:t>
      </w:r>
    </w:p>
    <w:p w14:paraId="1A15FC6E">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2.地点：北京市政府采购电子交易平台</w:t>
      </w:r>
    </w:p>
    <w:p w14:paraId="20FD3940">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bidi="ar"/>
        </w:rPr>
        <w:t>3.方式：</w:t>
      </w:r>
      <w:r>
        <w:rPr>
          <w:rFonts w:hint="eastAsia" w:ascii="宋体" w:hAnsi="宋体" w:eastAsia="宋体" w:cs="宋体"/>
          <w:sz w:val="24"/>
          <w:highlight w:val="none"/>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79824B95">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CA数字证书服务热线 010-58511086</w:t>
      </w:r>
    </w:p>
    <w:p w14:paraId="22B866A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电子营业执照服务热线 400-699-7000</w:t>
      </w:r>
    </w:p>
    <w:p w14:paraId="4580A57F">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技术支持服务热线 010-86483801</w:t>
      </w:r>
    </w:p>
    <w:p w14:paraId="51999E2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.1办理CA数字证书或电子营业执照</w:t>
      </w:r>
    </w:p>
    <w:p w14:paraId="78DBE98F">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供应商登录北京市政府采购电子交易平台查阅 “用户指南”—“操作指南”—“市场主体CA办理操作流程指引”/“电子营业执照使用指南”，按照程序要求办理。</w:t>
      </w:r>
    </w:p>
    <w:p w14:paraId="20B8B26C">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.2注册</w:t>
      </w:r>
    </w:p>
    <w:p w14:paraId="645033C7">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供应商登录北京市政府采购电子交易平台“用户指南”—“操作指南”—“市场主体注册入库操作流程指引”进行自助注册绑定。</w:t>
      </w:r>
    </w:p>
    <w:p w14:paraId="5B99CFFB">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.3驱动、客户端下载</w:t>
      </w:r>
    </w:p>
    <w:p w14:paraId="1F812B15">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供应商登录北京市政府采购电子交易平台“用户指南”—“工具下载”—“招标采购系统文件驱动安装包”下载相关驱动。</w:t>
      </w:r>
    </w:p>
    <w:p w14:paraId="0DB7A797">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供应商登录北京市政府采购电子交易平台“用户指南”—“工具下载”—“投标文件编制工具”下载相关客户端。</w:t>
      </w:r>
    </w:p>
    <w:p w14:paraId="130B6D46">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.4 获取电子招标文件</w:t>
      </w:r>
    </w:p>
    <w:p w14:paraId="45CD2940">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供应商使用CA数字证书或电子营业执照登录北京市政府采购电子交易平台获取电子招标文件。</w:t>
      </w:r>
    </w:p>
    <w:p w14:paraId="0F8B4235">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29907BAC">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.5编制电子投标文件</w:t>
      </w:r>
    </w:p>
    <w:p w14:paraId="1093F891">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0D93D06E">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.6提交电子投标文件</w:t>
      </w:r>
    </w:p>
    <w:p w14:paraId="03BA5B27">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供应商应于投标截止时间前在北京市政府采购电子交易平台提交电子投标文件，上传电子投标文件过程中请保持与互联网的连接畅通。</w:t>
      </w:r>
    </w:p>
    <w:p w14:paraId="4CD7EB6B">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.7电子开标</w:t>
      </w:r>
    </w:p>
    <w:p w14:paraId="501DB407">
      <w:pPr>
        <w:pStyle w:val="15"/>
        <w:spacing w:line="360" w:lineRule="auto"/>
        <w:ind w:left="0" w:leftChars="0" w:firstLine="480" w:firstLineChars="200"/>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rPr>
        <w:t>供应商在开标地点使用CA数字证书或电子营业执照登录北京市政府采购电子交易平台进行电子开标</w:t>
      </w:r>
      <w:r>
        <w:rPr>
          <w:rFonts w:hint="eastAsia" w:ascii="宋体" w:hAnsi="宋体" w:eastAsia="宋体" w:cs="宋体"/>
          <w:b w:val="0"/>
          <w:bCs/>
          <w:sz w:val="24"/>
          <w:highlight w:val="none"/>
          <w:lang w:eastAsia="zh-CN"/>
        </w:rPr>
        <w:t>。</w:t>
      </w:r>
    </w:p>
    <w:p w14:paraId="0BE5AF65">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本项目采用电子投标及开标方式，由投标人自行对电子投标文件进行解密，不接受纸质文件。请投标人确保能够使用制作上传本项目电子投标文件的计算机设备及自身CA数字认证证书登录北京市政府采购电子交易平台，并于解密功能开启后及时进行自行解密操作</w:t>
      </w:r>
      <w:r>
        <w:rPr>
          <w:rFonts w:hint="eastAsia" w:ascii="宋体" w:hAnsi="宋体" w:eastAsia="宋体" w:cs="宋体"/>
          <w:sz w:val="24"/>
          <w:highlight w:val="none"/>
          <w:lang w:eastAsia="zh-CN"/>
        </w:rPr>
        <w:t>。</w:t>
      </w:r>
    </w:p>
    <w:p w14:paraId="5EAF393E">
      <w:pPr>
        <w:pStyle w:val="4"/>
        <w:widowControl/>
        <w:spacing w:before="0" w:line="360" w:lineRule="auto"/>
        <w:jc w:val="left"/>
        <w:rPr>
          <w:rFonts w:hint="eastAsia" w:ascii="宋体" w:hAnsi="宋体" w:eastAsia="宋体" w:cs="宋体"/>
          <w:sz w:val="24"/>
          <w:szCs w:val="24"/>
          <w:highlight w:val="none"/>
        </w:rPr>
      </w:pPr>
      <w:bookmarkStart w:id="15" w:name="_Toc28359005"/>
      <w:bookmarkStart w:id="16" w:name="_Toc28359082"/>
      <w:bookmarkStart w:id="17" w:name="_Toc35393793"/>
      <w:bookmarkStart w:id="18" w:name="_Toc35393624"/>
      <w:r>
        <w:rPr>
          <w:rFonts w:hint="eastAsia" w:ascii="宋体" w:hAnsi="宋体" w:eastAsia="宋体" w:cs="宋体"/>
          <w:sz w:val="24"/>
          <w:szCs w:val="24"/>
          <w:highlight w:val="none"/>
        </w:rPr>
        <w:t>四、提交投标文件</w:t>
      </w:r>
      <w:bookmarkEnd w:id="15"/>
      <w:bookmarkEnd w:id="16"/>
      <w:r>
        <w:rPr>
          <w:rFonts w:hint="eastAsia" w:ascii="宋体" w:hAnsi="宋体" w:eastAsia="宋体" w:cs="宋体"/>
          <w:sz w:val="24"/>
          <w:szCs w:val="24"/>
          <w:highlight w:val="none"/>
        </w:rPr>
        <w:t>截止时间、开标时间和地点</w:t>
      </w:r>
      <w:bookmarkEnd w:id="17"/>
      <w:bookmarkEnd w:id="18"/>
    </w:p>
    <w:p w14:paraId="2717F6CD">
      <w:pPr>
        <w:spacing w:line="360" w:lineRule="auto"/>
        <w:ind w:firstLine="480" w:firstLineChars="200"/>
        <w:rPr>
          <w:rFonts w:hint="eastAsia" w:ascii="宋体" w:hAnsi="宋体" w:eastAsia="宋体" w:cs="宋体"/>
          <w:bCs/>
          <w:sz w:val="24"/>
          <w:highlight w:val="none"/>
          <w:u w:val="single"/>
        </w:rPr>
      </w:pPr>
      <w:r>
        <w:rPr>
          <w:rFonts w:hint="eastAsia" w:ascii="宋体" w:hAnsi="宋体" w:eastAsia="宋体" w:cs="宋体"/>
          <w:sz w:val="24"/>
          <w:highlight w:val="none"/>
          <w:lang w:bidi="ar"/>
        </w:rPr>
        <w:t>投标截止时间、开标时间：</w:t>
      </w:r>
      <w:r>
        <w:rPr>
          <w:rFonts w:hint="eastAsia" w:ascii="宋体" w:hAnsi="宋体" w:cs="宋体"/>
          <w:sz w:val="24"/>
          <w:highlight w:val="none"/>
          <w:lang w:bidi="ar"/>
        </w:rPr>
        <w:t>202</w:t>
      </w:r>
      <w:r>
        <w:rPr>
          <w:rFonts w:hint="eastAsia" w:ascii="宋体" w:hAnsi="宋体" w:cs="宋体"/>
          <w:sz w:val="24"/>
          <w:highlight w:val="none"/>
          <w:lang w:val="en-US" w:eastAsia="zh-CN" w:bidi="ar"/>
        </w:rPr>
        <w:t>5</w:t>
      </w:r>
      <w:r>
        <w:rPr>
          <w:rFonts w:hint="eastAsia" w:ascii="宋体" w:hAnsi="宋体" w:cs="宋体"/>
          <w:sz w:val="24"/>
          <w:highlight w:val="none"/>
          <w:lang w:bidi="ar"/>
        </w:rPr>
        <w:t>年</w:t>
      </w:r>
      <w:r>
        <w:rPr>
          <w:rFonts w:hint="eastAsia" w:ascii="宋体" w:hAnsi="宋体" w:cs="宋体"/>
          <w:sz w:val="24"/>
          <w:highlight w:val="none"/>
          <w:lang w:val="en-US" w:eastAsia="zh-CN" w:bidi="ar"/>
        </w:rPr>
        <w:t>08</w:t>
      </w:r>
      <w:r>
        <w:rPr>
          <w:rFonts w:hint="eastAsia" w:ascii="宋体" w:hAnsi="宋体" w:cs="宋体"/>
          <w:sz w:val="24"/>
          <w:highlight w:val="none"/>
          <w:lang w:bidi="ar"/>
        </w:rPr>
        <w:t>月</w:t>
      </w:r>
      <w:r>
        <w:rPr>
          <w:rFonts w:hint="eastAsia" w:ascii="宋体" w:hAnsi="宋体" w:cs="宋体"/>
          <w:sz w:val="24"/>
          <w:highlight w:val="none"/>
          <w:lang w:val="en-US" w:eastAsia="zh-CN" w:bidi="ar"/>
        </w:rPr>
        <w:t>08</w:t>
      </w:r>
      <w:r>
        <w:rPr>
          <w:rFonts w:hint="eastAsia" w:ascii="宋体" w:hAnsi="宋体" w:cs="宋体"/>
          <w:sz w:val="24"/>
          <w:highlight w:val="none"/>
          <w:lang w:bidi="ar"/>
        </w:rPr>
        <w:t>日</w:t>
      </w:r>
      <w:r>
        <w:rPr>
          <w:rFonts w:hint="eastAsia" w:ascii="宋体" w:hAnsi="宋体" w:cs="宋体"/>
          <w:sz w:val="24"/>
          <w:highlight w:val="none"/>
          <w:lang w:val="en-US" w:eastAsia="zh-CN" w:bidi="ar"/>
        </w:rPr>
        <w:t>09</w:t>
      </w:r>
      <w:r>
        <w:rPr>
          <w:rFonts w:hint="eastAsia" w:ascii="宋体" w:hAnsi="宋体" w:cs="宋体"/>
          <w:sz w:val="24"/>
          <w:highlight w:val="none"/>
          <w:lang w:bidi="ar"/>
        </w:rPr>
        <w:t>点</w:t>
      </w:r>
      <w:r>
        <w:rPr>
          <w:rFonts w:hint="eastAsia" w:ascii="宋体" w:hAnsi="宋体" w:cs="宋体"/>
          <w:sz w:val="24"/>
          <w:highlight w:val="none"/>
          <w:lang w:val="en-US" w:eastAsia="zh-CN" w:bidi="ar"/>
        </w:rPr>
        <w:t>00</w:t>
      </w:r>
      <w:r>
        <w:rPr>
          <w:rFonts w:hint="eastAsia" w:ascii="宋体" w:hAnsi="宋体" w:cs="宋体"/>
          <w:sz w:val="24"/>
          <w:highlight w:val="none"/>
          <w:lang w:bidi="ar"/>
        </w:rPr>
        <w:t>分</w:t>
      </w:r>
      <w:r>
        <w:rPr>
          <w:rFonts w:hint="eastAsia" w:ascii="宋体" w:hAnsi="宋体" w:eastAsia="宋体" w:cs="宋体"/>
          <w:bCs/>
          <w:sz w:val="24"/>
          <w:highlight w:val="none"/>
          <w:lang w:bidi="ar"/>
        </w:rPr>
        <w:t>（北京时间）</w:t>
      </w:r>
      <w:r>
        <w:rPr>
          <w:rFonts w:hint="eastAsia" w:ascii="宋体" w:hAnsi="宋体" w:eastAsia="宋体" w:cs="宋体"/>
          <w:iCs/>
          <w:sz w:val="24"/>
          <w:highlight w:val="none"/>
          <w:lang w:bidi="ar"/>
        </w:rPr>
        <w:t>。</w:t>
      </w:r>
    </w:p>
    <w:p w14:paraId="7E7F2A96">
      <w:pPr>
        <w:spacing w:line="360" w:lineRule="auto"/>
        <w:ind w:firstLine="480" w:firstLineChars="200"/>
        <w:rPr>
          <w:rFonts w:hint="eastAsia" w:ascii="宋体" w:hAnsi="宋体" w:eastAsia="宋体" w:cs="宋体"/>
          <w:bCs/>
          <w:sz w:val="24"/>
          <w:highlight w:val="none"/>
          <w:u w:val="single"/>
        </w:rPr>
      </w:pPr>
      <w:r>
        <w:rPr>
          <w:rFonts w:hint="eastAsia" w:ascii="宋体" w:hAnsi="宋体" w:eastAsia="宋体" w:cs="宋体"/>
          <w:sz w:val="24"/>
          <w:highlight w:val="none"/>
          <w:lang w:bidi="ar"/>
        </w:rPr>
        <w:t>地点：</w:t>
      </w:r>
      <w:r>
        <w:rPr>
          <w:rFonts w:hint="eastAsia" w:ascii="宋体" w:hAnsi="宋体" w:eastAsia="宋体" w:cs="宋体"/>
          <w:sz w:val="24"/>
        </w:rPr>
        <w:t>本项目采用远程电子开标方式，由投标人自行对电子投标文件进行解密</w:t>
      </w:r>
      <w:r>
        <w:rPr>
          <w:rFonts w:hint="eastAsia" w:ascii="宋体" w:hAnsi="宋体" w:eastAsia="宋体" w:cs="宋体"/>
          <w:sz w:val="24"/>
          <w:highlight w:val="none"/>
          <w:lang w:val="zh-TW" w:bidi="ar"/>
        </w:rPr>
        <w:t>。</w:t>
      </w:r>
    </w:p>
    <w:p w14:paraId="10938E97">
      <w:pPr>
        <w:pStyle w:val="4"/>
        <w:spacing w:before="0" w:line="360" w:lineRule="auto"/>
        <w:jc w:val="left"/>
        <w:rPr>
          <w:rFonts w:hint="eastAsia" w:ascii="宋体" w:hAnsi="宋体" w:eastAsia="宋体" w:cs="宋体"/>
          <w:sz w:val="24"/>
          <w:szCs w:val="24"/>
          <w:highlight w:val="none"/>
        </w:rPr>
      </w:pPr>
      <w:bookmarkStart w:id="19" w:name="_Toc28359084"/>
      <w:bookmarkStart w:id="20" w:name="_Toc35393625"/>
      <w:bookmarkStart w:id="21" w:name="_Toc28359007"/>
      <w:bookmarkStart w:id="22" w:name="_Toc35393794"/>
      <w:r>
        <w:rPr>
          <w:rFonts w:hint="eastAsia" w:ascii="宋体" w:hAnsi="宋体" w:eastAsia="宋体" w:cs="宋体"/>
          <w:sz w:val="24"/>
          <w:szCs w:val="24"/>
          <w:highlight w:val="none"/>
        </w:rPr>
        <w:t>五、公告期限</w:t>
      </w:r>
      <w:bookmarkEnd w:id="19"/>
      <w:bookmarkEnd w:id="20"/>
      <w:bookmarkEnd w:id="21"/>
      <w:bookmarkEnd w:id="22"/>
    </w:p>
    <w:p w14:paraId="79B24B3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自本公告发布之日起5个工作日。</w:t>
      </w:r>
    </w:p>
    <w:p w14:paraId="3CB7CB01">
      <w:pPr>
        <w:pStyle w:val="4"/>
        <w:spacing w:before="0" w:line="360" w:lineRule="auto"/>
        <w:jc w:val="left"/>
        <w:rPr>
          <w:rFonts w:hint="eastAsia" w:ascii="宋体" w:hAnsi="宋体" w:eastAsia="宋体" w:cs="宋体"/>
          <w:sz w:val="24"/>
          <w:szCs w:val="24"/>
        </w:rPr>
      </w:pPr>
      <w:bookmarkStart w:id="23" w:name="_Toc35393626"/>
      <w:bookmarkStart w:id="24" w:name="_Toc35393795"/>
      <w:r>
        <w:rPr>
          <w:rFonts w:hint="eastAsia" w:ascii="宋体" w:hAnsi="宋体" w:eastAsia="宋体" w:cs="宋体"/>
          <w:sz w:val="24"/>
          <w:szCs w:val="24"/>
        </w:rPr>
        <w:t>六、其他补充事宜</w:t>
      </w:r>
      <w:bookmarkEnd w:id="23"/>
      <w:bookmarkEnd w:id="24"/>
    </w:p>
    <w:p w14:paraId="7815F79B">
      <w:pPr>
        <w:spacing w:line="360" w:lineRule="auto"/>
        <w:ind w:firstLine="480" w:firstLineChars="200"/>
        <w:rPr>
          <w:rFonts w:hint="eastAsia" w:ascii="宋体" w:hAnsi="宋体" w:eastAsia="宋体" w:cs="宋体"/>
          <w:sz w:val="24"/>
          <w:lang w:bidi="ar"/>
        </w:rPr>
      </w:pPr>
      <w:r>
        <w:rPr>
          <w:rFonts w:hint="eastAsia" w:ascii="宋体" w:hAnsi="宋体" w:eastAsia="宋体" w:cs="宋体"/>
          <w:sz w:val="24"/>
        </w:rPr>
        <w:t>1.本项目需要落实的政府采购政策：《中华人民共和国政府采购法》《中华人民共和国政府采购法实施条例》《政府采购货物和服务招标投标管理办法》（财政部第87号令）、《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号）、《关于印发环境标志产品政府采购品目清单的通知》（财库[2019]18号）、《财政部发展改革委关于印发节能产品政府采购品目清单的通知》（财库[2019]19号）、《政府采购促进中小企业发展管理办法》（财库[2020]46号）及其他相关法律法规</w:t>
      </w:r>
      <w:r>
        <w:rPr>
          <w:rFonts w:hint="eastAsia" w:ascii="宋体" w:hAnsi="宋体" w:eastAsia="宋体" w:cs="宋体"/>
          <w:sz w:val="24"/>
          <w:lang w:bidi="ar"/>
        </w:rPr>
        <w:t>。</w:t>
      </w:r>
    </w:p>
    <w:p w14:paraId="4D01FC49">
      <w:pPr>
        <w:spacing w:line="360" w:lineRule="auto"/>
        <w:ind w:firstLine="420" w:firstLineChars="200"/>
        <w:rPr>
          <w:rFonts w:hint="eastAsia" w:ascii="宋体" w:hAnsi="宋体" w:eastAsia="宋体" w:cs="宋体"/>
          <w:lang w:val="en-US" w:eastAsia="zh-CN"/>
        </w:rPr>
      </w:pPr>
      <w:bookmarkStart w:id="25" w:name="_Toc35393796"/>
      <w:bookmarkStart w:id="26" w:name="_Toc28359008"/>
      <w:bookmarkStart w:id="27" w:name="_Toc35393627"/>
      <w:bookmarkStart w:id="28" w:name="_Toc28359085"/>
    </w:p>
    <w:p w14:paraId="1F64049F">
      <w:pPr>
        <w:pStyle w:val="4"/>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七、对本次招标提出询问，请按以下方式联系。</w:t>
      </w:r>
      <w:bookmarkEnd w:id="25"/>
      <w:bookmarkEnd w:id="26"/>
      <w:bookmarkEnd w:id="27"/>
      <w:bookmarkEnd w:id="28"/>
    </w:p>
    <w:p w14:paraId="13BA551A">
      <w:pPr>
        <w:widowControl/>
        <w:spacing w:line="360" w:lineRule="auto"/>
        <w:jc w:val="left"/>
        <w:outlineLvl w:val="2"/>
        <w:rPr>
          <w:rFonts w:hint="eastAsia" w:ascii="宋体" w:hAnsi="宋体" w:eastAsia="宋体" w:cs="宋体"/>
          <w:b/>
          <w:sz w:val="24"/>
        </w:rPr>
      </w:pPr>
      <w:r>
        <w:rPr>
          <w:rFonts w:hint="eastAsia" w:ascii="宋体" w:hAnsi="宋体" w:eastAsia="宋体" w:cs="宋体"/>
          <w:sz w:val="24"/>
        </w:rPr>
        <w:t>　　　</w:t>
      </w:r>
      <w:r>
        <w:rPr>
          <w:rFonts w:hint="eastAsia" w:ascii="宋体" w:hAnsi="宋体" w:eastAsia="宋体" w:cs="宋体"/>
          <w:b/>
          <w:sz w:val="24"/>
        </w:rPr>
        <w:t>1.采购人信息</w:t>
      </w:r>
    </w:p>
    <w:p w14:paraId="518A8D92">
      <w:pPr>
        <w:spacing w:line="360" w:lineRule="auto"/>
        <w:ind w:left="1079" w:leftChars="371" w:hanging="300" w:hangingChars="125"/>
        <w:jc w:val="left"/>
        <w:rPr>
          <w:rFonts w:hint="eastAsia" w:ascii="宋体" w:hAnsi="宋体" w:eastAsia="宋体" w:cs="宋体"/>
          <w:sz w:val="24"/>
          <w:lang w:eastAsia="zh-CN"/>
        </w:rPr>
      </w:pPr>
      <w:bookmarkStart w:id="29" w:name="_Toc28359009"/>
      <w:bookmarkStart w:id="30" w:name="_Toc28359086"/>
      <w:r>
        <w:rPr>
          <w:rFonts w:hint="eastAsia" w:ascii="宋体" w:hAnsi="宋体" w:cs="宋体"/>
          <w:sz w:val="24"/>
        </w:rPr>
        <w:t>名    称：</w:t>
      </w:r>
      <w:r>
        <w:rPr>
          <w:rFonts w:hint="eastAsia" w:ascii="宋体" w:hAnsi="宋体" w:cs="宋体"/>
          <w:sz w:val="24"/>
          <w:lang w:eastAsia="zh-CN"/>
        </w:rPr>
        <w:t>北京市大兴区卫生健康委员会</w:t>
      </w:r>
    </w:p>
    <w:p w14:paraId="57295E7B">
      <w:pPr>
        <w:spacing w:line="360" w:lineRule="auto"/>
        <w:ind w:left="1079" w:leftChars="371" w:hanging="300" w:hangingChars="125"/>
        <w:jc w:val="left"/>
        <w:rPr>
          <w:rFonts w:ascii="宋体" w:hAnsi="宋体" w:cs="宋体"/>
          <w:sz w:val="24"/>
          <w:highlight w:val="yellow"/>
        </w:rPr>
      </w:pPr>
      <w:r>
        <w:rPr>
          <w:rFonts w:hint="eastAsia" w:ascii="宋体" w:hAnsi="宋体" w:cs="宋体"/>
          <w:sz w:val="24"/>
        </w:rPr>
        <w:t>地    址：北京市大兴区黄村西大街33号</w:t>
      </w:r>
    </w:p>
    <w:p w14:paraId="5B64636E">
      <w:pPr>
        <w:spacing w:line="360" w:lineRule="auto"/>
        <w:ind w:left="1079" w:leftChars="371" w:hanging="300" w:hangingChars="125"/>
        <w:jc w:val="left"/>
        <w:rPr>
          <w:rFonts w:hint="eastAsia" w:ascii="宋体" w:hAnsi="宋体" w:eastAsia="宋体" w:cs="宋体"/>
          <w:sz w:val="24"/>
          <w:u w:val="single"/>
          <w:lang w:eastAsia="zh-CN"/>
        </w:rPr>
      </w:pPr>
      <w:r>
        <w:rPr>
          <w:rFonts w:hint="eastAsia" w:ascii="宋体" w:hAnsi="宋体" w:cs="宋体"/>
          <w:sz w:val="24"/>
        </w:rPr>
        <w:t>联系方式：</w:t>
      </w:r>
      <w:r>
        <w:rPr>
          <w:rFonts w:hint="eastAsia" w:ascii="宋体" w:hAnsi="宋体" w:eastAsia="宋体" w:cs="宋体"/>
          <w:sz w:val="24"/>
          <w:highlight w:val="none"/>
        </w:rPr>
        <w:t>010-60283502</w:t>
      </w:r>
    </w:p>
    <w:p w14:paraId="37BDDD60">
      <w:pPr>
        <w:spacing w:line="360" w:lineRule="auto"/>
        <w:ind w:left="1080" w:leftChars="371" w:hanging="301" w:hangingChars="125"/>
        <w:jc w:val="left"/>
        <w:outlineLvl w:val="2"/>
        <w:rPr>
          <w:rFonts w:hint="eastAsia" w:ascii="宋体" w:hAnsi="宋体" w:eastAsia="宋体" w:cs="宋体"/>
          <w:b/>
          <w:sz w:val="24"/>
        </w:rPr>
      </w:pPr>
      <w:r>
        <w:rPr>
          <w:rFonts w:hint="eastAsia" w:ascii="宋体" w:hAnsi="宋体" w:eastAsia="宋体" w:cs="宋体"/>
          <w:b/>
          <w:sz w:val="24"/>
        </w:rPr>
        <w:t>2.采购代理机构信息</w:t>
      </w:r>
      <w:bookmarkEnd w:id="29"/>
      <w:bookmarkEnd w:id="30"/>
    </w:p>
    <w:p w14:paraId="20B0B53C">
      <w:pPr>
        <w:spacing w:line="360" w:lineRule="auto"/>
        <w:ind w:left="1079" w:leftChars="371" w:hanging="300" w:hangingChars="125"/>
        <w:jc w:val="left"/>
        <w:rPr>
          <w:rFonts w:hint="eastAsia" w:ascii="宋体" w:hAnsi="宋体" w:eastAsia="宋体" w:cs="宋体"/>
          <w:sz w:val="24"/>
        </w:rPr>
      </w:pPr>
      <w:bookmarkStart w:id="31" w:name="_Toc28359010"/>
      <w:bookmarkStart w:id="32" w:name="_Toc28359087"/>
      <w:r>
        <w:rPr>
          <w:rFonts w:hint="eastAsia" w:ascii="宋体" w:hAnsi="宋体" w:eastAsia="宋体" w:cs="宋体"/>
          <w:sz w:val="24"/>
        </w:rPr>
        <w:t>名    称：北京中兴天诚招标代理有限公司</w:t>
      </w:r>
    </w:p>
    <w:p w14:paraId="5AA27888">
      <w:pPr>
        <w:spacing w:line="360" w:lineRule="auto"/>
        <w:ind w:left="1079" w:leftChars="371" w:hanging="300" w:hangingChars="125"/>
        <w:jc w:val="left"/>
        <w:rPr>
          <w:rFonts w:hint="eastAsia" w:ascii="宋体" w:hAnsi="宋体" w:eastAsia="宋体" w:cs="宋体"/>
          <w:sz w:val="24"/>
        </w:rPr>
      </w:pPr>
      <w:r>
        <w:rPr>
          <w:rFonts w:hint="eastAsia" w:ascii="宋体" w:hAnsi="宋体" w:eastAsia="宋体" w:cs="宋体"/>
          <w:sz w:val="24"/>
        </w:rPr>
        <w:t>地    址：北京市大兴区清城北区27号楼B座1507室</w:t>
      </w:r>
    </w:p>
    <w:p w14:paraId="3B92A65D">
      <w:pPr>
        <w:spacing w:line="360" w:lineRule="auto"/>
        <w:ind w:left="1079" w:leftChars="371" w:hanging="300" w:hangingChars="125"/>
        <w:jc w:val="left"/>
        <w:rPr>
          <w:rFonts w:hint="eastAsia" w:ascii="宋体" w:hAnsi="宋体" w:eastAsia="宋体" w:cs="宋体"/>
          <w:sz w:val="24"/>
          <w:u w:val="single"/>
        </w:rPr>
      </w:pPr>
      <w:r>
        <w:rPr>
          <w:rFonts w:hint="eastAsia" w:ascii="宋体" w:hAnsi="宋体" w:eastAsia="宋体" w:cs="宋体"/>
          <w:sz w:val="24"/>
        </w:rPr>
        <w:t>联系方式：010-69256812</w:t>
      </w:r>
    </w:p>
    <w:p w14:paraId="1135E94C">
      <w:pPr>
        <w:spacing w:line="360" w:lineRule="auto"/>
        <w:ind w:firstLine="723" w:firstLineChars="300"/>
        <w:outlineLvl w:val="2"/>
        <w:rPr>
          <w:rFonts w:hint="eastAsia" w:ascii="宋体" w:hAnsi="宋体" w:eastAsia="宋体" w:cs="宋体"/>
          <w:b/>
          <w:sz w:val="24"/>
          <w:u w:val="single"/>
        </w:rPr>
      </w:pPr>
      <w:r>
        <w:rPr>
          <w:rFonts w:hint="eastAsia" w:ascii="宋体" w:hAnsi="宋体" w:eastAsia="宋体" w:cs="宋体"/>
          <w:b/>
          <w:sz w:val="24"/>
        </w:rPr>
        <w:t>3.项目联系方式</w:t>
      </w:r>
      <w:bookmarkEnd w:id="31"/>
      <w:bookmarkEnd w:id="32"/>
    </w:p>
    <w:p w14:paraId="3E5131DE">
      <w:pPr>
        <w:pStyle w:val="25"/>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项目联系人：</w:t>
      </w:r>
      <w:r>
        <w:rPr>
          <w:rFonts w:hint="eastAsia" w:hAnsi="宋体" w:cs="宋体"/>
          <w:sz w:val="24"/>
          <w:lang w:val="en-US" w:eastAsia="zh-CN"/>
        </w:rPr>
        <w:t>张</w:t>
      </w:r>
      <w:r>
        <w:rPr>
          <w:rFonts w:hint="eastAsia" w:ascii="宋体" w:hAnsi="宋体" w:eastAsia="宋体" w:cs="宋体"/>
          <w:sz w:val="24"/>
          <w:lang w:val="en-US" w:eastAsia="zh-CN"/>
        </w:rPr>
        <w:t>先生</w:t>
      </w:r>
    </w:p>
    <w:p w14:paraId="18954A74">
      <w:pPr>
        <w:pStyle w:val="25"/>
        <w:spacing w:line="360" w:lineRule="auto"/>
        <w:ind w:firstLine="720" w:firstLineChars="300"/>
        <w:rPr>
          <w:rFonts w:hint="eastAsia" w:ascii="宋体" w:hAnsi="宋体" w:eastAsia="宋体" w:cs="宋体"/>
          <w:sz w:val="24"/>
        </w:rPr>
      </w:pPr>
      <w:r>
        <w:rPr>
          <w:rFonts w:hint="eastAsia" w:ascii="宋体" w:hAnsi="宋体" w:eastAsia="宋体" w:cs="宋体"/>
          <w:sz w:val="24"/>
        </w:rPr>
        <w:t>电      话：010-69256812</w:t>
      </w:r>
    </w:p>
    <w:p w14:paraId="57BE7A4F">
      <w:pPr>
        <w:pStyle w:val="25"/>
        <w:spacing w:line="360" w:lineRule="auto"/>
        <w:jc w:val="center"/>
        <w:outlineLvl w:val="0"/>
        <w:rPr>
          <w:rFonts w:hint="eastAsia" w:ascii="宋体" w:hAnsi="宋体" w:eastAsia="宋体" w:cs="宋体"/>
          <w:b/>
          <w:sz w:val="32"/>
          <w:szCs w:val="32"/>
        </w:rPr>
      </w:pPr>
      <w:r>
        <w:rPr>
          <w:rFonts w:hint="eastAsia" w:ascii="宋体" w:hAnsi="宋体" w:eastAsia="宋体" w:cs="宋体"/>
          <w:sz w:val="24"/>
        </w:rPr>
        <w:br w:type="page"/>
      </w:r>
      <w:bookmarkStart w:id="33" w:name="_Toc353825548"/>
      <w:bookmarkStart w:id="34" w:name="_Toc195842950"/>
      <w:bookmarkStart w:id="35" w:name="_Toc150774783"/>
      <w:bookmarkStart w:id="36" w:name="_Toc226965856"/>
      <w:bookmarkStart w:id="37" w:name="_Toc512937850"/>
      <w:bookmarkStart w:id="38" w:name="_Toc99301420"/>
      <w:bookmarkStart w:id="39" w:name="_Toc265228423"/>
      <w:bookmarkStart w:id="40" w:name="_Toc127161488"/>
      <w:bookmarkStart w:id="41" w:name="_Toc305158854"/>
      <w:bookmarkStart w:id="42" w:name="_Toc127151777"/>
      <w:bookmarkStart w:id="43" w:name="_Toc264969275"/>
      <w:bookmarkStart w:id="44" w:name="_Toc305158928"/>
      <w:bookmarkStart w:id="45" w:name="_Toc353873938"/>
      <w:r>
        <w:rPr>
          <w:rFonts w:hint="eastAsia" w:ascii="宋体" w:hAnsi="宋体" w:eastAsia="宋体" w:cs="宋体"/>
          <w:b/>
          <w:sz w:val="36"/>
          <w:szCs w:val="36"/>
        </w:rPr>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14:paraId="3966D3EA">
      <w:pPr>
        <w:pStyle w:val="4"/>
        <w:tabs>
          <w:tab w:val="center" w:pos="4592"/>
          <w:tab w:val="left" w:pos="7860"/>
        </w:tabs>
        <w:spacing w:before="0" w:line="360" w:lineRule="auto"/>
        <w:rPr>
          <w:rFonts w:hint="eastAsia" w:ascii="宋体" w:hAnsi="宋体" w:eastAsia="宋体" w:cs="宋体"/>
          <w:sz w:val="28"/>
        </w:rPr>
      </w:pPr>
      <w:bookmarkStart w:id="46" w:name="_Toc226965709"/>
      <w:bookmarkStart w:id="47" w:name="_Toc127151519"/>
      <w:bookmarkStart w:id="48" w:name="_Toc164229360"/>
      <w:bookmarkStart w:id="49" w:name="_Toc195842884"/>
      <w:bookmarkStart w:id="50" w:name="_Toc127161433"/>
      <w:bookmarkStart w:id="51" w:name="_Toc164608788"/>
      <w:bookmarkStart w:id="52" w:name="_Toc151190146"/>
      <w:bookmarkStart w:id="53" w:name="_Toc164608633"/>
      <w:bookmarkStart w:id="54" w:name="_Toc150480757"/>
      <w:bookmarkStart w:id="55" w:name="_Toc150774619"/>
      <w:bookmarkStart w:id="56" w:name="_Toc520356144"/>
      <w:bookmarkStart w:id="57" w:name="_Toc164229214"/>
      <w:bookmarkStart w:id="58" w:name="_Toc151193761"/>
      <w:bookmarkStart w:id="59" w:name="_Toc142311021"/>
      <w:bookmarkStart w:id="60" w:name="_Toc150509270"/>
      <w:bookmarkStart w:id="61" w:name="_Toc151193907"/>
      <w:bookmarkStart w:id="62" w:name="_Toc226337215"/>
      <w:bookmarkStart w:id="63" w:name="_Toc151193833"/>
      <w:bookmarkStart w:id="64" w:name="_Toc151193617"/>
      <w:bookmarkStart w:id="65" w:name="_Toc149720812"/>
      <w:bookmarkStart w:id="66" w:name="_Toc150774724"/>
      <w:bookmarkStart w:id="67" w:name="_Toc226309763"/>
      <w:bookmarkStart w:id="68" w:name="_Toc151193689"/>
      <w:bookmarkStart w:id="69" w:name="_Toc226965792"/>
      <w:bookmarkStart w:id="70" w:name="_Toc127151720"/>
      <w:bookmarkStart w:id="71" w:name="_Toc164351613"/>
      <w:r>
        <w:rPr>
          <w:rFonts w:hint="eastAsia" w:ascii="宋体" w:hAnsi="宋体" w:eastAsia="宋体" w:cs="宋体"/>
          <w:sz w:val="28"/>
        </w:rPr>
        <w:t>投标人须知资料表</w:t>
      </w:r>
    </w:p>
    <w:p w14:paraId="0754173D">
      <w:pPr>
        <w:jc w:val="center"/>
        <w:rPr>
          <w:rFonts w:hint="eastAsia" w:ascii="宋体" w:hAnsi="宋体" w:eastAsia="宋体" w:cs="宋体"/>
          <w:b/>
          <w:sz w:val="28"/>
          <w:szCs w:val="28"/>
        </w:rPr>
      </w:pPr>
    </w:p>
    <w:p w14:paraId="3A9837D7">
      <w:pPr>
        <w:spacing w:line="360" w:lineRule="auto"/>
        <w:ind w:firstLine="480"/>
        <w:rPr>
          <w:rFonts w:hint="eastAsia" w:ascii="宋体" w:hAnsi="宋体" w:eastAsia="宋体" w:cs="宋体"/>
          <w:sz w:val="24"/>
        </w:rPr>
      </w:pPr>
      <w:r>
        <w:rPr>
          <w:rFonts w:hint="eastAsia" w:ascii="宋体" w:hAnsi="宋体" w:eastAsia="宋体" w:cs="宋体"/>
          <w:sz w:val="24"/>
        </w:rPr>
        <w:t>本表是对投标人须知的具体补充和修改，如有矛盾，均以本资料表为准。标记“</w:t>
      </w:r>
      <w:r>
        <w:rPr>
          <w:rFonts w:hint="eastAsia" w:ascii="宋体" w:hAnsi="宋体" w:eastAsia="宋体" w:cs="宋体"/>
          <w:b/>
          <w:sz w:val="24"/>
        </w:rPr>
        <w:t>■</w:t>
      </w:r>
      <w:r>
        <w:rPr>
          <w:rFonts w:hint="eastAsia" w:ascii="宋体" w:hAnsi="宋体" w:eastAsia="宋体" w:cs="宋体"/>
          <w:sz w:val="24"/>
        </w:rPr>
        <w:t>”的选项意为适用于本项目，标记“□”的选项意为不适用于本项目。</w:t>
      </w:r>
    </w:p>
    <w:tbl>
      <w:tblPr>
        <w:tblStyle w:val="46"/>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5A40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2083E6A2">
            <w:pPr>
              <w:jc w:val="center"/>
              <w:rPr>
                <w:rFonts w:hint="eastAsia" w:ascii="宋体" w:hAnsi="宋体" w:eastAsia="宋体" w:cs="宋体"/>
                <w:b/>
                <w:bCs/>
                <w:sz w:val="24"/>
              </w:rPr>
            </w:pPr>
            <w:r>
              <w:rPr>
                <w:rFonts w:hint="eastAsia" w:ascii="宋体" w:hAnsi="宋体" w:eastAsia="宋体" w:cs="宋体"/>
                <w:b/>
                <w:sz w:val="24"/>
              </w:rPr>
              <w:t>条款号</w:t>
            </w:r>
          </w:p>
        </w:tc>
        <w:tc>
          <w:tcPr>
            <w:tcW w:w="1701" w:type="dxa"/>
            <w:vAlign w:val="center"/>
          </w:tcPr>
          <w:p w14:paraId="2C164067">
            <w:pPr>
              <w:jc w:val="center"/>
              <w:rPr>
                <w:rFonts w:hint="eastAsia" w:ascii="宋体" w:hAnsi="宋体" w:eastAsia="宋体" w:cs="宋体"/>
                <w:b/>
                <w:bCs/>
                <w:sz w:val="24"/>
              </w:rPr>
            </w:pPr>
            <w:r>
              <w:rPr>
                <w:rFonts w:hint="eastAsia" w:ascii="宋体" w:hAnsi="宋体" w:eastAsia="宋体" w:cs="宋体"/>
                <w:b/>
                <w:bCs/>
                <w:sz w:val="24"/>
              </w:rPr>
              <w:t>条目</w:t>
            </w:r>
          </w:p>
        </w:tc>
        <w:tc>
          <w:tcPr>
            <w:tcW w:w="7540" w:type="dxa"/>
            <w:vAlign w:val="center"/>
          </w:tcPr>
          <w:p w14:paraId="009FF9A5">
            <w:pPr>
              <w:jc w:val="center"/>
              <w:rPr>
                <w:rFonts w:hint="eastAsia" w:ascii="宋体" w:hAnsi="宋体" w:eastAsia="宋体" w:cs="宋体"/>
                <w:b/>
                <w:bCs/>
                <w:sz w:val="24"/>
              </w:rPr>
            </w:pPr>
            <w:r>
              <w:rPr>
                <w:rFonts w:hint="eastAsia" w:ascii="宋体" w:hAnsi="宋体" w:eastAsia="宋体" w:cs="宋体"/>
                <w:b/>
                <w:bCs/>
                <w:sz w:val="24"/>
              </w:rPr>
              <w:t>内容</w:t>
            </w:r>
          </w:p>
        </w:tc>
      </w:tr>
      <w:tr w14:paraId="79B1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AFC456E">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2.2</w:t>
            </w:r>
          </w:p>
        </w:tc>
        <w:tc>
          <w:tcPr>
            <w:tcW w:w="1701" w:type="dxa"/>
            <w:vAlign w:val="center"/>
          </w:tcPr>
          <w:p w14:paraId="1D585860">
            <w:pPr>
              <w:jc w:val="center"/>
              <w:rPr>
                <w:rFonts w:hint="eastAsia" w:ascii="宋体" w:hAnsi="宋体" w:eastAsia="宋体" w:cs="宋体"/>
                <w:sz w:val="24"/>
              </w:rPr>
            </w:pPr>
            <w:r>
              <w:rPr>
                <w:rFonts w:hint="eastAsia" w:ascii="宋体" w:hAnsi="宋体" w:eastAsia="宋体" w:cs="宋体"/>
                <w:sz w:val="24"/>
              </w:rPr>
              <w:t>项目属性</w:t>
            </w:r>
          </w:p>
        </w:tc>
        <w:tc>
          <w:tcPr>
            <w:tcW w:w="7540" w:type="dxa"/>
            <w:vAlign w:val="center"/>
          </w:tcPr>
          <w:p w14:paraId="400FD06D">
            <w:pPr>
              <w:jc w:val="left"/>
              <w:rPr>
                <w:rFonts w:hint="eastAsia" w:ascii="宋体" w:hAnsi="宋体" w:eastAsia="宋体" w:cs="宋体"/>
                <w:sz w:val="24"/>
              </w:rPr>
            </w:pPr>
            <w:r>
              <w:rPr>
                <w:rFonts w:hint="eastAsia" w:ascii="宋体" w:hAnsi="宋体" w:eastAsia="宋体" w:cs="宋体"/>
                <w:sz w:val="24"/>
              </w:rPr>
              <w:t>项目属性：</w:t>
            </w:r>
          </w:p>
          <w:p w14:paraId="60595BD8">
            <w:pPr>
              <w:jc w:val="left"/>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服务</w:t>
            </w:r>
          </w:p>
          <w:p w14:paraId="49804A21">
            <w:pPr>
              <w:jc w:val="left"/>
              <w:rPr>
                <w:rFonts w:hint="eastAsia" w:ascii="宋体" w:hAnsi="宋体" w:eastAsia="宋体" w:cs="宋体"/>
                <w:sz w:val="24"/>
                <w:u w:val="single"/>
              </w:rPr>
            </w:pPr>
            <w:r>
              <w:rPr>
                <w:rFonts w:hint="eastAsia" w:ascii="宋体" w:hAnsi="宋体" w:eastAsia="宋体" w:cs="宋体"/>
                <w:sz w:val="24"/>
              </w:rPr>
              <w:t>□货物</w:t>
            </w:r>
          </w:p>
        </w:tc>
      </w:tr>
      <w:tr w14:paraId="0F5C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3CECC77">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2.3</w:t>
            </w:r>
          </w:p>
        </w:tc>
        <w:tc>
          <w:tcPr>
            <w:tcW w:w="1701" w:type="dxa"/>
            <w:vAlign w:val="center"/>
          </w:tcPr>
          <w:p w14:paraId="1B54F5B7">
            <w:pPr>
              <w:jc w:val="center"/>
              <w:rPr>
                <w:rFonts w:hint="eastAsia" w:ascii="宋体" w:hAnsi="宋体" w:eastAsia="宋体" w:cs="宋体"/>
                <w:sz w:val="24"/>
              </w:rPr>
            </w:pPr>
            <w:r>
              <w:rPr>
                <w:rFonts w:hint="eastAsia" w:ascii="宋体" w:hAnsi="宋体" w:eastAsia="宋体" w:cs="宋体"/>
                <w:sz w:val="24"/>
              </w:rPr>
              <w:t>科研仪器设备</w:t>
            </w:r>
          </w:p>
        </w:tc>
        <w:tc>
          <w:tcPr>
            <w:tcW w:w="7540" w:type="dxa"/>
            <w:vAlign w:val="center"/>
          </w:tcPr>
          <w:p w14:paraId="44850E53">
            <w:pPr>
              <w:jc w:val="left"/>
              <w:rPr>
                <w:rFonts w:hint="eastAsia" w:ascii="宋体" w:hAnsi="宋体" w:eastAsia="宋体" w:cs="宋体"/>
                <w:sz w:val="24"/>
              </w:rPr>
            </w:pPr>
            <w:r>
              <w:rPr>
                <w:rFonts w:hint="eastAsia" w:ascii="宋体" w:hAnsi="宋体" w:eastAsia="宋体" w:cs="宋体"/>
                <w:sz w:val="24"/>
              </w:rPr>
              <w:t>是否属于科研仪器设备采购项目：</w:t>
            </w:r>
          </w:p>
          <w:p w14:paraId="20C794EF">
            <w:pPr>
              <w:jc w:val="left"/>
              <w:rPr>
                <w:rFonts w:hint="eastAsia" w:ascii="宋体" w:hAnsi="宋体" w:eastAsia="宋体" w:cs="宋体"/>
                <w:sz w:val="24"/>
              </w:rPr>
            </w:pPr>
            <w:r>
              <w:rPr>
                <w:rFonts w:hint="eastAsia" w:ascii="宋体" w:hAnsi="宋体" w:eastAsia="宋体" w:cs="宋体"/>
                <w:sz w:val="24"/>
              </w:rPr>
              <w:t>□是</w:t>
            </w:r>
          </w:p>
          <w:p w14:paraId="7432176D">
            <w:pPr>
              <w:jc w:val="left"/>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否</w:t>
            </w:r>
          </w:p>
        </w:tc>
      </w:tr>
      <w:tr w14:paraId="6803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C89E30E">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2.4</w:t>
            </w:r>
          </w:p>
        </w:tc>
        <w:tc>
          <w:tcPr>
            <w:tcW w:w="1701" w:type="dxa"/>
            <w:vAlign w:val="center"/>
          </w:tcPr>
          <w:p w14:paraId="33810765">
            <w:pPr>
              <w:jc w:val="center"/>
              <w:rPr>
                <w:rFonts w:hint="eastAsia" w:ascii="宋体" w:hAnsi="宋体" w:eastAsia="宋体" w:cs="宋体"/>
                <w:sz w:val="24"/>
              </w:rPr>
            </w:pPr>
            <w:r>
              <w:rPr>
                <w:rFonts w:hint="eastAsia" w:ascii="宋体" w:hAnsi="宋体" w:eastAsia="宋体" w:cs="宋体"/>
                <w:sz w:val="24"/>
              </w:rPr>
              <w:t>核心产品</w:t>
            </w:r>
          </w:p>
        </w:tc>
        <w:tc>
          <w:tcPr>
            <w:tcW w:w="7540" w:type="dxa"/>
            <w:vAlign w:val="center"/>
          </w:tcPr>
          <w:p w14:paraId="1291C74B">
            <w:pPr>
              <w:pStyle w:val="25"/>
              <w:adjustRightInd w:val="0"/>
              <w:snapToGrid w:val="0"/>
              <w:rPr>
                <w:rFonts w:hint="eastAsia" w:ascii="宋体" w:hAnsi="宋体" w:eastAsia="宋体" w:cs="宋体"/>
                <w:sz w:val="24"/>
                <w:szCs w:val="24"/>
              </w:rPr>
            </w:pPr>
            <w:r>
              <w:rPr>
                <w:rFonts w:hint="eastAsia" w:ascii="宋体" w:hAnsi="宋体" w:eastAsia="宋体" w:cs="宋体"/>
                <w:b/>
                <w:sz w:val="24"/>
              </w:rPr>
              <w:t>■</w:t>
            </w:r>
            <w:r>
              <w:rPr>
                <w:rFonts w:hint="eastAsia" w:ascii="宋体" w:hAnsi="宋体" w:eastAsia="宋体" w:cs="宋体"/>
                <w:sz w:val="24"/>
                <w:szCs w:val="24"/>
              </w:rPr>
              <w:t>关于核心产品本项目不适用。</w:t>
            </w:r>
          </w:p>
          <w:p w14:paraId="2C2A9256">
            <w:pPr>
              <w:pStyle w:val="25"/>
              <w:adjustRightInd w:val="0"/>
              <w:snapToGrid w:val="0"/>
              <w:rPr>
                <w:rFonts w:hint="eastAsia" w:ascii="宋体" w:hAnsi="宋体" w:eastAsia="宋体" w:cs="宋体"/>
                <w:sz w:val="24"/>
                <w:szCs w:val="24"/>
                <w:lang w:eastAsia="zh-CN"/>
              </w:rPr>
            </w:pPr>
            <w:r>
              <w:rPr>
                <w:rFonts w:hint="eastAsia" w:ascii="宋体" w:hAnsi="宋体" w:cs="宋体"/>
                <w:sz w:val="24"/>
                <w:lang w:eastAsia="zh-CN"/>
              </w:rPr>
              <w:t>□</w:t>
            </w:r>
            <w:r>
              <w:rPr>
                <w:rFonts w:hint="eastAsia" w:ascii="宋体" w:hAnsi="宋体" w:eastAsia="宋体" w:cs="宋体"/>
                <w:sz w:val="24"/>
                <w:szCs w:val="24"/>
              </w:rPr>
              <w:t>本项目为单一产品采购项目</w:t>
            </w:r>
            <w:r>
              <w:rPr>
                <w:rFonts w:hint="eastAsia" w:ascii="宋体" w:hAnsi="宋体" w:eastAsia="宋体" w:cs="宋体"/>
                <w:sz w:val="24"/>
              </w:rPr>
              <w:t>，核心产品为：</w:t>
            </w:r>
          </w:p>
          <w:p w14:paraId="5CC51000">
            <w:pPr>
              <w:jc w:val="left"/>
              <w:rPr>
                <w:rFonts w:hint="eastAsia" w:ascii="宋体" w:hAnsi="宋体" w:eastAsia="宋体" w:cs="宋体"/>
                <w:sz w:val="24"/>
              </w:rPr>
            </w:pPr>
            <w:r>
              <w:rPr>
                <w:rFonts w:hint="eastAsia" w:ascii="宋体" w:hAnsi="宋体" w:cs="宋体"/>
                <w:sz w:val="24"/>
                <w:lang w:eastAsia="zh-CN"/>
              </w:rPr>
              <w:t>□</w:t>
            </w:r>
            <w:r>
              <w:rPr>
                <w:rFonts w:hint="eastAsia" w:ascii="宋体" w:hAnsi="宋体" w:eastAsia="宋体" w:cs="宋体"/>
                <w:sz w:val="24"/>
              </w:rPr>
              <w:t>本项目为非</w:t>
            </w:r>
            <w:r>
              <w:rPr>
                <w:rFonts w:hint="eastAsia" w:ascii="宋体" w:hAnsi="宋体" w:eastAsia="宋体" w:cs="宋体"/>
                <w:sz w:val="24"/>
                <w:highlight w:val="none"/>
              </w:rPr>
              <w:t>单一产品采购项目，核心产品为：</w:t>
            </w:r>
          </w:p>
        </w:tc>
      </w:tr>
      <w:tr w14:paraId="5CBB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32B41EB5">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3.1</w:t>
            </w:r>
          </w:p>
        </w:tc>
        <w:tc>
          <w:tcPr>
            <w:tcW w:w="1701" w:type="dxa"/>
            <w:vAlign w:val="center"/>
          </w:tcPr>
          <w:p w14:paraId="09DBABF4">
            <w:pPr>
              <w:jc w:val="center"/>
              <w:rPr>
                <w:rFonts w:hint="eastAsia" w:ascii="宋体" w:hAnsi="宋体" w:eastAsia="宋体" w:cs="宋体"/>
                <w:sz w:val="24"/>
              </w:rPr>
            </w:pPr>
            <w:r>
              <w:rPr>
                <w:rFonts w:hint="eastAsia" w:ascii="宋体" w:hAnsi="宋体" w:eastAsia="宋体" w:cs="宋体"/>
                <w:sz w:val="24"/>
              </w:rPr>
              <w:t>现场考察</w:t>
            </w:r>
          </w:p>
        </w:tc>
        <w:tc>
          <w:tcPr>
            <w:tcW w:w="7540" w:type="dxa"/>
            <w:vAlign w:val="center"/>
          </w:tcPr>
          <w:p w14:paraId="314A152C">
            <w:pPr>
              <w:jc w:val="left"/>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不组织</w:t>
            </w:r>
          </w:p>
          <w:p w14:paraId="0B6CACDB">
            <w:pPr>
              <w:jc w:val="left"/>
              <w:rPr>
                <w:rFonts w:hint="eastAsia" w:ascii="宋体" w:hAnsi="宋体" w:eastAsia="宋体" w:cs="宋体"/>
                <w:bCs/>
                <w:sz w:val="24"/>
              </w:rPr>
            </w:pPr>
            <w:r>
              <w:rPr>
                <w:rFonts w:hint="eastAsia" w:ascii="宋体" w:hAnsi="宋体" w:eastAsia="宋体" w:cs="宋体"/>
                <w:sz w:val="24"/>
              </w:rPr>
              <w:t>□组织，考察时间：__年_月_日_</w:t>
            </w:r>
            <w:r>
              <w:rPr>
                <w:rFonts w:hint="eastAsia" w:ascii="宋体" w:hAnsi="宋体" w:eastAsia="宋体" w:cs="宋体"/>
                <w:bCs/>
                <w:sz w:val="24"/>
              </w:rPr>
              <w:t>点</w:t>
            </w:r>
            <w:r>
              <w:rPr>
                <w:rFonts w:hint="eastAsia" w:ascii="宋体" w:hAnsi="宋体" w:eastAsia="宋体" w:cs="宋体"/>
                <w:sz w:val="24"/>
              </w:rPr>
              <w:t>_</w:t>
            </w:r>
            <w:r>
              <w:rPr>
                <w:rFonts w:hint="eastAsia" w:ascii="宋体" w:hAnsi="宋体" w:eastAsia="宋体" w:cs="宋体"/>
                <w:bCs/>
                <w:sz w:val="24"/>
              </w:rPr>
              <w:t>分</w:t>
            </w:r>
          </w:p>
          <w:p w14:paraId="70310CD6">
            <w:pPr>
              <w:pStyle w:val="25"/>
              <w:adjustRightInd w:val="0"/>
              <w:snapToGrid w:val="0"/>
              <w:rPr>
                <w:rFonts w:hint="eastAsia" w:ascii="宋体" w:hAnsi="宋体" w:eastAsia="宋体" w:cs="宋体"/>
                <w:sz w:val="24"/>
                <w:szCs w:val="24"/>
              </w:rPr>
            </w:pPr>
            <w:r>
              <w:rPr>
                <w:rFonts w:hint="eastAsia" w:ascii="宋体" w:hAnsi="宋体" w:eastAsia="宋体" w:cs="宋体"/>
                <w:sz w:val="24"/>
              </w:rPr>
              <w:t>考察地点：____________。</w:t>
            </w:r>
          </w:p>
        </w:tc>
      </w:tr>
      <w:tr w14:paraId="5CDC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0CE0CF7C">
            <w:pPr>
              <w:pStyle w:val="25"/>
              <w:adjustRightInd w:val="0"/>
              <w:snapToGrid w:val="0"/>
              <w:jc w:val="center"/>
              <w:rPr>
                <w:rFonts w:hint="eastAsia" w:ascii="宋体" w:hAnsi="宋体" w:eastAsia="宋体" w:cs="宋体"/>
                <w:sz w:val="24"/>
                <w:szCs w:val="24"/>
              </w:rPr>
            </w:pPr>
          </w:p>
        </w:tc>
        <w:tc>
          <w:tcPr>
            <w:tcW w:w="1701" w:type="dxa"/>
            <w:vAlign w:val="center"/>
          </w:tcPr>
          <w:p w14:paraId="15112BEB">
            <w:pPr>
              <w:jc w:val="center"/>
              <w:rPr>
                <w:rFonts w:hint="eastAsia" w:ascii="宋体" w:hAnsi="宋体" w:eastAsia="宋体" w:cs="宋体"/>
                <w:sz w:val="24"/>
              </w:rPr>
            </w:pPr>
            <w:r>
              <w:rPr>
                <w:rFonts w:hint="eastAsia" w:ascii="宋体" w:hAnsi="宋体" w:eastAsia="宋体" w:cs="宋体"/>
                <w:sz w:val="24"/>
              </w:rPr>
              <w:t>开标前答疑会</w:t>
            </w:r>
          </w:p>
        </w:tc>
        <w:tc>
          <w:tcPr>
            <w:tcW w:w="7540" w:type="dxa"/>
            <w:vAlign w:val="center"/>
          </w:tcPr>
          <w:p w14:paraId="2C0FBCA9">
            <w:pPr>
              <w:jc w:val="left"/>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不召开</w:t>
            </w:r>
          </w:p>
          <w:p w14:paraId="0E078477">
            <w:pPr>
              <w:jc w:val="left"/>
              <w:rPr>
                <w:rFonts w:hint="eastAsia" w:ascii="宋体" w:hAnsi="宋体" w:eastAsia="宋体" w:cs="宋体"/>
                <w:sz w:val="24"/>
              </w:rPr>
            </w:pPr>
            <w:r>
              <w:rPr>
                <w:rFonts w:hint="eastAsia" w:ascii="宋体" w:hAnsi="宋体" w:eastAsia="宋体" w:cs="宋体"/>
                <w:sz w:val="24"/>
              </w:rPr>
              <w:t>□召开，召开时间：__年_月_日_</w:t>
            </w:r>
            <w:r>
              <w:rPr>
                <w:rFonts w:hint="eastAsia" w:ascii="宋体" w:hAnsi="宋体" w:eastAsia="宋体" w:cs="宋体"/>
                <w:bCs/>
                <w:sz w:val="24"/>
              </w:rPr>
              <w:t>点</w:t>
            </w:r>
            <w:r>
              <w:rPr>
                <w:rFonts w:hint="eastAsia" w:ascii="宋体" w:hAnsi="宋体" w:eastAsia="宋体" w:cs="宋体"/>
                <w:sz w:val="24"/>
              </w:rPr>
              <w:t>_</w:t>
            </w:r>
            <w:r>
              <w:rPr>
                <w:rFonts w:hint="eastAsia" w:ascii="宋体" w:hAnsi="宋体" w:eastAsia="宋体" w:cs="宋体"/>
                <w:bCs/>
                <w:sz w:val="24"/>
              </w:rPr>
              <w:t>分</w:t>
            </w:r>
          </w:p>
          <w:p w14:paraId="3F9FFA0E">
            <w:pPr>
              <w:jc w:val="left"/>
              <w:rPr>
                <w:rFonts w:hint="eastAsia" w:ascii="宋体" w:hAnsi="宋体" w:eastAsia="宋体" w:cs="宋体"/>
                <w:sz w:val="24"/>
              </w:rPr>
            </w:pPr>
            <w:r>
              <w:rPr>
                <w:rFonts w:hint="eastAsia" w:ascii="宋体" w:hAnsi="宋体" w:eastAsia="宋体" w:cs="宋体"/>
                <w:sz w:val="24"/>
              </w:rPr>
              <w:t>召开地点：____________。</w:t>
            </w:r>
          </w:p>
        </w:tc>
      </w:tr>
      <w:tr w14:paraId="2CF6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988" w:type="dxa"/>
            <w:vAlign w:val="center"/>
          </w:tcPr>
          <w:p w14:paraId="51425F5A">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5.2.5</w:t>
            </w:r>
          </w:p>
        </w:tc>
        <w:tc>
          <w:tcPr>
            <w:tcW w:w="1701" w:type="dxa"/>
            <w:vAlign w:val="center"/>
          </w:tcPr>
          <w:p w14:paraId="1D36E6D7">
            <w:pPr>
              <w:jc w:val="center"/>
              <w:rPr>
                <w:rFonts w:hint="eastAsia" w:ascii="宋体" w:hAnsi="宋体" w:eastAsia="宋体" w:cs="宋体"/>
                <w:sz w:val="24"/>
              </w:rPr>
            </w:pPr>
            <w:r>
              <w:rPr>
                <w:rFonts w:hint="eastAsia" w:ascii="宋体" w:hAnsi="宋体" w:eastAsia="宋体" w:cs="宋体"/>
                <w:sz w:val="24"/>
              </w:rPr>
              <w:t>标的所属行业</w:t>
            </w:r>
          </w:p>
        </w:tc>
        <w:tc>
          <w:tcPr>
            <w:tcW w:w="7540" w:type="dxa"/>
            <w:vAlign w:val="center"/>
          </w:tcPr>
          <w:p w14:paraId="46BDF9D3">
            <w:pPr>
              <w:jc w:val="left"/>
              <w:rPr>
                <w:rFonts w:hint="eastAsia" w:ascii="宋体" w:hAnsi="宋体" w:eastAsia="宋体" w:cs="宋体"/>
                <w:sz w:val="24"/>
              </w:rPr>
            </w:pPr>
            <w:r>
              <w:rPr>
                <w:rFonts w:hint="eastAsia" w:ascii="宋体" w:hAnsi="宋体" w:eastAsia="宋体" w:cs="宋体"/>
                <w:sz w:val="24"/>
              </w:rPr>
              <w:t>本项目采购标的对应的中小企业划分标准所属行业：</w:t>
            </w:r>
          </w:p>
          <w:tbl>
            <w:tblPr>
              <w:tblStyle w:val="46"/>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2"/>
              <w:gridCol w:w="3432"/>
            </w:tblGrid>
            <w:tr w14:paraId="7387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2" w:type="dxa"/>
                  <w:tcBorders>
                    <w:top w:val="single" w:color="auto" w:sz="4" w:space="0"/>
                    <w:left w:val="single" w:color="auto" w:sz="4" w:space="0"/>
                    <w:bottom w:val="single" w:color="auto" w:sz="4" w:space="0"/>
                    <w:right w:val="single" w:color="auto" w:sz="4" w:space="0"/>
                  </w:tcBorders>
                  <w:vAlign w:val="center"/>
                </w:tcPr>
                <w:p w14:paraId="00B448C4">
                  <w:pPr>
                    <w:jc w:val="center"/>
                    <w:rPr>
                      <w:rFonts w:hint="eastAsia" w:ascii="宋体" w:hAnsi="宋体" w:eastAsia="宋体" w:cs="宋体"/>
                      <w:bCs/>
                      <w:sz w:val="24"/>
                    </w:rPr>
                  </w:pPr>
                  <w:r>
                    <w:rPr>
                      <w:rFonts w:hint="eastAsia" w:ascii="宋体" w:hAnsi="宋体" w:eastAsia="宋体" w:cs="宋体"/>
                      <w:bCs/>
                      <w:sz w:val="24"/>
                    </w:rPr>
                    <w:t>标的名称</w:t>
                  </w:r>
                </w:p>
              </w:tc>
              <w:tc>
                <w:tcPr>
                  <w:tcW w:w="3432" w:type="dxa"/>
                  <w:tcBorders>
                    <w:top w:val="single" w:color="auto" w:sz="4" w:space="0"/>
                    <w:left w:val="single" w:color="auto" w:sz="4" w:space="0"/>
                    <w:bottom w:val="single" w:color="auto" w:sz="4" w:space="0"/>
                    <w:right w:val="single" w:color="auto" w:sz="4" w:space="0"/>
                  </w:tcBorders>
                  <w:vAlign w:val="center"/>
                </w:tcPr>
                <w:p w14:paraId="787C1AB2">
                  <w:pPr>
                    <w:jc w:val="center"/>
                    <w:rPr>
                      <w:rFonts w:hint="eastAsia" w:ascii="宋体" w:hAnsi="宋体" w:eastAsia="宋体" w:cs="宋体"/>
                      <w:sz w:val="24"/>
                    </w:rPr>
                  </w:pPr>
                  <w:r>
                    <w:rPr>
                      <w:rFonts w:hint="eastAsia" w:ascii="宋体" w:hAnsi="宋体" w:eastAsia="宋体" w:cs="宋体"/>
                      <w:sz w:val="24"/>
                    </w:rPr>
                    <w:t>中小企业划分标准所属行业</w:t>
                  </w:r>
                </w:p>
              </w:tc>
            </w:tr>
            <w:tr w14:paraId="780E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2" w:type="dxa"/>
                  <w:tcBorders>
                    <w:top w:val="single" w:color="auto" w:sz="4" w:space="0"/>
                    <w:left w:val="single" w:color="auto" w:sz="4" w:space="0"/>
                    <w:bottom w:val="single" w:color="auto" w:sz="4" w:space="0"/>
                    <w:right w:val="single" w:color="auto" w:sz="4" w:space="0"/>
                  </w:tcBorders>
                  <w:vAlign w:val="center"/>
                </w:tcPr>
                <w:p w14:paraId="4BC76E5D">
                  <w:pPr>
                    <w:jc w:val="center"/>
                    <w:rPr>
                      <w:rFonts w:hint="eastAsia" w:ascii="宋体" w:hAnsi="宋体" w:eastAsia="宋体" w:cs="宋体"/>
                      <w:bCs/>
                      <w:sz w:val="24"/>
                      <w:lang w:val="en-US" w:eastAsia="zh-CN"/>
                    </w:rPr>
                  </w:pPr>
                  <w:r>
                    <w:rPr>
                      <w:rFonts w:hint="eastAsia" w:ascii="宋体" w:hAnsi="宋体" w:cs="宋体"/>
                      <w:sz w:val="24"/>
                      <w:highlight w:val="none"/>
                      <w:lang w:eastAsia="zh-CN"/>
                    </w:rPr>
                    <w:t>2025年大兴区人口健康信息平台软件运维</w:t>
                  </w:r>
                </w:p>
              </w:tc>
              <w:tc>
                <w:tcPr>
                  <w:tcW w:w="3432" w:type="dxa"/>
                  <w:tcBorders>
                    <w:top w:val="single" w:color="auto" w:sz="4" w:space="0"/>
                    <w:left w:val="single" w:color="auto" w:sz="4" w:space="0"/>
                    <w:bottom w:val="single" w:color="auto" w:sz="4" w:space="0"/>
                    <w:right w:val="single" w:color="auto" w:sz="4" w:space="0"/>
                  </w:tcBorders>
                  <w:vAlign w:val="center"/>
                </w:tcPr>
                <w:p w14:paraId="3D40CB4F">
                  <w:pPr>
                    <w:jc w:val="center"/>
                    <w:rPr>
                      <w:rFonts w:hint="eastAsia" w:ascii="宋体" w:hAnsi="宋体" w:eastAsia="宋体" w:cs="宋体"/>
                      <w:kern w:val="0"/>
                      <w:sz w:val="24"/>
                      <w:lang w:val="en-US" w:eastAsia="zh-CN"/>
                    </w:rPr>
                  </w:pPr>
                  <w:r>
                    <w:rPr>
                      <w:rFonts w:hint="eastAsia" w:ascii="宋体" w:hAnsi="宋体" w:eastAsia="宋体" w:cs="宋体"/>
                      <w:color w:val="auto"/>
                      <w:kern w:val="0"/>
                      <w:sz w:val="24"/>
                      <w:highlight w:val="none"/>
                      <w:lang w:val="en-US" w:eastAsia="zh-CN"/>
                    </w:rPr>
                    <w:t>其他未列明行业</w:t>
                  </w:r>
                </w:p>
              </w:tc>
            </w:tr>
          </w:tbl>
          <w:p w14:paraId="69D0EC54">
            <w:pPr>
              <w:jc w:val="left"/>
              <w:rPr>
                <w:rFonts w:hint="eastAsia" w:ascii="宋体" w:hAnsi="宋体" w:eastAsia="宋体" w:cs="宋体"/>
                <w:sz w:val="24"/>
              </w:rPr>
            </w:pPr>
          </w:p>
        </w:tc>
      </w:tr>
      <w:tr w14:paraId="4795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20D78CF0">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11.2</w:t>
            </w:r>
          </w:p>
        </w:tc>
        <w:tc>
          <w:tcPr>
            <w:tcW w:w="1701" w:type="dxa"/>
            <w:vAlign w:val="center"/>
          </w:tcPr>
          <w:p w14:paraId="433C4738">
            <w:pPr>
              <w:jc w:val="center"/>
              <w:rPr>
                <w:rFonts w:hint="eastAsia" w:ascii="宋体" w:hAnsi="宋体" w:eastAsia="宋体" w:cs="宋体"/>
                <w:sz w:val="24"/>
              </w:rPr>
            </w:pPr>
            <w:r>
              <w:rPr>
                <w:rFonts w:hint="eastAsia" w:ascii="宋体" w:hAnsi="宋体" w:eastAsia="宋体" w:cs="宋体"/>
                <w:sz w:val="24"/>
              </w:rPr>
              <w:t>投标报价</w:t>
            </w:r>
          </w:p>
        </w:tc>
        <w:tc>
          <w:tcPr>
            <w:tcW w:w="7540" w:type="dxa"/>
            <w:vAlign w:val="center"/>
          </w:tcPr>
          <w:p w14:paraId="10F7084B">
            <w:pPr>
              <w:jc w:val="left"/>
              <w:rPr>
                <w:rFonts w:hint="eastAsia" w:ascii="宋体" w:hAnsi="宋体" w:eastAsia="宋体" w:cs="宋体"/>
                <w:sz w:val="24"/>
              </w:rPr>
            </w:pPr>
            <w:r>
              <w:rPr>
                <w:rFonts w:hint="eastAsia" w:ascii="宋体" w:hAnsi="宋体" w:eastAsia="宋体" w:cs="宋体"/>
                <w:sz w:val="24"/>
              </w:rPr>
              <w:t>投标报价的特殊规定：</w:t>
            </w:r>
          </w:p>
          <w:p w14:paraId="1B06D9F7">
            <w:pPr>
              <w:jc w:val="left"/>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无</w:t>
            </w:r>
          </w:p>
          <w:p w14:paraId="483977B4">
            <w:pPr>
              <w:jc w:val="left"/>
              <w:rPr>
                <w:rFonts w:hint="eastAsia" w:ascii="宋体" w:hAnsi="宋体" w:eastAsia="宋体" w:cs="宋体"/>
                <w:sz w:val="24"/>
              </w:rPr>
            </w:pPr>
            <w:r>
              <w:rPr>
                <w:rFonts w:hint="eastAsia" w:ascii="宋体" w:hAnsi="宋体" w:eastAsia="宋体" w:cs="宋体"/>
                <w:sz w:val="24"/>
              </w:rPr>
              <w:t>□有，具体情形：</w:t>
            </w:r>
            <w:r>
              <w:rPr>
                <w:rFonts w:hint="eastAsia" w:ascii="宋体" w:hAnsi="宋体" w:eastAsia="宋体" w:cs="宋体"/>
                <w:sz w:val="24"/>
                <w:u w:val="single"/>
              </w:rPr>
              <w:t xml:space="preserve">               </w:t>
            </w:r>
            <w:r>
              <w:rPr>
                <w:rFonts w:hint="eastAsia" w:ascii="宋体" w:hAnsi="宋体" w:eastAsia="宋体" w:cs="宋体"/>
                <w:sz w:val="24"/>
              </w:rPr>
              <w:t>。</w:t>
            </w:r>
          </w:p>
        </w:tc>
      </w:tr>
      <w:tr w14:paraId="1D3F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988" w:type="dxa"/>
            <w:vAlign w:val="center"/>
          </w:tcPr>
          <w:p w14:paraId="01802879">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12.1</w:t>
            </w:r>
          </w:p>
        </w:tc>
        <w:tc>
          <w:tcPr>
            <w:tcW w:w="1701" w:type="dxa"/>
            <w:vAlign w:val="center"/>
          </w:tcPr>
          <w:p w14:paraId="03C6CE5E">
            <w:pPr>
              <w:jc w:val="center"/>
              <w:rPr>
                <w:rFonts w:hint="eastAsia" w:ascii="宋体" w:hAnsi="宋体" w:eastAsia="宋体" w:cs="宋体"/>
                <w:sz w:val="24"/>
              </w:rPr>
            </w:pPr>
            <w:r>
              <w:rPr>
                <w:rFonts w:hint="eastAsia" w:ascii="宋体" w:hAnsi="宋体" w:eastAsia="宋体" w:cs="宋体"/>
                <w:sz w:val="24"/>
              </w:rPr>
              <w:t>投标保证金</w:t>
            </w:r>
          </w:p>
        </w:tc>
        <w:tc>
          <w:tcPr>
            <w:tcW w:w="7540" w:type="dxa"/>
            <w:vAlign w:val="center"/>
          </w:tcPr>
          <w:p w14:paraId="7FAC21B9">
            <w:pPr>
              <w:jc w:val="left"/>
              <w:rPr>
                <w:rFonts w:hint="eastAsia" w:ascii="宋体" w:hAnsi="宋体" w:eastAsia="宋体" w:cs="宋体"/>
                <w:bCs/>
                <w:sz w:val="24"/>
                <w:lang w:val="en-US" w:eastAsia="zh-CN"/>
              </w:rPr>
            </w:pPr>
            <w:r>
              <w:rPr>
                <w:rFonts w:hint="eastAsia" w:ascii="宋体" w:hAnsi="宋体" w:eastAsia="宋体" w:cs="宋体"/>
                <w:bCs/>
                <w:sz w:val="24"/>
                <w:lang w:val="zh-CN"/>
              </w:rPr>
              <w:t>投标保证金金额：</w:t>
            </w:r>
            <w:r>
              <w:rPr>
                <w:rFonts w:hint="eastAsia" w:ascii="宋体" w:hAnsi="宋体" w:cs="宋体"/>
                <w:bCs/>
                <w:sz w:val="24"/>
                <w:highlight w:val="none"/>
                <w:u w:val="single"/>
                <w:lang w:val="en-US" w:eastAsia="zh-CN"/>
              </w:rPr>
              <w:t>叁万元整</w:t>
            </w:r>
          </w:p>
          <w:p w14:paraId="22DB4206">
            <w:pPr>
              <w:jc w:val="left"/>
              <w:rPr>
                <w:rFonts w:hint="eastAsia" w:ascii="宋体" w:hAnsi="宋体" w:eastAsia="宋体" w:cs="宋体"/>
                <w:bCs/>
                <w:sz w:val="24"/>
                <w:lang w:val="zh-CN"/>
              </w:rPr>
            </w:pPr>
            <w:r>
              <w:rPr>
                <w:rFonts w:hint="eastAsia" w:ascii="宋体" w:hAnsi="宋体" w:eastAsia="宋体" w:cs="宋体"/>
                <w:bCs/>
                <w:sz w:val="24"/>
                <w:lang w:val="zh-CN"/>
              </w:rPr>
              <w:t>投标保证金收受人信息：</w:t>
            </w:r>
          </w:p>
          <w:p w14:paraId="1CB66828">
            <w:pPr>
              <w:jc w:val="left"/>
              <w:rPr>
                <w:rFonts w:hint="eastAsia" w:ascii="宋体" w:hAnsi="宋体" w:eastAsia="宋体" w:cs="宋体"/>
                <w:bCs/>
                <w:sz w:val="24"/>
                <w:lang w:val="zh-CN"/>
              </w:rPr>
            </w:pPr>
            <w:r>
              <w:rPr>
                <w:rFonts w:hint="eastAsia" w:ascii="宋体" w:hAnsi="宋体" w:eastAsia="宋体" w:cs="宋体"/>
                <w:bCs/>
                <w:sz w:val="24"/>
                <w:lang w:val="zh-CN"/>
              </w:rPr>
              <w:t>户    名：北京中兴天诚招标代理有限公司</w:t>
            </w:r>
          </w:p>
          <w:p w14:paraId="4B9D9DF8">
            <w:pPr>
              <w:jc w:val="left"/>
              <w:rPr>
                <w:rFonts w:hint="eastAsia" w:ascii="宋体" w:hAnsi="宋体" w:eastAsia="宋体" w:cs="宋体"/>
                <w:bCs/>
                <w:sz w:val="24"/>
                <w:lang w:val="zh-CN"/>
              </w:rPr>
            </w:pPr>
            <w:r>
              <w:rPr>
                <w:rFonts w:hint="eastAsia" w:ascii="宋体" w:hAnsi="宋体" w:eastAsia="宋体" w:cs="宋体"/>
                <w:bCs/>
                <w:sz w:val="24"/>
                <w:lang w:val="zh-CN"/>
              </w:rPr>
              <w:t>开 户 行：中国建设银行北京市大兴滨河支行</w:t>
            </w:r>
          </w:p>
          <w:p w14:paraId="2D5157FF">
            <w:pPr>
              <w:jc w:val="left"/>
              <w:rPr>
                <w:rFonts w:hint="eastAsia" w:ascii="宋体" w:hAnsi="宋体" w:eastAsia="宋体" w:cs="宋体"/>
                <w:bCs/>
                <w:sz w:val="24"/>
                <w:lang w:val="zh-CN"/>
              </w:rPr>
            </w:pPr>
            <w:r>
              <w:rPr>
                <w:rFonts w:hint="eastAsia" w:ascii="宋体" w:hAnsi="宋体" w:eastAsia="宋体" w:cs="宋体"/>
                <w:bCs/>
                <w:sz w:val="24"/>
                <w:lang w:val="zh-CN"/>
              </w:rPr>
              <w:t>帐    号：1100 1009 0010 5300 1621</w:t>
            </w:r>
          </w:p>
          <w:p w14:paraId="15524710">
            <w:pPr>
              <w:jc w:val="left"/>
              <w:rPr>
                <w:rFonts w:hint="default" w:ascii="宋体" w:hAnsi="宋体" w:eastAsia="宋体" w:cs="宋体"/>
                <w:bCs/>
                <w:sz w:val="24"/>
                <w:lang w:val="en-US" w:eastAsia="zh-CN"/>
              </w:rPr>
            </w:pPr>
            <w:r>
              <w:rPr>
                <w:rFonts w:hint="eastAsia" w:ascii="宋体" w:hAnsi="宋体" w:cs="宋体"/>
                <w:bCs/>
                <w:sz w:val="24"/>
                <w:lang w:val="en-US" w:eastAsia="zh-CN"/>
              </w:rPr>
              <w:t>备    注：投标保证金-</w:t>
            </w:r>
            <w:r>
              <w:rPr>
                <w:rFonts w:hint="eastAsia" w:ascii="宋体" w:hAnsi="宋体" w:cs="宋体"/>
                <w:sz w:val="24"/>
                <w:highlight w:val="none"/>
                <w:lang w:eastAsia="zh-CN"/>
              </w:rPr>
              <w:t>人口健康信息平台软件运维</w:t>
            </w:r>
          </w:p>
        </w:tc>
      </w:tr>
      <w:tr w14:paraId="789B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14C82D0F">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13.1</w:t>
            </w:r>
          </w:p>
        </w:tc>
        <w:tc>
          <w:tcPr>
            <w:tcW w:w="1701" w:type="dxa"/>
            <w:vAlign w:val="center"/>
          </w:tcPr>
          <w:p w14:paraId="2C70A6E5">
            <w:pPr>
              <w:jc w:val="center"/>
              <w:rPr>
                <w:rFonts w:hint="eastAsia" w:ascii="宋体" w:hAnsi="宋体" w:eastAsia="宋体" w:cs="宋体"/>
                <w:sz w:val="24"/>
              </w:rPr>
            </w:pPr>
            <w:r>
              <w:rPr>
                <w:rFonts w:hint="eastAsia" w:ascii="宋体" w:hAnsi="宋体" w:eastAsia="宋体" w:cs="宋体"/>
                <w:sz w:val="24"/>
              </w:rPr>
              <w:t>投标有效期</w:t>
            </w:r>
          </w:p>
        </w:tc>
        <w:tc>
          <w:tcPr>
            <w:tcW w:w="7540" w:type="dxa"/>
            <w:vAlign w:val="center"/>
          </w:tcPr>
          <w:p w14:paraId="32AC2626">
            <w:pPr>
              <w:jc w:val="left"/>
              <w:rPr>
                <w:rFonts w:hint="eastAsia" w:ascii="宋体" w:hAnsi="宋体" w:eastAsia="宋体" w:cs="宋体"/>
                <w:sz w:val="24"/>
              </w:rPr>
            </w:pPr>
            <w:r>
              <w:rPr>
                <w:rFonts w:hint="eastAsia" w:ascii="宋体" w:hAnsi="宋体" w:eastAsia="宋体" w:cs="宋体"/>
                <w:sz w:val="24"/>
              </w:rPr>
              <w:t>自提交投标文件的截止之日起算</w:t>
            </w:r>
            <w:r>
              <w:rPr>
                <w:rFonts w:hint="eastAsia" w:ascii="宋体" w:hAnsi="宋体" w:eastAsia="宋体" w:cs="宋体"/>
                <w:sz w:val="24"/>
                <w:u w:val="single"/>
              </w:rPr>
              <w:t xml:space="preserve">  90  </w:t>
            </w:r>
            <w:r>
              <w:rPr>
                <w:rFonts w:hint="eastAsia" w:ascii="宋体" w:hAnsi="宋体" w:eastAsia="宋体" w:cs="宋体"/>
                <w:sz w:val="24"/>
              </w:rPr>
              <w:t>日历天。</w:t>
            </w:r>
          </w:p>
        </w:tc>
      </w:tr>
      <w:tr w14:paraId="174E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988" w:type="dxa"/>
            <w:vAlign w:val="center"/>
          </w:tcPr>
          <w:p w14:paraId="71B2F160">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22.1</w:t>
            </w:r>
          </w:p>
        </w:tc>
        <w:tc>
          <w:tcPr>
            <w:tcW w:w="1701" w:type="dxa"/>
            <w:vAlign w:val="center"/>
          </w:tcPr>
          <w:p w14:paraId="5636087F">
            <w:pPr>
              <w:jc w:val="center"/>
              <w:rPr>
                <w:rFonts w:hint="eastAsia" w:ascii="宋体" w:hAnsi="宋体" w:eastAsia="宋体" w:cs="宋体"/>
                <w:sz w:val="24"/>
              </w:rPr>
            </w:pPr>
            <w:r>
              <w:rPr>
                <w:rFonts w:hint="eastAsia" w:ascii="宋体" w:hAnsi="宋体" w:eastAsia="宋体" w:cs="宋体"/>
                <w:sz w:val="24"/>
              </w:rPr>
              <w:t>确定中标人</w:t>
            </w:r>
          </w:p>
        </w:tc>
        <w:tc>
          <w:tcPr>
            <w:tcW w:w="7540" w:type="dxa"/>
            <w:vAlign w:val="center"/>
          </w:tcPr>
          <w:p w14:paraId="44342A90">
            <w:pPr>
              <w:pStyle w:val="25"/>
              <w:adjustRightInd w:val="0"/>
              <w:snapToGrid w:val="0"/>
              <w:rPr>
                <w:rFonts w:hint="eastAsia" w:ascii="宋体" w:hAnsi="宋体" w:eastAsia="宋体" w:cs="宋体"/>
                <w:sz w:val="24"/>
              </w:rPr>
            </w:pPr>
            <w:r>
              <w:rPr>
                <w:rFonts w:hint="eastAsia" w:ascii="宋体" w:hAnsi="宋体" w:eastAsia="宋体" w:cs="宋体"/>
                <w:sz w:val="24"/>
              </w:rPr>
              <w:t>中标候选人并列的，采购人是否委托评标委员会确定中标人：</w:t>
            </w:r>
          </w:p>
          <w:p w14:paraId="04AFDDF1">
            <w:pPr>
              <w:pStyle w:val="25"/>
              <w:adjustRightInd w:val="0"/>
              <w:snapToGrid w:val="0"/>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否</w:t>
            </w:r>
          </w:p>
          <w:p w14:paraId="24C9D9F5">
            <w:pPr>
              <w:pStyle w:val="25"/>
              <w:adjustRightInd w:val="0"/>
              <w:snapToGrid w:val="0"/>
              <w:rPr>
                <w:rFonts w:hint="eastAsia" w:ascii="宋体" w:hAnsi="宋体" w:eastAsia="宋体" w:cs="宋体"/>
                <w:sz w:val="24"/>
              </w:rPr>
            </w:pPr>
            <w:r>
              <w:rPr>
                <w:rFonts w:hint="eastAsia" w:ascii="宋体" w:hAnsi="宋体" w:eastAsia="宋体" w:cs="宋体"/>
                <w:sz w:val="24"/>
              </w:rPr>
              <w:t>□是</w:t>
            </w:r>
          </w:p>
          <w:p w14:paraId="3F60D67A">
            <w:pPr>
              <w:pStyle w:val="25"/>
              <w:adjustRightInd w:val="0"/>
              <w:snapToGrid w:val="0"/>
              <w:rPr>
                <w:rFonts w:hint="eastAsia" w:ascii="宋体" w:hAnsi="宋体" w:eastAsia="宋体" w:cs="宋体"/>
                <w:sz w:val="24"/>
                <w:u w:val="none"/>
              </w:rPr>
            </w:pPr>
            <w:r>
              <w:rPr>
                <w:rFonts w:hint="eastAsia" w:ascii="宋体" w:hAnsi="宋体" w:eastAsia="宋体" w:cs="宋体"/>
              </w:rPr>
              <w:t xml:space="preserve"> </w:t>
            </w:r>
            <w:r>
              <w:rPr>
                <w:rFonts w:hint="eastAsia" w:ascii="宋体" w:hAnsi="宋体" w:eastAsia="宋体" w:cs="宋体"/>
                <w:sz w:val="24"/>
                <w:u w:val="none"/>
              </w:rPr>
              <w:t>中标候选人并列的，按照以下方式确定最终中标候选人排序：</w:t>
            </w:r>
          </w:p>
          <w:p w14:paraId="63CAFC3D">
            <w:pPr>
              <w:jc w:val="left"/>
              <w:rPr>
                <w:rFonts w:hint="eastAsia" w:ascii="宋体" w:hAnsi="宋体" w:eastAsia="宋体" w:cs="宋体"/>
                <w:sz w:val="24"/>
                <w:u w:val="none"/>
              </w:rPr>
            </w:pPr>
            <w:r>
              <w:rPr>
                <w:rFonts w:hint="eastAsia" w:ascii="宋体" w:hAnsi="宋体" w:eastAsia="宋体" w:cs="宋体"/>
                <w:sz w:val="24"/>
                <w:u w:val="none"/>
              </w:rPr>
              <w:t>■得分相同的，按投标报价由低到高顺序排列；得分且投标报价相同，</w:t>
            </w:r>
          </w:p>
          <w:p w14:paraId="609F993D">
            <w:pPr>
              <w:jc w:val="left"/>
              <w:rPr>
                <w:rFonts w:hint="eastAsia" w:ascii="宋体" w:hAnsi="宋体" w:eastAsia="宋体" w:cs="宋体"/>
                <w:sz w:val="24"/>
                <w:u w:val="none"/>
              </w:rPr>
            </w:pPr>
            <w:r>
              <w:rPr>
                <w:rFonts w:hint="eastAsia" w:ascii="宋体" w:hAnsi="宋体" w:eastAsia="宋体" w:cs="宋体"/>
                <w:sz w:val="24"/>
                <w:u w:val="none"/>
              </w:rPr>
              <w:t>且投标文件满足招标文件全部实质性要求的，按照评审因素的量化指标</w:t>
            </w:r>
          </w:p>
          <w:p w14:paraId="1DEBC883">
            <w:pPr>
              <w:jc w:val="left"/>
              <w:rPr>
                <w:rFonts w:hint="eastAsia" w:ascii="宋体" w:hAnsi="宋体" w:eastAsia="宋体" w:cs="宋体"/>
                <w:sz w:val="24"/>
                <w:u w:val="none"/>
              </w:rPr>
            </w:pPr>
            <w:r>
              <w:rPr>
                <w:rFonts w:hint="eastAsia" w:ascii="宋体" w:hAnsi="宋体" w:eastAsia="宋体" w:cs="宋体"/>
                <w:sz w:val="24"/>
                <w:u w:val="none"/>
              </w:rPr>
              <w:t>评审得分最高的投标人为排名第一的中标候选人。</w:t>
            </w:r>
          </w:p>
          <w:p w14:paraId="405C0007">
            <w:pPr>
              <w:jc w:val="left"/>
              <w:rPr>
                <w:rFonts w:hint="eastAsia" w:ascii="宋体" w:hAnsi="宋体" w:eastAsia="宋体" w:cs="宋体"/>
                <w:sz w:val="24"/>
                <w:u w:val="single"/>
              </w:rPr>
            </w:pPr>
            <w:r>
              <w:rPr>
                <w:rFonts w:hint="eastAsia" w:ascii="宋体" w:hAnsi="宋体" w:eastAsia="宋体" w:cs="宋体"/>
                <w:sz w:val="24"/>
                <w:u w:val="none"/>
              </w:rPr>
              <w:t>□随机抽取</w:t>
            </w:r>
          </w:p>
        </w:tc>
      </w:tr>
      <w:tr w14:paraId="180A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A565AAC">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25.5</w:t>
            </w:r>
          </w:p>
        </w:tc>
        <w:tc>
          <w:tcPr>
            <w:tcW w:w="1701" w:type="dxa"/>
            <w:vAlign w:val="center"/>
          </w:tcPr>
          <w:p w14:paraId="15AFCF0D">
            <w:pPr>
              <w:jc w:val="center"/>
              <w:rPr>
                <w:rFonts w:hint="eastAsia" w:ascii="宋体" w:hAnsi="宋体" w:eastAsia="宋体" w:cs="宋体"/>
                <w:sz w:val="24"/>
              </w:rPr>
            </w:pPr>
            <w:r>
              <w:rPr>
                <w:rFonts w:hint="eastAsia" w:ascii="宋体" w:hAnsi="宋体" w:eastAsia="宋体" w:cs="宋体"/>
                <w:sz w:val="24"/>
              </w:rPr>
              <w:t>分包</w:t>
            </w:r>
          </w:p>
        </w:tc>
        <w:tc>
          <w:tcPr>
            <w:tcW w:w="7540" w:type="dxa"/>
            <w:vAlign w:val="center"/>
          </w:tcPr>
          <w:p w14:paraId="4430F306">
            <w:pPr>
              <w:jc w:val="left"/>
              <w:rPr>
                <w:rFonts w:hint="eastAsia" w:ascii="宋体" w:hAnsi="宋体" w:eastAsia="宋体" w:cs="宋体"/>
                <w:sz w:val="24"/>
              </w:rPr>
            </w:pPr>
            <w:r>
              <w:rPr>
                <w:rFonts w:hint="eastAsia" w:ascii="宋体" w:hAnsi="宋体" w:eastAsia="宋体" w:cs="宋体"/>
                <w:sz w:val="24"/>
              </w:rPr>
              <w:t xml:space="preserve">本项目的非主体、非关键性工作是否允许分包： </w:t>
            </w:r>
          </w:p>
          <w:p w14:paraId="1C3937B3">
            <w:pPr>
              <w:jc w:val="left"/>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不允许</w:t>
            </w:r>
          </w:p>
          <w:p w14:paraId="7ED01D3E">
            <w:pPr>
              <w:jc w:val="left"/>
              <w:rPr>
                <w:rFonts w:hint="eastAsia" w:ascii="宋体" w:hAnsi="宋体" w:eastAsia="宋体" w:cs="宋体"/>
                <w:sz w:val="24"/>
              </w:rPr>
            </w:pPr>
            <w:r>
              <w:rPr>
                <w:rFonts w:hint="eastAsia" w:ascii="宋体" w:hAnsi="宋体" w:eastAsia="宋体" w:cs="宋体"/>
                <w:sz w:val="24"/>
              </w:rPr>
              <w:t>□允许，具体要求：</w:t>
            </w:r>
          </w:p>
          <w:p w14:paraId="11C4FEC5">
            <w:pPr>
              <w:jc w:val="left"/>
              <w:rPr>
                <w:rFonts w:hint="eastAsia" w:ascii="宋体" w:hAnsi="宋体" w:eastAsia="宋体" w:cs="宋体"/>
                <w:sz w:val="24"/>
              </w:rPr>
            </w:pPr>
            <w:r>
              <w:rPr>
                <w:rFonts w:hint="eastAsia" w:ascii="宋体" w:hAnsi="宋体" w:eastAsia="宋体" w:cs="宋体"/>
                <w:sz w:val="24"/>
              </w:rPr>
              <w:t>（1）可以分包履行的具体内容：_____；</w:t>
            </w:r>
          </w:p>
          <w:p w14:paraId="3224592B">
            <w:pPr>
              <w:jc w:val="left"/>
              <w:rPr>
                <w:rFonts w:hint="eastAsia" w:ascii="宋体" w:hAnsi="宋体" w:eastAsia="宋体" w:cs="宋体"/>
                <w:sz w:val="24"/>
              </w:rPr>
            </w:pPr>
            <w:r>
              <w:rPr>
                <w:rFonts w:hint="eastAsia" w:ascii="宋体" w:hAnsi="宋体" w:eastAsia="宋体" w:cs="宋体"/>
                <w:sz w:val="24"/>
              </w:rPr>
              <w:t>（2）允许分包的金额或者比例：_____；</w:t>
            </w:r>
          </w:p>
          <w:p w14:paraId="0A7F2301">
            <w:pPr>
              <w:jc w:val="left"/>
              <w:rPr>
                <w:rFonts w:hint="eastAsia" w:ascii="宋体" w:hAnsi="宋体" w:eastAsia="宋体" w:cs="宋体"/>
                <w:sz w:val="24"/>
                <w:u w:val="single"/>
              </w:rPr>
            </w:pPr>
            <w:r>
              <w:rPr>
                <w:rFonts w:hint="eastAsia" w:ascii="宋体" w:hAnsi="宋体" w:eastAsia="宋体" w:cs="宋体"/>
                <w:sz w:val="24"/>
              </w:rPr>
              <w:t>（3）其他要求：_____。</w:t>
            </w:r>
          </w:p>
        </w:tc>
      </w:tr>
      <w:tr w14:paraId="736A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88" w:type="dxa"/>
            <w:vAlign w:val="center"/>
          </w:tcPr>
          <w:p w14:paraId="0BADE098">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26.1.1</w:t>
            </w:r>
          </w:p>
        </w:tc>
        <w:tc>
          <w:tcPr>
            <w:tcW w:w="1701" w:type="dxa"/>
            <w:vAlign w:val="center"/>
          </w:tcPr>
          <w:p w14:paraId="13403FA9">
            <w:pPr>
              <w:jc w:val="center"/>
              <w:rPr>
                <w:rFonts w:hint="eastAsia" w:ascii="宋体" w:hAnsi="宋体" w:eastAsia="宋体" w:cs="宋体"/>
                <w:sz w:val="24"/>
              </w:rPr>
            </w:pPr>
            <w:r>
              <w:rPr>
                <w:rFonts w:hint="eastAsia" w:ascii="宋体" w:hAnsi="宋体" w:eastAsia="宋体" w:cs="宋体"/>
                <w:sz w:val="24"/>
              </w:rPr>
              <w:t>询问</w:t>
            </w:r>
          </w:p>
        </w:tc>
        <w:tc>
          <w:tcPr>
            <w:tcW w:w="7540" w:type="dxa"/>
            <w:vAlign w:val="center"/>
          </w:tcPr>
          <w:p w14:paraId="14F6F9A8">
            <w:pPr>
              <w:jc w:val="left"/>
              <w:rPr>
                <w:rFonts w:hint="eastAsia" w:ascii="宋体" w:hAnsi="宋体" w:eastAsia="宋体" w:cs="宋体"/>
                <w:sz w:val="24"/>
              </w:rPr>
            </w:pPr>
            <w:r>
              <w:rPr>
                <w:rFonts w:hint="eastAsia" w:ascii="宋体" w:hAnsi="宋体" w:eastAsia="宋体" w:cs="宋体"/>
                <w:sz w:val="24"/>
              </w:rPr>
              <w:t>询问送达形式：</w:t>
            </w:r>
            <w:r>
              <w:rPr>
                <w:rFonts w:hint="eastAsia" w:ascii="宋体" w:hAnsi="宋体" w:eastAsia="宋体" w:cs="宋体"/>
                <w:sz w:val="24"/>
                <w:u w:val="single"/>
              </w:rPr>
              <w:t>书面、现场</w:t>
            </w:r>
          </w:p>
        </w:tc>
      </w:tr>
      <w:tr w14:paraId="51F09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988" w:type="dxa"/>
            <w:vAlign w:val="center"/>
          </w:tcPr>
          <w:p w14:paraId="0D1CAC4D">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26.3</w:t>
            </w:r>
          </w:p>
        </w:tc>
        <w:tc>
          <w:tcPr>
            <w:tcW w:w="1701" w:type="dxa"/>
            <w:vAlign w:val="center"/>
          </w:tcPr>
          <w:p w14:paraId="635D841A">
            <w:pPr>
              <w:jc w:val="center"/>
              <w:rPr>
                <w:rFonts w:hint="eastAsia" w:ascii="宋体" w:hAnsi="宋体" w:eastAsia="宋体" w:cs="宋体"/>
                <w:sz w:val="24"/>
              </w:rPr>
            </w:pPr>
            <w:r>
              <w:rPr>
                <w:rFonts w:hint="eastAsia" w:ascii="宋体" w:hAnsi="宋体" w:eastAsia="宋体" w:cs="宋体"/>
                <w:sz w:val="24"/>
              </w:rPr>
              <w:t>联系方式</w:t>
            </w:r>
          </w:p>
        </w:tc>
        <w:tc>
          <w:tcPr>
            <w:tcW w:w="7540" w:type="dxa"/>
            <w:vAlign w:val="center"/>
          </w:tcPr>
          <w:p w14:paraId="0E8C07BF">
            <w:pPr>
              <w:jc w:val="left"/>
              <w:rPr>
                <w:rFonts w:hint="eastAsia" w:ascii="宋体" w:hAnsi="宋体" w:eastAsia="宋体" w:cs="宋体"/>
                <w:sz w:val="24"/>
              </w:rPr>
            </w:pPr>
            <w:r>
              <w:rPr>
                <w:rFonts w:hint="eastAsia" w:ascii="宋体" w:hAnsi="宋体" w:eastAsia="宋体" w:cs="宋体"/>
                <w:sz w:val="24"/>
              </w:rPr>
              <w:t>接收询问和质疑的联系方式</w:t>
            </w:r>
          </w:p>
          <w:p w14:paraId="1FB77730">
            <w:pPr>
              <w:jc w:val="left"/>
              <w:rPr>
                <w:rFonts w:hint="eastAsia" w:ascii="宋体" w:hAnsi="宋体" w:eastAsia="宋体" w:cs="宋体"/>
                <w:sz w:val="24"/>
              </w:rPr>
            </w:pPr>
            <w:r>
              <w:rPr>
                <w:rFonts w:hint="eastAsia" w:ascii="宋体" w:hAnsi="宋体" w:eastAsia="宋体" w:cs="宋体"/>
                <w:sz w:val="24"/>
              </w:rPr>
              <w:t>联系部门：</w:t>
            </w:r>
            <w:r>
              <w:rPr>
                <w:rFonts w:hint="eastAsia" w:ascii="宋体" w:hAnsi="宋体" w:eastAsia="宋体" w:cs="宋体"/>
                <w:kern w:val="0"/>
                <w:sz w:val="24"/>
                <w:u w:val="single"/>
              </w:rPr>
              <w:t>北京中兴天诚招标代理有限公司</w:t>
            </w:r>
            <w:r>
              <w:rPr>
                <w:rFonts w:hint="eastAsia" w:ascii="宋体" w:hAnsi="宋体" w:eastAsia="宋体" w:cs="宋体"/>
                <w:sz w:val="24"/>
              </w:rPr>
              <w:t>；</w:t>
            </w:r>
          </w:p>
          <w:p w14:paraId="27550D3C">
            <w:pPr>
              <w:jc w:val="left"/>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single"/>
              </w:rPr>
              <w:t>010-69256812</w:t>
            </w:r>
            <w:r>
              <w:rPr>
                <w:rFonts w:hint="eastAsia" w:ascii="宋体" w:hAnsi="宋体" w:eastAsia="宋体" w:cs="宋体"/>
                <w:sz w:val="24"/>
              </w:rPr>
              <w:t>；</w:t>
            </w:r>
          </w:p>
          <w:p w14:paraId="3A6D4912">
            <w:pPr>
              <w:jc w:val="left"/>
              <w:rPr>
                <w:rFonts w:hint="eastAsia" w:ascii="宋体" w:hAnsi="宋体" w:eastAsia="宋体" w:cs="宋体"/>
                <w:sz w:val="24"/>
              </w:rPr>
            </w:pPr>
            <w:r>
              <w:rPr>
                <w:rFonts w:hint="eastAsia" w:ascii="宋体" w:hAnsi="宋体" w:eastAsia="宋体" w:cs="宋体"/>
                <w:sz w:val="24"/>
              </w:rPr>
              <w:t>通讯地址：</w:t>
            </w:r>
            <w:r>
              <w:rPr>
                <w:rFonts w:hint="eastAsia" w:ascii="宋体" w:hAnsi="宋体" w:eastAsia="宋体" w:cs="宋体"/>
                <w:sz w:val="24"/>
                <w:u w:val="single"/>
              </w:rPr>
              <w:t>北京市大兴区清城北区27号B座1507室</w:t>
            </w:r>
            <w:r>
              <w:rPr>
                <w:rFonts w:hint="eastAsia" w:ascii="宋体" w:hAnsi="宋体" w:eastAsia="宋体" w:cs="宋体"/>
                <w:sz w:val="24"/>
              </w:rPr>
              <w:t>。</w:t>
            </w:r>
          </w:p>
        </w:tc>
      </w:tr>
      <w:tr w14:paraId="0425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E7337BC">
            <w:pPr>
              <w:pStyle w:val="25"/>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3111F587">
            <w:pPr>
              <w:jc w:val="center"/>
              <w:rPr>
                <w:rFonts w:hint="eastAsia" w:ascii="宋体" w:hAnsi="宋体" w:eastAsia="宋体" w:cs="宋体"/>
                <w:sz w:val="24"/>
              </w:rPr>
            </w:pPr>
            <w:r>
              <w:rPr>
                <w:rFonts w:hint="eastAsia" w:ascii="宋体" w:hAnsi="宋体" w:eastAsia="宋体" w:cs="宋体"/>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6EFA12E4">
            <w:pPr>
              <w:jc w:val="left"/>
              <w:rPr>
                <w:rFonts w:hint="eastAsia" w:ascii="宋体" w:hAnsi="宋体" w:eastAsia="宋体" w:cs="宋体"/>
                <w:sz w:val="24"/>
              </w:rPr>
            </w:pPr>
            <w:r>
              <w:rPr>
                <w:rFonts w:hint="eastAsia" w:ascii="宋体" w:hAnsi="宋体" w:eastAsia="宋体" w:cs="宋体"/>
                <w:sz w:val="24"/>
              </w:rPr>
              <w:t>收费对象：</w:t>
            </w:r>
          </w:p>
          <w:p w14:paraId="5A93B24F">
            <w:pPr>
              <w:jc w:val="left"/>
              <w:rPr>
                <w:rFonts w:hint="eastAsia" w:ascii="宋体" w:hAnsi="宋体" w:eastAsia="宋体" w:cs="宋体"/>
                <w:sz w:val="24"/>
              </w:rPr>
            </w:pPr>
            <w:r>
              <w:rPr>
                <w:rFonts w:hint="eastAsia" w:ascii="宋体" w:hAnsi="宋体" w:eastAsia="宋体" w:cs="宋体"/>
                <w:sz w:val="24"/>
              </w:rPr>
              <w:t>□采购人</w:t>
            </w:r>
          </w:p>
          <w:p w14:paraId="4975FB1C">
            <w:pPr>
              <w:jc w:val="left"/>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中标人</w:t>
            </w:r>
          </w:p>
          <w:p w14:paraId="139C9461">
            <w:pPr>
              <w:jc w:val="left"/>
              <w:rPr>
                <w:rFonts w:hint="eastAsia"/>
              </w:rPr>
            </w:pPr>
            <w:r>
              <w:rPr>
                <w:rFonts w:hint="eastAsia" w:ascii="宋体" w:hAnsi="宋体" w:eastAsia="宋体" w:cs="宋体"/>
                <w:sz w:val="24"/>
              </w:rPr>
              <w:t>收费标准：</w:t>
            </w:r>
            <w:r>
              <w:rPr>
                <w:rFonts w:hint="eastAsia" w:ascii="宋体" w:hAnsi="宋体" w:cs="宋体"/>
                <w:sz w:val="24"/>
                <w:lang w:val="en-US" w:eastAsia="zh-CN"/>
              </w:rPr>
              <w:t>招标代理服务费</w:t>
            </w:r>
            <w:r>
              <w:rPr>
                <w:rFonts w:hint="eastAsia" w:ascii="宋体" w:hAnsi="宋体" w:cs="宋体"/>
                <w:sz w:val="24"/>
                <w:highlight w:val="none"/>
                <w:lang w:val="en-US" w:eastAsia="zh-CN"/>
              </w:rPr>
              <w:t>：贰万捌仟贰佰元整</w:t>
            </w:r>
            <w:r>
              <w:rPr>
                <w:rFonts w:hint="eastAsia" w:ascii="宋体" w:hAnsi="宋体" w:eastAsia="宋体" w:cs="宋体"/>
                <w:sz w:val="24"/>
                <w:highlight w:val="none"/>
              </w:rPr>
              <w:t>；</w:t>
            </w:r>
          </w:p>
          <w:p w14:paraId="52B7D0F9">
            <w:pPr>
              <w:jc w:val="left"/>
              <w:rPr>
                <w:rFonts w:hint="eastAsia" w:ascii="宋体" w:hAnsi="宋体" w:eastAsia="宋体" w:cs="宋体"/>
                <w:sz w:val="24"/>
              </w:rPr>
            </w:pPr>
            <w:r>
              <w:rPr>
                <w:rFonts w:hint="eastAsia" w:ascii="宋体" w:hAnsi="宋体" w:eastAsia="宋体" w:cs="宋体"/>
                <w:b/>
                <w:bCs/>
                <w:sz w:val="24"/>
              </w:rPr>
              <w:t>缴纳时间：中标人领取中标通知书时以电汇方式一次性支付全款。</w:t>
            </w:r>
          </w:p>
        </w:tc>
      </w:tr>
      <w:tr w14:paraId="6E30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531C35C4">
            <w:pPr>
              <w:pStyle w:val="25"/>
              <w:adjustRightInd w:val="0"/>
              <w:snapToGrid w:val="0"/>
              <w:ind w:firstLine="241" w:firstLineChars="10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补充</w:t>
            </w:r>
          </w:p>
        </w:tc>
        <w:tc>
          <w:tcPr>
            <w:tcW w:w="9241" w:type="dxa"/>
            <w:gridSpan w:val="2"/>
            <w:tcBorders>
              <w:top w:val="single" w:color="auto" w:sz="4" w:space="0"/>
              <w:left w:val="single" w:color="auto" w:sz="4" w:space="0"/>
              <w:bottom w:val="single" w:color="auto" w:sz="4" w:space="0"/>
              <w:right w:val="single" w:color="auto" w:sz="4" w:space="0"/>
            </w:tcBorders>
            <w:vAlign w:val="center"/>
          </w:tcPr>
          <w:p w14:paraId="2E601E5C">
            <w:pPr>
              <w:pStyle w:val="25"/>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rPr>
              <w:t>以下条款是对本招标文件的重要说明及</w:t>
            </w:r>
            <w:r>
              <w:rPr>
                <w:rFonts w:hint="eastAsia" w:ascii="宋体" w:hAnsi="宋体" w:eastAsia="宋体" w:cs="宋体"/>
                <w:sz w:val="24"/>
                <w:szCs w:val="24"/>
                <w:lang w:val="en-US" w:eastAsia="zh-CN"/>
              </w:rPr>
              <w:t>补充</w:t>
            </w:r>
          </w:p>
        </w:tc>
      </w:tr>
      <w:tr w14:paraId="718A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B1AA739">
            <w:pPr>
              <w:pStyle w:val="25"/>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241" w:type="dxa"/>
            <w:gridSpan w:val="2"/>
            <w:tcBorders>
              <w:top w:val="single" w:color="auto" w:sz="4" w:space="0"/>
              <w:left w:val="single" w:color="auto" w:sz="4" w:space="0"/>
              <w:bottom w:val="single" w:color="auto" w:sz="4" w:space="0"/>
              <w:right w:val="single" w:color="auto" w:sz="4" w:space="0"/>
            </w:tcBorders>
            <w:vAlign w:val="center"/>
          </w:tcPr>
          <w:p w14:paraId="28502D1A">
            <w:pPr>
              <w:pStyle w:val="25"/>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投标人如果在投标文件中提供了虚假材料，在任何时候采购人都有权否决其投标，并视</w:t>
            </w:r>
          </w:p>
          <w:p w14:paraId="49CA51DA">
            <w:pPr>
              <w:pStyle w:val="25"/>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情况追究其责任。</w:t>
            </w:r>
          </w:p>
        </w:tc>
      </w:tr>
      <w:tr w14:paraId="32E1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F2DE51D">
            <w:pPr>
              <w:pStyle w:val="25"/>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241" w:type="dxa"/>
            <w:gridSpan w:val="2"/>
            <w:tcBorders>
              <w:top w:val="single" w:color="auto" w:sz="4" w:space="0"/>
              <w:left w:val="single" w:color="auto" w:sz="4" w:space="0"/>
              <w:bottom w:val="single" w:color="auto" w:sz="4" w:space="0"/>
              <w:right w:val="single" w:color="auto" w:sz="4" w:space="0"/>
            </w:tcBorders>
            <w:vAlign w:val="center"/>
          </w:tcPr>
          <w:p w14:paraId="56020491">
            <w:pPr>
              <w:pStyle w:val="25"/>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开标一览表、投标文件按招标文件要求有效签署并加盖投标人单位公章，否则将被视为</w:t>
            </w:r>
          </w:p>
          <w:p w14:paraId="1057D7BB">
            <w:pPr>
              <w:pStyle w:val="25"/>
              <w:adjustRightInd w:val="0"/>
              <w:snapToGrid w:val="0"/>
              <w:jc w:val="left"/>
              <w:rPr>
                <w:rFonts w:hint="eastAsia" w:ascii="宋体" w:hAnsi="宋体" w:eastAsia="宋体" w:cs="宋体"/>
                <w:sz w:val="24"/>
                <w:szCs w:val="24"/>
                <w:lang w:eastAsia="zh-CN"/>
              </w:rPr>
            </w:pPr>
            <w:r>
              <w:rPr>
                <w:rFonts w:hint="eastAsia" w:ascii="宋体" w:hAnsi="宋体" w:eastAsia="宋体" w:cs="宋体"/>
                <w:b/>
                <w:bCs/>
                <w:sz w:val="24"/>
                <w:szCs w:val="24"/>
                <w:u w:val="single"/>
              </w:rPr>
              <w:t>无效投标</w:t>
            </w:r>
            <w:r>
              <w:rPr>
                <w:rFonts w:hint="eastAsia" w:ascii="宋体" w:hAnsi="宋体" w:eastAsia="宋体" w:cs="宋体"/>
                <w:sz w:val="24"/>
                <w:szCs w:val="24"/>
                <w:lang w:eastAsia="zh-CN"/>
              </w:rPr>
              <w:t>。</w:t>
            </w:r>
          </w:p>
        </w:tc>
      </w:tr>
      <w:tr w14:paraId="550E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28E64EF">
            <w:pPr>
              <w:pStyle w:val="25"/>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9241" w:type="dxa"/>
            <w:gridSpan w:val="2"/>
            <w:tcBorders>
              <w:top w:val="single" w:color="auto" w:sz="4" w:space="0"/>
              <w:left w:val="single" w:color="auto" w:sz="4" w:space="0"/>
              <w:bottom w:val="single" w:color="auto" w:sz="4" w:space="0"/>
              <w:right w:val="single" w:color="auto" w:sz="4" w:space="0"/>
            </w:tcBorders>
            <w:vAlign w:val="center"/>
          </w:tcPr>
          <w:p w14:paraId="68FF3F94">
            <w:pPr>
              <w:pStyle w:val="25"/>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招标文件中要求的盖章，除特殊标注外，是指在公安部门备案的单位公章；财务专用章、</w:t>
            </w:r>
          </w:p>
          <w:p w14:paraId="7F4B2B77">
            <w:pPr>
              <w:pStyle w:val="25"/>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合同专用章、投标专用章等均不予认可，否则其投标将被视为</w:t>
            </w:r>
            <w:r>
              <w:rPr>
                <w:rFonts w:hint="eastAsia" w:ascii="宋体" w:hAnsi="宋体" w:eastAsia="宋体" w:cs="宋体"/>
                <w:b/>
                <w:bCs/>
                <w:sz w:val="24"/>
                <w:szCs w:val="24"/>
                <w:u w:val="single"/>
              </w:rPr>
              <w:t>无效投标</w:t>
            </w:r>
            <w:r>
              <w:rPr>
                <w:rFonts w:hint="eastAsia" w:ascii="宋体" w:hAnsi="宋体" w:eastAsia="宋体" w:cs="宋体"/>
                <w:sz w:val="24"/>
                <w:szCs w:val="24"/>
              </w:rPr>
              <w:t>。</w:t>
            </w:r>
          </w:p>
        </w:tc>
      </w:tr>
    </w:tbl>
    <w:p w14:paraId="28157FEF">
      <w:pPr>
        <w:tabs>
          <w:tab w:val="left" w:pos="5580"/>
        </w:tabs>
        <w:adjustRightInd w:val="0"/>
        <w:spacing w:line="360" w:lineRule="auto"/>
        <w:jc w:val="distribute"/>
        <w:rPr>
          <w:rFonts w:hint="eastAsia" w:ascii="宋体" w:hAnsi="宋体" w:eastAsia="宋体" w:cs="宋体"/>
          <w:sz w:val="24"/>
        </w:rPr>
      </w:pPr>
    </w:p>
    <w:p w14:paraId="7F289FFB">
      <w:pPr>
        <w:pStyle w:val="45"/>
        <w:rPr>
          <w:rFonts w:hint="eastAsia" w:ascii="宋体" w:hAnsi="宋体" w:eastAsia="宋体" w:cs="宋体"/>
        </w:rPr>
        <w:sectPr>
          <w:headerReference r:id="rId8" w:type="first"/>
          <w:footerReference r:id="rId9" w:type="default"/>
          <w:type w:val="nextColumn"/>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titlePg/>
          <w:docGrid w:linePitch="462" w:charSpace="0"/>
        </w:sectPr>
      </w:pPr>
    </w:p>
    <w:p w14:paraId="75C22026">
      <w:pPr>
        <w:spacing w:before="240" w:beforeLines="100" w:after="240" w:afterLines="100"/>
        <w:jc w:val="center"/>
        <w:outlineLvl w:val="1"/>
        <w:rPr>
          <w:rFonts w:hint="eastAsia" w:ascii="宋体" w:hAnsi="宋体" w:eastAsia="宋体" w:cs="宋体"/>
          <w:b/>
          <w:sz w:val="28"/>
          <w:szCs w:val="28"/>
        </w:rPr>
      </w:pPr>
      <w:bookmarkStart w:id="72" w:name="_Toc305158785"/>
      <w:bookmarkStart w:id="73" w:name="_Toc195842882"/>
      <w:bookmarkStart w:id="74" w:name="_Toc150774722"/>
      <w:bookmarkStart w:id="75" w:name="_Toc142311019"/>
      <w:bookmarkStart w:id="76" w:name="_Toc226965790"/>
      <w:bookmarkStart w:id="77" w:name="_Toc353825542"/>
      <w:bookmarkStart w:id="78" w:name="_Toc305158859"/>
      <w:bookmarkStart w:id="79" w:name="_Toc226337213"/>
      <w:bookmarkStart w:id="80" w:name="_Toc127151517"/>
      <w:bookmarkStart w:id="81" w:name="_Toc150480755"/>
      <w:bookmarkStart w:id="82" w:name="_Toc353873662"/>
      <w:bookmarkStart w:id="83" w:name="_Toc353873932"/>
      <w:bookmarkStart w:id="84" w:name="_Toc265228355"/>
      <w:bookmarkStart w:id="85" w:name="_Toc264969207"/>
      <w:r>
        <w:rPr>
          <w:rFonts w:hint="eastAsia" w:ascii="宋体" w:hAnsi="宋体" w:eastAsia="宋体" w:cs="宋体"/>
          <w:b/>
          <w:sz w:val="28"/>
          <w:szCs w:val="28"/>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B2029FC">
      <w:pPr>
        <w:pStyle w:val="4"/>
        <w:tabs>
          <w:tab w:val="center" w:pos="4592"/>
          <w:tab w:val="left" w:pos="7860"/>
        </w:tabs>
        <w:spacing w:before="0" w:line="360" w:lineRule="auto"/>
        <w:jc w:val="left"/>
        <w:rPr>
          <w:rFonts w:hint="eastAsia" w:ascii="宋体" w:hAnsi="宋体" w:eastAsia="宋体" w:cs="宋体"/>
          <w:sz w:val="28"/>
        </w:rPr>
      </w:pPr>
      <w:bookmarkStart w:id="86" w:name="_Toc127151518"/>
      <w:bookmarkStart w:id="87" w:name="_Toc520356143"/>
      <w:r>
        <w:rPr>
          <w:rFonts w:hint="eastAsia" w:ascii="宋体" w:hAnsi="宋体" w:eastAsia="宋体" w:cs="宋体"/>
          <w:sz w:val="28"/>
        </w:rPr>
        <w:tab/>
      </w:r>
      <w:bookmarkStart w:id="88" w:name="_Toc142311020"/>
      <w:bookmarkStart w:id="89" w:name="_Toc150774618"/>
      <w:bookmarkStart w:id="90" w:name="_Toc195842883"/>
      <w:bookmarkStart w:id="91" w:name="_Toc305158860"/>
      <w:bookmarkStart w:id="92" w:name="_Toc151190145"/>
      <w:bookmarkStart w:id="93" w:name="_Toc151193906"/>
      <w:bookmarkStart w:id="94" w:name="_Toc305158786"/>
      <w:bookmarkStart w:id="95" w:name="_Toc264969208"/>
      <w:bookmarkStart w:id="96" w:name="_Toc226965708"/>
      <w:bookmarkStart w:id="97" w:name="_Toc151193832"/>
      <w:bookmarkStart w:id="98" w:name="_Toc150774723"/>
      <w:bookmarkStart w:id="99" w:name="_Toc226337214"/>
      <w:bookmarkStart w:id="100" w:name="_Toc151193760"/>
      <w:bookmarkStart w:id="101" w:name="_Toc151193616"/>
      <w:bookmarkStart w:id="102" w:name="_Toc150509269"/>
      <w:bookmarkStart w:id="103" w:name="_Toc151193688"/>
      <w:bookmarkStart w:id="104" w:name="_Toc265228356"/>
      <w:bookmarkStart w:id="105" w:name="_Toc226965791"/>
      <w:bookmarkStart w:id="106" w:name="_Toc150480756"/>
      <w:bookmarkStart w:id="107" w:name="_Toc226309762"/>
      <w:r>
        <w:rPr>
          <w:rFonts w:hint="eastAsia" w:ascii="宋体" w:hAnsi="宋体" w:eastAsia="宋体" w:cs="宋体"/>
          <w:sz w:val="28"/>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hint="eastAsia" w:ascii="宋体" w:hAnsi="宋体" w:eastAsia="宋体" w:cs="宋体"/>
          <w:sz w:val="28"/>
        </w:rPr>
        <w:tab/>
      </w:r>
    </w:p>
    <w:p w14:paraId="4C0CFDF5">
      <w:pPr>
        <w:numPr>
          <w:ilvl w:val="0"/>
          <w:numId w:val="9"/>
        </w:numPr>
        <w:tabs>
          <w:tab w:val="left" w:pos="360"/>
          <w:tab w:val="clear" w:pos="900"/>
        </w:tabs>
        <w:snapToGrid w:val="0"/>
        <w:spacing w:line="360" w:lineRule="auto"/>
        <w:ind w:left="357" w:hanging="357"/>
        <w:outlineLvl w:val="2"/>
        <w:rPr>
          <w:rFonts w:hint="eastAsia" w:ascii="宋体" w:hAnsi="宋体" w:eastAsia="宋体" w:cs="宋体"/>
          <w:sz w:val="24"/>
        </w:rPr>
      </w:pPr>
      <w:bookmarkStart w:id="108" w:name="_Toc305158787"/>
      <w:bookmarkStart w:id="109" w:name="_Toc305158861"/>
      <w:bookmarkStart w:id="110" w:name="_Toc264969209"/>
      <w:bookmarkStart w:id="111" w:name="_Toc265228357"/>
      <w:r>
        <w:rPr>
          <w:rFonts w:hint="eastAsia" w:ascii="宋体" w:hAnsi="宋体" w:eastAsia="宋体" w:cs="宋体"/>
          <w:sz w:val="24"/>
        </w:rPr>
        <w:t>采购人、采购代理机构、投标人</w:t>
      </w:r>
      <w:bookmarkEnd w:id="108"/>
      <w:bookmarkEnd w:id="109"/>
      <w:bookmarkEnd w:id="110"/>
      <w:bookmarkEnd w:id="111"/>
      <w:r>
        <w:rPr>
          <w:rFonts w:hint="eastAsia" w:ascii="宋体" w:hAnsi="宋体" w:eastAsia="宋体" w:cs="宋体"/>
          <w:sz w:val="24"/>
        </w:rPr>
        <w:t>、联合体</w:t>
      </w:r>
    </w:p>
    <w:p w14:paraId="19B55D6D">
      <w:pPr>
        <w:numPr>
          <w:ilvl w:val="1"/>
          <w:numId w:val="9"/>
        </w:numPr>
        <w:tabs>
          <w:tab w:val="left" w:pos="1080"/>
          <w:tab w:val="left" w:pos="2014"/>
          <w:tab w:val="left" w:pos="5521"/>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采购人、采购代理机构：指依法进行政府采购的国家机关、事业单位、团体组织，及其委托的采购代理机构。本项目采购人、采购代理机构见第一章《投标邀请》。</w:t>
      </w:r>
    </w:p>
    <w:p w14:paraId="71E9643B">
      <w:pPr>
        <w:numPr>
          <w:ilvl w:val="1"/>
          <w:numId w:val="9"/>
        </w:numPr>
        <w:tabs>
          <w:tab w:val="left" w:pos="1080"/>
          <w:tab w:val="left" w:pos="2014"/>
          <w:tab w:val="left" w:pos="5521"/>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投标人（也称“供应商”、“申请人”）：指向采购人提供货物、工程或者服务的法人、其他组织或者自然人。</w:t>
      </w:r>
    </w:p>
    <w:p w14:paraId="254DECA2">
      <w:pPr>
        <w:numPr>
          <w:ilvl w:val="1"/>
          <w:numId w:val="9"/>
        </w:numPr>
        <w:tabs>
          <w:tab w:val="left" w:pos="1080"/>
          <w:tab w:val="left" w:pos="2014"/>
          <w:tab w:val="left" w:pos="5521"/>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联合体：指两个以上的自然人、法人或者其他组织组成一个联合体，以一个供应商的身份共同参加政府采购。</w:t>
      </w:r>
    </w:p>
    <w:p w14:paraId="18C740E4">
      <w:pPr>
        <w:numPr>
          <w:ilvl w:val="0"/>
          <w:numId w:val="9"/>
        </w:numPr>
        <w:tabs>
          <w:tab w:val="left" w:pos="360"/>
          <w:tab w:val="clear" w:pos="900"/>
        </w:tabs>
        <w:snapToGrid w:val="0"/>
        <w:spacing w:line="360" w:lineRule="auto"/>
        <w:ind w:left="357" w:hanging="357"/>
        <w:outlineLvl w:val="2"/>
        <w:rPr>
          <w:rFonts w:hint="eastAsia" w:ascii="宋体" w:hAnsi="宋体" w:eastAsia="宋体" w:cs="宋体"/>
          <w:sz w:val="24"/>
        </w:rPr>
      </w:pPr>
      <w:bookmarkStart w:id="112" w:name="_Toc142311022"/>
      <w:bookmarkStart w:id="113" w:name="_Toc127151520"/>
      <w:bookmarkStart w:id="114" w:name="_Toc150509271"/>
      <w:bookmarkStart w:id="115" w:name="_Toc226965710"/>
      <w:bookmarkStart w:id="116" w:name="_Toc127151721"/>
      <w:bookmarkStart w:id="117" w:name="_Toc265228358"/>
      <w:bookmarkStart w:id="118" w:name="_Toc150774725"/>
      <w:bookmarkStart w:id="119" w:name="_Toc151190147"/>
      <w:bookmarkStart w:id="120" w:name="_Toc305158788"/>
      <w:bookmarkStart w:id="121" w:name="_Toc164608789"/>
      <w:bookmarkStart w:id="122" w:name="_Toc226309764"/>
      <w:bookmarkStart w:id="123" w:name="_Toc151193908"/>
      <w:bookmarkStart w:id="124" w:name="_Toc264969210"/>
      <w:bookmarkStart w:id="125" w:name="_Toc151193834"/>
      <w:bookmarkStart w:id="126" w:name="_Toc164351614"/>
      <w:bookmarkStart w:id="127" w:name="_Toc150480758"/>
      <w:bookmarkStart w:id="128" w:name="_Toc127161434"/>
      <w:bookmarkStart w:id="129" w:name="_Toc164229215"/>
      <w:bookmarkStart w:id="130" w:name="_Toc164229361"/>
      <w:bookmarkStart w:id="131" w:name="_Toc226337216"/>
      <w:bookmarkStart w:id="132" w:name="_Toc151193762"/>
      <w:bookmarkStart w:id="133" w:name="_Toc164608634"/>
      <w:bookmarkStart w:id="134" w:name="_Toc305158862"/>
      <w:bookmarkStart w:id="135" w:name="_Toc226965793"/>
      <w:bookmarkStart w:id="136" w:name="_Toc151193690"/>
      <w:bookmarkStart w:id="137" w:name="_Toc195842885"/>
      <w:bookmarkStart w:id="138" w:name="_Toc150774620"/>
      <w:bookmarkStart w:id="139" w:name="_Toc151193618"/>
      <w:bookmarkStart w:id="140" w:name="_Toc149720813"/>
      <w:r>
        <w:rPr>
          <w:rFonts w:hint="eastAsia" w:ascii="宋体" w:hAnsi="宋体" w:eastAsia="宋体" w:cs="宋体"/>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ascii="宋体" w:hAnsi="宋体" w:eastAsia="宋体" w:cs="宋体"/>
          <w:sz w:val="24"/>
        </w:rPr>
        <w:t>、项目属性、科研仪器设备采购、核心产品</w:t>
      </w:r>
    </w:p>
    <w:p w14:paraId="4912795F">
      <w:pPr>
        <w:numPr>
          <w:ilvl w:val="1"/>
          <w:numId w:val="9"/>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资金来源为财政性资金和/或本项目采购中无法与财政性资金分割的非财政性资金。</w:t>
      </w:r>
    </w:p>
    <w:p w14:paraId="33D55ED1">
      <w:pPr>
        <w:numPr>
          <w:ilvl w:val="1"/>
          <w:numId w:val="9"/>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项目属性见《投标人须知资料表》。</w:t>
      </w:r>
    </w:p>
    <w:p w14:paraId="4237877B">
      <w:pPr>
        <w:numPr>
          <w:ilvl w:val="1"/>
          <w:numId w:val="9"/>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是否属于科研仪器设备采购见《投标人须知资料表》。</w:t>
      </w:r>
    </w:p>
    <w:p w14:paraId="2DFC273A">
      <w:pPr>
        <w:numPr>
          <w:ilvl w:val="1"/>
          <w:numId w:val="9"/>
        </w:numPr>
        <w:tabs>
          <w:tab w:val="left" w:pos="1080"/>
          <w:tab w:val="left" w:pos="2014"/>
          <w:tab w:val="left" w:pos="5521"/>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核心产品见《投标人须知资料表》。</w:t>
      </w:r>
    </w:p>
    <w:p w14:paraId="71C609D9">
      <w:pPr>
        <w:numPr>
          <w:ilvl w:val="0"/>
          <w:numId w:val="9"/>
        </w:numPr>
        <w:tabs>
          <w:tab w:val="left" w:pos="360"/>
        </w:tabs>
        <w:snapToGrid w:val="0"/>
        <w:spacing w:line="360" w:lineRule="auto"/>
        <w:ind w:left="357" w:hanging="357"/>
        <w:outlineLvl w:val="2"/>
        <w:rPr>
          <w:rFonts w:hint="eastAsia" w:ascii="宋体" w:hAnsi="宋体" w:eastAsia="宋体" w:cs="宋体"/>
          <w:sz w:val="24"/>
        </w:rPr>
      </w:pPr>
      <w:r>
        <w:rPr>
          <w:rFonts w:hint="eastAsia" w:ascii="宋体" w:hAnsi="宋体" w:eastAsia="宋体" w:cs="宋体"/>
          <w:sz w:val="24"/>
        </w:rPr>
        <w:t>现场考察、开标前答疑会</w:t>
      </w:r>
    </w:p>
    <w:p w14:paraId="381FFA77">
      <w:pPr>
        <w:numPr>
          <w:ilvl w:val="1"/>
          <w:numId w:val="9"/>
        </w:numPr>
        <w:tabs>
          <w:tab w:val="left" w:pos="1080"/>
          <w:tab w:val="left" w:pos="2014"/>
        </w:tabs>
        <w:snapToGrid w:val="0"/>
        <w:spacing w:line="360" w:lineRule="auto"/>
        <w:ind w:left="1080" w:hanging="720"/>
        <w:rPr>
          <w:rFonts w:hint="eastAsia" w:ascii="宋体" w:hAnsi="宋体" w:eastAsia="宋体" w:cs="宋体"/>
          <w:sz w:val="28"/>
        </w:rPr>
      </w:pPr>
      <w:r>
        <w:rPr>
          <w:rFonts w:hint="eastAsia" w:ascii="宋体" w:hAnsi="宋体" w:eastAsia="宋体" w:cs="宋体"/>
          <w:sz w:val="24"/>
        </w:rPr>
        <w:t>若《投标人须知资料表》中规定了组织现场考察、召开开标前答疑会，则投标人应按要求在规定的时间和地点参加。</w:t>
      </w:r>
      <w:bookmarkStart w:id="141" w:name="_Toc226965712"/>
      <w:bookmarkStart w:id="142" w:name="_Toc305158790"/>
      <w:bookmarkStart w:id="143" w:name="_Toc226309766"/>
      <w:bookmarkStart w:id="144" w:name="_Toc264969212"/>
      <w:bookmarkStart w:id="145" w:name="_Toc150774622"/>
      <w:bookmarkStart w:id="146" w:name="_Toc151190149"/>
      <w:bookmarkStart w:id="147" w:name="_Toc151193836"/>
      <w:bookmarkStart w:id="148" w:name="_Toc226965795"/>
      <w:bookmarkStart w:id="149" w:name="_Toc150509273"/>
      <w:bookmarkStart w:id="150" w:name="_Toc305158864"/>
      <w:bookmarkStart w:id="151" w:name="_Toc151193910"/>
      <w:bookmarkStart w:id="152" w:name="_Toc150774727"/>
      <w:bookmarkStart w:id="153" w:name="_Toc265228360"/>
      <w:bookmarkStart w:id="154" w:name="_Toc226337218"/>
      <w:bookmarkStart w:id="155" w:name="_Toc195842887"/>
      <w:bookmarkStart w:id="156" w:name="_Toc142311024"/>
      <w:bookmarkStart w:id="157" w:name="_Toc151193764"/>
      <w:bookmarkStart w:id="158" w:name="_Toc151193692"/>
      <w:bookmarkStart w:id="159" w:name="_Toc150480760"/>
      <w:bookmarkStart w:id="160" w:name="_Toc520356146"/>
      <w:bookmarkStart w:id="161" w:name="_Toc151193620"/>
      <w:bookmarkStart w:id="162" w:name="_Toc127151522"/>
    </w:p>
    <w:p w14:paraId="4A430EC0">
      <w:pPr>
        <w:numPr>
          <w:ilvl w:val="1"/>
          <w:numId w:val="9"/>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由于未参加现场考察或开标前答疑会而导致对项目实际情况不了解，影响投标文件编制、投标报价准确性、综合因素响应不全面等问题的，由投标人自行承担不利评审后果。</w:t>
      </w:r>
    </w:p>
    <w:p w14:paraId="78B809C4">
      <w:pPr>
        <w:numPr>
          <w:ilvl w:val="0"/>
          <w:numId w:val="9"/>
        </w:numPr>
        <w:tabs>
          <w:tab w:val="left" w:pos="360"/>
        </w:tabs>
        <w:snapToGrid w:val="0"/>
        <w:spacing w:line="360" w:lineRule="auto"/>
        <w:ind w:left="357" w:hanging="357"/>
        <w:outlineLvl w:val="2"/>
        <w:rPr>
          <w:rFonts w:hint="eastAsia" w:ascii="宋体" w:hAnsi="宋体" w:eastAsia="宋体" w:cs="宋体"/>
          <w:sz w:val="24"/>
        </w:rPr>
      </w:pPr>
      <w:r>
        <w:rPr>
          <w:rFonts w:hint="eastAsia" w:ascii="宋体" w:hAnsi="宋体" w:eastAsia="宋体" w:cs="宋体"/>
          <w:sz w:val="24"/>
        </w:rPr>
        <w:t>样品（本项目不适用）</w:t>
      </w:r>
    </w:p>
    <w:p w14:paraId="250A78A2">
      <w:pPr>
        <w:numPr>
          <w:ilvl w:val="1"/>
          <w:numId w:val="9"/>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本项目是否要求投标人提供样品，以及样品制作的标准和要求、是否需要随样品提交相关检测报告、样品的递交与退还等要求见《投标人须知资料表》。</w:t>
      </w:r>
    </w:p>
    <w:p w14:paraId="4B326343">
      <w:pPr>
        <w:numPr>
          <w:ilvl w:val="1"/>
          <w:numId w:val="9"/>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样品的评审方法以及评审标准等内容见第四章《评标方法和评标标准》。</w:t>
      </w:r>
    </w:p>
    <w:p w14:paraId="69277AB3">
      <w:pPr>
        <w:numPr>
          <w:ilvl w:val="0"/>
          <w:numId w:val="9"/>
        </w:numPr>
        <w:tabs>
          <w:tab w:val="left" w:pos="360"/>
          <w:tab w:val="clear" w:pos="900"/>
        </w:tabs>
        <w:snapToGrid w:val="0"/>
        <w:spacing w:line="360" w:lineRule="auto"/>
        <w:ind w:left="357" w:hanging="357"/>
        <w:outlineLvl w:val="2"/>
        <w:rPr>
          <w:rFonts w:hint="eastAsia" w:ascii="宋体" w:hAnsi="宋体" w:eastAsia="宋体" w:cs="宋体"/>
          <w:sz w:val="24"/>
        </w:rPr>
      </w:pPr>
      <w:r>
        <w:rPr>
          <w:rFonts w:hint="eastAsia" w:ascii="宋体" w:hAnsi="宋体" w:eastAsia="宋体" w:cs="宋体"/>
          <w:sz w:val="24"/>
        </w:rPr>
        <w:t>政府采购政策（包括但不限于下列具体政策要求）</w:t>
      </w:r>
    </w:p>
    <w:p w14:paraId="00334E98">
      <w:pPr>
        <w:numPr>
          <w:ilvl w:val="1"/>
          <w:numId w:val="9"/>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采购本国货物、工程和服务</w:t>
      </w:r>
    </w:p>
    <w:p w14:paraId="7D07DC67">
      <w:pPr>
        <w:numPr>
          <w:ilvl w:val="2"/>
          <w:numId w:val="9"/>
        </w:numPr>
        <w:tabs>
          <w:tab w:val="left" w:pos="2014"/>
        </w:tabs>
        <w:snapToGrid w:val="0"/>
        <w:spacing w:line="360" w:lineRule="auto"/>
        <w:rPr>
          <w:rFonts w:hint="eastAsia" w:ascii="宋体" w:hAnsi="宋体" w:eastAsia="宋体" w:cs="宋体"/>
          <w:sz w:val="24"/>
        </w:rPr>
      </w:pPr>
      <w:r>
        <w:rPr>
          <w:rFonts w:hint="eastAsia" w:ascii="宋体" w:hAnsi="宋体" w:eastAsia="宋体" w:cs="宋体"/>
          <w:sz w:val="24"/>
        </w:rPr>
        <w:t>政府采购应当采购本国货物、工程和服务。但有《中华人民共和国政府采购法》第十条规定情形的除外。</w:t>
      </w:r>
    </w:p>
    <w:p w14:paraId="16ABACF5">
      <w:pPr>
        <w:numPr>
          <w:ilvl w:val="2"/>
          <w:numId w:val="9"/>
        </w:numPr>
        <w:tabs>
          <w:tab w:val="left" w:pos="2014"/>
        </w:tabs>
        <w:snapToGrid w:val="0"/>
        <w:spacing w:line="360" w:lineRule="auto"/>
        <w:rPr>
          <w:rFonts w:hint="eastAsia" w:ascii="宋体" w:hAnsi="宋体" w:eastAsia="宋体" w:cs="宋体"/>
          <w:sz w:val="24"/>
        </w:rPr>
      </w:pPr>
      <w:r>
        <w:rPr>
          <w:rFonts w:hint="eastAsia" w:ascii="宋体" w:hAnsi="宋体" w:eastAsia="宋体" w:cs="宋体"/>
          <w:sz w:val="24"/>
        </w:rPr>
        <w:t>本项目如接受非本国货物、工程、服务参与投标，则具体要求见第四章《采购需求》。</w:t>
      </w:r>
    </w:p>
    <w:p w14:paraId="3E434687">
      <w:pPr>
        <w:numPr>
          <w:ilvl w:val="2"/>
          <w:numId w:val="9"/>
        </w:numPr>
        <w:tabs>
          <w:tab w:val="left" w:pos="2014"/>
        </w:tabs>
        <w:snapToGrid w:val="0"/>
        <w:spacing w:line="360" w:lineRule="auto"/>
        <w:rPr>
          <w:rFonts w:hint="eastAsia" w:ascii="宋体" w:hAnsi="宋体" w:eastAsia="宋体" w:cs="宋体"/>
          <w:sz w:val="24"/>
        </w:rPr>
      </w:pPr>
      <w:r>
        <w:rPr>
          <w:rFonts w:hint="eastAsia" w:ascii="宋体" w:hAnsi="宋体" w:eastAsia="宋体" w:cs="宋体"/>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4369310">
      <w:pPr>
        <w:numPr>
          <w:ilvl w:val="1"/>
          <w:numId w:val="9"/>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中小企业、监狱企业及残疾人福利性单位</w:t>
      </w:r>
    </w:p>
    <w:p w14:paraId="1801B65E">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中小企业定义：</w:t>
      </w:r>
    </w:p>
    <w:p w14:paraId="659A857E">
      <w:pPr>
        <w:pStyle w:val="127"/>
        <w:numPr>
          <w:ilvl w:val="0"/>
          <w:numId w:val="10"/>
        </w:numPr>
        <w:tabs>
          <w:tab w:val="left" w:pos="1980"/>
          <w:tab w:val="left" w:pos="2035"/>
          <w:tab w:val="left" w:pos="2977"/>
        </w:tabs>
        <w:snapToGrid w:val="0"/>
        <w:spacing w:line="360" w:lineRule="auto"/>
        <w:ind w:firstLineChars="0"/>
        <w:rPr>
          <w:rFonts w:hint="eastAsia" w:ascii="宋体" w:hAnsi="宋体" w:eastAsia="宋体" w:cs="宋体"/>
          <w:vanish/>
          <w:color w:val="000000"/>
          <w:sz w:val="24"/>
          <w:szCs w:val="24"/>
        </w:rPr>
      </w:pPr>
    </w:p>
    <w:p w14:paraId="53820826">
      <w:pPr>
        <w:pStyle w:val="127"/>
        <w:numPr>
          <w:ilvl w:val="0"/>
          <w:numId w:val="10"/>
        </w:numPr>
        <w:tabs>
          <w:tab w:val="left" w:pos="1980"/>
          <w:tab w:val="left" w:pos="2035"/>
          <w:tab w:val="left" w:pos="2977"/>
        </w:tabs>
        <w:snapToGrid w:val="0"/>
        <w:spacing w:line="360" w:lineRule="auto"/>
        <w:ind w:firstLineChars="0"/>
        <w:rPr>
          <w:rFonts w:hint="eastAsia" w:ascii="宋体" w:hAnsi="宋体" w:eastAsia="宋体" w:cs="宋体"/>
          <w:vanish/>
          <w:color w:val="000000"/>
          <w:sz w:val="24"/>
          <w:szCs w:val="24"/>
        </w:rPr>
      </w:pPr>
    </w:p>
    <w:p w14:paraId="06ED43F5">
      <w:pPr>
        <w:pStyle w:val="127"/>
        <w:numPr>
          <w:ilvl w:val="0"/>
          <w:numId w:val="10"/>
        </w:numPr>
        <w:tabs>
          <w:tab w:val="left" w:pos="1980"/>
          <w:tab w:val="left" w:pos="2035"/>
          <w:tab w:val="left" w:pos="2977"/>
        </w:tabs>
        <w:snapToGrid w:val="0"/>
        <w:spacing w:line="360" w:lineRule="auto"/>
        <w:ind w:firstLineChars="0"/>
        <w:rPr>
          <w:rFonts w:hint="eastAsia" w:ascii="宋体" w:hAnsi="宋体" w:eastAsia="宋体" w:cs="宋体"/>
          <w:vanish/>
          <w:color w:val="000000"/>
          <w:sz w:val="24"/>
          <w:szCs w:val="24"/>
        </w:rPr>
      </w:pPr>
    </w:p>
    <w:p w14:paraId="0CA79D2A">
      <w:pPr>
        <w:pStyle w:val="127"/>
        <w:numPr>
          <w:ilvl w:val="0"/>
          <w:numId w:val="10"/>
        </w:numPr>
        <w:tabs>
          <w:tab w:val="left" w:pos="1980"/>
          <w:tab w:val="left" w:pos="2035"/>
          <w:tab w:val="left" w:pos="2977"/>
        </w:tabs>
        <w:snapToGrid w:val="0"/>
        <w:spacing w:line="360" w:lineRule="auto"/>
        <w:ind w:firstLineChars="0"/>
        <w:rPr>
          <w:rFonts w:hint="eastAsia" w:ascii="宋体" w:hAnsi="宋体" w:eastAsia="宋体" w:cs="宋体"/>
          <w:vanish/>
          <w:color w:val="000000"/>
          <w:sz w:val="24"/>
          <w:szCs w:val="24"/>
        </w:rPr>
      </w:pPr>
    </w:p>
    <w:p w14:paraId="492BEB24">
      <w:pPr>
        <w:pStyle w:val="127"/>
        <w:numPr>
          <w:ilvl w:val="0"/>
          <w:numId w:val="10"/>
        </w:numPr>
        <w:tabs>
          <w:tab w:val="left" w:pos="1980"/>
          <w:tab w:val="left" w:pos="2035"/>
          <w:tab w:val="left" w:pos="2977"/>
        </w:tabs>
        <w:snapToGrid w:val="0"/>
        <w:spacing w:line="360" w:lineRule="auto"/>
        <w:ind w:firstLineChars="0"/>
        <w:rPr>
          <w:rFonts w:hint="eastAsia" w:ascii="宋体" w:hAnsi="宋体" w:eastAsia="宋体" w:cs="宋体"/>
          <w:vanish/>
          <w:color w:val="000000"/>
          <w:sz w:val="24"/>
          <w:szCs w:val="24"/>
        </w:rPr>
      </w:pPr>
    </w:p>
    <w:p w14:paraId="18171830">
      <w:pPr>
        <w:pStyle w:val="127"/>
        <w:numPr>
          <w:ilvl w:val="1"/>
          <w:numId w:val="10"/>
        </w:numPr>
        <w:tabs>
          <w:tab w:val="left" w:pos="1980"/>
          <w:tab w:val="left" w:pos="2035"/>
          <w:tab w:val="left" w:pos="2977"/>
        </w:tabs>
        <w:snapToGrid w:val="0"/>
        <w:spacing w:line="360" w:lineRule="auto"/>
        <w:ind w:firstLineChars="0"/>
        <w:rPr>
          <w:rFonts w:hint="eastAsia" w:ascii="宋体" w:hAnsi="宋体" w:eastAsia="宋体" w:cs="宋体"/>
          <w:vanish/>
          <w:color w:val="000000"/>
          <w:sz w:val="24"/>
          <w:szCs w:val="24"/>
        </w:rPr>
      </w:pPr>
    </w:p>
    <w:p w14:paraId="1646C512">
      <w:pPr>
        <w:pStyle w:val="127"/>
        <w:numPr>
          <w:ilvl w:val="1"/>
          <w:numId w:val="10"/>
        </w:numPr>
        <w:tabs>
          <w:tab w:val="left" w:pos="1980"/>
          <w:tab w:val="left" w:pos="2035"/>
          <w:tab w:val="left" w:pos="2977"/>
        </w:tabs>
        <w:snapToGrid w:val="0"/>
        <w:spacing w:line="360" w:lineRule="auto"/>
        <w:ind w:firstLineChars="0"/>
        <w:rPr>
          <w:rFonts w:hint="eastAsia" w:ascii="宋体" w:hAnsi="宋体" w:eastAsia="宋体" w:cs="宋体"/>
          <w:vanish/>
          <w:color w:val="000000"/>
          <w:sz w:val="24"/>
          <w:szCs w:val="24"/>
        </w:rPr>
      </w:pPr>
    </w:p>
    <w:p w14:paraId="5A60CF0C">
      <w:pPr>
        <w:pStyle w:val="127"/>
        <w:numPr>
          <w:ilvl w:val="2"/>
          <w:numId w:val="10"/>
        </w:numPr>
        <w:tabs>
          <w:tab w:val="left" w:pos="2035"/>
          <w:tab w:val="left" w:pos="2977"/>
        </w:tabs>
        <w:snapToGrid w:val="0"/>
        <w:spacing w:line="360" w:lineRule="auto"/>
        <w:ind w:firstLineChars="0"/>
        <w:rPr>
          <w:rFonts w:hint="eastAsia" w:ascii="宋体" w:hAnsi="宋体" w:eastAsia="宋体" w:cs="宋体"/>
          <w:vanish/>
          <w:color w:val="000000"/>
          <w:sz w:val="24"/>
          <w:szCs w:val="24"/>
        </w:rPr>
      </w:pPr>
    </w:p>
    <w:p w14:paraId="079CF782">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000000"/>
          <w:sz w:val="24"/>
        </w:rPr>
      </w:pPr>
      <w:r>
        <w:rPr>
          <w:rFonts w:hint="eastAsia" w:ascii="宋体" w:hAnsi="宋体" w:eastAsia="宋体" w:cs="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号）、《政府采购促进中小企业发展管理办法》（财库〔2020〕46号）、《关于印发中小企业划型标准规定的通知》（工信部联企业〔2011〕300 号）。</w:t>
      </w:r>
    </w:p>
    <w:p w14:paraId="634D7BE9">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000000"/>
          <w:sz w:val="24"/>
        </w:rPr>
      </w:pPr>
      <w:r>
        <w:rPr>
          <w:rFonts w:hint="eastAsia" w:ascii="宋体" w:hAnsi="宋体" w:eastAsia="宋体" w:cs="宋体"/>
          <w:sz w:val="24"/>
        </w:rPr>
        <w:t>供应商提供的货物、工程或者服务符合下列情形的，享受中小企业扶持政策：</w:t>
      </w:r>
    </w:p>
    <w:p w14:paraId="3CAE47C2">
      <w:pPr>
        <w:tabs>
          <w:tab w:val="left" w:pos="1980"/>
        </w:tabs>
        <w:snapToGrid w:val="0"/>
        <w:spacing w:line="360" w:lineRule="auto"/>
        <w:ind w:left="2835" w:leftChars="1350"/>
        <w:rPr>
          <w:rFonts w:hint="eastAsia" w:ascii="宋体" w:hAnsi="宋体" w:eastAsia="宋体" w:cs="宋体"/>
          <w:color w:val="000000"/>
          <w:sz w:val="24"/>
        </w:rPr>
      </w:pPr>
      <w:r>
        <w:rPr>
          <w:rFonts w:hint="eastAsia" w:ascii="宋体" w:hAnsi="宋体" w:eastAsia="宋体" w:cs="宋体"/>
          <w:color w:val="000000"/>
          <w:sz w:val="24"/>
        </w:rPr>
        <w:t>（1）在货物采购项目中，货物由中小企业制造，即货物由中小企业生产且使用该中小企业商号或者注册商标；</w:t>
      </w:r>
    </w:p>
    <w:p w14:paraId="49F0B570">
      <w:pPr>
        <w:tabs>
          <w:tab w:val="left" w:pos="1980"/>
        </w:tabs>
        <w:snapToGrid w:val="0"/>
        <w:spacing w:line="360" w:lineRule="auto"/>
        <w:ind w:left="2835" w:leftChars="1350"/>
        <w:rPr>
          <w:rFonts w:hint="eastAsia" w:ascii="宋体" w:hAnsi="宋体" w:eastAsia="宋体" w:cs="宋体"/>
          <w:color w:val="000000"/>
          <w:sz w:val="24"/>
          <w:szCs w:val="24"/>
        </w:rPr>
      </w:pPr>
      <w:r>
        <w:rPr>
          <w:rFonts w:hint="eastAsia" w:ascii="宋体" w:hAnsi="宋体" w:eastAsia="宋体" w:cs="宋体"/>
          <w:color w:val="000000"/>
          <w:sz w:val="24"/>
          <w:szCs w:val="24"/>
        </w:rPr>
        <w:t>（2）在工程采购项目中，工程由中小企业承建，即工程施工单位为中小企业；</w:t>
      </w:r>
    </w:p>
    <w:p w14:paraId="322E78C3">
      <w:pPr>
        <w:tabs>
          <w:tab w:val="left" w:pos="1980"/>
        </w:tabs>
        <w:snapToGrid w:val="0"/>
        <w:spacing w:line="360" w:lineRule="auto"/>
        <w:ind w:left="2835" w:leftChars="1350"/>
        <w:rPr>
          <w:rFonts w:hint="eastAsia" w:ascii="宋体" w:hAnsi="宋体" w:eastAsia="宋体" w:cs="宋体"/>
          <w:color w:val="000000"/>
          <w:sz w:val="24"/>
          <w:szCs w:val="24"/>
        </w:rPr>
      </w:pPr>
      <w:r>
        <w:rPr>
          <w:rFonts w:hint="eastAsia" w:ascii="宋体" w:hAnsi="宋体" w:eastAsia="宋体" w:cs="宋体"/>
          <w:color w:val="000000"/>
          <w:sz w:val="24"/>
          <w:szCs w:val="24"/>
        </w:rPr>
        <w:t>（3）在服务采购项目中，服务由中小企业承接，即提供服务的人员为中小企业依照《中华人民共和国劳动合同法》订立劳动合同的从业人员。</w:t>
      </w:r>
    </w:p>
    <w:p w14:paraId="63878307">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rPr>
      </w:pPr>
      <w:r>
        <w:rPr>
          <w:rFonts w:hint="eastAsia" w:ascii="宋体" w:hAnsi="宋体" w:eastAsia="宋体" w:cs="宋体"/>
          <w:sz w:val="24"/>
          <w:szCs w:val="24"/>
        </w:rPr>
        <w:t>在货物</w:t>
      </w:r>
      <w:r>
        <w:rPr>
          <w:rFonts w:hint="eastAsia" w:ascii="宋体" w:hAnsi="宋体" w:eastAsia="宋体" w:cs="宋体"/>
          <w:sz w:val="24"/>
        </w:rPr>
        <w:t>采购项目中，供应商提供的货物既有中小企业制造货物，也有大型企业制造货物的，不享受中小企业扶持政策。</w:t>
      </w:r>
    </w:p>
    <w:p w14:paraId="71681B1B">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lang w:val="en-US" w:eastAsia="zh-CN"/>
        </w:rPr>
      </w:pPr>
      <w:r>
        <w:rPr>
          <w:rFonts w:hint="eastAsia" w:ascii="宋体" w:hAnsi="宋体" w:eastAsia="宋体" w:cs="宋体"/>
          <w:color w:val="000000"/>
          <w:sz w:val="24"/>
        </w:rPr>
        <w:t>以联合体形式参加政府采购活动，联合体各方均为中小企业的，联合体视同中小企业。其中，联合体各方均为小微企业的，联合体视同小微企业。</w:t>
      </w:r>
    </w:p>
    <w:p w14:paraId="40C1A98B">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在政府采购活动中，监狱企业视同小型、微型企业，享受预留份额、 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8FDB55C">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C6CF306">
      <w:pPr>
        <w:pStyle w:val="127"/>
        <w:numPr>
          <w:ilvl w:val="2"/>
          <w:numId w:val="10"/>
        </w:numPr>
        <w:tabs>
          <w:tab w:val="left" w:pos="2035"/>
          <w:tab w:val="left" w:pos="2977"/>
        </w:tabs>
        <w:snapToGrid w:val="0"/>
        <w:spacing w:line="360" w:lineRule="auto"/>
        <w:ind w:firstLineChars="0"/>
        <w:rPr>
          <w:rFonts w:hint="eastAsia" w:ascii="宋体" w:hAnsi="宋体" w:eastAsia="宋体" w:cs="宋体"/>
          <w:vanish/>
          <w:color w:val="000000"/>
          <w:sz w:val="24"/>
          <w:szCs w:val="24"/>
        </w:rPr>
      </w:pPr>
    </w:p>
    <w:p w14:paraId="4FA56371">
      <w:pPr>
        <w:pStyle w:val="127"/>
        <w:numPr>
          <w:ilvl w:val="2"/>
          <w:numId w:val="10"/>
        </w:numPr>
        <w:tabs>
          <w:tab w:val="left" w:pos="2035"/>
          <w:tab w:val="left" w:pos="2977"/>
        </w:tabs>
        <w:snapToGrid w:val="0"/>
        <w:spacing w:line="360" w:lineRule="auto"/>
        <w:ind w:firstLineChars="0"/>
        <w:rPr>
          <w:rFonts w:hint="eastAsia" w:ascii="宋体" w:hAnsi="宋体" w:eastAsia="宋体" w:cs="宋体"/>
          <w:vanish/>
          <w:color w:val="000000"/>
          <w:sz w:val="24"/>
          <w:szCs w:val="24"/>
        </w:rPr>
      </w:pPr>
    </w:p>
    <w:p w14:paraId="7BD548E3">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000000"/>
          <w:sz w:val="24"/>
        </w:rPr>
      </w:pPr>
      <w:r>
        <w:rPr>
          <w:rFonts w:hint="eastAsia" w:ascii="宋体" w:hAnsi="宋体" w:eastAsia="宋体" w:cs="宋体"/>
          <w:color w:val="000000"/>
          <w:sz w:val="24"/>
        </w:rPr>
        <w:t>安置的残疾人占本单位在职职工人数的比例不低于25%（含25%），并且安置的残疾人人数不少于10人（含10人）；</w:t>
      </w:r>
    </w:p>
    <w:p w14:paraId="1AED7A2C">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000000"/>
          <w:sz w:val="24"/>
        </w:rPr>
      </w:pPr>
      <w:r>
        <w:rPr>
          <w:rFonts w:hint="eastAsia" w:ascii="宋体" w:hAnsi="宋体" w:eastAsia="宋体" w:cs="宋体"/>
          <w:sz w:val="24"/>
        </w:rPr>
        <w:t>依法与安置的每位残疾人签订了一年以上（含一年）的劳动合同或服务协议；</w:t>
      </w:r>
    </w:p>
    <w:p w14:paraId="43915D32">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000000"/>
          <w:sz w:val="24"/>
        </w:rPr>
      </w:pPr>
      <w:r>
        <w:rPr>
          <w:rFonts w:hint="eastAsia" w:ascii="宋体" w:hAnsi="宋体" w:eastAsia="宋体" w:cs="宋体"/>
          <w:sz w:val="24"/>
        </w:rPr>
        <w:t>为安置的每位残疾人按月足额缴纳了基本养老保险、基本医疗保险、失业保险、工伤保险和生育保险等社会保险费；</w:t>
      </w:r>
    </w:p>
    <w:p w14:paraId="154F44A2">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000000"/>
          <w:sz w:val="24"/>
        </w:rPr>
      </w:pPr>
      <w:r>
        <w:rPr>
          <w:rFonts w:hint="eastAsia" w:ascii="宋体" w:hAnsi="宋体" w:eastAsia="宋体" w:cs="宋体"/>
          <w:sz w:val="24"/>
        </w:rPr>
        <w:t>通过银行等金融机构向安置的每位残疾人，按月支付了不低于单位所在区县适用的经省级人民政府批准的月最低工资标准的工资；</w:t>
      </w:r>
    </w:p>
    <w:p w14:paraId="6DC108C6">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000000"/>
          <w:sz w:val="24"/>
        </w:rPr>
      </w:pPr>
      <w:r>
        <w:rPr>
          <w:rFonts w:hint="eastAsia" w:ascii="宋体" w:hAnsi="宋体" w:eastAsia="宋体" w:cs="宋体"/>
          <w:sz w:val="24"/>
        </w:rPr>
        <w:t>提供本单位制造的货物、承担的工程或者服务（以下简称产品），或者提供其他残疾人福利性单位制造的货物（不包括使用非残疾人福利性单位注册商标的货物）；</w:t>
      </w:r>
    </w:p>
    <w:p w14:paraId="75AC1FA8">
      <w:pPr>
        <w:numPr>
          <w:ilvl w:val="3"/>
          <w:numId w:val="10"/>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sz w:val="24"/>
        </w:rPr>
      </w:pPr>
      <w:r>
        <w:rPr>
          <w:rFonts w:hint="eastAsia" w:ascii="宋体" w:hAnsi="宋体" w:eastAsia="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3E4973A">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本项目是否专门面向中小企业预留采购份额见第一章《投标邀请》。</w:t>
      </w:r>
    </w:p>
    <w:p w14:paraId="2EC6064E">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采购标的对应的中小企业划分标准所属行业见《投标人须知资料表》。</w:t>
      </w:r>
    </w:p>
    <w:p w14:paraId="6E23EEFD">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小微企业价格评审优惠的政策调整：见第四章《评标程序、评标方法和评标标准》。</w:t>
      </w:r>
    </w:p>
    <w:p w14:paraId="40239542">
      <w:pPr>
        <w:numPr>
          <w:ilvl w:val="1"/>
          <w:numId w:val="9"/>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政府采购节能产品、环境标志产品</w:t>
      </w:r>
    </w:p>
    <w:p w14:paraId="561A80EF">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92B8D19">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92BAF94">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sz w:val="24"/>
        </w:rPr>
        <w:t>；</w:t>
      </w:r>
    </w:p>
    <w:p w14:paraId="0BD7C5AA">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非政府强制采购的节能产品或环境标志产品，依据品目清单和认证证书实施政府优先采购。优先采购的具体规定见第四章《评标程序、评标方法和评标标准》（如涉及）。</w:t>
      </w:r>
    </w:p>
    <w:p w14:paraId="3826640B">
      <w:pPr>
        <w:numPr>
          <w:ilvl w:val="1"/>
          <w:numId w:val="9"/>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正版软件</w:t>
      </w:r>
    </w:p>
    <w:p w14:paraId="0A3F9C61">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16B8019">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373A8737">
      <w:pPr>
        <w:numPr>
          <w:ilvl w:val="1"/>
          <w:numId w:val="9"/>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网络安全专用产品</w:t>
      </w:r>
    </w:p>
    <w:p w14:paraId="2A1F3007">
      <w:pPr>
        <w:numPr>
          <w:ilvl w:val="2"/>
          <w:numId w:val="9"/>
        </w:numPr>
        <w:tabs>
          <w:tab w:val="left" w:pos="2014"/>
        </w:tabs>
        <w:snapToGrid w:val="0"/>
        <w:spacing w:line="360" w:lineRule="auto"/>
        <w:rPr>
          <w:rFonts w:hint="eastAsia" w:ascii="宋体" w:hAnsi="宋体" w:eastAsia="宋体" w:cs="宋体"/>
          <w:sz w:val="24"/>
        </w:rPr>
      </w:pPr>
      <w:r>
        <w:rPr>
          <w:rFonts w:hint="eastAsia" w:ascii="宋体" w:hAnsi="宋体" w:eastAsia="宋体" w:cs="宋体"/>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47390F02">
      <w:pPr>
        <w:numPr>
          <w:ilvl w:val="1"/>
          <w:numId w:val="9"/>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推广使用低挥发性有机化合物（VOCs）</w:t>
      </w:r>
    </w:p>
    <w:p w14:paraId="35425F86">
      <w:pPr>
        <w:numPr>
          <w:ilvl w:val="2"/>
          <w:numId w:val="9"/>
        </w:numPr>
        <w:tabs>
          <w:tab w:val="left" w:pos="2014"/>
        </w:tabs>
        <w:snapToGrid w:val="0"/>
        <w:spacing w:line="360" w:lineRule="auto"/>
        <w:rPr>
          <w:rFonts w:hint="eastAsia" w:ascii="宋体" w:hAnsi="宋体" w:eastAsia="宋体" w:cs="宋体"/>
          <w:sz w:val="24"/>
        </w:rPr>
      </w:pPr>
      <w:r>
        <w:rPr>
          <w:rFonts w:hint="eastAsia" w:ascii="宋体" w:hAnsi="宋体" w:eastAsia="宋体" w:cs="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sz w:val="24"/>
        </w:rPr>
        <w:t>；属于推荐性标准的，优先采购，具体见第四章《评标程序、评标方法和评标标准》。</w:t>
      </w:r>
    </w:p>
    <w:p w14:paraId="4EB39DD8">
      <w:pPr>
        <w:numPr>
          <w:ilvl w:val="1"/>
          <w:numId w:val="9"/>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采购需求标准</w:t>
      </w:r>
    </w:p>
    <w:p w14:paraId="4C9B52F1">
      <w:pPr>
        <w:numPr>
          <w:ilvl w:val="2"/>
          <w:numId w:val="9"/>
        </w:numPr>
        <w:tabs>
          <w:tab w:val="left" w:pos="2014"/>
        </w:tabs>
        <w:snapToGrid w:val="0"/>
        <w:spacing w:line="360" w:lineRule="auto"/>
        <w:rPr>
          <w:rFonts w:hint="eastAsia" w:ascii="宋体" w:hAnsi="宋体" w:eastAsia="宋体" w:cs="宋体"/>
          <w:sz w:val="24"/>
        </w:rPr>
      </w:pPr>
      <w:r>
        <w:rPr>
          <w:rFonts w:hint="eastAsia" w:ascii="宋体" w:hAnsi="宋体" w:eastAsia="宋体" w:cs="宋体"/>
          <w:sz w:val="24"/>
        </w:rPr>
        <w:t>商品包装、快递包装政府采购需求标准（试行）</w:t>
      </w:r>
    </w:p>
    <w:p w14:paraId="08734567">
      <w:pPr>
        <w:tabs>
          <w:tab w:val="left" w:pos="2014"/>
        </w:tabs>
        <w:snapToGrid w:val="0"/>
        <w:spacing w:line="360" w:lineRule="auto"/>
        <w:ind w:left="1900"/>
        <w:rPr>
          <w:rFonts w:hint="eastAsia" w:ascii="宋体" w:hAnsi="宋体" w:eastAsia="宋体" w:cs="宋体"/>
          <w:sz w:val="24"/>
        </w:rPr>
      </w:pPr>
      <w:r>
        <w:rPr>
          <w:rFonts w:hint="eastAsia" w:ascii="宋体" w:hAnsi="宋体" w:eastAsia="宋体" w:cs="宋体"/>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30B5F235">
      <w:pPr>
        <w:numPr>
          <w:ilvl w:val="2"/>
          <w:numId w:val="9"/>
        </w:numPr>
        <w:tabs>
          <w:tab w:val="left" w:pos="2014"/>
        </w:tabs>
        <w:snapToGrid w:val="0"/>
        <w:spacing w:line="360" w:lineRule="auto"/>
        <w:rPr>
          <w:rFonts w:hint="eastAsia" w:ascii="宋体" w:hAnsi="宋体" w:eastAsia="宋体" w:cs="宋体"/>
          <w:sz w:val="24"/>
        </w:rPr>
      </w:pPr>
      <w:r>
        <w:rPr>
          <w:rFonts w:hint="eastAsia" w:ascii="宋体" w:hAnsi="宋体" w:eastAsia="宋体" w:cs="宋体"/>
          <w:sz w:val="24"/>
        </w:rPr>
        <w:t>绿色数据中心政府采购需求标准（试行）</w:t>
      </w:r>
    </w:p>
    <w:p w14:paraId="4DE5643A">
      <w:pPr>
        <w:pStyle w:val="15"/>
        <w:spacing w:line="360" w:lineRule="auto"/>
        <w:ind w:left="1920" w:leftChars="0" w:hanging="1920" w:hangingChars="800"/>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 xml:space="preserve">                </w:t>
      </w:r>
      <w:r>
        <w:rPr>
          <w:rFonts w:hint="eastAsia" w:ascii="宋体" w:hAnsi="宋体" w:eastAsia="宋体" w:cs="宋体"/>
          <w:kern w:val="2"/>
          <w:sz w:val="24"/>
          <w:szCs w:val="24"/>
          <w:lang w:val="en-US" w:eastAsia="zh-CN" w:bidi="ar-SA"/>
        </w:rPr>
        <w:t>为加快数据中心绿色转型，根据财政部 生态环境部 工业和信息化部关于印发《绿色数据中心政府采购需求标准（试行）》的通知（财库〔2024〕7号），本项目如涉及绿色数据中心，则具体要求见第五章《采购需求》。</w:t>
      </w:r>
    </w:p>
    <w:p w14:paraId="177CB464">
      <w:pPr>
        <w:numPr>
          <w:ilvl w:val="0"/>
          <w:numId w:val="9"/>
        </w:numPr>
        <w:tabs>
          <w:tab w:val="left" w:pos="360"/>
        </w:tabs>
        <w:snapToGrid w:val="0"/>
        <w:spacing w:line="360" w:lineRule="auto"/>
        <w:ind w:left="357" w:hanging="357"/>
        <w:outlineLvl w:val="2"/>
        <w:rPr>
          <w:rFonts w:hint="eastAsia" w:ascii="宋体" w:hAnsi="宋体" w:eastAsia="宋体" w:cs="宋体"/>
          <w:sz w:val="24"/>
        </w:rPr>
      </w:pPr>
      <w:r>
        <w:rPr>
          <w:rFonts w:hint="eastAsia" w:ascii="宋体" w:hAnsi="宋体" w:eastAsia="宋体" w:cs="宋体"/>
          <w:sz w:val="24"/>
        </w:rPr>
        <w:t>投标费用</w:t>
      </w:r>
    </w:p>
    <w:p w14:paraId="4DF4D8F9">
      <w:pPr>
        <w:numPr>
          <w:ilvl w:val="1"/>
          <w:numId w:val="9"/>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投标人应自行承担所有与准备和参加投标有关的费用，无论投标的结果如何，采购人或采购代理机构在任何情况下均无承担这些费用的义务和责任。</w:t>
      </w:r>
    </w:p>
    <w:p w14:paraId="21FCC494">
      <w:pPr>
        <w:tabs>
          <w:tab w:val="left" w:pos="1080"/>
        </w:tabs>
        <w:snapToGrid w:val="0"/>
        <w:spacing w:line="360" w:lineRule="auto"/>
        <w:ind w:left="1080"/>
        <w:rPr>
          <w:rFonts w:hint="eastAsia" w:ascii="宋体" w:hAnsi="宋体" w:eastAsia="宋体" w:cs="宋体"/>
          <w:sz w:val="28"/>
        </w:rPr>
      </w:pPr>
      <w:bookmarkStart w:id="163" w:name="_1.8_计量单位"/>
      <w:bookmarkEnd w:id="163"/>
    </w:p>
    <w:p w14:paraId="48F92572">
      <w:pPr>
        <w:pStyle w:val="4"/>
        <w:spacing w:before="0" w:line="360" w:lineRule="auto"/>
        <w:rPr>
          <w:rFonts w:hint="eastAsia" w:ascii="宋体" w:hAnsi="宋体" w:eastAsia="宋体" w:cs="宋体"/>
          <w:sz w:val="28"/>
        </w:rPr>
      </w:pPr>
      <w:r>
        <w:rPr>
          <w:rFonts w:hint="eastAsia" w:ascii="宋体" w:hAnsi="宋体" w:eastAsia="宋体" w:cs="宋体"/>
          <w:sz w:val="28"/>
        </w:rPr>
        <w:t>二   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639CCF58">
      <w:pPr>
        <w:numPr>
          <w:ilvl w:val="0"/>
          <w:numId w:val="9"/>
        </w:numPr>
        <w:tabs>
          <w:tab w:val="left" w:pos="360"/>
        </w:tabs>
        <w:snapToGrid w:val="0"/>
        <w:spacing w:line="360" w:lineRule="auto"/>
        <w:ind w:left="357" w:hanging="357"/>
        <w:outlineLvl w:val="2"/>
        <w:rPr>
          <w:rFonts w:hint="eastAsia" w:ascii="宋体" w:hAnsi="宋体" w:eastAsia="宋体" w:cs="宋体"/>
          <w:sz w:val="24"/>
        </w:rPr>
      </w:pPr>
      <w:bookmarkStart w:id="164" w:name="_Toc305158865"/>
      <w:bookmarkStart w:id="165" w:name="_Toc127151523"/>
      <w:bookmarkStart w:id="166" w:name="_Toc142311025"/>
      <w:bookmarkStart w:id="167" w:name="_Toc164608792"/>
      <w:bookmarkStart w:id="168" w:name="_Toc150774728"/>
      <w:bookmarkStart w:id="169" w:name="_Toc151193911"/>
      <w:bookmarkStart w:id="170" w:name="_Toc226965796"/>
      <w:bookmarkStart w:id="171" w:name="_Toc151193765"/>
      <w:bookmarkStart w:id="172" w:name="_Toc150480761"/>
      <w:bookmarkStart w:id="173" w:name="_Toc151193693"/>
      <w:bookmarkStart w:id="174" w:name="_Toc151193621"/>
      <w:bookmarkStart w:id="175" w:name="_Toc149720816"/>
      <w:bookmarkStart w:id="176" w:name="_Toc226309767"/>
      <w:bookmarkStart w:id="177" w:name="_Toc226965713"/>
      <w:bookmarkStart w:id="178" w:name="_Toc226337219"/>
      <w:bookmarkStart w:id="179" w:name="_Toc265228361"/>
      <w:bookmarkStart w:id="180" w:name="_Toc164229364"/>
      <w:bookmarkStart w:id="181" w:name="_Toc164229218"/>
      <w:bookmarkStart w:id="182" w:name="_Toc127161437"/>
      <w:bookmarkStart w:id="183" w:name="_Toc151193837"/>
      <w:bookmarkStart w:id="184" w:name="_Toc520356147"/>
      <w:bookmarkStart w:id="185" w:name="_Toc264969213"/>
      <w:bookmarkStart w:id="186" w:name="_Toc164608637"/>
      <w:bookmarkStart w:id="187" w:name="_Toc150774623"/>
      <w:bookmarkStart w:id="188" w:name="_Toc305158791"/>
      <w:bookmarkStart w:id="189" w:name="_Toc150509274"/>
      <w:bookmarkStart w:id="190" w:name="_Toc151190150"/>
      <w:bookmarkStart w:id="191" w:name="_Toc127151724"/>
      <w:bookmarkStart w:id="192" w:name="_Toc164351617"/>
      <w:bookmarkStart w:id="193" w:name="_Toc195842888"/>
      <w:r>
        <w:rPr>
          <w:rFonts w:hint="eastAsia" w:ascii="宋体" w:hAnsi="宋体" w:eastAsia="宋体" w:cs="宋体"/>
          <w:sz w:val="24"/>
        </w:rPr>
        <w:t>招标文件构</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宋体" w:hAnsi="宋体" w:eastAsia="宋体" w:cs="宋体"/>
          <w:sz w:val="24"/>
        </w:rPr>
        <w:t>成</w:t>
      </w:r>
    </w:p>
    <w:p w14:paraId="3BECBC83">
      <w:pPr>
        <w:numPr>
          <w:ilvl w:val="1"/>
          <w:numId w:val="9"/>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招标文件包括以下部分：</w:t>
      </w:r>
    </w:p>
    <w:p w14:paraId="78432715">
      <w:pPr>
        <w:numPr>
          <w:ilvl w:val="0"/>
          <w:numId w:val="11"/>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投标邀请</w:t>
      </w:r>
    </w:p>
    <w:p w14:paraId="3CDB01CC">
      <w:pPr>
        <w:numPr>
          <w:ilvl w:val="0"/>
          <w:numId w:val="11"/>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投标人须知</w:t>
      </w:r>
    </w:p>
    <w:p w14:paraId="791426C8">
      <w:pPr>
        <w:numPr>
          <w:ilvl w:val="0"/>
          <w:numId w:val="11"/>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资格审查</w:t>
      </w:r>
    </w:p>
    <w:p w14:paraId="6FEAF3C3">
      <w:pPr>
        <w:numPr>
          <w:ilvl w:val="0"/>
          <w:numId w:val="11"/>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评标程序、评标方法和评标标准</w:t>
      </w:r>
    </w:p>
    <w:p w14:paraId="5B1140FE">
      <w:pPr>
        <w:numPr>
          <w:ilvl w:val="0"/>
          <w:numId w:val="11"/>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采购需求</w:t>
      </w:r>
    </w:p>
    <w:p w14:paraId="50EFC954">
      <w:pPr>
        <w:numPr>
          <w:ilvl w:val="0"/>
          <w:numId w:val="11"/>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拟签订的合同文本</w:t>
      </w:r>
    </w:p>
    <w:p w14:paraId="75BBD483">
      <w:pPr>
        <w:numPr>
          <w:ilvl w:val="0"/>
          <w:numId w:val="11"/>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投标文件格式</w:t>
      </w:r>
    </w:p>
    <w:p w14:paraId="3E0D0057">
      <w:pPr>
        <w:numPr>
          <w:ilvl w:val="1"/>
          <w:numId w:val="9"/>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投标人应认真阅读招标文件的全部内容。投标人应按照招标文件要求提交投标文件并保证所提供的全部资料的真实性，并对招标文件</w:t>
      </w:r>
      <w:r>
        <w:rPr>
          <w:rFonts w:hint="eastAsia" w:ascii="宋体" w:hAnsi="宋体" w:cs="宋体"/>
          <w:sz w:val="24"/>
          <w:lang w:val="en-US" w:eastAsia="zh-CN"/>
        </w:rPr>
        <w:t>逐一</w:t>
      </w:r>
      <w:r>
        <w:rPr>
          <w:rFonts w:hint="eastAsia" w:ascii="宋体" w:hAnsi="宋体" w:eastAsia="宋体" w:cs="宋体"/>
          <w:sz w:val="24"/>
        </w:rPr>
        <w:t>做出实质性响应，否则</w:t>
      </w:r>
      <w:r>
        <w:rPr>
          <w:rFonts w:hint="eastAsia" w:ascii="宋体" w:hAnsi="宋体" w:eastAsia="宋体" w:cs="宋体"/>
          <w:b/>
          <w:sz w:val="24"/>
        </w:rPr>
        <w:t>投标无效</w:t>
      </w:r>
      <w:r>
        <w:rPr>
          <w:rFonts w:hint="eastAsia" w:ascii="宋体" w:hAnsi="宋体" w:eastAsia="宋体" w:cs="宋体"/>
          <w:sz w:val="24"/>
        </w:rPr>
        <w:t>。</w:t>
      </w:r>
    </w:p>
    <w:p w14:paraId="6B700B5F">
      <w:pPr>
        <w:numPr>
          <w:ilvl w:val="0"/>
          <w:numId w:val="9"/>
        </w:numPr>
        <w:tabs>
          <w:tab w:val="left" w:pos="1080"/>
          <w:tab w:val="left" w:pos="2014"/>
        </w:tabs>
        <w:snapToGrid w:val="0"/>
        <w:spacing w:line="360" w:lineRule="auto"/>
        <w:ind w:left="357" w:hanging="357"/>
        <w:outlineLvl w:val="2"/>
        <w:rPr>
          <w:rFonts w:hint="eastAsia" w:ascii="宋体" w:hAnsi="宋体" w:eastAsia="宋体" w:cs="宋体"/>
          <w:sz w:val="24"/>
        </w:rPr>
      </w:pPr>
      <w:r>
        <w:rPr>
          <w:rFonts w:hint="eastAsia" w:ascii="宋体" w:hAnsi="宋体" w:eastAsia="宋体" w:cs="宋体"/>
          <w:sz w:val="24"/>
        </w:rPr>
        <w:t>对招标文件的澄清或修改</w:t>
      </w:r>
    </w:p>
    <w:p w14:paraId="407A88D0">
      <w:pPr>
        <w:numPr>
          <w:ilvl w:val="1"/>
          <w:numId w:val="9"/>
        </w:numPr>
        <w:tabs>
          <w:tab w:val="left" w:pos="1080"/>
          <w:tab w:val="left" w:pos="1561"/>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采购人或采购代理机构对已发出的招标文件进行必要澄清或者修改的，将在原公告发布媒体上发布更正公告，并以书面形式通知所有获取招标文件的潜在投标人。</w:t>
      </w:r>
    </w:p>
    <w:p w14:paraId="5F8FECF4">
      <w:pPr>
        <w:numPr>
          <w:ilvl w:val="1"/>
          <w:numId w:val="9"/>
        </w:numPr>
        <w:tabs>
          <w:tab w:val="left" w:pos="1080"/>
          <w:tab w:val="left" w:pos="1561"/>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上述书面通知，按照获取招标文件的潜在投标人提供的联系方式发出，因提供的信息有误导致通知延迟或无法通知的，采购人或采购代理机构不承担责任。</w:t>
      </w:r>
    </w:p>
    <w:p w14:paraId="6D7201A3">
      <w:pPr>
        <w:numPr>
          <w:ilvl w:val="1"/>
          <w:numId w:val="9"/>
        </w:numPr>
        <w:tabs>
          <w:tab w:val="left" w:pos="1080"/>
          <w:tab w:val="left" w:pos="1561"/>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DB5A660">
      <w:pPr>
        <w:tabs>
          <w:tab w:val="left" w:pos="1080"/>
          <w:tab w:val="left" w:pos="1561"/>
        </w:tabs>
        <w:snapToGrid w:val="0"/>
        <w:spacing w:line="360" w:lineRule="auto"/>
        <w:ind w:left="1080"/>
        <w:rPr>
          <w:rFonts w:hint="eastAsia" w:ascii="宋体" w:hAnsi="宋体" w:eastAsia="宋体" w:cs="宋体"/>
          <w:sz w:val="28"/>
        </w:rPr>
      </w:pPr>
      <w:bookmarkStart w:id="194" w:name="_Toc516367020"/>
      <w:bookmarkStart w:id="195" w:name="_Toc520356150"/>
      <w:bookmarkStart w:id="196" w:name="_Toc226309770"/>
      <w:bookmarkStart w:id="197" w:name="_Toc305158794"/>
      <w:bookmarkStart w:id="198" w:name="_Toc151193768"/>
      <w:bookmarkStart w:id="199" w:name="_Toc195842891"/>
      <w:bookmarkStart w:id="200" w:name="_Toc150774626"/>
      <w:bookmarkStart w:id="201" w:name="_Toc151193624"/>
      <w:bookmarkStart w:id="202" w:name="_Toc151190153"/>
      <w:bookmarkStart w:id="203" w:name="_Toc151193914"/>
      <w:bookmarkStart w:id="204" w:name="_Toc150480764"/>
      <w:bookmarkStart w:id="205" w:name="_Toc151193840"/>
      <w:bookmarkStart w:id="206" w:name="_Toc265228364"/>
      <w:bookmarkStart w:id="207" w:name="_Toc151193696"/>
      <w:bookmarkStart w:id="208" w:name="_Toc150774731"/>
      <w:bookmarkStart w:id="209" w:name="_Toc264969216"/>
      <w:bookmarkStart w:id="210" w:name="_Toc142311028"/>
      <w:bookmarkStart w:id="211" w:name="_Toc226337222"/>
      <w:bookmarkStart w:id="212" w:name="_Toc226965799"/>
      <w:bookmarkStart w:id="213" w:name="_Toc150509277"/>
      <w:bookmarkStart w:id="214" w:name="_Toc305158868"/>
      <w:bookmarkStart w:id="215" w:name="_Toc127151526"/>
      <w:bookmarkStart w:id="216" w:name="_Toc226965716"/>
    </w:p>
    <w:p w14:paraId="25675531">
      <w:pPr>
        <w:pStyle w:val="4"/>
        <w:spacing w:before="0" w:line="360" w:lineRule="auto"/>
        <w:rPr>
          <w:rFonts w:hint="eastAsia" w:ascii="宋体" w:hAnsi="宋体" w:eastAsia="宋体" w:cs="宋体"/>
          <w:sz w:val="28"/>
        </w:rPr>
      </w:pPr>
      <w:r>
        <w:rPr>
          <w:rFonts w:hint="eastAsia" w:ascii="宋体" w:hAnsi="宋体" w:eastAsia="宋体" w:cs="宋体"/>
          <w:sz w:val="28"/>
        </w:rPr>
        <w:t>三   投标文件</w:t>
      </w:r>
      <w:bookmarkEnd w:id="194"/>
      <w:r>
        <w:rPr>
          <w:rFonts w:hint="eastAsia" w:ascii="宋体" w:hAnsi="宋体" w:eastAsia="宋体" w:cs="宋体"/>
          <w:sz w:val="28"/>
        </w:rPr>
        <w:t>的编制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BC22D4A">
      <w:pPr>
        <w:numPr>
          <w:ilvl w:val="0"/>
          <w:numId w:val="9"/>
        </w:numPr>
        <w:tabs>
          <w:tab w:val="left" w:pos="360"/>
        </w:tabs>
        <w:snapToGrid w:val="0"/>
        <w:spacing w:line="360" w:lineRule="auto"/>
        <w:ind w:left="357" w:hanging="357"/>
        <w:outlineLvl w:val="2"/>
        <w:rPr>
          <w:rFonts w:hint="eastAsia" w:ascii="宋体" w:hAnsi="宋体" w:eastAsia="宋体" w:cs="宋体"/>
          <w:sz w:val="24"/>
        </w:rPr>
      </w:pPr>
      <w:bookmarkStart w:id="217" w:name="_Toc164608796"/>
      <w:bookmarkStart w:id="218" w:name="_Toc151193625"/>
      <w:bookmarkStart w:id="219" w:name="_Toc151193915"/>
      <w:bookmarkStart w:id="220" w:name="_Toc226309771"/>
      <w:bookmarkStart w:id="221" w:name="_Toc150774732"/>
      <w:bookmarkStart w:id="222" w:name="_Toc264969217"/>
      <w:bookmarkStart w:id="223" w:name="_Toc151190154"/>
      <w:bookmarkStart w:id="224" w:name="_Toc164608641"/>
      <w:bookmarkStart w:id="225" w:name="_Toc150509278"/>
      <w:bookmarkStart w:id="226" w:name="_Toc150480765"/>
      <w:bookmarkStart w:id="227" w:name="_Toc305158869"/>
      <w:bookmarkStart w:id="228" w:name="_Toc265228365"/>
      <w:bookmarkStart w:id="229" w:name="_Toc195842892"/>
      <w:bookmarkStart w:id="230" w:name="_Toc226965800"/>
      <w:bookmarkStart w:id="231" w:name="_Toc305158795"/>
      <w:bookmarkStart w:id="232" w:name="_Toc127151728"/>
      <w:bookmarkStart w:id="233" w:name="_Toc516367021"/>
      <w:bookmarkStart w:id="234" w:name="_Toc142311029"/>
      <w:bookmarkStart w:id="235" w:name="_Toc226965717"/>
      <w:bookmarkStart w:id="236" w:name="_Toc127161441"/>
      <w:bookmarkStart w:id="237" w:name="_Toc226337223"/>
      <w:bookmarkStart w:id="238" w:name="_Toc164229368"/>
      <w:bookmarkStart w:id="239" w:name="_Toc520356151"/>
      <w:bookmarkStart w:id="240" w:name="_Toc151193697"/>
      <w:bookmarkStart w:id="241" w:name="_Toc150774627"/>
      <w:bookmarkStart w:id="242" w:name="_Toc151193841"/>
      <w:bookmarkStart w:id="243" w:name="_Toc127151527"/>
      <w:bookmarkStart w:id="244" w:name="_Toc151193769"/>
      <w:bookmarkStart w:id="245" w:name="_Toc164351621"/>
      <w:bookmarkStart w:id="246" w:name="_Toc149720820"/>
      <w:bookmarkStart w:id="247" w:name="_Toc164229222"/>
      <w:r>
        <w:rPr>
          <w:rFonts w:hint="eastAsia" w:ascii="宋体" w:hAnsi="宋体" w:eastAsia="宋体" w:cs="宋体"/>
          <w:sz w:val="24"/>
        </w:rPr>
        <w:t>投标范围、投标文件中计量单位的使用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hint="eastAsia" w:ascii="宋体" w:hAnsi="宋体" w:eastAsia="宋体" w:cs="宋体"/>
          <w:sz w:val="24"/>
        </w:rPr>
        <w:t>及投标语言</w:t>
      </w:r>
    </w:p>
    <w:p w14:paraId="126883DF">
      <w:pPr>
        <w:numPr>
          <w:ilvl w:val="1"/>
          <w:numId w:val="9"/>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eastAsia="宋体" w:cs="宋体"/>
          <w:b/>
          <w:sz w:val="24"/>
        </w:rPr>
        <w:t>无效投标</w:t>
      </w:r>
      <w:r>
        <w:rPr>
          <w:rFonts w:hint="eastAsia" w:ascii="宋体" w:hAnsi="宋体" w:eastAsia="宋体" w:cs="宋体"/>
          <w:sz w:val="24"/>
        </w:rPr>
        <w:t>。</w:t>
      </w:r>
    </w:p>
    <w:p w14:paraId="038F7DE2">
      <w:pPr>
        <w:numPr>
          <w:ilvl w:val="1"/>
          <w:numId w:val="9"/>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除招标文件有特殊要求外，本项目投标所使用的计量单位，应采用中华人民共和国法定计量单位。</w:t>
      </w:r>
    </w:p>
    <w:p w14:paraId="2C98BD55">
      <w:pPr>
        <w:numPr>
          <w:ilvl w:val="1"/>
          <w:numId w:val="9"/>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FA247DE">
      <w:pPr>
        <w:numPr>
          <w:ilvl w:val="0"/>
          <w:numId w:val="9"/>
        </w:numPr>
        <w:tabs>
          <w:tab w:val="left" w:pos="360"/>
        </w:tabs>
        <w:snapToGrid w:val="0"/>
        <w:spacing w:line="360" w:lineRule="auto"/>
        <w:ind w:left="357" w:hanging="357"/>
        <w:outlineLvl w:val="2"/>
        <w:rPr>
          <w:rFonts w:hint="eastAsia" w:ascii="宋体" w:hAnsi="宋体" w:eastAsia="宋体" w:cs="宋体"/>
          <w:sz w:val="24"/>
        </w:rPr>
      </w:pPr>
      <w:bookmarkStart w:id="248" w:name="_Toc516367022"/>
      <w:bookmarkStart w:id="249" w:name="_Ref467306676"/>
      <w:bookmarkStart w:id="250" w:name="_Ref467306195"/>
      <w:bookmarkStart w:id="251" w:name="_Toc164229369"/>
      <w:bookmarkStart w:id="252" w:name="_Toc150509279"/>
      <w:bookmarkStart w:id="253" w:name="_Toc164608642"/>
      <w:bookmarkStart w:id="254" w:name="_Toc226965801"/>
      <w:bookmarkStart w:id="255" w:name="_Toc150480766"/>
      <w:bookmarkStart w:id="256" w:name="_Toc265228366"/>
      <w:bookmarkStart w:id="257" w:name="_Toc520356152"/>
      <w:bookmarkStart w:id="258" w:name="_Toc264969218"/>
      <w:bookmarkStart w:id="259" w:name="_Toc142311030"/>
      <w:bookmarkStart w:id="260" w:name="_Toc151193770"/>
      <w:bookmarkStart w:id="261" w:name="_Toc150774733"/>
      <w:bookmarkStart w:id="262" w:name="_Toc226337224"/>
      <w:bookmarkStart w:id="263" w:name="_Toc195842893"/>
      <w:bookmarkStart w:id="264" w:name="_Toc226309772"/>
      <w:bookmarkStart w:id="265" w:name="_Toc305158870"/>
      <w:bookmarkStart w:id="266" w:name="_Toc164351622"/>
      <w:bookmarkStart w:id="267" w:name="_Toc151193698"/>
      <w:bookmarkStart w:id="268" w:name="_Toc151193842"/>
      <w:bookmarkStart w:id="269" w:name="_Toc151193916"/>
      <w:bookmarkStart w:id="270" w:name="_Toc305158796"/>
      <w:bookmarkStart w:id="271" w:name="_Toc127151729"/>
      <w:bookmarkStart w:id="272" w:name="_Toc226965718"/>
      <w:bookmarkStart w:id="273" w:name="_Toc127151528"/>
      <w:bookmarkStart w:id="274" w:name="_Toc151190155"/>
      <w:bookmarkStart w:id="275" w:name="_Toc164229223"/>
      <w:bookmarkStart w:id="276" w:name="_Toc127161442"/>
      <w:bookmarkStart w:id="277" w:name="_Toc149720821"/>
      <w:bookmarkStart w:id="278" w:name="_Toc150774628"/>
      <w:bookmarkStart w:id="279" w:name="_Toc164608797"/>
      <w:bookmarkStart w:id="280" w:name="_Toc151193626"/>
      <w:r>
        <w:rPr>
          <w:rFonts w:hint="eastAsia" w:ascii="宋体" w:hAnsi="宋体" w:eastAsia="宋体" w:cs="宋体"/>
          <w:sz w:val="24"/>
        </w:rPr>
        <w:t>投标文件</w:t>
      </w:r>
      <w:bookmarkEnd w:id="248"/>
      <w:bookmarkEnd w:id="249"/>
      <w:bookmarkEnd w:id="250"/>
      <w:r>
        <w:rPr>
          <w:rFonts w:hint="eastAsia" w:ascii="宋体" w:hAnsi="宋体" w:eastAsia="宋体" w:cs="宋体"/>
          <w:sz w:val="24"/>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54273EC2">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bookmarkStart w:id="281" w:name="_Ref467052588"/>
      <w:r>
        <w:rPr>
          <w:rFonts w:hint="eastAsia" w:ascii="宋体" w:hAnsi="宋体" w:eastAsia="宋体" w:cs="宋体"/>
          <w:sz w:val="24"/>
        </w:rPr>
        <w:t>投标人应当按照招标文件的要求编制投标文件。投标文件的部分格式要求，见第七章《投标文件格式》。</w:t>
      </w:r>
    </w:p>
    <w:p w14:paraId="1E1CBFC5">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kern w:val="0"/>
          <w:sz w:val="24"/>
        </w:rPr>
        <w:t>对于招标文件中标记了“实质性格式”文件的，</w:t>
      </w:r>
      <w:r>
        <w:rPr>
          <w:rFonts w:hint="eastAsia" w:ascii="宋体" w:hAnsi="宋体" w:eastAsia="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kern w:val="0"/>
          <w:sz w:val="24"/>
        </w:rPr>
        <w:t>。未标记“实质性格式”的文件和招标文件未提供格式的内容，可由投标人自行编写。</w:t>
      </w:r>
    </w:p>
    <w:p w14:paraId="221CC610">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第四章《评标程序、评标方法和评标标准》中涉及的证明文件。</w:t>
      </w:r>
    </w:p>
    <w:p w14:paraId="4C7CC79C">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1897CA9B">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投标人认为应附的其他材料。</w:t>
      </w:r>
      <w:bookmarkEnd w:id="281"/>
    </w:p>
    <w:p w14:paraId="44BAF70F">
      <w:pPr>
        <w:numPr>
          <w:ilvl w:val="0"/>
          <w:numId w:val="9"/>
        </w:numPr>
        <w:tabs>
          <w:tab w:val="left" w:pos="360"/>
        </w:tabs>
        <w:snapToGrid w:val="0"/>
        <w:spacing w:line="360" w:lineRule="auto"/>
        <w:ind w:left="357" w:hanging="357"/>
        <w:outlineLvl w:val="2"/>
        <w:rPr>
          <w:rFonts w:hint="eastAsia" w:ascii="宋体" w:hAnsi="宋体" w:eastAsia="宋体" w:cs="宋体"/>
          <w:sz w:val="24"/>
        </w:rPr>
      </w:pPr>
      <w:bookmarkStart w:id="282" w:name="_Toc127151731"/>
      <w:bookmarkStart w:id="283" w:name="_Toc150774735"/>
      <w:bookmarkStart w:id="284" w:name="_Toc142311032"/>
      <w:bookmarkStart w:id="285" w:name="_Toc520356155"/>
      <w:bookmarkStart w:id="286" w:name="_Toc150509281"/>
      <w:bookmarkStart w:id="287" w:name="_Toc151193918"/>
      <w:bookmarkStart w:id="288" w:name="_Toc150774630"/>
      <w:bookmarkStart w:id="289" w:name="_Toc164229371"/>
      <w:bookmarkStart w:id="290" w:name="_Toc151193628"/>
      <w:bookmarkStart w:id="291" w:name="_Toc151193844"/>
      <w:bookmarkStart w:id="292" w:name="_Toc151193772"/>
      <w:bookmarkStart w:id="293" w:name="_Toc195842895"/>
      <w:bookmarkStart w:id="294" w:name="_Toc150480768"/>
      <w:bookmarkStart w:id="295" w:name="_Toc149720823"/>
      <w:bookmarkStart w:id="296" w:name="_Toc151190157"/>
      <w:bookmarkStart w:id="297" w:name="_Toc164229225"/>
      <w:bookmarkStart w:id="298" w:name="_Toc127161444"/>
      <w:bookmarkStart w:id="299" w:name="_Toc151193700"/>
      <w:bookmarkStart w:id="300" w:name="_Toc164608644"/>
      <w:bookmarkStart w:id="301" w:name="_Toc164351624"/>
      <w:bookmarkStart w:id="302" w:name="_Toc127151530"/>
      <w:bookmarkStart w:id="303" w:name="_Toc164608799"/>
      <w:r>
        <w:rPr>
          <w:rFonts w:hint="eastAsia" w:ascii="宋体" w:hAnsi="宋体" w:eastAsia="宋体" w:cs="宋体"/>
          <w:sz w:val="24"/>
        </w:rPr>
        <w:t>投标报价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6E482732">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所有投标均以人民币报价。</w:t>
      </w:r>
    </w:p>
    <w:p w14:paraId="3CA9FB25">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投标人的报价应包括为完成本项目所发生的一切费用和税费，招标人将不再支付报价以外的任何费用。投标人的报价应包括但不限于下列内容，《投标人须知资料表》中有特殊规定的，从其规定。</w:t>
      </w:r>
    </w:p>
    <w:p w14:paraId="04662EF9">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FB8FF92">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 xml:space="preserve">按照招标文件要求完成本项目的全部相关服务费用。 </w:t>
      </w:r>
    </w:p>
    <w:p w14:paraId="5AA392E1">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采购人不得向供应商索要或者接受其给予的赠品、回扣或者与采购无关的其他商品、服务。</w:t>
      </w:r>
    </w:p>
    <w:p w14:paraId="266F5078">
      <w:pPr>
        <w:numPr>
          <w:ilvl w:val="1"/>
          <w:numId w:val="9"/>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投标人不能提供任何有选择性或可调整的报价，否则其</w:t>
      </w:r>
      <w:r>
        <w:rPr>
          <w:rFonts w:hint="eastAsia" w:ascii="宋体" w:hAnsi="宋体" w:eastAsia="宋体" w:cs="宋体"/>
          <w:b/>
          <w:sz w:val="24"/>
        </w:rPr>
        <w:t>投标无效</w:t>
      </w:r>
      <w:r>
        <w:rPr>
          <w:rFonts w:hint="eastAsia" w:ascii="宋体" w:hAnsi="宋体" w:eastAsia="宋体" w:cs="宋体"/>
          <w:sz w:val="24"/>
        </w:rPr>
        <w:t>。</w:t>
      </w:r>
    </w:p>
    <w:p w14:paraId="2D2D2218">
      <w:pPr>
        <w:numPr>
          <w:ilvl w:val="0"/>
          <w:numId w:val="9"/>
        </w:numPr>
        <w:tabs>
          <w:tab w:val="left" w:pos="360"/>
        </w:tabs>
        <w:snapToGrid w:val="0"/>
        <w:spacing w:line="360" w:lineRule="auto"/>
        <w:ind w:left="357" w:hanging="357"/>
        <w:outlineLvl w:val="2"/>
        <w:rPr>
          <w:rFonts w:hint="eastAsia" w:ascii="宋体" w:hAnsi="宋体" w:eastAsia="宋体" w:cs="宋体"/>
          <w:sz w:val="24"/>
        </w:rPr>
      </w:pPr>
      <w:bookmarkStart w:id="304" w:name="_Toc164351625"/>
      <w:bookmarkStart w:id="305" w:name="_Toc142311033"/>
      <w:bookmarkStart w:id="306" w:name="_Toc150509282"/>
      <w:bookmarkStart w:id="307" w:name="_Toc150480769"/>
      <w:bookmarkStart w:id="308" w:name="_Toc151193919"/>
      <w:bookmarkStart w:id="309" w:name="_Ref467306513"/>
      <w:bookmarkStart w:id="310" w:name="_Toc226337227"/>
      <w:bookmarkStart w:id="311" w:name="_Toc195842896"/>
      <w:bookmarkStart w:id="312" w:name="_Toc149720824"/>
      <w:bookmarkStart w:id="313" w:name="_Toc164608645"/>
      <w:bookmarkStart w:id="314" w:name="_Toc150774631"/>
      <w:bookmarkStart w:id="315" w:name="_Toc265228369"/>
      <w:bookmarkStart w:id="316" w:name="_Toc127151531"/>
      <w:bookmarkStart w:id="317" w:name="_Toc151193701"/>
      <w:bookmarkStart w:id="318" w:name="_Toc151193629"/>
      <w:bookmarkStart w:id="319" w:name="_Toc127151732"/>
      <w:bookmarkStart w:id="320" w:name="_Toc520356156"/>
      <w:bookmarkStart w:id="321" w:name="_Toc226965721"/>
      <w:bookmarkStart w:id="322" w:name="_Toc305158873"/>
      <w:bookmarkStart w:id="323" w:name="_Toc164229226"/>
      <w:bookmarkStart w:id="324" w:name="_Toc164229372"/>
      <w:bookmarkStart w:id="325" w:name="_Toc151190158"/>
      <w:bookmarkStart w:id="326" w:name="_Toc226309775"/>
      <w:bookmarkStart w:id="327" w:name="_Toc305158799"/>
      <w:bookmarkStart w:id="328" w:name="_Toc151193845"/>
      <w:bookmarkStart w:id="329" w:name="_Toc226965804"/>
      <w:bookmarkStart w:id="330" w:name="_Toc127161445"/>
      <w:bookmarkStart w:id="331" w:name="_Toc164608800"/>
      <w:bookmarkStart w:id="332" w:name="_Toc150774736"/>
      <w:bookmarkStart w:id="333" w:name="_Toc151193773"/>
      <w:bookmarkStart w:id="334" w:name="_Toc264969221"/>
      <w:r>
        <w:rPr>
          <w:rFonts w:hint="eastAsia" w:ascii="宋体" w:hAnsi="宋体" w:eastAsia="宋体" w:cs="宋体"/>
          <w:sz w:val="24"/>
        </w:rPr>
        <w:t>投标保证金</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397D4C5A">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bookmarkStart w:id="335" w:name="_Ref467306302"/>
      <w:r>
        <w:rPr>
          <w:rFonts w:hint="eastAsia" w:ascii="宋体" w:hAnsi="宋体" w:eastAsia="宋体" w:cs="宋体"/>
          <w:sz w:val="24"/>
        </w:rPr>
        <w:t>投标人应按《投标人须知资料表》中规定的金额及要求交纳投标保证金</w:t>
      </w:r>
      <w:bookmarkEnd w:id="335"/>
      <w:r>
        <w:rPr>
          <w:rFonts w:hint="eastAsia" w:ascii="宋体" w:hAnsi="宋体" w:eastAsia="宋体" w:cs="宋体"/>
          <w:sz w:val="24"/>
        </w:rPr>
        <w:t>，并作为其投标的一部分。</w:t>
      </w:r>
    </w:p>
    <w:p w14:paraId="17B88C61">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交纳投标保证金可采用的形式：政府采购法律法规接受的支票、汇票、本票、网上银行支付或者金融机构、担保机构出具的保函等非现金形式。</w:t>
      </w:r>
    </w:p>
    <w:p w14:paraId="5BE0D7C4">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宋体" w:hAnsi="宋体" w:eastAsia="宋体" w:cs="宋体"/>
          <w:b/>
          <w:sz w:val="24"/>
        </w:rPr>
        <w:t>投标无效</w:t>
      </w:r>
      <w:r>
        <w:rPr>
          <w:rFonts w:hint="eastAsia" w:ascii="宋体" w:hAnsi="宋体" w:eastAsia="宋体" w:cs="宋体"/>
          <w:sz w:val="24"/>
        </w:rPr>
        <w:t>。</w:t>
      </w:r>
    </w:p>
    <w:p w14:paraId="28495756">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投标保证金（保函）有效期同投标有效期。</w:t>
      </w:r>
    </w:p>
    <w:p w14:paraId="4DF208A4">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联合体投标的，可以由联合体中的一方或者共同提交投标保证金，以一方名义提交投标保证金的，对联合体各方均具有约束力。</w:t>
      </w:r>
    </w:p>
    <w:p w14:paraId="4CD93129">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3D8832B1">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投标人在投标截止时间前撤回已提交的投标文件的，自收到投标人书面撤回通知之日起5个工作日内退还已收取的投标保证金；</w:t>
      </w:r>
    </w:p>
    <w:p w14:paraId="09CBC1FA">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中标人的投标保证金，自采购合同签订之日起5个工作日内退还中标人；</w:t>
      </w:r>
    </w:p>
    <w:p w14:paraId="6EFEFB5E">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未中标投标人的投标保证金，自中标通知书发出之日起5个工作日内退还未中标人；</w:t>
      </w:r>
    </w:p>
    <w:p w14:paraId="51B07071">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终止招标项目已经收取投标保证金的，自终止采购活动后5个工作日内退还已收取的投标保证金及其在银行产生的孳息。</w:t>
      </w:r>
    </w:p>
    <w:p w14:paraId="4A00FCD7">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有下列情形之一的，采购人或采购代理机构可以不予退还投标保证金：</w:t>
      </w:r>
    </w:p>
    <w:p w14:paraId="4F47D3AA">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投标有效期内投标人撤销投标文件的；</w:t>
      </w:r>
    </w:p>
    <w:p w14:paraId="4130E346">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《投标人须知资料表》中规定的其他情形；</w:t>
      </w:r>
    </w:p>
    <w:p w14:paraId="6297F693">
      <w:pPr>
        <w:numPr>
          <w:ilvl w:val="0"/>
          <w:numId w:val="9"/>
        </w:numPr>
        <w:tabs>
          <w:tab w:val="left" w:pos="360"/>
        </w:tabs>
        <w:snapToGrid w:val="0"/>
        <w:spacing w:line="360" w:lineRule="auto"/>
        <w:ind w:left="357" w:hanging="357"/>
        <w:outlineLvl w:val="2"/>
        <w:rPr>
          <w:rFonts w:hint="eastAsia" w:ascii="宋体" w:hAnsi="宋体" w:eastAsia="宋体" w:cs="宋体"/>
          <w:sz w:val="24"/>
        </w:rPr>
      </w:pPr>
      <w:bookmarkStart w:id="336" w:name="_Toc151193774"/>
      <w:bookmarkStart w:id="337" w:name="_Toc164608801"/>
      <w:bookmarkStart w:id="338" w:name="_Toc226337228"/>
      <w:bookmarkStart w:id="339" w:name="_Toc127161446"/>
      <w:bookmarkStart w:id="340" w:name="_Toc151193630"/>
      <w:bookmarkStart w:id="341" w:name="_Toc142311034"/>
      <w:bookmarkStart w:id="342" w:name="_Toc149720825"/>
      <w:bookmarkStart w:id="343" w:name="_Toc226309776"/>
      <w:bookmarkStart w:id="344" w:name="_Toc151193920"/>
      <w:bookmarkStart w:id="345" w:name="_Toc226965722"/>
      <w:bookmarkStart w:id="346" w:name="_Toc195842897"/>
      <w:bookmarkStart w:id="347" w:name="_Toc164351626"/>
      <w:bookmarkStart w:id="348" w:name="_Toc264969222"/>
      <w:bookmarkStart w:id="349" w:name="_Toc127151733"/>
      <w:bookmarkStart w:id="350" w:name="_Toc164608646"/>
      <w:bookmarkStart w:id="351" w:name="_Toc164229373"/>
      <w:bookmarkStart w:id="352" w:name="_Toc305158874"/>
      <w:bookmarkStart w:id="353" w:name="_Toc151193702"/>
      <w:bookmarkStart w:id="354" w:name="_Toc265228370"/>
      <w:bookmarkStart w:id="355" w:name="_Toc150480770"/>
      <w:bookmarkStart w:id="356" w:name="_Toc151190159"/>
      <w:bookmarkStart w:id="357" w:name="_Toc226965805"/>
      <w:bookmarkStart w:id="358" w:name="_Toc150774737"/>
      <w:bookmarkStart w:id="359" w:name="_Toc305158800"/>
      <w:bookmarkStart w:id="360" w:name="_Toc164229227"/>
      <w:bookmarkStart w:id="361" w:name="_Toc150509283"/>
      <w:bookmarkStart w:id="362" w:name="_Toc151193846"/>
      <w:bookmarkStart w:id="363" w:name="_Toc520356157"/>
      <w:bookmarkStart w:id="364" w:name="_Toc127151532"/>
      <w:bookmarkStart w:id="365" w:name="_Toc150774632"/>
      <w:r>
        <w:rPr>
          <w:rFonts w:hint="eastAsia" w:ascii="宋体" w:hAnsi="宋体" w:eastAsia="宋体" w:cs="宋体"/>
          <w:sz w:val="24"/>
        </w:rPr>
        <w:t>投标有效期</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26E5B5C4">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投标文件应在本招标文件《投标人须知资料表》中规定的投标有效期内保持有效，投标有效期少于招标文件规定期限的，其</w:t>
      </w:r>
      <w:r>
        <w:rPr>
          <w:rFonts w:hint="eastAsia" w:ascii="宋体" w:hAnsi="宋体" w:eastAsia="宋体" w:cs="宋体"/>
          <w:b/>
          <w:sz w:val="24"/>
        </w:rPr>
        <w:t>投标无效</w:t>
      </w:r>
      <w:r>
        <w:rPr>
          <w:rFonts w:hint="eastAsia" w:ascii="宋体" w:hAnsi="宋体" w:eastAsia="宋体" w:cs="宋体"/>
          <w:sz w:val="24"/>
        </w:rPr>
        <w:t>。</w:t>
      </w:r>
    </w:p>
    <w:p w14:paraId="22514155">
      <w:pPr>
        <w:numPr>
          <w:ilvl w:val="0"/>
          <w:numId w:val="9"/>
        </w:numPr>
        <w:tabs>
          <w:tab w:val="left" w:pos="360"/>
        </w:tabs>
        <w:snapToGrid w:val="0"/>
        <w:spacing w:line="360" w:lineRule="auto"/>
        <w:ind w:left="357" w:hanging="357"/>
        <w:outlineLvl w:val="2"/>
        <w:rPr>
          <w:rFonts w:hint="eastAsia" w:ascii="宋体" w:hAnsi="宋体" w:eastAsia="宋体" w:cs="宋体"/>
          <w:sz w:val="24"/>
        </w:rPr>
      </w:pPr>
      <w:bookmarkStart w:id="366" w:name="_Toc151193775"/>
      <w:bookmarkStart w:id="367" w:name="_Toc127151533"/>
      <w:bookmarkStart w:id="368" w:name="_Toc164608802"/>
      <w:bookmarkStart w:id="369" w:name="_Toc164608647"/>
      <w:bookmarkStart w:id="370" w:name="_Toc127151734"/>
      <w:bookmarkStart w:id="371" w:name="_Toc151190160"/>
      <w:bookmarkStart w:id="372" w:name="_Toc150774738"/>
      <w:bookmarkStart w:id="373" w:name="_Toc151193703"/>
      <w:bookmarkStart w:id="374" w:name="_Toc226965806"/>
      <w:bookmarkStart w:id="375" w:name="_Toc149720826"/>
      <w:bookmarkStart w:id="376" w:name="_Toc265228371"/>
      <w:bookmarkStart w:id="377" w:name="_Toc150480771"/>
      <w:bookmarkStart w:id="378" w:name="_Toc264969223"/>
      <w:bookmarkStart w:id="379" w:name="_Toc164351627"/>
      <w:bookmarkStart w:id="380" w:name="_Toc164229228"/>
      <w:bookmarkStart w:id="381" w:name="_Toc305158875"/>
      <w:bookmarkStart w:id="382" w:name="_Toc226309777"/>
      <w:bookmarkStart w:id="383" w:name="_Toc226965723"/>
      <w:bookmarkStart w:id="384" w:name="_Toc226337229"/>
      <w:bookmarkStart w:id="385" w:name="_Toc305158801"/>
      <w:bookmarkStart w:id="386" w:name="_Toc150774633"/>
      <w:bookmarkStart w:id="387" w:name="_Toc151193631"/>
      <w:bookmarkStart w:id="388" w:name="_Toc164229374"/>
      <w:bookmarkStart w:id="389" w:name="_Toc150509284"/>
      <w:bookmarkStart w:id="390" w:name="_Toc151193847"/>
      <w:bookmarkStart w:id="391" w:name="_Toc151193921"/>
      <w:bookmarkStart w:id="392" w:name="_Toc142311035"/>
      <w:bookmarkStart w:id="393" w:name="_Toc195842898"/>
      <w:bookmarkStart w:id="394" w:name="_Toc520356158"/>
      <w:bookmarkStart w:id="395" w:name="_Toc127161447"/>
      <w:r>
        <w:rPr>
          <w:rFonts w:hint="eastAsia" w:ascii="宋体" w:hAnsi="宋体" w:eastAsia="宋体" w:cs="宋体"/>
          <w:sz w:val="24"/>
        </w:rPr>
        <w:t>投标文件的签署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hint="eastAsia" w:ascii="宋体" w:hAnsi="宋体" w:eastAsia="宋体" w:cs="宋体"/>
          <w:sz w:val="24"/>
        </w:rPr>
        <w:t>、盖章</w:t>
      </w:r>
    </w:p>
    <w:p w14:paraId="223D7E5F">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bookmarkStart w:id="396" w:name="_Toc226309778"/>
      <w:bookmarkStart w:id="397" w:name="_Toc150774739"/>
      <w:bookmarkStart w:id="398" w:name="_Toc265228372"/>
      <w:bookmarkStart w:id="399" w:name="_Toc151193704"/>
      <w:bookmarkStart w:id="400" w:name="_Toc226337230"/>
      <w:bookmarkStart w:id="401" w:name="_Toc151193776"/>
      <w:bookmarkStart w:id="402" w:name="_Toc226965724"/>
      <w:bookmarkStart w:id="403" w:name="_Toc305158876"/>
      <w:bookmarkStart w:id="404" w:name="_Toc264969224"/>
      <w:bookmarkStart w:id="405" w:name="_Toc151193632"/>
      <w:bookmarkStart w:id="406" w:name="_Toc151193848"/>
      <w:bookmarkStart w:id="407" w:name="_Toc520356159"/>
      <w:bookmarkStart w:id="408" w:name="_Toc151193922"/>
      <w:bookmarkStart w:id="409" w:name="_Toc150774634"/>
      <w:bookmarkStart w:id="410" w:name="_Toc195842899"/>
      <w:bookmarkStart w:id="411" w:name="_Toc226965807"/>
      <w:bookmarkStart w:id="412" w:name="_Toc142311036"/>
      <w:bookmarkStart w:id="413" w:name="_Toc305158802"/>
      <w:bookmarkStart w:id="414" w:name="_Toc150480772"/>
      <w:bookmarkStart w:id="415" w:name="_Toc151190161"/>
      <w:bookmarkStart w:id="416" w:name="_Toc127151534"/>
      <w:bookmarkStart w:id="417" w:name="_Toc150509285"/>
      <w:r>
        <w:rPr>
          <w:rFonts w:hint="eastAsia" w:ascii="宋体" w:hAnsi="宋体" w:eastAsia="宋体" w:cs="宋体"/>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36BE067D">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招标文件要求盖章的内容，一般通过投标文件编制工具加盖电子签章。</w:t>
      </w:r>
    </w:p>
    <w:p w14:paraId="0545C82C">
      <w:pPr>
        <w:pStyle w:val="6"/>
        <w:rPr>
          <w:rFonts w:hint="eastAsia" w:ascii="宋体" w:hAnsi="宋体" w:eastAsia="宋体" w:cs="宋体"/>
        </w:rPr>
      </w:pPr>
    </w:p>
    <w:p w14:paraId="3B7A3735">
      <w:pPr>
        <w:pStyle w:val="4"/>
        <w:spacing w:before="0" w:line="360" w:lineRule="auto"/>
        <w:rPr>
          <w:rFonts w:hint="eastAsia" w:ascii="宋体" w:hAnsi="宋体" w:eastAsia="宋体" w:cs="宋体"/>
          <w:sz w:val="28"/>
        </w:rPr>
      </w:pPr>
      <w:r>
        <w:rPr>
          <w:rFonts w:hint="eastAsia" w:ascii="宋体" w:hAnsi="宋体" w:eastAsia="宋体" w:cs="宋体"/>
          <w:sz w:val="28"/>
        </w:rPr>
        <w:t>四   投标文件的提交</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6BD00AC8">
      <w:pPr>
        <w:numPr>
          <w:ilvl w:val="0"/>
          <w:numId w:val="9"/>
        </w:numPr>
        <w:tabs>
          <w:tab w:val="left" w:pos="360"/>
        </w:tabs>
        <w:snapToGrid w:val="0"/>
        <w:spacing w:line="360" w:lineRule="auto"/>
        <w:ind w:left="357" w:hanging="357"/>
        <w:outlineLvl w:val="2"/>
        <w:rPr>
          <w:rFonts w:hint="eastAsia" w:ascii="宋体" w:hAnsi="宋体" w:eastAsia="宋体" w:cs="宋体"/>
          <w:sz w:val="24"/>
        </w:rPr>
      </w:pPr>
      <w:bookmarkStart w:id="418" w:name="_Toc164608804"/>
      <w:bookmarkStart w:id="419" w:name="_Toc150774635"/>
      <w:bookmarkStart w:id="420" w:name="_Toc195842900"/>
      <w:bookmarkStart w:id="421" w:name="_Toc150774740"/>
      <w:bookmarkStart w:id="422" w:name="_Toc264969225"/>
      <w:bookmarkStart w:id="423" w:name="_Toc164229230"/>
      <w:bookmarkStart w:id="424" w:name="_Toc127161449"/>
      <w:bookmarkStart w:id="425" w:name="_Toc305158877"/>
      <w:bookmarkStart w:id="426" w:name="_Toc151193705"/>
      <w:bookmarkStart w:id="427" w:name="_Toc226309779"/>
      <w:bookmarkStart w:id="428" w:name="_Toc142311037"/>
      <w:bookmarkStart w:id="429" w:name="_Toc151193923"/>
      <w:bookmarkStart w:id="430" w:name="_Toc226337231"/>
      <w:bookmarkStart w:id="431" w:name="_Toc127151535"/>
      <w:bookmarkStart w:id="432" w:name="_Toc150480773"/>
      <w:bookmarkStart w:id="433" w:name="_Toc151193849"/>
      <w:bookmarkStart w:id="434" w:name="_Toc151193633"/>
      <w:bookmarkStart w:id="435" w:name="_Toc164608649"/>
      <w:bookmarkStart w:id="436" w:name="_Toc127151736"/>
      <w:bookmarkStart w:id="437" w:name="_Toc305158803"/>
      <w:bookmarkStart w:id="438" w:name="_Toc226965725"/>
      <w:bookmarkStart w:id="439" w:name="_Toc265228373"/>
      <w:bookmarkStart w:id="440" w:name="_Toc164351629"/>
      <w:bookmarkStart w:id="441" w:name="_Toc149720828"/>
      <w:bookmarkStart w:id="442" w:name="_Toc151190162"/>
      <w:bookmarkStart w:id="443" w:name="_Toc150509286"/>
      <w:bookmarkStart w:id="444" w:name="_Toc226965808"/>
      <w:bookmarkStart w:id="445" w:name="_Toc164229376"/>
      <w:bookmarkStart w:id="446" w:name="_Toc151193777"/>
      <w:bookmarkStart w:id="447" w:name="_Toc520356160"/>
      <w:r>
        <w:rPr>
          <w:rFonts w:hint="eastAsia" w:ascii="宋体" w:hAnsi="宋体" w:eastAsia="宋体" w:cs="宋体"/>
          <w:sz w:val="24"/>
        </w:rPr>
        <w:t>投标文件的</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hint="eastAsia" w:ascii="宋体" w:hAnsi="宋体" w:eastAsia="宋体" w:cs="宋体"/>
          <w:sz w:val="24"/>
        </w:rPr>
        <w:t>提交</w:t>
      </w:r>
    </w:p>
    <w:p w14:paraId="1B59D2DF">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项目使用北京市政府采购电子交易平台。投标人根据招标文件及电子交易平台供应商操作手册要求编制、生成并提交电子投标文件。</w:t>
      </w:r>
    </w:p>
    <w:p w14:paraId="08D76D90">
      <w:pPr>
        <w:numPr>
          <w:ilvl w:val="1"/>
          <w:numId w:val="9"/>
        </w:numPr>
        <w:tabs>
          <w:tab w:val="left" w:pos="1080"/>
          <w:tab w:val="left" w:pos="2014"/>
        </w:tabs>
        <w:snapToGrid w:val="0"/>
        <w:spacing w:line="360" w:lineRule="auto"/>
        <w:ind w:left="1077" w:hanging="720"/>
        <w:rPr>
          <w:rFonts w:hint="eastAsia" w:ascii="宋体" w:hAnsi="宋体" w:eastAsia="宋体" w:cs="宋体"/>
          <w:sz w:val="24"/>
          <w:lang w:val="en-US" w:eastAsia="zh-CN"/>
        </w:rPr>
      </w:pPr>
      <w:r>
        <w:rPr>
          <w:rFonts w:hint="eastAsia" w:ascii="宋体" w:hAnsi="宋体" w:eastAsia="宋体" w:cs="宋体"/>
          <w:sz w:val="24"/>
        </w:rPr>
        <w:t>采购人及采购代理机构拒绝接受通过电子交易平台以外任何形式提交的投标文件，投标保证金除外</w:t>
      </w:r>
      <w:r>
        <w:rPr>
          <w:rFonts w:hint="eastAsia" w:ascii="宋体" w:hAnsi="宋体" w:eastAsia="宋体" w:cs="宋体"/>
          <w:sz w:val="24"/>
          <w:lang w:eastAsia="zh-CN"/>
        </w:rPr>
        <w:t>。</w:t>
      </w:r>
    </w:p>
    <w:p w14:paraId="0BF1E6E6">
      <w:pPr>
        <w:pStyle w:val="45"/>
        <w:ind w:left="1200" w:leftChars="0" w:hanging="1200" w:hangingChars="500"/>
        <w:rPr>
          <w:rFonts w:hint="default"/>
          <w:lang w:val="en-US" w:eastAsia="zh-CN"/>
        </w:rPr>
      </w:pPr>
      <w:r>
        <w:rPr>
          <w:rFonts w:hint="eastAsia" w:ascii="宋体" w:hAnsi="宋体" w:cs="宋体"/>
          <w:sz w:val="24"/>
          <w:lang w:val="en-US" w:eastAsia="zh-CN"/>
        </w:rPr>
        <w:t xml:space="preserve">   15.3  </w:t>
      </w:r>
      <w:r>
        <w:rPr>
          <w:rFonts w:hint="eastAsia" w:ascii="宋体" w:hAnsi="宋体" w:cs="宋体"/>
          <w:b/>
          <w:bCs/>
          <w:sz w:val="24"/>
          <w:lang w:val="en-US" w:eastAsia="zh-CN"/>
        </w:rPr>
        <w:t>投标人使用北京市政府采购电子交易平台递交电子投标文件后，在投标截止时间（开标当天12:00前），须提交纸质版的投标文件正本一份（须与电子投标文件一致），投标文件必须胶装成册并密封递交，按招标文件要求签字、加盖公章、法人章。公司代表无需授权书即可递交纸质版文件。</w:t>
      </w:r>
    </w:p>
    <w:p w14:paraId="1D3404F1">
      <w:pPr>
        <w:numPr>
          <w:ilvl w:val="0"/>
          <w:numId w:val="9"/>
        </w:numPr>
        <w:tabs>
          <w:tab w:val="left" w:pos="360"/>
        </w:tabs>
        <w:snapToGrid w:val="0"/>
        <w:spacing w:line="360" w:lineRule="auto"/>
        <w:ind w:left="357" w:hanging="357"/>
        <w:outlineLvl w:val="2"/>
        <w:rPr>
          <w:rFonts w:hint="eastAsia" w:ascii="宋体" w:hAnsi="宋体" w:eastAsia="宋体" w:cs="宋体"/>
          <w:sz w:val="24"/>
        </w:rPr>
      </w:pPr>
      <w:bookmarkStart w:id="448" w:name="_Toc226309780"/>
      <w:bookmarkStart w:id="449" w:name="_Toc226965726"/>
      <w:bookmarkStart w:id="450" w:name="_Toc265228374"/>
      <w:bookmarkStart w:id="451" w:name="_Toc226965809"/>
      <w:bookmarkStart w:id="452" w:name="_Toc150774741"/>
      <w:bookmarkStart w:id="453" w:name="_Toc164608650"/>
      <w:bookmarkStart w:id="454" w:name="_Toc195842901"/>
      <w:bookmarkStart w:id="455" w:name="_Toc305158804"/>
      <w:bookmarkStart w:id="456" w:name="_Toc127151536"/>
      <w:bookmarkStart w:id="457" w:name="_Toc151193634"/>
      <w:bookmarkStart w:id="458" w:name="_Toc520356161"/>
      <w:bookmarkStart w:id="459" w:name="_Toc226337232"/>
      <w:bookmarkStart w:id="460" w:name="_Toc264969226"/>
      <w:bookmarkStart w:id="461" w:name="_Toc151193778"/>
      <w:bookmarkStart w:id="462" w:name="_Toc127161450"/>
      <w:bookmarkStart w:id="463" w:name="_Toc151193924"/>
      <w:bookmarkStart w:id="464" w:name="_Toc164608805"/>
      <w:bookmarkStart w:id="465" w:name="_Toc150774636"/>
      <w:bookmarkStart w:id="466" w:name="_Toc164229231"/>
      <w:bookmarkStart w:id="467" w:name="_Toc305158878"/>
      <w:bookmarkStart w:id="468" w:name="_Toc164229377"/>
      <w:bookmarkStart w:id="469" w:name="_Toc164351630"/>
      <w:bookmarkStart w:id="470" w:name="_Toc151193850"/>
      <w:bookmarkStart w:id="471" w:name="_Toc127151737"/>
      <w:bookmarkStart w:id="472" w:name="_Toc150509287"/>
      <w:bookmarkStart w:id="473" w:name="_Toc150480774"/>
      <w:bookmarkStart w:id="474" w:name="_Toc149720829"/>
      <w:bookmarkStart w:id="475" w:name="_Toc151193706"/>
      <w:bookmarkStart w:id="476" w:name="_Toc142311038"/>
      <w:bookmarkStart w:id="477" w:name="_Toc151190163"/>
      <w:r>
        <w:rPr>
          <w:rFonts w:hint="eastAsia" w:ascii="宋体" w:hAnsi="宋体" w:eastAsia="宋体" w:cs="宋体"/>
          <w:sz w:val="24"/>
        </w:rPr>
        <w:t>投标截止</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hint="eastAsia" w:ascii="宋体" w:hAnsi="宋体" w:eastAsia="宋体" w:cs="宋体"/>
          <w:sz w:val="24"/>
        </w:rPr>
        <w:t>时间</w:t>
      </w:r>
    </w:p>
    <w:p w14:paraId="359B937D">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投标人应在招标文件要求提交投标文件截止时间前，将电子投标文件提交至电子交易平台。</w:t>
      </w:r>
    </w:p>
    <w:p w14:paraId="683FCBE4">
      <w:pPr>
        <w:numPr>
          <w:ilvl w:val="0"/>
          <w:numId w:val="9"/>
        </w:numPr>
        <w:tabs>
          <w:tab w:val="left" w:pos="360"/>
        </w:tabs>
        <w:snapToGrid w:val="0"/>
        <w:spacing w:line="360" w:lineRule="auto"/>
        <w:ind w:left="357" w:hanging="357"/>
        <w:outlineLvl w:val="2"/>
        <w:rPr>
          <w:rFonts w:hint="eastAsia" w:ascii="宋体" w:hAnsi="宋体" w:eastAsia="宋体" w:cs="宋体"/>
          <w:sz w:val="24"/>
        </w:rPr>
      </w:pPr>
      <w:bookmarkStart w:id="478" w:name="_Toc150509288"/>
      <w:bookmarkStart w:id="479" w:name="_Toc164229232"/>
      <w:bookmarkStart w:id="480" w:name="_Toc142311039"/>
      <w:bookmarkStart w:id="481" w:name="_Toc226965810"/>
      <w:bookmarkStart w:id="482" w:name="_Toc151193779"/>
      <w:bookmarkStart w:id="483" w:name="_Toc127151738"/>
      <w:bookmarkStart w:id="484" w:name="_Toc305158805"/>
      <w:bookmarkStart w:id="485" w:name="_Toc151190164"/>
      <w:bookmarkStart w:id="486" w:name="_Toc164351631"/>
      <w:bookmarkStart w:id="487" w:name="_Toc226337233"/>
      <w:bookmarkStart w:id="488" w:name="_Toc164229378"/>
      <w:bookmarkStart w:id="489" w:name="_Toc226965727"/>
      <w:bookmarkStart w:id="490" w:name="_Toc151193707"/>
      <w:bookmarkStart w:id="491" w:name="_Toc151193635"/>
      <w:bookmarkStart w:id="492" w:name="_Toc520356162"/>
      <w:bookmarkStart w:id="493" w:name="_Toc264969227"/>
      <w:bookmarkStart w:id="494" w:name="_Toc127161451"/>
      <w:bookmarkStart w:id="495" w:name="_Toc305158879"/>
      <w:bookmarkStart w:id="496" w:name="_Toc150480775"/>
      <w:bookmarkStart w:id="497" w:name="_Toc149720830"/>
      <w:bookmarkStart w:id="498" w:name="_Toc164608651"/>
      <w:bookmarkStart w:id="499" w:name="_Toc151193851"/>
      <w:bookmarkStart w:id="500" w:name="_Toc195842902"/>
      <w:bookmarkStart w:id="501" w:name="_Toc127151537"/>
      <w:bookmarkStart w:id="502" w:name="_Toc150774637"/>
      <w:bookmarkStart w:id="503" w:name="_Toc226309781"/>
      <w:bookmarkStart w:id="504" w:name="_Toc164608806"/>
      <w:bookmarkStart w:id="505" w:name="_Toc151193925"/>
      <w:bookmarkStart w:id="506" w:name="_Toc265228375"/>
      <w:bookmarkStart w:id="507" w:name="_Toc150774742"/>
      <w:r>
        <w:rPr>
          <w:rFonts w:hint="eastAsia" w:ascii="宋体" w:hAnsi="宋体" w:eastAsia="宋体" w:cs="宋体"/>
          <w:sz w:val="24"/>
        </w:rPr>
        <w:t>投标文件的修改与撤回</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41565E6B">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投标截止时间前，投标人可以通过电子交易平台对所提交的投标文件进行补 充、修改或者撤回。投标保证金的补充、修改或者撤回无需通过电子交易平 台，但应就其补充、修改或者撤回通知采购人或采购代理机构。</w:t>
      </w:r>
    </w:p>
    <w:p w14:paraId="666BEDA4">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投标人对投标文件的补充、修改的内容应当按照招标文件要求签署、盖章， 作为投标文件的组成部分。</w:t>
      </w:r>
    </w:p>
    <w:p w14:paraId="230DEEF5">
      <w:pPr>
        <w:spacing w:line="360" w:lineRule="auto"/>
        <w:rPr>
          <w:rFonts w:hint="eastAsia" w:ascii="宋体" w:hAnsi="宋体" w:eastAsia="宋体" w:cs="宋体"/>
          <w:sz w:val="24"/>
        </w:rPr>
      </w:pPr>
    </w:p>
    <w:p w14:paraId="59B2AB60">
      <w:pPr>
        <w:pStyle w:val="4"/>
        <w:spacing w:before="0" w:line="360" w:lineRule="auto"/>
        <w:rPr>
          <w:rFonts w:hint="eastAsia" w:ascii="宋体" w:hAnsi="宋体" w:eastAsia="宋体" w:cs="宋体"/>
          <w:sz w:val="28"/>
        </w:rPr>
      </w:pPr>
      <w:bookmarkStart w:id="508" w:name="_Toc520356163"/>
      <w:bookmarkStart w:id="509" w:name="_Toc151193852"/>
      <w:bookmarkStart w:id="510" w:name="_Toc226965811"/>
      <w:bookmarkStart w:id="511" w:name="_Toc151193708"/>
      <w:bookmarkStart w:id="512" w:name="_Toc127151538"/>
      <w:bookmarkStart w:id="513" w:name="_Toc305158806"/>
      <w:bookmarkStart w:id="514" w:name="_Toc226309782"/>
      <w:bookmarkStart w:id="515" w:name="_Toc150774743"/>
      <w:bookmarkStart w:id="516" w:name="_Toc264969228"/>
      <w:bookmarkStart w:id="517" w:name="_Toc150480776"/>
      <w:bookmarkStart w:id="518" w:name="_Toc151190165"/>
      <w:bookmarkStart w:id="519" w:name="_Toc151193926"/>
      <w:bookmarkStart w:id="520" w:name="_Toc226337234"/>
      <w:bookmarkStart w:id="521" w:name="_Toc265228376"/>
      <w:bookmarkStart w:id="522" w:name="_Toc195842903"/>
      <w:bookmarkStart w:id="523" w:name="_Toc150774638"/>
      <w:bookmarkStart w:id="524" w:name="_Toc142311040"/>
      <w:bookmarkStart w:id="525" w:name="_Toc226965728"/>
      <w:bookmarkStart w:id="526" w:name="_Toc151193780"/>
      <w:bookmarkStart w:id="527" w:name="_Toc305158880"/>
      <w:bookmarkStart w:id="528" w:name="_Toc150509289"/>
      <w:bookmarkStart w:id="529" w:name="_Toc151193636"/>
      <w:r>
        <w:rPr>
          <w:rFonts w:hint="eastAsia" w:ascii="宋体" w:hAnsi="宋体" w:eastAsia="宋体" w:cs="宋体"/>
          <w:sz w:val="28"/>
        </w:rPr>
        <w:t>五   开标、资格审查及评标</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78B84469">
      <w:pPr>
        <w:numPr>
          <w:ilvl w:val="0"/>
          <w:numId w:val="9"/>
        </w:numPr>
        <w:tabs>
          <w:tab w:val="left" w:pos="360"/>
        </w:tabs>
        <w:snapToGrid w:val="0"/>
        <w:spacing w:line="360" w:lineRule="auto"/>
        <w:ind w:left="357" w:hanging="357"/>
        <w:outlineLvl w:val="2"/>
        <w:rPr>
          <w:rFonts w:hint="eastAsia" w:ascii="宋体" w:hAnsi="宋体" w:eastAsia="宋体" w:cs="宋体"/>
          <w:sz w:val="24"/>
        </w:rPr>
      </w:pPr>
      <w:bookmarkStart w:id="530" w:name="_Toc164608653"/>
      <w:bookmarkStart w:id="531" w:name="_Toc150774744"/>
      <w:bookmarkStart w:id="532" w:name="_Toc150509290"/>
      <w:bookmarkStart w:id="533" w:name="_Toc265228377"/>
      <w:bookmarkStart w:id="534" w:name="_Toc226965729"/>
      <w:bookmarkStart w:id="535" w:name="_Toc151193781"/>
      <w:bookmarkStart w:id="536" w:name="_Toc164229234"/>
      <w:bookmarkStart w:id="537" w:name="_Toc164351633"/>
      <w:bookmarkStart w:id="538" w:name="_Toc305158807"/>
      <w:bookmarkStart w:id="539" w:name="_Toc195842904"/>
      <w:bookmarkStart w:id="540" w:name="_Toc164229380"/>
      <w:bookmarkStart w:id="541" w:name="_Toc151190166"/>
      <w:bookmarkStart w:id="542" w:name="_Toc150480777"/>
      <w:bookmarkStart w:id="543" w:name="_Toc226965812"/>
      <w:bookmarkStart w:id="544" w:name="_Toc150774639"/>
      <w:bookmarkStart w:id="545" w:name="_Toc151193927"/>
      <w:bookmarkStart w:id="546" w:name="_Toc127151539"/>
      <w:bookmarkStart w:id="547" w:name="_Toc149720832"/>
      <w:bookmarkStart w:id="548" w:name="_Toc164608808"/>
      <w:bookmarkStart w:id="549" w:name="_Toc226337235"/>
      <w:bookmarkStart w:id="550" w:name="_Toc142311041"/>
      <w:bookmarkStart w:id="551" w:name="_Toc151193637"/>
      <w:bookmarkStart w:id="552" w:name="_Toc127151740"/>
      <w:bookmarkStart w:id="553" w:name="_Toc127161453"/>
      <w:bookmarkStart w:id="554" w:name="_Toc264969229"/>
      <w:bookmarkStart w:id="555" w:name="_Toc151193853"/>
      <w:bookmarkStart w:id="556" w:name="_Toc520356164"/>
      <w:bookmarkStart w:id="557" w:name="_Toc226309783"/>
      <w:bookmarkStart w:id="558" w:name="_Toc305158881"/>
      <w:bookmarkStart w:id="559" w:name="_Toc151193709"/>
      <w:r>
        <w:rPr>
          <w:rFonts w:hint="eastAsia" w:ascii="宋体" w:hAnsi="宋体" w:eastAsia="宋体" w:cs="宋体"/>
          <w:sz w:val="24"/>
        </w:rPr>
        <w:t>开标</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44B3D2F8">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bookmarkStart w:id="560" w:name="_Toc520356165"/>
      <w:r>
        <w:rPr>
          <w:rFonts w:hint="eastAsia" w:ascii="宋体" w:hAnsi="宋体" w:eastAsia="宋体" w:cs="宋体"/>
          <w:sz w:val="24"/>
        </w:rPr>
        <w:t>采购人或采购代理机构将按招标文件的规定，在投标截止时间的同一时间和招标文件预先确定的地点组织开标。</w:t>
      </w:r>
    </w:p>
    <w:p w14:paraId="460F1B10">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本项目开标使用北京市政府采购电子交易平台。投标人应在规定的时间内对投标文件进行解密，因非系统原因导致的解密失败，视为投标无效。</w:t>
      </w:r>
    </w:p>
    <w:p w14:paraId="01D4DFD3">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58B69DA9">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4C1B4E1D">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投标人不足 3 家的，不予开标。</w:t>
      </w:r>
    </w:p>
    <w:p w14:paraId="61F67306">
      <w:pPr>
        <w:numPr>
          <w:ilvl w:val="0"/>
          <w:numId w:val="9"/>
        </w:numPr>
        <w:tabs>
          <w:tab w:val="left" w:pos="360"/>
        </w:tabs>
        <w:snapToGrid w:val="0"/>
        <w:spacing w:line="360" w:lineRule="auto"/>
        <w:ind w:left="357" w:hanging="357"/>
        <w:outlineLvl w:val="2"/>
        <w:rPr>
          <w:rFonts w:hint="eastAsia" w:ascii="宋体" w:hAnsi="宋体" w:eastAsia="宋体" w:cs="宋体"/>
          <w:sz w:val="24"/>
        </w:rPr>
      </w:pPr>
      <w:r>
        <w:rPr>
          <w:rFonts w:hint="eastAsia" w:ascii="宋体" w:hAnsi="宋体" w:eastAsia="宋体" w:cs="宋体"/>
          <w:sz w:val="24"/>
        </w:rPr>
        <w:t>资格审查</w:t>
      </w:r>
    </w:p>
    <w:p w14:paraId="09862F49">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见第三章《资格审查》。</w:t>
      </w:r>
    </w:p>
    <w:bookmarkEnd w:id="560"/>
    <w:p w14:paraId="5911C17C">
      <w:pPr>
        <w:numPr>
          <w:ilvl w:val="0"/>
          <w:numId w:val="9"/>
        </w:numPr>
        <w:tabs>
          <w:tab w:val="left" w:pos="360"/>
        </w:tabs>
        <w:snapToGrid w:val="0"/>
        <w:spacing w:line="360" w:lineRule="auto"/>
        <w:ind w:left="357" w:hanging="357"/>
        <w:outlineLvl w:val="2"/>
        <w:rPr>
          <w:rFonts w:hint="eastAsia" w:ascii="宋体" w:hAnsi="宋体" w:eastAsia="宋体" w:cs="宋体"/>
          <w:sz w:val="24"/>
        </w:rPr>
      </w:pPr>
      <w:bookmarkStart w:id="561" w:name="_Toc151193854"/>
      <w:bookmarkStart w:id="562" w:name="_Toc151193638"/>
      <w:bookmarkStart w:id="563" w:name="_Toc150509291"/>
      <w:bookmarkStart w:id="564" w:name="_Toc127151741"/>
      <w:bookmarkStart w:id="565" w:name="_Toc150480778"/>
      <w:bookmarkStart w:id="566" w:name="_Toc164229235"/>
      <w:bookmarkStart w:id="567" w:name="_Toc305158882"/>
      <w:bookmarkStart w:id="568" w:name="_Toc150774745"/>
      <w:bookmarkStart w:id="569" w:name="_Toc149720833"/>
      <w:bookmarkStart w:id="570" w:name="_Toc226337236"/>
      <w:bookmarkStart w:id="571" w:name="_Toc151190167"/>
      <w:bookmarkStart w:id="572" w:name="_Toc226309784"/>
      <w:bookmarkStart w:id="573" w:name="_Toc142311042"/>
      <w:bookmarkStart w:id="574" w:name="_Toc195842905"/>
      <w:bookmarkStart w:id="575" w:name="_Toc164229381"/>
      <w:bookmarkStart w:id="576" w:name="_Toc127151540"/>
      <w:bookmarkStart w:id="577" w:name="_Toc264969230"/>
      <w:bookmarkStart w:id="578" w:name="_Toc151193782"/>
      <w:bookmarkStart w:id="579" w:name="_Toc164608809"/>
      <w:bookmarkStart w:id="580" w:name="_Toc164351634"/>
      <w:bookmarkStart w:id="581" w:name="_Toc226965813"/>
      <w:bookmarkStart w:id="582" w:name="_Toc226965730"/>
      <w:bookmarkStart w:id="583" w:name="_Toc150774640"/>
      <w:bookmarkStart w:id="584" w:name="_Toc151193928"/>
      <w:bookmarkStart w:id="585" w:name="_Toc265228378"/>
      <w:bookmarkStart w:id="586" w:name="_Toc164608654"/>
      <w:bookmarkStart w:id="587" w:name="_Toc305158808"/>
      <w:bookmarkStart w:id="588" w:name="_Toc151193710"/>
      <w:bookmarkStart w:id="589" w:name="_Toc127161454"/>
      <w:r>
        <w:rPr>
          <w:rFonts w:hint="eastAsia" w:ascii="宋体" w:hAnsi="宋体" w:eastAsia="宋体" w:cs="宋体"/>
          <w:sz w:val="24"/>
        </w:rPr>
        <w:t>评标委员会</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1E7151E9">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bookmarkStart w:id="590" w:name="_Toc520356166"/>
      <w:r>
        <w:rPr>
          <w:rFonts w:hint="eastAsia" w:ascii="宋体" w:hAnsi="宋体" w:eastAsia="宋体" w:cs="宋体"/>
          <w:sz w:val="24"/>
        </w:rPr>
        <w:t>评标委员会根据政府采购有关规定和本次采购项目的特点进行组建，并负责具体评标事务，独立履行职责。</w:t>
      </w:r>
    </w:p>
    <w:p w14:paraId="4FD347E2">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0"/>
      <w:bookmarkStart w:id="591" w:name="_Toc520356169"/>
    </w:p>
    <w:p w14:paraId="22CE424C">
      <w:pPr>
        <w:numPr>
          <w:ilvl w:val="0"/>
          <w:numId w:val="9"/>
        </w:numPr>
        <w:tabs>
          <w:tab w:val="left" w:pos="360"/>
        </w:tabs>
        <w:snapToGrid w:val="0"/>
        <w:spacing w:line="360" w:lineRule="auto"/>
        <w:ind w:left="357" w:hanging="357"/>
        <w:outlineLvl w:val="2"/>
        <w:rPr>
          <w:rFonts w:hint="eastAsia" w:ascii="宋体" w:hAnsi="宋体" w:eastAsia="宋体" w:cs="宋体"/>
          <w:sz w:val="24"/>
        </w:rPr>
      </w:pPr>
      <w:r>
        <w:rPr>
          <w:rFonts w:hint="eastAsia" w:ascii="宋体" w:hAnsi="宋体" w:eastAsia="宋体" w:cs="宋体"/>
          <w:sz w:val="24"/>
        </w:rPr>
        <w:t>评标程序、评标方法和评标标准</w:t>
      </w:r>
    </w:p>
    <w:p w14:paraId="54E80921">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见第四章《评标程序、评标方法和评标标准》。</w:t>
      </w:r>
    </w:p>
    <w:p w14:paraId="56D38413">
      <w:pPr>
        <w:tabs>
          <w:tab w:val="left" w:pos="360"/>
          <w:tab w:val="left" w:pos="1080"/>
        </w:tabs>
        <w:snapToGrid w:val="0"/>
        <w:spacing w:line="360" w:lineRule="auto"/>
        <w:ind w:left="1080"/>
        <w:rPr>
          <w:rFonts w:hint="eastAsia" w:ascii="宋体" w:hAnsi="宋体" w:eastAsia="宋体" w:cs="宋体"/>
          <w:sz w:val="24"/>
        </w:rPr>
      </w:pPr>
    </w:p>
    <w:p w14:paraId="3D1722AB">
      <w:pPr>
        <w:pStyle w:val="4"/>
        <w:spacing w:before="0" w:line="360" w:lineRule="auto"/>
        <w:rPr>
          <w:rFonts w:hint="eastAsia" w:ascii="宋体" w:hAnsi="宋体" w:eastAsia="宋体" w:cs="宋体"/>
          <w:sz w:val="28"/>
        </w:rPr>
      </w:pPr>
      <w:bookmarkStart w:id="592" w:name="_Toc226309789"/>
      <w:bookmarkStart w:id="593" w:name="_Toc226337241"/>
      <w:bookmarkStart w:id="594" w:name="_Toc265228383"/>
      <w:bookmarkStart w:id="595" w:name="_Toc150774645"/>
      <w:bookmarkStart w:id="596" w:name="_Toc151193859"/>
      <w:bookmarkStart w:id="597" w:name="_Toc264969235"/>
      <w:bookmarkStart w:id="598" w:name="_Toc151190172"/>
      <w:bookmarkStart w:id="599" w:name="_Toc305158887"/>
      <w:bookmarkStart w:id="600" w:name="_Toc127151545"/>
      <w:bookmarkStart w:id="601" w:name="_Toc151193715"/>
      <w:bookmarkStart w:id="602" w:name="_Toc150509296"/>
      <w:bookmarkStart w:id="603" w:name="_Toc151193787"/>
      <w:bookmarkStart w:id="604" w:name="_Toc226965818"/>
      <w:bookmarkStart w:id="605" w:name="_Toc150480783"/>
      <w:bookmarkStart w:id="606" w:name="_Toc151193643"/>
      <w:bookmarkStart w:id="607" w:name="_Toc305158813"/>
      <w:bookmarkStart w:id="608" w:name="_Toc142311047"/>
      <w:bookmarkStart w:id="609" w:name="_Toc151193933"/>
      <w:bookmarkStart w:id="610" w:name="_Toc195842910"/>
      <w:bookmarkStart w:id="611" w:name="_Toc226965735"/>
      <w:bookmarkStart w:id="612" w:name="_Toc150774750"/>
      <w:r>
        <w:rPr>
          <w:rFonts w:hint="eastAsia" w:ascii="宋体" w:hAnsi="宋体" w:eastAsia="宋体" w:cs="宋体"/>
          <w:sz w:val="28"/>
        </w:rPr>
        <w:t xml:space="preserve">六   </w:t>
      </w:r>
      <w:bookmarkEnd w:id="591"/>
      <w:r>
        <w:rPr>
          <w:rFonts w:hint="eastAsia" w:ascii="宋体" w:hAnsi="宋体" w:eastAsia="宋体" w:cs="宋体"/>
          <w:sz w:val="28"/>
        </w:rPr>
        <w:t>确定中标</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Start w:id="613" w:name="_Toc264969237"/>
      <w:bookmarkStart w:id="614" w:name="_Toc151193935"/>
      <w:bookmarkStart w:id="615" w:name="_Toc150774752"/>
      <w:bookmarkStart w:id="616" w:name="_Toc142311049"/>
      <w:bookmarkStart w:id="617" w:name="_Toc150480785"/>
      <w:bookmarkStart w:id="618" w:name="_Toc149720840"/>
      <w:bookmarkStart w:id="619" w:name="_Toc151193789"/>
      <w:bookmarkStart w:id="620" w:name="_Toc226965737"/>
      <w:bookmarkStart w:id="621" w:name="_Toc151193645"/>
      <w:bookmarkStart w:id="622" w:name="_Toc164351641"/>
      <w:bookmarkStart w:id="623" w:name="_Toc164608661"/>
      <w:bookmarkStart w:id="624" w:name="_Toc164229388"/>
      <w:bookmarkStart w:id="625" w:name="_Toc226965820"/>
      <w:bookmarkStart w:id="626" w:name="_Toc151190174"/>
      <w:bookmarkStart w:id="627" w:name="_Toc226309791"/>
      <w:bookmarkStart w:id="628" w:name="_Toc305158889"/>
      <w:bookmarkStart w:id="629" w:name="_Toc151193717"/>
      <w:bookmarkStart w:id="630" w:name="_Toc150509298"/>
      <w:bookmarkStart w:id="631" w:name="_Toc164608816"/>
      <w:bookmarkStart w:id="632" w:name="_Toc151193861"/>
      <w:bookmarkStart w:id="633" w:name="_Toc305158815"/>
      <w:bookmarkStart w:id="634" w:name="_Toc164229242"/>
      <w:bookmarkStart w:id="635" w:name="_Toc265228385"/>
      <w:bookmarkStart w:id="636" w:name="_Toc127161461"/>
      <w:bookmarkStart w:id="637" w:name="_Toc195842912"/>
      <w:bookmarkStart w:id="638" w:name="_Toc150774647"/>
      <w:bookmarkStart w:id="639" w:name="_Toc127151547"/>
      <w:bookmarkStart w:id="640" w:name="_Toc226337243"/>
      <w:bookmarkStart w:id="641" w:name="_Toc127151748"/>
    </w:p>
    <w:p w14:paraId="5D6B525E">
      <w:pPr>
        <w:numPr>
          <w:ilvl w:val="0"/>
          <w:numId w:val="9"/>
        </w:numPr>
        <w:tabs>
          <w:tab w:val="left" w:pos="360"/>
        </w:tabs>
        <w:snapToGrid w:val="0"/>
        <w:spacing w:line="360" w:lineRule="auto"/>
        <w:ind w:left="357" w:hanging="357"/>
        <w:outlineLvl w:val="2"/>
        <w:rPr>
          <w:rFonts w:hint="eastAsia" w:ascii="宋体" w:hAnsi="宋体" w:eastAsia="宋体" w:cs="宋体"/>
          <w:sz w:val="24"/>
        </w:rPr>
      </w:pPr>
      <w:r>
        <w:rPr>
          <w:rFonts w:hint="eastAsia" w:ascii="宋体" w:hAnsi="宋体" w:eastAsia="宋体" w:cs="宋体"/>
          <w:sz w:val="24"/>
        </w:rPr>
        <w:t>确定中标人</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0423FD15">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03F4D972">
      <w:pPr>
        <w:numPr>
          <w:ilvl w:val="0"/>
          <w:numId w:val="9"/>
        </w:numPr>
        <w:tabs>
          <w:tab w:val="left" w:pos="360"/>
        </w:tabs>
        <w:snapToGrid w:val="0"/>
        <w:spacing w:line="360" w:lineRule="auto"/>
        <w:ind w:left="357" w:hanging="357"/>
        <w:outlineLvl w:val="2"/>
        <w:rPr>
          <w:rFonts w:hint="eastAsia" w:ascii="宋体" w:hAnsi="宋体" w:eastAsia="宋体" w:cs="宋体"/>
          <w:sz w:val="24"/>
        </w:rPr>
      </w:pPr>
      <w:bookmarkStart w:id="642" w:name="_Toc305158891"/>
      <w:bookmarkStart w:id="643" w:name="_Toc305158817"/>
      <w:bookmarkStart w:id="644" w:name="_Toc127151549"/>
      <w:bookmarkStart w:id="645" w:name="_Toc164608663"/>
      <w:bookmarkStart w:id="646" w:name="_Toc264969239"/>
      <w:bookmarkStart w:id="647" w:name="_Toc151190176"/>
      <w:bookmarkStart w:id="648" w:name="_Toc150774649"/>
      <w:bookmarkStart w:id="649" w:name="_Toc164608818"/>
      <w:bookmarkStart w:id="650" w:name="_Toc195842914"/>
      <w:bookmarkStart w:id="651" w:name="_Toc164351643"/>
      <w:bookmarkStart w:id="652" w:name="_Toc149720842"/>
      <w:bookmarkStart w:id="653" w:name="_Toc164229390"/>
      <w:bookmarkStart w:id="654" w:name="_Toc226337245"/>
      <w:bookmarkStart w:id="655" w:name="_Toc151193647"/>
      <w:bookmarkStart w:id="656" w:name="_Toc150480787"/>
      <w:bookmarkStart w:id="657" w:name="_Toc127151750"/>
      <w:bookmarkStart w:id="658" w:name="_Toc226309793"/>
      <w:bookmarkStart w:id="659" w:name="_Toc265228387"/>
      <w:bookmarkStart w:id="660" w:name="_Toc151193791"/>
      <w:bookmarkStart w:id="661" w:name="_Toc226965739"/>
      <w:bookmarkStart w:id="662" w:name="_Toc142311051"/>
      <w:bookmarkStart w:id="663" w:name="_Toc151193863"/>
      <w:bookmarkStart w:id="664" w:name="_Toc150774754"/>
      <w:bookmarkStart w:id="665" w:name="_Toc127161463"/>
      <w:bookmarkStart w:id="666" w:name="_Toc164229244"/>
      <w:bookmarkStart w:id="667" w:name="_Toc151193719"/>
      <w:bookmarkStart w:id="668" w:name="_Toc150509300"/>
      <w:bookmarkStart w:id="669" w:name="_Toc226965822"/>
      <w:bookmarkStart w:id="670" w:name="_Toc151193937"/>
      <w:bookmarkStart w:id="671" w:name="_Ref467307090"/>
      <w:bookmarkStart w:id="672" w:name="_Toc520356176"/>
      <w:bookmarkStart w:id="673" w:name="_Ref467306425"/>
      <w:r>
        <w:rPr>
          <w:rFonts w:hint="eastAsia" w:ascii="宋体" w:hAnsi="宋体" w:eastAsia="宋体" w:cs="宋体"/>
          <w:sz w:val="24"/>
        </w:rPr>
        <w:t>中标公告与中标通知书</w:t>
      </w:r>
      <w:bookmarkEnd w:id="642"/>
      <w:bookmarkEnd w:id="643"/>
    </w:p>
    <w:p w14:paraId="78F58904">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采采购人或采购代理机构自中标人确定之日起2个工作日内，</w:t>
      </w:r>
      <w:r>
        <w:rPr>
          <w:rFonts w:hint="eastAsia" w:ascii="宋体" w:hAnsi="宋体" w:eastAsia="宋体" w:cs="宋体"/>
          <w:color w:val="000000"/>
          <w:kern w:val="0"/>
          <w:sz w:val="24"/>
        </w:rPr>
        <w:t>在北京市政府采购网公告中标结果</w:t>
      </w:r>
      <w:r>
        <w:rPr>
          <w:rFonts w:hint="eastAsia" w:ascii="宋体" w:hAnsi="宋体" w:eastAsia="宋体" w:cs="宋体"/>
          <w:sz w:val="24"/>
        </w:rPr>
        <w:t>，同时向中标人发出中标通知书，中标公告期限为1个工作日。</w:t>
      </w:r>
    </w:p>
    <w:p w14:paraId="56902E8E">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中标通知书对采购人和中标供应商均具有法律效力。中标通知书发出后，采购人改变中标结果的，或者中标供应商放弃中标项目的，应当依法承担法律责任。</w:t>
      </w:r>
    </w:p>
    <w:p w14:paraId="1A6DB827">
      <w:pPr>
        <w:numPr>
          <w:ilvl w:val="0"/>
          <w:numId w:val="9"/>
        </w:numPr>
        <w:tabs>
          <w:tab w:val="left" w:pos="360"/>
        </w:tabs>
        <w:snapToGrid w:val="0"/>
        <w:spacing w:line="360" w:lineRule="auto"/>
        <w:ind w:left="357" w:hanging="357"/>
        <w:outlineLvl w:val="2"/>
        <w:rPr>
          <w:rFonts w:hint="eastAsia" w:ascii="宋体" w:hAnsi="宋体" w:eastAsia="宋体" w:cs="宋体"/>
          <w:sz w:val="24"/>
        </w:rPr>
      </w:pPr>
      <w:r>
        <w:rPr>
          <w:rFonts w:hint="eastAsia" w:ascii="宋体" w:hAnsi="宋体" w:eastAsia="宋体" w:cs="宋体"/>
          <w:sz w:val="24"/>
        </w:rPr>
        <w:t>废标</w:t>
      </w:r>
    </w:p>
    <w:p w14:paraId="54A9F799">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在招标采购中，出现下列情形之一的，应予废标：</w:t>
      </w:r>
    </w:p>
    <w:p w14:paraId="2EBBC33C">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符合专业条件的供应商或者对招标文件作实质响应的供应商不足三家的；</w:t>
      </w:r>
    </w:p>
    <w:p w14:paraId="0DE756F5">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出现影响采购公正的违法、违规行为的；</w:t>
      </w:r>
    </w:p>
    <w:p w14:paraId="417E86C4">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投标人的报价均超过了采购预算，采购人不能支付的；</w:t>
      </w:r>
    </w:p>
    <w:p w14:paraId="177EE977">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因重大变故，采购任务取消的。</w:t>
      </w:r>
    </w:p>
    <w:p w14:paraId="29970927">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废标后，采购人将废标理由书面通知所有投标人。</w:t>
      </w:r>
    </w:p>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14:paraId="6EF98871">
      <w:pPr>
        <w:numPr>
          <w:ilvl w:val="0"/>
          <w:numId w:val="9"/>
        </w:numPr>
        <w:tabs>
          <w:tab w:val="left" w:pos="360"/>
        </w:tabs>
        <w:snapToGrid w:val="0"/>
        <w:spacing w:line="360" w:lineRule="auto"/>
        <w:ind w:left="357" w:hanging="357"/>
        <w:outlineLvl w:val="2"/>
        <w:rPr>
          <w:rFonts w:hint="eastAsia" w:ascii="宋体" w:hAnsi="宋体" w:eastAsia="宋体" w:cs="宋体"/>
          <w:sz w:val="24"/>
        </w:rPr>
      </w:pPr>
      <w:bookmarkStart w:id="674" w:name="_Toc226965740"/>
      <w:bookmarkStart w:id="675" w:name="_Toc127161464"/>
      <w:bookmarkStart w:id="676" w:name="_Toc164229245"/>
      <w:bookmarkStart w:id="677" w:name="_Toc164608819"/>
      <w:bookmarkStart w:id="678" w:name="_Toc150774650"/>
      <w:bookmarkStart w:id="679" w:name="_Toc195842915"/>
      <w:bookmarkStart w:id="680" w:name="_Ref467306978"/>
      <w:bookmarkStart w:id="681" w:name="_Toc127151550"/>
      <w:bookmarkStart w:id="682" w:name="_Ref467306377"/>
      <w:bookmarkStart w:id="683" w:name="_Toc151193938"/>
      <w:bookmarkStart w:id="684" w:name="_Toc150774755"/>
      <w:bookmarkStart w:id="685" w:name="_Toc520356175"/>
      <w:bookmarkStart w:id="686" w:name="_Toc127151751"/>
      <w:bookmarkStart w:id="687" w:name="_Ref467307204"/>
      <w:bookmarkStart w:id="688" w:name="_Toc265228388"/>
      <w:bookmarkStart w:id="689" w:name="_Toc164608664"/>
      <w:bookmarkStart w:id="690" w:name="_Toc305158818"/>
      <w:bookmarkStart w:id="691" w:name="_Toc142311052"/>
      <w:bookmarkStart w:id="692" w:name="_Toc264969240"/>
      <w:bookmarkStart w:id="693" w:name="_Toc151193864"/>
      <w:bookmarkStart w:id="694" w:name="_Toc226337246"/>
      <w:bookmarkStart w:id="695" w:name="_Toc226965823"/>
      <w:bookmarkStart w:id="696" w:name="_Toc164351644"/>
      <w:bookmarkStart w:id="697" w:name="_Toc305158892"/>
      <w:bookmarkStart w:id="698" w:name="_Toc151193648"/>
      <w:bookmarkStart w:id="699" w:name="_Toc150480788"/>
      <w:bookmarkStart w:id="700" w:name="_Toc151193792"/>
      <w:bookmarkStart w:id="701" w:name="_Toc149720843"/>
      <w:bookmarkStart w:id="702" w:name="_Toc226309794"/>
      <w:bookmarkStart w:id="703" w:name="_Toc150509301"/>
      <w:bookmarkStart w:id="704" w:name="_Ref467307062"/>
      <w:bookmarkStart w:id="705" w:name="_Toc164229391"/>
      <w:bookmarkStart w:id="706" w:name="_Toc151190177"/>
      <w:bookmarkStart w:id="707" w:name="_Toc151193720"/>
      <w:r>
        <w:rPr>
          <w:rFonts w:hint="eastAsia" w:ascii="宋体" w:hAnsi="宋体" w:eastAsia="宋体" w:cs="宋体"/>
          <w:sz w:val="24"/>
        </w:rPr>
        <w:t>签订合同</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4258EC4A">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中标人、采购人应当自中标通知书发出之日起30日内，按照招标文件和中标人投标文件的规定签订书面合同。所签订的合同不得对招标文件确定的事项和中标人投标文件作实质性修改。</w:t>
      </w:r>
    </w:p>
    <w:p w14:paraId="40D2201D">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中标人拒绝与采购人签订合同的，采购人可以按照评标报告推荐的中标候选人名单排序，确定下一候选人为中标人，也可以重新开展政府采购活动。</w:t>
      </w:r>
    </w:p>
    <w:p w14:paraId="25BF70D1">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联合体中标的，联合体各方应当共同与采购人签订合同，就采购合同约定的事项向采购人承担连带责任。</w:t>
      </w:r>
    </w:p>
    <w:p w14:paraId="4B1A4206">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政府采购合同不能转包。</w:t>
      </w:r>
    </w:p>
    <w:p w14:paraId="3222B284">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eastAsia="宋体" w:cs="宋体"/>
          <w:b/>
          <w:sz w:val="24"/>
        </w:rPr>
        <w:t>，</w:t>
      </w:r>
      <w:r>
        <w:rPr>
          <w:rFonts w:hint="eastAsia" w:ascii="宋体" w:hAnsi="宋体" w:eastAsia="宋体" w:cs="宋体"/>
          <w:sz w:val="24"/>
        </w:rPr>
        <w:t>否则</w:t>
      </w:r>
      <w:r>
        <w:rPr>
          <w:rFonts w:hint="eastAsia" w:ascii="宋体" w:hAnsi="宋体" w:eastAsia="宋体" w:cs="宋体"/>
          <w:b/>
          <w:sz w:val="24"/>
        </w:rPr>
        <w:t>投标无效</w:t>
      </w:r>
      <w:r>
        <w:rPr>
          <w:rFonts w:hint="eastAsia" w:ascii="宋体" w:hAnsi="宋体" w:eastAsia="宋体" w:cs="宋体"/>
          <w:sz w:val="24"/>
        </w:rPr>
        <w:t>。中标人就采购项目和分包项目向采购人负责，分包供应商就分包项目承担责任。</w:t>
      </w:r>
    </w:p>
    <w:bookmarkEnd w:id="671"/>
    <w:bookmarkEnd w:id="672"/>
    <w:bookmarkEnd w:id="673"/>
    <w:p w14:paraId="37E840B3">
      <w:pPr>
        <w:numPr>
          <w:ilvl w:val="0"/>
          <w:numId w:val="9"/>
        </w:numPr>
        <w:tabs>
          <w:tab w:val="left" w:pos="360"/>
        </w:tabs>
        <w:snapToGrid w:val="0"/>
        <w:spacing w:line="360" w:lineRule="auto"/>
        <w:ind w:left="357" w:hanging="357"/>
        <w:outlineLvl w:val="2"/>
        <w:rPr>
          <w:rFonts w:hint="eastAsia" w:ascii="宋体" w:hAnsi="宋体" w:eastAsia="宋体" w:cs="宋体"/>
          <w:sz w:val="24"/>
        </w:rPr>
      </w:pPr>
      <w:r>
        <w:rPr>
          <w:rFonts w:hint="eastAsia" w:ascii="宋体" w:hAnsi="宋体" w:eastAsia="宋体" w:cs="宋体"/>
          <w:sz w:val="24"/>
        </w:rPr>
        <w:t>询问与质疑</w:t>
      </w:r>
    </w:p>
    <w:p w14:paraId="62E6FD75">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询问</w:t>
      </w:r>
    </w:p>
    <w:p w14:paraId="336F9FD6">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投标人对政府采购活动事项有疑问的，可依法提出询问，并按《投标人须知资料表》载明的形式送达采购人或采购代理机构。</w:t>
      </w:r>
    </w:p>
    <w:p w14:paraId="1DDEF3C2">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采购人或采购代理机构对供应商依法提出的询问，在3个工作日内作出答复，但答复的内容不得涉及商业秘密。</w:t>
      </w:r>
    </w:p>
    <w:p w14:paraId="5459A9B9">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质疑</w:t>
      </w:r>
    </w:p>
    <w:p w14:paraId="538BEEA5">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427B323F">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3959C847">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BA3A9A7">
      <w:pPr>
        <w:numPr>
          <w:ilvl w:val="2"/>
          <w:numId w:val="9"/>
        </w:numPr>
        <w:snapToGrid w:val="0"/>
        <w:spacing w:line="360" w:lineRule="auto"/>
        <w:rPr>
          <w:rFonts w:hint="eastAsia" w:ascii="宋体" w:hAnsi="宋体" w:eastAsia="宋体" w:cs="宋体"/>
          <w:sz w:val="24"/>
        </w:rPr>
      </w:pPr>
      <w:r>
        <w:rPr>
          <w:rFonts w:hint="eastAsia" w:ascii="宋体" w:hAnsi="宋体" w:eastAsia="宋体" w:cs="宋体"/>
          <w:sz w:val="24"/>
        </w:rPr>
        <w:t>投标人应在法定质疑期内一次性提出针对同一采购程序环节的质疑，法定质疑期内针对同一采购程序环节再次提出的质疑，采购人、采购代理机构有权不予答复。</w:t>
      </w:r>
    </w:p>
    <w:p w14:paraId="2FAA72DA">
      <w:pPr>
        <w:numPr>
          <w:ilvl w:val="1"/>
          <w:numId w:val="9"/>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接收询问和质疑的联系部门、联系电话和通讯地址见《投标人须知资料表》。</w:t>
      </w:r>
    </w:p>
    <w:p w14:paraId="4D2BEA50">
      <w:pPr>
        <w:numPr>
          <w:ilvl w:val="0"/>
          <w:numId w:val="9"/>
        </w:numPr>
        <w:tabs>
          <w:tab w:val="left" w:pos="360"/>
        </w:tabs>
        <w:snapToGrid w:val="0"/>
        <w:spacing w:line="360" w:lineRule="auto"/>
        <w:ind w:left="357" w:hanging="357"/>
        <w:outlineLvl w:val="2"/>
        <w:rPr>
          <w:rFonts w:hint="eastAsia" w:ascii="宋体" w:hAnsi="宋体" w:eastAsia="宋体" w:cs="宋体"/>
          <w:sz w:val="24"/>
        </w:rPr>
      </w:pPr>
      <w:r>
        <w:rPr>
          <w:rFonts w:hint="eastAsia" w:ascii="宋体" w:hAnsi="宋体" w:eastAsia="宋体" w:cs="宋体"/>
          <w:sz w:val="24"/>
        </w:rPr>
        <w:t>代理费</w:t>
      </w:r>
    </w:p>
    <w:p w14:paraId="5CAD5B9F">
      <w:pPr>
        <w:numPr>
          <w:ilvl w:val="1"/>
          <w:numId w:val="9"/>
        </w:numPr>
        <w:tabs>
          <w:tab w:val="left" w:pos="1080"/>
          <w:tab w:val="left" w:pos="2014"/>
        </w:tabs>
        <w:snapToGrid w:val="0"/>
        <w:spacing w:line="360" w:lineRule="auto"/>
        <w:ind w:left="1077" w:hanging="720"/>
        <w:rPr>
          <w:rFonts w:hint="eastAsia" w:ascii="宋体" w:hAnsi="宋体" w:eastAsia="宋体" w:cs="宋体"/>
          <w:sz w:val="24"/>
        </w:rPr>
        <w:sectPr>
          <w:headerReference r:id="rId11" w:type="first"/>
          <w:footerReference r:id="rId13" w:type="first"/>
          <w:headerReference r:id="rId10" w:type="even"/>
          <w:footerReference r:id="rId12" w:type="even"/>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r>
        <w:rPr>
          <w:rFonts w:hint="eastAsia" w:ascii="宋体" w:hAnsi="宋体" w:eastAsia="宋体" w:cs="宋体"/>
          <w:sz w:val="24"/>
        </w:rPr>
        <w:t>收费对象、收费标准及缴纳时间见《投标人须知资料表》。由中标人支付的，中标人须一次性向采购代理机构缴纳代理费，投标报价应包含代理费用。</w:t>
      </w:r>
    </w:p>
    <w:p w14:paraId="231DC0B6">
      <w:pPr>
        <w:pStyle w:val="15"/>
        <w:rPr>
          <w:rFonts w:hint="eastAsia" w:ascii="宋体" w:hAnsi="宋体" w:eastAsia="宋体" w:cs="宋体"/>
        </w:rPr>
      </w:pPr>
    </w:p>
    <w:p w14:paraId="59800198">
      <w:pPr>
        <w:spacing w:line="360" w:lineRule="auto"/>
        <w:jc w:val="center"/>
        <w:outlineLvl w:val="0"/>
        <w:rPr>
          <w:rFonts w:hint="eastAsia" w:ascii="宋体" w:hAnsi="宋体" w:eastAsia="宋体" w:cs="宋体"/>
          <w:b/>
          <w:sz w:val="36"/>
          <w:szCs w:val="36"/>
        </w:rPr>
      </w:pPr>
      <w:bookmarkStart w:id="708" w:name="_Toc353873664"/>
      <w:bookmarkStart w:id="709" w:name="_Toc226337250"/>
      <w:bookmarkStart w:id="710" w:name="_Toc353825544"/>
      <w:bookmarkStart w:id="711" w:name="_Toc142311056"/>
      <w:bookmarkStart w:id="712" w:name="_Toc305158896"/>
      <w:bookmarkStart w:id="713" w:name="_Toc305158822"/>
      <w:bookmarkStart w:id="714" w:name="_Toc150774759"/>
      <w:bookmarkStart w:id="715" w:name="_Toc226965827"/>
      <w:bookmarkStart w:id="716" w:name="_Toc265228392"/>
      <w:bookmarkStart w:id="717" w:name="_Toc353873934"/>
      <w:bookmarkStart w:id="718" w:name="_Toc127151554"/>
      <w:bookmarkStart w:id="719" w:name="_Toc150480792"/>
      <w:bookmarkStart w:id="720" w:name="_Toc264969244"/>
      <w:bookmarkStart w:id="721" w:name="_Toc99301421"/>
      <w:r>
        <w:rPr>
          <w:rFonts w:hint="eastAsia" w:ascii="宋体" w:hAnsi="宋体" w:eastAsia="宋体" w:cs="宋体"/>
          <w:b/>
          <w:sz w:val="36"/>
          <w:szCs w:val="36"/>
        </w:rPr>
        <w:t xml:space="preserve">第三章   </w:t>
      </w:r>
      <w:bookmarkEnd w:id="708"/>
      <w:bookmarkEnd w:id="709"/>
      <w:bookmarkEnd w:id="710"/>
      <w:bookmarkEnd w:id="711"/>
      <w:bookmarkEnd w:id="712"/>
      <w:bookmarkEnd w:id="713"/>
      <w:bookmarkEnd w:id="714"/>
      <w:bookmarkEnd w:id="715"/>
      <w:bookmarkEnd w:id="716"/>
      <w:bookmarkEnd w:id="717"/>
      <w:bookmarkEnd w:id="718"/>
      <w:bookmarkEnd w:id="719"/>
      <w:bookmarkEnd w:id="720"/>
      <w:r>
        <w:rPr>
          <w:rFonts w:hint="eastAsia" w:ascii="宋体" w:hAnsi="宋体" w:eastAsia="宋体" w:cs="宋体"/>
          <w:b/>
          <w:sz w:val="36"/>
          <w:szCs w:val="36"/>
        </w:rPr>
        <w:t>资格审查</w:t>
      </w:r>
      <w:bookmarkEnd w:id="721"/>
      <w:bookmarkStart w:id="722" w:name="_Toc487900382"/>
    </w:p>
    <w:p w14:paraId="33B21B90">
      <w:pPr>
        <w:tabs>
          <w:tab w:val="left" w:pos="360"/>
          <w:tab w:val="left" w:pos="900"/>
        </w:tabs>
        <w:snapToGrid w:val="0"/>
        <w:spacing w:line="360" w:lineRule="auto"/>
        <w:jc w:val="center"/>
        <w:outlineLvl w:val="1"/>
        <w:rPr>
          <w:rFonts w:hint="eastAsia" w:ascii="宋体" w:hAnsi="宋体" w:eastAsia="宋体" w:cs="宋体"/>
          <w:b/>
          <w:sz w:val="24"/>
        </w:rPr>
      </w:pPr>
      <w:bookmarkStart w:id="723" w:name="_Toc99301422"/>
      <w:r>
        <w:rPr>
          <w:rFonts w:hint="eastAsia" w:ascii="宋体" w:hAnsi="宋体" w:eastAsia="宋体" w:cs="宋体"/>
          <w:b/>
          <w:sz w:val="24"/>
        </w:rPr>
        <w:t>一、资格审查程序</w:t>
      </w:r>
      <w:bookmarkEnd w:id="723"/>
    </w:p>
    <w:p w14:paraId="64F5EA05">
      <w:pPr>
        <w:numPr>
          <w:ilvl w:val="0"/>
          <w:numId w:val="12"/>
        </w:numPr>
        <w:tabs>
          <w:tab w:val="left" w:pos="426"/>
          <w:tab w:val="left" w:pos="851"/>
          <w:tab w:val="clear" w:pos="900"/>
        </w:tabs>
        <w:snapToGrid w:val="0"/>
        <w:spacing w:line="360" w:lineRule="auto"/>
        <w:ind w:left="426" w:hanging="426"/>
        <w:outlineLvl w:val="2"/>
        <w:rPr>
          <w:rFonts w:hint="eastAsia" w:ascii="宋体" w:hAnsi="宋体" w:eastAsia="宋体" w:cs="宋体"/>
          <w:sz w:val="24"/>
        </w:rPr>
      </w:pPr>
      <w:r>
        <w:rPr>
          <w:rFonts w:hint="eastAsia" w:ascii="宋体" w:hAnsi="宋体" w:eastAsia="宋体" w:cs="宋体"/>
          <w:sz w:val="24"/>
        </w:rPr>
        <w:t>开标结束后，采购人或采购代理机构将根据《资格审查要求》中的规定，对投标人进行资格审查，并形成资格审查结果。</w:t>
      </w:r>
    </w:p>
    <w:p w14:paraId="5E7155C8">
      <w:pPr>
        <w:numPr>
          <w:ilvl w:val="0"/>
          <w:numId w:val="12"/>
        </w:numPr>
        <w:tabs>
          <w:tab w:val="left" w:pos="426"/>
          <w:tab w:val="left" w:pos="851"/>
          <w:tab w:val="clear" w:pos="900"/>
        </w:tabs>
        <w:snapToGrid w:val="0"/>
        <w:spacing w:line="360" w:lineRule="auto"/>
        <w:ind w:left="426" w:hanging="426"/>
        <w:outlineLvl w:val="2"/>
        <w:rPr>
          <w:rFonts w:hint="eastAsia" w:ascii="宋体" w:hAnsi="宋体" w:eastAsia="宋体" w:cs="宋体"/>
          <w:sz w:val="24"/>
        </w:rPr>
      </w:pPr>
      <w:r>
        <w:rPr>
          <w:rFonts w:hint="eastAsia" w:ascii="宋体" w:hAnsi="宋体" w:eastAsia="宋体" w:cs="宋体"/>
          <w:sz w:val="24"/>
        </w:rPr>
        <w:t>《资格审查要求》中对格式有要求的，除招标文件另有规定外，均为“实质性格式”文件。</w:t>
      </w:r>
    </w:p>
    <w:p w14:paraId="7AACD558">
      <w:pPr>
        <w:numPr>
          <w:ilvl w:val="0"/>
          <w:numId w:val="12"/>
        </w:numPr>
        <w:tabs>
          <w:tab w:val="left" w:pos="426"/>
          <w:tab w:val="left" w:pos="851"/>
          <w:tab w:val="clear" w:pos="900"/>
        </w:tabs>
        <w:snapToGrid w:val="0"/>
        <w:spacing w:line="360" w:lineRule="auto"/>
        <w:ind w:left="426" w:hanging="426"/>
        <w:outlineLvl w:val="2"/>
        <w:rPr>
          <w:rFonts w:hint="eastAsia" w:ascii="宋体" w:hAnsi="宋体" w:eastAsia="宋体" w:cs="宋体"/>
          <w:sz w:val="24"/>
        </w:rPr>
      </w:pPr>
      <w:r>
        <w:rPr>
          <w:rFonts w:hint="eastAsia" w:ascii="宋体" w:hAnsi="宋体" w:eastAsia="宋体" w:cs="宋体"/>
          <w:sz w:val="24"/>
        </w:rPr>
        <w:t>投标人《资格证明文件》有任何一项不符合《资格审查要求》的，资格审查不合格，其</w:t>
      </w:r>
      <w:r>
        <w:rPr>
          <w:rFonts w:hint="eastAsia" w:ascii="宋体" w:hAnsi="宋体" w:eastAsia="宋体" w:cs="宋体"/>
          <w:b/>
          <w:sz w:val="24"/>
        </w:rPr>
        <w:t>投标无效</w:t>
      </w:r>
      <w:r>
        <w:rPr>
          <w:rFonts w:hint="eastAsia" w:ascii="宋体" w:hAnsi="宋体" w:eastAsia="宋体" w:cs="宋体"/>
          <w:sz w:val="24"/>
        </w:rPr>
        <w:t>。</w:t>
      </w:r>
    </w:p>
    <w:p w14:paraId="5C58CE8D">
      <w:pPr>
        <w:numPr>
          <w:ilvl w:val="0"/>
          <w:numId w:val="12"/>
        </w:numPr>
        <w:tabs>
          <w:tab w:val="left" w:pos="426"/>
          <w:tab w:val="left" w:pos="851"/>
          <w:tab w:val="clear" w:pos="900"/>
        </w:tabs>
        <w:snapToGrid w:val="0"/>
        <w:spacing w:line="360" w:lineRule="auto"/>
        <w:ind w:left="426" w:hanging="426"/>
        <w:rPr>
          <w:rFonts w:hint="eastAsia" w:ascii="宋体" w:hAnsi="宋体" w:eastAsia="宋体" w:cs="宋体"/>
          <w:sz w:val="24"/>
        </w:rPr>
      </w:pPr>
      <w:r>
        <w:rPr>
          <w:rFonts w:hint="eastAsia" w:ascii="宋体" w:hAnsi="宋体" w:eastAsia="宋体" w:cs="宋体"/>
          <w:sz w:val="24"/>
        </w:rPr>
        <w:t>资格审查合格的投标人不足3家的，不进行评标。</w:t>
      </w:r>
    </w:p>
    <w:p w14:paraId="66A6E11D">
      <w:pPr>
        <w:widowControl/>
        <w:jc w:val="left"/>
        <w:rPr>
          <w:rFonts w:hint="eastAsia" w:ascii="宋体" w:hAnsi="宋体" w:eastAsia="宋体" w:cs="宋体"/>
          <w:sz w:val="24"/>
        </w:rPr>
      </w:pPr>
    </w:p>
    <w:p w14:paraId="6FC5EBD4">
      <w:pPr>
        <w:tabs>
          <w:tab w:val="left" w:pos="360"/>
          <w:tab w:val="left" w:pos="900"/>
        </w:tabs>
        <w:snapToGrid w:val="0"/>
        <w:spacing w:line="360" w:lineRule="auto"/>
        <w:jc w:val="center"/>
        <w:outlineLvl w:val="1"/>
        <w:rPr>
          <w:rFonts w:hint="eastAsia" w:ascii="宋体" w:hAnsi="宋体" w:eastAsia="宋体" w:cs="宋体"/>
          <w:b/>
          <w:sz w:val="24"/>
        </w:rPr>
      </w:pPr>
      <w:r>
        <w:rPr>
          <w:rFonts w:hint="eastAsia" w:ascii="宋体" w:hAnsi="宋体" w:eastAsia="宋体" w:cs="宋体"/>
          <w:b/>
          <w:sz w:val="24"/>
        </w:rPr>
        <w:t>二、资格审查要求</w:t>
      </w:r>
    </w:p>
    <w:tbl>
      <w:tblPr>
        <w:tblStyle w:val="46"/>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14:paraId="34AC2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5" w:type="dxa"/>
            <w:vAlign w:val="center"/>
          </w:tcPr>
          <w:p w14:paraId="0FB5F613">
            <w:pPr>
              <w:tabs>
                <w:tab w:val="left" w:pos="1080"/>
              </w:tabs>
              <w:snapToGrid w:val="0"/>
              <w:jc w:val="center"/>
              <w:rPr>
                <w:rFonts w:hint="eastAsia" w:ascii="宋体" w:hAnsi="宋体" w:eastAsia="宋体" w:cs="宋体"/>
                <w:b/>
                <w:sz w:val="24"/>
              </w:rPr>
            </w:pPr>
            <w:bookmarkStart w:id="724" w:name="_Hlt487972895"/>
            <w:bookmarkEnd w:id="724"/>
            <w:r>
              <w:rPr>
                <w:rFonts w:hint="eastAsia" w:ascii="宋体" w:hAnsi="宋体" w:eastAsia="宋体" w:cs="宋体"/>
                <w:b/>
                <w:sz w:val="24"/>
              </w:rPr>
              <w:t>序号</w:t>
            </w:r>
          </w:p>
        </w:tc>
        <w:tc>
          <w:tcPr>
            <w:tcW w:w="1982" w:type="dxa"/>
            <w:vAlign w:val="center"/>
          </w:tcPr>
          <w:p w14:paraId="73E7262C">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审查因素</w:t>
            </w:r>
          </w:p>
        </w:tc>
        <w:tc>
          <w:tcPr>
            <w:tcW w:w="4822" w:type="dxa"/>
            <w:vAlign w:val="center"/>
          </w:tcPr>
          <w:p w14:paraId="44261291">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审查内容</w:t>
            </w:r>
          </w:p>
        </w:tc>
        <w:tc>
          <w:tcPr>
            <w:tcW w:w="1639" w:type="dxa"/>
            <w:vAlign w:val="center"/>
          </w:tcPr>
          <w:p w14:paraId="1511449C">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格式要求</w:t>
            </w:r>
          </w:p>
        </w:tc>
      </w:tr>
      <w:tr w14:paraId="356C6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2" w:hRule="atLeast"/>
        </w:trPr>
        <w:tc>
          <w:tcPr>
            <w:tcW w:w="845" w:type="dxa"/>
            <w:vAlign w:val="center"/>
          </w:tcPr>
          <w:p w14:paraId="06F1C425">
            <w:pPr>
              <w:tabs>
                <w:tab w:val="left" w:pos="1080"/>
              </w:tabs>
              <w:snapToGrid w:val="0"/>
              <w:jc w:val="center"/>
              <w:rPr>
                <w:rFonts w:hint="eastAsia" w:ascii="宋体" w:hAnsi="宋体" w:eastAsia="宋体" w:cs="宋体"/>
                <w:sz w:val="24"/>
              </w:rPr>
            </w:pPr>
            <w:r>
              <w:rPr>
                <w:rFonts w:hint="eastAsia" w:ascii="宋体" w:hAnsi="宋体" w:cs="宋体"/>
                <w:sz w:val="24"/>
              </w:rPr>
              <w:t>1</w:t>
            </w:r>
          </w:p>
        </w:tc>
        <w:tc>
          <w:tcPr>
            <w:tcW w:w="1982" w:type="dxa"/>
            <w:vAlign w:val="center"/>
          </w:tcPr>
          <w:p w14:paraId="6043D6D8">
            <w:pPr>
              <w:tabs>
                <w:tab w:val="left" w:pos="1080"/>
              </w:tabs>
              <w:snapToGrid w:val="0"/>
              <w:rPr>
                <w:rFonts w:hint="eastAsia" w:ascii="宋体" w:hAnsi="宋体" w:eastAsia="宋体" w:cs="宋体"/>
                <w:sz w:val="24"/>
              </w:rPr>
            </w:pPr>
            <w:r>
              <w:rPr>
                <w:rFonts w:hint="eastAsia" w:ascii="宋体" w:hAnsi="宋体" w:cs="宋体"/>
                <w:sz w:val="24"/>
              </w:rPr>
              <w:t>企业营业执照</w:t>
            </w:r>
          </w:p>
        </w:tc>
        <w:tc>
          <w:tcPr>
            <w:tcW w:w="4822" w:type="dxa"/>
            <w:vAlign w:val="center"/>
          </w:tcPr>
          <w:p w14:paraId="5C3DBCFC">
            <w:pPr>
              <w:tabs>
                <w:tab w:val="left" w:pos="1080"/>
              </w:tabs>
              <w:snapToGrid w:val="0"/>
              <w:rPr>
                <w:rFonts w:hint="eastAsia" w:ascii="宋体" w:hAnsi="宋体" w:eastAsia="宋体" w:cs="宋体"/>
                <w:sz w:val="24"/>
              </w:rPr>
            </w:pPr>
            <w:r>
              <w:rPr>
                <w:rFonts w:hint="eastAsia" w:ascii="宋体" w:hAnsi="宋体" w:cs="宋体"/>
                <w:sz w:val="24"/>
              </w:rPr>
              <w:t>具备有效的企业法人营业执照</w:t>
            </w:r>
          </w:p>
        </w:tc>
        <w:tc>
          <w:tcPr>
            <w:tcW w:w="1639" w:type="dxa"/>
            <w:vAlign w:val="center"/>
          </w:tcPr>
          <w:p w14:paraId="260F2146">
            <w:pPr>
              <w:tabs>
                <w:tab w:val="left" w:pos="1080"/>
              </w:tabs>
              <w:snapToGrid w:val="0"/>
              <w:rPr>
                <w:rFonts w:hint="eastAsia" w:ascii="宋体" w:hAnsi="宋体" w:eastAsia="宋体" w:cs="宋体"/>
                <w:sz w:val="24"/>
              </w:rPr>
            </w:pPr>
            <w:r>
              <w:rPr>
                <w:rFonts w:hint="eastAsia" w:ascii="宋体" w:hAnsi="宋体" w:cs="宋体"/>
                <w:sz w:val="24"/>
              </w:rPr>
              <w:t>复印件加盖公章</w:t>
            </w:r>
          </w:p>
        </w:tc>
      </w:tr>
      <w:tr w14:paraId="736CB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8" w:hRule="atLeast"/>
        </w:trPr>
        <w:tc>
          <w:tcPr>
            <w:tcW w:w="845" w:type="dxa"/>
            <w:vAlign w:val="center"/>
          </w:tcPr>
          <w:p w14:paraId="406D0FC0">
            <w:pPr>
              <w:tabs>
                <w:tab w:val="left" w:pos="1080"/>
              </w:tabs>
              <w:snapToGrid w:val="0"/>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1982" w:type="dxa"/>
            <w:vAlign w:val="center"/>
          </w:tcPr>
          <w:p w14:paraId="5C9DE658">
            <w:pPr>
              <w:tabs>
                <w:tab w:val="left" w:pos="1080"/>
              </w:tabs>
              <w:snapToGrid w:val="0"/>
              <w:rPr>
                <w:rFonts w:hint="eastAsia" w:ascii="宋体" w:hAnsi="宋体" w:eastAsia="宋体" w:cs="宋体"/>
                <w:sz w:val="24"/>
              </w:rPr>
            </w:pPr>
            <w:r>
              <w:rPr>
                <w:rFonts w:hint="eastAsia" w:ascii="宋体" w:hAnsi="宋体" w:cs="宋体"/>
                <w:sz w:val="24"/>
              </w:rPr>
              <w:t>投标人资格声明书</w:t>
            </w:r>
          </w:p>
        </w:tc>
        <w:tc>
          <w:tcPr>
            <w:tcW w:w="4822" w:type="dxa"/>
            <w:vAlign w:val="center"/>
          </w:tcPr>
          <w:p w14:paraId="5C147BFD">
            <w:pPr>
              <w:tabs>
                <w:tab w:val="left" w:pos="1080"/>
              </w:tabs>
              <w:snapToGrid w:val="0"/>
              <w:rPr>
                <w:rFonts w:hint="eastAsia" w:ascii="宋体" w:hAnsi="宋体" w:eastAsia="宋体" w:cs="宋体"/>
                <w:sz w:val="24"/>
              </w:rPr>
            </w:pPr>
            <w:r>
              <w:rPr>
                <w:rFonts w:hint="eastAsia" w:ascii="宋体" w:hAnsi="宋体" w:cs="宋体"/>
                <w:sz w:val="24"/>
              </w:rPr>
              <w:t>提供了符合招标文件要求的《投标人资格声明书》</w:t>
            </w:r>
          </w:p>
        </w:tc>
        <w:tc>
          <w:tcPr>
            <w:tcW w:w="1639" w:type="dxa"/>
            <w:vAlign w:val="center"/>
          </w:tcPr>
          <w:p w14:paraId="01C49B79">
            <w:pPr>
              <w:tabs>
                <w:tab w:val="left" w:pos="1080"/>
              </w:tabs>
              <w:snapToGrid w:val="0"/>
              <w:rPr>
                <w:rFonts w:hint="eastAsia" w:ascii="宋体" w:hAnsi="宋体" w:eastAsia="宋体" w:cs="宋体"/>
                <w:sz w:val="24"/>
              </w:rPr>
            </w:pPr>
            <w:r>
              <w:rPr>
                <w:rFonts w:hint="eastAsia" w:ascii="宋体" w:hAnsi="宋体" w:cs="宋体"/>
                <w:sz w:val="24"/>
              </w:rPr>
              <w:t>格式见《投标文件格式》</w:t>
            </w:r>
          </w:p>
        </w:tc>
      </w:tr>
      <w:tr w14:paraId="17458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5" w:hRule="atLeast"/>
        </w:trPr>
        <w:tc>
          <w:tcPr>
            <w:tcW w:w="845" w:type="dxa"/>
            <w:shd w:val="clear" w:color="auto" w:fill="auto"/>
            <w:vAlign w:val="center"/>
          </w:tcPr>
          <w:p w14:paraId="236EFF11">
            <w:pPr>
              <w:tabs>
                <w:tab w:val="left" w:pos="1080"/>
              </w:tabs>
              <w:snapToGrid w:val="0"/>
              <w:jc w:val="center"/>
              <w:rPr>
                <w:rFonts w:hint="default" w:ascii="宋体" w:hAnsi="宋体" w:eastAsia="宋体" w:cs="宋体"/>
                <w:kern w:val="2"/>
                <w:sz w:val="24"/>
                <w:szCs w:val="24"/>
                <w:lang w:val="en-US" w:eastAsia="zh-CN" w:bidi="ar-SA"/>
              </w:rPr>
            </w:pPr>
            <w:bookmarkStart w:id="725" w:name="_Hlt522424701"/>
            <w:bookmarkStart w:id="726" w:name="_Hlt487900425"/>
            <w:bookmarkStart w:id="727" w:name="_Toc127161490"/>
            <w:bookmarkStart w:id="728" w:name="_Toc353873940"/>
            <w:bookmarkStart w:id="729" w:name="_Toc353825550"/>
            <w:bookmarkStart w:id="730" w:name="_Toc226965858"/>
            <w:bookmarkStart w:id="731" w:name="_Toc127151779"/>
            <w:r>
              <w:rPr>
                <w:rFonts w:hint="eastAsia" w:ascii="宋体" w:hAnsi="宋体" w:cs="宋体"/>
                <w:sz w:val="24"/>
                <w:lang w:val="en-US" w:eastAsia="zh-CN"/>
              </w:rPr>
              <w:t>3</w:t>
            </w:r>
          </w:p>
        </w:tc>
        <w:tc>
          <w:tcPr>
            <w:tcW w:w="1982" w:type="dxa"/>
            <w:shd w:val="clear" w:color="auto" w:fill="auto"/>
            <w:vAlign w:val="center"/>
          </w:tcPr>
          <w:p w14:paraId="0AE745ED">
            <w:pPr>
              <w:tabs>
                <w:tab w:val="left" w:pos="1080"/>
              </w:tabs>
              <w:snapToGrid w:val="0"/>
              <w:rPr>
                <w:rFonts w:hint="eastAsia" w:ascii="宋体" w:hAnsi="宋体" w:eastAsia="宋体" w:cs="宋体"/>
                <w:kern w:val="2"/>
                <w:sz w:val="24"/>
                <w:szCs w:val="24"/>
                <w:lang w:val="en-US" w:eastAsia="zh-CN" w:bidi="ar-SA"/>
              </w:rPr>
            </w:pPr>
            <w:r>
              <w:rPr>
                <w:rFonts w:hint="eastAsia" w:ascii="宋体" w:hAnsi="宋体" w:eastAsia="宋体" w:cs="宋体"/>
                <w:sz w:val="24"/>
                <w:highlight w:val="none"/>
              </w:rPr>
              <w:t>中小企业声明函</w:t>
            </w:r>
          </w:p>
        </w:tc>
        <w:tc>
          <w:tcPr>
            <w:tcW w:w="4822" w:type="dxa"/>
            <w:shd w:val="clear" w:color="auto" w:fill="auto"/>
            <w:vAlign w:val="center"/>
          </w:tcPr>
          <w:p w14:paraId="55CF3C9C">
            <w:pPr>
              <w:tabs>
                <w:tab w:val="left" w:pos="1080"/>
              </w:tabs>
              <w:snapToGrid w:val="0"/>
              <w:rPr>
                <w:rFonts w:hint="eastAsia" w:ascii="宋体" w:hAnsi="宋体" w:eastAsia="宋体" w:cs="宋体"/>
                <w:kern w:val="2"/>
                <w:sz w:val="24"/>
                <w:szCs w:val="24"/>
                <w:lang w:val="en-US" w:eastAsia="zh-CN" w:bidi="ar-SA"/>
              </w:rPr>
            </w:pPr>
            <w:r>
              <w:rPr>
                <w:rFonts w:hint="eastAsia" w:ascii="宋体" w:hAnsi="宋体" w:eastAsia="宋体" w:cs="宋体"/>
                <w:sz w:val="24"/>
              </w:rPr>
              <w:t>提供了符合招标文件要求的《中小企业声明函》</w:t>
            </w:r>
          </w:p>
        </w:tc>
        <w:tc>
          <w:tcPr>
            <w:tcW w:w="1639" w:type="dxa"/>
            <w:shd w:val="clear" w:color="auto" w:fill="auto"/>
            <w:vAlign w:val="center"/>
          </w:tcPr>
          <w:p w14:paraId="2B6DFA8E">
            <w:pPr>
              <w:tabs>
                <w:tab w:val="left" w:pos="1080"/>
              </w:tabs>
              <w:snapToGrid w:val="0"/>
              <w:rPr>
                <w:rFonts w:hint="eastAsia" w:ascii="宋体" w:hAnsi="宋体" w:eastAsia="宋体" w:cs="宋体"/>
                <w:kern w:val="2"/>
                <w:sz w:val="24"/>
                <w:szCs w:val="24"/>
                <w:lang w:val="en-US" w:eastAsia="zh-CN" w:bidi="ar-SA"/>
              </w:rPr>
            </w:pPr>
            <w:r>
              <w:rPr>
                <w:rFonts w:hint="eastAsia" w:ascii="宋体" w:hAnsi="宋体" w:eastAsia="宋体" w:cs="宋体"/>
                <w:sz w:val="24"/>
              </w:rPr>
              <w:t>格式见《投标文件格式》</w:t>
            </w:r>
          </w:p>
        </w:tc>
      </w:tr>
      <w:tr w14:paraId="7A220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5" w:hRule="atLeast"/>
        </w:trPr>
        <w:tc>
          <w:tcPr>
            <w:tcW w:w="845" w:type="dxa"/>
            <w:vAlign w:val="center"/>
          </w:tcPr>
          <w:p w14:paraId="695A95E6">
            <w:pPr>
              <w:tabs>
                <w:tab w:val="left" w:pos="1080"/>
              </w:tabs>
              <w:snapToGrid w:val="0"/>
              <w:jc w:val="center"/>
              <w:rPr>
                <w:rFonts w:hint="default" w:ascii="宋体" w:hAnsi="宋体" w:eastAsia="宋体" w:cs="宋体"/>
                <w:sz w:val="24"/>
                <w:lang w:val="en-US" w:eastAsia="zh-CN"/>
              </w:rPr>
            </w:pPr>
            <w:r>
              <w:rPr>
                <w:rFonts w:hint="eastAsia" w:ascii="宋体" w:hAnsi="宋体" w:cs="宋体"/>
                <w:sz w:val="24"/>
                <w:lang w:val="en-US" w:eastAsia="zh-CN"/>
              </w:rPr>
              <w:t>4</w:t>
            </w:r>
          </w:p>
        </w:tc>
        <w:tc>
          <w:tcPr>
            <w:tcW w:w="1982" w:type="dxa"/>
            <w:vAlign w:val="center"/>
          </w:tcPr>
          <w:p w14:paraId="5D070F33">
            <w:pPr>
              <w:tabs>
                <w:tab w:val="left" w:pos="1080"/>
              </w:tabs>
              <w:snapToGrid w:val="0"/>
              <w:rPr>
                <w:rFonts w:hint="eastAsia" w:ascii="宋体" w:hAnsi="宋体" w:eastAsia="宋体" w:cs="宋体"/>
                <w:sz w:val="24"/>
              </w:rPr>
            </w:pPr>
            <w:r>
              <w:rPr>
                <w:rFonts w:hint="eastAsia" w:ascii="宋体" w:hAnsi="宋体" w:cs="宋体"/>
                <w:sz w:val="24"/>
              </w:rPr>
              <w:t>投标人信用记录</w:t>
            </w:r>
          </w:p>
        </w:tc>
        <w:tc>
          <w:tcPr>
            <w:tcW w:w="4822" w:type="dxa"/>
            <w:vAlign w:val="center"/>
          </w:tcPr>
          <w:p w14:paraId="18A7A722">
            <w:pPr>
              <w:tabs>
                <w:tab w:val="left" w:pos="1080"/>
              </w:tabs>
              <w:snapToGrid w:val="0"/>
              <w:rPr>
                <w:rFonts w:hint="eastAsia" w:ascii="宋体" w:hAnsi="宋体" w:eastAsia="宋体" w:cs="宋体"/>
                <w:kern w:val="0"/>
                <w:sz w:val="24"/>
              </w:rPr>
            </w:pPr>
            <w:r>
              <w:rPr>
                <w:rFonts w:hint="eastAsia" w:ascii="宋体" w:hAnsi="宋体" w:cs="宋体"/>
                <w:sz w:val="24"/>
              </w:rPr>
              <w:t>供应商必须为未被列入信用中国网站(www.creditchina.gov.cn) 重大税收违法失信主体、中国执行信息公开网（http://zxgk.court.gov.cn/shixin/）失信被执行人、中国政府采购网(www.ccgp.gov.cn)政府采购严重违法失信行为信息记录</w:t>
            </w:r>
          </w:p>
        </w:tc>
        <w:tc>
          <w:tcPr>
            <w:tcW w:w="1639" w:type="dxa"/>
            <w:vAlign w:val="center"/>
          </w:tcPr>
          <w:p w14:paraId="10D921B7">
            <w:pPr>
              <w:tabs>
                <w:tab w:val="left" w:pos="1080"/>
              </w:tabs>
              <w:snapToGrid w:val="0"/>
              <w:rPr>
                <w:rFonts w:hint="eastAsia" w:ascii="宋体" w:hAnsi="宋体" w:eastAsia="宋体" w:cs="宋体"/>
                <w:sz w:val="24"/>
              </w:rPr>
            </w:pPr>
            <w:r>
              <w:rPr>
                <w:rFonts w:hint="eastAsia" w:ascii="宋体" w:hAnsi="宋体" w:cs="宋体"/>
                <w:sz w:val="24"/>
              </w:rPr>
              <w:t>无须投标人提供，由采购人或采购代理机构查询</w:t>
            </w:r>
          </w:p>
        </w:tc>
      </w:tr>
      <w:tr w14:paraId="722A7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5" w:hRule="atLeast"/>
        </w:trPr>
        <w:tc>
          <w:tcPr>
            <w:tcW w:w="845" w:type="dxa"/>
            <w:vAlign w:val="center"/>
          </w:tcPr>
          <w:p w14:paraId="5F9DDE3E">
            <w:pPr>
              <w:tabs>
                <w:tab w:val="left" w:pos="1080"/>
              </w:tabs>
              <w:snapToGrid w:val="0"/>
              <w:jc w:val="center"/>
              <w:rPr>
                <w:rFonts w:hint="default" w:ascii="宋体" w:hAnsi="宋体" w:eastAsia="宋体" w:cs="宋体"/>
                <w:sz w:val="24"/>
                <w:lang w:val="en-US" w:eastAsia="zh-CN"/>
              </w:rPr>
            </w:pPr>
            <w:r>
              <w:rPr>
                <w:rFonts w:hint="eastAsia" w:ascii="宋体" w:hAnsi="宋体" w:cs="宋体"/>
                <w:sz w:val="24"/>
                <w:lang w:val="en-US" w:eastAsia="zh-CN"/>
              </w:rPr>
              <w:t>5</w:t>
            </w:r>
          </w:p>
        </w:tc>
        <w:tc>
          <w:tcPr>
            <w:tcW w:w="1982" w:type="dxa"/>
            <w:vAlign w:val="center"/>
          </w:tcPr>
          <w:p w14:paraId="07AA248E">
            <w:pPr>
              <w:tabs>
                <w:tab w:val="left" w:pos="1080"/>
              </w:tabs>
              <w:snapToGrid w:val="0"/>
              <w:rPr>
                <w:rFonts w:hint="eastAsia" w:ascii="宋体" w:hAnsi="宋体" w:eastAsia="宋体" w:cs="宋体"/>
                <w:sz w:val="24"/>
              </w:rPr>
            </w:pPr>
            <w:r>
              <w:rPr>
                <w:rFonts w:hint="eastAsia" w:ascii="宋体" w:hAnsi="宋体" w:cs="宋体"/>
                <w:sz w:val="24"/>
              </w:rPr>
              <w:t>投标保证金</w:t>
            </w:r>
          </w:p>
        </w:tc>
        <w:tc>
          <w:tcPr>
            <w:tcW w:w="4822" w:type="dxa"/>
            <w:vAlign w:val="center"/>
          </w:tcPr>
          <w:p w14:paraId="5C17CF1C">
            <w:pPr>
              <w:tabs>
                <w:tab w:val="left" w:pos="1080"/>
              </w:tabs>
              <w:snapToGrid w:val="0"/>
              <w:rPr>
                <w:rFonts w:hint="eastAsia" w:ascii="宋体" w:hAnsi="宋体" w:eastAsia="宋体" w:cs="宋体"/>
                <w:sz w:val="24"/>
              </w:rPr>
            </w:pPr>
            <w:r>
              <w:rPr>
                <w:rFonts w:hint="eastAsia" w:ascii="宋体" w:hAnsi="宋体" w:cs="宋体"/>
                <w:kern w:val="0"/>
                <w:sz w:val="24"/>
              </w:rPr>
              <w:t>按照招标文件的规定提交投标保证金</w:t>
            </w:r>
          </w:p>
        </w:tc>
        <w:tc>
          <w:tcPr>
            <w:tcW w:w="1639" w:type="dxa"/>
            <w:vAlign w:val="center"/>
          </w:tcPr>
          <w:p w14:paraId="12FBA738">
            <w:pPr>
              <w:tabs>
                <w:tab w:val="left" w:pos="1080"/>
              </w:tabs>
              <w:snapToGrid w:val="0"/>
              <w:rPr>
                <w:rFonts w:hint="eastAsia" w:ascii="宋体" w:hAnsi="宋体" w:eastAsia="宋体" w:cs="宋体"/>
                <w:sz w:val="24"/>
              </w:rPr>
            </w:pPr>
            <w:r>
              <w:rPr>
                <w:rFonts w:hint="eastAsia" w:ascii="宋体" w:hAnsi="宋体" w:cs="宋体"/>
                <w:sz w:val="24"/>
              </w:rPr>
              <w:t>凭证复印件加盖公章</w:t>
            </w:r>
          </w:p>
        </w:tc>
      </w:t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2"/>
      <w:bookmarkEnd w:id="725"/>
      <w:bookmarkEnd w:id="726"/>
    </w:tbl>
    <w:p w14:paraId="3BC09352">
      <w:pPr>
        <w:widowControl/>
        <w:jc w:val="left"/>
        <w:rPr>
          <w:rFonts w:hint="eastAsia" w:ascii="宋体" w:hAnsi="宋体" w:eastAsia="宋体" w:cs="宋体"/>
          <w:sz w:val="24"/>
        </w:rPr>
      </w:pPr>
      <w:r>
        <w:rPr>
          <w:rFonts w:hint="eastAsia" w:ascii="宋体" w:hAnsi="宋体" w:eastAsia="宋体" w:cs="宋体"/>
          <w:sz w:val="24"/>
        </w:rPr>
        <w:br w:type="page"/>
      </w:r>
    </w:p>
    <w:p w14:paraId="721417D8">
      <w:pPr>
        <w:spacing w:line="360" w:lineRule="auto"/>
        <w:jc w:val="center"/>
        <w:outlineLvl w:val="0"/>
        <w:rPr>
          <w:rFonts w:hint="eastAsia" w:ascii="宋体" w:hAnsi="宋体" w:eastAsia="宋体" w:cs="宋体"/>
          <w:b/>
          <w:sz w:val="36"/>
          <w:szCs w:val="36"/>
        </w:rPr>
      </w:pPr>
      <w:bookmarkStart w:id="732" w:name="_Toc99301423"/>
      <w:r>
        <w:rPr>
          <w:rFonts w:hint="eastAsia" w:ascii="宋体" w:hAnsi="宋体" w:eastAsia="宋体" w:cs="宋体"/>
          <w:b/>
          <w:sz w:val="36"/>
          <w:szCs w:val="36"/>
        </w:rPr>
        <w:t xml:space="preserve">第四章   </w:t>
      </w:r>
      <w:bookmarkEnd w:id="727"/>
      <w:bookmarkEnd w:id="728"/>
      <w:bookmarkEnd w:id="729"/>
      <w:bookmarkEnd w:id="730"/>
      <w:bookmarkEnd w:id="731"/>
      <w:bookmarkStart w:id="733" w:name="_Hlt164229061"/>
      <w:bookmarkEnd w:id="733"/>
      <w:r>
        <w:rPr>
          <w:rFonts w:hint="eastAsia" w:ascii="宋体" w:hAnsi="宋体" w:eastAsia="宋体" w:cs="宋体"/>
          <w:b/>
          <w:sz w:val="36"/>
          <w:szCs w:val="36"/>
        </w:rPr>
        <w:t>评标程序、评标方法和评标标准</w:t>
      </w:r>
      <w:bookmarkEnd w:id="732"/>
    </w:p>
    <w:p w14:paraId="2701869D">
      <w:pPr>
        <w:numPr>
          <w:ilvl w:val="0"/>
          <w:numId w:val="13"/>
        </w:numPr>
        <w:tabs>
          <w:tab w:val="left" w:pos="360"/>
        </w:tabs>
        <w:snapToGrid w:val="0"/>
        <w:spacing w:line="360" w:lineRule="auto"/>
        <w:outlineLvl w:val="2"/>
        <w:rPr>
          <w:rFonts w:hint="eastAsia" w:ascii="宋体" w:hAnsi="宋体" w:eastAsia="宋体" w:cs="宋体"/>
          <w:sz w:val="24"/>
        </w:rPr>
      </w:pPr>
      <w:bookmarkStart w:id="734" w:name="_Toc195842906"/>
      <w:bookmarkStart w:id="735" w:name="_Toc150509292"/>
      <w:bookmarkStart w:id="736" w:name="_Toc142311043"/>
      <w:bookmarkStart w:id="737" w:name="_Toc164608655"/>
      <w:bookmarkStart w:id="738" w:name="_Toc151193711"/>
      <w:bookmarkStart w:id="739" w:name="_Toc127161455"/>
      <w:bookmarkStart w:id="740" w:name="_Toc164229382"/>
      <w:bookmarkStart w:id="741" w:name="_Toc151190168"/>
      <w:bookmarkStart w:id="742" w:name="_Toc226965814"/>
      <w:bookmarkStart w:id="743" w:name="_Toc149720834"/>
      <w:bookmarkStart w:id="744" w:name="_Toc164351635"/>
      <w:bookmarkStart w:id="745" w:name="_Toc226309785"/>
      <w:bookmarkStart w:id="746" w:name="_Toc127151541"/>
      <w:bookmarkStart w:id="747" w:name="_Toc265228379"/>
      <w:bookmarkStart w:id="748" w:name="_Toc150774746"/>
      <w:bookmarkStart w:id="749" w:name="_Toc305158809"/>
      <w:bookmarkStart w:id="750" w:name="_Toc150774641"/>
      <w:bookmarkStart w:id="751" w:name="_Toc151193639"/>
      <w:bookmarkStart w:id="752" w:name="_Toc305158883"/>
      <w:bookmarkStart w:id="753" w:name="_Toc226965731"/>
      <w:bookmarkStart w:id="754" w:name="_Toc151193929"/>
      <w:bookmarkStart w:id="755" w:name="_Toc164608810"/>
      <w:bookmarkStart w:id="756" w:name="_Toc264969231"/>
      <w:bookmarkStart w:id="757" w:name="_Toc226337237"/>
      <w:bookmarkStart w:id="758" w:name="_Toc127151742"/>
      <w:bookmarkStart w:id="759" w:name="_Toc151193855"/>
      <w:bookmarkStart w:id="760" w:name="_Toc151193783"/>
      <w:bookmarkStart w:id="761" w:name="_Toc150480779"/>
      <w:bookmarkStart w:id="762" w:name="_Toc164229236"/>
      <w:bookmarkStart w:id="763" w:name="_Toc353825551"/>
      <w:bookmarkStart w:id="764" w:name="_Toc353873941"/>
      <w:bookmarkStart w:id="765" w:name="_Toc353873665"/>
      <w:bookmarkStart w:id="766" w:name="_Toc127151555"/>
      <w:bookmarkStart w:id="767" w:name="_Toc305158897"/>
      <w:bookmarkStart w:id="768" w:name="_Toc150480793"/>
      <w:bookmarkStart w:id="769" w:name="_Toc265228393"/>
      <w:bookmarkStart w:id="770" w:name="_Toc264969245"/>
      <w:bookmarkStart w:id="771" w:name="_Toc226337251"/>
      <w:bookmarkStart w:id="772" w:name="_Toc226965828"/>
      <w:bookmarkStart w:id="773" w:name="_Toc353825545"/>
      <w:bookmarkStart w:id="774" w:name="_Toc142311057"/>
      <w:bookmarkStart w:id="775" w:name="_Toc353873935"/>
      <w:bookmarkStart w:id="776" w:name="_Toc195842920"/>
      <w:bookmarkStart w:id="777" w:name="_Toc305158823"/>
      <w:bookmarkStart w:id="778" w:name="_Toc150774760"/>
      <w:r>
        <w:rPr>
          <w:rFonts w:hint="eastAsia" w:ascii="宋体" w:hAnsi="宋体" w:eastAsia="宋体" w:cs="宋体"/>
          <w:sz w:val="24"/>
        </w:rPr>
        <w:t>投标文件的符合性审查</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7E1C5EEF">
      <w:pPr>
        <w:numPr>
          <w:ilvl w:val="1"/>
          <w:numId w:val="13"/>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评标委员会对资格审查合格的投标人的投标文件进行符合性审查，以确定其是否满足招标文件的实质性要求。</w:t>
      </w:r>
      <w:bookmarkStart w:id="779" w:name="_Toc520356167"/>
    </w:p>
    <w:p w14:paraId="113C8BCC">
      <w:pPr>
        <w:numPr>
          <w:ilvl w:val="1"/>
          <w:numId w:val="13"/>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79"/>
      <w:r>
        <w:rPr>
          <w:rFonts w:hint="eastAsia" w:ascii="宋体" w:hAnsi="宋体" w:eastAsia="宋体" w:cs="宋体"/>
          <w:sz w:val="24"/>
        </w:rPr>
        <w:t>要求的，</w:t>
      </w:r>
      <w:r>
        <w:rPr>
          <w:rFonts w:hint="eastAsia" w:ascii="宋体" w:hAnsi="宋体" w:eastAsia="宋体" w:cs="宋体"/>
          <w:b/>
          <w:sz w:val="24"/>
        </w:rPr>
        <w:t>投标无效</w:t>
      </w:r>
      <w:r>
        <w:rPr>
          <w:rFonts w:hint="eastAsia" w:ascii="宋体" w:hAnsi="宋体" w:eastAsia="宋体" w:cs="宋体"/>
          <w:sz w:val="24"/>
        </w:rPr>
        <w:t>。</w:t>
      </w:r>
    </w:p>
    <w:p w14:paraId="47B26849">
      <w:pPr>
        <w:tabs>
          <w:tab w:val="left" w:pos="900"/>
          <w:tab w:val="left" w:pos="1080"/>
          <w:tab w:val="left" w:pos="1589"/>
        </w:tabs>
        <w:snapToGrid w:val="0"/>
        <w:spacing w:line="360" w:lineRule="auto"/>
        <w:ind w:leftChars="-170" w:hanging="357" w:hangingChars="148"/>
        <w:jc w:val="center"/>
        <w:rPr>
          <w:rFonts w:hint="eastAsia" w:ascii="宋体" w:hAnsi="宋体" w:eastAsia="宋体" w:cs="宋体"/>
          <w:b/>
          <w:sz w:val="24"/>
        </w:rPr>
      </w:pPr>
      <w:r>
        <w:rPr>
          <w:rFonts w:hint="eastAsia" w:ascii="宋体" w:hAnsi="宋体" w:eastAsia="宋体" w:cs="宋体"/>
          <w:b/>
          <w:sz w:val="24"/>
        </w:rPr>
        <w:t>符合性审查要求</w:t>
      </w:r>
    </w:p>
    <w:tbl>
      <w:tblPr>
        <w:tblStyle w:val="4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812"/>
        <w:gridCol w:w="6730"/>
      </w:tblGrid>
      <w:tr w14:paraId="2FED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6" w:type="dxa"/>
            <w:vAlign w:val="center"/>
          </w:tcPr>
          <w:p w14:paraId="2DA1FE21">
            <w:pPr>
              <w:widowControl/>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1812" w:type="dxa"/>
            <w:vAlign w:val="center"/>
          </w:tcPr>
          <w:p w14:paraId="07DF53C3">
            <w:pPr>
              <w:widowControl/>
              <w:jc w:val="center"/>
              <w:rPr>
                <w:rFonts w:hint="eastAsia" w:ascii="宋体" w:hAnsi="宋体" w:eastAsia="宋体" w:cs="宋体"/>
                <w:b/>
                <w:kern w:val="0"/>
                <w:sz w:val="24"/>
              </w:rPr>
            </w:pPr>
            <w:r>
              <w:rPr>
                <w:rFonts w:hint="eastAsia" w:ascii="宋体" w:hAnsi="宋体" w:eastAsia="宋体" w:cs="宋体"/>
                <w:b/>
                <w:kern w:val="0"/>
                <w:sz w:val="24"/>
              </w:rPr>
              <w:t>审查因素</w:t>
            </w:r>
          </w:p>
        </w:tc>
        <w:tc>
          <w:tcPr>
            <w:tcW w:w="6730" w:type="dxa"/>
            <w:vAlign w:val="center"/>
          </w:tcPr>
          <w:p w14:paraId="26B5D564">
            <w:pPr>
              <w:widowControl/>
              <w:jc w:val="center"/>
              <w:rPr>
                <w:rFonts w:hint="eastAsia" w:ascii="宋体" w:hAnsi="宋体" w:eastAsia="宋体" w:cs="宋体"/>
                <w:b/>
                <w:kern w:val="0"/>
                <w:sz w:val="24"/>
              </w:rPr>
            </w:pPr>
            <w:r>
              <w:rPr>
                <w:rFonts w:hint="eastAsia" w:ascii="宋体" w:hAnsi="宋体" w:eastAsia="宋体" w:cs="宋体"/>
                <w:b/>
                <w:kern w:val="0"/>
                <w:sz w:val="24"/>
              </w:rPr>
              <w:t>审查内容</w:t>
            </w:r>
          </w:p>
        </w:tc>
      </w:tr>
      <w:tr w14:paraId="7F45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6" w:type="dxa"/>
            <w:vAlign w:val="center"/>
          </w:tcPr>
          <w:p w14:paraId="1C245AD5">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812" w:type="dxa"/>
            <w:vAlign w:val="center"/>
          </w:tcPr>
          <w:p w14:paraId="62DF613A">
            <w:pPr>
              <w:widowControl/>
              <w:jc w:val="left"/>
              <w:rPr>
                <w:rFonts w:hint="eastAsia" w:ascii="宋体" w:hAnsi="宋体" w:eastAsia="宋体" w:cs="宋体"/>
                <w:kern w:val="0"/>
                <w:sz w:val="24"/>
              </w:rPr>
            </w:pPr>
            <w:r>
              <w:rPr>
                <w:rFonts w:hint="eastAsia" w:ascii="宋体" w:hAnsi="宋体" w:eastAsia="宋体" w:cs="宋体"/>
                <w:kern w:val="0"/>
                <w:sz w:val="24"/>
              </w:rPr>
              <w:t>授权委托书</w:t>
            </w:r>
          </w:p>
        </w:tc>
        <w:tc>
          <w:tcPr>
            <w:tcW w:w="6730" w:type="dxa"/>
            <w:vAlign w:val="center"/>
          </w:tcPr>
          <w:p w14:paraId="4242B28D">
            <w:pPr>
              <w:widowControl/>
              <w:jc w:val="left"/>
              <w:rPr>
                <w:rFonts w:hint="eastAsia" w:ascii="宋体" w:hAnsi="宋体" w:eastAsia="宋体" w:cs="宋体"/>
                <w:kern w:val="0"/>
                <w:sz w:val="24"/>
              </w:rPr>
            </w:pPr>
            <w:r>
              <w:rPr>
                <w:rFonts w:hint="eastAsia" w:ascii="宋体" w:hAnsi="宋体" w:eastAsia="宋体" w:cs="宋体"/>
                <w:kern w:val="0"/>
                <w:sz w:val="24"/>
              </w:rPr>
              <w:t>按招标文件要求提供授权委托书</w:t>
            </w:r>
          </w:p>
        </w:tc>
      </w:tr>
      <w:tr w14:paraId="0B0A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6" w:type="dxa"/>
            <w:vAlign w:val="center"/>
          </w:tcPr>
          <w:p w14:paraId="07C53E9D">
            <w:pPr>
              <w:widowControl/>
              <w:jc w:val="center"/>
              <w:rPr>
                <w:rFonts w:hint="eastAsia" w:ascii="宋体" w:hAnsi="宋体" w:eastAsia="宋体" w:cs="宋体"/>
                <w:kern w:val="0"/>
                <w:sz w:val="24"/>
              </w:rPr>
            </w:pPr>
            <w:r>
              <w:rPr>
                <w:rFonts w:hint="eastAsia" w:ascii="宋体" w:hAnsi="宋体" w:eastAsia="宋体" w:cs="宋体"/>
                <w:kern w:val="0"/>
                <w:sz w:val="24"/>
              </w:rPr>
              <w:t>2</w:t>
            </w:r>
          </w:p>
        </w:tc>
        <w:tc>
          <w:tcPr>
            <w:tcW w:w="1812" w:type="dxa"/>
            <w:vAlign w:val="center"/>
          </w:tcPr>
          <w:p w14:paraId="04D5F5AA">
            <w:pPr>
              <w:widowControl/>
              <w:jc w:val="left"/>
              <w:rPr>
                <w:rFonts w:hint="eastAsia" w:ascii="宋体" w:hAnsi="宋体" w:eastAsia="宋体" w:cs="宋体"/>
                <w:kern w:val="0"/>
                <w:sz w:val="24"/>
              </w:rPr>
            </w:pPr>
            <w:r>
              <w:rPr>
                <w:rFonts w:hint="eastAsia" w:ascii="宋体" w:hAnsi="宋体" w:eastAsia="宋体" w:cs="宋体"/>
                <w:kern w:val="0"/>
                <w:sz w:val="24"/>
              </w:rPr>
              <w:t>投标报价</w:t>
            </w:r>
          </w:p>
        </w:tc>
        <w:tc>
          <w:tcPr>
            <w:tcW w:w="6730" w:type="dxa"/>
            <w:vAlign w:val="center"/>
          </w:tcPr>
          <w:p w14:paraId="3FA87FFD">
            <w:pPr>
              <w:widowControl/>
              <w:jc w:val="left"/>
              <w:rPr>
                <w:rFonts w:hint="eastAsia" w:ascii="宋体" w:hAnsi="宋体" w:eastAsia="宋体" w:cs="宋体"/>
                <w:kern w:val="0"/>
                <w:sz w:val="24"/>
              </w:rPr>
            </w:pPr>
            <w:r>
              <w:rPr>
                <w:rFonts w:hint="eastAsia" w:ascii="宋体" w:hAnsi="宋体" w:eastAsia="宋体" w:cs="宋体"/>
                <w:kern w:val="0"/>
                <w:sz w:val="24"/>
              </w:rPr>
              <w:t>投标报价未超过招标文件中规定的项目/采购包预算金额或者项目/采购包最高限价</w:t>
            </w:r>
          </w:p>
        </w:tc>
      </w:tr>
      <w:tr w14:paraId="24D4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6" w:type="dxa"/>
            <w:vAlign w:val="center"/>
          </w:tcPr>
          <w:p w14:paraId="4477ED52">
            <w:pPr>
              <w:widowControl/>
              <w:jc w:val="center"/>
              <w:rPr>
                <w:rFonts w:hint="eastAsia" w:ascii="宋体" w:hAnsi="宋体" w:eastAsia="宋体" w:cs="宋体"/>
                <w:kern w:val="0"/>
                <w:sz w:val="24"/>
              </w:rPr>
            </w:pPr>
            <w:r>
              <w:rPr>
                <w:rFonts w:hint="eastAsia" w:ascii="宋体" w:hAnsi="宋体" w:eastAsia="宋体" w:cs="宋体"/>
                <w:kern w:val="0"/>
                <w:sz w:val="24"/>
              </w:rPr>
              <w:t>3</w:t>
            </w:r>
          </w:p>
        </w:tc>
        <w:tc>
          <w:tcPr>
            <w:tcW w:w="1812" w:type="dxa"/>
            <w:vAlign w:val="center"/>
          </w:tcPr>
          <w:p w14:paraId="4BB608E4">
            <w:pPr>
              <w:widowControl/>
              <w:jc w:val="left"/>
              <w:rPr>
                <w:rFonts w:hint="eastAsia" w:ascii="宋体" w:hAnsi="宋体" w:eastAsia="宋体" w:cs="宋体"/>
                <w:kern w:val="0"/>
                <w:sz w:val="24"/>
              </w:rPr>
            </w:pPr>
            <w:r>
              <w:rPr>
                <w:rFonts w:hint="eastAsia" w:ascii="宋体" w:hAnsi="宋体" w:eastAsia="宋体" w:cs="宋体"/>
                <w:kern w:val="0"/>
                <w:sz w:val="24"/>
              </w:rPr>
              <w:t>报价唯一性</w:t>
            </w:r>
          </w:p>
        </w:tc>
        <w:tc>
          <w:tcPr>
            <w:tcW w:w="6730" w:type="dxa"/>
            <w:vAlign w:val="center"/>
          </w:tcPr>
          <w:p w14:paraId="7F93A82B">
            <w:pPr>
              <w:widowControl/>
              <w:jc w:val="left"/>
              <w:rPr>
                <w:rFonts w:hint="eastAsia" w:ascii="宋体" w:hAnsi="宋体" w:eastAsia="宋体" w:cs="宋体"/>
                <w:kern w:val="0"/>
                <w:sz w:val="24"/>
              </w:rPr>
            </w:pPr>
            <w:r>
              <w:rPr>
                <w:rFonts w:hint="eastAsia" w:ascii="宋体" w:hAnsi="宋体" w:eastAsia="宋体" w:cs="宋体"/>
                <w:kern w:val="0"/>
                <w:sz w:val="24"/>
              </w:rPr>
              <w:t>投标文件未</w:t>
            </w:r>
            <w:r>
              <w:rPr>
                <w:rFonts w:hint="eastAsia" w:ascii="宋体" w:hAnsi="宋体" w:eastAsia="宋体" w:cs="宋体"/>
                <w:sz w:val="24"/>
              </w:rPr>
              <w:t>出现可选择性或可调整的报价（招标文件另有规定的除外）</w:t>
            </w:r>
          </w:p>
        </w:tc>
      </w:tr>
      <w:tr w14:paraId="046D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6" w:type="dxa"/>
            <w:vAlign w:val="center"/>
          </w:tcPr>
          <w:p w14:paraId="601AE5B9">
            <w:pPr>
              <w:widowControl/>
              <w:jc w:val="center"/>
              <w:rPr>
                <w:rFonts w:hint="eastAsia" w:ascii="宋体" w:hAnsi="宋体" w:eastAsia="宋体" w:cs="宋体"/>
                <w:kern w:val="0"/>
                <w:sz w:val="24"/>
              </w:rPr>
            </w:pPr>
            <w:r>
              <w:rPr>
                <w:rFonts w:hint="eastAsia" w:ascii="宋体" w:hAnsi="宋体" w:eastAsia="宋体" w:cs="宋体"/>
                <w:kern w:val="0"/>
                <w:sz w:val="24"/>
              </w:rPr>
              <w:t>4</w:t>
            </w:r>
          </w:p>
        </w:tc>
        <w:tc>
          <w:tcPr>
            <w:tcW w:w="1812" w:type="dxa"/>
            <w:vAlign w:val="center"/>
          </w:tcPr>
          <w:p w14:paraId="780DA218">
            <w:pPr>
              <w:widowControl/>
              <w:jc w:val="left"/>
              <w:rPr>
                <w:rFonts w:hint="eastAsia" w:ascii="宋体" w:hAnsi="宋体" w:eastAsia="宋体" w:cs="宋体"/>
                <w:kern w:val="0"/>
                <w:sz w:val="24"/>
              </w:rPr>
            </w:pPr>
            <w:r>
              <w:rPr>
                <w:rFonts w:hint="eastAsia" w:ascii="宋体" w:hAnsi="宋体" w:eastAsia="宋体" w:cs="宋体"/>
                <w:kern w:val="0"/>
                <w:sz w:val="24"/>
              </w:rPr>
              <w:t>投标有效期</w:t>
            </w:r>
          </w:p>
        </w:tc>
        <w:tc>
          <w:tcPr>
            <w:tcW w:w="6730" w:type="dxa"/>
            <w:vAlign w:val="center"/>
          </w:tcPr>
          <w:p w14:paraId="42E3706D">
            <w:pPr>
              <w:widowControl/>
              <w:jc w:val="left"/>
              <w:rPr>
                <w:rFonts w:hint="eastAsia" w:ascii="宋体" w:hAnsi="宋体" w:eastAsia="宋体" w:cs="宋体"/>
                <w:kern w:val="0"/>
                <w:sz w:val="24"/>
              </w:rPr>
            </w:pPr>
            <w:r>
              <w:rPr>
                <w:rFonts w:hint="eastAsia" w:ascii="宋体" w:hAnsi="宋体" w:eastAsia="宋体" w:cs="宋体"/>
                <w:kern w:val="0"/>
                <w:sz w:val="24"/>
              </w:rPr>
              <w:t>投标文件中承诺的投标有效期满足招标文件中载明的投标有效期的</w:t>
            </w:r>
          </w:p>
        </w:tc>
      </w:tr>
      <w:tr w14:paraId="472C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6" w:type="dxa"/>
            <w:vAlign w:val="center"/>
          </w:tcPr>
          <w:p w14:paraId="53AB45D3">
            <w:pPr>
              <w:widowControl/>
              <w:jc w:val="center"/>
              <w:rPr>
                <w:rFonts w:hint="eastAsia" w:ascii="宋体" w:hAnsi="宋体" w:eastAsia="宋体" w:cs="宋体"/>
                <w:kern w:val="0"/>
                <w:sz w:val="24"/>
              </w:rPr>
            </w:pPr>
            <w:r>
              <w:rPr>
                <w:rFonts w:hint="eastAsia" w:ascii="宋体" w:hAnsi="宋体" w:eastAsia="宋体" w:cs="宋体"/>
                <w:kern w:val="0"/>
                <w:sz w:val="24"/>
              </w:rPr>
              <w:t>5</w:t>
            </w:r>
          </w:p>
        </w:tc>
        <w:tc>
          <w:tcPr>
            <w:tcW w:w="1812" w:type="dxa"/>
            <w:vAlign w:val="center"/>
          </w:tcPr>
          <w:p w14:paraId="31BB359C">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实质性格式</w:t>
            </w:r>
          </w:p>
        </w:tc>
        <w:tc>
          <w:tcPr>
            <w:tcW w:w="6730" w:type="dxa"/>
            <w:vAlign w:val="center"/>
          </w:tcPr>
          <w:p w14:paraId="57774C2D">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标记为“实质性格式”的文件均按招标文件要求提供且签署、盖章的</w:t>
            </w:r>
          </w:p>
        </w:tc>
      </w:tr>
      <w:tr w14:paraId="584C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6" w:type="dxa"/>
            <w:vAlign w:val="center"/>
          </w:tcPr>
          <w:p w14:paraId="6AD91E6C">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6</w:t>
            </w:r>
          </w:p>
        </w:tc>
        <w:tc>
          <w:tcPr>
            <w:tcW w:w="1812" w:type="dxa"/>
            <w:vAlign w:val="center"/>
          </w:tcPr>
          <w:p w14:paraId="5F95ECE9">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报价合理性</w:t>
            </w:r>
          </w:p>
        </w:tc>
        <w:tc>
          <w:tcPr>
            <w:tcW w:w="6730" w:type="dxa"/>
            <w:vAlign w:val="center"/>
          </w:tcPr>
          <w:p w14:paraId="5F251123">
            <w:pPr>
              <w:widowControl/>
              <w:jc w:val="left"/>
              <w:rPr>
                <w:rFonts w:hint="default" w:ascii="宋体" w:hAnsi="宋体" w:cs="宋体"/>
                <w:kern w:val="0"/>
                <w:sz w:val="24"/>
                <w:lang w:val="en-US" w:eastAsia="zh-CN"/>
              </w:rPr>
            </w:pPr>
            <w:r>
              <w:rPr>
                <w:rFonts w:hint="eastAsia" w:ascii="宋体" w:hAnsi="宋体" w:cs="宋体"/>
                <w:kern w:val="0"/>
                <w:sz w:val="24"/>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4DF2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6" w:type="dxa"/>
            <w:vAlign w:val="center"/>
          </w:tcPr>
          <w:p w14:paraId="6E2A8BCC">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1812" w:type="dxa"/>
            <w:vAlign w:val="center"/>
          </w:tcPr>
          <w:p w14:paraId="498B09A7">
            <w:pPr>
              <w:widowControl/>
              <w:jc w:val="left"/>
              <w:rPr>
                <w:rFonts w:hint="eastAsia" w:ascii="宋体" w:hAnsi="宋体" w:eastAsia="宋体" w:cs="宋体"/>
                <w:kern w:val="0"/>
                <w:sz w:val="24"/>
              </w:rPr>
            </w:pPr>
            <w:r>
              <w:rPr>
                <w:rFonts w:hint="eastAsia" w:ascii="宋体" w:hAnsi="宋体" w:eastAsia="宋体" w:cs="宋体"/>
                <w:kern w:val="0"/>
                <w:sz w:val="24"/>
              </w:rPr>
              <w:t>附加条件</w:t>
            </w:r>
          </w:p>
        </w:tc>
        <w:tc>
          <w:tcPr>
            <w:tcW w:w="6730" w:type="dxa"/>
            <w:vAlign w:val="center"/>
          </w:tcPr>
          <w:p w14:paraId="3DAB5B47">
            <w:pPr>
              <w:widowControl/>
              <w:jc w:val="left"/>
              <w:rPr>
                <w:rFonts w:hint="eastAsia" w:ascii="宋体" w:hAnsi="宋体" w:eastAsia="宋体" w:cs="宋体"/>
                <w:kern w:val="0"/>
                <w:sz w:val="24"/>
              </w:rPr>
            </w:pPr>
            <w:r>
              <w:rPr>
                <w:rFonts w:hint="eastAsia" w:ascii="宋体" w:hAnsi="宋体" w:eastAsia="宋体" w:cs="宋体"/>
                <w:kern w:val="0"/>
                <w:sz w:val="24"/>
              </w:rPr>
              <w:t>投标文件未含有采购人不能接受的附加条件的</w:t>
            </w:r>
          </w:p>
        </w:tc>
      </w:tr>
      <w:tr w14:paraId="1A3D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6" w:type="dxa"/>
            <w:vAlign w:val="center"/>
          </w:tcPr>
          <w:p w14:paraId="5E218EB0">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8</w:t>
            </w:r>
          </w:p>
        </w:tc>
        <w:tc>
          <w:tcPr>
            <w:tcW w:w="1812" w:type="dxa"/>
            <w:vAlign w:val="center"/>
          </w:tcPr>
          <w:p w14:paraId="42DDE048">
            <w:pPr>
              <w:widowControl/>
              <w:jc w:val="left"/>
              <w:rPr>
                <w:rFonts w:hint="eastAsia" w:ascii="宋体" w:hAnsi="宋体" w:eastAsia="宋体" w:cs="宋体"/>
                <w:kern w:val="0"/>
                <w:sz w:val="24"/>
              </w:rPr>
            </w:pPr>
            <w:r>
              <w:rPr>
                <w:rFonts w:hint="eastAsia" w:ascii="宋体" w:hAnsi="宋体" w:eastAsia="宋体" w:cs="宋体"/>
                <w:kern w:val="0"/>
                <w:sz w:val="24"/>
              </w:rPr>
              <w:t>其他无效情形</w:t>
            </w:r>
          </w:p>
        </w:tc>
        <w:tc>
          <w:tcPr>
            <w:tcW w:w="6730" w:type="dxa"/>
            <w:vAlign w:val="center"/>
          </w:tcPr>
          <w:p w14:paraId="75DBA034">
            <w:pPr>
              <w:widowControl/>
              <w:jc w:val="left"/>
              <w:rPr>
                <w:rFonts w:hint="eastAsia" w:ascii="宋体" w:hAnsi="宋体" w:eastAsia="宋体" w:cs="宋体"/>
                <w:kern w:val="0"/>
                <w:sz w:val="24"/>
              </w:rPr>
            </w:pPr>
            <w:r>
              <w:rPr>
                <w:rFonts w:hint="eastAsia" w:ascii="宋体" w:hAnsi="宋体" w:eastAsia="宋体" w:cs="宋体"/>
                <w:sz w:val="24"/>
              </w:rPr>
              <w:t>投标人、投标文件不存在不符合法律、法规和招标文件规定的其他无效情形</w:t>
            </w:r>
          </w:p>
        </w:tc>
      </w:tr>
    </w:tbl>
    <w:p w14:paraId="4EA98346">
      <w:pPr>
        <w:pStyle w:val="45"/>
        <w:ind w:left="0" w:leftChars="0" w:firstLine="0" w:firstLineChars="0"/>
        <w:rPr>
          <w:rFonts w:hint="eastAsia"/>
        </w:rPr>
      </w:pPr>
    </w:p>
    <w:p w14:paraId="628FA0D5">
      <w:pPr>
        <w:widowControl w:val="0"/>
        <w:numPr>
          <w:ilvl w:val="0"/>
          <w:numId w:val="0"/>
        </w:numPr>
        <w:tabs>
          <w:tab w:val="left" w:pos="1080"/>
          <w:tab w:val="left" w:pos="1589"/>
        </w:tabs>
        <w:snapToGrid w:val="0"/>
        <w:spacing w:line="360" w:lineRule="auto"/>
        <w:jc w:val="both"/>
        <w:rPr>
          <w:rFonts w:hint="eastAsia" w:ascii="宋体" w:hAnsi="宋体" w:eastAsia="宋体" w:cs="宋体"/>
          <w:sz w:val="24"/>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31E03BA0">
      <w:pPr>
        <w:numPr>
          <w:ilvl w:val="0"/>
          <w:numId w:val="13"/>
        </w:numPr>
        <w:tabs>
          <w:tab w:val="left" w:pos="360"/>
        </w:tabs>
        <w:snapToGrid w:val="0"/>
        <w:spacing w:line="360" w:lineRule="auto"/>
        <w:outlineLvl w:val="2"/>
        <w:rPr>
          <w:rFonts w:hint="eastAsia" w:ascii="宋体" w:hAnsi="宋体" w:eastAsia="宋体" w:cs="宋体"/>
          <w:sz w:val="24"/>
        </w:rPr>
      </w:pPr>
      <w:r>
        <w:rPr>
          <w:rFonts w:hint="eastAsia" w:ascii="宋体" w:hAnsi="宋体" w:eastAsia="宋体" w:cs="宋体"/>
          <w:sz w:val="24"/>
        </w:rPr>
        <w:t>投标文件有关事项的澄清或者说明</w:t>
      </w:r>
    </w:p>
    <w:p w14:paraId="54423717">
      <w:pPr>
        <w:numPr>
          <w:ilvl w:val="1"/>
          <w:numId w:val="13"/>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 可为单位负责人）或其授权的代表签字。投标人的澄清、说明或者补正不得超出投标文件的范围或者改变投标文件的实质性内容。澄清文件将作为投标文件内容的一部分。</w:t>
      </w:r>
    </w:p>
    <w:p w14:paraId="63CEA4C6">
      <w:pPr>
        <w:numPr>
          <w:ilvl w:val="1"/>
          <w:numId w:val="13"/>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eastAsia="宋体" w:cs="宋体"/>
          <w:b/>
          <w:sz w:val="24"/>
        </w:rPr>
        <w:t>无效投标处理</w:t>
      </w:r>
      <w:r>
        <w:rPr>
          <w:rFonts w:hint="eastAsia" w:ascii="宋体" w:hAnsi="宋体" w:eastAsia="宋体" w:cs="宋体"/>
          <w:sz w:val="24"/>
        </w:rPr>
        <w:t>。</w:t>
      </w:r>
    </w:p>
    <w:p w14:paraId="2B9BDDE5">
      <w:pPr>
        <w:numPr>
          <w:ilvl w:val="1"/>
          <w:numId w:val="13"/>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eastAsia="宋体" w:cs="宋体"/>
          <w:b/>
          <w:sz w:val="24"/>
        </w:rPr>
        <w:t>投标无效</w:t>
      </w:r>
      <w:r>
        <w:rPr>
          <w:rFonts w:hint="eastAsia" w:ascii="宋体" w:hAnsi="宋体" w:eastAsia="宋体" w:cs="宋体"/>
          <w:sz w:val="24"/>
        </w:rPr>
        <w:t>。</w:t>
      </w:r>
    </w:p>
    <w:p w14:paraId="5A50B690">
      <w:pPr>
        <w:numPr>
          <w:ilvl w:val="1"/>
          <w:numId w:val="13"/>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投标文件报价出现前后不一致的，按照下列规定修正：</w:t>
      </w:r>
    </w:p>
    <w:p w14:paraId="7370E7CF">
      <w:pPr>
        <w:numPr>
          <w:ilvl w:val="2"/>
          <w:numId w:val="13"/>
        </w:numPr>
        <w:tabs>
          <w:tab w:val="left" w:pos="1080"/>
          <w:tab w:val="left" w:pos="1589"/>
          <w:tab w:val="left" w:pos="2035"/>
          <w:tab w:val="left" w:pos="2114"/>
        </w:tabs>
        <w:snapToGrid w:val="0"/>
        <w:spacing w:line="360" w:lineRule="auto"/>
        <w:ind w:left="2035"/>
        <w:rPr>
          <w:rFonts w:hint="eastAsia" w:ascii="宋体" w:hAnsi="宋体" w:eastAsia="宋体" w:cs="宋体"/>
          <w:sz w:val="24"/>
        </w:rPr>
      </w:pPr>
      <w:r>
        <w:rPr>
          <w:rFonts w:hint="eastAsia" w:ascii="宋体" w:hAnsi="宋体" w:eastAsia="宋体" w:cs="宋体"/>
          <w:sz w:val="24"/>
        </w:rPr>
        <w:t>招标文件对于报价修正是否另有规定：</w:t>
      </w:r>
    </w:p>
    <w:p w14:paraId="0DD45A68">
      <w:pPr>
        <w:tabs>
          <w:tab w:val="left" w:pos="1080"/>
          <w:tab w:val="left" w:pos="1589"/>
          <w:tab w:val="left" w:pos="2035"/>
          <w:tab w:val="left" w:pos="2114"/>
        </w:tabs>
        <w:snapToGrid w:val="0"/>
        <w:spacing w:line="360" w:lineRule="auto"/>
        <w:ind w:left="2035"/>
        <w:rPr>
          <w:rFonts w:hint="eastAsia" w:ascii="宋体" w:hAnsi="宋体" w:eastAsia="宋体" w:cs="宋体"/>
          <w:sz w:val="24"/>
          <w:u w:val="single"/>
        </w:rPr>
      </w:pPr>
      <w:r>
        <w:rPr>
          <w:rFonts w:hint="eastAsia" w:ascii="宋体" w:hAnsi="宋体" w:eastAsia="宋体" w:cs="宋体"/>
          <w:sz w:val="24"/>
        </w:rPr>
        <w:t>□有，具体规定为：______________</w:t>
      </w:r>
    </w:p>
    <w:p w14:paraId="3C0F5D28">
      <w:pPr>
        <w:tabs>
          <w:tab w:val="left" w:pos="1080"/>
          <w:tab w:val="left" w:pos="1589"/>
          <w:tab w:val="left" w:pos="2035"/>
          <w:tab w:val="left" w:pos="2114"/>
        </w:tabs>
        <w:snapToGrid w:val="0"/>
        <w:spacing w:line="360" w:lineRule="auto"/>
        <w:ind w:left="2035"/>
        <w:rPr>
          <w:rFonts w:hint="eastAsia" w:ascii="宋体" w:hAnsi="宋体" w:eastAsia="宋体" w:cs="宋体"/>
          <w:sz w:val="24"/>
        </w:rPr>
      </w:pPr>
      <w:r>
        <w:rPr>
          <w:rFonts w:hint="eastAsia" w:ascii="宋体" w:hAnsi="宋体" w:eastAsia="宋体" w:cs="宋体"/>
          <w:sz w:val="24"/>
        </w:rPr>
        <w:t>☑ 无，按下述2.4.2-2.4.7项规定修正。</w:t>
      </w:r>
    </w:p>
    <w:p w14:paraId="704A78A6">
      <w:pPr>
        <w:numPr>
          <w:ilvl w:val="2"/>
          <w:numId w:val="13"/>
        </w:numPr>
        <w:tabs>
          <w:tab w:val="left" w:pos="2035"/>
          <w:tab w:val="left" w:pos="2114"/>
          <w:tab w:val="left" w:pos="2977"/>
        </w:tabs>
        <w:snapToGrid w:val="0"/>
        <w:spacing w:line="360" w:lineRule="auto"/>
        <w:ind w:left="2035"/>
        <w:rPr>
          <w:rFonts w:hint="eastAsia" w:ascii="宋体" w:hAnsi="宋体" w:eastAsia="宋体" w:cs="宋体"/>
          <w:color w:val="000000"/>
          <w:sz w:val="24"/>
        </w:rPr>
      </w:pPr>
      <w:r>
        <w:rPr>
          <w:rFonts w:hint="eastAsia" w:ascii="宋体" w:hAnsi="宋体" w:eastAsia="宋体" w:cs="宋体"/>
          <w:color w:val="000000"/>
          <w:sz w:val="24"/>
        </w:rPr>
        <w:t>单独递交的开标一览表（报价表）与投标文件中开标一览表（报价表）内容不一致的，以单独递交的开标一览表（报价表）为准；</w:t>
      </w:r>
    </w:p>
    <w:p w14:paraId="0213BA13">
      <w:pPr>
        <w:numPr>
          <w:ilvl w:val="2"/>
          <w:numId w:val="13"/>
        </w:numPr>
        <w:tabs>
          <w:tab w:val="left" w:pos="2035"/>
          <w:tab w:val="left" w:pos="2114"/>
          <w:tab w:val="left" w:pos="2977"/>
        </w:tabs>
        <w:snapToGrid w:val="0"/>
        <w:spacing w:line="360" w:lineRule="auto"/>
        <w:ind w:left="2035"/>
        <w:rPr>
          <w:rFonts w:hint="eastAsia" w:ascii="宋体" w:hAnsi="宋体" w:eastAsia="宋体" w:cs="宋体"/>
          <w:color w:val="000000"/>
          <w:sz w:val="24"/>
        </w:rPr>
      </w:pPr>
      <w:r>
        <w:rPr>
          <w:rFonts w:hint="eastAsia" w:ascii="宋体" w:hAnsi="宋体" w:eastAsia="宋体" w:cs="宋体"/>
          <w:color w:val="000000"/>
          <w:sz w:val="24"/>
        </w:rPr>
        <w:t>投标文件中开标一览表（报价表）内容与投标文件中相应内容不一致的，以开标一览表（报价表）为准；</w:t>
      </w:r>
    </w:p>
    <w:p w14:paraId="2AF04B15">
      <w:pPr>
        <w:numPr>
          <w:ilvl w:val="2"/>
          <w:numId w:val="13"/>
        </w:numPr>
        <w:tabs>
          <w:tab w:val="left" w:pos="2035"/>
          <w:tab w:val="left" w:pos="2114"/>
          <w:tab w:val="left" w:pos="2977"/>
        </w:tabs>
        <w:snapToGrid w:val="0"/>
        <w:spacing w:line="360" w:lineRule="auto"/>
        <w:ind w:left="2035"/>
        <w:rPr>
          <w:rFonts w:hint="eastAsia" w:ascii="宋体" w:hAnsi="宋体" w:eastAsia="宋体" w:cs="宋体"/>
          <w:color w:val="000000"/>
          <w:sz w:val="24"/>
        </w:rPr>
      </w:pPr>
      <w:r>
        <w:rPr>
          <w:rFonts w:hint="eastAsia" w:ascii="宋体" w:hAnsi="宋体" w:eastAsia="宋体" w:cs="宋体"/>
          <w:color w:val="000000"/>
          <w:sz w:val="24"/>
        </w:rPr>
        <w:t>大写金额和小写金额不一致的，以大写金额为准；</w:t>
      </w:r>
    </w:p>
    <w:p w14:paraId="0184307C">
      <w:pPr>
        <w:numPr>
          <w:ilvl w:val="2"/>
          <w:numId w:val="13"/>
        </w:numPr>
        <w:tabs>
          <w:tab w:val="left" w:pos="2035"/>
          <w:tab w:val="left" w:pos="2114"/>
          <w:tab w:val="left" w:pos="2977"/>
        </w:tabs>
        <w:snapToGrid w:val="0"/>
        <w:spacing w:line="360" w:lineRule="auto"/>
        <w:ind w:left="2035"/>
        <w:rPr>
          <w:rFonts w:hint="eastAsia" w:ascii="宋体" w:hAnsi="宋体" w:eastAsia="宋体" w:cs="宋体"/>
          <w:color w:val="000000"/>
          <w:sz w:val="24"/>
        </w:rPr>
      </w:pPr>
      <w:r>
        <w:rPr>
          <w:rFonts w:hint="eastAsia" w:ascii="宋体" w:hAnsi="宋体" w:eastAsia="宋体" w:cs="宋体"/>
          <w:color w:val="000000"/>
          <w:sz w:val="24"/>
        </w:rPr>
        <w:t>单价金额小数点或者百分比有明显错位的，以开标一览表的总价为准，并修改单价；</w:t>
      </w:r>
    </w:p>
    <w:p w14:paraId="03EF083A">
      <w:pPr>
        <w:numPr>
          <w:ilvl w:val="2"/>
          <w:numId w:val="13"/>
        </w:numPr>
        <w:tabs>
          <w:tab w:val="left" w:pos="2035"/>
          <w:tab w:val="left" w:pos="2114"/>
          <w:tab w:val="left" w:pos="2977"/>
        </w:tabs>
        <w:snapToGrid w:val="0"/>
        <w:spacing w:line="360" w:lineRule="auto"/>
        <w:ind w:left="2035"/>
        <w:rPr>
          <w:rFonts w:hint="eastAsia" w:ascii="宋体" w:hAnsi="宋体" w:eastAsia="宋体" w:cs="宋体"/>
          <w:color w:val="000000"/>
          <w:sz w:val="24"/>
        </w:rPr>
      </w:pPr>
      <w:r>
        <w:rPr>
          <w:rFonts w:hint="eastAsia" w:ascii="宋体" w:hAnsi="宋体" w:eastAsia="宋体" w:cs="宋体"/>
          <w:color w:val="000000"/>
          <w:sz w:val="24"/>
        </w:rPr>
        <w:t>总价金额与按单价汇总金额不一致的，以单价金额计算结果为准。</w:t>
      </w:r>
    </w:p>
    <w:p w14:paraId="2CC7723B">
      <w:pPr>
        <w:numPr>
          <w:ilvl w:val="2"/>
          <w:numId w:val="13"/>
        </w:numPr>
        <w:tabs>
          <w:tab w:val="left" w:pos="1080"/>
          <w:tab w:val="left" w:pos="1589"/>
          <w:tab w:val="left" w:pos="2035"/>
          <w:tab w:val="left" w:pos="2114"/>
        </w:tabs>
        <w:snapToGrid w:val="0"/>
        <w:spacing w:line="360" w:lineRule="auto"/>
        <w:ind w:left="2035"/>
        <w:rPr>
          <w:rFonts w:hint="eastAsia" w:ascii="宋体" w:hAnsi="宋体" w:eastAsia="宋体" w:cs="宋体"/>
          <w:sz w:val="24"/>
        </w:rPr>
      </w:pPr>
      <w:r>
        <w:rPr>
          <w:rFonts w:hint="eastAsia" w:ascii="宋体" w:hAnsi="宋体" w:eastAsia="宋体" w:cs="宋体"/>
          <w:sz w:val="24"/>
        </w:rPr>
        <w:t>同时出现两种以上不一致的，按照前款规定的顺序修正。修正后的报价经投标人书面确认后产生约束力，投标人不确认的，其</w:t>
      </w:r>
      <w:r>
        <w:rPr>
          <w:rFonts w:hint="eastAsia" w:ascii="宋体" w:hAnsi="宋体" w:eastAsia="宋体" w:cs="宋体"/>
          <w:b/>
          <w:sz w:val="24"/>
        </w:rPr>
        <w:t>投标无效</w:t>
      </w:r>
      <w:r>
        <w:rPr>
          <w:rFonts w:hint="eastAsia" w:ascii="宋体" w:hAnsi="宋体" w:eastAsia="宋体" w:cs="宋体"/>
          <w:sz w:val="24"/>
        </w:rPr>
        <w:t>。</w:t>
      </w:r>
    </w:p>
    <w:p w14:paraId="2346E5D0">
      <w:pPr>
        <w:numPr>
          <w:ilvl w:val="1"/>
          <w:numId w:val="13"/>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落实政府采购政策的价格调整：只有符合第二章《投标人须知》5.2条规定情形的，可以享受中小企业扶持政策，用扣除后的价格参加评审；否则，评标时价格不予扣除。</w:t>
      </w:r>
    </w:p>
    <w:p w14:paraId="0F015477">
      <w:pPr>
        <w:numPr>
          <w:ilvl w:val="2"/>
          <w:numId w:val="13"/>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对于未预留份额专门面向中小企业采购的采购项目，以及预留份额项目中的非预留部分采购包，对小微企业报价给予</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的扣</w:t>
      </w:r>
      <w:r>
        <w:rPr>
          <w:rFonts w:hint="eastAsia" w:ascii="宋体" w:hAnsi="宋体" w:eastAsia="宋体" w:cs="宋体"/>
          <w:sz w:val="24"/>
        </w:rPr>
        <w:t>除，用扣除后的价格参加评审。</w:t>
      </w:r>
    </w:p>
    <w:p w14:paraId="61042EAB">
      <w:pPr>
        <w:numPr>
          <w:ilvl w:val="2"/>
          <w:numId w:val="13"/>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30%以上的联合体或者大中型企业的报价给予___%的扣除，用扣除后的价格参加评审。</w:t>
      </w:r>
    </w:p>
    <w:p w14:paraId="2A719744">
      <w:pPr>
        <w:numPr>
          <w:ilvl w:val="2"/>
          <w:numId w:val="13"/>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组成联合体或者接受分包的小微企业与联合体内其他企业、分包企业之间存在直接控股、管理关系的，不享受价格扣除优惠政策。</w:t>
      </w:r>
    </w:p>
    <w:p w14:paraId="53DBC8C6">
      <w:pPr>
        <w:numPr>
          <w:ilvl w:val="2"/>
          <w:numId w:val="13"/>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价格扣除比例对小型企业和微型企业同等对待，不作区分。</w:t>
      </w:r>
    </w:p>
    <w:p w14:paraId="4BB5AEFD">
      <w:pPr>
        <w:numPr>
          <w:ilvl w:val="2"/>
          <w:numId w:val="13"/>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中小企业参加政府采购活动，应当按照招标文件给定的格式出具《中小企业声明函》，否则不得享受相关中小企业扶持政策。</w:t>
      </w:r>
    </w:p>
    <w:p w14:paraId="29FF31C7">
      <w:pPr>
        <w:numPr>
          <w:ilvl w:val="2"/>
          <w:numId w:val="13"/>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监狱企业提供了由省级以上监狱管理局（北京市含教育矫治局）、戒毒管理局（含新疆生产建设兵团）出具的属于监狱企业的证明文件的，视同小微企业。</w:t>
      </w:r>
    </w:p>
    <w:p w14:paraId="20933976">
      <w:pPr>
        <w:numPr>
          <w:ilvl w:val="2"/>
          <w:numId w:val="13"/>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残疾人福利性单位按招标文件要求提供了《残疾人福利性单位声明函》（见附件）的，视同小微企业。</w:t>
      </w:r>
    </w:p>
    <w:p w14:paraId="0A1AAED5">
      <w:pPr>
        <w:numPr>
          <w:ilvl w:val="2"/>
          <w:numId w:val="13"/>
        </w:numPr>
        <w:tabs>
          <w:tab w:val="left" w:pos="1080"/>
          <w:tab w:val="left" w:pos="1589"/>
          <w:tab w:val="left" w:pos="2014"/>
          <w:tab w:val="clear" w:pos="1980"/>
        </w:tabs>
        <w:snapToGrid w:val="0"/>
        <w:spacing w:line="360" w:lineRule="auto"/>
        <w:ind w:left="2035"/>
        <w:rPr>
          <w:rFonts w:hint="eastAsia" w:ascii="宋体" w:hAnsi="宋体" w:eastAsia="宋体" w:cs="宋体"/>
          <w:sz w:val="24"/>
        </w:rPr>
      </w:pPr>
      <w:r>
        <w:rPr>
          <w:rFonts w:hint="eastAsia" w:ascii="宋体" w:hAnsi="宋体" w:eastAsia="宋体" w:cs="宋体"/>
          <w:sz w:val="24"/>
        </w:rPr>
        <w:t>若投标人同时属于小型或微型企业、监狱企业、残疾人福利性单位中的两种及以上，将不重复享受小微企业价格扣减的优惠政策。</w:t>
      </w:r>
    </w:p>
    <w:p w14:paraId="21CDB9E9">
      <w:pPr>
        <w:numPr>
          <w:ilvl w:val="0"/>
          <w:numId w:val="13"/>
        </w:numPr>
        <w:tabs>
          <w:tab w:val="left" w:pos="360"/>
        </w:tabs>
        <w:snapToGrid w:val="0"/>
        <w:spacing w:line="360" w:lineRule="auto"/>
        <w:outlineLvl w:val="2"/>
        <w:rPr>
          <w:rFonts w:hint="eastAsia" w:ascii="宋体" w:hAnsi="宋体" w:eastAsia="宋体" w:cs="宋体"/>
          <w:sz w:val="24"/>
        </w:rPr>
      </w:pPr>
      <w:r>
        <w:rPr>
          <w:rFonts w:hint="eastAsia" w:ascii="宋体" w:hAnsi="宋体" w:eastAsia="宋体" w:cs="宋体"/>
          <w:sz w:val="24"/>
        </w:rPr>
        <w:t>投标文件的比较和评价</w:t>
      </w:r>
      <w:bookmarkEnd w:id="763"/>
      <w:bookmarkEnd w:id="764"/>
    </w:p>
    <w:p w14:paraId="329D5371">
      <w:pPr>
        <w:numPr>
          <w:ilvl w:val="1"/>
          <w:numId w:val="13"/>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评标委员会将按照招标文件中规定的评标方法和标准，对符合性审查合格的投标文件进行商务和技术评估，综合比较与评价；未通过符合性审查的投标文件不得进入比较与评价。</w:t>
      </w:r>
    </w:p>
    <w:p w14:paraId="1339B229">
      <w:pPr>
        <w:numPr>
          <w:ilvl w:val="1"/>
          <w:numId w:val="13"/>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评标方法和评标标准</w:t>
      </w:r>
    </w:p>
    <w:p w14:paraId="6164E62F">
      <w:pPr>
        <w:numPr>
          <w:ilvl w:val="2"/>
          <w:numId w:val="13"/>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本项目采用的评标方法为：</w:t>
      </w:r>
    </w:p>
    <w:p w14:paraId="0C16DDD6">
      <w:pPr>
        <w:tabs>
          <w:tab w:val="left" w:pos="900"/>
          <w:tab w:val="left" w:pos="1589"/>
          <w:tab w:val="left" w:pos="1701"/>
        </w:tabs>
        <w:snapToGrid w:val="0"/>
        <w:spacing w:line="360" w:lineRule="auto"/>
        <w:ind w:left="1985"/>
        <w:rPr>
          <w:rFonts w:hint="eastAsia" w:ascii="宋体" w:hAnsi="宋体" w:eastAsia="宋体" w:cs="宋体"/>
          <w:sz w:val="24"/>
        </w:rPr>
      </w:pPr>
      <w:r>
        <w:rPr>
          <w:rFonts w:hint="eastAsia" w:ascii="宋体" w:hAnsi="宋体" w:eastAsia="宋体" w:cs="宋体"/>
          <w:sz w:val="24"/>
        </w:rPr>
        <w:t>☑ 综合评分法，指投标文件满足招标文件全部实质性要求，且按照评审因素的量化指标评审得分最高的投标人为中标候选人的评标方法，见《评标标准》，招标文件中没有规定的评标标准不得作为评审的依据。</w:t>
      </w:r>
    </w:p>
    <w:p w14:paraId="523F74C3">
      <w:pPr>
        <w:tabs>
          <w:tab w:val="left" w:pos="900"/>
          <w:tab w:val="left" w:pos="1589"/>
          <w:tab w:val="left" w:pos="1701"/>
        </w:tabs>
        <w:snapToGrid w:val="0"/>
        <w:spacing w:line="360" w:lineRule="auto"/>
        <w:ind w:left="1985"/>
        <w:rPr>
          <w:rFonts w:hint="eastAsia" w:ascii="宋体" w:hAnsi="宋体" w:eastAsia="宋体" w:cs="宋体"/>
          <w:sz w:val="24"/>
        </w:rPr>
      </w:pPr>
      <w:r>
        <w:rPr>
          <w:rFonts w:hint="eastAsia" w:ascii="宋体" w:hAnsi="宋体" w:eastAsia="宋体" w:cs="宋体"/>
          <w:sz w:val="24"/>
        </w:rPr>
        <w:t>□最低评标价法，指投标文件满足招标文件全部实质性要求，且投标报价最低的投标人为中标候选人的评标方法。</w:t>
      </w:r>
    </w:p>
    <w:p w14:paraId="274E47D0">
      <w:pPr>
        <w:numPr>
          <w:ilvl w:val="2"/>
          <w:numId w:val="13"/>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eastAsia="宋体" w:cs="宋体"/>
          <w:b/>
          <w:sz w:val="24"/>
        </w:rPr>
        <w:t>投标无效</w:t>
      </w:r>
      <w:r>
        <w:rPr>
          <w:rFonts w:hint="eastAsia" w:ascii="宋体" w:hAnsi="宋体" w:eastAsia="宋体" w:cs="宋体"/>
          <w:sz w:val="24"/>
        </w:rPr>
        <w:t>。</w:t>
      </w:r>
    </w:p>
    <w:p w14:paraId="5664F348">
      <w:p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□随机抽取</w:t>
      </w:r>
    </w:p>
    <w:p w14:paraId="620B9E79">
      <w:pPr>
        <w:tabs>
          <w:tab w:val="left" w:pos="1080"/>
          <w:tab w:val="left" w:pos="1589"/>
          <w:tab w:val="left" w:pos="2035"/>
        </w:tabs>
        <w:snapToGrid w:val="0"/>
        <w:spacing w:line="360" w:lineRule="auto"/>
        <w:ind w:left="2035"/>
        <w:rPr>
          <w:rFonts w:hint="eastAsia" w:ascii="宋体" w:hAnsi="宋体" w:eastAsia="宋体" w:cs="宋体"/>
          <w:sz w:val="24"/>
          <w:u w:val="single"/>
        </w:rPr>
      </w:pPr>
      <w:r>
        <w:rPr>
          <w:rFonts w:hint="eastAsia" w:ascii="宋体" w:hAnsi="宋体" w:eastAsia="宋体" w:cs="宋体"/>
          <w:sz w:val="24"/>
        </w:rPr>
        <w:t>□其他方式，具体要求：_____</w:t>
      </w:r>
    </w:p>
    <w:p w14:paraId="2A2B4A50">
      <w:pPr>
        <w:numPr>
          <w:ilvl w:val="2"/>
          <w:numId w:val="13"/>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非政府强制采购的节能产品或环境标志产品，依据品目清单和认证证书实施政府优先采购。优先采购的具体规定（如涉及）_____。</w:t>
      </w:r>
    </w:p>
    <w:p w14:paraId="31DE832E">
      <w:pPr>
        <w:numPr>
          <w:ilvl w:val="2"/>
          <w:numId w:val="13"/>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关于无线局域网认证产品政府采购清单中的产品，优先采购的具体规定（如涉及）_____。</w:t>
      </w:r>
    </w:p>
    <w:p w14:paraId="1F822F6C">
      <w:pPr>
        <w:numPr>
          <w:ilvl w:val="0"/>
          <w:numId w:val="13"/>
        </w:numPr>
        <w:tabs>
          <w:tab w:val="left" w:pos="360"/>
        </w:tabs>
        <w:snapToGrid w:val="0"/>
        <w:spacing w:line="360" w:lineRule="auto"/>
        <w:outlineLvl w:val="2"/>
        <w:rPr>
          <w:rFonts w:hint="eastAsia" w:ascii="宋体" w:hAnsi="宋体" w:eastAsia="宋体" w:cs="宋体"/>
          <w:sz w:val="24"/>
        </w:rPr>
      </w:pPr>
      <w:r>
        <w:rPr>
          <w:rFonts w:hint="eastAsia" w:ascii="宋体" w:hAnsi="宋体" w:eastAsia="宋体" w:cs="宋体"/>
          <w:sz w:val="24"/>
        </w:rPr>
        <w:t>确定</w:t>
      </w:r>
      <w:bookmarkStart w:id="780" w:name="_Toc164608660"/>
      <w:bookmarkStart w:id="781" w:name="_Toc149720839"/>
      <w:bookmarkStart w:id="782" w:name="_Toc264969236"/>
      <w:bookmarkStart w:id="783" w:name="_Toc150774646"/>
      <w:bookmarkStart w:id="784" w:name="_Toc151190173"/>
      <w:bookmarkStart w:id="785" w:name="_Toc265228384"/>
      <w:bookmarkStart w:id="786" w:name="_Toc151193788"/>
      <w:bookmarkStart w:id="787" w:name="_Toc127161460"/>
      <w:bookmarkStart w:id="788" w:name="_Toc142311048"/>
      <w:bookmarkStart w:id="789" w:name="_Toc150774751"/>
      <w:bookmarkStart w:id="790" w:name="_Toc151193860"/>
      <w:bookmarkStart w:id="791" w:name="_Toc150480784"/>
      <w:bookmarkStart w:id="792" w:name="_Toc164351640"/>
      <w:bookmarkStart w:id="793" w:name="_Toc226337242"/>
      <w:bookmarkStart w:id="794" w:name="_Toc150509297"/>
      <w:bookmarkStart w:id="795" w:name="_Toc151193716"/>
      <w:bookmarkStart w:id="796" w:name="_Toc151193934"/>
      <w:bookmarkStart w:id="797" w:name="_Toc520356170"/>
      <w:bookmarkStart w:id="798" w:name="_Toc226965736"/>
      <w:bookmarkStart w:id="799" w:name="_Toc305158814"/>
      <w:bookmarkStart w:id="800" w:name="_Toc127151747"/>
      <w:bookmarkStart w:id="801" w:name="_Ref467307010"/>
      <w:bookmarkStart w:id="802" w:name="_Toc195842911"/>
      <w:bookmarkStart w:id="803" w:name="_Toc151193644"/>
      <w:bookmarkStart w:id="804" w:name="_Toc226965819"/>
      <w:bookmarkStart w:id="805" w:name="_Toc164229241"/>
      <w:bookmarkStart w:id="806" w:name="_Toc164608815"/>
      <w:bookmarkStart w:id="807" w:name="_Toc127151546"/>
      <w:bookmarkStart w:id="808" w:name="_Toc164229387"/>
      <w:bookmarkStart w:id="809" w:name="_Toc226309790"/>
      <w:bookmarkStart w:id="810" w:name="_Toc305158888"/>
      <w:r>
        <w:rPr>
          <w:rFonts w:hint="eastAsia" w:ascii="宋体" w:hAnsi="宋体" w:eastAsia="宋体" w:cs="宋体"/>
          <w:sz w:val="24"/>
        </w:rPr>
        <w:t>中标候选人名单</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352A3A94">
      <w:pPr>
        <w:numPr>
          <w:ilvl w:val="1"/>
          <w:numId w:val="13"/>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2242953">
      <w:pPr>
        <w:pStyle w:val="25"/>
        <w:tabs>
          <w:tab w:val="left" w:pos="900"/>
          <w:tab w:val="left" w:pos="2127"/>
        </w:tabs>
        <w:adjustRightInd w:val="0"/>
        <w:snapToGrid w:val="0"/>
        <w:spacing w:line="360" w:lineRule="auto"/>
        <w:ind w:left="993" w:firstLine="136" w:firstLineChars="57"/>
        <w:rPr>
          <w:rFonts w:hint="eastAsia" w:ascii="宋体" w:hAnsi="宋体" w:eastAsia="宋体" w:cs="宋体"/>
          <w:sz w:val="24"/>
          <w:szCs w:val="24"/>
        </w:rPr>
      </w:pPr>
      <w:r>
        <w:rPr>
          <w:rFonts w:hint="eastAsia" w:ascii="宋体" w:hAnsi="宋体" w:eastAsia="宋体" w:cs="宋体"/>
          <w:sz w:val="24"/>
          <w:szCs w:val="24"/>
        </w:rPr>
        <w:t>□随机抽取</w:t>
      </w:r>
    </w:p>
    <w:p w14:paraId="3620E5BD">
      <w:pPr>
        <w:pStyle w:val="25"/>
        <w:tabs>
          <w:tab w:val="left" w:pos="900"/>
          <w:tab w:val="left" w:pos="2127"/>
        </w:tabs>
        <w:adjustRightInd w:val="0"/>
        <w:snapToGrid w:val="0"/>
        <w:spacing w:line="360" w:lineRule="auto"/>
        <w:ind w:left="993" w:firstLine="136" w:firstLineChars="57"/>
        <w:rPr>
          <w:rFonts w:hint="eastAsia" w:ascii="宋体" w:hAnsi="宋体" w:eastAsia="宋体" w:cs="宋体"/>
          <w:sz w:val="24"/>
          <w:szCs w:val="24"/>
        </w:rPr>
      </w:pPr>
      <w:r>
        <w:rPr>
          <w:rFonts w:hint="eastAsia" w:ascii="宋体" w:hAnsi="宋体" w:eastAsia="宋体" w:cs="宋体"/>
          <w:sz w:val="24"/>
          <w:szCs w:val="24"/>
        </w:rPr>
        <w:t>☑ 其他方式，具体要求：</w:t>
      </w:r>
      <w:r>
        <w:rPr>
          <w:rFonts w:hint="eastAsia" w:ascii="宋体" w:hAnsi="宋体" w:eastAsia="宋体" w:cs="宋体"/>
          <w:sz w:val="24"/>
          <w:szCs w:val="24"/>
          <w:u w:val="single"/>
        </w:rPr>
        <w:t>按投标报价由低到高顺序排列</w:t>
      </w:r>
      <w:r>
        <w:rPr>
          <w:rFonts w:hint="eastAsia" w:ascii="宋体" w:hAnsi="宋体" w:eastAsia="宋体" w:cs="宋体"/>
          <w:sz w:val="24"/>
          <w:szCs w:val="24"/>
        </w:rPr>
        <w:t>。</w:t>
      </w:r>
    </w:p>
    <w:p w14:paraId="3C5747AE">
      <w:pPr>
        <w:numPr>
          <w:ilvl w:val="1"/>
          <w:numId w:val="13"/>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4AB930C">
      <w:pPr>
        <w:numPr>
          <w:ilvl w:val="1"/>
          <w:numId w:val="13"/>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27526D1E">
      <w:pPr>
        <w:numPr>
          <w:ilvl w:val="1"/>
          <w:numId w:val="13"/>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评标委员会要对评分汇总情况进行复核，特别是对排名第一的、报价最低的、投标或响应文件被认定为无效的情形进行重点复核。</w:t>
      </w:r>
    </w:p>
    <w:p w14:paraId="4708477B">
      <w:pPr>
        <w:numPr>
          <w:ilvl w:val="1"/>
          <w:numId w:val="13"/>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评标委员会将根据各投标人的评标排序，依次推荐本项目（各采购包）的中标候选人，起草并签署评标报告。本项目（各采购包）评标委员会共（各）推荐3名中标候选人。</w:t>
      </w:r>
    </w:p>
    <w:p w14:paraId="50B05B45">
      <w:pPr>
        <w:numPr>
          <w:ilvl w:val="0"/>
          <w:numId w:val="13"/>
        </w:numPr>
        <w:tabs>
          <w:tab w:val="left" w:pos="360"/>
        </w:tabs>
        <w:snapToGrid w:val="0"/>
        <w:spacing w:line="360" w:lineRule="auto"/>
        <w:outlineLvl w:val="2"/>
        <w:rPr>
          <w:rFonts w:hint="eastAsia" w:ascii="宋体" w:hAnsi="宋体" w:eastAsia="宋体" w:cs="宋体"/>
          <w:sz w:val="24"/>
        </w:rPr>
      </w:pPr>
      <w:r>
        <w:rPr>
          <w:rFonts w:hint="eastAsia" w:ascii="宋体" w:hAnsi="宋体" w:eastAsia="宋体" w:cs="宋体"/>
          <w:sz w:val="24"/>
        </w:rPr>
        <w:t>报告违法行为</w:t>
      </w:r>
    </w:p>
    <w:p w14:paraId="0F79DA06">
      <w:pPr>
        <w:numPr>
          <w:ilvl w:val="1"/>
          <w:numId w:val="13"/>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评标委员会在评标过程中发现投标人有行贿、提供虚假材料或者串通等违法行为时，有向采购人、采购代理机构或者有关部门报告的职责。</w:t>
      </w:r>
    </w:p>
    <w:p w14:paraId="05A0DAA4">
      <w:pPr>
        <w:widowControl/>
        <w:jc w:val="left"/>
        <w:rPr>
          <w:rFonts w:hint="eastAsia" w:ascii="宋体" w:hAnsi="宋体" w:eastAsia="宋体" w:cs="宋体"/>
          <w:b/>
          <w:sz w:val="24"/>
        </w:rPr>
      </w:pPr>
      <w:r>
        <w:rPr>
          <w:rFonts w:hint="eastAsia" w:ascii="宋体" w:hAnsi="宋体" w:eastAsia="宋体" w:cs="宋体"/>
          <w:b/>
          <w:sz w:val="24"/>
        </w:rPr>
        <w:br w:type="page"/>
      </w:r>
    </w:p>
    <w:p w14:paraId="0E60D923">
      <w:pPr>
        <w:tabs>
          <w:tab w:val="left" w:pos="360"/>
          <w:tab w:val="left" w:pos="900"/>
        </w:tabs>
        <w:snapToGrid w:val="0"/>
        <w:spacing w:line="360" w:lineRule="auto"/>
        <w:jc w:val="center"/>
        <w:outlineLvl w:val="1"/>
        <w:rPr>
          <w:rFonts w:hint="eastAsia" w:ascii="宋体" w:hAnsi="宋体" w:eastAsia="宋体" w:cs="宋体"/>
          <w:b/>
          <w:sz w:val="24"/>
          <w:highlight w:val="none"/>
        </w:rPr>
      </w:pPr>
      <w:r>
        <w:rPr>
          <w:rFonts w:hint="eastAsia" w:ascii="宋体" w:hAnsi="宋体" w:eastAsia="宋体" w:cs="宋体"/>
          <w:b/>
          <w:sz w:val="24"/>
          <w:highlight w:val="none"/>
        </w:rPr>
        <w:t>二、评标标准</w:t>
      </w:r>
    </w:p>
    <w:tbl>
      <w:tblPr>
        <w:tblStyle w:val="46"/>
        <w:tblW w:w="8455" w:type="dxa"/>
        <w:jc w:val="center"/>
        <w:tblLayout w:type="fixed"/>
        <w:tblCellMar>
          <w:top w:w="0" w:type="dxa"/>
          <w:left w:w="108" w:type="dxa"/>
          <w:bottom w:w="0" w:type="dxa"/>
          <w:right w:w="108" w:type="dxa"/>
        </w:tblCellMar>
      </w:tblPr>
      <w:tblGrid>
        <w:gridCol w:w="849"/>
        <w:gridCol w:w="1275"/>
        <w:gridCol w:w="881"/>
        <w:gridCol w:w="5450"/>
      </w:tblGrid>
      <w:tr w14:paraId="7FBA3D11">
        <w:tblPrEx>
          <w:tblCellMar>
            <w:top w:w="0" w:type="dxa"/>
            <w:left w:w="108" w:type="dxa"/>
            <w:bottom w:w="0" w:type="dxa"/>
            <w:right w:w="108" w:type="dxa"/>
          </w:tblCellMar>
        </w:tblPrEx>
        <w:trPr>
          <w:trHeight w:val="252" w:hRule="atLeast"/>
          <w:jc w:val="center"/>
        </w:trPr>
        <w:tc>
          <w:tcPr>
            <w:tcW w:w="849" w:type="dxa"/>
            <w:tcBorders>
              <w:top w:val="single" w:color="000000" w:sz="6" w:space="0"/>
              <w:left w:val="single" w:color="000000" w:sz="4" w:space="0"/>
              <w:bottom w:val="single" w:color="000000" w:sz="6" w:space="0"/>
              <w:right w:val="single" w:color="000000" w:sz="4" w:space="0"/>
            </w:tcBorders>
            <w:noWrap w:val="0"/>
            <w:vAlign w:val="center"/>
          </w:tcPr>
          <w:p w14:paraId="7E32947D">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275" w:type="dxa"/>
            <w:tcBorders>
              <w:top w:val="single" w:color="000000" w:sz="6" w:space="0"/>
              <w:left w:val="single" w:color="000000" w:sz="4" w:space="0"/>
              <w:bottom w:val="single" w:color="000000" w:sz="6" w:space="0"/>
              <w:right w:val="single" w:color="000000" w:sz="4" w:space="0"/>
            </w:tcBorders>
            <w:noWrap w:val="0"/>
            <w:vAlign w:val="center"/>
          </w:tcPr>
          <w:p w14:paraId="64473123">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评分项目</w:t>
            </w:r>
          </w:p>
        </w:tc>
        <w:tc>
          <w:tcPr>
            <w:tcW w:w="881" w:type="dxa"/>
            <w:tcBorders>
              <w:top w:val="single" w:color="000000" w:sz="6" w:space="0"/>
              <w:left w:val="single" w:color="000000" w:sz="4" w:space="0"/>
              <w:bottom w:val="single" w:color="000000" w:sz="6" w:space="0"/>
              <w:right w:val="single" w:color="000000" w:sz="4" w:space="0"/>
            </w:tcBorders>
            <w:noWrap w:val="0"/>
            <w:vAlign w:val="center"/>
          </w:tcPr>
          <w:p w14:paraId="0B25C825">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w:t>
            </w:r>
          </w:p>
          <w:p w14:paraId="31213E4D">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5450" w:type="dxa"/>
            <w:tcBorders>
              <w:top w:val="single" w:color="000000" w:sz="6" w:space="0"/>
              <w:left w:val="single" w:color="000000" w:sz="4" w:space="0"/>
              <w:bottom w:val="single" w:color="000000" w:sz="6" w:space="0"/>
              <w:right w:val="single" w:color="000000" w:sz="4" w:space="0"/>
            </w:tcBorders>
            <w:noWrap w:val="0"/>
            <w:vAlign w:val="center"/>
          </w:tcPr>
          <w:p w14:paraId="498CE7F9">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评分标准</w:t>
            </w:r>
          </w:p>
        </w:tc>
      </w:tr>
      <w:tr w14:paraId="7C408426">
        <w:tblPrEx>
          <w:tblCellMar>
            <w:top w:w="0" w:type="dxa"/>
            <w:left w:w="108" w:type="dxa"/>
            <w:bottom w:w="0" w:type="dxa"/>
            <w:right w:w="108" w:type="dxa"/>
          </w:tblCellMar>
        </w:tblPrEx>
        <w:trPr>
          <w:trHeight w:val="124" w:hRule="atLeast"/>
          <w:jc w:val="center"/>
        </w:trPr>
        <w:tc>
          <w:tcPr>
            <w:tcW w:w="849" w:type="dxa"/>
            <w:tcBorders>
              <w:top w:val="single" w:color="000000" w:sz="6" w:space="0"/>
              <w:left w:val="single" w:color="000000" w:sz="4" w:space="0"/>
              <w:bottom w:val="single" w:color="000000" w:sz="6" w:space="0"/>
              <w:right w:val="single" w:color="000000" w:sz="4" w:space="0"/>
            </w:tcBorders>
            <w:noWrap w:val="0"/>
            <w:vAlign w:val="center"/>
          </w:tcPr>
          <w:p w14:paraId="0B542058">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p>
        </w:tc>
        <w:tc>
          <w:tcPr>
            <w:tcW w:w="1275" w:type="dxa"/>
            <w:tcBorders>
              <w:top w:val="single" w:color="000000" w:sz="6" w:space="0"/>
              <w:left w:val="single" w:color="000000" w:sz="4" w:space="0"/>
              <w:bottom w:val="single" w:color="000000" w:sz="6" w:space="0"/>
              <w:right w:val="single" w:color="000000" w:sz="4" w:space="0"/>
            </w:tcBorders>
            <w:noWrap w:val="0"/>
            <w:vAlign w:val="center"/>
          </w:tcPr>
          <w:p w14:paraId="6363AA8D">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商务部分</w:t>
            </w:r>
          </w:p>
        </w:tc>
        <w:tc>
          <w:tcPr>
            <w:tcW w:w="881" w:type="dxa"/>
            <w:tcBorders>
              <w:top w:val="single" w:color="000000" w:sz="6" w:space="0"/>
              <w:left w:val="single" w:color="000000" w:sz="4" w:space="0"/>
              <w:bottom w:val="single" w:color="000000" w:sz="6" w:space="0"/>
              <w:right w:val="single" w:color="000000" w:sz="4" w:space="0"/>
            </w:tcBorders>
            <w:noWrap w:val="0"/>
            <w:vAlign w:val="center"/>
          </w:tcPr>
          <w:p w14:paraId="060624F0">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10分</w:t>
            </w:r>
          </w:p>
        </w:tc>
        <w:tc>
          <w:tcPr>
            <w:tcW w:w="5450" w:type="dxa"/>
            <w:tcBorders>
              <w:top w:val="single" w:color="000000" w:sz="6" w:space="0"/>
              <w:left w:val="single" w:color="000000" w:sz="4" w:space="0"/>
              <w:bottom w:val="single" w:color="000000" w:sz="6" w:space="0"/>
              <w:right w:val="single" w:color="000000" w:sz="4" w:space="0"/>
            </w:tcBorders>
            <w:noWrap w:val="0"/>
            <w:vAlign w:val="top"/>
          </w:tcPr>
          <w:p w14:paraId="55423AB3">
            <w:pPr>
              <w:spacing w:line="360" w:lineRule="auto"/>
              <w:rPr>
                <w:rFonts w:hint="eastAsia" w:asciiTheme="minorEastAsia" w:hAnsiTheme="minorEastAsia" w:eastAsiaTheme="minorEastAsia" w:cstheme="minorEastAsia"/>
                <w:sz w:val="24"/>
                <w:szCs w:val="24"/>
              </w:rPr>
            </w:pPr>
          </w:p>
        </w:tc>
      </w:tr>
      <w:tr w14:paraId="04D58E4B">
        <w:tblPrEx>
          <w:tblCellMar>
            <w:top w:w="0" w:type="dxa"/>
            <w:left w:w="108" w:type="dxa"/>
            <w:bottom w:w="0" w:type="dxa"/>
            <w:right w:w="108" w:type="dxa"/>
          </w:tblCellMar>
        </w:tblPrEx>
        <w:trPr>
          <w:trHeight w:val="971" w:hRule="atLeast"/>
          <w:jc w:val="center"/>
        </w:trPr>
        <w:tc>
          <w:tcPr>
            <w:tcW w:w="849" w:type="dxa"/>
            <w:tcBorders>
              <w:top w:val="single" w:color="000000" w:sz="6" w:space="0"/>
              <w:left w:val="single" w:color="000000" w:sz="4" w:space="0"/>
              <w:bottom w:val="single" w:color="000000" w:sz="6" w:space="0"/>
              <w:right w:val="single" w:color="000000" w:sz="4" w:space="0"/>
            </w:tcBorders>
            <w:noWrap w:val="0"/>
            <w:vAlign w:val="center"/>
          </w:tcPr>
          <w:p w14:paraId="0A22D58A">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275" w:type="dxa"/>
            <w:tcBorders>
              <w:top w:val="single" w:color="000000" w:sz="6" w:space="0"/>
              <w:left w:val="single" w:color="000000" w:sz="4" w:space="0"/>
              <w:bottom w:val="single" w:color="000000" w:sz="6" w:space="0"/>
              <w:right w:val="single" w:color="000000" w:sz="4" w:space="0"/>
            </w:tcBorders>
            <w:noWrap w:val="0"/>
            <w:vAlign w:val="center"/>
          </w:tcPr>
          <w:p w14:paraId="6A046D34">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p>
        </w:tc>
        <w:tc>
          <w:tcPr>
            <w:tcW w:w="881" w:type="dxa"/>
            <w:tcBorders>
              <w:top w:val="single" w:color="000000" w:sz="6" w:space="0"/>
              <w:left w:val="single" w:color="000000" w:sz="4" w:space="0"/>
              <w:bottom w:val="single" w:color="000000" w:sz="6" w:space="0"/>
              <w:right w:val="single" w:color="000000" w:sz="4" w:space="0"/>
            </w:tcBorders>
            <w:noWrap w:val="0"/>
            <w:vAlign w:val="center"/>
          </w:tcPr>
          <w:p w14:paraId="2E0BC34D">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10分</w:t>
            </w:r>
          </w:p>
        </w:tc>
        <w:tc>
          <w:tcPr>
            <w:tcW w:w="5450" w:type="dxa"/>
            <w:tcBorders>
              <w:top w:val="single" w:color="000000" w:sz="6" w:space="0"/>
              <w:left w:val="single" w:color="000000" w:sz="4" w:space="0"/>
              <w:bottom w:val="single" w:color="000000" w:sz="6" w:space="0"/>
              <w:right w:val="single" w:color="000000" w:sz="4" w:space="0"/>
            </w:tcBorders>
            <w:noWrap w:val="0"/>
            <w:vAlign w:val="top"/>
          </w:tcPr>
          <w:p w14:paraId="54EFC526">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（1）投标报价高于采购预算价的将作为无效投标被拒绝。无效报价将不计入评标基准价计算；</w:t>
            </w:r>
          </w:p>
          <w:p w14:paraId="3A9F23F2">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（2）评标基准价：满足招标文件要求且投标价格最低的有效投标报价为评标基准价；</w:t>
            </w:r>
          </w:p>
          <w:p w14:paraId="523B6688">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（3）投标报价得分=（评标基准价/投标报价）×10；</w:t>
            </w:r>
          </w:p>
          <w:p w14:paraId="640FCF68">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（4）报价得分计算结果按四舍五入规则保留小数点后两位数字。</w:t>
            </w:r>
          </w:p>
        </w:tc>
      </w:tr>
      <w:tr w14:paraId="40A4863C">
        <w:tblPrEx>
          <w:tblCellMar>
            <w:top w:w="0" w:type="dxa"/>
            <w:left w:w="108" w:type="dxa"/>
            <w:bottom w:w="0" w:type="dxa"/>
            <w:right w:w="108" w:type="dxa"/>
          </w:tblCellMar>
        </w:tblPrEx>
        <w:trPr>
          <w:trHeight w:val="124" w:hRule="atLeast"/>
          <w:jc w:val="center"/>
        </w:trPr>
        <w:tc>
          <w:tcPr>
            <w:tcW w:w="849" w:type="dxa"/>
            <w:tcBorders>
              <w:top w:val="single" w:color="000000" w:sz="6" w:space="0"/>
              <w:left w:val="single" w:color="000000" w:sz="4" w:space="0"/>
              <w:bottom w:val="single" w:color="000000" w:sz="6" w:space="0"/>
              <w:right w:val="single" w:color="000000" w:sz="4" w:space="0"/>
            </w:tcBorders>
            <w:noWrap w:val="0"/>
            <w:vAlign w:val="center"/>
          </w:tcPr>
          <w:p w14:paraId="002C56D3">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p>
        </w:tc>
        <w:tc>
          <w:tcPr>
            <w:tcW w:w="1275" w:type="dxa"/>
            <w:tcBorders>
              <w:top w:val="single" w:color="000000" w:sz="6" w:space="0"/>
              <w:left w:val="single" w:color="000000" w:sz="4" w:space="0"/>
              <w:bottom w:val="single" w:color="000000" w:sz="6" w:space="0"/>
              <w:right w:val="single" w:color="000000" w:sz="4" w:space="0"/>
            </w:tcBorders>
            <w:noWrap w:val="0"/>
            <w:vAlign w:val="center"/>
          </w:tcPr>
          <w:p w14:paraId="6DDE16CA">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技术部分</w:t>
            </w:r>
          </w:p>
        </w:tc>
        <w:tc>
          <w:tcPr>
            <w:tcW w:w="881" w:type="dxa"/>
            <w:tcBorders>
              <w:top w:val="single" w:color="000000" w:sz="6" w:space="0"/>
              <w:left w:val="single" w:color="000000" w:sz="4" w:space="0"/>
              <w:bottom w:val="single" w:color="000000" w:sz="6" w:space="0"/>
              <w:right w:val="single" w:color="000000" w:sz="4" w:space="0"/>
            </w:tcBorders>
            <w:noWrap w:val="0"/>
            <w:vAlign w:val="center"/>
          </w:tcPr>
          <w:p w14:paraId="28CC8467">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90分</w:t>
            </w:r>
          </w:p>
        </w:tc>
        <w:tc>
          <w:tcPr>
            <w:tcW w:w="5450" w:type="dxa"/>
            <w:tcBorders>
              <w:top w:val="single" w:color="000000" w:sz="6" w:space="0"/>
              <w:left w:val="single" w:color="000000" w:sz="4" w:space="0"/>
              <w:bottom w:val="single" w:color="000000" w:sz="6" w:space="0"/>
              <w:right w:val="single" w:color="000000" w:sz="4" w:space="0"/>
            </w:tcBorders>
            <w:noWrap w:val="0"/>
            <w:vAlign w:val="top"/>
          </w:tcPr>
          <w:p w14:paraId="3E6E9934">
            <w:pPr>
              <w:spacing w:line="360" w:lineRule="auto"/>
              <w:rPr>
                <w:rFonts w:hint="eastAsia" w:asciiTheme="minorEastAsia" w:hAnsiTheme="minorEastAsia" w:eastAsiaTheme="minorEastAsia" w:cstheme="minorEastAsia"/>
                <w:sz w:val="24"/>
                <w:szCs w:val="24"/>
              </w:rPr>
            </w:pPr>
          </w:p>
        </w:tc>
      </w:tr>
      <w:tr w14:paraId="6C2F87AD">
        <w:tblPrEx>
          <w:tblCellMar>
            <w:top w:w="0" w:type="dxa"/>
            <w:left w:w="108" w:type="dxa"/>
            <w:bottom w:w="0" w:type="dxa"/>
            <w:right w:w="108" w:type="dxa"/>
          </w:tblCellMar>
        </w:tblPrEx>
        <w:trPr>
          <w:trHeight w:val="315" w:hRule="atLeast"/>
          <w:jc w:val="center"/>
        </w:trPr>
        <w:tc>
          <w:tcPr>
            <w:tcW w:w="849" w:type="dxa"/>
            <w:tcBorders>
              <w:top w:val="single" w:color="000000" w:sz="6" w:space="0"/>
              <w:left w:val="single" w:color="000000" w:sz="4" w:space="0"/>
              <w:bottom w:val="single" w:color="000000" w:sz="6" w:space="0"/>
              <w:right w:val="single" w:color="000000" w:sz="4" w:space="0"/>
            </w:tcBorders>
            <w:noWrap w:val="0"/>
            <w:vAlign w:val="center"/>
          </w:tcPr>
          <w:p w14:paraId="069521CC">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1275" w:type="dxa"/>
            <w:tcBorders>
              <w:top w:val="single" w:color="000000" w:sz="6" w:space="0"/>
              <w:left w:val="single" w:color="000000" w:sz="4" w:space="0"/>
              <w:bottom w:val="single" w:color="000000" w:sz="6" w:space="0"/>
              <w:right w:val="single" w:color="000000" w:sz="4" w:space="0"/>
            </w:tcBorders>
            <w:noWrap w:val="0"/>
            <w:vAlign w:val="center"/>
          </w:tcPr>
          <w:p w14:paraId="547B8031">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项目的需求理解</w:t>
            </w:r>
          </w:p>
        </w:tc>
        <w:tc>
          <w:tcPr>
            <w:tcW w:w="881" w:type="dxa"/>
            <w:tcBorders>
              <w:top w:val="single" w:color="000000" w:sz="6" w:space="0"/>
              <w:left w:val="single" w:color="000000" w:sz="4" w:space="0"/>
              <w:bottom w:val="single" w:color="000000" w:sz="6" w:space="0"/>
              <w:right w:val="single" w:color="000000" w:sz="4" w:space="0"/>
            </w:tcBorders>
            <w:noWrap w:val="0"/>
            <w:vAlign w:val="center"/>
          </w:tcPr>
          <w:p w14:paraId="12011B25">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分</w:t>
            </w:r>
          </w:p>
        </w:tc>
        <w:tc>
          <w:tcPr>
            <w:tcW w:w="5450" w:type="dxa"/>
            <w:tcBorders>
              <w:top w:val="single" w:color="000000" w:sz="6" w:space="0"/>
              <w:left w:val="single" w:color="000000" w:sz="4" w:space="0"/>
              <w:bottom w:val="single" w:color="000000" w:sz="6" w:space="0"/>
              <w:right w:val="single" w:color="000000" w:sz="4" w:space="0"/>
            </w:tcBorders>
            <w:noWrap w:val="0"/>
            <w:vAlign w:val="top"/>
          </w:tcPr>
          <w:p w14:paraId="5078934F">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根据本项目采购需求，对运维项目的现状和需求的整体理解情况</w:t>
            </w:r>
            <w:r>
              <w:rPr>
                <w:rFonts w:hint="eastAsia" w:asciiTheme="minorEastAsia" w:hAnsiTheme="minorEastAsia" w:eastAsiaTheme="minorEastAsia" w:cstheme="minorEastAsia"/>
                <w:sz w:val="24"/>
                <w:szCs w:val="24"/>
                <w:lang w:val="en-US" w:eastAsia="zh-CN"/>
              </w:rPr>
              <w:t>进行评分：</w:t>
            </w:r>
          </w:p>
          <w:p w14:paraId="3E2A0CB8">
            <w:pPr>
              <w:spacing w:line="360" w:lineRule="auto"/>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rPr>
              <w:t>通过分析本项目服务内容，抓住难点及关键点，需求理解和分析全面，结合实际情况，分析问题合理可行，</w:t>
            </w:r>
            <w:r>
              <w:rPr>
                <w:rFonts w:hint="eastAsia" w:asciiTheme="minorEastAsia" w:hAnsiTheme="minorEastAsia" w:eastAsiaTheme="minorEastAsia" w:cstheme="minorEastAsia"/>
                <w:sz w:val="24"/>
                <w:szCs w:val="24"/>
                <w:lang w:bidi="ar"/>
              </w:rPr>
              <w:t>得</w:t>
            </w:r>
            <w:r>
              <w:rPr>
                <w:rFonts w:hint="eastAsia" w:asciiTheme="minorEastAsia" w:hAnsiTheme="minorEastAsia" w:eastAsiaTheme="minorEastAsia" w:cstheme="minorEastAsia"/>
                <w:sz w:val="24"/>
                <w:szCs w:val="24"/>
                <w:lang w:val="en-US" w:eastAsia="zh-CN" w:bidi="ar"/>
              </w:rPr>
              <w:t>15</w:t>
            </w:r>
            <w:r>
              <w:rPr>
                <w:rFonts w:hint="eastAsia" w:asciiTheme="minorEastAsia" w:hAnsiTheme="minorEastAsia" w:eastAsiaTheme="minorEastAsia" w:cstheme="minorEastAsia"/>
                <w:sz w:val="24"/>
                <w:szCs w:val="24"/>
                <w:lang w:bidi="ar"/>
              </w:rPr>
              <w:t>分</w:t>
            </w:r>
            <w:r>
              <w:rPr>
                <w:rFonts w:hint="eastAsia" w:asciiTheme="minorEastAsia" w:hAnsiTheme="minorEastAsia" w:eastAsiaTheme="minorEastAsia" w:cstheme="minorEastAsia"/>
                <w:sz w:val="24"/>
                <w:szCs w:val="24"/>
              </w:rPr>
              <w:t>；</w:t>
            </w:r>
          </w:p>
          <w:p w14:paraId="462930AA">
            <w:pPr>
              <w:widowControl/>
              <w:spacing w:line="360" w:lineRule="auto"/>
              <w:jc w:val="lef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rPr>
              <w:t>对现状了解基本全面，结合实际情况，分析问题较为合理、基本可行，</w:t>
            </w:r>
            <w:r>
              <w:rPr>
                <w:rFonts w:hint="eastAsia" w:asciiTheme="minorEastAsia" w:hAnsiTheme="minorEastAsia" w:eastAsiaTheme="minorEastAsia" w:cstheme="minorEastAsia"/>
                <w:sz w:val="24"/>
                <w:szCs w:val="24"/>
                <w:lang w:bidi="ar"/>
              </w:rPr>
              <w:t>得</w:t>
            </w:r>
            <w:r>
              <w:rPr>
                <w:rFonts w:hint="eastAsia" w:asciiTheme="minorEastAsia" w:hAnsiTheme="minorEastAsia" w:eastAsiaTheme="minorEastAsia" w:cstheme="minorEastAsia"/>
                <w:sz w:val="24"/>
                <w:szCs w:val="24"/>
                <w:lang w:val="en-US" w:eastAsia="zh-CN" w:bidi="ar"/>
              </w:rPr>
              <w:t>10</w:t>
            </w:r>
            <w:r>
              <w:rPr>
                <w:rFonts w:hint="eastAsia" w:asciiTheme="minorEastAsia" w:hAnsiTheme="minorEastAsia" w:eastAsiaTheme="minorEastAsia" w:cstheme="minorEastAsia"/>
                <w:sz w:val="24"/>
                <w:szCs w:val="24"/>
                <w:lang w:bidi="ar"/>
              </w:rPr>
              <w:t>分</w:t>
            </w:r>
            <w:r>
              <w:rPr>
                <w:rFonts w:hint="eastAsia" w:asciiTheme="minorEastAsia" w:hAnsiTheme="minorEastAsia" w:eastAsiaTheme="minorEastAsia" w:cstheme="minorEastAsia"/>
                <w:sz w:val="24"/>
                <w:szCs w:val="24"/>
              </w:rPr>
              <w:t>；</w:t>
            </w:r>
          </w:p>
          <w:p w14:paraId="32BBE44D">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对现状了解不够全面，结合实际情况，</w:t>
            </w:r>
            <w:r>
              <w:rPr>
                <w:rFonts w:hint="eastAsia" w:asciiTheme="minorEastAsia" w:hAnsiTheme="minorEastAsia" w:eastAsiaTheme="minorEastAsia" w:cstheme="minorEastAsia"/>
                <w:sz w:val="24"/>
                <w:szCs w:val="24"/>
                <w:lang w:bidi="ar"/>
              </w:rPr>
              <w:t>得</w:t>
            </w:r>
            <w:r>
              <w:rPr>
                <w:rFonts w:hint="eastAsia" w:asciiTheme="minorEastAsia" w:hAnsiTheme="minorEastAsia" w:eastAsiaTheme="minorEastAsia" w:cstheme="minorEastAsia"/>
                <w:sz w:val="24"/>
                <w:szCs w:val="24"/>
                <w:lang w:val="en-US" w:eastAsia="zh-CN" w:bidi="ar"/>
              </w:rPr>
              <w:t>5</w:t>
            </w:r>
            <w:r>
              <w:rPr>
                <w:rFonts w:hint="eastAsia" w:asciiTheme="minorEastAsia" w:hAnsiTheme="minorEastAsia" w:eastAsiaTheme="minorEastAsia" w:cstheme="minorEastAsia"/>
                <w:sz w:val="24"/>
                <w:szCs w:val="24"/>
                <w:lang w:bidi="ar"/>
              </w:rPr>
              <w:t>分</w:t>
            </w:r>
            <w:r>
              <w:rPr>
                <w:rFonts w:hint="eastAsia" w:asciiTheme="minorEastAsia" w:hAnsiTheme="minorEastAsia" w:eastAsiaTheme="minorEastAsia" w:cstheme="minorEastAsia"/>
                <w:sz w:val="24"/>
                <w:szCs w:val="24"/>
              </w:rPr>
              <w:t>；</w:t>
            </w:r>
          </w:p>
          <w:p w14:paraId="310938B2">
            <w:pPr>
              <w:adjustRightInd w:val="0"/>
              <w:snapToGrid w:val="0"/>
              <w:spacing w:line="360" w:lineRule="auto"/>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rPr>
              <w:t>不结合实际情况，分析问题一般，</w:t>
            </w:r>
            <w:r>
              <w:rPr>
                <w:rFonts w:hint="eastAsia" w:asciiTheme="minorEastAsia" w:hAnsiTheme="minorEastAsia" w:eastAsiaTheme="minorEastAsia" w:cstheme="minorEastAsia"/>
                <w:sz w:val="24"/>
                <w:szCs w:val="24"/>
                <w:lang w:bidi="ar"/>
              </w:rPr>
              <w:t>得</w:t>
            </w:r>
            <w:r>
              <w:rPr>
                <w:rFonts w:hint="eastAsia" w:asciiTheme="minorEastAsia" w:hAnsiTheme="minorEastAsia" w:eastAsiaTheme="minorEastAsia" w:cstheme="minorEastAsia"/>
                <w:sz w:val="24"/>
                <w:szCs w:val="24"/>
                <w:lang w:val="en-US" w:eastAsia="zh-CN" w:bidi="ar"/>
              </w:rPr>
              <w:t>3</w:t>
            </w:r>
            <w:r>
              <w:rPr>
                <w:rFonts w:hint="eastAsia" w:asciiTheme="minorEastAsia" w:hAnsiTheme="minorEastAsia" w:eastAsiaTheme="minorEastAsia" w:cstheme="minorEastAsia"/>
                <w:sz w:val="24"/>
                <w:szCs w:val="24"/>
                <w:lang w:bidi="ar"/>
              </w:rPr>
              <w:t>分</w:t>
            </w:r>
            <w:r>
              <w:rPr>
                <w:rFonts w:hint="eastAsia" w:asciiTheme="minorEastAsia" w:hAnsiTheme="minorEastAsia" w:eastAsiaTheme="minorEastAsia" w:cstheme="minorEastAsia"/>
                <w:sz w:val="24"/>
                <w:szCs w:val="24"/>
              </w:rPr>
              <w:t>；</w:t>
            </w:r>
          </w:p>
          <w:p w14:paraId="13262508">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未提供此项</w:t>
            </w:r>
            <w:r>
              <w:rPr>
                <w:rFonts w:hint="eastAsia" w:asciiTheme="minorEastAsia" w:hAnsiTheme="minorEastAsia" w:eastAsiaTheme="minorEastAsia" w:cstheme="minorEastAsia"/>
                <w:sz w:val="24"/>
                <w:szCs w:val="24"/>
                <w:lang w:eastAsia="zh-CN"/>
              </w:rPr>
              <w:t>得0分</w:t>
            </w:r>
            <w:r>
              <w:rPr>
                <w:rFonts w:hint="eastAsia" w:asciiTheme="minorEastAsia" w:hAnsiTheme="minorEastAsia" w:eastAsiaTheme="minorEastAsia" w:cstheme="minorEastAsia"/>
                <w:sz w:val="24"/>
                <w:szCs w:val="24"/>
              </w:rPr>
              <w:t>。</w:t>
            </w:r>
          </w:p>
        </w:tc>
      </w:tr>
      <w:tr w14:paraId="4BCD3A7C">
        <w:tblPrEx>
          <w:tblCellMar>
            <w:top w:w="0" w:type="dxa"/>
            <w:left w:w="108" w:type="dxa"/>
            <w:bottom w:w="0" w:type="dxa"/>
            <w:right w:w="108" w:type="dxa"/>
          </w:tblCellMar>
        </w:tblPrEx>
        <w:trPr>
          <w:trHeight w:val="315" w:hRule="atLeast"/>
          <w:jc w:val="center"/>
        </w:trPr>
        <w:tc>
          <w:tcPr>
            <w:tcW w:w="849" w:type="dxa"/>
            <w:tcBorders>
              <w:top w:val="single" w:color="000000" w:sz="6" w:space="0"/>
              <w:left w:val="single" w:color="000000" w:sz="4" w:space="0"/>
              <w:bottom w:val="single" w:color="000000" w:sz="6" w:space="0"/>
              <w:right w:val="single" w:color="000000" w:sz="4" w:space="0"/>
            </w:tcBorders>
            <w:noWrap w:val="0"/>
            <w:vAlign w:val="center"/>
          </w:tcPr>
          <w:p w14:paraId="3166D5A6">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1275" w:type="dxa"/>
            <w:tcBorders>
              <w:top w:val="single" w:color="000000" w:sz="6" w:space="0"/>
              <w:left w:val="single" w:color="000000" w:sz="4" w:space="0"/>
              <w:bottom w:val="single" w:color="000000" w:sz="6" w:space="0"/>
              <w:right w:val="single" w:color="000000" w:sz="4" w:space="0"/>
            </w:tcBorders>
            <w:noWrap w:val="0"/>
            <w:vAlign w:val="center"/>
          </w:tcPr>
          <w:p w14:paraId="701784A3">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项目的整体运维</w:t>
            </w:r>
            <w:r>
              <w:rPr>
                <w:rFonts w:hint="eastAsia" w:asciiTheme="minorEastAsia" w:hAnsiTheme="minorEastAsia" w:eastAsiaTheme="minorEastAsia" w:cstheme="minorEastAsia"/>
                <w:sz w:val="24"/>
                <w:szCs w:val="24"/>
                <w:lang w:val="en-US" w:eastAsia="zh-CN"/>
              </w:rPr>
              <w:t>实施</w:t>
            </w:r>
            <w:r>
              <w:rPr>
                <w:rFonts w:hint="eastAsia" w:asciiTheme="minorEastAsia" w:hAnsiTheme="minorEastAsia" w:eastAsiaTheme="minorEastAsia" w:cstheme="minorEastAsia"/>
                <w:sz w:val="24"/>
                <w:szCs w:val="24"/>
              </w:rPr>
              <w:t>方案</w:t>
            </w:r>
          </w:p>
        </w:tc>
        <w:tc>
          <w:tcPr>
            <w:tcW w:w="881" w:type="dxa"/>
            <w:tcBorders>
              <w:top w:val="single" w:color="000000" w:sz="6" w:space="0"/>
              <w:left w:val="single" w:color="000000" w:sz="4" w:space="0"/>
              <w:bottom w:val="single" w:color="000000" w:sz="6" w:space="0"/>
              <w:right w:val="single" w:color="000000" w:sz="4" w:space="0"/>
            </w:tcBorders>
            <w:noWrap w:val="0"/>
            <w:vAlign w:val="center"/>
          </w:tcPr>
          <w:p w14:paraId="218DA4B8">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20分</w:t>
            </w:r>
          </w:p>
        </w:tc>
        <w:tc>
          <w:tcPr>
            <w:tcW w:w="5450" w:type="dxa"/>
            <w:tcBorders>
              <w:top w:val="single" w:color="000000" w:sz="6" w:space="0"/>
              <w:left w:val="single" w:color="000000" w:sz="4" w:space="0"/>
              <w:bottom w:val="single" w:color="000000" w:sz="6" w:space="0"/>
              <w:right w:val="single" w:color="000000" w:sz="4" w:space="0"/>
            </w:tcBorders>
            <w:noWrap w:val="0"/>
            <w:vAlign w:val="top"/>
          </w:tcPr>
          <w:p w14:paraId="103653B9">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根据系统运维服务内容及相关要求</w:t>
            </w:r>
            <w:r>
              <w:rPr>
                <w:rFonts w:hint="eastAsia" w:asciiTheme="minorEastAsia" w:hAnsiTheme="minorEastAsia" w:eastAsiaTheme="minorEastAsia" w:cstheme="minorEastAsia"/>
                <w:sz w:val="24"/>
                <w:szCs w:val="24"/>
                <w:lang w:val="en-US" w:eastAsia="zh-CN"/>
              </w:rPr>
              <w:t>制定的运维实施方案进行评分：</w:t>
            </w:r>
          </w:p>
          <w:p w14:paraId="08BA0C1C">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实施方案</w:t>
            </w:r>
            <w:r>
              <w:rPr>
                <w:rFonts w:hint="eastAsia" w:asciiTheme="minorEastAsia" w:hAnsiTheme="minorEastAsia" w:eastAsiaTheme="minorEastAsia" w:cstheme="minorEastAsia"/>
                <w:sz w:val="24"/>
                <w:szCs w:val="24"/>
              </w:rPr>
              <w:t>全部响应，实施方案符合本项目实际情况，编制合理、针对性强，能够充分满足项目</w:t>
            </w:r>
            <w:r>
              <w:rPr>
                <w:rFonts w:hint="eastAsia" w:asciiTheme="minorEastAsia" w:hAnsiTheme="minorEastAsia" w:eastAsiaTheme="minorEastAsia" w:cstheme="minorEastAsia"/>
                <w:sz w:val="24"/>
                <w:szCs w:val="24"/>
                <w:lang w:val="en-US" w:eastAsia="zh-CN"/>
              </w:rPr>
              <w:t>运维</w:t>
            </w:r>
            <w:r>
              <w:rPr>
                <w:rFonts w:hint="eastAsia" w:asciiTheme="minorEastAsia" w:hAnsiTheme="minorEastAsia" w:eastAsiaTheme="minorEastAsia" w:cstheme="minorEastAsia"/>
                <w:sz w:val="24"/>
                <w:szCs w:val="24"/>
              </w:rPr>
              <w:t>需求，</w:t>
            </w:r>
            <w:r>
              <w:rPr>
                <w:rFonts w:hint="eastAsia" w:asciiTheme="minorEastAsia" w:hAnsiTheme="minorEastAsia" w:eastAsiaTheme="minorEastAsia" w:cstheme="minorEastAsia"/>
                <w:sz w:val="24"/>
                <w:szCs w:val="24"/>
                <w:lang w:bidi="ar"/>
              </w:rPr>
              <w:t>得20分</w:t>
            </w:r>
            <w:r>
              <w:rPr>
                <w:rFonts w:hint="eastAsia" w:asciiTheme="minorEastAsia" w:hAnsiTheme="minorEastAsia" w:eastAsiaTheme="minorEastAsia" w:cstheme="minorEastAsia"/>
                <w:sz w:val="24"/>
                <w:szCs w:val="24"/>
              </w:rPr>
              <w:t>；</w:t>
            </w:r>
          </w:p>
          <w:p w14:paraId="63F4AC86">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实施方案较为符合本项目实际情况，编制较为完善、合理，能够满足项目需求的，</w:t>
            </w:r>
            <w:r>
              <w:rPr>
                <w:rFonts w:hint="eastAsia" w:asciiTheme="minorEastAsia" w:hAnsiTheme="minorEastAsia" w:eastAsiaTheme="minorEastAsia" w:cstheme="minorEastAsia"/>
                <w:sz w:val="24"/>
                <w:szCs w:val="24"/>
                <w:lang w:bidi="ar"/>
              </w:rPr>
              <w:t>得15分</w:t>
            </w:r>
            <w:r>
              <w:rPr>
                <w:rFonts w:hint="eastAsia" w:asciiTheme="minorEastAsia" w:hAnsiTheme="minorEastAsia" w:eastAsiaTheme="minorEastAsia" w:cstheme="minorEastAsia"/>
                <w:sz w:val="24"/>
                <w:szCs w:val="24"/>
              </w:rPr>
              <w:t>；</w:t>
            </w:r>
          </w:p>
          <w:p w14:paraId="0A8F765B">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实施方案一般符合本项目实际情况，一般合理，基本满项目需求的，</w:t>
            </w:r>
            <w:r>
              <w:rPr>
                <w:rFonts w:hint="eastAsia" w:asciiTheme="minorEastAsia" w:hAnsiTheme="minorEastAsia" w:eastAsiaTheme="minorEastAsia" w:cstheme="minorEastAsia"/>
                <w:sz w:val="24"/>
                <w:szCs w:val="24"/>
                <w:lang w:bidi="ar"/>
              </w:rPr>
              <w:t>得10分</w:t>
            </w:r>
            <w:r>
              <w:rPr>
                <w:rFonts w:hint="eastAsia" w:asciiTheme="minorEastAsia" w:hAnsiTheme="minorEastAsia" w:eastAsiaTheme="minorEastAsia" w:cstheme="minorEastAsia"/>
                <w:sz w:val="24"/>
                <w:szCs w:val="24"/>
              </w:rPr>
              <w:t>；</w:t>
            </w:r>
          </w:p>
          <w:p w14:paraId="61160E38">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实施方案较差，不能满足项目需求的，得5分；</w:t>
            </w:r>
          </w:p>
          <w:p w14:paraId="480B8054">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未提供此项</w:t>
            </w:r>
            <w:r>
              <w:rPr>
                <w:rFonts w:hint="eastAsia" w:asciiTheme="minorEastAsia" w:hAnsiTheme="minorEastAsia" w:eastAsiaTheme="minorEastAsia" w:cstheme="minorEastAsia"/>
                <w:sz w:val="24"/>
                <w:szCs w:val="24"/>
                <w:lang w:eastAsia="zh-CN"/>
              </w:rPr>
              <w:t>得0分</w:t>
            </w:r>
            <w:r>
              <w:rPr>
                <w:rFonts w:hint="eastAsia" w:asciiTheme="minorEastAsia" w:hAnsiTheme="minorEastAsia" w:eastAsiaTheme="minorEastAsia" w:cstheme="minorEastAsia"/>
                <w:sz w:val="24"/>
                <w:szCs w:val="24"/>
              </w:rPr>
              <w:t>。</w:t>
            </w:r>
          </w:p>
        </w:tc>
      </w:tr>
      <w:tr w14:paraId="78AB137D">
        <w:tblPrEx>
          <w:tblCellMar>
            <w:top w:w="0" w:type="dxa"/>
            <w:left w:w="108" w:type="dxa"/>
            <w:bottom w:w="0" w:type="dxa"/>
            <w:right w:w="108" w:type="dxa"/>
          </w:tblCellMar>
        </w:tblPrEx>
        <w:trPr>
          <w:trHeight w:val="315" w:hRule="atLeast"/>
          <w:jc w:val="center"/>
        </w:trPr>
        <w:tc>
          <w:tcPr>
            <w:tcW w:w="849" w:type="dxa"/>
            <w:tcBorders>
              <w:top w:val="single" w:color="000000" w:sz="6" w:space="0"/>
              <w:left w:val="single" w:color="000000" w:sz="4" w:space="0"/>
              <w:bottom w:val="single" w:color="000000" w:sz="6" w:space="0"/>
              <w:right w:val="single" w:color="000000" w:sz="4" w:space="0"/>
            </w:tcBorders>
            <w:noWrap w:val="0"/>
            <w:vAlign w:val="center"/>
          </w:tcPr>
          <w:p w14:paraId="0DEEBAFA">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1275" w:type="dxa"/>
            <w:tcBorders>
              <w:top w:val="single" w:color="000000" w:sz="6" w:space="0"/>
              <w:left w:val="single" w:color="000000" w:sz="4" w:space="0"/>
              <w:bottom w:val="single" w:color="000000" w:sz="6" w:space="0"/>
              <w:right w:val="single" w:color="000000" w:sz="4" w:space="0"/>
            </w:tcBorders>
            <w:noWrap w:val="0"/>
            <w:vAlign w:val="center"/>
          </w:tcPr>
          <w:p w14:paraId="462EF799">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项目团队配置</w:t>
            </w:r>
          </w:p>
        </w:tc>
        <w:tc>
          <w:tcPr>
            <w:tcW w:w="881" w:type="dxa"/>
            <w:tcBorders>
              <w:top w:val="single" w:color="000000" w:sz="6" w:space="0"/>
              <w:left w:val="single" w:color="000000" w:sz="4" w:space="0"/>
              <w:bottom w:val="single" w:color="000000" w:sz="6" w:space="0"/>
              <w:right w:val="single" w:color="000000" w:sz="4" w:space="0"/>
            </w:tcBorders>
            <w:noWrap w:val="0"/>
            <w:vAlign w:val="center"/>
          </w:tcPr>
          <w:p w14:paraId="6CF89F39">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15分</w:t>
            </w:r>
          </w:p>
        </w:tc>
        <w:tc>
          <w:tcPr>
            <w:tcW w:w="5450" w:type="dxa"/>
            <w:tcBorders>
              <w:top w:val="single" w:color="000000" w:sz="6" w:space="0"/>
              <w:left w:val="single" w:color="000000" w:sz="4" w:space="0"/>
              <w:bottom w:val="single" w:color="000000" w:sz="6" w:space="0"/>
              <w:right w:val="single" w:color="000000" w:sz="4" w:space="0"/>
            </w:tcBorders>
            <w:noWrap w:val="0"/>
            <w:vAlign w:val="top"/>
          </w:tcPr>
          <w:p w14:paraId="0716D047">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根据本项目采购需求，提供本项目的团队配置</w:t>
            </w:r>
            <w:r>
              <w:rPr>
                <w:rFonts w:hint="eastAsia" w:asciiTheme="minorEastAsia" w:hAnsiTheme="minorEastAsia" w:eastAsiaTheme="minorEastAsia" w:cstheme="minorEastAsia"/>
                <w:sz w:val="24"/>
                <w:szCs w:val="24"/>
                <w:lang w:val="en-US" w:eastAsia="zh-CN"/>
              </w:rPr>
              <w:t>情况进行评分：</w:t>
            </w:r>
          </w:p>
          <w:p w14:paraId="7DB88AA3">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w:t>
            </w:r>
            <w:r>
              <w:rPr>
                <w:rFonts w:hint="eastAsia" w:asciiTheme="minorEastAsia" w:hAnsiTheme="minorEastAsia" w:eastAsiaTheme="minorEastAsia" w:cstheme="minorEastAsia"/>
                <w:sz w:val="24"/>
                <w:szCs w:val="24"/>
                <w:lang w:val="en-US" w:eastAsia="zh-CN"/>
              </w:rPr>
              <w:t>软件运维工作整体要求</w:t>
            </w:r>
            <w:r>
              <w:rPr>
                <w:rFonts w:hint="eastAsia" w:asciiTheme="minorEastAsia" w:hAnsiTheme="minorEastAsia" w:eastAsiaTheme="minorEastAsia" w:cstheme="minorEastAsia"/>
                <w:sz w:val="24"/>
                <w:szCs w:val="24"/>
              </w:rPr>
              <w:t>，配置服务团队，结构合理、人员齐备、分工明确，能够保障措施及运维计划合理、严谨、可行，针对性强满足采购需求，</w:t>
            </w:r>
            <w:r>
              <w:rPr>
                <w:rFonts w:hint="eastAsia" w:asciiTheme="minorEastAsia" w:hAnsiTheme="minorEastAsia" w:eastAsiaTheme="minorEastAsia" w:cstheme="minorEastAsia"/>
                <w:sz w:val="24"/>
                <w:szCs w:val="24"/>
                <w:lang w:bidi="ar"/>
              </w:rPr>
              <w:t>得15分</w:t>
            </w:r>
            <w:r>
              <w:rPr>
                <w:rFonts w:hint="eastAsia" w:asciiTheme="minorEastAsia" w:hAnsiTheme="minorEastAsia" w:eastAsiaTheme="minorEastAsia" w:cstheme="minorEastAsia"/>
                <w:sz w:val="24"/>
                <w:szCs w:val="24"/>
              </w:rPr>
              <w:t>；</w:t>
            </w:r>
          </w:p>
          <w:p w14:paraId="33A2048D">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项目的团队配置较合理、可行，针对性较强满足采购需求，</w:t>
            </w:r>
            <w:r>
              <w:rPr>
                <w:rFonts w:hint="eastAsia" w:asciiTheme="minorEastAsia" w:hAnsiTheme="minorEastAsia" w:eastAsiaTheme="minorEastAsia" w:cstheme="minorEastAsia"/>
                <w:sz w:val="24"/>
                <w:szCs w:val="24"/>
                <w:lang w:bidi="ar"/>
              </w:rPr>
              <w:t>得10分</w:t>
            </w:r>
            <w:r>
              <w:rPr>
                <w:rFonts w:hint="eastAsia" w:asciiTheme="minorEastAsia" w:hAnsiTheme="minorEastAsia" w:eastAsiaTheme="minorEastAsia" w:cstheme="minorEastAsia"/>
                <w:sz w:val="24"/>
                <w:szCs w:val="24"/>
              </w:rPr>
              <w:t>；</w:t>
            </w:r>
          </w:p>
          <w:p w14:paraId="61337DC5">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项目的团队配置基本合理、严谨、可行，针对性基本满足采购需求，</w:t>
            </w:r>
            <w:r>
              <w:rPr>
                <w:rFonts w:hint="eastAsia" w:asciiTheme="minorEastAsia" w:hAnsiTheme="minorEastAsia" w:eastAsiaTheme="minorEastAsia" w:cstheme="minorEastAsia"/>
                <w:sz w:val="24"/>
                <w:szCs w:val="24"/>
                <w:lang w:bidi="ar"/>
              </w:rPr>
              <w:t>得5分</w:t>
            </w:r>
            <w:r>
              <w:rPr>
                <w:rFonts w:hint="eastAsia" w:asciiTheme="minorEastAsia" w:hAnsiTheme="minorEastAsia" w:eastAsiaTheme="minorEastAsia" w:cstheme="minorEastAsia"/>
                <w:sz w:val="24"/>
                <w:szCs w:val="24"/>
              </w:rPr>
              <w:t>；</w:t>
            </w:r>
          </w:p>
          <w:p w14:paraId="3BCAFB2D">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项目的团队配置不满足，针对性差，得</w:t>
            </w:r>
            <w:bookmarkStart w:id="938" w:name="_GoBack"/>
            <w:bookmarkEnd w:id="938"/>
            <w:r>
              <w:rPr>
                <w:rFonts w:hint="eastAsia" w:asciiTheme="minorEastAsia" w:hAnsiTheme="minorEastAsia" w:eastAsiaTheme="minorEastAsia" w:cstheme="minorEastAsia"/>
                <w:sz w:val="24"/>
                <w:szCs w:val="24"/>
              </w:rPr>
              <w:t>1分；</w:t>
            </w:r>
          </w:p>
          <w:p w14:paraId="7942E0DD">
            <w:pPr>
              <w:pStyle w:val="127"/>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未提供此项</w:t>
            </w:r>
            <w:r>
              <w:rPr>
                <w:rFonts w:hint="eastAsia" w:asciiTheme="minorEastAsia" w:hAnsiTheme="minorEastAsia" w:eastAsiaTheme="minorEastAsia" w:cstheme="minorEastAsia"/>
                <w:sz w:val="24"/>
                <w:szCs w:val="24"/>
                <w:lang w:eastAsia="zh-CN"/>
              </w:rPr>
              <w:t>得0分</w:t>
            </w:r>
            <w:r>
              <w:rPr>
                <w:rFonts w:hint="eastAsia" w:asciiTheme="minorEastAsia" w:hAnsiTheme="minorEastAsia" w:eastAsiaTheme="minorEastAsia" w:cstheme="minorEastAsia"/>
                <w:sz w:val="24"/>
                <w:szCs w:val="24"/>
              </w:rPr>
              <w:t>。</w:t>
            </w:r>
          </w:p>
          <w:p w14:paraId="104F9591">
            <w:pPr>
              <w:pStyle w:val="127"/>
              <w:spacing w:line="360" w:lineRule="auto"/>
              <w:ind w:firstLine="0" w:firstLineChars="0"/>
              <w:rPr>
                <w:rFonts w:hint="eastAsia" w:asciiTheme="minorEastAsia" w:hAnsiTheme="minorEastAsia" w:eastAsiaTheme="minorEastAsia" w:cstheme="minorEastAsia"/>
                <w:sz w:val="24"/>
                <w:szCs w:val="24"/>
              </w:rPr>
            </w:pPr>
          </w:p>
        </w:tc>
      </w:tr>
      <w:tr w14:paraId="10CE5F7B">
        <w:tblPrEx>
          <w:tblCellMar>
            <w:top w:w="0" w:type="dxa"/>
            <w:left w:w="108" w:type="dxa"/>
            <w:bottom w:w="0" w:type="dxa"/>
            <w:right w:w="108" w:type="dxa"/>
          </w:tblCellMar>
        </w:tblPrEx>
        <w:trPr>
          <w:trHeight w:val="899" w:hRule="atLeast"/>
          <w:jc w:val="center"/>
        </w:trPr>
        <w:tc>
          <w:tcPr>
            <w:tcW w:w="849" w:type="dxa"/>
            <w:tcBorders>
              <w:top w:val="single" w:color="000000" w:sz="6" w:space="0"/>
              <w:left w:val="single" w:color="000000" w:sz="4" w:space="0"/>
              <w:bottom w:val="single" w:color="000000" w:sz="6" w:space="0"/>
              <w:right w:val="single" w:color="000000" w:sz="4" w:space="0"/>
            </w:tcBorders>
            <w:noWrap w:val="0"/>
            <w:vAlign w:val="center"/>
          </w:tcPr>
          <w:p w14:paraId="22D00D5E">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p>
        </w:tc>
        <w:tc>
          <w:tcPr>
            <w:tcW w:w="1275" w:type="dxa"/>
            <w:tcBorders>
              <w:top w:val="single" w:color="000000" w:sz="6" w:space="0"/>
              <w:left w:val="single" w:color="000000" w:sz="4" w:space="0"/>
              <w:bottom w:val="single" w:color="000000" w:sz="6" w:space="0"/>
              <w:right w:val="single" w:color="000000" w:sz="4" w:space="0"/>
            </w:tcBorders>
            <w:noWrap w:val="0"/>
            <w:vAlign w:val="center"/>
          </w:tcPr>
          <w:p w14:paraId="0FEA7727">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时间进度计划安排</w:t>
            </w:r>
          </w:p>
        </w:tc>
        <w:tc>
          <w:tcPr>
            <w:tcW w:w="881" w:type="dxa"/>
            <w:tcBorders>
              <w:top w:val="single" w:color="000000" w:sz="6" w:space="0"/>
              <w:left w:val="single" w:color="000000" w:sz="4" w:space="0"/>
              <w:bottom w:val="single" w:color="000000" w:sz="6" w:space="0"/>
              <w:right w:val="single" w:color="000000" w:sz="4" w:space="0"/>
            </w:tcBorders>
            <w:noWrap w:val="0"/>
            <w:vAlign w:val="center"/>
          </w:tcPr>
          <w:p w14:paraId="7C9A49A5">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15分</w:t>
            </w:r>
          </w:p>
        </w:tc>
        <w:tc>
          <w:tcPr>
            <w:tcW w:w="5450" w:type="dxa"/>
            <w:tcBorders>
              <w:top w:val="single" w:color="000000" w:sz="6" w:space="0"/>
              <w:left w:val="single" w:color="000000" w:sz="4" w:space="0"/>
              <w:bottom w:val="single" w:color="000000" w:sz="6" w:space="0"/>
              <w:right w:val="single" w:color="000000" w:sz="4" w:space="0"/>
            </w:tcBorders>
            <w:noWrap w:val="0"/>
            <w:vAlign w:val="top"/>
          </w:tcPr>
          <w:p w14:paraId="67A67074">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根据软件运维的周期时间进度计划安排情况进行评分：</w:t>
            </w:r>
          </w:p>
          <w:p w14:paraId="5B5AAAE1">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时间进度计划符合本项目实际情况，编制完善、合理、针对性强，能够充分满足本项目需求的，</w:t>
            </w:r>
            <w:r>
              <w:rPr>
                <w:rFonts w:hint="eastAsia" w:asciiTheme="minorEastAsia" w:hAnsiTheme="minorEastAsia" w:eastAsiaTheme="minorEastAsia" w:cstheme="minorEastAsia"/>
                <w:sz w:val="24"/>
                <w:szCs w:val="24"/>
                <w:lang w:bidi="ar"/>
              </w:rPr>
              <w:t>得15分</w:t>
            </w:r>
            <w:r>
              <w:rPr>
                <w:rFonts w:hint="eastAsia" w:asciiTheme="minorEastAsia" w:hAnsiTheme="minorEastAsia" w:eastAsiaTheme="minorEastAsia" w:cstheme="minorEastAsia"/>
                <w:sz w:val="24"/>
                <w:szCs w:val="24"/>
              </w:rPr>
              <w:t>；</w:t>
            </w:r>
          </w:p>
          <w:p w14:paraId="6ABE227D">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时间进度计划较为符合本项目实际情况，编制较为完善、合理，能够满足本项目需求的，</w:t>
            </w:r>
            <w:r>
              <w:rPr>
                <w:rFonts w:hint="eastAsia" w:asciiTheme="minorEastAsia" w:hAnsiTheme="minorEastAsia" w:eastAsiaTheme="minorEastAsia" w:cstheme="minorEastAsia"/>
                <w:sz w:val="24"/>
                <w:szCs w:val="24"/>
                <w:lang w:bidi="ar"/>
              </w:rPr>
              <w:t>得10分</w:t>
            </w:r>
            <w:r>
              <w:rPr>
                <w:rFonts w:hint="eastAsia" w:asciiTheme="minorEastAsia" w:hAnsiTheme="minorEastAsia" w:eastAsiaTheme="minorEastAsia" w:cstheme="minorEastAsia"/>
                <w:sz w:val="24"/>
                <w:szCs w:val="24"/>
              </w:rPr>
              <w:t>；</w:t>
            </w:r>
          </w:p>
          <w:p w14:paraId="755C3401">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时间进度计划一般符合本项目实际情况，一般合理，基本满足本项目需求的，</w:t>
            </w:r>
            <w:r>
              <w:rPr>
                <w:rFonts w:hint="eastAsia" w:asciiTheme="minorEastAsia" w:hAnsiTheme="minorEastAsia" w:eastAsiaTheme="minorEastAsia" w:cstheme="minorEastAsia"/>
                <w:sz w:val="24"/>
                <w:szCs w:val="24"/>
                <w:lang w:bidi="ar"/>
              </w:rPr>
              <w:t>得5分</w:t>
            </w:r>
            <w:r>
              <w:rPr>
                <w:rFonts w:hint="eastAsia" w:asciiTheme="minorEastAsia" w:hAnsiTheme="minorEastAsia" w:eastAsiaTheme="minorEastAsia" w:cstheme="minorEastAsia"/>
                <w:sz w:val="24"/>
                <w:szCs w:val="24"/>
              </w:rPr>
              <w:t>；</w:t>
            </w:r>
          </w:p>
          <w:p w14:paraId="0F7CA6C4">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时间进度计划不符合本项目实际情况，得1分；</w:t>
            </w:r>
          </w:p>
          <w:p w14:paraId="4C98135A">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未提供此项</w:t>
            </w:r>
            <w:r>
              <w:rPr>
                <w:rFonts w:hint="eastAsia" w:asciiTheme="minorEastAsia" w:hAnsiTheme="minorEastAsia" w:eastAsiaTheme="minorEastAsia" w:cstheme="minorEastAsia"/>
                <w:sz w:val="24"/>
                <w:szCs w:val="24"/>
                <w:lang w:eastAsia="zh-CN"/>
              </w:rPr>
              <w:t>得0分</w:t>
            </w:r>
            <w:r>
              <w:rPr>
                <w:rFonts w:hint="eastAsia" w:asciiTheme="minorEastAsia" w:hAnsiTheme="minorEastAsia" w:eastAsiaTheme="minorEastAsia" w:cstheme="minorEastAsia"/>
                <w:sz w:val="24"/>
                <w:szCs w:val="24"/>
              </w:rPr>
              <w:t>。</w:t>
            </w:r>
          </w:p>
        </w:tc>
      </w:tr>
      <w:tr w14:paraId="2600C194">
        <w:tblPrEx>
          <w:tblCellMar>
            <w:top w:w="0" w:type="dxa"/>
            <w:left w:w="108" w:type="dxa"/>
            <w:bottom w:w="0" w:type="dxa"/>
            <w:right w:w="108" w:type="dxa"/>
          </w:tblCellMar>
        </w:tblPrEx>
        <w:trPr>
          <w:trHeight w:val="899" w:hRule="atLeast"/>
          <w:jc w:val="center"/>
        </w:trPr>
        <w:tc>
          <w:tcPr>
            <w:tcW w:w="849" w:type="dxa"/>
            <w:tcBorders>
              <w:top w:val="single" w:color="000000" w:sz="6" w:space="0"/>
              <w:left w:val="single" w:color="000000" w:sz="4" w:space="0"/>
              <w:bottom w:val="single" w:color="000000" w:sz="6" w:space="0"/>
              <w:right w:val="single" w:color="000000" w:sz="4" w:space="0"/>
            </w:tcBorders>
            <w:noWrap w:val="0"/>
            <w:vAlign w:val="center"/>
          </w:tcPr>
          <w:p w14:paraId="0DCBF2D5">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p>
        </w:tc>
        <w:tc>
          <w:tcPr>
            <w:tcW w:w="1275" w:type="dxa"/>
            <w:tcBorders>
              <w:top w:val="single" w:color="000000" w:sz="6" w:space="0"/>
              <w:left w:val="single" w:color="000000" w:sz="4" w:space="0"/>
              <w:bottom w:val="single" w:color="000000" w:sz="6" w:space="0"/>
              <w:right w:val="single" w:color="000000" w:sz="4" w:space="0"/>
            </w:tcBorders>
            <w:noWrap w:val="0"/>
            <w:vAlign w:val="center"/>
          </w:tcPr>
          <w:p w14:paraId="713BBEA1">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培训方案</w:t>
            </w:r>
          </w:p>
        </w:tc>
        <w:tc>
          <w:tcPr>
            <w:tcW w:w="881" w:type="dxa"/>
            <w:tcBorders>
              <w:top w:val="single" w:color="000000" w:sz="6" w:space="0"/>
              <w:left w:val="single" w:color="000000" w:sz="4" w:space="0"/>
              <w:bottom w:val="single" w:color="000000" w:sz="6" w:space="0"/>
              <w:right w:val="single" w:color="000000" w:sz="4" w:space="0"/>
            </w:tcBorders>
            <w:noWrap w:val="0"/>
            <w:vAlign w:val="center"/>
          </w:tcPr>
          <w:p w14:paraId="1BA59B5F">
            <w:pPr>
              <w:spacing w:line="36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分</w:t>
            </w:r>
          </w:p>
        </w:tc>
        <w:tc>
          <w:tcPr>
            <w:tcW w:w="5450" w:type="dxa"/>
            <w:tcBorders>
              <w:top w:val="single" w:color="000000" w:sz="6" w:space="0"/>
              <w:left w:val="single" w:color="000000" w:sz="4" w:space="0"/>
              <w:bottom w:val="single" w:color="000000" w:sz="6" w:space="0"/>
              <w:right w:val="single" w:color="000000" w:sz="4" w:space="0"/>
            </w:tcBorders>
            <w:noWrap w:val="0"/>
            <w:vAlign w:val="center"/>
          </w:tcPr>
          <w:p w14:paraId="0EDF7134">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根据软件运维的培训方案情况进行评分：</w:t>
            </w:r>
          </w:p>
          <w:p w14:paraId="788C65C5">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提供的</w:t>
            </w:r>
            <w:r>
              <w:rPr>
                <w:rFonts w:hint="eastAsia" w:asciiTheme="minorEastAsia" w:hAnsiTheme="minorEastAsia" w:eastAsiaTheme="minorEastAsia" w:cstheme="minorEastAsia"/>
                <w:sz w:val="24"/>
                <w:szCs w:val="24"/>
              </w:rPr>
              <w:t>运维项目服务内容与要求，对使用人员提供相关业务培训，确保培训质量，方案完整详实、可实施性好，得5分；</w:t>
            </w:r>
          </w:p>
          <w:p w14:paraId="69D23078">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方案基本满足服务要求，不够详细得3分；</w:t>
            </w:r>
          </w:p>
          <w:p w14:paraId="4C073964">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方案不够具体，存在不足，得1分；</w:t>
            </w:r>
          </w:p>
          <w:p w14:paraId="083E425F">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不满足要求，</w:t>
            </w:r>
            <w:r>
              <w:rPr>
                <w:rFonts w:hint="eastAsia" w:asciiTheme="minorEastAsia" w:hAnsiTheme="minorEastAsia" w:eastAsiaTheme="minorEastAsia" w:cstheme="minorEastAsia"/>
                <w:sz w:val="24"/>
                <w:szCs w:val="24"/>
                <w:lang w:eastAsia="zh-CN"/>
              </w:rPr>
              <w:t>得0分</w:t>
            </w:r>
            <w:r>
              <w:rPr>
                <w:rFonts w:hint="eastAsia" w:asciiTheme="minorEastAsia" w:hAnsiTheme="minorEastAsia" w:eastAsiaTheme="minorEastAsia" w:cstheme="minorEastAsia"/>
                <w:sz w:val="24"/>
                <w:szCs w:val="24"/>
              </w:rPr>
              <w:t>。</w:t>
            </w:r>
          </w:p>
        </w:tc>
      </w:tr>
      <w:tr w14:paraId="4677A078">
        <w:tblPrEx>
          <w:tblCellMar>
            <w:top w:w="0" w:type="dxa"/>
            <w:left w:w="108" w:type="dxa"/>
            <w:bottom w:w="0" w:type="dxa"/>
            <w:right w:w="108" w:type="dxa"/>
          </w:tblCellMar>
        </w:tblPrEx>
        <w:trPr>
          <w:trHeight w:val="1414" w:hRule="atLeast"/>
          <w:jc w:val="center"/>
        </w:trPr>
        <w:tc>
          <w:tcPr>
            <w:tcW w:w="849" w:type="dxa"/>
            <w:tcBorders>
              <w:top w:val="single" w:color="000000" w:sz="6" w:space="0"/>
              <w:left w:val="single" w:color="000000" w:sz="4" w:space="0"/>
              <w:bottom w:val="single" w:color="000000" w:sz="6" w:space="0"/>
              <w:right w:val="single" w:color="000000" w:sz="4" w:space="0"/>
            </w:tcBorders>
            <w:noWrap w:val="0"/>
            <w:vAlign w:val="center"/>
          </w:tcPr>
          <w:p w14:paraId="76A4C3F7">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w:t>
            </w:r>
          </w:p>
        </w:tc>
        <w:tc>
          <w:tcPr>
            <w:tcW w:w="1275" w:type="dxa"/>
            <w:tcBorders>
              <w:top w:val="single" w:color="000000" w:sz="6" w:space="0"/>
              <w:left w:val="single" w:color="000000" w:sz="4" w:space="0"/>
              <w:bottom w:val="single" w:color="000000" w:sz="6" w:space="0"/>
              <w:right w:val="single" w:color="000000" w:sz="4" w:space="0"/>
            </w:tcBorders>
            <w:noWrap w:val="0"/>
            <w:vAlign w:val="center"/>
          </w:tcPr>
          <w:p w14:paraId="10FF4FCC">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应急预案</w:t>
            </w:r>
          </w:p>
        </w:tc>
        <w:tc>
          <w:tcPr>
            <w:tcW w:w="881" w:type="dxa"/>
            <w:tcBorders>
              <w:top w:val="single" w:color="000000" w:sz="6" w:space="0"/>
              <w:left w:val="single" w:color="000000" w:sz="4" w:space="0"/>
              <w:bottom w:val="single" w:color="000000" w:sz="6" w:space="0"/>
              <w:right w:val="single" w:color="000000" w:sz="4" w:space="0"/>
            </w:tcBorders>
            <w:noWrap w:val="0"/>
            <w:vAlign w:val="center"/>
          </w:tcPr>
          <w:p w14:paraId="3FE3BC37">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10分</w:t>
            </w:r>
          </w:p>
        </w:tc>
        <w:tc>
          <w:tcPr>
            <w:tcW w:w="5450" w:type="dxa"/>
            <w:tcBorders>
              <w:top w:val="single" w:color="000000" w:sz="6" w:space="0"/>
              <w:left w:val="single" w:color="000000" w:sz="4" w:space="0"/>
              <w:bottom w:val="single" w:color="000000" w:sz="6" w:space="0"/>
              <w:right w:val="single" w:color="000000" w:sz="4" w:space="0"/>
            </w:tcBorders>
            <w:noWrap w:val="0"/>
            <w:vAlign w:val="top"/>
          </w:tcPr>
          <w:p w14:paraId="73A6D6A4">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根据本项目的采购需求，提供相应的应急预案措施，包含但不限于现场突发情况等保障措施合理、严谨、可行，针对性强满足采购需求，得10分；</w:t>
            </w:r>
          </w:p>
          <w:p w14:paraId="70A17803">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保障措施较合理、严谨、可行，针对性较强满足采购需求，得7分；</w:t>
            </w:r>
          </w:p>
          <w:p w14:paraId="79E196E8">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保障措施基本合理、严谨、可行，针对性一般，基本满足采购需求，得4分；</w:t>
            </w:r>
          </w:p>
          <w:p w14:paraId="79389CA4">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保障措施不合理，不满足采购需求得1分；</w:t>
            </w:r>
          </w:p>
          <w:p w14:paraId="531C316C">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未提供此项</w:t>
            </w:r>
            <w:r>
              <w:rPr>
                <w:rFonts w:hint="eastAsia" w:asciiTheme="minorEastAsia" w:hAnsiTheme="minorEastAsia" w:eastAsiaTheme="minorEastAsia" w:cstheme="minorEastAsia"/>
                <w:sz w:val="24"/>
                <w:szCs w:val="24"/>
                <w:lang w:eastAsia="zh-CN"/>
              </w:rPr>
              <w:t>得0分</w:t>
            </w:r>
            <w:r>
              <w:rPr>
                <w:rFonts w:hint="eastAsia" w:asciiTheme="minorEastAsia" w:hAnsiTheme="minorEastAsia" w:eastAsiaTheme="minorEastAsia" w:cstheme="minorEastAsia"/>
                <w:sz w:val="24"/>
                <w:szCs w:val="24"/>
              </w:rPr>
              <w:t>。</w:t>
            </w:r>
          </w:p>
        </w:tc>
      </w:tr>
      <w:tr w14:paraId="2CD0C22B">
        <w:tblPrEx>
          <w:tblCellMar>
            <w:top w:w="0" w:type="dxa"/>
            <w:left w:w="108" w:type="dxa"/>
            <w:bottom w:w="0" w:type="dxa"/>
            <w:right w:w="108" w:type="dxa"/>
          </w:tblCellMar>
        </w:tblPrEx>
        <w:trPr>
          <w:trHeight w:val="315" w:hRule="atLeast"/>
          <w:jc w:val="center"/>
        </w:trPr>
        <w:tc>
          <w:tcPr>
            <w:tcW w:w="849" w:type="dxa"/>
            <w:tcBorders>
              <w:top w:val="single" w:color="000000" w:sz="6" w:space="0"/>
              <w:left w:val="single" w:color="000000" w:sz="4" w:space="0"/>
              <w:bottom w:val="single" w:color="000000" w:sz="6" w:space="0"/>
              <w:right w:val="single" w:color="000000" w:sz="4" w:space="0"/>
            </w:tcBorders>
            <w:noWrap w:val="0"/>
            <w:vAlign w:val="center"/>
          </w:tcPr>
          <w:p w14:paraId="5F759191">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w:t>
            </w:r>
          </w:p>
        </w:tc>
        <w:tc>
          <w:tcPr>
            <w:tcW w:w="1275" w:type="dxa"/>
            <w:tcBorders>
              <w:top w:val="single" w:color="000000" w:sz="6" w:space="0"/>
              <w:left w:val="single" w:color="000000" w:sz="4" w:space="0"/>
              <w:bottom w:val="single" w:color="000000" w:sz="6" w:space="0"/>
              <w:right w:val="single" w:color="000000" w:sz="4" w:space="0"/>
            </w:tcBorders>
            <w:noWrap w:val="0"/>
            <w:vAlign w:val="center"/>
          </w:tcPr>
          <w:p w14:paraId="7001420C">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服务承诺</w:t>
            </w:r>
          </w:p>
        </w:tc>
        <w:tc>
          <w:tcPr>
            <w:tcW w:w="881" w:type="dxa"/>
            <w:tcBorders>
              <w:top w:val="single" w:color="000000" w:sz="6" w:space="0"/>
              <w:left w:val="single" w:color="000000" w:sz="4" w:space="0"/>
              <w:bottom w:val="single" w:color="000000" w:sz="6" w:space="0"/>
              <w:right w:val="single" w:color="000000" w:sz="4" w:space="0"/>
            </w:tcBorders>
            <w:noWrap w:val="0"/>
            <w:vAlign w:val="center"/>
          </w:tcPr>
          <w:p w14:paraId="268288D6">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10分</w:t>
            </w:r>
          </w:p>
        </w:tc>
        <w:tc>
          <w:tcPr>
            <w:tcW w:w="5450" w:type="dxa"/>
            <w:tcBorders>
              <w:top w:val="single" w:color="000000" w:sz="6" w:space="0"/>
              <w:left w:val="single" w:color="000000" w:sz="4" w:space="0"/>
              <w:bottom w:val="single" w:color="000000" w:sz="6" w:space="0"/>
              <w:right w:val="single" w:color="000000" w:sz="4" w:space="0"/>
            </w:tcBorders>
            <w:noWrap w:val="0"/>
            <w:vAlign w:val="top"/>
          </w:tcPr>
          <w:p w14:paraId="1426C163">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根据本项目的需求理解程度，对本项目提出贴合实际的服务承诺，承诺内容全面、合理、科学，得</w:t>
            </w:r>
            <w:r>
              <w:rPr>
                <w:rFonts w:hint="eastAsia" w:asciiTheme="minorEastAsia" w:hAnsiTheme="minorEastAsia" w:eastAsiaTheme="minorEastAsia" w:cstheme="minorEastAsia"/>
                <w:kern w:val="0"/>
                <w:sz w:val="24"/>
                <w:szCs w:val="24"/>
              </w:rPr>
              <w:t>10分</w:t>
            </w:r>
            <w:r>
              <w:rPr>
                <w:rFonts w:hint="eastAsia" w:asciiTheme="minorEastAsia" w:hAnsiTheme="minorEastAsia" w:eastAsiaTheme="minorEastAsia" w:cstheme="minorEastAsia"/>
                <w:sz w:val="24"/>
                <w:szCs w:val="24"/>
              </w:rPr>
              <w:t>；</w:t>
            </w:r>
          </w:p>
          <w:p w14:paraId="38B90664">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服务承诺内容较全面，得</w:t>
            </w:r>
            <w:r>
              <w:rPr>
                <w:rFonts w:hint="eastAsia" w:asciiTheme="minorEastAsia" w:hAnsiTheme="minorEastAsia" w:eastAsiaTheme="minorEastAsia" w:cstheme="minorEastAsia"/>
                <w:kern w:val="0"/>
                <w:sz w:val="24"/>
                <w:szCs w:val="24"/>
              </w:rPr>
              <w:t>7分</w:t>
            </w:r>
          </w:p>
          <w:p w14:paraId="39CDA7B4">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服务承诺内容一般得4分；</w:t>
            </w:r>
          </w:p>
          <w:p w14:paraId="57818D72">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服务承诺内容较差得1分；</w:t>
            </w:r>
          </w:p>
          <w:p w14:paraId="565215F3">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未提供此项</w:t>
            </w:r>
            <w:r>
              <w:rPr>
                <w:rFonts w:hint="eastAsia" w:asciiTheme="minorEastAsia" w:hAnsiTheme="minorEastAsia" w:eastAsiaTheme="minorEastAsia" w:cstheme="minorEastAsia"/>
                <w:sz w:val="24"/>
                <w:szCs w:val="24"/>
                <w:lang w:eastAsia="zh-CN"/>
              </w:rPr>
              <w:t>得0分</w:t>
            </w:r>
            <w:r>
              <w:rPr>
                <w:rFonts w:hint="eastAsia" w:asciiTheme="minorEastAsia" w:hAnsiTheme="minorEastAsia" w:eastAsiaTheme="minorEastAsia" w:cstheme="minorEastAsia"/>
                <w:sz w:val="24"/>
                <w:szCs w:val="24"/>
              </w:rPr>
              <w:t>。</w:t>
            </w:r>
          </w:p>
        </w:tc>
      </w:tr>
      <w:tr w14:paraId="222C728D">
        <w:tblPrEx>
          <w:tblCellMar>
            <w:top w:w="0" w:type="dxa"/>
            <w:left w:w="108" w:type="dxa"/>
            <w:bottom w:w="0" w:type="dxa"/>
            <w:right w:w="108" w:type="dxa"/>
          </w:tblCellMar>
        </w:tblPrEx>
        <w:trPr>
          <w:trHeight w:val="309" w:hRule="atLeast"/>
          <w:jc w:val="center"/>
        </w:trPr>
        <w:tc>
          <w:tcPr>
            <w:tcW w:w="849" w:type="dxa"/>
            <w:tcBorders>
              <w:top w:val="single" w:color="000000" w:sz="6" w:space="0"/>
              <w:left w:val="single" w:color="000000" w:sz="4" w:space="0"/>
              <w:bottom w:val="single" w:color="000000" w:sz="6" w:space="0"/>
            </w:tcBorders>
            <w:noWrap w:val="0"/>
            <w:vAlign w:val="top"/>
          </w:tcPr>
          <w:p w14:paraId="5DFA3188">
            <w:pPr>
              <w:spacing w:line="360" w:lineRule="auto"/>
              <w:rPr>
                <w:rFonts w:hint="eastAsia" w:asciiTheme="minorEastAsia" w:hAnsiTheme="minorEastAsia" w:eastAsiaTheme="minorEastAsia" w:cstheme="minorEastAsia"/>
                <w:sz w:val="24"/>
                <w:szCs w:val="24"/>
              </w:rPr>
            </w:pPr>
          </w:p>
        </w:tc>
        <w:tc>
          <w:tcPr>
            <w:tcW w:w="1275" w:type="dxa"/>
            <w:tcBorders>
              <w:top w:val="single" w:color="000000" w:sz="6" w:space="0"/>
              <w:bottom w:val="single" w:color="000000" w:sz="6" w:space="0"/>
              <w:right w:val="single" w:color="000000" w:sz="4" w:space="0"/>
            </w:tcBorders>
            <w:noWrap w:val="0"/>
            <w:vAlign w:val="center"/>
          </w:tcPr>
          <w:p w14:paraId="1EE1A996">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总分</w:t>
            </w:r>
          </w:p>
        </w:tc>
        <w:tc>
          <w:tcPr>
            <w:tcW w:w="881" w:type="dxa"/>
            <w:tcBorders>
              <w:top w:val="single" w:color="000000" w:sz="6" w:space="0"/>
              <w:left w:val="single" w:color="000000" w:sz="4" w:space="0"/>
              <w:bottom w:val="single" w:color="000000" w:sz="6" w:space="0"/>
              <w:right w:val="single" w:color="000000" w:sz="4" w:space="0"/>
            </w:tcBorders>
            <w:noWrap w:val="0"/>
            <w:vAlign w:val="center"/>
          </w:tcPr>
          <w:p w14:paraId="21B623C1">
            <w:p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100分</w:t>
            </w:r>
          </w:p>
        </w:tc>
        <w:tc>
          <w:tcPr>
            <w:tcW w:w="5450" w:type="dxa"/>
            <w:tcBorders>
              <w:top w:val="single" w:color="000000" w:sz="6" w:space="0"/>
              <w:left w:val="single" w:color="000000" w:sz="4" w:space="0"/>
              <w:bottom w:val="single" w:color="000000" w:sz="6" w:space="0"/>
              <w:right w:val="single" w:color="000000" w:sz="4" w:space="0"/>
            </w:tcBorders>
            <w:noWrap w:val="0"/>
            <w:vAlign w:val="top"/>
          </w:tcPr>
          <w:p w14:paraId="6D4DEF97">
            <w:pPr>
              <w:spacing w:line="360" w:lineRule="auto"/>
              <w:rPr>
                <w:rFonts w:hint="eastAsia" w:asciiTheme="minorEastAsia" w:hAnsiTheme="minorEastAsia" w:eastAsiaTheme="minorEastAsia" w:cstheme="minorEastAsia"/>
                <w:sz w:val="24"/>
                <w:szCs w:val="24"/>
              </w:rPr>
            </w:pPr>
          </w:p>
        </w:tc>
      </w:tr>
    </w:tbl>
    <w:p w14:paraId="627D555B">
      <w:pPr>
        <w:pStyle w:val="6"/>
        <w:ind w:left="0" w:leftChars="0" w:firstLine="0" w:firstLineChars="0"/>
        <w:rPr>
          <w:rFonts w:hint="eastAsia" w:ascii="宋体" w:hAnsi="宋体" w:eastAsia="宋体" w:cs="宋体"/>
        </w:rPr>
      </w:pPr>
    </w:p>
    <w:p w14:paraId="1C84E321">
      <w:pPr>
        <w:tabs>
          <w:tab w:val="left" w:pos="360"/>
          <w:tab w:val="left" w:pos="1080"/>
        </w:tabs>
        <w:snapToGrid w:val="0"/>
        <w:spacing w:line="360" w:lineRule="auto"/>
        <w:rPr>
          <w:rFonts w:hint="eastAsia" w:ascii="宋体" w:hAnsi="宋体" w:eastAsia="宋体" w:cs="宋体"/>
          <w:sz w:val="24"/>
        </w:rPr>
      </w:pPr>
    </w:p>
    <w:p w14:paraId="284DE5C8">
      <w:pPr>
        <w:pStyle w:val="24"/>
        <w:rPr>
          <w:rFonts w:hint="eastAsia" w:ascii="宋体" w:hAnsi="宋体" w:eastAsia="宋体" w:cs="宋体"/>
          <w:sz w:val="24"/>
        </w:rPr>
      </w:pPr>
    </w:p>
    <w:p w14:paraId="76F45CE4">
      <w:pPr>
        <w:rPr>
          <w:rFonts w:hint="eastAsia" w:ascii="宋体" w:hAnsi="宋体" w:eastAsia="宋体" w:cs="宋体"/>
          <w:sz w:val="24"/>
        </w:rPr>
      </w:pPr>
    </w:p>
    <w:p w14:paraId="0B031110">
      <w:pPr>
        <w:pStyle w:val="24"/>
        <w:rPr>
          <w:rFonts w:hint="eastAsia" w:ascii="宋体" w:hAnsi="宋体" w:eastAsia="宋体" w:cs="宋体"/>
          <w:sz w:val="24"/>
        </w:rPr>
      </w:pPr>
    </w:p>
    <w:p w14:paraId="6C6ABCD4">
      <w:pPr>
        <w:rPr>
          <w:rFonts w:hint="eastAsia" w:ascii="宋体" w:hAnsi="宋体" w:eastAsia="宋体" w:cs="宋体"/>
          <w:sz w:val="24"/>
        </w:rPr>
      </w:pPr>
    </w:p>
    <w:p w14:paraId="79E4CD7A">
      <w:pPr>
        <w:pStyle w:val="24"/>
        <w:rPr>
          <w:rFonts w:hint="eastAsia" w:ascii="宋体" w:hAnsi="宋体" w:eastAsia="宋体" w:cs="宋体"/>
          <w:sz w:val="24"/>
        </w:rPr>
      </w:pPr>
    </w:p>
    <w:p w14:paraId="1711E39B">
      <w:pPr>
        <w:rPr>
          <w:rFonts w:hint="eastAsia" w:ascii="宋体" w:hAnsi="宋体" w:eastAsia="宋体" w:cs="宋体"/>
          <w:sz w:val="24"/>
        </w:rPr>
      </w:pPr>
    </w:p>
    <w:p w14:paraId="6FE07139">
      <w:pPr>
        <w:rPr>
          <w:rFonts w:hint="eastAsia" w:ascii="宋体" w:hAnsi="宋体" w:eastAsia="宋体" w:cs="宋体"/>
          <w:sz w:val="24"/>
        </w:rPr>
      </w:pPr>
    </w:p>
    <w:p w14:paraId="08EF5FC3">
      <w:pPr>
        <w:pStyle w:val="24"/>
        <w:rPr>
          <w:rFonts w:hint="eastAsia"/>
        </w:rPr>
      </w:pPr>
    </w:p>
    <w:p w14:paraId="122E8F54">
      <w:pPr>
        <w:numPr>
          <w:ilvl w:val="0"/>
          <w:numId w:val="14"/>
        </w:numPr>
        <w:spacing w:line="360" w:lineRule="auto"/>
        <w:jc w:val="center"/>
        <w:outlineLvl w:val="0"/>
        <w:rPr>
          <w:rFonts w:hint="eastAsia" w:ascii="宋体" w:hAnsi="宋体" w:eastAsia="宋体" w:cs="宋体"/>
          <w:b/>
          <w:sz w:val="36"/>
          <w:szCs w:val="36"/>
          <w:highlight w:val="none"/>
        </w:rPr>
      </w:pPr>
      <w:bookmarkStart w:id="811" w:name="_Toc99301424"/>
      <w:r>
        <w:rPr>
          <w:rFonts w:hint="eastAsia" w:ascii="宋体" w:hAnsi="宋体" w:eastAsia="宋体" w:cs="宋体"/>
          <w:b/>
          <w:sz w:val="36"/>
          <w:szCs w:val="36"/>
          <w:highlight w:val="none"/>
        </w:rPr>
        <w:t>采购需求</w:t>
      </w:r>
      <w:bookmarkEnd w:id="811"/>
    </w:p>
    <w:p w14:paraId="78EAB6AA">
      <w:pPr>
        <w:pStyle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项目概况</w:t>
      </w:r>
    </w:p>
    <w:p w14:paraId="74565A4C">
      <w:pPr>
        <w:overflowPunct w:val="0"/>
        <w:spacing w:line="360" w:lineRule="auto"/>
        <w:ind w:firstLine="56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北京市大兴</w:t>
      </w:r>
      <w:r>
        <w:rPr>
          <w:rFonts w:hint="eastAsia" w:asciiTheme="majorEastAsia" w:hAnsiTheme="majorEastAsia" w:eastAsiaTheme="majorEastAsia" w:cstheme="majorEastAsia"/>
          <w:sz w:val="24"/>
          <w:szCs w:val="24"/>
          <w:lang w:val="en-US" w:eastAsia="zh-CN"/>
        </w:rPr>
        <w:t>区</w:t>
      </w:r>
      <w:r>
        <w:rPr>
          <w:rFonts w:hint="eastAsia" w:asciiTheme="majorEastAsia" w:hAnsiTheme="majorEastAsia" w:eastAsiaTheme="majorEastAsia" w:cstheme="majorEastAsia"/>
          <w:sz w:val="24"/>
          <w:szCs w:val="24"/>
        </w:rPr>
        <w:t>已建成覆盖</w:t>
      </w:r>
      <w:r>
        <w:rPr>
          <w:rFonts w:hint="eastAsia" w:asciiTheme="majorEastAsia" w:hAnsiTheme="majorEastAsia" w:eastAsiaTheme="majorEastAsia" w:cstheme="majorEastAsia"/>
          <w:sz w:val="24"/>
          <w:szCs w:val="24"/>
          <w:lang w:val="en-US" w:eastAsia="zh-CN"/>
        </w:rPr>
        <w:t>大兴区140多万用户的</w:t>
      </w:r>
      <w:r>
        <w:rPr>
          <w:rFonts w:hint="eastAsia" w:asciiTheme="majorEastAsia" w:hAnsiTheme="majorEastAsia" w:eastAsiaTheme="majorEastAsia" w:cstheme="majorEastAsia"/>
          <w:sz w:val="24"/>
          <w:szCs w:val="24"/>
        </w:rPr>
        <w:t>人口健康信息平台，实现</w:t>
      </w:r>
      <w:r>
        <w:rPr>
          <w:rFonts w:hint="eastAsia" w:asciiTheme="majorEastAsia" w:hAnsiTheme="majorEastAsia" w:eastAsiaTheme="majorEastAsia" w:cstheme="majorEastAsia"/>
          <w:sz w:val="24"/>
          <w:szCs w:val="24"/>
          <w:lang w:val="en-US" w:eastAsia="zh-CN"/>
        </w:rPr>
        <w:t>区、二三级医院、街道社区卫生服务中心（卫生院）</w:t>
      </w:r>
      <w:r>
        <w:rPr>
          <w:rFonts w:hint="eastAsia" w:asciiTheme="majorEastAsia" w:hAnsiTheme="majorEastAsia" w:eastAsiaTheme="majorEastAsia" w:cstheme="majorEastAsia"/>
          <w:sz w:val="24"/>
          <w:szCs w:val="24"/>
        </w:rPr>
        <w:t>数据</w:t>
      </w:r>
      <w:r>
        <w:rPr>
          <w:rFonts w:hint="eastAsia" w:asciiTheme="majorEastAsia" w:hAnsiTheme="majorEastAsia" w:eastAsiaTheme="majorEastAsia" w:cstheme="majorEastAsia"/>
          <w:sz w:val="24"/>
          <w:szCs w:val="24"/>
          <w:lang w:val="en-US" w:eastAsia="zh-CN"/>
        </w:rPr>
        <w:t>互联互通</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承担辖区百姓便捷就医技术支撑，为了</w:t>
      </w:r>
      <w:r>
        <w:rPr>
          <w:rFonts w:hint="eastAsia" w:asciiTheme="majorEastAsia" w:hAnsiTheme="majorEastAsia" w:eastAsiaTheme="majorEastAsia" w:cstheme="majorEastAsia"/>
          <w:sz w:val="24"/>
          <w:szCs w:val="24"/>
        </w:rPr>
        <w:t>保障</w:t>
      </w:r>
      <w:r>
        <w:rPr>
          <w:rFonts w:hint="eastAsia" w:asciiTheme="majorEastAsia" w:hAnsiTheme="majorEastAsia" w:eastAsiaTheme="majorEastAsia" w:cstheme="majorEastAsia"/>
          <w:sz w:val="24"/>
          <w:szCs w:val="24"/>
          <w:lang w:val="en-US" w:eastAsia="zh-CN"/>
        </w:rPr>
        <w:t>系统</w:t>
      </w:r>
      <w:r>
        <w:rPr>
          <w:rFonts w:hint="eastAsia" w:asciiTheme="majorEastAsia" w:hAnsiTheme="majorEastAsia" w:eastAsiaTheme="majorEastAsia" w:cstheme="majorEastAsia"/>
          <w:sz w:val="24"/>
          <w:szCs w:val="24"/>
        </w:rPr>
        <w:t>7×24小时服务连续性</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需要开展</w:t>
      </w:r>
      <w:r>
        <w:rPr>
          <w:rFonts w:hint="eastAsia" w:asciiTheme="majorEastAsia" w:hAnsiTheme="majorEastAsia" w:eastAsiaTheme="majorEastAsia" w:cstheme="majorEastAsia"/>
          <w:sz w:val="24"/>
          <w:szCs w:val="24"/>
        </w:rPr>
        <w:t>大兴区人口健康信息平台</w:t>
      </w:r>
      <w:r>
        <w:rPr>
          <w:rFonts w:hint="eastAsia" w:asciiTheme="majorEastAsia" w:hAnsiTheme="majorEastAsia" w:eastAsiaTheme="majorEastAsia" w:cstheme="majorEastAsia"/>
          <w:sz w:val="24"/>
          <w:szCs w:val="24"/>
          <w:lang w:val="en-US" w:eastAsia="zh-CN"/>
        </w:rPr>
        <w:t>运维工作</w:t>
      </w:r>
      <w:r>
        <w:rPr>
          <w:rFonts w:hint="eastAsia" w:asciiTheme="majorEastAsia" w:hAnsiTheme="majorEastAsia" w:eastAsiaTheme="majorEastAsia" w:cstheme="majorEastAsia"/>
          <w:sz w:val="24"/>
          <w:szCs w:val="24"/>
        </w:rPr>
        <w:t>。202</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年大兴区人口健康信息平台软件运维</w:t>
      </w:r>
      <w:r>
        <w:rPr>
          <w:rFonts w:hint="eastAsia" w:asciiTheme="majorEastAsia" w:hAnsiTheme="majorEastAsia" w:eastAsiaTheme="majorEastAsia" w:cstheme="majorEastAsia"/>
          <w:sz w:val="24"/>
          <w:szCs w:val="24"/>
          <w:lang w:val="en-US" w:eastAsia="zh-CN"/>
        </w:rPr>
        <w:t>工作，要求承建单位根据应用系统运维要求提供包括但不限于稳定的专业运维队伍</w:t>
      </w:r>
      <w:r>
        <w:rPr>
          <w:rFonts w:hint="eastAsia" w:asciiTheme="majorEastAsia" w:hAnsiTheme="majorEastAsia" w:eastAsiaTheme="majorEastAsia" w:cstheme="majorEastAsia"/>
          <w:sz w:val="24"/>
          <w:szCs w:val="24"/>
        </w:rPr>
        <w:t>，满足系统日常维护需求，及时解决系统运行中的各种问题，保障系统正常运行</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建设单位根据区财政项目支出绩效目标，对运维服务承建单位进行综合评估，以达到预期运维效果</w:t>
      </w:r>
      <w:r>
        <w:rPr>
          <w:rFonts w:hint="eastAsia" w:asciiTheme="majorEastAsia" w:hAnsiTheme="majorEastAsia" w:eastAsiaTheme="majorEastAsia" w:cstheme="majorEastAsia"/>
          <w:sz w:val="24"/>
          <w:szCs w:val="24"/>
        </w:rPr>
        <w:t>。</w:t>
      </w:r>
    </w:p>
    <w:p w14:paraId="55819CCF">
      <w:pPr>
        <w:pStyle w:val="3"/>
        <w:rPr>
          <w:rFonts w:hint="eastAsia" w:ascii="仿宋" w:hAnsi="仿宋" w:eastAsia="仿宋" w:cs="仿宋"/>
        </w:rPr>
      </w:pPr>
      <w:r>
        <w:rPr>
          <w:rFonts w:hint="eastAsia" w:ascii="仿宋" w:hAnsi="仿宋" w:eastAsia="仿宋" w:cs="仿宋"/>
        </w:rPr>
        <w:t>项目运维规模范围</w:t>
      </w:r>
    </w:p>
    <w:p w14:paraId="1DE95744">
      <w:pPr>
        <w:pStyle w:val="4"/>
        <w:rPr>
          <w:rFonts w:hint="eastAsia" w:ascii="仿宋" w:hAnsi="仿宋" w:eastAsia="仿宋" w:cs="仿宋"/>
        </w:rPr>
      </w:pPr>
      <w:r>
        <w:rPr>
          <w:rFonts w:hint="eastAsia" w:ascii="仿宋" w:hAnsi="仿宋" w:eastAsia="仿宋" w:cs="仿宋"/>
        </w:rPr>
        <w:t>运维覆盖机构范围</w:t>
      </w:r>
    </w:p>
    <w:p w14:paraId="0DFCFE82">
      <w:pPr>
        <w:overflowPunct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本项目运维的医疗机构主要</w:t>
      </w:r>
      <w:r>
        <w:rPr>
          <w:rFonts w:hint="eastAsia" w:ascii="宋体" w:hAnsi="宋体" w:eastAsia="宋体" w:cs="宋体"/>
          <w:sz w:val="24"/>
          <w:szCs w:val="24"/>
          <w:lang w:val="en-US" w:eastAsia="zh-CN"/>
        </w:rPr>
        <w:t>为</w:t>
      </w:r>
      <w:r>
        <w:rPr>
          <w:rFonts w:hint="eastAsia" w:ascii="宋体" w:hAnsi="宋体" w:eastAsia="宋体" w:cs="宋体"/>
          <w:sz w:val="24"/>
          <w:szCs w:val="24"/>
        </w:rPr>
        <w:t>大兴区</w:t>
      </w:r>
      <w:r>
        <w:rPr>
          <w:rFonts w:hint="eastAsia" w:ascii="宋体" w:hAnsi="宋体" w:eastAsia="宋体" w:cs="宋体"/>
          <w:sz w:val="24"/>
          <w:szCs w:val="24"/>
          <w:lang w:val="en-US" w:eastAsia="zh-CN"/>
        </w:rPr>
        <w:t>二、三级医疗机构</w:t>
      </w:r>
      <w:r>
        <w:rPr>
          <w:rFonts w:hint="eastAsia" w:ascii="宋体" w:hAnsi="宋体" w:eastAsia="宋体" w:cs="宋体"/>
          <w:sz w:val="24"/>
          <w:szCs w:val="24"/>
        </w:rPr>
        <w:t>、17家社区卫生服务中心</w:t>
      </w:r>
      <w:r>
        <w:rPr>
          <w:rFonts w:hint="eastAsia" w:ascii="宋体" w:hAnsi="宋体" w:eastAsia="宋体" w:cs="宋体"/>
          <w:sz w:val="24"/>
          <w:szCs w:val="24"/>
          <w:lang w:val="en-US" w:eastAsia="zh-CN"/>
        </w:rPr>
        <w:t>及下属社区卫生服务站</w:t>
      </w:r>
      <w:r>
        <w:rPr>
          <w:rFonts w:hint="eastAsia" w:ascii="宋体" w:hAnsi="宋体" w:eastAsia="宋体" w:cs="宋体"/>
          <w:sz w:val="24"/>
          <w:szCs w:val="24"/>
        </w:rPr>
        <w:t>等提供软件运维服务。</w:t>
      </w:r>
    </w:p>
    <w:p w14:paraId="21C8424E">
      <w:pPr>
        <w:pStyle w:val="4"/>
        <w:rPr>
          <w:rFonts w:hint="eastAsia" w:ascii="仿宋" w:hAnsi="仿宋" w:eastAsia="仿宋" w:cs="仿宋"/>
        </w:rPr>
      </w:pPr>
      <w:r>
        <w:rPr>
          <w:rFonts w:hint="eastAsia" w:ascii="仿宋" w:hAnsi="仿宋" w:eastAsia="仿宋" w:cs="仿宋"/>
        </w:rPr>
        <w:t>本项目运维系统范围：</w:t>
      </w:r>
    </w:p>
    <w:p w14:paraId="2B6FF6E4">
      <w:pPr>
        <w:widowControl/>
        <w:spacing w:line="360" w:lineRule="auto"/>
        <w:ind w:firstLine="560"/>
        <w:jc w:val="left"/>
        <w:textAlignment w:val="center"/>
        <w:rPr>
          <w:rStyle w:val="261"/>
          <w:rFonts w:hint="eastAsia" w:ascii="宋体" w:hAnsi="宋体" w:eastAsia="宋体" w:cs="宋体"/>
          <w:b w:val="0"/>
          <w:bCs w:val="0"/>
          <w:sz w:val="24"/>
          <w:szCs w:val="24"/>
          <w:lang w:bidi="ar"/>
        </w:rPr>
      </w:pPr>
      <w:r>
        <w:rPr>
          <w:rStyle w:val="261"/>
          <w:rFonts w:hint="eastAsia" w:ascii="宋体" w:hAnsi="宋体" w:eastAsia="宋体" w:cs="宋体"/>
          <w:b w:val="0"/>
          <w:bCs w:val="0"/>
          <w:sz w:val="24"/>
          <w:szCs w:val="24"/>
          <w:lang w:bidi="ar"/>
        </w:rPr>
        <w:t>本项目主要是</w:t>
      </w:r>
      <w:r>
        <w:rPr>
          <w:rStyle w:val="261"/>
          <w:rFonts w:hint="eastAsia" w:ascii="宋体" w:hAnsi="宋体" w:eastAsia="宋体" w:cs="宋体"/>
          <w:b w:val="0"/>
          <w:bCs w:val="0"/>
          <w:sz w:val="24"/>
          <w:szCs w:val="24"/>
          <w:lang w:val="en-US" w:eastAsia="zh-CN" w:bidi="ar"/>
        </w:rPr>
        <w:t>对区卫生健康委统建的业务系统</w:t>
      </w:r>
      <w:r>
        <w:rPr>
          <w:rStyle w:val="261"/>
          <w:rFonts w:hint="eastAsia" w:ascii="宋体" w:hAnsi="宋体" w:eastAsia="宋体" w:cs="宋体"/>
          <w:b w:val="0"/>
          <w:bCs w:val="0"/>
          <w:sz w:val="24"/>
          <w:szCs w:val="24"/>
          <w:lang w:bidi="ar"/>
        </w:rPr>
        <w:t>进行运维服务，根据业务系统运行要求建立绩效考核体系，形成考核机制。</w:t>
      </w:r>
    </w:p>
    <w:tbl>
      <w:tblPr>
        <w:tblStyle w:val="46"/>
        <w:tblW w:w="7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3761"/>
        <w:gridCol w:w="1502"/>
        <w:gridCol w:w="1396"/>
      </w:tblGrid>
      <w:tr w14:paraId="2568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45" w:type="dxa"/>
            <w:noWrap w:val="0"/>
            <w:vAlign w:val="top"/>
          </w:tcPr>
          <w:p w14:paraId="62A23BF9">
            <w:pPr>
              <w:spacing w:line="360" w:lineRule="auto"/>
              <w:ind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3761" w:type="dxa"/>
            <w:noWrap w:val="0"/>
            <w:vAlign w:val="top"/>
          </w:tcPr>
          <w:p w14:paraId="02F8905A">
            <w:pPr>
              <w:spacing w:line="360" w:lineRule="auto"/>
              <w:ind w:firstLine="422"/>
              <w:jc w:val="center"/>
              <w:rPr>
                <w:rFonts w:hint="eastAsia" w:ascii="宋体" w:hAnsi="宋体" w:eastAsia="宋体" w:cs="宋体"/>
                <w:b w:val="0"/>
                <w:bCs/>
                <w:sz w:val="24"/>
                <w:szCs w:val="24"/>
              </w:rPr>
            </w:pPr>
            <w:r>
              <w:rPr>
                <w:rFonts w:hint="eastAsia" w:ascii="宋体" w:hAnsi="宋体" w:eastAsia="宋体" w:cs="宋体"/>
                <w:b w:val="0"/>
                <w:bCs/>
                <w:sz w:val="24"/>
                <w:szCs w:val="24"/>
              </w:rPr>
              <w:t>系统内容清单</w:t>
            </w:r>
          </w:p>
        </w:tc>
        <w:tc>
          <w:tcPr>
            <w:tcW w:w="1502" w:type="dxa"/>
            <w:noWrap w:val="0"/>
            <w:vAlign w:val="top"/>
          </w:tcPr>
          <w:p w14:paraId="7AF1168B">
            <w:pPr>
              <w:spacing w:line="36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4"/>
                <w:szCs w:val="24"/>
              </w:rPr>
              <w:t>服务周期</w:t>
            </w:r>
          </w:p>
        </w:tc>
        <w:tc>
          <w:tcPr>
            <w:tcW w:w="1396" w:type="dxa"/>
            <w:noWrap w:val="0"/>
            <w:vAlign w:val="top"/>
          </w:tcPr>
          <w:p w14:paraId="5326E9A5">
            <w:pPr>
              <w:spacing w:line="360" w:lineRule="auto"/>
              <w:ind w:firstLine="422"/>
              <w:rPr>
                <w:rFonts w:hint="eastAsia" w:ascii="宋体" w:hAnsi="宋体" w:eastAsia="宋体" w:cs="宋体"/>
                <w:b w:val="0"/>
                <w:bCs/>
                <w:sz w:val="24"/>
                <w:szCs w:val="24"/>
              </w:rPr>
            </w:pPr>
            <w:r>
              <w:rPr>
                <w:rFonts w:hint="eastAsia" w:ascii="宋体" w:hAnsi="宋体" w:eastAsia="宋体" w:cs="宋体"/>
                <w:b w:val="0"/>
                <w:bCs/>
                <w:sz w:val="24"/>
                <w:szCs w:val="24"/>
              </w:rPr>
              <w:t>备注</w:t>
            </w:r>
          </w:p>
        </w:tc>
      </w:tr>
      <w:tr w14:paraId="2B08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 w:type="dxa"/>
            <w:noWrap w:val="0"/>
            <w:vAlign w:val="center"/>
          </w:tcPr>
          <w:p w14:paraId="060A87B0">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3761" w:type="dxa"/>
            <w:noWrap w:val="0"/>
            <w:vAlign w:val="center"/>
          </w:tcPr>
          <w:p w14:paraId="6375D843">
            <w:pPr>
              <w:widowControl/>
              <w:spacing w:line="360" w:lineRule="auto"/>
              <w:ind w:firstLine="0" w:firstLineChars="0"/>
              <w:jc w:val="left"/>
              <w:textAlignment w:val="center"/>
              <w:rPr>
                <w:rFonts w:hint="eastAsia" w:ascii="宋体" w:hAnsi="宋体" w:eastAsia="宋体" w:cs="宋体"/>
                <w:b w:val="0"/>
                <w:bCs/>
                <w:sz w:val="24"/>
                <w:szCs w:val="24"/>
              </w:rPr>
            </w:pPr>
            <w:r>
              <w:rPr>
                <w:rStyle w:val="261"/>
                <w:rFonts w:hint="eastAsia" w:ascii="宋体" w:hAnsi="宋体" w:eastAsia="宋体" w:cs="宋体"/>
                <w:b w:val="0"/>
                <w:bCs/>
                <w:sz w:val="24"/>
                <w:szCs w:val="24"/>
                <w:lang w:bidi="ar"/>
              </w:rPr>
              <w:t>区域检验中心系统软件运维</w:t>
            </w:r>
          </w:p>
        </w:tc>
        <w:tc>
          <w:tcPr>
            <w:tcW w:w="1502" w:type="dxa"/>
            <w:noWrap w:val="0"/>
            <w:vAlign w:val="center"/>
          </w:tcPr>
          <w:p w14:paraId="7685121B">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12个月</w:t>
            </w:r>
          </w:p>
        </w:tc>
        <w:tc>
          <w:tcPr>
            <w:tcW w:w="1396" w:type="dxa"/>
            <w:vMerge w:val="restart"/>
            <w:noWrap w:val="0"/>
            <w:vAlign w:val="top"/>
          </w:tcPr>
          <w:p w14:paraId="514A4FF3">
            <w:pPr>
              <w:spacing w:line="360" w:lineRule="auto"/>
              <w:rPr>
                <w:rFonts w:hint="eastAsia" w:ascii="宋体" w:hAnsi="宋体" w:eastAsia="宋体" w:cs="宋体"/>
                <w:b w:val="0"/>
                <w:bCs/>
                <w:sz w:val="24"/>
                <w:szCs w:val="24"/>
              </w:rPr>
            </w:pPr>
          </w:p>
          <w:p w14:paraId="44B49131">
            <w:pPr>
              <w:spacing w:line="360" w:lineRule="auto"/>
              <w:rPr>
                <w:rFonts w:hint="eastAsia" w:ascii="宋体" w:hAnsi="宋体" w:eastAsia="宋体" w:cs="宋体"/>
                <w:b w:val="0"/>
                <w:bCs/>
                <w:sz w:val="24"/>
                <w:szCs w:val="24"/>
              </w:rPr>
            </w:pPr>
          </w:p>
          <w:p w14:paraId="0B59880B">
            <w:pPr>
              <w:spacing w:line="360" w:lineRule="auto"/>
              <w:ind w:firstLine="0" w:firstLineChars="0"/>
              <w:rPr>
                <w:rFonts w:hint="eastAsia" w:ascii="宋体" w:hAnsi="宋体" w:eastAsia="宋体" w:cs="宋体"/>
                <w:b w:val="0"/>
                <w:bCs/>
                <w:sz w:val="24"/>
                <w:szCs w:val="24"/>
              </w:rPr>
            </w:pPr>
            <w:r>
              <w:rPr>
                <w:rFonts w:hint="eastAsia" w:ascii="宋体" w:hAnsi="宋体" w:eastAsia="宋体" w:cs="宋体"/>
                <w:b w:val="0"/>
                <w:bCs/>
                <w:color w:val="000000"/>
                <w:kern w:val="0"/>
                <w:sz w:val="24"/>
                <w:szCs w:val="24"/>
                <w:lang w:bidi="ar"/>
              </w:rPr>
              <w:t>具体时间依据采购人指定时间</w:t>
            </w:r>
          </w:p>
        </w:tc>
      </w:tr>
      <w:tr w14:paraId="7BF0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 w:type="dxa"/>
            <w:noWrap w:val="0"/>
            <w:vAlign w:val="center"/>
          </w:tcPr>
          <w:p w14:paraId="18E6CE20">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3761" w:type="dxa"/>
            <w:noWrap w:val="0"/>
            <w:vAlign w:val="center"/>
          </w:tcPr>
          <w:p w14:paraId="6C92F29E">
            <w:pPr>
              <w:widowControl/>
              <w:spacing w:line="360" w:lineRule="auto"/>
              <w:ind w:firstLine="0" w:firstLineChars="0"/>
              <w:jc w:val="left"/>
              <w:textAlignment w:val="center"/>
              <w:rPr>
                <w:rFonts w:hint="eastAsia" w:ascii="宋体" w:hAnsi="宋体" w:eastAsia="宋体" w:cs="宋体"/>
                <w:b w:val="0"/>
                <w:bCs/>
                <w:sz w:val="24"/>
                <w:szCs w:val="24"/>
              </w:rPr>
            </w:pPr>
            <w:r>
              <w:rPr>
                <w:rStyle w:val="261"/>
                <w:rFonts w:hint="eastAsia" w:ascii="宋体" w:hAnsi="宋体" w:eastAsia="宋体" w:cs="宋体"/>
                <w:b w:val="0"/>
                <w:bCs/>
                <w:sz w:val="24"/>
                <w:szCs w:val="24"/>
                <w:lang w:bidi="ar"/>
              </w:rPr>
              <w:t>区域电子病历系统项目运维</w:t>
            </w:r>
          </w:p>
        </w:tc>
        <w:tc>
          <w:tcPr>
            <w:tcW w:w="1502" w:type="dxa"/>
            <w:noWrap w:val="0"/>
            <w:vAlign w:val="center"/>
          </w:tcPr>
          <w:p w14:paraId="563B3266">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12个月</w:t>
            </w:r>
          </w:p>
        </w:tc>
        <w:tc>
          <w:tcPr>
            <w:tcW w:w="1396" w:type="dxa"/>
            <w:vMerge w:val="continue"/>
            <w:noWrap w:val="0"/>
            <w:vAlign w:val="top"/>
          </w:tcPr>
          <w:p w14:paraId="4E07E272">
            <w:pPr>
              <w:spacing w:line="360" w:lineRule="auto"/>
              <w:rPr>
                <w:rFonts w:hint="eastAsia" w:ascii="宋体" w:hAnsi="宋体" w:eastAsia="宋体" w:cs="宋体"/>
                <w:b w:val="0"/>
                <w:bCs/>
                <w:sz w:val="24"/>
                <w:szCs w:val="24"/>
              </w:rPr>
            </w:pPr>
          </w:p>
        </w:tc>
      </w:tr>
      <w:tr w14:paraId="4B6C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 w:type="dxa"/>
            <w:noWrap w:val="0"/>
            <w:vAlign w:val="center"/>
          </w:tcPr>
          <w:p w14:paraId="748F2D00">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3761" w:type="dxa"/>
            <w:noWrap w:val="0"/>
            <w:vAlign w:val="center"/>
          </w:tcPr>
          <w:p w14:paraId="632599C8">
            <w:pPr>
              <w:widowControl/>
              <w:spacing w:line="360" w:lineRule="auto"/>
              <w:ind w:firstLine="0" w:firstLineChars="0"/>
              <w:jc w:val="left"/>
              <w:textAlignment w:val="center"/>
              <w:rPr>
                <w:rFonts w:hint="eastAsia" w:ascii="宋体" w:hAnsi="宋体" w:eastAsia="宋体" w:cs="宋体"/>
                <w:b w:val="0"/>
                <w:bCs/>
                <w:sz w:val="24"/>
                <w:szCs w:val="24"/>
              </w:rPr>
            </w:pPr>
            <w:r>
              <w:rPr>
                <w:rStyle w:val="261"/>
                <w:rFonts w:hint="eastAsia" w:ascii="宋体" w:hAnsi="宋体" w:eastAsia="宋体" w:cs="宋体"/>
                <w:b w:val="0"/>
                <w:bCs/>
                <w:sz w:val="24"/>
                <w:szCs w:val="24"/>
                <w:lang w:bidi="ar"/>
              </w:rPr>
              <w:t>远程心电系统一期、二期软件运维</w:t>
            </w:r>
          </w:p>
        </w:tc>
        <w:tc>
          <w:tcPr>
            <w:tcW w:w="1502" w:type="dxa"/>
            <w:noWrap w:val="0"/>
            <w:vAlign w:val="center"/>
          </w:tcPr>
          <w:p w14:paraId="280DEE3A">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12个月</w:t>
            </w:r>
          </w:p>
        </w:tc>
        <w:tc>
          <w:tcPr>
            <w:tcW w:w="1396" w:type="dxa"/>
            <w:vMerge w:val="continue"/>
            <w:noWrap w:val="0"/>
            <w:vAlign w:val="top"/>
          </w:tcPr>
          <w:p w14:paraId="36243179">
            <w:pPr>
              <w:spacing w:line="360" w:lineRule="auto"/>
              <w:rPr>
                <w:rFonts w:hint="eastAsia" w:ascii="宋体" w:hAnsi="宋体" w:eastAsia="宋体" w:cs="宋体"/>
                <w:b w:val="0"/>
                <w:bCs/>
                <w:sz w:val="24"/>
                <w:szCs w:val="24"/>
              </w:rPr>
            </w:pPr>
          </w:p>
        </w:tc>
      </w:tr>
      <w:tr w14:paraId="3AE7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 w:type="dxa"/>
            <w:noWrap w:val="0"/>
            <w:vAlign w:val="center"/>
          </w:tcPr>
          <w:p w14:paraId="4BFA7718">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3761" w:type="dxa"/>
            <w:noWrap w:val="0"/>
            <w:vAlign w:val="center"/>
          </w:tcPr>
          <w:p w14:paraId="0639916F">
            <w:pPr>
              <w:widowControl/>
              <w:spacing w:line="360" w:lineRule="auto"/>
              <w:ind w:firstLine="0" w:firstLineChars="0"/>
              <w:jc w:val="left"/>
              <w:textAlignment w:val="center"/>
              <w:rPr>
                <w:rFonts w:hint="eastAsia" w:ascii="宋体" w:hAnsi="宋体" w:eastAsia="宋体" w:cs="宋体"/>
                <w:b w:val="0"/>
                <w:bCs/>
                <w:sz w:val="24"/>
                <w:szCs w:val="24"/>
              </w:rPr>
            </w:pPr>
            <w:r>
              <w:rPr>
                <w:rFonts w:hint="eastAsia" w:ascii="宋体" w:hAnsi="宋体" w:eastAsia="宋体" w:cs="宋体"/>
                <w:b w:val="0"/>
                <w:bCs/>
                <w:color w:val="000000"/>
                <w:kern w:val="0"/>
                <w:sz w:val="24"/>
                <w:szCs w:val="24"/>
                <w:lang w:bidi="ar"/>
              </w:rPr>
              <w:t>人口健康信息平台软件运维</w:t>
            </w:r>
          </w:p>
        </w:tc>
        <w:tc>
          <w:tcPr>
            <w:tcW w:w="1502" w:type="dxa"/>
            <w:noWrap w:val="0"/>
            <w:vAlign w:val="center"/>
          </w:tcPr>
          <w:p w14:paraId="0962F021">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12个月</w:t>
            </w:r>
          </w:p>
        </w:tc>
        <w:tc>
          <w:tcPr>
            <w:tcW w:w="1396" w:type="dxa"/>
            <w:vMerge w:val="continue"/>
            <w:noWrap w:val="0"/>
            <w:vAlign w:val="top"/>
          </w:tcPr>
          <w:p w14:paraId="7EC568EB">
            <w:pPr>
              <w:spacing w:line="360" w:lineRule="auto"/>
              <w:rPr>
                <w:rFonts w:hint="eastAsia" w:ascii="宋体" w:hAnsi="宋体" w:eastAsia="宋体" w:cs="宋体"/>
                <w:b w:val="0"/>
                <w:bCs/>
                <w:sz w:val="24"/>
                <w:szCs w:val="24"/>
              </w:rPr>
            </w:pPr>
          </w:p>
        </w:tc>
      </w:tr>
      <w:tr w14:paraId="0D54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 w:type="dxa"/>
            <w:noWrap w:val="0"/>
            <w:vAlign w:val="center"/>
          </w:tcPr>
          <w:p w14:paraId="3C25D550">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5</w:t>
            </w:r>
          </w:p>
        </w:tc>
        <w:tc>
          <w:tcPr>
            <w:tcW w:w="3761" w:type="dxa"/>
            <w:noWrap w:val="0"/>
            <w:vAlign w:val="center"/>
          </w:tcPr>
          <w:p w14:paraId="753E0B95">
            <w:pPr>
              <w:widowControl/>
              <w:spacing w:line="360" w:lineRule="auto"/>
              <w:ind w:firstLine="0" w:firstLineChars="0"/>
              <w:jc w:val="left"/>
              <w:textAlignment w:val="center"/>
              <w:rPr>
                <w:rFonts w:hint="eastAsia" w:ascii="宋体" w:hAnsi="宋体" w:eastAsia="宋体" w:cs="宋体"/>
                <w:b w:val="0"/>
                <w:bCs/>
                <w:sz w:val="24"/>
                <w:szCs w:val="24"/>
              </w:rPr>
            </w:pPr>
            <w:r>
              <w:rPr>
                <w:rStyle w:val="261"/>
                <w:rFonts w:hint="eastAsia" w:ascii="宋体" w:hAnsi="宋体" w:eastAsia="宋体" w:cs="宋体"/>
                <w:b w:val="0"/>
                <w:bCs/>
                <w:sz w:val="24"/>
                <w:szCs w:val="24"/>
                <w:lang w:bidi="ar"/>
              </w:rPr>
              <w:t>区域影像信息</w:t>
            </w:r>
            <w:r>
              <w:rPr>
                <w:rStyle w:val="261"/>
                <w:rFonts w:hint="eastAsia" w:ascii="宋体" w:hAnsi="宋体" w:eastAsia="宋体" w:cs="宋体"/>
                <w:b w:val="0"/>
                <w:bCs/>
                <w:sz w:val="24"/>
                <w:szCs w:val="24"/>
                <w:lang w:val="en-US" w:eastAsia="zh-CN" w:bidi="ar"/>
              </w:rPr>
              <w:t>系统</w:t>
            </w:r>
            <w:r>
              <w:rPr>
                <w:rStyle w:val="261"/>
                <w:rFonts w:hint="eastAsia" w:ascii="宋体" w:hAnsi="宋体" w:eastAsia="宋体" w:cs="宋体"/>
                <w:b w:val="0"/>
                <w:bCs/>
                <w:sz w:val="24"/>
                <w:szCs w:val="24"/>
                <w:lang w:bidi="ar"/>
              </w:rPr>
              <w:t>运维</w:t>
            </w:r>
          </w:p>
        </w:tc>
        <w:tc>
          <w:tcPr>
            <w:tcW w:w="1502" w:type="dxa"/>
            <w:noWrap w:val="0"/>
            <w:vAlign w:val="center"/>
          </w:tcPr>
          <w:p w14:paraId="71BE56A3">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12个月</w:t>
            </w:r>
          </w:p>
        </w:tc>
        <w:tc>
          <w:tcPr>
            <w:tcW w:w="1396" w:type="dxa"/>
            <w:vMerge w:val="continue"/>
            <w:noWrap w:val="0"/>
            <w:vAlign w:val="top"/>
          </w:tcPr>
          <w:p w14:paraId="3D2CC508">
            <w:pPr>
              <w:spacing w:line="360" w:lineRule="auto"/>
              <w:rPr>
                <w:rFonts w:hint="eastAsia" w:ascii="宋体" w:hAnsi="宋体" w:eastAsia="宋体" w:cs="宋体"/>
                <w:b w:val="0"/>
                <w:bCs/>
                <w:sz w:val="24"/>
                <w:szCs w:val="24"/>
              </w:rPr>
            </w:pPr>
          </w:p>
        </w:tc>
      </w:tr>
      <w:tr w14:paraId="608C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 w:type="dxa"/>
            <w:noWrap w:val="0"/>
            <w:vAlign w:val="center"/>
          </w:tcPr>
          <w:p w14:paraId="094EB310">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3761" w:type="dxa"/>
            <w:noWrap w:val="0"/>
            <w:vAlign w:val="center"/>
          </w:tcPr>
          <w:p w14:paraId="6DADC352">
            <w:pPr>
              <w:widowControl/>
              <w:spacing w:line="360" w:lineRule="auto"/>
              <w:ind w:firstLine="0" w:firstLineChars="0"/>
              <w:jc w:val="left"/>
              <w:textAlignment w:val="center"/>
              <w:rPr>
                <w:rFonts w:hint="eastAsia" w:ascii="宋体" w:hAnsi="宋体" w:eastAsia="宋体" w:cs="宋体"/>
                <w:b w:val="0"/>
                <w:bCs/>
                <w:sz w:val="24"/>
                <w:szCs w:val="24"/>
              </w:rPr>
            </w:pPr>
            <w:r>
              <w:rPr>
                <w:rFonts w:hint="eastAsia" w:ascii="宋体" w:hAnsi="宋体" w:eastAsia="宋体" w:cs="宋体"/>
                <w:b w:val="0"/>
                <w:bCs/>
                <w:color w:val="000000"/>
                <w:kern w:val="0"/>
                <w:sz w:val="24"/>
                <w:szCs w:val="24"/>
                <w:lang w:bidi="ar"/>
              </w:rPr>
              <w:t>合理用药监测系统软件运维</w:t>
            </w:r>
          </w:p>
        </w:tc>
        <w:tc>
          <w:tcPr>
            <w:tcW w:w="1502" w:type="dxa"/>
            <w:noWrap w:val="0"/>
            <w:vAlign w:val="center"/>
          </w:tcPr>
          <w:p w14:paraId="236AB624">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12个月</w:t>
            </w:r>
          </w:p>
        </w:tc>
        <w:tc>
          <w:tcPr>
            <w:tcW w:w="1396" w:type="dxa"/>
            <w:vMerge w:val="continue"/>
            <w:noWrap w:val="0"/>
            <w:vAlign w:val="top"/>
          </w:tcPr>
          <w:p w14:paraId="146484B7">
            <w:pPr>
              <w:spacing w:line="360" w:lineRule="auto"/>
              <w:rPr>
                <w:rFonts w:hint="eastAsia" w:ascii="宋体" w:hAnsi="宋体" w:eastAsia="宋体" w:cs="宋体"/>
                <w:b w:val="0"/>
                <w:bCs/>
                <w:sz w:val="24"/>
                <w:szCs w:val="24"/>
              </w:rPr>
            </w:pPr>
          </w:p>
        </w:tc>
      </w:tr>
      <w:tr w14:paraId="43A6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 w:type="dxa"/>
            <w:noWrap w:val="0"/>
            <w:vAlign w:val="center"/>
          </w:tcPr>
          <w:p w14:paraId="66BC4F9D">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7</w:t>
            </w:r>
          </w:p>
        </w:tc>
        <w:tc>
          <w:tcPr>
            <w:tcW w:w="3761" w:type="dxa"/>
            <w:noWrap w:val="0"/>
            <w:vAlign w:val="center"/>
          </w:tcPr>
          <w:p w14:paraId="57A8454B">
            <w:pPr>
              <w:widowControl/>
              <w:spacing w:line="360" w:lineRule="auto"/>
              <w:ind w:firstLine="0" w:firstLineChars="0"/>
              <w:jc w:val="left"/>
              <w:textAlignment w:val="center"/>
              <w:rPr>
                <w:rFonts w:hint="eastAsia" w:ascii="宋体" w:hAnsi="宋体" w:eastAsia="宋体" w:cs="宋体"/>
                <w:b w:val="0"/>
                <w:bCs/>
                <w:sz w:val="24"/>
                <w:szCs w:val="24"/>
              </w:rPr>
            </w:pPr>
            <w:r>
              <w:rPr>
                <w:rStyle w:val="261"/>
                <w:rFonts w:hint="eastAsia" w:ascii="宋体" w:hAnsi="宋体" w:eastAsia="宋体" w:cs="宋体"/>
                <w:b w:val="0"/>
                <w:bCs/>
                <w:sz w:val="24"/>
                <w:szCs w:val="24"/>
                <w:lang w:bidi="ar"/>
              </w:rPr>
              <w:t>自助服务系统运维</w:t>
            </w:r>
          </w:p>
        </w:tc>
        <w:tc>
          <w:tcPr>
            <w:tcW w:w="1502" w:type="dxa"/>
            <w:noWrap w:val="0"/>
            <w:vAlign w:val="center"/>
          </w:tcPr>
          <w:p w14:paraId="23D2FB3D">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12个月</w:t>
            </w:r>
          </w:p>
        </w:tc>
        <w:tc>
          <w:tcPr>
            <w:tcW w:w="1396" w:type="dxa"/>
            <w:vMerge w:val="continue"/>
            <w:noWrap w:val="0"/>
            <w:vAlign w:val="top"/>
          </w:tcPr>
          <w:p w14:paraId="0ECD71CE">
            <w:pPr>
              <w:spacing w:line="360" w:lineRule="auto"/>
              <w:rPr>
                <w:rFonts w:hint="eastAsia" w:ascii="宋体" w:hAnsi="宋体" w:eastAsia="宋体" w:cs="宋体"/>
                <w:b w:val="0"/>
                <w:bCs/>
                <w:sz w:val="24"/>
                <w:szCs w:val="24"/>
              </w:rPr>
            </w:pPr>
          </w:p>
        </w:tc>
      </w:tr>
      <w:tr w14:paraId="32F3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5" w:type="dxa"/>
            <w:noWrap w:val="0"/>
            <w:vAlign w:val="center"/>
          </w:tcPr>
          <w:p w14:paraId="2F37901C">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8</w:t>
            </w:r>
          </w:p>
        </w:tc>
        <w:tc>
          <w:tcPr>
            <w:tcW w:w="3761" w:type="dxa"/>
            <w:noWrap w:val="0"/>
            <w:vAlign w:val="center"/>
          </w:tcPr>
          <w:p w14:paraId="4D5CC336">
            <w:pPr>
              <w:widowControl/>
              <w:spacing w:line="360" w:lineRule="auto"/>
              <w:ind w:firstLine="0" w:firstLineChars="0"/>
              <w:textAlignment w:val="center"/>
              <w:rPr>
                <w:rFonts w:hint="eastAsia" w:ascii="宋体" w:hAnsi="宋体" w:eastAsia="宋体" w:cs="宋体"/>
                <w:b w:val="0"/>
                <w:bCs/>
                <w:sz w:val="24"/>
                <w:szCs w:val="24"/>
              </w:rPr>
            </w:pPr>
            <w:r>
              <w:rPr>
                <w:rStyle w:val="261"/>
                <w:rFonts w:hint="eastAsia" w:ascii="宋体" w:hAnsi="宋体" w:eastAsia="宋体" w:cs="宋体"/>
                <w:b w:val="0"/>
                <w:bCs/>
                <w:sz w:val="24"/>
                <w:szCs w:val="24"/>
                <w:lang w:bidi="ar"/>
              </w:rPr>
              <w:t>智能语音外呼服务</w:t>
            </w:r>
          </w:p>
        </w:tc>
        <w:tc>
          <w:tcPr>
            <w:tcW w:w="1502" w:type="dxa"/>
            <w:noWrap w:val="0"/>
            <w:vAlign w:val="center"/>
          </w:tcPr>
          <w:p w14:paraId="609D1078">
            <w:p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12个月</w:t>
            </w:r>
          </w:p>
        </w:tc>
        <w:tc>
          <w:tcPr>
            <w:tcW w:w="1396" w:type="dxa"/>
            <w:vMerge w:val="continue"/>
            <w:noWrap w:val="0"/>
            <w:vAlign w:val="top"/>
          </w:tcPr>
          <w:p w14:paraId="765B73D3">
            <w:pPr>
              <w:spacing w:line="360" w:lineRule="auto"/>
              <w:rPr>
                <w:rFonts w:hint="eastAsia" w:ascii="宋体" w:hAnsi="宋体" w:eastAsia="宋体" w:cs="宋体"/>
                <w:b w:val="0"/>
                <w:bCs/>
                <w:sz w:val="24"/>
                <w:szCs w:val="24"/>
              </w:rPr>
            </w:pPr>
          </w:p>
        </w:tc>
      </w:tr>
    </w:tbl>
    <w:p w14:paraId="7B5CC5F3">
      <w:pPr>
        <w:ind w:firstLine="562"/>
        <w:rPr>
          <w:rFonts w:hint="eastAsia" w:ascii="仿宋" w:hAnsi="仿宋" w:eastAsia="仿宋" w:cs="仿宋"/>
          <w:b/>
        </w:rPr>
      </w:pPr>
    </w:p>
    <w:p w14:paraId="2FF26E1A">
      <w:pPr>
        <w:pStyle w:val="3"/>
        <w:rPr>
          <w:rFonts w:hint="eastAsia" w:ascii="仿宋" w:hAnsi="仿宋" w:eastAsia="仿宋" w:cs="仿宋"/>
        </w:rPr>
      </w:pPr>
      <w:r>
        <w:rPr>
          <w:rFonts w:hint="eastAsia" w:ascii="仿宋" w:hAnsi="仿宋" w:eastAsia="仿宋" w:cs="仿宋"/>
        </w:rPr>
        <w:t>软件运维功能需求</w:t>
      </w:r>
    </w:p>
    <w:p w14:paraId="7D2D3BE1">
      <w:pPr>
        <w:pStyle w:val="4"/>
        <w:rPr>
          <w:rFonts w:hint="eastAsia" w:ascii="仿宋" w:hAnsi="仿宋" w:eastAsia="仿宋" w:cs="仿宋"/>
        </w:rPr>
      </w:pPr>
      <w:r>
        <w:rPr>
          <w:rFonts w:hint="eastAsia" w:ascii="仿宋" w:hAnsi="仿宋" w:eastAsia="仿宋" w:cs="仿宋"/>
        </w:rPr>
        <w:t>区域检验中心系统运维</w:t>
      </w:r>
    </w:p>
    <w:p w14:paraId="382C0C6F">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区域检验中心系统为辖区内17个社区卫生服务中心和站点实现检验结果共享，查询、统计分析、设备通讯软件、危急值等</w:t>
      </w:r>
      <w:r>
        <w:rPr>
          <w:rFonts w:hint="eastAsia" w:ascii="宋体" w:hAnsi="宋体" w:cs="宋体"/>
          <w:sz w:val="24"/>
          <w:szCs w:val="24"/>
          <w:lang w:val="en-US" w:eastAsia="zh-CN"/>
        </w:rPr>
        <w:t>功能</w:t>
      </w:r>
      <w:r>
        <w:rPr>
          <w:rFonts w:hint="eastAsia" w:ascii="宋体" w:hAnsi="宋体" w:cs="宋体"/>
          <w:sz w:val="24"/>
          <w:szCs w:val="24"/>
          <w:lang w:eastAsia="zh-CN"/>
        </w:rPr>
        <w:t>。</w:t>
      </w:r>
      <w:r>
        <w:rPr>
          <w:rFonts w:hint="eastAsia" w:ascii="宋体" w:hAnsi="宋体" w:eastAsia="宋体" w:cs="宋体"/>
          <w:sz w:val="24"/>
          <w:szCs w:val="24"/>
        </w:rPr>
        <w:t>区域检验中心系统包含检验条码打印系统，检验报告发布系统，自助报告打印系统，CA系统接口，BS报告查询系统，以及和各第三方厂家对接接口，</w:t>
      </w:r>
      <w:r>
        <w:rPr>
          <w:rFonts w:hint="eastAsia" w:ascii="宋体" w:hAnsi="宋体" w:cs="宋体"/>
          <w:sz w:val="24"/>
          <w:szCs w:val="24"/>
          <w:lang w:val="en-US" w:eastAsia="zh-CN"/>
        </w:rPr>
        <w:t>软件运维要求承建单位根据应用系统运维要求提供包括但不限于稳定的专业运维队伍</w:t>
      </w:r>
      <w:r>
        <w:rPr>
          <w:rFonts w:hint="eastAsia" w:ascii="宋体" w:hAnsi="宋体" w:eastAsia="宋体" w:cs="宋体"/>
          <w:sz w:val="24"/>
          <w:szCs w:val="24"/>
        </w:rPr>
        <w:t>，满足系统日常维护需求，及时解决系统运行中的各种问题，保障系统正常运行</w:t>
      </w:r>
      <w:r>
        <w:rPr>
          <w:rFonts w:hint="eastAsia" w:ascii="宋体" w:hAnsi="宋体" w:eastAsia="宋体" w:cs="宋体"/>
          <w:sz w:val="24"/>
          <w:szCs w:val="24"/>
          <w:lang w:eastAsia="zh-CN"/>
        </w:rPr>
        <w:t>，</w:t>
      </w:r>
      <w:r>
        <w:rPr>
          <w:rFonts w:hint="eastAsia" w:ascii="宋体" w:hAnsi="宋体" w:cs="宋体"/>
          <w:sz w:val="24"/>
          <w:szCs w:val="24"/>
          <w:lang w:val="en-US" w:eastAsia="zh-CN"/>
        </w:rPr>
        <w:t>建设单位</w:t>
      </w:r>
      <w:r>
        <w:rPr>
          <w:rFonts w:hint="eastAsia" w:ascii="宋体" w:hAnsi="宋体" w:eastAsia="宋体" w:cs="宋体"/>
          <w:sz w:val="24"/>
          <w:szCs w:val="24"/>
          <w:lang w:val="en-US" w:eastAsia="zh-CN"/>
        </w:rPr>
        <w:t>根据区财政项目支出绩效目标，对运维服务</w:t>
      </w:r>
      <w:r>
        <w:rPr>
          <w:rFonts w:hint="eastAsia" w:ascii="宋体" w:hAnsi="宋体" w:cs="宋体"/>
          <w:sz w:val="24"/>
          <w:szCs w:val="24"/>
          <w:lang w:val="en-US" w:eastAsia="zh-CN"/>
        </w:rPr>
        <w:t>承建单位</w:t>
      </w:r>
      <w:r>
        <w:rPr>
          <w:rFonts w:hint="eastAsia" w:ascii="宋体" w:hAnsi="宋体" w:eastAsia="宋体" w:cs="宋体"/>
          <w:sz w:val="24"/>
          <w:szCs w:val="24"/>
          <w:lang w:val="en-US" w:eastAsia="zh-CN"/>
        </w:rPr>
        <w:t>进行综合评估，以达到预期运维效果</w:t>
      </w:r>
      <w:r>
        <w:rPr>
          <w:rFonts w:hint="eastAsia" w:ascii="宋体" w:hAnsi="宋体" w:eastAsia="宋体" w:cs="宋体"/>
          <w:sz w:val="24"/>
          <w:szCs w:val="24"/>
        </w:rPr>
        <w:t>。</w:t>
      </w:r>
    </w:p>
    <w:p w14:paraId="7C47838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区域检中心平台系统运维服务包括:区域检验中心软件基本维护、社区卫生服务中心基本运维服务、社区服务站点运维服务等。</w:t>
      </w:r>
    </w:p>
    <w:p w14:paraId="40E9C244">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区域检验中心软件基本维护要求：针对大兴区区域检验中心系统软件涉及区域标准库代码统一管理、报告共享查询、业务统计监管、医疗卫生信息共享与协同服务、数据共享采集接口标准服务、报告单统一格式管理、应用安全审计和平台管理等多项后台服务管理组件进行日常运维。其中包括软件接口功能运维，软件接口是业务信息共享服务层，在软件信息资源库的基础上提供基础的业务数据共享服务，进而提供给HIS系统、电子病历、合理用药等系统为中心的信息共享和业务协同等服务，信息接口服务、隐私保护权限和应用安全审计和平台管理，不断优化满足应用要求。</w:t>
      </w:r>
    </w:p>
    <w:p w14:paraId="21C5535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社区卫生服务中心区域检验软件运维服务要求：基层卫生机构不断增加检验仪器通讯扩展，检验仪器与系统紧密关联，需要对检验设备通讯过程中数据通讯维护，试剂更换通道维护等基础情况均是通过区域检验软件实现通讯数据采集；检验质控管理，统计分析管理是软件的核心也是基础，其中数据质量又是重中之重，故需要长期的、持之以恒的关注及维护。区域社区服务中心及站点检验结果是实现结果共享，对报告单格式统一化，报告单调整优化需要满足业务要求，对软件的任务做到定期优化调整，以及针对社区卫生服务中心门诊采血模块升级改造。</w:t>
      </w:r>
    </w:p>
    <w:p w14:paraId="5223C56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社区卫生服务站点区域检验软件运维服务要求：检验结果是实现结果共享报告单格式统一化，报告单调整优化，对实现的基层要求的任务做到定期优化调整。区域社区服务站点门诊采血模块升级改造，按照要求开发北京电子医保凭证数据交互等开发要求</w:t>
      </w:r>
    </w:p>
    <w:p w14:paraId="70AA9596">
      <w:pPr>
        <w:spacing w:line="360" w:lineRule="auto"/>
        <w:ind w:firstLine="422"/>
        <w:rPr>
          <w:rFonts w:hint="eastAsia" w:ascii="宋体" w:hAnsi="宋体" w:eastAsia="宋体" w:cs="宋体"/>
          <w:b/>
          <w:bCs/>
          <w:kern w:val="0"/>
          <w:sz w:val="24"/>
          <w:szCs w:val="24"/>
        </w:rPr>
      </w:pPr>
    </w:p>
    <w:p w14:paraId="12B800BF">
      <w:pPr>
        <w:pStyle w:val="4"/>
        <w:rPr>
          <w:rFonts w:hint="eastAsia" w:ascii="仿宋" w:hAnsi="仿宋" w:eastAsia="仿宋" w:cs="仿宋"/>
        </w:rPr>
      </w:pPr>
      <w:r>
        <w:rPr>
          <w:rFonts w:hint="eastAsia" w:ascii="仿宋" w:hAnsi="仿宋" w:eastAsia="仿宋" w:cs="仿宋"/>
        </w:rPr>
        <w:t>区域电子病历系统运维</w:t>
      </w:r>
    </w:p>
    <w:p w14:paraId="2A233E7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区域电子病历系统运维</w:t>
      </w:r>
      <w:r>
        <w:rPr>
          <w:rFonts w:hint="eastAsia" w:ascii="宋体" w:hAnsi="宋体" w:eastAsia="宋体" w:cs="宋体"/>
          <w:sz w:val="24"/>
          <w:szCs w:val="24"/>
          <w:lang w:val="en-US" w:eastAsia="zh-CN"/>
        </w:rPr>
        <w:t>要求</w:t>
      </w:r>
      <w:r>
        <w:rPr>
          <w:rFonts w:hint="eastAsia" w:ascii="宋体" w:hAnsi="宋体" w:eastAsia="宋体" w:cs="宋体"/>
          <w:sz w:val="24"/>
          <w:szCs w:val="24"/>
        </w:rPr>
        <w:t>包括：</w:t>
      </w:r>
      <w:r>
        <w:rPr>
          <w:rFonts w:hint="eastAsia" w:ascii="宋体" w:hAnsi="宋体" w:eastAsia="宋体" w:cs="宋体"/>
          <w:sz w:val="24"/>
          <w:szCs w:val="24"/>
          <w:lang w:val="en-US" w:eastAsia="zh-CN"/>
        </w:rPr>
        <w:t>确保社区卫生服务中心的</w:t>
      </w:r>
      <w:r>
        <w:rPr>
          <w:rFonts w:hint="eastAsia" w:ascii="宋体" w:hAnsi="宋体" w:eastAsia="宋体" w:cs="宋体"/>
          <w:sz w:val="24"/>
          <w:szCs w:val="24"/>
        </w:rPr>
        <w:t>区域电子病历系统</w:t>
      </w:r>
      <w:r>
        <w:rPr>
          <w:rFonts w:hint="eastAsia" w:ascii="宋体" w:hAnsi="宋体" w:eastAsia="宋体" w:cs="宋体"/>
          <w:sz w:val="24"/>
          <w:szCs w:val="24"/>
          <w:lang w:val="en-US" w:eastAsia="zh-CN"/>
        </w:rPr>
        <w:t>正常运行，</w:t>
      </w:r>
      <w:r>
        <w:rPr>
          <w:rFonts w:hint="eastAsia" w:ascii="宋体" w:hAnsi="宋体" w:eastAsia="宋体" w:cs="宋体"/>
          <w:sz w:val="24"/>
          <w:szCs w:val="24"/>
        </w:rPr>
        <w:t>通过对大兴区域电子病历系统运维促使临床医生高效的完成病历书写，通过系统自动监控，减少病历错误，提高病历质量；保障大兴区域电子病历系统内的病历资料以及诊疗数据的数字化存储共享的正常运行；通过系统对医院内的患者就诊数据进行统计与分析，支撑后续工作的数据使用。</w:t>
      </w:r>
    </w:p>
    <w:p w14:paraId="4979092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确保区域电子病历系统能够正常运行，保障医疗机构临床医生高效的完成病历书，提高病历质量，通过系统对全区域内的患者就诊数据进行统计与分析，为大兴区卫健委提供后续指导工作的数据支撑。确保区域卫生信息的统一数据标准规范、医疗卫生信息资源区域共享，实现医疗信息及医疗资源的合理分配及共享，为卫生主管机构的医疗监管提供有效保障。实现跨机构间电子病历信息共享、电子病历与健康档案共享互动。区域电子病历系统运维要求，实现保障各类医护人员能够根据职责要求填写电子病历，为确保大兴区域电子病历系统稳定运行，支撑临床医生高效、准确地完成病历书写，并通过系统自动监控有效减少病历错误、提升病历质量，同时保障区域内病历资料及诊疗数据的数字化安全存储、顺畅共享与合规使用，并通过对全区域患者就诊数据的持续统计与分析，为大兴区卫健委后续工作指导提供坚实的数据支撑，本项目运维的核心要求在于：实现系统对各类医护人员按职责要求填写电子病历的全过程保障，确保包括病案管理、感染卡上报、区域智能化监管分析、区域协同应用、区域质控管理及卫生资源管理在内的各项功能持续正常运行，进而推动区域卫生信息统一标准规范落实、促进医疗卫生信息资源跨机构共享、助力医疗信息与资源的合理分配，为卫生主管机构实施有效医疗监管提供基础保障，最终实现跨机构电子病历信息共享及与居民健康档案的互动。为此，运维工作将着重强化以下关键环节：实施每季度系统性能巡检（涵盖数据库状态、核心业务响应时间监控）与数据质量实时校验（自动拦截术语错误、逻辑矛盾），执行每周索引优化及接口健康监测（确保与区域健康平台、医保系统等外部接口的双向通信正常），进行每月模拟压测与安全补丁更新，同时结合季度数据标准符合度稽核与权限合规审计；通过建立数据血缘追踪机制保障全链路可追溯，最终输出每季度健康报告、每周数据修复清单、月度协同效能分析及季度优化，形成覆盖性能、数据、功能、共享与安全的闭环运维体系，确保持续提升临床效率、保障数据价值、赋能区域决策。</w:t>
      </w:r>
    </w:p>
    <w:p w14:paraId="037F0D3B">
      <w:pPr>
        <w:spacing w:line="360" w:lineRule="auto"/>
        <w:ind w:firstLine="480"/>
        <w:rPr>
          <w:rFonts w:hint="eastAsia" w:ascii="宋体" w:hAnsi="宋体" w:eastAsia="宋体" w:cs="宋体"/>
          <w:color w:val="000000"/>
          <w:sz w:val="24"/>
          <w:szCs w:val="24"/>
        </w:rPr>
      </w:pPr>
    </w:p>
    <w:p w14:paraId="5C90361D">
      <w:pPr>
        <w:ind w:firstLine="480"/>
        <w:rPr>
          <w:rFonts w:hint="eastAsia" w:ascii="仿宋" w:hAnsi="仿宋" w:eastAsia="仿宋" w:cs="仿宋"/>
          <w:color w:val="000000"/>
          <w:sz w:val="24"/>
        </w:rPr>
      </w:pPr>
    </w:p>
    <w:p w14:paraId="2C8D043F">
      <w:pPr>
        <w:pStyle w:val="4"/>
        <w:rPr>
          <w:rFonts w:hint="eastAsia" w:ascii="仿宋" w:hAnsi="仿宋" w:eastAsia="仿宋" w:cs="仿宋"/>
        </w:rPr>
      </w:pPr>
      <w:r>
        <w:rPr>
          <w:rFonts w:hint="eastAsia" w:ascii="仿宋" w:hAnsi="仿宋" w:eastAsia="仿宋" w:cs="仿宋"/>
        </w:rPr>
        <w:t>远程心电系统运维</w:t>
      </w:r>
    </w:p>
    <w:p w14:paraId="237E079B">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远程心电系统运维</w:t>
      </w:r>
      <w:r>
        <w:rPr>
          <w:rFonts w:hint="eastAsia" w:ascii="宋体" w:hAnsi="宋体" w:eastAsia="宋体" w:cs="宋体"/>
          <w:sz w:val="24"/>
          <w:szCs w:val="24"/>
          <w:lang w:val="en-US" w:eastAsia="zh-CN"/>
        </w:rPr>
        <w:t>要求</w:t>
      </w:r>
      <w:r>
        <w:rPr>
          <w:rFonts w:hint="eastAsia" w:ascii="宋体" w:hAnsi="宋体" w:eastAsia="宋体" w:cs="宋体"/>
          <w:sz w:val="24"/>
          <w:szCs w:val="24"/>
        </w:rPr>
        <w:t>包括：</w:t>
      </w:r>
      <w:r>
        <w:rPr>
          <w:rFonts w:hint="eastAsia" w:ascii="宋体" w:hAnsi="宋体" w:eastAsia="宋体" w:cs="宋体"/>
          <w:sz w:val="24"/>
          <w:szCs w:val="24"/>
          <w:lang w:val="en-US" w:eastAsia="zh-CN"/>
        </w:rPr>
        <w:t>确保社区卫生服务中心的</w:t>
      </w:r>
      <w:r>
        <w:rPr>
          <w:rFonts w:hint="eastAsia" w:ascii="宋体" w:hAnsi="宋体" w:eastAsia="宋体" w:cs="宋体"/>
          <w:sz w:val="24"/>
          <w:szCs w:val="24"/>
        </w:rPr>
        <w:t>远程心电系统</w:t>
      </w:r>
      <w:r>
        <w:rPr>
          <w:rFonts w:hint="eastAsia" w:ascii="宋体" w:hAnsi="宋体" w:eastAsia="宋体" w:cs="宋体"/>
          <w:sz w:val="24"/>
          <w:szCs w:val="24"/>
          <w:lang w:val="en-US" w:eastAsia="zh-CN"/>
        </w:rPr>
        <w:t>正常运行，包含心电、动态心电会诊移动工作站软件、心电、动态心电会诊工作站软件、动态心电分析系统运维，负责远程心电会诊中心心电系统与基层医院的会诊管理；负责心电平台的应用及日志检测；负责中心数据的安全维护。</w:t>
      </w:r>
    </w:p>
    <w:p w14:paraId="3CF86276">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区域内基层医院、社区卫生服务站及急救站心电会诊的正常运转，包含原始心电图机连接软件、多导联心电分析系统运维，负责基层医院、社区卫生服务站及急救站心电系统与心电诊断中心的传输管理；负责心电软件的应用及日志检测；负责心电系统数据的安全维护。</w:t>
      </w:r>
    </w:p>
    <w:p w14:paraId="68F97A43">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为远程心电信息系统的软件定期提供巡检服务，检查系统运行情况，并结合系统性能、进行维护，优化，调试，以及BUG修复等。</w:t>
      </w:r>
    </w:p>
    <w:p w14:paraId="5D47978F">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确保</w:t>
      </w:r>
      <w:r>
        <w:rPr>
          <w:rFonts w:hint="eastAsia" w:ascii="宋体" w:hAnsi="宋体" w:eastAsia="宋体" w:cs="宋体"/>
          <w:sz w:val="24"/>
          <w:szCs w:val="24"/>
        </w:rPr>
        <w:t>远程心电系统</w:t>
      </w:r>
      <w:r>
        <w:rPr>
          <w:rFonts w:hint="eastAsia" w:ascii="宋体" w:hAnsi="宋体" w:eastAsia="宋体" w:cs="宋体"/>
          <w:sz w:val="24"/>
          <w:szCs w:val="24"/>
          <w:lang w:val="en-US" w:eastAsia="zh-CN"/>
        </w:rPr>
        <w:t>运行稳定，保障所有心电数据的数字化存储，以及医疗机构内信息的共享的正常运行。</w:t>
      </w:r>
    </w:p>
    <w:p w14:paraId="0045A4DD">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确保实现静态心电图疑难诊断和诊断分析报告的正常运行。</w:t>
      </w:r>
    </w:p>
    <w:p w14:paraId="6D23139F">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对社区心电网络系统项目进行维护，优化，调试，以及BUG修复等。</w:t>
      </w:r>
    </w:p>
    <w:p w14:paraId="5190EFD3">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软件运维服务期间保障现场故障解决需求，配备有项目管理及相关项目运维经验的人员开展相关工作，当问题发生时要在第一时间主动向相关项目管理人员汇报，半个小时内找到问题处理方向并及时汇报，一个小时内给出具体的解决方案并妥善解决，事后在当天要输出问题处置说明，充分说明问题的产生原因及问题分析和下一步优化计划，确保不发生类似问题。针对本项目运维的软件相关问题提供现场支持服务，针对软件系统数据库宕机、数据损坏等软件数据库无法正常提供服务的情况进行修复和数据恢复。在重大活动及重要时间段内，要检查系统软件数据库配置及运行情况，包括资源占用情况、数据空间使用情况、异常日志文件、日常备份情况及系统安全情况等，并根据运行现状，对系统的配置及运作框架提出建议，降低数据丢失、安全漏洞、系统崩溃、性能降低及资源紧张等系统潜在风险。并及时修复程序BUG。</w:t>
      </w:r>
    </w:p>
    <w:p w14:paraId="52A62769">
      <w:pPr>
        <w:spacing w:line="56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按需</w:t>
      </w:r>
      <w:r>
        <w:rPr>
          <w:rFonts w:hint="eastAsia" w:ascii="宋体" w:hAnsi="宋体" w:eastAsia="宋体" w:cs="宋体"/>
          <w:sz w:val="24"/>
          <w:szCs w:val="24"/>
          <w:lang w:val="en-US" w:eastAsia="zh-CN"/>
        </w:rPr>
        <w:t>每</w:t>
      </w:r>
      <w:r>
        <w:rPr>
          <w:rFonts w:hint="default" w:ascii="宋体" w:hAnsi="宋体" w:eastAsia="宋体" w:cs="宋体"/>
          <w:sz w:val="24"/>
          <w:szCs w:val="24"/>
          <w:lang w:val="en-US" w:eastAsia="zh-CN"/>
        </w:rPr>
        <w:t>季度</w:t>
      </w:r>
      <w:r>
        <w:rPr>
          <w:rFonts w:hint="eastAsia" w:ascii="宋体" w:hAnsi="宋体" w:eastAsia="宋体" w:cs="宋体"/>
          <w:sz w:val="24"/>
          <w:szCs w:val="24"/>
          <w:lang w:val="en-US" w:eastAsia="zh-CN"/>
        </w:rPr>
        <w:t>现场巡检服务</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现场巡检按照运维工作计划和工作规范，指派有工作经验及能力较高的工程师对业务系统进行巡检，巡检包括区级数据中心（区卫生健康委数据中心）现场及基层医疗机构</w:t>
      </w:r>
      <w:r>
        <w:rPr>
          <w:rFonts w:hint="eastAsia" w:ascii="宋体" w:hAnsi="宋体" w:cs="宋体"/>
          <w:sz w:val="24"/>
          <w:szCs w:val="24"/>
          <w:lang w:val="en-US" w:eastAsia="zh-CN"/>
        </w:rPr>
        <w:t>及下属社区卫生服务站</w:t>
      </w:r>
      <w:r>
        <w:rPr>
          <w:rFonts w:hint="eastAsia" w:ascii="宋体" w:hAnsi="宋体" w:eastAsia="宋体" w:cs="宋体"/>
          <w:sz w:val="24"/>
          <w:szCs w:val="24"/>
          <w:lang w:val="en-US" w:eastAsia="zh-CN"/>
        </w:rPr>
        <w:t>，在巡检结束后要求用户方及基层医疗机构</w:t>
      </w:r>
      <w:r>
        <w:rPr>
          <w:rFonts w:hint="eastAsia" w:ascii="宋体" w:hAnsi="宋体" w:cs="宋体"/>
          <w:sz w:val="24"/>
          <w:szCs w:val="24"/>
          <w:lang w:val="en-US" w:eastAsia="zh-CN"/>
        </w:rPr>
        <w:t>负责人</w:t>
      </w:r>
      <w:r>
        <w:rPr>
          <w:rFonts w:hint="eastAsia" w:ascii="宋体" w:hAnsi="宋体" w:eastAsia="宋体" w:cs="宋体"/>
          <w:sz w:val="24"/>
          <w:szCs w:val="24"/>
          <w:lang w:val="en-US" w:eastAsia="zh-CN"/>
        </w:rPr>
        <w:t>进行签字确认</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巡检结束后，应</w:t>
      </w:r>
      <w:r>
        <w:rPr>
          <w:rFonts w:hint="eastAsia" w:ascii="宋体" w:hAnsi="宋体" w:cs="宋体"/>
          <w:sz w:val="24"/>
          <w:szCs w:val="24"/>
          <w:lang w:val="en-US" w:eastAsia="zh-CN"/>
        </w:rPr>
        <w:t>根据采购方要求，一周内</w:t>
      </w:r>
      <w:r>
        <w:rPr>
          <w:rFonts w:hint="eastAsia" w:ascii="宋体" w:hAnsi="宋体" w:eastAsia="宋体" w:cs="宋体"/>
          <w:sz w:val="24"/>
          <w:szCs w:val="24"/>
          <w:lang w:val="en-US" w:eastAsia="zh-CN"/>
        </w:rPr>
        <w:t>对巡检内容进行汇总并形成巡检报告。</w:t>
      </w:r>
    </w:p>
    <w:p w14:paraId="2A2D2F05">
      <w:pPr>
        <w:spacing w:line="56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编制业务系统应急预案</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根据采购方统一要求，及时修订应急预案，在发生突发事件时能够科学有效处置，保障不影响正常诊疗秩序。主动配合采购方完成如漏洞补丁修复、系统升级、现场整改等相关工作</w:t>
      </w:r>
      <w:r>
        <w:rPr>
          <w:rFonts w:hint="eastAsia" w:ascii="宋体" w:hAnsi="宋体" w:eastAsia="宋体" w:cs="宋体"/>
          <w:sz w:val="24"/>
          <w:szCs w:val="24"/>
          <w:lang w:val="en-US" w:eastAsia="zh-CN"/>
        </w:rPr>
        <w:t>。配合用户完成指定业务系统的应急演练。应按照应急预案提供详细科学的突发事件应急响应。</w:t>
      </w:r>
    </w:p>
    <w:p w14:paraId="5D7BED6A">
      <w:pPr>
        <w:pStyle w:val="4"/>
        <w:rPr>
          <w:rFonts w:hint="eastAsia" w:ascii="仿宋" w:hAnsi="仿宋" w:eastAsia="仿宋" w:cs="仿宋"/>
        </w:rPr>
      </w:pPr>
      <w:r>
        <w:rPr>
          <w:rFonts w:hint="default" w:ascii="宋体" w:hAnsi="宋体" w:eastAsia="宋体" w:cs="宋体"/>
          <w:sz w:val="24"/>
          <w:szCs w:val="24"/>
          <w:lang w:val="en-US" w:eastAsia="zh-CN"/>
        </w:rPr>
        <w:t>根据运维管理规范，通过远程的方式进行系统的运维日常工作，在接到用户方的通知或者电话后，立即进行响应，提供7×24小时的电话及相关远程工具技术支持服务</w:t>
      </w:r>
      <w:r>
        <w:rPr>
          <w:rFonts w:hint="eastAsia" w:ascii="宋体" w:hAnsi="宋体" w:cs="宋体"/>
          <w:sz w:val="24"/>
          <w:szCs w:val="24"/>
          <w:lang w:val="en-US" w:eastAsia="zh-CN"/>
        </w:rPr>
        <w:t>，</w:t>
      </w:r>
      <w:r>
        <w:rPr>
          <w:rFonts w:hint="default" w:ascii="宋体" w:hAnsi="宋体" w:eastAsia="宋体" w:cs="宋体"/>
          <w:sz w:val="24"/>
          <w:szCs w:val="24"/>
          <w:lang w:val="en-US" w:eastAsia="zh-CN"/>
        </w:rPr>
        <w:t>电话和相关远程工具支持无法解决故障，</w:t>
      </w:r>
      <w:r>
        <w:rPr>
          <w:rFonts w:hint="eastAsia" w:ascii="宋体" w:hAnsi="宋体" w:eastAsia="宋体" w:cs="宋体"/>
          <w:sz w:val="24"/>
          <w:szCs w:val="24"/>
          <w:lang w:val="en-US" w:eastAsia="zh-CN"/>
        </w:rPr>
        <w:t>公司</w:t>
      </w:r>
      <w:r>
        <w:rPr>
          <w:rFonts w:hint="default" w:ascii="宋体" w:hAnsi="宋体" w:eastAsia="宋体" w:cs="宋体"/>
          <w:sz w:val="24"/>
          <w:szCs w:val="24"/>
          <w:lang w:val="en-US" w:eastAsia="zh-CN"/>
        </w:rPr>
        <w:t>安排工程师2小时内到场支持。</w:t>
      </w:r>
    </w:p>
    <w:p w14:paraId="558C539D">
      <w:pPr>
        <w:pStyle w:val="4"/>
        <w:rPr>
          <w:rFonts w:hint="eastAsia" w:ascii="仿宋" w:hAnsi="仿宋" w:eastAsia="仿宋" w:cs="仿宋"/>
        </w:rPr>
      </w:pPr>
      <w:r>
        <w:rPr>
          <w:rFonts w:hint="eastAsia" w:ascii="仿宋" w:hAnsi="仿宋" w:eastAsia="仿宋" w:cs="仿宋"/>
        </w:rPr>
        <w:t>人口健康信息平台运维</w:t>
      </w:r>
    </w:p>
    <w:p w14:paraId="7C55FFBC">
      <w:pPr>
        <w:spacing w:after="156" w:afterLines="50" w:line="360" w:lineRule="auto"/>
        <w:ind w:firstLine="480"/>
        <w:rPr>
          <w:rFonts w:hint="eastAsia" w:ascii="宋体" w:hAnsi="宋体" w:cs="宋体"/>
          <w:sz w:val="24"/>
          <w:szCs w:val="24"/>
          <w:lang w:eastAsia="zh-CN"/>
        </w:rPr>
      </w:pPr>
      <w:r>
        <w:rPr>
          <w:rFonts w:hint="eastAsia" w:ascii="宋体" w:hAnsi="宋体" w:eastAsia="宋体" w:cs="宋体"/>
          <w:sz w:val="24"/>
          <w:szCs w:val="24"/>
        </w:rPr>
        <w:t>大兴区人口健康信息平台运维</w:t>
      </w:r>
      <w:r>
        <w:rPr>
          <w:rFonts w:hint="eastAsia" w:ascii="宋体" w:hAnsi="宋体" w:cs="宋体"/>
          <w:sz w:val="24"/>
          <w:szCs w:val="24"/>
          <w:lang w:val="en-US" w:eastAsia="zh-CN"/>
        </w:rPr>
        <w:t>软件要求</w:t>
      </w:r>
      <w:r>
        <w:rPr>
          <w:rFonts w:hint="eastAsia" w:ascii="宋体" w:hAnsi="宋体" w:eastAsia="宋体" w:cs="宋体"/>
          <w:sz w:val="24"/>
          <w:szCs w:val="24"/>
        </w:rPr>
        <w:t>包括：</w:t>
      </w:r>
      <w:r>
        <w:rPr>
          <w:rFonts w:hint="eastAsia" w:ascii="宋体" w:hAnsi="宋体" w:cs="宋体"/>
          <w:sz w:val="24"/>
          <w:szCs w:val="24"/>
          <w:lang w:val="en-US" w:eastAsia="zh-CN"/>
        </w:rPr>
        <w:t>健康大兴APP、</w:t>
      </w:r>
      <w:r>
        <w:rPr>
          <w:rFonts w:hint="eastAsia" w:ascii="宋体" w:hAnsi="宋体" w:eastAsia="宋体" w:cs="宋体"/>
          <w:sz w:val="24"/>
          <w:szCs w:val="24"/>
        </w:rPr>
        <w:t>家庭医生签约服务、基层公共卫生管理系统</w:t>
      </w:r>
      <w:r>
        <w:rPr>
          <w:rFonts w:hint="eastAsia" w:ascii="宋体" w:hAnsi="宋体" w:cs="宋体"/>
          <w:sz w:val="24"/>
          <w:szCs w:val="24"/>
          <w:lang w:eastAsia="zh-CN"/>
        </w:rPr>
        <w:t>、</w:t>
      </w:r>
      <w:r>
        <w:rPr>
          <w:rFonts w:hint="eastAsia" w:ascii="宋体" w:hAnsi="宋体" w:eastAsia="宋体" w:cs="宋体"/>
          <w:sz w:val="24"/>
          <w:szCs w:val="24"/>
        </w:rPr>
        <w:t>健康档案共享系统、智能提示系统、基层医疗信息系统、统一支付</w:t>
      </w:r>
      <w:r>
        <w:rPr>
          <w:rFonts w:hint="eastAsia" w:ascii="宋体" w:hAnsi="宋体" w:cs="宋体"/>
          <w:sz w:val="24"/>
          <w:szCs w:val="24"/>
          <w:lang w:eastAsia="zh-CN"/>
        </w:rPr>
        <w:t>、</w:t>
      </w:r>
      <w:r>
        <w:rPr>
          <w:rFonts w:hint="eastAsia" w:ascii="宋体" w:hAnsi="宋体" w:eastAsia="宋体" w:cs="宋体"/>
          <w:sz w:val="24"/>
          <w:szCs w:val="24"/>
        </w:rPr>
        <w:t>相关接口</w:t>
      </w:r>
      <w:r>
        <w:rPr>
          <w:rFonts w:hint="eastAsia" w:ascii="宋体" w:hAnsi="宋体" w:cs="宋体"/>
          <w:sz w:val="24"/>
          <w:szCs w:val="24"/>
          <w:lang w:val="en-US" w:eastAsia="zh-CN"/>
        </w:rPr>
        <w:t>等</w:t>
      </w:r>
      <w:r>
        <w:rPr>
          <w:rFonts w:hint="eastAsia" w:ascii="宋体" w:hAnsi="宋体" w:eastAsia="宋体" w:cs="宋体"/>
          <w:sz w:val="24"/>
          <w:szCs w:val="24"/>
        </w:rPr>
        <w:t>运维工作</w:t>
      </w:r>
      <w:r>
        <w:rPr>
          <w:rFonts w:hint="eastAsia" w:ascii="宋体" w:hAnsi="宋体" w:cs="宋体"/>
          <w:sz w:val="24"/>
          <w:szCs w:val="24"/>
          <w:lang w:eastAsia="zh-CN"/>
        </w:rPr>
        <w:t>。</w:t>
      </w:r>
    </w:p>
    <w:p w14:paraId="09DB0CA1">
      <w:pPr>
        <w:spacing w:after="156" w:afterLines="50" w:line="360" w:lineRule="auto"/>
        <w:ind w:firstLine="480"/>
        <w:rPr>
          <w:rFonts w:hint="default" w:ascii="宋体" w:hAnsi="宋体" w:cs="宋体"/>
          <w:sz w:val="24"/>
          <w:szCs w:val="24"/>
          <w:lang w:val="en-US" w:eastAsia="zh-CN"/>
        </w:rPr>
      </w:pPr>
      <w:r>
        <w:rPr>
          <w:rFonts w:hint="eastAsia" w:ascii="宋体" w:hAnsi="宋体" w:cs="宋体"/>
          <w:sz w:val="24"/>
          <w:szCs w:val="24"/>
          <w:lang w:val="en-US" w:eastAsia="zh-CN"/>
        </w:rPr>
        <w:t>运维的整体工作要求包括：解决大兴区卫生健康委员会管理部门、社区卫生服务中心、居民用户的系统使用、咨询、报障和投诉，针对反馈的问题诊断、分析、跟踪与解决。</w:t>
      </w:r>
      <w:r>
        <w:rPr>
          <w:rFonts w:hint="eastAsia" w:ascii="宋体" w:hAnsi="宋体" w:eastAsia="宋体" w:cs="宋体"/>
          <w:sz w:val="24"/>
          <w:szCs w:val="24"/>
        </w:rPr>
        <w:t>业务应用</w:t>
      </w:r>
      <w:r>
        <w:rPr>
          <w:rFonts w:hint="eastAsia" w:ascii="宋体" w:hAnsi="宋体" w:cs="宋体"/>
          <w:sz w:val="24"/>
          <w:szCs w:val="24"/>
          <w:lang w:val="en-US" w:eastAsia="zh-CN"/>
        </w:rPr>
        <w:t>常规功能修复</w:t>
      </w:r>
      <w:r>
        <w:rPr>
          <w:rFonts w:hint="eastAsia" w:ascii="宋体" w:hAnsi="宋体" w:eastAsia="宋体" w:cs="宋体"/>
          <w:sz w:val="24"/>
          <w:szCs w:val="24"/>
        </w:rPr>
        <w:t>模块的部署、升级</w:t>
      </w:r>
      <w:r>
        <w:rPr>
          <w:rFonts w:hint="eastAsia" w:ascii="宋体" w:hAnsi="宋体" w:cs="宋体"/>
          <w:sz w:val="24"/>
          <w:szCs w:val="24"/>
          <w:lang w:eastAsia="zh-CN"/>
        </w:rPr>
        <w:t>，应用服务（API接口）的可用性、响应时间、错误监控，</w:t>
      </w:r>
      <w:r>
        <w:rPr>
          <w:rFonts w:hint="eastAsia" w:ascii="宋体" w:hAnsi="宋体" w:cs="宋体"/>
          <w:sz w:val="24"/>
          <w:szCs w:val="24"/>
          <w:lang w:val="en-US" w:eastAsia="zh-CN"/>
        </w:rPr>
        <w:t>以及系统</w:t>
      </w:r>
      <w:r>
        <w:rPr>
          <w:rFonts w:hint="eastAsia" w:ascii="宋体" w:hAnsi="宋体" w:cs="宋体"/>
          <w:sz w:val="24"/>
          <w:szCs w:val="24"/>
          <w:lang w:eastAsia="zh-CN"/>
        </w:rPr>
        <w:t>用户访问日志分析，</w:t>
      </w:r>
      <w:r>
        <w:rPr>
          <w:rFonts w:hint="eastAsia" w:ascii="宋体" w:hAnsi="宋体" w:cs="宋体"/>
          <w:sz w:val="24"/>
          <w:szCs w:val="24"/>
          <w:lang w:val="en-US" w:eastAsia="zh-CN"/>
        </w:rPr>
        <w:t>业务系统</w:t>
      </w:r>
      <w:r>
        <w:rPr>
          <w:rFonts w:hint="eastAsia" w:ascii="宋体" w:hAnsi="宋体" w:cs="宋体"/>
          <w:sz w:val="24"/>
          <w:szCs w:val="24"/>
          <w:lang w:eastAsia="zh-CN"/>
        </w:rPr>
        <w:t>性能瓶颈识别与调优（代码层面），</w:t>
      </w:r>
      <w:r>
        <w:rPr>
          <w:rFonts w:hint="eastAsia" w:ascii="宋体" w:hAnsi="宋体" w:cs="宋体"/>
          <w:sz w:val="24"/>
          <w:szCs w:val="24"/>
          <w:lang w:val="en-US" w:eastAsia="zh-CN"/>
        </w:rPr>
        <w:t>以及相关第三方接口运行状态的监控。</w:t>
      </w:r>
    </w:p>
    <w:p w14:paraId="10DD8200">
      <w:pPr>
        <w:spacing w:after="156" w:afterLines="50"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每个子系统详细功能</w:t>
      </w:r>
      <w:r>
        <w:rPr>
          <w:rFonts w:hint="eastAsia" w:ascii="宋体" w:hAnsi="宋体" w:eastAsia="宋体" w:cs="宋体"/>
          <w:sz w:val="24"/>
          <w:szCs w:val="24"/>
        </w:rPr>
        <w:t>日常运维工作，</w:t>
      </w:r>
      <w:r>
        <w:rPr>
          <w:rFonts w:hint="eastAsia" w:ascii="宋体" w:hAnsi="宋体" w:cs="宋体"/>
          <w:sz w:val="24"/>
          <w:szCs w:val="24"/>
          <w:lang w:val="en-US" w:eastAsia="zh-CN"/>
        </w:rPr>
        <w:t>详细要求如下</w:t>
      </w:r>
      <w:r>
        <w:rPr>
          <w:rFonts w:hint="eastAsia" w:ascii="宋体" w:hAnsi="宋体" w:eastAsia="宋体" w:cs="宋体"/>
          <w:sz w:val="24"/>
          <w:szCs w:val="24"/>
        </w:rPr>
        <w:t>：</w:t>
      </w:r>
    </w:p>
    <w:p w14:paraId="07BCA357">
      <w:pPr>
        <w:spacing w:after="156" w:afterLines="50"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健康大兴APP日常运维</w:t>
      </w:r>
      <w:r>
        <w:rPr>
          <w:rFonts w:hint="eastAsia" w:ascii="宋体" w:hAnsi="宋体" w:cs="宋体"/>
          <w:sz w:val="24"/>
          <w:szCs w:val="24"/>
          <w:lang w:val="en-US" w:eastAsia="zh-CN"/>
        </w:rPr>
        <w:t>工作要求</w:t>
      </w:r>
      <w:r>
        <w:rPr>
          <w:rFonts w:hint="eastAsia" w:ascii="宋体" w:hAnsi="宋体" w:eastAsia="宋体" w:cs="宋体"/>
          <w:sz w:val="24"/>
          <w:szCs w:val="24"/>
          <w:lang w:val="en-US" w:eastAsia="zh-CN"/>
        </w:rPr>
        <w:t>，确保系统正常运转，不发生半个小时以上的故障，维护前端应用、涉及程度的插件及数据库</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保障健康大兴APP数据安全，确保数据的完整性，保障接口安全，确保接口调用、排查等工作。保障系统整体稳定运行，发生故障后，要在第一时间上报，半小时内口头确认原因，一个小时内形成原因故障分析，故障排出后6个小时内形成相关问题的说明。综合分析故障原因，并进行持续优化</w:t>
      </w:r>
      <w:r>
        <w:rPr>
          <w:rFonts w:hint="eastAsia" w:ascii="宋体" w:hAnsi="宋体" w:cs="宋体"/>
          <w:sz w:val="24"/>
          <w:szCs w:val="24"/>
          <w:lang w:eastAsia="zh-CN"/>
        </w:rPr>
        <w:t>。</w:t>
      </w:r>
    </w:p>
    <w:p w14:paraId="643FDFB2">
      <w:pPr>
        <w:spacing w:after="156" w:afterLines="50" w:line="360" w:lineRule="auto"/>
        <w:ind w:firstLine="480"/>
        <w:rPr>
          <w:rFonts w:hint="eastAsia" w:ascii="宋体" w:hAnsi="宋体" w:eastAsia="宋体" w:cs="宋体"/>
          <w:sz w:val="24"/>
          <w:szCs w:val="24"/>
        </w:rPr>
      </w:pPr>
      <w:r>
        <w:rPr>
          <w:rFonts w:hint="eastAsia" w:ascii="宋体" w:hAnsi="宋体" w:eastAsia="宋体" w:cs="宋体"/>
          <w:sz w:val="24"/>
          <w:szCs w:val="24"/>
        </w:rPr>
        <w:t>家庭医生签约</w:t>
      </w:r>
      <w:r>
        <w:rPr>
          <w:rFonts w:hint="eastAsia" w:ascii="宋体" w:hAnsi="宋体" w:cs="宋体"/>
          <w:sz w:val="24"/>
          <w:szCs w:val="24"/>
          <w:lang w:val="en-US" w:eastAsia="zh-CN"/>
        </w:rPr>
        <w:t>系统</w:t>
      </w:r>
      <w:r>
        <w:rPr>
          <w:rFonts w:hint="eastAsia" w:ascii="宋体" w:hAnsi="宋体" w:eastAsia="宋体" w:cs="宋体"/>
          <w:sz w:val="24"/>
          <w:szCs w:val="24"/>
          <w:lang w:val="en-US" w:eastAsia="zh-CN"/>
        </w:rPr>
        <w:t>日常运维</w:t>
      </w:r>
      <w:r>
        <w:rPr>
          <w:rFonts w:hint="eastAsia" w:ascii="宋体" w:hAnsi="宋体" w:cs="宋体"/>
          <w:sz w:val="24"/>
          <w:szCs w:val="24"/>
          <w:lang w:val="en-US" w:eastAsia="zh-CN"/>
        </w:rPr>
        <w:t>工作要求</w:t>
      </w:r>
      <w:r>
        <w:rPr>
          <w:rFonts w:hint="eastAsia" w:ascii="宋体" w:hAnsi="宋体" w:eastAsia="宋体" w:cs="宋体"/>
          <w:sz w:val="24"/>
          <w:szCs w:val="24"/>
          <w:lang w:val="en-US" w:eastAsia="zh-CN"/>
        </w:rPr>
        <w:t>，</w:t>
      </w:r>
      <w:r>
        <w:rPr>
          <w:rFonts w:hint="eastAsia" w:ascii="宋体" w:hAnsi="宋体" w:eastAsia="宋体" w:cs="宋体"/>
          <w:sz w:val="24"/>
          <w:szCs w:val="24"/>
        </w:rPr>
        <w:t>针对大兴区家庭医生签约系统提供运行保障和维护服务包括：家庭医生签约系统以及17家社区卫生服务中心及下属社区卫生服务站家医签约服务系统的应用指导服务</w:t>
      </w:r>
      <w:r>
        <w:rPr>
          <w:rFonts w:hint="eastAsia" w:ascii="宋体" w:hAnsi="宋体" w:cs="宋体"/>
          <w:sz w:val="24"/>
          <w:szCs w:val="24"/>
          <w:lang w:eastAsia="zh-CN"/>
        </w:rPr>
        <w:t>，</w:t>
      </w:r>
      <w:r>
        <w:rPr>
          <w:rFonts w:hint="eastAsia" w:ascii="宋体" w:hAnsi="宋体" w:eastAsia="宋体" w:cs="宋体"/>
          <w:sz w:val="24"/>
          <w:szCs w:val="24"/>
        </w:rPr>
        <w:t>基层医护人员账号开通/注销、角色权限分配（如家庭医生团队</w:t>
      </w:r>
      <w:r>
        <w:rPr>
          <w:rFonts w:hint="eastAsia" w:ascii="宋体" w:hAnsi="宋体" w:cs="宋体"/>
          <w:sz w:val="24"/>
          <w:szCs w:val="24"/>
          <w:lang w:val="en-US" w:eastAsia="zh-CN"/>
        </w:rPr>
        <w:t>变化</w:t>
      </w:r>
      <w:r>
        <w:rPr>
          <w:rFonts w:hint="eastAsia" w:ascii="宋体" w:hAnsi="宋体" w:eastAsia="宋体" w:cs="宋体"/>
          <w:sz w:val="24"/>
          <w:szCs w:val="24"/>
        </w:rPr>
        <w:t>）</w:t>
      </w:r>
      <w:r>
        <w:rPr>
          <w:rFonts w:hint="eastAsia" w:ascii="宋体" w:hAnsi="宋体" w:cs="宋体"/>
          <w:sz w:val="24"/>
          <w:szCs w:val="24"/>
          <w:lang w:val="en-US" w:eastAsia="zh-CN"/>
        </w:rPr>
        <w:t>等相关</w:t>
      </w:r>
      <w:r>
        <w:rPr>
          <w:rFonts w:hint="eastAsia" w:ascii="宋体" w:hAnsi="宋体" w:eastAsia="宋体" w:cs="宋体"/>
          <w:sz w:val="24"/>
          <w:szCs w:val="24"/>
        </w:rPr>
        <w:t>用户权限管理</w:t>
      </w:r>
      <w:r>
        <w:rPr>
          <w:rFonts w:hint="eastAsia" w:ascii="宋体" w:hAnsi="宋体" w:cs="宋体"/>
          <w:sz w:val="24"/>
          <w:szCs w:val="24"/>
          <w:lang w:val="en-US" w:eastAsia="zh-CN"/>
        </w:rPr>
        <w:t>工作</w:t>
      </w:r>
      <w:r>
        <w:rPr>
          <w:rFonts w:hint="eastAsia" w:ascii="宋体" w:hAnsi="宋体" w:cs="宋体"/>
          <w:sz w:val="24"/>
          <w:szCs w:val="24"/>
          <w:lang w:eastAsia="zh-CN"/>
        </w:rPr>
        <w:t>。</w:t>
      </w:r>
    </w:p>
    <w:p w14:paraId="1CBFB866">
      <w:pPr>
        <w:spacing w:after="156" w:afterLines="50"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rPr>
        <w:t>基层公共卫生管理系统</w:t>
      </w:r>
      <w:r>
        <w:rPr>
          <w:rFonts w:hint="eastAsia" w:ascii="宋体" w:hAnsi="宋体" w:eastAsia="宋体" w:cs="宋体"/>
          <w:sz w:val="24"/>
          <w:szCs w:val="24"/>
          <w:lang w:val="en-US" w:eastAsia="zh-CN"/>
        </w:rPr>
        <w:t>日常运维，</w:t>
      </w:r>
      <w:r>
        <w:rPr>
          <w:rFonts w:hint="eastAsia" w:ascii="宋体" w:hAnsi="宋体" w:eastAsia="宋体" w:cs="宋体"/>
          <w:sz w:val="24"/>
          <w:szCs w:val="24"/>
          <w:lang w:eastAsia="zh-CN"/>
        </w:rPr>
        <w:t>确保</w:t>
      </w:r>
      <w:r>
        <w:rPr>
          <w:rFonts w:hint="eastAsia" w:ascii="宋体" w:hAnsi="宋体" w:eastAsia="宋体" w:cs="宋体"/>
          <w:sz w:val="24"/>
          <w:szCs w:val="24"/>
        </w:rPr>
        <w:t>17家社区卫生服务中心</w:t>
      </w:r>
      <w:r>
        <w:rPr>
          <w:rFonts w:hint="eastAsia" w:ascii="宋体" w:hAnsi="宋体" w:eastAsia="宋体" w:cs="宋体"/>
          <w:sz w:val="24"/>
          <w:szCs w:val="24"/>
          <w:lang w:eastAsia="zh-CN"/>
        </w:rPr>
        <w:t>健康档案数据</w:t>
      </w:r>
      <w:r>
        <w:rPr>
          <w:rFonts w:hint="eastAsia" w:ascii="宋体" w:hAnsi="宋体" w:cs="宋体"/>
          <w:sz w:val="24"/>
          <w:szCs w:val="24"/>
          <w:lang w:val="en-US" w:eastAsia="zh-CN"/>
        </w:rPr>
        <w:t>正常</w:t>
      </w:r>
      <w:r>
        <w:rPr>
          <w:rFonts w:hint="eastAsia" w:ascii="宋体" w:hAnsi="宋体" w:eastAsia="宋体" w:cs="宋体"/>
          <w:sz w:val="24"/>
          <w:szCs w:val="24"/>
          <w:lang w:eastAsia="zh-CN"/>
        </w:rPr>
        <w:t>采集</w:t>
      </w:r>
      <w:r>
        <w:rPr>
          <w:rFonts w:hint="eastAsia" w:ascii="宋体" w:hAnsi="宋体" w:cs="宋体"/>
          <w:sz w:val="24"/>
          <w:szCs w:val="24"/>
          <w:lang w:eastAsia="zh-CN"/>
        </w:rPr>
        <w:t>，及时性修正异常数据，响应社区卫生服务中心系统操作咨询与故障申报，保障基本公卫服务模块稳定运行。</w:t>
      </w:r>
    </w:p>
    <w:p w14:paraId="615403E6">
      <w:pPr>
        <w:spacing w:after="156" w:afterLines="50" w:line="360" w:lineRule="auto"/>
        <w:ind w:firstLine="480"/>
        <w:rPr>
          <w:rFonts w:hint="eastAsia" w:ascii="宋体" w:hAnsi="宋体" w:eastAsia="宋体" w:cs="宋体"/>
          <w:sz w:val="24"/>
          <w:szCs w:val="24"/>
        </w:rPr>
      </w:pPr>
      <w:r>
        <w:rPr>
          <w:rFonts w:hint="eastAsia" w:ascii="宋体" w:hAnsi="宋体" w:eastAsia="宋体" w:cs="宋体"/>
          <w:sz w:val="24"/>
          <w:szCs w:val="24"/>
        </w:rPr>
        <w:t>健康档案共享系统</w:t>
      </w:r>
      <w:r>
        <w:rPr>
          <w:rFonts w:hint="eastAsia" w:ascii="宋体" w:hAnsi="宋体" w:eastAsia="宋体" w:cs="宋体"/>
          <w:sz w:val="24"/>
          <w:szCs w:val="24"/>
          <w:lang w:val="en-US" w:eastAsia="zh-CN"/>
        </w:rPr>
        <w:t>日常运维</w:t>
      </w:r>
      <w:r>
        <w:rPr>
          <w:rFonts w:hint="eastAsia" w:ascii="宋体" w:hAnsi="宋体" w:cs="宋体"/>
          <w:sz w:val="24"/>
          <w:szCs w:val="24"/>
          <w:lang w:val="en-US" w:eastAsia="zh-CN"/>
        </w:rPr>
        <w:t>工作要求</w:t>
      </w:r>
      <w:r>
        <w:rPr>
          <w:rFonts w:hint="eastAsia" w:ascii="宋体" w:hAnsi="宋体" w:eastAsia="宋体" w:cs="宋体"/>
          <w:sz w:val="24"/>
          <w:szCs w:val="24"/>
          <w:lang w:val="en-US" w:eastAsia="zh-CN"/>
        </w:rPr>
        <w:t>，</w:t>
      </w:r>
      <w:r>
        <w:rPr>
          <w:rFonts w:hint="eastAsia" w:ascii="宋体" w:hAnsi="宋体" w:eastAsia="宋体" w:cs="宋体"/>
          <w:sz w:val="24"/>
          <w:szCs w:val="24"/>
        </w:rPr>
        <w:t>针对全区居民健康状况的健康档案浏览器进行日常维护</w:t>
      </w:r>
      <w:r>
        <w:rPr>
          <w:rFonts w:hint="eastAsia" w:ascii="宋体" w:hAnsi="宋体" w:cs="宋体"/>
          <w:sz w:val="24"/>
          <w:szCs w:val="24"/>
          <w:lang w:eastAsia="zh-CN"/>
        </w:rPr>
        <w:t>。</w:t>
      </w:r>
    </w:p>
    <w:p w14:paraId="3CD1D8AD">
      <w:pPr>
        <w:spacing w:after="156" w:afterLines="50" w:line="360" w:lineRule="auto"/>
        <w:ind w:firstLine="480"/>
        <w:rPr>
          <w:rFonts w:hint="eastAsia" w:ascii="宋体" w:hAnsi="宋体" w:eastAsia="宋体" w:cs="宋体"/>
          <w:sz w:val="24"/>
          <w:szCs w:val="24"/>
        </w:rPr>
      </w:pPr>
      <w:r>
        <w:rPr>
          <w:rFonts w:hint="eastAsia" w:ascii="宋体" w:hAnsi="宋体" w:eastAsia="宋体" w:cs="宋体"/>
          <w:sz w:val="24"/>
          <w:szCs w:val="24"/>
        </w:rPr>
        <w:t>智能提示系统</w:t>
      </w:r>
      <w:r>
        <w:rPr>
          <w:rFonts w:hint="eastAsia" w:ascii="宋体" w:hAnsi="宋体" w:eastAsia="宋体" w:cs="宋体"/>
          <w:sz w:val="24"/>
          <w:szCs w:val="24"/>
          <w:lang w:val="en-US" w:eastAsia="zh-CN"/>
        </w:rPr>
        <w:t>日常运维</w:t>
      </w:r>
      <w:r>
        <w:rPr>
          <w:rFonts w:hint="eastAsia" w:ascii="宋体" w:hAnsi="宋体" w:cs="宋体"/>
          <w:sz w:val="24"/>
          <w:szCs w:val="24"/>
          <w:lang w:val="en-US" w:eastAsia="zh-CN"/>
        </w:rPr>
        <w:t>工作要求</w:t>
      </w:r>
      <w:r>
        <w:rPr>
          <w:rFonts w:hint="eastAsia" w:ascii="宋体" w:hAnsi="宋体" w:eastAsia="宋体" w:cs="宋体"/>
          <w:sz w:val="24"/>
          <w:szCs w:val="24"/>
          <w:lang w:val="en-US" w:eastAsia="zh-CN"/>
        </w:rPr>
        <w:t>，</w:t>
      </w:r>
      <w:r>
        <w:rPr>
          <w:rFonts w:hint="eastAsia" w:ascii="宋体" w:hAnsi="宋体" w:eastAsia="宋体" w:cs="宋体"/>
          <w:sz w:val="24"/>
          <w:szCs w:val="24"/>
        </w:rPr>
        <w:t>针对全区基于智能提示的发热患者提示、二次发热就诊提示、重复检验检查提示等做定期的及时性、准确性维护</w:t>
      </w:r>
      <w:r>
        <w:rPr>
          <w:rFonts w:hint="eastAsia" w:ascii="宋体" w:hAnsi="宋体" w:cs="宋体"/>
          <w:sz w:val="24"/>
          <w:szCs w:val="24"/>
          <w:lang w:eastAsia="zh-CN"/>
        </w:rPr>
        <w:t>。</w:t>
      </w:r>
    </w:p>
    <w:p w14:paraId="291C1E14">
      <w:pPr>
        <w:spacing w:after="156" w:afterLines="50" w:line="360" w:lineRule="auto"/>
        <w:ind w:firstLine="480"/>
        <w:rPr>
          <w:rFonts w:hint="default" w:ascii="宋体" w:hAnsi="宋体" w:eastAsia="宋体" w:cs="宋体"/>
          <w:sz w:val="24"/>
          <w:szCs w:val="24"/>
          <w:lang w:val="en-US"/>
        </w:rPr>
      </w:pPr>
      <w:r>
        <w:rPr>
          <w:rFonts w:hint="eastAsia" w:ascii="宋体" w:hAnsi="宋体" w:eastAsia="宋体" w:cs="宋体"/>
          <w:sz w:val="24"/>
          <w:szCs w:val="24"/>
        </w:rPr>
        <w:t>基层医疗信息系统</w:t>
      </w:r>
      <w:r>
        <w:rPr>
          <w:rFonts w:hint="eastAsia" w:ascii="宋体" w:hAnsi="宋体" w:eastAsia="宋体" w:cs="宋体"/>
          <w:sz w:val="24"/>
          <w:szCs w:val="24"/>
          <w:lang w:val="en-US" w:eastAsia="zh-CN"/>
        </w:rPr>
        <w:t>日常运维</w:t>
      </w:r>
      <w:r>
        <w:rPr>
          <w:rFonts w:hint="eastAsia" w:ascii="宋体" w:hAnsi="宋体" w:cs="宋体"/>
          <w:sz w:val="24"/>
          <w:szCs w:val="24"/>
          <w:lang w:val="en-US" w:eastAsia="zh-CN"/>
        </w:rPr>
        <w:t>工作要求，</w:t>
      </w:r>
      <w:r>
        <w:rPr>
          <w:rFonts w:hint="eastAsia" w:ascii="宋体" w:hAnsi="宋体" w:cs="宋体"/>
          <w:sz w:val="24"/>
          <w:szCs w:val="24"/>
          <w:lang w:eastAsia="zh-CN"/>
        </w:rPr>
        <w:t>保障门诊挂号、收费、</w:t>
      </w:r>
      <w:r>
        <w:rPr>
          <w:rFonts w:hint="eastAsia" w:ascii="宋体" w:hAnsi="宋体" w:cs="宋体"/>
          <w:sz w:val="24"/>
          <w:szCs w:val="24"/>
          <w:lang w:val="en-US" w:eastAsia="zh-CN"/>
        </w:rPr>
        <w:t>门诊医生站、</w:t>
      </w:r>
      <w:r>
        <w:rPr>
          <w:rFonts w:hint="eastAsia" w:ascii="宋体" w:hAnsi="宋体" w:cs="宋体"/>
          <w:sz w:val="24"/>
          <w:szCs w:val="24"/>
          <w:lang w:eastAsia="zh-CN"/>
        </w:rPr>
        <w:t>住院管理、药品进销存等模块稳定运行，</w:t>
      </w:r>
      <w:r>
        <w:rPr>
          <w:rFonts w:hint="eastAsia" w:ascii="宋体" w:hAnsi="宋体" w:eastAsia="宋体" w:cs="宋体"/>
          <w:sz w:val="24"/>
          <w:szCs w:val="24"/>
          <w:lang w:eastAsia="zh-CN"/>
        </w:rPr>
        <w:t>确保</w:t>
      </w:r>
      <w:r>
        <w:rPr>
          <w:rFonts w:hint="eastAsia" w:ascii="宋体" w:hAnsi="宋体" w:eastAsia="宋体" w:cs="宋体"/>
          <w:sz w:val="24"/>
          <w:szCs w:val="24"/>
        </w:rPr>
        <w:t>17家社区卫生服务中心</w:t>
      </w:r>
      <w:r>
        <w:rPr>
          <w:rFonts w:hint="eastAsia" w:ascii="宋体" w:hAnsi="宋体" w:cs="宋体"/>
          <w:sz w:val="24"/>
          <w:szCs w:val="24"/>
          <w:lang w:val="en-US" w:eastAsia="zh-CN"/>
        </w:rPr>
        <w:t>基层医疗业务正常开展，支撑挂号、收费、医生站等核心业务系统正常运行</w:t>
      </w:r>
      <w:r>
        <w:rPr>
          <w:rFonts w:hint="eastAsia" w:ascii="宋体" w:hAnsi="宋体" w:cs="宋体"/>
          <w:sz w:val="24"/>
          <w:szCs w:val="24"/>
          <w:lang w:eastAsia="zh-CN"/>
        </w:rPr>
        <w:t>，及时性修正异常数据。</w:t>
      </w:r>
      <w:r>
        <w:rPr>
          <w:rFonts w:hint="eastAsia" w:ascii="宋体" w:hAnsi="宋体" w:cs="宋体"/>
          <w:sz w:val="24"/>
          <w:szCs w:val="24"/>
          <w:lang w:val="en-US" w:eastAsia="zh-CN"/>
        </w:rPr>
        <w:t>对于系统升级、配置调整向上级主管部门进行申报，减少业务中断风险，最小化系统宕机时间。</w:t>
      </w:r>
    </w:p>
    <w:p w14:paraId="32323DE1">
      <w:pPr>
        <w:spacing w:after="156" w:afterLines="50"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rPr>
        <w:t>统一支付</w:t>
      </w:r>
      <w:r>
        <w:rPr>
          <w:rFonts w:hint="eastAsia" w:ascii="宋体" w:hAnsi="宋体" w:eastAsia="宋体" w:cs="宋体"/>
          <w:sz w:val="24"/>
          <w:szCs w:val="24"/>
          <w:lang w:val="en-US" w:eastAsia="zh-CN"/>
        </w:rPr>
        <w:t>日常运维</w:t>
      </w:r>
      <w:r>
        <w:rPr>
          <w:rFonts w:hint="eastAsia" w:ascii="宋体" w:hAnsi="宋体" w:cs="宋体"/>
          <w:sz w:val="24"/>
          <w:szCs w:val="24"/>
          <w:lang w:val="en-US" w:eastAsia="zh-CN"/>
        </w:rPr>
        <w:t>工作要求，保障</w:t>
      </w:r>
      <w:r>
        <w:rPr>
          <w:rFonts w:hint="eastAsia" w:ascii="宋体" w:hAnsi="宋体" w:eastAsia="宋体" w:cs="宋体"/>
          <w:sz w:val="24"/>
          <w:szCs w:val="24"/>
        </w:rPr>
        <w:t>社区卫生服务中心窗口和自助机上的移动支付服务、对账服务</w:t>
      </w:r>
      <w:r>
        <w:rPr>
          <w:rFonts w:hint="eastAsia" w:ascii="宋体" w:hAnsi="宋体" w:cs="宋体"/>
          <w:sz w:val="24"/>
          <w:szCs w:val="24"/>
          <w:lang w:val="en-US" w:eastAsia="zh-CN"/>
        </w:rPr>
        <w:t>正常运行</w:t>
      </w:r>
      <w:r>
        <w:rPr>
          <w:rFonts w:hint="eastAsia" w:ascii="宋体" w:hAnsi="宋体" w:eastAsia="宋体" w:cs="宋体"/>
          <w:sz w:val="24"/>
          <w:szCs w:val="24"/>
        </w:rPr>
        <w:t>，并对使用统一支付平台的医疗机构提供操作指导、账号问题处理等日常服务</w:t>
      </w:r>
      <w:r>
        <w:rPr>
          <w:rFonts w:hint="eastAsia" w:ascii="宋体" w:hAnsi="宋体" w:cs="宋体"/>
          <w:sz w:val="24"/>
          <w:szCs w:val="24"/>
          <w:lang w:val="en-US" w:eastAsia="zh-CN"/>
        </w:rPr>
        <w:t>。</w:t>
      </w:r>
    </w:p>
    <w:p w14:paraId="172B47F6">
      <w:pPr>
        <w:spacing w:after="156" w:afterLines="50" w:line="360" w:lineRule="auto"/>
        <w:ind w:firstLine="480"/>
        <w:rPr>
          <w:rFonts w:hint="eastAsia" w:ascii="宋体" w:hAnsi="宋体" w:eastAsia="宋体" w:cs="宋体"/>
          <w:sz w:val="24"/>
          <w:szCs w:val="24"/>
        </w:rPr>
      </w:pPr>
      <w:r>
        <w:rPr>
          <w:rFonts w:hint="eastAsia" w:ascii="宋体" w:hAnsi="宋体" w:eastAsia="宋体" w:cs="宋体"/>
          <w:sz w:val="24"/>
          <w:szCs w:val="24"/>
        </w:rPr>
        <w:t>相关接口</w:t>
      </w:r>
      <w:r>
        <w:rPr>
          <w:rFonts w:hint="eastAsia" w:ascii="宋体" w:hAnsi="宋体" w:eastAsia="宋体" w:cs="宋体"/>
          <w:sz w:val="24"/>
          <w:szCs w:val="24"/>
          <w:lang w:val="en-US" w:eastAsia="zh-CN"/>
        </w:rPr>
        <w:t>日常运维</w:t>
      </w:r>
      <w:r>
        <w:rPr>
          <w:rFonts w:hint="eastAsia" w:ascii="宋体" w:hAnsi="宋体" w:cs="宋体"/>
          <w:sz w:val="24"/>
          <w:szCs w:val="24"/>
          <w:lang w:val="en-US" w:eastAsia="zh-CN"/>
        </w:rPr>
        <w:t>工作要求，包括</w:t>
      </w:r>
      <w:r>
        <w:rPr>
          <w:rFonts w:hint="eastAsia" w:ascii="宋体" w:hAnsi="宋体" w:eastAsia="宋体" w:cs="宋体"/>
          <w:sz w:val="24"/>
          <w:szCs w:val="24"/>
        </w:rPr>
        <w:t>接入大兴区人口健康信息平台的</w:t>
      </w:r>
      <w:r>
        <w:rPr>
          <w:rFonts w:hint="eastAsia" w:ascii="宋体" w:hAnsi="宋体" w:cs="宋体"/>
          <w:sz w:val="24"/>
          <w:szCs w:val="24"/>
          <w:lang w:val="en-US" w:eastAsia="zh-CN"/>
        </w:rPr>
        <w:t>区域检验中心系统、区域电子病历系统、区域影像信息系统、合理用药监测系统、自助服务系统</w:t>
      </w:r>
      <w:r>
        <w:rPr>
          <w:rFonts w:hint="eastAsia" w:ascii="宋体" w:hAnsi="宋体" w:eastAsia="宋体" w:cs="宋体"/>
          <w:sz w:val="24"/>
          <w:szCs w:val="24"/>
          <w:lang w:val="en-US" w:eastAsia="zh-CN"/>
        </w:rPr>
        <w:t>等</w:t>
      </w:r>
      <w:r>
        <w:rPr>
          <w:rFonts w:hint="eastAsia" w:ascii="宋体" w:hAnsi="宋体" w:eastAsia="宋体" w:cs="宋体"/>
          <w:sz w:val="24"/>
          <w:szCs w:val="24"/>
        </w:rPr>
        <w:t>接口运维</w:t>
      </w:r>
      <w:r>
        <w:rPr>
          <w:rFonts w:hint="eastAsia" w:ascii="宋体" w:hAnsi="宋体" w:cs="宋体"/>
          <w:sz w:val="24"/>
          <w:szCs w:val="24"/>
          <w:lang w:eastAsia="zh-CN"/>
        </w:rPr>
        <w:t>，</w:t>
      </w:r>
      <w:r>
        <w:rPr>
          <w:rFonts w:hint="eastAsia" w:ascii="宋体" w:hAnsi="宋体" w:cs="宋体"/>
          <w:sz w:val="24"/>
          <w:szCs w:val="24"/>
          <w:lang w:val="en-US" w:eastAsia="zh-CN"/>
        </w:rPr>
        <w:t>确保接口正常运行</w:t>
      </w:r>
      <w:r>
        <w:rPr>
          <w:rFonts w:hint="eastAsia" w:ascii="宋体" w:hAnsi="宋体" w:cs="宋体"/>
          <w:sz w:val="24"/>
          <w:szCs w:val="24"/>
          <w:lang w:eastAsia="zh-CN"/>
        </w:rPr>
        <w:t>。</w:t>
      </w:r>
    </w:p>
    <w:p w14:paraId="233F91A1">
      <w:pPr>
        <w:pStyle w:val="4"/>
        <w:rPr>
          <w:rFonts w:hint="eastAsia" w:ascii="仿宋" w:hAnsi="仿宋" w:eastAsia="仿宋" w:cs="仿宋"/>
        </w:rPr>
      </w:pPr>
      <w:r>
        <w:rPr>
          <w:rFonts w:hint="eastAsia" w:ascii="仿宋" w:hAnsi="仿宋" w:eastAsia="仿宋" w:cs="仿宋"/>
        </w:rPr>
        <w:t>区域影像信息</w:t>
      </w:r>
      <w:r>
        <w:rPr>
          <w:rFonts w:hint="eastAsia" w:ascii="仿宋" w:hAnsi="仿宋" w:eastAsia="仿宋" w:cs="仿宋"/>
          <w:lang w:val="en-US" w:eastAsia="zh-CN"/>
        </w:rPr>
        <w:t>系统</w:t>
      </w:r>
      <w:r>
        <w:rPr>
          <w:rFonts w:hint="eastAsia" w:ascii="仿宋" w:hAnsi="仿宋" w:eastAsia="仿宋" w:cs="仿宋"/>
        </w:rPr>
        <w:t>运维</w:t>
      </w:r>
    </w:p>
    <w:p w14:paraId="688A36A1">
      <w:pPr>
        <w:spacing w:line="360" w:lineRule="auto"/>
        <w:ind w:firstLine="480"/>
        <w:rPr>
          <w:rFonts w:hint="eastAsia" w:ascii="宋体" w:hAnsi="宋体" w:eastAsia="宋体" w:cs="宋体"/>
          <w:kern w:val="0"/>
          <w:sz w:val="24"/>
          <w:szCs w:val="28"/>
        </w:rPr>
      </w:pPr>
      <w:r>
        <w:rPr>
          <w:rFonts w:hint="eastAsia" w:ascii="宋体" w:hAnsi="宋体" w:eastAsia="宋体" w:cs="宋体"/>
          <w:kern w:val="0"/>
          <w:sz w:val="24"/>
          <w:szCs w:val="28"/>
        </w:rPr>
        <w:t>大兴区域影像信息平台在整个区域影像平台与各个乡镇卫生院的影像处理系统（PACS）和放射信息系统（RIS）的交互中，负责处理前置交换服务发送的报告和影像信息；区域影像交换平台作为整个区域影像平台的核心组件，负责整合、管理、发布整个平台的所有核心数据；区域影像应用诊断平台为区域内的各个医疗机构和各用户提供全面、高效、可扩展的影像应用，区域内报告影像共享，以及统计查询能力、流程交互能力等；区域影像数据中心则为这些信息的集中存储和备份提供支撑。</w:t>
      </w:r>
      <w:r>
        <w:rPr>
          <w:rFonts w:hint="eastAsia" w:ascii="宋体" w:hAnsi="宋体" w:cs="宋体"/>
          <w:sz w:val="24"/>
          <w:szCs w:val="24"/>
          <w:lang w:val="en-US" w:eastAsia="zh-CN"/>
        </w:rPr>
        <w:t>软件运维要求承建单位根据应用系统运维要求提供包括但不限于稳定的专业运维队伍</w:t>
      </w:r>
      <w:r>
        <w:rPr>
          <w:rFonts w:hint="eastAsia" w:ascii="宋体" w:hAnsi="宋体" w:eastAsia="宋体" w:cs="宋体"/>
          <w:sz w:val="24"/>
          <w:szCs w:val="24"/>
        </w:rPr>
        <w:t>，满足系统日常维护需求，及时解决系统运行中的各种问题，保障系统正常运行</w:t>
      </w:r>
      <w:r>
        <w:rPr>
          <w:rFonts w:hint="eastAsia" w:ascii="宋体" w:hAnsi="宋体" w:eastAsia="宋体" w:cs="宋体"/>
          <w:sz w:val="24"/>
          <w:szCs w:val="24"/>
          <w:lang w:eastAsia="zh-CN"/>
        </w:rPr>
        <w:t>，</w:t>
      </w:r>
      <w:r>
        <w:rPr>
          <w:rFonts w:hint="eastAsia" w:ascii="宋体" w:hAnsi="宋体" w:cs="宋体"/>
          <w:sz w:val="24"/>
          <w:szCs w:val="24"/>
          <w:lang w:val="en-US" w:eastAsia="zh-CN"/>
        </w:rPr>
        <w:t>建设单位</w:t>
      </w:r>
      <w:r>
        <w:rPr>
          <w:rFonts w:hint="eastAsia" w:ascii="宋体" w:hAnsi="宋体" w:eastAsia="宋体" w:cs="宋体"/>
          <w:sz w:val="24"/>
          <w:szCs w:val="24"/>
          <w:lang w:val="en-US" w:eastAsia="zh-CN"/>
        </w:rPr>
        <w:t>根据区财政项目支出绩效目标，对运维服务</w:t>
      </w:r>
      <w:r>
        <w:rPr>
          <w:rFonts w:hint="eastAsia" w:ascii="宋体" w:hAnsi="宋体" w:cs="宋体"/>
          <w:sz w:val="24"/>
          <w:szCs w:val="24"/>
          <w:lang w:val="en-US" w:eastAsia="zh-CN"/>
        </w:rPr>
        <w:t>承建单位</w:t>
      </w:r>
      <w:r>
        <w:rPr>
          <w:rFonts w:hint="eastAsia" w:ascii="宋体" w:hAnsi="宋体" w:eastAsia="宋体" w:cs="宋体"/>
          <w:sz w:val="24"/>
          <w:szCs w:val="24"/>
          <w:lang w:val="en-US" w:eastAsia="zh-CN"/>
        </w:rPr>
        <w:t>进行综合评估，以达到预期运维效果</w:t>
      </w:r>
      <w:r>
        <w:rPr>
          <w:rFonts w:hint="eastAsia" w:ascii="宋体" w:hAnsi="宋体" w:eastAsia="宋体" w:cs="宋体"/>
          <w:sz w:val="24"/>
          <w:szCs w:val="24"/>
        </w:rPr>
        <w:t>。</w:t>
      </w:r>
    </w:p>
    <w:p w14:paraId="5EFCFDE6">
      <w:pPr>
        <w:spacing w:line="360" w:lineRule="auto"/>
        <w:ind w:firstLine="480"/>
        <w:rPr>
          <w:rFonts w:hint="eastAsia" w:ascii="宋体" w:hAnsi="宋体" w:eastAsia="宋体" w:cs="宋体"/>
          <w:kern w:val="0"/>
          <w:sz w:val="24"/>
          <w:szCs w:val="28"/>
        </w:rPr>
      </w:pPr>
      <w:r>
        <w:rPr>
          <w:rFonts w:hint="eastAsia" w:ascii="宋体" w:hAnsi="宋体" w:eastAsia="宋体" w:cs="宋体"/>
          <w:kern w:val="0"/>
          <w:sz w:val="24"/>
          <w:szCs w:val="28"/>
        </w:rPr>
        <w:t>确保以大兴区域影像信息平台，主要包含区域影像信息平台内的PACS/RIS系统 ，保障所有区域PACS系统内的影像资料以及诊断数据的数字化存储共享的正常运行，保障业务系统连续性不小于99%。</w:t>
      </w:r>
    </w:p>
    <w:p w14:paraId="7217781B">
      <w:pPr>
        <w:spacing w:line="360" w:lineRule="auto"/>
        <w:ind w:firstLine="480" w:firstLineChars="200"/>
        <w:rPr>
          <w:rFonts w:hint="eastAsia" w:ascii="宋体" w:hAnsi="宋体" w:eastAsia="宋体" w:cs="宋体"/>
          <w:kern w:val="0"/>
          <w:sz w:val="24"/>
          <w:szCs w:val="28"/>
        </w:rPr>
      </w:pPr>
      <w:r>
        <w:rPr>
          <w:rFonts w:hint="eastAsia" w:ascii="宋体" w:hAnsi="宋体" w:eastAsia="宋体" w:cs="宋体"/>
          <w:kern w:val="0"/>
          <w:sz w:val="24"/>
          <w:szCs w:val="28"/>
        </w:rPr>
        <w:t>确保上级诊断中心的区域影像平台正常运行，实现放射科PACS影像疑难诊断、患者胶片，RIS报告诊断分析等功能的正常运行，对基层医疗机构的存储进行规划，并保障基层医疗机构的数据存储不少于一年。保障基层医疗机构与区域影像平台同步的PACS/RIS软件正常运行，并能够独立完成影像诊断及报告书写功能。</w:t>
      </w:r>
    </w:p>
    <w:p w14:paraId="022FCD4D">
      <w:pPr>
        <w:spacing w:line="360" w:lineRule="auto"/>
        <w:ind w:firstLine="480" w:firstLineChars="200"/>
        <w:rPr>
          <w:rFonts w:hint="eastAsia" w:ascii="宋体" w:hAnsi="宋体" w:eastAsia="宋体" w:cs="宋体"/>
          <w:kern w:val="0"/>
          <w:sz w:val="24"/>
          <w:szCs w:val="28"/>
        </w:rPr>
      </w:pPr>
      <w:r>
        <w:rPr>
          <w:rFonts w:hint="eastAsia" w:ascii="宋体" w:hAnsi="宋体" w:eastAsia="宋体" w:cs="宋体"/>
          <w:kern w:val="0"/>
          <w:sz w:val="24"/>
          <w:szCs w:val="28"/>
        </w:rPr>
        <w:t>大兴区域影像信息平台目前对接包含</w:t>
      </w:r>
      <w:r>
        <w:rPr>
          <w:rFonts w:hint="eastAsia" w:ascii="宋体" w:hAnsi="宋体" w:eastAsia="宋体" w:cs="宋体"/>
          <w:kern w:val="0"/>
          <w:sz w:val="24"/>
          <w:szCs w:val="28"/>
          <w:lang w:val="en-US" w:eastAsia="zh-CN"/>
        </w:rPr>
        <w:t>大兴区</w:t>
      </w:r>
      <w:r>
        <w:rPr>
          <w:rFonts w:hint="eastAsia" w:ascii="宋体" w:hAnsi="宋体" w:eastAsia="宋体" w:cs="宋体"/>
          <w:kern w:val="0"/>
          <w:sz w:val="24"/>
          <w:szCs w:val="28"/>
        </w:rPr>
        <w:t>卫生健康委员会数据中心，并对接大兴区域内1</w:t>
      </w:r>
      <w:r>
        <w:rPr>
          <w:rFonts w:hint="eastAsia" w:ascii="宋体" w:hAnsi="宋体" w:eastAsia="宋体" w:cs="宋体"/>
          <w:kern w:val="0"/>
          <w:sz w:val="24"/>
          <w:szCs w:val="28"/>
          <w:lang w:eastAsia="zh-CN"/>
        </w:rPr>
        <w:t>3</w:t>
      </w:r>
      <w:r>
        <w:rPr>
          <w:rFonts w:hint="eastAsia" w:ascii="宋体" w:hAnsi="宋体" w:eastAsia="宋体" w:cs="宋体"/>
          <w:kern w:val="0"/>
          <w:sz w:val="24"/>
          <w:szCs w:val="28"/>
        </w:rPr>
        <w:t>家乡镇卫生院（包含礼贤镇中心卫生院</w:t>
      </w:r>
      <w:r>
        <w:rPr>
          <w:rFonts w:hint="eastAsia" w:ascii="宋体" w:hAnsi="宋体" w:eastAsia="宋体" w:cs="宋体"/>
          <w:kern w:val="0"/>
          <w:sz w:val="24"/>
          <w:szCs w:val="28"/>
          <w:lang w:eastAsia="zh-CN"/>
        </w:rPr>
        <w:t>、</w:t>
      </w:r>
      <w:r>
        <w:rPr>
          <w:rFonts w:hint="eastAsia" w:ascii="宋体" w:hAnsi="宋体" w:eastAsia="宋体" w:cs="宋体"/>
          <w:kern w:val="0"/>
          <w:sz w:val="24"/>
          <w:szCs w:val="28"/>
        </w:rPr>
        <w:t>安定镇中心卫生院</w:t>
      </w:r>
      <w:r>
        <w:rPr>
          <w:rFonts w:hint="eastAsia" w:ascii="宋体" w:hAnsi="宋体" w:eastAsia="宋体" w:cs="宋体"/>
          <w:kern w:val="0"/>
          <w:sz w:val="24"/>
          <w:szCs w:val="28"/>
          <w:lang w:eastAsia="zh-CN"/>
        </w:rPr>
        <w:t>、</w:t>
      </w:r>
      <w:r>
        <w:rPr>
          <w:rFonts w:hint="eastAsia" w:ascii="宋体" w:hAnsi="宋体" w:eastAsia="宋体" w:cs="宋体"/>
          <w:kern w:val="0"/>
          <w:sz w:val="24"/>
          <w:szCs w:val="28"/>
        </w:rPr>
        <w:t>青云店镇中心卫生院</w:t>
      </w:r>
      <w:r>
        <w:rPr>
          <w:rFonts w:hint="eastAsia" w:ascii="宋体" w:hAnsi="宋体" w:eastAsia="宋体" w:cs="宋体"/>
          <w:kern w:val="0"/>
          <w:sz w:val="24"/>
          <w:szCs w:val="28"/>
          <w:lang w:eastAsia="zh-CN"/>
        </w:rPr>
        <w:t>、</w:t>
      </w:r>
      <w:r>
        <w:rPr>
          <w:rFonts w:hint="eastAsia" w:ascii="宋体" w:hAnsi="宋体" w:eastAsia="宋体" w:cs="宋体"/>
          <w:kern w:val="0"/>
          <w:sz w:val="24"/>
          <w:szCs w:val="28"/>
        </w:rPr>
        <w:t>黄村医院</w:t>
      </w:r>
      <w:r>
        <w:rPr>
          <w:rFonts w:hint="eastAsia" w:ascii="宋体" w:hAnsi="宋体" w:eastAsia="宋体" w:cs="宋体"/>
          <w:kern w:val="0"/>
          <w:sz w:val="24"/>
          <w:szCs w:val="28"/>
          <w:lang w:eastAsia="zh-CN"/>
        </w:rPr>
        <w:t>、</w:t>
      </w:r>
      <w:r>
        <w:rPr>
          <w:rFonts w:hint="eastAsia" w:ascii="宋体" w:hAnsi="宋体" w:eastAsia="宋体" w:cs="宋体"/>
          <w:kern w:val="0"/>
          <w:sz w:val="24"/>
          <w:szCs w:val="28"/>
        </w:rPr>
        <w:t>西红门医院</w:t>
      </w:r>
      <w:r>
        <w:rPr>
          <w:rFonts w:hint="eastAsia" w:ascii="宋体" w:hAnsi="宋体" w:eastAsia="宋体" w:cs="宋体"/>
          <w:kern w:val="0"/>
          <w:sz w:val="24"/>
          <w:szCs w:val="28"/>
          <w:lang w:eastAsia="zh-CN"/>
        </w:rPr>
        <w:t>、</w:t>
      </w:r>
      <w:r>
        <w:rPr>
          <w:rFonts w:hint="eastAsia" w:ascii="宋体" w:hAnsi="宋体" w:eastAsia="宋体" w:cs="宋体"/>
          <w:kern w:val="0"/>
          <w:sz w:val="24"/>
          <w:szCs w:val="28"/>
        </w:rPr>
        <w:t>长子营镇中心卫生院</w:t>
      </w:r>
      <w:r>
        <w:rPr>
          <w:rFonts w:hint="eastAsia" w:ascii="宋体" w:hAnsi="宋体" w:eastAsia="宋体" w:cs="宋体"/>
          <w:kern w:val="0"/>
          <w:sz w:val="24"/>
          <w:szCs w:val="28"/>
          <w:lang w:eastAsia="zh-CN"/>
        </w:rPr>
        <w:t>、</w:t>
      </w:r>
      <w:r>
        <w:rPr>
          <w:rFonts w:hint="eastAsia" w:ascii="宋体" w:hAnsi="宋体" w:eastAsia="宋体" w:cs="宋体"/>
          <w:kern w:val="0"/>
          <w:sz w:val="24"/>
          <w:szCs w:val="28"/>
        </w:rPr>
        <w:t>瀛海镇中心卫生院</w:t>
      </w:r>
      <w:r>
        <w:rPr>
          <w:rFonts w:hint="eastAsia" w:ascii="宋体" w:hAnsi="宋体" w:eastAsia="宋体" w:cs="宋体"/>
          <w:kern w:val="0"/>
          <w:sz w:val="24"/>
          <w:szCs w:val="28"/>
          <w:lang w:eastAsia="zh-CN"/>
        </w:rPr>
        <w:t>、</w:t>
      </w:r>
      <w:r>
        <w:rPr>
          <w:rFonts w:hint="eastAsia" w:ascii="宋体" w:hAnsi="宋体" w:eastAsia="宋体" w:cs="宋体"/>
          <w:kern w:val="0"/>
          <w:sz w:val="24"/>
          <w:szCs w:val="28"/>
        </w:rPr>
        <w:t>北臧村中心卫生院</w:t>
      </w:r>
      <w:r>
        <w:rPr>
          <w:rFonts w:hint="eastAsia" w:ascii="宋体" w:hAnsi="宋体" w:eastAsia="宋体" w:cs="宋体"/>
          <w:kern w:val="0"/>
          <w:sz w:val="24"/>
          <w:szCs w:val="28"/>
          <w:lang w:eastAsia="zh-CN"/>
        </w:rPr>
        <w:t>、</w:t>
      </w:r>
      <w:r>
        <w:rPr>
          <w:rFonts w:hint="eastAsia" w:ascii="宋体" w:hAnsi="宋体" w:eastAsia="宋体" w:cs="宋体"/>
          <w:kern w:val="0"/>
          <w:sz w:val="24"/>
          <w:szCs w:val="28"/>
        </w:rPr>
        <w:t>魏善庄卫生服务中心</w:t>
      </w:r>
      <w:r>
        <w:rPr>
          <w:rFonts w:hint="eastAsia" w:ascii="宋体" w:hAnsi="宋体" w:eastAsia="宋体" w:cs="宋体"/>
          <w:kern w:val="0"/>
          <w:sz w:val="24"/>
          <w:szCs w:val="28"/>
          <w:lang w:eastAsia="zh-CN"/>
        </w:rPr>
        <w:t>、</w:t>
      </w:r>
      <w:r>
        <w:rPr>
          <w:rFonts w:hint="eastAsia" w:ascii="宋体" w:hAnsi="宋体" w:eastAsia="宋体" w:cs="宋体"/>
          <w:kern w:val="0"/>
          <w:sz w:val="24"/>
          <w:szCs w:val="28"/>
        </w:rPr>
        <w:t>西红门镇金星卫生院</w:t>
      </w:r>
      <w:r>
        <w:rPr>
          <w:rFonts w:hint="eastAsia" w:ascii="宋体" w:hAnsi="宋体" w:eastAsia="宋体" w:cs="宋体"/>
          <w:kern w:val="0"/>
          <w:sz w:val="24"/>
          <w:szCs w:val="28"/>
          <w:lang w:eastAsia="zh-CN"/>
        </w:rPr>
        <w:t>、</w:t>
      </w:r>
      <w:r>
        <w:rPr>
          <w:rFonts w:hint="eastAsia" w:ascii="宋体" w:hAnsi="宋体" w:eastAsia="宋体" w:cs="宋体"/>
          <w:kern w:val="0"/>
          <w:sz w:val="24"/>
          <w:szCs w:val="28"/>
        </w:rPr>
        <w:t>孙村卫生院</w:t>
      </w:r>
      <w:r>
        <w:rPr>
          <w:rFonts w:hint="eastAsia" w:ascii="宋体" w:hAnsi="宋体" w:eastAsia="宋体" w:cs="宋体"/>
          <w:kern w:val="0"/>
          <w:sz w:val="24"/>
          <w:szCs w:val="28"/>
          <w:lang w:eastAsia="zh-CN"/>
        </w:rPr>
        <w:t>、</w:t>
      </w:r>
      <w:r>
        <w:rPr>
          <w:rFonts w:hint="eastAsia" w:ascii="宋体" w:hAnsi="宋体" w:eastAsia="宋体" w:cs="宋体"/>
          <w:kern w:val="0"/>
          <w:sz w:val="24"/>
          <w:szCs w:val="28"/>
        </w:rPr>
        <w:t>庞各庄医院</w:t>
      </w:r>
      <w:r>
        <w:rPr>
          <w:rFonts w:hint="eastAsia" w:ascii="宋体" w:hAnsi="宋体" w:eastAsia="宋体" w:cs="宋体"/>
          <w:kern w:val="0"/>
          <w:sz w:val="24"/>
          <w:szCs w:val="28"/>
          <w:lang w:eastAsia="zh-CN"/>
        </w:rPr>
        <w:t>、</w:t>
      </w:r>
      <w:r>
        <w:rPr>
          <w:rFonts w:hint="eastAsia" w:ascii="宋体" w:hAnsi="宋体" w:eastAsia="宋体" w:cs="宋体"/>
          <w:kern w:val="0"/>
          <w:sz w:val="24"/>
          <w:szCs w:val="28"/>
        </w:rPr>
        <w:t>旧宫医院）</w:t>
      </w:r>
      <w:r>
        <w:rPr>
          <w:rFonts w:hint="eastAsia" w:ascii="宋体" w:hAnsi="宋体" w:eastAsia="宋体" w:cs="宋体"/>
          <w:kern w:val="0"/>
          <w:sz w:val="24"/>
          <w:szCs w:val="28"/>
          <w:lang w:eastAsia="zh-CN"/>
        </w:rPr>
        <w:t>、</w:t>
      </w:r>
      <w:r>
        <w:rPr>
          <w:rFonts w:hint="eastAsia" w:ascii="宋体" w:hAnsi="宋体" w:eastAsia="宋体" w:cs="宋体"/>
          <w:kern w:val="0"/>
          <w:sz w:val="24"/>
          <w:szCs w:val="28"/>
        </w:rPr>
        <w:t>大兴区妇幼保健院，</w:t>
      </w:r>
      <w:r>
        <w:rPr>
          <w:rFonts w:hint="eastAsia" w:ascii="宋体" w:hAnsi="宋体" w:eastAsia="宋体" w:cs="宋体"/>
          <w:kern w:val="0"/>
          <w:sz w:val="24"/>
          <w:szCs w:val="28"/>
          <w:lang w:eastAsia="zh-CN"/>
        </w:rPr>
        <w:t>以</w:t>
      </w:r>
      <w:r>
        <w:rPr>
          <w:rFonts w:hint="eastAsia" w:ascii="宋体" w:hAnsi="宋体" w:eastAsia="宋体" w:cs="宋体"/>
          <w:kern w:val="0"/>
          <w:sz w:val="24"/>
          <w:szCs w:val="28"/>
          <w:lang w:val="en-US" w:eastAsia="zh-CN"/>
        </w:rPr>
        <w:t>及</w:t>
      </w:r>
      <w:r>
        <w:rPr>
          <w:rFonts w:hint="eastAsia" w:ascii="宋体" w:hAnsi="宋体" w:eastAsia="宋体" w:cs="宋体"/>
          <w:kern w:val="0"/>
          <w:sz w:val="24"/>
          <w:szCs w:val="28"/>
        </w:rPr>
        <w:t>大兴区人民医院</w:t>
      </w:r>
      <w:r>
        <w:rPr>
          <w:rFonts w:hint="eastAsia" w:ascii="宋体" w:hAnsi="宋体" w:eastAsia="宋体" w:cs="宋体"/>
          <w:kern w:val="0"/>
          <w:sz w:val="24"/>
          <w:szCs w:val="28"/>
          <w:lang w:eastAsia="zh-CN"/>
        </w:rPr>
        <w:t>、</w:t>
      </w:r>
      <w:r>
        <w:rPr>
          <w:rFonts w:hint="eastAsia" w:ascii="宋体" w:hAnsi="宋体" w:eastAsia="宋体" w:cs="宋体"/>
          <w:kern w:val="0"/>
          <w:sz w:val="24"/>
          <w:szCs w:val="28"/>
        </w:rPr>
        <w:t>大兴区中西医结合医院</w:t>
      </w:r>
      <w:r>
        <w:rPr>
          <w:rFonts w:hint="eastAsia" w:ascii="宋体" w:hAnsi="宋体" w:eastAsia="宋体" w:cs="宋体"/>
          <w:kern w:val="0"/>
          <w:sz w:val="24"/>
          <w:szCs w:val="28"/>
          <w:lang w:eastAsia="zh-CN"/>
        </w:rPr>
        <w:t>、</w:t>
      </w:r>
      <w:r>
        <w:rPr>
          <w:rFonts w:hint="eastAsia" w:ascii="宋体" w:hAnsi="宋体" w:eastAsia="宋体" w:cs="宋体"/>
          <w:kern w:val="0"/>
          <w:sz w:val="24"/>
          <w:szCs w:val="28"/>
          <w:lang w:val="en-US" w:eastAsia="zh-CN"/>
        </w:rPr>
        <w:t>广安门医院南区</w:t>
      </w:r>
      <w:r>
        <w:rPr>
          <w:rFonts w:hint="eastAsia" w:ascii="宋体" w:hAnsi="宋体" w:eastAsia="宋体" w:cs="宋体"/>
          <w:kern w:val="0"/>
          <w:sz w:val="24"/>
          <w:szCs w:val="28"/>
          <w:lang w:eastAsia="zh-CN"/>
        </w:rPr>
        <w:t>3</w:t>
      </w:r>
      <w:r>
        <w:rPr>
          <w:rFonts w:hint="eastAsia" w:ascii="宋体" w:hAnsi="宋体" w:eastAsia="宋体" w:cs="宋体"/>
          <w:kern w:val="0"/>
          <w:sz w:val="24"/>
          <w:szCs w:val="28"/>
        </w:rPr>
        <w:t>个日常诊断中心，可以完成疑难病症的远程会诊工作。此次招标主要为大兴区域影像信息平台的PACS/RIS软件的运维项目，包含远程阅片和示教系统以及运行在区域影像信息平台上的业务系统软件。</w:t>
      </w:r>
    </w:p>
    <w:p w14:paraId="30806DB9">
      <w:pPr>
        <w:spacing w:line="360" w:lineRule="auto"/>
        <w:ind w:firstLine="480"/>
        <w:rPr>
          <w:rFonts w:hint="eastAsia" w:ascii="宋体" w:hAnsi="宋体" w:eastAsia="宋体" w:cs="宋体"/>
          <w:kern w:val="0"/>
          <w:sz w:val="24"/>
          <w:szCs w:val="28"/>
        </w:rPr>
      </w:pPr>
      <w:r>
        <w:rPr>
          <w:rFonts w:hint="eastAsia" w:ascii="宋体" w:hAnsi="宋体" w:eastAsia="宋体" w:cs="宋体"/>
          <w:kern w:val="0"/>
          <w:sz w:val="24"/>
          <w:szCs w:val="28"/>
        </w:rPr>
        <w:t>业务需求</w:t>
      </w:r>
    </w:p>
    <w:p w14:paraId="456F4AA3">
      <w:pPr>
        <w:spacing w:line="360" w:lineRule="auto"/>
        <w:ind w:firstLine="480"/>
        <w:rPr>
          <w:rFonts w:hint="eastAsia" w:ascii="宋体" w:hAnsi="宋体" w:eastAsia="宋体" w:cs="宋体"/>
          <w:sz w:val="24"/>
        </w:rPr>
      </w:pPr>
      <w:r>
        <w:rPr>
          <w:rFonts w:hint="eastAsia" w:ascii="宋体" w:hAnsi="宋体" w:eastAsia="宋体" w:cs="宋体"/>
          <w:sz w:val="24"/>
        </w:rPr>
        <w:t>大兴区域影像PACS系统采用帮扶模式：基层医院医生负责拍片、写诊断报告，有疑难病例由区域阅片中心远程疑难病例会诊，同时需保障业务系统连续性不小于99%。</w:t>
      </w:r>
    </w:p>
    <w:p w14:paraId="2048D193">
      <w:pPr>
        <w:spacing w:line="360" w:lineRule="auto"/>
        <w:ind w:firstLine="480"/>
        <w:rPr>
          <w:rFonts w:hint="eastAsia" w:ascii="宋体" w:hAnsi="宋体" w:eastAsia="宋体" w:cs="宋体"/>
          <w:sz w:val="24"/>
        </w:rPr>
      </w:pPr>
      <w:r>
        <w:rPr>
          <w:rFonts w:hint="eastAsia" w:ascii="宋体" w:hAnsi="宋体" w:eastAsia="宋体" w:cs="宋体"/>
          <w:sz w:val="24"/>
        </w:rPr>
        <w:t>整体架构采用大兴区卫生健康委员会数据中心集中存储上传影像，社区医院存储当地影像的模式。</w:t>
      </w:r>
    </w:p>
    <w:p w14:paraId="2591795C">
      <w:pPr>
        <w:spacing w:line="360" w:lineRule="auto"/>
        <w:ind w:firstLine="480"/>
        <w:rPr>
          <w:rFonts w:hint="eastAsia" w:ascii="宋体" w:hAnsi="宋体" w:eastAsia="宋体" w:cs="宋体"/>
          <w:kern w:val="0"/>
          <w:sz w:val="24"/>
          <w:szCs w:val="28"/>
        </w:rPr>
      </w:pPr>
      <w:r>
        <w:rPr>
          <w:rFonts w:hint="eastAsia" w:ascii="宋体" w:hAnsi="宋体" w:eastAsia="宋体" w:cs="宋体"/>
          <w:kern w:val="0"/>
          <w:sz w:val="24"/>
          <w:szCs w:val="28"/>
        </w:rPr>
        <w:t>功能需求</w:t>
      </w:r>
    </w:p>
    <w:p w14:paraId="77E946D5">
      <w:pPr>
        <w:spacing w:line="360" w:lineRule="auto"/>
        <w:ind w:firstLine="480"/>
        <w:rPr>
          <w:rFonts w:hint="eastAsia" w:ascii="宋体" w:hAnsi="宋体" w:eastAsia="宋体" w:cs="宋体"/>
          <w:sz w:val="24"/>
        </w:rPr>
      </w:pPr>
      <w:r>
        <w:rPr>
          <w:rFonts w:hint="eastAsia" w:ascii="宋体" w:hAnsi="宋体" w:eastAsia="宋体" w:cs="宋体"/>
          <w:sz w:val="24"/>
        </w:rPr>
        <w:t>大兴区域影像PACS/RIS系统，数据中心在卫生健康委机房存储全区影像及相关基础数据，数据中心采用虚拟化集群进行部署，与下属站点服务器通过卫生专网进行连接数据交互，下属卫生院站点服务器存放在各个卫生院机房。</w:t>
      </w:r>
    </w:p>
    <w:p w14:paraId="08E1A4AC">
      <w:pPr>
        <w:spacing w:line="360" w:lineRule="auto"/>
        <w:ind w:firstLine="480"/>
        <w:rPr>
          <w:rFonts w:hint="eastAsia" w:ascii="宋体" w:hAnsi="宋体" w:eastAsia="宋体" w:cs="宋体"/>
          <w:kern w:val="0"/>
          <w:sz w:val="24"/>
          <w:szCs w:val="28"/>
        </w:rPr>
      </w:pPr>
      <w:r>
        <w:rPr>
          <w:rFonts w:hint="eastAsia" w:ascii="宋体" w:hAnsi="宋体" w:eastAsia="宋体" w:cs="宋体"/>
          <w:kern w:val="0"/>
          <w:sz w:val="24"/>
          <w:szCs w:val="28"/>
        </w:rPr>
        <w:t>数据需求</w:t>
      </w:r>
    </w:p>
    <w:p w14:paraId="616278F5">
      <w:pPr>
        <w:spacing w:line="360" w:lineRule="auto"/>
        <w:ind w:firstLine="480"/>
        <w:rPr>
          <w:rFonts w:hint="eastAsia" w:ascii="宋体" w:hAnsi="宋体" w:eastAsia="宋体" w:cs="宋体"/>
          <w:sz w:val="24"/>
        </w:rPr>
      </w:pPr>
      <w:r>
        <w:rPr>
          <w:rFonts w:hint="eastAsia" w:ascii="宋体" w:hAnsi="宋体" w:eastAsia="宋体" w:cs="宋体"/>
          <w:sz w:val="24"/>
        </w:rPr>
        <w:t>系统采用基层数据产生影像数据后实时统一上传至数据中心,在发生疑难病例会诊时，大兴区人民医院、大兴区中西医结合医院、广安门医院南区3个日常诊断中心通过远程调阅的方式在最短时间内进行远程会诊并出具诊断意见。</w:t>
      </w:r>
    </w:p>
    <w:p w14:paraId="169E2D75">
      <w:pPr>
        <w:spacing w:line="360" w:lineRule="auto"/>
        <w:ind w:firstLine="480"/>
        <w:rPr>
          <w:rFonts w:hint="eastAsia" w:ascii="宋体" w:hAnsi="宋体" w:eastAsia="宋体" w:cs="宋体"/>
          <w:kern w:val="0"/>
          <w:sz w:val="24"/>
          <w:szCs w:val="28"/>
        </w:rPr>
      </w:pPr>
      <w:r>
        <w:rPr>
          <w:rFonts w:hint="eastAsia" w:ascii="宋体" w:hAnsi="宋体" w:eastAsia="宋体" w:cs="宋体"/>
          <w:kern w:val="0"/>
          <w:sz w:val="24"/>
          <w:szCs w:val="28"/>
        </w:rPr>
        <w:t>安全需求</w:t>
      </w:r>
    </w:p>
    <w:p w14:paraId="74820A11">
      <w:pPr>
        <w:spacing w:line="360" w:lineRule="auto"/>
        <w:ind w:firstLine="480"/>
        <w:rPr>
          <w:rFonts w:hint="eastAsia" w:ascii="宋体" w:hAnsi="宋体" w:eastAsia="宋体" w:cs="宋体"/>
          <w:sz w:val="24"/>
        </w:rPr>
      </w:pPr>
      <w:r>
        <w:rPr>
          <w:rFonts w:hint="eastAsia" w:ascii="宋体" w:hAnsi="宋体" w:eastAsia="宋体" w:cs="宋体"/>
          <w:sz w:val="24"/>
        </w:rPr>
        <w:t>大兴区域影像PACS系统为软件系统，需要配备科学有效的安全策略及安全防护措施，确保数据中心及下属各基层医疗机构软件稳定运行及数据安全。</w:t>
      </w:r>
    </w:p>
    <w:p w14:paraId="7809DCA6">
      <w:pPr>
        <w:spacing w:line="360" w:lineRule="auto"/>
        <w:ind w:firstLine="480"/>
        <w:rPr>
          <w:rFonts w:hint="eastAsia" w:ascii="宋体" w:hAnsi="宋体" w:eastAsia="宋体" w:cs="宋体"/>
          <w:sz w:val="24"/>
        </w:rPr>
      </w:pPr>
      <w:r>
        <w:rPr>
          <w:rFonts w:hint="eastAsia" w:ascii="宋体" w:hAnsi="宋体" w:eastAsia="宋体" w:cs="宋体"/>
          <w:sz w:val="24"/>
        </w:rPr>
        <w:t>信息资源维护，定期整理数据并出具数据情况分析及存储情况，采取有效措施防止信息泄密事件发生，保障数据按照相关要求存放，并保障数据质量。</w:t>
      </w:r>
    </w:p>
    <w:p w14:paraId="360BF4C4">
      <w:pPr>
        <w:pStyle w:val="238"/>
        <w:spacing w:line="360" w:lineRule="auto"/>
        <w:ind w:left="480" w:firstLine="0" w:firstLineChars="0"/>
        <w:rPr>
          <w:rFonts w:hint="eastAsia" w:ascii="宋体" w:hAnsi="宋体" w:cs="宋体"/>
          <w:sz w:val="24"/>
          <w:szCs w:val="24"/>
          <w:lang w:val="en-US" w:eastAsia="zh-CN"/>
        </w:rPr>
      </w:pPr>
      <w:r>
        <w:rPr>
          <w:rFonts w:hint="eastAsia" w:ascii="宋体" w:hAnsi="宋体" w:cs="宋体"/>
          <w:sz w:val="24"/>
          <w:szCs w:val="24"/>
          <w:lang w:val="en-US" w:eastAsia="zh-CN"/>
        </w:rPr>
        <w:t>文档要求</w:t>
      </w:r>
    </w:p>
    <w:p w14:paraId="73C6C4E0">
      <w:pPr>
        <w:pStyle w:val="238"/>
        <w:spacing w:line="360" w:lineRule="auto"/>
        <w:ind w:left="480" w:firstLine="480" w:firstLineChars="0"/>
        <w:rPr>
          <w:rFonts w:hint="eastAsia" w:ascii="宋体" w:hAnsi="宋体" w:cs="宋体"/>
          <w:sz w:val="24"/>
          <w:szCs w:val="24"/>
          <w:lang w:val="en-US" w:eastAsia="zh-CN"/>
        </w:rPr>
      </w:pPr>
      <w:r>
        <w:rPr>
          <w:rFonts w:hint="eastAsia" w:ascii="宋体" w:hAnsi="宋体" w:cs="宋体"/>
          <w:sz w:val="24"/>
          <w:szCs w:val="24"/>
          <w:lang w:val="en-US" w:eastAsia="zh-CN"/>
        </w:rPr>
        <w:t>根据用户方工作要求，在运维过程中及时撰写相关运维记录，形成记录单现场由用户方及相关被运维单位签字确认。要及时按照要求提供完善的阶段性文档，包括月报、季报、半年及全年工作总结。</w:t>
      </w:r>
    </w:p>
    <w:p w14:paraId="35D0ECD9">
      <w:pPr>
        <w:pStyle w:val="238"/>
        <w:spacing w:line="360" w:lineRule="auto"/>
        <w:ind w:left="480" w:firstLine="480" w:firstLineChars="0"/>
        <w:rPr>
          <w:rFonts w:hint="eastAsia" w:ascii="宋体" w:hAnsi="宋体" w:cs="宋体"/>
          <w:sz w:val="24"/>
          <w:szCs w:val="24"/>
          <w:lang w:val="en-US" w:eastAsia="zh-CN"/>
        </w:rPr>
      </w:pPr>
    </w:p>
    <w:p w14:paraId="2C2DAA66">
      <w:pPr>
        <w:pStyle w:val="4"/>
        <w:rPr>
          <w:rFonts w:hint="eastAsia" w:ascii="仿宋" w:hAnsi="仿宋" w:eastAsia="仿宋" w:cs="仿宋"/>
        </w:rPr>
      </w:pPr>
      <w:r>
        <w:rPr>
          <w:rFonts w:hint="eastAsia" w:ascii="仿宋" w:hAnsi="仿宋" w:eastAsia="仿宋" w:cs="仿宋"/>
        </w:rPr>
        <w:t>合理用药监测系统运维</w:t>
      </w:r>
    </w:p>
    <w:p w14:paraId="4EE6DD56">
      <w:pPr>
        <w:pStyle w:val="45"/>
        <w:spacing w:line="360" w:lineRule="auto"/>
        <w:ind w:left="0" w:leftChars="0" w:firstLine="424" w:firstLineChars="177"/>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合理用药监测系统软件运维要求，主要是针对合理用药监测系统涉及处方(医嘱)审查、药品说明书、药品配伍禁忌、药品适用症信息的日常运维、数据库运维服务等。针对合理用药监测系统涉及门诊处方点评、住院医嘱点评、抗菌药物处方(医嘱)点评、围手术期抗菌药物医嘱点评、临床药学统计分析(合理用药指标、药品统计分析、大处方分析、专项药品使用清单及统计、抗菌药物临床应用管理等)等日常运维、数据库运维服务。针对合理用药监测系统涉及在查询药物基本信息、药品说明书、药物专论、用药教育、临床指南、临床路径、医药公式、国家基本药物、FDA妊娠分级、中医药查询等功能日常运维、数据库运维服务。</w:t>
      </w:r>
      <w:r>
        <w:rPr>
          <w:rFonts w:hint="eastAsia" w:ascii="宋体" w:hAnsi="宋体" w:cs="宋体"/>
          <w:sz w:val="24"/>
          <w:szCs w:val="24"/>
          <w:lang w:val="en-US" w:eastAsia="zh-CN"/>
        </w:rPr>
        <w:t>软件运维要求承建单位根据应用系统运维要求提供包括但不限于稳定的专业运维队伍</w:t>
      </w:r>
      <w:r>
        <w:rPr>
          <w:rFonts w:hint="eastAsia" w:ascii="宋体" w:hAnsi="宋体" w:eastAsia="宋体" w:cs="宋体"/>
          <w:sz w:val="24"/>
          <w:szCs w:val="24"/>
        </w:rPr>
        <w:t>，满足系统日常维护需求，及时解决系统运行中的各种问题，保障系统正常运行</w:t>
      </w:r>
      <w:r>
        <w:rPr>
          <w:rFonts w:hint="eastAsia" w:ascii="宋体" w:hAnsi="宋体" w:eastAsia="宋体" w:cs="宋体"/>
          <w:sz w:val="24"/>
          <w:szCs w:val="24"/>
          <w:lang w:eastAsia="zh-CN"/>
        </w:rPr>
        <w:t>，</w:t>
      </w:r>
      <w:r>
        <w:rPr>
          <w:rFonts w:hint="eastAsia" w:ascii="宋体" w:hAnsi="宋体" w:cs="宋体"/>
          <w:sz w:val="24"/>
          <w:szCs w:val="24"/>
          <w:lang w:val="en-US" w:eastAsia="zh-CN"/>
        </w:rPr>
        <w:t>建设单位</w:t>
      </w:r>
      <w:r>
        <w:rPr>
          <w:rFonts w:hint="eastAsia" w:ascii="宋体" w:hAnsi="宋体" w:eastAsia="宋体" w:cs="宋体"/>
          <w:sz w:val="24"/>
          <w:szCs w:val="24"/>
          <w:lang w:val="en-US" w:eastAsia="zh-CN"/>
        </w:rPr>
        <w:t>根据区财政项目支出绩效目标，对运维服务</w:t>
      </w:r>
      <w:r>
        <w:rPr>
          <w:rFonts w:hint="eastAsia" w:ascii="宋体" w:hAnsi="宋体" w:cs="宋体"/>
          <w:sz w:val="24"/>
          <w:szCs w:val="24"/>
          <w:lang w:val="en-US" w:eastAsia="zh-CN"/>
        </w:rPr>
        <w:t>承建单位</w:t>
      </w:r>
      <w:r>
        <w:rPr>
          <w:rFonts w:hint="eastAsia" w:ascii="宋体" w:hAnsi="宋体" w:eastAsia="宋体" w:cs="宋体"/>
          <w:sz w:val="24"/>
          <w:szCs w:val="24"/>
          <w:lang w:val="en-US" w:eastAsia="zh-CN"/>
        </w:rPr>
        <w:t>进行综合评估，以达到预期运维效果</w:t>
      </w:r>
      <w:r>
        <w:rPr>
          <w:rFonts w:hint="eastAsia" w:ascii="宋体" w:hAnsi="宋体" w:eastAsia="宋体" w:cs="宋体"/>
          <w:sz w:val="24"/>
          <w:szCs w:val="24"/>
        </w:rPr>
        <w:t>。</w:t>
      </w:r>
    </w:p>
    <w:p w14:paraId="38F69D2F">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运维功能要求包括：</w:t>
      </w:r>
    </w:p>
    <w:p w14:paraId="08774F96">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处方（医嘱）用药审查功能：系统应能对处方（医嘱）用药进行剂量审查、累积剂量审查、超多日用量审查、给药途径审查、相互作用审查、体外注射剂配伍审查、配伍浓度审查、钾离子监测、TPN处方审查、门诊输液审查、禁忌症审查、不良反应审查、特殊人群（儿童、成人、老人、妊娠、哺乳、性别）用药审查、重复用药（重复成分、重复治疗）审查、药物过敏审查、药物检验值审查、规范性审查、医保审查、监测指标审查，并提示医生。</w:t>
      </w:r>
    </w:p>
    <w:p w14:paraId="21AFC64E">
      <w:pPr>
        <w:pStyle w:val="45"/>
        <w:spacing w:line="360" w:lineRule="auto"/>
        <w:ind w:left="0" w:leftChars="0" w:firstLine="424" w:firstLineChars="177"/>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lang w:val="en-US" w:eastAsia="zh-CN"/>
        </w:rPr>
        <w:t>药品信息提示功能运维部分，</w:t>
      </w:r>
      <w:r>
        <w:rPr>
          <w:rFonts w:hint="eastAsia" w:asciiTheme="minorEastAsia" w:hAnsiTheme="minorEastAsia" w:eastAsiaTheme="minorEastAsia" w:cstheme="minorEastAsia"/>
          <w:b w:val="0"/>
          <w:bCs w:val="0"/>
          <w:sz w:val="24"/>
          <w:szCs w:val="24"/>
        </w:rPr>
        <w:t>可快捷查看药品相关重要信息；药品厂家说明书，并可查看药监局发布的说明书修订勘误</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修改和新增药品说明书内容；查询相应药品的中药材专论信息。医生开具质子泵抑制剂药品时，需填写用药评估单。提供评估单专项统计分析。系统可评估患者病生状态，若存在应激性溃疡风险，提供质子泵抑制剂用药建议。围术期不合理使用质子泵抑制剂时，系统可警示医生。</w:t>
      </w:r>
    </w:p>
    <w:p w14:paraId="006312FF">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质子泵抑制药专项管控。协定方专项管控。经验性用药专项管控。抗菌药物专项管控。审查提示屏蔽功能。审查规则自定义功能（医院专家知识库）。统计分析功能。通讯功能。</w:t>
      </w:r>
    </w:p>
    <w:p w14:paraId="237BB390">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协定方专项管控，系统提供医院中药协定方证型适宜性审查。</w:t>
      </w:r>
    </w:p>
    <w:p w14:paraId="68DA5EC1">
      <w:pPr>
        <w:pStyle w:val="45"/>
        <w:spacing w:line="360" w:lineRule="auto"/>
        <w:ind w:left="0" w:leftChars="0" w:firstLine="424" w:firstLineChars="177"/>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经验性用药专项管控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val="0"/>
          <w:sz w:val="24"/>
          <w:szCs w:val="24"/>
        </w:rPr>
        <w:t>系统提供抗肿瘤药物过敏反应预处理用药合理性审查。</w:t>
      </w:r>
    </w:p>
    <w:p w14:paraId="46498CC9">
      <w:pPr>
        <w:pStyle w:val="45"/>
        <w:spacing w:line="360" w:lineRule="auto"/>
        <w:ind w:left="0" w:leftChars="0"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抗菌药物专项管控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医生开具预防用抗菌药物时，需填写用药评估单，评估单区分非手术预防用药和手术预防用药。系统提供抗菌药物用药指征审查。医生开具抗菌药物必须有用药指征，否则系统将予以警示。</w:t>
      </w:r>
    </w:p>
    <w:p w14:paraId="74833A52">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审查提示屏蔽功能，系统应能对剂量、给药途径、药物相互作用、体外注射剂配伍、配伍浓度、禁忌症、不良反应、儿童用药、老人用药、成人用药、性别用药、妊娠期用药、哺乳期用药、药物过敏、重复用药等审查项目进行审查提示屏蔽，支持分门诊、住院、急诊屏蔽，屏蔽后不再对相同问题进行提示。</w:t>
      </w:r>
    </w:p>
    <w:p w14:paraId="439CD62D">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审查规则自定义功能（医院专家知识库）</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，系统可以提供多种自定义方式：基于系统审查数据自定义方式，节省药师工作量；可完全由用户新建审查规则包括审查要素和审查逻辑。</w:t>
      </w:r>
    </w:p>
    <w:p w14:paraId="432BCD0A">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用户可自定义药品警示、拦截规则，被拦截的问题处方必须返回修改，否则不可进行下一步操作。用户可设置已执行的长期医嘱是否拦截。</w:t>
      </w:r>
    </w:p>
    <w:p w14:paraId="2AA9CEC2">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其中部分审查项目可支持以下功能：剂量：可显示某个药品在本院近一个月医嘱用量统计，查看不同科室的剂量使用情况。用户只需维护药品一种给药单位的剂量审查规则，系统可自动将规则匹配到该药品其余给药单位。</w:t>
      </w:r>
    </w:p>
    <w:p w14:paraId="442F5769">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超多日用量：可对门、急诊处方药品、麻醉药品和精一药品超多日用量天数进行设置，可针对慢病（区分医保、自费）、非慢病处方、特殊患者分别设置用药天数，并可根据超出天数设置不同的警示级别。用户可维护参与联合审查的历史处方时间范围。针对特定药品可设置是否拆零参与审查。</w:t>
      </w:r>
    </w:p>
    <w:p w14:paraId="6DCF7DC2">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体外注射剂配伍：可设置小剂量胰岛素不参与体外配伍审查，具体剂量标准可由用户自行设置。</w:t>
      </w:r>
    </w:p>
    <w:p w14:paraId="4CF11E3F">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可设置应激性溃疡风险的预警规则；设置可预防使用质子泵抑制剂的手术、质子泵抑制剂药品及术后质子泵抑制剂用药疗程；</w:t>
      </w:r>
    </w:p>
    <w:p w14:paraId="1A394F78">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用户可维护医院协定方及对应证型；</w:t>
      </w:r>
    </w:p>
    <w:p w14:paraId="5A00C7AA">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用户可设置抗肿瘤药物过敏反应预防药品品种。</w:t>
      </w:r>
    </w:p>
    <w:p w14:paraId="1E661EDF">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用户可设置质子泵抑制药、抗菌药物用药评估单模板。</w:t>
      </w:r>
    </w:p>
    <w:p w14:paraId="71C22A9B">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规则复制功能：系统支持将其它药品已有的自定义规则分模块复制到被选择的药品上。</w:t>
      </w:r>
    </w:p>
    <w:p w14:paraId="07D3E2A5">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豁免对象：可根据药品、医生、科室等条件设置特定对象不参与某些模块审查，并可按照模块查看对各种豁免情况的统计。</w:t>
      </w:r>
    </w:p>
    <w:p w14:paraId="65157F66">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自定义规则查询：可查询药品、科室以及各模块的自定义规则。 </w:t>
      </w:r>
    </w:p>
    <w:p w14:paraId="04C79CEF">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统计分析功能，问题处方（医嘱）保存、查询，以及不合理问题统计分析。提供不合理问题评估功能，便于药师在做回顾性分析时对已评估的问题做记录。用药理由统计</w:t>
      </w:r>
    </w:p>
    <w:p w14:paraId="77892B93">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通讯功能，系统应提供药师和医生的在线沟通平台，提供截图、发送图片、文件传输、消息撤回、消息已读提示功能。</w:t>
      </w:r>
    </w:p>
    <w:p w14:paraId="5BB143D0">
      <w:pPr>
        <w:pStyle w:val="45"/>
        <w:spacing w:line="360" w:lineRule="auto"/>
        <w:ind w:left="0" w:leftChars="0" w:firstLine="424" w:firstLineChars="177"/>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处方点评系统</w:t>
      </w:r>
      <w:r>
        <w:rPr>
          <w:rFonts w:hint="eastAsia" w:asciiTheme="minorEastAsia" w:hAnsiTheme="minorEastAsia" w:eastAsiaTheme="minorEastAsia" w:cstheme="minorEastAsia"/>
          <w:b w:val="0"/>
          <w:bCs w:val="0"/>
          <w:sz w:val="24"/>
          <w:szCs w:val="24"/>
          <w:lang w:val="en-US" w:eastAsia="zh-CN"/>
        </w:rPr>
        <w:t>运维功能要求</w:t>
      </w:r>
    </w:p>
    <w:p w14:paraId="038A7608">
      <w:pPr>
        <w:pStyle w:val="45"/>
        <w:spacing w:line="360" w:lineRule="auto"/>
        <w:ind w:left="0" w:leftChars="0" w:firstLine="424" w:firstLineChars="177"/>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智慧中心</w:t>
      </w:r>
      <w:r>
        <w:rPr>
          <w:rFonts w:hint="eastAsia" w:asciiTheme="minorEastAsia" w:hAnsiTheme="minorEastAsia" w:eastAsiaTheme="minorEastAsia" w:cstheme="minorEastAsia"/>
          <w:b w:val="0"/>
          <w:bCs w:val="0"/>
          <w:sz w:val="24"/>
          <w:szCs w:val="24"/>
          <w:lang w:val="en-US" w:eastAsia="zh-CN"/>
        </w:rPr>
        <w:tab/>
      </w:r>
      <w:r>
        <w:rPr>
          <w:rFonts w:hint="eastAsia" w:asciiTheme="minorEastAsia" w:hAnsiTheme="minorEastAsia" w:eastAsiaTheme="minorEastAsia" w:cstheme="minorEastAsia"/>
          <w:b w:val="0"/>
          <w:bCs w:val="0"/>
          <w:sz w:val="24"/>
          <w:szCs w:val="24"/>
          <w:lang w:val="en-US" w:eastAsia="zh-CN"/>
        </w:rPr>
        <w:t>系统主页应能显示门诊/住院点评率、合理率、住院抗菌药物使用强度、门诊基本药物占比、住院静脉输液使用率等指标。</w:t>
      </w:r>
    </w:p>
    <w:p w14:paraId="05C95FE2">
      <w:pPr>
        <w:pStyle w:val="45"/>
        <w:spacing w:line="360" w:lineRule="auto"/>
        <w:ind w:left="0" w:leftChars="0" w:firstLine="424" w:firstLineChars="177"/>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读取和查看病人信息，系统应能筛选患者并查看患者基本信息、医嘱、检查、检验、手术、费用、会诊、病程等信息，同时能提供EMR、PACS、LIS超链接功能，帮助药师快速切换。</w:t>
      </w:r>
    </w:p>
    <w:p w14:paraId="6DF069C2">
      <w:pPr>
        <w:pStyle w:val="45"/>
        <w:spacing w:line="360" w:lineRule="auto"/>
        <w:ind w:left="0" w:leftChars="0" w:firstLine="424" w:firstLineChars="177"/>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处方点评，系统应结合国家处方点评相关政策要求，实现对处方（医嘱）电子化评价功能。 应能对处方（医嘱）用药进行剂量审查、给药途径审查、相互作用审查、体外注射剂配伍审查、配伍浓度审查、钾离子监测、TPN处方审查、门诊输液审查、禁忌症审查、不良反应审查、特殊人群用药审查、重复用药审查、适应症审查、药物过敏审查、药物检验值审查、规范性审查、医保审查、越权用药审查、围术期用药审查，并提供审查规则自定义功能，使得点评结果更加符合医院实际用药情况。</w:t>
      </w:r>
    </w:p>
    <w:p w14:paraId="62C90EB8">
      <w:pPr>
        <w:pStyle w:val="45"/>
        <w:spacing w:line="360" w:lineRule="auto"/>
        <w:ind w:left="0" w:leftChars="0" w:firstLine="424" w:firstLineChars="177"/>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系统应能实现点评任务分配、点评求助、点评复核、反馈医生、医生申述的闭环管理，并在医生、药师交互环节进行消息提示。点评结果反馈医生或科主任后，医生（工作站）可直接填写申述理由或确认，无需登录系统查看点评结果。</w:t>
      </w:r>
    </w:p>
    <w:p w14:paraId="7136EDEE">
      <w:pPr>
        <w:pStyle w:val="45"/>
        <w:spacing w:line="360" w:lineRule="auto"/>
        <w:ind w:left="0" w:leftChars="0" w:firstLine="424" w:firstLineChars="177"/>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系统应提供双盲点评设置、医生处理点评结果逾期设置、增补处方或病人、高亮显示被点评药品功能，方便药师点评。 </w:t>
      </w:r>
    </w:p>
    <w:p w14:paraId="372AA08F">
      <w:pPr>
        <w:pStyle w:val="45"/>
        <w:spacing w:line="360" w:lineRule="auto"/>
        <w:ind w:left="0" w:leftChars="0" w:firstLine="424" w:firstLineChars="177"/>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系统应能自定义点评模板及点评点，实现个性化点评需求。</w:t>
      </w:r>
    </w:p>
    <w:p w14:paraId="5B438302">
      <w:pPr>
        <w:pStyle w:val="45"/>
        <w:spacing w:line="360" w:lineRule="auto"/>
        <w:ind w:left="0" w:leftChars="0" w:firstLine="424" w:firstLineChars="177"/>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系统应能自动生成住院患者用药联用图、时序图，并支持自定义。住院患者时序图包含患者体征、用药、手术和检验信息等内容。</w:t>
      </w:r>
    </w:p>
    <w:p w14:paraId="4906532E">
      <w:pPr>
        <w:pStyle w:val="45"/>
        <w:spacing w:line="360" w:lineRule="auto"/>
        <w:ind w:left="0" w:leftChars="0" w:firstLine="424" w:firstLineChars="177"/>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系统应能自动生成点评相关报表及任务完成情况等管理报表。</w:t>
      </w:r>
    </w:p>
    <w:p w14:paraId="6C21A1FE">
      <w:pPr>
        <w:pStyle w:val="45"/>
        <w:spacing w:line="360" w:lineRule="auto"/>
        <w:ind w:left="0" w:leftChars="0" w:firstLine="424" w:firstLineChars="177"/>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系统应包含全处方点评、全医嘱点评、门急诊/住院抗菌药物专项点评、围手术期抗菌药物专项点评、门急诊/住院专项药品点评、门急诊/住院抗肿瘤药物专项点评、住院病人特殊级抗菌药物专项点评、住院病人碳青霉烯类及替加环素专项点评、住院病人人血白蛋白专项点评、门（急）诊/住院中药饮片专项点评、门（急）诊中成药处方专项点评、用药排名医嘱点评、住院用药医嘱点评、出院带药医嘱点评、门（急）诊基本药物专项点评、住院病人肠外营养专项点评、住院病人自备药专项点评、门（急）诊外延处方点评。</w:t>
      </w:r>
    </w:p>
    <w:p w14:paraId="5DC33DFA">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统计分析</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系统应提供对医院合理用药指标及药品使用情况的统计分析，并能自定义显示和导出。同时提供关键字检索功能，便于快速查询指标。</w:t>
      </w:r>
    </w:p>
    <w:p w14:paraId="4A9A7289">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理用药指标及趋势分析，包括：抗菌药物使用率、平均用药品种数、注射剂使用率、抗菌药物患者使用前病原送检率、X类切口手术预防用抗菌药物百分率、X类切口手术术前0.5-1.0小时预防给药百分率等。应能按全院、大科室、科室、医疗组、医生分别提供合理用药相关指标的统计，并能将合理用药指标重新组合并生成新的报表。应能实现抗菌药物使用强度、抗菌药物使用率、抗菌药物使用量、I类切口手术预防用抗菌药物百分率、国家基本药物药占比同比、环比分析。</w:t>
      </w:r>
    </w:p>
    <w:p w14:paraId="1443A114">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自定义合理用药指标</w:t>
      </w:r>
    </w:p>
    <w:p w14:paraId="6422C58F">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系统应提供自定义合理用药指标功能，可自行设置指标分子、分母进行统计。自定义要素包含药品、治疗金额、药品金额、处方数、病人数、药品品种数、使用量DDDs、人天数、用药医嘱条目数。</w:t>
      </w:r>
    </w:p>
    <w:p w14:paraId="12DD1B3A">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药品使用强度统计</w:t>
      </w:r>
    </w:p>
    <w:p w14:paraId="028DE687">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药品金额、数量、DDDs统计</w:t>
      </w:r>
    </w:p>
    <w:p w14:paraId="1731AD9F">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药品使用人次统计</w:t>
      </w:r>
    </w:p>
    <w:p w14:paraId="6CF4AB2F">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注射剂/大容量注射液统计</w:t>
      </w:r>
    </w:p>
    <w:p w14:paraId="2DA11DC8">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药品品种/费用构成统计</w:t>
      </w:r>
    </w:p>
    <w:p w14:paraId="17ED3A5D">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门（急）诊大处方分析</w:t>
      </w:r>
    </w:p>
    <w:p w14:paraId="4AC3FC59">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抗菌药物使用清单及统计</w:t>
      </w:r>
    </w:p>
    <w:p w14:paraId="5540C644">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基本药物使用清单及统计</w:t>
      </w:r>
    </w:p>
    <w:p w14:paraId="1C0C26CE">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麻精药品管理处方登记表</w:t>
      </w:r>
    </w:p>
    <w:p w14:paraId="7155EE77">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国家三级公立医院绩效考核</w:t>
      </w:r>
    </w:p>
    <w:p w14:paraId="42491644">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全国抗菌药物临床应用管理</w:t>
      </w:r>
    </w:p>
    <w:p w14:paraId="2E8B687A">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国家卫生计生委抗菌药物临床应用管理数据上报</w:t>
      </w:r>
    </w:p>
    <w:p w14:paraId="21CA211B">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全国合理用药监测系统</w:t>
      </w:r>
    </w:p>
    <w:p w14:paraId="0DD97913">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抗肿瘤药物临床应用情况调查表</w:t>
      </w:r>
    </w:p>
    <w:p w14:paraId="37E86AD3">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住院患者静脉输液使用情况抽样</w:t>
      </w:r>
    </w:p>
    <w:p w14:paraId="56A7F837">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其它</w:t>
      </w:r>
      <w:r>
        <w:rPr>
          <w:rFonts w:hint="eastAsia" w:asciiTheme="minorEastAsia" w:hAnsiTheme="minorEastAsia" w:eastAsiaTheme="minorEastAsia" w:cstheme="minorEastAsia"/>
          <w:sz w:val="24"/>
          <w:szCs w:val="24"/>
          <w:lang w:val="en-US" w:eastAsia="zh-CN"/>
        </w:rPr>
        <w:tab/>
      </w:r>
    </w:p>
    <w:p w14:paraId="665DD748">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自维护功能</w:t>
      </w:r>
    </w:p>
    <w:p w14:paraId="0DB38C0E">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系统应对医院药品属性、给药途径、给药频次、感染疾病类型、检验申请/结果/收费项目类型、手术分类、科室类型、医生抗菌药物权限、围术期用药等基础数据进行程序自动维护。</w:t>
      </w:r>
    </w:p>
    <w:p w14:paraId="27B79DC6">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权限管理</w:t>
      </w:r>
    </w:p>
    <w:p w14:paraId="357F896E">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系统应对各项功能设置严格的权限管理，包括处方点评权限、报表的统计权限、打印/导出权限等。</w:t>
      </w:r>
    </w:p>
    <w:p w14:paraId="3F4D469E">
      <w:pPr>
        <w:pStyle w:val="45"/>
        <w:spacing w:line="360" w:lineRule="auto"/>
        <w:ind w:left="0" w:leftChars="0" w:firstLine="424" w:firstLineChars="177"/>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系统应提供用户操作日志、版本更新内容查询功能。</w:t>
      </w:r>
    </w:p>
    <w:p w14:paraId="737C5CE6">
      <w:pPr>
        <w:pStyle w:val="238"/>
        <w:spacing w:line="360" w:lineRule="auto"/>
        <w:ind w:left="480" w:firstLine="0" w:firstLineChars="0"/>
        <w:rPr>
          <w:rFonts w:hint="eastAsia" w:ascii="宋体" w:hAnsi="宋体" w:cs="宋体"/>
          <w:sz w:val="24"/>
          <w:szCs w:val="24"/>
          <w:lang w:val="en-US" w:eastAsia="zh-CN"/>
        </w:rPr>
      </w:pPr>
      <w:r>
        <w:rPr>
          <w:rFonts w:hint="eastAsia" w:ascii="宋体" w:hAnsi="宋体" w:cs="宋体"/>
          <w:sz w:val="24"/>
          <w:szCs w:val="24"/>
          <w:lang w:val="en-US" w:eastAsia="zh-CN"/>
        </w:rPr>
        <w:t>文档要求</w:t>
      </w:r>
    </w:p>
    <w:p w14:paraId="11508666">
      <w:pPr>
        <w:pStyle w:val="238"/>
        <w:spacing w:line="360" w:lineRule="auto"/>
        <w:ind w:left="480" w:firstLine="0" w:firstLineChars="0"/>
        <w:rPr>
          <w:rFonts w:hint="eastAsia" w:ascii="宋体" w:hAnsi="宋体" w:cs="宋体"/>
          <w:sz w:val="24"/>
          <w:szCs w:val="24"/>
          <w:lang w:val="en-US" w:eastAsia="zh-CN"/>
        </w:rPr>
      </w:pPr>
      <w:r>
        <w:rPr>
          <w:rFonts w:hint="eastAsia" w:ascii="宋体" w:hAnsi="宋体" w:cs="宋体"/>
          <w:sz w:val="24"/>
          <w:szCs w:val="24"/>
          <w:lang w:val="en-US" w:eastAsia="zh-CN"/>
        </w:rPr>
        <w:t xml:space="preserve">    根据用户方工作要求，在运维过程中及时撰写相关运维记录，形成记录单现场由用户方及相关被运维单位签字确认。要及时按照要求提供完善的阶段性文档，包括月报、季报、半年及全年工作总计。</w:t>
      </w:r>
    </w:p>
    <w:p w14:paraId="025C8C9F">
      <w:pPr>
        <w:rPr>
          <w:rFonts w:hint="eastAsia"/>
          <w:lang w:val="en-US" w:eastAsia="zh-CN"/>
        </w:rPr>
      </w:pPr>
    </w:p>
    <w:p w14:paraId="39013CED">
      <w:pPr>
        <w:ind w:firstLine="0" w:firstLineChars="0"/>
        <w:rPr>
          <w:rFonts w:hint="eastAsia"/>
        </w:rPr>
      </w:pPr>
    </w:p>
    <w:p w14:paraId="0367A937">
      <w:pPr>
        <w:pStyle w:val="4"/>
        <w:rPr>
          <w:rFonts w:hint="eastAsia" w:ascii="仿宋" w:hAnsi="仿宋" w:eastAsia="仿宋" w:cs="仿宋"/>
        </w:rPr>
      </w:pPr>
      <w:r>
        <w:rPr>
          <w:rFonts w:hint="eastAsia" w:ascii="仿宋" w:hAnsi="仿宋" w:eastAsia="仿宋" w:cs="仿宋"/>
        </w:rPr>
        <w:t>自助服务系统运维</w:t>
      </w:r>
    </w:p>
    <w:p w14:paraId="49C562CB">
      <w:pPr>
        <w:overflowPunct w:val="0"/>
        <w:spacing w:line="360" w:lineRule="auto"/>
        <w:ind w:firstLine="480"/>
        <w:rPr>
          <w:rFonts w:hint="eastAsia" w:ascii="宋体" w:hAnsi="宋体" w:eastAsia="宋体" w:cs="宋体"/>
          <w:kern w:val="0"/>
          <w:sz w:val="24"/>
        </w:rPr>
      </w:pPr>
      <w:r>
        <w:rPr>
          <w:rFonts w:hint="eastAsia" w:ascii="宋体" w:hAnsi="宋体" w:eastAsia="宋体" w:cs="宋体"/>
          <w:sz w:val="24"/>
        </w:rPr>
        <w:t>自助服务系统运维需求:针对16家基层医疗机构23台自助挂号缴费设备进行巡检，保障自助机具运行平稳正常，保障自助机硬件故障排查，自助机软件稳定运行，提供切实有效的运维服务，及时解决各系统使用过程中的故障，在保证自助机正常稳定运行同时，根据用户需求持续升级及完善。</w:t>
      </w:r>
      <w:r>
        <w:rPr>
          <w:rFonts w:hint="eastAsia" w:ascii="宋体" w:hAnsi="宋体" w:cs="宋体"/>
          <w:sz w:val="24"/>
          <w:szCs w:val="24"/>
          <w:lang w:val="en-US" w:eastAsia="zh-CN"/>
        </w:rPr>
        <w:t>软件运维要求承建单位根据应用系统运维要求提供包括但不限于稳定的专业运维队伍</w:t>
      </w:r>
      <w:r>
        <w:rPr>
          <w:rFonts w:hint="eastAsia" w:ascii="宋体" w:hAnsi="宋体" w:eastAsia="宋体" w:cs="宋体"/>
          <w:sz w:val="24"/>
          <w:szCs w:val="24"/>
        </w:rPr>
        <w:t>，满足系统日常维护需求，及时解决系统运行中的各种问题，保障系统正常运行</w:t>
      </w:r>
      <w:r>
        <w:rPr>
          <w:rFonts w:hint="eastAsia" w:ascii="宋体" w:hAnsi="宋体" w:eastAsia="宋体" w:cs="宋体"/>
          <w:sz w:val="24"/>
          <w:szCs w:val="24"/>
          <w:lang w:eastAsia="zh-CN"/>
        </w:rPr>
        <w:t>，</w:t>
      </w:r>
      <w:r>
        <w:rPr>
          <w:rFonts w:hint="eastAsia" w:ascii="宋体" w:hAnsi="宋体" w:cs="宋体"/>
          <w:sz w:val="24"/>
          <w:szCs w:val="24"/>
          <w:lang w:val="en-US" w:eastAsia="zh-CN"/>
        </w:rPr>
        <w:t>建设单位</w:t>
      </w:r>
      <w:r>
        <w:rPr>
          <w:rFonts w:hint="eastAsia" w:ascii="宋体" w:hAnsi="宋体" w:eastAsia="宋体" w:cs="宋体"/>
          <w:sz w:val="24"/>
          <w:szCs w:val="24"/>
          <w:lang w:val="en-US" w:eastAsia="zh-CN"/>
        </w:rPr>
        <w:t>根据区财政项目支出绩效目标，对运维服务</w:t>
      </w:r>
      <w:r>
        <w:rPr>
          <w:rFonts w:hint="eastAsia" w:ascii="宋体" w:hAnsi="宋体" w:cs="宋体"/>
          <w:sz w:val="24"/>
          <w:szCs w:val="24"/>
          <w:lang w:val="en-US" w:eastAsia="zh-CN"/>
        </w:rPr>
        <w:t>承建单位</w:t>
      </w:r>
      <w:r>
        <w:rPr>
          <w:rFonts w:hint="eastAsia" w:ascii="宋体" w:hAnsi="宋体" w:eastAsia="宋体" w:cs="宋体"/>
          <w:sz w:val="24"/>
          <w:szCs w:val="24"/>
          <w:lang w:val="en-US" w:eastAsia="zh-CN"/>
        </w:rPr>
        <w:t>进行综合评估，以达到预期运维效果</w:t>
      </w:r>
      <w:r>
        <w:rPr>
          <w:rFonts w:hint="eastAsia" w:ascii="宋体" w:hAnsi="宋体" w:eastAsia="宋体" w:cs="宋体"/>
          <w:sz w:val="24"/>
          <w:szCs w:val="24"/>
        </w:rPr>
        <w:t>。</w:t>
      </w:r>
    </w:p>
    <w:p w14:paraId="1015D9DB">
      <w:pPr>
        <w:spacing w:line="360" w:lineRule="auto"/>
        <w:ind w:firstLine="480"/>
        <w:rPr>
          <w:rFonts w:hint="eastAsia" w:ascii="宋体" w:hAnsi="宋体" w:eastAsia="宋体" w:cs="宋体"/>
          <w:sz w:val="24"/>
        </w:rPr>
      </w:pPr>
      <w:r>
        <w:rPr>
          <w:rFonts w:hint="eastAsia" w:ascii="宋体" w:hAnsi="宋体" w:eastAsia="宋体" w:cs="宋体"/>
          <w:sz w:val="24"/>
        </w:rPr>
        <w:t>软件维护内容</w:t>
      </w:r>
    </w:p>
    <w:p w14:paraId="4ABD400C">
      <w:pPr>
        <w:spacing w:line="360" w:lineRule="auto"/>
        <w:ind w:firstLine="480"/>
        <w:rPr>
          <w:rFonts w:hint="eastAsia" w:ascii="宋体" w:hAnsi="宋体" w:eastAsia="宋体" w:cs="宋体"/>
          <w:sz w:val="24"/>
        </w:rPr>
      </w:pPr>
      <w:r>
        <w:rPr>
          <w:rFonts w:hint="eastAsia" w:ascii="宋体" w:hAnsi="宋体" w:eastAsia="宋体" w:cs="宋体"/>
          <w:sz w:val="24"/>
        </w:rPr>
        <w:t>咨询服务，软件功能的应用咨询</w:t>
      </w:r>
      <w:r>
        <w:rPr>
          <w:rFonts w:hint="eastAsia" w:ascii="宋体" w:hAnsi="宋体" w:cs="宋体"/>
          <w:sz w:val="24"/>
          <w:lang w:eastAsia="zh-CN"/>
        </w:rPr>
        <w:t>，</w:t>
      </w:r>
      <w:r>
        <w:rPr>
          <w:rFonts w:hint="eastAsia" w:ascii="宋体" w:hAnsi="宋体" w:cs="宋体"/>
          <w:sz w:val="24"/>
          <w:lang w:val="en-US" w:eastAsia="zh-CN"/>
        </w:rPr>
        <w:t>包括现场解答及电话咨询</w:t>
      </w:r>
      <w:r>
        <w:rPr>
          <w:rFonts w:hint="eastAsia" w:ascii="宋体" w:hAnsi="宋体" w:eastAsia="宋体" w:cs="宋体"/>
          <w:sz w:val="24"/>
        </w:rPr>
        <w:t>；</w:t>
      </w:r>
    </w:p>
    <w:p w14:paraId="65268BDB">
      <w:pPr>
        <w:spacing w:line="360" w:lineRule="auto"/>
        <w:ind w:firstLine="480"/>
        <w:rPr>
          <w:rFonts w:hint="eastAsia" w:ascii="宋体" w:hAnsi="宋体" w:eastAsia="宋体" w:cs="宋体"/>
          <w:sz w:val="24"/>
        </w:rPr>
      </w:pPr>
      <w:r>
        <w:rPr>
          <w:rFonts w:hint="eastAsia" w:ascii="宋体" w:hAnsi="宋体" w:eastAsia="宋体" w:cs="宋体"/>
          <w:sz w:val="24"/>
        </w:rPr>
        <w:t>故障排除，软件应用过程中出现功能错误时，协助查找、排除软件故障，保证系统功能正常运行；</w:t>
      </w:r>
    </w:p>
    <w:p w14:paraId="4534578A">
      <w:pPr>
        <w:spacing w:line="360" w:lineRule="auto"/>
        <w:ind w:firstLine="480"/>
        <w:rPr>
          <w:rFonts w:hint="eastAsia" w:ascii="宋体" w:hAnsi="宋体" w:eastAsia="宋体" w:cs="宋体"/>
          <w:sz w:val="24"/>
        </w:rPr>
      </w:pPr>
      <w:r>
        <w:rPr>
          <w:rFonts w:hint="eastAsia" w:ascii="宋体" w:hAnsi="宋体" w:eastAsia="宋体" w:cs="宋体"/>
          <w:sz w:val="24"/>
        </w:rPr>
        <w:t>需求变更，已应用模块范围内的功能需求调整、修改；</w:t>
      </w:r>
    </w:p>
    <w:p w14:paraId="7DFC1662">
      <w:pPr>
        <w:spacing w:line="360" w:lineRule="auto"/>
        <w:ind w:firstLine="480"/>
        <w:rPr>
          <w:rFonts w:hint="eastAsia" w:ascii="宋体" w:hAnsi="宋体" w:eastAsia="宋体" w:cs="宋体"/>
          <w:sz w:val="24"/>
        </w:rPr>
      </w:pPr>
      <w:r>
        <w:rPr>
          <w:rFonts w:hint="eastAsia" w:ascii="宋体" w:hAnsi="宋体" w:eastAsia="宋体" w:cs="宋体"/>
          <w:sz w:val="24"/>
        </w:rPr>
        <w:t>日常维护，协助甲方建立日常维护记录，定期与甲方系统管理人员共同检查系统运行情况，并形成系统维护记录制度和系统管理规范；</w:t>
      </w:r>
    </w:p>
    <w:p w14:paraId="50B462FE">
      <w:pPr>
        <w:spacing w:line="360" w:lineRule="auto"/>
        <w:ind w:firstLine="480"/>
        <w:rPr>
          <w:rFonts w:hint="eastAsia" w:ascii="宋体" w:hAnsi="宋体" w:eastAsia="宋体" w:cs="宋体"/>
          <w:sz w:val="24"/>
        </w:rPr>
      </w:pPr>
      <w:r>
        <w:rPr>
          <w:rFonts w:hint="eastAsia" w:ascii="宋体" w:hAnsi="宋体" w:eastAsia="宋体" w:cs="宋体"/>
          <w:sz w:val="24"/>
        </w:rPr>
        <w:t>保养服务</w:t>
      </w:r>
    </w:p>
    <w:p w14:paraId="448EF88E">
      <w:pPr>
        <w:pStyle w:val="238"/>
        <w:spacing w:line="360" w:lineRule="auto"/>
        <w:ind w:left="480" w:firstLine="0" w:firstLineChars="0"/>
        <w:rPr>
          <w:rFonts w:hint="eastAsia" w:ascii="宋体" w:hAnsi="宋体" w:eastAsia="宋体" w:cs="宋体"/>
          <w:sz w:val="24"/>
          <w:szCs w:val="24"/>
        </w:rPr>
      </w:pPr>
      <w:r>
        <w:rPr>
          <w:rFonts w:hint="eastAsia" w:ascii="宋体" w:hAnsi="宋体" w:eastAsia="宋体" w:cs="宋体"/>
          <w:sz w:val="24"/>
          <w:szCs w:val="24"/>
        </w:rPr>
        <w:t>在服务期内，乙方对设备提供 4 次定期维护、保养（保养时间由双方自行约定），计划性定期的维修服务检测包括设备清洁、性能测试及校准。</w:t>
      </w:r>
    </w:p>
    <w:p w14:paraId="50E6A510">
      <w:pPr>
        <w:pStyle w:val="238"/>
        <w:spacing w:line="360" w:lineRule="auto"/>
        <w:ind w:left="480" w:firstLine="0" w:firstLineChars="0"/>
        <w:rPr>
          <w:rFonts w:hint="eastAsia" w:ascii="宋体" w:hAnsi="宋体" w:cs="宋体"/>
          <w:sz w:val="24"/>
          <w:szCs w:val="24"/>
          <w:lang w:val="en-US" w:eastAsia="zh-CN"/>
        </w:rPr>
      </w:pPr>
      <w:r>
        <w:rPr>
          <w:rFonts w:hint="eastAsia" w:ascii="宋体" w:hAnsi="宋体" w:cs="宋体"/>
          <w:sz w:val="24"/>
          <w:szCs w:val="24"/>
          <w:lang w:val="en-US" w:eastAsia="zh-CN"/>
        </w:rPr>
        <w:t>文档要求</w:t>
      </w:r>
    </w:p>
    <w:p w14:paraId="0217BB98">
      <w:pPr>
        <w:pStyle w:val="238"/>
        <w:spacing w:line="360" w:lineRule="auto"/>
        <w:ind w:left="480" w:firstLine="0" w:firstLineChars="0"/>
        <w:rPr>
          <w:rFonts w:hint="eastAsia" w:ascii="宋体" w:hAnsi="宋体" w:cs="宋体"/>
          <w:sz w:val="24"/>
          <w:szCs w:val="24"/>
          <w:lang w:val="en-US" w:eastAsia="zh-CN"/>
        </w:rPr>
      </w:pPr>
      <w:r>
        <w:rPr>
          <w:rFonts w:hint="eastAsia" w:ascii="宋体" w:hAnsi="宋体" w:cs="宋体"/>
          <w:sz w:val="24"/>
          <w:szCs w:val="24"/>
          <w:lang w:val="en-US" w:eastAsia="zh-CN"/>
        </w:rPr>
        <w:t xml:space="preserve">    根据用户方工作要求，在运维过程中及时撰写相关运维记录，形成记录单现场由用户方及相关被运维单位签字确认。要及时按照要求提供完善的阶段性文档，包括月报、季报、半年及全年工作总计。</w:t>
      </w:r>
    </w:p>
    <w:p w14:paraId="2B61970A">
      <w:pPr>
        <w:pStyle w:val="238"/>
        <w:spacing w:line="360" w:lineRule="auto"/>
        <w:ind w:left="480" w:firstLine="0" w:firstLineChars="0"/>
        <w:rPr>
          <w:rFonts w:hint="eastAsia" w:ascii="宋体" w:hAnsi="宋体" w:eastAsia="宋体" w:cs="宋体"/>
          <w:sz w:val="24"/>
          <w:szCs w:val="24"/>
        </w:rPr>
      </w:pPr>
      <w:r>
        <w:rPr>
          <w:rFonts w:hint="eastAsia" w:ascii="宋体" w:hAnsi="宋体" w:eastAsia="宋体" w:cs="宋体"/>
          <w:sz w:val="24"/>
          <w:szCs w:val="24"/>
        </w:rPr>
        <w:t>具体内容如下：</w:t>
      </w:r>
    </w:p>
    <w:p w14:paraId="15431054">
      <w:pPr>
        <w:pStyle w:val="238"/>
        <w:spacing w:line="360" w:lineRule="auto"/>
        <w:ind w:firstLine="480"/>
        <w:rPr>
          <w:rFonts w:hint="eastAsia" w:ascii="宋体" w:hAnsi="宋体" w:eastAsia="宋体" w:cs="宋体"/>
          <w:sz w:val="24"/>
          <w:szCs w:val="24"/>
        </w:rPr>
      </w:pPr>
      <w:r>
        <w:rPr>
          <w:rFonts w:hint="eastAsia" w:ascii="宋体" w:hAnsi="宋体" w:eastAsia="宋体" w:cs="宋体"/>
          <w:sz w:val="24"/>
          <w:szCs w:val="24"/>
        </w:rPr>
        <w:t>设备读卡模块、扫码模块维护；</w:t>
      </w:r>
    </w:p>
    <w:p w14:paraId="7FD03E6B">
      <w:pPr>
        <w:pStyle w:val="238"/>
        <w:spacing w:line="360" w:lineRule="auto"/>
        <w:ind w:firstLine="480"/>
        <w:rPr>
          <w:rFonts w:hint="eastAsia" w:ascii="宋体" w:hAnsi="宋体" w:eastAsia="宋体" w:cs="宋体"/>
          <w:sz w:val="24"/>
          <w:szCs w:val="24"/>
        </w:rPr>
      </w:pPr>
      <w:r>
        <w:rPr>
          <w:rFonts w:hint="eastAsia" w:ascii="宋体" w:hAnsi="宋体" w:eastAsia="宋体" w:cs="宋体"/>
          <w:sz w:val="24"/>
          <w:szCs w:val="24"/>
        </w:rPr>
        <w:t>打印机日常维护；</w:t>
      </w:r>
    </w:p>
    <w:p w14:paraId="2C0AF97D">
      <w:pPr>
        <w:pStyle w:val="238"/>
        <w:spacing w:line="360" w:lineRule="auto"/>
        <w:ind w:firstLine="480"/>
        <w:rPr>
          <w:rFonts w:hint="eastAsia" w:ascii="宋体" w:hAnsi="宋体" w:eastAsia="宋体" w:cs="宋体"/>
          <w:sz w:val="24"/>
          <w:szCs w:val="24"/>
        </w:rPr>
      </w:pPr>
      <w:r>
        <w:rPr>
          <w:rFonts w:hint="eastAsia" w:ascii="宋体" w:hAnsi="宋体" w:eastAsia="宋体" w:cs="宋体"/>
          <w:sz w:val="24"/>
          <w:szCs w:val="24"/>
        </w:rPr>
        <w:t>清洁主机内部传感器及压紧单元的残胶；</w:t>
      </w:r>
    </w:p>
    <w:p w14:paraId="44B07E0B">
      <w:pPr>
        <w:spacing w:line="360" w:lineRule="auto"/>
        <w:ind w:firstLine="480"/>
        <w:rPr>
          <w:rFonts w:hint="eastAsia" w:ascii="宋体" w:hAnsi="宋体" w:eastAsia="宋体" w:cs="宋体"/>
          <w:sz w:val="24"/>
        </w:rPr>
      </w:pPr>
      <w:r>
        <w:rPr>
          <w:rFonts w:hint="eastAsia" w:ascii="宋体" w:hAnsi="宋体" w:eastAsia="宋体" w:cs="宋体"/>
          <w:sz w:val="24"/>
        </w:rPr>
        <w:t>整体外观清洁擦拭，保证机器整体外观清洁；</w:t>
      </w:r>
    </w:p>
    <w:p w14:paraId="34CCFFD1">
      <w:pPr>
        <w:spacing w:line="360" w:lineRule="auto"/>
        <w:ind w:firstLine="480"/>
        <w:rPr>
          <w:rFonts w:hint="eastAsia" w:ascii="宋体" w:hAnsi="宋体" w:eastAsia="宋体" w:cs="宋体"/>
          <w:sz w:val="24"/>
        </w:rPr>
      </w:pPr>
      <w:r>
        <w:rPr>
          <w:rFonts w:hint="eastAsia" w:ascii="宋体" w:hAnsi="宋体" w:eastAsia="宋体" w:cs="宋体"/>
          <w:sz w:val="24"/>
        </w:rPr>
        <w:t>服务器及软件维护；</w:t>
      </w:r>
    </w:p>
    <w:p w14:paraId="34FB602F">
      <w:pPr>
        <w:spacing w:line="360" w:lineRule="auto"/>
        <w:ind w:firstLine="480"/>
        <w:rPr>
          <w:rFonts w:hint="eastAsia" w:ascii="宋体" w:hAnsi="宋体" w:eastAsia="宋体" w:cs="宋体"/>
          <w:sz w:val="24"/>
        </w:rPr>
      </w:pPr>
      <w:r>
        <w:rPr>
          <w:rFonts w:hint="eastAsia" w:ascii="宋体" w:hAnsi="宋体" w:eastAsia="宋体" w:cs="宋体"/>
          <w:sz w:val="24"/>
        </w:rPr>
        <w:t>保证服务器及软件的正常运行。</w:t>
      </w:r>
    </w:p>
    <w:p w14:paraId="7826D372">
      <w:pPr>
        <w:ind w:firstLine="480"/>
        <w:rPr>
          <w:rFonts w:hint="eastAsia" w:ascii="仿宋" w:hAnsi="仿宋" w:eastAsia="仿宋" w:cs="仿宋"/>
          <w:sz w:val="24"/>
        </w:rPr>
      </w:pPr>
    </w:p>
    <w:p w14:paraId="0D1DB0D8">
      <w:pPr>
        <w:pStyle w:val="4"/>
        <w:rPr>
          <w:rFonts w:hint="eastAsia" w:ascii="仿宋" w:hAnsi="仿宋" w:eastAsia="仿宋" w:cs="仿宋"/>
        </w:rPr>
      </w:pPr>
      <w:r>
        <w:rPr>
          <w:rFonts w:hint="eastAsia" w:ascii="仿宋" w:hAnsi="仿宋" w:eastAsia="仿宋" w:cs="仿宋"/>
        </w:rPr>
        <w:t>智能语音外呼服务</w:t>
      </w:r>
    </w:p>
    <w:p w14:paraId="71052141">
      <w:pPr>
        <w:overflowPunct w:val="0"/>
        <w:spacing w:line="360" w:lineRule="auto"/>
        <w:ind w:firstLine="480"/>
        <w:rPr>
          <w:rFonts w:hint="eastAsia" w:ascii="宋体" w:hAnsi="宋体" w:eastAsia="宋体" w:cs="宋体"/>
          <w:sz w:val="24"/>
        </w:rPr>
      </w:pPr>
      <w:r>
        <w:rPr>
          <w:rFonts w:hint="eastAsia" w:ascii="宋体" w:hAnsi="宋体" w:eastAsia="宋体" w:cs="宋体"/>
          <w:sz w:val="24"/>
        </w:rPr>
        <w:t>面向基本公共卫生和家庭医生服务的重点人群，提供健康档案采集、预约提醒及通知，满意度调查等智能语音外呼服务，以及部分慢病智能随访服务，主要包括高血压、糖尿病的语音随访</w:t>
      </w:r>
      <w:r>
        <w:rPr>
          <w:rFonts w:hint="eastAsia" w:ascii="宋体" w:hAnsi="宋体" w:eastAsia="宋体" w:cs="宋体"/>
          <w:sz w:val="24"/>
          <w:lang w:eastAsia="zh-CN"/>
        </w:rPr>
        <w:t>，</w:t>
      </w:r>
      <w:r>
        <w:rPr>
          <w:rFonts w:hint="eastAsia" w:ascii="宋体" w:hAnsi="宋体" w:eastAsia="宋体" w:cs="宋体"/>
          <w:sz w:val="24"/>
        </w:rPr>
        <w:t>提供20万通AI电话服务</w:t>
      </w:r>
      <w:r>
        <w:rPr>
          <w:rFonts w:hint="eastAsia" w:ascii="宋体" w:hAnsi="宋体" w:cs="宋体"/>
          <w:sz w:val="24"/>
          <w:lang w:eastAsia="zh-CN"/>
        </w:rPr>
        <w:t>，</w:t>
      </w:r>
      <w:r>
        <w:rPr>
          <w:rFonts w:hint="eastAsia" w:ascii="宋体" w:hAnsi="宋体" w:cs="宋体"/>
          <w:sz w:val="24"/>
          <w:szCs w:val="24"/>
          <w:lang w:val="en-US" w:eastAsia="zh-CN"/>
        </w:rPr>
        <w:t>要求承建单位根据应用系统运维要求提供包括但不限于稳定的专业运维队伍</w:t>
      </w:r>
      <w:r>
        <w:rPr>
          <w:rFonts w:hint="eastAsia" w:ascii="宋体" w:hAnsi="宋体" w:eastAsia="宋体" w:cs="宋体"/>
          <w:sz w:val="24"/>
          <w:szCs w:val="24"/>
        </w:rPr>
        <w:t>，满足系统日常维护需求，及时解决系统运行中的各种问题，保障系统正常运行</w:t>
      </w:r>
      <w:r>
        <w:rPr>
          <w:rFonts w:hint="eastAsia" w:ascii="宋体" w:hAnsi="宋体" w:eastAsia="宋体" w:cs="宋体"/>
          <w:sz w:val="24"/>
          <w:szCs w:val="24"/>
          <w:lang w:eastAsia="zh-CN"/>
        </w:rPr>
        <w:t>，</w:t>
      </w:r>
      <w:r>
        <w:rPr>
          <w:rFonts w:hint="eastAsia" w:ascii="宋体" w:hAnsi="宋体" w:cs="宋体"/>
          <w:sz w:val="24"/>
          <w:szCs w:val="24"/>
          <w:lang w:val="en-US" w:eastAsia="zh-CN"/>
        </w:rPr>
        <w:t>建设单位</w:t>
      </w:r>
      <w:r>
        <w:rPr>
          <w:rFonts w:hint="eastAsia" w:ascii="宋体" w:hAnsi="宋体" w:eastAsia="宋体" w:cs="宋体"/>
          <w:sz w:val="24"/>
          <w:szCs w:val="24"/>
          <w:lang w:val="en-US" w:eastAsia="zh-CN"/>
        </w:rPr>
        <w:t>根据区财政项目支出绩效目标，对运维服务</w:t>
      </w:r>
      <w:r>
        <w:rPr>
          <w:rFonts w:hint="eastAsia" w:ascii="宋体" w:hAnsi="宋体" w:cs="宋体"/>
          <w:sz w:val="24"/>
          <w:szCs w:val="24"/>
          <w:lang w:val="en-US" w:eastAsia="zh-CN"/>
        </w:rPr>
        <w:t>承建单位</w:t>
      </w:r>
      <w:r>
        <w:rPr>
          <w:rFonts w:hint="eastAsia" w:ascii="宋体" w:hAnsi="宋体" w:eastAsia="宋体" w:cs="宋体"/>
          <w:sz w:val="24"/>
          <w:szCs w:val="24"/>
          <w:lang w:val="en-US" w:eastAsia="zh-CN"/>
        </w:rPr>
        <w:t>进行综合评估，以达到预期运维效果</w:t>
      </w:r>
      <w:r>
        <w:rPr>
          <w:rFonts w:hint="eastAsia" w:ascii="宋体" w:hAnsi="宋体" w:eastAsia="宋体" w:cs="宋体"/>
          <w:sz w:val="24"/>
          <w:szCs w:val="24"/>
        </w:rPr>
        <w:t>。</w:t>
      </w:r>
    </w:p>
    <w:p w14:paraId="24248414">
      <w:pPr>
        <w:pStyle w:val="3"/>
        <w:rPr>
          <w:rFonts w:hint="eastAsia" w:ascii="仿宋" w:hAnsi="仿宋" w:eastAsia="仿宋" w:cs="仿宋"/>
        </w:rPr>
      </w:pPr>
      <w:r>
        <w:rPr>
          <w:rFonts w:hint="eastAsia" w:ascii="仿宋" w:hAnsi="仿宋" w:eastAsia="仿宋" w:cs="仿宋"/>
        </w:rPr>
        <w:t>软件运维服务要求</w:t>
      </w:r>
    </w:p>
    <w:p w14:paraId="61B65064">
      <w:pPr>
        <w:pStyle w:val="4"/>
        <w:rPr>
          <w:rFonts w:hint="eastAsia" w:ascii="仿宋" w:hAnsi="仿宋" w:eastAsia="仿宋" w:cs="仿宋"/>
        </w:rPr>
      </w:pPr>
      <w:r>
        <w:rPr>
          <w:rFonts w:hint="eastAsia" w:ascii="仿宋" w:hAnsi="仿宋" w:eastAsia="仿宋" w:cs="仿宋"/>
        </w:rPr>
        <w:t>项目运维周期</w:t>
      </w:r>
    </w:p>
    <w:p w14:paraId="7CF28606">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项目运维周期为12个月。</w:t>
      </w:r>
    </w:p>
    <w:p w14:paraId="72F63A22">
      <w:pPr>
        <w:spacing w:line="360" w:lineRule="auto"/>
        <w:ind w:firstLine="560"/>
        <w:rPr>
          <w:rFonts w:hint="eastAsia" w:ascii="宋体" w:hAnsi="宋体" w:eastAsia="宋体" w:cs="宋体"/>
          <w:sz w:val="24"/>
          <w:szCs w:val="24"/>
        </w:rPr>
      </w:pPr>
      <w:r>
        <w:rPr>
          <w:rFonts w:hint="eastAsia" w:ascii="宋体" w:hAnsi="宋体" w:cs="宋体"/>
          <w:sz w:val="24"/>
          <w:szCs w:val="24"/>
          <w:lang w:val="en-US" w:eastAsia="zh-CN"/>
        </w:rPr>
        <w:t>为确保本项目所运维的所有业务系统提供持续稳定的运行，完成建设单位对整体运维工作进行科学合理实施，要求承建单位针对软件运维工作制定</w:t>
      </w:r>
      <w:r>
        <w:rPr>
          <w:rFonts w:hint="eastAsia" w:ascii="宋体" w:hAnsi="宋体" w:eastAsia="宋体" w:cs="宋体"/>
          <w:sz w:val="24"/>
          <w:szCs w:val="24"/>
        </w:rPr>
        <w:t>具有合理性、可操作性、可行的项目</w:t>
      </w:r>
      <w:r>
        <w:rPr>
          <w:rFonts w:hint="eastAsia" w:ascii="宋体" w:hAnsi="宋体" w:cs="宋体"/>
          <w:sz w:val="24"/>
          <w:szCs w:val="24"/>
          <w:lang w:val="en-US" w:eastAsia="zh-CN"/>
        </w:rPr>
        <w:t>实施方案，方案中要求要提供详细的运维背景、运维范围、运维内容明细、运维计划、运维实施保障、运维人员和应急保障措施</w:t>
      </w:r>
      <w:r>
        <w:rPr>
          <w:rFonts w:hint="eastAsia" w:ascii="宋体" w:hAnsi="宋体" w:eastAsia="宋体" w:cs="宋体"/>
          <w:sz w:val="24"/>
          <w:szCs w:val="24"/>
        </w:rPr>
        <w:t>。投标人提供具体的运维实施计划安排</w:t>
      </w:r>
      <w:r>
        <w:rPr>
          <w:rFonts w:hint="eastAsia" w:ascii="宋体" w:hAnsi="宋体" w:cs="宋体"/>
          <w:sz w:val="24"/>
          <w:szCs w:val="24"/>
          <w:lang w:eastAsia="zh-CN"/>
        </w:rPr>
        <w:t>，</w:t>
      </w:r>
      <w:r>
        <w:rPr>
          <w:rFonts w:hint="eastAsia" w:ascii="宋体" w:hAnsi="宋体" w:cs="宋体"/>
          <w:sz w:val="24"/>
          <w:szCs w:val="24"/>
          <w:lang w:val="en-US" w:eastAsia="zh-CN"/>
        </w:rPr>
        <w:t>在运维工作过程中要保障人员的投入，根据IT服务标准规范开展相关工作。每月提供一次系统运维报告，包括对本次运维项目的软件分项运维报告和汇总后的运维报告，要求分项和汇总报告起码包括运维范围、运维内容及明细、软件负责人签字、现场实施人员签字及被运维单位签字、运维中的问题及原因分析、下一步工作计划等。根据甲方要求及实际情况及时提供运维工作小结，要求对一段时间内的运维工作进行全面、科学、细致的分析，并提供切实可行的方式方法，达到优化运维服务及提高系统稳定性的目的。运维服务厂商要根据北京市大兴区卫生健康委员会运维服务标准规范开展相关工作，要采取多种方式，包括但不限于现场、远程及相关故障解决方式，要求对问题要响应及时、汇报及时、分析及时、处置及时。运维工作在运维工作方案的基础上，要提供详细的项目沟通管理工作方案，责任落实到人，明确项目具体负责人、项目经理、运维工程师。建立切实可行的沟通机制，根据软件运维的相关规范标准，及时统筹规划总体运维工作，根据运维工作要素及时进行输出。</w:t>
      </w:r>
    </w:p>
    <w:p w14:paraId="7C0668B7">
      <w:pPr>
        <w:pStyle w:val="4"/>
        <w:rPr>
          <w:rFonts w:hint="eastAsia" w:ascii="仿宋" w:hAnsi="仿宋" w:eastAsia="仿宋" w:cs="仿宋"/>
        </w:rPr>
      </w:pPr>
      <w:bookmarkStart w:id="812" w:name="_Toc14042"/>
      <w:bookmarkStart w:id="813" w:name="_Toc9584"/>
      <w:bookmarkStart w:id="814" w:name="_Toc31623"/>
      <w:bookmarkStart w:id="815" w:name="_Toc18705"/>
      <w:bookmarkStart w:id="816" w:name="_Toc17076"/>
      <w:bookmarkStart w:id="817" w:name="_Toc21063"/>
      <w:bookmarkStart w:id="818" w:name="_Toc21185"/>
      <w:r>
        <w:rPr>
          <w:rFonts w:hint="eastAsia" w:ascii="仿宋" w:hAnsi="仿宋" w:eastAsia="仿宋" w:cs="仿宋"/>
        </w:rPr>
        <w:t>现场故障解决需求</w:t>
      </w:r>
      <w:bookmarkEnd w:id="812"/>
      <w:bookmarkEnd w:id="813"/>
      <w:bookmarkEnd w:id="814"/>
      <w:bookmarkEnd w:id="815"/>
      <w:bookmarkEnd w:id="816"/>
      <w:bookmarkEnd w:id="817"/>
      <w:bookmarkEnd w:id="818"/>
    </w:p>
    <w:p w14:paraId="0A46DD1D">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配备有项目管理及相关项目运维经验的人员开展相关工作，当问题发生时要在第一时间主动向卫生健康委相关项目管理人员汇报，半个小时内找到问题处理方向并及时汇报，一个小时内给出具体的解决方案并妥善解决，事后在当天要输出问题处置说明，充分说明问题的产生原因及问题分析和下一步优化计划，确保不发生类似问题。</w:t>
      </w:r>
      <w:r>
        <w:rPr>
          <w:rFonts w:hint="eastAsia" w:ascii="宋体" w:hAnsi="宋体" w:eastAsia="宋体" w:cs="宋体"/>
          <w:sz w:val="24"/>
          <w:szCs w:val="24"/>
        </w:rPr>
        <w:t>针对本项目运维的软件相关问题提供现场支持服务，针对大兴区人口健康信息平台软件系统数据库宕机、数据损坏等大兴区人口健康信息平台软件数据库无法正常提供服务的情况进行修复和数据恢复。</w:t>
      </w:r>
    </w:p>
    <w:p w14:paraId="0B3777ED">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在重大活动及重要时间段内，要</w:t>
      </w:r>
      <w:r>
        <w:rPr>
          <w:rFonts w:hint="eastAsia" w:ascii="宋体" w:hAnsi="宋体" w:eastAsia="宋体" w:cs="宋体"/>
          <w:sz w:val="24"/>
          <w:szCs w:val="24"/>
        </w:rPr>
        <w:t>检查系统软件数据库配置及运行情况，包括资源占用情况、数据空间使用情况、异常日志文件、日常备份情况及系统安全情况等，并根据运行现状，对系统的配置及运作框架提出建议，降低数据丢失、安全漏洞、系统崩溃、性能降低及资源紧张等系统潜在风险。并及时修复程序BUG。</w:t>
      </w:r>
    </w:p>
    <w:p w14:paraId="405BF977">
      <w:pPr>
        <w:spacing w:line="360" w:lineRule="auto"/>
        <w:ind w:firstLine="560"/>
        <w:rPr>
          <w:rFonts w:hint="default"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系统运维期间，确保不发生重大系统宕机情况，系统不可用二个小时及以上列为系统大面积故障。问题处置现场严禁对系统不了解的人员进行核心业务进行操作，如发生低级错误将承担对应的责任，发生重大数据损坏及丢失的情况，区卫生健康委有权利根据《中华人民共和国网络安全法》、《中华人民共和国数据安全法》、《个人信息保护法》及相关法律法规追求责任。</w:t>
      </w:r>
    </w:p>
    <w:p w14:paraId="3E12F551">
      <w:pPr>
        <w:spacing w:line="360" w:lineRule="auto"/>
        <w:ind w:firstLine="560" w:firstLineChars="0"/>
        <w:rPr>
          <w:rFonts w:hint="eastAsia" w:ascii="宋体" w:hAnsi="宋体" w:eastAsia="宋体" w:cs="宋体"/>
          <w:sz w:val="24"/>
          <w:szCs w:val="24"/>
        </w:rPr>
      </w:pPr>
      <w:r>
        <w:rPr>
          <w:rFonts w:hint="eastAsia" w:ascii="宋体" w:hAnsi="宋体" w:cs="宋体"/>
          <w:sz w:val="24"/>
          <w:lang w:val="en-US" w:eastAsia="zh-CN"/>
        </w:rPr>
        <w:t>综上所述，</w:t>
      </w:r>
      <w:r>
        <w:rPr>
          <w:rFonts w:hint="eastAsia" w:ascii="宋体" w:hAnsi="宋体" w:cs="宋体"/>
          <w:sz w:val="24"/>
          <w:szCs w:val="24"/>
          <w:lang w:val="en-US" w:eastAsia="zh-CN"/>
        </w:rPr>
        <w:t>投标方应在人员技术水平、应急处置能力、文档归集及问题总结上开展相关运维工作，本着科学有效、及时处置、沟通及时的原则开展工作，对运维工作总体要有科学合理的规划，对运维工作要遵循相关工作规范，对项目要有总结和分析的能力。</w:t>
      </w:r>
    </w:p>
    <w:p w14:paraId="7791F2C6">
      <w:pPr>
        <w:pStyle w:val="4"/>
        <w:rPr>
          <w:rFonts w:hint="eastAsia" w:ascii="仿宋" w:hAnsi="仿宋" w:eastAsia="仿宋" w:cs="仿宋"/>
        </w:rPr>
      </w:pPr>
      <w:bookmarkStart w:id="819" w:name="_Toc401916243"/>
      <w:bookmarkStart w:id="820" w:name="_Toc18942"/>
      <w:bookmarkStart w:id="821" w:name="_Toc2525"/>
      <w:bookmarkStart w:id="822" w:name="_Toc30565"/>
      <w:bookmarkStart w:id="823" w:name="_Toc9364"/>
      <w:bookmarkStart w:id="824" w:name="_Toc9214"/>
      <w:bookmarkStart w:id="825" w:name="_Toc8203"/>
      <w:bookmarkStart w:id="826" w:name="_Toc16368"/>
      <w:r>
        <w:rPr>
          <w:rFonts w:hint="eastAsia" w:ascii="仿宋" w:hAnsi="仿宋" w:eastAsia="仿宋" w:cs="仿宋"/>
        </w:rPr>
        <w:t>现场巡检</w:t>
      </w:r>
      <w:bookmarkEnd w:id="819"/>
      <w:bookmarkEnd w:id="820"/>
      <w:bookmarkEnd w:id="821"/>
      <w:bookmarkEnd w:id="822"/>
      <w:bookmarkEnd w:id="823"/>
      <w:bookmarkEnd w:id="824"/>
      <w:bookmarkEnd w:id="825"/>
      <w:bookmarkEnd w:id="826"/>
    </w:p>
    <w:p w14:paraId="143FE346">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现场巡检服务是对用户的系统软件运行进行全面检查的服务项目，通过该服务可使用户获得系统软件运行的最新情况，最大可能</w:t>
      </w:r>
      <w:r>
        <w:rPr>
          <w:rFonts w:hint="eastAsia" w:ascii="宋体" w:hAnsi="宋体" w:cs="宋体"/>
          <w:sz w:val="24"/>
          <w:szCs w:val="24"/>
          <w:lang w:val="en-US" w:eastAsia="zh-CN"/>
        </w:rPr>
        <w:t>的</w:t>
      </w:r>
      <w:r>
        <w:rPr>
          <w:rFonts w:hint="eastAsia" w:ascii="宋体" w:hAnsi="宋体" w:eastAsia="宋体" w:cs="宋体"/>
          <w:sz w:val="24"/>
          <w:szCs w:val="24"/>
        </w:rPr>
        <w:t>发现存在隐患，保障系统稳定运行。通过定期的巡检，运维工程师将有针对性地提出预警及解决建议，使用户能够提早预防，最大限度降低运营风险</w:t>
      </w:r>
      <w:r>
        <w:rPr>
          <w:rFonts w:hint="eastAsia" w:ascii="宋体" w:hAnsi="宋体" w:cs="宋体"/>
          <w:sz w:val="24"/>
          <w:szCs w:val="24"/>
          <w:lang w:eastAsia="zh-CN"/>
        </w:rPr>
        <w:t>，</w:t>
      </w:r>
      <w:r>
        <w:rPr>
          <w:rFonts w:hint="eastAsia" w:ascii="宋体" w:hAnsi="宋体" w:cs="宋体"/>
          <w:sz w:val="24"/>
          <w:szCs w:val="24"/>
          <w:lang w:val="en-US" w:eastAsia="zh-CN"/>
        </w:rPr>
        <w:t>确保业务系统持续稳定运行。</w:t>
      </w:r>
    </w:p>
    <w:p w14:paraId="183CDE6D">
      <w:pPr>
        <w:spacing w:line="360" w:lineRule="auto"/>
        <w:ind w:firstLine="560"/>
        <w:rPr>
          <w:rFonts w:hint="default" w:ascii="仿宋" w:hAnsi="仿宋" w:eastAsia="宋体" w:cs="仿宋"/>
          <w:szCs w:val="28"/>
          <w:lang w:val="en-US" w:eastAsia="zh-CN"/>
        </w:rPr>
      </w:pPr>
      <w:r>
        <w:rPr>
          <w:rFonts w:hint="eastAsia" w:ascii="宋体" w:hAnsi="宋体" w:eastAsia="宋体" w:cs="宋体"/>
          <w:sz w:val="24"/>
          <w:szCs w:val="24"/>
        </w:rPr>
        <w:t>投标人为用户提供每月现场巡检服务。</w:t>
      </w:r>
      <w:r>
        <w:rPr>
          <w:rFonts w:hint="eastAsia" w:ascii="宋体" w:hAnsi="宋体" w:cs="宋体"/>
          <w:sz w:val="24"/>
          <w:szCs w:val="24"/>
          <w:lang w:val="en-US" w:eastAsia="zh-CN"/>
        </w:rPr>
        <w:t>现场巡检是指根据用户要求，按照运维工作计划和工作规范，指派有工作经验及能力较高的工程师对指定业务系统进行巡检，巡检包括区级数据中心（区卫生健康委数据中心）现场及基层医疗机构各使用业务科室现场，在巡检结束后要求用户方及基层医疗机构复杂业务系统人员进行签字确认。在现场巡检过程中至少包括巡检人员、现场照片、巡检内容、巡检记录及人员确认签字，巡检结束后，应立即对巡检内容进行汇总并形成巡检报告。</w:t>
      </w:r>
    </w:p>
    <w:p w14:paraId="76BE0664">
      <w:pPr>
        <w:pStyle w:val="4"/>
        <w:rPr>
          <w:rFonts w:hint="eastAsia" w:ascii="仿宋" w:hAnsi="仿宋" w:eastAsia="仿宋" w:cs="仿宋"/>
        </w:rPr>
      </w:pPr>
      <w:bookmarkStart w:id="827" w:name="_Toc17087"/>
      <w:bookmarkStart w:id="828" w:name="_Toc31280"/>
      <w:bookmarkStart w:id="829" w:name="_Toc9002"/>
      <w:bookmarkStart w:id="830" w:name="_Toc28439"/>
      <w:bookmarkStart w:id="831" w:name="_Toc7145"/>
      <w:bookmarkStart w:id="832" w:name="_Toc8361"/>
      <w:bookmarkStart w:id="833" w:name="_Toc8820"/>
      <w:bookmarkStart w:id="834" w:name="_Toc401916244"/>
      <w:r>
        <w:rPr>
          <w:rFonts w:hint="eastAsia" w:ascii="仿宋" w:hAnsi="仿宋" w:eastAsia="仿宋" w:cs="仿宋"/>
        </w:rPr>
        <w:t>突发事件应急响应</w:t>
      </w:r>
      <w:bookmarkEnd w:id="827"/>
      <w:bookmarkEnd w:id="828"/>
      <w:bookmarkEnd w:id="829"/>
      <w:bookmarkEnd w:id="830"/>
      <w:bookmarkEnd w:id="831"/>
      <w:bookmarkEnd w:id="832"/>
      <w:bookmarkEnd w:id="833"/>
      <w:bookmarkEnd w:id="834"/>
    </w:p>
    <w:p w14:paraId="1D09BB7C">
      <w:pPr>
        <w:spacing w:line="360" w:lineRule="auto"/>
        <w:ind w:firstLine="560"/>
        <w:rPr>
          <w:rFonts w:hint="default" w:ascii="仿宋" w:hAnsi="仿宋" w:eastAsia="宋体" w:cs="仿宋"/>
          <w:szCs w:val="28"/>
          <w:lang w:val="en-US" w:eastAsia="zh-CN"/>
        </w:rPr>
      </w:pPr>
      <w:bookmarkStart w:id="835" w:name="_Toc401916245"/>
      <w:r>
        <w:rPr>
          <w:rFonts w:hint="eastAsia" w:ascii="宋体" w:hAnsi="宋体" w:eastAsia="宋体" w:cs="宋体"/>
          <w:sz w:val="24"/>
          <w:szCs w:val="24"/>
        </w:rPr>
        <w:t>投标人根据</w:t>
      </w:r>
      <w:r>
        <w:rPr>
          <w:rFonts w:hint="eastAsia" w:ascii="宋体" w:hAnsi="宋体" w:cs="宋体"/>
          <w:sz w:val="24"/>
          <w:szCs w:val="24"/>
          <w:lang w:val="en-US" w:eastAsia="zh-CN"/>
        </w:rPr>
        <w:t>大兴区卫生健康委员会网络安全应急预案要求</w:t>
      </w:r>
      <w:r>
        <w:rPr>
          <w:rFonts w:hint="eastAsia" w:ascii="宋体" w:hAnsi="宋体" w:eastAsia="宋体" w:cs="宋体"/>
          <w:sz w:val="24"/>
          <w:szCs w:val="24"/>
        </w:rPr>
        <w:t>，</w:t>
      </w:r>
      <w:r>
        <w:rPr>
          <w:rFonts w:hint="eastAsia" w:ascii="宋体" w:hAnsi="宋体" w:cs="宋体"/>
          <w:sz w:val="24"/>
          <w:szCs w:val="24"/>
          <w:lang w:val="en-US" w:eastAsia="zh-CN"/>
        </w:rPr>
        <w:t>指定涉及运维业务系统的应急方案，根据标准将业务系统故障等级进行分级，并有对应的应急处置和科学有效的处理流程，</w:t>
      </w:r>
      <w:r>
        <w:rPr>
          <w:rFonts w:hint="eastAsia" w:ascii="宋体" w:hAnsi="宋体" w:eastAsia="宋体" w:cs="宋体"/>
          <w:sz w:val="24"/>
          <w:szCs w:val="24"/>
        </w:rPr>
        <w:t>投标人需提供应急策略，满足对各类突发事件的响应，并提出问题的解决方案。</w:t>
      </w:r>
      <w:r>
        <w:rPr>
          <w:rFonts w:hint="eastAsia" w:ascii="宋体" w:hAnsi="宋体" w:cs="宋体"/>
          <w:sz w:val="24"/>
          <w:szCs w:val="24"/>
          <w:lang w:val="en-US" w:eastAsia="zh-CN"/>
        </w:rPr>
        <w:t>投标人有义务配合用户完成指定业务系统的应急演练。应按照区卫生健康委总体应急预案提供详细科学的突发事件应急响应。</w:t>
      </w:r>
    </w:p>
    <w:p w14:paraId="465C8F38">
      <w:pPr>
        <w:pStyle w:val="4"/>
        <w:rPr>
          <w:rFonts w:hint="eastAsia" w:ascii="仿宋" w:hAnsi="仿宋" w:eastAsia="仿宋" w:cs="仿宋"/>
        </w:rPr>
      </w:pPr>
      <w:bookmarkStart w:id="836" w:name="_Toc22038"/>
      <w:bookmarkStart w:id="837" w:name="_Toc985"/>
      <w:bookmarkStart w:id="838" w:name="_Toc15664"/>
      <w:bookmarkStart w:id="839" w:name="_Toc17211"/>
      <w:bookmarkStart w:id="840" w:name="_Toc5393"/>
      <w:bookmarkStart w:id="841" w:name="_Toc22783"/>
      <w:bookmarkStart w:id="842" w:name="_Toc17534"/>
      <w:r>
        <w:rPr>
          <w:rFonts w:hint="eastAsia" w:ascii="仿宋" w:hAnsi="仿宋" w:eastAsia="仿宋" w:cs="仿宋"/>
        </w:rPr>
        <w:t>电话及</w:t>
      </w:r>
      <w:r>
        <w:rPr>
          <w:rFonts w:hint="eastAsia" w:ascii="仿宋" w:hAnsi="仿宋" w:eastAsia="仿宋" w:cs="仿宋"/>
          <w:szCs w:val="28"/>
        </w:rPr>
        <w:t>相关远程</w:t>
      </w:r>
      <w:r>
        <w:rPr>
          <w:rFonts w:hint="eastAsia" w:ascii="仿宋" w:hAnsi="仿宋" w:eastAsia="仿宋" w:cs="仿宋"/>
        </w:rPr>
        <w:t>支持</w:t>
      </w:r>
      <w:bookmarkEnd w:id="835"/>
      <w:bookmarkEnd w:id="836"/>
      <w:bookmarkEnd w:id="837"/>
      <w:bookmarkEnd w:id="838"/>
      <w:bookmarkEnd w:id="839"/>
      <w:bookmarkEnd w:id="840"/>
      <w:bookmarkEnd w:id="841"/>
      <w:bookmarkEnd w:id="842"/>
    </w:p>
    <w:p w14:paraId="373B7A5E">
      <w:pPr>
        <w:spacing w:line="360" w:lineRule="auto"/>
        <w:ind w:firstLine="560"/>
        <w:rPr>
          <w:rFonts w:hint="eastAsia" w:ascii="仿宋" w:hAnsi="仿宋" w:eastAsia="仿宋" w:cs="仿宋"/>
        </w:rPr>
      </w:pPr>
      <w:r>
        <w:rPr>
          <w:rFonts w:hint="eastAsia" w:ascii="宋体" w:hAnsi="宋体" w:eastAsia="宋体" w:cs="宋体"/>
          <w:sz w:val="24"/>
          <w:szCs w:val="24"/>
        </w:rPr>
        <w:t>投标人</w:t>
      </w:r>
      <w:r>
        <w:rPr>
          <w:rFonts w:hint="eastAsia" w:ascii="宋体" w:hAnsi="宋体" w:cs="宋体"/>
          <w:sz w:val="24"/>
          <w:szCs w:val="24"/>
          <w:lang w:val="en-US" w:eastAsia="zh-CN"/>
        </w:rPr>
        <w:t>根据区卫生健康委运维管理规范，通过远程的方式进行系统的运维日常工作，在接到用户方的通知或者电话后，应立即进行响应，</w:t>
      </w:r>
      <w:r>
        <w:rPr>
          <w:rFonts w:hint="eastAsia" w:ascii="宋体" w:hAnsi="宋体" w:eastAsia="宋体" w:cs="宋体"/>
          <w:sz w:val="24"/>
          <w:szCs w:val="24"/>
        </w:rPr>
        <w:t>提供7×24小时的电话及相关远程工具技术支持服务；电话和相关远程工具支持无法解决故障，投标人需要安排工程师2小时内到场支持。</w:t>
      </w:r>
    </w:p>
    <w:p w14:paraId="70A1176D">
      <w:pPr>
        <w:pStyle w:val="4"/>
        <w:rPr>
          <w:rFonts w:hint="eastAsia" w:ascii="仿宋" w:hAnsi="仿宋" w:eastAsia="仿宋" w:cs="仿宋"/>
        </w:rPr>
      </w:pPr>
      <w:r>
        <w:rPr>
          <w:rFonts w:hint="eastAsia" w:ascii="仿宋" w:hAnsi="仿宋" w:eastAsia="仿宋" w:cs="仿宋"/>
        </w:rPr>
        <w:t>项目运维文档要求</w:t>
      </w:r>
    </w:p>
    <w:p w14:paraId="4E347997">
      <w:pPr>
        <w:pStyle w:val="45"/>
        <w:spacing w:line="360" w:lineRule="auto"/>
        <w:ind w:left="0" w:leftChars="0" w:firstLine="484" w:firstLineChars="202"/>
        <w:rPr>
          <w:rFonts w:hint="default" w:ascii="宋体" w:hAnsi="宋体" w:eastAsia="宋体" w:cs="宋体"/>
          <w:lang w:val="en-US" w:eastAsia="zh-CN"/>
        </w:rPr>
      </w:pPr>
      <w:r>
        <w:rPr>
          <w:rFonts w:hint="eastAsia" w:ascii="宋体" w:hAnsi="宋体" w:eastAsia="宋体" w:cs="宋体"/>
        </w:rPr>
        <w:t>投标人提供根据项目</w:t>
      </w:r>
      <w:r>
        <w:rPr>
          <w:rFonts w:hint="eastAsia" w:ascii="宋体" w:hAnsi="宋体" w:cs="宋体"/>
          <w:lang w:val="en-US" w:eastAsia="zh-CN"/>
        </w:rPr>
        <w:t>运维规范及运维工作方案</w:t>
      </w:r>
      <w:r>
        <w:rPr>
          <w:rFonts w:hint="eastAsia" w:ascii="宋体" w:hAnsi="宋体" w:eastAsia="宋体" w:cs="宋体"/>
        </w:rPr>
        <w:t>，</w:t>
      </w:r>
      <w:r>
        <w:rPr>
          <w:rFonts w:hint="eastAsia" w:ascii="宋体" w:hAnsi="宋体" w:cs="宋体"/>
          <w:lang w:val="en-US" w:eastAsia="zh-CN"/>
        </w:rPr>
        <w:t>制定切实可行的运维文档模板，包括但不限于运维记录、运维小结、运维月报、事故处置分析报告、运维季报及运维总结报告等，根据要求</w:t>
      </w:r>
      <w:r>
        <w:rPr>
          <w:rFonts w:hint="eastAsia" w:ascii="宋体" w:hAnsi="宋体" w:eastAsia="宋体" w:cs="宋体"/>
        </w:rPr>
        <w:t>提交月度运维报告、</w:t>
      </w:r>
      <w:r>
        <w:rPr>
          <w:rFonts w:hint="eastAsia" w:ascii="宋体" w:hAnsi="宋体" w:cs="宋体"/>
          <w:lang w:val="en-US" w:eastAsia="zh-CN"/>
        </w:rPr>
        <w:t>季度、半年</w:t>
      </w:r>
      <w:r>
        <w:rPr>
          <w:rFonts w:hint="eastAsia" w:ascii="宋体" w:hAnsi="宋体" w:eastAsia="宋体" w:cs="宋体"/>
        </w:rPr>
        <w:t>运维报告、年度运维总结报告</w:t>
      </w:r>
      <w:r>
        <w:rPr>
          <w:rFonts w:hint="eastAsia" w:ascii="宋体" w:hAnsi="宋体" w:cs="宋体"/>
          <w:lang w:eastAsia="zh-CN"/>
        </w:rPr>
        <w:t>。</w:t>
      </w:r>
      <w:r>
        <w:rPr>
          <w:rFonts w:hint="eastAsia" w:ascii="宋体" w:hAnsi="宋体" w:cs="宋体"/>
          <w:lang w:val="en-US" w:eastAsia="zh-CN"/>
        </w:rPr>
        <w:t>以上工作质量要纳入到相关管理规范及绩效评价体系中</w:t>
      </w:r>
      <w:r>
        <w:rPr>
          <w:rFonts w:hint="eastAsia" w:ascii="宋体" w:hAnsi="宋体" w:eastAsia="宋体" w:cs="宋体"/>
        </w:rPr>
        <w:t>。</w:t>
      </w:r>
      <w:r>
        <w:rPr>
          <w:rFonts w:hint="eastAsia" w:ascii="宋体" w:hAnsi="宋体" w:cs="宋体"/>
          <w:lang w:val="en-US" w:eastAsia="zh-CN"/>
        </w:rPr>
        <w:t>项目文档要撰写要按照规范及模板开展，需要控制版本，并由项目经理亲自把关后交给采购方。要求投标人文档规范，内容详细，逻辑清晰，用词规范，针对运维工作要有计划、有记录、有分析、有描述、有总结等。</w:t>
      </w:r>
    </w:p>
    <w:p w14:paraId="6148E122">
      <w:pPr>
        <w:pStyle w:val="4"/>
        <w:rPr>
          <w:rFonts w:hint="eastAsia" w:ascii="仿宋" w:hAnsi="仿宋" w:eastAsia="仿宋" w:cs="仿宋"/>
        </w:rPr>
      </w:pPr>
      <w:r>
        <w:rPr>
          <w:rFonts w:hint="eastAsia" w:ascii="仿宋" w:hAnsi="仿宋" w:eastAsia="仿宋" w:cs="仿宋"/>
        </w:rPr>
        <w:t>项目团队要求</w:t>
      </w:r>
    </w:p>
    <w:p w14:paraId="35EF4173">
      <w:pPr>
        <w:snapToGrid w:val="0"/>
        <w:spacing w:line="360" w:lineRule="auto"/>
        <w:ind w:firstLine="560"/>
        <w:rPr>
          <w:rFonts w:hint="default" w:ascii="宋体" w:hAnsi="宋体" w:eastAsia="宋体" w:cs="宋体"/>
          <w:sz w:val="24"/>
          <w:szCs w:val="24"/>
          <w:lang w:val="en-US"/>
        </w:rPr>
      </w:pPr>
      <w:r>
        <w:rPr>
          <w:rFonts w:hint="eastAsia" w:ascii="宋体" w:hAnsi="宋体" w:eastAsia="宋体" w:cs="宋体"/>
          <w:sz w:val="24"/>
          <w:szCs w:val="24"/>
        </w:rPr>
        <w:t>根据运维工作的需要，</w:t>
      </w:r>
      <w:r>
        <w:rPr>
          <w:rFonts w:hint="eastAsia" w:ascii="宋体" w:hAnsi="宋体" w:eastAsia="宋体" w:cs="宋体"/>
          <w:sz w:val="24"/>
          <w:szCs w:val="24"/>
          <w:lang w:val="en-US" w:eastAsia="zh-CN"/>
        </w:rPr>
        <w:t>结合项目实际运行情况及</w:t>
      </w:r>
      <w:r>
        <w:rPr>
          <w:rFonts w:hint="eastAsia" w:ascii="宋体" w:hAnsi="宋体" w:cs="宋体"/>
          <w:sz w:val="24"/>
          <w:szCs w:val="24"/>
          <w:lang w:val="en-US" w:eastAsia="zh-CN"/>
        </w:rPr>
        <w:t>区卫</w:t>
      </w:r>
      <w:r>
        <w:rPr>
          <w:rFonts w:hint="eastAsia" w:ascii="宋体" w:hAnsi="宋体" w:eastAsia="宋体" w:cs="宋体"/>
          <w:sz w:val="24"/>
          <w:szCs w:val="24"/>
          <w:lang w:val="en-US" w:eastAsia="zh-CN"/>
        </w:rPr>
        <w:t>生健康委工作要求，</w:t>
      </w:r>
      <w:r>
        <w:rPr>
          <w:rFonts w:hint="eastAsia" w:ascii="宋体" w:hAnsi="宋体" w:eastAsia="宋体" w:cs="宋体"/>
          <w:sz w:val="24"/>
          <w:szCs w:val="24"/>
        </w:rPr>
        <w:t>项目供应商应</w:t>
      </w:r>
      <w:r>
        <w:rPr>
          <w:rFonts w:hint="eastAsia" w:ascii="宋体" w:hAnsi="宋体" w:eastAsia="宋体" w:cs="宋体"/>
          <w:sz w:val="24"/>
          <w:szCs w:val="24"/>
          <w:lang w:val="en-US" w:eastAsia="zh-CN"/>
        </w:rPr>
        <w:t>组建专业的运维团队，团队要求有一定类似项目工作经验、</w:t>
      </w:r>
      <w:r>
        <w:rPr>
          <w:rFonts w:hint="eastAsia" w:ascii="宋体" w:hAnsi="宋体" w:cs="宋体"/>
          <w:sz w:val="24"/>
          <w:szCs w:val="24"/>
          <w:lang w:val="en-US" w:eastAsia="zh-CN"/>
        </w:rPr>
        <w:t>理解能力强、技术</w:t>
      </w:r>
      <w:r>
        <w:rPr>
          <w:rFonts w:hint="eastAsia" w:ascii="宋体" w:hAnsi="宋体" w:eastAsia="宋体" w:cs="宋体"/>
          <w:sz w:val="24"/>
          <w:szCs w:val="24"/>
          <w:lang w:val="en-US" w:eastAsia="zh-CN"/>
        </w:rPr>
        <w:t>平高、对工作认真负责的人员。团队应在能力、沟通、技术水平上有一定的经验。团队组织</w:t>
      </w:r>
      <w:r>
        <w:rPr>
          <w:rFonts w:hint="eastAsia" w:ascii="宋体" w:hAnsi="宋体" w:eastAsia="宋体" w:cs="宋体"/>
          <w:sz w:val="24"/>
          <w:szCs w:val="24"/>
        </w:rPr>
        <w:t>科学合理、分工明确，至少应包括</w:t>
      </w:r>
      <w:r>
        <w:rPr>
          <w:rFonts w:hint="eastAsia" w:ascii="宋体" w:hAnsi="宋体" w:eastAsia="宋体" w:cs="宋体"/>
          <w:sz w:val="24"/>
          <w:szCs w:val="24"/>
          <w:lang w:val="en-US" w:eastAsia="zh-CN"/>
        </w:rPr>
        <w:t>具备一定经验的</w:t>
      </w:r>
      <w:r>
        <w:rPr>
          <w:rFonts w:hint="eastAsia" w:ascii="宋体" w:hAnsi="宋体" w:eastAsia="宋体" w:cs="宋体"/>
          <w:sz w:val="24"/>
          <w:szCs w:val="24"/>
        </w:rPr>
        <w:t>项目经理</w:t>
      </w:r>
      <w:r>
        <w:rPr>
          <w:rFonts w:hint="eastAsia" w:ascii="宋体" w:hAnsi="宋体" w:eastAsia="宋体" w:cs="宋体"/>
          <w:sz w:val="24"/>
          <w:szCs w:val="24"/>
          <w:lang w:eastAsia="zh-CN"/>
        </w:rPr>
        <w:t>，</w:t>
      </w:r>
      <w:r>
        <w:rPr>
          <w:rFonts w:hint="eastAsia" w:ascii="宋体" w:hAnsi="宋体" w:eastAsia="宋体" w:cs="宋体"/>
          <w:sz w:val="24"/>
          <w:szCs w:val="24"/>
        </w:rPr>
        <w:t>运行维护</w:t>
      </w:r>
      <w:r>
        <w:rPr>
          <w:rFonts w:hint="eastAsia" w:ascii="宋体" w:hAnsi="宋体" w:eastAsia="宋体" w:cs="宋体"/>
          <w:sz w:val="24"/>
          <w:szCs w:val="24"/>
          <w:lang w:val="en-US" w:eastAsia="zh-CN"/>
        </w:rPr>
        <w:t>人员等相关角色应有独立处理问题的能力和基本的沟通。</w:t>
      </w:r>
      <w:r>
        <w:rPr>
          <w:rFonts w:hint="eastAsia" w:ascii="宋体" w:hAnsi="宋体" w:cs="宋体"/>
          <w:sz w:val="24"/>
          <w:szCs w:val="24"/>
          <w:lang w:val="en-US" w:eastAsia="zh-CN"/>
        </w:rPr>
        <w:t>团队要有核心竞争力，在项目运维期间应互相积极配合，有团队意识，严禁出现推诿扯皮等不负责任的情况，按照甲方要求，按照工作约定时间内完成相关工作，如出现工作延期等相关情况，甲方将采取约谈及相关措施进行处罚。</w:t>
      </w:r>
    </w:p>
    <w:p w14:paraId="60E5FCF3">
      <w:pPr>
        <w:snapToGrid w:val="0"/>
        <w:spacing w:line="360" w:lineRule="auto"/>
        <w:ind w:firstLine="560"/>
        <w:rPr>
          <w:rFonts w:hint="eastAsia" w:ascii="宋体" w:hAnsi="宋体" w:cs="宋体"/>
          <w:sz w:val="24"/>
          <w:szCs w:val="24"/>
          <w:lang w:val="en-US" w:eastAsia="zh-CN"/>
        </w:rPr>
      </w:pPr>
      <w:r>
        <w:rPr>
          <w:rFonts w:hint="eastAsia" w:ascii="宋体" w:hAnsi="宋体" w:eastAsia="宋体" w:cs="宋体"/>
          <w:sz w:val="24"/>
          <w:szCs w:val="24"/>
        </w:rPr>
        <w:t>项目核心人员必须全程负责本项目的实施，未经甲方许可不得更换。项目建设过程中，投标人应</w:t>
      </w:r>
      <w:r>
        <w:rPr>
          <w:rFonts w:hint="eastAsia" w:ascii="宋体" w:hAnsi="宋体" w:cs="宋体"/>
          <w:sz w:val="24"/>
          <w:szCs w:val="24"/>
          <w:lang w:val="en-US" w:eastAsia="zh-CN"/>
        </w:rPr>
        <w:t>及时根据用户方的意见进行科学合理的人员调整。</w:t>
      </w:r>
    </w:p>
    <w:p w14:paraId="787AD7CE">
      <w:pPr>
        <w:snapToGrid w:val="0"/>
        <w:spacing w:line="360" w:lineRule="auto"/>
        <w:ind w:firstLine="3513" w:firstLineChars="1464"/>
        <w:rPr>
          <w:rFonts w:hint="eastAsia" w:ascii="宋体" w:hAnsi="宋体" w:cs="宋体"/>
          <w:sz w:val="24"/>
          <w:szCs w:val="24"/>
          <w:lang w:val="en-US" w:eastAsia="zh-CN"/>
        </w:rPr>
      </w:pPr>
      <w:r>
        <w:rPr>
          <w:rFonts w:hint="eastAsia" w:ascii="宋体" w:hAnsi="宋体" w:cs="宋体"/>
          <w:sz w:val="24"/>
          <w:szCs w:val="24"/>
          <w:lang w:val="en-US" w:eastAsia="zh-CN"/>
        </w:rPr>
        <w:t>运维工作总体要求</w:t>
      </w:r>
    </w:p>
    <w:p w14:paraId="3DE4AF9F">
      <w:pPr>
        <w:snapToGrid w:val="0"/>
        <w:spacing w:line="360" w:lineRule="auto"/>
        <w:ind w:firstLine="720" w:firstLineChars="300"/>
        <w:rPr>
          <w:rFonts w:hint="eastAsia" w:ascii="宋体" w:hAnsi="宋体" w:eastAsia="宋体" w:cs="宋体"/>
          <w:sz w:val="24"/>
          <w:szCs w:val="24"/>
        </w:rPr>
      </w:pPr>
      <w:r>
        <w:rPr>
          <w:rFonts w:hint="eastAsia" w:ascii="宋体" w:hAnsi="宋体" w:cs="宋体"/>
          <w:sz w:val="24"/>
          <w:szCs w:val="24"/>
          <w:lang w:val="en-US" w:eastAsia="zh-CN"/>
        </w:rPr>
        <w:t>以上工作要求，投标人应严格遵守，在项目规划、方案制定、人员配置、沟通能力、响应能力及文档能力上积极完成相关软件运维工作。按照用户方要求及时准确的进行响应，根据用户方运维管理规范及制定的相关工作要求开展工作。用户方为确保整体运维项目顺利有序、高质量高效率完成，将根据运维工作内容在人员安排、文档规范、故障响应、事件分析、满意度、系统稳定率等方面制定绩效考核体系，在经过用户方与投标方商议并确认的前提下开展相关执行工作。用户方将按照季度对运维分项进行绩效考核，对于运维效果差、沟通不及时、响应不及时、分析问题不充分或无法处理问题等情况，将根据合同约定在尾款中适当进行扣除。</w:t>
      </w:r>
    </w:p>
    <w:p w14:paraId="488F50F5">
      <w:pPr>
        <w:pStyle w:val="3"/>
        <w:rPr>
          <w:rFonts w:hint="eastAsia" w:ascii="仿宋" w:hAnsi="仿宋" w:eastAsia="仿宋" w:cs="仿宋"/>
        </w:rPr>
      </w:pPr>
      <w:r>
        <w:rPr>
          <w:rFonts w:hint="eastAsia" w:ascii="仿宋" w:hAnsi="仿宋" w:eastAsia="仿宋" w:cs="仿宋"/>
        </w:rPr>
        <w:t>项目验收要求</w:t>
      </w:r>
    </w:p>
    <w:p w14:paraId="3FFAAB60">
      <w:pPr>
        <w:snapToGrid w:val="0"/>
        <w:spacing w:line="360" w:lineRule="auto"/>
        <w:ind w:firstLine="560" w:firstLineChars="0"/>
        <w:rPr>
          <w:rFonts w:hint="eastAsia"/>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年大兴区人口健康信息平台软件运维项目包括8个业务系统运维。在项目运维期结束前</w:t>
      </w:r>
      <w:r>
        <w:rPr>
          <w:rFonts w:hint="eastAsia" w:ascii="宋体" w:hAnsi="宋体" w:cs="宋体"/>
          <w:sz w:val="24"/>
          <w:szCs w:val="24"/>
          <w:lang w:val="en-US" w:eastAsia="zh-CN"/>
        </w:rPr>
        <w:t>结合项目服务及采购人绩效考核结果</w:t>
      </w:r>
      <w:r>
        <w:rPr>
          <w:rFonts w:hint="eastAsia" w:ascii="宋体" w:hAnsi="宋体" w:eastAsia="宋体" w:cs="宋体"/>
          <w:sz w:val="24"/>
          <w:szCs w:val="24"/>
        </w:rPr>
        <w:t>，启动项目终验流程，需要</w:t>
      </w:r>
      <w:r>
        <w:rPr>
          <w:rFonts w:hint="eastAsia" w:ascii="宋体" w:hAnsi="宋体" w:cs="宋体"/>
          <w:sz w:val="24"/>
          <w:szCs w:val="24"/>
          <w:lang w:val="en-US" w:eastAsia="zh-CN"/>
        </w:rPr>
        <w:t>按照运维服务相关要求提供</w:t>
      </w:r>
      <w:r>
        <w:rPr>
          <w:rFonts w:hint="eastAsia" w:ascii="宋体" w:hAnsi="宋体" w:eastAsia="宋体" w:cs="宋体"/>
          <w:sz w:val="24"/>
          <w:szCs w:val="24"/>
        </w:rPr>
        <w:t>完成完整的运维过程文档</w:t>
      </w:r>
      <w:r>
        <w:rPr>
          <w:rFonts w:hint="eastAsia" w:ascii="宋体" w:hAnsi="宋体" w:cs="宋体"/>
          <w:sz w:val="24"/>
          <w:szCs w:val="24"/>
          <w:lang w:eastAsia="zh-CN"/>
        </w:rPr>
        <w:t>，</w:t>
      </w:r>
      <w:r>
        <w:rPr>
          <w:rFonts w:hint="eastAsia" w:ascii="宋体" w:hAnsi="宋体" w:cs="宋体"/>
          <w:sz w:val="24"/>
          <w:szCs w:val="24"/>
          <w:lang w:val="en-US" w:eastAsia="zh-CN"/>
        </w:rPr>
        <w:t>包含电子文档（PDF格式）及纸质文档</w:t>
      </w:r>
      <w:r>
        <w:rPr>
          <w:rFonts w:hint="eastAsia" w:ascii="宋体" w:hAnsi="宋体" w:eastAsia="宋体" w:cs="宋体"/>
          <w:sz w:val="24"/>
          <w:szCs w:val="24"/>
        </w:rPr>
        <w:t>，由采购人组织项目验收工作。验收小组由</w:t>
      </w:r>
      <w:r>
        <w:rPr>
          <w:rFonts w:hint="eastAsia" w:ascii="宋体" w:hAnsi="宋体" w:cs="宋体"/>
          <w:sz w:val="24"/>
          <w:szCs w:val="24"/>
          <w:lang w:val="en-US" w:eastAsia="zh-CN"/>
        </w:rPr>
        <w:t>运维项目负责人</w:t>
      </w:r>
      <w:r>
        <w:rPr>
          <w:rFonts w:hint="eastAsia" w:ascii="宋体" w:hAnsi="宋体" w:eastAsia="宋体" w:cs="宋体"/>
          <w:sz w:val="24"/>
          <w:szCs w:val="24"/>
        </w:rPr>
        <w:t>、外聘专家共同组成。依据招标文件、投标文件、合同条款</w:t>
      </w:r>
      <w:r>
        <w:rPr>
          <w:rFonts w:hint="eastAsia" w:ascii="宋体" w:hAnsi="宋体" w:cs="宋体"/>
          <w:sz w:val="24"/>
          <w:szCs w:val="24"/>
          <w:lang w:eastAsia="zh-CN"/>
        </w:rPr>
        <w:t>、</w:t>
      </w:r>
      <w:r>
        <w:rPr>
          <w:rFonts w:hint="eastAsia" w:ascii="宋体" w:hAnsi="宋体" w:cs="宋体"/>
          <w:sz w:val="24"/>
          <w:szCs w:val="24"/>
          <w:lang w:val="en-US" w:eastAsia="zh-CN"/>
        </w:rPr>
        <w:t>绩效考核结果及日常工作情况</w:t>
      </w:r>
      <w:r>
        <w:rPr>
          <w:rFonts w:hint="eastAsia" w:ascii="宋体" w:hAnsi="宋体" w:eastAsia="宋体" w:cs="宋体"/>
          <w:sz w:val="24"/>
          <w:szCs w:val="24"/>
        </w:rPr>
        <w:t>等作为验收依据进行验收。如因乙方原因未能通过验收的，乙方应</w:t>
      </w:r>
      <w:r>
        <w:rPr>
          <w:rFonts w:hint="eastAsia" w:ascii="宋体" w:hAnsi="宋体" w:cs="宋体"/>
          <w:sz w:val="24"/>
          <w:szCs w:val="24"/>
          <w:lang w:val="en-US" w:eastAsia="zh-CN"/>
        </w:rPr>
        <w:t>根据甲方及专家意见进行整改</w:t>
      </w:r>
      <w:r>
        <w:rPr>
          <w:rFonts w:hint="eastAsia" w:ascii="宋体" w:hAnsi="宋体" w:eastAsia="宋体" w:cs="宋体"/>
          <w:sz w:val="24"/>
          <w:szCs w:val="24"/>
        </w:rPr>
        <w:t>，并自行承担相关费用，直至符合服务要求，再重新组织验收。</w:t>
      </w:r>
      <w:r>
        <w:rPr>
          <w:rFonts w:hint="eastAsia" w:ascii="宋体" w:hAnsi="宋体" w:cs="宋体"/>
          <w:sz w:val="24"/>
          <w:szCs w:val="24"/>
          <w:lang w:val="en-US" w:eastAsia="zh-CN"/>
        </w:rPr>
        <w:t>在运维期间系统发生重大故障并无法分析原因的，投标方将承担对应的责任，甲方根据将采取相关措施，包括但不限于运维期进行适当延长等。</w:t>
      </w:r>
      <w:r>
        <w:rPr>
          <w:rFonts w:hint="eastAsia" w:ascii="宋体" w:hAnsi="宋体" w:eastAsia="宋体" w:cs="宋体"/>
          <w:sz w:val="24"/>
          <w:szCs w:val="24"/>
        </w:rPr>
        <w:t>终验合格后，签署项目验收报告</w:t>
      </w:r>
      <w:r>
        <w:rPr>
          <w:rFonts w:hint="eastAsia" w:ascii="宋体" w:hAnsi="宋体" w:cs="宋体"/>
          <w:sz w:val="24"/>
          <w:szCs w:val="24"/>
          <w:lang w:eastAsia="zh-CN"/>
        </w:rPr>
        <w:t>，</w:t>
      </w:r>
      <w:r>
        <w:rPr>
          <w:rFonts w:hint="eastAsia" w:ascii="宋体" w:hAnsi="宋体" w:cs="宋体"/>
          <w:sz w:val="24"/>
          <w:szCs w:val="24"/>
          <w:lang w:val="en-US" w:eastAsia="zh-CN"/>
        </w:rPr>
        <w:t>并根据用户方要求将项目文档，PDF、电子版各一份进行文件归档</w:t>
      </w:r>
      <w:r>
        <w:rPr>
          <w:rFonts w:hint="eastAsia" w:ascii="宋体" w:hAnsi="宋体" w:eastAsia="宋体" w:cs="宋体"/>
          <w:sz w:val="24"/>
          <w:szCs w:val="24"/>
        </w:rPr>
        <w:t xml:space="preserve">。 </w:t>
      </w:r>
    </w:p>
    <w:p w14:paraId="379FE828">
      <w:pPr>
        <w:pStyle w:val="21"/>
        <w:ind w:left="902" w:hanging="482"/>
        <w:rPr>
          <w:rFonts w:hint="eastAsia" w:ascii="宋体" w:hAnsi="宋体" w:cs="宋体"/>
          <w:b/>
          <w:sz w:val="24"/>
          <w:lang w:eastAsia="zh-CN"/>
        </w:rPr>
      </w:pPr>
    </w:p>
    <w:p w14:paraId="7C042363">
      <w:pPr>
        <w:pStyle w:val="21"/>
        <w:spacing w:line="360" w:lineRule="auto"/>
        <w:ind w:left="0" w:leftChars="0" w:firstLine="482" w:firstLineChars="200"/>
        <w:rPr>
          <w:rFonts w:hint="eastAsia" w:ascii="宋体" w:hAnsi="宋体" w:cs="宋体"/>
          <w:b/>
          <w:sz w:val="24"/>
          <w:lang w:eastAsia="zh-CN"/>
        </w:rPr>
      </w:pPr>
      <w:r>
        <w:rPr>
          <w:rFonts w:hint="eastAsia" w:ascii="宋体" w:hAnsi="宋体" w:cs="宋体"/>
          <w:b/>
          <w:sz w:val="24"/>
          <w:lang w:eastAsia="zh-CN"/>
        </w:rPr>
        <w:t>投标人应根据招标人委托的第三方安全测评机构出具的等保测评（网络安全等级保护测评）、密评（商用密码应用安全性评估）及漏洞扫描报告，对其中发现的安全风险或不符合项，无偿完成整改修复，并向招标人提供相应的修复证明或复测通过报告。</w:t>
      </w:r>
    </w:p>
    <w:p w14:paraId="5780501B">
      <w:pPr>
        <w:numPr>
          <w:ilvl w:val="0"/>
          <w:numId w:val="0"/>
        </w:numPr>
        <w:spacing w:line="360" w:lineRule="auto"/>
        <w:jc w:val="both"/>
        <w:outlineLvl w:val="0"/>
        <w:rPr>
          <w:rFonts w:hint="eastAsia" w:ascii="宋体" w:hAnsi="宋体" w:eastAsia="宋体" w:cs="宋体"/>
          <w:b/>
          <w:sz w:val="36"/>
          <w:szCs w:val="36"/>
          <w:highlight w:val="none"/>
        </w:rPr>
      </w:pPr>
    </w:p>
    <w:p w14:paraId="1558F42C">
      <w:pPr>
        <w:numPr>
          <w:ilvl w:val="0"/>
          <w:numId w:val="0"/>
        </w:numPr>
        <w:spacing w:line="360" w:lineRule="auto"/>
        <w:jc w:val="both"/>
        <w:outlineLvl w:val="0"/>
        <w:rPr>
          <w:rFonts w:hint="eastAsia" w:ascii="宋体" w:hAnsi="宋体" w:eastAsia="宋体" w:cs="宋体"/>
          <w:b/>
          <w:sz w:val="36"/>
          <w:szCs w:val="36"/>
          <w:highlight w:val="none"/>
        </w:rPr>
      </w:pPr>
    </w:p>
    <w:p w14:paraId="78127ABA">
      <w:pPr>
        <w:numPr>
          <w:ilvl w:val="0"/>
          <w:numId w:val="14"/>
        </w:num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拟签订的合同文本</w:t>
      </w:r>
    </w:p>
    <w:p w14:paraId="6FE82E94">
      <w:pPr>
        <w:spacing w:line="360" w:lineRule="auto"/>
        <w:jc w:val="center"/>
        <w:rPr>
          <w:rFonts w:ascii="仿宋" w:hAnsi="仿宋" w:eastAsia="仿宋" w:cs="宋体"/>
          <w:color w:val="000000"/>
          <w:sz w:val="24"/>
        </w:rPr>
      </w:pPr>
      <w:bookmarkStart w:id="843" w:name="_Toc3995"/>
      <w:r>
        <w:rPr>
          <w:rFonts w:hint="eastAsia" w:ascii="仿宋" w:hAnsi="仿宋" w:eastAsia="仿宋" w:cs="宋体"/>
          <w:color w:val="000000"/>
          <w:sz w:val="24"/>
        </w:rPr>
        <w:t>（此合同仅供参考。以最终采购人与中标供应商签定的合同条款为准，</w:t>
      </w:r>
    </w:p>
    <w:p w14:paraId="1C2AAC18">
      <w:pPr>
        <w:pStyle w:val="19"/>
        <w:spacing w:after="0"/>
        <w:jc w:val="both"/>
        <w:rPr>
          <w:rFonts w:ascii="宋体" w:hAnsi="宋体" w:cs="宋体"/>
          <w:b w:val="0"/>
          <w:bCs w:val="0"/>
          <w:spacing w:val="-20"/>
          <w:kern w:val="44"/>
          <w:sz w:val="24"/>
          <w:szCs w:val="24"/>
        </w:rPr>
      </w:pPr>
      <w:r>
        <w:rPr>
          <w:rFonts w:hint="eastAsia" w:ascii="仿宋" w:hAnsi="仿宋" w:eastAsia="仿宋" w:cs="宋体"/>
          <w:color w:val="000000"/>
          <w:sz w:val="24"/>
        </w:rPr>
        <w:t>最终签定合同的主要条款不能与招标文件有冲突）</w:t>
      </w:r>
    </w:p>
    <w:bookmarkEnd w:id="843"/>
    <w:p w14:paraId="5B466C1A">
      <w:pPr>
        <w:spacing w:line="360" w:lineRule="auto"/>
        <w:jc w:val="center"/>
        <w:rPr>
          <w:rFonts w:ascii="宋体" w:hAnsi="宋体"/>
          <w:b/>
          <w:sz w:val="28"/>
          <w:szCs w:val="28"/>
        </w:rPr>
      </w:pPr>
      <w:bookmarkStart w:id="844" w:name="_Toc71207572"/>
    </w:p>
    <w:bookmarkEnd w:id="844"/>
    <w:p w14:paraId="01B82540">
      <w:pPr>
        <w:pStyle w:val="24"/>
        <w:rPr>
          <w:rFonts w:hint="eastAsia"/>
          <w:sz w:val="30"/>
          <w:szCs w:val="30"/>
        </w:rPr>
      </w:pPr>
    </w:p>
    <w:p w14:paraId="68FA0B53">
      <w:pPr>
        <w:keepNext w:val="0"/>
        <w:keepLines w:val="0"/>
        <w:widowControl w:val="0"/>
        <w:suppressLineNumbers w:val="0"/>
        <w:adjustRightInd w:val="0"/>
        <w:snapToGrid w:val="0"/>
        <w:spacing w:before="120" w:beforeLines="50" w:beforeAutospacing="0" w:after="120" w:afterLines="50" w:afterAutospacing="0" w:line="360" w:lineRule="auto"/>
        <w:ind w:left="0" w:right="0"/>
        <w:jc w:val="both"/>
        <w:rPr>
          <w:rFonts w:hint="eastAsia" w:ascii="宋体" w:hAnsi="宋体" w:eastAsia="宋体" w:cs="宋体"/>
          <w:color w:val="000000"/>
          <w:kern w:val="0"/>
          <w:sz w:val="24"/>
          <w:szCs w:val="24"/>
          <w:lang w:val="en-US"/>
        </w:rPr>
      </w:pPr>
      <w:bookmarkStart w:id="845" w:name="_Toc99301426"/>
      <w:r>
        <w:rPr>
          <w:rFonts w:hint="eastAsia" w:ascii="宋体" w:hAnsi="宋体" w:eastAsia="宋体" w:cs="宋体"/>
          <w:b/>
          <w:bCs/>
          <w:color w:val="000000"/>
          <w:kern w:val="0"/>
          <w:sz w:val="24"/>
          <w:szCs w:val="24"/>
          <w:lang w:val="en-US" w:eastAsia="zh-CN" w:bidi="ar"/>
        </w:rPr>
        <w:t>合同书编号：</w:t>
      </w:r>
    </w:p>
    <w:p w14:paraId="5083F9FF">
      <w:pPr>
        <w:pStyle w:val="6"/>
        <w:widowControl/>
        <w:rPr>
          <w:rFonts w:hAnsi="宋体" w:cs="宋体"/>
          <w:color w:val="000000"/>
          <w:lang w:val="en-US"/>
        </w:rPr>
      </w:pPr>
    </w:p>
    <w:p w14:paraId="5C84DF87">
      <w:pPr>
        <w:keepNext w:val="0"/>
        <w:keepLines w:val="0"/>
        <w:widowControl w:val="0"/>
        <w:suppressLineNumbers w:val="0"/>
        <w:adjustRightInd w:val="0"/>
        <w:snapToGrid w:val="0"/>
        <w:spacing w:before="120" w:beforeLines="50" w:beforeAutospacing="0" w:after="120" w:afterLines="50" w:afterAutospacing="0" w:line="360" w:lineRule="auto"/>
        <w:ind w:left="0" w:right="0"/>
        <w:jc w:val="both"/>
        <w:rPr>
          <w:rFonts w:hint="eastAsia" w:ascii="宋体" w:hAnsi="宋体" w:eastAsia="宋体" w:cs="宋体"/>
          <w:color w:val="000000"/>
          <w:kern w:val="0"/>
          <w:sz w:val="24"/>
          <w:szCs w:val="24"/>
          <w:lang w:val="en-US"/>
        </w:rPr>
      </w:pPr>
    </w:p>
    <w:p w14:paraId="02192920">
      <w:pPr>
        <w:pStyle w:val="272"/>
        <w:widowControl/>
        <w:spacing w:before="120" w:beforeLines="50" w:beforeAutospacing="0" w:after="120" w:afterLines="50" w:afterAutospacing="0" w:line="360" w:lineRule="auto"/>
        <w:ind w:left="0" w:right="0"/>
        <w:jc w:val="center"/>
        <w:rPr>
          <w:rFonts w:hAnsi="宋体" w:cs="宋体"/>
          <w:b/>
          <w:bCs w:val="0"/>
          <w:color w:val="000000"/>
          <w:sz w:val="32"/>
          <w:szCs w:val="32"/>
          <w:lang w:val="en-US"/>
        </w:rPr>
      </w:pPr>
      <w:r>
        <w:rPr>
          <w:rFonts w:hAnsi="宋体" w:cs="宋体"/>
          <w:b/>
          <w:bCs w:val="0"/>
          <w:color w:val="000000"/>
          <w:sz w:val="32"/>
          <w:szCs w:val="32"/>
          <w:lang w:eastAsia="zh-CN"/>
        </w:rPr>
        <w:t>北京市大兴区卫生健康委员会</w:t>
      </w:r>
    </w:p>
    <w:p w14:paraId="29B7A435">
      <w:pPr>
        <w:pStyle w:val="272"/>
        <w:widowControl/>
        <w:spacing w:before="120" w:beforeLines="50" w:beforeAutospacing="0" w:after="120" w:afterLines="50" w:afterAutospacing="0" w:line="360" w:lineRule="auto"/>
        <w:ind w:left="0" w:right="0"/>
        <w:jc w:val="center"/>
        <w:rPr>
          <w:rFonts w:hAnsi="宋体" w:cs="宋体"/>
          <w:b/>
          <w:bCs w:val="0"/>
          <w:color w:val="000000"/>
          <w:sz w:val="32"/>
          <w:szCs w:val="32"/>
          <w:lang w:val="en-US"/>
        </w:rPr>
      </w:pPr>
      <w:r>
        <w:rPr>
          <w:rFonts w:hAnsi="宋体" w:cs="宋体"/>
          <w:b/>
          <w:bCs w:val="0"/>
          <w:color w:val="000000"/>
          <w:sz w:val="32"/>
          <w:szCs w:val="32"/>
          <w:u w:val="single"/>
          <w:lang w:val="en-US"/>
        </w:rPr>
        <w:t xml:space="preserve"> </w:t>
      </w:r>
      <w:r>
        <w:rPr>
          <w:rFonts w:hint="eastAsia" w:hAnsi="宋体" w:cs="宋体"/>
          <w:b/>
          <w:bCs w:val="0"/>
          <w:color w:val="000000"/>
          <w:sz w:val="32"/>
          <w:szCs w:val="32"/>
          <w:u w:val="single"/>
          <w:lang w:val="en-US"/>
        </w:rPr>
        <w:t>202</w:t>
      </w:r>
      <w:r>
        <w:rPr>
          <w:rFonts w:hint="eastAsia" w:hAnsi="宋体" w:cs="宋体"/>
          <w:b/>
          <w:bCs w:val="0"/>
          <w:color w:val="000000"/>
          <w:sz w:val="32"/>
          <w:szCs w:val="32"/>
          <w:u w:val="single"/>
          <w:lang w:val="en-US" w:eastAsia="zh-CN"/>
        </w:rPr>
        <w:t>5</w:t>
      </w:r>
      <w:r>
        <w:rPr>
          <w:rFonts w:hint="eastAsia" w:hAnsi="宋体" w:cs="宋体"/>
          <w:b/>
          <w:bCs w:val="0"/>
          <w:color w:val="000000"/>
          <w:sz w:val="32"/>
          <w:szCs w:val="32"/>
          <w:u w:val="single"/>
          <w:lang w:val="en-US"/>
        </w:rPr>
        <w:t>年大兴区人口健康信息平台软件运维项目</w:t>
      </w:r>
      <w:r>
        <w:rPr>
          <w:rFonts w:hint="eastAsia" w:hAnsi="宋体" w:cs="宋体"/>
          <w:b/>
          <w:bCs w:val="0"/>
          <w:color w:val="000000"/>
          <w:sz w:val="32"/>
          <w:szCs w:val="32"/>
          <w:u w:val="single"/>
          <w:lang w:val="en-US" w:eastAsia="zh-CN"/>
        </w:rPr>
        <w:t xml:space="preserve"> </w:t>
      </w:r>
      <w:r>
        <w:rPr>
          <w:rFonts w:hAnsi="宋体" w:cs="宋体"/>
          <w:b/>
          <w:bCs w:val="0"/>
          <w:color w:val="000000"/>
          <w:sz w:val="32"/>
          <w:szCs w:val="32"/>
          <w:lang w:eastAsia="zh-CN"/>
        </w:rPr>
        <w:t>合同</w:t>
      </w:r>
    </w:p>
    <w:p w14:paraId="6FBF595F">
      <w:pPr>
        <w:keepNext w:val="0"/>
        <w:keepLines w:val="0"/>
        <w:widowControl w:val="0"/>
        <w:suppressLineNumbers w:val="0"/>
        <w:adjustRightInd w:val="0"/>
        <w:snapToGrid w:val="0"/>
        <w:spacing w:before="120" w:beforeLines="50" w:beforeAutospacing="0" w:after="120" w:afterLines="50" w:afterAutospacing="0" w:line="360" w:lineRule="auto"/>
        <w:ind w:left="0" w:right="0"/>
        <w:jc w:val="both"/>
        <w:rPr>
          <w:rFonts w:hint="eastAsia" w:ascii="宋体" w:hAnsi="宋体" w:eastAsia="宋体" w:cs="宋体"/>
          <w:b/>
          <w:bCs w:val="0"/>
          <w:color w:val="000000"/>
          <w:kern w:val="0"/>
          <w:sz w:val="24"/>
          <w:szCs w:val="24"/>
          <w:lang w:val="en-US"/>
        </w:rPr>
      </w:pPr>
      <w:r>
        <w:rPr>
          <w:rFonts w:hint="eastAsia" w:ascii="宋体" w:hAnsi="宋体" w:eastAsia="宋体" w:cs="宋体"/>
          <w:color w:val="000000"/>
          <w:kern w:val="0"/>
          <w:sz w:val="24"/>
          <w:szCs w:val="24"/>
          <w:lang w:val="en-US" w:eastAsia="zh-CN" w:bidi="ar"/>
        </w:rPr>
        <w:t xml:space="preserve"> </w:t>
      </w:r>
    </w:p>
    <w:p w14:paraId="5B03DA91">
      <w:pPr>
        <w:keepNext w:val="0"/>
        <w:keepLines w:val="0"/>
        <w:widowControl w:val="0"/>
        <w:suppressLineNumbers w:val="0"/>
        <w:spacing w:before="120" w:beforeLines="50" w:beforeAutospacing="0" w:after="120" w:afterLines="50" w:afterAutospacing="0" w:line="360" w:lineRule="auto"/>
        <w:ind w:left="0" w:right="0"/>
        <w:jc w:val="both"/>
        <w:rPr>
          <w:rFonts w:hint="eastAsia" w:ascii="宋体" w:hAnsi="宋体" w:eastAsia="宋体" w:cs="宋体"/>
          <w:b/>
          <w:bCs w:val="0"/>
          <w:color w:val="000000"/>
          <w:kern w:val="0"/>
          <w:sz w:val="24"/>
          <w:szCs w:val="24"/>
          <w:lang w:val="en-US"/>
        </w:rPr>
      </w:pPr>
    </w:p>
    <w:p w14:paraId="04231CEC">
      <w:pPr>
        <w:keepNext w:val="0"/>
        <w:keepLines w:val="0"/>
        <w:widowControl w:val="0"/>
        <w:suppressLineNumbers w:val="0"/>
        <w:spacing w:before="120" w:beforeLines="50" w:beforeAutospacing="0" w:after="120" w:afterLines="50" w:afterAutospacing="0" w:line="360" w:lineRule="auto"/>
        <w:ind w:left="0" w:right="0"/>
        <w:jc w:val="both"/>
        <w:rPr>
          <w:rFonts w:hint="eastAsia" w:ascii="宋体" w:hAnsi="宋体" w:eastAsia="宋体" w:cs="宋体"/>
          <w:b/>
          <w:bCs w:val="0"/>
          <w:color w:val="000000"/>
          <w:kern w:val="0"/>
          <w:sz w:val="24"/>
          <w:szCs w:val="24"/>
          <w:lang w:val="en-US"/>
        </w:rPr>
      </w:pPr>
    </w:p>
    <w:p w14:paraId="6FD7C769">
      <w:pPr>
        <w:pStyle w:val="6"/>
        <w:widowControl/>
        <w:ind w:left="0" w:firstLine="482"/>
        <w:rPr>
          <w:rFonts w:hAnsi="宋体" w:cs="宋体"/>
          <w:b/>
          <w:bCs w:val="0"/>
          <w:color w:val="000000"/>
          <w:kern w:val="0"/>
          <w:lang w:val="en-US"/>
        </w:rPr>
      </w:pPr>
    </w:p>
    <w:p w14:paraId="4A1C87C9">
      <w:pPr>
        <w:pStyle w:val="6"/>
        <w:widowControl/>
        <w:ind w:left="0" w:firstLine="482"/>
        <w:rPr>
          <w:rFonts w:hAnsi="宋体" w:cs="宋体"/>
          <w:b/>
          <w:bCs w:val="0"/>
          <w:color w:val="000000"/>
          <w:kern w:val="0"/>
          <w:lang w:val="en-US"/>
        </w:rPr>
      </w:pPr>
    </w:p>
    <w:p w14:paraId="6A84F647">
      <w:pPr>
        <w:pStyle w:val="6"/>
        <w:widowControl/>
        <w:ind w:left="0" w:firstLine="482"/>
        <w:rPr>
          <w:rFonts w:hAnsi="宋体" w:cs="宋体"/>
          <w:b/>
          <w:bCs w:val="0"/>
          <w:color w:val="000000"/>
          <w:kern w:val="0"/>
          <w:lang w:val="en-US"/>
        </w:rPr>
      </w:pPr>
    </w:p>
    <w:p w14:paraId="6508C092">
      <w:pPr>
        <w:keepNext w:val="0"/>
        <w:keepLines w:val="0"/>
        <w:widowControl w:val="0"/>
        <w:suppressLineNumbers w:val="0"/>
        <w:spacing w:before="120" w:beforeLines="50" w:beforeAutospacing="0" w:after="120" w:afterLines="50" w:afterAutospacing="0" w:line="360" w:lineRule="auto"/>
        <w:ind w:left="0" w:right="0"/>
        <w:jc w:val="both"/>
        <w:rPr>
          <w:rFonts w:hint="eastAsia" w:ascii="宋体" w:hAnsi="宋体" w:eastAsia="宋体" w:cs="宋体"/>
          <w:b/>
          <w:bCs w:val="0"/>
          <w:color w:val="000000"/>
          <w:kern w:val="0"/>
          <w:sz w:val="24"/>
          <w:szCs w:val="24"/>
          <w:lang w:val="en-US"/>
        </w:rPr>
      </w:pPr>
    </w:p>
    <w:p w14:paraId="709D0BAA">
      <w:pPr>
        <w:keepNext w:val="0"/>
        <w:keepLines w:val="0"/>
        <w:widowControl w:val="0"/>
        <w:suppressLineNumbers w:val="0"/>
        <w:spacing w:before="120" w:beforeLines="50" w:beforeAutospacing="0" w:after="120" w:afterLines="50" w:afterAutospacing="0" w:line="360" w:lineRule="auto"/>
        <w:ind w:left="0" w:right="0"/>
        <w:jc w:val="both"/>
        <w:rPr>
          <w:rFonts w:hint="eastAsia" w:ascii="宋体" w:hAnsi="宋体" w:eastAsia="宋体" w:cs="宋体"/>
          <w:b/>
          <w:bCs w:val="0"/>
          <w:color w:val="000000"/>
          <w:kern w:val="0"/>
          <w:sz w:val="24"/>
          <w:szCs w:val="24"/>
          <w:lang w:val="en-US"/>
        </w:rPr>
      </w:pPr>
    </w:p>
    <w:p w14:paraId="54B12751">
      <w:pPr>
        <w:keepNext w:val="0"/>
        <w:keepLines w:val="0"/>
        <w:widowControl w:val="0"/>
        <w:suppressLineNumbers w:val="0"/>
        <w:spacing w:before="120" w:beforeLines="50" w:beforeAutospacing="0" w:after="120" w:afterLines="50" w:afterAutospacing="0" w:line="360" w:lineRule="auto"/>
        <w:ind w:left="0" w:right="0"/>
        <w:jc w:val="both"/>
        <w:rPr>
          <w:rFonts w:hint="eastAsia" w:ascii="宋体" w:hAnsi="宋体" w:eastAsia="宋体" w:cs="宋体"/>
          <w:b/>
          <w:bCs w:val="0"/>
          <w:color w:val="000000"/>
          <w:kern w:val="0"/>
          <w:sz w:val="24"/>
          <w:szCs w:val="24"/>
          <w:lang w:val="en-US"/>
        </w:rPr>
      </w:pPr>
    </w:p>
    <w:p w14:paraId="393C163D">
      <w:pPr>
        <w:keepNext w:val="0"/>
        <w:keepLines w:val="0"/>
        <w:widowControl w:val="0"/>
        <w:suppressLineNumbers w:val="0"/>
        <w:spacing w:before="120" w:beforeLines="50" w:beforeAutospacing="0" w:after="120" w:afterLines="50" w:afterAutospacing="0" w:line="360" w:lineRule="auto"/>
        <w:ind w:left="0" w:right="0" w:firstLine="2409" w:firstLineChars="1000"/>
        <w:jc w:val="both"/>
        <w:rPr>
          <w:rFonts w:hint="default" w:ascii="宋体" w:hAnsi="宋体" w:eastAsia="宋体" w:cs="宋体"/>
          <w:b/>
          <w:bCs w:val="0"/>
          <w:color w:val="000000"/>
          <w:kern w:val="0"/>
          <w:sz w:val="24"/>
          <w:szCs w:val="24"/>
          <w:lang w:val="en-US"/>
        </w:rPr>
      </w:pPr>
      <w:r>
        <w:rPr>
          <w:rFonts w:hint="eastAsia" w:ascii="宋体" w:hAnsi="宋体" w:eastAsia="宋体" w:cs="宋体"/>
          <w:b/>
          <w:bCs w:val="0"/>
          <w:color w:val="000000"/>
          <w:kern w:val="0"/>
          <w:sz w:val="24"/>
          <w:szCs w:val="24"/>
          <w:lang w:val="en-US" w:eastAsia="zh-CN" w:bidi="ar"/>
        </w:rPr>
        <w:t>甲方：北京市大兴区卫生健康委员会</w:t>
      </w:r>
    </w:p>
    <w:p w14:paraId="7EAF25FF">
      <w:pPr>
        <w:keepNext w:val="0"/>
        <w:keepLines w:val="0"/>
        <w:widowControl w:val="0"/>
        <w:suppressLineNumbers w:val="0"/>
        <w:spacing w:before="120" w:beforeLines="50" w:beforeAutospacing="0" w:after="120" w:afterLines="50" w:afterAutospacing="0" w:line="360" w:lineRule="auto"/>
        <w:ind w:right="0" w:firstLine="2409" w:firstLineChars="1000"/>
        <w:jc w:val="both"/>
        <w:rPr>
          <w:rFonts w:hint="default" w:ascii="宋体" w:hAnsi="宋体" w:eastAsia="宋体" w:cs="宋体"/>
          <w:b/>
          <w:bCs w:val="0"/>
          <w:color w:val="000000"/>
          <w:kern w:val="0"/>
          <w:sz w:val="24"/>
          <w:szCs w:val="24"/>
          <w:lang w:val="en-US"/>
        </w:rPr>
      </w:pPr>
      <w:r>
        <w:rPr>
          <w:rFonts w:hint="eastAsia" w:ascii="宋体" w:hAnsi="宋体" w:eastAsia="宋体" w:cs="宋体"/>
          <w:b/>
          <w:bCs w:val="0"/>
          <w:color w:val="000000"/>
          <w:kern w:val="0"/>
          <w:sz w:val="24"/>
          <w:szCs w:val="24"/>
          <w:lang w:val="en-US" w:eastAsia="zh-CN" w:bidi="ar"/>
        </w:rPr>
        <w:t>乙方：</w:t>
      </w:r>
    </w:p>
    <w:p w14:paraId="5B346BBA">
      <w:pPr>
        <w:keepNext w:val="0"/>
        <w:keepLines w:val="0"/>
        <w:widowControl w:val="0"/>
        <w:suppressLineNumbers w:val="0"/>
        <w:spacing w:before="120" w:beforeLines="50" w:beforeAutospacing="0" w:after="120" w:afterLines="50" w:afterAutospacing="0" w:line="360" w:lineRule="auto"/>
        <w:ind w:left="0" w:right="0"/>
        <w:jc w:val="center"/>
        <w:rPr>
          <w:rFonts w:hint="default" w:ascii="宋体" w:hAnsi="宋体" w:eastAsia="宋体" w:cs="宋体"/>
          <w:b/>
          <w:bCs w:val="0"/>
          <w:color w:val="000000"/>
          <w:kern w:val="0"/>
          <w:sz w:val="24"/>
          <w:szCs w:val="24"/>
          <w:lang w:val="en-US"/>
        </w:rPr>
      </w:pPr>
      <w:r>
        <w:rPr>
          <w:rFonts w:hint="eastAsia" w:ascii="宋体" w:hAnsi="宋体" w:eastAsia="宋体" w:cs="宋体"/>
          <w:b/>
          <w:bCs w:val="0"/>
          <w:color w:val="000000"/>
          <w:kern w:val="0"/>
          <w:sz w:val="24"/>
          <w:szCs w:val="24"/>
          <w:lang w:val="en-US" w:eastAsia="zh-CN" w:bidi="ar"/>
        </w:rPr>
        <w:t>签署地点：中国·北京·大兴</w:t>
      </w:r>
    </w:p>
    <w:p w14:paraId="3E86E15F">
      <w:pPr>
        <w:pStyle w:val="2"/>
        <w:rPr>
          <w:rFonts w:hint="eastAsia" w:ascii="宋体" w:hAnsi="宋体" w:cs="宋体"/>
          <w:color w:val="auto"/>
          <w:sz w:val="24"/>
          <w:szCs w:val="24"/>
          <w:u w:val="single"/>
          <w:lang w:val="en-US" w:eastAsia="zh-CN"/>
        </w:rPr>
        <w:sectPr>
          <w:footerReference r:id="rId14" w:type="default"/>
          <w:pgSz w:w="11906" w:h="16838"/>
          <w:pgMar w:top="1440" w:right="1800" w:bottom="1440" w:left="1800" w:header="851" w:footer="992" w:gutter="0"/>
          <w:cols w:space="720" w:num="1"/>
          <w:docGrid w:type="lines" w:linePitch="312" w:charSpace="0"/>
        </w:sectPr>
      </w:pPr>
    </w:p>
    <w:p w14:paraId="19470545">
      <w:pPr>
        <w:numPr>
          <w:ilvl w:val="0"/>
          <w:numId w:val="15"/>
        </w:numPr>
        <w:adjustRightInd w:val="0"/>
        <w:snapToGrid w:val="0"/>
        <w:spacing w:line="360" w:lineRule="auto"/>
        <w:jc w:val="center"/>
        <w:outlineLvl w:val="0"/>
        <w:rPr>
          <w:rFonts w:hint="eastAsia" w:ascii="宋体" w:hAnsi="宋体"/>
          <w:b/>
          <w:bCs/>
          <w:color w:val="auto"/>
          <w:sz w:val="28"/>
          <w:szCs w:val="28"/>
        </w:rPr>
      </w:pPr>
      <w:r>
        <w:rPr>
          <w:rFonts w:hint="eastAsia" w:ascii="宋体" w:hAnsi="宋体"/>
          <w:b/>
          <w:bCs/>
          <w:color w:val="auto"/>
          <w:sz w:val="28"/>
          <w:szCs w:val="28"/>
        </w:rPr>
        <w:t>项目合同</w:t>
      </w:r>
    </w:p>
    <w:p w14:paraId="785CF098">
      <w:pPr>
        <w:pStyle w:val="28"/>
        <w:ind w:left="32" w:leftChars="-85" w:hanging="210" w:hangingChars="75"/>
        <w:rPr>
          <w:rFonts w:ascii="宋体" w:hAnsi="宋体"/>
          <w:color w:val="auto"/>
          <w:sz w:val="28"/>
          <w:szCs w:val="28"/>
        </w:rPr>
      </w:pPr>
    </w:p>
    <w:p w14:paraId="1332593D">
      <w:pPr>
        <w:pStyle w:val="28"/>
        <w:ind w:left="32" w:leftChars="-85" w:hanging="210" w:hangingChars="75"/>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项目名称：2025年大兴区人口健康信息平台软件运维项目</w:t>
      </w:r>
    </w:p>
    <w:p w14:paraId="4DFEF997">
      <w:pPr>
        <w:pStyle w:val="28"/>
        <w:ind w:left="32" w:leftChars="-85" w:hanging="210" w:hangingChars="75"/>
        <w:rPr>
          <w:rFonts w:hint="eastAsia" w:ascii="宋体" w:hAnsi="宋体" w:eastAsia="宋体" w:cs="宋体"/>
          <w:color w:val="auto"/>
          <w:sz w:val="28"/>
          <w:szCs w:val="28"/>
          <w:u w:val="single"/>
          <w:lang w:val="en-US" w:eastAsia="zh-CN"/>
        </w:rPr>
      </w:pPr>
    </w:p>
    <w:p w14:paraId="713FD405">
      <w:pPr>
        <w:pStyle w:val="28"/>
        <w:spacing w:line="360" w:lineRule="auto"/>
        <w:ind w:left="32" w:leftChars="-85" w:hanging="210" w:hangingChars="75"/>
        <w:rPr>
          <w:rFonts w:hint="eastAsia" w:ascii="宋体" w:hAnsi="宋体" w:eastAsia="宋体" w:cs="宋体"/>
          <w:color w:val="auto"/>
          <w:sz w:val="28"/>
          <w:szCs w:val="28"/>
        </w:rPr>
      </w:pPr>
      <w:r>
        <w:rPr>
          <w:rFonts w:hint="eastAsia" w:ascii="宋体" w:hAnsi="宋体" w:eastAsia="宋体" w:cs="宋体"/>
          <w:color w:val="auto"/>
          <w:sz w:val="28"/>
          <w:szCs w:val="28"/>
        </w:rPr>
        <w:t>甲    方：</w:t>
      </w:r>
      <w:r>
        <w:rPr>
          <w:rFonts w:hint="eastAsia" w:ascii="宋体" w:hAnsi="宋体" w:eastAsia="宋体" w:cs="宋体"/>
          <w:color w:val="auto"/>
          <w:sz w:val="28"/>
          <w:szCs w:val="28"/>
          <w:u w:val="single"/>
        </w:rPr>
        <w:t xml:space="preserve">北京市大兴区卫生健康委员会 </w:t>
      </w:r>
      <w:r>
        <w:rPr>
          <w:rFonts w:hint="eastAsia" w:ascii="宋体" w:hAnsi="宋体" w:eastAsia="宋体" w:cs="宋体"/>
          <w:color w:val="auto"/>
          <w:sz w:val="28"/>
          <w:szCs w:val="28"/>
        </w:rPr>
        <w:t>（以下简称甲方）</w:t>
      </w:r>
    </w:p>
    <w:p w14:paraId="294C5527">
      <w:pPr>
        <w:pStyle w:val="28"/>
        <w:spacing w:line="360" w:lineRule="auto"/>
        <w:ind w:left="32" w:leftChars="-85" w:hanging="210" w:hangingChars="75"/>
        <w:rPr>
          <w:rFonts w:hint="eastAsia" w:ascii="宋体" w:hAnsi="宋体" w:eastAsia="宋体" w:cs="宋体"/>
          <w:color w:val="auto"/>
          <w:sz w:val="28"/>
          <w:szCs w:val="28"/>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北京市大兴区黄村西大街33号</w:t>
      </w:r>
    </w:p>
    <w:p w14:paraId="4BB919E8">
      <w:pPr>
        <w:pStyle w:val="28"/>
        <w:spacing w:line="360" w:lineRule="auto"/>
        <w:ind w:left="32" w:leftChars="-85" w:hanging="210" w:hangingChars="75"/>
        <w:rPr>
          <w:rFonts w:hint="eastAsia" w:ascii="宋体" w:hAnsi="宋体" w:eastAsia="宋体" w:cs="宋体"/>
          <w:color w:val="auto"/>
          <w:sz w:val="28"/>
          <w:szCs w:val="28"/>
        </w:rPr>
      </w:pPr>
    </w:p>
    <w:p w14:paraId="5867B9F0">
      <w:pPr>
        <w:pStyle w:val="28"/>
        <w:spacing w:line="360" w:lineRule="auto"/>
        <w:ind w:left="32" w:leftChars="-85" w:hanging="210" w:hangingChars="75"/>
        <w:rPr>
          <w:rFonts w:hint="eastAsia" w:ascii="宋体" w:hAnsi="宋体" w:eastAsia="宋体" w:cs="宋体"/>
          <w:color w:val="auto"/>
          <w:sz w:val="28"/>
          <w:szCs w:val="28"/>
        </w:rPr>
      </w:pPr>
    </w:p>
    <w:p w14:paraId="6F074A31">
      <w:pPr>
        <w:pStyle w:val="28"/>
        <w:spacing w:line="360" w:lineRule="auto"/>
        <w:ind w:left="32" w:leftChars="-85" w:hanging="210" w:hangingChars="75"/>
        <w:rPr>
          <w:rFonts w:hint="eastAsia" w:ascii="宋体" w:hAnsi="宋体" w:eastAsia="宋体" w:cs="宋体"/>
          <w:color w:val="auto"/>
          <w:sz w:val="28"/>
          <w:szCs w:val="28"/>
        </w:rPr>
      </w:pPr>
    </w:p>
    <w:p w14:paraId="6170D09E">
      <w:pPr>
        <w:pStyle w:val="28"/>
        <w:spacing w:line="360" w:lineRule="auto"/>
        <w:ind w:left="32" w:leftChars="-85" w:hanging="210" w:hangingChars="75"/>
        <w:rPr>
          <w:rFonts w:hint="eastAsia" w:ascii="宋体" w:hAnsi="宋体" w:eastAsia="宋体" w:cs="宋体"/>
          <w:color w:val="auto"/>
          <w:sz w:val="28"/>
          <w:szCs w:val="28"/>
        </w:rPr>
      </w:pPr>
    </w:p>
    <w:p w14:paraId="3995C89E">
      <w:pPr>
        <w:pStyle w:val="28"/>
        <w:spacing w:line="360" w:lineRule="auto"/>
        <w:ind w:left="32" w:leftChars="-85" w:hanging="210" w:hangingChars="75"/>
        <w:rPr>
          <w:rFonts w:hint="eastAsia" w:ascii="宋体" w:hAnsi="宋体" w:eastAsia="宋体" w:cs="宋体"/>
          <w:color w:val="auto"/>
          <w:sz w:val="28"/>
          <w:szCs w:val="28"/>
        </w:rPr>
      </w:pPr>
    </w:p>
    <w:p w14:paraId="0DDE4917">
      <w:pPr>
        <w:pStyle w:val="28"/>
        <w:spacing w:line="360" w:lineRule="auto"/>
        <w:ind w:left="32" w:leftChars="-85" w:hanging="210" w:hangingChars="75"/>
        <w:rPr>
          <w:rFonts w:hint="eastAsia" w:ascii="宋体" w:hAnsi="宋体" w:eastAsia="宋体" w:cs="宋体"/>
          <w:color w:val="auto"/>
          <w:sz w:val="28"/>
          <w:szCs w:val="28"/>
        </w:rPr>
      </w:pPr>
    </w:p>
    <w:p w14:paraId="519A25F2">
      <w:pPr>
        <w:pStyle w:val="28"/>
        <w:spacing w:line="360" w:lineRule="auto"/>
        <w:ind w:left="32" w:leftChars="-85" w:hanging="210" w:hangingChars="75"/>
        <w:rPr>
          <w:rFonts w:hint="eastAsia" w:ascii="宋体" w:hAnsi="宋体" w:eastAsia="宋体" w:cs="宋体"/>
          <w:color w:val="auto"/>
          <w:sz w:val="28"/>
          <w:szCs w:val="28"/>
        </w:rPr>
      </w:pPr>
      <w:r>
        <w:rPr>
          <w:rFonts w:hint="eastAsia" w:ascii="宋体" w:hAnsi="宋体" w:eastAsia="宋体" w:cs="宋体"/>
          <w:color w:val="auto"/>
          <w:sz w:val="28"/>
          <w:szCs w:val="28"/>
        </w:rPr>
        <w:t>乙    方：</w:t>
      </w:r>
    </w:p>
    <w:p w14:paraId="25FD8D3E">
      <w:pPr>
        <w:pStyle w:val="28"/>
        <w:spacing w:line="360" w:lineRule="auto"/>
        <w:ind w:left="32" w:leftChars="-85" w:hanging="210" w:hangingChars="75"/>
        <w:rPr>
          <w:rStyle w:val="279"/>
          <w:rFonts w:hint="eastAsia" w:ascii="宋体" w:hAnsi="宋体" w:eastAsia="宋体" w:cs="宋体"/>
          <w:bCs/>
          <w:color w:val="auto"/>
          <w:sz w:val="28"/>
          <w:szCs w:val="28"/>
          <w:u w:val="single"/>
        </w:rPr>
      </w:pPr>
      <w:r>
        <w:rPr>
          <w:rFonts w:hint="eastAsia" w:ascii="宋体" w:hAnsi="宋体" w:eastAsia="宋体" w:cs="宋体"/>
          <w:color w:val="auto"/>
          <w:sz w:val="28"/>
          <w:szCs w:val="28"/>
        </w:rPr>
        <w:t>地    址：</w:t>
      </w:r>
    </w:p>
    <w:p w14:paraId="34ACC5CA">
      <w:pPr>
        <w:pStyle w:val="28"/>
        <w:ind w:left="-178" w:leftChars="-85" w:firstLine="480" w:firstLineChars="200"/>
        <w:rPr>
          <w:rFonts w:hint="eastAsia" w:ascii="宋体" w:hAnsi="宋体" w:eastAsia="宋体" w:cs="宋体"/>
          <w:color w:val="auto"/>
          <w:sz w:val="24"/>
          <w:szCs w:val="24"/>
        </w:rPr>
      </w:pPr>
      <w:r>
        <w:rPr>
          <w:rFonts w:ascii="宋体" w:hAnsi="宋体"/>
          <w:color w:val="auto"/>
        </w:rPr>
        <w:br w:type="page"/>
      </w:r>
    </w:p>
    <w:p w14:paraId="2038F38F">
      <w:pPr>
        <w:pStyle w:val="28"/>
        <w:spacing w:line="360" w:lineRule="auto"/>
        <w:ind w:left="-178" w:leftChars="-85" w:firstLine="480" w:firstLineChars="200"/>
        <w:rPr>
          <w:rFonts w:hint="eastAsia" w:ascii="宋体" w:hAnsi="宋体" w:eastAsia="宋体" w:cs="宋体"/>
          <w:color w:val="auto"/>
          <w:sz w:val="24"/>
          <w:szCs w:val="24"/>
        </w:rPr>
      </w:pPr>
    </w:p>
    <w:p w14:paraId="4E4DD12C">
      <w:pPr>
        <w:pStyle w:val="28"/>
        <w:spacing w:line="360" w:lineRule="auto"/>
        <w:ind w:left="-178" w:leftChars="-85"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根据法律规定，以及乙方已获得招标编号为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2025年大兴区人口健康信息平台软件运维项目 </w:t>
      </w:r>
      <w:r>
        <w:rPr>
          <w:rFonts w:hint="eastAsia" w:ascii="宋体" w:hAnsi="宋体" w:eastAsia="宋体" w:cs="宋体"/>
          <w:color w:val="auto"/>
          <w:sz w:val="24"/>
          <w:szCs w:val="24"/>
        </w:rPr>
        <w:t>项目的中标通知书，双方依据《中华人民共和国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》和相关的有关法律法规规定，甲、乙双方经过友好协商，遵循自愿、公平、诚实信用、平等互利的原则经平等协商，特签署本合同，供双方履行。</w:t>
      </w:r>
    </w:p>
    <w:p w14:paraId="2C1DBD5A">
      <w:pPr>
        <w:adjustRightInd w:val="0"/>
        <w:snapToGrid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第一条</w:t>
      </w:r>
      <w:r>
        <w:rPr>
          <w:rFonts w:hint="eastAsia" w:ascii="宋体" w:hAnsi="宋体" w:eastAsia="宋体" w:cs="宋体"/>
          <w:b/>
          <w:color w:val="auto"/>
          <w:sz w:val="24"/>
          <w:szCs w:val="24"/>
        </w:rPr>
        <w:tab/>
      </w:r>
      <w:r>
        <w:rPr>
          <w:rFonts w:hint="eastAsia" w:ascii="宋体" w:hAnsi="宋体" w:eastAsia="宋体" w:cs="宋体"/>
          <w:b/>
          <w:color w:val="auto"/>
          <w:sz w:val="24"/>
          <w:szCs w:val="24"/>
        </w:rPr>
        <w:t>项目概况</w:t>
      </w:r>
    </w:p>
    <w:p w14:paraId="17FDFC7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202</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u w:val="single"/>
        </w:rPr>
        <w:t>年大兴区人口健康信息平台软件运维项目</w:t>
      </w:r>
    </w:p>
    <w:p w14:paraId="3BD2762D">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项目授权用户单位：</w:t>
      </w:r>
      <w:r>
        <w:rPr>
          <w:rFonts w:hint="eastAsia" w:ascii="宋体" w:hAnsi="宋体" w:eastAsia="宋体" w:cs="宋体"/>
          <w:color w:val="auto"/>
          <w:sz w:val="24"/>
          <w:szCs w:val="24"/>
          <w:u w:val="single"/>
        </w:rPr>
        <w:t xml:space="preserve"> 北京市大兴区卫生健康委员会             </w:t>
      </w:r>
    </w:p>
    <w:p w14:paraId="2C355602">
      <w:pPr>
        <w:pStyle w:val="20"/>
        <w:spacing w:line="360" w:lineRule="auto"/>
        <w:ind w:right="420" w:rightChars="20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服</w:t>
      </w:r>
      <w:r>
        <w:rPr>
          <w:rFonts w:hint="eastAsia" w:ascii="宋体" w:hAnsi="宋体" w:eastAsia="宋体" w:cs="宋体"/>
          <w:color w:val="auto"/>
          <w:sz w:val="24"/>
          <w:szCs w:val="24"/>
          <w:highlight w:val="none"/>
        </w:rPr>
        <w:t>务期限：</w:t>
      </w:r>
      <w:r>
        <w:rPr>
          <w:rFonts w:hint="eastAsia" w:ascii="宋体" w:hAnsi="宋体" w:cs="宋体"/>
          <w:color w:val="auto"/>
          <w:sz w:val="24"/>
          <w:szCs w:val="24"/>
          <w:highlight w:val="none"/>
          <w:lang w:val="en-US" w:eastAsia="zh-CN"/>
        </w:rPr>
        <w:t>12个月，详细运维内容清单如下：</w:t>
      </w:r>
    </w:p>
    <w:tbl>
      <w:tblPr>
        <w:tblStyle w:val="46"/>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3723"/>
        <w:gridCol w:w="2681"/>
        <w:gridCol w:w="1343"/>
      </w:tblGrid>
      <w:tr w14:paraId="54A0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9" w:type="dxa"/>
            <w:noWrap w:val="0"/>
            <w:vAlign w:val="top"/>
          </w:tcPr>
          <w:p w14:paraId="2A130361">
            <w:pPr>
              <w:spacing w:line="360" w:lineRule="auto"/>
              <w:ind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3723" w:type="dxa"/>
            <w:noWrap w:val="0"/>
            <w:vAlign w:val="top"/>
          </w:tcPr>
          <w:p w14:paraId="3618286F">
            <w:pPr>
              <w:spacing w:line="360" w:lineRule="auto"/>
              <w:ind w:firstLine="422"/>
              <w:jc w:val="center"/>
              <w:rPr>
                <w:rFonts w:hint="eastAsia" w:ascii="宋体" w:hAnsi="宋体" w:eastAsia="宋体" w:cs="宋体"/>
                <w:b w:val="0"/>
                <w:bCs/>
                <w:sz w:val="24"/>
                <w:szCs w:val="24"/>
              </w:rPr>
            </w:pPr>
            <w:r>
              <w:rPr>
                <w:rFonts w:hint="eastAsia" w:ascii="宋体" w:hAnsi="宋体" w:cs="宋体"/>
                <w:color w:val="auto"/>
                <w:sz w:val="24"/>
                <w:szCs w:val="24"/>
                <w:highlight w:val="none"/>
                <w:lang w:val="en-US" w:eastAsia="zh-CN"/>
              </w:rPr>
              <w:t>详细运维</w:t>
            </w:r>
            <w:r>
              <w:rPr>
                <w:rFonts w:hint="eastAsia" w:ascii="宋体" w:hAnsi="宋体" w:eastAsia="宋体" w:cs="宋体"/>
                <w:b w:val="0"/>
                <w:bCs/>
                <w:sz w:val="24"/>
                <w:szCs w:val="24"/>
              </w:rPr>
              <w:t>系统内容清单</w:t>
            </w:r>
          </w:p>
        </w:tc>
        <w:tc>
          <w:tcPr>
            <w:tcW w:w="2681" w:type="dxa"/>
            <w:noWrap w:val="0"/>
            <w:vAlign w:val="top"/>
          </w:tcPr>
          <w:p w14:paraId="4890FFC8">
            <w:pPr>
              <w:spacing w:line="360" w:lineRule="auto"/>
              <w:ind w:firstLine="0" w:firstLineChars="0"/>
              <w:jc w:val="center"/>
              <w:rPr>
                <w:rFonts w:hint="eastAsia" w:ascii="宋体" w:hAnsi="宋体" w:eastAsia="宋体" w:cs="宋体"/>
                <w:b w:val="0"/>
                <w:bCs/>
                <w:sz w:val="24"/>
                <w:szCs w:val="24"/>
              </w:rPr>
            </w:pPr>
            <w:r>
              <w:rPr>
                <w:rFonts w:hint="eastAsia" w:ascii="宋体" w:hAnsi="宋体" w:eastAsia="宋体" w:cs="宋体"/>
                <w:b w:val="0"/>
                <w:bCs/>
                <w:sz w:val="22"/>
                <w:szCs w:val="22"/>
              </w:rPr>
              <w:t>服务周期</w:t>
            </w:r>
          </w:p>
        </w:tc>
        <w:tc>
          <w:tcPr>
            <w:tcW w:w="1343" w:type="dxa"/>
            <w:noWrap w:val="0"/>
            <w:vAlign w:val="top"/>
          </w:tcPr>
          <w:p w14:paraId="5FA2CF66">
            <w:pPr>
              <w:spacing w:line="360" w:lineRule="auto"/>
              <w:ind w:firstLine="422"/>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备注</w:t>
            </w:r>
          </w:p>
        </w:tc>
      </w:tr>
      <w:tr w14:paraId="6DBA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9" w:type="dxa"/>
            <w:noWrap w:val="0"/>
            <w:vAlign w:val="center"/>
          </w:tcPr>
          <w:p w14:paraId="0421460D">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3723" w:type="dxa"/>
            <w:noWrap w:val="0"/>
            <w:vAlign w:val="center"/>
          </w:tcPr>
          <w:p w14:paraId="34782D77">
            <w:pPr>
              <w:widowControl/>
              <w:spacing w:line="360" w:lineRule="auto"/>
              <w:ind w:firstLine="0" w:firstLineChars="0"/>
              <w:jc w:val="left"/>
              <w:textAlignment w:val="center"/>
              <w:rPr>
                <w:rFonts w:hint="eastAsia" w:ascii="宋体" w:hAnsi="宋体" w:eastAsia="宋体" w:cs="宋体"/>
                <w:b w:val="0"/>
                <w:bCs/>
                <w:sz w:val="24"/>
                <w:szCs w:val="24"/>
              </w:rPr>
            </w:pPr>
            <w:r>
              <w:rPr>
                <w:rStyle w:val="261"/>
                <w:rFonts w:hint="eastAsia" w:ascii="宋体" w:hAnsi="宋体" w:eastAsia="宋体" w:cs="宋体"/>
                <w:b w:val="0"/>
                <w:bCs/>
                <w:sz w:val="24"/>
                <w:szCs w:val="24"/>
                <w:lang w:bidi="ar"/>
              </w:rPr>
              <w:t>区域检验中心系统软件运维</w:t>
            </w:r>
          </w:p>
        </w:tc>
        <w:tc>
          <w:tcPr>
            <w:tcW w:w="2681" w:type="dxa"/>
            <w:noWrap w:val="0"/>
            <w:vAlign w:val="center"/>
          </w:tcPr>
          <w:p w14:paraId="1F0CF7E0">
            <w:pPr>
              <w:spacing w:line="360" w:lineRule="auto"/>
              <w:jc w:val="center"/>
              <w:rPr>
                <w:rFonts w:hint="eastAsia" w:ascii="宋体" w:hAnsi="宋体" w:eastAsia="宋体" w:cs="宋体"/>
                <w:b w:val="0"/>
                <w:bCs/>
                <w:sz w:val="24"/>
                <w:szCs w:val="24"/>
              </w:rPr>
            </w:pPr>
          </w:p>
        </w:tc>
        <w:tc>
          <w:tcPr>
            <w:tcW w:w="1343" w:type="dxa"/>
            <w:noWrap w:val="0"/>
            <w:vAlign w:val="top"/>
          </w:tcPr>
          <w:p w14:paraId="5117C442">
            <w:pPr>
              <w:spacing w:line="360" w:lineRule="auto"/>
              <w:ind w:firstLine="0" w:firstLineChars="0"/>
              <w:jc w:val="both"/>
              <w:rPr>
                <w:rFonts w:hint="default" w:ascii="宋体" w:hAnsi="宋体" w:eastAsia="宋体" w:cs="宋体"/>
                <w:b w:val="0"/>
                <w:bCs/>
                <w:color w:val="000000"/>
                <w:kern w:val="0"/>
                <w:sz w:val="24"/>
                <w:szCs w:val="24"/>
                <w:lang w:val="en-US" w:eastAsia="zh-CN" w:bidi="ar"/>
              </w:rPr>
            </w:pPr>
          </w:p>
        </w:tc>
      </w:tr>
      <w:tr w14:paraId="5CE7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9" w:type="dxa"/>
            <w:noWrap w:val="0"/>
            <w:vAlign w:val="center"/>
          </w:tcPr>
          <w:p w14:paraId="1D3FF497">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3723" w:type="dxa"/>
            <w:noWrap w:val="0"/>
            <w:vAlign w:val="center"/>
          </w:tcPr>
          <w:p w14:paraId="3453DF73">
            <w:pPr>
              <w:widowControl/>
              <w:spacing w:line="360" w:lineRule="auto"/>
              <w:ind w:firstLine="0" w:firstLineChars="0"/>
              <w:jc w:val="left"/>
              <w:textAlignment w:val="center"/>
              <w:rPr>
                <w:rFonts w:hint="eastAsia" w:ascii="宋体" w:hAnsi="宋体" w:eastAsia="宋体" w:cs="宋体"/>
                <w:b w:val="0"/>
                <w:bCs/>
                <w:sz w:val="24"/>
                <w:szCs w:val="24"/>
              </w:rPr>
            </w:pPr>
            <w:r>
              <w:rPr>
                <w:rStyle w:val="261"/>
                <w:rFonts w:hint="eastAsia" w:ascii="宋体" w:hAnsi="宋体" w:eastAsia="宋体" w:cs="宋体"/>
                <w:b w:val="0"/>
                <w:bCs/>
                <w:sz w:val="24"/>
                <w:szCs w:val="24"/>
                <w:lang w:bidi="ar"/>
              </w:rPr>
              <w:t>区域电子病历系统项目运维</w:t>
            </w:r>
          </w:p>
        </w:tc>
        <w:tc>
          <w:tcPr>
            <w:tcW w:w="2681" w:type="dxa"/>
            <w:noWrap w:val="0"/>
            <w:vAlign w:val="center"/>
          </w:tcPr>
          <w:p w14:paraId="2D2F0D1C">
            <w:pPr>
              <w:spacing w:line="360" w:lineRule="auto"/>
              <w:jc w:val="center"/>
              <w:rPr>
                <w:rFonts w:hint="eastAsia" w:ascii="宋体" w:hAnsi="宋体" w:eastAsia="宋体" w:cs="宋体"/>
                <w:b w:val="0"/>
                <w:bCs/>
                <w:sz w:val="24"/>
                <w:szCs w:val="24"/>
              </w:rPr>
            </w:pPr>
          </w:p>
        </w:tc>
        <w:tc>
          <w:tcPr>
            <w:tcW w:w="1343" w:type="dxa"/>
            <w:noWrap w:val="0"/>
            <w:vAlign w:val="top"/>
          </w:tcPr>
          <w:p w14:paraId="3FE5ED85">
            <w:pPr>
              <w:spacing w:line="360" w:lineRule="auto"/>
              <w:rPr>
                <w:rFonts w:hint="eastAsia" w:ascii="宋体" w:hAnsi="宋体" w:eastAsia="宋体" w:cs="宋体"/>
                <w:b w:val="0"/>
                <w:bCs/>
                <w:sz w:val="24"/>
                <w:szCs w:val="24"/>
              </w:rPr>
            </w:pPr>
          </w:p>
        </w:tc>
      </w:tr>
      <w:tr w14:paraId="43FD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9" w:type="dxa"/>
            <w:noWrap w:val="0"/>
            <w:vAlign w:val="center"/>
          </w:tcPr>
          <w:p w14:paraId="73A55327">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3723" w:type="dxa"/>
            <w:noWrap w:val="0"/>
            <w:vAlign w:val="center"/>
          </w:tcPr>
          <w:p w14:paraId="370D94A8">
            <w:pPr>
              <w:widowControl/>
              <w:spacing w:line="360" w:lineRule="auto"/>
              <w:ind w:firstLine="0" w:firstLineChars="0"/>
              <w:jc w:val="left"/>
              <w:textAlignment w:val="center"/>
              <w:rPr>
                <w:rFonts w:hint="eastAsia" w:ascii="宋体" w:hAnsi="宋体" w:eastAsia="宋体" w:cs="宋体"/>
                <w:b w:val="0"/>
                <w:bCs/>
                <w:sz w:val="24"/>
                <w:szCs w:val="24"/>
              </w:rPr>
            </w:pPr>
            <w:r>
              <w:rPr>
                <w:rStyle w:val="261"/>
                <w:rFonts w:hint="eastAsia" w:ascii="宋体" w:hAnsi="宋体" w:eastAsia="宋体" w:cs="宋体"/>
                <w:b w:val="0"/>
                <w:bCs/>
                <w:sz w:val="24"/>
                <w:szCs w:val="24"/>
                <w:lang w:bidi="ar"/>
              </w:rPr>
              <w:t>远程心电系统一期、二期软件运维</w:t>
            </w:r>
          </w:p>
        </w:tc>
        <w:tc>
          <w:tcPr>
            <w:tcW w:w="2681" w:type="dxa"/>
            <w:noWrap w:val="0"/>
            <w:vAlign w:val="center"/>
          </w:tcPr>
          <w:p w14:paraId="35F9136B">
            <w:pPr>
              <w:spacing w:line="360" w:lineRule="auto"/>
              <w:jc w:val="center"/>
              <w:rPr>
                <w:rFonts w:hint="default" w:ascii="宋体" w:hAnsi="宋体" w:eastAsia="宋体" w:cs="宋体"/>
                <w:b w:val="0"/>
                <w:bCs/>
                <w:sz w:val="24"/>
                <w:szCs w:val="24"/>
                <w:lang w:val="en-US" w:eastAsia="zh-CN"/>
              </w:rPr>
            </w:pPr>
          </w:p>
        </w:tc>
        <w:tc>
          <w:tcPr>
            <w:tcW w:w="1343" w:type="dxa"/>
            <w:noWrap w:val="0"/>
            <w:vAlign w:val="top"/>
          </w:tcPr>
          <w:p w14:paraId="055386BC">
            <w:pPr>
              <w:spacing w:line="360" w:lineRule="auto"/>
              <w:rPr>
                <w:rFonts w:hint="default" w:ascii="宋体" w:hAnsi="宋体" w:eastAsia="宋体" w:cs="宋体"/>
                <w:b w:val="0"/>
                <w:bCs/>
                <w:sz w:val="24"/>
                <w:szCs w:val="24"/>
                <w:lang w:val="en-US" w:eastAsia="zh-CN"/>
              </w:rPr>
            </w:pPr>
          </w:p>
        </w:tc>
      </w:tr>
      <w:tr w14:paraId="02DE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9" w:type="dxa"/>
            <w:noWrap w:val="0"/>
            <w:vAlign w:val="center"/>
          </w:tcPr>
          <w:p w14:paraId="5A63B22C">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3723" w:type="dxa"/>
            <w:noWrap w:val="0"/>
            <w:vAlign w:val="center"/>
          </w:tcPr>
          <w:p w14:paraId="419F0428">
            <w:pPr>
              <w:widowControl/>
              <w:spacing w:line="360" w:lineRule="auto"/>
              <w:ind w:firstLine="0" w:firstLineChars="0"/>
              <w:jc w:val="left"/>
              <w:textAlignment w:val="center"/>
              <w:rPr>
                <w:rFonts w:hint="eastAsia" w:ascii="宋体" w:hAnsi="宋体" w:eastAsia="宋体" w:cs="宋体"/>
                <w:b w:val="0"/>
                <w:bCs/>
                <w:sz w:val="24"/>
                <w:szCs w:val="24"/>
              </w:rPr>
            </w:pPr>
            <w:r>
              <w:rPr>
                <w:rFonts w:hint="eastAsia" w:ascii="宋体" w:hAnsi="宋体" w:eastAsia="宋体" w:cs="宋体"/>
                <w:b w:val="0"/>
                <w:bCs/>
                <w:color w:val="000000"/>
                <w:kern w:val="0"/>
                <w:sz w:val="24"/>
                <w:szCs w:val="24"/>
                <w:lang w:bidi="ar"/>
              </w:rPr>
              <w:t>人口健康信息平台软件运维</w:t>
            </w:r>
          </w:p>
        </w:tc>
        <w:tc>
          <w:tcPr>
            <w:tcW w:w="2681" w:type="dxa"/>
            <w:noWrap w:val="0"/>
            <w:vAlign w:val="center"/>
          </w:tcPr>
          <w:p w14:paraId="0413614C">
            <w:pPr>
              <w:spacing w:line="360" w:lineRule="auto"/>
              <w:jc w:val="center"/>
              <w:rPr>
                <w:rFonts w:hint="default" w:ascii="宋体" w:hAnsi="宋体" w:eastAsia="宋体" w:cs="宋体"/>
                <w:b w:val="0"/>
                <w:bCs/>
                <w:sz w:val="24"/>
                <w:szCs w:val="24"/>
                <w:lang w:val="en-US" w:eastAsia="zh-CN"/>
              </w:rPr>
            </w:pPr>
          </w:p>
        </w:tc>
        <w:tc>
          <w:tcPr>
            <w:tcW w:w="1343" w:type="dxa"/>
            <w:noWrap w:val="0"/>
            <w:vAlign w:val="top"/>
          </w:tcPr>
          <w:p w14:paraId="718831B2">
            <w:pPr>
              <w:spacing w:line="360" w:lineRule="auto"/>
              <w:rPr>
                <w:rFonts w:hint="eastAsia" w:ascii="宋体" w:hAnsi="宋体" w:eastAsia="宋体" w:cs="宋体"/>
                <w:b w:val="0"/>
                <w:bCs/>
                <w:sz w:val="24"/>
                <w:szCs w:val="24"/>
              </w:rPr>
            </w:pPr>
          </w:p>
        </w:tc>
      </w:tr>
      <w:tr w14:paraId="5490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9" w:type="dxa"/>
            <w:noWrap w:val="0"/>
            <w:vAlign w:val="center"/>
          </w:tcPr>
          <w:p w14:paraId="6EDFCCD9">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5</w:t>
            </w:r>
          </w:p>
        </w:tc>
        <w:tc>
          <w:tcPr>
            <w:tcW w:w="3723" w:type="dxa"/>
            <w:noWrap w:val="0"/>
            <w:vAlign w:val="center"/>
          </w:tcPr>
          <w:p w14:paraId="1D9E56B0">
            <w:pPr>
              <w:widowControl/>
              <w:spacing w:line="360" w:lineRule="auto"/>
              <w:ind w:firstLine="0" w:firstLineChars="0"/>
              <w:jc w:val="left"/>
              <w:textAlignment w:val="center"/>
              <w:rPr>
                <w:rFonts w:hint="eastAsia" w:ascii="宋体" w:hAnsi="宋体" w:eastAsia="宋体" w:cs="宋体"/>
                <w:b w:val="0"/>
                <w:bCs/>
                <w:sz w:val="24"/>
                <w:szCs w:val="24"/>
              </w:rPr>
            </w:pPr>
            <w:r>
              <w:rPr>
                <w:rStyle w:val="261"/>
                <w:rFonts w:hint="eastAsia" w:ascii="宋体" w:hAnsi="宋体" w:eastAsia="宋体" w:cs="宋体"/>
                <w:b w:val="0"/>
                <w:bCs/>
                <w:sz w:val="24"/>
                <w:szCs w:val="24"/>
                <w:lang w:bidi="ar"/>
              </w:rPr>
              <w:t>区域影像信息</w:t>
            </w:r>
            <w:r>
              <w:rPr>
                <w:rStyle w:val="261"/>
                <w:rFonts w:hint="eastAsia" w:ascii="宋体" w:hAnsi="宋体" w:eastAsia="宋体" w:cs="宋体"/>
                <w:b w:val="0"/>
                <w:bCs/>
                <w:sz w:val="24"/>
                <w:szCs w:val="24"/>
                <w:lang w:val="en-US" w:eastAsia="zh-CN" w:bidi="ar"/>
              </w:rPr>
              <w:t>系统</w:t>
            </w:r>
            <w:r>
              <w:rPr>
                <w:rStyle w:val="261"/>
                <w:rFonts w:hint="eastAsia" w:ascii="宋体" w:hAnsi="宋体" w:eastAsia="宋体" w:cs="宋体"/>
                <w:b w:val="0"/>
                <w:bCs/>
                <w:sz w:val="24"/>
                <w:szCs w:val="24"/>
                <w:lang w:bidi="ar"/>
              </w:rPr>
              <w:t>运维</w:t>
            </w:r>
          </w:p>
        </w:tc>
        <w:tc>
          <w:tcPr>
            <w:tcW w:w="2681" w:type="dxa"/>
            <w:noWrap w:val="0"/>
            <w:vAlign w:val="center"/>
          </w:tcPr>
          <w:p w14:paraId="657DB192">
            <w:pPr>
              <w:spacing w:line="360" w:lineRule="auto"/>
              <w:jc w:val="center"/>
              <w:rPr>
                <w:rFonts w:hint="default" w:ascii="宋体" w:hAnsi="宋体" w:eastAsia="宋体" w:cs="宋体"/>
                <w:b w:val="0"/>
                <w:bCs/>
                <w:sz w:val="24"/>
                <w:szCs w:val="24"/>
                <w:lang w:val="en-US" w:eastAsia="zh-CN"/>
              </w:rPr>
            </w:pPr>
          </w:p>
        </w:tc>
        <w:tc>
          <w:tcPr>
            <w:tcW w:w="1343" w:type="dxa"/>
            <w:noWrap w:val="0"/>
            <w:vAlign w:val="top"/>
          </w:tcPr>
          <w:p w14:paraId="648BD7B9">
            <w:pPr>
              <w:spacing w:line="360" w:lineRule="auto"/>
              <w:rPr>
                <w:rFonts w:hint="default" w:ascii="宋体" w:hAnsi="宋体" w:eastAsia="宋体" w:cs="宋体"/>
                <w:b w:val="0"/>
                <w:bCs/>
                <w:sz w:val="24"/>
                <w:szCs w:val="24"/>
                <w:lang w:val="en-US" w:eastAsia="zh-CN"/>
              </w:rPr>
            </w:pPr>
          </w:p>
        </w:tc>
      </w:tr>
      <w:tr w14:paraId="622E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9" w:type="dxa"/>
            <w:noWrap w:val="0"/>
            <w:vAlign w:val="center"/>
          </w:tcPr>
          <w:p w14:paraId="39872742">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3723" w:type="dxa"/>
            <w:noWrap w:val="0"/>
            <w:vAlign w:val="center"/>
          </w:tcPr>
          <w:p w14:paraId="64D20DC5">
            <w:pPr>
              <w:widowControl/>
              <w:spacing w:line="360" w:lineRule="auto"/>
              <w:ind w:firstLine="0" w:firstLineChars="0"/>
              <w:jc w:val="left"/>
              <w:textAlignment w:val="center"/>
              <w:rPr>
                <w:rFonts w:hint="eastAsia" w:ascii="宋体" w:hAnsi="宋体" w:eastAsia="宋体" w:cs="宋体"/>
                <w:b w:val="0"/>
                <w:bCs/>
                <w:sz w:val="24"/>
                <w:szCs w:val="24"/>
              </w:rPr>
            </w:pPr>
            <w:r>
              <w:rPr>
                <w:rFonts w:hint="eastAsia" w:ascii="宋体" w:hAnsi="宋体" w:eastAsia="宋体" w:cs="宋体"/>
                <w:b w:val="0"/>
                <w:bCs/>
                <w:color w:val="000000"/>
                <w:kern w:val="0"/>
                <w:sz w:val="24"/>
                <w:szCs w:val="24"/>
                <w:lang w:bidi="ar"/>
              </w:rPr>
              <w:t>合理用药监测系统软件运维</w:t>
            </w:r>
          </w:p>
        </w:tc>
        <w:tc>
          <w:tcPr>
            <w:tcW w:w="2681" w:type="dxa"/>
            <w:noWrap w:val="0"/>
            <w:vAlign w:val="center"/>
          </w:tcPr>
          <w:p w14:paraId="09F637F4">
            <w:pPr>
              <w:spacing w:line="360" w:lineRule="auto"/>
              <w:jc w:val="center"/>
              <w:rPr>
                <w:rFonts w:hint="eastAsia" w:ascii="宋体" w:hAnsi="宋体" w:eastAsia="宋体" w:cs="宋体"/>
                <w:b w:val="0"/>
                <w:bCs/>
                <w:sz w:val="24"/>
                <w:szCs w:val="24"/>
              </w:rPr>
            </w:pPr>
          </w:p>
        </w:tc>
        <w:tc>
          <w:tcPr>
            <w:tcW w:w="1343" w:type="dxa"/>
            <w:noWrap w:val="0"/>
            <w:vAlign w:val="top"/>
          </w:tcPr>
          <w:p w14:paraId="67641B04">
            <w:pPr>
              <w:spacing w:line="360" w:lineRule="auto"/>
              <w:rPr>
                <w:rFonts w:hint="eastAsia" w:ascii="宋体" w:hAnsi="宋体" w:eastAsia="宋体" w:cs="宋体"/>
                <w:b w:val="0"/>
                <w:bCs/>
                <w:sz w:val="24"/>
                <w:szCs w:val="24"/>
              </w:rPr>
            </w:pPr>
          </w:p>
        </w:tc>
      </w:tr>
      <w:tr w14:paraId="01A1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9" w:type="dxa"/>
            <w:noWrap w:val="0"/>
            <w:vAlign w:val="center"/>
          </w:tcPr>
          <w:p w14:paraId="3FF48D40">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7</w:t>
            </w:r>
          </w:p>
        </w:tc>
        <w:tc>
          <w:tcPr>
            <w:tcW w:w="3723" w:type="dxa"/>
            <w:noWrap w:val="0"/>
            <w:vAlign w:val="center"/>
          </w:tcPr>
          <w:p w14:paraId="2685EED4">
            <w:pPr>
              <w:widowControl/>
              <w:spacing w:line="360" w:lineRule="auto"/>
              <w:ind w:firstLine="0" w:firstLineChars="0"/>
              <w:jc w:val="left"/>
              <w:textAlignment w:val="center"/>
              <w:rPr>
                <w:rFonts w:hint="eastAsia" w:ascii="宋体" w:hAnsi="宋体" w:eastAsia="宋体" w:cs="宋体"/>
                <w:b w:val="0"/>
                <w:bCs/>
                <w:sz w:val="24"/>
                <w:szCs w:val="24"/>
              </w:rPr>
            </w:pPr>
            <w:r>
              <w:rPr>
                <w:rStyle w:val="261"/>
                <w:rFonts w:hint="eastAsia" w:ascii="宋体" w:hAnsi="宋体" w:eastAsia="宋体" w:cs="宋体"/>
                <w:b w:val="0"/>
                <w:bCs/>
                <w:sz w:val="24"/>
                <w:szCs w:val="24"/>
                <w:lang w:bidi="ar"/>
              </w:rPr>
              <w:t>自助服务系统运维</w:t>
            </w:r>
          </w:p>
        </w:tc>
        <w:tc>
          <w:tcPr>
            <w:tcW w:w="2681" w:type="dxa"/>
            <w:noWrap w:val="0"/>
            <w:vAlign w:val="center"/>
          </w:tcPr>
          <w:p w14:paraId="0E6DF928">
            <w:pPr>
              <w:spacing w:line="360" w:lineRule="auto"/>
              <w:jc w:val="center"/>
              <w:rPr>
                <w:rFonts w:hint="eastAsia" w:ascii="宋体" w:hAnsi="宋体" w:eastAsia="宋体" w:cs="宋体"/>
                <w:b w:val="0"/>
                <w:bCs/>
                <w:sz w:val="24"/>
                <w:szCs w:val="24"/>
              </w:rPr>
            </w:pPr>
          </w:p>
        </w:tc>
        <w:tc>
          <w:tcPr>
            <w:tcW w:w="1343" w:type="dxa"/>
            <w:noWrap w:val="0"/>
            <w:vAlign w:val="top"/>
          </w:tcPr>
          <w:p w14:paraId="63E679E9">
            <w:pPr>
              <w:spacing w:line="360" w:lineRule="auto"/>
              <w:rPr>
                <w:rFonts w:hint="eastAsia" w:ascii="宋体" w:hAnsi="宋体" w:eastAsia="宋体" w:cs="宋体"/>
                <w:b w:val="0"/>
                <w:bCs/>
                <w:sz w:val="24"/>
                <w:szCs w:val="24"/>
              </w:rPr>
            </w:pPr>
          </w:p>
        </w:tc>
      </w:tr>
      <w:tr w14:paraId="3125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9" w:type="dxa"/>
            <w:noWrap w:val="0"/>
            <w:vAlign w:val="center"/>
          </w:tcPr>
          <w:p w14:paraId="2714B10B">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8</w:t>
            </w:r>
          </w:p>
        </w:tc>
        <w:tc>
          <w:tcPr>
            <w:tcW w:w="3723" w:type="dxa"/>
            <w:noWrap w:val="0"/>
            <w:vAlign w:val="center"/>
          </w:tcPr>
          <w:p w14:paraId="195C2F19">
            <w:pPr>
              <w:widowControl/>
              <w:spacing w:line="360" w:lineRule="auto"/>
              <w:ind w:firstLine="0" w:firstLineChars="0"/>
              <w:textAlignment w:val="center"/>
              <w:rPr>
                <w:rFonts w:hint="eastAsia" w:ascii="宋体" w:hAnsi="宋体" w:eastAsia="宋体" w:cs="宋体"/>
                <w:b w:val="0"/>
                <w:bCs/>
                <w:sz w:val="24"/>
                <w:szCs w:val="24"/>
              </w:rPr>
            </w:pPr>
            <w:r>
              <w:rPr>
                <w:rStyle w:val="261"/>
                <w:rFonts w:hint="eastAsia" w:ascii="宋体" w:hAnsi="宋体" w:eastAsia="宋体" w:cs="宋体"/>
                <w:b w:val="0"/>
                <w:bCs/>
                <w:sz w:val="24"/>
                <w:szCs w:val="24"/>
                <w:lang w:bidi="ar"/>
              </w:rPr>
              <w:t>智能语音外呼服务</w:t>
            </w:r>
          </w:p>
        </w:tc>
        <w:tc>
          <w:tcPr>
            <w:tcW w:w="2681" w:type="dxa"/>
            <w:noWrap w:val="0"/>
            <w:vAlign w:val="center"/>
          </w:tcPr>
          <w:p w14:paraId="10A2F665">
            <w:pPr>
              <w:spacing w:line="360" w:lineRule="auto"/>
              <w:jc w:val="center"/>
              <w:rPr>
                <w:rFonts w:hint="eastAsia" w:ascii="宋体" w:hAnsi="宋体" w:eastAsia="宋体" w:cs="宋体"/>
                <w:b w:val="0"/>
                <w:bCs/>
                <w:sz w:val="24"/>
                <w:szCs w:val="24"/>
                <w:lang w:val="en-US" w:eastAsia="zh-CN"/>
              </w:rPr>
            </w:pPr>
          </w:p>
        </w:tc>
        <w:tc>
          <w:tcPr>
            <w:tcW w:w="1343" w:type="dxa"/>
            <w:noWrap w:val="0"/>
            <w:vAlign w:val="top"/>
          </w:tcPr>
          <w:p w14:paraId="50789B36">
            <w:pPr>
              <w:spacing w:line="360" w:lineRule="auto"/>
              <w:rPr>
                <w:rFonts w:hint="eastAsia" w:ascii="宋体" w:hAnsi="宋体" w:eastAsia="宋体" w:cs="宋体"/>
                <w:b w:val="0"/>
                <w:bCs/>
                <w:sz w:val="24"/>
                <w:szCs w:val="24"/>
              </w:rPr>
            </w:pPr>
          </w:p>
        </w:tc>
      </w:tr>
    </w:tbl>
    <w:p w14:paraId="5F7FEE19">
      <w:pPr>
        <w:pStyle w:val="20"/>
        <w:ind w:left="0" w:leftChars="0" w:right="420" w:rightChars="200" w:firstLine="480" w:firstLineChars="200"/>
        <w:rPr>
          <w:rFonts w:hint="eastAsia" w:ascii="宋体" w:hAnsi="宋体"/>
          <w:color w:val="auto"/>
          <w:sz w:val="24"/>
          <w:lang w:val="en-US" w:eastAsia="zh-CN"/>
        </w:rPr>
      </w:pPr>
      <w:r>
        <w:rPr>
          <w:rFonts w:hint="eastAsia" w:ascii="宋体" w:hAnsi="宋体"/>
          <w:color w:val="auto"/>
          <w:sz w:val="24"/>
          <w:lang w:val="en-US" w:eastAsia="zh-CN"/>
        </w:rPr>
        <w:t>本项目</w:t>
      </w:r>
      <w:r>
        <w:rPr>
          <w:rFonts w:hint="eastAsia" w:ascii="宋体" w:hAnsi="宋体"/>
          <w:color w:val="auto"/>
          <w:sz w:val="24"/>
        </w:rPr>
        <w:t>运维服务内容：</w:t>
      </w:r>
      <w:r>
        <w:rPr>
          <w:rFonts w:hint="eastAsia" w:ascii="宋体" w:hAnsi="宋体"/>
          <w:color w:val="auto"/>
          <w:sz w:val="24"/>
          <w:lang w:val="en-US" w:eastAsia="zh-CN"/>
        </w:rPr>
        <w:t>保障大兴区人口健康信息平台系统7×24小时服务连续性，开展运维工作。包括：</w:t>
      </w:r>
      <w:r>
        <w:rPr>
          <w:rFonts w:hint="eastAsia" w:ascii="宋体" w:hAnsi="宋体"/>
          <w:color w:val="auto"/>
          <w:sz w:val="24"/>
        </w:rPr>
        <w:t>区域检验中心系统软件运维、区域电子病历系统项目运维、远程心电系统一期、二期软件运维、人口健康信息平台软件运维、区域影像信息系统运维、合理用药监测系统软件运维、自助服务系统运维、智能语音外呼服务八个项目运维工作</w:t>
      </w:r>
      <w:r>
        <w:rPr>
          <w:rFonts w:hint="eastAsia" w:ascii="宋体" w:hAnsi="宋体"/>
          <w:color w:val="auto"/>
          <w:sz w:val="24"/>
          <w:lang w:eastAsia="zh-CN"/>
        </w:rPr>
        <w:t>。</w:t>
      </w:r>
      <w:r>
        <w:rPr>
          <w:rFonts w:hint="eastAsia" w:ascii="宋体" w:hAnsi="宋体"/>
          <w:color w:val="auto"/>
          <w:sz w:val="24"/>
          <w:lang w:val="en-US" w:eastAsia="zh-CN"/>
        </w:rPr>
        <w:t>并根据信息安全等保测评、密评，漏扫等安全测评中存在的问题，进行无偿及时修复。</w:t>
      </w:r>
    </w:p>
    <w:p w14:paraId="67E70B8E">
      <w:pPr>
        <w:adjustRightInd w:val="0"/>
        <w:snapToGrid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第二条</w:t>
      </w:r>
      <w:r>
        <w:rPr>
          <w:rFonts w:hint="eastAsia" w:ascii="宋体" w:hAnsi="宋体" w:eastAsia="宋体" w:cs="宋体"/>
          <w:b/>
          <w:color w:val="auto"/>
          <w:sz w:val="24"/>
          <w:szCs w:val="24"/>
        </w:rPr>
        <w:tab/>
      </w:r>
      <w:r>
        <w:rPr>
          <w:rFonts w:hint="eastAsia" w:ascii="宋体" w:hAnsi="宋体" w:eastAsia="宋体" w:cs="宋体"/>
          <w:b/>
          <w:color w:val="auto"/>
          <w:sz w:val="24"/>
          <w:szCs w:val="24"/>
        </w:rPr>
        <w:t>合同价款和付款方式</w:t>
      </w:r>
    </w:p>
    <w:p w14:paraId="09DE09B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1.合同价款</w:t>
      </w:r>
    </w:p>
    <w:p w14:paraId="2766B66E">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本合同总价为人民币</w:t>
      </w:r>
      <w:r>
        <w:rPr>
          <w:rFonts w:hint="eastAsia" w:ascii="宋体" w:hAnsi="宋体" w:eastAsia="宋体" w:cs="宋体"/>
          <w:color w:val="auto"/>
          <w:sz w:val="24"/>
          <w:szCs w:val="24"/>
          <w:u w:val="single"/>
        </w:rPr>
        <w:t xml:space="preserve"> </w:t>
      </w:r>
      <w:r>
        <w:rPr>
          <w:rFonts w:hint="eastAsia" w:ascii="宋体" w:hAnsi="宋体"/>
          <w:color w:val="auto"/>
          <w:sz w:val="24"/>
          <w:u w:val="single"/>
          <w:lang w:val="en-US" w:eastAsia="zh-CN"/>
        </w:rPr>
        <w:t xml:space="preserve">         </w:t>
      </w:r>
      <w:r>
        <w:rPr>
          <w:rFonts w:hint="eastAsia" w:ascii="宋体" w:hAnsi="宋体" w:eastAsia="宋体" w:cs="宋体"/>
          <w:color w:val="auto"/>
          <w:sz w:val="24"/>
          <w:szCs w:val="24"/>
          <w:u w:val="single"/>
        </w:rPr>
        <w:t>元（大写人民币：</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14:paraId="2A477688">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2.付款方式</w:t>
      </w:r>
    </w:p>
    <w:p w14:paraId="10CF7EA1">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2.1本合同生效且乙方缴纳履约保证金，</w:t>
      </w:r>
      <w:r>
        <w:rPr>
          <w:rFonts w:hint="eastAsia" w:ascii="宋体" w:hAnsi="宋体" w:cs="宋体"/>
          <w:color w:val="auto"/>
          <w:sz w:val="24"/>
          <w:szCs w:val="24"/>
          <w:lang w:val="en-US" w:eastAsia="zh-CN"/>
        </w:rPr>
        <w:t>甲方收到乙方等额发票后，</w:t>
      </w:r>
      <w:r>
        <w:rPr>
          <w:rFonts w:hint="eastAsia" w:ascii="宋体" w:hAnsi="宋体" w:eastAsia="宋体" w:cs="宋体"/>
          <w:color w:val="auto"/>
          <w:sz w:val="24"/>
          <w:szCs w:val="24"/>
        </w:rPr>
        <w:t>甲方启动政府采购支付流程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向乙方支付项目合同</w:t>
      </w:r>
      <w:r>
        <w:rPr>
          <w:rFonts w:hint="eastAsia" w:ascii="宋体" w:hAnsi="宋体" w:eastAsia="宋体" w:cs="宋体"/>
          <w:color w:val="auto"/>
          <w:sz w:val="24"/>
          <w:szCs w:val="24"/>
          <w:lang w:eastAsia="zh-CN"/>
        </w:rPr>
        <w:t>首付款（</w:t>
      </w:r>
      <w:r>
        <w:rPr>
          <w:rFonts w:hint="eastAsia" w:ascii="宋体" w:hAnsi="宋体" w:eastAsia="宋体" w:cs="宋体"/>
          <w:color w:val="auto"/>
          <w:sz w:val="24"/>
          <w:szCs w:val="24"/>
          <w:lang w:val="en-US" w:eastAsia="zh-CN"/>
        </w:rPr>
        <w:t>合同总价的30%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，即</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rPr>
        <w:t>元（大写人民币：</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rPr>
        <w:t>）</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付款前乙方需提供给甲方同等数额的正规发票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项目运维期结束后并验收完成，甲方向乙方支付尾款（合同总价的70%）,即</w:t>
      </w:r>
      <w:r>
        <w:rPr>
          <w:rFonts w:hint="eastAsia" w:ascii="宋体" w:hAnsi="宋体" w:cs="宋体"/>
          <w:color w:val="auto"/>
          <w:sz w:val="24"/>
          <w:szCs w:val="24"/>
          <w:u w:val="single"/>
          <w:lang w:val="en-US" w:eastAsia="zh-CN"/>
        </w:rPr>
        <w:t xml:space="preserve">           </w:t>
      </w:r>
      <w:r>
        <w:rPr>
          <w:rFonts w:hint="eastAsia" w:ascii="宋体" w:hAnsi="宋体" w:cs="宋体"/>
          <w:color w:val="auto"/>
          <w:kern w:val="0"/>
          <w:sz w:val="24"/>
          <w:szCs w:val="24"/>
          <w:lang w:val="en-US" w:eastAsia="zh-CN"/>
        </w:rPr>
        <w:t>元（大写人民币：</w:t>
      </w:r>
      <w:r>
        <w:rPr>
          <w:rFonts w:hint="eastAsia" w:ascii="宋体" w:hAnsi="宋体" w:cs="宋体"/>
          <w:color w:val="auto"/>
          <w:kern w:val="0"/>
          <w:sz w:val="24"/>
          <w:lang w:val="en-US" w:eastAsia="zh-CN"/>
        </w:rPr>
        <w:t xml:space="preserve">           </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w:t>
      </w:r>
    </w:p>
    <w:p w14:paraId="4B733433">
      <w:pPr>
        <w:adjustRightInd w:val="0"/>
        <w:snapToGrid w:val="0"/>
        <w:spacing w:line="360" w:lineRule="auto"/>
        <w:ind w:firstLine="480" w:firstLineChars="200"/>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2.2乙方已充分知晓甲方作为国家财政拨款的行政机关，对财政资金管理及使用有严格程序要求，乙方应配合甲方提供审批所需相关材料。乙方认可并接受因财政资金使用流程要求可能引起甲方不能按时付款的情况，此情况不视为甲方违约，乙方不因此向甲方主张逾期付款的违约责任。</w:t>
      </w:r>
    </w:p>
    <w:p w14:paraId="42E411EC">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合同</w:t>
      </w:r>
      <w:r>
        <w:rPr>
          <w:rFonts w:hint="eastAsia" w:ascii="宋体" w:hAnsi="宋体" w:eastAsia="宋体" w:cs="宋体"/>
          <w:color w:val="auto"/>
          <w:sz w:val="24"/>
          <w:szCs w:val="24"/>
        </w:rPr>
        <w:t>双方主动接受结果查究。</w:t>
      </w:r>
    </w:p>
    <w:p w14:paraId="1D13E11A">
      <w:pPr>
        <w:adjustRightInd w:val="0"/>
        <w:snapToGrid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第三条 履约保证</w:t>
      </w:r>
    </w:p>
    <w:p w14:paraId="0F948835">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1.乙方应在合同签订后</w:t>
      </w:r>
      <w:r>
        <w:rPr>
          <w:rFonts w:hint="eastAsia" w:ascii="宋体" w:hAnsi="宋体" w:eastAsia="宋体" w:cs="宋体"/>
          <w:color w:val="auto"/>
          <w:sz w:val="24"/>
          <w:szCs w:val="24"/>
          <w:u w:val="single"/>
        </w:rPr>
        <w:t>30个工作日</w:t>
      </w:r>
      <w:r>
        <w:rPr>
          <w:rFonts w:hint="eastAsia" w:ascii="宋体" w:hAnsi="宋体" w:eastAsia="宋体" w:cs="宋体"/>
          <w:color w:val="auto"/>
          <w:sz w:val="24"/>
          <w:szCs w:val="24"/>
        </w:rPr>
        <w:t>内，以</w:t>
      </w:r>
      <w:r>
        <w:rPr>
          <w:rFonts w:hint="eastAsia" w:ascii="宋体" w:hAnsi="宋体" w:eastAsia="宋体" w:cs="宋体"/>
          <w:color w:val="auto"/>
          <w:sz w:val="24"/>
          <w:szCs w:val="24"/>
          <w:u w:val="single"/>
        </w:rPr>
        <w:t xml:space="preserve"> 电汇 </w:t>
      </w:r>
      <w:r>
        <w:rPr>
          <w:rFonts w:hint="eastAsia" w:ascii="宋体" w:hAnsi="宋体" w:eastAsia="宋体" w:cs="宋体"/>
          <w:color w:val="auto"/>
          <w:sz w:val="24"/>
          <w:szCs w:val="24"/>
        </w:rPr>
        <w:t>的形式向甲方提供项目履约保证金，额度为合同总金额的</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%,即人民币</w:t>
      </w:r>
      <w:r>
        <w:rPr>
          <w:rFonts w:hint="eastAsia" w:ascii="宋体" w:hAnsi="宋体"/>
          <w:color w:val="auto"/>
          <w:sz w:val="24"/>
          <w:u w:val="single"/>
          <w:lang w:val="en-US" w:eastAsia="zh-CN"/>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大写人民币：</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p>
    <w:p w14:paraId="117B923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2.如乙方未能履行合同规定的相关义务，甲方有权从履约保证金中得到补偿，如履约保证金不足以补偿乙方给甲方造成的损失，甲方有权要求乙方按实际发生的损失赔偿。</w:t>
      </w:r>
    </w:p>
    <w:p w14:paraId="6D0665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3.合同在履行过程中终止，甲方退还履约保证金，并有权从履约保证金中优先获得赔偿的权利</w:t>
      </w:r>
    </w:p>
    <w:p w14:paraId="72104BB4">
      <w:pPr>
        <w:spacing w:line="360" w:lineRule="auto"/>
        <w:ind w:firstLine="480" w:firstLineChars="200"/>
        <w:rPr>
          <w:rFonts w:hint="eastAsia" w:ascii="宋体" w:hAnsi="宋体" w:eastAsia="宋体" w:cs="宋体"/>
          <w:b/>
          <w:color w:val="auto"/>
          <w:sz w:val="24"/>
          <w:szCs w:val="24"/>
          <w:lang w:eastAsia="zh-CN"/>
        </w:rPr>
      </w:pPr>
      <w:r>
        <w:rPr>
          <w:rFonts w:hint="eastAsia" w:ascii="宋体" w:hAnsi="宋体" w:eastAsia="宋体" w:cs="宋体"/>
          <w:color w:val="auto"/>
          <w:sz w:val="24"/>
          <w:szCs w:val="24"/>
        </w:rPr>
        <w:t>4.本合同履约保证金于项目合同期满后无息返还给乙方</w:t>
      </w:r>
      <w:r>
        <w:rPr>
          <w:rFonts w:hint="eastAsia" w:ascii="宋体" w:hAnsi="宋体" w:cs="宋体"/>
          <w:color w:val="auto"/>
          <w:sz w:val="24"/>
          <w:szCs w:val="24"/>
          <w:lang w:eastAsia="zh-CN"/>
        </w:rPr>
        <w:t>。</w:t>
      </w:r>
    </w:p>
    <w:p w14:paraId="2F040FD7">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第四条 本合同的组成部分</w:t>
      </w:r>
      <w:r>
        <w:rPr>
          <w:rFonts w:hint="eastAsia" w:ascii="宋体" w:hAnsi="宋体" w:eastAsia="宋体" w:cs="宋体"/>
          <w:color w:val="auto"/>
          <w:sz w:val="24"/>
          <w:szCs w:val="24"/>
        </w:rPr>
        <w:t>：</w:t>
      </w:r>
    </w:p>
    <w:p w14:paraId="3B9CC69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本合同书 （合同书编号：</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12E3B88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本合同标准条款、本合同专用条款；</w:t>
      </w:r>
    </w:p>
    <w:p w14:paraId="11EF8E3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合同履行中甲乙双方协商一致的其他书面文件；</w:t>
      </w:r>
    </w:p>
    <w:p w14:paraId="2D2221C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采购文件；</w:t>
      </w:r>
    </w:p>
    <w:p w14:paraId="46FB014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 响应文件。</w:t>
      </w:r>
      <w:bookmarkStart w:id="846" w:name="_Toc71207573"/>
    </w:p>
    <w:p w14:paraId="11239635">
      <w:pPr>
        <w:spacing w:line="360" w:lineRule="auto"/>
        <w:ind w:firstLine="480" w:firstLineChars="200"/>
        <w:rPr>
          <w:rFonts w:hint="eastAsia" w:ascii="宋体" w:hAnsi="宋体" w:eastAsia="宋体" w:cs="宋体"/>
          <w:color w:val="auto"/>
          <w:sz w:val="24"/>
          <w:szCs w:val="24"/>
        </w:rPr>
      </w:pPr>
    </w:p>
    <w:p w14:paraId="051DC44A">
      <w:pPr>
        <w:pStyle w:val="3"/>
        <w:spacing w:before="780" w:after="468" w:line="360" w:lineRule="auto"/>
        <w:ind w:right="26"/>
        <w:jc w:val="center"/>
        <w:rPr>
          <w:rFonts w:hint="eastAsia" w:ascii="宋体" w:hAnsi="宋体" w:eastAsia="宋体" w:cs="宋体"/>
          <w:color w:val="auto"/>
          <w:sz w:val="24"/>
          <w:szCs w:val="24"/>
        </w:rPr>
      </w:pPr>
      <w:r>
        <w:rPr>
          <w:rFonts w:hint="eastAsia" w:hAnsi="宋体" w:cs="宋体"/>
          <w:color w:val="auto"/>
          <w:sz w:val="24"/>
          <w:szCs w:val="24"/>
          <w:lang w:val="en-US" w:eastAsia="zh-CN"/>
        </w:rPr>
        <w:t xml:space="preserve"> </w:t>
      </w:r>
      <w:r>
        <w:rPr>
          <w:rFonts w:hint="eastAsia" w:ascii="宋体" w:hAnsi="宋体" w:eastAsia="宋体" w:cs="宋体"/>
          <w:color w:val="auto"/>
          <w:sz w:val="24"/>
          <w:szCs w:val="24"/>
        </w:rPr>
        <w:t>第二部分 标准条款</w:t>
      </w:r>
      <w:bookmarkEnd w:id="846"/>
    </w:p>
    <w:p w14:paraId="1ECD4764">
      <w:pPr>
        <w:adjustRightInd w:val="0"/>
        <w:snapToGrid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第一条</w:t>
      </w:r>
      <w:r>
        <w:rPr>
          <w:rFonts w:hint="eastAsia" w:ascii="宋体" w:hAnsi="宋体" w:eastAsia="宋体" w:cs="宋体"/>
          <w:b/>
          <w:color w:val="auto"/>
          <w:sz w:val="24"/>
          <w:szCs w:val="24"/>
        </w:rPr>
        <w:tab/>
      </w:r>
      <w:r>
        <w:rPr>
          <w:rFonts w:hint="eastAsia" w:ascii="宋体" w:hAnsi="宋体" w:eastAsia="宋体" w:cs="宋体"/>
          <w:b/>
          <w:color w:val="auto"/>
          <w:sz w:val="24"/>
          <w:szCs w:val="24"/>
        </w:rPr>
        <w:t>项目管理</w:t>
      </w:r>
    </w:p>
    <w:p w14:paraId="360117CF">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1.项目组织和人员</w:t>
      </w:r>
    </w:p>
    <w:p w14:paraId="3A10D7BB">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有义务保证在合同执行期间派遣胜任本项目执行、数量充足的人员进行本项目集成服务工作，且保证人员的稳定性。乙方不得随意更换项目人员，乙方在人员调整前须以书面方式向甲方提出申请，在征得甲方同意后，方可履行人员更换事宜。</w:t>
      </w:r>
    </w:p>
    <w:p w14:paraId="0A6DC877">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2.信息与资料的提供</w:t>
      </w:r>
    </w:p>
    <w:p w14:paraId="4647D9F7">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甲方有权要求乙方在项目建设过程中提交相关文档（运维方案、巡检报告等），乙方须根据甲方要求及时，向甲方提供相关资料。</w:t>
      </w:r>
    </w:p>
    <w:p w14:paraId="0255C563">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4.项目环境提供</w:t>
      </w:r>
    </w:p>
    <w:p w14:paraId="52A55D5E">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方应依系统项目的条件和性质，根据乙方的要求向乙方提供安装和集成环境。乙方应遵守甲方及最终用户的环境使用要求。乙方产品不得损坏甲方及最终用户原有IT系统的运行及稳定性。由于乙方责任造成甲方及最终用户损失的，乙方应承担相关责任并负责赔偿，具体见合同第十二条规定。</w:t>
      </w:r>
    </w:p>
    <w:p w14:paraId="39338FA0">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5.进度报告制度</w:t>
      </w:r>
    </w:p>
    <w:p w14:paraId="118DFEB7">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应按照双方协商结果，定期对项目进度以书面形式向甲方提供项目阶段进度报告，内容包括计划执行情况、有无遇到的困难和障碍的情况、本项目的预期效果、人员配置情况、有无项目变更或变更情况、或其它与本项目有关的甲方应该知道的情况、或甲方要求知道的情况。</w:t>
      </w:r>
    </w:p>
    <w:p w14:paraId="3FB37A24">
      <w:pPr>
        <w:adjustRightInd w:val="0"/>
        <w:snapToGrid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第二条 甲乙双方的义务与责任</w:t>
      </w:r>
    </w:p>
    <w:p w14:paraId="1AD9E54E">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1.甲方的义务与责任</w:t>
      </w:r>
    </w:p>
    <w:p w14:paraId="10080ED4">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1.1按照要求支付合同款。</w:t>
      </w:r>
    </w:p>
    <w:p w14:paraId="10B74D59">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1.2甲方应在双方约定的时间内向乙方提供本项目相关的、所需要的、已完成的前期工作成果资料和用户需求资料及其它技术资料。</w:t>
      </w:r>
    </w:p>
    <w:p w14:paraId="00B1AA04">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1.3甲方对本项目建设方案及相关软件产品具有选择的决定权。</w:t>
      </w:r>
    </w:p>
    <w:p w14:paraId="39C13167">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1.4甲方有权提出更换乙方项目经理或主要技术团队成员。乙方若要更换项目经理或其技术团队主要成员、或更改</w:t>
      </w:r>
      <w:r>
        <w:rPr>
          <w:rFonts w:hint="eastAsia" w:ascii="宋体" w:hAnsi="宋体" w:cs="宋体"/>
          <w:color w:val="auto"/>
          <w:sz w:val="24"/>
          <w:szCs w:val="24"/>
          <w:lang w:val="en-US" w:eastAsia="zh-CN"/>
        </w:rPr>
        <w:t>项目</w:t>
      </w:r>
      <w:r>
        <w:rPr>
          <w:rFonts w:hint="eastAsia" w:ascii="宋体" w:hAnsi="宋体" w:eastAsia="宋体" w:cs="宋体"/>
          <w:color w:val="auto"/>
          <w:sz w:val="24"/>
          <w:szCs w:val="24"/>
        </w:rPr>
        <w:t>工作计划，需提前5天提出书面申请，由甲方在本合同相应条款约定的时间内审批。</w:t>
      </w:r>
    </w:p>
    <w:p w14:paraId="38EBB73B">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2.乙方的义务与责任</w:t>
      </w:r>
    </w:p>
    <w:p w14:paraId="1FA335D2">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2.1按时完成各项承包工作：乙方应按合同规定的内容和时间完成全部承包工作。除合同另有规定除外，乙方应提供为完成本合同工作所需的技术、劳务、软件系统和其它物品。</w:t>
      </w:r>
    </w:p>
    <w:p w14:paraId="4A8A3362">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2.2保证项目质量，提交质量保证计划，并按合同规定的质量要求完成各项工作，并承担合同约定的保密义务。</w:t>
      </w:r>
    </w:p>
    <w:p w14:paraId="3C27534B">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2.3因乙方在项目中采用的技术存在漏洞、缺陷而导致系统瘫痪或重要信息泄露，乙方应承担全部责任并赔偿相应损失。</w:t>
      </w:r>
    </w:p>
    <w:p w14:paraId="113C153A">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 乙方需接受监理方在甲方授权范围内的监督和管理。</w:t>
      </w:r>
    </w:p>
    <w:p w14:paraId="35E07087">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 因甲方非计算机专业人员，乙方在提供服务过程中，应尽到谨慎注意义务，及时发现弥补各最终用户集成软件的问题、缺陷并妥善解决。如未尽到善良管理人义务，应承担因此给甲方及最终用户造成的损失赔偿责任。</w:t>
      </w:r>
    </w:p>
    <w:p w14:paraId="4F951280">
      <w:pPr>
        <w:adjustRightInd w:val="0"/>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2.6 乙方应根据甲方委托的第三方安全测评机构出具的等保测评（网络安全等级保护测评）、密评（商用密码应用安全性评估）及漏洞扫描报告，对其中发现的安全风险或不符合项，无偿完成整改修复，并向甲方提供相应的修复证明或复测通过报告。</w:t>
      </w:r>
    </w:p>
    <w:p w14:paraId="68C8B72C">
      <w:pPr>
        <w:adjustRightInd w:val="0"/>
        <w:snapToGrid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第三条</w:t>
      </w:r>
      <w:r>
        <w:rPr>
          <w:rFonts w:hint="eastAsia" w:ascii="宋体" w:hAnsi="宋体" w:eastAsia="宋体" w:cs="宋体"/>
          <w:b/>
          <w:color w:val="auto"/>
          <w:sz w:val="24"/>
          <w:szCs w:val="24"/>
        </w:rPr>
        <w:tab/>
      </w:r>
      <w:r>
        <w:rPr>
          <w:rFonts w:hint="eastAsia" w:ascii="宋体" w:hAnsi="宋体" w:eastAsia="宋体" w:cs="宋体"/>
          <w:b/>
          <w:color w:val="auto"/>
          <w:sz w:val="24"/>
          <w:szCs w:val="24"/>
        </w:rPr>
        <w:t>项目变更</w:t>
      </w:r>
    </w:p>
    <w:p w14:paraId="40573DE8">
      <w:pPr>
        <w:widowControl/>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在本合同签署后，甲方（含最终用户）、乙方均有权在履行本合同的过程中合理地提出变更、扩展、替换或修改本项目的某些部分的请求，包括增加或减少运行维护服务的具体内容/变更交付或安装的时间与地点。</w:t>
      </w:r>
    </w:p>
    <w:p w14:paraId="3D01EB3C">
      <w:pPr>
        <w:widowControl/>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变更需要书面提出，并经过甲方、乙方、监理方的三方认可。各方收到另一方的变更申请均应在5个工作日内予以书面答复，并共同研究变更对合同履行的影响进行评估后对变更事宜进行书面确定。并按变更后的约定履行本合同。如变更申请未能达成一致，双方仍按原合同执行。</w:t>
      </w:r>
    </w:p>
    <w:p w14:paraId="401E9770">
      <w:pPr>
        <w:pStyle w:val="215"/>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3. 乙方应在变更后做好配置信息等相关文档的更新、整理、存档工作，保证项目变更可查、可控。</w:t>
      </w:r>
    </w:p>
    <w:p w14:paraId="06CEACEC">
      <w:pPr>
        <w:adjustRightInd w:val="0"/>
        <w:snapToGrid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第四条</w:t>
      </w:r>
      <w:r>
        <w:rPr>
          <w:rFonts w:hint="eastAsia" w:ascii="宋体" w:hAnsi="宋体" w:eastAsia="宋体" w:cs="宋体"/>
          <w:b/>
          <w:color w:val="auto"/>
          <w:sz w:val="24"/>
          <w:szCs w:val="24"/>
        </w:rPr>
        <w:tab/>
      </w:r>
      <w:r>
        <w:rPr>
          <w:rFonts w:hint="eastAsia" w:ascii="宋体" w:hAnsi="宋体" w:eastAsia="宋体" w:cs="宋体"/>
          <w:b/>
          <w:color w:val="auto"/>
          <w:sz w:val="24"/>
          <w:szCs w:val="24"/>
        </w:rPr>
        <w:t>合同验收</w:t>
      </w:r>
    </w:p>
    <w:p w14:paraId="79C83F55">
      <w:pPr>
        <w:widowControl/>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合同各级验收工作将由甲方组织对项目进行验收。验收依据为合同及相关法律法规、技术标准和规范等。</w:t>
      </w:r>
    </w:p>
    <w:p w14:paraId="220224D2">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3.项目验收</w:t>
      </w:r>
    </w:p>
    <w:p w14:paraId="587710FC">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3.1项目运维期满，乙方完成合同约定的所有维护服务内容并提交相应文档，由甲方组织项目验收。</w:t>
      </w:r>
    </w:p>
    <w:p w14:paraId="4D0A1152">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3.2甲方在项目验收会后给出终验结论。结论可为验收通过或限期整改。对于限期整改，乙方须按要求进行整改，并承担由此造成的整改费用。对于整改后仍未验收通过的，乙方应支付不低于合同总价款</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0%的赔偿，并另行承担由此给甲方及最终用户造成的全部损失。在规定期限内，乙方如完成整改，乙方应按照运维服务终验流程再次提出终验申请。</w:t>
      </w:r>
    </w:p>
    <w:p w14:paraId="43A270C5">
      <w:pPr>
        <w:adjustRightInd w:val="0"/>
        <w:snapToGrid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第九条</w:t>
      </w:r>
      <w:r>
        <w:rPr>
          <w:rFonts w:hint="eastAsia" w:ascii="宋体" w:hAnsi="宋体" w:eastAsia="宋体" w:cs="宋体"/>
          <w:b/>
          <w:color w:val="auto"/>
          <w:sz w:val="24"/>
          <w:szCs w:val="24"/>
        </w:rPr>
        <w:tab/>
      </w:r>
      <w:r>
        <w:rPr>
          <w:rFonts w:hint="eastAsia" w:ascii="宋体" w:hAnsi="宋体" w:eastAsia="宋体" w:cs="宋体"/>
          <w:b/>
          <w:color w:val="auto"/>
          <w:sz w:val="24"/>
          <w:szCs w:val="24"/>
        </w:rPr>
        <w:t>技术支持与服务</w:t>
      </w:r>
    </w:p>
    <w:p w14:paraId="1D45AD88">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1.乙方在本合同约定的运维期内，对合同范围内的软件系统运行、维护提供7×24小时实时技术支持。包括：提供24小时热线电话、远程在线诊断和故障排除、现场响应支持服务。</w:t>
      </w:r>
    </w:p>
    <w:p w14:paraId="7B047A5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根据</w:t>
      </w:r>
      <w:r>
        <w:rPr>
          <w:rFonts w:hint="eastAsia" w:ascii="宋体" w:hAnsi="宋体" w:cs="宋体"/>
          <w:color w:val="auto"/>
          <w:sz w:val="24"/>
          <w:szCs w:val="24"/>
          <w:lang w:val="en-US" w:eastAsia="zh-CN"/>
        </w:rPr>
        <w:t>大兴</w:t>
      </w:r>
      <w:r>
        <w:rPr>
          <w:rFonts w:hint="eastAsia" w:ascii="宋体" w:hAnsi="宋体" w:eastAsia="宋体" w:cs="宋体"/>
          <w:color w:val="auto"/>
          <w:sz w:val="24"/>
          <w:szCs w:val="24"/>
        </w:rPr>
        <w:t>区卫生健康委运维管理规范，通过远程的方式进行系统的运维日常工作，在接到用户方的通知或者电话后，立即进行响应，提供7×24小时的电话及相关远程工具技术支持服务；电话和相关远程工具支持无法解决故障，公司安排工程师2小时内到场支持。</w:t>
      </w:r>
    </w:p>
    <w:p w14:paraId="440F684C">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3.对于不能明确是否由本合同范围内提供运维服务的软件系统引起故障时，乙方应尽力配合其它设备和系统供应商进行检查，并能在上述响应时间内到达现场协助排除故障。</w:t>
      </w:r>
    </w:p>
    <w:p w14:paraId="5E367D16">
      <w:pPr>
        <w:adjustRightInd w:val="0"/>
        <w:snapToGrid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第十条</w:t>
      </w:r>
      <w:r>
        <w:rPr>
          <w:rFonts w:hint="eastAsia" w:ascii="宋体" w:hAnsi="宋体" w:eastAsia="宋体" w:cs="宋体"/>
          <w:b/>
          <w:color w:val="auto"/>
          <w:sz w:val="24"/>
          <w:szCs w:val="24"/>
        </w:rPr>
        <w:tab/>
      </w:r>
      <w:r>
        <w:rPr>
          <w:rFonts w:hint="eastAsia" w:ascii="宋体" w:hAnsi="宋体" w:eastAsia="宋体" w:cs="宋体"/>
          <w:b/>
          <w:color w:val="auto"/>
          <w:sz w:val="24"/>
          <w:szCs w:val="24"/>
        </w:rPr>
        <w:t>知识产权</w:t>
      </w:r>
    </w:p>
    <w:p w14:paraId="6FF280D5">
      <w:pPr>
        <w:adjustRightInd w:val="0"/>
        <w:snapToGrid w:val="0"/>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1.本项目为运行维护项目，不涉及货物的交付。但乙方应保证在合同服务期间使用的软件、工具等不存在知识产权问题，如因乙方原因出现第三方指控与本项目有关的知识产权侵权的事件，乙方负责向第三方承担赔偿责任并退还甲方全部合同款；并按对第三方赔偿款或本合同款两者较高金额，赔偿甲方损失，甲方前期处理可能发生的鉴定费、取证费、勘验费、诉讼费、律师费等在内的一切费用，由乙方承担。</w:t>
      </w:r>
    </w:p>
    <w:p w14:paraId="0C60D5A5">
      <w:pPr>
        <w:adjustRightInd w:val="0"/>
        <w:snapToGrid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第十一条</w:t>
      </w:r>
      <w:r>
        <w:rPr>
          <w:rFonts w:hint="eastAsia" w:ascii="宋体" w:hAnsi="宋体" w:eastAsia="宋体" w:cs="宋体"/>
          <w:b/>
          <w:color w:val="auto"/>
          <w:sz w:val="24"/>
          <w:szCs w:val="24"/>
        </w:rPr>
        <w:tab/>
      </w:r>
      <w:r>
        <w:rPr>
          <w:rFonts w:hint="eastAsia" w:ascii="宋体" w:hAnsi="宋体" w:eastAsia="宋体" w:cs="宋体"/>
          <w:b/>
          <w:color w:val="auto"/>
          <w:sz w:val="24"/>
          <w:szCs w:val="24"/>
        </w:rPr>
        <w:t>不可抗力</w:t>
      </w:r>
    </w:p>
    <w:p w14:paraId="3D14328C">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1.由于水灾、火灾、地震、台风、战争、行政主管机关指令和其他经双方同意的原因，导致合同不能全部或部分履行（或适当履行）的，免除合同当事人相应的违约责任。</w:t>
      </w:r>
    </w:p>
    <w:p w14:paraId="5D9F3F7B">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2.受到上述不可抗力事件影响的合同一方，应当在不可抗力事件发生后立即通知合同另一方，并在事故发生后7天内，提供不可抗力情况的有关证明。</w:t>
      </w:r>
    </w:p>
    <w:p w14:paraId="2C151E9C">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本合同当事人因不可抗力不能按合同约定期限履行义务的，在不可抗力事件的后果影响持续的期间内，免除其迟延履行的责任。但受不可抗力事件影响的本合同当事人应当在该事件后果影响消除后的合理时间内继续履行合同义务。</w:t>
      </w:r>
    </w:p>
    <w:p w14:paraId="1897774D">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4.不可抗力使合同的某些内容有变更必要的， 双方应通过协商在7 日内达成进一步履行合同的协议，因不可抗力致使合同不能履行的，合同终止。</w:t>
      </w:r>
    </w:p>
    <w:p w14:paraId="7CD55F61">
      <w:pPr>
        <w:adjustRightInd w:val="0"/>
        <w:snapToGrid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第十二条</w:t>
      </w:r>
      <w:r>
        <w:rPr>
          <w:rFonts w:hint="eastAsia" w:ascii="宋体" w:hAnsi="宋体" w:eastAsia="宋体" w:cs="宋体"/>
          <w:b/>
          <w:color w:val="auto"/>
          <w:sz w:val="24"/>
          <w:szCs w:val="24"/>
        </w:rPr>
        <w:tab/>
      </w:r>
      <w:r>
        <w:rPr>
          <w:rFonts w:hint="eastAsia" w:ascii="宋体" w:hAnsi="宋体" w:eastAsia="宋体" w:cs="宋体"/>
          <w:b/>
          <w:color w:val="auto"/>
          <w:sz w:val="24"/>
          <w:szCs w:val="24"/>
        </w:rPr>
        <w:t>违约、赔偿责任</w:t>
      </w:r>
    </w:p>
    <w:p w14:paraId="4BBAA863">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如果甲方提供的条件符合后，乙方因自身原因没有按照合同规定的时间（本合同专用条款第三条实施进度约定的各阶段时间限定）交付系统（或阶段性成果物）和提供服务，甲方可要求乙方支付违约金。进度违约金按合同总价款每日（超过施工进度延迟交付或未提供服务）的1%计收，违约金根据乙方对甲方造成的实际损失另行计算</w:t>
      </w:r>
      <w:r>
        <w:rPr>
          <w:rFonts w:hint="eastAsia" w:ascii="宋体" w:hAnsi="宋体" w:eastAsia="宋体" w:cs="宋体"/>
          <w:b/>
          <w:bCs/>
          <w:color w:val="auto"/>
          <w:sz w:val="24"/>
          <w:szCs w:val="24"/>
        </w:rPr>
        <w:t>。</w:t>
      </w:r>
      <w:r>
        <w:rPr>
          <w:rFonts w:hint="eastAsia" w:ascii="宋体" w:hAnsi="宋体" w:eastAsia="宋体" w:cs="宋体"/>
          <w:color w:val="auto"/>
          <w:sz w:val="24"/>
          <w:szCs w:val="24"/>
        </w:rPr>
        <w:t>除合同另有约定外，乙方承担的、赔偿金的最高限额为合同总价</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0%。如累积延期处罚额达到合同总价的</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0%，甲方有权解除合同，乙方应退还甲方所有给付款，甲方保留采取法律手段追究因乙方延期（或解除合同）给甲方造成其他损失、包括最终用户损失的权利。如乙方未能按时完成合同约定内容，则甲方有权解除合同，甲方保留向乙方索赔其他损失、包括最终用户损失的权利。</w:t>
      </w:r>
    </w:p>
    <w:p w14:paraId="1EDBE4D2">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2.因乙方原因未按本合同约定的实施进度执行，甲方有权在各逾期阶段对乙方进行合同违约处罚。</w:t>
      </w:r>
    </w:p>
    <w:p w14:paraId="13636104">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3.如乙方交付的集成服务因乙方原因不符合甲、乙双方共同签署的合同及其他约定，甲方有权要求乙方在30日内修改完善并重新提交验收，直至符合本合同的要求，并由乙方承担因此产生的费用。</w:t>
      </w:r>
    </w:p>
    <w:p w14:paraId="3B63B402">
      <w:pPr>
        <w:adjustRightInd w:val="0"/>
        <w:snapToGrid w:val="0"/>
        <w:spacing w:line="360" w:lineRule="auto"/>
        <w:ind w:firstLine="480" w:firstLineChars="200"/>
        <w:rPr>
          <w:rFonts w:hint="eastAsia" w:ascii="宋体" w:hAnsi="宋体" w:eastAsia="宋体" w:cs="宋体"/>
          <w:b/>
          <w:bCs/>
          <w:dstrike/>
          <w:color w:val="auto"/>
          <w:sz w:val="24"/>
          <w:szCs w:val="24"/>
        </w:rPr>
      </w:pPr>
      <w:r>
        <w:rPr>
          <w:rFonts w:hint="eastAsia" w:ascii="宋体" w:hAnsi="宋体" w:eastAsia="宋体" w:cs="宋体"/>
          <w:color w:val="auto"/>
          <w:sz w:val="24"/>
          <w:szCs w:val="24"/>
        </w:rPr>
        <w:t>4.保密违约。乙方违反本合同所规定的保密义务，应承担全部违约责任，情节严重的依法承担相应法律责任。乙方保密违约情况下，如涉及甲方及最终用户以外的第三方赔偿责任，由乙方负责解决并承担最终责任，退还甲方合同款，并按对第三方赔偿款或本合同款两者较高金额，赔偿甲方损失。甲方前期处理可能发生的鉴定费、取证费、勘验费、诉讼费、律师费等在内的一切费用，由乙方承担。</w:t>
      </w:r>
    </w:p>
    <w:p w14:paraId="01562A78">
      <w:pPr>
        <w:adjustRightInd w:val="0"/>
        <w:snapToGrid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第十三条</w:t>
      </w:r>
      <w:r>
        <w:rPr>
          <w:rFonts w:hint="eastAsia" w:ascii="宋体" w:hAnsi="宋体" w:eastAsia="宋体" w:cs="宋体"/>
          <w:b/>
          <w:color w:val="auto"/>
          <w:sz w:val="24"/>
          <w:szCs w:val="24"/>
        </w:rPr>
        <w:tab/>
      </w:r>
      <w:r>
        <w:rPr>
          <w:rFonts w:hint="eastAsia" w:ascii="宋体" w:hAnsi="宋体" w:eastAsia="宋体" w:cs="宋体"/>
          <w:b/>
          <w:color w:val="auto"/>
          <w:sz w:val="24"/>
          <w:szCs w:val="24"/>
        </w:rPr>
        <w:t>争议解决</w:t>
      </w:r>
    </w:p>
    <w:p w14:paraId="2AB3C8CF">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双方在本合同履行过程中若产生争议，首先双方协商解决。若协商不成，双方在此同意，在甲方所在地人民法院提起诉讼。</w:t>
      </w:r>
    </w:p>
    <w:p w14:paraId="427B291D">
      <w:pPr>
        <w:adjustRightInd w:val="0"/>
        <w:snapToGrid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第十四条</w:t>
      </w:r>
      <w:r>
        <w:rPr>
          <w:rFonts w:hint="eastAsia" w:ascii="宋体" w:hAnsi="宋体" w:eastAsia="宋体" w:cs="宋体"/>
          <w:b/>
          <w:color w:val="auto"/>
          <w:sz w:val="24"/>
          <w:szCs w:val="24"/>
        </w:rPr>
        <w:tab/>
      </w:r>
      <w:r>
        <w:rPr>
          <w:rFonts w:hint="eastAsia" w:ascii="宋体" w:hAnsi="宋体" w:eastAsia="宋体" w:cs="宋体"/>
          <w:b/>
          <w:color w:val="auto"/>
          <w:sz w:val="24"/>
          <w:szCs w:val="24"/>
        </w:rPr>
        <w:t>保密条款</w:t>
      </w:r>
    </w:p>
    <w:p w14:paraId="134DB72A">
      <w:pPr>
        <w:widowControl/>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1.乙方有义务遵守和配合执行甲方及最终用户的保密管理规定与保密措施，并在项目实施完成后，归还甲方及最终用户提供的非公开的业务资料。</w:t>
      </w:r>
    </w:p>
    <w:p w14:paraId="3BF4E5B8">
      <w:pPr>
        <w:widowControl/>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2.乙方保证不将甲方及最终用户提交的资料转让给任何第三方，除非第三方介入货物的设计、安装和运行，并将有关资料仅用于这些目的。</w:t>
      </w:r>
    </w:p>
    <w:p w14:paraId="39955A61">
      <w:pPr>
        <w:widowControl/>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3.未经甲方及最终用户事前书面允许，乙方不得复制、向他人透露或者使用涉及本合同的资料或数据。</w:t>
      </w:r>
    </w:p>
    <w:p w14:paraId="10AA075D">
      <w:pPr>
        <w:widowControl/>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4.乙方提供的产品中，不得存在非甲方、最终用户、其他软件提供方及患者未书面许可乙方获取信息的设计。</w:t>
      </w:r>
    </w:p>
    <w:p w14:paraId="2478966B">
      <w:pPr>
        <w:adjustRightInd w:val="0"/>
        <w:snapToGrid w:val="0"/>
        <w:spacing w:line="360" w:lineRule="auto"/>
        <w:ind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第十五条</w:t>
      </w:r>
      <w:r>
        <w:rPr>
          <w:rFonts w:hint="eastAsia" w:ascii="宋体" w:hAnsi="宋体" w:eastAsia="宋体" w:cs="宋体"/>
          <w:b/>
          <w:color w:val="auto"/>
          <w:sz w:val="24"/>
          <w:szCs w:val="24"/>
        </w:rPr>
        <w:tab/>
      </w:r>
      <w:r>
        <w:rPr>
          <w:rFonts w:hint="eastAsia" w:ascii="宋体" w:hAnsi="宋体" w:eastAsia="宋体" w:cs="宋体"/>
          <w:b/>
          <w:color w:val="auto"/>
          <w:sz w:val="24"/>
          <w:szCs w:val="24"/>
        </w:rPr>
        <w:t>合同的生效</w:t>
      </w:r>
    </w:p>
    <w:p w14:paraId="211CB975">
      <w:pPr>
        <w:widowControl/>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本合同经甲、乙双方各自指定的代表人签署并加盖双方公章后生效。本合同履行期间双方签署的补充协议、备忘录具有同等法律效力。</w:t>
      </w:r>
    </w:p>
    <w:p w14:paraId="7C6A0726">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本合同一式</w:t>
      </w:r>
      <w:r>
        <w:rPr>
          <w:rFonts w:hint="eastAsia" w:ascii="宋体" w:hAnsi="宋体" w:eastAsia="宋体" w:cs="宋体"/>
          <w:color w:val="auto"/>
          <w:kern w:val="0"/>
          <w:sz w:val="24"/>
          <w:szCs w:val="24"/>
          <w:u w:val="single" w:color="000000"/>
        </w:rPr>
        <w:t xml:space="preserve">　 </w:t>
      </w:r>
      <w:r>
        <w:rPr>
          <w:rFonts w:hint="eastAsia" w:ascii="宋体" w:hAnsi="宋体" w:cs="宋体"/>
          <w:color w:val="auto"/>
          <w:kern w:val="0"/>
          <w:sz w:val="24"/>
          <w:szCs w:val="24"/>
          <w:u w:val="single" w:color="000000"/>
          <w:lang w:val="en-US" w:eastAsia="zh-CN"/>
        </w:rPr>
        <w:t>7</w:t>
      </w:r>
      <w:r>
        <w:rPr>
          <w:rFonts w:hint="eastAsia" w:ascii="宋体" w:hAnsi="宋体" w:eastAsia="宋体" w:cs="宋体"/>
          <w:color w:val="auto"/>
          <w:kern w:val="0"/>
          <w:sz w:val="24"/>
          <w:szCs w:val="24"/>
          <w:u w:val="single" w:color="000000"/>
        </w:rPr>
        <w:t xml:space="preserve">  </w:t>
      </w:r>
      <w:r>
        <w:rPr>
          <w:rFonts w:hint="eastAsia" w:ascii="宋体" w:hAnsi="宋体" w:eastAsia="宋体" w:cs="宋体"/>
          <w:color w:val="auto"/>
          <w:kern w:val="0"/>
          <w:sz w:val="24"/>
          <w:szCs w:val="24"/>
        </w:rPr>
        <w:t>份，具同等法律效力。</w:t>
      </w:r>
      <w:r>
        <w:rPr>
          <w:rFonts w:hint="eastAsia" w:ascii="宋体" w:hAnsi="宋体" w:eastAsia="宋体" w:cs="宋体"/>
          <w:color w:val="auto"/>
          <w:kern w:val="0"/>
          <w:sz w:val="24"/>
          <w:szCs w:val="24"/>
          <w:u w:val="single" w:color="000000"/>
        </w:rPr>
        <w:t>　甲方</w:t>
      </w:r>
      <w:r>
        <w:rPr>
          <w:rFonts w:hint="eastAsia" w:ascii="宋体" w:hAnsi="宋体" w:cs="宋体"/>
          <w:color w:val="auto"/>
          <w:kern w:val="0"/>
          <w:sz w:val="24"/>
          <w:szCs w:val="24"/>
          <w:u w:val="single" w:color="000000"/>
          <w:lang w:val="en-US" w:eastAsia="zh-CN"/>
        </w:rPr>
        <w:t>3</w:t>
      </w:r>
      <w:r>
        <w:rPr>
          <w:rFonts w:hint="eastAsia" w:ascii="宋体" w:hAnsi="宋体" w:eastAsia="宋体" w:cs="宋体"/>
          <w:color w:val="auto"/>
          <w:kern w:val="0"/>
          <w:sz w:val="24"/>
          <w:szCs w:val="24"/>
          <w:u w:val="single" w:color="000000"/>
        </w:rPr>
        <w:t xml:space="preserve">份 </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u w:val="single" w:color="000000"/>
        </w:rPr>
        <w:t xml:space="preserve">  乙方3份 </w:t>
      </w:r>
      <w:r>
        <w:rPr>
          <w:rFonts w:hint="eastAsia" w:ascii="宋体" w:hAnsi="宋体" w:eastAsia="宋体" w:cs="宋体"/>
          <w:color w:val="auto"/>
          <w:kern w:val="0"/>
          <w:sz w:val="24"/>
          <w:szCs w:val="24"/>
        </w:rPr>
        <w:t>及</w:t>
      </w:r>
      <w:r>
        <w:rPr>
          <w:rFonts w:hint="eastAsia" w:ascii="宋体" w:hAnsi="宋体" w:eastAsia="宋体" w:cs="宋体"/>
          <w:color w:val="auto"/>
          <w:kern w:val="0"/>
          <w:sz w:val="24"/>
          <w:szCs w:val="24"/>
          <w:u w:val="single" w:color="000000"/>
        </w:rPr>
        <w:t xml:space="preserve"> 招标代理机构存档1份</w:t>
      </w:r>
      <w:r>
        <w:rPr>
          <w:rFonts w:hint="eastAsia" w:ascii="宋体" w:hAnsi="宋体" w:eastAsia="宋体" w:cs="宋体"/>
          <w:color w:val="auto"/>
          <w:kern w:val="0"/>
          <w:sz w:val="24"/>
          <w:szCs w:val="24"/>
        </w:rPr>
        <w:t>。</w:t>
      </w:r>
    </w:p>
    <w:p w14:paraId="709A9E5E">
      <w:pPr>
        <w:adjustRightInd w:val="0"/>
        <w:snapToGrid w:val="0"/>
        <w:spacing w:line="360" w:lineRule="auto"/>
        <w:ind w:firstLine="482" w:firstLineChars="200"/>
        <w:outlineLvl w:val="1"/>
        <w:rPr>
          <w:rFonts w:hint="eastAsia" w:ascii="宋体" w:hAnsi="宋体" w:eastAsia="宋体" w:cs="宋体"/>
          <w:b/>
          <w:color w:val="auto"/>
          <w:sz w:val="24"/>
          <w:szCs w:val="24"/>
        </w:rPr>
      </w:pPr>
      <w:bookmarkStart w:id="847" w:name="_Toc71207574"/>
      <w:r>
        <w:rPr>
          <w:rFonts w:hint="eastAsia" w:ascii="宋体" w:hAnsi="宋体" w:eastAsia="宋体" w:cs="宋体"/>
          <w:b/>
          <w:color w:val="auto"/>
          <w:sz w:val="24"/>
          <w:szCs w:val="24"/>
        </w:rPr>
        <w:t>第十六条 合同附件</w:t>
      </w:r>
      <w:bookmarkEnd w:id="847"/>
    </w:p>
    <w:p w14:paraId="01070F5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合同所列的附件，经双方签字后为本合同的组成部分。其它任何口头或未包含在本合同内的，或未依据本合同制定的书面文件，均不对双方发生拘束力。如本合同在履行过程中有任何变更、补充或修改，双方应另行签订书面协议。</w:t>
      </w:r>
    </w:p>
    <w:p w14:paraId="764FC77D">
      <w:pPr>
        <w:rPr>
          <w:color w:val="auto"/>
        </w:rPr>
      </w:pPr>
    </w:p>
    <w:p w14:paraId="0FFE298F">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附件一：合同价格明细 （需与采购文件的一致）</w:t>
      </w:r>
    </w:p>
    <w:p w14:paraId="37ED9F6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附件二：中标通知书</w:t>
      </w:r>
    </w:p>
    <w:p w14:paraId="6E387972">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附件三：项目组织人员</w:t>
      </w:r>
    </w:p>
    <w:p w14:paraId="341CB144">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附件四：项目运维规模范围、软件运维功能需求、软件运维服务要求、项目验收要求等</w:t>
      </w:r>
    </w:p>
    <w:p w14:paraId="7D0756F2">
      <w:pPr>
        <w:spacing w:line="360" w:lineRule="auto"/>
        <w:ind w:firstLine="480" w:firstLineChars="200"/>
        <w:rPr>
          <w:rFonts w:hint="eastAsia" w:ascii="宋体" w:hAnsi="宋体" w:eastAsia="仿宋" w:cs="宋体"/>
          <w:color w:val="000000"/>
          <w:sz w:val="24"/>
          <w:szCs w:val="24"/>
          <w:lang w:val="en-US" w:eastAsia="zh-CN"/>
        </w:rPr>
      </w:pPr>
    </w:p>
    <w:p w14:paraId="5C3A622A">
      <w:pPr>
        <w:widowControl/>
        <w:adjustRightInd w:val="0"/>
        <w:snapToGrid w:val="0"/>
        <w:spacing w:line="360" w:lineRule="auto"/>
        <w:ind w:firstLine="0" w:firstLineChars="0"/>
        <w:rPr>
          <w:ins w:id="0" w:author="李桐" w:date="2024-08-30T11:06:00Z"/>
          <w:rFonts w:hint="eastAsia" w:ascii="宋体" w:hAnsi="宋体" w:eastAsia="宋体" w:cs="宋体"/>
          <w:color w:val="auto"/>
          <w:sz w:val="24"/>
          <w:szCs w:val="24"/>
        </w:rPr>
      </w:pPr>
    </w:p>
    <w:p w14:paraId="3F0DF247">
      <w:pPr>
        <w:widowControl/>
        <w:adjustRightInd w:val="0"/>
        <w:snapToGrid w:val="0"/>
        <w:spacing w:line="360" w:lineRule="auto"/>
        <w:ind w:firstLine="0" w:firstLineChars="0"/>
        <w:rPr>
          <w:ins w:id="1" w:author="李桐" w:date="2024-08-30T11:06:00Z"/>
          <w:rFonts w:hint="eastAsia" w:ascii="宋体" w:hAnsi="宋体" w:eastAsia="宋体" w:cs="宋体"/>
          <w:color w:val="auto"/>
          <w:sz w:val="24"/>
          <w:szCs w:val="24"/>
        </w:rPr>
      </w:pPr>
    </w:p>
    <w:p w14:paraId="0FA76053">
      <w:pPr>
        <w:widowControl/>
        <w:adjustRightInd w:val="0"/>
        <w:snapToGrid w:val="0"/>
        <w:spacing w:line="360" w:lineRule="auto"/>
        <w:ind w:firstLine="0" w:firstLineChars="0"/>
        <w:rPr>
          <w:rFonts w:hint="eastAsia" w:ascii="宋体" w:hAnsi="宋体" w:eastAsia="宋体" w:cs="宋体"/>
          <w:color w:val="auto"/>
          <w:sz w:val="24"/>
          <w:szCs w:val="24"/>
        </w:rPr>
      </w:pPr>
    </w:p>
    <w:p w14:paraId="406213A5">
      <w:pPr>
        <w:widowControl/>
        <w:adjustRightInd w:val="0"/>
        <w:snapToGrid w:val="0"/>
        <w:spacing w:line="360" w:lineRule="auto"/>
        <w:ind w:firstLine="708" w:firstLineChars="295"/>
        <w:rPr>
          <w:rFonts w:hint="eastAsia" w:ascii="宋体" w:hAnsi="宋体" w:eastAsia="宋体" w:cs="宋体"/>
          <w:color w:val="auto"/>
          <w:sz w:val="24"/>
          <w:szCs w:val="24"/>
        </w:rPr>
      </w:pPr>
    </w:p>
    <w:p w14:paraId="3954456C">
      <w:pPr>
        <w:widowControl/>
        <w:adjustRightInd w:val="0"/>
        <w:snapToGrid w:val="0"/>
        <w:spacing w:line="360" w:lineRule="auto"/>
        <w:ind w:firstLine="708" w:firstLineChars="295"/>
        <w:rPr>
          <w:rFonts w:hint="eastAsia" w:ascii="宋体" w:hAnsi="宋体" w:eastAsia="宋体" w:cs="宋体"/>
          <w:color w:val="auto"/>
          <w:sz w:val="24"/>
          <w:szCs w:val="24"/>
        </w:rPr>
      </w:pPr>
    </w:p>
    <w:p w14:paraId="5A6DA19E">
      <w:pPr>
        <w:widowControl/>
        <w:adjustRightInd w:val="0"/>
        <w:snapToGrid w:val="0"/>
        <w:spacing w:line="360" w:lineRule="auto"/>
        <w:ind w:firstLine="708" w:firstLineChars="295"/>
        <w:rPr>
          <w:rFonts w:hint="eastAsia" w:ascii="宋体" w:hAnsi="宋体" w:eastAsia="宋体" w:cs="宋体"/>
          <w:color w:val="auto"/>
          <w:sz w:val="24"/>
          <w:szCs w:val="24"/>
        </w:rPr>
      </w:pPr>
    </w:p>
    <w:p w14:paraId="419A9AA4">
      <w:pPr>
        <w:widowControl/>
        <w:adjustRightInd w:val="0"/>
        <w:snapToGrid w:val="0"/>
        <w:spacing w:line="360" w:lineRule="auto"/>
        <w:ind w:firstLine="708" w:firstLineChars="295"/>
        <w:rPr>
          <w:rFonts w:hint="eastAsia" w:ascii="宋体" w:hAnsi="宋体" w:eastAsia="宋体" w:cs="宋体"/>
          <w:color w:val="auto"/>
          <w:sz w:val="24"/>
          <w:szCs w:val="24"/>
        </w:rPr>
      </w:pPr>
    </w:p>
    <w:p w14:paraId="7FAC5E35">
      <w:pPr>
        <w:widowControl/>
        <w:adjustRightInd w:val="0"/>
        <w:snapToGrid w:val="0"/>
        <w:spacing w:line="360" w:lineRule="auto"/>
        <w:ind w:firstLine="708" w:firstLineChars="295"/>
        <w:rPr>
          <w:rFonts w:hint="eastAsia" w:ascii="宋体" w:hAnsi="宋体" w:eastAsia="宋体" w:cs="宋体"/>
          <w:color w:val="auto"/>
          <w:sz w:val="24"/>
          <w:szCs w:val="24"/>
        </w:rPr>
      </w:pPr>
    </w:p>
    <w:p w14:paraId="14389C67">
      <w:pPr>
        <w:widowControl/>
        <w:adjustRightInd w:val="0"/>
        <w:snapToGrid w:val="0"/>
        <w:spacing w:line="360" w:lineRule="auto"/>
        <w:ind w:firstLine="708" w:firstLineChars="295"/>
        <w:rPr>
          <w:rFonts w:hint="eastAsia" w:ascii="宋体" w:hAnsi="宋体" w:eastAsia="宋体" w:cs="宋体"/>
          <w:color w:val="auto"/>
          <w:sz w:val="24"/>
          <w:szCs w:val="24"/>
        </w:rPr>
      </w:pPr>
    </w:p>
    <w:p w14:paraId="462E1D06">
      <w:pPr>
        <w:widowControl/>
        <w:adjustRightInd w:val="0"/>
        <w:snapToGrid w:val="0"/>
        <w:spacing w:line="360" w:lineRule="auto"/>
        <w:ind w:firstLine="708" w:firstLineChars="295"/>
        <w:rPr>
          <w:rFonts w:hint="eastAsia" w:ascii="宋体" w:hAnsi="宋体" w:eastAsia="宋体" w:cs="宋体"/>
          <w:color w:val="auto"/>
          <w:sz w:val="24"/>
          <w:szCs w:val="24"/>
        </w:rPr>
      </w:pPr>
    </w:p>
    <w:p w14:paraId="507B46F5">
      <w:pPr>
        <w:widowControl/>
        <w:adjustRightInd w:val="0"/>
        <w:snapToGrid w:val="0"/>
        <w:spacing w:line="360" w:lineRule="auto"/>
        <w:ind w:firstLine="708" w:firstLineChars="295"/>
        <w:rPr>
          <w:rFonts w:hint="eastAsia" w:ascii="宋体" w:hAnsi="宋体" w:eastAsia="宋体" w:cs="宋体"/>
          <w:color w:val="auto"/>
          <w:sz w:val="24"/>
          <w:szCs w:val="24"/>
        </w:rPr>
      </w:pPr>
    </w:p>
    <w:p w14:paraId="54F71F23">
      <w:pPr>
        <w:widowControl/>
        <w:adjustRightInd w:val="0"/>
        <w:snapToGrid w:val="0"/>
        <w:spacing w:line="360" w:lineRule="auto"/>
        <w:ind w:firstLine="708" w:firstLineChars="295"/>
        <w:rPr>
          <w:rFonts w:hint="eastAsia" w:ascii="宋体" w:hAnsi="宋体" w:eastAsia="宋体" w:cs="宋体"/>
          <w:color w:val="auto"/>
          <w:sz w:val="24"/>
          <w:szCs w:val="24"/>
        </w:rPr>
      </w:pPr>
    </w:p>
    <w:p w14:paraId="6565CBFC">
      <w:pPr>
        <w:widowControl/>
        <w:adjustRightInd w:val="0"/>
        <w:snapToGrid w:val="0"/>
        <w:spacing w:line="360" w:lineRule="auto"/>
        <w:ind w:firstLine="708" w:firstLineChars="295"/>
        <w:rPr>
          <w:rFonts w:hint="eastAsia" w:ascii="宋体" w:hAnsi="宋体" w:eastAsia="宋体" w:cs="宋体"/>
          <w:color w:val="auto"/>
          <w:sz w:val="24"/>
          <w:szCs w:val="24"/>
        </w:rPr>
      </w:pPr>
    </w:p>
    <w:p w14:paraId="072A3229">
      <w:pPr>
        <w:widowControl/>
        <w:adjustRightInd w:val="0"/>
        <w:snapToGrid w:val="0"/>
        <w:spacing w:line="360" w:lineRule="auto"/>
        <w:ind w:firstLine="708" w:firstLineChars="295"/>
        <w:rPr>
          <w:rFonts w:hint="eastAsia" w:ascii="宋体" w:hAnsi="宋体" w:eastAsia="宋体" w:cs="宋体"/>
          <w:color w:val="auto"/>
          <w:sz w:val="24"/>
          <w:szCs w:val="24"/>
        </w:rPr>
      </w:pPr>
    </w:p>
    <w:p w14:paraId="0D50B23A">
      <w:pPr>
        <w:widowControl/>
        <w:adjustRightInd w:val="0"/>
        <w:snapToGrid w:val="0"/>
        <w:spacing w:line="360" w:lineRule="auto"/>
        <w:ind w:firstLine="708" w:firstLineChars="295"/>
        <w:rPr>
          <w:rFonts w:hint="eastAsia" w:ascii="宋体" w:hAnsi="宋体" w:eastAsia="宋体" w:cs="宋体"/>
          <w:color w:val="auto"/>
          <w:sz w:val="24"/>
          <w:szCs w:val="24"/>
        </w:rPr>
      </w:pPr>
    </w:p>
    <w:p w14:paraId="4E657023">
      <w:pPr>
        <w:widowControl/>
        <w:adjustRightInd w:val="0"/>
        <w:snapToGrid w:val="0"/>
        <w:spacing w:line="360" w:lineRule="auto"/>
        <w:ind w:firstLine="708" w:firstLineChars="295"/>
        <w:rPr>
          <w:rFonts w:hint="eastAsia" w:ascii="宋体" w:hAnsi="宋体" w:eastAsia="宋体" w:cs="宋体"/>
          <w:color w:val="auto"/>
          <w:sz w:val="24"/>
          <w:szCs w:val="24"/>
        </w:rPr>
      </w:pPr>
      <w:r>
        <w:rPr>
          <w:rFonts w:hint="eastAsia" w:ascii="宋体" w:hAnsi="宋体" w:eastAsia="宋体" w:cs="宋体"/>
          <w:color w:val="auto"/>
          <w:sz w:val="24"/>
          <w:szCs w:val="24"/>
        </w:rPr>
        <w:t>本页以下无正文</w:t>
      </w:r>
    </w:p>
    <w:tbl>
      <w:tblPr>
        <w:tblStyle w:val="46"/>
        <w:tblW w:w="833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727"/>
        <w:gridCol w:w="3455"/>
        <w:gridCol w:w="2414"/>
        <w:tblGridChange w:id="2">
          <w:tblGrid>
            <w:gridCol w:w="741"/>
            <w:gridCol w:w="1727"/>
            <w:gridCol w:w="3455"/>
            <w:gridCol w:w="2414"/>
          </w:tblGrid>
        </w:tblGridChange>
      </w:tblGrid>
      <w:tr w14:paraId="28F9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41" w:type="dxa"/>
            <w:vMerge w:val="restart"/>
            <w:noWrap w:val="0"/>
            <w:textDirection w:val="tbRlV"/>
            <w:vAlign w:val="center"/>
          </w:tcPr>
          <w:p w14:paraId="3D910DA9">
            <w:pPr>
              <w:spacing w:line="360" w:lineRule="auto"/>
              <w:ind w:left="113" w:right="113"/>
              <w:jc w:val="center"/>
              <w:rPr>
                <w:rFonts w:ascii="宋体" w:hAnsi="宋体"/>
                <w:b/>
                <w:color w:val="auto"/>
                <w:sz w:val="24"/>
              </w:rPr>
            </w:pPr>
            <w:r>
              <w:rPr>
                <w:rFonts w:hint="eastAsia" w:ascii="宋体" w:hAnsi="宋体"/>
                <w:b/>
                <w:color w:val="auto"/>
                <w:spacing w:val="38"/>
                <w:sz w:val="24"/>
              </w:rPr>
              <w:t>甲方（委托方</w:t>
            </w:r>
            <w:r>
              <w:rPr>
                <w:rFonts w:hint="eastAsia" w:ascii="宋体" w:hAnsi="宋体"/>
                <w:b/>
                <w:color w:val="auto"/>
                <w:spacing w:val="1"/>
                <w:sz w:val="24"/>
              </w:rPr>
              <w:t>）</w:t>
            </w:r>
          </w:p>
        </w:tc>
        <w:tc>
          <w:tcPr>
            <w:tcW w:w="1727" w:type="dxa"/>
            <w:noWrap w:val="0"/>
            <w:vAlign w:val="center"/>
          </w:tcPr>
          <w:p w14:paraId="0EA43D53">
            <w:pPr>
              <w:spacing w:line="360" w:lineRule="auto"/>
              <w:jc w:val="center"/>
              <w:rPr>
                <w:rFonts w:ascii="宋体" w:hAnsi="宋体"/>
                <w:b/>
                <w:color w:val="auto"/>
                <w:sz w:val="24"/>
              </w:rPr>
            </w:pPr>
            <w:r>
              <w:rPr>
                <w:rFonts w:hint="eastAsia" w:ascii="宋体" w:hAnsi="宋体"/>
                <w:b/>
                <w:color w:val="auto"/>
                <w:sz w:val="24"/>
              </w:rPr>
              <w:t>单位名称</w:t>
            </w:r>
          </w:p>
        </w:tc>
        <w:tc>
          <w:tcPr>
            <w:tcW w:w="3455" w:type="dxa"/>
            <w:noWrap w:val="0"/>
            <w:vAlign w:val="center"/>
          </w:tcPr>
          <w:p w14:paraId="5F7BF60B">
            <w:pPr>
              <w:spacing w:line="360" w:lineRule="auto"/>
              <w:rPr>
                <w:rFonts w:ascii="宋体" w:hAnsi="宋体"/>
                <w:color w:val="auto"/>
                <w:sz w:val="24"/>
              </w:rPr>
            </w:pPr>
            <w:r>
              <w:rPr>
                <w:rFonts w:hint="eastAsia" w:ascii="宋体" w:hAnsi="宋体"/>
                <w:color w:val="auto"/>
                <w:sz w:val="24"/>
              </w:rPr>
              <w:t>北京市大兴区卫生健康委员会</w:t>
            </w:r>
          </w:p>
        </w:tc>
        <w:tc>
          <w:tcPr>
            <w:tcW w:w="2414" w:type="dxa"/>
            <w:vMerge w:val="restart"/>
            <w:noWrap w:val="0"/>
            <w:vAlign w:val="top"/>
          </w:tcPr>
          <w:p w14:paraId="0656CC8D">
            <w:pPr>
              <w:spacing w:line="360" w:lineRule="auto"/>
              <w:jc w:val="center"/>
              <w:rPr>
                <w:rFonts w:hint="eastAsia" w:ascii="宋体" w:hAnsi="宋体" w:cs="宋体"/>
                <w:b/>
                <w:color w:val="auto"/>
                <w:sz w:val="22"/>
                <w:szCs w:val="22"/>
              </w:rPr>
            </w:pPr>
            <w:r>
              <w:rPr>
                <w:rFonts w:hint="eastAsia" w:ascii="宋体" w:hAnsi="宋体" w:cs="宋体"/>
                <w:b/>
                <w:color w:val="auto"/>
                <w:sz w:val="22"/>
                <w:szCs w:val="22"/>
              </w:rPr>
              <w:t>单位公章或合同</w:t>
            </w:r>
          </w:p>
          <w:p w14:paraId="7D9EB699">
            <w:pPr>
              <w:spacing w:line="360" w:lineRule="auto"/>
              <w:jc w:val="center"/>
              <w:rPr>
                <w:rFonts w:ascii="宋体" w:hAnsi="宋体" w:cs="宋体"/>
                <w:b/>
                <w:color w:val="auto"/>
                <w:sz w:val="22"/>
                <w:szCs w:val="22"/>
              </w:rPr>
            </w:pPr>
            <w:r>
              <w:rPr>
                <w:rFonts w:hint="eastAsia" w:ascii="宋体" w:hAnsi="宋体" w:cs="宋体"/>
                <w:b/>
                <w:color w:val="auto"/>
                <w:sz w:val="22"/>
                <w:szCs w:val="22"/>
              </w:rPr>
              <w:t>专用章</w:t>
            </w:r>
          </w:p>
          <w:p w14:paraId="2BC07931">
            <w:pPr>
              <w:spacing w:line="360" w:lineRule="auto"/>
              <w:jc w:val="center"/>
              <w:rPr>
                <w:rFonts w:ascii="宋体" w:hAnsi="宋体"/>
                <w:b/>
                <w:color w:val="auto"/>
                <w:sz w:val="24"/>
              </w:rPr>
            </w:pPr>
          </w:p>
          <w:p w14:paraId="52107BFB">
            <w:pPr>
              <w:spacing w:line="360" w:lineRule="auto"/>
              <w:jc w:val="both"/>
              <w:rPr>
                <w:rFonts w:ascii="宋体" w:hAnsi="宋体"/>
                <w:b/>
                <w:color w:val="auto"/>
                <w:sz w:val="24"/>
              </w:rPr>
            </w:pPr>
          </w:p>
          <w:p w14:paraId="4071FFA6">
            <w:pPr>
              <w:spacing w:line="360" w:lineRule="auto"/>
              <w:jc w:val="right"/>
              <w:rPr>
                <w:rFonts w:ascii="宋体" w:hAnsi="宋体"/>
                <w:b/>
                <w:color w:val="auto"/>
                <w:sz w:val="24"/>
              </w:rPr>
            </w:pPr>
          </w:p>
          <w:p w14:paraId="53D35CF7">
            <w:pPr>
              <w:spacing w:line="360" w:lineRule="auto"/>
              <w:jc w:val="right"/>
              <w:rPr>
                <w:rFonts w:ascii="宋体" w:hAnsi="宋体"/>
                <w:b/>
                <w:color w:val="auto"/>
                <w:sz w:val="24"/>
              </w:rPr>
            </w:pPr>
            <w:r>
              <w:rPr>
                <w:rFonts w:hint="eastAsia" w:ascii="宋体" w:hAnsi="宋体"/>
                <w:b/>
                <w:color w:val="auto"/>
                <w:sz w:val="24"/>
              </w:rPr>
              <w:t>年  月  日</w:t>
            </w:r>
          </w:p>
        </w:tc>
      </w:tr>
      <w:tr w14:paraId="1FE2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41" w:type="dxa"/>
            <w:vMerge w:val="continue"/>
            <w:noWrap w:val="0"/>
            <w:vAlign w:val="top"/>
          </w:tcPr>
          <w:p w14:paraId="021E0440">
            <w:pPr>
              <w:spacing w:line="360" w:lineRule="auto"/>
              <w:rPr>
                <w:rFonts w:ascii="宋体" w:hAnsi="宋体"/>
                <w:color w:val="auto"/>
                <w:sz w:val="24"/>
              </w:rPr>
            </w:pPr>
          </w:p>
        </w:tc>
        <w:tc>
          <w:tcPr>
            <w:tcW w:w="1727" w:type="dxa"/>
            <w:noWrap w:val="0"/>
            <w:vAlign w:val="center"/>
          </w:tcPr>
          <w:p w14:paraId="25C6AD35">
            <w:pPr>
              <w:spacing w:line="360" w:lineRule="auto"/>
              <w:jc w:val="center"/>
              <w:rPr>
                <w:rFonts w:ascii="宋体" w:hAnsi="宋体"/>
                <w:b/>
                <w:color w:val="auto"/>
                <w:sz w:val="24"/>
              </w:rPr>
            </w:pPr>
            <w:r>
              <w:rPr>
                <w:rFonts w:hint="eastAsia" w:ascii="宋体" w:hAnsi="宋体"/>
                <w:b/>
                <w:color w:val="auto"/>
                <w:sz w:val="24"/>
              </w:rPr>
              <w:t>通讯地址</w:t>
            </w:r>
          </w:p>
        </w:tc>
        <w:tc>
          <w:tcPr>
            <w:tcW w:w="3455" w:type="dxa"/>
            <w:noWrap w:val="0"/>
            <w:vAlign w:val="center"/>
          </w:tcPr>
          <w:p w14:paraId="53CE3041">
            <w:pPr>
              <w:spacing w:line="360" w:lineRule="auto"/>
              <w:rPr>
                <w:rFonts w:ascii="宋体" w:hAnsi="宋体"/>
                <w:color w:val="auto"/>
                <w:sz w:val="24"/>
              </w:rPr>
            </w:pPr>
            <w:r>
              <w:rPr>
                <w:rFonts w:hint="eastAsia" w:ascii="宋体" w:hAnsi="宋体"/>
                <w:color w:val="auto"/>
                <w:sz w:val="24"/>
              </w:rPr>
              <w:t>北京市大兴区黄村西大街33号</w:t>
            </w:r>
          </w:p>
        </w:tc>
        <w:tc>
          <w:tcPr>
            <w:tcW w:w="2414" w:type="dxa"/>
            <w:vMerge w:val="continue"/>
            <w:noWrap w:val="0"/>
            <w:vAlign w:val="top"/>
          </w:tcPr>
          <w:p w14:paraId="240CC080">
            <w:pPr>
              <w:spacing w:line="360" w:lineRule="auto"/>
              <w:rPr>
                <w:rFonts w:ascii="宋体" w:hAnsi="宋体"/>
                <w:color w:val="auto"/>
                <w:sz w:val="24"/>
              </w:rPr>
            </w:pPr>
          </w:p>
        </w:tc>
      </w:tr>
      <w:tr w14:paraId="06AF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41" w:type="dxa"/>
            <w:vMerge w:val="continue"/>
            <w:noWrap w:val="0"/>
            <w:vAlign w:val="top"/>
          </w:tcPr>
          <w:p w14:paraId="79B5B0B2">
            <w:pPr>
              <w:spacing w:line="360" w:lineRule="auto"/>
              <w:rPr>
                <w:rFonts w:ascii="宋体" w:hAnsi="宋体"/>
                <w:color w:val="auto"/>
                <w:sz w:val="24"/>
              </w:rPr>
            </w:pPr>
          </w:p>
        </w:tc>
        <w:tc>
          <w:tcPr>
            <w:tcW w:w="1727" w:type="dxa"/>
            <w:noWrap w:val="0"/>
            <w:vAlign w:val="center"/>
          </w:tcPr>
          <w:p w14:paraId="3853FC72">
            <w:pPr>
              <w:spacing w:line="360" w:lineRule="auto"/>
              <w:jc w:val="center"/>
              <w:rPr>
                <w:rFonts w:ascii="宋体" w:hAnsi="宋体"/>
                <w:b/>
                <w:color w:val="auto"/>
                <w:sz w:val="24"/>
              </w:rPr>
            </w:pPr>
            <w:r>
              <w:rPr>
                <w:rFonts w:hint="eastAsia" w:ascii="宋体" w:hAnsi="宋体"/>
                <w:b/>
                <w:color w:val="auto"/>
                <w:sz w:val="24"/>
              </w:rPr>
              <w:t>委托代理人</w:t>
            </w:r>
          </w:p>
        </w:tc>
        <w:tc>
          <w:tcPr>
            <w:tcW w:w="3455" w:type="dxa"/>
            <w:noWrap w:val="0"/>
            <w:vAlign w:val="center"/>
          </w:tcPr>
          <w:p w14:paraId="585B5B5C">
            <w:pPr>
              <w:spacing w:line="360" w:lineRule="auto"/>
              <w:jc w:val="right"/>
              <w:rPr>
                <w:rFonts w:ascii="宋体" w:hAnsi="宋体"/>
                <w:color w:val="auto"/>
                <w:sz w:val="24"/>
              </w:rPr>
            </w:pPr>
            <w:r>
              <w:rPr>
                <w:rFonts w:hint="eastAsia" w:ascii="宋体" w:hAnsi="宋体"/>
                <w:color w:val="auto"/>
                <w:sz w:val="24"/>
              </w:rPr>
              <w:t>（签  字）</w:t>
            </w:r>
          </w:p>
        </w:tc>
        <w:tc>
          <w:tcPr>
            <w:tcW w:w="2414" w:type="dxa"/>
            <w:vMerge w:val="continue"/>
            <w:noWrap w:val="0"/>
            <w:vAlign w:val="top"/>
          </w:tcPr>
          <w:p w14:paraId="3E0114A7">
            <w:pPr>
              <w:spacing w:line="360" w:lineRule="auto"/>
              <w:rPr>
                <w:rFonts w:ascii="宋体" w:hAnsi="宋体"/>
                <w:color w:val="auto"/>
                <w:sz w:val="24"/>
              </w:rPr>
            </w:pPr>
          </w:p>
        </w:tc>
      </w:tr>
      <w:tr w14:paraId="5021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41" w:type="dxa"/>
            <w:vMerge w:val="continue"/>
            <w:noWrap w:val="0"/>
            <w:vAlign w:val="top"/>
          </w:tcPr>
          <w:p w14:paraId="6006AC08">
            <w:pPr>
              <w:spacing w:line="360" w:lineRule="auto"/>
              <w:rPr>
                <w:rFonts w:ascii="宋体" w:hAnsi="宋体"/>
                <w:color w:val="auto"/>
                <w:sz w:val="24"/>
              </w:rPr>
            </w:pPr>
          </w:p>
        </w:tc>
        <w:tc>
          <w:tcPr>
            <w:tcW w:w="1727" w:type="dxa"/>
            <w:noWrap w:val="0"/>
            <w:vAlign w:val="center"/>
          </w:tcPr>
          <w:p w14:paraId="3C870E0A">
            <w:pPr>
              <w:spacing w:line="360" w:lineRule="auto"/>
              <w:jc w:val="center"/>
              <w:rPr>
                <w:rFonts w:ascii="宋体" w:hAnsi="宋体"/>
                <w:b/>
                <w:color w:val="auto"/>
                <w:sz w:val="24"/>
              </w:rPr>
            </w:pPr>
            <w:r>
              <w:rPr>
                <w:rFonts w:hint="eastAsia" w:ascii="宋体" w:hAnsi="宋体"/>
                <w:b/>
                <w:color w:val="auto"/>
                <w:sz w:val="24"/>
              </w:rPr>
              <w:t>开户银行</w:t>
            </w:r>
          </w:p>
        </w:tc>
        <w:tc>
          <w:tcPr>
            <w:tcW w:w="3455" w:type="dxa"/>
            <w:noWrap w:val="0"/>
            <w:vAlign w:val="center"/>
          </w:tcPr>
          <w:p w14:paraId="5B060EB5">
            <w:pPr>
              <w:spacing w:line="360" w:lineRule="auto"/>
              <w:jc w:val="left"/>
              <w:rPr>
                <w:rFonts w:ascii="宋体" w:hAnsi="宋体" w:eastAsia="宋体" w:cs="宋体"/>
                <w:b w:val="0"/>
                <w:bCs w:val="0"/>
                <w:color w:val="auto"/>
                <w:kern w:val="2"/>
                <w:sz w:val="22"/>
                <w:szCs w:val="22"/>
                <w:lang w:val="en-US" w:eastAsia="zh-CN" w:bidi="ar-SA"/>
              </w:rPr>
            </w:pPr>
            <w:r>
              <w:rPr>
                <w:rFonts w:hint="eastAsia" w:ascii="宋体" w:hAnsi="宋体" w:cs="宋体"/>
                <w:b w:val="0"/>
                <w:bCs w:val="0"/>
                <w:color w:val="auto"/>
                <w:sz w:val="22"/>
                <w:szCs w:val="22"/>
              </w:rPr>
              <w:t>工行大兴支行</w:t>
            </w:r>
          </w:p>
        </w:tc>
        <w:tc>
          <w:tcPr>
            <w:tcW w:w="2414" w:type="dxa"/>
            <w:vMerge w:val="continue"/>
            <w:noWrap w:val="0"/>
            <w:vAlign w:val="top"/>
          </w:tcPr>
          <w:p w14:paraId="7BF5FF80">
            <w:pPr>
              <w:spacing w:line="360" w:lineRule="auto"/>
              <w:rPr>
                <w:rFonts w:ascii="宋体" w:hAnsi="宋体"/>
                <w:color w:val="auto"/>
                <w:sz w:val="24"/>
              </w:rPr>
            </w:pPr>
          </w:p>
        </w:tc>
      </w:tr>
      <w:tr w14:paraId="2445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 w:author="李桐" w:date="2024-08-30T11: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0" w:hRule="atLeast"/>
          <w:trPrChange w:id="3" w:author="李桐" w:date="2024-08-30T11:05:00Z">
            <w:trPr>
              <w:trHeight w:val="534" w:hRule="atLeast"/>
            </w:trPr>
          </w:trPrChange>
        </w:trPr>
        <w:tc>
          <w:tcPr>
            <w:tcW w:w="741" w:type="dxa"/>
            <w:vMerge w:val="continue"/>
            <w:noWrap w:val="0"/>
            <w:vAlign w:val="top"/>
            <w:tcPrChange w:id="4" w:author="李桐" w:date="2024-08-30T11:05:00Z">
              <w:tcPr>
                <w:tcW w:w="741" w:type="dxa"/>
                <w:vMerge w:val="continue"/>
                <w:noWrap w:val="0"/>
                <w:vAlign w:val="top"/>
              </w:tcPr>
            </w:tcPrChange>
          </w:tcPr>
          <w:p w14:paraId="1F983238">
            <w:pPr>
              <w:spacing w:line="360" w:lineRule="auto"/>
              <w:rPr>
                <w:rFonts w:ascii="宋体" w:hAnsi="宋体"/>
                <w:color w:val="auto"/>
                <w:sz w:val="24"/>
              </w:rPr>
            </w:pPr>
          </w:p>
        </w:tc>
        <w:tc>
          <w:tcPr>
            <w:tcW w:w="1727" w:type="dxa"/>
            <w:noWrap w:val="0"/>
            <w:vAlign w:val="center"/>
            <w:tcPrChange w:id="5" w:author="李桐" w:date="2024-08-30T11:05:00Z">
              <w:tcPr>
                <w:tcW w:w="1727" w:type="dxa"/>
                <w:noWrap w:val="0"/>
                <w:vAlign w:val="center"/>
              </w:tcPr>
            </w:tcPrChange>
          </w:tcPr>
          <w:p w14:paraId="012F1321">
            <w:pPr>
              <w:spacing w:line="360" w:lineRule="auto"/>
              <w:jc w:val="center"/>
              <w:rPr>
                <w:rFonts w:ascii="宋体" w:hAnsi="宋体"/>
                <w:b/>
                <w:color w:val="auto"/>
                <w:sz w:val="24"/>
              </w:rPr>
            </w:pPr>
            <w:r>
              <w:rPr>
                <w:rFonts w:hint="eastAsia" w:ascii="宋体" w:hAnsi="宋体"/>
                <w:b/>
                <w:color w:val="auto"/>
                <w:sz w:val="24"/>
              </w:rPr>
              <w:t>帐号</w:t>
            </w:r>
          </w:p>
        </w:tc>
        <w:tc>
          <w:tcPr>
            <w:tcW w:w="3455" w:type="dxa"/>
            <w:noWrap w:val="0"/>
            <w:vAlign w:val="center"/>
            <w:tcPrChange w:id="6" w:author="李桐" w:date="2024-08-30T11:05:00Z">
              <w:tcPr>
                <w:tcW w:w="3455" w:type="dxa"/>
                <w:noWrap w:val="0"/>
                <w:vAlign w:val="center"/>
              </w:tcPr>
            </w:tcPrChange>
          </w:tcPr>
          <w:p w14:paraId="5E17B02F">
            <w:pPr>
              <w:spacing w:line="360" w:lineRule="auto"/>
              <w:jc w:val="left"/>
              <w:rPr>
                <w:rFonts w:ascii="宋体" w:hAnsi="宋体" w:eastAsia="宋体" w:cs="宋体"/>
                <w:b w:val="0"/>
                <w:bCs w:val="0"/>
                <w:color w:val="auto"/>
                <w:kern w:val="2"/>
                <w:sz w:val="22"/>
                <w:szCs w:val="22"/>
                <w:lang w:val="en-US" w:eastAsia="zh-CN" w:bidi="ar-SA"/>
              </w:rPr>
            </w:pPr>
            <w:r>
              <w:rPr>
                <w:rFonts w:hint="eastAsia" w:ascii="宋体" w:hAnsi="宋体" w:cs="宋体"/>
                <w:b w:val="0"/>
                <w:bCs w:val="0"/>
                <w:color w:val="auto"/>
                <w:sz w:val="22"/>
                <w:szCs w:val="22"/>
              </w:rPr>
              <w:t>0</w:t>
            </w:r>
            <w:r>
              <w:rPr>
                <w:rFonts w:ascii="宋体" w:hAnsi="宋体" w:cs="宋体"/>
                <w:b w:val="0"/>
                <w:bCs w:val="0"/>
                <w:color w:val="auto"/>
                <w:sz w:val="22"/>
                <w:szCs w:val="22"/>
              </w:rPr>
              <w:t>200011409008844001</w:t>
            </w:r>
          </w:p>
        </w:tc>
        <w:tc>
          <w:tcPr>
            <w:tcW w:w="2414" w:type="dxa"/>
            <w:vMerge w:val="continue"/>
            <w:noWrap w:val="0"/>
            <w:vAlign w:val="top"/>
            <w:tcPrChange w:id="7" w:author="李桐" w:date="2024-08-30T11:05:00Z">
              <w:tcPr>
                <w:tcW w:w="2414" w:type="dxa"/>
                <w:vMerge w:val="continue"/>
                <w:noWrap w:val="0"/>
                <w:vAlign w:val="top"/>
              </w:tcPr>
            </w:tcPrChange>
          </w:tcPr>
          <w:p w14:paraId="6B8713DE">
            <w:pPr>
              <w:spacing w:line="360" w:lineRule="auto"/>
              <w:rPr>
                <w:rFonts w:ascii="宋体" w:hAnsi="宋体"/>
                <w:color w:val="auto"/>
                <w:sz w:val="24"/>
              </w:rPr>
            </w:pPr>
          </w:p>
        </w:tc>
      </w:tr>
      <w:tr w14:paraId="289E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41" w:type="dxa"/>
            <w:vMerge w:val="restart"/>
            <w:noWrap w:val="0"/>
            <w:textDirection w:val="tbRlV"/>
            <w:vAlign w:val="center"/>
          </w:tcPr>
          <w:p w14:paraId="1C36282C">
            <w:pPr>
              <w:spacing w:line="360" w:lineRule="auto"/>
              <w:ind w:left="113" w:right="113"/>
              <w:jc w:val="center"/>
              <w:rPr>
                <w:rFonts w:ascii="宋体" w:hAnsi="宋体"/>
                <w:b/>
                <w:color w:val="auto"/>
                <w:sz w:val="24"/>
              </w:rPr>
            </w:pPr>
            <w:r>
              <w:rPr>
                <w:rFonts w:hint="eastAsia" w:ascii="宋体" w:hAnsi="宋体"/>
                <w:b/>
                <w:color w:val="auto"/>
                <w:spacing w:val="37"/>
                <w:sz w:val="24"/>
              </w:rPr>
              <w:t>乙方（服务方</w:t>
            </w:r>
            <w:r>
              <w:rPr>
                <w:rFonts w:hint="eastAsia" w:ascii="宋体" w:hAnsi="宋体"/>
                <w:b/>
                <w:color w:val="auto"/>
                <w:spacing w:val="4"/>
                <w:sz w:val="24"/>
              </w:rPr>
              <w:t>）</w:t>
            </w:r>
          </w:p>
        </w:tc>
        <w:tc>
          <w:tcPr>
            <w:tcW w:w="1727" w:type="dxa"/>
            <w:noWrap w:val="0"/>
            <w:vAlign w:val="top"/>
          </w:tcPr>
          <w:p w14:paraId="38AB32D6">
            <w:pPr>
              <w:spacing w:line="360" w:lineRule="auto"/>
              <w:jc w:val="center"/>
              <w:rPr>
                <w:rFonts w:ascii="宋体" w:hAnsi="宋体"/>
                <w:b/>
                <w:color w:val="auto"/>
                <w:sz w:val="24"/>
              </w:rPr>
            </w:pPr>
            <w:r>
              <w:rPr>
                <w:rFonts w:hint="eastAsia" w:ascii="宋体" w:hAnsi="宋体"/>
                <w:b/>
                <w:color w:val="auto"/>
                <w:sz w:val="24"/>
              </w:rPr>
              <w:t>单位名称</w:t>
            </w:r>
          </w:p>
        </w:tc>
        <w:tc>
          <w:tcPr>
            <w:tcW w:w="3455" w:type="dxa"/>
            <w:noWrap w:val="0"/>
            <w:vAlign w:val="top"/>
          </w:tcPr>
          <w:p w14:paraId="7BE56CFC">
            <w:pPr>
              <w:spacing w:line="360" w:lineRule="auto"/>
              <w:rPr>
                <w:rFonts w:hint="default" w:ascii="宋体" w:hAnsi="宋体"/>
                <w:color w:val="auto"/>
                <w:sz w:val="24"/>
                <w:lang w:val="en-US" w:eastAsia="zh-CN"/>
              </w:rPr>
            </w:pPr>
          </w:p>
        </w:tc>
        <w:tc>
          <w:tcPr>
            <w:tcW w:w="2414" w:type="dxa"/>
            <w:vMerge w:val="restart"/>
            <w:noWrap w:val="0"/>
            <w:vAlign w:val="top"/>
          </w:tcPr>
          <w:p w14:paraId="3F855FBA">
            <w:pPr>
              <w:spacing w:line="360" w:lineRule="auto"/>
              <w:jc w:val="center"/>
              <w:rPr>
                <w:rFonts w:hint="eastAsia" w:ascii="宋体" w:hAnsi="宋体" w:cs="宋体"/>
                <w:b/>
                <w:color w:val="auto"/>
                <w:sz w:val="22"/>
                <w:szCs w:val="22"/>
              </w:rPr>
            </w:pPr>
            <w:r>
              <w:rPr>
                <w:rFonts w:hint="eastAsia" w:ascii="宋体" w:hAnsi="宋体" w:cs="宋体"/>
                <w:b/>
                <w:color w:val="auto"/>
                <w:sz w:val="22"/>
                <w:szCs w:val="22"/>
              </w:rPr>
              <w:t>单位公章或合同</w:t>
            </w:r>
          </w:p>
          <w:p w14:paraId="198FEA6E">
            <w:pPr>
              <w:spacing w:line="360" w:lineRule="auto"/>
              <w:jc w:val="center"/>
              <w:rPr>
                <w:rFonts w:ascii="宋体" w:hAnsi="宋体" w:cs="宋体"/>
                <w:b/>
                <w:color w:val="auto"/>
                <w:sz w:val="22"/>
                <w:szCs w:val="22"/>
              </w:rPr>
            </w:pPr>
            <w:r>
              <w:rPr>
                <w:rFonts w:hint="eastAsia" w:ascii="宋体" w:hAnsi="宋体" w:cs="宋体"/>
                <w:b/>
                <w:color w:val="auto"/>
                <w:sz w:val="22"/>
                <w:szCs w:val="22"/>
              </w:rPr>
              <w:t>专用章</w:t>
            </w:r>
          </w:p>
          <w:p w14:paraId="468A28C9">
            <w:pPr>
              <w:spacing w:line="360" w:lineRule="auto"/>
              <w:rPr>
                <w:rFonts w:ascii="宋体" w:hAnsi="宋体"/>
                <w:b/>
                <w:color w:val="auto"/>
                <w:sz w:val="24"/>
              </w:rPr>
            </w:pPr>
          </w:p>
          <w:p w14:paraId="1731E4AF">
            <w:pPr>
              <w:spacing w:line="360" w:lineRule="auto"/>
              <w:rPr>
                <w:rFonts w:ascii="宋体" w:hAnsi="宋体"/>
                <w:b/>
                <w:color w:val="auto"/>
                <w:sz w:val="24"/>
              </w:rPr>
            </w:pPr>
          </w:p>
          <w:p w14:paraId="09E1CD57">
            <w:pPr>
              <w:spacing w:line="360" w:lineRule="auto"/>
              <w:jc w:val="right"/>
              <w:rPr>
                <w:rFonts w:hint="eastAsia" w:ascii="宋体" w:hAnsi="宋体"/>
                <w:b/>
                <w:color w:val="auto"/>
                <w:sz w:val="24"/>
              </w:rPr>
            </w:pPr>
          </w:p>
          <w:p w14:paraId="51E2536A">
            <w:pPr>
              <w:spacing w:line="360" w:lineRule="auto"/>
              <w:jc w:val="right"/>
              <w:rPr>
                <w:rFonts w:ascii="宋体" w:hAnsi="宋体"/>
                <w:b/>
                <w:color w:val="auto"/>
                <w:sz w:val="24"/>
              </w:rPr>
            </w:pPr>
            <w:r>
              <w:rPr>
                <w:rFonts w:hint="eastAsia" w:ascii="宋体" w:hAnsi="宋体"/>
                <w:b/>
                <w:color w:val="auto"/>
                <w:sz w:val="24"/>
              </w:rPr>
              <w:t>年  月  日</w:t>
            </w:r>
          </w:p>
        </w:tc>
      </w:tr>
      <w:tr w14:paraId="56F0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41" w:type="dxa"/>
            <w:vMerge w:val="continue"/>
            <w:noWrap w:val="0"/>
            <w:vAlign w:val="top"/>
          </w:tcPr>
          <w:p w14:paraId="12D603FB">
            <w:pPr>
              <w:spacing w:line="360" w:lineRule="auto"/>
              <w:rPr>
                <w:rFonts w:ascii="宋体" w:hAnsi="宋体"/>
                <w:color w:val="auto"/>
                <w:sz w:val="24"/>
              </w:rPr>
            </w:pPr>
          </w:p>
        </w:tc>
        <w:tc>
          <w:tcPr>
            <w:tcW w:w="1727" w:type="dxa"/>
            <w:noWrap w:val="0"/>
            <w:vAlign w:val="top"/>
          </w:tcPr>
          <w:p w14:paraId="12727632">
            <w:pPr>
              <w:spacing w:line="360" w:lineRule="auto"/>
              <w:jc w:val="center"/>
              <w:rPr>
                <w:rFonts w:ascii="宋体" w:hAnsi="宋体"/>
                <w:b/>
                <w:color w:val="auto"/>
                <w:sz w:val="24"/>
              </w:rPr>
            </w:pPr>
            <w:r>
              <w:rPr>
                <w:rFonts w:hint="eastAsia" w:ascii="宋体" w:hAnsi="宋体"/>
                <w:b/>
                <w:color w:val="auto"/>
                <w:sz w:val="24"/>
              </w:rPr>
              <w:t>通讯地址</w:t>
            </w:r>
          </w:p>
        </w:tc>
        <w:tc>
          <w:tcPr>
            <w:tcW w:w="3455" w:type="dxa"/>
            <w:noWrap w:val="0"/>
            <w:vAlign w:val="top"/>
          </w:tcPr>
          <w:p w14:paraId="33687131">
            <w:pPr>
              <w:spacing w:line="360" w:lineRule="auto"/>
              <w:rPr>
                <w:rFonts w:hint="eastAsia" w:ascii="宋体" w:hAnsi="宋体"/>
                <w:color w:val="auto"/>
                <w:sz w:val="24"/>
                <w:lang w:val="en-US" w:eastAsia="zh-CN"/>
              </w:rPr>
            </w:pPr>
          </w:p>
        </w:tc>
        <w:tc>
          <w:tcPr>
            <w:tcW w:w="2414" w:type="dxa"/>
            <w:vMerge w:val="continue"/>
            <w:noWrap w:val="0"/>
            <w:vAlign w:val="top"/>
          </w:tcPr>
          <w:p w14:paraId="136C9671">
            <w:pPr>
              <w:spacing w:line="360" w:lineRule="auto"/>
              <w:rPr>
                <w:rFonts w:ascii="宋体" w:hAnsi="宋体"/>
                <w:color w:val="auto"/>
                <w:sz w:val="24"/>
              </w:rPr>
            </w:pPr>
          </w:p>
        </w:tc>
      </w:tr>
      <w:tr w14:paraId="3DB8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41" w:type="dxa"/>
            <w:vMerge w:val="continue"/>
            <w:noWrap w:val="0"/>
            <w:vAlign w:val="top"/>
          </w:tcPr>
          <w:p w14:paraId="7909A119">
            <w:pPr>
              <w:spacing w:line="360" w:lineRule="auto"/>
              <w:rPr>
                <w:rFonts w:ascii="宋体" w:hAnsi="宋体"/>
                <w:color w:val="auto"/>
                <w:sz w:val="24"/>
              </w:rPr>
            </w:pPr>
          </w:p>
        </w:tc>
        <w:tc>
          <w:tcPr>
            <w:tcW w:w="1727" w:type="dxa"/>
            <w:noWrap w:val="0"/>
            <w:vAlign w:val="top"/>
          </w:tcPr>
          <w:p w14:paraId="131DD7FA">
            <w:pPr>
              <w:spacing w:line="360" w:lineRule="auto"/>
              <w:jc w:val="center"/>
              <w:rPr>
                <w:rFonts w:ascii="宋体" w:hAnsi="宋体"/>
                <w:b/>
                <w:color w:val="auto"/>
                <w:sz w:val="24"/>
              </w:rPr>
            </w:pPr>
            <w:r>
              <w:rPr>
                <w:rFonts w:hint="eastAsia" w:ascii="宋体" w:hAnsi="宋体"/>
                <w:b/>
                <w:color w:val="auto"/>
                <w:sz w:val="24"/>
              </w:rPr>
              <w:t>委托代理人</w:t>
            </w:r>
          </w:p>
        </w:tc>
        <w:tc>
          <w:tcPr>
            <w:tcW w:w="3455" w:type="dxa"/>
            <w:noWrap w:val="0"/>
            <w:vAlign w:val="center"/>
          </w:tcPr>
          <w:p w14:paraId="5344E0C1">
            <w:pPr>
              <w:spacing w:line="360" w:lineRule="auto"/>
              <w:jc w:val="right"/>
              <w:rPr>
                <w:rFonts w:ascii="宋体" w:hAnsi="宋体"/>
                <w:color w:val="auto"/>
                <w:sz w:val="24"/>
              </w:rPr>
            </w:pPr>
            <w:r>
              <w:rPr>
                <w:rFonts w:hint="eastAsia" w:ascii="宋体" w:hAnsi="宋体"/>
                <w:color w:val="auto"/>
                <w:sz w:val="24"/>
              </w:rPr>
              <w:t>（签  字）</w:t>
            </w:r>
          </w:p>
        </w:tc>
        <w:tc>
          <w:tcPr>
            <w:tcW w:w="2414" w:type="dxa"/>
            <w:vMerge w:val="continue"/>
            <w:noWrap w:val="0"/>
            <w:vAlign w:val="top"/>
          </w:tcPr>
          <w:p w14:paraId="743E34AC">
            <w:pPr>
              <w:spacing w:line="360" w:lineRule="auto"/>
              <w:rPr>
                <w:rFonts w:ascii="宋体" w:hAnsi="宋体"/>
                <w:color w:val="auto"/>
                <w:sz w:val="24"/>
              </w:rPr>
            </w:pPr>
          </w:p>
        </w:tc>
      </w:tr>
      <w:tr w14:paraId="6D9F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 w:author="李桐" w:date="2024-08-30T11: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74" w:hRule="atLeast"/>
          <w:trPrChange w:id="8" w:author="李桐" w:date="2024-08-30T11:04:00Z">
            <w:trPr>
              <w:trHeight w:val="534" w:hRule="atLeast"/>
            </w:trPr>
          </w:trPrChange>
        </w:trPr>
        <w:tc>
          <w:tcPr>
            <w:tcW w:w="741" w:type="dxa"/>
            <w:vMerge w:val="continue"/>
            <w:noWrap w:val="0"/>
            <w:vAlign w:val="top"/>
            <w:tcPrChange w:id="9" w:author="李桐" w:date="2024-08-30T11:04:00Z">
              <w:tcPr>
                <w:tcW w:w="741" w:type="dxa"/>
                <w:vMerge w:val="continue"/>
                <w:noWrap w:val="0"/>
                <w:vAlign w:val="top"/>
              </w:tcPr>
            </w:tcPrChange>
          </w:tcPr>
          <w:p w14:paraId="16C36DC1">
            <w:pPr>
              <w:spacing w:line="360" w:lineRule="auto"/>
              <w:rPr>
                <w:rFonts w:ascii="宋体" w:hAnsi="宋体"/>
                <w:color w:val="auto"/>
                <w:sz w:val="24"/>
              </w:rPr>
            </w:pPr>
          </w:p>
        </w:tc>
        <w:tc>
          <w:tcPr>
            <w:tcW w:w="1727" w:type="dxa"/>
            <w:noWrap w:val="0"/>
            <w:vAlign w:val="top"/>
            <w:tcPrChange w:id="10" w:author="李桐" w:date="2024-08-30T11:04:00Z">
              <w:tcPr>
                <w:tcW w:w="1727" w:type="dxa"/>
                <w:noWrap w:val="0"/>
                <w:vAlign w:val="top"/>
              </w:tcPr>
            </w:tcPrChange>
          </w:tcPr>
          <w:p w14:paraId="7D449690">
            <w:pPr>
              <w:spacing w:line="360" w:lineRule="auto"/>
              <w:jc w:val="center"/>
              <w:rPr>
                <w:rFonts w:hint="eastAsia" w:ascii="宋体" w:hAnsi="宋体"/>
                <w:b/>
                <w:color w:val="auto"/>
                <w:sz w:val="24"/>
              </w:rPr>
            </w:pPr>
            <w:r>
              <w:rPr>
                <w:rFonts w:hint="eastAsia" w:ascii="宋体" w:hAnsi="宋体"/>
                <w:b/>
                <w:color w:val="auto"/>
                <w:sz w:val="24"/>
              </w:rPr>
              <w:t>开户银行</w:t>
            </w:r>
          </w:p>
        </w:tc>
        <w:tc>
          <w:tcPr>
            <w:tcW w:w="3455" w:type="dxa"/>
            <w:noWrap w:val="0"/>
            <w:vAlign w:val="center"/>
            <w:tcPrChange w:id="11" w:author="李桐" w:date="2024-08-30T11:04:00Z">
              <w:tcPr>
                <w:tcW w:w="3455" w:type="dxa"/>
                <w:noWrap w:val="0"/>
                <w:vAlign w:val="center"/>
              </w:tcPr>
            </w:tcPrChange>
          </w:tcPr>
          <w:p w14:paraId="52101DA4">
            <w:pPr>
              <w:spacing w:line="360" w:lineRule="auto"/>
              <w:rPr>
                <w:rFonts w:ascii="宋体" w:hAnsi="宋体"/>
                <w:color w:val="auto"/>
                <w:sz w:val="24"/>
              </w:rPr>
            </w:pPr>
          </w:p>
        </w:tc>
        <w:tc>
          <w:tcPr>
            <w:tcW w:w="2414" w:type="dxa"/>
            <w:vMerge w:val="continue"/>
            <w:noWrap w:val="0"/>
            <w:vAlign w:val="top"/>
            <w:tcPrChange w:id="12" w:author="李桐" w:date="2024-08-30T11:04:00Z">
              <w:tcPr>
                <w:tcW w:w="2414" w:type="dxa"/>
                <w:vMerge w:val="continue"/>
                <w:noWrap w:val="0"/>
                <w:vAlign w:val="top"/>
              </w:tcPr>
            </w:tcPrChange>
          </w:tcPr>
          <w:p w14:paraId="71D7D7B3">
            <w:pPr>
              <w:spacing w:line="360" w:lineRule="auto"/>
              <w:rPr>
                <w:rFonts w:ascii="宋体" w:hAnsi="宋体"/>
                <w:color w:val="auto"/>
                <w:sz w:val="24"/>
              </w:rPr>
            </w:pPr>
          </w:p>
        </w:tc>
      </w:tr>
      <w:tr w14:paraId="6CAC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41" w:type="dxa"/>
            <w:vMerge w:val="continue"/>
            <w:noWrap w:val="0"/>
            <w:vAlign w:val="top"/>
          </w:tcPr>
          <w:p w14:paraId="0758CF60">
            <w:pPr>
              <w:spacing w:line="360" w:lineRule="auto"/>
              <w:rPr>
                <w:rFonts w:ascii="宋体" w:hAnsi="宋体"/>
                <w:color w:val="auto"/>
                <w:sz w:val="24"/>
              </w:rPr>
            </w:pPr>
          </w:p>
        </w:tc>
        <w:tc>
          <w:tcPr>
            <w:tcW w:w="1727" w:type="dxa"/>
            <w:noWrap w:val="0"/>
            <w:vAlign w:val="top"/>
          </w:tcPr>
          <w:p w14:paraId="59A4BC0A">
            <w:pPr>
              <w:spacing w:line="360" w:lineRule="auto"/>
              <w:jc w:val="center"/>
              <w:rPr>
                <w:rFonts w:hint="eastAsia" w:ascii="宋体" w:hAnsi="宋体"/>
                <w:b/>
                <w:color w:val="auto"/>
                <w:sz w:val="24"/>
              </w:rPr>
            </w:pPr>
            <w:r>
              <w:rPr>
                <w:rFonts w:hint="eastAsia" w:ascii="宋体" w:hAnsi="宋体"/>
                <w:b/>
                <w:color w:val="auto"/>
                <w:sz w:val="24"/>
              </w:rPr>
              <w:t>帐号</w:t>
            </w:r>
          </w:p>
        </w:tc>
        <w:tc>
          <w:tcPr>
            <w:tcW w:w="3455" w:type="dxa"/>
            <w:noWrap w:val="0"/>
            <w:vAlign w:val="center"/>
          </w:tcPr>
          <w:p w14:paraId="6AFC92D8">
            <w:pPr>
              <w:spacing w:line="360" w:lineRule="auto"/>
              <w:rPr>
                <w:rFonts w:ascii="宋体" w:hAnsi="宋体"/>
                <w:color w:val="auto"/>
                <w:sz w:val="24"/>
              </w:rPr>
            </w:pPr>
          </w:p>
        </w:tc>
        <w:tc>
          <w:tcPr>
            <w:tcW w:w="2414" w:type="dxa"/>
            <w:vMerge w:val="continue"/>
            <w:noWrap w:val="0"/>
            <w:vAlign w:val="top"/>
          </w:tcPr>
          <w:p w14:paraId="29FCF28A">
            <w:pPr>
              <w:spacing w:line="360" w:lineRule="auto"/>
              <w:rPr>
                <w:rFonts w:ascii="宋体" w:hAnsi="宋体"/>
                <w:color w:val="auto"/>
                <w:sz w:val="24"/>
              </w:rPr>
            </w:pPr>
          </w:p>
        </w:tc>
      </w:tr>
    </w:tbl>
    <w:p w14:paraId="2DF4D1EB">
      <w:pPr>
        <w:pStyle w:val="45"/>
        <w:ind w:left="0" w:leftChars="0" w:firstLine="0" w:firstLineChars="0"/>
        <w:rPr>
          <w:color w:val="auto"/>
        </w:rPr>
      </w:pPr>
    </w:p>
    <w:p w14:paraId="7389006E">
      <w:pPr>
        <w:rPr>
          <w:color w:val="auto"/>
        </w:rPr>
      </w:pPr>
    </w:p>
    <w:p w14:paraId="322D8C6E">
      <w:pPr>
        <w:rPr>
          <w:color w:val="auto"/>
        </w:rPr>
      </w:pPr>
    </w:p>
    <w:p w14:paraId="05E3AF94">
      <w:pPr>
        <w:rPr>
          <w:color w:val="auto"/>
        </w:rPr>
      </w:pPr>
    </w:p>
    <w:p w14:paraId="14AF87C6">
      <w:pPr>
        <w:rPr>
          <w:color w:val="auto"/>
        </w:rPr>
      </w:pPr>
    </w:p>
    <w:p w14:paraId="12FF8DDC">
      <w:pPr>
        <w:rPr>
          <w:color w:val="auto"/>
        </w:rPr>
      </w:pPr>
    </w:p>
    <w:p w14:paraId="08905D62">
      <w:pPr>
        <w:rPr>
          <w:color w:val="auto"/>
        </w:rPr>
      </w:pPr>
    </w:p>
    <w:p w14:paraId="4C645486">
      <w:pPr>
        <w:rPr>
          <w:color w:val="auto"/>
        </w:rPr>
      </w:pPr>
    </w:p>
    <w:p w14:paraId="46622A97">
      <w:pPr>
        <w:rPr>
          <w:color w:val="auto"/>
        </w:rPr>
      </w:pPr>
    </w:p>
    <w:p w14:paraId="2646424F">
      <w:pPr>
        <w:rPr>
          <w:color w:val="auto"/>
        </w:rPr>
      </w:pPr>
    </w:p>
    <w:p w14:paraId="46C440F5">
      <w:pPr>
        <w:rPr>
          <w:color w:val="auto"/>
        </w:rPr>
      </w:pPr>
    </w:p>
    <w:p w14:paraId="2EF6E279">
      <w:pPr>
        <w:rPr>
          <w:color w:val="auto"/>
        </w:rPr>
      </w:pPr>
    </w:p>
    <w:p w14:paraId="3B5333A0">
      <w:pPr>
        <w:rPr>
          <w:color w:val="auto"/>
        </w:rPr>
      </w:pPr>
    </w:p>
    <w:p w14:paraId="7AE32378">
      <w:pPr>
        <w:rPr>
          <w:color w:val="auto"/>
        </w:rPr>
      </w:pPr>
    </w:p>
    <w:p w14:paraId="19A2BC01">
      <w:pPr>
        <w:rPr>
          <w:color w:val="auto"/>
        </w:rPr>
      </w:pPr>
    </w:p>
    <w:p w14:paraId="7E492249">
      <w:pPr>
        <w:rPr>
          <w:color w:val="auto"/>
        </w:rPr>
      </w:pPr>
    </w:p>
    <w:p w14:paraId="2622B713">
      <w:pPr>
        <w:rPr>
          <w:color w:val="auto"/>
        </w:rPr>
      </w:pPr>
    </w:p>
    <w:p w14:paraId="75B3590B">
      <w:pPr>
        <w:rPr>
          <w:color w:val="auto"/>
        </w:rPr>
      </w:pPr>
    </w:p>
    <w:p w14:paraId="399B7192">
      <w:pPr>
        <w:rPr>
          <w:color w:val="auto"/>
        </w:rPr>
      </w:pPr>
    </w:p>
    <w:p w14:paraId="29D196E4">
      <w:pPr>
        <w:rPr>
          <w:color w:val="auto"/>
        </w:rPr>
      </w:pPr>
    </w:p>
    <w:p w14:paraId="5AD8004D">
      <w:pPr>
        <w:rPr>
          <w:color w:val="auto"/>
        </w:rPr>
      </w:pPr>
    </w:p>
    <w:p w14:paraId="188492DC">
      <w:pPr>
        <w:rPr>
          <w:rFonts w:hint="default"/>
          <w:color w:val="auto"/>
          <w:lang w:val="en-US" w:eastAsia="zh-CN"/>
        </w:rPr>
      </w:pPr>
    </w:p>
    <w:p w14:paraId="3048910A">
      <w:pPr>
        <w:spacing w:line="360" w:lineRule="auto"/>
        <w:jc w:val="center"/>
        <w:outlineLvl w:val="0"/>
        <w:rPr>
          <w:rFonts w:hint="eastAsia" w:ascii="宋体" w:hAnsi="宋体" w:eastAsia="宋体" w:cs="宋体"/>
          <w:b/>
          <w:sz w:val="36"/>
          <w:szCs w:val="36"/>
        </w:rPr>
      </w:pPr>
    </w:p>
    <w:p w14:paraId="252AEDD1">
      <w:pPr>
        <w:spacing w:line="360" w:lineRule="auto"/>
        <w:jc w:val="center"/>
        <w:outlineLvl w:val="0"/>
        <w:rPr>
          <w:rFonts w:hint="eastAsia" w:ascii="宋体" w:hAnsi="宋体" w:eastAsia="宋体" w:cs="宋体"/>
          <w:b/>
          <w:sz w:val="36"/>
          <w:szCs w:val="36"/>
        </w:rPr>
      </w:pPr>
    </w:p>
    <w:p w14:paraId="36588CC3">
      <w:pPr>
        <w:spacing w:line="360" w:lineRule="auto"/>
        <w:jc w:val="center"/>
        <w:outlineLvl w:val="0"/>
        <w:rPr>
          <w:rFonts w:hint="eastAsia" w:ascii="宋体" w:hAnsi="宋体" w:eastAsia="宋体" w:cs="宋体"/>
          <w:b/>
          <w:sz w:val="36"/>
          <w:szCs w:val="36"/>
        </w:rPr>
      </w:pPr>
    </w:p>
    <w:p w14:paraId="695CA685">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第七章   投标文件格式</w:t>
      </w:r>
      <w:bookmarkEnd w:id="845"/>
    </w:p>
    <w:p w14:paraId="57A8D712">
      <w:pPr>
        <w:tabs>
          <w:tab w:val="left" w:pos="900"/>
          <w:tab w:val="left" w:pos="1980"/>
        </w:tabs>
        <w:snapToGrid w:val="0"/>
        <w:spacing w:line="360" w:lineRule="auto"/>
        <w:ind w:left="142"/>
        <w:rPr>
          <w:rFonts w:hint="eastAsia" w:ascii="宋体" w:hAnsi="宋体" w:eastAsia="宋体" w:cs="宋体"/>
          <w:b/>
          <w:sz w:val="24"/>
        </w:rPr>
      </w:pPr>
    </w:p>
    <w:p w14:paraId="056D7BF6">
      <w:pPr>
        <w:tabs>
          <w:tab w:val="left" w:pos="900"/>
          <w:tab w:val="left" w:pos="1980"/>
        </w:tabs>
        <w:snapToGrid w:val="0"/>
        <w:spacing w:line="360" w:lineRule="auto"/>
        <w:ind w:left="142"/>
        <w:rPr>
          <w:rFonts w:hint="eastAsia" w:ascii="宋体" w:hAnsi="宋体" w:eastAsia="宋体" w:cs="宋体"/>
          <w:b/>
          <w:sz w:val="24"/>
        </w:rPr>
      </w:pPr>
    </w:p>
    <w:p w14:paraId="5513CEEE">
      <w:pPr>
        <w:tabs>
          <w:tab w:val="left" w:pos="900"/>
          <w:tab w:val="left" w:pos="1980"/>
        </w:tabs>
        <w:snapToGrid w:val="0"/>
        <w:spacing w:line="360" w:lineRule="auto"/>
        <w:ind w:left="142"/>
        <w:rPr>
          <w:rFonts w:hint="eastAsia" w:ascii="宋体" w:hAnsi="宋体" w:eastAsia="宋体" w:cs="宋体"/>
          <w:sz w:val="24"/>
        </w:rPr>
      </w:pPr>
      <w:r>
        <w:rPr>
          <w:rFonts w:hint="eastAsia" w:ascii="宋体" w:hAnsi="宋体" w:eastAsia="宋体" w:cs="宋体"/>
          <w:b/>
          <w:sz w:val="24"/>
        </w:rPr>
        <w:t>投标人编制文件须知</w:t>
      </w:r>
    </w:p>
    <w:p w14:paraId="349D3975">
      <w:pPr>
        <w:tabs>
          <w:tab w:val="left" w:pos="900"/>
          <w:tab w:val="left" w:pos="1980"/>
        </w:tabs>
        <w:snapToGrid w:val="0"/>
        <w:spacing w:line="360" w:lineRule="auto"/>
        <w:ind w:left="142"/>
        <w:rPr>
          <w:rFonts w:hint="eastAsia" w:ascii="宋体" w:hAnsi="宋体" w:eastAsia="宋体" w:cs="宋体"/>
          <w:sz w:val="24"/>
        </w:rPr>
      </w:pPr>
      <w:r>
        <w:rPr>
          <w:rFonts w:hint="eastAsia" w:ascii="宋体" w:hAnsi="宋体" w:eastAsia="宋体" w:cs="宋体"/>
          <w:sz w:val="24"/>
        </w:rPr>
        <w:t>1、投标人按照本部分的顺序编制投标文件，编制中涉及格式资料的，应按照本部分提供的内容和格式（所有表格的格式可扩展）填写提交。</w:t>
      </w:r>
    </w:p>
    <w:p w14:paraId="6B3E095F">
      <w:pPr>
        <w:tabs>
          <w:tab w:val="left" w:pos="900"/>
          <w:tab w:val="left" w:pos="1980"/>
        </w:tabs>
        <w:snapToGrid w:val="0"/>
        <w:spacing w:line="360" w:lineRule="auto"/>
        <w:ind w:left="142"/>
        <w:rPr>
          <w:rFonts w:hint="eastAsia" w:ascii="宋体" w:hAnsi="宋体" w:eastAsia="宋体" w:cs="宋体"/>
          <w:kern w:val="0"/>
          <w:sz w:val="24"/>
        </w:rPr>
      </w:pPr>
      <w:r>
        <w:rPr>
          <w:rFonts w:hint="eastAsia" w:ascii="宋体" w:hAnsi="宋体" w:eastAsia="宋体" w:cs="宋体"/>
          <w:sz w:val="24"/>
        </w:rPr>
        <w:t>2、</w:t>
      </w:r>
      <w:r>
        <w:rPr>
          <w:rFonts w:hint="eastAsia" w:ascii="宋体" w:hAnsi="宋体" w:eastAsia="宋体" w:cs="宋体"/>
          <w:kern w:val="0"/>
          <w:sz w:val="24"/>
        </w:rPr>
        <w:t>对于招标文件中标记了“实质性格式”文件的，</w:t>
      </w:r>
      <w:r>
        <w:rPr>
          <w:rFonts w:hint="eastAsia" w:ascii="宋体" w:hAnsi="宋体" w:eastAsia="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kern w:val="0"/>
          <w:sz w:val="24"/>
        </w:rPr>
        <w:t>。未标记“实质性格式”的文件和招标文件未提供格式的内容，可由投标人自行编写。</w:t>
      </w:r>
    </w:p>
    <w:p w14:paraId="1FD10544">
      <w:pPr>
        <w:tabs>
          <w:tab w:val="left" w:pos="900"/>
          <w:tab w:val="left" w:pos="1980"/>
        </w:tabs>
        <w:snapToGrid w:val="0"/>
        <w:spacing w:line="360" w:lineRule="auto"/>
        <w:ind w:left="142"/>
        <w:rPr>
          <w:rFonts w:hint="eastAsia" w:ascii="宋体" w:hAnsi="宋体" w:eastAsia="宋体" w:cs="宋体"/>
          <w:sz w:val="24"/>
        </w:rPr>
      </w:pPr>
      <w:r>
        <w:rPr>
          <w:rFonts w:hint="eastAsia" w:ascii="宋体" w:hAnsi="宋体" w:eastAsia="宋体" w:cs="宋体"/>
          <w:sz w:val="24"/>
        </w:rPr>
        <w:t>3、全部声明和问题的回答及所附材料必须是真实的、准确的和完整的。</w:t>
      </w:r>
    </w:p>
    <w:p w14:paraId="145A8A9D">
      <w:pPr>
        <w:widowControl/>
        <w:jc w:val="left"/>
        <w:rPr>
          <w:rFonts w:hint="eastAsia" w:ascii="宋体" w:hAnsi="宋体" w:eastAsia="宋体" w:cs="宋体"/>
          <w:sz w:val="24"/>
        </w:rPr>
      </w:pPr>
      <w:r>
        <w:rPr>
          <w:rFonts w:hint="eastAsia" w:ascii="宋体" w:hAnsi="宋体" w:eastAsia="宋体" w:cs="宋体"/>
          <w:sz w:val="24"/>
        </w:rPr>
        <w:br w:type="page"/>
      </w:r>
    </w:p>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14:paraId="2554376C">
      <w:pPr>
        <w:rPr>
          <w:rFonts w:hint="eastAsia" w:ascii="宋体" w:hAnsi="宋体" w:eastAsia="宋体" w:cs="宋体"/>
          <w:b/>
          <w:spacing w:val="20"/>
          <w:szCs w:val="21"/>
        </w:rPr>
      </w:pPr>
    </w:p>
    <w:p w14:paraId="5450586D">
      <w:pPr>
        <w:pStyle w:val="45"/>
        <w:ind w:left="0" w:leftChars="0" w:firstLine="0" w:firstLineChars="0"/>
        <w:rPr>
          <w:rFonts w:hint="eastAsia" w:ascii="宋体" w:hAnsi="宋体" w:eastAsia="宋体" w:cs="宋体"/>
        </w:rPr>
      </w:pPr>
    </w:p>
    <w:p w14:paraId="4373F691">
      <w:pPr>
        <w:spacing w:line="360" w:lineRule="auto"/>
        <w:rPr>
          <w:rFonts w:hint="eastAsia" w:ascii="宋体" w:hAnsi="宋体" w:eastAsia="宋体" w:cs="宋体"/>
          <w:b/>
          <w:sz w:val="24"/>
        </w:rPr>
      </w:pPr>
      <w:r>
        <w:rPr>
          <w:rFonts w:hint="eastAsia" w:ascii="宋体" w:hAnsi="宋体" w:eastAsia="宋体" w:cs="宋体"/>
          <w:b/>
          <w:spacing w:val="20"/>
          <w:sz w:val="24"/>
        </w:rPr>
        <w:t>投标文件</w:t>
      </w:r>
      <w:r>
        <w:rPr>
          <w:rFonts w:hint="eastAsia" w:ascii="宋体" w:hAnsi="宋体" w:eastAsia="宋体" w:cs="宋体"/>
          <w:b/>
          <w:sz w:val="24"/>
        </w:rPr>
        <w:t>封面（非实质性格式）</w:t>
      </w:r>
    </w:p>
    <w:p w14:paraId="6B0FB5EC">
      <w:pPr>
        <w:rPr>
          <w:rFonts w:hint="eastAsia"/>
        </w:rPr>
      </w:pPr>
    </w:p>
    <w:p w14:paraId="5F53068D">
      <w:pPr>
        <w:jc w:val="center"/>
        <w:rPr>
          <w:rFonts w:hint="eastAsia" w:ascii="宋体" w:hAnsi="宋体" w:eastAsia="宋体" w:cs="宋体"/>
          <w:szCs w:val="21"/>
        </w:rPr>
      </w:pPr>
    </w:p>
    <w:p w14:paraId="4FB47645">
      <w:pPr>
        <w:bidi w:val="0"/>
        <w:jc w:val="center"/>
        <w:rPr>
          <w:rFonts w:hint="eastAsia" w:ascii="宋体" w:hAnsi="宋体" w:eastAsia="宋体" w:cs="宋体"/>
          <w:b/>
          <w:spacing w:val="60"/>
          <w:szCs w:val="84"/>
        </w:rPr>
      </w:pPr>
      <w:r>
        <w:rPr>
          <w:rFonts w:hint="eastAsia" w:ascii="宋体" w:hAnsi="宋体" w:eastAsia="宋体" w:cs="宋体"/>
          <w:b/>
          <w:bCs/>
          <w:sz w:val="84"/>
          <w:szCs w:val="84"/>
        </w:rPr>
        <w:t>投 标 文 件</w:t>
      </w:r>
    </w:p>
    <w:p w14:paraId="722C2B6E">
      <w:pPr>
        <w:rPr>
          <w:rFonts w:hint="eastAsia" w:ascii="宋体" w:hAnsi="宋体" w:eastAsia="宋体" w:cs="宋体"/>
          <w:b/>
          <w:spacing w:val="20"/>
          <w:sz w:val="32"/>
          <w:szCs w:val="32"/>
        </w:rPr>
      </w:pPr>
    </w:p>
    <w:p w14:paraId="31EA19A4">
      <w:pPr>
        <w:ind w:firstLine="542" w:firstLineChars="150"/>
        <w:rPr>
          <w:rFonts w:hint="eastAsia" w:ascii="宋体" w:hAnsi="宋体" w:eastAsia="宋体" w:cs="宋体"/>
          <w:b/>
          <w:spacing w:val="20"/>
          <w:sz w:val="32"/>
          <w:szCs w:val="32"/>
        </w:rPr>
      </w:pPr>
    </w:p>
    <w:p w14:paraId="623DE310">
      <w:pPr>
        <w:bidi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项目名称:</w:t>
      </w:r>
    </w:p>
    <w:p w14:paraId="404B1041">
      <w:pPr>
        <w:bidi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项目编号：</w:t>
      </w:r>
    </w:p>
    <w:p w14:paraId="141AC9C5">
      <w:pPr>
        <w:bidi w:val="0"/>
        <w:spacing w:line="360" w:lineRule="auto"/>
        <w:rPr>
          <w:rFonts w:hint="eastAsia" w:ascii="宋体" w:hAnsi="宋体" w:eastAsia="宋体" w:cs="宋体"/>
          <w:b/>
          <w:bCs/>
          <w:sz w:val="28"/>
          <w:szCs w:val="28"/>
        </w:rPr>
      </w:pPr>
    </w:p>
    <w:p w14:paraId="0EEE4C7F">
      <w:pPr>
        <w:bidi w:val="0"/>
        <w:spacing w:line="360" w:lineRule="auto"/>
        <w:rPr>
          <w:rFonts w:hint="eastAsia" w:ascii="宋体" w:hAnsi="宋体" w:eastAsia="宋体" w:cs="宋体"/>
          <w:b/>
          <w:bCs/>
          <w:sz w:val="28"/>
          <w:szCs w:val="28"/>
        </w:rPr>
      </w:pPr>
    </w:p>
    <w:p w14:paraId="70775BE5">
      <w:pPr>
        <w:bidi w:val="0"/>
        <w:spacing w:line="360" w:lineRule="auto"/>
        <w:rPr>
          <w:rFonts w:hint="eastAsia" w:ascii="宋体" w:hAnsi="宋体" w:eastAsia="宋体" w:cs="宋体"/>
          <w:b/>
          <w:bCs/>
          <w:sz w:val="28"/>
          <w:szCs w:val="28"/>
        </w:rPr>
      </w:pPr>
    </w:p>
    <w:p w14:paraId="420600BD">
      <w:pPr>
        <w:bidi w:val="0"/>
        <w:spacing w:line="360" w:lineRule="auto"/>
        <w:rPr>
          <w:rFonts w:hint="eastAsia" w:ascii="宋体" w:hAnsi="宋体" w:eastAsia="宋体" w:cs="宋体"/>
          <w:b/>
          <w:bCs/>
          <w:sz w:val="28"/>
          <w:szCs w:val="28"/>
        </w:rPr>
      </w:pPr>
    </w:p>
    <w:p w14:paraId="32643150">
      <w:pPr>
        <w:bidi w:val="0"/>
        <w:spacing w:line="360" w:lineRule="auto"/>
        <w:rPr>
          <w:rFonts w:hint="eastAsia" w:ascii="宋体" w:hAnsi="宋体" w:eastAsia="宋体" w:cs="宋体"/>
          <w:b/>
          <w:bCs/>
          <w:sz w:val="28"/>
          <w:szCs w:val="28"/>
        </w:rPr>
      </w:pPr>
    </w:p>
    <w:p w14:paraId="7ADBA060">
      <w:pPr>
        <w:rPr>
          <w:rFonts w:hint="eastAsia"/>
        </w:rPr>
      </w:pPr>
    </w:p>
    <w:p w14:paraId="06283AAD">
      <w:pPr>
        <w:pStyle w:val="45"/>
        <w:rPr>
          <w:rFonts w:hint="eastAsia"/>
        </w:rPr>
      </w:pPr>
    </w:p>
    <w:p w14:paraId="2AE27142">
      <w:pPr>
        <w:rPr>
          <w:rFonts w:hint="eastAsia"/>
        </w:rPr>
      </w:pPr>
    </w:p>
    <w:p w14:paraId="6D341F8D">
      <w:pPr>
        <w:bidi w:val="0"/>
        <w:spacing w:line="360" w:lineRule="auto"/>
        <w:rPr>
          <w:rFonts w:hint="eastAsia" w:ascii="宋体" w:hAnsi="宋体" w:eastAsia="宋体" w:cs="宋体"/>
          <w:b/>
          <w:bCs/>
          <w:sz w:val="28"/>
          <w:szCs w:val="28"/>
        </w:rPr>
      </w:pPr>
    </w:p>
    <w:p w14:paraId="40DF7BE9">
      <w:pPr>
        <w:bidi w:val="0"/>
        <w:spacing w:line="360" w:lineRule="auto"/>
        <w:rPr>
          <w:rFonts w:hint="eastAsia" w:ascii="宋体" w:hAnsi="宋体" w:eastAsia="宋体" w:cs="宋体"/>
        </w:rPr>
      </w:pPr>
      <w:r>
        <w:rPr>
          <w:rFonts w:hint="eastAsia" w:ascii="宋体" w:hAnsi="宋体" w:eastAsia="宋体" w:cs="宋体"/>
          <w:b/>
          <w:bCs/>
          <w:sz w:val="28"/>
          <w:szCs w:val="28"/>
        </w:rPr>
        <w:t>投标人名称：</w:t>
      </w:r>
    </w:p>
    <w:p w14:paraId="132A9579">
      <w:pPr>
        <w:jc w:val="center"/>
        <w:rPr>
          <w:rFonts w:hint="eastAsia" w:ascii="宋体" w:hAnsi="宋体" w:eastAsia="宋体" w:cs="宋体"/>
          <w:b/>
          <w:sz w:val="32"/>
          <w:szCs w:val="32"/>
        </w:rPr>
      </w:pPr>
    </w:p>
    <w:p w14:paraId="09B4631C">
      <w:pPr>
        <w:rPr>
          <w:rFonts w:hint="eastAsia" w:ascii="宋体" w:hAnsi="宋体" w:eastAsia="宋体" w:cs="宋体"/>
          <w:b/>
        </w:rPr>
      </w:pPr>
      <w:r>
        <w:rPr>
          <w:rFonts w:hint="eastAsia" w:ascii="宋体" w:hAnsi="宋体" w:eastAsia="宋体" w:cs="宋体"/>
          <w:b/>
          <w:spacing w:val="20"/>
          <w:sz w:val="32"/>
          <w:szCs w:val="32"/>
        </w:rPr>
        <w:br w:type="page"/>
      </w:r>
    </w:p>
    <w:p w14:paraId="5271EF1F">
      <w:pPr>
        <w:spacing w:line="360" w:lineRule="auto"/>
        <w:outlineLvl w:val="0"/>
        <w:rPr>
          <w:rFonts w:hint="eastAsia" w:ascii="宋体" w:hAnsi="宋体" w:eastAsia="宋体" w:cs="宋体"/>
          <w:sz w:val="24"/>
          <w:szCs w:val="20"/>
        </w:rPr>
      </w:pPr>
      <w:r>
        <w:rPr>
          <w:rFonts w:hint="eastAsia" w:ascii="宋体" w:hAnsi="宋体" w:eastAsia="宋体" w:cs="宋体"/>
          <w:sz w:val="24"/>
          <w:szCs w:val="20"/>
        </w:rPr>
        <w:t xml:space="preserve">1 </w:t>
      </w:r>
      <w:r>
        <w:rPr>
          <w:rFonts w:hint="eastAsia" w:ascii="宋体" w:hAnsi="宋体" w:eastAsia="宋体" w:cs="宋体"/>
          <w:sz w:val="24"/>
        </w:rPr>
        <w:t>满足《中华人民共和国政府采购法》第二十二条规定及法律法规的其他规定</w:t>
      </w:r>
    </w:p>
    <w:p w14:paraId="589EDD5F">
      <w:pPr>
        <w:spacing w:line="360" w:lineRule="auto"/>
        <w:outlineLvl w:val="1"/>
        <w:rPr>
          <w:rFonts w:hint="eastAsia" w:ascii="宋体" w:hAnsi="宋体" w:eastAsia="宋体" w:cs="宋体"/>
          <w:sz w:val="24"/>
          <w:szCs w:val="20"/>
        </w:rPr>
      </w:pPr>
      <w:r>
        <w:rPr>
          <w:rFonts w:hint="eastAsia" w:ascii="宋体" w:hAnsi="宋体" w:eastAsia="宋体" w:cs="宋体"/>
          <w:sz w:val="24"/>
          <w:szCs w:val="20"/>
        </w:rPr>
        <w:t>1-1营业执照等证明文件</w:t>
      </w:r>
    </w:p>
    <w:p w14:paraId="40BC6A49">
      <w:pPr>
        <w:tabs>
          <w:tab w:val="left" w:pos="1080"/>
        </w:tabs>
        <w:snapToGrid w:val="0"/>
        <w:rPr>
          <w:rFonts w:hint="eastAsia" w:ascii="宋体" w:hAnsi="宋体" w:eastAsia="宋体" w:cs="宋体"/>
          <w:sz w:val="24"/>
        </w:rPr>
      </w:pPr>
    </w:p>
    <w:p w14:paraId="3157433A">
      <w:pPr>
        <w:widowControl/>
        <w:jc w:val="left"/>
        <w:rPr>
          <w:rFonts w:hint="eastAsia" w:ascii="宋体" w:hAnsi="宋体" w:eastAsia="宋体" w:cs="宋体"/>
          <w:sz w:val="24"/>
          <w:szCs w:val="20"/>
        </w:rPr>
      </w:pPr>
      <w:r>
        <w:rPr>
          <w:rFonts w:hint="eastAsia" w:ascii="宋体" w:hAnsi="宋体" w:eastAsia="宋体" w:cs="宋体"/>
          <w:sz w:val="24"/>
        </w:rPr>
        <w:br w:type="page"/>
      </w:r>
    </w:p>
    <w:p w14:paraId="4EC72F40">
      <w:pPr>
        <w:spacing w:line="360" w:lineRule="auto"/>
        <w:jc w:val="left"/>
        <w:outlineLvl w:val="0"/>
        <w:rPr>
          <w:rFonts w:hint="eastAsia" w:ascii="宋体" w:hAnsi="宋体" w:eastAsia="宋体" w:cs="宋体"/>
          <w:b/>
          <w:sz w:val="36"/>
          <w:szCs w:val="36"/>
        </w:rPr>
      </w:pPr>
      <w:r>
        <w:rPr>
          <w:rFonts w:hint="eastAsia" w:ascii="宋体" w:hAnsi="宋体" w:eastAsia="宋体" w:cs="宋体"/>
          <w:b/>
          <w:sz w:val="36"/>
          <w:szCs w:val="36"/>
        </w:rPr>
        <w:t>1-2 投标人资格声明书（实质性格式）</w:t>
      </w:r>
    </w:p>
    <w:p w14:paraId="2BED9D1F">
      <w:pPr>
        <w:bidi w:val="0"/>
        <w:spacing w:line="360" w:lineRule="auto"/>
        <w:jc w:val="center"/>
        <w:rPr>
          <w:rFonts w:hint="eastAsia" w:ascii="宋体" w:hAnsi="宋体" w:eastAsia="宋体" w:cs="宋体"/>
          <w:b/>
          <w:szCs w:val="36"/>
        </w:rPr>
      </w:pPr>
      <w:r>
        <w:rPr>
          <w:rFonts w:hint="eastAsia" w:ascii="宋体" w:hAnsi="宋体" w:eastAsia="宋体" w:cs="宋体"/>
          <w:sz w:val="28"/>
          <w:szCs w:val="28"/>
          <w:shd w:val="clear"/>
        </w:rPr>
        <w:t>投标人资格声明书</w:t>
      </w:r>
    </w:p>
    <w:p w14:paraId="28DF07C8">
      <w:pPr>
        <w:tabs>
          <w:tab w:val="left" w:pos="5580"/>
        </w:tabs>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采购人或采购代理机构</w:t>
      </w:r>
    </w:p>
    <w:p w14:paraId="73CE095E">
      <w:pPr>
        <w:spacing w:line="360" w:lineRule="auto"/>
        <w:ind w:firstLine="480" w:firstLineChars="200"/>
        <w:rPr>
          <w:rFonts w:hint="eastAsia" w:ascii="宋体" w:hAnsi="宋体" w:eastAsia="宋体" w:cs="宋体"/>
          <w:sz w:val="24"/>
        </w:rPr>
      </w:pPr>
      <w:r>
        <w:rPr>
          <w:rFonts w:hint="eastAsia" w:ascii="宋体" w:hAnsi="宋体" w:eastAsia="宋体" w:cs="宋体"/>
          <w:sz w:val="24"/>
        </w:rPr>
        <w:t>在参与本次项目投标中，我单位承诺：</w:t>
      </w:r>
    </w:p>
    <w:p w14:paraId="7A93D831">
      <w:pPr>
        <w:numPr>
          <w:ilvl w:val="0"/>
          <w:numId w:val="16"/>
        </w:numPr>
        <w:spacing w:line="360" w:lineRule="auto"/>
        <w:ind w:left="1134"/>
        <w:rPr>
          <w:rFonts w:hint="eastAsia" w:ascii="宋体" w:hAnsi="宋体" w:eastAsia="宋体" w:cs="宋体"/>
          <w:sz w:val="24"/>
          <w:szCs w:val="22"/>
        </w:rPr>
      </w:pPr>
      <w:r>
        <w:rPr>
          <w:rFonts w:hint="eastAsia" w:ascii="宋体" w:hAnsi="宋体" w:eastAsia="宋体" w:cs="宋体"/>
          <w:sz w:val="24"/>
          <w:szCs w:val="22"/>
        </w:rPr>
        <w:t>具有良好的商业信誉和健全的财务会计制度；</w:t>
      </w:r>
    </w:p>
    <w:p w14:paraId="1FCF80D5">
      <w:pPr>
        <w:numPr>
          <w:ilvl w:val="0"/>
          <w:numId w:val="16"/>
        </w:numPr>
        <w:spacing w:line="360" w:lineRule="auto"/>
        <w:ind w:left="1134"/>
        <w:rPr>
          <w:rFonts w:hint="eastAsia" w:ascii="宋体" w:hAnsi="宋体" w:eastAsia="宋体" w:cs="宋体"/>
          <w:sz w:val="24"/>
          <w:szCs w:val="22"/>
        </w:rPr>
      </w:pPr>
      <w:r>
        <w:rPr>
          <w:rFonts w:hint="eastAsia" w:ascii="宋体" w:hAnsi="宋体" w:eastAsia="宋体" w:cs="宋体"/>
          <w:sz w:val="24"/>
          <w:szCs w:val="22"/>
        </w:rPr>
        <w:t>具有履行合同所必需的设备和专业技术能力；</w:t>
      </w:r>
    </w:p>
    <w:p w14:paraId="429AEF61">
      <w:pPr>
        <w:numPr>
          <w:ilvl w:val="0"/>
          <w:numId w:val="16"/>
        </w:numPr>
        <w:spacing w:line="360" w:lineRule="auto"/>
        <w:ind w:left="1134"/>
        <w:rPr>
          <w:rFonts w:hint="eastAsia" w:ascii="宋体" w:hAnsi="宋体" w:eastAsia="宋体" w:cs="宋体"/>
          <w:sz w:val="24"/>
          <w:szCs w:val="22"/>
        </w:rPr>
      </w:pPr>
      <w:r>
        <w:rPr>
          <w:rFonts w:hint="eastAsia" w:ascii="宋体" w:hAnsi="宋体" w:eastAsia="宋体" w:cs="宋体"/>
          <w:sz w:val="24"/>
          <w:szCs w:val="22"/>
        </w:rPr>
        <w:t>有依法缴纳税收和社会保障资金的良好记录；</w:t>
      </w:r>
    </w:p>
    <w:p w14:paraId="1408F1F7">
      <w:pPr>
        <w:numPr>
          <w:ilvl w:val="0"/>
          <w:numId w:val="16"/>
        </w:numPr>
        <w:spacing w:line="360" w:lineRule="auto"/>
        <w:ind w:left="1134"/>
        <w:rPr>
          <w:rFonts w:hint="eastAsia" w:ascii="宋体" w:hAnsi="宋体" w:eastAsia="宋体" w:cs="宋体"/>
          <w:sz w:val="24"/>
          <w:szCs w:val="22"/>
        </w:rPr>
      </w:pPr>
      <w:r>
        <w:rPr>
          <w:rFonts w:hint="eastAsia" w:ascii="宋体" w:hAnsi="宋体" w:eastAsia="宋体" w:cs="宋体"/>
          <w:sz w:val="24"/>
          <w:szCs w:val="22"/>
        </w:rPr>
        <w:t>参加政府采购活动前三年内，在经营活动中没有重大违法记录（重大违法记 录指因违法经营受到刑事处罚或者责令停产停业、吊销许可证或者执照、较 大数额罚款等行政处罚，不包括因违法经营被禁止在一定期限内参加政府采 购活动，但期限已经届满的情形）；</w:t>
      </w:r>
    </w:p>
    <w:p w14:paraId="14A5A8E3">
      <w:pPr>
        <w:numPr>
          <w:ilvl w:val="0"/>
          <w:numId w:val="16"/>
        </w:numPr>
        <w:spacing w:line="360" w:lineRule="auto"/>
        <w:ind w:left="1134"/>
        <w:rPr>
          <w:rFonts w:hint="eastAsia" w:ascii="宋体" w:hAnsi="宋体" w:eastAsia="宋体" w:cs="宋体"/>
          <w:sz w:val="24"/>
          <w:szCs w:val="22"/>
        </w:rPr>
      </w:pPr>
      <w:r>
        <w:rPr>
          <w:rFonts w:hint="eastAsia" w:ascii="宋体" w:hAnsi="宋体" w:eastAsia="宋体" w:cs="宋体"/>
          <w:sz w:val="24"/>
          <w:szCs w:val="22"/>
        </w:rPr>
        <w:t>我单位不属于政府采购法律、行政法规规定的公益一类事业单位、或使用事业编制且由财政拨款保障的群团组织；</w:t>
      </w:r>
    </w:p>
    <w:p w14:paraId="3054A02C">
      <w:pPr>
        <w:numPr>
          <w:ilvl w:val="0"/>
          <w:numId w:val="16"/>
        </w:numPr>
        <w:spacing w:line="360" w:lineRule="auto"/>
        <w:ind w:left="1134"/>
        <w:rPr>
          <w:rFonts w:hint="eastAsia" w:ascii="宋体" w:hAnsi="宋体" w:eastAsia="宋体" w:cs="宋体"/>
          <w:sz w:val="24"/>
          <w:szCs w:val="22"/>
        </w:rPr>
      </w:pPr>
      <w:r>
        <w:rPr>
          <w:rFonts w:hint="eastAsia" w:ascii="宋体" w:hAnsi="宋体" w:eastAsia="宋体" w:cs="宋体"/>
          <w:sz w:val="24"/>
          <w:szCs w:val="22"/>
        </w:rPr>
        <w:t>我单位不存在为采购项目提供整体设计、规范编制或者项目管理、监理、检 测等服务后，再参加该采购项目的其他采购活动的情形（单一来源采购项目 除外）；</w:t>
      </w:r>
    </w:p>
    <w:p w14:paraId="76776292">
      <w:pPr>
        <w:numPr>
          <w:ilvl w:val="0"/>
          <w:numId w:val="16"/>
        </w:numPr>
        <w:spacing w:line="360" w:lineRule="auto"/>
        <w:ind w:left="1134"/>
        <w:rPr>
          <w:rFonts w:hint="eastAsia" w:ascii="宋体" w:hAnsi="宋体" w:eastAsia="宋体" w:cs="宋体"/>
          <w:sz w:val="24"/>
          <w:szCs w:val="22"/>
        </w:rPr>
      </w:pPr>
      <w:r>
        <w:rPr>
          <w:rFonts w:hint="eastAsia" w:ascii="宋体" w:hAnsi="宋体" w:eastAsia="宋体" w:cs="宋体"/>
          <w:sz w:val="24"/>
          <w:szCs w:val="22"/>
        </w:rPr>
        <w:t>与我单位存在“单位负责人为同一人或者存在直接控股、管理关系”的其他法人单位信息如下（如有，不论其是否参加同一合同项下的政府采购活动均须填写）：</w:t>
      </w:r>
    </w:p>
    <w:tbl>
      <w:tblPr>
        <w:tblStyle w:val="46"/>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69B3A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524FD50">
            <w:pPr>
              <w:jc w:val="center"/>
              <w:rPr>
                <w:rFonts w:hint="eastAsia" w:ascii="宋体" w:hAnsi="宋体" w:eastAsia="宋体" w:cs="宋体"/>
                <w:sz w:val="24"/>
              </w:rPr>
            </w:pPr>
            <w:r>
              <w:rPr>
                <w:rFonts w:hint="eastAsia" w:ascii="宋体" w:hAnsi="宋体" w:eastAsia="宋体" w:cs="宋体"/>
                <w:sz w:val="24"/>
              </w:rPr>
              <w:t>序号</w:t>
            </w:r>
          </w:p>
        </w:tc>
        <w:tc>
          <w:tcPr>
            <w:tcW w:w="4574" w:type="dxa"/>
            <w:vAlign w:val="center"/>
          </w:tcPr>
          <w:p w14:paraId="5A656AB6">
            <w:pPr>
              <w:jc w:val="center"/>
              <w:rPr>
                <w:rFonts w:hint="eastAsia" w:ascii="宋体" w:hAnsi="宋体" w:eastAsia="宋体" w:cs="宋体"/>
                <w:sz w:val="24"/>
              </w:rPr>
            </w:pPr>
            <w:r>
              <w:rPr>
                <w:rFonts w:hint="eastAsia" w:ascii="宋体" w:hAnsi="宋体" w:eastAsia="宋体" w:cs="宋体"/>
                <w:sz w:val="24"/>
              </w:rPr>
              <w:t>单位名称</w:t>
            </w:r>
          </w:p>
        </w:tc>
        <w:tc>
          <w:tcPr>
            <w:tcW w:w="2976" w:type="dxa"/>
            <w:vAlign w:val="center"/>
          </w:tcPr>
          <w:p w14:paraId="7ECC9CFA">
            <w:pPr>
              <w:jc w:val="center"/>
              <w:rPr>
                <w:rFonts w:hint="eastAsia" w:ascii="宋体" w:hAnsi="宋体" w:eastAsia="宋体" w:cs="宋体"/>
                <w:sz w:val="24"/>
              </w:rPr>
            </w:pPr>
            <w:r>
              <w:rPr>
                <w:rFonts w:hint="eastAsia" w:ascii="宋体" w:hAnsi="宋体" w:eastAsia="宋体" w:cs="宋体"/>
                <w:sz w:val="24"/>
              </w:rPr>
              <w:t>相互关系</w:t>
            </w:r>
          </w:p>
        </w:tc>
      </w:tr>
      <w:tr w14:paraId="0D966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A0FA268">
            <w:pPr>
              <w:jc w:val="center"/>
              <w:rPr>
                <w:rFonts w:hint="eastAsia" w:ascii="宋体" w:hAnsi="宋体" w:eastAsia="宋体" w:cs="宋体"/>
                <w:sz w:val="24"/>
              </w:rPr>
            </w:pPr>
            <w:r>
              <w:rPr>
                <w:rFonts w:hint="eastAsia" w:ascii="宋体" w:hAnsi="宋体" w:eastAsia="宋体" w:cs="宋体"/>
                <w:sz w:val="24"/>
              </w:rPr>
              <w:t>1</w:t>
            </w:r>
          </w:p>
        </w:tc>
        <w:tc>
          <w:tcPr>
            <w:tcW w:w="4574" w:type="dxa"/>
            <w:vAlign w:val="center"/>
          </w:tcPr>
          <w:p w14:paraId="01FDABBD">
            <w:pPr>
              <w:jc w:val="center"/>
              <w:rPr>
                <w:rFonts w:hint="eastAsia" w:ascii="宋体" w:hAnsi="宋体" w:eastAsia="宋体" w:cs="宋体"/>
                <w:sz w:val="24"/>
              </w:rPr>
            </w:pPr>
          </w:p>
        </w:tc>
        <w:tc>
          <w:tcPr>
            <w:tcW w:w="2976" w:type="dxa"/>
            <w:vAlign w:val="center"/>
          </w:tcPr>
          <w:p w14:paraId="032E671A">
            <w:pPr>
              <w:jc w:val="center"/>
              <w:rPr>
                <w:rFonts w:hint="eastAsia" w:ascii="宋体" w:hAnsi="宋体" w:eastAsia="宋体" w:cs="宋体"/>
                <w:sz w:val="24"/>
              </w:rPr>
            </w:pPr>
          </w:p>
        </w:tc>
      </w:tr>
      <w:tr w14:paraId="29CCA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3BADEC3">
            <w:pPr>
              <w:jc w:val="center"/>
              <w:rPr>
                <w:rFonts w:hint="eastAsia" w:ascii="宋体" w:hAnsi="宋体" w:eastAsia="宋体" w:cs="宋体"/>
                <w:sz w:val="24"/>
              </w:rPr>
            </w:pPr>
            <w:r>
              <w:rPr>
                <w:rFonts w:hint="eastAsia" w:ascii="宋体" w:hAnsi="宋体" w:eastAsia="宋体" w:cs="宋体"/>
                <w:sz w:val="24"/>
              </w:rPr>
              <w:t>2</w:t>
            </w:r>
          </w:p>
        </w:tc>
        <w:tc>
          <w:tcPr>
            <w:tcW w:w="4574" w:type="dxa"/>
            <w:vAlign w:val="center"/>
          </w:tcPr>
          <w:p w14:paraId="56EB5D4F">
            <w:pPr>
              <w:jc w:val="center"/>
              <w:rPr>
                <w:rFonts w:hint="eastAsia" w:ascii="宋体" w:hAnsi="宋体" w:eastAsia="宋体" w:cs="宋体"/>
                <w:sz w:val="24"/>
              </w:rPr>
            </w:pPr>
          </w:p>
        </w:tc>
        <w:tc>
          <w:tcPr>
            <w:tcW w:w="2976" w:type="dxa"/>
            <w:vAlign w:val="center"/>
          </w:tcPr>
          <w:p w14:paraId="23A1A59F">
            <w:pPr>
              <w:jc w:val="center"/>
              <w:rPr>
                <w:rFonts w:hint="eastAsia" w:ascii="宋体" w:hAnsi="宋体" w:eastAsia="宋体" w:cs="宋体"/>
                <w:sz w:val="24"/>
              </w:rPr>
            </w:pPr>
          </w:p>
        </w:tc>
      </w:tr>
      <w:tr w14:paraId="3E33B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3040C33">
            <w:pPr>
              <w:jc w:val="center"/>
              <w:rPr>
                <w:rFonts w:hint="eastAsia" w:ascii="宋体" w:hAnsi="宋体" w:eastAsia="宋体" w:cs="宋体"/>
                <w:sz w:val="24"/>
              </w:rPr>
            </w:pPr>
            <w:r>
              <w:rPr>
                <w:rFonts w:hint="eastAsia" w:ascii="宋体" w:hAnsi="宋体" w:eastAsia="宋体" w:cs="宋体"/>
                <w:sz w:val="24"/>
              </w:rPr>
              <w:t>…</w:t>
            </w:r>
          </w:p>
        </w:tc>
        <w:tc>
          <w:tcPr>
            <w:tcW w:w="4574" w:type="dxa"/>
            <w:vAlign w:val="center"/>
          </w:tcPr>
          <w:p w14:paraId="283559D2">
            <w:pPr>
              <w:jc w:val="center"/>
              <w:rPr>
                <w:rFonts w:hint="eastAsia" w:ascii="宋体" w:hAnsi="宋体" w:eastAsia="宋体" w:cs="宋体"/>
                <w:sz w:val="24"/>
              </w:rPr>
            </w:pPr>
          </w:p>
        </w:tc>
        <w:tc>
          <w:tcPr>
            <w:tcW w:w="2976" w:type="dxa"/>
            <w:vAlign w:val="center"/>
          </w:tcPr>
          <w:p w14:paraId="2BD3BF39">
            <w:pPr>
              <w:jc w:val="center"/>
              <w:rPr>
                <w:rFonts w:hint="eastAsia" w:ascii="宋体" w:hAnsi="宋体" w:eastAsia="宋体" w:cs="宋体"/>
                <w:sz w:val="24"/>
              </w:rPr>
            </w:pPr>
          </w:p>
        </w:tc>
      </w:tr>
    </w:tbl>
    <w:p w14:paraId="301BF9CB">
      <w:pPr>
        <w:rPr>
          <w:rFonts w:hint="eastAsia" w:ascii="宋体" w:hAnsi="宋体" w:eastAsia="宋体" w:cs="宋体"/>
        </w:rPr>
      </w:pPr>
    </w:p>
    <w:p w14:paraId="623713D0">
      <w:pPr>
        <w:ind w:firstLine="480" w:firstLineChars="200"/>
        <w:rPr>
          <w:rFonts w:hint="eastAsia" w:ascii="宋体" w:hAnsi="宋体" w:eastAsia="宋体" w:cs="宋体"/>
          <w:sz w:val="24"/>
        </w:rPr>
      </w:pPr>
      <w:r>
        <w:rPr>
          <w:rFonts w:hint="eastAsia" w:ascii="宋体" w:hAnsi="宋体" w:eastAsia="宋体" w:cs="宋体"/>
          <w:sz w:val="24"/>
        </w:rPr>
        <w:t>上述声明真实有效，否则我方负全部责任。</w:t>
      </w:r>
    </w:p>
    <w:p w14:paraId="13A6610C">
      <w:pPr>
        <w:ind w:firstLine="480" w:firstLineChars="200"/>
        <w:rPr>
          <w:rFonts w:hint="eastAsia" w:ascii="宋体" w:hAnsi="宋体" w:eastAsia="宋体" w:cs="宋体"/>
          <w:sz w:val="24"/>
        </w:rPr>
      </w:pPr>
    </w:p>
    <w:p w14:paraId="2CF786C6">
      <w:pPr>
        <w:autoSpaceDE w:val="0"/>
        <w:autoSpaceDN w:val="0"/>
        <w:adjustRightInd w:val="0"/>
        <w:snapToGrid w:val="0"/>
        <w:spacing w:before="25" w:after="25" w:line="360" w:lineRule="auto"/>
        <w:jc w:val="right"/>
        <w:rPr>
          <w:rFonts w:hint="eastAsia" w:ascii="宋体" w:hAnsi="宋体" w:eastAsia="宋体" w:cs="宋体"/>
          <w:sz w:val="24"/>
          <w:lang w:val="zh-CN"/>
        </w:rPr>
      </w:pPr>
      <w:r>
        <w:rPr>
          <w:rFonts w:hint="eastAsia" w:ascii="宋体" w:hAnsi="宋体" w:eastAsia="宋体" w:cs="宋体"/>
          <w:sz w:val="24"/>
        </w:rPr>
        <w:t>投标人名称（加盖公章）</w:t>
      </w:r>
      <w:r>
        <w:rPr>
          <w:rFonts w:hint="eastAsia" w:ascii="宋体" w:hAnsi="宋体" w:eastAsia="宋体" w:cs="宋体"/>
          <w:sz w:val="24"/>
          <w:lang w:val="zh-CN"/>
        </w:rPr>
        <w:t>：____________</w:t>
      </w:r>
    </w:p>
    <w:p w14:paraId="2061A90D">
      <w:pPr>
        <w:spacing w:line="360" w:lineRule="auto"/>
        <w:ind w:right="360" w:firstLine="480"/>
        <w:jc w:val="right"/>
        <w:rPr>
          <w:rFonts w:hint="eastAsia" w:ascii="宋体" w:hAnsi="宋体" w:eastAsia="宋体" w:cs="宋体"/>
          <w:sz w:val="24"/>
        </w:rPr>
      </w:pPr>
      <w:r>
        <w:rPr>
          <w:rFonts w:hint="eastAsia" w:ascii="宋体" w:hAnsi="宋体" w:eastAsia="宋体" w:cs="宋体"/>
          <w:sz w:val="24"/>
          <w:szCs w:val="20"/>
        </w:rPr>
        <w:t xml:space="preserve">日期：_____年______月______日   </w:t>
      </w:r>
    </w:p>
    <w:p w14:paraId="6EADC363">
      <w:pPr>
        <w:spacing w:line="360" w:lineRule="auto"/>
        <w:rPr>
          <w:rFonts w:hint="eastAsia" w:ascii="宋体" w:hAnsi="宋体" w:eastAsia="宋体" w:cs="宋体"/>
          <w:sz w:val="24"/>
        </w:rPr>
      </w:pPr>
      <w:r>
        <w:rPr>
          <w:rFonts w:hint="eastAsia" w:ascii="宋体" w:hAnsi="宋体" w:eastAsia="宋体" w:cs="宋体"/>
          <w:sz w:val="24"/>
        </w:rPr>
        <w:t>说明：供应商承诺不实的，依据《政府采购法》第七十七条“提供虚假材料谋取中标、成交的”有关规定予以处理。</w:t>
      </w:r>
    </w:p>
    <w:p w14:paraId="568DDCD6">
      <w:pPr>
        <w:tabs>
          <w:tab w:val="left" w:pos="5580"/>
        </w:tabs>
        <w:spacing w:line="360" w:lineRule="auto"/>
        <w:rPr>
          <w:rFonts w:hint="eastAsia" w:ascii="宋体" w:hAnsi="宋体" w:eastAsia="宋体" w:cs="宋体"/>
          <w:sz w:val="24"/>
        </w:rPr>
        <w:sectPr>
          <w:headerReference r:id="rId15" w:type="default"/>
          <w:footerReference r:id="rId16" w:type="default"/>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34044B78">
      <w:pPr>
        <w:spacing w:line="360" w:lineRule="auto"/>
        <w:outlineLvl w:val="0"/>
        <w:rPr>
          <w:rFonts w:hint="eastAsia" w:ascii="宋体" w:hAnsi="宋体" w:eastAsia="宋体" w:cs="宋体"/>
          <w:sz w:val="24"/>
          <w:szCs w:val="20"/>
        </w:rPr>
      </w:pPr>
      <w:r>
        <w:rPr>
          <w:rFonts w:hint="eastAsia" w:ascii="宋体" w:hAnsi="宋体" w:eastAsia="宋体" w:cs="宋体"/>
          <w:sz w:val="24"/>
          <w:szCs w:val="20"/>
        </w:rPr>
        <w:t>2 落实政府采购政策需满足的资格要求（如有）</w:t>
      </w:r>
    </w:p>
    <w:p w14:paraId="22AAA2DC">
      <w:pPr>
        <w:spacing w:line="360" w:lineRule="auto"/>
        <w:outlineLvl w:val="1"/>
        <w:rPr>
          <w:rFonts w:hint="eastAsia" w:ascii="宋体" w:hAnsi="宋体" w:eastAsia="宋体" w:cs="宋体"/>
          <w:sz w:val="24"/>
          <w:szCs w:val="20"/>
        </w:rPr>
      </w:pPr>
      <w:r>
        <w:rPr>
          <w:rFonts w:hint="eastAsia" w:ascii="宋体" w:hAnsi="宋体" w:eastAsia="宋体" w:cs="宋体"/>
          <w:sz w:val="24"/>
          <w:szCs w:val="20"/>
        </w:rPr>
        <w:t>2-1中小企业声明函</w:t>
      </w:r>
    </w:p>
    <w:p w14:paraId="0B569FE7">
      <w:pPr>
        <w:tabs>
          <w:tab w:val="left" w:pos="5580"/>
        </w:tabs>
        <w:spacing w:line="360" w:lineRule="auto"/>
        <w:rPr>
          <w:rFonts w:hint="eastAsia" w:ascii="宋体" w:hAnsi="宋体" w:eastAsia="宋体" w:cs="宋体"/>
          <w:sz w:val="24"/>
        </w:rPr>
      </w:pPr>
    </w:p>
    <w:p w14:paraId="5F0E7BCF">
      <w:pPr>
        <w:tabs>
          <w:tab w:val="left" w:pos="5580"/>
        </w:tabs>
        <w:spacing w:line="360" w:lineRule="auto"/>
        <w:rPr>
          <w:rFonts w:hint="eastAsia" w:ascii="宋体" w:hAnsi="宋体" w:eastAsia="宋体" w:cs="宋体"/>
          <w:sz w:val="24"/>
        </w:rPr>
      </w:pPr>
      <w:r>
        <w:rPr>
          <w:rFonts w:hint="eastAsia" w:ascii="宋体" w:hAnsi="宋体" w:eastAsia="宋体" w:cs="宋体"/>
          <w:sz w:val="24"/>
        </w:rPr>
        <w:t>说明：</w:t>
      </w:r>
    </w:p>
    <w:p w14:paraId="57CDCD29">
      <w:pPr>
        <w:tabs>
          <w:tab w:val="left" w:pos="5580"/>
        </w:tabs>
        <w:spacing w:line="360" w:lineRule="auto"/>
        <w:rPr>
          <w:rFonts w:hint="eastAsia" w:ascii="宋体" w:hAnsi="宋体" w:eastAsia="宋体" w:cs="宋体"/>
          <w:sz w:val="24"/>
        </w:rPr>
      </w:pPr>
      <w:r>
        <w:rPr>
          <w:rFonts w:hint="eastAsia" w:ascii="宋体" w:hAnsi="宋体" w:eastAsia="宋体" w:cs="宋体"/>
          <w:sz w:val="24"/>
        </w:rPr>
        <w:t>（1）如本项目（包）不专门面向中小企业预留采购份额，资格证明文件部分无需提供《中小企业声明函》。</w:t>
      </w:r>
    </w:p>
    <w:p w14:paraId="7303353A">
      <w:pPr>
        <w:tabs>
          <w:tab w:val="left" w:pos="5580"/>
        </w:tabs>
        <w:spacing w:line="360" w:lineRule="auto"/>
        <w:rPr>
          <w:rFonts w:hint="eastAsia" w:ascii="宋体" w:hAnsi="宋体" w:eastAsia="宋体" w:cs="宋体"/>
          <w:sz w:val="24"/>
        </w:rPr>
      </w:pPr>
      <w:r>
        <w:rPr>
          <w:rFonts w:hint="eastAsia" w:ascii="宋体" w:hAnsi="宋体" w:eastAsia="宋体" w:cs="宋体"/>
          <w:sz w:val="24"/>
        </w:rPr>
        <w:t>（2）如本项目（包）专门面向中小/小微企业采购，须提供《中小企业声明函》</w:t>
      </w:r>
      <w:r>
        <w:rPr>
          <w:rFonts w:hint="eastAsia" w:ascii="宋体" w:hAnsi="宋体" w:eastAsia="宋体" w:cs="宋体"/>
          <w:sz w:val="24"/>
          <w:szCs w:val="20"/>
        </w:rPr>
        <w:t>（实质性格式）</w:t>
      </w:r>
      <w:r>
        <w:rPr>
          <w:rFonts w:hint="eastAsia" w:ascii="宋体" w:hAnsi="宋体" w:eastAsia="宋体" w:cs="宋体"/>
          <w:sz w:val="24"/>
        </w:rPr>
        <w:t>。</w:t>
      </w:r>
    </w:p>
    <w:p w14:paraId="7BA6F1CA">
      <w:pPr>
        <w:tabs>
          <w:tab w:val="left" w:pos="5580"/>
        </w:tabs>
        <w:spacing w:line="360" w:lineRule="auto"/>
        <w:rPr>
          <w:rFonts w:hint="eastAsia" w:ascii="宋体" w:hAnsi="宋体" w:eastAsia="宋体" w:cs="宋体"/>
          <w:sz w:val="24"/>
        </w:rPr>
      </w:pPr>
      <w:r>
        <w:rPr>
          <w:rFonts w:hint="eastAsia" w:ascii="宋体" w:hAnsi="宋体" w:eastAsia="宋体" w:cs="宋体"/>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180C4FE1">
      <w:pPr>
        <w:tabs>
          <w:tab w:val="left" w:pos="5580"/>
        </w:tabs>
        <w:spacing w:line="360" w:lineRule="auto"/>
        <w:rPr>
          <w:rFonts w:hint="eastAsia" w:ascii="宋体" w:hAnsi="宋体" w:eastAsia="宋体" w:cs="宋体"/>
          <w:sz w:val="24"/>
        </w:rPr>
      </w:pPr>
      <w:r>
        <w:rPr>
          <w:rFonts w:hint="eastAsia" w:ascii="宋体" w:hAnsi="宋体" w:eastAsia="宋体" w:cs="宋体"/>
          <w:sz w:val="24"/>
        </w:rPr>
        <w:t>（4）其他</w:t>
      </w:r>
    </w:p>
    <w:p w14:paraId="3EFB1A45">
      <w:pPr>
        <w:tabs>
          <w:tab w:val="left" w:pos="5580"/>
        </w:tabs>
        <w:spacing w:line="360" w:lineRule="auto"/>
        <w:rPr>
          <w:rFonts w:hint="eastAsia" w:ascii="宋体" w:hAnsi="宋体" w:eastAsia="宋体" w:cs="宋体"/>
          <w:sz w:val="24"/>
        </w:rPr>
      </w:pPr>
      <w:r>
        <w:rPr>
          <w:rFonts w:hint="eastAsia" w:ascii="宋体" w:hAnsi="宋体" w:eastAsia="宋体" w:cs="宋体"/>
          <w:sz w:val="24"/>
        </w:rPr>
        <w:t>1）中小企业参加政府采购活动，应当出具此格式文件。《中小企业声明函》由参加政府采购活动的投标人出具。联合体投标的，《中小企业声明函》由牵头人出具。</w:t>
      </w:r>
    </w:p>
    <w:p w14:paraId="0BB1E9FC">
      <w:pPr>
        <w:tabs>
          <w:tab w:val="left" w:pos="5580"/>
        </w:tabs>
        <w:spacing w:line="360" w:lineRule="auto"/>
        <w:rPr>
          <w:rFonts w:hint="eastAsia" w:ascii="宋体" w:hAnsi="宋体" w:eastAsia="宋体" w:cs="宋体"/>
          <w:sz w:val="24"/>
        </w:rPr>
      </w:pPr>
      <w:r>
        <w:rPr>
          <w:rFonts w:hint="eastAsia" w:ascii="宋体" w:hAnsi="宋体" w:eastAsia="宋体" w:cs="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2D5645D">
      <w:pPr>
        <w:tabs>
          <w:tab w:val="left" w:pos="5580"/>
        </w:tabs>
        <w:spacing w:line="360" w:lineRule="auto"/>
        <w:rPr>
          <w:rFonts w:hint="eastAsia" w:ascii="宋体" w:hAnsi="宋体" w:eastAsia="宋体" w:cs="宋体"/>
          <w:sz w:val="24"/>
        </w:rPr>
      </w:pPr>
      <w:r>
        <w:rPr>
          <w:rFonts w:hint="eastAsia" w:ascii="宋体" w:hAnsi="宋体" w:eastAsia="宋体" w:cs="宋体"/>
          <w:sz w:val="24"/>
        </w:rPr>
        <w:t>3）对于多标的的采购项目，投标人应充分、准确地了解所投产品制造企业信息。对相关情况了解不清楚的，不建议填报本声明函。</w:t>
      </w:r>
    </w:p>
    <w:p w14:paraId="030CE264">
      <w:pPr>
        <w:tabs>
          <w:tab w:val="left" w:pos="5580"/>
        </w:tabs>
        <w:spacing w:line="360" w:lineRule="auto"/>
        <w:rPr>
          <w:rFonts w:hint="eastAsia" w:ascii="宋体" w:hAnsi="宋体" w:eastAsia="宋体" w:cs="宋体"/>
          <w:sz w:val="24"/>
        </w:rPr>
      </w:pPr>
      <w:r>
        <w:rPr>
          <w:rFonts w:hint="eastAsia" w:ascii="宋体" w:hAnsi="宋体" w:eastAsia="宋体" w:cs="宋体"/>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FF97608">
      <w:pPr>
        <w:widowControl/>
        <w:jc w:val="left"/>
        <w:rPr>
          <w:rFonts w:hint="eastAsia" w:ascii="宋体" w:hAnsi="宋体" w:eastAsia="宋体" w:cs="宋体"/>
          <w:sz w:val="24"/>
        </w:rPr>
      </w:pPr>
      <w:r>
        <w:rPr>
          <w:rFonts w:hint="eastAsia" w:ascii="宋体" w:hAnsi="宋体" w:eastAsia="宋体" w:cs="宋体"/>
          <w:sz w:val="24"/>
        </w:rPr>
        <w:br w:type="page"/>
      </w:r>
    </w:p>
    <w:p w14:paraId="60452C92">
      <w:pPr>
        <w:spacing w:before="240" w:beforeLines="100" w:after="240" w:afterLines="100" w:line="360" w:lineRule="auto"/>
        <w:jc w:val="center"/>
        <w:outlineLvl w:val="0"/>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中小企业声明函（工程、服务）格式</w:t>
      </w:r>
    </w:p>
    <w:p w14:paraId="181F6301">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FB3AC25">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1.</w:t>
      </w:r>
      <w:r>
        <w:rPr>
          <w:rFonts w:hint="eastAsia" w:ascii="宋体" w:hAnsi="宋体" w:eastAsia="宋体" w:cs="宋体"/>
          <w:spacing w:val="6"/>
          <w:sz w:val="24"/>
          <w:u w:val="single"/>
        </w:rPr>
        <w:t>（标的名称）</w:t>
      </w:r>
      <w:r>
        <w:rPr>
          <w:rFonts w:hint="eastAsia" w:ascii="宋体" w:hAnsi="宋体" w:eastAsia="宋体" w:cs="宋体"/>
          <w:spacing w:val="6"/>
          <w:sz w:val="24"/>
        </w:rPr>
        <w:t>，属于</w:t>
      </w:r>
      <w:r>
        <w:rPr>
          <w:rFonts w:hint="eastAsia" w:ascii="宋体" w:hAnsi="宋体" w:eastAsia="宋体" w:cs="宋体"/>
          <w:spacing w:val="6"/>
          <w:sz w:val="24"/>
          <w:u w:val="single"/>
        </w:rPr>
        <w:t>（采购文件中明确的所属行业）</w:t>
      </w:r>
      <w:r>
        <w:rPr>
          <w:rFonts w:hint="eastAsia" w:ascii="宋体" w:hAnsi="宋体" w:eastAsia="宋体" w:cs="宋体"/>
          <w:spacing w:val="6"/>
          <w:sz w:val="24"/>
        </w:rPr>
        <w:t>行业；承建（承接）企业为</w:t>
      </w:r>
      <w:r>
        <w:rPr>
          <w:rFonts w:hint="eastAsia" w:ascii="宋体" w:hAnsi="宋体" w:eastAsia="宋体" w:cs="宋体"/>
          <w:spacing w:val="6"/>
          <w:sz w:val="24"/>
          <w:u w:val="single"/>
        </w:rPr>
        <w:t>（企业名称）</w:t>
      </w:r>
      <w:r>
        <w:rPr>
          <w:rFonts w:hint="eastAsia" w:ascii="宋体" w:hAnsi="宋体" w:eastAsia="宋体" w:cs="宋体"/>
          <w:spacing w:val="6"/>
          <w:sz w:val="24"/>
        </w:rPr>
        <w:t>，从业人员______人，营业收入为______万元，资产总额为______万元</w:t>
      </w:r>
      <w:r>
        <w:rPr>
          <w:rFonts w:hint="eastAsia" w:ascii="宋体" w:hAnsi="宋体" w:eastAsia="宋体" w:cs="宋体"/>
          <w:spacing w:val="6"/>
          <w:sz w:val="24"/>
          <w:vertAlign w:val="superscript"/>
        </w:rPr>
        <w:t>1</w:t>
      </w:r>
      <w:r>
        <w:rPr>
          <w:rFonts w:hint="eastAsia" w:ascii="宋体" w:hAnsi="宋体" w:eastAsia="宋体" w:cs="宋体"/>
          <w:spacing w:val="6"/>
          <w:sz w:val="24"/>
        </w:rPr>
        <w:t>，属于（中型企业、小型企业、微型企业）；</w:t>
      </w:r>
    </w:p>
    <w:p w14:paraId="2B9EDDDB">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2.</w:t>
      </w:r>
      <w:r>
        <w:rPr>
          <w:rFonts w:hint="eastAsia" w:ascii="宋体" w:hAnsi="宋体" w:eastAsia="宋体" w:cs="宋体"/>
          <w:spacing w:val="6"/>
          <w:sz w:val="24"/>
          <w:u w:val="single"/>
        </w:rPr>
        <w:t>（标的名称）</w:t>
      </w:r>
      <w:r>
        <w:rPr>
          <w:rFonts w:hint="eastAsia" w:ascii="宋体" w:hAnsi="宋体" w:eastAsia="宋体" w:cs="宋体"/>
          <w:spacing w:val="6"/>
          <w:sz w:val="24"/>
        </w:rPr>
        <w:t>，属于</w:t>
      </w:r>
      <w:r>
        <w:rPr>
          <w:rFonts w:hint="eastAsia" w:ascii="宋体" w:hAnsi="宋体" w:eastAsia="宋体" w:cs="宋体"/>
          <w:spacing w:val="6"/>
          <w:sz w:val="24"/>
          <w:u w:val="single"/>
        </w:rPr>
        <w:t>（采购文件中明确的所属行业）</w:t>
      </w:r>
      <w:r>
        <w:rPr>
          <w:rFonts w:hint="eastAsia" w:ascii="宋体" w:hAnsi="宋体" w:eastAsia="宋体" w:cs="宋体"/>
          <w:spacing w:val="6"/>
          <w:sz w:val="24"/>
        </w:rPr>
        <w:t>行业；承建（承接）企业为</w:t>
      </w:r>
      <w:r>
        <w:rPr>
          <w:rFonts w:hint="eastAsia" w:ascii="宋体" w:hAnsi="宋体" w:eastAsia="宋体" w:cs="宋体"/>
          <w:spacing w:val="6"/>
          <w:sz w:val="24"/>
          <w:u w:val="single"/>
        </w:rPr>
        <w:t>（企业名称）</w:t>
      </w:r>
      <w:r>
        <w:rPr>
          <w:rFonts w:hint="eastAsia" w:ascii="宋体" w:hAnsi="宋体" w:eastAsia="宋体" w:cs="宋体"/>
          <w:spacing w:val="6"/>
          <w:sz w:val="24"/>
        </w:rPr>
        <w:t>，从业人员______人，营业收入为______万元，资产总额为______万元，属于</w:t>
      </w:r>
      <w:r>
        <w:rPr>
          <w:rFonts w:hint="eastAsia" w:ascii="宋体" w:hAnsi="宋体" w:eastAsia="宋体" w:cs="宋体"/>
          <w:spacing w:val="6"/>
          <w:sz w:val="24"/>
          <w:u w:val="single"/>
        </w:rPr>
        <w:t>（中型企业、小型企业、微型企业）</w:t>
      </w:r>
      <w:r>
        <w:rPr>
          <w:rFonts w:hint="eastAsia" w:ascii="宋体" w:hAnsi="宋体" w:eastAsia="宋体" w:cs="宋体"/>
          <w:spacing w:val="6"/>
          <w:sz w:val="24"/>
        </w:rPr>
        <w:t>；</w:t>
      </w:r>
    </w:p>
    <w:p w14:paraId="54E471F8">
      <w:pPr>
        <w:spacing w:line="360" w:lineRule="auto"/>
        <w:ind w:firstLine="504"/>
        <w:rPr>
          <w:rFonts w:hint="eastAsia" w:ascii="宋体" w:hAnsi="宋体" w:eastAsia="宋体" w:cs="宋体"/>
          <w:spacing w:val="6"/>
          <w:sz w:val="24"/>
        </w:rPr>
      </w:pPr>
    </w:p>
    <w:p w14:paraId="73F2CAC9">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w:t>
      </w:r>
    </w:p>
    <w:p w14:paraId="7879076B">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以上企业，不属于大企业的分支机构，不存在控股股东为大企业的情形，也不存在与大企业的负责人为同一人的情形。</w:t>
      </w:r>
    </w:p>
    <w:p w14:paraId="6B806739">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本企业对上述声明内容的真实性负责。如有虚假，将依法承担相应责任。</w:t>
      </w:r>
    </w:p>
    <w:p w14:paraId="2927CAE0">
      <w:pPr>
        <w:spacing w:line="360" w:lineRule="auto"/>
        <w:ind w:right="360" w:firstLine="480"/>
        <w:jc w:val="right"/>
        <w:rPr>
          <w:rFonts w:hint="eastAsia" w:ascii="宋体" w:hAnsi="宋体" w:eastAsia="宋体" w:cs="宋体"/>
          <w:color w:val="000000"/>
          <w:sz w:val="24"/>
        </w:rPr>
      </w:pPr>
    </w:p>
    <w:p w14:paraId="114F321D">
      <w:pPr>
        <w:spacing w:line="360" w:lineRule="auto"/>
        <w:ind w:right="360" w:firstLine="480"/>
        <w:jc w:val="right"/>
        <w:rPr>
          <w:rFonts w:hint="eastAsia" w:ascii="宋体" w:hAnsi="宋体" w:eastAsia="宋体" w:cs="宋体"/>
          <w:color w:val="000000"/>
          <w:sz w:val="24"/>
        </w:rPr>
      </w:pPr>
      <w:r>
        <w:rPr>
          <w:rFonts w:hint="eastAsia" w:ascii="宋体" w:hAnsi="宋体" w:eastAsia="宋体" w:cs="宋体"/>
          <w:color w:val="000000"/>
          <w:sz w:val="24"/>
        </w:rPr>
        <w:t>企业名称（盖章）：________</w:t>
      </w:r>
    </w:p>
    <w:p w14:paraId="73EF4469">
      <w:pPr>
        <w:spacing w:line="360" w:lineRule="auto"/>
        <w:ind w:right="360" w:firstLine="480"/>
        <w:jc w:val="right"/>
        <w:rPr>
          <w:rFonts w:hint="eastAsia" w:ascii="宋体" w:hAnsi="宋体" w:eastAsia="宋体" w:cs="宋体"/>
          <w:color w:val="000000"/>
          <w:sz w:val="24"/>
        </w:rPr>
      </w:pPr>
      <w:r>
        <w:rPr>
          <w:rFonts w:hint="eastAsia" w:ascii="宋体" w:hAnsi="宋体" w:eastAsia="宋体" w:cs="宋体"/>
          <w:color w:val="000000"/>
          <w:sz w:val="24"/>
        </w:rPr>
        <w:t>日 期：________</w:t>
      </w:r>
    </w:p>
    <w:p w14:paraId="1BC78496">
      <w:pPr>
        <w:spacing w:line="360" w:lineRule="auto"/>
        <w:ind w:right="360" w:firstLine="480"/>
        <w:jc w:val="right"/>
        <w:rPr>
          <w:rFonts w:hint="eastAsia" w:ascii="宋体" w:hAnsi="宋体" w:eastAsia="宋体" w:cs="宋体"/>
          <w:sz w:val="24"/>
        </w:rPr>
      </w:pPr>
    </w:p>
    <w:p w14:paraId="7656C399">
      <w:pPr>
        <w:spacing w:line="360" w:lineRule="auto"/>
        <w:ind w:right="360" w:firstLine="480"/>
        <w:jc w:val="right"/>
        <w:rPr>
          <w:rFonts w:hint="eastAsia" w:ascii="宋体" w:hAnsi="宋体" w:eastAsia="宋体" w:cs="宋体"/>
          <w:sz w:val="24"/>
        </w:rPr>
      </w:pPr>
    </w:p>
    <w:tbl>
      <w:tblPr>
        <w:tblStyle w:val="46"/>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5EF3E91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234119A4">
            <w:pPr>
              <w:adjustRightInd w:val="0"/>
              <w:snapToGrid w:val="0"/>
              <w:jc w:val="left"/>
              <w:rPr>
                <w:rFonts w:hint="eastAsia" w:ascii="宋体" w:hAnsi="宋体" w:eastAsia="宋体" w:cs="宋体"/>
                <w:szCs w:val="21"/>
              </w:rPr>
            </w:pPr>
            <w:r>
              <w:rPr>
                <w:rFonts w:hint="eastAsia" w:ascii="宋体" w:hAnsi="宋体" w:eastAsia="宋体" w:cs="宋体"/>
                <w:szCs w:val="21"/>
                <w:vertAlign w:val="superscript"/>
              </w:rPr>
              <w:t>1</w:t>
            </w:r>
            <w:r>
              <w:rPr>
                <w:rFonts w:hint="eastAsia" w:ascii="宋体" w:hAnsi="宋体" w:eastAsia="宋体" w:cs="宋体"/>
                <w:szCs w:val="21"/>
              </w:rPr>
              <w:t>从业人员、营业收入、资产总额填报上一年度数据，无上一年度数据的新成立企业可不填报。</w:t>
            </w:r>
          </w:p>
        </w:tc>
      </w:tr>
    </w:tbl>
    <w:p w14:paraId="36ABE697">
      <w:pPr>
        <w:autoSpaceDE w:val="0"/>
        <w:autoSpaceDN w:val="0"/>
        <w:adjustRightInd w:val="0"/>
        <w:ind w:firstLine="420"/>
        <w:jc w:val="left"/>
        <w:rPr>
          <w:rFonts w:hint="eastAsia" w:ascii="宋体" w:hAnsi="宋体" w:eastAsia="宋体" w:cs="宋体"/>
          <w:sz w:val="24"/>
        </w:rPr>
      </w:pPr>
    </w:p>
    <w:p w14:paraId="38983EBA">
      <w:pPr>
        <w:spacing w:line="360" w:lineRule="auto"/>
        <w:rPr>
          <w:rFonts w:hint="eastAsia" w:ascii="宋体" w:hAnsi="宋体" w:eastAsia="宋体" w:cs="宋体"/>
          <w:sz w:val="24"/>
        </w:rPr>
      </w:pPr>
    </w:p>
    <w:p w14:paraId="4627D36A">
      <w:pPr>
        <w:spacing w:line="360" w:lineRule="auto"/>
        <w:ind w:right="360" w:firstLine="480"/>
        <w:jc w:val="right"/>
        <w:rPr>
          <w:rFonts w:hint="eastAsia" w:ascii="宋体" w:hAnsi="宋体" w:eastAsia="宋体" w:cs="宋体"/>
          <w:sz w:val="24"/>
        </w:rPr>
      </w:pPr>
    </w:p>
    <w:p w14:paraId="774910FA">
      <w:pPr>
        <w:spacing w:line="360" w:lineRule="auto"/>
        <w:ind w:right="360" w:firstLine="480"/>
        <w:jc w:val="right"/>
        <w:rPr>
          <w:rFonts w:hint="eastAsia" w:ascii="宋体" w:hAnsi="宋体" w:eastAsia="宋体" w:cs="宋体"/>
          <w:sz w:val="24"/>
        </w:rPr>
      </w:pPr>
    </w:p>
    <w:p w14:paraId="1EAF6C19">
      <w:pPr>
        <w:widowControl/>
        <w:jc w:val="left"/>
        <w:rPr>
          <w:rFonts w:hint="eastAsia" w:ascii="宋体" w:hAnsi="宋体" w:eastAsia="宋体" w:cs="宋体"/>
          <w:sz w:val="24"/>
          <w:szCs w:val="20"/>
        </w:rPr>
      </w:pPr>
      <w:r>
        <w:rPr>
          <w:rFonts w:hint="eastAsia" w:ascii="宋体" w:hAnsi="宋体" w:eastAsia="宋体" w:cs="宋体"/>
          <w:sz w:val="24"/>
          <w:szCs w:val="20"/>
        </w:rPr>
        <w:br w:type="page"/>
      </w:r>
    </w:p>
    <w:p w14:paraId="72DD3C36">
      <w:pPr>
        <w:spacing w:before="240" w:beforeLines="100" w:after="240" w:afterLines="100" w:line="360" w:lineRule="auto"/>
        <w:jc w:val="center"/>
        <w:outlineLvl w:val="0"/>
        <w:rPr>
          <w:rFonts w:hint="eastAsia" w:ascii="宋体" w:hAnsi="宋体" w:eastAsia="宋体" w:cs="宋体"/>
          <w:b/>
          <w:color w:val="000000"/>
          <w:sz w:val="36"/>
          <w:szCs w:val="36"/>
        </w:rPr>
      </w:pPr>
      <w:r>
        <w:rPr>
          <w:rFonts w:hint="eastAsia" w:ascii="宋体" w:hAnsi="宋体" w:eastAsia="宋体" w:cs="宋体"/>
          <w:b/>
          <w:bCs/>
          <w:spacing w:val="6"/>
          <w:sz w:val="28"/>
          <w:szCs w:val="28"/>
        </w:rPr>
        <w:t>残疾人福利性单位声明函格式</w:t>
      </w:r>
      <w:r>
        <w:rPr>
          <w:rFonts w:hint="eastAsia" w:ascii="宋体" w:hAnsi="宋体" w:eastAsia="宋体" w:cs="宋体"/>
          <w:b/>
          <w:color w:val="000000"/>
          <w:sz w:val="36"/>
          <w:szCs w:val="36"/>
        </w:rPr>
        <w:t xml:space="preserve">       </w:t>
      </w:r>
    </w:p>
    <w:p w14:paraId="2F4CE826">
      <w:pPr>
        <w:spacing w:line="588" w:lineRule="exact"/>
        <w:ind w:firstLine="504"/>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 141</w:t>
      </w:r>
      <w:r>
        <w:rPr>
          <w:rFonts w:hint="eastAsia" w:ascii="宋体" w:hAnsi="宋体" w:eastAsia="宋体" w:cs="宋体"/>
          <w:spacing w:val="6"/>
          <w:sz w:val="24"/>
        </w:rPr>
        <w:t>号）的规定，本单位</w:t>
      </w:r>
      <w:r>
        <w:rPr>
          <w:rFonts w:hint="eastAsia" w:ascii="宋体" w:hAnsi="宋体" w:eastAsia="宋体" w:cs="宋体"/>
          <w:b/>
          <w:sz w:val="24"/>
        </w:rPr>
        <w:t>（请进行勾选）</w:t>
      </w:r>
      <w:r>
        <w:rPr>
          <w:rFonts w:hint="eastAsia" w:ascii="宋体" w:hAnsi="宋体" w:eastAsia="宋体" w:cs="宋体"/>
          <w:spacing w:val="6"/>
          <w:sz w:val="24"/>
        </w:rPr>
        <w:t>：</w:t>
      </w:r>
    </w:p>
    <w:p w14:paraId="472E210A">
      <w:pPr>
        <w:spacing w:line="588" w:lineRule="exact"/>
        <w:ind w:firstLine="482"/>
        <w:rPr>
          <w:rFonts w:hint="eastAsia" w:ascii="宋体" w:hAnsi="宋体" w:eastAsia="宋体" w:cs="宋体"/>
          <w:b/>
          <w:spacing w:val="6"/>
          <w:sz w:val="24"/>
        </w:rPr>
      </w:pPr>
      <w:r>
        <w:rPr>
          <w:rFonts w:hint="eastAsia" w:ascii="宋体" w:hAnsi="宋体" w:eastAsia="宋体" w:cs="宋体"/>
          <w:b/>
          <w:sz w:val="24"/>
        </w:rPr>
        <w:t>□</w:t>
      </w:r>
      <w:r>
        <w:rPr>
          <w:rFonts w:hint="eastAsia" w:ascii="宋体" w:hAnsi="宋体" w:eastAsia="宋体" w:cs="宋体"/>
          <w:b/>
          <w:spacing w:val="6"/>
          <w:sz w:val="24"/>
        </w:rPr>
        <w:t>不属于符合条件的残疾人福利性单位。</w:t>
      </w:r>
    </w:p>
    <w:p w14:paraId="0A704FB9">
      <w:pPr>
        <w:spacing w:line="588" w:lineRule="exact"/>
        <w:ind w:firstLine="482"/>
        <w:rPr>
          <w:rFonts w:hint="eastAsia" w:ascii="宋体" w:hAnsi="宋体" w:eastAsia="宋体" w:cs="宋体"/>
          <w:spacing w:val="6"/>
          <w:sz w:val="24"/>
        </w:rPr>
      </w:pPr>
      <w:r>
        <w:rPr>
          <w:rFonts w:hint="eastAsia" w:ascii="宋体" w:hAnsi="宋体" w:eastAsia="宋体" w:cs="宋体"/>
          <w:b/>
          <w:sz w:val="24"/>
        </w:rPr>
        <w:t>□</w:t>
      </w:r>
      <w:r>
        <w:rPr>
          <w:rFonts w:hint="eastAsia" w:ascii="宋体" w:hAnsi="宋体" w:eastAsia="宋体" w:cs="宋体"/>
          <w:b/>
          <w:spacing w:val="6"/>
          <w:sz w:val="24"/>
        </w:rPr>
        <w:t>属于符合条件的残疾人福利性单位，</w:t>
      </w:r>
      <w:r>
        <w:rPr>
          <w:rFonts w:hint="eastAsia" w:ascii="宋体" w:hAnsi="宋体" w:eastAsia="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29F6CFB9">
      <w:pPr>
        <w:spacing w:line="588" w:lineRule="exact"/>
        <w:ind w:firstLine="506" w:firstLineChars="200"/>
        <w:rPr>
          <w:rFonts w:hint="eastAsia" w:ascii="宋体" w:hAnsi="宋体" w:eastAsia="宋体" w:cs="宋体"/>
          <w:spacing w:val="6"/>
          <w:sz w:val="24"/>
        </w:rPr>
      </w:pPr>
      <w:r>
        <w:rPr>
          <w:rFonts w:hint="eastAsia" w:ascii="宋体" w:hAnsi="宋体" w:eastAsia="宋体" w:cs="宋体"/>
          <w:b/>
          <w:spacing w:val="6"/>
          <w:sz w:val="24"/>
        </w:rPr>
        <w:t>本单位对上述声明的真实性负责。如有虚假，将依法承担相应责任。</w:t>
      </w:r>
    </w:p>
    <w:p w14:paraId="07BA6D4E">
      <w:pPr>
        <w:spacing w:line="588" w:lineRule="exact"/>
        <w:ind w:firstLine="504" w:firstLineChars="200"/>
        <w:rPr>
          <w:rFonts w:hint="eastAsia" w:ascii="宋体" w:hAnsi="宋体" w:eastAsia="宋体" w:cs="宋体"/>
          <w:spacing w:val="6"/>
          <w:sz w:val="24"/>
        </w:rPr>
      </w:pPr>
    </w:p>
    <w:p w14:paraId="6F4109F6">
      <w:pPr>
        <w:spacing w:line="588" w:lineRule="exact"/>
        <w:ind w:firstLine="504" w:firstLineChars="200"/>
        <w:rPr>
          <w:rFonts w:hint="eastAsia" w:ascii="宋体" w:hAnsi="宋体" w:eastAsia="宋体" w:cs="宋体"/>
          <w:spacing w:val="6"/>
          <w:sz w:val="24"/>
        </w:rPr>
      </w:pPr>
    </w:p>
    <w:p w14:paraId="1BCA8E56">
      <w:pPr>
        <w:bidi w:val="0"/>
        <w:spacing w:line="360" w:lineRule="auto"/>
        <w:rPr>
          <w:rFonts w:hint="eastAsia" w:ascii="宋体" w:hAnsi="宋体" w:eastAsia="宋体" w:cs="宋体"/>
          <w:sz w:val="24"/>
          <w:szCs w:val="24"/>
        </w:rPr>
      </w:pPr>
      <w:r>
        <w:rPr>
          <w:rFonts w:hint="eastAsia" w:ascii="宋体" w:hAnsi="宋体" w:eastAsia="宋体" w:cs="宋体"/>
          <w:spacing w:val="6"/>
        </w:rPr>
        <w:t xml:space="preserve">              </w:t>
      </w:r>
      <w:r>
        <w:rPr>
          <w:rFonts w:hint="eastAsia" w:ascii="宋体" w:hAnsi="宋体" w:eastAsia="宋体" w:cs="宋体"/>
          <w:spacing w:val="6"/>
          <w:lang w:val="en-US" w:eastAsia="zh-CN"/>
        </w:rPr>
        <w:t xml:space="preserve">                        </w:t>
      </w:r>
      <w:r>
        <w:rPr>
          <w:rFonts w:hint="eastAsia" w:ascii="宋体" w:hAnsi="宋体" w:eastAsia="宋体" w:cs="宋体"/>
          <w:sz w:val="24"/>
          <w:szCs w:val="24"/>
        </w:rPr>
        <w:t xml:space="preserve"> 单位名称（盖章）：</w:t>
      </w:r>
    </w:p>
    <w:p w14:paraId="03B3E8AB">
      <w:pPr>
        <w:bidi w:val="0"/>
        <w:spacing w:line="360" w:lineRule="auto"/>
        <w:rPr>
          <w:rFonts w:hint="eastAsia" w:ascii="宋体" w:hAnsi="宋体" w:eastAsia="宋体" w:cs="宋体"/>
          <w:spacing w:val="6"/>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  期：</w:t>
      </w:r>
    </w:p>
    <w:p w14:paraId="76BB2075">
      <w:pPr>
        <w:spacing w:line="360" w:lineRule="auto"/>
        <w:rPr>
          <w:rFonts w:hint="eastAsia" w:ascii="宋体" w:hAnsi="宋体" w:eastAsia="宋体" w:cs="宋体"/>
          <w:sz w:val="24"/>
          <w:szCs w:val="20"/>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699DFE88">
      <w:pPr>
        <w:spacing w:line="360" w:lineRule="auto"/>
        <w:outlineLvl w:val="0"/>
        <w:rPr>
          <w:rFonts w:hint="eastAsia" w:ascii="宋体" w:hAnsi="宋体" w:eastAsia="宋体" w:cs="宋体"/>
          <w:sz w:val="24"/>
          <w:szCs w:val="20"/>
        </w:rPr>
      </w:pPr>
      <w:r>
        <w:rPr>
          <w:rFonts w:hint="eastAsia" w:ascii="宋体" w:hAnsi="宋体" w:eastAsia="宋体" w:cs="宋体"/>
          <w:sz w:val="24"/>
          <w:szCs w:val="20"/>
        </w:rPr>
        <w:t xml:space="preserve">2-2 </w:t>
      </w:r>
      <w:r>
        <w:rPr>
          <w:rFonts w:hint="eastAsia" w:ascii="宋体" w:hAnsi="宋体" w:eastAsia="宋体" w:cs="宋体"/>
          <w:sz w:val="24"/>
        </w:rPr>
        <w:t>其它落实政府采购政策的资格要求</w:t>
      </w:r>
      <w:r>
        <w:rPr>
          <w:rFonts w:hint="eastAsia" w:ascii="宋体" w:hAnsi="宋体" w:eastAsia="宋体" w:cs="宋体"/>
          <w:sz w:val="24"/>
          <w:szCs w:val="20"/>
        </w:rPr>
        <w:t>（如有）</w:t>
      </w:r>
    </w:p>
    <w:p w14:paraId="412521CB">
      <w:pPr>
        <w:widowControl/>
        <w:jc w:val="left"/>
        <w:rPr>
          <w:rFonts w:hint="eastAsia" w:ascii="宋体" w:hAnsi="宋体" w:eastAsia="宋体" w:cs="宋体"/>
          <w:sz w:val="24"/>
        </w:rPr>
      </w:pPr>
    </w:p>
    <w:p w14:paraId="5FE9ED95">
      <w:pPr>
        <w:widowControl/>
        <w:jc w:val="left"/>
        <w:rPr>
          <w:rFonts w:hint="eastAsia" w:ascii="宋体" w:hAnsi="宋体" w:eastAsia="宋体" w:cs="宋体"/>
          <w:sz w:val="24"/>
        </w:rPr>
      </w:pPr>
      <w:r>
        <w:rPr>
          <w:rFonts w:hint="eastAsia" w:ascii="宋体" w:hAnsi="宋体" w:eastAsia="宋体" w:cs="宋体"/>
          <w:sz w:val="24"/>
        </w:rPr>
        <w:br w:type="page"/>
      </w:r>
    </w:p>
    <w:p w14:paraId="4331CFB2">
      <w:pPr>
        <w:spacing w:line="360" w:lineRule="auto"/>
        <w:jc w:val="left"/>
        <w:outlineLvl w:val="0"/>
        <w:rPr>
          <w:rFonts w:hint="eastAsia" w:ascii="宋体" w:hAnsi="宋体" w:eastAsia="宋体" w:cs="宋体"/>
          <w:b/>
          <w:sz w:val="36"/>
          <w:szCs w:val="36"/>
        </w:rPr>
      </w:pPr>
      <w:bookmarkStart w:id="848" w:name="_Hlt520274121"/>
      <w:bookmarkEnd w:id="848"/>
      <w:bookmarkStart w:id="849" w:name="_Hlt520274393"/>
      <w:bookmarkEnd w:id="849"/>
      <w:bookmarkStart w:id="850" w:name="_Hlt520343392"/>
      <w:bookmarkEnd w:id="850"/>
      <w:bookmarkStart w:id="851" w:name="_Hlt520271212"/>
      <w:bookmarkEnd w:id="851"/>
      <w:bookmarkStart w:id="852" w:name="_Hlt520273711"/>
      <w:bookmarkEnd w:id="852"/>
      <w:bookmarkStart w:id="853" w:name="_Hlt520350918"/>
      <w:bookmarkEnd w:id="853"/>
      <w:bookmarkStart w:id="854" w:name="_Hlt520355504"/>
      <w:bookmarkEnd w:id="854"/>
      <w:bookmarkStart w:id="855" w:name="_Hlt520274065"/>
      <w:bookmarkEnd w:id="855"/>
      <w:bookmarkStart w:id="856" w:name="_Hlt520274407"/>
      <w:bookmarkEnd w:id="856"/>
      <w:bookmarkStart w:id="857" w:name="_Hlt520343000"/>
      <w:bookmarkEnd w:id="857"/>
      <w:bookmarkStart w:id="858" w:name="_Toc480942349"/>
      <w:bookmarkStart w:id="859" w:name="_Ref467988698"/>
      <w:bookmarkStart w:id="860" w:name="_Toc226965746"/>
      <w:bookmarkStart w:id="861" w:name="_Toc226965829"/>
      <w:bookmarkStart w:id="862" w:name="_Toc520356217"/>
      <w:bookmarkStart w:id="863" w:name="_Toc226337252"/>
      <w:bookmarkStart w:id="864" w:name="_Toc195842921"/>
      <w:bookmarkStart w:id="865" w:name="_Toc142311058"/>
      <w:bookmarkStart w:id="866" w:name="_Toc226309800"/>
      <w:bookmarkStart w:id="867" w:name="_Toc150774761"/>
      <w:bookmarkStart w:id="868" w:name="_Toc127151556"/>
      <w:bookmarkStart w:id="869" w:name="_Toc150480794"/>
      <w:r>
        <w:rPr>
          <w:rFonts w:hint="eastAsia" w:ascii="宋体" w:hAnsi="宋体" w:eastAsia="宋体" w:cs="宋体"/>
          <w:b/>
          <w:bCs w:val="0"/>
          <w:sz w:val="36"/>
          <w:szCs w:val="36"/>
        </w:rPr>
        <w:t xml:space="preserve"> </w:t>
      </w:r>
      <w:r>
        <w:rPr>
          <w:rFonts w:hint="eastAsia" w:ascii="宋体" w:hAnsi="宋体" w:cs="宋体"/>
          <w:b/>
          <w:bCs w:val="0"/>
          <w:sz w:val="36"/>
          <w:szCs w:val="36"/>
          <w:lang w:val="en-US" w:eastAsia="zh-CN"/>
        </w:rPr>
        <w:t>3 投标保证金凭证/交款单据电子件</w:t>
      </w:r>
      <w:r>
        <w:rPr>
          <w:rFonts w:hint="eastAsia" w:ascii="宋体" w:hAnsi="宋体" w:eastAsia="宋体" w:cs="宋体"/>
          <w:b/>
          <w:bCs w:val="0"/>
          <w:sz w:val="36"/>
          <w:szCs w:val="36"/>
        </w:rPr>
        <w:br w:type="page"/>
      </w:r>
      <w:r>
        <w:rPr>
          <w:rFonts w:hint="eastAsia" w:ascii="宋体" w:hAnsi="宋体" w:eastAsia="宋体" w:cs="宋体"/>
          <w:b/>
          <w:sz w:val="36"/>
          <w:szCs w:val="36"/>
          <w:lang w:val="en-US" w:eastAsia="zh-CN"/>
        </w:rPr>
        <w:t>4</w:t>
      </w:r>
      <w:r>
        <w:rPr>
          <w:rFonts w:hint="eastAsia" w:ascii="宋体" w:hAnsi="宋体" w:eastAsia="宋体" w:cs="宋体"/>
          <w:b/>
          <w:sz w:val="36"/>
          <w:szCs w:val="36"/>
        </w:rPr>
        <w:t>投标</w:t>
      </w:r>
      <w:bookmarkEnd w:id="858"/>
      <w:bookmarkEnd w:id="859"/>
      <w:r>
        <w:rPr>
          <w:rFonts w:hint="eastAsia" w:ascii="宋体" w:hAnsi="宋体" w:eastAsia="宋体" w:cs="宋体"/>
          <w:b/>
          <w:sz w:val="36"/>
          <w:szCs w:val="36"/>
        </w:rPr>
        <w:t>书</w:t>
      </w:r>
      <w:bookmarkEnd w:id="860"/>
      <w:bookmarkEnd w:id="861"/>
      <w:bookmarkEnd w:id="862"/>
      <w:bookmarkEnd w:id="863"/>
      <w:bookmarkEnd w:id="864"/>
      <w:bookmarkEnd w:id="865"/>
      <w:bookmarkEnd w:id="866"/>
      <w:bookmarkEnd w:id="867"/>
      <w:bookmarkEnd w:id="868"/>
      <w:bookmarkEnd w:id="869"/>
      <w:r>
        <w:rPr>
          <w:rFonts w:hint="eastAsia" w:ascii="宋体" w:hAnsi="宋体" w:eastAsia="宋体" w:cs="宋体"/>
          <w:b/>
          <w:sz w:val="36"/>
          <w:szCs w:val="36"/>
        </w:rPr>
        <w:t>（实质性格式）</w:t>
      </w:r>
    </w:p>
    <w:p w14:paraId="3015F797">
      <w:pPr>
        <w:tabs>
          <w:tab w:val="left" w:pos="5580"/>
        </w:tabs>
        <w:spacing w:line="360" w:lineRule="auto"/>
        <w:rPr>
          <w:rFonts w:hint="eastAsia" w:ascii="宋体" w:hAnsi="宋体" w:eastAsia="宋体" w:cs="宋体"/>
          <w:sz w:val="24"/>
        </w:rPr>
      </w:pPr>
    </w:p>
    <w:p w14:paraId="43FCE92A">
      <w:pPr>
        <w:bidi w:val="0"/>
        <w:jc w:val="center"/>
        <w:rPr>
          <w:rFonts w:hint="eastAsia" w:ascii="宋体" w:hAnsi="宋体" w:eastAsia="宋体" w:cs="宋体"/>
          <w:b/>
          <w:szCs w:val="36"/>
        </w:rPr>
      </w:pPr>
      <w:r>
        <w:rPr>
          <w:rFonts w:hint="eastAsia" w:ascii="宋体" w:hAnsi="宋体" w:eastAsia="宋体" w:cs="宋体"/>
          <w:sz w:val="30"/>
          <w:szCs w:val="30"/>
        </w:rPr>
        <w:t>投标书</w:t>
      </w:r>
    </w:p>
    <w:p w14:paraId="76508A71">
      <w:pPr>
        <w:tabs>
          <w:tab w:val="left" w:pos="5580"/>
        </w:tabs>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（采购人或采购代理机构）</w:t>
      </w:r>
    </w:p>
    <w:p w14:paraId="6CD740A5">
      <w:pPr>
        <w:tabs>
          <w:tab w:val="left" w:pos="5580"/>
        </w:tabs>
        <w:spacing w:line="360" w:lineRule="auto"/>
        <w:rPr>
          <w:rFonts w:hint="eastAsia" w:ascii="宋体" w:hAnsi="宋体" w:eastAsia="宋体" w:cs="宋体"/>
          <w:sz w:val="24"/>
          <w:szCs w:val="20"/>
        </w:rPr>
      </w:pPr>
    </w:p>
    <w:p w14:paraId="27FCDFD1">
      <w:pPr>
        <w:tabs>
          <w:tab w:val="left" w:pos="5580"/>
        </w:tabs>
        <w:spacing w:line="360" w:lineRule="auto"/>
        <w:ind w:firstLine="408"/>
        <w:rPr>
          <w:rFonts w:hint="eastAsia" w:ascii="宋体" w:hAnsi="宋体" w:eastAsia="宋体" w:cs="宋体"/>
          <w:sz w:val="24"/>
          <w:szCs w:val="20"/>
        </w:rPr>
      </w:pPr>
      <w:r>
        <w:rPr>
          <w:rFonts w:hint="eastAsia" w:ascii="宋体" w:hAnsi="宋体" w:eastAsia="宋体" w:cs="宋体"/>
          <w:sz w:val="24"/>
          <w:szCs w:val="20"/>
        </w:rPr>
        <w:t>我方参加你方就___________（项目名称，项目编号）组织的招标活动，并对此项目进行投标。</w:t>
      </w:r>
    </w:p>
    <w:p w14:paraId="1BD651CD">
      <w:pPr>
        <w:tabs>
          <w:tab w:val="left" w:pos="720"/>
          <w:tab w:val="left" w:pos="900"/>
        </w:tabs>
        <w:spacing w:line="360" w:lineRule="auto"/>
        <w:ind w:left="360" w:firstLine="72" w:firstLineChars="30"/>
        <w:rPr>
          <w:rFonts w:hint="eastAsia" w:ascii="宋体" w:hAnsi="宋体" w:eastAsia="宋体" w:cs="宋体"/>
          <w:sz w:val="24"/>
          <w:szCs w:val="20"/>
        </w:rPr>
      </w:pPr>
      <w:r>
        <w:rPr>
          <w:rFonts w:hint="eastAsia" w:ascii="宋体" w:hAnsi="宋体" w:eastAsia="宋体" w:cs="宋体"/>
          <w:sz w:val="24"/>
          <w:szCs w:val="20"/>
        </w:rPr>
        <w:t>1. 我方已详细审查全部招标文件，自愿参与投标并承诺如下：</w:t>
      </w:r>
    </w:p>
    <w:p w14:paraId="1A54902A">
      <w:pPr>
        <w:tabs>
          <w:tab w:val="left" w:pos="720"/>
          <w:tab w:val="left" w:pos="900"/>
        </w:tabs>
        <w:spacing w:line="360" w:lineRule="auto"/>
        <w:ind w:left="360" w:firstLine="72" w:firstLineChars="30"/>
        <w:rPr>
          <w:rFonts w:hint="eastAsia" w:ascii="宋体" w:hAnsi="宋体" w:eastAsia="宋体" w:cs="宋体"/>
          <w:sz w:val="24"/>
          <w:szCs w:val="20"/>
        </w:rPr>
      </w:pPr>
      <w:r>
        <w:rPr>
          <w:rFonts w:hint="eastAsia" w:ascii="宋体" w:hAnsi="宋体" w:eastAsia="宋体" w:cs="宋体"/>
          <w:sz w:val="24"/>
          <w:szCs w:val="20"/>
        </w:rPr>
        <w:t>（1）本投标有效期为自提交投标文件的截止之日起_____个日历日。</w:t>
      </w:r>
    </w:p>
    <w:p w14:paraId="47E1DA65">
      <w:pPr>
        <w:tabs>
          <w:tab w:val="left" w:pos="720"/>
          <w:tab w:val="left" w:pos="900"/>
        </w:tabs>
        <w:spacing w:line="360" w:lineRule="auto"/>
        <w:ind w:left="360" w:firstLine="72" w:firstLineChars="30"/>
        <w:rPr>
          <w:rFonts w:hint="eastAsia" w:ascii="宋体" w:hAnsi="宋体" w:eastAsia="宋体" w:cs="宋体"/>
          <w:sz w:val="24"/>
          <w:szCs w:val="20"/>
        </w:rPr>
      </w:pPr>
      <w:r>
        <w:rPr>
          <w:rFonts w:hint="eastAsia" w:ascii="宋体" w:hAnsi="宋体" w:eastAsia="宋体" w:cs="宋体"/>
          <w:sz w:val="24"/>
          <w:szCs w:val="20"/>
        </w:rPr>
        <w:t>（2）除合同条款及采购需求偏离表列出的偏离外，我方响应招标文件的全部要求。</w:t>
      </w:r>
    </w:p>
    <w:p w14:paraId="44D3EE8A">
      <w:pPr>
        <w:tabs>
          <w:tab w:val="left" w:pos="5580"/>
        </w:tabs>
        <w:spacing w:line="360" w:lineRule="auto"/>
        <w:ind w:firstLine="420" w:firstLineChars="175"/>
        <w:rPr>
          <w:rFonts w:hint="eastAsia" w:ascii="宋体" w:hAnsi="宋体" w:eastAsia="宋体" w:cs="宋体"/>
          <w:sz w:val="24"/>
          <w:szCs w:val="20"/>
        </w:rPr>
      </w:pPr>
      <w:r>
        <w:rPr>
          <w:rFonts w:hint="eastAsia" w:ascii="宋体" w:hAnsi="宋体" w:eastAsia="宋体" w:cs="宋体"/>
          <w:sz w:val="24"/>
          <w:szCs w:val="20"/>
        </w:rPr>
        <w:t>（3）我方已提供的全部文件资料是真实、准确的，并对此承担一切法律后果。</w:t>
      </w:r>
    </w:p>
    <w:p w14:paraId="303346E6">
      <w:pPr>
        <w:tabs>
          <w:tab w:val="left" w:pos="5580"/>
        </w:tabs>
        <w:spacing w:line="360" w:lineRule="auto"/>
        <w:ind w:firstLine="420" w:firstLineChars="175"/>
        <w:rPr>
          <w:rFonts w:hint="eastAsia" w:ascii="宋体" w:hAnsi="宋体" w:eastAsia="宋体" w:cs="宋体"/>
          <w:sz w:val="24"/>
        </w:rPr>
      </w:pPr>
      <w:r>
        <w:rPr>
          <w:rFonts w:hint="eastAsia" w:ascii="宋体" w:hAnsi="宋体" w:eastAsia="宋体" w:cs="宋体"/>
          <w:sz w:val="24"/>
          <w:szCs w:val="20"/>
        </w:rPr>
        <w:t>（4）如我方中标，我方将在法律规定的期限内与你方签订合同，按照招标文件要求提交履约保证金，并在合同约定的期限内完成合同规定的全部义务。</w:t>
      </w:r>
    </w:p>
    <w:p w14:paraId="36323AF5">
      <w:pPr>
        <w:spacing w:line="360" w:lineRule="auto"/>
        <w:ind w:firstLine="480" w:firstLineChars="200"/>
        <w:rPr>
          <w:rFonts w:hint="eastAsia" w:ascii="宋体" w:hAnsi="宋体" w:eastAsia="宋体" w:cs="宋体"/>
          <w:sz w:val="24"/>
        </w:rPr>
      </w:pPr>
      <w:r>
        <w:rPr>
          <w:rFonts w:hint="eastAsia" w:ascii="宋体" w:hAnsi="宋体" w:eastAsia="宋体" w:cs="宋体"/>
          <w:sz w:val="24"/>
        </w:rPr>
        <w:t>2. 其他补充条款（如有）：___________。</w:t>
      </w:r>
    </w:p>
    <w:p w14:paraId="0B43D00D">
      <w:pPr>
        <w:spacing w:line="360" w:lineRule="auto"/>
        <w:ind w:firstLine="480" w:firstLineChars="200"/>
        <w:rPr>
          <w:rFonts w:hint="eastAsia" w:ascii="宋体" w:hAnsi="宋体" w:eastAsia="宋体" w:cs="宋体"/>
          <w:sz w:val="24"/>
        </w:rPr>
      </w:pPr>
      <w:r>
        <w:rPr>
          <w:rFonts w:hint="eastAsia" w:ascii="宋体" w:hAnsi="宋体" w:eastAsia="宋体" w:cs="宋体"/>
          <w:sz w:val="24"/>
        </w:rPr>
        <w:t>与本投标有关的一切正式往来信函请寄：</w:t>
      </w:r>
    </w:p>
    <w:p w14:paraId="31EBDB64">
      <w:pPr>
        <w:tabs>
          <w:tab w:val="left" w:pos="5580"/>
        </w:tabs>
        <w:spacing w:line="360" w:lineRule="auto"/>
        <w:ind w:left="420"/>
        <w:rPr>
          <w:rFonts w:hint="eastAsia" w:ascii="宋体" w:hAnsi="宋体" w:eastAsia="宋体" w:cs="宋体"/>
          <w:sz w:val="24"/>
          <w:szCs w:val="20"/>
        </w:rPr>
      </w:pPr>
    </w:p>
    <w:p w14:paraId="5DAF8348">
      <w:pPr>
        <w:tabs>
          <w:tab w:val="left" w:pos="5580"/>
        </w:tabs>
        <w:spacing w:line="360" w:lineRule="auto"/>
        <w:ind w:left="420"/>
        <w:rPr>
          <w:rFonts w:hint="eastAsia" w:ascii="宋体" w:hAnsi="宋体" w:eastAsia="宋体" w:cs="宋体"/>
          <w:sz w:val="24"/>
          <w:szCs w:val="20"/>
        </w:rPr>
      </w:pPr>
      <w:r>
        <w:rPr>
          <w:rFonts w:hint="eastAsia" w:ascii="宋体" w:hAnsi="宋体" w:eastAsia="宋体" w:cs="宋体"/>
          <w:sz w:val="24"/>
          <w:szCs w:val="20"/>
        </w:rPr>
        <w:t>地址_________________________     传真____________________________</w:t>
      </w:r>
    </w:p>
    <w:p w14:paraId="21A65BBA">
      <w:pPr>
        <w:tabs>
          <w:tab w:val="left" w:pos="5580"/>
        </w:tabs>
        <w:spacing w:line="360" w:lineRule="auto"/>
        <w:ind w:left="420"/>
        <w:rPr>
          <w:rFonts w:hint="eastAsia" w:ascii="宋体" w:hAnsi="宋体" w:eastAsia="宋体" w:cs="宋体"/>
          <w:sz w:val="24"/>
          <w:szCs w:val="20"/>
        </w:rPr>
      </w:pPr>
      <w:r>
        <w:rPr>
          <w:rFonts w:hint="eastAsia" w:ascii="宋体" w:hAnsi="宋体" w:eastAsia="宋体" w:cs="宋体"/>
          <w:sz w:val="24"/>
          <w:szCs w:val="20"/>
        </w:rPr>
        <w:t>电话_________________________     电子函件________________________</w:t>
      </w:r>
    </w:p>
    <w:p w14:paraId="42EFCE42">
      <w:pPr>
        <w:tabs>
          <w:tab w:val="left" w:pos="5580"/>
        </w:tabs>
        <w:spacing w:line="360" w:lineRule="auto"/>
        <w:ind w:left="420"/>
        <w:rPr>
          <w:rFonts w:hint="eastAsia" w:ascii="宋体" w:hAnsi="宋体" w:eastAsia="宋体" w:cs="宋体"/>
          <w:sz w:val="24"/>
          <w:szCs w:val="20"/>
        </w:rPr>
      </w:pPr>
    </w:p>
    <w:p w14:paraId="33A8A5F9">
      <w:pPr>
        <w:tabs>
          <w:tab w:val="left" w:pos="5580"/>
        </w:tabs>
        <w:spacing w:line="360" w:lineRule="auto"/>
        <w:ind w:left="420"/>
        <w:rPr>
          <w:rFonts w:hint="eastAsia" w:ascii="宋体" w:hAnsi="宋体" w:eastAsia="宋体" w:cs="宋体"/>
          <w:sz w:val="24"/>
          <w:szCs w:val="20"/>
        </w:rPr>
      </w:pPr>
      <w:r>
        <w:rPr>
          <w:rFonts w:hint="eastAsia" w:ascii="宋体" w:hAnsi="宋体" w:eastAsia="宋体" w:cs="宋体"/>
          <w:sz w:val="24"/>
          <w:szCs w:val="20"/>
        </w:rPr>
        <w:t>投标人名称（加盖公章） ___________</w:t>
      </w:r>
    </w:p>
    <w:p w14:paraId="5F0AFEA9">
      <w:pPr>
        <w:tabs>
          <w:tab w:val="left" w:pos="5580"/>
        </w:tabs>
        <w:spacing w:line="360" w:lineRule="auto"/>
        <w:ind w:left="420"/>
        <w:rPr>
          <w:rFonts w:hint="eastAsia" w:ascii="宋体" w:hAnsi="宋体" w:eastAsia="宋体" w:cs="宋体"/>
          <w:sz w:val="24"/>
          <w:szCs w:val="20"/>
        </w:rPr>
      </w:pPr>
      <w:r>
        <w:rPr>
          <w:rFonts w:hint="eastAsia" w:ascii="宋体" w:hAnsi="宋体" w:eastAsia="宋体" w:cs="宋体"/>
          <w:sz w:val="24"/>
          <w:szCs w:val="20"/>
        </w:rPr>
        <w:t xml:space="preserve">日期：_____年______月______日    </w:t>
      </w:r>
    </w:p>
    <w:p w14:paraId="293295DF">
      <w:pPr>
        <w:tabs>
          <w:tab w:val="left" w:pos="5580"/>
        </w:tabs>
        <w:spacing w:line="360" w:lineRule="auto"/>
        <w:ind w:left="420"/>
        <w:rPr>
          <w:rFonts w:hint="eastAsia" w:ascii="宋体" w:hAnsi="宋体" w:eastAsia="宋体" w:cs="宋体"/>
          <w:sz w:val="24"/>
          <w:szCs w:val="20"/>
          <w:u w:val="single"/>
        </w:rPr>
      </w:pPr>
    </w:p>
    <w:p w14:paraId="6B44C6A2">
      <w:pPr>
        <w:widowControl/>
        <w:jc w:val="left"/>
        <w:rPr>
          <w:rFonts w:hint="eastAsia" w:ascii="宋体" w:hAnsi="宋体" w:eastAsia="宋体" w:cs="宋体"/>
          <w:sz w:val="24"/>
        </w:rPr>
      </w:pPr>
      <w:bookmarkStart w:id="870" w:name="_Hlt520356243"/>
      <w:bookmarkEnd w:id="870"/>
      <w:bookmarkStart w:id="871" w:name="_Hlt520355938"/>
      <w:bookmarkEnd w:id="871"/>
      <w:bookmarkStart w:id="872" w:name="_Toc226965830"/>
      <w:bookmarkStart w:id="873" w:name="_Toc195842922"/>
      <w:bookmarkStart w:id="874" w:name="_Toc226309801"/>
      <w:bookmarkStart w:id="875" w:name="_Toc142311059"/>
      <w:bookmarkStart w:id="876" w:name="_Toc150774762"/>
      <w:bookmarkStart w:id="877" w:name="_Toc265228395"/>
      <w:bookmarkStart w:id="878" w:name="_Ref467988705"/>
      <w:bookmarkStart w:id="879" w:name="_Toc150480795"/>
      <w:bookmarkStart w:id="880" w:name="_Toc127151557"/>
      <w:bookmarkStart w:id="881" w:name="_Toc520356218"/>
      <w:bookmarkStart w:id="882" w:name="_Toc226337253"/>
      <w:bookmarkStart w:id="883" w:name="_Toc305158825"/>
      <w:bookmarkStart w:id="884" w:name="_Toc480942350"/>
      <w:bookmarkStart w:id="885" w:name="_Toc264969247"/>
      <w:bookmarkStart w:id="886" w:name="_Toc226965747"/>
      <w:bookmarkStart w:id="887" w:name="_Toc305158899"/>
      <w:r>
        <w:rPr>
          <w:rFonts w:hint="eastAsia" w:ascii="宋体" w:hAnsi="宋体" w:eastAsia="宋体" w:cs="宋体"/>
          <w:sz w:val="24"/>
        </w:rPr>
        <w:br w:type="page"/>
      </w:r>
    </w:p>
    <w:p w14:paraId="4F11C9A2">
      <w:pPr>
        <w:spacing w:line="360" w:lineRule="auto"/>
        <w:jc w:val="left"/>
        <w:outlineLvl w:val="0"/>
        <w:rPr>
          <w:rFonts w:hint="eastAsia" w:ascii="宋体" w:hAnsi="宋体" w:eastAsia="宋体" w:cs="宋体"/>
          <w:b/>
          <w:sz w:val="36"/>
          <w:szCs w:val="36"/>
        </w:rPr>
      </w:pPr>
      <w:r>
        <w:rPr>
          <w:rFonts w:hint="eastAsia" w:ascii="宋体" w:hAnsi="宋体" w:cs="宋体"/>
          <w:b/>
          <w:sz w:val="36"/>
          <w:szCs w:val="36"/>
          <w:lang w:val="en-US" w:eastAsia="zh-CN"/>
        </w:rPr>
        <w:t>5</w:t>
      </w:r>
      <w:r>
        <w:rPr>
          <w:rFonts w:hint="eastAsia" w:ascii="宋体" w:hAnsi="宋体" w:eastAsia="宋体" w:cs="宋体"/>
          <w:b/>
          <w:sz w:val="36"/>
          <w:szCs w:val="36"/>
        </w:rPr>
        <w:t xml:space="preserve">  授权委托书（实质性格式）</w:t>
      </w:r>
    </w:p>
    <w:p w14:paraId="173B7B8F">
      <w:pPr>
        <w:bidi w:val="0"/>
        <w:jc w:val="center"/>
        <w:rPr>
          <w:rFonts w:hint="eastAsia" w:ascii="宋体" w:hAnsi="宋体" w:eastAsia="宋体" w:cs="宋体"/>
          <w:b/>
          <w:szCs w:val="36"/>
        </w:rPr>
      </w:pPr>
      <w:r>
        <w:rPr>
          <w:rFonts w:hint="eastAsia" w:ascii="宋体" w:hAnsi="宋体" w:eastAsia="宋体" w:cs="宋体"/>
          <w:sz w:val="28"/>
          <w:szCs w:val="28"/>
        </w:rPr>
        <w:t>授权委托书</w:t>
      </w:r>
    </w:p>
    <w:p w14:paraId="60622A9A">
      <w:pPr>
        <w:spacing w:line="360" w:lineRule="auto"/>
        <w:ind w:firstLine="420"/>
        <w:rPr>
          <w:rFonts w:hint="eastAsia" w:ascii="宋体" w:hAnsi="宋体" w:eastAsia="宋体" w:cs="宋体"/>
          <w:sz w:val="24"/>
          <w:szCs w:val="20"/>
        </w:rPr>
      </w:pPr>
    </w:p>
    <w:p w14:paraId="1E1CBB38">
      <w:pPr>
        <w:spacing w:line="360" w:lineRule="auto"/>
        <w:ind w:firstLine="420"/>
        <w:rPr>
          <w:rFonts w:hint="eastAsia" w:ascii="宋体" w:hAnsi="宋体" w:eastAsia="宋体" w:cs="宋体"/>
          <w:sz w:val="24"/>
          <w:szCs w:val="20"/>
        </w:rPr>
      </w:pPr>
      <w:r>
        <w:rPr>
          <w:rFonts w:hint="eastAsia" w:ascii="宋体" w:hAnsi="宋体" w:eastAsia="宋体" w:cs="宋体"/>
          <w:sz w:val="24"/>
          <w:szCs w:val="20"/>
        </w:rPr>
        <w:t>本人</w:t>
      </w:r>
      <w:r>
        <w:rPr>
          <w:rFonts w:hint="eastAsia" w:ascii="宋体" w:hAnsi="宋体" w:eastAsia="宋体" w:cs="宋体"/>
          <w:sz w:val="24"/>
          <w:lang w:val="zh-CN"/>
        </w:rPr>
        <w:t>_______</w:t>
      </w:r>
      <w:r>
        <w:rPr>
          <w:rFonts w:hint="eastAsia" w:ascii="宋体" w:hAnsi="宋体" w:eastAsia="宋体" w:cs="宋体"/>
          <w:sz w:val="24"/>
          <w:szCs w:val="20"/>
        </w:rPr>
        <w:t>（姓名）系</w:t>
      </w:r>
      <w:r>
        <w:rPr>
          <w:rFonts w:hint="eastAsia" w:ascii="宋体" w:hAnsi="宋体" w:eastAsia="宋体" w:cs="宋体"/>
          <w:sz w:val="24"/>
          <w:lang w:val="zh-CN"/>
        </w:rPr>
        <w:t>________________</w:t>
      </w:r>
      <w:r>
        <w:rPr>
          <w:rFonts w:hint="eastAsia" w:ascii="宋体" w:hAnsi="宋体" w:eastAsia="宋体" w:cs="宋体"/>
          <w:sz w:val="24"/>
          <w:szCs w:val="20"/>
        </w:rPr>
        <w:t>（投标人名称）的法定代表人（单位负责人），现委托</w:t>
      </w:r>
      <w:r>
        <w:rPr>
          <w:rFonts w:hint="eastAsia" w:ascii="宋体" w:hAnsi="宋体" w:eastAsia="宋体" w:cs="宋体"/>
          <w:sz w:val="24"/>
          <w:lang w:val="zh-CN"/>
        </w:rPr>
        <w:t>_______</w:t>
      </w:r>
      <w:r>
        <w:rPr>
          <w:rFonts w:hint="eastAsia" w:ascii="宋体" w:hAnsi="宋体" w:eastAsia="宋体" w:cs="宋体"/>
          <w:sz w:val="24"/>
          <w:szCs w:val="20"/>
        </w:rPr>
        <w:t>（姓名）为我方代理人。代理人根据授权，以我方名义签署、澄清确认、递交、撤回、修改</w:t>
      </w:r>
      <w:r>
        <w:rPr>
          <w:rFonts w:hint="eastAsia" w:ascii="宋体" w:hAnsi="宋体" w:eastAsia="宋体" w:cs="宋体"/>
          <w:sz w:val="24"/>
          <w:lang w:val="zh-CN"/>
        </w:rPr>
        <w:t>________________</w:t>
      </w:r>
      <w:r>
        <w:rPr>
          <w:rFonts w:hint="eastAsia" w:ascii="宋体" w:hAnsi="宋体" w:eastAsia="宋体" w:cs="宋体"/>
          <w:sz w:val="24"/>
          <w:szCs w:val="20"/>
        </w:rPr>
        <w:t>（项目名称）</w:t>
      </w:r>
      <w:r>
        <w:rPr>
          <w:rFonts w:hint="eastAsia" w:ascii="宋体" w:hAnsi="宋体" w:cs="宋体"/>
          <w:sz w:val="24"/>
          <w:szCs w:val="20"/>
          <w:highlight w:val="none"/>
          <w:lang w:val="en-US" w:eastAsia="zh-CN"/>
        </w:rPr>
        <w:t>投标</w:t>
      </w:r>
      <w:r>
        <w:rPr>
          <w:rFonts w:hint="eastAsia" w:ascii="宋体" w:hAnsi="宋体" w:eastAsia="宋体" w:cs="宋体"/>
          <w:sz w:val="24"/>
          <w:szCs w:val="20"/>
          <w:highlight w:val="none"/>
        </w:rPr>
        <w:t>文件</w:t>
      </w:r>
      <w:r>
        <w:rPr>
          <w:rFonts w:hint="eastAsia" w:ascii="宋体" w:hAnsi="宋体" w:eastAsia="宋体" w:cs="宋体"/>
          <w:sz w:val="24"/>
          <w:szCs w:val="20"/>
        </w:rPr>
        <w:t>和处理有关事宜，其法律后果由我方承担。</w:t>
      </w:r>
    </w:p>
    <w:p w14:paraId="2335BA3E">
      <w:pPr>
        <w:spacing w:line="360" w:lineRule="auto"/>
        <w:ind w:firstLine="420"/>
        <w:rPr>
          <w:rFonts w:hint="eastAsia" w:ascii="宋体" w:hAnsi="宋体" w:eastAsia="宋体" w:cs="宋体"/>
          <w:sz w:val="24"/>
          <w:szCs w:val="20"/>
        </w:rPr>
      </w:pPr>
      <w:r>
        <w:rPr>
          <w:rFonts w:hint="eastAsia" w:ascii="宋体" w:hAnsi="宋体" w:eastAsia="宋体" w:cs="宋体"/>
          <w:sz w:val="24"/>
          <w:szCs w:val="20"/>
        </w:rPr>
        <w:t>委托期限：自本授权委托书签署之日起至响应有效期届满之日止。</w:t>
      </w:r>
    </w:p>
    <w:p w14:paraId="37594330">
      <w:pPr>
        <w:spacing w:line="360" w:lineRule="auto"/>
        <w:ind w:firstLine="420"/>
        <w:rPr>
          <w:rFonts w:hint="eastAsia" w:ascii="宋体" w:hAnsi="宋体" w:eastAsia="宋体" w:cs="宋体"/>
          <w:sz w:val="24"/>
          <w:szCs w:val="20"/>
        </w:rPr>
      </w:pPr>
      <w:r>
        <w:rPr>
          <w:rFonts w:hint="eastAsia" w:ascii="宋体" w:hAnsi="宋体" w:eastAsia="宋体" w:cs="宋体"/>
          <w:sz w:val="24"/>
          <w:szCs w:val="20"/>
        </w:rPr>
        <w:t>代理人无转委托权。</w:t>
      </w:r>
      <w:r>
        <w:rPr>
          <w:rFonts w:hint="eastAsia" w:ascii="宋体" w:hAnsi="宋体" w:eastAsia="宋体" w:cs="宋体"/>
          <w:sz w:val="24"/>
          <w:szCs w:val="20"/>
        </w:rPr>
        <w:cr/>
      </w:r>
    </w:p>
    <w:p w14:paraId="546FF60F">
      <w:pPr>
        <w:spacing w:line="360" w:lineRule="auto"/>
        <w:rPr>
          <w:rFonts w:hint="eastAsia" w:ascii="宋体" w:hAnsi="宋体" w:eastAsia="宋体" w:cs="宋体"/>
          <w:sz w:val="24"/>
          <w:lang w:val="zh-CN"/>
        </w:rPr>
      </w:pPr>
      <w:r>
        <w:rPr>
          <w:rFonts w:hint="eastAsia" w:ascii="宋体" w:hAnsi="宋体" w:eastAsia="宋体" w:cs="宋体"/>
          <w:sz w:val="24"/>
        </w:rPr>
        <w:t>投标人名称（加盖公章）</w:t>
      </w:r>
      <w:r>
        <w:rPr>
          <w:rFonts w:hint="eastAsia" w:ascii="宋体" w:hAnsi="宋体" w:eastAsia="宋体" w:cs="宋体"/>
          <w:sz w:val="24"/>
          <w:lang w:val="zh-CN"/>
        </w:rPr>
        <w:t>：________________</w:t>
      </w:r>
    </w:p>
    <w:p w14:paraId="14F8E42E">
      <w:pPr>
        <w:spacing w:line="360" w:lineRule="auto"/>
        <w:rPr>
          <w:rFonts w:hint="eastAsia" w:ascii="宋体" w:hAnsi="宋体" w:eastAsia="宋体" w:cs="宋体"/>
          <w:sz w:val="24"/>
          <w:szCs w:val="20"/>
        </w:rPr>
      </w:pPr>
      <w:r>
        <w:rPr>
          <w:rFonts w:hint="eastAsia" w:ascii="宋体" w:hAnsi="宋体" w:eastAsia="宋体" w:cs="宋体"/>
          <w:sz w:val="24"/>
          <w:szCs w:val="20"/>
        </w:rPr>
        <w:t>法定代表人（单位负责人）（签字</w:t>
      </w:r>
      <w:r>
        <w:rPr>
          <w:rFonts w:hint="eastAsia" w:ascii="宋体" w:hAnsi="宋体" w:eastAsia="宋体" w:cs="宋体"/>
          <w:sz w:val="24"/>
          <w:szCs w:val="20"/>
          <w:lang w:val="en-US" w:eastAsia="zh-CN"/>
        </w:rPr>
        <w:t>或盖章</w:t>
      </w:r>
      <w:r>
        <w:rPr>
          <w:rFonts w:hint="eastAsia" w:ascii="宋体" w:hAnsi="宋体" w:eastAsia="宋体" w:cs="宋体"/>
          <w:sz w:val="24"/>
          <w:szCs w:val="20"/>
        </w:rPr>
        <w:t>）：</w:t>
      </w:r>
      <w:r>
        <w:rPr>
          <w:rFonts w:hint="eastAsia" w:ascii="宋体" w:hAnsi="宋体" w:eastAsia="宋体" w:cs="宋体"/>
          <w:sz w:val="24"/>
          <w:lang w:val="zh-CN"/>
        </w:rPr>
        <w:t>________________</w:t>
      </w:r>
    </w:p>
    <w:p w14:paraId="5ECA4CC7">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rPr>
        <w:t>委托代理人（签字</w:t>
      </w:r>
      <w:r>
        <w:rPr>
          <w:rFonts w:hint="eastAsia" w:ascii="宋体" w:hAnsi="宋体" w:eastAsia="宋体" w:cs="宋体"/>
          <w:sz w:val="24"/>
          <w:szCs w:val="20"/>
          <w:lang w:val="en-US" w:eastAsia="zh-CN"/>
        </w:rPr>
        <w:t>或</w:t>
      </w:r>
      <w:r>
        <w:rPr>
          <w:rFonts w:hint="eastAsia" w:ascii="宋体" w:hAnsi="宋体" w:eastAsia="宋体" w:cs="宋体"/>
          <w:sz w:val="24"/>
        </w:rPr>
        <w:t>签章）：</w:t>
      </w:r>
      <w:r>
        <w:rPr>
          <w:rFonts w:hint="eastAsia" w:ascii="宋体" w:hAnsi="宋体" w:eastAsia="宋体" w:cs="宋体"/>
          <w:sz w:val="24"/>
          <w:lang w:val="zh-CN"/>
        </w:rPr>
        <w:t>________________</w:t>
      </w:r>
      <w:r>
        <w:rPr>
          <w:rFonts w:hint="eastAsia" w:ascii="宋体" w:hAnsi="宋体" w:eastAsia="宋体" w:cs="宋体"/>
          <w:sz w:val="24"/>
        </w:rPr>
        <w:t xml:space="preserve">    </w:t>
      </w:r>
      <w:r>
        <w:rPr>
          <w:rFonts w:hint="eastAsia" w:ascii="宋体" w:hAnsi="宋体" w:eastAsia="宋体" w:cs="宋体"/>
          <w:sz w:val="24"/>
          <w:lang w:val="zh-CN"/>
        </w:rPr>
        <w:t xml:space="preserve">                      </w:t>
      </w:r>
    </w:p>
    <w:p w14:paraId="404CA8C9">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rPr>
        <w:t>日期：_____年______月______日</w:t>
      </w:r>
    </w:p>
    <w:p w14:paraId="1AC4D126">
      <w:pPr>
        <w:tabs>
          <w:tab w:val="left" w:pos="5580"/>
        </w:tabs>
        <w:spacing w:line="360" w:lineRule="auto"/>
        <w:ind w:firstLine="480" w:firstLineChars="200"/>
        <w:rPr>
          <w:rFonts w:hint="eastAsia" w:ascii="宋体" w:hAnsi="宋体" w:eastAsia="宋体" w:cs="宋体"/>
          <w:sz w:val="24"/>
          <w:szCs w:val="20"/>
        </w:rPr>
      </w:pPr>
    </w:p>
    <w:p w14:paraId="08EC65D6">
      <w:pPr>
        <w:tabs>
          <w:tab w:val="left" w:pos="5580"/>
        </w:tabs>
        <w:spacing w:line="360" w:lineRule="auto"/>
        <w:jc w:val="left"/>
        <w:rPr>
          <w:rFonts w:hint="eastAsia" w:ascii="宋体" w:hAnsi="宋体" w:eastAsia="宋体" w:cs="宋体"/>
          <w:sz w:val="24"/>
          <w:szCs w:val="20"/>
        </w:rPr>
      </w:pPr>
      <w:r>
        <w:rPr>
          <w:rFonts w:hint="eastAsia" w:ascii="宋体" w:hAnsi="宋体" w:eastAsia="宋体" w:cs="宋体"/>
          <w:sz w:val="24"/>
          <w:szCs w:val="20"/>
        </w:rPr>
        <w:t>法定代表人（单位负责人）有效期内的身份证</w:t>
      </w:r>
      <w:r>
        <w:rPr>
          <w:rFonts w:hint="eastAsia" w:ascii="宋体" w:hAnsi="宋体" w:eastAsia="宋体" w:cs="宋体"/>
          <w:b/>
          <w:sz w:val="24"/>
          <w:szCs w:val="20"/>
        </w:rPr>
        <w:t>正反面</w:t>
      </w:r>
      <w:r>
        <w:rPr>
          <w:rFonts w:hint="eastAsia" w:ascii="宋体" w:hAnsi="宋体" w:eastAsia="宋体" w:cs="宋体"/>
          <w:sz w:val="24"/>
          <w:szCs w:val="20"/>
        </w:rPr>
        <w:t>电子件：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4FF33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44FE1D95">
            <w:pPr>
              <w:tabs>
                <w:tab w:val="left" w:pos="5580"/>
              </w:tabs>
              <w:spacing w:line="360" w:lineRule="auto"/>
              <w:jc w:val="left"/>
              <w:rPr>
                <w:rFonts w:hint="eastAsia" w:ascii="宋体" w:hAnsi="宋体" w:eastAsia="宋体" w:cs="宋体"/>
                <w:sz w:val="24"/>
                <w:szCs w:val="20"/>
              </w:rPr>
            </w:pPr>
          </w:p>
          <w:p w14:paraId="1C4E030C">
            <w:pPr>
              <w:tabs>
                <w:tab w:val="left" w:pos="5580"/>
              </w:tabs>
              <w:spacing w:line="360" w:lineRule="auto"/>
              <w:jc w:val="left"/>
              <w:rPr>
                <w:rFonts w:hint="eastAsia" w:ascii="宋体" w:hAnsi="宋体" w:eastAsia="宋体" w:cs="宋体"/>
                <w:sz w:val="24"/>
                <w:szCs w:val="20"/>
              </w:rPr>
            </w:pPr>
          </w:p>
          <w:p w14:paraId="06713429">
            <w:pPr>
              <w:tabs>
                <w:tab w:val="left" w:pos="5580"/>
              </w:tabs>
              <w:spacing w:line="360" w:lineRule="auto"/>
              <w:jc w:val="left"/>
              <w:rPr>
                <w:rFonts w:hint="eastAsia" w:ascii="宋体" w:hAnsi="宋体" w:eastAsia="宋体" w:cs="宋体"/>
                <w:sz w:val="24"/>
                <w:szCs w:val="20"/>
              </w:rPr>
            </w:pPr>
          </w:p>
        </w:tc>
        <w:tc>
          <w:tcPr>
            <w:tcW w:w="4536" w:type="dxa"/>
          </w:tcPr>
          <w:p w14:paraId="5CC77934">
            <w:pPr>
              <w:tabs>
                <w:tab w:val="left" w:pos="5580"/>
              </w:tabs>
              <w:spacing w:line="360" w:lineRule="auto"/>
              <w:jc w:val="left"/>
              <w:rPr>
                <w:rFonts w:hint="eastAsia" w:ascii="宋体" w:hAnsi="宋体" w:eastAsia="宋体" w:cs="宋体"/>
                <w:sz w:val="24"/>
                <w:szCs w:val="20"/>
              </w:rPr>
            </w:pPr>
          </w:p>
          <w:p w14:paraId="1587338F">
            <w:pPr>
              <w:tabs>
                <w:tab w:val="left" w:pos="5580"/>
              </w:tabs>
              <w:spacing w:line="360" w:lineRule="auto"/>
              <w:jc w:val="left"/>
              <w:rPr>
                <w:rFonts w:hint="eastAsia" w:ascii="宋体" w:hAnsi="宋体" w:eastAsia="宋体" w:cs="宋体"/>
                <w:sz w:val="24"/>
                <w:szCs w:val="20"/>
              </w:rPr>
            </w:pPr>
          </w:p>
          <w:p w14:paraId="6B15B1F9">
            <w:pPr>
              <w:tabs>
                <w:tab w:val="left" w:pos="5580"/>
              </w:tabs>
              <w:spacing w:line="360" w:lineRule="auto"/>
              <w:jc w:val="left"/>
              <w:rPr>
                <w:rFonts w:hint="eastAsia" w:ascii="宋体" w:hAnsi="宋体" w:eastAsia="宋体" w:cs="宋体"/>
                <w:sz w:val="24"/>
                <w:szCs w:val="20"/>
              </w:rPr>
            </w:pPr>
          </w:p>
        </w:tc>
      </w:tr>
    </w:tbl>
    <w:p w14:paraId="55133A6E">
      <w:pPr>
        <w:tabs>
          <w:tab w:val="left" w:pos="5580"/>
        </w:tabs>
        <w:spacing w:line="360" w:lineRule="auto"/>
        <w:jc w:val="left"/>
        <w:rPr>
          <w:rFonts w:hint="eastAsia" w:ascii="宋体" w:hAnsi="宋体" w:eastAsia="宋体" w:cs="宋体"/>
          <w:sz w:val="24"/>
          <w:szCs w:val="20"/>
        </w:rPr>
      </w:pPr>
      <w:r>
        <w:rPr>
          <w:rFonts w:hint="eastAsia" w:ascii="宋体" w:hAnsi="宋体" w:eastAsia="宋体" w:cs="宋体"/>
          <w:sz w:val="24"/>
          <w:szCs w:val="20"/>
        </w:rPr>
        <w:t>委托代理人有效期内的身份证</w:t>
      </w:r>
      <w:r>
        <w:rPr>
          <w:rFonts w:hint="eastAsia" w:ascii="宋体" w:hAnsi="宋体" w:eastAsia="宋体" w:cs="宋体"/>
          <w:b/>
          <w:sz w:val="24"/>
          <w:szCs w:val="20"/>
        </w:rPr>
        <w:t>正反面</w:t>
      </w:r>
      <w:r>
        <w:rPr>
          <w:rFonts w:hint="eastAsia" w:ascii="宋体" w:hAnsi="宋体" w:eastAsia="宋体" w:cs="宋体"/>
          <w:sz w:val="24"/>
          <w:szCs w:val="20"/>
        </w:rPr>
        <w:t>电子件：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177D8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A80E917">
            <w:pPr>
              <w:tabs>
                <w:tab w:val="left" w:pos="5580"/>
              </w:tabs>
              <w:spacing w:line="360" w:lineRule="auto"/>
              <w:jc w:val="left"/>
              <w:rPr>
                <w:rFonts w:hint="eastAsia" w:ascii="宋体" w:hAnsi="宋体" w:eastAsia="宋体" w:cs="宋体"/>
                <w:sz w:val="24"/>
                <w:szCs w:val="20"/>
              </w:rPr>
            </w:pPr>
          </w:p>
          <w:p w14:paraId="580DDE2D">
            <w:pPr>
              <w:tabs>
                <w:tab w:val="left" w:pos="5580"/>
              </w:tabs>
              <w:spacing w:line="360" w:lineRule="auto"/>
              <w:jc w:val="left"/>
              <w:rPr>
                <w:rFonts w:hint="eastAsia" w:ascii="宋体" w:hAnsi="宋体" w:eastAsia="宋体" w:cs="宋体"/>
                <w:sz w:val="24"/>
                <w:szCs w:val="20"/>
              </w:rPr>
            </w:pPr>
          </w:p>
          <w:p w14:paraId="597062CD">
            <w:pPr>
              <w:tabs>
                <w:tab w:val="left" w:pos="5580"/>
              </w:tabs>
              <w:spacing w:line="360" w:lineRule="auto"/>
              <w:jc w:val="left"/>
              <w:rPr>
                <w:rFonts w:hint="eastAsia" w:ascii="宋体" w:hAnsi="宋体" w:eastAsia="宋体" w:cs="宋体"/>
                <w:sz w:val="24"/>
                <w:szCs w:val="20"/>
              </w:rPr>
            </w:pPr>
          </w:p>
        </w:tc>
        <w:tc>
          <w:tcPr>
            <w:tcW w:w="4536" w:type="dxa"/>
          </w:tcPr>
          <w:p w14:paraId="06D78574">
            <w:pPr>
              <w:tabs>
                <w:tab w:val="left" w:pos="5580"/>
              </w:tabs>
              <w:spacing w:line="360" w:lineRule="auto"/>
              <w:jc w:val="left"/>
              <w:rPr>
                <w:rFonts w:hint="eastAsia" w:ascii="宋体" w:hAnsi="宋体" w:eastAsia="宋体" w:cs="宋体"/>
                <w:sz w:val="24"/>
                <w:szCs w:val="20"/>
              </w:rPr>
            </w:pPr>
          </w:p>
          <w:p w14:paraId="080553BE">
            <w:pPr>
              <w:tabs>
                <w:tab w:val="left" w:pos="5580"/>
              </w:tabs>
              <w:spacing w:line="360" w:lineRule="auto"/>
              <w:jc w:val="left"/>
              <w:rPr>
                <w:rFonts w:hint="eastAsia" w:ascii="宋体" w:hAnsi="宋体" w:eastAsia="宋体" w:cs="宋体"/>
                <w:sz w:val="24"/>
                <w:szCs w:val="20"/>
              </w:rPr>
            </w:pPr>
          </w:p>
          <w:p w14:paraId="28142FBD">
            <w:pPr>
              <w:tabs>
                <w:tab w:val="left" w:pos="5580"/>
              </w:tabs>
              <w:spacing w:line="360" w:lineRule="auto"/>
              <w:jc w:val="left"/>
              <w:rPr>
                <w:rFonts w:hint="eastAsia" w:ascii="宋体" w:hAnsi="宋体" w:eastAsia="宋体" w:cs="宋体"/>
                <w:sz w:val="24"/>
                <w:szCs w:val="20"/>
              </w:rPr>
            </w:pPr>
          </w:p>
        </w:tc>
      </w:tr>
    </w:tbl>
    <w:p w14:paraId="655CD991">
      <w:pPr>
        <w:tabs>
          <w:tab w:val="left" w:pos="5580"/>
        </w:tabs>
        <w:spacing w:line="360" w:lineRule="auto"/>
        <w:jc w:val="left"/>
        <w:rPr>
          <w:rFonts w:hint="eastAsia" w:ascii="宋体" w:hAnsi="宋体" w:eastAsia="宋体" w:cs="宋体"/>
          <w:sz w:val="24"/>
          <w:szCs w:val="20"/>
        </w:rPr>
      </w:pPr>
      <w:r>
        <w:rPr>
          <w:rFonts w:hint="eastAsia" w:ascii="宋体" w:hAnsi="宋体" w:eastAsia="宋体" w:cs="宋体"/>
          <w:sz w:val="24"/>
          <w:szCs w:val="20"/>
        </w:rPr>
        <w:t>说明：</w:t>
      </w:r>
    </w:p>
    <w:p w14:paraId="4D0CA35A">
      <w:pPr>
        <w:tabs>
          <w:tab w:val="left" w:pos="5580"/>
        </w:tabs>
        <w:spacing w:line="360" w:lineRule="auto"/>
        <w:jc w:val="left"/>
        <w:rPr>
          <w:rFonts w:hint="eastAsia" w:ascii="宋体" w:hAnsi="宋体" w:eastAsia="宋体" w:cs="宋体"/>
          <w:sz w:val="24"/>
          <w:szCs w:val="20"/>
        </w:rPr>
      </w:pPr>
      <w:r>
        <w:rPr>
          <w:rFonts w:hint="eastAsia" w:ascii="宋体" w:hAnsi="宋体" w:eastAsia="宋体" w:cs="宋体"/>
          <w:sz w:val="24"/>
          <w:szCs w:val="20"/>
        </w:rPr>
        <w:t>1.若供应商为事业单位或其他组织或分支机构（仅当招标文件注明允许分支机构投标的），则法定代表人（单位负责人）处的签署人可为单位负责人。</w:t>
      </w:r>
    </w:p>
    <w:p w14:paraId="1050DEA3">
      <w:pPr>
        <w:tabs>
          <w:tab w:val="left" w:pos="5580"/>
        </w:tabs>
        <w:spacing w:line="360" w:lineRule="auto"/>
        <w:jc w:val="left"/>
        <w:rPr>
          <w:rFonts w:hint="eastAsia" w:ascii="宋体" w:hAnsi="宋体" w:eastAsia="宋体" w:cs="宋体"/>
          <w:sz w:val="24"/>
          <w:szCs w:val="20"/>
        </w:rPr>
      </w:pPr>
      <w:r>
        <w:rPr>
          <w:rFonts w:hint="eastAsia" w:ascii="宋体" w:hAnsi="宋体" w:eastAsia="宋体" w:cs="宋体"/>
          <w:sz w:val="24"/>
          <w:szCs w:val="20"/>
        </w:rPr>
        <w:t>2.若投标文件中签字之处均为法定代表人（单位负责人）本人签署，则可不提供本《授权委托书》，但须提供《法定代表人（单位负责人）身份证明》（实质性格式）。</w:t>
      </w:r>
    </w:p>
    <w:p w14:paraId="55D321E7">
      <w:pPr>
        <w:tabs>
          <w:tab w:val="left" w:pos="5580"/>
        </w:tabs>
        <w:spacing w:line="360" w:lineRule="auto"/>
        <w:jc w:val="left"/>
        <w:rPr>
          <w:rFonts w:hint="eastAsia" w:ascii="宋体" w:hAnsi="宋体" w:eastAsia="宋体" w:cs="宋体"/>
          <w:sz w:val="30"/>
          <w:szCs w:val="30"/>
        </w:rPr>
      </w:pPr>
      <w:r>
        <w:rPr>
          <w:rFonts w:hint="eastAsia" w:ascii="宋体" w:hAnsi="宋体" w:eastAsia="宋体" w:cs="宋体"/>
          <w:sz w:val="24"/>
          <w:szCs w:val="20"/>
        </w:rPr>
        <w:t>3.供应商为自然人的情形，可不提供本《授权委托书》。</w:t>
      </w:r>
      <w:r>
        <w:rPr>
          <w:rFonts w:hint="eastAsia" w:ascii="宋体" w:hAnsi="宋体" w:eastAsia="宋体" w:cs="宋体"/>
          <w:sz w:val="30"/>
          <w:szCs w:val="30"/>
        </w:rPr>
        <w:br w:type="page"/>
      </w:r>
    </w:p>
    <w:p w14:paraId="7BA19BFB">
      <w:pPr>
        <w:bidi w:val="0"/>
        <w:jc w:val="center"/>
        <w:rPr>
          <w:rFonts w:hint="eastAsia" w:ascii="宋体" w:hAnsi="宋体" w:eastAsia="宋体" w:cs="宋体"/>
          <w:b/>
          <w:szCs w:val="36"/>
        </w:rPr>
      </w:pPr>
      <w:r>
        <w:rPr>
          <w:rFonts w:hint="eastAsia" w:ascii="宋体" w:hAnsi="宋体" w:eastAsia="宋体" w:cs="宋体"/>
          <w:sz w:val="28"/>
          <w:szCs w:val="28"/>
        </w:rPr>
        <w:t>附：法定代表人（单位负责人）身份证明</w:t>
      </w:r>
    </w:p>
    <w:p w14:paraId="4C7E6E4A">
      <w:pPr>
        <w:kinsoku w:val="0"/>
        <w:overflowPunct w:val="0"/>
        <w:spacing w:line="200" w:lineRule="exact"/>
        <w:rPr>
          <w:rFonts w:hint="eastAsia" w:ascii="宋体" w:hAnsi="宋体" w:eastAsia="宋体" w:cs="宋体"/>
          <w:sz w:val="20"/>
          <w:szCs w:val="20"/>
        </w:rPr>
      </w:pPr>
    </w:p>
    <w:p w14:paraId="2E4B0C6B">
      <w:pPr>
        <w:tabs>
          <w:tab w:val="left" w:pos="5580"/>
        </w:tabs>
        <w:spacing w:line="360" w:lineRule="auto"/>
        <w:rPr>
          <w:rFonts w:hint="eastAsia" w:ascii="宋体" w:hAnsi="宋体" w:eastAsia="宋体" w:cs="宋体"/>
          <w:sz w:val="24"/>
        </w:rPr>
      </w:pPr>
    </w:p>
    <w:p w14:paraId="5CE37247">
      <w:pPr>
        <w:tabs>
          <w:tab w:val="left" w:pos="5580"/>
        </w:tabs>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（采购人或采购代理机构）</w:t>
      </w:r>
    </w:p>
    <w:p w14:paraId="228EB27C">
      <w:pPr>
        <w:pStyle w:val="19"/>
        <w:tabs>
          <w:tab w:val="left" w:pos="2412"/>
          <w:tab w:val="left" w:pos="3883"/>
          <w:tab w:val="left" w:pos="5352"/>
          <w:tab w:val="left" w:pos="6821"/>
        </w:tabs>
        <w:kinsoku w:val="0"/>
        <w:overflowPunct w:val="0"/>
        <w:spacing w:line="335" w:lineRule="exact"/>
        <w:ind w:firstLine="480" w:firstLineChars="200"/>
        <w:rPr>
          <w:rFonts w:hint="eastAsia" w:ascii="宋体" w:hAnsi="宋体" w:eastAsia="宋体" w:cs="宋体"/>
        </w:rPr>
      </w:pPr>
      <w:r>
        <w:rPr>
          <w:rFonts w:hint="eastAsia" w:ascii="宋体" w:hAnsi="宋体" w:eastAsia="宋体" w:cs="宋体"/>
        </w:rPr>
        <w:t>兹证明，</w:t>
      </w:r>
    </w:p>
    <w:p w14:paraId="4E0DACB9">
      <w:pPr>
        <w:pStyle w:val="19"/>
        <w:tabs>
          <w:tab w:val="left" w:pos="1690"/>
          <w:tab w:val="left" w:pos="3400"/>
          <w:tab w:val="left" w:pos="5110"/>
          <w:tab w:val="left" w:pos="6821"/>
        </w:tabs>
        <w:kinsoku w:val="0"/>
        <w:overflowPunct w:val="0"/>
        <w:spacing w:line="335" w:lineRule="exact"/>
        <w:rPr>
          <w:rFonts w:hint="eastAsia" w:ascii="宋体" w:hAnsi="宋体" w:eastAsia="宋体" w:cs="宋体"/>
        </w:rPr>
      </w:pPr>
      <w:r>
        <w:rPr>
          <w:rFonts w:hint="eastAsia" w:ascii="宋体" w:hAnsi="宋体" w:eastAsia="宋体" w:cs="宋体"/>
        </w:rPr>
        <w:t>姓名：____性别：____年龄：____职务：____</w:t>
      </w:r>
    </w:p>
    <w:p w14:paraId="64838BE0">
      <w:pPr>
        <w:pStyle w:val="19"/>
        <w:tabs>
          <w:tab w:val="left" w:pos="2412"/>
          <w:tab w:val="left" w:pos="3883"/>
          <w:tab w:val="left" w:pos="5352"/>
          <w:tab w:val="left" w:pos="6821"/>
        </w:tabs>
        <w:kinsoku w:val="0"/>
        <w:overflowPunct w:val="0"/>
        <w:spacing w:line="335" w:lineRule="exact"/>
        <w:rPr>
          <w:rFonts w:hint="eastAsia" w:ascii="宋体" w:hAnsi="宋体" w:eastAsia="宋体" w:cs="宋体"/>
        </w:rPr>
      </w:pPr>
    </w:p>
    <w:p w14:paraId="7629B7B4">
      <w:pPr>
        <w:pStyle w:val="19"/>
        <w:tabs>
          <w:tab w:val="left" w:pos="2250"/>
          <w:tab w:val="left" w:pos="2412"/>
          <w:tab w:val="left" w:pos="3883"/>
          <w:tab w:val="left" w:pos="5352"/>
          <w:tab w:val="left" w:pos="6821"/>
          <w:tab w:val="clear" w:pos="567"/>
        </w:tabs>
        <w:kinsoku w:val="0"/>
        <w:overflowPunct w:val="0"/>
        <w:spacing w:line="335" w:lineRule="exact"/>
        <w:rPr>
          <w:rFonts w:hint="eastAsia" w:ascii="宋体" w:hAnsi="宋体" w:eastAsia="宋体" w:cs="宋体"/>
        </w:rPr>
      </w:pPr>
      <w:r>
        <w:rPr>
          <w:rFonts w:hint="eastAsia" w:ascii="宋体" w:hAnsi="宋体" w:eastAsia="宋体" w:cs="宋体"/>
        </w:rPr>
        <w:t>系</w:t>
      </w:r>
      <w:r>
        <w:rPr>
          <w:rFonts w:hint="eastAsia" w:ascii="宋体" w:hAnsi="宋体" w:eastAsia="宋体" w:cs="宋体"/>
          <w:u w:val="single"/>
        </w:rPr>
        <w:tab/>
      </w:r>
      <w:r>
        <w:rPr>
          <w:rFonts w:hint="eastAsia" w:ascii="宋体" w:hAnsi="宋体" w:eastAsia="宋体" w:cs="宋体"/>
        </w:rPr>
        <w:t>（投标人名称）的法定代表人（单位负责人）。</w:t>
      </w:r>
    </w:p>
    <w:p w14:paraId="55189539">
      <w:pPr>
        <w:pStyle w:val="19"/>
        <w:tabs>
          <w:tab w:val="left" w:pos="2412"/>
          <w:tab w:val="left" w:pos="3883"/>
          <w:tab w:val="left" w:pos="5352"/>
          <w:tab w:val="left" w:pos="6821"/>
        </w:tabs>
        <w:kinsoku w:val="0"/>
        <w:overflowPunct w:val="0"/>
        <w:spacing w:line="335" w:lineRule="exact"/>
        <w:rPr>
          <w:rFonts w:hint="eastAsia" w:ascii="宋体" w:hAnsi="宋体" w:eastAsia="宋体" w:cs="宋体"/>
        </w:rPr>
      </w:pPr>
    </w:p>
    <w:p w14:paraId="51640E1A">
      <w:pPr>
        <w:pStyle w:val="19"/>
        <w:tabs>
          <w:tab w:val="left" w:pos="2412"/>
          <w:tab w:val="left" w:pos="3883"/>
          <w:tab w:val="left" w:pos="5352"/>
          <w:tab w:val="left" w:pos="6821"/>
        </w:tabs>
        <w:kinsoku w:val="0"/>
        <w:overflowPunct w:val="0"/>
        <w:spacing w:line="335" w:lineRule="exact"/>
        <w:rPr>
          <w:rFonts w:hint="eastAsia" w:ascii="宋体" w:hAnsi="宋体" w:eastAsia="宋体" w:cs="宋体"/>
        </w:rPr>
      </w:pPr>
    </w:p>
    <w:p w14:paraId="79A00D9E">
      <w:pPr>
        <w:pStyle w:val="19"/>
        <w:tabs>
          <w:tab w:val="left" w:pos="2412"/>
          <w:tab w:val="left" w:pos="3883"/>
          <w:tab w:val="left" w:pos="5352"/>
          <w:tab w:val="left" w:pos="6821"/>
        </w:tabs>
        <w:kinsoku w:val="0"/>
        <w:overflowPunct w:val="0"/>
        <w:spacing w:line="335" w:lineRule="exact"/>
        <w:rPr>
          <w:rFonts w:hint="eastAsia" w:ascii="宋体" w:hAnsi="宋体" w:eastAsia="宋体" w:cs="宋体"/>
        </w:rPr>
      </w:pPr>
    </w:p>
    <w:p w14:paraId="61153E4E">
      <w:pPr>
        <w:pStyle w:val="19"/>
        <w:kinsoku w:val="0"/>
        <w:overflowPunct w:val="0"/>
        <w:spacing w:line="583" w:lineRule="auto"/>
        <w:ind w:right="-46"/>
        <w:rPr>
          <w:rFonts w:hint="eastAsia" w:ascii="宋体" w:hAnsi="宋体" w:eastAsia="宋体" w:cs="宋体"/>
          <w:spacing w:val="-3"/>
        </w:rPr>
      </w:pPr>
      <w:r>
        <w:rPr>
          <w:rFonts w:hint="eastAsia" w:ascii="宋体" w:hAnsi="宋体" w:eastAsia="宋体" w:cs="宋体"/>
        </w:rPr>
        <w:t>附：</w:t>
      </w:r>
      <w:r>
        <w:rPr>
          <w:rFonts w:hint="eastAsia" w:ascii="宋体" w:hAnsi="宋体" w:eastAsia="宋体" w:cs="宋体"/>
          <w:spacing w:val="-3"/>
        </w:rPr>
        <w:t>法</w:t>
      </w:r>
      <w:r>
        <w:rPr>
          <w:rFonts w:hint="eastAsia" w:ascii="宋体" w:hAnsi="宋体" w:eastAsia="宋体" w:cs="宋体"/>
        </w:rPr>
        <w:t>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spacing w:val="-3"/>
        </w:rPr>
        <w:t>单</w:t>
      </w:r>
      <w:r>
        <w:rPr>
          <w:rFonts w:hint="eastAsia" w:ascii="宋体" w:hAnsi="宋体" w:eastAsia="宋体" w:cs="宋体"/>
        </w:rPr>
        <w:t>位</w:t>
      </w:r>
      <w:r>
        <w:rPr>
          <w:rFonts w:hint="eastAsia" w:ascii="宋体" w:hAnsi="宋体" w:eastAsia="宋体" w:cs="宋体"/>
          <w:spacing w:val="-3"/>
        </w:rPr>
        <w:t>负</w:t>
      </w:r>
      <w:r>
        <w:rPr>
          <w:rFonts w:hint="eastAsia" w:ascii="宋体" w:hAnsi="宋体" w:eastAsia="宋体" w:cs="宋体"/>
        </w:rPr>
        <w:t>责人</w:t>
      </w:r>
      <w:r>
        <w:rPr>
          <w:rFonts w:hint="eastAsia" w:ascii="宋体" w:hAnsi="宋体" w:eastAsia="宋体" w:cs="宋体"/>
          <w:spacing w:val="-3"/>
        </w:rPr>
        <w:t>）有效期内的身份证正反面电子件。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20028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134118B4">
            <w:pPr>
              <w:tabs>
                <w:tab w:val="left" w:pos="5580"/>
              </w:tabs>
              <w:spacing w:line="360" w:lineRule="auto"/>
              <w:jc w:val="left"/>
              <w:rPr>
                <w:rFonts w:hint="eastAsia" w:ascii="宋体" w:hAnsi="宋体" w:eastAsia="宋体" w:cs="宋体"/>
                <w:sz w:val="24"/>
                <w:szCs w:val="20"/>
              </w:rPr>
            </w:pPr>
          </w:p>
          <w:p w14:paraId="29E828F3">
            <w:pPr>
              <w:tabs>
                <w:tab w:val="left" w:pos="5580"/>
              </w:tabs>
              <w:spacing w:line="360" w:lineRule="auto"/>
              <w:jc w:val="left"/>
              <w:rPr>
                <w:rFonts w:hint="eastAsia" w:ascii="宋体" w:hAnsi="宋体" w:eastAsia="宋体" w:cs="宋体"/>
                <w:sz w:val="24"/>
                <w:szCs w:val="20"/>
              </w:rPr>
            </w:pPr>
          </w:p>
          <w:p w14:paraId="78EF094D">
            <w:pPr>
              <w:tabs>
                <w:tab w:val="left" w:pos="5580"/>
              </w:tabs>
              <w:spacing w:line="360" w:lineRule="auto"/>
              <w:jc w:val="left"/>
              <w:rPr>
                <w:rFonts w:hint="eastAsia" w:ascii="宋体" w:hAnsi="宋体" w:eastAsia="宋体" w:cs="宋体"/>
                <w:sz w:val="24"/>
                <w:szCs w:val="20"/>
              </w:rPr>
            </w:pPr>
          </w:p>
        </w:tc>
        <w:tc>
          <w:tcPr>
            <w:tcW w:w="4536" w:type="dxa"/>
          </w:tcPr>
          <w:p w14:paraId="320756CF">
            <w:pPr>
              <w:tabs>
                <w:tab w:val="left" w:pos="5580"/>
              </w:tabs>
              <w:spacing w:line="360" w:lineRule="auto"/>
              <w:jc w:val="left"/>
              <w:rPr>
                <w:rFonts w:hint="eastAsia" w:ascii="宋体" w:hAnsi="宋体" w:eastAsia="宋体" w:cs="宋体"/>
                <w:sz w:val="24"/>
                <w:szCs w:val="20"/>
              </w:rPr>
            </w:pPr>
          </w:p>
          <w:p w14:paraId="0761C6B6">
            <w:pPr>
              <w:tabs>
                <w:tab w:val="left" w:pos="5580"/>
              </w:tabs>
              <w:spacing w:line="360" w:lineRule="auto"/>
              <w:jc w:val="left"/>
              <w:rPr>
                <w:rFonts w:hint="eastAsia" w:ascii="宋体" w:hAnsi="宋体" w:eastAsia="宋体" w:cs="宋体"/>
                <w:sz w:val="24"/>
                <w:szCs w:val="20"/>
              </w:rPr>
            </w:pPr>
          </w:p>
          <w:p w14:paraId="15D802C3">
            <w:pPr>
              <w:tabs>
                <w:tab w:val="left" w:pos="5580"/>
              </w:tabs>
              <w:spacing w:line="360" w:lineRule="auto"/>
              <w:jc w:val="left"/>
              <w:rPr>
                <w:rFonts w:hint="eastAsia" w:ascii="宋体" w:hAnsi="宋体" w:eastAsia="宋体" w:cs="宋体"/>
                <w:sz w:val="24"/>
                <w:szCs w:val="20"/>
              </w:rPr>
            </w:pPr>
          </w:p>
        </w:tc>
      </w:tr>
    </w:tbl>
    <w:p w14:paraId="6AEEAD47">
      <w:pPr>
        <w:pStyle w:val="19"/>
        <w:kinsoku w:val="0"/>
        <w:overflowPunct w:val="0"/>
        <w:spacing w:line="583" w:lineRule="auto"/>
        <w:ind w:right="4305"/>
        <w:rPr>
          <w:rFonts w:hint="eastAsia" w:ascii="宋体" w:hAnsi="宋体" w:eastAsia="宋体" w:cs="宋体"/>
          <w:spacing w:val="-3"/>
        </w:rPr>
      </w:pPr>
    </w:p>
    <w:p w14:paraId="4B683F05">
      <w:pPr>
        <w:pStyle w:val="19"/>
        <w:kinsoku w:val="0"/>
        <w:overflowPunct w:val="0"/>
        <w:spacing w:line="583" w:lineRule="auto"/>
        <w:ind w:right="4305"/>
        <w:rPr>
          <w:rFonts w:hint="eastAsia" w:ascii="宋体" w:hAnsi="宋体" w:eastAsia="宋体" w:cs="宋体"/>
          <w:spacing w:val="-3"/>
        </w:rPr>
      </w:pPr>
    </w:p>
    <w:p w14:paraId="5B50538A">
      <w:pPr>
        <w:autoSpaceDE w:val="0"/>
        <w:autoSpaceDN w:val="0"/>
        <w:adjustRightInd w:val="0"/>
        <w:snapToGrid w:val="0"/>
        <w:spacing w:line="360" w:lineRule="auto"/>
        <w:rPr>
          <w:rFonts w:hint="eastAsia" w:ascii="宋体" w:hAnsi="宋体" w:eastAsia="宋体" w:cs="宋体"/>
          <w:sz w:val="24"/>
          <w:lang w:val="en-US" w:eastAsia="zh-CN"/>
        </w:rPr>
      </w:pPr>
      <w:r>
        <w:rPr>
          <w:rFonts w:hint="eastAsia" w:ascii="宋体" w:hAnsi="宋体" w:eastAsia="宋体" w:cs="宋体"/>
          <w:sz w:val="24"/>
        </w:rPr>
        <w:t>投标人名称（加盖公章）</w:t>
      </w:r>
      <w:r>
        <w:rPr>
          <w:rFonts w:hint="eastAsia" w:ascii="宋体" w:hAnsi="宋体" w:eastAsia="宋体" w:cs="宋体"/>
          <w:sz w:val="24"/>
          <w:lang w:val="zh-CN"/>
        </w:rPr>
        <w:t>：________________</w:t>
      </w:r>
      <w:r>
        <w:rPr>
          <w:rFonts w:hint="eastAsia" w:ascii="宋体" w:hAnsi="宋体" w:eastAsia="宋体" w:cs="宋体"/>
          <w:sz w:val="24"/>
          <w:lang w:val="en-US" w:eastAsia="zh-CN"/>
        </w:rPr>
        <w:t xml:space="preserve">  </w:t>
      </w:r>
    </w:p>
    <w:p w14:paraId="6E889F13">
      <w:pPr>
        <w:pStyle w:val="19"/>
        <w:kinsoku w:val="0"/>
        <w:overflowPunct w:val="0"/>
        <w:spacing w:line="583" w:lineRule="auto"/>
        <w:ind w:right="95"/>
        <w:rPr>
          <w:rFonts w:hint="eastAsia" w:ascii="宋体" w:hAnsi="宋体" w:eastAsia="宋体" w:cs="宋体"/>
          <w:sz w:val="24"/>
        </w:rPr>
      </w:pPr>
      <w:r>
        <w:rPr>
          <w:rFonts w:hint="eastAsia" w:ascii="宋体" w:hAnsi="宋体" w:eastAsia="宋体" w:cs="宋体"/>
          <w:spacing w:val="-3"/>
        </w:rPr>
        <w:t>法定代表人（</w:t>
      </w:r>
      <w:r>
        <w:rPr>
          <w:rFonts w:hint="eastAsia" w:ascii="宋体" w:hAnsi="宋体" w:eastAsia="宋体" w:cs="宋体"/>
        </w:rPr>
        <w:t>单位负责人</w:t>
      </w:r>
      <w:r>
        <w:rPr>
          <w:rFonts w:hint="eastAsia" w:ascii="宋体" w:hAnsi="宋体" w:eastAsia="宋体" w:cs="宋体"/>
          <w:spacing w:val="-3"/>
        </w:rPr>
        <w:t>）（签字</w:t>
      </w:r>
      <w:r>
        <w:rPr>
          <w:rFonts w:hint="eastAsia" w:ascii="宋体" w:hAnsi="宋体" w:eastAsia="宋体" w:cs="宋体"/>
          <w:spacing w:val="-3"/>
          <w:lang w:val="en-US" w:eastAsia="zh-CN"/>
        </w:rPr>
        <w:t>或盖章</w:t>
      </w:r>
      <w:r>
        <w:rPr>
          <w:rFonts w:hint="eastAsia" w:ascii="宋体" w:hAnsi="宋体" w:eastAsia="宋体" w:cs="宋体"/>
          <w:spacing w:val="-3"/>
        </w:rPr>
        <w:t>）：_______</w:t>
      </w:r>
    </w:p>
    <w:p w14:paraId="5C733642">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rPr>
        <w:t>日期：_____年______月______日</w:t>
      </w:r>
    </w:p>
    <w:p w14:paraId="3F99D7BA">
      <w:pPr>
        <w:spacing w:line="360" w:lineRule="auto"/>
        <w:rPr>
          <w:rFonts w:hint="eastAsia" w:ascii="宋体" w:hAnsi="宋体" w:eastAsia="宋体" w:cs="宋体"/>
          <w:sz w:val="24"/>
          <w:szCs w:val="20"/>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2F446CE8">
      <w:pPr>
        <w:spacing w:line="360" w:lineRule="auto"/>
        <w:jc w:val="left"/>
        <w:outlineLvl w:val="0"/>
        <w:rPr>
          <w:rFonts w:hint="eastAsia" w:ascii="宋体" w:hAnsi="宋体" w:eastAsia="宋体" w:cs="宋体"/>
          <w:b/>
          <w:sz w:val="36"/>
          <w:szCs w:val="36"/>
        </w:rPr>
      </w:pPr>
      <w:r>
        <w:rPr>
          <w:rFonts w:hint="eastAsia" w:ascii="宋体" w:hAnsi="宋体" w:cs="宋体"/>
          <w:b/>
          <w:sz w:val="36"/>
          <w:szCs w:val="36"/>
          <w:lang w:val="en-US" w:eastAsia="zh-CN"/>
        </w:rPr>
        <w:t>6</w:t>
      </w:r>
      <w:r>
        <w:rPr>
          <w:rFonts w:hint="eastAsia" w:ascii="宋体" w:hAnsi="宋体" w:eastAsia="宋体" w:cs="宋体"/>
          <w:b/>
          <w:sz w:val="36"/>
          <w:szCs w:val="36"/>
        </w:rPr>
        <w:t xml:space="preserve">  开标一览表</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r>
        <w:rPr>
          <w:rFonts w:hint="eastAsia" w:ascii="宋体" w:hAnsi="宋体" w:eastAsia="宋体" w:cs="宋体"/>
          <w:b/>
          <w:sz w:val="36"/>
          <w:szCs w:val="36"/>
        </w:rPr>
        <w:t>（实质性格式）</w:t>
      </w:r>
    </w:p>
    <w:p w14:paraId="2B977868">
      <w:pPr>
        <w:bidi w:val="0"/>
        <w:jc w:val="center"/>
        <w:rPr>
          <w:rFonts w:hint="eastAsia" w:ascii="宋体" w:hAnsi="宋体" w:eastAsia="宋体" w:cs="宋体"/>
          <w:b/>
          <w:szCs w:val="36"/>
        </w:rPr>
      </w:pPr>
      <w:bookmarkStart w:id="888" w:name="_Toc164608672"/>
      <w:bookmarkStart w:id="889" w:name="_Toc195842923"/>
      <w:bookmarkStart w:id="890" w:name="_Toc305158900"/>
      <w:bookmarkStart w:id="891" w:name="_Toc265228396"/>
      <w:bookmarkStart w:id="892" w:name="_Toc264969248"/>
      <w:bookmarkStart w:id="893" w:name="_Toc226337254"/>
      <w:bookmarkStart w:id="894" w:name="_Toc226965831"/>
      <w:bookmarkStart w:id="895" w:name="_Toc164608827"/>
      <w:bookmarkStart w:id="896" w:name="_Toc305158826"/>
      <w:bookmarkStart w:id="897" w:name="_Toc226965748"/>
      <w:bookmarkStart w:id="898" w:name="_Toc226309802"/>
      <w:r>
        <w:rPr>
          <w:rFonts w:hint="eastAsia" w:ascii="宋体" w:hAnsi="宋体" w:eastAsia="宋体" w:cs="宋体"/>
          <w:sz w:val="28"/>
          <w:szCs w:val="28"/>
        </w:rPr>
        <w:t>开标一览表</w:t>
      </w:r>
      <w:bookmarkEnd w:id="888"/>
      <w:bookmarkEnd w:id="889"/>
      <w:bookmarkEnd w:id="890"/>
      <w:bookmarkEnd w:id="891"/>
      <w:bookmarkEnd w:id="892"/>
      <w:bookmarkEnd w:id="893"/>
      <w:bookmarkEnd w:id="894"/>
      <w:bookmarkEnd w:id="895"/>
      <w:bookmarkEnd w:id="896"/>
      <w:bookmarkEnd w:id="897"/>
      <w:bookmarkEnd w:id="898"/>
    </w:p>
    <w:p w14:paraId="0064DBF8">
      <w:pPr>
        <w:tabs>
          <w:tab w:val="left" w:pos="1800"/>
          <w:tab w:val="left" w:pos="5580"/>
        </w:tabs>
        <w:spacing w:line="360" w:lineRule="auto"/>
        <w:jc w:val="left"/>
        <w:rPr>
          <w:rFonts w:hint="eastAsia" w:ascii="宋体" w:hAnsi="宋体" w:eastAsia="宋体" w:cs="宋体"/>
          <w:i/>
          <w:sz w:val="24"/>
        </w:rPr>
      </w:pPr>
    </w:p>
    <w:p w14:paraId="75E91DC8">
      <w:pPr>
        <w:tabs>
          <w:tab w:val="left" w:pos="1800"/>
          <w:tab w:val="left" w:pos="5580"/>
        </w:tabs>
        <w:spacing w:line="360" w:lineRule="auto"/>
        <w:ind w:firstLine="240" w:firstLineChars="100"/>
        <w:jc w:val="left"/>
        <w:rPr>
          <w:rFonts w:hint="eastAsia" w:ascii="宋体" w:hAnsi="宋体" w:eastAsia="宋体" w:cs="宋体"/>
          <w:sz w:val="24"/>
          <w:u w:val="single"/>
        </w:rPr>
      </w:pPr>
      <w:r>
        <w:rPr>
          <w:rFonts w:hint="eastAsia" w:ascii="宋体" w:hAnsi="宋体" w:eastAsia="宋体" w:cs="宋体"/>
          <w:sz w:val="24"/>
        </w:rPr>
        <w:t xml:space="preserve">项目名称： </w:t>
      </w:r>
      <w:r>
        <w:rPr>
          <w:rFonts w:hint="eastAsia" w:ascii="宋体" w:hAnsi="宋体" w:eastAsia="宋体" w:cs="宋体"/>
          <w:sz w:val="24"/>
          <w:u w:val="single"/>
        </w:rPr>
        <w:t xml:space="preserve">              </w:t>
      </w:r>
    </w:p>
    <w:p w14:paraId="4AF8FA0C">
      <w:pPr>
        <w:tabs>
          <w:tab w:val="left" w:pos="1800"/>
          <w:tab w:val="left" w:pos="5580"/>
        </w:tabs>
        <w:spacing w:line="360" w:lineRule="auto"/>
        <w:ind w:firstLine="240" w:firstLineChars="100"/>
        <w:jc w:val="left"/>
        <w:rPr>
          <w:rFonts w:hint="eastAsia" w:ascii="宋体" w:hAnsi="宋体" w:eastAsia="宋体" w:cs="宋体"/>
          <w:sz w:val="24"/>
          <w:u w:val="single"/>
        </w:rPr>
      </w:pPr>
      <w:r>
        <w:rPr>
          <w:rFonts w:hint="eastAsia" w:ascii="宋体" w:hAnsi="宋体" w:eastAsia="宋体" w:cs="宋体"/>
          <w:sz w:val="24"/>
        </w:rPr>
        <w:t>项目编号：</w:t>
      </w:r>
      <w:r>
        <w:rPr>
          <w:rFonts w:hint="eastAsia" w:ascii="宋体" w:hAnsi="宋体" w:eastAsia="宋体" w:cs="宋体"/>
          <w:sz w:val="24"/>
          <w:u w:val="single"/>
        </w:rPr>
        <w:t xml:space="preserve">               </w:t>
      </w:r>
    </w:p>
    <w:p w14:paraId="7D27A997">
      <w:pPr>
        <w:pStyle w:val="21"/>
        <w:ind w:left="840" w:hanging="420"/>
        <w:jc w:val="right"/>
        <w:rPr>
          <w:rFonts w:hint="eastAsia" w:ascii="宋体" w:hAnsi="宋体" w:eastAsia="宋体" w:cs="宋体"/>
        </w:rPr>
      </w:pPr>
      <w:r>
        <w:rPr>
          <w:rFonts w:hint="eastAsia" w:ascii="宋体" w:hAnsi="宋体" w:cs="宋体"/>
          <w:color w:val="000000"/>
          <w:sz w:val="24"/>
        </w:rPr>
        <w:t>报价单位：人民币元</w:t>
      </w:r>
    </w:p>
    <w:tbl>
      <w:tblPr>
        <w:tblStyle w:val="46"/>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06"/>
        <w:gridCol w:w="3376"/>
        <w:gridCol w:w="1957"/>
        <w:gridCol w:w="879"/>
      </w:tblGrid>
      <w:tr w14:paraId="4CF4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1" w:hRule="atLeast"/>
          <w:jc w:val="center"/>
        </w:trPr>
        <w:tc>
          <w:tcPr>
            <w:tcW w:w="3406" w:type="dxa"/>
            <w:noWrap w:val="0"/>
            <w:vAlign w:val="center"/>
          </w:tcPr>
          <w:p w14:paraId="168F6B7C">
            <w:pPr>
              <w:tabs>
                <w:tab w:val="left" w:pos="5580"/>
              </w:tabs>
              <w:jc w:val="center"/>
              <w:rPr>
                <w:rFonts w:hint="eastAsia" w:ascii="宋体" w:hAnsi="宋体" w:eastAsia="宋体" w:cs="宋体"/>
                <w:b/>
                <w:sz w:val="24"/>
              </w:rPr>
            </w:pPr>
            <w:r>
              <w:rPr>
                <w:rFonts w:hint="eastAsia" w:ascii="宋体" w:hAnsi="宋体" w:eastAsia="宋体" w:cs="宋体"/>
                <w:b/>
                <w:sz w:val="24"/>
              </w:rPr>
              <w:t>投标人名称</w:t>
            </w:r>
          </w:p>
        </w:tc>
        <w:tc>
          <w:tcPr>
            <w:tcW w:w="3376" w:type="dxa"/>
            <w:noWrap w:val="0"/>
            <w:vAlign w:val="center"/>
          </w:tcPr>
          <w:p w14:paraId="7D57487E">
            <w:pPr>
              <w:tabs>
                <w:tab w:val="left" w:pos="5580"/>
              </w:tabs>
              <w:jc w:val="center"/>
              <w:rPr>
                <w:rFonts w:hint="eastAsia" w:ascii="宋体" w:hAnsi="宋体" w:eastAsia="宋体" w:cs="宋体"/>
                <w:lang w:eastAsia="zh-CN"/>
              </w:rPr>
            </w:pPr>
            <w:r>
              <w:rPr>
                <w:rFonts w:hint="eastAsia" w:ascii="宋体" w:hAnsi="宋体" w:eastAsia="宋体" w:cs="宋体"/>
                <w:b/>
                <w:bCs/>
                <w:sz w:val="24"/>
                <w:szCs w:val="32"/>
              </w:rPr>
              <w:t>投标报价</w:t>
            </w:r>
          </w:p>
        </w:tc>
        <w:tc>
          <w:tcPr>
            <w:tcW w:w="1957" w:type="dxa"/>
            <w:noWrap w:val="0"/>
            <w:vAlign w:val="center"/>
          </w:tcPr>
          <w:p w14:paraId="4EE2E6A8">
            <w:pPr>
              <w:tabs>
                <w:tab w:val="left" w:pos="5580"/>
              </w:tabs>
              <w:jc w:val="center"/>
              <w:rPr>
                <w:rFonts w:hint="eastAsia" w:ascii="宋体" w:hAnsi="宋体" w:eastAsia="宋体" w:cs="宋体"/>
                <w:b/>
                <w:sz w:val="24"/>
              </w:rPr>
            </w:pPr>
            <w:r>
              <w:rPr>
                <w:rFonts w:hint="eastAsia" w:ascii="宋体" w:hAnsi="宋体" w:cs="宋体"/>
                <w:b/>
                <w:sz w:val="24"/>
                <w:lang w:val="en-US" w:eastAsia="zh-CN"/>
              </w:rPr>
              <w:t>服务期</w:t>
            </w:r>
          </w:p>
        </w:tc>
        <w:tc>
          <w:tcPr>
            <w:tcW w:w="879" w:type="dxa"/>
            <w:noWrap w:val="0"/>
            <w:vAlign w:val="center"/>
          </w:tcPr>
          <w:p w14:paraId="5310F201">
            <w:pPr>
              <w:tabs>
                <w:tab w:val="left" w:pos="5580"/>
              </w:tabs>
              <w:jc w:val="center"/>
              <w:rPr>
                <w:rFonts w:hint="eastAsia" w:ascii="宋体" w:hAnsi="宋体" w:eastAsia="宋体" w:cs="宋体"/>
                <w:b/>
                <w:sz w:val="24"/>
              </w:rPr>
            </w:pPr>
            <w:r>
              <w:rPr>
                <w:rFonts w:hint="eastAsia" w:ascii="宋体" w:hAnsi="宋体" w:eastAsia="宋体" w:cs="宋体"/>
                <w:b/>
                <w:sz w:val="24"/>
              </w:rPr>
              <w:t>备注</w:t>
            </w:r>
          </w:p>
        </w:tc>
      </w:tr>
      <w:tr w14:paraId="491F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6" w:hRule="atLeast"/>
          <w:jc w:val="center"/>
        </w:trPr>
        <w:tc>
          <w:tcPr>
            <w:tcW w:w="3406" w:type="dxa"/>
            <w:vMerge w:val="restart"/>
            <w:noWrap w:val="0"/>
            <w:vAlign w:val="center"/>
          </w:tcPr>
          <w:p w14:paraId="216E0F44">
            <w:pPr>
              <w:tabs>
                <w:tab w:val="left" w:pos="5580"/>
              </w:tabs>
              <w:jc w:val="center"/>
              <w:rPr>
                <w:rFonts w:hint="eastAsia" w:ascii="宋体" w:hAnsi="宋体" w:eastAsia="宋体" w:cs="宋体"/>
                <w:sz w:val="24"/>
              </w:rPr>
            </w:pPr>
          </w:p>
        </w:tc>
        <w:tc>
          <w:tcPr>
            <w:tcW w:w="3376" w:type="dxa"/>
            <w:noWrap w:val="0"/>
            <w:vAlign w:val="center"/>
          </w:tcPr>
          <w:p w14:paraId="1579F983">
            <w:pPr>
              <w:tabs>
                <w:tab w:val="left" w:pos="5580"/>
              </w:tabs>
              <w:jc w:val="left"/>
              <w:rPr>
                <w:rFonts w:hint="eastAsia" w:ascii="宋体" w:hAnsi="宋体" w:eastAsia="宋体" w:cs="宋体"/>
                <w:sz w:val="24"/>
              </w:rPr>
            </w:pPr>
            <w:r>
              <w:rPr>
                <w:rFonts w:hint="eastAsia" w:ascii="宋体" w:hAnsi="宋体" w:eastAsia="宋体" w:cs="宋体"/>
                <w:sz w:val="24"/>
              </w:rPr>
              <w:t>大写：</w:t>
            </w:r>
          </w:p>
        </w:tc>
        <w:tc>
          <w:tcPr>
            <w:tcW w:w="1957" w:type="dxa"/>
            <w:vMerge w:val="restart"/>
            <w:noWrap w:val="0"/>
            <w:vAlign w:val="center"/>
          </w:tcPr>
          <w:p w14:paraId="599F3A5B">
            <w:pPr>
              <w:tabs>
                <w:tab w:val="left" w:pos="5580"/>
              </w:tabs>
              <w:jc w:val="center"/>
              <w:rPr>
                <w:rFonts w:hint="eastAsia" w:ascii="宋体" w:hAnsi="宋体" w:eastAsia="宋体" w:cs="宋体"/>
                <w:sz w:val="24"/>
              </w:rPr>
            </w:pPr>
          </w:p>
        </w:tc>
        <w:tc>
          <w:tcPr>
            <w:tcW w:w="879" w:type="dxa"/>
            <w:vMerge w:val="restart"/>
            <w:noWrap w:val="0"/>
            <w:vAlign w:val="center"/>
          </w:tcPr>
          <w:p w14:paraId="7BFC49FD">
            <w:pPr>
              <w:tabs>
                <w:tab w:val="left" w:pos="5580"/>
              </w:tabs>
              <w:jc w:val="center"/>
              <w:rPr>
                <w:rFonts w:hint="eastAsia" w:ascii="宋体" w:hAnsi="宋体" w:eastAsia="宋体" w:cs="宋体"/>
                <w:sz w:val="24"/>
              </w:rPr>
            </w:pPr>
          </w:p>
        </w:tc>
      </w:tr>
      <w:tr w14:paraId="1709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6" w:hRule="atLeast"/>
          <w:jc w:val="center"/>
        </w:trPr>
        <w:tc>
          <w:tcPr>
            <w:tcW w:w="3406" w:type="dxa"/>
            <w:vMerge w:val="continue"/>
            <w:noWrap w:val="0"/>
            <w:vAlign w:val="center"/>
          </w:tcPr>
          <w:p w14:paraId="379C8E9D">
            <w:pPr>
              <w:tabs>
                <w:tab w:val="left" w:pos="5580"/>
              </w:tabs>
              <w:jc w:val="left"/>
              <w:rPr>
                <w:rFonts w:hint="eastAsia" w:ascii="宋体" w:hAnsi="宋体" w:eastAsia="宋体" w:cs="宋体"/>
              </w:rPr>
            </w:pPr>
          </w:p>
        </w:tc>
        <w:tc>
          <w:tcPr>
            <w:tcW w:w="3376" w:type="dxa"/>
            <w:noWrap w:val="0"/>
            <w:vAlign w:val="center"/>
          </w:tcPr>
          <w:p w14:paraId="262F456C">
            <w:pPr>
              <w:tabs>
                <w:tab w:val="left" w:pos="5580"/>
              </w:tabs>
              <w:jc w:val="left"/>
              <w:rPr>
                <w:rFonts w:hint="eastAsia" w:ascii="宋体" w:hAnsi="宋体" w:eastAsia="宋体" w:cs="宋体"/>
                <w:sz w:val="24"/>
              </w:rPr>
            </w:pPr>
            <w:r>
              <w:rPr>
                <w:rFonts w:hint="eastAsia" w:ascii="宋体" w:hAnsi="宋体" w:eastAsia="宋体" w:cs="宋体"/>
                <w:sz w:val="24"/>
              </w:rPr>
              <w:t>小写：</w:t>
            </w:r>
          </w:p>
        </w:tc>
        <w:tc>
          <w:tcPr>
            <w:tcW w:w="1957" w:type="dxa"/>
            <w:vMerge w:val="continue"/>
            <w:noWrap w:val="0"/>
            <w:vAlign w:val="center"/>
          </w:tcPr>
          <w:p w14:paraId="578B5452">
            <w:pPr>
              <w:tabs>
                <w:tab w:val="left" w:pos="5580"/>
              </w:tabs>
              <w:jc w:val="left"/>
              <w:rPr>
                <w:rFonts w:hint="eastAsia" w:ascii="宋体" w:hAnsi="宋体" w:eastAsia="宋体" w:cs="宋体"/>
                <w:sz w:val="24"/>
              </w:rPr>
            </w:pPr>
          </w:p>
        </w:tc>
        <w:tc>
          <w:tcPr>
            <w:tcW w:w="879" w:type="dxa"/>
            <w:vMerge w:val="continue"/>
            <w:noWrap w:val="0"/>
            <w:vAlign w:val="center"/>
          </w:tcPr>
          <w:p w14:paraId="5F6D2FC0">
            <w:pPr>
              <w:tabs>
                <w:tab w:val="left" w:pos="5580"/>
              </w:tabs>
              <w:jc w:val="left"/>
              <w:rPr>
                <w:rFonts w:hint="eastAsia" w:ascii="宋体" w:hAnsi="宋体" w:eastAsia="宋体" w:cs="宋体"/>
                <w:sz w:val="24"/>
              </w:rPr>
            </w:pPr>
          </w:p>
        </w:tc>
      </w:tr>
    </w:tbl>
    <w:p w14:paraId="4E1E8959">
      <w:pPr>
        <w:autoSpaceDE w:val="0"/>
        <w:autoSpaceDN w:val="0"/>
        <w:adjustRightInd w:val="0"/>
        <w:jc w:val="left"/>
        <w:rPr>
          <w:rFonts w:hint="eastAsia" w:ascii="宋体" w:hAnsi="宋体" w:eastAsia="宋体" w:cs="宋体"/>
          <w:kern w:val="0"/>
          <w:sz w:val="24"/>
        </w:rPr>
      </w:pPr>
    </w:p>
    <w:p w14:paraId="0AD6DD41">
      <w:pPr>
        <w:autoSpaceDE w:val="0"/>
        <w:autoSpaceDN w:val="0"/>
        <w:adjustRightInd w:val="0"/>
        <w:snapToGrid w:val="0"/>
        <w:spacing w:before="25" w:after="25" w:line="360" w:lineRule="auto"/>
        <w:rPr>
          <w:rFonts w:hint="eastAsia" w:ascii="宋体" w:hAnsi="宋体" w:eastAsia="宋体" w:cs="宋体"/>
          <w:sz w:val="24"/>
          <w:lang w:val="zh-CN"/>
        </w:rPr>
      </w:pPr>
      <w:r>
        <w:rPr>
          <w:rFonts w:hint="eastAsia" w:ascii="宋体" w:hAnsi="宋体" w:eastAsia="宋体" w:cs="宋体"/>
          <w:sz w:val="24"/>
          <w:lang w:val="zh-CN"/>
        </w:rPr>
        <w:t>注：此表中的投标报价应和《投标分项报价表》中的总价相一致。</w:t>
      </w:r>
    </w:p>
    <w:p w14:paraId="41AF5694">
      <w:pPr>
        <w:autoSpaceDE w:val="0"/>
        <w:autoSpaceDN w:val="0"/>
        <w:adjustRightInd w:val="0"/>
        <w:snapToGrid w:val="0"/>
        <w:spacing w:before="25" w:after="25" w:line="360" w:lineRule="auto"/>
        <w:rPr>
          <w:rFonts w:hint="eastAsia" w:ascii="宋体" w:hAnsi="宋体" w:eastAsia="宋体" w:cs="宋体"/>
          <w:sz w:val="24"/>
          <w:lang w:val="zh-CN"/>
        </w:rPr>
      </w:pPr>
      <w:r>
        <w:rPr>
          <w:rFonts w:hint="eastAsia" w:ascii="宋体" w:hAnsi="宋体" w:eastAsia="宋体" w:cs="宋体"/>
          <w:sz w:val="24"/>
          <w:lang w:val="zh-CN"/>
        </w:rPr>
        <w:t xml:space="preserve">     </w:t>
      </w:r>
    </w:p>
    <w:p w14:paraId="65880DC9">
      <w:pPr>
        <w:autoSpaceDE w:val="0"/>
        <w:autoSpaceDN w:val="0"/>
        <w:adjustRightInd w:val="0"/>
        <w:snapToGrid w:val="0"/>
        <w:spacing w:before="25" w:after="25" w:line="360" w:lineRule="auto"/>
        <w:rPr>
          <w:rFonts w:hint="eastAsia" w:ascii="宋体" w:hAnsi="宋体" w:eastAsia="宋体" w:cs="宋体"/>
          <w:sz w:val="24"/>
          <w:lang w:val="zh-CN"/>
        </w:rPr>
      </w:pPr>
    </w:p>
    <w:p w14:paraId="01DB2ED8">
      <w:pPr>
        <w:autoSpaceDE w:val="0"/>
        <w:autoSpaceDN w:val="0"/>
        <w:adjustRightInd w:val="0"/>
        <w:snapToGrid w:val="0"/>
        <w:spacing w:before="25" w:after="25" w:line="360" w:lineRule="auto"/>
        <w:rPr>
          <w:rFonts w:hint="eastAsia" w:ascii="宋体" w:hAnsi="宋体" w:eastAsia="宋体" w:cs="宋体"/>
          <w:sz w:val="24"/>
          <w:lang w:val="zh-CN"/>
        </w:rPr>
      </w:pPr>
    </w:p>
    <w:p w14:paraId="34CAFB1A">
      <w:pPr>
        <w:autoSpaceDE w:val="0"/>
        <w:autoSpaceDN w:val="0"/>
        <w:adjustRightInd w:val="0"/>
        <w:snapToGrid w:val="0"/>
        <w:spacing w:before="25" w:after="25" w:line="360" w:lineRule="auto"/>
        <w:rPr>
          <w:rFonts w:hint="eastAsia" w:ascii="宋体" w:hAnsi="宋体" w:eastAsia="宋体" w:cs="宋体"/>
          <w:sz w:val="24"/>
          <w:lang w:val="zh-CN"/>
        </w:rPr>
      </w:pPr>
      <w:r>
        <w:rPr>
          <w:rFonts w:hint="eastAsia" w:ascii="宋体" w:hAnsi="宋体" w:eastAsia="宋体" w:cs="宋体"/>
          <w:sz w:val="24"/>
          <w:lang w:val="zh-CN"/>
        </w:rPr>
        <w:t xml:space="preserve">                    </w:t>
      </w:r>
    </w:p>
    <w:p w14:paraId="27B38057">
      <w:pPr>
        <w:autoSpaceDE w:val="0"/>
        <w:autoSpaceDN w:val="0"/>
        <w:adjustRightInd w:val="0"/>
        <w:snapToGrid w:val="0"/>
        <w:spacing w:before="25" w:after="25" w:line="360" w:lineRule="auto"/>
        <w:rPr>
          <w:rFonts w:hint="eastAsia" w:ascii="宋体" w:hAnsi="宋体" w:eastAsia="宋体" w:cs="宋体"/>
          <w:sz w:val="24"/>
          <w:lang w:val="zh-CN"/>
        </w:rPr>
      </w:pPr>
      <w:r>
        <w:rPr>
          <w:rFonts w:hint="eastAsia" w:ascii="宋体" w:hAnsi="宋体" w:eastAsia="宋体" w:cs="宋体"/>
          <w:sz w:val="24"/>
        </w:rPr>
        <w:t>投标人名称（加盖公章）</w:t>
      </w:r>
      <w:r>
        <w:rPr>
          <w:rFonts w:hint="eastAsia" w:ascii="宋体" w:hAnsi="宋体" w:eastAsia="宋体" w:cs="宋体"/>
          <w:sz w:val="24"/>
          <w:lang w:val="zh-CN"/>
        </w:rPr>
        <w:t>：____________</w:t>
      </w:r>
    </w:p>
    <w:p w14:paraId="7C1498CF">
      <w:pPr>
        <w:autoSpaceDE w:val="0"/>
        <w:autoSpaceDN w:val="0"/>
        <w:adjustRightInd w:val="0"/>
        <w:snapToGrid w:val="0"/>
        <w:spacing w:before="25" w:after="25" w:line="360" w:lineRule="auto"/>
        <w:rPr>
          <w:rFonts w:hint="eastAsia" w:ascii="宋体" w:hAnsi="宋体" w:eastAsia="宋体" w:cs="宋体"/>
          <w:sz w:val="24"/>
          <w:lang w:val="zh-CN"/>
        </w:rPr>
      </w:pPr>
      <w:r>
        <w:rPr>
          <w:rFonts w:hint="eastAsia" w:ascii="宋体" w:hAnsi="宋体" w:eastAsia="宋体" w:cs="宋体"/>
          <w:sz w:val="24"/>
          <w:szCs w:val="20"/>
        </w:rPr>
        <w:t xml:space="preserve">日期：_____年______月______日   </w:t>
      </w:r>
    </w:p>
    <w:p w14:paraId="52D37E09">
      <w:pPr>
        <w:widowControl/>
        <w:jc w:val="left"/>
        <w:rPr>
          <w:rFonts w:hint="eastAsia" w:ascii="宋体" w:hAnsi="宋体" w:eastAsia="宋体" w:cs="宋体"/>
          <w:sz w:val="24"/>
          <w:szCs w:val="20"/>
        </w:rPr>
      </w:pPr>
      <w:bookmarkStart w:id="899" w:name="_Toc142311060"/>
      <w:bookmarkStart w:id="900" w:name="_Toc226965749"/>
      <w:bookmarkStart w:id="901" w:name="_Toc195842924"/>
      <w:bookmarkStart w:id="902" w:name="_Toc226309803"/>
      <w:bookmarkStart w:id="903" w:name="_Toc265228397"/>
      <w:bookmarkStart w:id="904" w:name="_Toc150480796"/>
      <w:bookmarkStart w:id="905" w:name="_Toc264969249"/>
      <w:bookmarkStart w:id="906" w:name="_Toc150774763"/>
      <w:bookmarkStart w:id="907" w:name="_Toc127151558"/>
      <w:bookmarkStart w:id="908" w:name="_Toc226965832"/>
      <w:bookmarkStart w:id="909" w:name="_Toc305158827"/>
      <w:bookmarkStart w:id="910" w:name="_Toc226337255"/>
      <w:bookmarkStart w:id="911" w:name="_Toc305158901"/>
    </w:p>
    <w:p w14:paraId="5A723039">
      <w:pPr>
        <w:widowControl/>
        <w:jc w:val="left"/>
        <w:rPr>
          <w:rFonts w:hint="eastAsia" w:ascii="宋体" w:hAnsi="宋体" w:eastAsia="宋体" w:cs="宋体"/>
          <w:sz w:val="24"/>
          <w:szCs w:val="20"/>
        </w:rPr>
      </w:pPr>
    </w:p>
    <w:p w14:paraId="67E6E2C8">
      <w:pPr>
        <w:widowControl/>
        <w:jc w:val="left"/>
        <w:rPr>
          <w:rFonts w:hint="eastAsia" w:ascii="宋体" w:hAnsi="宋体" w:eastAsia="宋体" w:cs="宋体"/>
          <w:sz w:val="24"/>
          <w:szCs w:val="20"/>
        </w:rPr>
      </w:pPr>
    </w:p>
    <w:p w14:paraId="5A4BB102">
      <w:pPr>
        <w:widowControl/>
        <w:jc w:val="left"/>
        <w:rPr>
          <w:rFonts w:hint="eastAsia" w:ascii="宋体" w:hAnsi="宋体" w:eastAsia="宋体" w:cs="宋体"/>
          <w:sz w:val="24"/>
          <w:szCs w:val="20"/>
        </w:rPr>
      </w:pPr>
    </w:p>
    <w:p w14:paraId="40674EFA">
      <w:pPr>
        <w:widowControl/>
        <w:jc w:val="left"/>
        <w:rPr>
          <w:rFonts w:hint="eastAsia" w:ascii="宋体" w:hAnsi="宋体" w:eastAsia="宋体" w:cs="宋体"/>
          <w:sz w:val="24"/>
          <w:szCs w:val="20"/>
        </w:rPr>
      </w:pPr>
    </w:p>
    <w:p w14:paraId="6FCC1DC4">
      <w:pPr>
        <w:widowControl/>
        <w:jc w:val="left"/>
        <w:rPr>
          <w:rFonts w:hint="eastAsia" w:ascii="宋体" w:hAnsi="宋体" w:eastAsia="宋体" w:cs="宋体"/>
          <w:sz w:val="24"/>
          <w:szCs w:val="20"/>
        </w:rPr>
      </w:pPr>
      <w:r>
        <w:rPr>
          <w:rFonts w:hint="eastAsia" w:ascii="宋体" w:hAnsi="宋体" w:eastAsia="宋体" w:cs="宋体"/>
          <w:sz w:val="24"/>
          <w:szCs w:val="20"/>
        </w:rPr>
        <w:br w:type="page"/>
      </w:r>
    </w:p>
    <w:bookmarkEnd w:id="899"/>
    <w:bookmarkEnd w:id="900"/>
    <w:bookmarkEnd w:id="901"/>
    <w:bookmarkEnd w:id="902"/>
    <w:bookmarkEnd w:id="903"/>
    <w:bookmarkEnd w:id="904"/>
    <w:bookmarkEnd w:id="905"/>
    <w:bookmarkEnd w:id="906"/>
    <w:bookmarkEnd w:id="907"/>
    <w:bookmarkEnd w:id="908"/>
    <w:bookmarkEnd w:id="909"/>
    <w:bookmarkEnd w:id="910"/>
    <w:bookmarkEnd w:id="911"/>
    <w:p w14:paraId="7AAFF14F">
      <w:pPr>
        <w:spacing w:line="360" w:lineRule="auto"/>
        <w:jc w:val="left"/>
        <w:outlineLvl w:val="0"/>
        <w:rPr>
          <w:rFonts w:hint="eastAsia" w:ascii="宋体" w:hAnsi="宋体" w:eastAsia="宋体" w:cs="宋体"/>
          <w:b/>
          <w:color w:val="000000"/>
          <w:sz w:val="36"/>
          <w:szCs w:val="36"/>
        </w:rPr>
      </w:pPr>
      <w:bookmarkStart w:id="912" w:name="_Toc142311062"/>
      <w:bookmarkStart w:id="913" w:name="_Toc150480798"/>
      <w:bookmarkStart w:id="914" w:name="_Toc226309806"/>
      <w:bookmarkStart w:id="915" w:name="_Toc127151562"/>
      <w:bookmarkStart w:id="916" w:name="_Toc226965835"/>
      <w:bookmarkStart w:id="917" w:name="_Toc226965752"/>
      <w:bookmarkStart w:id="918" w:name="_Toc305158904"/>
      <w:bookmarkStart w:id="919" w:name="_Toc226337258"/>
      <w:bookmarkStart w:id="920" w:name="_Toc265228400"/>
      <w:bookmarkStart w:id="921" w:name="_Toc150774765"/>
      <w:bookmarkStart w:id="922" w:name="_Toc305158830"/>
      <w:bookmarkStart w:id="923" w:name="_Toc264969252"/>
      <w:bookmarkStart w:id="924" w:name="_Toc195842927"/>
      <w:bookmarkStart w:id="925" w:name="_Toc150774764"/>
      <w:bookmarkStart w:id="926" w:name="_Toc305158829"/>
      <w:bookmarkStart w:id="927" w:name="_Toc226337257"/>
      <w:bookmarkStart w:id="928" w:name="_Toc150480797"/>
      <w:bookmarkStart w:id="929" w:name="_Toc305158903"/>
      <w:bookmarkStart w:id="930" w:name="_Toc226965834"/>
      <w:bookmarkStart w:id="931" w:name="_Toc226309805"/>
      <w:bookmarkStart w:id="932" w:name="_Toc195842926"/>
      <w:bookmarkStart w:id="933" w:name="_Toc142311061"/>
      <w:bookmarkStart w:id="934" w:name="_Toc265228399"/>
      <w:bookmarkStart w:id="935" w:name="_Toc127151561"/>
      <w:bookmarkStart w:id="936" w:name="_Toc226965751"/>
      <w:bookmarkStart w:id="937" w:name="_Toc264969251"/>
      <w:r>
        <w:rPr>
          <w:rFonts w:hint="eastAsia" w:ascii="宋体" w:hAnsi="宋体" w:cs="宋体"/>
          <w:b/>
          <w:color w:val="000000"/>
          <w:sz w:val="36"/>
          <w:szCs w:val="36"/>
          <w:lang w:val="en-US" w:eastAsia="zh-CN"/>
        </w:rPr>
        <w:t>7</w:t>
      </w:r>
      <w:r>
        <w:rPr>
          <w:rFonts w:hint="eastAsia" w:ascii="宋体" w:hAnsi="宋体" w:eastAsia="宋体" w:cs="宋体"/>
          <w:b/>
          <w:color w:val="000000"/>
          <w:sz w:val="36"/>
          <w:szCs w:val="36"/>
        </w:rPr>
        <w:t xml:space="preserve"> 投标分项报价表（实质性格式）</w:t>
      </w:r>
    </w:p>
    <w:p w14:paraId="4B057031">
      <w:pPr>
        <w:spacing w:line="360" w:lineRule="exact"/>
        <w:jc w:val="center"/>
        <w:rPr>
          <w:rFonts w:hint="eastAsia" w:ascii="宋体" w:hAnsi="宋体" w:eastAsia="宋体" w:cs="宋体"/>
          <w:color w:val="000000"/>
          <w:sz w:val="36"/>
          <w:szCs w:val="36"/>
        </w:rPr>
      </w:pPr>
    </w:p>
    <w:p w14:paraId="6295E5CB">
      <w:pPr>
        <w:bidi w:val="0"/>
        <w:jc w:val="center"/>
        <w:rPr>
          <w:rFonts w:hint="eastAsia" w:ascii="宋体" w:hAnsi="宋体" w:eastAsia="宋体" w:cs="宋体"/>
          <w:b/>
          <w:color w:val="000000"/>
          <w:szCs w:val="36"/>
        </w:rPr>
      </w:pPr>
      <w:r>
        <w:rPr>
          <w:rFonts w:hint="eastAsia" w:ascii="宋体" w:hAnsi="宋体" w:eastAsia="宋体" w:cs="宋体"/>
          <w:sz w:val="28"/>
          <w:szCs w:val="28"/>
        </w:rPr>
        <w:t>投标分项报价表</w:t>
      </w:r>
    </w:p>
    <w:p w14:paraId="556A2083">
      <w:pPr>
        <w:spacing w:line="360" w:lineRule="auto"/>
        <w:rPr>
          <w:rFonts w:hint="eastAsia" w:ascii="宋体" w:hAnsi="宋体" w:eastAsia="宋体" w:cs="宋体"/>
          <w:sz w:val="24"/>
          <w:szCs w:val="20"/>
        </w:rPr>
      </w:pPr>
    </w:p>
    <w:p w14:paraId="660DE6D4">
      <w:pPr>
        <w:tabs>
          <w:tab w:val="left" w:pos="1800"/>
          <w:tab w:val="left" w:pos="5580"/>
        </w:tabs>
        <w:spacing w:line="360" w:lineRule="auto"/>
        <w:ind w:firstLine="240" w:firstLineChars="100"/>
        <w:jc w:val="left"/>
        <w:rPr>
          <w:rFonts w:hint="eastAsia" w:ascii="宋体" w:hAnsi="宋体" w:eastAsia="宋体" w:cs="宋体"/>
          <w:sz w:val="24"/>
          <w:u w:val="single"/>
        </w:rPr>
      </w:pPr>
      <w:r>
        <w:rPr>
          <w:rFonts w:hint="eastAsia" w:ascii="宋体" w:hAnsi="宋体" w:eastAsia="宋体" w:cs="宋体"/>
          <w:sz w:val="24"/>
        </w:rPr>
        <w:t xml:space="preserve">项目名称： </w:t>
      </w:r>
      <w:r>
        <w:rPr>
          <w:rFonts w:hint="eastAsia" w:ascii="宋体" w:hAnsi="宋体" w:eastAsia="宋体" w:cs="宋体"/>
          <w:sz w:val="24"/>
          <w:u w:val="single"/>
        </w:rPr>
        <w:t xml:space="preserve">              </w:t>
      </w:r>
    </w:p>
    <w:p w14:paraId="2472256E">
      <w:pPr>
        <w:tabs>
          <w:tab w:val="left" w:pos="1800"/>
          <w:tab w:val="left" w:pos="5580"/>
        </w:tabs>
        <w:spacing w:line="360" w:lineRule="auto"/>
        <w:ind w:firstLine="240" w:firstLineChars="100"/>
        <w:jc w:val="left"/>
        <w:rPr>
          <w:rFonts w:hint="eastAsia" w:ascii="宋体" w:hAnsi="宋体" w:eastAsia="宋体" w:cs="宋体"/>
          <w:sz w:val="24"/>
          <w:u w:val="single"/>
        </w:rPr>
      </w:pPr>
      <w:r>
        <w:rPr>
          <w:rFonts w:hint="eastAsia" w:ascii="宋体" w:hAnsi="宋体" w:eastAsia="宋体" w:cs="宋体"/>
          <w:sz w:val="24"/>
        </w:rPr>
        <w:t>项目编号：</w:t>
      </w:r>
      <w:r>
        <w:rPr>
          <w:rFonts w:hint="eastAsia" w:ascii="宋体" w:hAnsi="宋体" w:eastAsia="宋体" w:cs="宋体"/>
          <w:sz w:val="24"/>
          <w:u w:val="single"/>
        </w:rPr>
        <w:t xml:space="preserve">               </w:t>
      </w:r>
    </w:p>
    <w:p w14:paraId="31C726BF">
      <w:pPr>
        <w:pStyle w:val="21"/>
        <w:ind w:left="0" w:leftChars="0" w:firstLine="210" w:firstLineChars="100"/>
        <w:rPr>
          <w:rFonts w:hint="eastAsia" w:ascii="宋体" w:hAnsi="宋体" w:eastAsia="宋体" w:cs="宋体"/>
        </w:rPr>
      </w:pPr>
    </w:p>
    <w:p w14:paraId="71BFDC46">
      <w:pPr>
        <w:tabs>
          <w:tab w:val="left" w:pos="1800"/>
          <w:tab w:val="left" w:pos="5580"/>
        </w:tabs>
        <w:ind w:firstLine="6960" w:firstLineChars="2900"/>
        <w:rPr>
          <w:rFonts w:ascii="宋体" w:hAnsi="宋体" w:cs="宋体"/>
          <w:color w:val="000000"/>
          <w:sz w:val="24"/>
        </w:rPr>
      </w:pPr>
      <w:r>
        <w:rPr>
          <w:rFonts w:hint="eastAsia" w:ascii="宋体" w:hAnsi="宋体" w:cs="宋体"/>
          <w:color w:val="000000"/>
          <w:sz w:val="24"/>
        </w:rPr>
        <w:t>报价单位：人民币元</w:t>
      </w:r>
    </w:p>
    <w:tbl>
      <w:tblPr>
        <w:tblStyle w:val="46"/>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809"/>
        <w:gridCol w:w="2103"/>
        <w:gridCol w:w="970"/>
        <w:gridCol w:w="2234"/>
        <w:gridCol w:w="1425"/>
      </w:tblGrid>
      <w:tr w14:paraId="27E7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27" w:type="dxa"/>
            <w:noWrap w:val="0"/>
            <w:vAlign w:val="center"/>
          </w:tcPr>
          <w:p w14:paraId="0ADDFF39">
            <w:pPr>
              <w:adjustRightInd w:val="0"/>
              <w:snapToGrid w:val="0"/>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1809" w:type="dxa"/>
            <w:noWrap w:val="0"/>
            <w:vAlign w:val="center"/>
          </w:tcPr>
          <w:p w14:paraId="45BE5637">
            <w:pPr>
              <w:adjustRightInd w:val="0"/>
              <w:snapToGrid w:val="0"/>
              <w:jc w:val="center"/>
              <w:rPr>
                <w:rFonts w:hint="eastAsia" w:ascii="宋体" w:hAnsi="宋体" w:eastAsia="宋体" w:cs="宋体"/>
                <w:b/>
                <w:color w:val="000000"/>
                <w:sz w:val="24"/>
              </w:rPr>
            </w:pPr>
            <w:r>
              <w:rPr>
                <w:rFonts w:hint="eastAsia" w:ascii="宋体" w:hAnsi="宋体" w:cs="宋体"/>
                <w:b/>
                <w:color w:val="000000"/>
                <w:sz w:val="24"/>
                <w:lang w:val="en-US" w:eastAsia="zh-CN"/>
              </w:rPr>
              <w:t>分项</w:t>
            </w:r>
            <w:r>
              <w:rPr>
                <w:rFonts w:hint="eastAsia" w:ascii="宋体" w:hAnsi="宋体" w:eastAsia="宋体" w:cs="宋体"/>
                <w:b/>
                <w:color w:val="000000"/>
                <w:sz w:val="24"/>
              </w:rPr>
              <w:t>名称</w:t>
            </w:r>
          </w:p>
        </w:tc>
        <w:tc>
          <w:tcPr>
            <w:tcW w:w="2103" w:type="dxa"/>
            <w:noWrap w:val="0"/>
            <w:vAlign w:val="center"/>
          </w:tcPr>
          <w:p w14:paraId="3976651A">
            <w:pPr>
              <w:adjustRightInd w:val="0"/>
              <w:snapToGrid w:val="0"/>
              <w:jc w:val="center"/>
              <w:rPr>
                <w:rFonts w:hint="eastAsia" w:ascii="宋体" w:hAnsi="宋体" w:eastAsia="宋体" w:cs="宋体"/>
                <w:b/>
                <w:color w:val="000000"/>
                <w:sz w:val="24"/>
              </w:rPr>
            </w:pPr>
            <w:r>
              <w:rPr>
                <w:rFonts w:hint="eastAsia" w:ascii="宋体" w:hAnsi="宋体" w:eastAsia="宋体" w:cs="宋体"/>
                <w:b/>
                <w:color w:val="000000"/>
                <w:sz w:val="24"/>
              </w:rPr>
              <w:t>单价（元）</w:t>
            </w:r>
          </w:p>
        </w:tc>
        <w:tc>
          <w:tcPr>
            <w:tcW w:w="970" w:type="dxa"/>
            <w:noWrap w:val="0"/>
            <w:vAlign w:val="center"/>
          </w:tcPr>
          <w:p w14:paraId="535BA656">
            <w:pPr>
              <w:adjustRightInd w:val="0"/>
              <w:snapToGrid w:val="0"/>
              <w:jc w:val="center"/>
              <w:rPr>
                <w:rFonts w:hint="eastAsia" w:ascii="宋体" w:hAnsi="宋体" w:eastAsia="宋体" w:cs="宋体"/>
                <w:b/>
                <w:color w:val="000000"/>
                <w:sz w:val="24"/>
              </w:rPr>
            </w:pPr>
            <w:r>
              <w:rPr>
                <w:rFonts w:hint="eastAsia" w:ascii="宋体" w:hAnsi="宋体" w:eastAsia="宋体" w:cs="宋体"/>
                <w:b/>
                <w:color w:val="000000"/>
                <w:sz w:val="24"/>
              </w:rPr>
              <w:t>数量</w:t>
            </w:r>
          </w:p>
        </w:tc>
        <w:tc>
          <w:tcPr>
            <w:tcW w:w="2234" w:type="dxa"/>
            <w:noWrap w:val="0"/>
            <w:vAlign w:val="center"/>
          </w:tcPr>
          <w:p w14:paraId="62C199B1">
            <w:pPr>
              <w:adjustRightInd w:val="0"/>
              <w:snapToGrid w:val="0"/>
              <w:jc w:val="center"/>
              <w:rPr>
                <w:rFonts w:hint="eastAsia" w:ascii="宋体" w:hAnsi="宋体" w:eastAsia="宋体" w:cs="宋体"/>
                <w:b/>
                <w:color w:val="000000"/>
                <w:sz w:val="24"/>
              </w:rPr>
            </w:pPr>
            <w:r>
              <w:rPr>
                <w:rFonts w:hint="eastAsia" w:ascii="宋体" w:hAnsi="宋体" w:eastAsia="宋体" w:cs="宋体"/>
                <w:b/>
                <w:color w:val="000000"/>
                <w:sz w:val="24"/>
              </w:rPr>
              <w:t>合价（元）</w:t>
            </w:r>
          </w:p>
        </w:tc>
        <w:tc>
          <w:tcPr>
            <w:tcW w:w="1425" w:type="dxa"/>
            <w:noWrap w:val="0"/>
            <w:vAlign w:val="center"/>
          </w:tcPr>
          <w:p w14:paraId="22159856">
            <w:pPr>
              <w:adjustRightInd w:val="0"/>
              <w:snapToGrid w:val="0"/>
              <w:jc w:val="center"/>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备注/说明</w:t>
            </w:r>
          </w:p>
        </w:tc>
      </w:tr>
      <w:tr w14:paraId="57D2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227" w:type="dxa"/>
            <w:noWrap w:val="0"/>
            <w:vAlign w:val="center"/>
          </w:tcPr>
          <w:p w14:paraId="66C479F7">
            <w:pPr>
              <w:adjustRightInd w:val="0"/>
              <w:snapToGrid w:val="0"/>
              <w:jc w:val="left"/>
              <w:rPr>
                <w:rFonts w:hint="eastAsia" w:ascii="宋体" w:hAnsi="宋体" w:eastAsia="宋体" w:cs="宋体"/>
                <w:color w:val="000000"/>
                <w:sz w:val="24"/>
              </w:rPr>
            </w:pPr>
            <w:r>
              <w:rPr>
                <w:rFonts w:hint="eastAsia" w:ascii="宋体" w:hAnsi="宋体" w:eastAsia="宋体" w:cs="宋体"/>
                <w:color w:val="000000"/>
                <w:sz w:val="24"/>
              </w:rPr>
              <w:t>1</w:t>
            </w:r>
          </w:p>
        </w:tc>
        <w:tc>
          <w:tcPr>
            <w:tcW w:w="1809" w:type="dxa"/>
            <w:noWrap w:val="0"/>
            <w:vAlign w:val="center"/>
          </w:tcPr>
          <w:p w14:paraId="19164CBD">
            <w:pPr>
              <w:adjustRightInd w:val="0"/>
              <w:snapToGrid w:val="0"/>
              <w:jc w:val="left"/>
              <w:rPr>
                <w:rFonts w:hint="eastAsia" w:ascii="宋体" w:hAnsi="宋体" w:eastAsia="宋体" w:cs="宋体"/>
                <w:color w:val="000000"/>
                <w:sz w:val="24"/>
              </w:rPr>
            </w:pPr>
          </w:p>
        </w:tc>
        <w:tc>
          <w:tcPr>
            <w:tcW w:w="2103" w:type="dxa"/>
            <w:noWrap w:val="0"/>
            <w:vAlign w:val="center"/>
          </w:tcPr>
          <w:p w14:paraId="509233BD">
            <w:pPr>
              <w:adjustRightInd w:val="0"/>
              <w:snapToGrid w:val="0"/>
              <w:jc w:val="left"/>
              <w:rPr>
                <w:rFonts w:hint="eastAsia" w:ascii="宋体" w:hAnsi="宋体" w:eastAsia="宋体" w:cs="宋体"/>
                <w:color w:val="000000"/>
                <w:sz w:val="24"/>
              </w:rPr>
            </w:pPr>
          </w:p>
        </w:tc>
        <w:tc>
          <w:tcPr>
            <w:tcW w:w="970" w:type="dxa"/>
            <w:noWrap w:val="0"/>
            <w:vAlign w:val="center"/>
          </w:tcPr>
          <w:p w14:paraId="2BB07FEB">
            <w:pPr>
              <w:adjustRightInd w:val="0"/>
              <w:snapToGrid w:val="0"/>
              <w:jc w:val="left"/>
              <w:rPr>
                <w:rFonts w:hint="eastAsia" w:ascii="宋体" w:hAnsi="宋体" w:eastAsia="宋体" w:cs="宋体"/>
                <w:color w:val="000000"/>
                <w:sz w:val="24"/>
              </w:rPr>
            </w:pPr>
          </w:p>
        </w:tc>
        <w:tc>
          <w:tcPr>
            <w:tcW w:w="2234" w:type="dxa"/>
            <w:noWrap w:val="0"/>
            <w:vAlign w:val="center"/>
          </w:tcPr>
          <w:p w14:paraId="21AF34F3">
            <w:pPr>
              <w:adjustRightInd w:val="0"/>
              <w:snapToGrid w:val="0"/>
              <w:jc w:val="left"/>
              <w:rPr>
                <w:rFonts w:hint="eastAsia" w:ascii="宋体" w:hAnsi="宋体" w:eastAsia="宋体" w:cs="宋体"/>
                <w:color w:val="000000"/>
                <w:sz w:val="24"/>
              </w:rPr>
            </w:pPr>
          </w:p>
        </w:tc>
        <w:tc>
          <w:tcPr>
            <w:tcW w:w="1425" w:type="dxa"/>
            <w:noWrap w:val="0"/>
            <w:vAlign w:val="center"/>
          </w:tcPr>
          <w:p w14:paraId="4037BC76">
            <w:pPr>
              <w:adjustRightInd w:val="0"/>
              <w:snapToGrid w:val="0"/>
              <w:jc w:val="left"/>
              <w:rPr>
                <w:rFonts w:hint="eastAsia" w:ascii="宋体" w:hAnsi="宋体" w:eastAsia="宋体" w:cs="宋体"/>
                <w:color w:val="000000"/>
                <w:sz w:val="24"/>
              </w:rPr>
            </w:pPr>
          </w:p>
        </w:tc>
      </w:tr>
      <w:tr w14:paraId="1A55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227" w:type="dxa"/>
            <w:noWrap w:val="0"/>
            <w:vAlign w:val="center"/>
          </w:tcPr>
          <w:p w14:paraId="11CB7BAC">
            <w:pPr>
              <w:adjustRightInd w:val="0"/>
              <w:snapToGrid w:val="0"/>
              <w:jc w:val="left"/>
              <w:rPr>
                <w:rFonts w:hint="eastAsia" w:ascii="宋体" w:hAnsi="宋体" w:eastAsia="宋体" w:cs="宋体"/>
                <w:color w:val="000000"/>
                <w:sz w:val="24"/>
              </w:rPr>
            </w:pPr>
            <w:r>
              <w:rPr>
                <w:rFonts w:hint="eastAsia" w:ascii="宋体" w:hAnsi="宋体" w:eastAsia="宋体" w:cs="宋体"/>
                <w:color w:val="000000"/>
                <w:sz w:val="24"/>
              </w:rPr>
              <w:t>2</w:t>
            </w:r>
          </w:p>
        </w:tc>
        <w:tc>
          <w:tcPr>
            <w:tcW w:w="1809" w:type="dxa"/>
            <w:noWrap w:val="0"/>
            <w:vAlign w:val="center"/>
          </w:tcPr>
          <w:p w14:paraId="7A8D9578">
            <w:pPr>
              <w:adjustRightInd w:val="0"/>
              <w:snapToGrid w:val="0"/>
              <w:jc w:val="left"/>
              <w:rPr>
                <w:rFonts w:hint="eastAsia" w:ascii="宋体" w:hAnsi="宋体" w:eastAsia="宋体" w:cs="宋体"/>
                <w:color w:val="000000"/>
                <w:sz w:val="24"/>
              </w:rPr>
            </w:pPr>
          </w:p>
        </w:tc>
        <w:tc>
          <w:tcPr>
            <w:tcW w:w="2103" w:type="dxa"/>
            <w:noWrap w:val="0"/>
            <w:vAlign w:val="center"/>
          </w:tcPr>
          <w:p w14:paraId="29DED010">
            <w:pPr>
              <w:adjustRightInd w:val="0"/>
              <w:snapToGrid w:val="0"/>
              <w:jc w:val="left"/>
              <w:rPr>
                <w:rFonts w:hint="eastAsia" w:ascii="宋体" w:hAnsi="宋体" w:eastAsia="宋体" w:cs="宋体"/>
                <w:color w:val="000000"/>
                <w:sz w:val="24"/>
              </w:rPr>
            </w:pPr>
          </w:p>
        </w:tc>
        <w:tc>
          <w:tcPr>
            <w:tcW w:w="970" w:type="dxa"/>
            <w:noWrap w:val="0"/>
            <w:vAlign w:val="center"/>
          </w:tcPr>
          <w:p w14:paraId="35021E2A">
            <w:pPr>
              <w:adjustRightInd w:val="0"/>
              <w:snapToGrid w:val="0"/>
              <w:jc w:val="left"/>
              <w:rPr>
                <w:rFonts w:hint="eastAsia" w:ascii="宋体" w:hAnsi="宋体" w:eastAsia="宋体" w:cs="宋体"/>
                <w:color w:val="000000"/>
                <w:sz w:val="24"/>
              </w:rPr>
            </w:pPr>
          </w:p>
        </w:tc>
        <w:tc>
          <w:tcPr>
            <w:tcW w:w="2234" w:type="dxa"/>
            <w:noWrap w:val="0"/>
            <w:vAlign w:val="center"/>
          </w:tcPr>
          <w:p w14:paraId="6FBBE68E">
            <w:pPr>
              <w:adjustRightInd w:val="0"/>
              <w:snapToGrid w:val="0"/>
              <w:jc w:val="left"/>
              <w:rPr>
                <w:rFonts w:hint="eastAsia" w:ascii="宋体" w:hAnsi="宋体" w:eastAsia="宋体" w:cs="宋体"/>
                <w:color w:val="000000"/>
                <w:sz w:val="24"/>
              </w:rPr>
            </w:pPr>
          </w:p>
        </w:tc>
        <w:tc>
          <w:tcPr>
            <w:tcW w:w="1425" w:type="dxa"/>
            <w:noWrap w:val="0"/>
            <w:vAlign w:val="center"/>
          </w:tcPr>
          <w:p w14:paraId="04581300">
            <w:pPr>
              <w:adjustRightInd w:val="0"/>
              <w:snapToGrid w:val="0"/>
              <w:jc w:val="left"/>
              <w:rPr>
                <w:rFonts w:hint="eastAsia" w:ascii="宋体" w:hAnsi="宋体" w:eastAsia="宋体" w:cs="宋体"/>
                <w:color w:val="000000"/>
                <w:sz w:val="24"/>
              </w:rPr>
            </w:pPr>
          </w:p>
        </w:tc>
      </w:tr>
      <w:tr w14:paraId="68E0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227" w:type="dxa"/>
            <w:noWrap w:val="0"/>
            <w:vAlign w:val="center"/>
          </w:tcPr>
          <w:p w14:paraId="50F8B562">
            <w:pPr>
              <w:adjustRightInd w:val="0"/>
              <w:snapToGrid w:val="0"/>
              <w:jc w:val="left"/>
              <w:rPr>
                <w:rFonts w:hint="eastAsia" w:ascii="宋体" w:hAnsi="宋体" w:eastAsia="宋体" w:cs="宋体"/>
                <w:color w:val="000000"/>
                <w:sz w:val="24"/>
              </w:rPr>
            </w:pPr>
            <w:r>
              <w:rPr>
                <w:rFonts w:hint="eastAsia" w:ascii="宋体" w:hAnsi="宋体" w:eastAsia="宋体" w:cs="宋体"/>
                <w:color w:val="000000"/>
                <w:sz w:val="24"/>
              </w:rPr>
              <w:t>3</w:t>
            </w:r>
          </w:p>
        </w:tc>
        <w:tc>
          <w:tcPr>
            <w:tcW w:w="1809" w:type="dxa"/>
            <w:noWrap w:val="0"/>
            <w:vAlign w:val="center"/>
          </w:tcPr>
          <w:p w14:paraId="4A6EEEAF">
            <w:pPr>
              <w:adjustRightInd w:val="0"/>
              <w:snapToGrid w:val="0"/>
              <w:jc w:val="left"/>
              <w:rPr>
                <w:rFonts w:hint="eastAsia" w:ascii="宋体" w:hAnsi="宋体" w:eastAsia="宋体" w:cs="宋体"/>
                <w:color w:val="000000"/>
                <w:sz w:val="24"/>
              </w:rPr>
            </w:pPr>
          </w:p>
        </w:tc>
        <w:tc>
          <w:tcPr>
            <w:tcW w:w="2103" w:type="dxa"/>
            <w:noWrap w:val="0"/>
            <w:vAlign w:val="center"/>
          </w:tcPr>
          <w:p w14:paraId="6C03BDEA">
            <w:pPr>
              <w:adjustRightInd w:val="0"/>
              <w:snapToGrid w:val="0"/>
              <w:jc w:val="left"/>
              <w:rPr>
                <w:rFonts w:hint="eastAsia" w:ascii="宋体" w:hAnsi="宋体" w:eastAsia="宋体" w:cs="宋体"/>
                <w:color w:val="000000"/>
                <w:sz w:val="24"/>
              </w:rPr>
            </w:pPr>
          </w:p>
        </w:tc>
        <w:tc>
          <w:tcPr>
            <w:tcW w:w="970" w:type="dxa"/>
            <w:noWrap w:val="0"/>
            <w:vAlign w:val="center"/>
          </w:tcPr>
          <w:p w14:paraId="34F90C26">
            <w:pPr>
              <w:adjustRightInd w:val="0"/>
              <w:snapToGrid w:val="0"/>
              <w:jc w:val="left"/>
              <w:rPr>
                <w:rFonts w:hint="eastAsia" w:ascii="宋体" w:hAnsi="宋体" w:eastAsia="宋体" w:cs="宋体"/>
                <w:color w:val="000000"/>
                <w:sz w:val="24"/>
              </w:rPr>
            </w:pPr>
          </w:p>
        </w:tc>
        <w:tc>
          <w:tcPr>
            <w:tcW w:w="2234" w:type="dxa"/>
            <w:noWrap w:val="0"/>
            <w:vAlign w:val="center"/>
          </w:tcPr>
          <w:p w14:paraId="00AC3FEE">
            <w:pPr>
              <w:adjustRightInd w:val="0"/>
              <w:snapToGrid w:val="0"/>
              <w:jc w:val="left"/>
              <w:rPr>
                <w:rFonts w:hint="eastAsia" w:ascii="宋体" w:hAnsi="宋体" w:eastAsia="宋体" w:cs="宋体"/>
                <w:color w:val="000000"/>
                <w:sz w:val="24"/>
              </w:rPr>
            </w:pPr>
          </w:p>
        </w:tc>
        <w:tc>
          <w:tcPr>
            <w:tcW w:w="1425" w:type="dxa"/>
            <w:noWrap w:val="0"/>
            <w:vAlign w:val="center"/>
          </w:tcPr>
          <w:p w14:paraId="1DFEC29E">
            <w:pPr>
              <w:adjustRightInd w:val="0"/>
              <w:snapToGrid w:val="0"/>
              <w:jc w:val="left"/>
              <w:rPr>
                <w:rFonts w:hint="eastAsia" w:ascii="宋体" w:hAnsi="宋体" w:eastAsia="宋体" w:cs="宋体"/>
                <w:color w:val="000000"/>
                <w:sz w:val="24"/>
              </w:rPr>
            </w:pPr>
          </w:p>
        </w:tc>
      </w:tr>
      <w:tr w14:paraId="4C46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227" w:type="dxa"/>
            <w:noWrap w:val="0"/>
            <w:vAlign w:val="center"/>
          </w:tcPr>
          <w:p w14:paraId="6C627221">
            <w:pPr>
              <w:adjustRightInd w:val="0"/>
              <w:snapToGrid w:val="0"/>
              <w:jc w:val="left"/>
              <w:rPr>
                <w:rFonts w:hint="eastAsia" w:ascii="宋体" w:hAnsi="宋体" w:eastAsia="宋体" w:cs="宋体"/>
                <w:color w:val="000000"/>
                <w:sz w:val="24"/>
              </w:rPr>
            </w:pPr>
            <w:r>
              <w:rPr>
                <w:rFonts w:hint="eastAsia" w:ascii="宋体" w:hAnsi="宋体" w:eastAsia="宋体" w:cs="宋体"/>
                <w:color w:val="000000"/>
                <w:sz w:val="24"/>
              </w:rPr>
              <w:t>4</w:t>
            </w:r>
          </w:p>
        </w:tc>
        <w:tc>
          <w:tcPr>
            <w:tcW w:w="1809" w:type="dxa"/>
            <w:noWrap w:val="0"/>
            <w:vAlign w:val="center"/>
          </w:tcPr>
          <w:p w14:paraId="1A2CBEA8">
            <w:pPr>
              <w:adjustRightInd w:val="0"/>
              <w:snapToGrid w:val="0"/>
              <w:jc w:val="left"/>
              <w:rPr>
                <w:rFonts w:hint="eastAsia" w:ascii="宋体" w:hAnsi="宋体" w:eastAsia="宋体" w:cs="宋体"/>
                <w:color w:val="000000"/>
                <w:sz w:val="24"/>
              </w:rPr>
            </w:pPr>
          </w:p>
        </w:tc>
        <w:tc>
          <w:tcPr>
            <w:tcW w:w="2103" w:type="dxa"/>
            <w:noWrap w:val="0"/>
            <w:vAlign w:val="center"/>
          </w:tcPr>
          <w:p w14:paraId="6E2AD8DD">
            <w:pPr>
              <w:adjustRightInd w:val="0"/>
              <w:snapToGrid w:val="0"/>
              <w:jc w:val="left"/>
              <w:rPr>
                <w:rFonts w:hint="eastAsia" w:ascii="宋体" w:hAnsi="宋体" w:eastAsia="宋体" w:cs="宋体"/>
                <w:color w:val="000000"/>
                <w:sz w:val="24"/>
              </w:rPr>
            </w:pPr>
          </w:p>
        </w:tc>
        <w:tc>
          <w:tcPr>
            <w:tcW w:w="970" w:type="dxa"/>
            <w:noWrap w:val="0"/>
            <w:vAlign w:val="center"/>
          </w:tcPr>
          <w:p w14:paraId="3C5B3D6D">
            <w:pPr>
              <w:adjustRightInd w:val="0"/>
              <w:snapToGrid w:val="0"/>
              <w:jc w:val="left"/>
              <w:rPr>
                <w:rFonts w:hint="eastAsia" w:ascii="宋体" w:hAnsi="宋体" w:eastAsia="宋体" w:cs="宋体"/>
                <w:color w:val="000000"/>
                <w:sz w:val="24"/>
              </w:rPr>
            </w:pPr>
          </w:p>
        </w:tc>
        <w:tc>
          <w:tcPr>
            <w:tcW w:w="2234" w:type="dxa"/>
            <w:noWrap w:val="0"/>
            <w:vAlign w:val="center"/>
          </w:tcPr>
          <w:p w14:paraId="69E1CB88">
            <w:pPr>
              <w:adjustRightInd w:val="0"/>
              <w:snapToGrid w:val="0"/>
              <w:jc w:val="left"/>
              <w:rPr>
                <w:rFonts w:hint="eastAsia" w:ascii="宋体" w:hAnsi="宋体" w:eastAsia="宋体" w:cs="宋体"/>
                <w:color w:val="000000"/>
                <w:sz w:val="24"/>
              </w:rPr>
            </w:pPr>
          </w:p>
        </w:tc>
        <w:tc>
          <w:tcPr>
            <w:tcW w:w="1425" w:type="dxa"/>
            <w:noWrap w:val="0"/>
            <w:vAlign w:val="center"/>
          </w:tcPr>
          <w:p w14:paraId="4AFE15CA">
            <w:pPr>
              <w:adjustRightInd w:val="0"/>
              <w:snapToGrid w:val="0"/>
              <w:jc w:val="left"/>
              <w:rPr>
                <w:rFonts w:hint="eastAsia" w:ascii="宋体" w:hAnsi="宋体" w:eastAsia="宋体" w:cs="宋体"/>
                <w:color w:val="000000"/>
                <w:sz w:val="24"/>
              </w:rPr>
            </w:pPr>
          </w:p>
        </w:tc>
      </w:tr>
      <w:tr w14:paraId="1EFE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768" w:type="dxa"/>
            <w:gridSpan w:val="6"/>
            <w:noWrap w:val="0"/>
            <w:vAlign w:val="center"/>
          </w:tcPr>
          <w:p w14:paraId="74BFFF93">
            <w:pPr>
              <w:adjustRightInd w:val="0"/>
              <w:snapToGrid w:val="0"/>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总价（元）</w:t>
            </w:r>
          </w:p>
        </w:tc>
      </w:tr>
    </w:tbl>
    <w:p w14:paraId="54548111">
      <w:pPr>
        <w:pStyle w:val="24"/>
        <w:ind w:left="0" w:leftChars="0" w:firstLine="0" w:firstLineChars="0"/>
        <w:rPr>
          <w:rFonts w:hint="eastAsia" w:ascii="宋体" w:hAnsi="宋体" w:eastAsia="宋体" w:cs="宋体"/>
          <w:color w:val="000000"/>
          <w:sz w:val="24"/>
        </w:rPr>
      </w:pPr>
    </w:p>
    <w:p w14:paraId="1F55AE88">
      <w:pPr>
        <w:rPr>
          <w:rFonts w:hint="eastAsia" w:ascii="宋体" w:hAnsi="宋体" w:eastAsia="宋体" w:cs="宋体"/>
        </w:rPr>
      </w:pPr>
    </w:p>
    <w:p w14:paraId="1F353BEE">
      <w:pPr>
        <w:tabs>
          <w:tab w:val="left" w:pos="1800"/>
          <w:tab w:val="left" w:pos="5580"/>
        </w:tabs>
        <w:jc w:val="left"/>
        <w:rPr>
          <w:rFonts w:hint="eastAsia" w:ascii="宋体" w:hAnsi="宋体" w:eastAsia="宋体" w:cs="宋体"/>
          <w:color w:val="000000"/>
          <w:sz w:val="24"/>
        </w:rPr>
      </w:pPr>
      <w:r>
        <w:rPr>
          <w:rFonts w:hint="eastAsia" w:ascii="宋体" w:hAnsi="宋体" w:eastAsia="宋体" w:cs="宋体"/>
          <w:color w:val="000000"/>
          <w:sz w:val="24"/>
        </w:rPr>
        <w:t>注：</w:t>
      </w:r>
      <w:r>
        <w:rPr>
          <w:rFonts w:hint="eastAsia" w:ascii="宋体" w:hAnsi="宋体" w:eastAsia="宋体" w:cs="宋体"/>
          <w:color w:val="000000"/>
          <w:sz w:val="24"/>
          <w:lang w:val="en-US" w:eastAsia="zh-CN"/>
        </w:rPr>
        <w:t>1</w:t>
      </w:r>
      <w:r>
        <w:rPr>
          <w:rFonts w:hint="eastAsia" w:ascii="宋体" w:hAnsi="宋体" w:eastAsia="宋体" w:cs="宋体"/>
          <w:color w:val="000000"/>
          <w:sz w:val="24"/>
        </w:rPr>
        <w:t>.如果不提供分项报价将视为没有实质性响应招标文件。</w:t>
      </w:r>
    </w:p>
    <w:p w14:paraId="0B613BA2">
      <w:pPr>
        <w:tabs>
          <w:tab w:val="left" w:pos="1800"/>
          <w:tab w:val="left" w:pos="5580"/>
        </w:tabs>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.上述各项的详细规格（如有），可另页描述。</w:t>
      </w:r>
    </w:p>
    <w:p w14:paraId="5856E56F">
      <w:pPr>
        <w:tabs>
          <w:tab w:val="left" w:pos="1800"/>
          <w:tab w:val="left" w:pos="5580"/>
        </w:tabs>
        <w:ind w:firstLine="480" w:firstLineChars="200"/>
        <w:jc w:val="left"/>
        <w:rPr>
          <w:rFonts w:hint="eastAsia" w:ascii="宋体" w:hAnsi="宋体" w:eastAsia="宋体" w:cs="宋体"/>
          <w:color w:val="000000"/>
          <w:sz w:val="24"/>
        </w:rPr>
      </w:pPr>
    </w:p>
    <w:p w14:paraId="555E91D3">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 xml:space="preserve">    </w:t>
      </w:r>
    </w:p>
    <w:p w14:paraId="5FD3ED7C">
      <w:pPr>
        <w:autoSpaceDE w:val="0"/>
        <w:autoSpaceDN w:val="0"/>
        <w:adjustRightInd w:val="0"/>
        <w:snapToGrid w:val="0"/>
        <w:spacing w:before="25" w:after="25" w:line="360" w:lineRule="auto"/>
        <w:rPr>
          <w:rFonts w:hint="eastAsia" w:ascii="宋体" w:hAnsi="宋体" w:eastAsia="宋体" w:cs="宋体"/>
          <w:color w:val="000000"/>
          <w:sz w:val="24"/>
          <w:lang w:val="zh-CN"/>
        </w:rPr>
      </w:pPr>
    </w:p>
    <w:p w14:paraId="2371880F">
      <w:pPr>
        <w:autoSpaceDE w:val="0"/>
        <w:autoSpaceDN w:val="0"/>
        <w:adjustRightInd w:val="0"/>
        <w:snapToGrid w:val="0"/>
        <w:spacing w:before="25" w:after="25" w:line="360" w:lineRule="auto"/>
        <w:rPr>
          <w:rFonts w:hint="eastAsia" w:ascii="宋体" w:hAnsi="宋体" w:eastAsia="宋体" w:cs="宋体"/>
          <w:color w:val="000000"/>
          <w:sz w:val="24"/>
          <w:lang w:val="zh-CN"/>
        </w:rPr>
      </w:pPr>
    </w:p>
    <w:p w14:paraId="1AFB1105">
      <w:pPr>
        <w:autoSpaceDE w:val="0"/>
        <w:autoSpaceDN w:val="0"/>
        <w:adjustRightInd w:val="0"/>
        <w:snapToGrid w:val="0"/>
        <w:spacing w:before="25" w:after="25" w:line="360" w:lineRule="auto"/>
        <w:rPr>
          <w:rFonts w:hint="eastAsia" w:ascii="宋体" w:hAnsi="宋体" w:eastAsia="宋体" w:cs="宋体"/>
          <w:color w:val="000000"/>
          <w:sz w:val="24"/>
          <w:lang w:val="zh-CN"/>
        </w:rPr>
      </w:pPr>
    </w:p>
    <w:p w14:paraId="535A4329">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 xml:space="preserve">   </w:t>
      </w:r>
    </w:p>
    <w:p w14:paraId="42717343">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 xml:space="preserve">           </w:t>
      </w:r>
    </w:p>
    <w:p w14:paraId="46DCD99C">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rPr>
        <w:t>投标人名称（加盖公章）</w:t>
      </w:r>
      <w:r>
        <w:rPr>
          <w:rFonts w:hint="eastAsia" w:ascii="宋体" w:hAnsi="宋体" w:eastAsia="宋体" w:cs="宋体"/>
          <w:color w:val="000000"/>
          <w:sz w:val="24"/>
          <w:lang w:val="zh-CN"/>
        </w:rPr>
        <w:t>：____________</w:t>
      </w:r>
    </w:p>
    <w:p w14:paraId="6A1CEE98">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szCs w:val="20"/>
        </w:rPr>
        <w:t xml:space="preserve">日期：_____年______月______日   </w:t>
      </w:r>
    </w:p>
    <w:p w14:paraId="61985998">
      <w:pPr>
        <w:pStyle w:val="21"/>
        <w:ind w:left="840" w:hanging="420"/>
        <w:rPr>
          <w:rFonts w:hint="eastAsia" w:ascii="宋体" w:hAnsi="宋体" w:eastAsia="宋体" w:cs="宋体"/>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12E73DC8">
      <w:pPr>
        <w:tabs>
          <w:tab w:val="left" w:pos="2775"/>
          <w:tab w:val="center" w:pos="4153"/>
        </w:tabs>
        <w:autoSpaceDE w:val="0"/>
        <w:autoSpaceDN w:val="0"/>
        <w:adjustRightInd w:val="0"/>
        <w:spacing w:line="360" w:lineRule="auto"/>
        <w:jc w:val="left"/>
        <w:outlineLvl w:val="0"/>
        <w:rPr>
          <w:rFonts w:hint="eastAsia" w:ascii="宋体" w:hAnsi="宋体" w:eastAsia="宋体" w:cs="宋体"/>
          <w:b/>
          <w:sz w:val="36"/>
          <w:szCs w:val="36"/>
        </w:rPr>
      </w:pPr>
      <w:r>
        <w:rPr>
          <w:rFonts w:hint="eastAsia" w:ascii="宋体" w:hAnsi="宋体" w:cs="宋体"/>
          <w:b/>
          <w:sz w:val="36"/>
          <w:szCs w:val="36"/>
          <w:lang w:val="en-US" w:eastAsia="zh-CN"/>
        </w:rPr>
        <w:t>8</w:t>
      </w:r>
      <w:r>
        <w:rPr>
          <w:rFonts w:hint="eastAsia" w:ascii="宋体" w:hAnsi="宋体" w:eastAsia="宋体" w:cs="宋体"/>
          <w:b/>
          <w:sz w:val="36"/>
          <w:szCs w:val="36"/>
        </w:rPr>
        <w:t xml:space="preserve">  合同条款偏离表</w:t>
      </w:r>
      <w:bookmarkEnd w:id="912"/>
      <w:bookmarkEnd w:id="913"/>
      <w:bookmarkEnd w:id="914"/>
      <w:bookmarkEnd w:id="915"/>
      <w:bookmarkEnd w:id="916"/>
      <w:bookmarkEnd w:id="917"/>
      <w:bookmarkEnd w:id="918"/>
      <w:bookmarkEnd w:id="919"/>
      <w:bookmarkEnd w:id="920"/>
      <w:bookmarkEnd w:id="921"/>
      <w:bookmarkEnd w:id="922"/>
      <w:bookmarkEnd w:id="923"/>
      <w:bookmarkEnd w:id="924"/>
      <w:r>
        <w:rPr>
          <w:rFonts w:hint="eastAsia" w:ascii="宋体" w:hAnsi="宋体" w:eastAsia="宋体" w:cs="宋体"/>
          <w:b/>
          <w:sz w:val="36"/>
          <w:szCs w:val="36"/>
        </w:rPr>
        <w:t>（实质性格式）</w:t>
      </w:r>
    </w:p>
    <w:p w14:paraId="3122AAC7">
      <w:pPr>
        <w:spacing w:line="360" w:lineRule="auto"/>
        <w:rPr>
          <w:rFonts w:hint="eastAsia" w:ascii="宋体" w:hAnsi="宋体" w:eastAsia="宋体" w:cs="宋体"/>
          <w:sz w:val="24"/>
          <w:szCs w:val="20"/>
        </w:rPr>
      </w:pPr>
    </w:p>
    <w:p w14:paraId="34559A44">
      <w:pPr>
        <w:bidi w:val="0"/>
        <w:jc w:val="center"/>
        <w:rPr>
          <w:rFonts w:hint="eastAsia" w:ascii="宋体" w:hAnsi="宋体" w:eastAsia="宋体" w:cs="宋体"/>
          <w:b/>
          <w:szCs w:val="36"/>
        </w:rPr>
      </w:pPr>
      <w:r>
        <w:rPr>
          <w:rFonts w:hint="eastAsia" w:ascii="宋体" w:hAnsi="宋体" w:eastAsia="宋体" w:cs="宋体"/>
          <w:sz w:val="28"/>
          <w:szCs w:val="28"/>
        </w:rPr>
        <w:t>合同条款偏离表</w:t>
      </w:r>
    </w:p>
    <w:p w14:paraId="4F846331">
      <w:pPr>
        <w:spacing w:line="360" w:lineRule="auto"/>
        <w:rPr>
          <w:rFonts w:hint="eastAsia" w:ascii="宋体" w:hAnsi="宋体" w:eastAsia="宋体" w:cs="宋体"/>
          <w:sz w:val="24"/>
          <w:szCs w:val="20"/>
        </w:rPr>
      </w:pPr>
    </w:p>
    <w:p w14:paraId="085899D1">
      <w:pPr>
        <w:tabs>
          <w:tab w:val="left" w:pos="1800"/>
          <w:tab w:val="left" w:pos="5580"/>
        </w:tabs>
        <w:spacing w:line="360" w:lineRule="auto"/>
        <w:ind w:firstLine="240" w:firstLineChars="100"/>
        <w:jc w:val="left"/>
        <w:rPr>
          <w:rFonts w:hint="eastAsia" w:ascii="宋体" w:hAnsi="宋体" w:eastAsia="宋体" w:cs="宋体"/>
          <w:sz w:val="24"/>
          <w:u w:val="single"/>
        </w:rPr>
      </w:pPr>
      <w:r>
        <w:rPr>
          <w:rFonts w:hint="eastAsia" w:ascii="宋体" w:hAnsi="宋体" w:eastAsia="宋体" w:cs="宋体"/>
          <w:sz w:val="24"/>
        </w:rPr>
        <w:t xml:space="preserve">项目名称： </w:t>
      </w:r>
      <w:r>
        <w:rPr>
          <w:rFonts w:hint="eastAsia" w:ascii="宋体" w:hAnsi="宋体" w:eastAsia="宋体" w:cs="宋体"/>
          <w:sz w:val="24"/>
          <w:u w:val="single"/>
        </w:rPr>
        <w:t xml:space="preserve">              </w:t>
      </w:r>
    </w:p>
    <w:p w14:paraId="75F3632D">
      <w:pPr>
        <w:tabs>
          <w:tab w:val="left" w:pos="1800"/>
          <w:tab w:val="left" w:pos="5580"/>
        </w:tabs>
        <w:spacing w:line="360" w:lineRule="auto"/>
        <w:ind w:firstLine="240" w:firstLineChars="100"/>
        <w:jc w:val="left"/>
        <w:rPr>
          <w:rFonts w:hint="eastAsia" w:ascii="宋体" w:hAnsi="宋体" w:eastAsia="宋体" w:cs="宋体"/>
          <w:sz w:val="24"/>
          <w:u w:val="single"/>
        </w:rPr>
      </w:pPr>
      <w:r>
        <w:rPr>
          <w:rFonts w:hint="eastAsia" w:ascii="宋体" w:hAnsi="宋体" w:eastAsia="宋体" w:cs="宋体"/>
          <w:sz w:val="24"/>
        </w:rPr>
        <w:t>项目编号：</w:t>
      </w:r>
      <w:r>
        <w:rPr>
          <w:rFonts w:hint="eastAsia" w:ascii="宋体" w:hAnsi="宋体" w:eastAsia="宋体" w:cs="宋体"/>
          <w:sz w:val="24"/>
          <w:u w:val="single"/>
        </w:rPr>
        <w:t xml:space="preserve">               </w:t>
      </w:r>
    </w:p>
    <w:p w14:paraId="097A9C05">
      <w:pPr>
        <w:pStyle w:val="6"/>
        <w:ind w:left="0" w:leftChars="0" w:firstLine="0" w:firstLineChars="0"/>
        <w:rPr>
          <w:rFonts w:hint="eastAsia" w:ascii="宋体" w:hAnsi="宋体" w:eastAsia="宋体" w:cs="宋体"/>
        </w:rPr>
      </w:pPr>
    </w:p>
    <w:tbl>
      <w:tblPr>
        <w:tblStyle w:val="4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91"/>
        <w:gridCol w:w="1981"/>
        <w:gridCol w:w="1982"/>
        <w:gridCol w:w="1852"/>
        <w:gridCol w:w="1354"/>
      </w:tblGrid>
      <w:tr w14:paraId="5B4D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5C5FBD56">
            <w:pPr>
              <w:adjustRightInd w:val="0"/>
              <w:snapToGrid w:val="0"/>
              <w:jc w:val="center"/>
              <w:rPr>
                <w:rFonts w:hint="eastAsia" w:ascii="宋体" w:hAnsi="宋体" w:eastAsia="宋体" w:cs="宋体"/>
                <w:sz w:val="24"/>
              </w:rPr>
            </w:pPr>
            <w:r>
              <w:rPr>
                <w:rFonts w:hint="eastAsia" w:ascii="宋体" w:hAnsi="宋体" w:eastAsia="宋体" w:cs="宋体"/>
                <w:sz w:val="24"/>
              </w:rPr>
              <w:t>序号</w:t>
            </w:r>
          </w:p>
        </w:tc>
        <w:tc>
          <w:tcPr>
            <w:tcW w:w="1291" w:type="dxa"/>
            <w:vAlign w:val="center"/>
          </w:tcPr>
          <w:p w14:paraId="7D29505D">
            <w:pPr>
              <w:adjustRightInd w:val="0"/>
              <w:snapToGrid w:val="0"/>
              <w:jc w:val="center"/>
              <w:rPr>
                <w:rFonts w:hint="eastAsia" w:ascii="宋体" w:hAnsi="宋体" w:eastAsia="宋体" w:cs="宋体"/>
                <w:sz w:val="24"/>
              </w:rPr>
            </w:pPr>
            <w:r>
              <w:rPr>
                <w:rFonts w:hint="eastAsia" w:ascii="宋体" w:hAnsi="宋体" w:eastAsia="宋体" w:cs="宋体"/>
                <w:sz w:val="24"/>
                <w:szCs w:val="21"/>
              </w:rPr>
              <w:t>招标文件</w:t>
            </w:r>
            <w:r>
              <w:rPr>
                <w:rFonts w:hint="eastAsia" w:ascii="宋体" w:hAnsi="宋体" w:eastAsia="宋体" w:cs="宋体"/>
                <w:sz w:val="24"/>
              </w:rPr>
              <w:t>条目号（页码）</w:t>
            </w:r>
          </w:p>
        </w:tc>
        <w:tc>
          <w:tcPr>
            <w:tcW w:w="1981" w:type="dxa"/>
            <w:vAlign w:val="center"/>
          </w:tcPr>
          <w:p w14:paraId="1BC1E740">
            <w:pPr>
              <w:adjustRightInd w:val="0"/>
              <w:snapToGrid w:val="0"/>
              <w:jc w:val="center"/>
              <w:rPr>
                <w:rFonts w:hint="eastAsia" w:ascii="宋体" w:hAnsi="宋体" w:eastAsia="宋体" w:cs="宋体"/>
                <w:sz w:val="24"/>
              </w:rPr>
            </w:pPr>
            <w:r>
              <w:rPr>
                <w:rFonts w:hint="eastAsia" w:ascii="宋体" w:hAnsi="宋体" w:eastAsia="宋体" w:cs="宋体"/>
                <w:sz w:val="24"/>
                <w:szCs w:val="21"/>
              </w:rPr>
              <w:t>招标文件</w:t>
            </w:r>
            <w:r>
              <w:rPr>
                <w:rFonts w:hint="eastAsia" w:ascii="宋体" w:hAnsi="宋体" w:eastAsia="宋体" w:cs="宋体"/>
                <w:sz w:val="24"/>
              </w:rPr>
              <w:t>要求</w:t>
            </w:r>
          </w:p>
        </w:tc>
        <w:tc>
          <w:tcPr>
            <w:tcW w:w="1982" w:type="dxa"/>
            <w:vAlign w:val="center"/>
          </w:tcPr>
          <w:p w14:paraId="22DDC88D">
            <w:pPr>
              <w:adjustRightInd w:val="0"/>
              <w:snapToGrid w:val="0"/>
              <w:jc w:val="center"/>
              <w:rPr>
                <w:rFonts w:hint="eastAsia" w:ascii="宋体" w:hAnsi="宋体" w:eastAsia="宋体" w:cs="宋体"/>
                <w:sz w:val="24"/>
              </w:rPr>
            </w:pPr>
            <w:r>
              <w:rPr>
                <w:rFonts w:hint="eastAsia" w:ascii="宋体" w:hAnsi="宋体" w:eastAsia="宋体" w:cs="宋体"/>
                <w:sz w:val="24"/>
              </w:rPr>
              <w:t>投标文件内容</w:t>
            </w:r>
          </w:p>
        </w:tc>
        <w:tc>
          <w:tcPr>
            <w:tcW w:w="1852" w:type="dxa"/>
            <w:vAlign w:val="center"/>
          </w:tcPr>
          <w:p w14:paraId="3DF5185F">
            <w:pPr>
              <w:adjustRightInd w:val="0"/>
              <w:snapToGrid w:val="0"/>
              <w:jc w:val="center"/>
              <w:rPr>
                <w:rFonts w:hint="eastAsia" w:ascii="宋体" w:hAnsi="宋体" w:eastAsia="宋体" w:cs="宋体"/>
                <w:sz w:val="24"/>
              </w:rPr>
            </w:pPr>
            <w:r>
              <w:rPr>
                <w:rFonts w:hint="eastAsia" w:ascii="宋体" w:hAnsi="宋体" w:eastAsia="宋体" w:cs="宋体"/>
                <w:sz w:val="24"/>
              </w:rPr>
              <w:t>偏离情况</w:t>
            </w:r>
          </w:p>
        </w:tc>
        <w:tc>
          <w:tcPr>
            <w:tcW w:w="1354" w:type="dxa"/>
            <w:vAlign w:val="center"/>
          </w:tcPr>
          <w:p w14:paraId="33FFD0B0">
            <w:pPr>
              <w:adjustRightInd w:val="0"/>
              <w:snapToGrid w:val="0"/>
              <w:jc w:val="center"/>
              <w:rPr>
                <w:rFonts w:hint="eastAsia" w:ascii="宋体" w:hAnsi="宋体" w:eastAsia="宋体" w:cs="宋体"/>
                <w:sz w:val="24"/>
              </w:rPr>
            </w:pPr>
            <w:r>
              <w:rPr>
                <w:rFonts w:hint="eastAsia" w:ascii="宋体" w:hAnsi="宋体" w:eastAsia="宋体" w:cs="宋体"/>
                <w:sz w:val="24"/>
              </w:rPr>
              <w:t>说明</w:t>
            </w:r>
          </w:p>
        </w:tc>
      </w:tr>
      <w:tr w14:paraId="6AE9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9288" w:type="dxa"/>
            <w:gridSpan w:val="6"/>
            <w:vAlign w:val="center"/>
          </w:tcPr>
          <w:p w14:paraId="6A2560DC">
            <w:pPr>
              <w:adjustRightInd w:val="0"/>
              <w:snapToGrid w:val="0"/>
              <w:jc w:val="left"/>
              <w:rPr>
                <w:rFonts w:hint="eastAsia" w:ascii="宋体" w:hAnsi="宋体" w:eastAsia="宋体" w:cs="宋体"/>
                <w:b/>
                <w:sz w:val="24"/>
              </w:rPr>
            </w:pPr>
            <w:r>
              <w:rPr>
                <w:rFonts w:hint="eastAsia" w:ascii="宋体" w:hAnsi="宋体" w:eastAsia="宋体" w:cs="宋体"/>
                <w:b/>
                <w:sz w:val="24"/>
              </w:rPr>
              <w:t>对本项目合同条款的偏离情况（</w:t>
            </w:r>
            <w:r>
              <w:rPr>
                <w:rFonts w:hint="eastAsia" w:ascii="宋体" w:hAnsi="宋体" w:cs="宋体"/>
                <w:b w:val="0"/>
                <w:bCs/>
                <w:sz w:val="24"/>
                <w:lang w:val="en-US" w:eastAsia="zh-CN"/>
              </w:rPr>
              <w:t>应进行选择，未选择</w:t>
            </w:r>
            <w:r>
              <w:rPr>
                <w:rFonts w:hint="eastAsia" w:ascii="宋体" w:hAnsi="宋体" w:cs="宋体"/>
                <w:b/>
                <w:sz w:val="24"/>
                <w:lang w:val="en-US" w:eastAsia="zh-CN"/>
              </w:rPr>
              <w:t>投标无效</w:t>
            </w:r>
            <w:r>
              <w:rPr>
                <w:rFonts w:hint="eastAsia" w:ascii="宋体" w:hAnsi="宋体" w:eastAsia="宋体" w:cs="宋体"/>
                <w:b/>
                <w:sz w:val="24"/>
              </w:rPr>
              <w:t>）：</w:t>
            </w:r>
          </w:p>
          <w:p w14:paraId="2FFCBFAA">
            <w:pPr>
              <w:adjustRightInd w:val="0"/>
              <w:snapToGrid w:val="0"/>
              <w:jc w:val="left"/>
              <w:rPr>
                <w:rFonts w:hint="eastAsia" w:ascii="宋体" w:hAnsi="宋体" w:eastAsia="宋体" w:cs="宋体"/>
                <w:b/>
                <w:sz w:val="24"/>
              </w:rPr>
            </w:pPr>
            <w:r>
              <w:rPr>
                <w:rFonts w:hint="eastAsia" w:ascii="宋体" w:hAnsi="宋体" w:eastAsia="宋体" w:cs="宋体"/>
                <w:b/>
                <w:sz w:val="24"/>
              </w:rPr>
              <w:t>□无偏离</w:t>
            </w:r>
            <w:r>
              <w:rPr>
                <w:rFonts w:hint="eastAsia" w:ascii="宋体" w:hAnsi="宋体" w:eastAsia="宋体" w:cs="宋体"/>
                <w:sz w:val="24"/>
              </w:rPr>
              <w:t>（</w:t>
            </w:r>
            <w:r>
              <w:rPr>
                <w:rFonts w:hint="eastAsia" w:ascii="宋体" w:hAnsi="宋体" w:eastAsia="宋体" w:cs="宋体"/>
                <w:sz w:val="24"/>
                <w:szCs w:val="21"/>
              </w:rPr>
              <w:t>如无偏离，仅勾选无偏离即可</w:t>
            </w:r>
            <w:r>
              <w:rPr>
                <w:rFonts w:hint="eastAsia" w:ascii="宋体" w:hAnsi="宋体" w:cs="宋体"/>
                <w:sz w:val="24"/>
                <w:szCs w:val="21"/>
                <w:lang w:eastAsia="zh-CN"/>
              </w:rPr>
              <w:t>；</w:t>
            </w:r>
            <w:r>
              <w:rPr>
                <w:rFonts w:hint="eastAsia" w:ascii="宋体" w:hAnsi="宋体" w:cs="宋体"/>
                <w:sz w:val="24"/>
                <w:szCs w:val="21"/>
                <w:lang w:val="en-US" w:eastAsia="zh-CN"/>
              </w:rPr>
              <w:t>无偏离即为对合同条款中的所有要求，均视作供应商已对之理解和响应。</w:t>
            </w:r>
            <w:r>
              <w:rPr>
                <w:rFonts w:hint="eastAsia" w:ascii="宋体" w:hAnsi="宋体" w:eastAsia="宋体" w:cs="宋体"/>
                <w:sz w:val="24"/>
              </w:rPr>
              <w:t>）</w:t>
            </w:r>
          </w:p>
          <w:p w14:paraId="7D4DA8C8">
            <w:pPr>
              <w:adjustRightInd w:val="0"/>
              <w:snapToGrid w:val="0"/>
              <w:jc w:val="left"/>
              <w:rPr>
                <w:rFonts w:hint="eastAsia" w:ascii="宋体" w:hAnsi="宋体" w:eastAsia="宋体" w:cs="宋体"/>
                <w:sz w:val="24"/>
              </w:rPr>
            </w:pPr>
            <w:r>
              <w:rPr>
                <w:rFonts w:hint="eastAsia" w:ascii="宋体" w:hAnsi="宋体" w:eastAsia="宋体" w:cs="宋体"/>
                <w:b/>
                <w:sz w:val="24"/>
              </w:rPr>
              <w:t>□有偏离</w:t>
            </w:r>
            <w:r>
              <w:rPr>
                <w:rFonts w:hint="eastAsia" w:ascii="宋体" w:hAnsi="宋体" w:eastAsia="宋体" w:cs="宋体"/>
                <w:sz w:val="24"/>
              </w:rPr>
              <w:t>（</w:t>
            </w:r>
            <w:r>
              <w:rPr>
                <w:rFonts w:hint="eastAsia" w:ascii="宋体" w:hAnsi="宋体" w:eastAsia="宋体" w:cs="宋体"/>
                <w:sz w:val="24"/>
                <w:szCs w:val="21"/>
              </w:rPr>
              <w:t>如有偏离，</w:t>
            </w:r>
            <w:r>
              <w:rPr>
                <w:rFonts w:hint="eastAsia" w:ascii="宋体" w:hAnsi="宋体" w:eastAsia="宋体" w:cs="宋体"/>
                <w:sz w:val="24"/>
              </w:rPr>
              <w:t>则应在本表中对</w:t>
            </w:r>
            <w:r>
              <w:rPr>
                <w:rFonts w:hint="eastAsia" w:ascii="宋体" w:hAnsi="宋体" w:cs="宋体"/>
                <w:sz w:val="24"/>
                <w:lang w:val="en-US" w:eastAsia="zh-CN"/>
              </w:rPr>
              <w:t>负</w:t>
            </w:r>
            <w:r>
              <w:rPr>
                <w:rFonts w:hint="eastAsia" w:ascii="宋体" w:hAnsi="宋体" w:eastAsia="宋体" w:cs="宋体"/>
                <w:sz w:val="24"/>
              </w:rPr>
              <w:t>偏离项逐一列明</w:t>
            </w:r>
            <w:r>
              <w:rPr>
                <w:rFonts w:hint="eastAsia" w:ascii="宋体" w:hAnsi="宋体" w:cs="宋体"/>
                <w:sz w:val="24"/>
                <w:lang w:eastAsia="zh-CN"/>
              </w:rPr>
              <w:t>，</w:t>
            </w:r>
            <w:r>
              <w:rPr>
                <w:rFonts w:hint="eastAsia" w:ascii="宋体" w:hAnsi="宋体" w:cs="宋体"/>
                <w:sz w:val="24"/>
                <w:lang w:val="en-US" w:eastAsia="zh-CN"/>
              </w:rPr>
              <w:t>否则</w:t>
            </w:r>
            <w:r>
              <w:rPr>
                <w:rFonts w:hint="eastAsia" w:ascii="宋体" w:hAnsi="宋体" w:cs="宋体"/>
                <w:b/>
                <w:bCs/>
                <w:sz w:val="24"/>
                <w:lang w:val="en-US" w:eastAsia="zh-CN"/>
              </w:rPr>
              <w:t>投标无效</w:t>
            </w:r>
            <w:r>
              <w:rPr>
                <w:rFonts w:hint="eastAsia" w:ascii="宋体" w:hAnsi="宋体" w:cs="宋体"/>
                <w:sz w:val="24"/>
                <w:lang w:val="en-US" w:eastAsia="zh-CN"/>
              </w:rPr>
              <w:t>；对合同条款中的所有要求，除本表列明的偏离外，均视作供应商已对之理解和响应。</w:t>
            </w:r>
            <w:r>
              <w:rPr>
                <w:rFonts w:hint="eastAsia" w:ascii="宋体" w:hAnsi="宋体" w:eastAsia="宋体" w:cs="宋体"/>
                <w:sz w:val="24"/>
              </w:rPr>
              <w:t>）</w:t>
            </w:r>
          </w:p>
        </w:tc>
      </w:tr>
      <w:tr w14:paraId="6753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6F8C9C59">
            <w:pPr>
              <w:adjustRightInd w:val="0"/>
              <w:snapToGrid w:val="0"/>
              <w:jc w:val="center"/>
              <w:rPr>
                <w:rFonts w:hint="eastAsia" w:ascii="宋体" w:hAnsi="宋体" w:eastAsia="宋体" w:cs="宋体"/>
                <w:sz w:val="24"/>
              </w:rPr>
            </w:pPr>
          </w:p>
        </w:tc>
        <w:tc>
          <w:tcPr>
            <w:tcW w:w="1291" w:type="dxa"/>
            <w:vAlign w:val="center"/>
          </w:tcPr>
          <w:p w14:paraId="4E020181">
            <w:pPr>
              <w:adjustRightInd w:val="0"/>
              <w:snapToGrid w:val="0"/>
              <w:jc w:val="center"/>
              <w:rPr>
                <w:rFonts w:hint="eastAsia" w:ascii="宋体" w:hAnsi="宋体" w:eastAsia="宋体" w:cs="宋体"/>
                <w:sz w:val="24"/>
              </w:rPr>
            </w:pPr>
          </w:p>
        </w:tc>
        <w:tc>
          <w:tcPr>
            <w:tcW w:w="1981" w:type="dxa"/>
            <w:vAlign w:val="center"/>
          </w:tcPr>
          <w:p w14:paraId="1B38D5BA">
            <w:pPr>
              <w:adjustRightInd w:val="0"/>
              <w:snapToGrid w:val="0"/>
              <w:jc w:val="center"/>
              <w:rPr>
                <w:rFonts w:hint="eastAsia" w:ascii="宋体" w:hAnsi="宋体" w:eastAsia="宋体" w:cs="宋体"/>
                <w:sz w:val="24"/>
              </w:rPr>
            </w:pPr>
          </w:p>
        </w:tc>
        <w:tc>
          <w:tcPr>
            <w:tcW w:w="1982" w:type="dxa"/>
            <w:vAlign w:val="center"/>
          </w:tcPr>
          <w:p w14:paraId="34189A3A">
            <w:pPr>
              <w:adjustRightInd w:val="0"/>
              <w:snapToGrid w:val="0"/>
              <w:jc w:val="center"/>
              <w:rPr>
                <w:rFonts w:hint="eastAsia" w:ascii="宋体" w:hAnsi="宋体" w:eastAsia="宋体" w:cs="宋体"/>
                <w:sz w:val="24"/>
              </w:rPr>
            </w:pPr>
          </w:p>
        </w:tc>
        <w:tc>
          <w:tcPr>
            <w:tcW w:w="1852" w:type="dxa"/>
            <w:vAlign w:val="center"/>
          </w:tcPr>
          <w:p w14:paraId="29AEF77B">
            <w:pPr>
              <w:adjustRightInd w:val="0"/>
              <w:snapToGrid w:val="0"/>
              <w:jc w:val="center"/>
              <w:rPr>
                <w:rFonts w:hint="eastAsia" w:ascii="宋体" w:hAnsi="宋体" w:eastAsia="宋体" w:cs="宋体"/>
                <w:sz w:val="24"/>
              </w:rPr>
            </w:pPr>
          </w:p>
        </w:tc>
        <w:tc>
          <w:tcPr>
            <w:tcW w:w="1354" w:type="dxa"/>
            <w:vAlign w:val="center"/>
          </w:tcPr>
          <w:p w14:paraId="763CFC07">
            <w:pPr>
              <w:adjustRightInd w:val="0"/>
              <w:snapToGrid w:val="0"/>
              <w:jc w:val="center"/>
              <w:rPr>
                <w:rFonts w:hint="eastAsia" w:ascii="宋体" w:hAnsi="宋体" w:eastAsia="宋体" w:cs="宋体"/>
                <w:sz w:val="24"/>
              </w:rPr>
            </w:pPr>
          </w:p>
        </w:tc>
      </w:tr>
      <w:tr w14:paraId="5FEF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3F39EE86">
            <w:pPr>
              <w:adjustRightInd w:val="0"/>
              <w:snapToGrid w:val="0"/>
              <w:jc w:val="center"/>
              <w:rPr>
                <w:rFonts w:hint="eastAsia" w:ascii="宋体" w:hAnsi="宋体" w:eastAsia="宋体" w:cs="宋体"/>
                <w:sz w:val="24"/>
              </w:rPr>
            </w:pPr>
          </w:p>
        </w:tc>
        <w:tc>
          <w:tcPr>
            <w:tcW w:w="1291" w:type="dxa"/>
            <w:vAlign w:val="center"/>
          </w:tcPr>
          <w:p w14:paraId="7FA10731">
            <w:pPr>
              <w:adjustRightInd w:val="0"/>
              <w:snapToGrid w:val="0"/>
              <w:jc w:val="center"/>
              <w:rPr>
                <w:rFonts w:hint="eastAsia" w:ascii="宋体" w:hAnsi="宋体" w:eastAsia="宋体" w:cs="宋体"/>
                <w:sz w:val="24"/>
              </w:rPr>
            </w:pPr>
          </w:p>
        </w:tc>
        <w:tc>
          <w:tcPr>
            <w:tcW w:w="1981" w:type="dxa"/>
            <w:vAlign w:val="center"/>
          </w:tcPr>
          <w:p w14:paraId="23D1083E">
            <w:pPr>
              <w:adjustRightInd w:val="0"/>
              <w:snapToGrid w:val="0"/>
              <w:jc w:val="center"/>
              <w:rPr>
                <w:rFonts w:hint="eastAsia" w:ascii="宋体" w:hAnsi="宋体" w:eastAsia="宋体" w:cs="宋体"/>
                <w:sz w:val="24"/>
              </w:rPr>
            </w:pPr>
          </w:p>
        </w:tc>
        <w:tc>
          <w:tcPr>
            <w:tcW w:w="1982" w:type="dxa"/>
            <w:vAlign w:val="center"/>
          </w:tcPr>
          <w:p w14:paraId="65136740">
            <w:pPr>
              <w:adjustRightInd w:val="0"/>
              <w:snapToGrid w:val="0"/>
              <w:jc w:val="center"/>
              <w:rPr>
                <w:rFonts w:hint="eastAsia" w:ascii="宋体" w:hAnsi="宋体" w:eastAsia="宋体" w:cs="宋体"/>
                <w:sz w:val="24"/>
              </w:rPr>
            </w:pPr>
          </w:p>
        </w:tc>
        <w:tc>
          <w:tcPr>
            <w:tcW w:w="1852" w:type="dxa"/>
            <w:vAlign w:val="center"/>
          </w:tcPr>
          <w:p w14:paraId="3E498C58">
            <w:pPr>
              <w:adjustRightInd w:val="0"/>
              <w:snapToGrid w:val="0"/>
              <w:jc w:val="center"/>
              <w:rPr>
                <w:rFonts w:hint="eastAsia" w:ascii="宋体" w:hAnsi="宋体" w:eastAsia="宋体" w:cs="宋体"/>
                <w:sz w:val="24"/>
              </w:rPr>
            </w:pPr>
          </w:p>
        </w:tc>
        <w:tc>
          <w:tcPr>
            <w:tcW w:w="1354" w:type="dxa"/>
            <w:vAlign w:val="center"/>
          </w:tcPr>
          <w:p w14:paraId="55F23E4B">
            <w:pPr>
              <w:adjustRightInd w:val="0"/>
              <w:snapToGrid w:val="0"/>
              <w:jc w:val="center"/>
              <w:rPr>
                <w:rFonts w:hint="eastAsia" w:ascii="宋体" w:hAnsi="宋体" w:eastAsia="宋体" w:cs="宋体"/>
                <w:sz w:val="24"/>
              </w:rPr>
            </w:pPr>
          </w:p>
        </w:tc>
      </w:tr>
      <w:tr w14:paraId="7D15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5DFE37C6">
            <w:pPr>
              <w:adjustRightInd w:val="0"/>
              <w:snapToGrid w:val="0"/>
              <w:jc w:val="center"/>
              <w:rPr>
                <w:rFonts w:hint="eastAsia" w:ascii="宋体" w:hAnsi="宋体" w:eastAsia="宋体" w:cs="宋体"/>
                <w:sz w:val="24"/>
              </w:rPr>
            </w:pPr>
          </w:p>
        </w:tc>
        <w:tc>
          <w:tcPr>
            <w:tcW w:w="1291" w:type="dxa"/>
            <w:vAlign w:val="center"/>
          </w:tcPr>
          <w:p w14:paraId="7F057228">
            <w:pPr>
              <w:adjustRightInd w:val="0"/>
              <w:snapToGrid w:val="0"/>
              <w:jc w:val="center"/>
              <w:rPr>
                <w:rFonts w:hint="eastAsia" w:ascii="宋体" w:hAnsi="宋体" w:eastAsia="宋体" w:cs="宋体"/>
                <w:sz w:val="24"/>
              </w:rPr>
            </w:pPr>
          </w:p>
        </w:tc>
        <w:tc>
          <w:tcPr>
            <w:tcW w:w="1981" w:type="dxa"/>
            <w:vAlign w:val="center"/>
          </w:tcPr>
          <w:p w14:paraId="46AE8452">
            <w:pPr>
              <w:adjustRightInd w:val="0"/>
              <w:snapToGrid w:val="0"/>
              <w:jc w:val="center"/>
              <w:rPr>
                <w:rFonts w:hint="eastAsia" w:ascii="宋体" w:hAnsi="宋体" w:eastAsia="宋体" w:cs="宋体"/>
                <w:sz w:val="24"/>
              </w:rPr>
            </w:pPr>
          </w:p>
        </w:tc>
        <w:tc>
          <w:tcPr>
            <w:tcW w:w="1982" w:type="dxa"/>
            <w:vAlign w:val="center"/>
          </w:tcPr>
          <w:p w14:paraId="2865BC9F">
            <w:pPr>
              <w:adjustRightInd w:val="0"/>
              <w:snapToGrid w:val="0"/>
              <w:jc w:val="center"/>
              <w:rPr>
                <w:rFonts w:hint="eastAsia" w:ascii="宋体" w:hAnsi="宋体" w:eastAsia="宋体" w:cs="宋体"/>
                <w:sz w:val="24"/>
              </w:rPr>
            </w:pPr>
          </w:p>
        </w:tc>
        <w:tc>
          <w:tcPr>
            <w:tcW w:w="1852" w:type="dxa"/>
            <w:vAlign w:val="center"/>
          </w:tcPr>
          <w:p w14:paraId="20184C14">
            <w:pPr>
              <w:adjustRightInd w:val="0"/>
              <w:snapToGrid w:val="0"/>
              <w:jc w:val="center"/>
              <w:rPr>
                <w:rFonts w:hint="eastAsia" w:ascii="宋体" w:hAnsi="宋体" w:eastAsia="宋体" w:cs="宋体"/>
                <w:sz w:val="24"/>
              </w:rPr>
            </w:pPr>
          </w:p>
        </w:tc>
        <w:tc>
          <w:tcPr>
            <w:tcW w:w="1354" w:type="dxa"/>
            <w:vAlign w:val="center"/>
          </w:tcPr>
          <w:p w14:paraId="7BDB11C8">
            <w:pPr>
              <w:adjustRightInd w:val="0"/>
              <w:snapToGrid w:val="0"/>
              <w:jc w:val="center"/>
              <w:rPr>
                <w:rFonts w:hint="eastAsia" w:ascii="宋体" w:hAnsi="宋体" w:eastAsia="宋体" w:cs="宋体"/>
                <w:sz w:val="24"/>
              </w:rPr>
            </w:pPr>
          </w:p>
        </w:tc>
      </w:tr>
      <w:tr w14:paraId="1322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293CFF10">
            <w:pPr>
              <w:adjustRightInd w:val="0"/>
              <w:snapToGrid w:val="0"/>
              <w:jc w:val="center"/>
              <w:rPr>
                <w:rFonts w:hint="eastAsia" w:ascii="宋体" w:hAnsi="宋体" w:eastAsia="宋体" w:cs="宋体"/>
                <w:sz w:val="24"/>
              </w:rPr>
            </w:pPr>
          </w:p>
        </w:tc>
        <w:tc>
          <w:tcPr>
            <w:tcW w:w="1291" w:type="dxa"/>
            <w:vAlign w:val="center"/>
          </w:tcPr>
          <w:p w14:paraId="2FD4490B">
            <w:pPr>
              <w:adjustRightInd w:val="0"/>
              <w:snapToGrid w:val="0"/>
              <w:jc w:val="center"/>
              <w:rPr>
                <w:rFonts w:hint="eastAsia" w:ascii="宋体" w:hAnsi="宋体" w:eastAsia="宋体" w:cs="宋体"/>
                <w:sz w:val="24"/>
              </w:rPr>
            </w:pPr>
          </w:p>
        </w:tc>
        <w:tc>
          <w:tcPr>
            <w:tcW w:w="1981" w:type="dxa"/>
            <w:vAlign w:val="center"/>
          </w:tcPr>
          <w:p w14:paraId="00E2712C">
            <w:pPr>
              <w:adjustRightInd w:val="0"/>
              <w:snapToGrid w:val="0"/>
              <w:jc w:val="center"/>
              <w:rPr>
                <w:rFonts w:hint="eastAsia" w:ascii="宋体" w:hAnsi="宋体" w:eastAsia="宋体" w:cs="宋体"/>
                <w:sz w:val="24"/>
              </w:rPr>
            </w:pPr>
          </w:p>
        </w:tc>
        <w:tc>
          <w:tcPr>
            <w:tcW w:w="1982" w:type="dxa"/>
            <w:vAlign w:val="center"/>
          </w:tcPr>
          <w:p w14:paraId="08A6C82B">
            <w:pPr>
              <w:adjustRightInd w:val="0"/>
              <w:snapToGrid w:val="0"/>
              <w:jc w:val="center"/>
              <w:rPr>
                <w:rFonts w:hint="eastAsia" w:ascii="宋体" w:hAnsi="宋体" w:eastAsia="宋体" w:cs="宋体"/>
                <w:sz w:val="24"/>
              </w:rPr>
            </w:pPr>
          </w:p>
        </w:tc>
        <w:tc>
          <w:tcPr>
            <w:tcW w:w="1852" w:type="dxa"/>
            <w:vAlign w:val="center"/>
          </w:tcPr>
          <w:p w14:paraId="0F0C686E">
            <w:pPr>
              <w:adjustRightInd w:val="0"/>
              <w:snapToGrid w:val="0"/>
              <w:jc w:val="center"/>
              <w:rPr>
                <w:rFonts w:hint="eastAsia" w:ascii="宋体" w:hAnsi="宋体" w:eastAsia="宋体" w:cs="宋体"/>
                <w:sz w:val="24"/>
              </w:rPr>
            </w:pPr>
          </w:p>
        </w:tc>
        <w:tc>
          <w:tcPr>
            <w:tcW w:w="1354" w:type="dxa"/>
            <w:vAlign w:val="center"/>
          </w:tcPr>
          <w:p w14:paraId="1A823712">
            <w:pPr>
              <w:adjustRightInd w:val="0"/>
              <w:snapToGrid w:val="0"/>
              <w:jc w:val="center"/>
              <w:rPr>
                <w:rFonts w:hint="eastAsia" w:ascii="宋体" w:hAnsi="宋体" w:eastAsia="宋体" w:cs="宋体"/>
                <w:sz w:val="24"/>
              </w:rPr>
            </w:pPr>
          </w:p>
        </w:tc>
      </w:tr>
    </w:tbl>
    <w:p w14:paraId="2CF2858F">
      <w:pPr>
        <w:tabs>
          <w:tab w:val="left" w:pos="1800"/>
          <w:tab w:val="left" w:pos="5580"/>
        </w:tabs>
        <w:jc w:val="left"/>
        <w:rPr>
          <w:rFonts w:hint="eastAsia" w:ascii="宋体" w:hAnsi="宋体" w:eastAsia="宋体" w:cs="宋体"/>
          <w:sz w:val="24"/>
        </w:rPr>
      </w:pPr>
    </w:p>
    <w:p w14:paraId="76A0CE05">
      <w:pPr>
        <w:tabs>
          <w:tab w:val="left" w:pos="1800"/>
          <w:tab w:val="left" w:pos="5580"/>
        </w:tabs>
        <w:jc w:val="left"/>
        <w:rPr>
          <w:rFonts w:hint="eastAsia" w:ascii="宋体" w:hAnsi="宋体" w:eastAsia="宋体" w:cs="宋体"/>
          <w:sz w:val="24"/>
        </w:rPr>
      </w:pPr>
      <w:r>
        <w:rPr>
          <w:rFonts w:hint="eastAsia" w:ascii="宋体" w:hAnsi="宋体" w:eastAsia="宋体" w:cs="宋体"/>
          <w:sz w:val="24"/>
        </w:rPr>
        <w:t>注： “偏离情况”列应据实填写“正偏离”或“负偏离”。</w:t>
      </w:r>
    </w:p>
    <w:p w14:paraId="21CC26CE">
      <w:pPr>
        <w:spacing w:line="360" w:lineRule="auto"/>
        <w:rPr>
          <w:rFonts w:hint="eastAsia" w:ascii="宋体" w:hAnsi="宋体" w:eastAsia="宋体" w:cs="宋体"/>
          <w:sz w:val="24"/>
          <w:szCs w:val="20"/>
        </w:rPr>
      </w:pPr>
    </w:p>
    <w:p w14:paraId="3353A172">
      <w:pPr>
        <w:autoSpaceDE w:val="0"/>
        <w:autoSpaceDN w:val="0"/>
        <w:adjustRightInd w:val="0"/>
        <w:snapToGrid w:val="0"/>
        <w:spacing w:before="25" w:after="25" w:line="360" w:lineRule="auto"/>
        <w:rPr>
          <w:rFonts w:hint="eastAsia" w:ascii="宋体" w:hAnsi="宋体" w:eastAsia="宋体" w:cs="宋体"/>
          <w:sz w:val="24"/>
          <w:lang w:val="zh-CN"/>
        </w:rPr>
      </w:pPr>
      <w:r>
        <w:rPr>
          <w:rFonts w:hint="eastAsia" w:ascii="宋体" w:hAnsi="宋体" w:eastAsia="宋体" w:cs="宋体"/>
          <w:sz w:val="24"/>
          <w:lang w:val="zh-CN"/>
        </w:rPr>
        <w:t xml:space="preserve">                      </w:t>
      </w:r>
    </w:p>
    <w:p w14:paraId="3CE407F6">
      <w:pPr>
        <w:autoSpaceDE w:val="0"/>
        <w:autoSpaceDN w:val="0"/>
        <w:adjustRightInd w:val="0"/>
        <w:snapToGrid w:val="0"/>
        <w:spacing w:before="25" w:after="25" w:line="360" w:lineRule="auto"/>
        <w:rPr>
          <w:rFonts w:hint="eastAsia" w:ascii="宋体" w:hAnsi="宋体" w:eastAsia="宋体" w:cs="宋体"/>
          <w:sz w:val="24"/>
          <w:lang w:val="zh-CN"/>
        </w:rPr>
      </w:pPr>
      <w:r>
        <w:rPr>
          <w:rFonts w:hint="eastAsia" w:ascii="宋体" w:hAnsi="宋体" w:eastAsia="宋体" w:cs="宋体"/>
          <w:sz w:val="24"/>
        </w:rPr>
        <w:t>投标人名称（加盖公章）</w:t>
      </w:r>
      <w:r>
        <w:rPr>
          <w:rFonts w:hint="eastAsia" w:ascii="宋体" w:hAnsi="宋体" w:eastAsia="宋体" w:cs="宋体"/>
          <w:sz w:val="24"/>
          <w:lang w:val="zh-CN"/>
        </w:rPr>
        <w:t>：____________</w:t>
      </w:r>
    </w:p>
    <w:p w14:paraId="20F3A718">
      <w:pPr>
        <w:autoSpaceDE w:val="0"/>
        <w:autoSpaceDN w:val="0"/>
        <w:adjustRightInd w:val="0"/>
        <w:snapToGrid w:val="0"/>
        <w:spacing w:before="25" w:after="25" w:line="360" w:lineRule="auto"/>
        <w:rPr>
          <w:rFonts w:hint="eastAsia" w:ascii="宋体" w:hAnsi="宋体" w:eastAsia="宋体" w:cs="宋体"/>
          <w:sz w:val="24"/>
          <w:lang w:val="zh-CN"/>
        </w:rPr>
      </w:pPr>
      <w:r>
        <w:rPr>
          <w:rFonts w:hint="eastAsia" w:ascii="宋体" w:hAnsi="宋体" w:eastAsia="宋体" w:cs="宋体"/>
          <w:sz w:val="24"/>
          <w:szCs w:val="20"/>
        </w:rPr>
        <w:t xml:space="preserve">日期：_____年______月______日   </w:t>
      </w:r>
    </w:p>
    <w:p w14:paraId="391F1CE4">
      <w:pPr>
        <w:spacing w:line="360" w:lineRule="auto"/>
        <w:rPr>
          <w:rFonts w:hint="eastAsia" w:ascii="宋体" w:hAnsi="宋体" w:eastAsia="宋体" w:cs="宋体"/>
          <w:b/>
          <w:sz w:val="36"/>
          <w:szCs w:val="36"/>
        </w:rPr>
      </w:pPr>
      <w:r>
        <w:rPr>
          <w:rFonts w:hint="eastAsia" w:ascii="宋体" w:hAnsi="宋体" w:eastAsia="宋体" w:cs="宋体"/>
          <w:sz w:val="24"/>
          <w:szCs w:val="20"/>
        </w:rPr>
        <w:br w:type="page"/>
      </w:r>
      <w:r>
        <w:rPr>
          <w:rFonts w:hint="eastAsia" w:ascii="宋体" w:hAnsi="宋体" w:cs="宋体"/>
          <w:b/>
          <w:sz w:val="36"/>
          <w:szCs w:val="36"/>
          <w:lang w:val="en-US" w:eastAsia="zh-CN"/>
        </w:rPr>
        <w:t>9</w:t>
      </w:r>
      <w:r>
        <w:rPr>
          <w:rFonts w:hint="eastAsia" w:ascii="宋体" w:hAnsi="宋体" w:eastAsia="宋体" w:cs="宋体"/>
          <w:b/>
          <w:sz w:val="36"/>
          <w:szCs w:val="36"/>
        </w:rPr>
        <w:t xml:space="preserve">  </w:t>
      </w:r>
      <w:bookmarkEnd w:id="925"/>
      <w:bookmarkEnd w:id="926"/>
      <w:bookmarkEnd w:id="927"/>
      <w:bookmarkEnd w:id="928"/>
      <w:bookmarkEnd w:id="929"/>
      <w:bookmarkEnd w:id="930"/>
      <w:bookmarkEnd w:id="931"/>
      <w:bookmarkEnd w:id="932"/>
      <w:bookmarkEnd w:id="933"/>
      <w:bookmarkEnd w:id="934"/>
      <w:bookmarkEnd w:id="935"/>
      <w:bookmarkEnd w:id="936"/>
      <w:bookmarkEnd w:id="937"/>
      <w:r>
        <w:rPr>
          <w:rFonts w:hint="eastAsia" w:ascii="宋体" w:hAnsi="宋体" w:eastAsia="宋体" w:cs="宋体"/>
          <w:b/>
          <w:sz w:val="36"/>
          <w:szCs w:val="36"/>
        </w:rPr>
        <w:t>采购需求偏离表（实质性格式）</w:t>
      </w:r>
    </w:p>
    <w:p w14:paraId="17A858D6">
      <w:pPr>
        <w:bidi w:val="0"/>
        <w:jc w:val="center"/>
        <w:rPr>
          <w:rFonts w:hint="eastAsia" w:ascii="宋体" w:hAnsi="宋体" w:eastAsia="宋体" w:cs="宋体"/>
          <w:b/>
          <w:szCs w:val="36"/>
        </w:rPr>
      </w:pPr>
      <w:r>
        <w:rPr>
          <w:rFonts w:hint="eastAsia" w:ascii="宋体" w:hAnsi="宋体" w:eastAsia="宋体" w:cs="宋体"/>
          <w:sz w:val="28"/>
          <w:szCs w:val="28"/>
        </w:rPr>
        <w:t>采购需求偏离表</w:t>
      </w:r>
    </w:p>
    <w:p w14:paraId="78BB8141">
      <w:pPr>
        <w:tabs>
          <w:tab w:val="left" w:pos="1800"/>
          <w:tab w:val="left" w:pos="5580"/>
        </w:tabs>
        <w:spacing w:line="360" w:lineRule="auto"/>
        <w:ind w:firstLine="240" w:firstLineChars="100"/>
        <w:jc w:val="left"/>
        <w:rPr>
          <w:rFonts w:hint="eastAsia" w:ascii="宋体" w:hAnsi="宋体" w:eastAsia="宋体" w:cs="宋体"/>
          <w:sz w:val="24"/>
          <w:u w:val="single"/>
        </w:rPr>
      </w:pPr>
      <w:r>
        <w:rPr>
          <w:rFonts w:hint="eastAsia" w:ascii="宋体" w:hAnsi="宋体" w:eastAsia="宋体" w:cs="宋体"/>
          <w:sz w:val="24"/>
        </w:rPr>
        <w:t xml:space="preserve">项目名称： </w:t>
      </w:r>
      <w:r>
        <w:rPr>
          <w:rFonts w:hint="eastAsia" w:ascii="宋体" w:hAnsi="宋体" w:eastAsia="宋体" w:cs="宋体"/>
          <w:sz w:val="24"/>
          <w:u w:val="single"/>
        </w:rPr>
        <w:t xml:space="preserve">              </w:t>
      </w:r>
    </w:p>
    <w:p w14:paraId="70F3A640">
      <w:pPr>
        <w:tabs>
          <w:tab w:val="left" w:pos="1800"/>
          <w:tab w:val="left" w:pos="5580"/>
        </w:tabs>
        <w:spacing w:line="360" w:lineRule="auto"/>
        <w:ind w:firstLine="240" w:firstLineChars="100"/>
        <w:jc w:val="left"/>
        <w:rPr>
          <w:rFonts w:hint="eastAsia" w:ascii="宋体" w:hAnsi="宋体" w:eastAsia="宋体" w:cs="宋体"/>
        </w:rPr>
      </w:pPr>
      <w:r>
        <w:rPr>
          <w:rFonts w:hint="eastAsia" w:ascii="宋体" w:hAnsi="宋体" w:eastAsia="宋体" w:cs="宋体"/>
          <w:sz w:val="24"/>
        </w:rPr>
        <w:t>项目编号：</w:t>
      </w:r>
      <w:r>
        <w:rPr>
          <w:rFonts w:hint="eastAsia" w:ascii="宋体" w:hAnsi="宋体" w:eastAsia="宋体" w:cs="宋体"/>
          <w:sz w:val="24"/>
          <w:u w:val="single"/>
        </w:rPr>
        <w:t xml:space="preserve">               </w:t>
      </w:r>
    </w:p>
    <w:p w14:paraId="1DAFFF38">
      <w:pPr>
        <w:pStyle w:val="6"/>
        <w:rPr>
          <w:rFonts w:hint="eastAsia" w:ascii="宋体" w:hAnsi="宋体" w:eastAsia="宋体" w:cs="宋体"/>
        </w:rPr>
      </w:pPr>
    </w:p>
    <w:tbl>
      <w:tblPr>
        <w:tblStyle w:val="4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3191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0D4C4CBB">
            <w:pPr>
              <w:adjustRightInd w:val="0"/>
              <w:snapToGrid w:val="0"/>
              <w:jc w:val="center"/>
              <w:rPr>
                <w:rFonts w:hint="eastAsia" w:ascii="宋体" w:hAnsi="宋体" w:eastAsia="宋体" w:cs="宋体"/>
                <w:sz w:val="24"/>
              </w:rPr>
            </w:pPr>
            <w:r>
              <w:rPr>
                <w:rFonts w:hint="eastAsia" w:ascii="宋体" w:hAnsi="宋体" w:eastAsia="宋体" w:cs="宋体"/>
                <w:sz w:val="24"/>
              </w:rPr>
              <w:t>序号</w:t>
            </w:r>
          </w:p>
        </w:tc>
        <w:tc>
          <w:tcPr>
            <w:tcW w:w="1482" w:type="dxa"/>
            <w:vAlign w:val="center"/>
          </w:tcPr>
          <w:p w14:paraId="47C08CA9">
            <w:pPr>
              <w:adjustRightInd w:val="0"/>
              <w:snapToGrid w:val="0"/>
              <w:jc w:val="center"/>
              <w:rPr>
                <w:rFonts w:hint="eastAsia" w:ascii="宋体" w:hAnsi="宋体" w:eastAsia="宋体" w:cs="宋体"/>
                <w:sz w:val="24"/>
              </w:rPr>
            </w:pPr>
            <w:r>
              <w:rPr>
                <w:rFonts w:hint="eastAsia" w:ascii="宋体" w:hAnsi="宋体" w:eastAsia="宋体" w:cs="宋体"/>
                <w:sz w:val="24"/>
              </w:rPr>
              <w:t>招标文件条目号(页码)</w:t>
            </w:r>
          </w:p>
        </w:tc>
        <w:tc>
          <w:tcPr>
            <w:tcW w:w="2384" w:type="dxa"/>
            <w:vAlign w:val="center"/>
          </w:tcPr>
          <w:p w14:paraId="616F4860">
            <w:pPr>
              <w:adjustRightInd w:val="0"/>
              <w:snapToGrid w:val="0"/>
              <w:jc w:val="center"/>
              <w:rPr>
                <w:rFonts w:hint="eastAsia" w:ascii="宋体" w:hAnsi="宋体" w:eastAsia="宋体" w:cs="宋体"/>
                <w:sz w:val="24"/>
              </w:rPr>
            </w:pPr>
            <w:r>
              <w:rPr>
                <w:rFonts w:hint="eastAsia" w:ascii="宋体" w:hAnsi="宋体" w:eastAsia="宋体" w:cs="宋体"/>
                <w:sz w:val="24"/>
              </w:rPr>
              <w:t>招标文件要求</w:t>
            </w:r>
          </w:p>
        </w:tc>
        <w:tc>
          <w:tcPr>
            <w:tcW w:w="2126" w:type="dxa"/>
            <w:vAlign w:val="center"/>
          </w:tcPr>
          <w:p w14:paraId="68656AE8">
            <w:pPr>
              <w:adjustRightInd w:val="0"/>
              <w:snapToGrid w:val="0"/>
              <w:jc w:val="center"/>
              <w:rPr>
                <w:rFonts w:hint="eastAsia" w:ascii="宋体" w:hAnsi="宋体" w:eastAsia="宋体" w:cs="宋体"/>
                <w:sz w:val="24"/>
              </w:rPr>
            </w:pPr>
            <w:r>
              <w:rPr>
                <w:rFonts w:hint="eastAsia" w:ascii="宋体" w:hAnsi="宋体" w:eastAsia="宋体" w:cs="宋体"/>
                <w:sz w:val="24"/>
              </w:rPr>
              <w:t>投标响应内容</w:t>
            </w:r>
          </w:p>
        </w:tc>
        <w:tc>
          <w:tcPr>
            <w:tcW w:w="1875" w:type="dxa"/>
            <w:vAlign w:val="center"/>
          </w:tcPr>
          <w:p w14:paraId="0BC67434">
            <w:pPr>
              <w:adjustRightInd w:val="0"/>
              <w:snapToGrid w:val="0"/>
              <w:jc w:val="center"/>
              <w:rPr>
                <w:rFonts w:hint="eastAsia" w:ascii="宋体" w:hAnsi="宋体" w:eastAsia="宋体" w:cs="宋体"/>
                <w:sz w:val="24"/>
              </w:rPr>
            </w:pPr>
            <w:r>
              <w:rPr>
                <w:rFonts w:hint="eastAsia" w:ascii="宋体" w:hAnsi="宋体" w:eastAsia="宋体" w:cs="宋体"/>
                <w:sz w:val="24"/>
              </w:rPr>
              <w:t>偏离情况</w:t>
            </w:r>
          </w:p>
        </w:tc>
        <w:tc>
          <w:tcPr>
            <w:tcW w:w="1009" w:type="dxa"/>
            <w:vAlign w:val="center"/>
          </w:tcPr>
          <w:p w14:paraId="4EA52A01">
            <w:pPr>
              <w:adjustRightInd w:val="0"/>
              <w:snapToGrid w:val="0"/>
              <w:jc w:val="center"/>
              <w:rPr>
                <w:rFonts w:hint="eastAsia" w:ascii="宋体" w:hAnsi="宋体" w:eastAsia="宋体" w:cs="宋体"/>
                <w:sz w:val="24"/>
              </w:rPr>
            </w:pPr>
            <w:r>
              <w:rPr>
                <w:rFonts w:hint="eastAsia" w:ascii="宋体" w:hAnsi="宋体" w:eastAsia="宋体" w:cs="宋体"/>
                <w:sz w:val="24"/>
              </w:rPr>
              <w:t>说明</w:t>
            </w:r>
          </w:p>
        </w:tc>
      </w:tr>
      <w:tr w14:paraId="4BEA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C606E94">
            <w:pPr>
              <w:adjustRightInd w:val="0"/>
              <w:snapToGrid w:val="0"/>
              <w:jc w:val="center"/>
              <w:rPr>
                <w:rFonts w:hint="eastAsia" w:ascii="宋体" w:hAnsi="宋体" w:eastAsia="宋体" w:cs="宋体"/>
                <w:sz w:val="24"/>
              </w:rPr>
            </w:pPr>
          </w:p>
        </w:tc>
        <w:tc>
          <w:tcPr>
            <w:tcW w:w="1482" w:type="dxa"/>
            <w:vAlign w:val="center"/>
          </w:tcPr>
          <w:p w14:paraId="517AC2D0">
            <w:pPr>
              <w:adjustRightInd w:val="0"/>
              <w:snapToGrid w:val="0"/>
              <w:jc w:val="center"/>
              <w:rPr>
                <w:rFonts w:hint="eastAsia" w:ascii="宋体" w:hAnsi="宋体" w:eastAsia="宋体" w:cs="宋体"/>
                <w:sz w:val="24"/>
              </w:rPr>
            </w:pPr>
          </w:p>
        </w:tc>
        <w:tc>
          <w:tcPr>
            <w:tcW w:w="2384" w:type="dxa"/>
            <w:vAlign w:val="center"/>
          </w:tcPr>
          <w:p w14:paraId="0423C805">
            <w:pPr>
              <w:adjustRightInd w:val="0"/>
              <w:snapToGrid w:val="0"/>
              <w:jc w:val="center"/>
              <w:rPr>
                <w:rFonts w:hint="eastAsia" w:ascii="宋体" w:hAnsi="宋体" w:eastAsia="宋体" w:cs="宋体"/>
                <w:sz w:val="24"/>
              </w:rPr>
            </w:pPr>
          </w:p>
        </w:tc>
        <w:tc>
          <w:tcPr>
            <w:tcW w:w="2126" w:type="dxa"/>
            <w:vAlign w:val="center"/>
          </w:tcPr>
          <w:p w14:paraId="1613292B">
            <w:pPr>
              <w:adjustRightInd w:val="0"/>
              <w:snapToGrid w:val="0"/>
              <w:jc w:val="center"/>
              <w:rPr>
                <w:rFonts w:hint="eastAsia" w:ascii="宋体" w:hAnsi="宋体" w:eastAsia="宋体" w:cs="宋体"/>
                <w:sz w:val="24"/>
              </w:rPr>
            </w:pPr>
          </w:p>
        </w:tc>
        <w:tc>
          <w:tcPr>
            <w:tcW w:w="1875" w:type="dxa"/>
            <w:vAlign w:val="center"/>
          </w:tcPr>
          <w:p w14:paraId="1168A1BC">
            <w:pPr>
              <w:adjustRightInd w:val="0"/>
              <w:snapToGrid w:val="0"/>
              <w:jc w:val="center"/>
              <w:rPr>
                <w:rFonts w:hint="eastAsia" w:ascii="宋体" w:hAnsi="宋体" w:eastAsia="宋体" w:cs="宋体"/>
                <w:sz w:val="24"/>
              </w:rPr>
            </w:pPr>
          </w:p>
        </w:tc>
        <w:tc>
          <w:tcPr>
            <w:tcW w:w="1009" w:type="dxa"/>
            <w:vAlign w:val="center"/>
          </w:tcPr>
          <w:p w14:paraId="29667833">
            <w:pPr>
              <w:adjustRightInd w:val="0"/>
              <w:snapToGrid w:val="0"/>
              <w:jc w:val="center"/>
              <w:rPr>
                <w:rFonts w:hint="eastAsia" w:ascii="宋体" w:hAnsi="宋体" w:eastAsia="宋体" w:cs="宋体"/>
                <w:sz w:val="24"/>
              </w:rPr>
            </w:pPr>
          </w:p>
        </w:tc>
      </w:tr>
      <w:tr w14:paraId="615F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35CAE7D">
            <w:pPr>
              <w:adjustRightInd w:val="0"/>
              <w:snapToGrid w:val="0"/>
              <w:jc w:val="center"/>
              <w:rPr>
                <w:rFonts w:hint="eastAsia" w:ascii="宋体" w:hAnsi="宋体" w:eastAsia="宋体" w:cs="宋体"/>
                <w:sz w:val="24"/>
              </w:rPr>
            </w:pPr>
          </w:p>
        </w:tc>
        <w:tc>
          <w:tcPr>
            <w:tcW w:w="1482" w:type="dxa"/>
            <w:vAlign w:val="center"/>
          </w:tcPr>
          <w:p w14:paraId="7C5499C6">
            <w:pPr>
              <w:adjustRightInd w:val="0"/>
              <w:snapToGrid w:val="0"/>
              <w:jc w:val="center"/>
              <w:rPr>
                <w:rFonts w:hint="eastAsia" w:ascii="宋体" w:hAnsi="宋体" w:eastAsia="宋体" w:cs="宋体"/>
                <w:sz w:val="24"/>
              </w:rPr>
            </w:pPr>
          </w:p>
        </w:tc>
        <w:tc>
          <w:tcPr>
            <w:tcW w:w="2384" w:type="dxa"/>
            <w:vAlign w:val="center"/>
          </w:tcPr>
          <w:p w14:paraId="028C1C38">
            <w:pPr>
              <w:adjustRightInd w:val="0"/>
              <w:snapToGrid w:val="0"/>
              <w:jc w:val="center"/>
              <w:rPr>
                <w:rFonts w:hint="eastAsia" w:ascii="宋体" w:hAnsi="宋体" w:eastAsia="宋体" w:cs="宋体"/>
                <w:sz w:val="24"/>
              </w:rPr>
            </w:pPr>
          </w:p>
        </w:tc>
        <w:tc>
          <w:tcPr>
            <w:tcW w:w="2126" w:type="dxa"/>
            <w:vAlign w:val="center"/>
          </w:tcPr>
          <w:p w14:paraId="5229C0C6">
            <w:pPr>
              <w:adjustRightInd w:val="0"/>
              <w:snapToGrid w:val="0"/>
              <w:jc w:val="center"/>
              <w:rPr>
                <w:rFonts w:hint="eastAsia" w:ascii="宋体" w:hAnsi="宋体" w:eastAsia="宋体" w:cs="宋体"/>
                <w:sz w:val="24"/>
              </w:rPr>
            </w:pPr>
          </w:p>
        </w:tc>
        <w:tc>
          <w:tcPr>
            <w:tcW w:w="1875" w:type="dxa"/>
            <w:vAlign w:val="center"/>
          </w:tcPr>
          <w:p w14:paraId="599C5D50">
            <w:pPr>
              <w:adjustRightInd w:val="0"/>
              <w:snapToGrid w:val="0"/>
              <w:jc w:val="center"/>
              <w:rPr>
                <w:rFonts w:hint="eastAsia" w:ascii="宋体" w:hAnsi="宋体" w:eastAsia="宋体" w:cs="宋体"/>
                <w:sz w:val="24"/>
              </w:rPr>
            </w:pPr>
          </w:p>
        </w:tc>
        <w:tc>
          <w:tcPr>
            <w:tcW w:w="1009" w:type="dxa"/>
            <w:vAlign w:val="center"/>
          </w:tcPr>
          <w:p w14:paraId="5C0DA498">
            <w:pPr>
              <w:adjustRightInd w:val="0"/>
              <w:snapToGrid w:val="0"/>
              <w:jc w:val="center"/>
              <w:rPr>
                <w:rFonts w:hint="eastAsia" w:ascii="宋体" w:hAnsi="宋体" w:eastAsia="宋体" w:cs="宋体"/>
                <w:sz w:val="24"/>
              </w:rPr>
            </w:pPr>
          </w:p>
        </w:tc>
      </w:tr>
      <w:tr w14:paraId="6436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4C36E21">
            <w:pPr>
              <w:adjustRightInd w:val="0"/>
              <w:snapToGrid w:val="0"/>
              <w:jc w:val="center"/>
              <w:rPr>
                <w:rFonts w:hint="eastAsia" w:ascii="宋体" w:hAnsi="宋体" w:eastAsia="宋体" w:cs="宋体"/>
                <w:sz w:val="24"/>
              </w:rPr>
            </w:pPr>
          </w:p>
        </w:tc>
        <w:tc>
          <w:tcPr>
            <w:tcW w:w="1482" w:type="dxa"/>
            <w:vAlign w:val="center"/>
          </w:tcPr>
          <w:p w14:paraId="5684CF71">
            <w:pPr>
              <w:adjustRightInd w:val="0"/>
              <w:snapToGrid w:val="0"/>
              <w:jc w:val="center"/>
              <w:rPr>
                <w:rFonts w:hint="eastAsia" w:ascii="宋体" w:hAnsi="宋体" w:eastAsia="宋体" w:cs="宋体"/>
                <w:sz w:val="24"/>
              </w:rPr>
            </w:pPr>
          </w:p>
        </w:tc>
        <w:tc>
          <w:tcPr>
            <w:tcW w:w="2384" w:type="dxa"/>
            <w:vAlign w:val="center"/>
          </w:tcPr>
          <w:p w14:paraId="080B8F4F">
            <w:pPr>
              <w:adjustRightInd w:val="0"/>
              <w:snapToGrid w:val="0"/>
              <w:jc w:val="center"/>
              <w:rPr>
                <w:rFonts w:hint="eastAsia" w:ascii="宋体" w:hAnsi="宋体" w:eastAsia="宋体" w:cs="宋体"/>
                <w:sz w:val="24"/>
              </w:rPr>
            </w:pPr>
          </w:p>
        </w:tc>
        <w:tc>
          <w:tcPr>
            <w:tcW w:w="2126" w:type="dxa"/>
            <w:vAlign w:val="center"/>
          </w:tcPr>
          <w:p w14:paraId="390539BE">
            <w:pPr>
              <w:adjustRightInd w:val="0"/>
              <w:snapToGrid w:val="0"/>
              <w:jc w:val="center"/>
              <w:rPr>
                <w:rFonts w:hint="eastAsia" w:ascii="宋体" w:hAnsi="宋体" w:eastAsia="宋体" w:cs="宋体"/>
                <w:sz w:val="24"/>
              </w:rPr>
            </w:pPr>
          </w:p>
        </w:tc>
        <w:tc>
          <w:tcPr>
            <w:tcW w:w="1875" w:type="dxa"/>
            <w:vAlign w:val="center"/>
          </w:tcPr>
          <w:p w14:paraId="1AC214BE">
            <w:pPr>
              <w:adjustRightInd w:val="0"/>
              <w:snapToGrid w:val="0"/>
              <w:jc w:val="center"/>
              <w:rPr>
                <w:rFonts w:hint="eastAsia" w:ascii="宋体" w:hAnsi="宋体" w:eastAsia="宋体" w:cs="宋体"/>
                <w:sz w:val="24"/>
              </w:rPr>
            </w:pPr>
          </w:p>
        </w:tc>
        <w:tc>
          <w:tcPr>
            <w:tcW w:w="1009" w:type="dxa"/>
            <w:vAlign w:val="center"/>
          </w:tcPr>
          <w:p w14:paraId="5B3801AC">
            <w:pPr>
              <w:adjustRightInd w:val="0"/>
              <w:snapToGrid w:val="0"/>
              <w:jc w:val="center"/>
              <w:rPr>
                <w:rFonts w:hint="eastAsia" w:ascii="宋体" w:hAnsi="宋体" w:eastAsia="宋体" w:cs="宋体"/>
                <w:sz w:val="24"/>
              </w:rPr>
            </w:pPr>
          </w:p>
        </w:tc>
      </w:tr>
      <w:tr w14:paraId="5DF2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FBEE6CD">
            <w:pPr>
              <w:adjustRightInd w:val="0"/>
              <w:snapToGrid w:val="0"/>
              <w:jc w:val="center"/>
              <w:rPr>
                <w:rFonts w:hint="eastAsia" w:ascii="宋体" w:hAnsi="宋体" w:eastAsia="宋体" w:cs="宋体"/>
                <w:sz w:val="24"/>
              </w:rPr>
            </w:pPr>
          </w:p>
        </w:tc>
        <w:tc>
          <w:tcPr>
            <w:tcW w:w="1482" w:type="dxa"/>
            <w:vAlign w:val="center"/>
          </w:tcPr>
          <w:p w14:paraId="0C1A7C8E">
            <w:pPr>
              <w:adjustRightInd w:val="0"/>
              <w:snapToGrid w:val="0"/>
              <w:jc w:val="center"/>
              <w:rPr>
                <w:rFonts w:hint="eastAsia" w:ascii="宋体" w:hAnsi="宋体" w:eastAsia="宋体" w:cs="宋体"/>
                <w:sz w:val="24"/>
              </w:rPr>
            </w:pPr>
          </w:p>
        </w:tc>
        <w:tc>
          <w:tcPr>
            <w:tcW w:w="2384" w:type="dxa"/>
            <w:vAlign w:val="center"/>
          </w:tcPr>
          <w:p w14:paraId="7E56044C">
            <w:pPr>
              <w:adjustRightInd w:val="0"/>
              <w:snapToGrid w:val="0"/>
              <w:jc w:val="center"/>
              <w:rPr>
                <w:rFonts w:hint="eastAsia" w:ascii="宋体" w:hAnsi="宋体" w:eastAsia="宋体" w:cs="宋体"/>
                <w:sz w:val="24"/>
              </w:rPr>
            </w:pPr>
          </w:p>
        </w:tc>
        <w:tc>
          <w:tcPr>
            <w:tcW w:w="2126" w:type="dxa"/>
            <w:vAlign w:val="center"/>
          </w:tcPr>
          <w:p w14:paraId="239F33D5">
            <w:pPr>
              <w:adjustRightInd w:val="0"/>
              <w:snapToGrid w:val="0"/>
              <w:jc w:val="center"/>
              <w:rPr>
                <w:rFonts w:hint="eastAsia" w:ascii="宋体" w:hAnsi="宋体" w:eastAsia="宋体" w:cs="宋体"/>
                <w:sz w:val="24"/>
              </w:rPr>
            </w:pPr>
          </w:p>
        </w:tc>
        <w:tc>
          <w:tcPr>
            <w:tcW w:w="1875" w:type="dxa"/>
            <w:vAlign w:val="center"/>
          </w:tcPr>
          <w:p w14:paraId="7727994A">
            <w:pPr>
              <w:adjustRightInd w:val="0"/>
              <w:snapToGrid w:val="0"/>
              <w:jc w:val="center"/>
              <w:rPr>
                <w:rFonts w:hint="eastAsia" w:ascii="宋体" w:hAnsi="宋体" w:eastAsia="宋体" w:cs="宋体"/>
                <w:sz w:val="24"/>
              </w:rPr>
            </w:pPr>
          </w:p>
        </w:tc>
        <w:tc>
          <w:tcPr>
            <w:tcW w:w="1009" w:type="dxa"/>
            <w:vAlign w:val="center"/>
          </w:tcPr>
          <w:p w14:paraId="651762BA">
            <w:pPr>
              <w:adjustRightInd w:val="0"/>
              <w:snapToGrid w:val="0"/>
              <w:jc w:val="center"/>
              <w:rPr>
                <w:rFonts w:hint="eastAsia" w:ascii="宋体" w:hAnsi="宋体" w:eastAsia="宋体" w:cs="宋体"/>
                <w:sz w:val="24"/>
              </w:rPr>
            </w:pPr>
          </w:p>
        </w:tc>
      </w:tr>
      <w:tr w14:paraId="1F08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EEEC2BF">
            <w:pPr>
              <w:adjustRightInd w:val="0"/>
              <w:snapToGrid w:val="0"/>
              <w:jc w:val="center"/>
              <w:rPr>
                <w:rFonts w:hint="eastAsia" w:ascii="宋体" w:hAnsi="宋体" w:eastAsia="宋体" w:cs="宋体"/>
                <w:sz w:val="24"/>
              </w:rPr>
            </w:pPr>
          </w:p>
        </w:tc>
        <w:tc>
          <w:tcPr>
            <w:tcW w:w="1482" w:type="dxa"/>
            <w:vAlign w:val="center"/>
          </w:tcPr>
          <w:p w14:paraId="56D1567C">
            <w:pPr>
              <w:adjustRightInd w:val="0"/>
              <w:snapToGrid w:val="0"/>
              <w:jc w:val="center"/>
              <w:rPr>
                <w:rFonts w:hint="eastAsia" w:ascii="宋体" w:hAnsi="宋体" w:eastAsia="宋体" w:cs="宋体"/>
                <w:sz w:val="24"/>
              </w:rPr>
            </w:pPr>
          </w:p>
        </w:tc>
        <w:tc>
          <w:tcPr>
            <w:tcW w:w="2384" w:type="dxa"/>
            <w:vAlign w:val="center"/>
          </w:tcPr>
          <w:p w14:paraId="4C9610F8">
            <w:pPr>
              <w:adjustRightInd w:val="0"/>
              <w:snapToGrid w:val="0"/>
              <w:jc w:val="center"/>
              <w:rPr>
                <w:rFonts w:hint="eastAsia" w:ascii="宋体" w:hAnsi="宋体" w:eastAsia="宋体" w:cs="宋体"/>
                <w:sz w:val="24"/>
              </w:rPr>
            </w:pPr>
          </w:p>
        </w:tc>
        <w:tc>
          <w:tcPr>
            <w:tcW w:w="2126" w:type="dxa"/>
            <w:vAlign w:val="center"/>
          </w:tcPr>
          <w:p w14:paraId="3A32BA2E">
            <w:pPr>
              <w:adjustRightInd w:val="0"/>
              <w:snapToGrid w:val="0"/>
              <w:jc w:val="center"/>
              <w:rPr>
                <w:rFonts w:hint="eastAsia" w:ascii="宋体" w:hAnsi="宋体" w:eastAsia="宋体" w:cs="宋体"/>
                <w:sz w:val="24"/>
              </w:rPr>
            </w:pPr>
          </w:p>
        </w:tc>
        <w:tc>
          <w:tcPr>
            <w:tcW w:w="1875" w:type="dxa"/>
            <w:vAlign w:val="center"/>
          </w:tcPr>
          <w:p w14:paraId="447E78A8">
            <w:pPr>
              <w:adjustRightInd w:val="0"/>
              <w:snapToGrid w:val="0"/>
              <w:jc w:val="center"/>
              <w:rPr>
                <w:rFonts w:hint="eastAsia" w:ascii="宋体" w:hAnsi="宋体" w:eastAsia="宋体" w:cs="宋体"/>
                <w:sz w:val="24"/>
              </w:rPr>
            </w:pPr>
          </w:p>
        </w:tc>
        <w:tc>
          <w:tcPr>
            <w:tcW w:w="1009" w:type="dxa"/>
            <w:vAlign w:val="center"/>
          </w:tcPr>
          <w:p w14:paraId="49075819">
            <w:pPr>
              <w:adjustRightInd w:val="0"/>
              <w:snapToGrid w:val="0"/>
              <w:jc w:val="center"/>
              <w:rPr>
                <w:rFonts w:hint="eastAsia" w:ascii="宋体" w:hAnsi="宋体" w:eastAsia="宋体" w:cs="宋体"/>
                <w:sz w:val="24"/>
              </w:rPr>
            </w:pPr>
          </w:p>
        </w:tc>
      </w:tr>
      <w:tr w14:paraId="30C6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2A51746">
            <w:pPr>
              <w:adjustRightInd w:val="0"/>
              <w:snapToGrid w:val="0"/>
              <w:jc w:val="center"/>
              <w:rPr>
                <w:rFonts w:hint="eastAsia" w:ascii="宋体" w:hAnsi="宋体" w:eastAsia="宋体" w:cs="宋体"/>
                <w:sz w:val="24"/>
              </w:rPr>
            </w:pPr>
          </w:p>
        </w:tc>
        <w:tc>
          <w:tcPr>
            <w:tcW w:w="1482" w:type="dxa"/>
            <w:vAlign w:val="center"/>
          </w:tcPr>
          <w:p w14:paraId="5F35EE7F">
            <w:pPr>
              <w:adjustRightInd w:val="0"/>
              <w:snapToGrid w:val="0"/>
              <w:jc w:val="center"/>
              <w:rPr>
                <w:rFonts w:hint="eastAsia" w:ascii="宋体" w:hAnsi="宋体" w:eastAsia="宋体" w:cs="宋体"/>
                <w:sz w:val="24"/>
              </w:rPr>
            </w:pPr>
          </w:p>
        </w:tc>
        <w:tc>
          <w:tcPr>
            <w:tcW w:w="2384" w:type="dxa"/>
            <w:vAlign w:val="center"/>
          </w:tcPr>
          <w:p w14:paraId="1C96A101">
            <w:pPr>
              <w:adjustRightInd w:val="0"/>
              <w:snapToGrid w:val="0"/>
              <w:jc w:val="center"/>
              <w:rPr>
                <w:rFonts w:hint="eastAsia" w:ascii="宋体" w:hAnsi="宋体" w:eastAsia="宋体" w:cs="宋体"/>
                <w:sz w:val="24"/>
              </w:rPr>
            </w:pPr>
          </w:p>
        </w:tc>
        <w:tc>
          <w:tcPr>
            <w:tcW w:w="2126" w:type="dxa"/>
            <w:vAlign w:val="center"/>
          </w:tcPr>
          <w:p w14:paraId="246547E0">
            <w:pPr>
              <w:adjustRightInd w:val="0"/>
              <w:snapToGrid w:val="0"/>
              <w:jc w:val="center"/>
              <w:rPr>
                <w:rFonts w:hint="eastAsia" w:ascii="宋体" w:hAnsi="宋体" w:eastAsia="宋体" w:cs="宋体"/>
                <w:sz w:val="24"/>
              </w:rPr>
            </w:pPr>
          </w:p>
        </w:tc>
        <w:tc>
          <w:tcPr>
            <w:tcW w:w="1875" w:type="dxa"/>
            <w:vAlign w:val="center"/>
          </w:tcPr>
          <w:p w14:paraId="3FC2AA81">
            <w:pPr>
              <w:adjustRightInd w:val="0"/>
              <w:snapToGrid w:val="0"/>
              <w:jc w:val="center"/>
              <w:rPr>
                <w:rFonts w:hint="eastAsia" w:ascii="宋体" w:hAnsi="宋体" w:eastAsia="宋体" w:cs="宋体"/>
                <w:sz w:val="24"/>
              </w:rPr>
            </w:pPr>
          </w:p>
        </w:tc>
        <w:tc>
          <w:tcPr>
            <w:tcW w:w="1009" w:type="dxa"/>
            <w:vAlign w:val="center"/>
          </w:tcPr>
          <w:p w14:paraId="7D361C9F">
            <w:pPr>
              <w:adjustRightInd w:val="0"/>
              <w:snapToGrid w:val="0"/>
              <w:jc w:val="center"/>
              <w:rPr>
                <w:rFonts w:hint="eastAsia" w:ascii="宋体" w:hAnsi="宋体" w:eastAsia="宋体" w:cs="宋体"/>
                <w:sz w:val="24"/>
              </w:rPr>
            </w:pPr>
          </w:p>
        </w:tc>
      </w:tr>
    </w:tbl>
    <w:p w14:paraId="6BAC3EFC">
      <w:pPr>
        <w:tabs>
          <w:tab w:val="left" w:pos="1800"/>
          <w:tab w:val="left" w:pos="5580"/>
        </w:tabs>
        <w:spacing w:line="360" w:lineRule="auto"/>
        <w:ind w:firstLine="360" w:firstLineChars="150"/>
        <w:jc w:val="left"/>
        <w:rPr>
          <w:rFonts w:hint="eastAsia" w:ascii="宋体" w:hAnsi="宋体" w:eastAsia="宋体" w:cs="宋体"/>
          <w:sz w:val="24"/>
          <w:u w:val="single"/>
        </w:rPr>
      </w:pPr>
    </w:p>
    <w:p w14:paraId="1C18942E">
      <w:pPr>
        <w:tabs>
          <w:tab w:val="left" w:pos="1800"/>
          <w:tab w:val="left" w:pos="5580"/>
        </w:tabs>
        <w:spacing w:line="360" w:lineRule="auto"/>
        <w:ind w:firstLine="360" w:firstLineChars="150"/>
        <w:jc w:val="left"/>
        <w:rPr>
          <w:rFonts w:hint="eastAsia" w:ascii="宋体" w:hAnsi="宋体" w:eastAsia="宋体" w:cs="宋体"/>
          <w:sz w:val="24"/>
          <w:u w:val="single"/>
        </w:rPr>
      </w:pPr>
    </w:p>
    <w:p w14:paraId="678F92F9">
      <w:pPr>
        <w:tabs>
          <w:tab w:val="left" w:pos="1800"/>
          <w:tab w:val="left" w:pos="5580"/>
        </w:tabs>
        <w:jc w:val="left"/>
        <w:rPr>
          <w:rFonts w:hint="eastAsia" w:ascii="宋体" w:hAnsi="宋体" w:eastAsia="宋体" w:cs="宋体"/>
          <w:sz w:val="24"/>
        </w:rPr>
      </w:pPr>
      <w:r>
        <w:rPr>
          <w:rFonts w:hint="eastAsia" w:ascii="宋体" w:hAnsi="宋体" w:eastAsia="宋体" w:cs="宋体"/>
          <w:sz w:val="24"/>
        </w:rPr>
        <w:t>注：</w:t>
      </w:r>
    </w:p>
    <w:p w14:paraId="63016890">
      <w:pPr>
        <w:tabs>
          <w:tab w:val="left" w:pos="1800"/>
          <w:tab w:val="left" w:pos="5580"/>
        </w:tabs>
        <w:jc w:val="left"/>
        <w:rPr>
          <w:rFonts w:hint="eastAsia" w:ascii="宋体" w:hAnsi="宋体" w:eastAsia="宋体" w:cs="宋体"/>
          <w:sz w:val="24"/>
        </w:rPr>
      </w:pPr>
      <w:r>
        <w:rPr>
          <w:rFonts w:hint="eastAsia" w:ascii="宋体" w:hAnsi="宋体" w:eastAsia="宋体" w:cs="宋体"/>
          <w:sz w:val="24"/>
        </w:rPr>
        <w:t>1. 对招标文件中的所有商务、技术要求，除本表所列明的所有偏离外，均视作供应商已对之理解和响应。此表中若无任何文字说明，内容为空白，</w:t>
      </w:r>
      <w:r>
        <w:rPr>
          <w:rFonts w:hint="eastAsia" w:ascii="宋体" w:hAnsi="宋体" w:eastAsia="宋体" w:cs="宋体"/>
          <w:b/>
          <w:sz w:val="24"/>
        </w:rPr>
        <w:t>投标无效。</w:t>
      </w:r>
    </w:p>
    <w:p w14:paraId="35C23F5E">
      <w:pPr>
        <w:tabs>
          <w:tab w:val="left" w:pos="1800"/>
          <w:tab w:val="left" w:pos="5580"/>
        </w:tabs>
        <w:jc w:val="left"/>
        <w:rPr>
          <w:rFonts w:hint="eastAsia" w:ascii="宋体" w:hAnsi="宋体" w:eastAsia="宋体" w:cs="宋体"/>
          <w:sz w:val="24"/>
        </w:rPr>
      </w:pPr>
      <w:r>
        <w:rPr>
          <w:rFonts w:hint="eastAsia" w:ascii="宋体" w:hAnsi="宋体" w:eastAsia="宋体" w:cs="宋体"/>
          <w:sz w:val="24"/>
        </w:rPr>
        <w:t>2.“偏离情况”列应据实填写“无偏离”、“正偏离”或“负偏离”。</w:t>
      </w:r>
    </w:p>
    <w:p w14:paraId="3B73F0A2">
      <w:pPr>
        <w:tabs>
          <w:tab w:val="left" w:pos="1800"/>
          <w:tab w:val="left" w:pos="5580"/>
        </w:tabs>
        <w:jc w:val="left"/>
        <w:rPr>
          <w:rFonts w:hint="eastAsia" w:ascii="宋体" w:hAnsi="宋体" w:eastAsia="宋体" w:cs="宋体"/>
          <w:sz w:val="24"/>
        </w:rPr>
      </w:pPr>
    </w:p>
    <w:p w14:paraId="34699D25">
      <w:pPr>
        <w:tabs>
          <w:tab w:val="left" w:pos="1800"/>
          <w:tab w:val="left" w:pos="5580"/>
        </w:tabs>
        <w:jc w:val="left"/>
        <w:rPr>
          <w:rFonts w:hint="eastAsia" w:ascii="宋体" w:hAnsi="宋体" w:eastAsia="宋体" w:cs="宋体"/>
          <w:sz w:val="24"/>
        </w:rPr>
      </w:pPr>
    </w:p>
    <w:p w14:paraId="207AE289">
      <w:pPr>
        <w:tabs>
          <w:tab w:val="left" w:pos="1800"/>
          <w:tab w:val="left" w:pos="5580"/>
        </w:tabs>
        <w:jc w:val="left"/>
        <w:rPr>
          <w:rFonts w:hint="eastAsia" w:ascii="宋体" w:hAnsi="宋体" w:eastAsia="宋体" w:cs="宋体"/>
          <w:sz w:val="24"/>
        </w:rPr>
      </w:pPr>
    </w:p>
    <w:p w14:paraId="3A3B72BC">
      <w:pPr>
        <w:autoSpaceDE w:val="0"/>
        <w:autoSpaceDN w:val="0"/>
        <w:adjustRightInd w:val="0"/>
        <w:snapToGrid w:val="0"/>
        <w:spacing w:before="25" w:after="25" w:line="360" w:lineRule="auto"/>
        <w:rPr>
          <w:rFonts w:hint="eastAsia" w:ascii="宋体" w:hAnsi="宋体" w:eastAsia="宋体" w:cs="宋体"/>
          <w:sz w:val="24"/>
          <w:lang w:val="zh-CN"/>
        </w:rPr>
      </w:pPr>
      <w:r>
        <w:rPr>
          <w:rFonts w:hint="eastAsia" w:ascii="宋体" w:hAnsi="宋体" w:eastAsia="宋体" w:cs="宋体"/>
          <w:sz w:val="24"/>
          <w:lang w:val="zh-CN"/>
        </w:rPr>
        <w:t xml:space="preserve">                  </w:t>
      </w:r>
    </w:p>
    <w:p w14:paraId="1BC0E9E7">
      <w:pPr>
        <w:autoSpaceDE w:val="0"/>
        <w:autoSpaceDN w:val="0"/>
        <w:adjustRightInd w:val="0"/>
        <w:snapToGrid w:val="0"/>
        <w:spacing w:before="25" w:after="25" w:line="360" w:lineRule="auto"/>
        <w:rPr>
          <w:rFonts w:hint="eastAsia" w:ascii="宋体" w:hAnsi="宋体" w:eastAsia="宋体" w:cs="宋体"/>
          <w:sz w:val="24"/>
          <w:u w:val="single"/>
          <w:lang w:val="en-US" w:eastAsia="zh-CN"/>
        </w:rPr>
      </w:pPr>
      <w:r>
        <w:rPr>
          <w:rFonts w:hint="eastAsia" w:ascii="宋体" w:hAnsi="宋体" w:eastAsia="宋体" w:cs="宋体"/>
          <w:sz w:val="24"/>
        </w:rPr>
        <w:t>投标人名称（加盖公章）</w:t>
      </w:r>
      <w:r>
        <w:rPr>
          <w:rFonts w:hint="eastAsia" w:ascii="宋体" w:hAnsi="宋体" w:eastAsia="宋体" w:cs="宋体"/>
          <w:sz w:val="24"/>
          <w:lang w:val="zh-CN"/>
        </w:rPr>
        <w:t>：</w:t>
      </w:r>
      <w:r>
        <w:rPr>
          <w:rFonts w:hint="eastAsia" w:ascii="宋体" w:hAnsi="宋体" w:eastAsia="宋体" w:cs="宋体"/>
          <w:sz w:val="24"/>
          <w:u w:val="single"/>
          <w:lang w:val="en-US" w:eastAsia="zh-CN"/>
        </w:rPr>
        <w:t xml:space="preserve">            </w:t>
      </w:r>
    </w:p>
    <w:p w14:paraId="7CFD4718">
      <w:pPr>
        <w:autoSpaceDE w:val="0"/>
        <w:autoSpaceDN w:val="0"/>
        <w:adjustRightInd w:val="0"/>
        <w:snapToGrid w:val="0"/>
        <w:spacing w:before="25" w:after="25" w:line="360" w:lineRule="auto"/>
        <w:rPr>
          <w:rFonts w:hint="eastAsia" w:ascii="宋体" w:hAnsi="宋体" w:eastAsia="宋体" w:cs="宋体"/>
          <w:sz w:val="24"/>
          <w:lang w:val="zh-CN"/>
        </w:rPr>
      </w:pPr>
      <w:r>
        <w:rPr>
          <w:rFonts w:hint="eastAsia" w:ascii="宋体" w:hAnsi="宋体" w:eastAsia="宋体" w:cs="宋体"/>
          <w:sz w:val="24"/>
          <w:szCs w:val="20"/>
        </w:rPr>
        <w:t>日期：</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年</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 xml:space="preserve">月______日   </w:t>
      </w:r>
    </w:p>
    <w:p w14:paraId="22D023A9">
      <w:pPr>
        <w:rPr>
          <w:rStyle w:val="63"/>
          <w:rFonts w:hint="eastAsia" w:ascii="宋体" w:hAnsi="宋体" w:eastAsia="宋体" w:cs="宋体"/>
          <w:sz w:val="36"/>
          <w:szCs w:val="36"/>
        </w:rPr>
      </w:pPr>
      <w:r>
        <w:rPr>
          <w:rFonts w:hint="eastAsia" w:ascii="宋体" w:hAnsi="宋体" w:eastAsia="宋体" w:cs="宋体"/>
          <w:sz w:val="24"/>
          <w:szCs w:val="20"/>
        </w:rPr>
        <w:br w:type="page"/>
      </w:r>
      <w:r>
        <w:rPr>
          <w:rStyle w:val="63"/>
          <w:rFonts w:hint="eastAsia" w:ascii="宋体" w:hAnsi="宋体" w:cs="宋体"/>
          <w:sz w:val="36"/>
          <w:szCs w:val="36"/>
          <w:lang w:val="en-US" w:eastAsia="zh-CN"/>
        </w:rPr>
        <w:t>10</w:t>
      </w:r>
      <w:r>
        <w:rPr>
          <w:rStyle w:val="63"/>
          <w:rFonts w:hint="eastAsia" w:ascii="宋体" w:hAnsi="宋体" w:eastAsia="宋体" w:cs="宋体"/>
          <w:sz w:val="36"/>
          <w:szCs w:val="36"/>
        </w:rPr>
        <w:t xml:space="preserve">  保证金退还说明</w:t>
      </w:r>
    </w:p>
    <w:p w14:paraId="4F40E172">
      <w:pPr>
        <w:pStyle w:val="21"/>
        <w:ind w:left="900" w:hanging="480"/>
        <w:rPr>
          <w:rFonts w:hint="eastAsia" w:ascii="宋体" w:hAnsi="宋体" w:eastAsia="宋体" w:cs="宋体"/>
          <w:sz w:val="24"/>
          <w:szCs w:val="22"/>
        </w:rPr>
      </w:pPr>
    </w:p>
    <w:p w14:paraId="2110BAB9">
      <w:pPr>
        <w:pStyle w:val="21"/>
        <w:ind w:left="900" w:hanging="480"/>
        <w:rPr>
          <w:rFonts w:hint="eastAsia" w:ascii="宋体" w:hAnsi="宋体" w:eastAsia="宋体" w:cs="宋体"/>
          <w:sz w:val="24"/>
          <w:szCs w:val="22"/>
        </w:rPr>
      </w:pPr>
    </w:p>
    <w:p w14:paraId="71EEC5C9">
      <w:pPr>
        <w:spacing w:line="360" w:lineRule="auto"/>
        <w:rPr>
          <w:rFonts w:hint="eastAsia" w:ascii="宋体" w:hAnsi="宋体" w:eastAsia="宋体" w:cs="宋体"/>
          <w:sz w:val="24"/>
        </w:rPr>
      </w:pPr>
      <w:r>
        <w:rPr>
          <w:rFonts w:hint="eastAsia" w:ascii="宋体" w:hAnsi="宋体" w:eastAsia="宋体" w:cs="宋体"/>
          <w:sz w:val="24"/>
        </w:rPr>
        <w:t>致：北京中兴天诚招标代理有限公司</w:t>
      </w:r>
    </w:p>
    <w:p w14:paraId="0A95E91D">
      <w:pPr>
        <w:spacing w:line="360" w:lineRule="auto"/>
        <w:ind w:firstLine="566" w:firstLineChars="236"/>
        <w:rPr>
          <w:rFonts w:hint="eastAsia" w:ascii="宋体" w:hAnsi="宋体" w:eastAsia="宋体" w:cs="宋体"/>
          <w:sz w:val="24"/>
        </w:rPr>
      </w:pPr>
      <w:r>
        <w:rPr>
          <w:rFonts w:hint="eastAsia" w:ascii="宋体" w:hAnsi="宋体" w:eastAsia="宋体" w:cs="宋体"/>
          <w:sz w:val="24"/>
        </w:rPr>
        <w:t>我方为</w:t>
      </w:r>
      <w:r>
        <w:rPr>
          <w:rFonts w:hint="eastAsia" w:ascii="宋体" w:hAnsi="宋体" w:eastAsia="宋体" w:cs="宋体"/>
          <w:sz w:val="24"/>
          <w:u w:val="single"/>
        </w:rPr>
        <w:t xml:space="preserve"> （项目名称）（项目编号）</w:t>
      </w:r>
      <w:r>
        <w:rPr>
          <w:rFonts w:hint="eastAsia" w:ascii="宋体" w:hAnsi="宋体" w:eastAsia="宋体" w:cs="宋体"/>
          <w:sz w:val="24"/>
        </w:rPr>
        <w:t>的投标项目所提交的投标保证金</w:t>
      </w:r>
      <w:r>
        <w:rPr>
          <w:rFonts w:hint="eastAsia" w:ascii="宋体" w:hAnsi="宋体" w:eastAsia="宋体" w:cs="宋体"/>
          <w:sz w:val="24"/>
          <w:u w:val="single"/>
        </w:rPr>
        <w:t>（大写金额）</w:t>
      </w:r>
      <w:r>
        <w:rPr>
          <w:rFonts w:hint="eastAsia" w:ascii="宋体" w:hAnsi="宋体" w:eastAsia="宋体" w:cs="宋体"/>
          <w:sz w:val="24"/>
        </w:rPr>
        <w:t>元，请贵公司退还至以下帐户：</w:t>
      </w:r>
    </w:p>
    <w:p w14:paraId="71249F18">
      <w:pPr>
        <w:spacing w:line="360" w:lineRule="auto"/>
        <w:ind w:left="718" w:leftChars="342" w:firstLine="420"/>
        <w:rPr>
          <w:rFonts w:hint="eastAsia" w:ascii="宋体" w:hAnsi="宋体" w:eastAsia="宋体" w:cs="宋体"/>
          <w:sz w:val="24"/>
        </w:rPr>
      </w:pPr>
    </w:p>
    <w:tbl>
      <w:tblPr>
        <w:tblStyle w:val="46"/>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020"/>
        <w:gridCol w:w="3372"/>
        <w:gridCol w:w="1398"/>
        <w:gridCol w:w="1996"/>
      </w:tblGrid>
      <w:tr w14:paraId="6FD9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1118" w:type="dxa"/>
            <w:vMerge w:val="restart"/>
            <w:textDirection w:val="tbRlV"/>
            <w:vAlign w:val="center"/>
          </w:tcPr>
          <w:p w14:paraId="5788CC3C">
            <w:pPr>
              <w:spacing w:line="360" w:lineRule="auto"/>
              <w:ind w:left="113" w:right="113"/>
              <w:jc w:val="center"/>
              <w:rPr>
                <w:rFonts w:hint="eastAsia" w:ascii="宋体" w:hAnsi="宋体" w:eastAsia="宋体" w:cs="宋体"/>
                <w:sz w:val="24"/>
              </w:rPr>
            </w:pPr>
            <w:r>
              <w:rPr>
                <w:rFonts w:hint="eastAsia" w:ascii="宋体" w:hAnsi="宋体" w:eastAsia="宋体" w:cs="宋体"/>
                <w:sz w:val="24"/>
              </w:rPr>
              <w:t>收 款 单 位</w:t>
            </w:r>
          </w:p>
        </w:tc>
        <w:tc>
          <w:tcPr>
            <w:tcW w:w="2020" w:type="dxa"/>
            <w:vAlign w:val="center"/>
          </w:tcPr>
          <w:p w14:paraId="4A803EC0">
            <w:pPr>
              <w:spacing w:line="360" w:lineRule="auto"/>
              <w:jc w:val="center"/>
              <w:rPr>
                <w:rFonts w:hint="eastAsia" w:ascii="宋体" w:hAnsi="宋体" w:eastAsia="宋体" w:cs="宋体"/>
                <w:sz w:val="24"/>
              </w:rPr>
            </w:pPr>
            <w:r>
              <w:rPr>
                <w:rFonts w:hint="eastAsia" w:ascii="宋体" w:hAnsi="宋体" w:eastAsia="宋体" w:cs="宋体"/>
                <w:sz w:val="24"/>
              </w:rPr>
              <w:t>收款单位名称</w:t>
            </w:r>
          </w:p>
        </w:tc>
        <w:tc>
          <w:tcPr>
            <w:tcW w:w="6766" w:type="dxa"/>
            <w:gridSpan w:val="3"/>
            <w:vAlign w:val="center"/>
          </w:tcPr>
          <w:p w14:paraId="081542FF">
            <w:pPr>
              <w:spacing w:line="360" w:lineRule="auto"/>
              <w:jc w:val="center"/>
              <w:rPr>
                <w:rFonts w:hint="eastAsia" w:ascii="宋体" w:hAnsi="宋体" w:eastAsia="宋体" w:cs="宋体"/>
                <w:sz w:val="24"/>
              </w:rPr>
            </w:pPr>
          </w:p>
        </w:tc>
      </w:tr>
      <w:tr w14:paraId="648F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1118" w:type="dxa"/>
            <w:vMerge w:val="continue"/>
            <w:vAlign w:val="center"/>
          </w:tcPr>
          <w:p w14:paraId="7F6325C9">
            <w:pPr>
              <w:spacing w:line="360" w:lineRule="auto"/>
              <w:jc w:val="center"/>
              <w:rPr>
                <w:rFonts w:hint="eastAsia" w:ascii="宋体" w:hAnsi="宋体" w:eastAsia="宋体" w:cs="宋体"/>
                <w:sz w:val="24"/>
              </w:rPr>
            </w:pPr>
          </w:p>
        </w:tc>
        <w:tc>
          <w:tcPr>
            <w:tcW w:w="2020" w:type="dxa"/>
            <w:vAlign w:val="center"/>
          </w:tcPr>
          <w:p w14:paraId="0946DAFD">
            <w:pPr>
              <w:spacing w:line="360" w:lineRule="auto"/>
              <w:jc w:val="center"/>
              <w:rPr>
                <w:rFonts w:hint="eastAsia" w:ascii="宋体" w:hAnsi="宋体" w:eastAsia="宋体" w:cs="宋体"/>
                <w:sz w:val="24"/>
              </w:rPr>
            </w:pPr>
            <w:r>
              <w:rPr>
                <w:rFonts w:hint="eastAsia" w:ascii="宋体" w:hAnsi="宋体" w:eastAsia="宋体" w:cs="宋体"/>
                <w:sz w:val="24"/>
              </w:rPr>
              <w:t>收款单位地址</w:t>
            </w:r>
          </w:p>
        </w:tc>
        <w:tc>
          <w:tcPr>
            <w:tcW w:w="6766" w:type="dxa"/>
            <w:gridSpan w:val="3"/>
            <w:vAlign w:val="center"/>
          </w:tcPr>
          <w:p w14:paraId="25B629F3">
            <w:pPr>
              <w:spacing w:line="360" w:lineRule="auto"/>
              <w:jc w:val="center"/>
              <w:rPr>
                <w:rFonts w:hint="eastAsia" w:ascii="宋体" w:hAnsi="宋体" w:eastAsia="宋体" w:cs="宋体"/>
                <w:sz w:val="24"/>
              </w:rPr>
            </w:pPr>
          </w:p>
        </w:tc>
      </w:tr>
      <w:tr w14:paraId="7EA9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1118" w:type="dxa"/>
            <w:vMerge w:val="continue"/>
            <w:vAlign w:val="center"/>
          </w:tcPr>
          <w:p w14:paraId="3256BAE6">
            <w:pPr>
              <w:spacing w:line="360" w:lineRule="auto"/>
              <w:jc w:val="center"/>
              <w:rPr>
                <w:rFonts w:hint="eastAsia" w:ascii="宋体" w:hAnsi="宋体" w:eastAsia="宋体" w:cs="宋体"/>
                <w:sz w:val="24"/>
              </w:rPr>
            </w:pPr>
          </w:p>
        </w:tc>
        <w:tc>
          <w:tcPr>
            <w:tcW w:w="2020" w:type="dxa"/>
            <w:vAlign w:val="center"/>
          </w:tcPr>
          <w:p w14:paraId="4579DF31">
            <w:pPr>
              <w:spacing w:line="360" w:lineRule="auto"/>
              <w:jc w:val="center"/>
              <w:rPr>
                <w:rFonts w:hint="eastAsia" w:ascii="宋体" w:hAnsi="宋体" w:eastAsia="宋体" w:cs="宋体"/>
                <w:sz w:val="24"/>
              </w:rPr>
            </w:pPr>
            <w:r>
              <w:rPr>
                <w:rFonts w:hint="eastAsia" w:ascii="宋体" w:hAnsi="宋体" w:eastAsia="宋体" w:cs="宋体"/>
                <w:sz w:val="24"/>
              </w:rPr>
              <w:t>开户银行</w:t>
            </w:r>
          </w:p>
          <w:p w14:paraId="3E55269C">
            <w:pPr>
              <w:spacing w:line="360" w:lineRule="auto"/>
              <w:jc w:val="center"/>
              <w:rPr>
                <w:rFonts w:hint="eastAsia" w:ascii="宋体" w:hAnsi="宋体" w:eastAsia="宋体" w:cs="宋体"/>
                <w:sz w:val="24"/>
              </w:rPr>
            </w:pPr>
            <w:r>
              <w:rPr>
                <w:rFonts w:hint="eastAsia" w:ascii="宋体" w:hAnsi="宋体" w:eastAsia="宋体" w:cs="宋体"/>
                <w:sz w:val="24"/>
              </w:rPr>
              <w:t>（含汇入地点）</w:t>
            </w:r>
          </w:p>
        </w:tc>
        <w:tc>
          <w:tcPr>
            <w:tcW w:w="3372" w:type="dxa"/>
            <w:vAlign w:val="center"/>
          </w:tcPr>
          <w:p w14:paraId="3CC71683">
            <w:pPr>
              <w:spacing w:line="360" w:lineRule="auto"/>
              <w:jc w:val="center"/>
              <w:rPr>
                <w:rFonts w:hint="eastAsia" w:ascii="宋体" w:hAnsi="宋体" w:eastAsia="宋体" w:cs="宋体"/>
                <w:sz w:val="24"/>
              </w:rPr>
            </w:pPr>
          </w:p>
        </w:tc>
        <w:tc>
          <w:tcPr>
            <w:tcW w:w="1398" w:type="dxa"/>
            <w:vAlign w:val="center"/>
          </w:tcPr>
          <w:p w14:paraId="25D5494F">
            <w:pPr>
              <w:spacing w:line="360" w:lineRule="auto"/>
              <w:jc w:val="center"/>
              <w:rPr>
                <w:rFonts w:hint="eastAsia" w:ascii="宋体" w:hAnsi="宋体" w:eastAsia="宋体" w:cs="宋体"/>
                <w:sz w:val="24"/>
              </w:rPr>
            </w:pPr>
            <w:r>
              <w:rPr>
                <w:rFonts w:hint="eastAsia" w:ascii="宋体" w:hAnsi="宋体" w:eastAsia="宋体" w:cs="宋体"/>
                <w:sz w:val="24"/>
              </w:rPr>
              <w:t>联系人</w:t>
            </w:r>
          </w:p>
        </w:tc>
        <w:tc>
          <w:tcPr>
            <w:tcW w:w="1996" w:type="dxa"/>
            <w:vAlign w:val="center"/>
          </w:tcPr>
          <w:p w14:paraId="3C6BD8B7">
            <w:pPr>
              <w:spacing w:line="360" w:lineRule="auto"/>
              <w:jc w:val="center"/>
              <w:rPr>
                <w:rFonts w:hint="eastAsia" w:ascii="宋体" w:hAnsi="宋体" w:eastAsia="宋体" w:cs="宋体"/>
                <w:sz w:val="24"/>
              </w:rPr>
            </w:pPr>
          </w:p>
        </w:tc>
      </w:tr>
      <w:tr w14:paraId="2CB4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8" w:hRule="atLeast"/>
        </w:trPr>
        <w:tc>
          <w:tcPr>
            <w:tcW w:w="1118" w:type="dxa"/>
            <w:vMerge w:val="continue"/>
            <w:vAlign w:val="center"/>
          </w:tcPr>
          <w:p w14:paraId="4F09E683">
            <w:pPr>
              <w:spacing w:line="360" w:lineRule="auto"/>
              <w:jc w:val="center"/>
              <w:rPr>
                <w:rFonts w:hint="eastAsia" w:ascii="宋体" w:hAnsi="宋体" w:eastAsia="宋体" w:cs="宋体"/>
                <w:sz w:val="24"/>
              </w:rPr>
            </w:pPr>
          </w:p>
        </w:tc>
        <w:tc>
          <w:tcPr>
            <w:tcW w:w="2020" w:type="dxa"/>
            <w:vAlign w:val="center"/>
          </w:tcPr>
          <w:p w14:paraId="7B6D4CD3">
            <w:pPr>
              <w:spacing w:line="360" w:lineRule="auto"/>
              <w:jc w:val="center"/>
              <w:rPr>
                <w:rFonts w:hint="eastAsia" w:ascii="宋体" w:hAnsi="宋体" w:eastAsia="宋体" w:cs="宋体"/>
                <w:sz w:val="24"/>
              </w:rPr>
            </w:pPr>
            <w:r>
              <w:rPr>
                <w:rFonts w:hint="eastAsia" w:ascii="宋体" w:hAnsi="宋体" w:eastAsia="宋体" w:cs="宋体"/>
                <w:sz w:val="24"/>
              </w:rPr>
              <w:t>帐    号</w:t>
            </w:r>
          </w:p>
        </w:tc>
        <w:tc>
          <w:tcPr>
            <w:tcW w:w="3372" w:type="dxa"/>
            <w:vAlign w:val="center"/>
          </w:tcPr>
          <w:p w14:paraId="105FA16A">
            <w:pPr>
              <w:spacing w:line="360" w:lineRule="auto"/>
              <w:jc w:val="center"/>
              <w:rPr>
                <w:rFonts w:hint="eastAsia" w:ascii="宋体" w:hAnsi="宋体" w:eastAsia="宋体" w:cs="宋体"/>
                <w:sz w:val="24"/>
              </w:rPr>
            </w:pPr>
          </w:p>
        </w:tc>
        <w:tc>
          <w:tcPr>
            <w:tcW w:w="1398" w:type="dxa"/>
            <w:vAlign w:val="center"/>
          </w:tcPr>
          <w:p w14:paraId="46193D14">
            <w:pPr>
              <w:spacing w:line="360" w:lineRule="auto"/>
              <w:jc w:val="center"/>
              <w:rPr>
                <w:rFonts w:hint="eastAsia" w:ascii="宋体" w:hAnsi="宋体" w:eastAsia="宋体" w:cs="宋体"/>
                <w:sz w:val="24"/>
              </w:rPr>
            </w:pPr>
            <w:r>
              <w:rPr>
                <w:rFonts w:hint="eastAsia" w:ascii="宋体" w:hAnsi="宋体" w:eastAsia="宋体" w:cs="宋体"/>
                <w:sz w:val="24"/>
              </w:rPr>
              <w:t>联系电话</w:t>
            </w:r>
          </w:p>
        </w:tc>
        <w:tc>
          <w:tcPr>
            <w:tcW w:w="1996" w:type="dxa"/>
            <w:vAlign w:val="center"/>
          </w:tcPr>
          <w:p w14:paraId="2E339464">
            <w:pPr>
              <w:spacing w:line="360" w:lineRule="auto"/>
              <w:jc w:val="center"/>
              <w:rPr>
                <w:rFonts w:hint="eastAsia" w:ascii="宋体" w:hAnsi="宋体" w:eastAsia="宋体" w:cs="宋体"/>
                <w:sz w:val="24"/>
              </w:rPr>
            </w:pPr>
          </w:p>
        </w:tc>
      </w:tr>
    </w:tbl>
    <w:p w14:paraId="07201665">
      <w:pPr>
        <w:pStyle w:val="6"/>
        <w:ind w:firstLine="0"/>
        <w:rPr>
          <w:rFonts w:hint="eastAsia" w:ascii="宋体" w:hAnsi="宋体" w:eastAsia="宋体" w:cs="宋体"/>
        </w:rPr>
      </w:pPr>
    </w:p>
    <w:p w14:paraId="3EDA7B79">
      <w:pPr>
        <w:pStyle w:val="6"/>
        <w:ind w:firstLine="0"/>
        <w:rPr>
          <w:rFonts w:hint="eastAsia" w:ascii="宋体" w:hAnsi="宋体" w:eastAsia="宋体" w:cs="宋体"/>
        </w:rPr>
      </w:pPr>
    </w:p>
    <w:p w14:paraId="54E47693">
      <w:pPr>
        <w:pStyle w:val="6"/>
        <w:ind w:firstLine="0"/>
        <w:rPr>
          <w:rFonts w:hint="eastAsia" w:ascii="宋体" w:hAnsi="宋体" w:eastAsia="宋体" w:cs="宋体"/>
        </w:rPr>
      </w:pPr>
    </w:p>
    <w:p w14:paraId="5E58D475">
      <w:pPr>
        <w:pStyle w:val="6"/>
        <w:ind w:firstLine="0"/>
        <w:rPr>
          <w:rFonts w:hint="eastAsia" w:ascii="宋体" w:hAnsi="宋体" w:eastAsia="宋体" w:cs="宋体"/>
        </w:rPr>
      </w:pPr>
    </w:p>
    <w:p w14:paraId="304788E1">
      <w:pPr>
        <w:pStyle w:val="6"/>
        <w:ind w:firstLine="0"/>
        <w:rPr>
          <w:rFonts w:hint="eastAsia" w:ascii="宋体" w:hAnsi="宋体" w:eastAsia="宋体" w:cs="宋体"/>
          <w:sz w:val="24"/>
        </w:rPr>
      </w:pPr>
      <w:r>
        <w:rPr>
          <w:rFonts w:hint="eastAsia" w:ascii="宋体" w:hAnsi="宋体" w:eastAsia="宋体" w:cs="宋体"/>
        </w:rPr>
        <w:t>注：</w:t>
      </w:r>
      <w:r>
        <w:rPr>
          <w:rFonts w:hint="eastAsia" w:ascii="宋体" w:hAnsi="宋体" w:eastAsia="宋体" w:cs="宋体"/>
          <w:sz w:val="24"/>
          <w:lang w:val="en-US" w:eastAsia="zh-CN"/>
        </w:rPr>
        <w:t>1、</w:t>
      </w:r>
      <w:r>
        <w:rPr>
          <w:rFonts w:hint="eastAsia" w:ascii="宋体" w:hAnsi="宋体" w:eastAsia="宋体" w:cs="宋体"/>
          <w:sz w:val="24"/>
        </w:rPr>
        <w:t>后附交纳投标保证金转账单的复印件（加盖公章）</w:t>
      </w:r>
    </w:p>
    <w:p w14:paraId="3C489BE6">
      <w:pPr>
        <w:pStyle w:val="6"/>
        <w:ind w:firstLine="0"/>
        <w:rPr>
          <w:rFonts w:hint="eastAsia" w:ascii="宋体" w:hAnsi="宋体" w:eastAsia="宋体" w:cs="宋体"/>
        </w:rPr>
      </w:pPr>
    </w:p>
    <w:p w14:paraId="2F06E95B">
      <w:pPr>
        <w:pStyle w:val="6"/>
        <w:ind w:firstLine="0"/>
        <w:rPr>
          <w:rFonts w:hint="eastAsia" w:ascii="宋体" w:hAnsi="宋体" w:eastAsia="宋体" w:cs="宋体"/>
        </w:rPr>
      </w:pPr>
    </w:p>
    <w:p w14:paraId="3118838F">
      <w:pPr>
        <w:pStyle w:val="6"/>
        <w:ind w:firstLine="0"/>
        <w:rPr>
          <w:rFonts w:hint="eastAsia" w:ascii="宋体" w:hAnsi="宋体" w:eastAsia="宋体" w:cs="宋体"/>
        </w:rPr>
      </w:pPr>
    </w:p>
    <w:p w14:paraId="01560155">
      <w:pPr>
        <w:pStyle w:val="6"/>
        <w:ind w:firstLine="0"/>
        <w:rPr>
          <w:rFonts w:hint="eastAsia" w:ascii="宋体" w:hAnsi="宋体" w:eastAsia="宋体" w:cs="宋体"/>
        </w:rPr>
      </w:pPr>
    </w:p>
    <w:p w14:paraId="32EFF2DC">
      <w:pPr>
        <w:pStyle w:val="6"/>
        <w:ind w:firstLine="0"/>
        <w:rPr>
          <w:rFonts w:hint="eastAsia" w:ascii="宋体" w:hAnsi="宋体" w:eastAsia="宋体" w:cs="宋体"/>
        </w:rPr>
      </w:pPr>
    </w:p>
    <w:p w14:paraId="0B42D8D6">
      <w:pPr>
        <w:pStyle w:val="6"/>
        <w:ind w:firstLine="0"/>
        <w:rPr>
          <w:rFonts w:hint="eastAsia" w:ascii="宋体" w:hAnsi="宋体" w:eastAsia="宋体" w:cs="宋体"/>
        </w:rPr>
      </w:pPr>
    </w:p>
    <w:p w14:paraId="3A801D51">
      <w:pPr>
        <w:autoSpaceDE w:val="0"/>
        <w:autoSpaceDN w:val="0"/>
        <w:adjustRightInd w:val="0"/>
        <w:snapToGrid w:val="0"/>
        <w:spacing w:before="25" w:after="25" w:line="360" w:lineRule="auto"/>
        <w:rPr>
          <w:rFonts w:hint="eastAsia" w:ascii="宋体" w:hAnsi="宋体" w:eastAsia="宋体" w:cs="宋体"/>
          <w:sz w:val="24"/>
        </w:rPr>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pPr>
    </w:p>
    <w:p w14:paraId="0C174869">
      <w:pPr>
        <w:pStyle w:val="3"/>
        <w:bidi w:val="0"/>
        <w:jc w:val="left"/>
        <w:rPr>
          <w:rFonts w:hint="eastAsia" w:ascii="宋体" w:hAnsi="宋体" w:eastAsia="宋体" w:cs="宋体"/>
        </w:rPr>
      </w:pPr>
      <w:r>
        <w:rPr>
          <w:rFonts w:hint="eastAsia" w:hAnsi="宋体" w:cs="宋体"/>
          <w:lang w:val="en-US" w:eastAsia="zh-CN"/>
        </w:rPr>
        <w:t xml:space="preserve">11 </w:t>
      </w:r>
      <w:r>
        <w:rPr>
          <w:rFonts w:hint="eastAsia" w:ascii="宋体" w:hAnsi="宋体" w:eastAsia="宋体" w:cs="宋体"/>
        </w:rPr>
        <w:t>招标文件要求提供或投标人认为应附的其他材料</w:t>
      </w:r>
    </w:p>
    <w:p w14:paraId="0BE872F5">
      <w:pPr>
        <w:pStyle w:val="45"/>
        <w:ind w:left="0" w:leftChars="0" w:firstLine="0" w:firstLineChars="0"/>
        <w:rPr>
          <w:rFonts w:hint="eastAsia" w:ascii="宋体" w:hAnsi="宋体" w:eastAsia="宋体" w:cs="宋体"/>
        </w:rPr>
      </w:pPr>
    </w:p>
    <w:sectPr>
      <w:pgSz w:w="11907" w:h="16840"/>
      <w:pgMar w:top="1418" w:right="1134" w:bottom="1418" w:left="1701"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EFDFA">
    <w:pPr>
      <w:pStyle w:val="30"/>
      <w:ind w:right="360"/>
      <w:rPr>
        <w:rStyle w:val="5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7708E">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9F7708E">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4B8EF051">
    <w:pPr>
      <w:pStyle w:val="30"/>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7F17B">
    <w:pPr>
      <w:pStyle w:val="30"/>
      <w:framePr w:wrap="around" w:vAnchor="text" w:hAnchor="margin" w:xAlign="center" w:y="1"/>
      <w:rPr>
        <w:rStyle w:val="51"/>
      </w:rPr>
    </w:pPr>
    <w:r>
      <w:fldChar w:fldCharType="begin"/>
    </w:r>
    <w:r>
      <w:rPr>
        <w:rStyle w:val="51"/>
      </w:rPr>
      <w:instrText xml:space="preserve">PAGE  </w:instrText>
    </w:r>
    <w:r>
      <w:fldChar w:fldCharType="end"/>
    </w:r>
  </w:p>
  <w:p w14:paraId="56400D58">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591FD">
    <w:pPr>
      <w:pStyle w:val="30"/>
      <w:tabs>
        <w:tab w:val="center" w:pos="4536"/>
        <w:tab w:val="clear" w:pos="4153"/>
      </w:tabs>
      <w:rPr>
        <w:rStyle w:val="5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5B1E7">
                          <w:pPr>
                            <w:pStyle w:val="30"/>
                            <w:rPr>
                              <w:sz w:val="20"/>
                              <w:szCs w:val="21"/>
                            </w:rPr>
                          </w:pPr>
                          <w:r>
                            <w:rPr>
                              <w:sz w:val="20"/>
                              <w:szCs w:val="21"/>
                            </w:rPr>
                            <w:fldChar w:fldCharType="begin"/>
                          </w:r>
                          <w:r>
                            <w:rPr>
                              <w:sz w:val="20"/>
                              <w:szCs w:val="21"/>
                            </w:rPr>
                            <w:instrText xml:space="preserve"> PAGE  \* MERGEFORMAT </w:instrText>
                          </w:r>
                          <w:r>
                            <w:rPr>
                              <w:sz w:val="20"/>
                              <w:szCs w:val="21"/>
                            </w:rPr>
                            <w:fldChar w:fldCharType="separate"/>
                          </w:r>
                          <w:r>
                            <w:rPr>
                              <w:sz w:val="20"/>
                              <w:szCs w:val="21"/>
                            </w:rPr>
                            <w:t>1</w:t>
                          </w:r>
                          <w:r>
                            <w:rPr>
                              <w:sz w:val="20"/>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9E5B1E7">
                    <w:pPr>
                      <w:pStyle w:val="30"/>
                      <w:rPr>
                        <w:sz w:val="20"/>
                        <w:szCs w:val="21"/>
                      </w:rPr>
                    </w:pPr>
                    <w:r>
                      <w:rPr>
                        <w:sz w:val="20"/>
                        <w:szCs w:val="21"/>
                      </w:rPr>
                      <w:fldChar w:fldCharType="begin"/>
                    </w:r>
                    <w:r>
                      <w:rPr>
                        <w:sz w:val="20"/>
                        <w:szCs w:val="21"/>
                      </w:rPr>
                      <w:instrText xml:space="preserve"> PAGE  \* MERGEFORMAT </w:instrText>
                    </w:r>
                    <w:r>
                      <w:rPr>
                        <w:sz w:val="20"/>
                        <w:szCs w:val="21"/>
                      </w:rPr>
                      <w:fldChar w:fldCharType="separate"/>
                    </w:r>
                    <w:r>
                      <w:rPr>
                        <w:sz w:val="20"/>
                        <w:szCs w:val="21"/>
                      </w:rPr>
                      <w:t>1</w:t>
                    </w:r>
                    <w:r>
                      <w:rPr>
                        <w:sz w:val="20"/>
                        <w:szCs w:val="21"/>
                      </w:rPr>
                      <w:fldChar w:fldCharType="end"/>
                    </w:r>
                  </w:p>
                </w:txbxContent>
              </v:textbox>
            </v:shape>
          </w:pict>
        </mc:Fallback>
      </mc:AlternateContent>
    </w:r>
    <w:r>
      <w:rPr>
        <w:rStyle w:val="51"/>
        <w:rFonts w:hint="eastAsia"/>
        <w:lang w:eastAsia="zh-CN"/>
      </w:rPr>
      <w:tab/>
    </w:r>
  </w:p>
  <w:p w14:paraId="7DAE9C3B">
    <w:pPr>
      <w:pStyle w:val="30"/>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E6345">
    <w:pPr>
      <w:pStyle w:val="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1EB04">
                          <w:pPr>
                            <w:pStyle w:val="3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A61EB04">
                    <w:pPr>
                      <w:pStyle w:val="3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5CEA9">
    <w:pPr>
      <w:pStyle w:val="30"/>
      <w:framePr w:wrap="around" w:vAnchor="text" w:hAnchor="margin" w:xAlign="right" w:y="1"/>
      <w:rPr>
        <w:rStyle w:val="51"/>
      </w:rPr>
    </w:pPr>
    <w:r>
      <w:fldChar w:fldCharType="begin"/>
    </w:r>
    <w:r>
      <w:rPr>
        <w:rStyle w:val="51"/>
      </w:rPr>
      <w:instrText xml:space="preserve">PAGE  </w:instrText>
    </w:r>
    <w:r>
      <w:fldChar w:fldCharType="end"/>
    </w:r>
  </w:p>
  <w:p w14:paraId="6A853C14">
    <w:pPr>
      <w:pStyle w:val="3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E5EBD">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96ED1">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8E668D">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A8E668D">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5494D">
    <w:pPr>
      <w:widowControl w:val="0"/>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203D1">
                          <w:pPr>
                            <w:pStyle w:val="3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53203D1">
                    <w:pPr>
                      <w:pStyle w:val="3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17BC5">
    <w:pPr>
      <w:pStyle w:val="31"/>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552E8">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B8D3D">
    <w:pPr>
      <w:pStyle w:val="31"/>
      <w:pBdr>
        <w:bottom w:val="none" w:color="auto" w:sz="0" w:space="1"/>
      </w:pBdr>
      <w:jc w:val="right"/>
    </w:pPr>
  </w:p>
  <w:p w14:paraId="2AC48168">
    <w:pPr>
      <w:pStyle w:val="31"/>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301FE">
    <w:pPr>
      <w:pStyle w:val="3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66A96">
    <w:pPr>
      <w:pStyle w:val="3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624D1">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7BA45"/>
    <w:multiLevelType w:val="singleLevel"/>
    <w:tmpl w:val="AB07BA45"/>
    <w:lvl w:ilvl="0" w:tentative="0">
      <w:start w:val="1"/>
      <w:numFmt w:val="chineseCounting"/>
      <w:suff w:val="space"/>
      <w:lvlText w:val="第%1部分"/>
      <w:lvlJc w:val="left"/>
      <w:rPr>
        <w:rFonts w:hint="eastAsia"/>
      </w:rPr>
    </w:lvl>
  </w:abstractNum>
  <w:abstractNum w:abstractNumId="1">
    <w:nsid w:val="D2DBA351"/>
    <w:multiLevelType w:val="singleLevel"/>
    <w:tmpl w:val="D2DBA351"/>
    <w:lvl w:ilvl="0" w:tentative="0">
      <w:start w:val="5"/>
      <w:numFmt w:val="decimal"/>
      <w:lvlText w:val="%1."/>
      <w:lvlJc w:val="left"/>
      <w:pPr>
        <w:tabs>
          <w:tab w:val="left" w:pos="312"/>
        </w:tabs>
      </w:pPr>
    </w:lvl>
  </w:abstractNum>
  <w:abstractNum w:abstractNumId="2">
    <w:nsid w:val="D31A1176"/>
    <w:multiLevelType w:val="singleLevel"/>
    <w:tmpl w:val="D31A1176"/>
    <w:lvl w:ilvl="0" w:tentative="0">
      <w:start w:val="5"/>
      <w:numFmt w:val="chineseCounting"/>
      <w:suff w:val="space"/>
      <w:lvlText w:val="第%1章"/>
      <w:lvlJc w:val="left"/>
      <w:rPr>
        <w:rFonts w:hint="eastAsia"/>
        <w:sz w:val="36"/>
        <w:szCs w:val="36"/>
      </w:rPr>
    </w:lvl>
  </w:abstractNum>
  <w:abstractNum w:abstractNumId="3">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4">
    <w:nsid w:val="0000000A"/>
    <w:multiLevelType w:val="multilevel"/>
    <w:tmpl w:val="0000000A"/>
    <w:lvl w:ilvl="0" w:tentative="0">
      <w:start w:val="1"/>
      <w:numFmt w:val="decimal"/>
      <w:pStyle w:val="17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D"/>
    <w:multiLevelType w:val="multilevel"/>
    <w:tmpl w:val="0000000D"/>
    <w:lvl w:ilvl="0" w:tentative="0">
      <w:start w:val="1"/>
      <w:numFmt w:val="lowerLetter"/>
      <w:pStyle w:val="24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0000013"/>
    <w:multiLevelType w:val="singleLevel"/>
    <w:tmpl w:val="00000013"/>
    <w:lvl w:ilvl="0" w:tentative="0">
      <w:start w:val="1"/>
      <w:numFmt w:val="decimal"/>
      <w:pStyle w:val="211"/>
      <w:lvlText w:val="%1."/>
      <w:lvlJc w:val="left"/>
      <w:pPr>
        <w:tabs>
          <w:tab w:val="left" w:pos="360"/>
        </w:tabs>
        <w:ind w:left="360" w:hanging="360"/>
      </w:pPr>
      <w:rPr>
        <w:rFonts w:hint="default"/>
      </w:rPr>
    </w:lvl>
  </w:abstractNum>
  <w:abstractNum w:abstractNumId="7">
    <w:nsid w:val="00000026"/>
    <w:multiLevelType w:val="multilevel"/>
    <w:tmpl w:val="00000026"/>
    <w:lvl w:ilvl="0" w:tentative="0">
      <w:start w:val="1"/>
      <w:numFmt w:val="decimal"/>
      <w:pStyle w:val="150"/>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49"/>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202"/>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22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22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2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7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8">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66"/>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9">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0000002F"/>
    <w:multiLevelType w:val="multilevel"/>
    <w:tmpl w:val="0000002F"/>
    <w:lvl w:ilvl="0" w:tentative="0">
      <w:start w:val="1"/>
      <w:numFmt w:val="decimal"/>
      <w:pStyle w:val="225"/>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E230849"/>
    <w:multiLevelType w:val="multilevel"/>
    <w:tmpl w:val="0E230849"/>
    <w:lvl w:ilvl="0" w:tentative="0">
      <w:start w:val="1"/>
      <w:numFmt w:val="decimal"/>
      <w:pStyle w:val="216"/>
      <w:lvlText w:val="%1"/>
      <w:lvlJc w:val="left"/>
      <w:pPr>
        <w:ind w:left="680" w:hanging="680"/>
      </w:pPr>
      <w:rPr>
        <w:rFonts w:hint="eastAsia" w:ascii="宋体" w:hAnsi="宋体" w:eastAsia="宋体"/>
      </w:rPr>
    </w:lvl>
    <w:lvl w:ilvl="1" w:tentative="0">
      <w:start w:val="1"/>
      <w:numFmt w:val="decimal"/>
      <w:pStyle w:val="146"/>
      <w:lvlText w:val="%1.%2"/>
      <w:lvlJc w:val="left"/>
      <w:pPr>
        <w:ind w:left="851" w:hanging="851"/>
      </w:pPr>
      <w:rPr>
        <w:rFonts w:hint="eastAsia" w:ascii="宋体" w:hAnsi="宋体" w:eastAsia="宋体"/>
        <w:color w:val="auto"/>
      </w:rPr>
    </w:lvl>
    <w:lvl w:ilvl="2" w:tentative="0">
      <w:start w:val="1"/>
      <w:numFmt w:val="decimal"/>
      <w:pStyle w:val="14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default" w:ascii="宋体" w:hAnsi="宋体" w:eastAsia="宋体" w:cs="宋体"/>
        <w:sz w:val="24"/>
        <w:szCs w:val="24"/>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11"/>
  </w:num>
  <w:num w:numId="2">
    <w:abstractNumId w:val="7"/>
  </w:num>
  <w:num w:numId="3">
    <w:abstractNumId w:val="8"/>
  </w:num>
  <w:num w:numId="4">
    <w:abstractNumId w:val="4"/>
  </w:num>
  <w:num w:numId="5">
    <w:abstractNumId w:val="6"/>
  </w:num>
  <w:num w:numId="6">
    <w:abstractNumId w:val="10"/>
  </w:num>
  <w:num w:numId="7">
    <w:abstractNumId w:val="5"/>
  </w:num>
  <w:num w:numId="8">
    <w:abstractNumId w:val="1"/>
  </w:num>
  <w:num w:numId="9">
    <w:abstractNumId w:val="9"/>
  </w:num>
  <w:num w:numId="10">
    <w:abstractNumId w:val="13"/>
  </w:num>
  <w:num w:numId="11">
    <w:abstractNumId w:val="3"/>
  </w:num>
  <w:num w:numId="12">
    <w:abstractNumId w:val="15"/>
  </w:num>
  <w:num w:numId="13">
    <w:abstractNumId w:val="12"/>
  </w:num>
  <w:num w:numId="14">
    <w:abstractNumId w:val="2"/>
  </w:num>
  <w:num w:numId="15">
    <w:abstractNumId w:val="0"/>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桐">
    <w15:presenceInfo w15:providerId="None" w15:userId="李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TZjNjZlYjY0M2E4YzllZDkyN2M1ZTI3YTg4NWVjYTU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2"/>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0F"/>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645"/>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17EF4"/>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38"/>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D92"/>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4FC"/>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A7"/>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6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AA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8E0"/>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B0D"/>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D11"/>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66A48"/>
    <w:rsid w:val="01202484"/>
    <w:rsid w:val="01213CD8"/>
    <w:rsid w:val="0127306F"/>
    <w:rsid w:val="01936DF2"/>
    <w:rsid w:val="01AA4CF6"/>
    <w:rsid w:val="01B21C29"/>
    <w:rsid w:val="01D540DB"/>
    <w:rsid w:val="01EF3980"/>
    <w:rsid w:val="01F01FCA"/>
    <w:rsid w:val="024535A0"/>
    <w:rsid w:val="02A209F3"/>
    <w:rsid w:val="02BF068B"/>
    <w:rsid w:val="02C34B2B"/>
    <w:rsid w:val="02CA1302"/>
    <w:rsid w:val="02E13C45"/>
    <w:rsid w:val="02FE031F"/>
    <w:rsid w:val="030E5810"/>
    <w:rsid w:val="03146E60"/>
    <w:rsid w:val="035148F2"/>
    <w:rsid w:val="035621C7"/>
    <w:rsid w:val="037267BE"/>
    <w:rsid w:val="037F0BA4"/>
    <w:rsid w:val="039534FC"/>
    <w:rsid w:val="03C1490E"/>
    <w:rsid w:val="03C21BC0"/>
    <w:rsid w:val="03ED0ABD"/>
    <w:rsid w:val="04781A80"/>
    <w:rsid w:val="04A14B9C"/>
    <w:rsid w:val="04AE7B23"/>
    <w:rsid w:val="04B23D48"/>
    <w:rsid w:val="04BF4BDD"/>
    <w:rsid w:val="04C01929"/>
    <w:rsid w:val="04D23811"/>
    <w:rsid w:val="051052C6"/>
    <w:rsid w:val="054653E9"/>
    <w:rsid w:val="055C2D9B"/>
    <w:rsid w:val="0571095D"/>
    <w:rsid w:val="05787A2B"/>
    <w:rsid w:val="059E1945"/>
    <w:rsid w:val="05F31D72"/>
    <w:rsid w:val="05F77C60"/>
    <w:rsid w:val="062067FE"/>
    <w:rsid w:val="0629242D"/>
    <w:rsid w:val="06320987"/>
    <w:rsid w:val="065719ED"/>
    <w:rsid w:val="0659756F"/>
    <w:rsid w:val="06770153"/>
    <w:rsid w:val="069353D8"/>
    <w:rsid w:val="06976D34"/>
    <w:rsid w:val="06DC59E6"/>
    <w:rsid w:val="06E24727"/>
    <w:rsid w:val="06EB2968"/>
    <w:rsid w:val="07293D9F"/>
    <w:rsid w:val="073D21D7"/>
    <w:rsid w:val="07A11ADE"/>
    <w:rsid w:val="07C04843"/>
    <w:rsid w:val="07DF0665"/>
    <w:rsid w:val="07DF1F6B"/>
    <w:rsid w:val="08310DFB"/>
    <w:rsid w:val="083245C7"/>
    <w:rsid w:val="08387E2F"/>
    <w:rsid w:val="08545FDC"/>
    <w:rsid w:val="08573CD3"/>
    <w:rsid w:val="086504F8"/>
    <w:rsid w:val="086563E9"/>
    <w:rsid w:val="08B8345F"/>
    <w:rsid w:val="09167A44"/>
    <w:rsid w:val="09340FF2"/>
    <w:rsid w:val="094E5430"/>
    <w:rsid w:val="096676EE"/>
    <w:rsid w:val="097E0B9B"/>
    <w:rsid w:val="09AC0F6A"/>
    <w:rsid w:val="09C43A00"/>
    <w:rsid w:val="09CB3E5B"/>
    <w:rsid w:val="09D753C9"/>
    <w:rsid w:val="0A105B49"/>
    <w:rsid w:val="0A2763AD"/>
    <w:rsid w:val="0A505CDE"/>
    <w:rsid w:val="0A646370"/>
    <w:rsid w:val="0A9A5027"/>
    <w:rsid w:val="0B032AFD"/>
    <w:rsid w:val="0B2A1BD4"/>
    <w:rsid w:val="0B660C1A"/>
    <w:rsid w:val="0BA77509"/>
    <w:rsid w:val="0BB43C70"/>
    <w:rsid w:val="0BC845B4"/>
    <w:rsid w:val="0C126BE9"/>
    <w:rsid w:val="0C1464BD"/>
    <w:rsid w:val="0C4A4E22"/>
    <w:rsid w:val="0C96436F"/>
    <w:rsid w:val="0CB10A18"/>
    <w:rsid w:val="0CEB1914"/>
    <w:rsid w:val="0D1E10C2"/>
    <w:rsid w:val="0D1F511A"/>
    <w:rsid w:val="0D720B5C"/>
    <w:rsid w:val="0D721E76"/>
    <w:rsid w:val="0DA375BD"/>
    <w:rsid w:val="0DB166FF"/>
    <w:rsid w:val="0DD4391E"/>
    <w:rsid w:val="0E52151F"/>
    <w:rsid w:val="0E7A1BB8"/>
    <w:rsid w:val="0E8860E2"/>
    <w:rsid w:val="0E985B88"/>
    <w:rsid w:val="0EB634CB"/>
    <w:rsid w:val="0EC51CF1"/>
    <w:rsid w:val="0EC7110D"/>
    <w:rsid w:val="0F3C6085"/>
    <w:rsid w:val="0F574959"/>
    <w:rsid w:val="0F7243F7"/>
    <w:rsid w:val="0F7746EE"/>
    <w:rsid w:val="0FA83AEC"/>
    <w:rsid w:val="0FC24482"/>
    <w:rsid w:val="0FCE16E8"/>
    <w:rsid w:val="0FFC5BE6"/>
    <w:rsid w:val="102B40C1"/>
    <w:rsid w:val="103A55BD"/>
    <w:rsid w:val="10482BD9"/>
    <w:rsid w:val="105E2C2D"/>
    <w:rsid w:val="107323D0"/>
    <w:rsid w:val="107756E9"/>
    <w:rsid w:val="10807D26"/>
    <w:rsid w:val="10815AB4"/>
    <w:rsid w:val="109241ED"/>
    <w:rsid w:val="10CC6841"/>
    <w:rsid w:val="10D44341"/>
    <w:rsid w:val="10D672B4"/>
    <w:rsid w:val="10E43183"/>
    <w:rsid w:val="111D5E14"/>
    <w:rsid w:val="1180601F"/>
    <w:rsid w:val="11951EA8"/>
    <w:rsid w:val="11A71941"/>
    <w:rsid w:val="11C73E2E"/>
    <w:rsid w:val="11C85FA1"/>
    <w:rsid w:val="11EC38AB"/>
    <w:rsid w:val="11EE6D8A"/>
    <w:rsid w:val="11FD2A38"/>
    <w:rsid w:val="121559DE"/>
    <w:rsid w:val="12192FD2"/>
    <w:rsid w:val="124C1CF3"/>
    <w:rsid w:val="12534EC7"/>
    <w:rsid w:val="12593ADC"/>
    <w:rsid w:val="12623F2B"/>
    <w:rsid w:val="12C64289"/>
    <w:rsid w:val="12CD73C6"/>
    <w:rsid w:val="12D73D78"/>
    <w:rsid w:val="12FB2185"/>
    <w:rsid w:val="13082AF4"/>
    <w:rsid w:val="13224F5D"/>
    <w:rsid w:val="13225964"/>
    <w:rsid w:val="137A57A0"/>
    <w:rsid w:val="13893C35"/>
    <w:rsid w:val="13A214D1"/>
    <w:rsid w:val="13BF3C80"/>
    <w:rsid w:val="143D67CD"/>
    <w:rsid w:val="14602E4A"/>
    <w:rsid w:val="146B37ED"/>
    <w:rsid w:val="14791B7B"/>
    <w:rsid w:val="1484713F"/>
    <w:rsid w:val="14E927F0"/>
    <w:rsid w:val="14F14124"/>
    <w:rsid w:val="151C1490"/>
    <w:rsid w:val="15325BC7"/>
    <w:rsid w:val="15337F86"/>
    <w:rsid w:val="15421B1C"/>
    <w:rsid w:val="15657D89"/>
    <w:rsid w:val="156B7A1B"/>
    <w:rsid w:val="15A00DC2"/>
    <w:rsid w:val="15A11516"/>
    <w:rsid w:val="15A910A8"/>
    <w:rsid w:val="15F9507C"/>
    <w:rsid w:val="15FF6AC0"/>
    <w:rsid w:val="164C3EFA"/>
    <w:rsid w:val="1679314D"/>
    <w:rsid w:val="16F25D6A"/>
    <w:rsid w:val="16F94C2D"/>
    <w:rsid w:val="171106C3"/>
    <w:rsid w:val="17331B57"/>
    <w:rsid w:val="176C18A3"/>
    <w:rsid w:val="177945E3"/>
    <w:rsid w:val="17A1419D"/>
    <w:rsid w:val="17A4593F"/>
    <w:rsid w:val="17A74FCA"/>
    <w:rsid w:val="17C9262C"/>
    <w:rsid w:val="17E256C1"/>
    <w:rsid w:val="17F93E0B"/>
    <w:rsid w:val="182D0183"/>
    <w:rsid w:val="18320975"/>
    <w:rsid w:val="183A374F"/>
    <w:rsid w:val="18BA4D45"/>
    <w:rsid w:val="18C77553"/>
    <w:rsid w:val="18C82B09"/>
    <w:rsid w:val="18D14221"/>
    <w:rsid w:val="18E90CD1"/>
    <w:rsid w:val="191F1E49"/>
    <w:rsid w:val="19202945"/>
    <w:rsid w:val="192D0BBE"/>
    <w:rsid w:val="194C0A05"/>
    <w:rsid w:val="19947838"/>
    <w:rsid w:val="199D3F96"/>
    <w:rsid w:val="19B830AF"/>
    <w:rsid w:val="19B94BCA"/>
    <w:rsid w:val="19D07206"/>
    <w:rsid w:val="19F416DC"/>
    <w:rsid w:val="1A043B92"/>
    <w:rsid w:val="1A0B38AA"/>
    <w:rsid w:val="1A1A1D9C"/>
    <w:rsid w:val="1A4E65E5"/>
    <w:rsid w:val="1ACC0820"/>
    <w:rsid w:val="1ADE7CAF"/>
    <w:rsid w:val="1AE028F1"/>
    <w:rsid w:val="1AE71241"/>
    <w:rsid w:val="1B374AB8"/>
    <w:rsid w:val="1B487F31"/>
    <w:rsid w:val="1B5468D6"/>
    <w:rsid w:val="1B703A8E"/>
    <w:rsid w:val="1B7409D5"/>
    <w:rsid w:val="1B7C6776"/>
    <w:rsid w:val="1B966EEF"/>
    <w:rsid w:val="1BB667F7"/>
    <w:rsid w:val="1BB72CEF"/>
    <w:rsid w:val="1BB9498B"/>
    <w:rsid w:val="1BEB0E48"/>
    <w:rsid w:val="1BF41E67"/>
    <w:rsid w:val="1C00080C"/>
    <w:rsid w:val="1C0F3CFA"/>
    <w:rsid w:val="1C2355FD"/>
    <w:rsid w:val="1C37127C"/>
    <w:rsid w:val="1C455CA5"/>
    <w:rsid w:val="1C5355FC"/>
    <w:rsid w:val="1C586813"/>
    <w:rsid w:val="1C857E60"/>
    <w:rsid w:val="1CC45CDD"/>
    <w:rsid w:val="1CDD146C"/>
    <w:rsid w:val="1CFA5F37"/>
    <w:rsid w:val="1D1A58FD"/>
    <w:rsid w:val="1D2C69D2"/>
    <w:rsid w:val="1D3812C0"/>
    <w:rsid w:val="1D537449"/>
    <w:rsid w:val="1D6A14B9"/>
    <w:rsid w:val="1D76313B"/>
    <w:rsid w:val="1DC20677"/>
    <w:rsid w:val="1DCD7C40"/>
    <w:rsid w:val="1DD6181D"/>
    <w:rsid w:val="1E0C16EA"/>
    <w:rsid w:val="1E157B2E"/>
    <w:rsid w:val="1E3D0ED5"/>
    <w:rsid w:val="1E4F6BF2"/>
    <w:rsid w:val="1E57146D"/>
    <w:rsid w:val="1E7768F3"/>
    <w:rsid w:val="1EAA7BAC"/>
    <w:rsid w:val="1EC85430"/>
    <w:rsid w:val="1F537F71"/>
    <w:rsid w:val="1F705CA9"/>
    <w:rsid w:val="1F861028"/>
    <w:rsid w:val="1FA00FFD"/>
    <w:rsid w:val="1FE66B39"/>
    <w:rsid w:val="1FF37446"/>
    <w:rsid w:val="1FF40688"/>
    <w:rsid w:val="20311BFC"/>
    <w:rsid w:val="206B3D26"/>
    <w:rsid w:val="20756411"/>
    <w:rsid w:val="20807C5F"/>
    <w:rsid w:val="20A2364A"/>
    <w:rsid w:val="20C14646"/>
    <w:rsid w:val="20CD2951"/>
    <w:rsid w:val="20E572E1"/>
    <w:rsid w:val="20EA1B6C"/>
    <w:rsid w:val="210448FA"/>
    <w:rsid w:val="210A579E"/>
    <w:rsid w:val="2112442E"/>
    <w:rsid w:val="215B19BD"/>
    <w:rsid w:val="21637DF6"/>
    <w:rsid w:val="21797C11"/>
    <w:rsid w:val="21A6259F"/>
    <w:rsid w:val="21B137F2"/>
    <w:rsid w:val="21ED35E0"/>
    <w:rsid w:val="21F42BC1"/>
    <w:rsid w:val="2207614D"/>
    <w:rsid w:val="22142CD2"/>
    <w:rsid w:val="22185DE3"/>
    <w:rsid w:val="222A7C06"/>
    <w:rsid w:val="22561186"/>
    <w:rsid w:val="22A95722"/>
    <w:rsid w:val="22DF561F"/>
    <w:rsid w:val="23490A3E"/>
    <w:rsid w:val="23492D76"/>
    <w:rsid w:val="235531DF"/>
    <w:rsid w:val="236270D6"/>
    <w:rsid w:val="236A2159"/>
    <w:rsid w:val="239E00B4"/>
    <w:rsid w:val="23B7279F"/>
    <w:rsid w:val="23F06802"/>
    <w:rsid w:val="2436088A"/>
    <w:rsid w:val="24790762"/>
    <w:rsid w:val="24DF357B"/>
    <w:rsid w:val="24E158AC"/>
    <w:rsid w:val="24E8610A"/>
    <w:rsid w:val="24ED05CE"/>
    <w:rsid w:val="2508113E"/>
    <w:rsid w:val="251E74A4"/>
    <w:rsid w:val="25606289"/>
    <w:rsid w:val="25670168"/>
    <w:rsid w:val="25A22934"/>
    <w:rsid w:val="25C4716A"/>
    <w:rsid w:val="25CF280D"/>
    <w:rsid w:val="26084E8D"/>
    <w:rsid w:val="26110C4C"/>
    <w:rsid w:val="261C6242"/>
    <w:rsid w:val="262D0C7E"/>
    <w:rsid w:val="264904D3"/>
    <w:rsid w:val="265548CA"/>
    <w:rsid w:val="268B17F1"/>
    <w:rsid w:val="26C9655E"/>
    <w:rsid w:val="26CE6B50"/>
    <w:rsid w:val="26FB0267"/>
    <w:rsid w:val="274417F4"/>
    <w:rsid w:val="276F11A4"/>
    <w:rsid w:val="27843CE5"/>
    <w:rsid w:val="2791174E"/>
    <w:rsid w:val="27B5694E"/>
    <w:rsid w:val="27BE7CFC"/>
    <w:rsid w:val="27D72552"/>
    <w:rsid w:val="280A486C"/>
    <w:rsid w:val="281C4C20"/>
    <w:rsid w:val="287B3574"/>
    <w:rsid w:val="288073D7"/>
    <w:rsid w:val="289A0BD2"/>
    <w:rsid w:val="28A770D7"/>
    <w:rsid w:val="28D37BF3"/>
    <w:rsid w:val="28E87171"/>
    <w:rsid w:val="2910444E"/>
    <w:rsid w:val="291122AA"/>
    <w:rsid w:val="291A51D2"/>
    <w:rsid w:val="294C6C72"/>
    <w:rsid w:val="2953641F"/>
    <w:rsid w:val="29542197"/>
    <w:rsid w:val="297445E7"/>
    <w:rsid w:val="297A4A32"/>
    <w:rsid w:val="29A529F3"/>
    <w:rsid w:val="29E77C13"/>
    <w:rsid w:val="2A021A36"/>
    <w:rsid w:val="2A2F3619"/>
    <w:rsid w:val="2A3116C2"/>
    <w:rsid w:val="2A5B2E43"/>
    <w:rsid w:val="2A756198"/>
    <w:rsid w:val="2A8647FB"/>
    <w:rsid w:val="2AC90D9A"/>
    <w:rsid w:val="2ACE4D6C"/>
    <w:rsid w:val="2B4F4F6B"/>
    <w:rsid w:val="2B553A01"/>
    <w:rsid w:val="2B6C77B0"/>
    <w:rsid w:val="2B824C9A"/>
    <w:rsid w:val="2BB168ED"/>
    <w:rsid w:val="2BB34A18"/>
    <w:rsid w:val="2C3167C0"/>
    <w:rsid w:val="2C324A12"/>
    <w:rsid w:val="2C5A7AC4"/>
    <w:rsid w:val="2C7042C7"/>
    <w:rsid w:val="2C7B4A66"/>
    <w:rsid w:val="2CD73E54"/>
    <w:rsid w:val="2CD80A5E"/>
    <w:rsid w:val="2D216834"/>
    <w:rsid w:val="2D7672C7"/>
    <w:rsid w:val="2DB73BBD"/>
    <w:rsid w:val="2DC23340"/>
    <w:rsid w:val="2DE9562C"/>
    <w:rsid w:val="2E01239F"/>
    <w:rsid w:val="2E150147"/>
    <w:rsid w:val="2E4E140A"/>
    <w:rsid w:val="2E4F407C"/>
    <w:rsid w:val="2E5642BC"/>
    <w:rsid w:val="2E5C3FC8"/>
    <w:rsid w:val="2ED35634"/>
    <w:rsid w:val="2EE11933"/>
    <w:rsid w:val="2F230642"/>
    <w:rsid w:val="2F526CF8"/>
    <w:rsid w:val="2F7E1D1C"/>
    <w:rsid w:val="2FB63264"/>
    <w:rsid w:val="2FE51D9B"/>
    <w:rsid w:val="2FEE3A4C"/>
    <w:rsid w:val="303902D3"/>
    <w:rsid w:val="3059738A"/>
    <w:rsid w:val="30770C58"/>
    <w:rsid w:val="30805D0C"/>
    <w:rsid w:val="30951A0D"/>
    <w:rsid w:val="30C220DC"/>
    <w:rsid w:val="30C85A3B"/>
    <w:rsid w:val="30CB73C9"/>
    <w:rsid w:val="30D90E49"/>
    <w:rsid w:val="30FF5C0D"/>
    <w:rsid w:val="310F4D8A"/>
    <w:rsid w:val="31230DCD"/>
    <w:rsid w:val="3146321B"/>
    <w:rsid w:val="31674E42"/>
    <w:rsid w:val="31912851"/>
    <w:rsid w:val="31A3477F"/>
    <w:rsid w:val="31A87845"/>
    <w:rsid w:val="31F255AF"/>
    <w:rsid w:val="31F8165B"/>
    <w:rsid w:val="31FE3128"/>
    <w:rsid w:val="323668DE"/>
    <w:rsid w:val="324B4802"/>
    <w:rsid w:val="325A2AB5"/>
    <w:rsid w:val="32693D22"/>
    <w:rsid w:val="327A16BC"/>
    <w:rsid w:val="32B32FBF"/>
    <w:rsid w:val="32B876D8"/>
    <w:rsid w:val="32CE0B16"/>
    <w:rsid w:val="32CE7471"/>
    <w:rsid w:val="32D22AAA"/>
    <w:rsid w:val="32E33A8D"/>
    <w:rsid w:val="32E67F5F"/>
    <w:rsid w:val="32EB653A"/>
    <w:rsid w:val="32F55888"/>
    <w:rsid w:val="33080582"/>
    <w:rsid w:val="3318524D"/>
    <w:rsid w:val="33284E76"/>
    <w:rsid w:val="336F02F9"/>
    <w:rsid w:val="33715C30"/>
    <w:rsid w:val="337C6749"/>
    <w:rsid w:val="339C6C14"/>
    <w:rsid w:val="33A518DC"/>
    <w:rsid w:val="33A930DF"/>
    <w:rsid w:val="33C37A50"/>
    <w:rsid w:val="33EE5D4E"/>
    <w:rsid w:val="33F454B9"/>
    <w:rsid w:val="34375350"/>
    <w:rsid w:val="34566837"/>
    <w:rsid w:val="345F661F"/>
    <w:rsid w:val="348879CC"/>
    <w:rsid w:val="348C4EDB"/>
    <w:rsid w:val="348E0C53"/>
    <w:rsid w:val="349C79D1"/>
    <w:rsid w:val="34CA155F"/>
    <w:rsid w:val="350B19B4"/>
    <w:rsid w:val="353C245D"/>
    <w:rsid w:val="3559631D"/>
    <w:rsid w:val="357B2D0B"/>
    <w:rsid w:val="358160C2"/>
    <w:rsid w:val="358A766C"/>
    <w:rsid w:val="359B7B09"/>
    <w:rsid w:val="35CF0FDA"/>
    <w:rsid w:val="35D2790F"/>
    <w:rsid w:val="35E90DEE"/>
    <w:rsid w:val="360B7F28"/>
    <w:rsid w:val="361F4BB1"/>
    <w:rsid w:val="363B0967"/>
    <w:rsid w:val="36806379"/>
    <w:rsid w:val="36A45291"/>
    <w:rsid w:val="36C82474"/>
    <w:rsid w:val="36CD29D2"/>
    <w:rsid w:val="36DD226D"/>
    <w:rsid w:val="36F80606"/>
    <w:rsid w:val="37121E5D"/>
    <w:rsid w:val="373C1912"/>
    <w:rsid w:val="373F6235"/>
    <w:rsid w:val="37464019"/>
    <w:rsid w:val="37533A8E"/>
    <w:rsid w:val="377F406F"/>
    <w:rsid w:val="37AA2D45"/>
    <w:rsid w:val="37B02E35"/>
    <w:rsid w:val="37C4600E"/>
    <w:rsid w:val="37DE5A4E"/>
    <w:rsid w:val="37F03B52"/>
    <w:rsid w:val="38057FE9"/>
    <w:rsid w:val="381D6119"/>
    <w:rsid w:val="384D4981"/>
    <w:rsid w:val="38511605"/>
    <w:rsid w:val="385F579F"/>
    <w:rsid w:val="387C0DC3"/>
    <w:rsid w:val="38833AFD"/>
    <w:rsid w:val="388D37BD"/>
    <w:rsid w:val="39194863"/>
    <w:rsid w:val="392C4597"/>
    <w:rsid w:val="392C5179"/>
    <w:rsid w:val="39627ECA"/>
    <w:rsid w:val="39635C9E"/>
    <w:rsid w:val="39A014A9"/>
    <w:rsid w:val="39A84565"/>
    <w:rsid w:val="39A87D1D"/>
    <w:rsid w:val="39D911D8"/>
    <w:rsid w:val="39EF216A"/>
    <w:rsid w:val="39F22B82"/>
    <w:rsid w:val="3A007E9A"/>
    <w:rsid w:val="3A0818C8"/>
    <w:rsid w:val="3A744447"/>
    <w:rsid w:val="3A75568B"/>
    <w:rsid w:val="3A8A3184"/>
    <w:rsid w:val="3A9B45AD"/>
    <w:rsid w:val="3AA01A1D"/>
    <w:rsid w:val="3AA16BDE"/>
    <w:rsid w:val="3AFF24E2"/>
    <w:rsid w:val="3B0849CA"/>
    <w:rsid w:val="3B194FCC"/>
    <w:rsid w:val="3B304812"/>
    <w:rsid w:val="3B3B68A8"/>
    <w:rsid w:val="3B3D6F2F"/>
    <w:rsid w:val="3B40257B"/>
    <w:rsid w:val="3B4543CA"/>
    <w:rsid w:val="3B497682"/>
    <w:rsid w:val="3B53405D"/>
    <w:rsid w:val="3B76549B"/>
    <w:rsid w:val="3B7D0374"/>
    <w:rsid w:val="3BCB6780"/>
    <w:rsid w:val="3BD87E8C"/>
    <w:rsid w:val="3BE61680"/>
    <w:rsid w:val="3C4D0EBB"/>
    <w:rsid w:val="3C57337D"/>
    <w:rsid w:val="3C623C26"/>
    <w:rsid w:val="3C665BE4"/>
    <w:rsid w:val="3C7A4C5D"/>
    <w:rsid w:val="3CC818B1"/>
    <w:rsid w:val="3D184916"/>
    <w:rsid w:val="3D2234D6"/>
    <w:rsid w:val="3D814B7E"/>
    <w:rsid w:val="3DA51406"/>
    <w:rsid w:val="3DB50E27"/>
    <w:rsid w:val="3DD20105"/>
    <w:rsid w:val="3DD757E6"/>
    <w:rsid w:val="3DDD0EEB"/>
    <w:rsid w:val="3E081FC3"/>
    <w:rsid w:val="3E412D64"/>
    <w:rsid w:val="3E4F3EF1"/>
    <w:rsid w:val="3EC11C25"/>
    <w:rsid w:val="3EC86B10"/>
    <w:rsid w:val="3ED454B4"/>
    <w:rsid w:val="3EDC080D"/>
    <w:rsid w:val="3F036BE8"/>
    <w:rsid w:val="3F3F17E7"/>
    <w:rsid w:val="3F5610AF"/>
    <w:rsid w:val="3F6E097E"/>
    <w:rsid w:val="3F9F1F66"/>
    <w:rsid w:val="3FF42772"/>
    <w:rsid w:val="3FF73B50"/>
    <w:rsid w:val="3FFB3537"/>
    <w:rsid w:val="40340131"/>
    <w:rsid w:val="40455FBD"/>
    <w:rsid w:val="40520D87"/>
    <w:rsid w:val="405C7770"/>
    <w:rsid w:val="4066107F"/>
    <w:rsid w:val="40A671C2"/>
    <w:rsid w:val="40CD155A"/>
    <w:rsid w:val="40D25805"/>
    <w:rsid w:val="40FE0F0E"/>
    <w:rsid w:val="410864D2"/>
    <w:rsid w:val="411249BA"/>
    <w:rsid w:val="411D7FA1"/>
    <w:rsid w:val="41297D49"/>
    <w:rsid w:val="41390199"/>
    <w:rsid w:val="41A96A0B"/>
    <w:rsid w:val="41B92BA9"/>
    <w:rsid w:val="41C93D0A"/>
    <w:rsid w:val="41DA59B0"/>
    <w:rsid w:val="42562684"/>
    <w:rsid w:val="429513FF"/>
    <w:rsid w:val="429B454D"/>
    <w:rsid w:val="42AD46EC"/>
    <w:rsid w:val="42CD0A98"/>
    <w:rsid w:val="42FC2EFE"/>
    <w:rsid w:val="431A0C09"/>
    <w:rsid w:val="435526B9"/>
    <w:rsid w:val="43557593"/>
    <w:rsid w:val="43854607"/>
    <w:rsid w:val="438A6A89"/>
    <w:rsid w:val="43901285"/>
    <w:rsid w:val="439A5F13"/>
    <w:rsid w:val="43B12268"/>
    <w:rsid w:val="43BE4386"/>
    <w:rsid w:val="44103DD8"/>
    <w:rsid w:val="44340EB4"/>
    <w:rsid w:val="44E910FA"/>
    <w:rsid w:val="44F604C8"/>
    <w:rsid w:val="45230F44"/>
    <w:rsid w:val="45336CAD"/>
    <w:rsid w:val="455E24D9"/>
    <w:rsid w:val="45606C4B"/>
    <w:rsid w:val="45775C76"/>
    <w:rsid w:val="45DC35B9"/>
    <w:rsid w:val="45FC674E"/>
    <w:rsid w:val="463078D9"/>
    <w:rsid w:val="46493D7C"/>
    <w:rsid w:val="46984793"/>
    <w:rsid w:val="46BB6361"/>
    <w:rsid w:val="46ED1809"/>
    <w:rsid w:val="47144534"/>
    <w:rsid w:val="472672CF"/>
    <w:rsid w:val="473B215A"/>
    <w:rsid w:val="474B2C7A"/>
    <w:rsid w:val="47507BE9"/>
    <w:rsid w:val="47631921"/>
    <w:rsid w:val="478B4B7E"/>
    <w:rsid w:val="479D2386"/>
    <w:rsid w:val="47A9064F"/>
    <w:rsid w:val="47BF25BE"/>
    <w:rsid w:val="47E2584E"/>
    <w:rsid w:val="47EE4D51"/>
    <w:rsid w:val="47F00E85"/>
    <w:rsid w:val="480E2158"/>
    <w:rsid w:val="483817FB"/>
    <w:rsid w:val="48665EC2"/>
    <w:rsid w:val="4889261A"/>
    <w:rsid w:val="48E81652"/>
    <w:rsid w:val="48FD7CFE"/>
    <w:rsid w:val="4911519D"/>
    <w:rsid w:val="491E1CB4"/>
    <w:rsid w:val="49695393"/>
    <w:rsid w:val="497004D0"/>
    <w:rsid w:val="49E7682B"/>
    <w:rsid w:val="4A1C2405"/>
    <w:rsid w:val="4A2A2D74"/>
    <w:rsid w:val="4A3040D0"/>
    <w:rsid w:val="4A3B6D2F"/>
    <w:rsid w:val="4A422B7C"/>
    <w:rsid w:val="4A423178"/>
    <w:rsid w:val="4A5A3F84"/>
    <w:rsid w:val="4A83047E"/>
    <w:rsid w:val="4AAB7BE9"/>
    <w:rsid w:val="4ACE3700"/>
    <w:rsid w:val="4AD52CE0"/>
    <w:rsid w:val="4AE4141D"/>
    <w:rsid w:val="4AF93FC7"/>
    <w:rsid w:val="4B0C5FD6"/>
    <w:rsid w:val="4B136ED8"/>
    <w:rsid w:val="4B2E3F52"/>
    <w:rsid w:val="4B364169"/>
    <w:rsid w:val="4B396F53"/>
    <w:rsid w:val="4B65373A"/>
    <w:rsid w:val="4B985147"/>
    <w:rsid w:val="4BAC318C"/>
    <w:rsid w:val="4BAE2A07"/>
    <w:rsid w:val="4BCB54F6"/>
    <w:rsid w:val="4BE006A2"/>
    <w:rsid w:val="4C042481"/>
    <w:rsid w:val="4C0F595C"/>
    <w:rsid w:val="4C2F5C5E"/>
    <w:rsid w:val="4C365A00"/>
    <w:rsid w:val="4C3E6663"/>
    <w:rsid w:val="4C7C6FC2"/>
    <w:rsid w:val="4CA11C27"/>
    <w:rsid w:val="4CC56306"/>
    <w:rsid w:val="4CD24814"/>
    <w:rsid w:val="4CEA6B39"/>
    <w:rsid w:val="4CEE0E38"/>
    <w:rsid w:val="4CF56CC9"/>
    <w:rsid w:val="4D00163A"/>
    <w:rsid w:val="4D0C541A"/>
    <w:rsid w:val="4D947832"/>
    <w:rsid w:val="4DEA4CF4"/>
    <w:rsid w:val="4DF27E7E"/>
    <w:rsid w:val="4DF67412"/>
    <w:rsid w:val="4E127DA7"/>
    <w:rsid w:val="4E1A4EAE"/>
    <w:rsid w:val="4E1D7D1C"/>
    <w:rsid w:val="4E3D38DF"/>
    <w:rsid w:val="4E622292"/>
    <w:rsid w:val="4E7E4251"/>
    <w:rsid w:val="4ED92E0A"/>
    <w:rsid w:val="4EE10A22"/>
    <w:rsid w:val="4F0F5BE3"/>
    <w:rsid w:val="4F1C3AFD"/>
    <w:rsid w:val="4F764366"/>
    <w:rsid w:val="4F852CF5"/>
    <w:rsid w:val="4FD5108C"/>
    <w:rsid w:val="4FD67FCF"/>
    <w:rsid w:val="4FDF547E"/>
    <w:rsid w:val="50016325"/>
    <w:rsid w:val="504F7304"/>
    <w:rsid w:val="5061242D"/>
    <w:rsid w:val="506278CD"/>
    <w:rsid w:val="506C33E9"/>
    <w:rsid w:val="506E67C1"/>
    <w:rsid w:val="50924EDE"/>
    <w:rsid w:val="50C31FB1"/>
    <w:rsid w:val="50CC248F"/>
    <w:rsid w:val="50E41F65"/>
    <w:rsid w:val="510D17CA"/>
    <w:rsid w:val="512027DB"/>
    <w:rsid w:val="512D7204"/>
    <w:rsid w:val="513F71A4"/>
    <w:rsid w:val="514E5605"/>
    <w:rsid w:val="523D0CD8"/>
    <w:rsid w:val="52422029"/>
    <w:rsid w:val="528648C0"/>
    <w:rsid w:val="52967181"/>
    <w:rsid w:val="52A97215"/>
    <w:rsid w:val="52F061DD"/>
    <w:rsid w:val="53762B86"/>
    <w:rsid w:val="538D3F7F"/>
    <w:rsid w:val="53C14E11"/>
    <w:rsid w:val="53E91E50"/>
    <w:rsid w:val="53FF66D3"/>
    <w:rsid w:val="54124B95"/>
    <w:rsid w:val="543C792C"/>
    <w:rsid w:val="544F5BFB"/>
    <w:rsid w:val="545E509A"/>
    <w:rsid w:val="54860D0D"/>
    <w:rsid w:val="549C03CB"/>
    <w:rsid w:val="54A159E1"/>
    <w:rsid w:val="54BF3E40"/>
    <w:rsid w:val="54C06E5B"/>
    <w:rsid w:val="54E24A27"/>
    <w:rsid w:val="54F60B9F"/>
    <w:rsid w:val="55040901"/>
    <w:rsid w:val="5512068D"/>
    <w:rsid w:val="559B0682"/>
    <w:rsid w:val="55D24C3B"/>
    <w:rsid w:val="55D443C8"/>
    <w:rsid w:val="55DD16CC"/>
    <w:rsid w:val="55F634AE"/>
    <w:rsid w:val="5614613B"/>
    <w:rsid w:val="56274C24"/>
    <w:rsid w:val="5636684E"/>
    <w:rsid w:val="56503164"/>
    <w:rsid w:val="565E7874"/>
    <w:rsid w:val="567535C9"/>
    <w:rsid w:val="567F1D52"/>
    <w:rsid w:val="56807F9D"/>
    <w:rsid w:val="56D347A1"/>
    <w:rsid w:val="56DF05DE"/>
    <w:rsid w:val="56E20B8D"/>
    <w:rsid w:val="56E30533"/>
    <w:rsid w:val="56EA7393"/>
    <w:rsid w:val="56F70118"/>
    <w:rsid w:val="5778688D"/>
    <w:rsid w:val="577B4FA6"/>
    <w:rsid w:val="57AB394B"/>
    <w:rsid w:val="57C065CB"/>
    <w:rsid w:val="57E1618F"/>
    <w:rsid w:val="57E50E26"/>
    <w:rsid w:val="57EF0839"/>
    <w:rsid w:val="57F87DCE"/>
    <w:rsid w:val="57FC6189"/>
    <w:rsid w:val="583A4337"/>
    <w:rsid w:val="58764E14"/>
    <w:rsid w:val="58DF4D2A"/>
    <w:rsid w:val="59205C05"/>
    <w:rsid w:val="59311804"/>
    <w:rsid w:val="593B7A7E"/>
    <w:rsid w:val="595C637A"/>
    <w:rsid w:val="59667F37"/>
    <w:rsid w:val="598C130A"/>
    <w:rsid w:val="59B55F1C"/>
    <w:rsid w:val="59D51648"/>
    <w:rsid w:val="59FA6411"/>
    <w:rsid w:val="5A1B0814"/>
    <w:rsid w:val="5A2F1D33"/>
    <w:rsid w:val="5A327966"/>
    <w:rsid w:val="5A330C53"/>
    <w:rsid w:val="5A5D23AA"/>
    <w:rsid w:val="5A5F4374"/>
    <w:rsid w:val="5A676F45"/>
    <w:rsid w:val="5A694DEE"/>
    <w:rsid w:val="5A9B1124"/>
    <w:rsid w:val="5AB325FA"/>
    <w:rsid w:val="5AD41C98"/>
    <w:rsid w:val="5AE96329"/>
    <w:rsid w:val="5AEB3E0B"/>
    <w:rsid w:val="5B123BE4"/>
    <w:rsid w:val="5B2216B2"/>
    <w:rsid w:val="5B33071A"/>
    <w:rsid w:val="5B697F5F"/>
    <w:rsid w:val="5B6E1D2C"/>
    <w:rsid w:val="5B9C33A6"/>
    <w:rsid w:val="5B9C6556"/>
    <w:rsid w:val="5BE25048"/>
    <w:rsid w:val="5C337866"/>
    <w:rsid w:val="5C4D1F7D"/>
    <w:rsid w:val="5C87393D"/>
    <w:rsid w:val="5CC5182C"/>
    <w:rsid w:val="5CF509D2"/>
    <w:rsid w:val="5CF50C1B"/>
    <w:rsid w:val="5CF61F41"/>
    <w:rsid w:val="5D465377"/>
    <w:rsid w:val="5D4C5EC3"/>
    <w:rsid w:val="5D8046A0"/>
    <w:rsid w:val="5D8D636B"/>
    <w:rsid w:val="5D9B33F8"/>
    <w:rsid w:val="5E3C677A"/>
    <w:rsid w:val="5E65287A"/>
    <w:rsid w:val="5E930A90"/>
    <w:rsid w:val="5ED76B8B"/>
    <w:rsid w:val="5EDD467A"/>
    <w:rsid w:val="5EE80F07"/>
    <w:rsid w:val="5EEF4A86"/>
    <w:rsid w:val="5F073306"/>
    <w:rsid w:val="5F0B0627"/>
    <w:rsid w:val="5F14729E"/>
    <w:rsid w:val="5F5F73B9"/>
    <w:rsid w:val="5F6C6334"/>
    <w:rsid w:val="5F7A1C50"/>
    <w:rsid w:val="5F9001FE"/>
    <w:rsid w:val="5F9B5082"/>
    <w:rsid w:val="5FA32F55"/>
    <w:rsid w:val="5FBD61BE"/>
    <w:rsid w:val="5FC829BC"/>
    <w:rsid w:val="5FFA069B"/>
    <w:rsid w:val="602A338D"/>
    <w:rsid w:val="604D1BFF"/>
    <w:rsid w:val="60551E4A"/>
    <w:rsid w:val="60654D10"/>
    <w:rsid w:val="607962BF"/>
    <w:rsid w:val="60A1054E"/>
    <w:rsid w:val="61131D95"/>
    <w:rsid w:val="61505311"/>
    <w:rsid w:val="615F3883"/>
    <w:rsid w:val="61700569"/>
    <w:rsid w:val="61B11FB5"/>
    <w:rsid w:val="61E25F6E"/>
    <w:rsid w:val="62151192"/>
    <w:rsid w:val="621A2D66"/>
    <w:rsid w:val="6236552F"/>
    <w:rsid w:val="625642AF"/>
    <w:rsid w:val="629819C8"/>
    <w:rsid w:val="629A2CBD"/>
    <w:rsid w:val="62C45984"/>
    <w:rsid w:val="62EB2EEF"/>
    <w:rsid w:val="63345FC9"/>
    <w:rsid w:val="633640E0"/>
    <w:rsid w:val="633B2E6D"/>
    <w:rsid w:val="6355296A"/>
    <w:rsid w:val="636B1FDC"/>
    <w:rsid w:val="637569B7"/>
    <w:rsid w:val="6383577C"/>
    <w:rsid w:val="63A77311"/>
    <w:rsid w:val="63D538F9"/>
    <w:rsid w:val="63D8342D"/>
    <w:rsid w:val="642A1BC8"/>
    <w:rsid w:val="64494EF4"/>
    <w:rsid w:val="645962D8"/>
    <w:rsid w:val="645B23D4"/>
    <w:rsid w:val="64B1340B"/>
    <w:rsid w:val="64C20706"/>
    <w:rsid w:val="651D7306"/>
    <w:rsid w:val="654060B9"/>
    <w:rsid w:val="655B2CBD"/>
    <w:rsid w:val="65955591"/>
    <w:rsid w:val="65BC4AD5"/>
    <w:rsid w:val="65C34A5F"/>
    <w:rsid w:val="65E02EDD"/>
    <w:rsid w:val="65E16585"/>
    <w:rsid w:val="65E360EC"/>
    <w:rsid w:val="65F25F2C"/>
    <w:rsid w:val="65FE7137"/>
    <w:rsid w:val="66325962"/>
    <w:rsid w:val="66370D9C"/>
    <w:rsid w:val="665A4684"/>
    <w:rsid w:val="667F3A7E"/>
    <w:rsid w:val="66822AD2"/>
    <w:rsid w:val="66870440"/>
    <w:rsid w:val="66BF0E5E"/>
    <w:rsid w:val="66C15371"/>
    <w:rsid w:val="66C5490D"/>
    <w:rsid w:val="66F01962"/>
    <w:rsid w:val="66FD15DC"/>
    <w:rsid w:val="670F61F6"/>
    <w:rsid w:val="671A233E"/>
    <w:rsid w:val="67287C02"/>
    <w:rsid w:val="673E66DE"/>
    <w:rsid w:val="676C45A4"/>
    <w:rsid w:val="67843DCC"/>
    <w:rsid w:val="67845C4E"/>
    <w:rsid w:val="67931B01"/>
    <w:rsid w:val="679417F4"/>
    <w:rsid w:val="67C27113"/>
    <w:rsid w:val="67CA3363"/>
    <w:rsid w:val="67DA01CE"/>
    <w:rsid w:val="67E738B8"/>
    <w:rsid w:val="67EC574F"/>
    <w:rsid w:val="67FB68C5"/>
    <w:rsid w:val="6838144E"/>
    <w:rsid w:val="685445AA"/>
    <w:rsid w:val="6867004E"/>
    <w:rsid w:val="68692862"/>
    <w:rsid w:val="688D32CE"/>
    <w:rsid w:val="68AA7398"/>
    <w:rsid w:val="68DF49BB"/>
    <w:rsid w:val="69150EC8"/>
    <w:rsid w:val="691D0367"/>
    <w:rsid w:val="692D70C0"/>
    <w:rsid w:val="693D6FFE"/>
    <w:rsid w:val="694C3D58"/>
    <w:rsid w:val="69514CEA"/>
    <w:rsid w:val="698507B8"/>
    <w:rsid w:val="698E07E0"/>
    <w:rsid w:val="69C65B89"/>
    <w:rsid w:val="69EC5A05"/>
    <w:rsid w:val="69ED1569"/>
    <w:rsid w:val="6A5F65A9"/>
    <w:rsid w:val="6AE663EC"/>
    <w:rsid w:val="6AEB57B0"/>
    <w:rsid w:val="6AFB3C45"/>
    <w:rsid w:val="6B050AFE"/>
    <w:rsid w:val="6B14371E"/>
    <w:rsid w:val="6B486645"/>
    <w:rsid w:val="6B777044"/>
    <w:rsid w:val="6BB317B4"/>
    <w:rsid w:val="6BB80787"/>
    <w:rsid w:val="6BBA4618"/>
    <w:rsid w:val="6C5C0D44"/>
    <w:rsid w:val="6C68741D"/>
    <w:rsid w:val="6C7500F8"/>
    <w:rsid w:val="6C991968"/>
    <w:rsid w:val="6CA73432"/>
    <w:rsid w:val="6CAF118B"/>
    <w:rsid w:val="6D0046A5"/>
    <w:rsid w:val="6D6C0E2A"/>
    <w:rsid w:val="6D7F13A1"/>
    <w:rsid w:val="6D7F57DA"/>
    <w:rsid w:val="6D806DCA"/>
    <w:rsid w:val="6D9D5488"/>
    <w:rsid w:val="6DB16767"/>
    <w:rsid w:val="6DC26C9C"/>
    <w:rsid w:val="6DD15131"/>
    <w:rsid w:val="6DD80203"/>
    <w:rsid w:val="6DDA1DE7"/>
    <w:rsid w:val="6DDE1B39"/>
    <w:rsid w:val="6DFE2AA8"/>
    <w:rsid w:val="6E13012C"/>
    <w:rsid w:val="6E5864B7"/>
    <w:rsid w:val="6E843F52"/>
    <w:rsid w:val="6EAB0D10"/>
    <w:rsid w:val="6EDF73DA"/>
    <w:rsid w:val="6F3B4F58"/>
    <w:rsid w:val="6F4638FD"/>
    <w:rsid w:val="6F4B4B1E"/>
    <w:rsid w:val="6F51652A"/>
    <w:rsid w:val="6F97D24A"/>
    <w:rsid w:val="6FB03B85"/>
    <w:rsid w:val="6FF26A20"/>
    <w:rsid w:val="6FF55007"/>
    <w:rsid w:val="702258A3"/>
    <w:rsid w:val="70387421"/>
    <w:rsid w:val="70447E3C"/>
    <w:rsid w:val="707C4A0E"/>
    <w:rsid w:val="709F3EC7"/>
    <w:rsid w:val="70C26CF8"/>
    <w:rsid w:val="70EC7887"/>
    <w:rsid w:val="71211C3C"/>
    <w:rsid w:val="71350959"/>
    <w:rsid w:val="716E7B07"/>
    <w:rsid w:val="71951EA1"/>
    <w:rsid w:val="71E909FE"/>
    <w:rsid w:val="72220EF0"/>
    <w:rsid w:val="72230EE0"/>
    <w:rsid w:val="728507F9"/>
    <w:rsid w:val="729A10E9"/>
    <w:rsid w:val="729C2D68"/>
    <w:rsid w:val="72C45109"/>
    <w:rsid w:val="732B5924"/>
    <w:rsid w:val="733076FF"/>
    <w:rsid w:val="73373C88"/>
    <w:rsid w:val="73577E87"/>
    <w:rsid w:val="73823D05"/>
    <w:rsid w:val="73A97971"/>
    <w:rsid w:val="73B54BAD"/>
    <w:rsid w:val="73C97A1A"/>
    <w:rsid w:val="73F349E4"/>
    <w:rsid w:val="741A6D08"/>
    <w:rsid w:val="742C597A"/>
    <w:rsid w:val="743C0E2B"/>
    <w:rsid w:val="74842207"/>
    <w:rsid w:val="74DB6895"/>
    <w:rsid w:val="75211F5D"/>
    <w:rsid w:val="752B58B2"/>
    <w:rsid w:val="753561D8"/>
    <w:rsid w:val="755F3EC1"/>
    <w:rsid w:val="756A2655"/>
    <w:rsid w:val="757F25BA"/>
    <w:rsid w:val="75933663"/>
    <w:rsid w:val="75B41473"/>
    <w:rsid w:val="75CE64F2"/>
    <w:rsid w:val="76175686"/>
    <w:rsid w:val="761A143E"/>
    <w:rsid w:val="761F677D"/>
    <w:rsid w:val="76402E54"/>
    <w:rsid w:val="764D5570"/>
    <w:rsid w:val="764E1EAA"/>
    <w:rsid w:val="765B5EE0"/>
    <w:rsid w:val="76716017"/>
    <w:rsid w:val="76D75526"/>
    <w:rsid w:val="76E534D6"/>
    <w:rsid w:val="770A08F7"/>
    <w:rsid w:val="7711114C"/>
    <w:rsid w:val="773B1A17"/>
    <w:rsid w:val="774424D0"/>
    <w:rsid w:val="775D74CC"/>
    <w:rsid w:val="77DF536A"/>
    <w:rsid w:val="780E2ADE"/>
    <w:rsid w:val="782834C9"/>
    <w:rsid w:val="78903A49"/>
    <w:rsid w:val="78B71072"/>
    <w:rsid w:val="78C821CC"/>
    <w:rsid w:val="78CF6BCF"/>
    <w:rsid w:val="79104D7F"/>
    <w:rsid w:val="793842B6"/>
    <w:rsid w:val="793F73F3"/>
    <w:rsid w:val="795409C4"/>
    <w:rsid w:val="7956473D"/>
    <w:rsid w:val="797D43BF"/>
    <w:rsid w:val="797F60F9"/>
    <w:rsid w:val="79890096"/>
    <w:rsid w:val="79B61048"/>
    <w:rsid w:val="79CF7444"/>
    <w:rsid w:val="7A3A5E0C"/>
    <w:rsid w:val="7A437CA1"/>
    <w:rsid w:val="7A5762FE"/>
    <w:rsid w:val="7A5D591F"/>
    <w:rsid w:val="7A7E668A"/>
    <w:rsid w:val="7A903AAA"/>
    <w:rsid w:val="7AD74FC0"/>
    <w:rsid w:val="7AE7737A"/>
    <w:rsid w:val="7AF96B15"/>
    <w:rsid w:val="7B061C68"/>
    <w:rsid w:val="7B0A57DF"/>
    <w:rsid w:val="7B0E5AF2"/>
    <w:rsid w:val="7B1C41D0"/>
    <w:rsid w:val="7B3B046F"/>
    <w:rsid w:val="7B58269F"/>
    <w:rsid w:val="7B5F3D7C"/>
    <w:rsid w:val="7B762E74"/>
    <w:rsid w:val="7B825CBD"/>
    <w:rsid w:val="7BA63759"/>
    <w:rsid w:val="7BC506FF"/>
    <w:rsid w:val="7BE65790"/>
    <w:rsid w:val="7BF84BE4"/>
    <w:rsid w:val="7C223E16"/>
    <w:rsid w:val="7C2457DC"/>
    <w:rsid w:val="7C703D67"/>
    <w:rsid w:val="7C873CC9"/>
    <w:rsid w:val="7CA17553"/>
    <w:rsid w:val="7CA573B9"/>
    <w:rsid w:val="7CA9238B"/>
    <w:rsid w:val="7CC607EF"/>
    <w:rsid w:val="7CE67EE1"/>
    <w:rsid w:val="7CF93D6F"/>
    <w:rsid w:val="7D292FDE"/>
    <w:rsid w:val="7D926245"/>
    <w:rsid w:val="7DA42A0D"/>
    <w:rsid w:val="7DBA3E1F"/>
    <w:rsid w:val="7DC3726C"/>
    <w:rsid w:val="7DC425BD"/>
    <w:rsid w:val="7DD24CD9"/>
    <w:rsid w:val="7DE203A9"/>
    <w:rsid w:val="7DFE1CC5"/>
    <w:rsid w:val="7E092151"/>
    <w:rsid w:val="7E134599"/>
    <w:rsid w:val="7E617E0B"/>
    <w:rsid w:val="7E9A331D"/>
    <w:rsid w:val="7E9E4BBC"/>
    <w:rsid w:val="7EEE05A6"/>
    <w:rsid w:val="7F2068C6"/>
    <w:rsid w:val="7F496220"/>
    <w:rsid w:val="7F625BE9"/>
    <w:rsid w:val="7F887D71"/>
    <w:rsid w:val="7F97D7F2"/>
    <w:rsid w:val="7F9C2416"/>
    <w:rsid w:val="7FA77AA0"/>
    <w:rsid w:val="7FBF52B3"/>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link w:val="6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65"/>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6"/>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7"/>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8"/>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9"/>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70"/>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71"/>
    <w:qFormat/>
    <w:uiPriority w:val="0"/>
    <w:pPr>
      <w:shd w:val="clear" w:color="auto" w:fill="000080"/>
    </w:pPr>
  </w:style>
  <w:style w:type="paragraph" w:styleId="6">
    <w:name w:val="Normal Indent"/>
    <w:basedOn w:val="1"/>
    <w:link w:val="62"/>
    <w:qFormat/>
    <w:uiPriority w:val="0"/>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table of authorities"/>
    <w:basedOn w:val="1"/>
    <w:next w:val="1"/>
    <w:qFormat/>
    <w:uiPriority w:val="0"/>
    <w:pPr>
      <w:ind w:left="420" w:leftChars="200"/>
    </w:pPr>
    <w:rPr>
      <w:szCs w:val="20"/>
    </w:rPr>
  </w:style>
  <w:style w:type="paragraph" w:styleId="15">
    <w:name w:val="index 8"/>
    <w:basedOn w:val="1"/>
    <w:next w:val="1"/>
    <w:qFormat/>
    <w:uiPriority w:val="0"/>
    <w:pPr>
      <w:ind w:left="1400" w:leftChars="1400"/>
    </w:pPr>
  </w:style>
  <w:style w:type="paragraph" w:styleId="16">
    <w:name w:val="caption"/>
    <w:basedOn w:val="1"/>
    <w:next w:val="1"/>
    <w:qFormat/>
    <w:uiPriority w:val="0"/>
    <w:pPr>
      <w:spacing w:line="480" w:lineRule="auto"/>
    </w:pPr>
    <w:rPr>
      <w:rFonts w:ascii="华文中宋" w:hAnsi="华文中宋" w:eastAsia="华文中宋"/>
      <w:sz w:val="36"/>
      <w:szCs w:val="20"/>
    </w:rPr>
  </w:style>
  <w:style w:type="paragraph" w:styleId="17">
    <w:name w:val="annotation text"/>
    <w:basedOn w:val="1"/>
    <w:link w:val="72"/>
    <w:qFormat/>
    <w:uiPriority w:val="99"/>
    <w:pPr>
      <w:jc w:val="left"/>
    </w:pPr>
  </w:style>
  <w:style w:type="paragraph" w:styleId="18">
    <w:name w:val="Body Text 3"/>
    <w:basedOn w:val="1"/>
    <w:link w:val="73"/>
    <w:qFormat/>
    <w:uiPriority w:val="0"/>
    <w:pPr>
      <w:spacing w:after="120"/>
    </w:pPr>
    <w:rPr>
      <w:sz w:val="16"/>
      <w:szCs w:val="16"/>
    </w:rPr>
  </w:style>
  <w:style w:type="paragraph" w:styleId="19">
    <w:name w:val="Body Text"/>
    <w:basedOn w:val="1"/>
    <w:next w:val="1"/>
    <w:link w:val="74"/>
    <w:qFormat/>
    <w:uiPriority w:val="0"/>
    <w:pPr>
      <w:tabs>
        <w:tab w:val="left" w:pos="567"/>
      </w:tabs>
      <w:spacing w:before="120" w:line="22" w:lineRule="atLeast"/>
    </w:pPr>
    <w:rPr>
      <w:rFonts w:ascii="宋体" w:hAnsi="宋体"/>
      <w:sz w:val="24"/>
    </w:rPr>
  </w:style>
  <w:style w:type="paragraph" w:styleId="20">
    <w:name w:val="Body Text Indent"/>
    <w:basedOn w:val="1"/>
    <w:link w:val="75"/>
    <w:qFormat/>
    <w:uiPriority w:val="0"/>
    <w:pPr>
      <w:spacing w:line="360" w:lineRule="auto"/>
      <w:ind w:firstLine="570"/>
    </w:pPr>
    <w:rPr>
      <w:sz w:val="24"/>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76"/>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77"/>
    <w:qFormat/>
    <w:uiPriority w:val="0"/>
    <w:pPr>
      <w:ind w:left="100" w:leftChars="2500"/>
    </w:pPr>
    <w:rPr>
      <w:rFonts w:ascii="仿宋_GB2312" w:hAnsi="宋体" w:eastAsia="仿宋_GB2312"/>
      <w:color w:val="000000"/>
      <w:sz w:val="24"/>
    </w:rPr>
  </w:style>
  <w:style w:type="paragraph" w:styleId="28">
    <w:name w:val="Body Text Indent 2"/>
    <w:basedOn w:val="1"/>
    <w:link w:val="78"/>
    <w:qFormat/>
    <w:uiPriority w:val="0"/>
    <w:pPr>
      <w:ind w:firstLine="480" w:firstLineChars="200"/>
    </w:pPr>
    <w:rPr>
      <w:rFonts w:ascii="仿宋_GB2312" w:eastAsia="仿宋_GB2312"/>
      <w:sz w:val="24"/>
    </w:rPr>
  </w:style>
  <w:style w:type="paragraph" w:styleId="29">
    <w:name w:val="Balloon Text"/>
    <w:basedOn w:val="1"/>
    <w:link w:val="79"/>
    <w:qFormat/>
    <w:uiPriority w:val="0"/>
    <w:rPr>
      <w:sz w:val="18"/>
      <w:szCs w:val="18"/>
    </w:rPr>
  </w:style>
  <w:style w:type="paragraph" w:styleId="30">
    <w:name w:val="footer"/>
    <w:basedOn w:val="1"/>
    <w:link w:val="80"/>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Subtitle"/>
    <w:basedOn w:val="1"/>
    <w:next w:val="1"/>
    <w:link w:val="82"/>
    <w:qFormat/>
    <w:uiPriority w:val="11"/>
    <w:pPr>
      <w:spacing w:before="240" w:after="6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style>
  <w:style w:type="paragraph" w:styleId="36">
    <w:name w:val="Body Text Indent 3"/>
    <w:basedOn w:val="1"/>
    <w:link w:val="8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0"/>
    <w:pPr>
      <w:ind w:left="3360" w:leftChars="1600"/>
    </w:pPr>
  </w:style>
  <w:style w:type="paragraph" w:styleId="39">
    <w:name w:val="Body Text 2"/>
    <w:basedOn w:val="1"/>
    <w:unhideWhenUsed/>
    <w:qFormat/>
    <w:uiPriority w:val="99"/>
    <w:pPr>
      <w:spacing w:after="120" w:line="480" w:lineRule="auto"/>
    </w:pPr>
  </w:style>
  <w:style w:type="paragraph" w:styleId="40">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rPr>
      <w:szCs w:val="20"/>
    </w:rPr>
  </w:style>
  <w:style w:type="paragraph" w:styleId="43">
    <w:name w:val="Title"/>
    <w:basedOn w:val="1"/>
    <w:next w:val="1"/>
    <w:link w:val="85"/>
    <w:qFormat/>
    <w:uiPriority w:val="0"/>
    <w:pPr>
      <w:jc w:val="center"/>
      <w:outlineLvl w:val="0"/>
    </w:pPr>
    <w:rPr>
      <w:b/>
      <w:sz w:val="32"/>
      <w:szCs w:val="20"/>
    </w:rPr>
  </w:style>
  <w:style w:type="paragraph" w:styleId="44">
    <w:name w:val="annotation subject"/>
    <w:basedOn w:val="17"/>
    <w:next w:val="17"/>
    <w:link w:val="86"/>
    <w:qFormat/>
    <w:uiPriority w:val="0"/>
    <w:rPr>
      <w:b/>
      <w:bCs/>
    </w:rPr>
  </w:style>
  <w:style w:type="paragraph" w:styleId="45">
    <w:name w:val="Body Text First Indent 2"/>
    <w:basedOn w:val="20"/>
    <w:next w:val="1"/>
    <w:link w:val="88"/>
    <w:qFormat/>
    <w:uiPriority w:val="0"/>
    <w:pPr>
      <w:spacing w:after="120" w:line="480" w:lineRule="exact"/>
      <w:ind w:left="420" w:leftChars="200" w:firstLine="420" w:firstLineChars="200"/>
    </w:pPr>
    <w:rPr>
      <w:szCs w:val="20"/>
    </w:rPr>
  </w:style>
  <w:style w:type="table" w:styleId="47">
    <w:name w:val="Table Grid"/>
    <w:basedOn w:val="4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Medium Grid 1 Accent 2"/>
    <w:basedOn w:val="46"/>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qFormat/>
    <w:uiPriority w:val="0"/>
    <w:rPr>
      <w:b/>
      <w:bCs/>
    </w:rPr>
  </w:style>
  <w:style w:type="character" w:styleId="51">
    <w:name w:val="page number"/>
    <w:basedOn w:val="49"/>
    <w:qFormat/>
    <w:uiPriority w:val="0"/>
  </w:style>
  <w:style w:type="character" w:styleId="52">
    <w:name w:val="FollowedHyperlink"/>
    <w:basedOn w:val="49"/>
    <w:qFormat/>
    <w:uiPriority w:val="0"/>
    <w:rPr>
      <w:color w:val="800080"/>
      <w:u w:val="none"/>
    </w:rPr>
  </w:style>
  <w:style w:type="character" w:styleId="53">
    <w:name w:val="Emphasis"/>
    <w:qFormat/>
    <w:uiPriority w:val="0"/>
    <w:rPr>
      <w:color w:val="CC0033"/>
    </w:rPr>
  </w:style>
  <w:style w:type="character" w:styleId="54">
    <w:name w:val="HTML Definition"/>
    <w:basedOn w:val="49"/>
    <w:qFormat/>
    <w:uiPriority w:val="0"/>
  </w:style>
  <w:style w:type="character" w:styleId="55">
    <w:name w:val="HTML Acronym"/>
    <w:basedOn w:val="49"/>
    <w:qFormat/>
    <w:uiPriority w:val="0"/>
  </w:style>
  <w:style w:type="character" w:styleId="56">
    <w:name w:val="HTML Variable"/>
    <w:basedOn w:val="49"/>
    <w:qFormat/>
    <w:uiPriority w:val="0"/>
  </w:style>
  <w:style w:type="character" w:styleId="57">
    <w:name w:val="Hyperlink"/>
    <w:basedOn w:val="49"/>
    <w:qFormat/>
    <w:uiPriority w:val="99"/>
    <w:rPr>
      <w:color w:val="0000FF"/>
      <w:u w:val="none"/>
    </w:rPr>
  </w:style>
  <w:style w:type="character" w:styleId="58">
    <w:name w:val="HTML Code"/>
    <w:basedOn w:val="49"/>
    <w:qFormat/>
    <w:uiPriority w:val="0"/>
    <w:rPr>
      <w:rFonts w:ascii="Courier New" w:hAnsi="Courier New"/>
      <w:sz w:val="20"/>
    </w:rPr>
  </w:style>
  <w:style w:type="character" w:styleId="59">
    <w:name w:val="annotation reference"/>
    <w:qFormat/>
    <w:uiPriority w:val="99"/>
    <w:rPr>
      <w:sz w:val="21"/>
      <w:szCs w:val="21"/>
    </w:rPr>
  </w:style>
  <w:style w:type="character" w:styleId="60">
    <w:name w:val="HTML Cite"/>
    <w:qFormat/>
    <w:uiPriority w:val="0"/>
    <w:rPr>
      <w:i/>
      <w:iCs/>
    </w:rPr>
  </w:style>
  <w:style w:type="character" w:customStyle="1" w:styleId="61">
    <w:name w:val="标题 2 字符"/>
    <w:link w:val="4"/>
    <w:qFormat/>
    <w:uiPriority w:val="0"/>
    <w:rPr>
      <w:rFonts w:ascii="Arial" w:hAnsi="Arial" w:eastAsia="黑体"/>
      <w:b/>
      <w:sz w:val="30"/>
      <w:lang w:val="en-US" w:eastAsia="zh-CN" w:bidi="ar-SA"/>
    </w:rPr>
  </w:style>
  <w:style w:type="character" w:customStyle="1" w:styleId="62">
    <w:name w:val="正文缩进 字符"/>
    <w:link w:val="6"/>
    <w:qFormat/>
    <w:uiPriority w:val="0"/>
    <w:rPr>
      <w:rFonts w:ascii="宋体" w:eastAsia="宋体"/>
      <w:kern w:val="2"/>
      <w:sz w:val="24"/>
      <w:szCs w:val="24"/>
      <w:lang w:val="en-US" w:eastAsia="zh-CN" w:bidi="ar-SA"/>
    </w:rPr>
  </w:style>
  <w:style w:type="character" w:customStyle="1" w:styleId="63">
    <w:name w:val="标题 1 字符"/>
    <w:basedOn w:val="49"/>
    <w:link w:val="3"/>
    <w:qFormat/>
    <w:uiPriority w:val="0"/>
    <w:rPr>
      <w:rFonts w:ascii="宋体"/>
      <w:b/>
      <w:kern w:val="44"/>
      <w:sz w:val="32"/>
    </w:rPr>
  </w:style>
  <w:style w:type="character" w:customStyle="1" w:styleId="64">
    <w:name w:val="标题 3 字符"/>
    <w:link w:val="5"/>
    <w:qFormat/>
    <w:uiPriority w:val="0"/>
    <w:rPr>
      <w:rFonts w:ascii="宋体" w:eastAsia="宋体"/>
      <w:b/>
      <w:sz w:val="24"/>
      <w:u w:val="single"/>
      <w:lang w:val="en-US" w:eastAsia="zh-CN" w:bidi="ar-SA"/>
    </w:rPr>
  </w:style>
  <w:style w:type="character" w:customStyle="1" w:styleId="65">
    <w:name w:val="标题 4 字符"/>
    <w:basedOn w:val="49"/>
    <w:link w:val="7"/>
    <w:qFormat/>
    <w:uiPriority w:val="0"/>
    <w:rPr>
      <w:rFonts w:ascii="Arial" w:hAnsi="Arial" w:eastAsia="黑体"/>
      <w:b/>
      <w:sz w:val="28"/>
    </w:rPr>
  </w:style>
  <w:style w:type="character" w:customStyle="1" w:styleId="66">
    <w:name w:val="标题 5 字符"/>
    <w:basedOn w:val="49"/>
    <w:link w:val="8"/>
    <w:qFormat/>
    <w:uiPriority w:val="0"/>
    <w:rPr>
      <w:b/>
      <w:sz w:val="28"/>
    </w:rPr>
  </w:style>
  <w:style w:type="character" w:customStyle="1" w:styleId="67">
    <w:name w:val="标题 6 字符"/>
    <w:basedOn w:val="49"/>
    <w:link w:val="9"/>
    <w:qFormat/>
    <w:uiPriority w:val="0"/>
    <w:rPr>
      <w:rFonts w:ascii="Arial" w:hAnsi="Arial" w:eastAsia="黑体"/>
      <w:b/>
      <w:sz w:val="24"/>
    </w:rPr>
  </w:style>
  <w:style w:type="character" w:customStyle="1" w:styleId="68">
    <w:name w:val="标题 7 字符"/>
    <w:basedOn w:val="49"/>
    <w:link w:val="10"/>
    <w:qFormat/>
    <w:uiPriority w:val="0"/>
    <w:rPr>
      <w:b/>
      <w:sz w:val="24"/>
    </w:rPr>
  </w:style>
  <w:style w:type="character" w:customStyle="1" w:styleId="69">
    <w:name w:val="标题 8 字符"/>
    <w:basedOn w:val="49"/>
    <w:link w:val="11"/>
    <w:qFormat/>
    <w:uiPriority w:val="0"/>
    <w:rPr>
      <w:rFonts w:ascii="Arial" w:hAnsi="Arial" w:eastAsia="黑体"/>
      <w:sz w:val="24"/>
    </w:rPr>
  </w:style>
  <w:style w:type="character" w:customStyle="1" w:styleId="70">
    <w:name w:val="标题 9 字符"/>
    <w:basedOn w:val="49"/>
    <w:link w:val="12"/>
    <w:qFormat/>
    <w:uiPriority w:val="0"/>
    <w:rPr>
      <w:rFonts w:ascii="Arial" w:hAnsi="Arial" w:eastAsia="黑体"/>
      <w:sz w:val="21"/>
    </w:rPr>
  </w:style>
  <w:style w:type="character" w:customStyle="1" w:styleId="71">
    <w:name w:val="文档结构图 字符"/>
    <w:basedOn w:val="49"/>
    <w:link w:val="2"/>
    <w:qFormat/>
    <w:uiPriority w:val="0"/>
    <w:rPr>
      <w:kern w:val="2"/>
      <w:sz w:val="21"/>
      <w:szCs w:val="24"/>
      <w:shd w:val="clear" w:color="auto" w:fill="000080"/>
    </w:rPr>
  </w:style>
  <w:style w:type="character" w:customStyle="1" w:styleId="72">
    <w:name w:val="批注文字 字符1"/>
    <w:link w:val="17"/>
    <w:qFormat/>
    <w:uiPriority w:val="99"/>
    <w:rPr>
      <w:kern w:val="2"/>
      <w:sz w:val="21"/>
      <w:szCs w:val="24"/>
    </w:rPr>
  </w:style>
  <w:style w:type="character" w:customStyle="1" w:styleId="73">
    <w:name w:val="正文文本 3 字符"/>
    <w:basedOn w:val="49"/>
    <w:link w:val="18"/>
    <w:qFormat/>
    <w:uiPriority w:val="0"/>
    <w:rPr>
      <w:kern w:val="2"/>
      <w:sz w:val="16"/>
      <w:szCs w:val="16"/>
    </w:rPr>
  </w:style>
  <w:style w:type="character" w:customStyle="1" w:styleId="74">
    <w:name w:val="正文文本 字符"/>
    <w:basedOn w:val="49"/>
    <w:link w:val="19"/>
    <w:qFormat/>
    <w:uiPriority w:val="0"/>
    <w:rPr>
      <w:rFonts w:ascii="宋体" w:hAnsi="宋体"/>
      <w:kern w:val="2"/>
      <w:sz w:val="24"/>
      <w:szCs w:val="24"/>
    </w:rPr>
  </w:style>
  <w:style w:type="character" w:customStyle="1" w:styleId="75">
    <w:name w:val="正文文本缩进 字符"/>
    <w:link w:val="20"/>
    <w:qFormat/>
    <w:uiPriority w:val="0"/>
    <w:rPr>
      <w:rFonts w:eastAsia="宋体"/>
      <w:kern w:val="2"/>
      <w:sz w:val="24"/>
      <w:szCs w:val="24"/>
      <w:lang w:val="en-US" w:eastAsia="zh-CN" w:bidi="ar-SA"/>
    </w:rPr>
  </w:style>
  <w:style w:type="character" w:customStyle="1" w:styleId="76">
    <w:name w:val="纯文本 字符2"/>
    <w:basedOn w:val="49"/>
    <w:link w:val="25"/>
    <w:qFormat/>
    <w:uiPriority w:val="0"/>
    <w:rPr>
      <w:rFonts w:hint="eastAsia" w:ascii="宋体" w:hAnsi="Courier New" w:eastAsia="宋体" w:cs="宋体"/>
      <w:kern w:val="2"/>
      <w:sz w:val="21"/>
    </w:rPr>
  </w:style>
  <w:style w:type="character" w:customStyle="1" w:styleId="77">
    <w:name w:val="日期 字符"/>
    <w:basedOn w:val="49"/>
    <w:link w:val="27"/>
    <w:qFormat/>
    <w:uiPriority w:val="0"/>
    <w:rPr>
      <w:rFonts w:ascii="仿宋_GB2312" w:hAnsi="宋体" w:eastAsia="仿宋_GB2312"/>
      <w:color w:val="000000"/>
      <w:kern w:val="2"/>
      <w:sz w:val="24"/>
      <w:szCs w:val="24"/>
    </w:rPr>
  </w:style>
  <w:style w:type="character" w:customStyle="1" w:styleId="78">
    <w:name w:val="正文文本缩进 2 字符"/>
    <w:basedOn w:val="49"/>
    <w:link w:val="28"/>
    <w:qFormat/>
    <w:uiPriority w:val="0"/>
    <w:rPr>
      <w:rFonts w:ascii="仿宋_GB2312" w:eastAsia="仿宋_GB2312"/>
      <w:kern w:val="2"/>
      <w:sz w:val="24"/>
      <w:szCs w:val="24"/>
    </w:rPr>
  </w:style>
  <w:style w:type="character" w:customStyle="1" w:styleId="79">
    <w:name w:val="批注框文本 字符"/>
    <w:basedOn w:val="49"/>
    <w:link w:val="29"/>
    <w:qFormat/>
    <w:uiPriority w:val="0"/>
    <w:rPr>
      <w:kern w:val="2"/>
      <w:sz w:val="18"/>
      <w:szCs w:val="18"/>
    </w:rPr>
  </w:style>
  <w:style w:type="character" w:customStyle="1" w:styleId="80">
    <w:name w:val="页脚 字符"/>
    <w:link w:val="30"/>
    <w:qFormat/>
    <w:uiPriority w:val="99"/>
    <w:rPr>
      <w:rFonts w:ascii="宋体" w:eastAsia="宋体"/>
      <w:sz w:val="18"/>
      <w:lang w:val="en-US" w:eastAsia="zh-CN" w:bidi="ar-SA"/>
    </w:rPr>
  </w:style>
  <w:style w:type="character" w:customStyle="1" w:styleId="81">
    <w:name w:val="页眉 字符"/>
    <w:link w:val="31"/>
    <w:qFormat/>
    <w:uiPriority w:val="0"/>
    <w:rPr>
      <w:rFonts w:eastAsia="宋体"/>
      <w:kern w:val="2"/>
      <w:sz w:val="18"/>
      <w:szCs w:val="18"/>
      <w:lang w:val="en-US" w:eastAsia="zh-CN" w:bidi="ar-SA"/>
    </w:rPr>
  </w:style>
  <w:style w:type="character" w:customStyle="1" w:styleId="82">
    <w:name w:val="副标题 字符"/>
    <w:link w:val="34"/>
    <w:qFormat/>
    <w:uiPriority w:val="11"/>
    <w:rPr>
      <w:rFonts w:ascii="Cambria" w:hAnsi="Cambria"/>
      <w:b/>
      <w:bCs/>
      <w:kern w:val="28"/>
      <w:sz w:val="32"/>
      <w:szCs w:val="32"/>
    </w:rPr>
  </w:style>
  <w:style w:type="character" w:customStyle="1" w:styleId="83">
    <w:name w:val="正文文本缩进 3 字符"/>
    <w:basedOn w:val="49"/>
    <w:link w:val="36"/>
    <w:qFormat/>
    <w:uiPriority w:val="0"/>
    <w:rPr>
      <w:rFonts w:ascii="宋体"/>
      <w:sz w:val="24"/>
    </w:rPr>
  </w:style>
  <w:style w:type="character" w:customStyle="1" w:styleId="84">
    <w:name w:val="HTML 预设格式 字符"/>
    <w:basedOn w:val="49"/>
    <w:link w:val="40"/>
    <w:qFormat/>
    <w:uiPriority w:val="0"/>
    <w:rPr>
      <w:rFonts w:ascii="宋体" w:hAnsi="宋体" w:cs="宋体"/>
      <w:sz w:val="24"/>
      <w:szCs w:val="24"/>
    </w:rPr>
  </w:style>
  <w:style w:type="character" w:customStyle="1" w:styleId="85">
    <w:name w:val="标题 字符1"/>
    <w:link w:val="43"/>
    <w:qFormat/>
    <w:uiPriority w:val="0"/>
    <w:rPr>
      <w:b/>
      <w:kern w:val="2"/>
      <w:sz w:val="32"/>
    </w:rPr>
  </w:style>
  <w:style w:type="character" w:customStyle="1" w:styleId="86">
    <w:name w:val="批注主题 字符"/>
    <w:basedOn w:val="87"/>
    <w:link w:val="44"/>
    <w:qFormat/>
    <w:uiPriority w:val="0"/>
    <w:rPr>
      <w:rFonts w:ascii="Times New Roman" w:hAnsi="Times New Roman" w:eastAsia="宋体" w:cs="Times New Roman"/>
      <w:b/>
      <w:bCs/>
      <w:kern w:val="2"/>
      <w:sz w:val="21"/>
      <w:szCs w:val="24"/>
      <w:lang w:val="en-US" w:eastAsia="zh-CN" w:bidi="ar-SA"/>
    </w:rPr>
  </w:style>
  <w:style w:type="character" w:customStyle="1" w:styleId="87">
    <w:name w:val="批注文字 字符"/>
    <w:qFormat/>
    <w:uiPriority w:val="99"/>
    <w:rPr>
      <w:rFonts w:ascii="Times New Roman" w:hAnsi="Times New Roman" w:eastAsia="宋体" w:cs="Times New Roman"/>
      <w:sz w:val="24"/>
      <w:lang w:val="en-US" w:eastAsia="zh-CN" w:bidi="ar-SA"/>
    </w:rPr>
  </w:style>
  <w:style w:type="character" w:customStyle="1" w:styleId="88">
    <w:name w:val="正文文本首行缩进 2 字符"/>
    <w:basedOn w:val="75"/>
    <w:link w:val="45"/>
    <w:qFormat/>
    <w:uiPriority w:val="0"/>
    <w:rPr>
      <w:rFonts w:eastAsia="宋体"/>
      <w:kern w:val="2"/>
      <w:sz w:val="24"/>
      <w:szCs w:val="24"/>
      <w:lang w:val="en-US" w:eastAsia="zh-CN" w:bidi="ar-SA"/>
    </w:rPr>
  </w:style>
  <w:style w:type="character" w:customStyle="1" w:styleId="89">
    <w:name w:val="正文大标题 Char"/>
    <w:link w:val="90"/>
    <w:qFormat/>
    <w:uiPriority w:val="0"/>
    <w:rPr>
      <w:rFonts w:ascii="宋体" w:hAnsi="宋体"/>
      <w:b/>
      <w:color w:val="000000"/>
      <w:kern w:val="2"/>
      <w:sz w:val="28"/>
      <w:szCs w:val="21"/>
    </w:rPr>
  </w:style>
  <w:style w:type="paragraph" w:customStyle="1" w:styleId="90">
    <w:name w:val="正文大标题"/>
    <w:basedOn w:val="91"/>
    <w:next w:val="6"/>
    <w:link w:val="89"/>
    <w:qFormat/>
    <w:uiPriority w:val="0"/>
    <w:pPr>
      <w:jc w:val="center"/>
    </w:pPr>
    <w:rPr>
      <w:i w:val="0"/>
      <w:color w:val="000000"/>
      <w:sz w:val="28"/>
      <w:szCs w:val="21"/>
    </w:rPr>
  </w:style>
  <w:style w:type="paragraph" w:customStyle="1" w:styleId="91">
    <w:name w:val="正文小标题"/>
    <w:basedOn w:val="1"/>
    <w:next w:val="6"/>
    <w:link w:val="92"/>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92">
    <w:name w:val="正文小标题 Char"/>
    <w:link w:val="91"/>
    <w:qFormat/>
    <w:uiPriority w:val="0"/>
    <w:rPr>
      <w:rFonts w:ascii="宋体" w:hAnsi="宋体"/>
      <w:b/>
      <w:i/>
      <w:color w:val="FF0000"/>
      <w:kern w:val="2"/>
      <w:sz w:val="24"/>
    </w:rPr>
  </w:style>
  <w:style w:type="character" w:customStyle="1" w:styleId="93">
    <w:name w:val="纯文本 字符1"/>
    <w:qFormat/>
    <w:uiPriority w:val="0"/>
    <w:rPr>
      <w:rFonts w:ascii="宋体" w:hAnsi="Courier New"/>
    </w:rPr>
  </w:style>
  <w:style w:type="character" w:customStyle="1" w:styleId="94">
    <w:name w:val="批注文字 Char"/>
    <w:qFormat/>
    <w:uiPriority w:val="99"/>
    <w:rPr>
      <w:kern w:val="2"/>
      <w:sz w:val="21"/>
      <w:szCs w:val="24"/>
    </w:rPr>
  </w:style>
  <w:style w:type="character" w:customStyle="1" w:styleId="95">
    <w:name w:val="title4"/>
    <w:qFormat/>
    <w:uiPriority w:val="0"/>
    <w:rPr>
      <w:b/>
      <w:bCs/>
      <w:color w:val="1D87B3"/>
      <w:sz w:val="15"/>
      <w:szCs w:val="15"/>
    </w:rPr>
  </w:style>
  <w:style w:type="character" w:customStyle="1" w:styleId="96">
    <w:name w:val="页脚 Char"/>
    <w:qFormat/>
    <w:uiPriority w:val="0"/>
    <w:rPr>
      <w:rFonts w:ascii="宋体" w:eastAsia="宋体"/>
      <w:sz w:val="18"/>
      <w:lang w:val="en-US" w:eastAsia="zh-CN" w:bidi="ar-SA"/>
    </w:rPr>
  </w:style>
  <w:style w:type="character" w:customStyle="1" w:styleId="97">
    <w:name w:val="正文文本缩进 Char"/>
    <w:qFormat/>
    <w:uiPriority w:val="0"/>
    <w:rPr>
      <w:rFonts w:eastAsia="宋体"/>
      <w:kern w:val="2"/>
      <w:sz w:val="24"/>
      <w:szCs w:val="24"/>
      <w:lang w:val="en-US" w:eastAsia="zh-CN" w:bidi="ar-SA"/>
    </w:rPr>
  </w:style>
  <w:style w:type="character" w:customStyle="1" w:styleId="98">
    <w:name w:val="c21"/>
    <w:qFormat/>
    <w:uiPriority w:val="0"/>
    <w:rPr>
      <w:rFonts w:hint="default" w:ascii="ˎ̥" w:hAnsi="ˎ̥"/>
      <w:color w:val="000000"/>
      <w:sz w:val="20"/>
      <w:szCs w:val="20"/>
      <w:u w:val="none"/>
    </w:rPr>
  </w:style>
  <w:style w:type="character" w:customStyle="1" w:styleId="99">
    <w:name w:val="正文表格 Char"/>
    <w:link w:val="100"/>
    <w:qFormat/>
    <w:uiPriority w:val="0"/>
    <w:rPr>
      <w:rFonts w:ascii="宋体" w:hAnsi="宋体"/>
      <w:color w:val="000000"/>
      <w:kern w:val="2"/>
      <w:sz w:val="21"/>
      <w:szCs w:val="21"/>
    </w:rPr>
  </w:style>
  <w:style w:type="paragraph" w:customStyle="1" w:styleId="100">
    <w:name w:val="正文表格"/>
    <w:basedOn w:val="1"/>
    <w:link w:val="99"/>
    <w:qFormat/>
    <w:uiPriority w:val="0"/>
    <w:pPr>
      <w:adjustRightInd w:val="0"/>
      <w:snapToGrid w:val="0"/>
      <w:jc w:val="left"/>
    </w:pPr>
    <w:rPr>
      <w:rFonts w:ascii="宋体" w:hAnsi="宋体"/>
      <w:color w:val="000000"/>
      <w:szCs w:val="21"/>
    </w:rPr>
  </w:style>
  <w:style w:type="character" w:customStyle="1" w:styleId="101">
    <w:name w:val="Char Char11"/>
    <w:qFormat/>
    <w:uiPriority w:val="0"/>
    <w:rPr>
      <w:rFonts w:ascii="宋体" w:eastAsia="宋体"/>
      <w:b/>
      <w:sz w:val="24"/>
      <w:u w:val="single"/>
      <w:lang w:val="en-US" w:eastAsia="zh-CN" w:bidi="ar-SA"/>
    </w:rPr>
  </w:style>
  <w:style w:type="character" w:customStyle="1" w:styleId="102">
    <w:name w:val="列出段落 Char"/>
    <w:qFormat/>
    <w:uiPriority w:val="0"/>
    <w:rPr>
      <w:rFonts w:ascii="Calibri" w:hAnsi="Calibri" w:eastAsia="宋体"/>
      <w:kern w:val="2"/>
      <w:sz w:val="21"/>
      <w:szCs w:val="22"/>
      <w:lang w:val="en-US" w:eastAsia="zh-CN" w:bidi="ar-SA"/>
    </w:rPr>
  </w:style>
  <w:style w:type="character" w:customStyle="1" w:styleId="103">
    <w:name w:val="页眉 Char"/>
    <w:qFormat/>
    <w:uiPriority w:val="0"/>
    <w:rPr>
      <w:rFonts w:eastAsia="宋体"/>
      <w:kern w:val="2"/>
      <w:sz w:val="18"/>
      <w:szCs w:val="18"/>
      <w:lang w:val="en-US" w:eastAsia="zh-CN" w:bidi="ar-SA"/>
    </w:rPr>
  </w:style>
  <w:style w:type="character" w:customStyle="1" w:styleId="104">
    <w:name w:val="apple-style-span"/>
    <w:qFormat/>
    <w:uiPriority w:val="0"/>
    <w:rPr>
      <w:rFonts w:cs="Times New Roman"/>
    </w:rPr>
  </w:style>
  <w:style w:type="character" w:customStyle="1" w:styleId="105">
    <w:name w:val="chanpin1"/>
    <w:qFormat/>
    <w:uiPriority w:val="0"/>
    <w:rPr>
      <w:rFonts w:hint="default" w:ascii="ˎ̥" w:hAnsi="ˎ̥"/>
      <w:color w:val="000000"/>
      <w:sz w:val="20"/>
      <w:szCs w:val="20"/>
      <w:u w:val="none"/>
    </w:rPr>
  </w:style>
  <w:style w:type="character" w:customStyle="1" w:styleId="106">
    <w:name w:val="标题 3 Char Char"/>
    <w:qFormat/>
    <w:uiPriority w:val="0"/>
    <w:rPr>
      <w:rFonts w:eastAsia="宋体"/>
      <w:b/>
      <w:bCs/>
      <w:kern w:val="2"/>
      <w:sz w:val="32"/>
      <w:szCs w:val="32"/>
      <w:lang w:val="en-US" w:eastAsia="zh-CN" w:bidi="ar-SA"/>
    </w:rPr>
  </w:style>
  <w:style w:type="character" w:customStyle="1" w:styleId="107">
    <w:name w:val="纯文本 Char1"/>
    <w:qFormat/>
    <w:uiPriority w:val="0"/>
    <w:rPr>
      <w:rFonts w:ascii="宋体" w:hAnsi="Courier New" w:eastAsia="宋体"/>
      <w:kern w:val="2"/>
      <w:sz w:val="21"/>
      <w:lang w:val="en-US" w:eastAsia="zh-CN" w:bidi="ar-SA"/>
    </w:rPr>
  </w:style>
  <w:style w:type="character" w:customStyle="1" w:styleId="108">
    <w:name w:val="纯文本 字符"/>
    <w:qFormat/>
    <w:uiPriority w:val="99"/>
    <w:rPr>
      <w:rFonts w:ascii="宋体" w:hAnsi="Courier New" w:eastAsia="宋体" w:cs="Times New Roman"/>
      <w:kern w:val="2"/>
      <w:sz w:val="21"/>
      <w:szCs w:val="21"/>
      <w:lang w:val="en-US" w:eastAsia="zh-CN" w:bidi="ar-SA"/>
    </w:rPr>
  </w:style>
  <w:style w:type="character" w:customStyle="1" w:styleId="109">
    <w:name w:val="正文缩进 Char"/>
    <w:qFormat/>
    <w:uiPriority w:val="0"/>
    <w:rPr>
      <w:rFonts w:ascii="宋体" w:eastAsia="宋体"/>
      <w:kern w:val="2"/>
      <w:sz w:val="24"/>
      <w:szCs w:val="24"/>
      <w:lang w:val="en-US" w:eastAsia="zh-CN" w:bidi="ar-SA"/>
    </w:rPr>
  </w:style>
  <w:style w:type="character" w:customStyle="1" w:styleId="110">
    <w:name w:val="标题 2 Char Char"/>
    <w:qFormat/>
    <w:uiPriority w:val="0"/>
    <w:rPr>
      <w:rFonts w:ascii="Arial" w:hAnsi="Arial" w:eastAsia="黑体"/>
      <w:b/>
      <w:bCs/>
      <w:kern w:val="2"/>
      <w:sz w:val="32"/>
      <w:szCs w:val="32"/>
      <w:lang w:val="en-US" w:eastAsia="zh-CN" w:bidi="ar-SA"/>
    </w:rPr>
  </w:style>
  <w:style w:type="character" w:customStyle="1" w:styleId="111">
    <w:name w:val="段1 Char"/>
    <w:qFormat/>
    <w:uiPriority w:val="0"/>
    <w:rPr>
      <w:rFonts w:ascii="宋体" w:eastAsia="宋体"/>
      <w:sz w:val="24"/>
      <w:lang w:val="en-US" w:eastAsia="zh-CN" w:bidi="ar-SA"/>
    </w:rPr>
  </w:style>
  <w:style w:type="character" w:customStyle="1" w:styleId="112">
    <w:name w:val="中等深浅网格 1 - 强调文字颜色 2 Char"/>
    <w:link w:val="113"/>
    <w:qFormat/>
    <w:uiPriority w:val="0"/>
    <w:rPr>
      <w:kern w:val="2"/>
      <w:sz w:val="21"/>
      <w:szCs w:val="24"/>
      <w:lang w:val="zh-CN" w:eastAsia="zh-CN"/>
    </w:rPr>
  </w:style>
  <w:style w:type="paragraph" w:customStyle="1" w:styleId="113">
    <w:name w:val="1"/>
    <w:link w:val="112"/>
    <w:qFormat/>
    <w:uiPriority w:val="0"/>
    <w:rPr>
      <w:rFonts w:ascii="Times New Roman" w:hAnsi="Times New Roman" w:eastAsia="宋体" w:cs="Times New Roman"/>
      <w:kern w:val="2"/>
      <w:sz w:val="21"/>
      <w:szCs w:val="24"/>
      <w:lang w:val="zh-CN" w:eastAsia="zh-CN" w:bidi="ar-SA"/>
    </w:rPr>
  </w:style>
  <w:style w:type="character" w:customStyle="1" w:styleId="114">
    <w:name w:val="locality"/>
    <w:basedOn w:val="49"/>
    <w:qFormat/>
    <w:uiPriority w:val="0"/>
  </w:style>
  <w:style w:type="character" w:customStyle="1" w:styleId="115">
    <w:name w:val="bjh-p"/>
    <w:qFormat/>
    <w:uiPriority w:val="0"/>
  </w:style>
  <w:style w:type="character" w:customStyle="1" w:styleId="116">
    <w:name w:val="标题 3 Char"/>
    <w:qFormat/>
    <w:uiPriority w:val="0"/>
    <w:rPr>
      <w:rFonts w:ascii="宋体" w:eastAsia="宋体"/>
      <w:b/>
      <w:sz w:val="24"/>
      <w:u w:val="single"/>
      <w:lang w:val="en-US" w:eastAsia="zh-CN" w:bidi="ar-SA"/>
    </w:rPr>
  </w:style>
  <w:style w:type="character" w:customStyle="1" w:styleId="117">
    <w:name w:val="标题 字符"/>
    <w:qFormat/>
    <w:uiPriority w:val="0"/>
    <w:rPr>
      <w:b/>
      <w:kern w:val="2"/>
      <w:sz w:val="32"/>
    </w:rPr>
  </w:style>
  <w:style w:type="character" w:customStyle="1" w:styleId="118">
    <w:name w:val="street-address"/>
    <w:basedOn w:val="49"/>
    <w:qFormat/>
    <w:uiPriority w:val="0"/>
  </w:style>
  <w:style w:type="character" w:customStyle="1" w:styleId="119">
    <w:name w:val="正文重点 Char"/>
    <w:link w:val="120"/>
    <w:qFormat/>
    <w:uiPriority w:val="0"/>
    <w:rPr>
      <w:b/>
      <w:sz w:val="24"/>
    </w:rPr>
  </w:style>
  <w:style w:type="paragraph" w:customStyle="1" w:styleId="120">
    <w:name w:val="正文重点"/>
    <w:basedOn w:val="1"/>
    <w:link w:val="119"/>
    <w:qFormat/>
    <w:uiPriority w:val="0"/>
    <w:pPr>
      <w:adjustRightInd w:val="0"/>
      <w:spacing w:line="360" w:lineRule="auto"/>
      <w:ind w:firstLine="482" w:firstLineChars="200"/>
      <w:jc w:val="left"/>
      <w:textAlignment w:val="baseline"/>
    </w:pPr>
    <w:rPr>
      <w:b/>
      <w:kern w:val="0"/>
      <w:sz w:val="24"/>
      <w:szCs w:val="20"/>
    </w:rPr>
  </w:style>
  <w:style w:type="character" w:customStyle="1" w:styleId="121">
    <w:name w:val="正文文本缩进 Char1"/>
    <w:link w:val="122"/>
    <w:qFormat/>
    <w:uiPriority w:val="0"/>
    <w:rPr>
      <w:rFonts w:ascii="宋体" w:hAnsi="宋体" w:eastAsia="宋体"/>
      <w:sz w:val="24"/>
      <w:szCs w:val="24"/>
      <w:lang w:bidi="ar-SA"/>
    </w:rPr>
  </w:style>
  <w:style w:type="paragraph" w:customStyle="1" w:styleId="122">
    <w:name w:val="正文文本缩进1"/>
    <w:basedOn w:val="1"/>
    <w:link w:val="121"/>
    <w:qFormat/>
    <w:uiPriority w:val="0"/>
    <w:pPr>
      <w:spacing w:line="480" w:lineRule="exact"/>
      <w:ind w:firstLine="480" w:firstLineChars="200"/>
    </w:pPr>
    <w:rPr>
      <w:rFonts w:ascii="宋体" w:hAnsi="宋体"/>
      <w:kern w:val="0"/>
      <w:sz w:val="24"/>
    </w:rPr>
  </w:style>
  <w:style w:type="character" w:customStyle="1" w:styleId="123">
    <w:name w:val="普通文字1 Char1"/>
    <w:qFormat/>
    <w:uiPriority w:val="0"/>
    <w:rPr>
      <w:rFonts w:ascii="宋体" w:hAnsi="Courier New" w:eastAsia="宋体"/>
      <w:kern w:val="2"/>
      <w:sz w:val="21"/>
      <w:lang w:val="en-US" w:eastAsia="zh-CN" w:bidi="ar-SA"/>
    </w:rPr>
  </w:style>
  <w:style w:type="character" w:customStyle="1" w:styleId="124">
    <w:name w:val="正文缩进 Char Char"/>
    <w:link w:val="125"/>
    <w:qFormat/>
    <w:uiPriority w:val="0"/>
    <w:rPr>
      <w:rFonts w:ascii="宋体" w:eastAsia="宋体"/>
      <w:snapToGrid w:val="0"/>
      <w:color w:val="000000"/>
      <w:kern w:val="28"/>
      <w:sz w:val="28"/>
      <w:lang w:bidi="ar-SA"/>
    </w:rPr>
  </w:style>
  <w:style w:type="paragraph" w:customStyle="1" w:styleId="125">
    <w:name w:val="正文缩进1"/>
    <w:basedOn w:val="1"/>
    <w:link w:val="124"/>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26">
    <w:name w:val="列表段落 字符"/>
    <w:link w:val="127"/>
    <w:qFormat/>
    <w:uiPriority w:val="34"/>
    <w:rPr>
      <w:rFonts w:ascii="Calibri" w:hAnsi="Calibri" w:eastAsia="宋体"/>
      <w:kern w:val="2"/>
      <w:sz w:val="21"/>
      <w:szCs w:val="22"/>
      <w:lang w:val="en-US" w:eastAsia="zh-CN" w:bidi="ar-SA"/>
    </w:rPr>
  </w:style>
  <w:style w:type="paragraph" w:styleId="127">
    <w:name w:val="List Paragraph"/>
    <w:basedOn w:val="1"/>
    <w:link w:val="126"/>
    <w:qFormat/>
    <w:uiPriority w:val="34"/>
    <w:pPr>
      <w:ind w:firstLine="420" w:firstLineChars="200"/>
    </w:pPr>
    <w:rPr>
      <w:rFonts w:ascii="Calibri" w:hAnsi="Calibri"/>
      <w:szCs w:val="22"/>
    </w:rPr>
  </w:style>
  <w:style w:type="character" w:customStyle="1" w:styleId="128">
    <w:name w:val="标题 2 Char"/>
    <w:qFormat/>
    <w:uiPriority w:val="0"/>
    <w:rPr>
      <w:rFonts w:ascii="Arial" w:hAnsi="Arial" w:eastAsia="黑体"/>
      <w:b/>
      <w:sz w:val="30"/>
      <w:lang w:val="en-US" w:eastAsia="zh-CN" w:bidi="ar-SA"/>
    </w:rPr>
  </w:style>
  <w:style w:type="character" w:customStyle="1" w:styleId="129">
    <w:name w:val="black1"/>
    <w:qFormat/>
    <w:uiPriority w:val="0"/>
    <w:rPr>
      <w:color w:val="000000"/>
    </w:rPr>
  </w:style>
  <w:style w:type="character" w:customStyle="1" w:styleId="130">
    <w:name w:val="正文格式 Char"/>
    <w:link w:val="131"/>
    <w:qFormat/>
    <w:locked/>
    <w:uiPriority w:val="0"/>
    <w:rPr>
      <w:rFonts w:ascii="宋体" w:hAnsi="宋体"/>
      <w:sz w:val="24"/>
      <w:szCs w:val="24"/>
      <w:lang w:val="en-GB"/>
    </w:rPr>
  </w:style>
  <w:style w:type="paragraph" w:customStyle="1" w:styleId="131">
    <w:name w:val="正文格式"/>
    <w:basedOn w:val="1"/>
    <w:link w:val="130"/>
    <w:qFormat/>
    <w:uiPriority w:val="0"/>
    <w:pPr>
      <w:spacing w:beforeLines="50" w:line="360" w:lineRule="auto"/>
      <w:ind w:firstLine="480" w:firstLineChars="200"/>
    </w:pPr>
    <w:rPr>
      <w:rFonts w:ascii="宋体" w:hAnsi="宋体"/>
      <w:kern w:val="0"/>
      <w:sz w:val="24"/>
      <w:lang w:val="en-GB"/>
    </w:rPr>
  </w:style>
  <w:style w:type="character" w:customStyle="1" w:styleId="132">
    <w:name w:val="Char Char111"/>
    <w:qFormat/>
    <w:uiPriority w:val="0"/>
    <w:rPr>
      <w:rFonts w:ascii="宋体" w:eastAsia="宋体"/>
      <w:b/>
      <w:sz w:val="24"/>
      <w:u w:val="single"/>
      <w:lang w:val="en-US" w:eastAsia="zh-CN" w:bidi="ar-SA"/>
    </w:rPr>
  </w:style>
  <w:style w:type="character" w:customStyle="1" w:styleId="133">
    <w:name w:val="txt"/>
    <w:basedOn w:val="49"/>
    <w:qFormat/>
    <w:uiPriority w:val="0"/>
  </w:style>
  <w:style w:type="character" w:customStyle="1" w:styleId="134">
    <w:name w:val="chanpin拷贝"/>
    <w:basedOn w:val="49"/>
    <w:qFormat/>
    <w:uiPriority w:val="0"/>
  </w:style>
  <w:style w:type="character" w:customStyle="1" w:styleId="135">
    <w:name w:val="15"/>
    <w:qFormat/>
    <w:uiPriority w:val="0"/>
    <w:rPr>
      <w:rFonts w:hint="default" w:ascii="Times New Roman" w:hAnsi="Times New Roman" w:cs="Times New Roman"/>
      <w:color w:val="464445"/>
      <w:u w:val="none"/>
    </w:rPr>
  </w:style>
  <w:style w:type="character" w:customStyle="1" w:styleId="136">
    <w:name w:val="注释 Char"/>
    <w:link w:val="137"/>
    <w:qFormat/>
    <w:uiPriority w:val="0"/>
    <w:rPr>
      <w:rFonts w:ascii="宋体" w:hAnsi="宋体"/>
      <w:kern w:val="2"/>
      <w:sz w:val="21"/>
      <w:szCs w:val="21"/>
    </w:rPr>
  </w:style>
  <w:style w:type="paragraph" w:customStyle="1" w:styleId="137">
    <w:name w:val="注释"/>
    <w:basedOn w:val="1"/>
    <w:link w:val="136"/>
    <w:qFormat/>
    <w:uiPriority w:val="0"/>
    <w:pPr>
      <w:adjustRightInd w:val="0"/>
      <w:snapToGrid w:val="0"/>
      <w:ind w:left="420" w:hanging="420" w:hangingChars="200"/>
      <w:jc w:val="left"/>
    </w:pPr>
    <w:rPr>
      <w:rFonts w:ascii="宋体" w:hAnsi="宋体"/>
      <w:szCs w:val="21"/>
    </w:rPr>
  </w:style>
  <w:style w:type="paragraph" w:customStyle="1" w:styleId="13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9">
    <w:name w:val="Char2"/>
    <w:basedOn w:val="1"/>
    <w:qFormat/>
    <w:uiPriority w:val="0"/>
    <w:rPr>
      <w:rFonts w:ascii="Tahoma" w:hAnsi="Tahoma"/>
      <w:sz w:val="24"/>
      <w:szCs w:val="20"/>
    </w:rPr>
  </w:style>
  <w:style w:type="paragraph" w:customStyle="1" w:styleId="14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41">
    <w:name w:val="Char3"/>
    <w:basedOn w:val="1"/>
    <w:qFormat/>
    <w:uiPriority w:val="0"/>
    <w:pPr>
      <w:tabs>
        <w:tab w:val="left" w:pos="360"/>
      </w:tabs>
    </w:pPr>
    <w:rPr>
      <w:sz w:val="24"/>
    </w:rPr>
  </w:style>
  <w:style w:type="paragraph" w:customStyle="1" w:styleId="14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43">
    <w:name w:val="正文文本样式 加粗"/>
    <w:basedOn w:val="144"/>
    <w:qFormat/>
    <w:uiPriority w:val="0"/>
    <w:rPr>
      <w:b/>
    </w:rPr>
  </w:style>
  <w:style w:type="paragraph" w:customStyle="1" w:styleId="144">
    <w:name w:val="正文文本样式"/>
    <w:basedOn w:val="1"/>
    <w:qFormat/>
    <w:uiPriority w:val="0"/>
    <w:pPr>
      <w:spacing w:line="360" w:lineRule="auto"/>
      <w:ind w:firstLine="482"/>
    </w:pPr>
    <w:rPr>
      <w:rFonts w:cs="宋体"/>
      <w:sz w:val="24"/>
      <w:szCs w:val="20"/>
    </w:rPr>
  </w:style>
  <w:style w:type="paragraph" w:customStyle="1" w:styleId="145">
    <w:name w:val="正文须知-3级"/>
    <w:basedOn w:val="1"/>
    <w:qFormat/>
    <w:uiPriority w:val="0"/>
    <w:pPr>
      <w:numPr>
        <w:ilvl w:val="2"/>
        <w:numId w:val="1"/>
      </w:numPr>
      <w:adjustRightInd w:val="0"/>
      <w:snapToGrid w:val="0"/>
      <w:spacing w:line="300" w:lineRule="auto"/>
      <w:ind w:hanging="355" w:hangingChars="355"/>
    </w:pPr>
    <w:rPr>
      <w:rFonts w:ascii="宋体" w:hAnsi="Calibri"/>
      <w:sz w:val="24"/>
      <w:szCs w:val="21"/>
    </w:rPr>
  </w:style>
  <w:style w:type="paragraph" w:customStyle="1" w:styleId="146">
    <w:name w:val="正文须知-2级"/>
    <w:basedOn w:val="1"/>
    <w:qFormat/>
    <w:uiPriority w:val="0"/>
    <w:pPr>
      <w:numPr>
        <w:ilvl w:val="1"/>
        <w:numId w:val="1"/>
      </w:numPr>
      <w:adjustRightInd w:val="0"/>
      <w:snapToGrid w:val="0"/>
      <w:spacing w:line="300" w:lineRule="auto"/>
    </w:pPr>
    <w:rPr>
      <w:rFonts w:ascii="宋体" w:hAnsi="Calibri"/>
      <w:sz w:val="24"/>
      <w:szCs w:val="21"/>
    </w:rPr>
  </w:style>
  <w:style w:type="paragraph" w:customStyle="1" w:styleId="14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8">
    <w:name w:val="二级条标题"/>
    <w:basedOn w:val="149"/>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49">
    <w:name w:val="一级条标题"/>
    <w:basedOn w:val="150"/>
    <w:next w:val="1"/>
    <w:qFormat/>
    <w:uiPriority w:val="0"/>
    <w:pPr>
      <w:numPr>
        <w:ilvl w:val="1"/>
      </w:numPr>
      <w:tabs>
        <w:tab w:val="left" w:pos="360"/>
        <w:tab w:val="left" w:pos="840"/>
      </w:tabs>
      <w:ind w:left="0" w:hanging="840"/>
      <w:outlineLvl w:val="1"/>
    </w:pPr>
  </w:style>
  <w:style w:type="paragraph" w:customStyle="1" w:styleId="150">
    <w:name w:val="章标题"/>
    <w:next w:val="1"/>
    <w:qFormat/>
    <w:uiPriority w:val="0"/>
    <w:pPr>
      <w:numPr>
        <w:ilvl w:val="0"/>
        <w:numId w:val="2"/>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5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53">
    <w:name w:val="Char Char Char1 Char1"/>
    <w:basedOn w:val="1"/>
    <w:qFormat/>
    <w:uiPriority w:val="0"/>
    <w:rPr>
      <w:rFonts w:ascii="Tahoma" w:hAnsi="Tahoma"/>
      <w:sz w:val="24"/>
      <w:szCs w:val="20"/>
    </w:rPr>
  </w:style>
  <w:style w:type="paragraph" w:customStyle="1" w:styleId="154">
    <w:name w:val="正文 + 楷体_GB2312"/>
    <w:basedOn w:val="1"/>
    <w:qFormat/>
    <w:uiPriority w:val="0"/>
    <w:pPr>
      <w:widowControl/>
      <w:jc w:val="left"/>
    </w:pPr>
    <w:rPr>
      <w:rFonts w:ascii="楷体_GB2312" w:eastAsia="楷体_GB2312" w:cs="Arial"/>
      <w:kern w:val="0"/>
      <w:sz w:val="24"/>
    </w:rPr>
  </w:style>
  <w:style w:type="paragraph" w:customStyle="1" w:styleId="155">
    <w:name w:val="Char21"/>
    <w:basedOn w:val="1"/>
    <w:qFormat/>
    <w:uiPriority w:val="0"/>
    <w:rPr>
      <w:rFonts w:ascii="Tahoma" w:hAnsi="Tahoma"/>
      <w:sz w:val="24"/>
      <w:szCs w:val="20"/>
    </w:rPr>
  </w:style>
  <w:style w:type="paragraph" w:customStyle="1" w:styleId="156">
    <w:name w:val="项目符号1"/>
    <w:basedOn w:val="144"/>
    <w:qFormat/>
    <w:uiPriority w:val="0"/>
    <w:pPr>
      <w:ind w:left="-25" w:firstLine="0"/>
    </w:pPr>
  </w:style>
  <w:style w:type="paragraph" w:customStyle="1" w:styleId="157">
    <w:name w:val="Char22"/>
    <w:basedOn w:val="1"/>
    <w:qFormat/>
    <w:uiPriority w:val="0"/>
    <w:rPr>
      <w:rFonts w:ascii="Tahoma" w:hAnsi="Tahoma"/>
      <w:sz w:val="24"/>
      <w:szCs w:val="20"/>
    </w:rPr>
  </w:style>
  <w:style w:type="paragraph" w:customStyle="1" w:styleId="15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59">
    <w:name w:val="标题1-附件"/>
    <w:basedOn w:val="3"/>
    <w:qFormat/>
    <w:uiPriority w:val="0"/>
    <w:pPr>
      <w:jc w:val="left"/>
    </w:pPr>
    <w:rPr>
      <w:sz w:val="24"/>
      <w:szCs w:val="24"/>
    </w:rPr>
  </w:style>
  <w:style w:type="paragraph" w:customStyle="1" w:styleId="16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6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6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64">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65">
    <w:name w:val="Char Char Char1 Char"/>
    <w:basedOn w:val="1"/>
    <w:qFormat/>
    <w:uiPriority w:val="0"/>
    <w:rPr>
      <w:rFonts w:ascii="Tahoma" w:hAnsi="Tahoma"/>
      <w:sz w:val="24"/>
      <w:szCs w:val="20"/>
    </w:rPr>
  </w:style>
  <w:style w:type="paragraph" w:customStyle="1" w:styleId="166">
    <w:name w:val="样式 标题 2 + 宋体 五号 行距: 单倍行距"/>
    <w:basedOn w:val="4"/>
    <w:qFormat/>
    <w:uiPriority w:val="0"/>
    <w:pPr>
      <w:numPr>
        <w:ilvl w:val="1"/>
        <w:numId w:val="3"/>
      </w:numPr>
      <w:autoSpaceDE/>
      <w:autoSpaceDN/>
      <w:spacing w:before="260" w:after="260" w:line="240" w:lineRule="auto"/>
      <w:jc w:val="left"/>
      <w:textAlignment w:val="baseline"/>
    </w:pPr>
    <w:rPr>
      <w:rFonts w:ascii="宋体" w:hAnsi="宋体" w:eastAsia="宋体"/>
      <w:bCs/>
      <w:sz w:val="21"/>
    </w:rPr>
  </w:style>
  <w:style w:type="paragraph" w:customStyle="1" w:styleId="167">
    <w:name w:val="_Style 160"/>
    <w:qFormat/>
    <w:uiPriority w:val="0"/>
    <w:rPr>
      <w:rFonts w:ascii="Times New Roman" w:hAnsi="Times New Roman" w:eastAsia="宋体" w:cs="Times New Roman"/>
      <w:kern w:val="2"/>
      <w:sz w:val="21"/>
      <w:szCs w:val="24"/>
      <w:lang w:val="en-US" w:eastAsia="zh-CN" w:bidi="ar-SA"/>
    </w:rPr>
  </w:style>
  <w:style w:type="paragraph" w:customStyle="1" w:styleId="16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70">
    <w:name w:val="1 Char Char Char Char"/>
    <w:basedOn w:val="1"/>
    <w:qFormat/>
    <w:uiPriority w:val="0"/>
    <w:rPr>
      <w:rFonts w:ascii="Tahoma" w:hAnsi="Tahoma"/>
      <w:sz w:val="24"/>
      <w:szCs w:val="20"/>
    </w:rPr>
  </w:style>
  <w:style w:type="paragraph" w:customStyle="1" w:styleId="171">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7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73">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174">
    <w:name w:val="正文列项_数字"/>
    <w:basedOn w:val="1"/>
    <w:qFormat/>
    <w:uiPriority w:val="0"/>
    <w:pPr>
      <w:numPr>
        <w:ilvl w:val="7"/>
        <w:numId w:val="2"/>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7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6">
    <w:name w:val="样式2"/>
    <w:basedOn w:val="42"/>
    <w:qFormat/>
    <w:uiPriority w:val="0"/>
    <w:pPr>
      <w:spacing w:line="360" w:lineRule="auto"/>
      <w:jc w:val="center"/>
    </w:pPr>
    <w:rPr>
      <w:sz w:val="24"/>
    </w:rPr>
  </w:style>
  <w:style w:type="paragraph" w:customStyle="1" w:styleId="177">
    <w:name w:val="项目编号1"/>
    <w:basedOn w:val="1"/>
    <w:qFormat/>
    <w:uiPriority w:val="0"/>
    <w:pPr>
      <w:numPr>
        <w:ilvl w:val="0"/>
        <w:numId w:val="4"/>
      </w:numPr>
      <w:spacing w:before="100" w:beforeAutospacing="1" w:after="100" w:afterAutospacing="1" w:line="360" w:lineRule="auto"/>
    </w:pPr>
    <w:rPr>
      <w:sz w:val="24"/>
    </w:rPr>
  </w:style>
  <w:style w:type="paragraph" w:customStyle="1" w:styleId="178">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79">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81">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82">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3">
    <w:name w:val="图中文字"/>
    <w:basedOn w:val="1"/>
    <w:qFormat/>
    <w:uiPriority w:val="0"/>
    <w:pPr>
      <w:adjustRightInd w:val="0"/>
      <w:snapToGrid w:val="0"/>
      <w:spacing w:line="0" w:lineRule="atLeast"/>
      <w:jc w:val="center"/>
    </w:pPr>
    <w:rPr>
      <w:sz w:val="24"/>
      <w:szCs w:val="20"/>
    </w:rPr>
  </w:style>
  <w:style w:type="paragraph" w:customStyle="1" w:styleId="18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5">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186">
    <w:name w:val="List Paragraph1"/>
    <w:basedOn w:val="1"/>
    <w:qFormat/>
    <w:uiPriority w:val="0"/>
    <w:pPr>
      <w:ind w:firstLine="420" w:firstLineChars="200"/>
    </w:pPr>
    <w:rPr>
      <w:rFonts w:ascii="Calibri" w:hAnsi="Calibri"/>
      <w:szCs w:val="22"/>
    </w:rPr>
  </w:style>
  <w:style w:type="paragraph" w:customStyle="1" w:styleId="187">
    <w:name w:val="字元 字元1"/>
    <w:basedOn w:val="1"/>
    <w:qFormat/>
    <w:uiPriority w:val="0"/>
    <w:rPr>
      <w:rFonts w:ascii="Tahoma" w:hAnsi="Tahoma"/>
      <w:sz w:val="24"/>
      <w:szCs w:val="20"/>
    </w:rPr>
  </w:style>
  <w:style w:type="paragraph" w:customStyle="1" w:styleId="188">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9">
    <w:name w:val="默认段落字体 Para Char Char Char Char"/>
    <w:basedOn w:val="1"/>
    <w:qFormat/>
    <w:uiPriority w:val="0"/>
    <w:rPr>
      <w:rFonts w:ascii="Arial" w:hAnsi="Arial" w:cs="Arial"/>
      <w:szCs w:val="21"/>
    </w:rPr>
  </w:style>
  <w:style w:type="paragraph" w:customStyle="1" w:styleId="190">
    <w:name w:val="Char2 Char Char Char Char Char Char1"/>
    <w:basedOn w:val="1"/>
    <w:qFormat/>
    <w:uiPriority w:val="0"/>
    <w:pPr>
      <w:widowControl/>
      <w:spacing w:line="400" w:lineRule="exact"/>
      <w:jc w:val="center"/>
    </w:pPr>
  </w:style>
  <w:style w:type="paragraph" w:customStyle="1" w:styleId="191">
    <w:name w:val="Char Char1"/>
    <w:basedOn w:val="2"/>
    <w:qFormat/>
    <w:uiPriority w:val="0"/>
    <w:rPr>
      <w:rFonts w:ascii="Tahoma" w:hAnsi="Tahoma"/>
      <w:sz w:val="24"/>
    </w:rPr>
  </w:style>
  <w:style w:type="paragraph" w:customStyle="1" w:styleId="192">
    <w:name w:val="文档正文"/>
    <w:basedOn w:val="1"/>
    <w:qFormat/>
    <w:uiPriority w:val="0"/>
    <w:pPr>
      <w:snapToGrid w:val="0"/>
      <w:spacing w:before="120" w:after="120" w:line="180" w:lineRule="auto"/>
    </w:pPr>
    <w:rPr>
      <w:rFonts w:ascii="Arial" w:hAnsi="Arial"/>
      <w:szCs w:val="20"/>
    </w:rPr>
  </w:style>
  <w:style w:type="paragraph" w:customStyle="1" w:styleId="19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9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95">
    <w:name w:val="Char Char Char2"/>
    <w:basedOn w:val="1"/>
    <w:qFormat/>
    <w:uiPriority w:val="0"/>
    <w:rPr>
      <w:rFonts w:ascii="Tahoma" w:hAnsi="Tahoma"/>
      <w:sz w:val="24"/>
      <w:szCs w:val="20"/>
    </w:rPr>
  </w:style>
  <w:style w:type="paragraph" w:customStyle="1" w:styleId="19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9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98">
    <w:name w:val="Char1"/>
    <w:basedOn w:val="1"/>
    <w:qFormat/>
    <w:uiPriority w:val="0"/>
    <w:pPr>
      <w:tabs>
        <w:tab w:val="left" w:pos="360"/>
      </w:tabs>
    </w:pPr>
    <w:rPr>
      <w:sz w:val="24"/>
    </w:rPr>
  </w:style>
  <w:style w:type="paragraph" w:customStyle="1" w:styleId="199">
    <w:name w:val="字元 字元2"/>
    <w:basedOn w:val="1"/>
    <w:qFormat/>
    <w:uiPriority w:val="0"/>
    <w:rPr>
      <w:rFonts w:ascii="Tahoma" w:hAnsi="Tahoma"/>
      <w:sz w:val="24"/>
      <w:szCs w:val="20"/>
    </w:rPr>
  </w:style>
  <w:style w:type="paragraph" w:customStyle="1" w:styleId="200">
    <w:name w:val="Char"/>
    <w:basedOn w:val="1"/>
    <w:qFormat/>
    <w:uiPriority w:val="0"/>
    <w:pPr>
      <w:tabs>
        <w:tab w:val="left" w:pos="360"/>
      </w:tabs>
    </w:pPr>
    <w:rPr>
      <w:sz w:val="24"/>
    </w:rPr>
  </w:style>
  <w:style w:type="paragraph" w:customStyle="1" w:styleId="201">
    <w:name w:val="字元 字元"/>
    <w:basedOn w:val="1"/>
    <w:qFormat/>
    <w:uiPriority w:val="0"/>
    <w:rPr>
      <w:rFonts w:ascii="Tahoma" w:hAnsi="Tahoma"/>
      <w:sz w:val="24"/>
      <w:szCs w:val="20"/>
    </w:rPr>
  </w:style>
  <w:style w:type="paragraph" w:customStyle="1" w:styleId="202">
    <w:name w:val="三级条标题"/>
    <w:basedOn w:val="148"/>
    <w:next w:val="1"/>
    <w:qFormat/>
    <w:uiPriority w:val="0"/>
    <w:pPr>
      <w:numPr>
        <w:ilvl w:val="3"/>
        <w:numId w:val="2"/>
      </w:numPr>
      <w:ind w:left="0" w:hanging="840"/>
      <w:outlineLvl w:val="3"/>
    </w:pPr>
  </w:style>
  <w:style w:type="paragraph" w:customStyle="1" w:styleId="203">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5">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06">
    <w:name w:val="Char Char Char Char Char Char Char Char Char Char1"/>
    <w:basedOn w:val="1"/>
    <w:qFormat/>
    <w:uiPriority w:val="0"/>
    <w:rPr>
      <w:rFonts w:ascii="宋体" w:hAnsi="宋体" w:cs="Courier New"/>
      <w:sz w:val="32"/>
      <w:szCs w:val="32"/>
    </w:rPr>
  </w:style>
  <w:style w:type="paragraph" w:customStyle="1" w:styleId="207">
    <w:name w:val="Char Char Char Char Char Char Char Char Char Char"/>
    <w:basedOn w:val="1"/>
    <w:qFormat/>
    <w:uiPriority w:val="0"/>
  </w:style>
  <w:style w:type="paragraph" w:customStyle="1" w:styleId="208">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09">
    <w:name w:val="Char Char Char1"/>
    <w:basedOn w:val="1"/>
    <w:qFormat/>
    <w:uiPriority w:val="0"/>
    <w:rPr>
      <w:rFonts w:ascii="Tahoma" w:hAnsi="Tahoma"/>
      <w:sz w:val="24"/>
      <w:szCs w:val="20"/>
    </w:rPr>
  </w:style>
  <w:style w:type="paragraph" w:customStyle="1" w:styleId="210">
    <w:name w:val="Char3 Char Char Char2"/>
    <w:basedOn w:val="1"/>
    <w:qFormat/>
    <w:uiPriority w:val="0"/>
    <w:rPr>
      <w:rFonts w:ascii="Tahoma" w:hAnsi="Tahoma"/>
      <w:sz w:val="24"/>
      <w:szCs w:val="20"/>
    </w:rPr>
  </w:style>
  <w:style w:type="paragraph" w:customStyle="1" w:styleId="211">
    <w:name w:val="1名"/>
    <w:basedOn w:val="1"/>
    <w:qFormat/>
    <w:uiPriority w:val="0"/>
    <w:pPr>
      <w:numPr>
        <w:ilvl w:val="0"/>
        <w:numId w:val="5"/>
      </w:numPr>
      <w:spacing w:before="120"/>
    </w:pPr>
    <w:rPr>
      <w:rFonts w:ascii="宋体"/>
      <w:sz w:val="28"/>
      <w:szCs w:val="20"/>
    </w:rPr>
  </w:style>
  <w:style w:type="paragraph" w:customStyle="1" w:styleId="212">
    <w:name w:val="Char Char Char Char Char Char Char Char Char Char2"/>
    <w:basedOn w:val="1"/>
    <w:qFormat/>
    <w:uiPriority w:val="0"/>
    <w:rPr>
      <w:rFonts w:ascii="宋体" w:hAnsi="宋体" w:cs="Courier New"/>
      <w:sz w:val="32"/>
      <w:szCs w:val="32"/>
    </w:rPr>
  </w:style>
  <w:style w:type="paragraph" w:customStyle="1" w:styleId="213">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1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5">
    <w:name w:val="缺省文本"/>
    <w:basedOn w:val="1"/>
    <w:qFormat/>
    <w:uiPriority w:val="0"/>
    <w:pPr>
      <w:autoSpaceDE w:val="0"/>
      <w:autoSpaceDN w:val="0"/>
      <w:adjustRightInd w:val="0"/>
      <w:jc w:val="left"/>
    </w:pPr>
    <w:rPr>
      <w:kern w:val="0"/>
      <w:sz w:val="24"/>
    </w:rPr>
  </w:style>
  <w:style w:type="paragraph" w:customStyle="1" w:styleId="216">
    <w:name w:val="正文须知-1级"/>
    <w:basedOn w:val="1"/>
    <w:next w:val="1"/>
    <w:qFormat/>
    <w:uiPriority w:val="0"/>
    <w:pPr>
      <w:numPr>
        <w:ilvl w:val="0"/>
        <w:numId w:val="1"/>
      </w:numPr>
      <w:adjustRightInd w:val="0"/>
      <w:snapToGrid w:val="0"/>
      <w:spacing w:line="300" w:lineRule="auto"/>
    </w:pPr>
    <w:rPr>
      <w:rFonts w:ascii="宋体" w:hAnsi="Calibri"/>
      <w:sz w:val="24"/>
      <w:szCs w:val="21"/>
    </w:rPr>
  </w:style>
  <w:style w:type="paragraph" w:customStyle="1" w:styleId="217">
    <w:name w:val="Char1 Char Char Char1"/>
    <w:basedOn w:val="1"/>
    <w:qFormat/>
    <w:uiPriority w:val="0"/>
    <w:rPr>
      <w:rFonts w:ascii="Tahoma" w:hAnsi="Tahoma" w:cs="仿宋_GB2312"/>
      <w:sz w:val="24"/>
      <w:szCs w:val="28"/>
    </w:rPr>
  </w:style>
  <w:style w:type="paragraph" w:customStyle="1" w:styleId="21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20">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21">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222">
    <w:name w:val="正文列项_字母"/>
    <w:basedOn w:val="1"/>
    <w:qFormat/>
    <w:uiPriority w:val="0"/>
    <w:pPr>
      <w:numPr>
        <w:ilvl w:val="6"/>
        <w:numId w:val="2"/>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23">
    <w:name w:val="Char3 Char Char Char"/>
    <w:basedOn w:val="1"/>
    <w:qFormat/>
    <w:uiPriority w:val="0"/>
    <w:rPr>
      <w:rFonts w:ascii="Tahoma" w:hAnsi="Tahoma"/>
      <w:sz w:val="24"/>
      <w:szCs w:val="20"/>
    </w:rPr>
  </w:style>
  <w:style w:type="paragraph" w:customStyle="1" w:styleId="2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5">
    <w:name w:val="项目编号2"/>
    <w:basedOn w:val="177"/>
    <w:qFormat/>
    <w:uiPriority w:val="0"/>
    <w:pPr>
      <w:numPr>
        <w:numId w:val="6"/>
      </w:numPr>
    </w:pPr>
  </w:style>
  <w:style w:type="paragraph" w:customStyle="1" w:styleId="226">
    <w:name w:val="五级条标题"/>
    <w:basedOn w:val="227"/>
    <w:next w:val="1"/>
    <w:qFormat/>
    <w:uiPriority w:val="0"/>
    <w:pPr>
      <w:numPr>
        <w:ilvl w:val="5"/>
      </w:numPr>
      <w:tabs>
        <w:tab w:val="left" w:pos="360"/>
        <w:tab w:val="left" w:pos="840"/>
      </w:tabs>
      <w:ind w:left="0" w:hanging="840"/>
      <w:outlineLvl w:val="5"/>
    </w:pPr>
  </w:style>
  <w:style w:type="paragraph" w:customStyle="1" w:styleId="227">
    <w:name w:val="四级条标题"/>
    <w:basedOn w:val="202"/>
    <w:next w:val="1"/>
    <w:qFormat/>
    <w:uiPriority w:val="0"/>
    <w:pPr>
      <w:numPr>
        <w:ilvl w:val="4"/>
      </w:numPr>
      <w:ind w:left="0" w:hanging="840"/>
      <w:outlineLvl w:val="4"/>
    </w:pPr>
  </w:style>
  <w:style w:type="paragraph" w:styleId="22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Char2 Char Char Char Char Char Char"/>
    <w:basedOn w:val="1"/>
    <w:qFormat/>
    <w:uiPriority w:val="0"/>
    <w:pPr>
      <w:widowControl/>
      <w:spacing w:line="400" w:lineRule="exact"/>
      <w:jc w:val="center"/>
    </w:pPr>
  </w:style>
  <w:style w:type="paragraph" w:customStyle="1" w:styleId="23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23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32">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3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34">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235">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3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3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38">
    <w:name w:val="列出段落1"/>
    <w:basedOn w:val="1"/>
    <w:qFormat/>
    <w:uiPriority w:val="0"/>
    <w:pPr>
      <w:ind w:firstLine="420" w:firstLineChars="200"/>
    </w:pPr>
    <w:rPr>
      <w:rFonts w:ascii="Calibri" w:hAnsi="Calibri"/>
      <w:szCs w:val="22"/>
    </w:rPr>
  </w:style>
  <w:style w:type="paragraph" w:customStyle="1" w:styleId="23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4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4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42">
    <w:name w:val="项目编号3"/>
    <w:basedOn w:val="144"/>
    <w:qFormat/>
    <w:uiPriority w:val="0"/>
    <w:pPr>
      <w:numPr>
        <w:ilvl w:val="0"/>
        <w:numId w:val="7"/>
      </w:numPr>
    </w:pPr>
  </w:style>
  <w:style w:type="paragraph" w:customStyle="1" w:styleId="243">
    <w:name w:val="Char Char Char1 Char2"/>
    <w:basedOn w:val="1"/>
    <w:qFormat/>
    <w:uiPriority w:val="0"/>
    <w:rPr>
      <w:rFonts w:ascii="Tahoma" w:hAnsi="Tahoma"/>
      <w:sz w:val="24"/>
      <w:szCs w:val="20"/>
    </w:rPr>
  </w:style>
  <w:style w:type="paragraph" w:customStyle="1" w:styleId="244">
    <w:name w:val="图文"/>
    <w:basedOn w:val="1"/>
    <w:qFormat/>
    <w:uiPriority w:val="0"/>
    <w:pPr>
      <w:adjustRightInd w:val="0"/>
      <w:snapToGrid w:val="0"/>
      <w:spacing w:after="50" w:line="360" w:lineRule="auto"/>
    </w:pPr>
    <w:rPr>
      <w:sz w:val="24"/>
    </w:rPr>
  </w:style>
  <w:style w:type="paragraph" w:customStyle="1" w:styleId="245">
    <w:name w:val="font8"/>
    <w:basedOn w:val="1"/>
    <w:qFormat/>
    <w:uiPriority w:val="0"/>
    <w:pPr>
      <w:widowControl/>
      <w:spacing w:before="100" w:beforeAutospacing="1" w:after="100" w:afterAutospacing="1"/>
      <w:jc w:val="left"/>
    </w:pPr>
    <w:rPr>
      <w:kern w:val="0"/>
      <w:sz w:val="36"/>
      <w:szCs w:val="36"/>
    </w:rPr>
  </w:style>
  <w:style w:type="paragraph" w:customStyle="1" w:styleId="246">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4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48">
    <w:name w:val="列出段落2"/>
    <w:basedOn w:val="1"/>
    <w:qFormat/>
    <w:uiPriority w:val="0"/>
    <w:pPr>
      <w:ind w:firstLine="420" w:firstLineChars="200"/>
    </w:pPr>
    <w:rPr>
      <w:rFonts w:ascii="Calibri" w:hAnsi="Calibri"/>
      <w:szCs w:val="22"/>
    </w:rPr>
  </w:style>
  <w:style w:type="paragraph" w:customStyle="1" w:styleId="249">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50">
    <w:name w:val="Char Char Char"/>
    <w:basedOn w:val="1"/>
    <w:qFormat/>
    <w:uiPriority w:val="0"/>
    <w:rPr>
      <w:rFonts w:ascii="Tahoma" w:hAnsi="Tahoma"/>
      <w:sz w:val="24"/>
      <w:szCs w:val="20"/>
    </w:rPr>
  </w:style>
  <w:style w:type="paragraph" w:customStyle="1" w:styleId="251">
    <w:name w:val="表格1"/>
    <w:basedOn w:val="1"/>
    <w:qFormat/>
    <w:uiPriority w:val="0"/>
    <w:pPr>
      <w:ind w:firstLine="480" w:firstLineChars="200"/>
      <w:jc w:val="center"/>
    </w:pPr>
    <w:rPr>
      <w:sz w:val="24"/>
      <w:szCs w:val="20"/>
    </w:rPr>
  </w:style>
  <w:style w:type="paragraph" w:customStyle="1" w:styleId="252">
    <w:name w:val="修订1"/>
    <w:qFormat/>
    <w:uiPriority w:val="0"/>
    <w:rPr>
      <w:rFonts w:ascii="Times New Roman" w:hAnsi="Times New Roman" w:eastAsia="宋体" w:cs="Times New Roman"/>
      <w:kern w:val="2"/>
      <w:sz w:val="21"/>
      <w:szCs w:val="24"/>
      <w:lang w:val="en-US" w:eastAsia="zh-CN" w:bidi="ar-SA"/>
    </w:rPr>
  </w:style>
  <w:style w:type="paragraph" w:customStyle="1" w:styleId="253">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4">
    <w:name w:val="Char Char4"/>
    <w:basedOn w:val="1"/>
    <w:qFormat/>
    <w:uiPriority w:val="0"/>
    <w:pPr>
      <w:widowControl/>
      <w:spacing w:line="400" w:lineRule="exact"/>
      <w:jc w:val="center"/>
    </w:pPr>
  </w:style>
  <w:style w:type="paragraph" w:customStyle="1" w:styleId="255">
    <w:name w:val="图例"/>
    <w:basedOn w:val="1"/>
    <w:qFormat/>
    <w:uiPriority w:val="0"/>
    <w:pPr>
      <w:spacing w:before="120" w:after="120" w:line="360" w:lineRule="auto"/>
      <w:jc w:val="center"/>
    </w:pPr>
    <w:rPr>
      <w:rFonts w:eastAsia="仿宋_GB2312"/>
      <w:b/>
      <w:sz w:val="24"/>
      <w:szCs w:val="20"/>
    </w:rPr>
  </w:style>
  <w:style w:type="paragraph" w:customStyle="1" w:styleId="256">
    <w:name w:val="Char Char41"/>
    <w:basedOn w:val="1"/>
    <w:qFormat/>
    <w:uiPriority w:val="0"/>
    <w:pPr>
      <w:widowControl/>
      <w:spacing w:line="400" w:lineRule="exact"/>
      <w:jc w:val="center"/>
    </w:pPr>
  </w:style>
  <w:style w:type="paragraph" w:customStyle="1" w:styleId="257">
    <w:name w:val="Char3 Char Char Char1"/>
    <w:basedOn w:val="1"/>
    <w:qFormat/>
    <w:uiPriority w:val="0"/>
    <w:rPr>
      <w:rFonts w:ascii="Tahoma" w:hAnsi="Tahoma"/>
      <w:sz w:val="24"/>
      <w:szCs w:val="20"/>
    </w:rPr>
  </w:style>
  <w:style w:type="paragraph" w:customStyle="1" w:styleId="258">
    <w:name w:val="p0"/>
    <w:basedOn w:val="1"/>
    <w:qFormat/>
    <w:uiPriority w:val="0"/>
    <w:pPr>
      <w:widowControl/>
    </w:pPr>
    <w:rPr>
      <w:kern w:val="0"/>
      <w:szCs w:val="21"/>
    </w:rPr>
  </w:style>
  <w:style w:type="table" w:customStyle="1" w:styleId="259">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60">
    <w:name w:val="列出段落3"/>
    <w:basedOn w:val="1"/>
    <w:qFormat/>
    <w:uiPriority w:val="99"/>
    <w:pPr>
      <w:ind w:firstLine="420" w:firstLineChars="200"/>
    </w:pPr>
    <w:rPr>
      <w:szCs w:val="21"/>
    </w:rPr>
  </w:style>
  <w:style w:type="character" w:customStyle="1" w:styleId="261">
    <w:name w:val="font11"/>
    <w:basedOn w:val="49"/>
    <w:qFormat/>
    <w:uiPriority w:val="0"/>
    <w:rPr>
      <w:rFonts w:hint="default" w:ascii="楷体_GB2312" w:eastAsia="楷体_GB2312" w:cs="楷体_GB2312"/>
      <w:b/>
      <w:bCs/>
      <w:color w:val="000000"/>
      <w:sz w:val="24"/>
      <w:szCs w:val="24"/>
      <w:u w:val="none"/>
    </w:rPr>
  </w:style>
  <w:style w:type="character" w:customStyle="1" w:styleId="262">
    <w:name w:val="font51"/>
    <w:basedOn w:val="49"/>
    <w:qFormat/>
    <w:uiPriority w:val="0"/>
    <w:rPr>
      <w:rFonts w:ascii="Microsoft YaHei UI" w:hAnsi="Microsoft YaHei UI" w:eastAsia="Microsoft YaHei UI" w:cs="Microsoft YaHei UI"/>
      <w:b/>
      <w:bCs/>
      <w:color w:val="000000"/>
      <w:sz w:val="24"/>
      <w:szCs w:val="24"/>
      <w:u w:val="none"/>
    </w:rPr>
  </w:style>
  <w:style w:type="paragraph" w:customStyle="1" w:styleId="263">
    <w:name w:val="！BECC正文1"/>
    <w:basedOn w:val="1"/>
    <w:qFormat/>
    <w:uiPriority w:val="0"/>
    <w:pPr>
      <w:spacing w:line="360" w:lineRule="auto"/>
      <w:ind w:firstLine="480" w:firstLineChars="200"/>
    </w:pPr>
    <w:rPr>
      <w:rFonts w:ascii="Times New Roman" w:hAnsi="Times New Roman"/>
      <w:kern w:val="2"/>
      <w:sz w:val="24"/>
      <w:szCs w:val="24"/>
    </w:rPr>
  </w:style>
  <w:style w:type="paragraph" w:customStyle="1" w:styleId="264">
    <w:name w:val="Other|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265">
    <w:name w:val="Heading #1|1"/>
    <w:basedOn w:val="1"/>
    <w:qFormat/>
    <w:uiPriority w:val="0"/>
    <w:pPr>
      <w:widowControl w:val="0"/>
      <w:shd w:val="clear" w:color="auto" w:fill="auto"/>
      <w:spacing w:before="100" w:after="420"/>
      <w:jc w:val="center"/>
      <w:outlineLvl w:val="0"/>
    </w:pPr>
    <w:rPr>
      <w:rFonts w:ascii="宋体" w:hAnsi="宋体" w:eastAsia="宋体" w:cs="宋体"/>
      <w:sz w:val="28"/>
      <w:szCs w:val="28"/>
      <w:u w:val="none"/>
      <w:shd w:val="clear" w:color="auto" w:fill="auto"/>
      <w:lang w:val="zh-TW" w:eastAsia="zh-TW" w:bidi="zh-TW"/>
    </w:rPr>
  </w:style>
  <w:style w:type="paragraph" w:customStyle="1" w:styleId="266">
    <w:name w:val="Body text|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267">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268">
    <w:name w:val="Header or footer|1"/>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269">
    <w:name w:val="样式 小四"/>
    <w:basedOn w:val="1"/>
    <w:qFormat/>
    <w:uiPriority w:val="0"/>
    <w:pPr>
      <w:keepNext w:val="0"/>
      <w:keepLines w:val="0"/>
      <w:widowControl w:val="0"/>
      <w:suppressLineNumbers w:val="0"/>
      <w:adjustRightInd w:val="0"/>
      <w:spacing w:before="0" w:beforeAutospacing="0" w:after="0" w:afterAutospacing="0" w:line="360" w:lineRule="atLeast"/>
      <w:ind w:left="0" w:right="0"/>
      <w:jc w:val="left"/>
      <w:textAlignment w:val="baseline"/>
    </w:pPr>
    <w:rPr>
      <w:rFonts w:hint="default" w:ascii="Calibri" w:hAnsi="Calibri" w:eastAsia="宋体" w:cs="Arial"/>
      <w:kern w:val="0"/>
      <w:sz w:val="24"/>
      <w:szCs w:val="24"/>
      <w:lang w:val="en-US" w:eastAsia="zh-CN" w:bidi="ar"/>
    </w:rPr>
  </w:style>
  <w:style w:type="paragraph" w:customStyle="1" w:styleId="270">
    <w:name w:val="_Style 1"/>
    <w:basedOn w:val="1"/>
    <w:qFormat/>
    <w:uiPriority w:val="34"/>
    <w:pPr>
      <w:ind w:firstLine="420" w:firstLineChars="200"/>
    </w:pPr>
    <w:rPr>
      <w:rFonts w:cs="Times New Roman"/>
      <w:sz w:val="21"/>
      <w:szCs w:val="22"/>
    </w:rPr>
  </w:style>
  <w:style w:type="paragraph" w:customStyle="1" w:styleId="271">
    <w:name w:val="2级标题"/>
    <w:next w:val="1"/>
    <w:qFormat/>
    <w:uiPriority w:val="0"/>
    <w:pPr>
      <w:spacing w:line="360" w:lineRule="auto"/>
      <w:jc w:val="center"/>
    </w:pPr>
    <w:rPr>
      <w:rFonts w:ascii="Calibri Light" w:hAnsi="Calibri Light" w:eastAsia="仿宋" w:cs="Times New Roman"/>
      <w:b/>
      <w:kern w:val="44"/>
      <w:sz w:val="28"/>
      <w:szCs w:val="44"/>
      <w:lang w:val="en-US" w:eastAsia="zh-CN" w:bidi="ar-SA"/>
    </w:rPr>
  </w:style>
  <w:style w:type="paragraph" w:customStyle="1" w:styleId="272">
    <w:name w:val="纯文本1"/>
    <w:basedOn w:val="1"/>
    <w:next w:val="1"/>
    <w:qFormat/>
    <w:uiPriority w:val="0"/>
    <w:rPr>
      <w:rFonts w:ascii="宋体"/>
      <w:kern w:val="0"/>
      <w:sz w:val="20"/>
      <w:szCs w:val="20"/>
    </w:rPr>
  </w:style>
  <w:style w:type="paragraph" w:customStyle="1" w:styleId="273">
    <w:name w:val="msolistparagraph"/>
    <w:basedOn w:val="1"/>
    <w:qFormat/>
    <w:uiPriority w:val="0"/>
    <w:pPr>
      <w:ind w:firstLine="420"/>
      <w:jc w:val="both"/>
    </w:pPr>
    <w:rPr>
      <w:rFonts w:hint="eastAsia" w:ascii="等线" w:hAnsi="等线" w:eastAsia="等线"/>
      <w:sz w:val="21"/>
      <w:szCs w:val="21"/>
    </w:rPr>
  </w:style>
  <w:style w:type="paragraph" w:customStyle="1" w:styleId="274">
    <w:name w:val="正文一"/>
    <w:basedOn w:val="1"/>
    <w:qFormat/>
    <w:uiPriority w:val="0"/>
    <w:pPr>
      <w:spacing w:before="120" w:after="120" w:line="360" w:lineRule="auto"/>
    </w:pPr>
    <w:rPr>
      <w:rFonts w:cs="宋体"/>
      <w:sz w:val="21"/>
      <w:szCs w:val="21"/>
    </w:rPr>
  </w:style>
  <w:style w:type="paragraph" w:customStyle="1" w:styleId="275">
    <w:name w:val="Table Text"/>
    <w:basedOn w:val="1"/>
    <w:semiHidden/>
    <w:qFormat/>
    <w:uiPriority w:val="0"/>
    <w:rPr>
      <w:rFonts w:ascii="微软雅黑" w:hAnsi="微软雅黑" w:eastAsia="微软雅黑" w:cs="微软雅黑"/>
      <w:sz w:val="18"/>
      <w:szCs w:val="18"/>
      <w:lang w:val="en-US" w:eastAsia="en-US" w:bidi="ar-SA"/>
    </w:rPr>
  </w:style>
  <w:style w:type="paragraph" w:customStyle="1" w:styleId="27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77">
    <w:name w:val="标书正文"/>
    <w:basedOn w:val="1"/>
    <w:qFormat/>
    <w:uiPriority w:val="0"/>
    <w:pPr>
      <w:spacing w:line="360" w:lineRule="auto"/>
      <w:ind w:firstLine="200" w:firstLineChars="200"/>
    </w:pPr>
    <w:rPr>
      <w:rFonts w:ascii="Calibri" w:hAnsi="Calibri"/>
      <w:kern w:val="0"/>
    </w:rPr>
  </w:style>
  <w:style w:type="character" w:customStyle="1" w:styleId="278">
    <w:name w:val="content-right_8zs401"/>
    <w:basedOn w:val="49"/>
    <w:qFormat/>
    <w:uiPriority w:val="0"/>
  </w:style>
  <w:style w:type="character" w:customStyle="1" w:styleId="27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77</Pages>
  <Words>28347</Words>
  <Characters>29177</Characters>
  <Lines>1</Lines>
  <Paragraphs>1</Paragraphs>
  <TotalTime>6</TotalTime>
  <ScaleCrop>false</ScaleCrop>
  <LinksUpToDate>false</LinksUpToDate>
  <CharactersWithSpaces>29409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2022-03-28T10:52:00Z</dcterms:created>
  <dc:creator>尹皓</dc:creator>
  <cp:lastModifiedBy>w娟</cp:lastModifiedBy>
  <cp:lastPrinted>2020-04-02T03:13:00Z</cp:lastPrinted>
  <dcterms:modified xsi:type="dcterms:W3CDTF">2025-07-17T05:21:41Z</dcterms:modified>
  <dc:title>02年杜范本稿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8213A639165C40BBAE8F63C733F3B636_13</vt:lpwstr>
  </property>
  <property fmtid="{D5CDD505-2E9C-101B-9397-08002B2CF9AE}" pid="4" name="KSOTemplateDocerSaveRecord">
    <vt:lpwstr>eyJoZGlkIjoiZmM5YTY1MmQyN2E0MTk0MGIxZTcwMDVlNDI3OWJmNmUiLCJ1c2VySWQiOiIzMDA2NjMxNzMifQ==</vt:lpwstr>
  </property>
</Properties>
</file>