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904DF">
      <w:pPr>
        <w:jc w:val="center"/>
        <w:rPr>
          <w:rFonts w:hint="eastAsia" w:ascii="仿宋" w:hAnsi="仿宋" w:eastAsia="仿宋"/>
          <w:sz w:val="32"/>
          <w:szCs w:val="32"/>
        </w:rPr>
      </w:pPr>
      <w:r>
        <w:rPr>
          <w:rFonts w:hint="eastAsia" w:ascii="仿宋" w:hAnsi="仿宋" w:eastAsia="仿宋"/>
          <w:sz w:val="32"/>
          <w:szCs w:val="32"/>
        </w:rPr>
        <w:t>基建-教育系统消防改造-李遂中学</w:t>
      </w:r>
    </w:p>
    <w:p w14:paraId="18FC9BA2">
      <w:pPr>
        <w:jc w:val="center"/>
        <w:rPr>
          <w:rFonts w:hint="eastAsia" w:ascii="仿宋" w:hAnsi="仿宋" w:eastAsia="仿宋"/>
          <w:sz w:val="32"/>
          <w:szCs w:val="32"/>
        </w:rPr>
      </w:pPr>
      <w:r>
        <w:rPr>
          <w:rFonts w:hint="eastAsia" w:ascii="仿宋" w:hAnsi="仿宋" w:eastAsia="仿宋"/>
          <w:sz w:val="32"/>
          <w:szCs w:val="32"/>
        </w:rPr>
        <w:t>成交结果公告</w:t>
      </w:r>
    </w:p>
    <w:p w14:paraId="2DEB474E">
      <w:pPr>
        <w:rPr>
          <w:rFonts w:hint="eastAsia" w:ascii="仿宋" w:hAnsi="仿宋" w:eastAsia="仿宋"/>
        </w:rPr>
      </w:pPr>
    </w:p>
    <w:p w14:paraId="361B50AE">
      <w:pPr>
        <w:spacing w:line="460" w:lineRule="exact"/>
        <w:rPr>
          <w:rFonts w:hint="eastAsia" w:ascii="仿宋" w:hAnsi="仿宋" w:eastAsia="仿宋"/>
          <w:bCs/>
        </w:rPr>
      </w:pPr>
      <w:r>
        <w:rPr>
          <w:rFonts w:hint="eastAsia" w:ascii="仿宋" w:hAnsi="仿宋" w:eastAsia="仿宋"/>
          <w:b/>
          <w:bCs/>
        </w:rPr>
        <w:t>一、项目编号：</w:t>
      </w:r>
      <w:r>
        <w:rPr>
          <w:rFonts w:hint="eastAsia" w:ascii="仿宋" w:hAnsi="仿宋" w:eastAsia="仿宋"/>
          <w:bCs/>
        </w:rPr>
        <w:t>11011325210200022845-XM001</w:t>
      </w:r>
    </w:p>
    <w:p w14:paraId="50F2F8C7">
      <w:pPr>
        <w:spacing w:line="460" w:lineRule="exact"/>
        <w:rPr>
          <w:rFonts w:hint="eastAsia" w:ascii="仿宋" w:hAnsi="仿宋" w:eastAsia="仿宋"/>
          <w:bCs/>
        </w:rPr>
      </w:pPr>
      <w:r>
        <w:rPr>
          <w:rFonts w:hint="eastAsia" w:ascii="仿宋" w:hAnsi="仿宋" w:eastAsia="仿宋"/>
          <w:bCs/>
        </w:rPr>
        <w:t>二、</w:t>
      </w:r>
      <w:r>
        <w:rPr>
          <w:rFonts w:hint="eastAsia" w:ascii="仿宋" w:hAnsi="仿宋" w:eastAsia="仿宋"/>
          <w:b/>
          <w:bCs/>
        </w:rPr>
        <w:t>项目名称：</w:t>
      </w:r>
      <w:r>
        <w:rPr>
          <w:rFonts w:hint="eastAsia" w:ascii="仿宋" w:hAnsi="仿宋" w:eastAsia="仿宋"/>
          <w:bCs/>
        </w:rPr>
        <w:t>基建-教育系统消防改造-李遂中学</w:t>
      </w:r>
    </w:p>
    <w:p w14:paraId="143ED4C5">
      <w:pPr>
        <w:spacing w:line="460" w:lineRule="exact"/>
        <w:rPr>
          <w:rFonts w:hint="eastAsia" w:ascii="仿宋" w:hAnsi="仿宋" w:eastAsia="仿宋"/>
        </w:rPr>
      </w:pPr>
      <w:r>
        <w:rPr>
          <w:rFonts w:hint="eastAsia" w:ascii="仿宋" w:hAnsi="仿宋" w:eastAsia="仿宋"/>
          <w:b/>
          <w:bCs/>
        </w:rPr>
        <w:t>三、成交信息</w:t>
      </w:r>
    </w:p>
    <w:p w14:paraId="49754150">
      <w:pPr>
        <w:spacing w:line="460" w:lineRule="exact"/>
        <w:ind w:firstLine="420" w:firstLineChars="200"/>
        <w:rPr>
          <w:rFonts w:hint="eastAsia" w:ascii="仿宋" w:hAnsi="仿宋" w:eastAsia="仿宋"/>
        </w:rPr>
      </w:pPr>
      <w:r>
        <w:rPr>
          <w:rFonts w:hint="eastAsia" w:ascii="仿宋" w:hAnsi="仿宋" w:eastAsia="仿宋"/>
        </w:rPr>
        <w:t>供应商名称：北京迅达成消防工程有限责任公司</w:t>
      </w:r>
    </w:p>
    <w:p w14:paraId="3257794C">
      <w:pPr>
        <w:spacing w:line="460" w:lineRule="exact"/>
        <w:ind w:firstLine="420" w:firstLineChars="200"/>
        <w:rPr>
          <w:rFonts w:hint="eastAsia" w:ascii="仿宋" w:hAnsi="仿宋" w:eastAsia="仿宋"/>
        </w:rPr>
      </w:pPr>
      <w:r>
        <w:rPr>
          <w:rFonts w:hint="eastAsia" w:ascii="仿宋" w:hAnsi="仿宋" w:eastAsia="仿宋"/>
        </w:rPr>
        <w:t>供应商地址：北京市顺义区南法信镇府前街47号</w:t>
      </w:r>
    </w:p>
    <w:p w14:paraId="60D52D47">
      <w:pPr>
        <w:spacing w:line="460" w:lineRule="exact"/>
        <w:ind w:firstLine="420" w:firstLineChars="200"/>
        <w:rPr>
          <w:rFonts w:hint="eastAsia" w:ascii="仿宋" w:hAnsi="仿宋" w:eastAsia="仿宋"/>
        </w:rPr>
      </w:pPr>
      <w:r>
        <w:rPr>
          <w:rFonts w:hint="eastAsia" w:ascii="仿宋" w:hAnsi="仿宋" w:eastAsia="仿宋"/>
        </w:rPr>
        <w:t>成交金额：</w:t>
      </w:r>
      <w:bookmarkStart w:id="0" w:name="_Hlk181796036"/>
      <w:r>
        <w:rPr>
          <w:rFonts w:hint="eastAsia" w:ascii="仿宋" w:hAnsi="仿宋" w:eastAsia="仿宋"/>
        </w:rPr>
        <w:t>202.881352万元</w:t>
      </w:r>
      <w:bookmarkEnd w:id="0"/>
    </w:p>
    <w:p w14:paraId="6D36E05F">
      <w:pPr>
        <w:spacing w:line="460" w:lineRule="exact"/>
        <w:rPr>
          <w:rFonts w:hint="eastAsia" w:ascii="仿宋" w:hAnsi="仿宋" w:eastAsia="仿宋"/>
          <w:b/>
          <w:bCs/>
        </w:rPr>
      </w:pPr>
      <w:r>
        <w:rPr>
          <w:rFonts w:hint="eastAsia" w:ascii="仿宋" w:hAnsi="仿宋" w:eastAsia="仿宋"/>
          <w:b/>
          <w:bCs/>
        </w:rPr>
        <w:t>四、主要标的信息</w:t>
      </w:r>
    </w:p>
    <w:p w14:paraId="6D4A85B5">
      <w:pPr>
        <w:spacing w:line="460" w:lineRule="exact"/>
        <w:ind w:firstLine="420" w:firstLineChars="200"/>
        <w:rPr>
          <w:rFonts w:hint="eastAsia" w:ascii="仿宋" w:hAnsi="仿宋" w:eastAsia="仿宋"/>
        </w:rPr>
      </w:pPr>
      <w:r>
        <w:rPr>
          <w:rFonts w:hint="eastAsia" w:ascii="仿宋" w:hAnsi="仿宋" w:eastAsia="仿宋"/>
        </w:rPr>
        <w:t>名称：基建-教育系统消防改造-李遂中学</w:t>
      </w:r>
    </w:p>
    <w:p w14:paraId="5EF871DB">
      <w:pPr>
        <w:spacing w:line="460" w:lineRule="exact"/>
        <w:ind w:firstLine="420" w:firstLineChars="200"/>
        <w:rPr>
          <w:rFonts w:hint="eastAsia" w:ascii="仿宋" w:hAnsi="仿宋" w:eastAsia="仿宋"/>
        </w:rPr>
      </w:pPr>
      <w:r>
        <w:rPr>
          <w:rFonts w:hint="eastAsia" w:ascii="仿宋" w:hAnsi="仿宋" w:eastAsia="仿宋"/>
        </w:rPr>
        <w:t>施工范围：本项目设计图纸及工程量清单范围内的消防设施改造维修及其附属等全部施工内容。</w:t>
      </w:r>
    </w:p>
    <w:p w14:paraId="7C34B732">
      <w:pPr>
        <w:spacing w:line="460" w:lineRule="exact"/>
        <w:ind w:firstLine="420" w:firstLineChars="200"/>
        <w:rPr>
          <w:rFonts w:hint="eastAsia" w:ascii="仿宋" w:hAnsi="仿宋" w:eastAsia="仿宋"/>
        </w:rPr>
      </w:pPr>
      <w:r>
        <w:rPr>
          <w:rFonts w:hint="eastAsia" w:ascii="仿宋" w:hAnsi="仿宋" w:eastAsia="仿宋"/>
        </w:rPr>
        <w:t>施工工期：12日历天。</w:t>
      </w:r>
    </w:p>
    <w:p w14:paraId="0D64F4CD">
      <w:pPr>
        <w:spacing w:line="460" w:lineRule="exact"/>
        <w:ind w:firstLine="420" w:firstLineChars="200"/>
        <w:rPr>
          <w:rFonts w:hint="eastAsia" w:ascii="仿宋" w:hAnsi="仿宋" w:eastAsia="仿宋"/>
        </w:rPr>
      </w:pPr>
      <w:r>
        <w:rPr>
          <w:rFonts w:hint="eastAsia" w:ascii="仿宋" w:hAnsi="仿宋" w:eastAsia="仿宋"/>
        </w:rPr>
        <w:t>项目经理：</w:t>
      </w:r>
      <w:bookmarkStart w:id="1" w:name="_Hlk181796243"/>
      <w:r>
        <w:rPr>
          <w:rFonts w:hint="eastAsia" w:ascii="仿宋" w:hAnsi="仿宋" w:eastAsia="仿宋"/>
        </w:rPr>
        <w:t>高泽永</w:t>
      </w:r>
    </w:p>
    <w:bookmarkEnd w:id="1"/>
    <w:p w14:paraId="751004DB">
      <w:pPr>
        <w:spacing w:line="460" w:lineRule="exact"/>
        <w:ind w:firstLine="420" w:firstLineChars="200"/>
        <w:rPr>
          <w:rFonts w:hint="eastAsia" w:ascii="仿宋" w:hAnsi="仿宋" w:eastAsia="仿宋"/>
        </w:rPr>
      </w:pPr>
      <w:r>
        <w:rPr>
          <w:rFonts w:hint="eastAsia" w:ascii="仿宋" w:hAnsi="仿宋" w:eastAsia="仿宋"/>
        </w:rPr>
        <w:t>执业证书信息：一级注册建造师</w:t>
      </w:r>
      <w:bookmarkStart w:id="2" w:name="_Hlk181796313"/>
      <w:r>
        <w:rPr>
          <w:rFonts w:hint="eastAsia" w:ascii="仿宋" w:hAnsi="仿宋" w:eastAsia="仿宋"/>
        </w:rPr>
        <w:t xml:space="preserve">（机电工程） </w:t>
      </w:r>
      <w:bookmarkEnd w:id="2"/>
      <w:r>
        <w:rPr>
          <w:rFonts w:hint="eastAsia" w:ascii="仿宋" w:hAnsi="仿宋" w:eastAsia="仿宋"/>
        </w:rPr>
        <w:t>京 1112014201640199</w:t>
      </w:r>
    </w:p>
    <w:p w14:paraId="02974218">
      <w:pPr>
        <w:spacing w:line="460" w:lineRule="exact"/>
        <w:rPr>
          <w:rFonts w:hint="eastAsia" w:ascii="仿宋" w:hAnsi="仿宋" w:eastAsia="仿宋"/>
          <w:b/>
          <w:bCs/>
        </w:rPr>
      </w:pPr>
      <w:r>
        <w:rPr>
          <w:rFonts w:hint="eastAsia" w:ascii="仿宋" w:hAnsi="仿宋" w:eastAsia="仿宋"/>
          <w:b/>
          <w:bCs/>
        </w:rPr>
        <w:t>五、评审专家名单：李伟、张大明、王金玲</w:t>
      </w:r>
      <w:r>
        <w:rPr>
          <w:rFonts w:hint="eastAsia" w:ascii="仿宋" w:hAnsi="仿宋" w:eastAsia="仿宋"/>
        </w:rPr>
        <w:t xml:space="preserve"> </w:t>
      </w:r>
    </w:p>
    <w:p w14:paraId="7FCF41FF">
      <w:pPr>
        <w:spacing w:line="460" w:lineRule="exact"/>
        <w:rPr>
          <w:rFonts w:hint="eastAsia" w:ascii="仿宋" w:hAnsi="仿宋" w:eastAsia="仿宋" w:cs="宋体"/>
          <w:b/>
          <w:lang w:bidi="ar"/>
        </w:rPr>
      </w:pPr>
      <w:r>
        <w:rPr>
          <w:rFonts w:hint="eastAsia" w:ascii="仿宋" w:hAnsi="仿宋" w:eastAsia="仿宋" w:cs="宋体"/>
          <w:b/>
          <w:lang w:bidi="ar"/>
        </w:rPr>
        <w:t>六、代理服务收费标准及金额：</w:t>
      </w:r>
    </w:p>
    <w:p w14:paraId="704C8154">
      <w:pPr>
        <w:spacing w:line="360" w:lineRule="auto"/>
        <w:ind w:firstLine="420" w:firstLineChars="200"/>
        <w:rPr>
          <w:rFonts w:hint="eastAsia" w:ascii="仿宋" w:hAnsi="仿宋" w:eastAsia="仿宋"/>
        </w:rPr>
      </w:pPr>
      <w:r>
        <w:rPr>
          <w:rFonts w:hint="eastAsia" w:ascii="仿宋" w:hAnsi="仿宋" w:eastAsia="仿宋"/>
        </w:rPr>
        <w:t>1.收费标准：以采购项目成交金额为计费基数，</w:t>
      </w:r>
      <w:bookmarkStart w:id="8" w:name="_GoBack"/>
      <w:bookmarkEnd w:id="8"/>
      <w:r>
        <w:rPr>
          <w:rFonts w:hint="eastAsia" w:ascii="仿宋" w:hAnsi="仿宋" w:eastAsia="仿宋"/>
        </w:rPr>
        <w:t>按“差额定率累进法”的计算结果下浮5%计取，特殊情况的取费标准由双方自行协商确定。与当次服务有关的其他费用（包括但不限于交通费、邮电通讯费等费用）由</w:t>
      </w:r>
      <w:r>
        <w:rPr>
          <w:rFonts w:hint="eastAsia" w:ascii="仿宋" w:hAnsi="仿宋" w:eastAsia="仿宋"/>
          <w:lang w:val="en-US" w:eastAsia="zh-CN"/>
        </w:rPr>
        <w:t>成交供应商</w:t>
      </w:r>
      <w:r>
        <w:rPr>
          <w:rFonts w:hint="eastAsia" w:ascii="仿宋" w:hAnsi="仿宋" w:eastAsia="仿宋"/>
        </w:rPr>
        <w:t>承担。</w:t>
      </w:r>
    </w:p>
    <w:p w14:paraId="420A7764">
      <w:pPr>
        <w:spacing w:line="360" w:lineRule="auto"/>
        <w:ind w:firstLine="420" w:firstLineChars="200"/>
        <w:jc w:val="left"/>
        <w:rPr>
          <w:rFonts w:hint="eastAsia" w:ascii="仿宋" w:hAnsi="仿宋" w:eastAsia="仿宋" w:cs="宋体"/>
        </w:rPr>
      </w:pPr>
      <w:r>
        <w:rPr>
          <w:rFonts w:ascii="仿宋" w:hAnsi="仿宋" w:eastAsia="仿宋"/>
        </w:rPr>
        <w:t>2</w:t>
      </w:r>
      <w:r>
        <w:rPr>
          <w:rFonts w:hint="eastAsia" w:ascii="仿宋" w:hAnsi="仿宋" w:eastAsia="仿宋" w:cs="宋体"/>
        </w:rPr>
        <w:t>.收费金额：1.634161万元（人民币）</w:t>
      </w:r>
    </w:p>
    <w:p w14:paraId="2693052E">
      <w:pPr>
        <w:spacing w:line="460" w:lineRule="exact"/>
        <w:rPr>
          <w:rFonts w:hint="eastAsia" w:ascii="仿宋" w:hAnsi="仿宋" w:eastAsia="仿宋" w:cs="宋体"/>
          <w:b/>
          <w:lang w:bidi="ar"/>
        </w:rPr>
      </w:pPr>
      <w:r>
        <w:rPr>
          <w:rFonts w:hint="eastAsia" w:ascii="仿宋" w:hAnsi="仿宋" w:eastAsia="仿宋" w:cs="宋体"/>
          <w:b/>
          <w:lang w:bidi="ar"/>
        </w:rPr>
        <w:t>七、公告期限</w:t>
      </w:r>
    </w:p>
    <w:p w14:paraId="713A84FB">
      <w:pPr>
        <w:spacing w:line="460" w:lineRule="exact"/>
        <w:ind w:firstLine="420" w:firstLineChars="200"/>
        <w:rPr>
          <w:rFonts w:hint="eastAsia" w:ascii="仿宋" w:hAnsi="仿宋" w:eastAsia="仿宋"/>
        </w:rPr>
      </w:pPr>
      <w:r>
        <w:rPr>
          <w:rFonts w:hint="eastAsia" w:ascii="仿宋" w:hAnsi="仿宋" w:eastAsia="仿宋"/>
        </w:rPr>
        <w:t>自本公告发布之日起</w:t>
      </w:r>
      <w:r>
        <w:rPr>
          <w:rFonts w:hint="eastAsia" w:ascii="仿宋" w:hAnsi="仿宋" w:eastAsia="仿宋" w:cs="Calibri"/>
        </w:rPr>
        <w:t>1</w:t>
      </w:r>
      <w:r>
        <w:rPr>
          <w:rFonts w:hint="eastAsia" w:ascii="仿宋" w:hAnsi="仿宋" w:eastAsia="仿宋"/>
        </w:rPr>
        <w:t>个工作日。</w:t>
      </w:r>
    </w:p>
    <w:p w14:paraId="6D0C9821">
      <w:pPr>
        <w:spacing w:line="460" w:lineRule="exact"/>
        <w:rPr>
          <w:rFonts w:hint="eastAsia" w:ascii="仿宋" w:hAnsi="仿宋" w:eastAsia="仿宋" w:cs="宋体"/>
          <w:b/>
          <w:lang w:bidi="ar"/>
        </w:rPr>
      </w:pPr>
      <w:r>
        <w:rPr>
          <w:rFonts w:hint="eastAsia" w:ascii="仿宋" w:hAnsi="仿宋" w:eastAsia="仿宋" w:cs="宋体"/>
          <w:b/>
          <w:lang w:bidi="ar"/>
        </w:rPr>
        <w:t>八、其他补充事宜</w:t>
      </w:r>
    </w:p>
    <w:p w14:paraId="17350913">
      <w:pPr>
        <w:spacing w:line="360" w:lineRule="auto"/>
        <w:ind w:firstLine="420" w:firstLineChars="200"/>
        <w:rPr>
          <w:rFonts w:hint="eastAsia" w:ascii="仿宋" w:hAnsi="仿宋" w:eastAsia="仿宋"/>
        </w:rPr>
      </w:pPr>
      <w:r>
        <w:rPr>
          <w:rFonts w:hint="eastAsia" w:ascii="仿宋" w:hAnsi="仿宋" w:eastAsia="仿宋"/>
        </w:rPr>
        <w:t>1. 北京迅达成消防工程有限责任公司，评审总得分：91.33分。</w:t>
      </w:r>
    </w:p>
    <w:p w14:paraId="68A9E4B5">
      <w:pPr>
        <w:spacing w:line="360" w:lineRule="auto"/>
        <w:ind w:firstLine="420" w:firstLineChars="200"/>
        <w:rPr>
          <w:rFonts w:hint="eastAsia" w:ascii="仿宋" w:hAnsi="仿宋" w:eastAsia="仿宋"/>
        </w:rPr>
      </w:pPr>
      <w:r>
        <w:rPr>
          <w:rFonts w:hint="eastAsia" w:ascii="仿宋" w:hAnsi="仿宋" w:eastAsia="仿宋"/>
        </w:rPr>
        <w:t>2.本次公告发布媒体中国政府采购网、北京市政府采购网。</w:t>
      </w:r>
    </w:p>
    <w:p w14:paraId="58B7E68B">
      <w:pPr>
        <w:spacing w:line="360" w:lineRule="auto"/>
        <w:ind w:firstLine="422" w:firstLineChars="200"/>
        <w:rPr>
          <w:rFonts w:hint="eastAsia" w:ascii="仿宋" w:hAnsi="仿宋" w:eastAsia="仿宋" w:cs="宋体"/>
          <w:b/>
        </w:rPr>
      </w:pPr>
      <w:r>
        <w:rPr>
          <w:rFonts w:hint="eastAsia" w:ascii="仿宋" w:hAnsi="仿宋" w:eastAsia="仿宋" w:cs="宋体"/>
          <w:b/>
          <w:lang w:bidi="ar"/>
        </w:rPr>
        <w:t>九、凡对本次公告内容提出询问，请按以下方式联系</w:t>
      </w:r>
    </w:p>
    <w:p w14:paraId="221446D4">
      <w:pPr>
        <w:widowControl/>
        <w:spacing w:line="360" w:lineRule="auto"/>
        <w:ind w:firstLine="422" w:firstLineChars="200"/>
        <w:jc w:val="left"/>
        <w:rPr>
          <w:rFonts w:hint="eastAsia" w:ascii="仿宋" w:hAnsi="仿宋" w:eastAsia="仿宋" w:cs="仿宋"/>
          <w:b/>
        </w:rPr>
      </w:pPr>
      <w:r>
        <w:rPr>
          <w:rFonts w:hint="eastAsia" w:ascii="仿宋" w:hAnsi="仿宋" w:eastAsia="仿宋" w:cs="仿宋"/>
          <w:b/>
        </w:rPr>
        <w:t>1.采购人信息</w:t>
      </w:r>
    </w:p>
    <w:p w14:paraId="7EEDEECE">
      <w:pPr>
        <w:spacing w:line="360" w:lineRule="auto"/>
        <w:ind w:left="779" w:leftChars="371" w:firstLine="420" w:firstLineChars="200"/>
        <w:jc w:val="left"/>
        <w:rPr>
          <w:rFonts w:hint="eastAsia" w:ascii="仿宋" w:hAnsi="仿宋" w:eastAsia="仿宋" w:cs="仿宋"/>
        </w:rPr>
      </w:pPr>
      <w:bookmarkStart w:id="3" w:name="_Toc28359086"/>
      <w:bookmarkStart w:id="4" w:name="_Toc28359009"/>
      <w:r>
        <w:rPr>
          <w:rFonts w:hint="eastAsia" w:ascii="仿宋" w:hAnsi="仿宋" w:eastAsia="仿宋" w:cs="仿宋"/>
        </w:rPr>
        <w:t>名    称：</w:t>
      </w:r>
      <w:r>
        <w:rPr>
          <w:rFonts w:hint="eastAsia" w:ascii="仿宋" w:hAnsi="仿宋" w:eastAsia="仿宋" w:cs="仿宋"/>
          <w:u w:val="single"/>
        </w:rPr>
        <w:t>北京市顺义区李遂中学</w:t>
      </w:r>
    </w:p>
    <w:p w14:paraId="08EF5318">
      <w:pPr>
        <w:spacing w:line="360" w:lineRule="auto"/>
        <w:ind w:left="779" w:leftChars="371" w:firstLine="420" w:firstLineChars="200"/>
        <w:jc w:val="left"/>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北京市顺义区李遂镇南孙路沟北段38号</w:t>
      </w:r>
    </w:p>
    <w:p w14:paraId="605375BE">
      <w:pPr>
        <w:spacing w:line="360" w:lineRule="auto"/>
        <w:ind w:left="779" w:leftChars="371" w:firstLine="420" w:firstLineChars="200"/>
        <w:jc w:val="left"/>
        <w:rPr>
          <w:rFonts w:hint="eastAsia" w:ascii="仿宋" w:hAnsi="仿宋" w:eastAsia="仿宋" w:cs="仿宋"/>
        </w:rPr>
      </w:pPr>
      <w:r>
        <w:rPr>
          <w:rFonts w:hint="eastAsia" w:ascii="仿宋" w:hAnsi="仿宋" w:eastAsia="仿宋" w:cs="仿宋"/>
        </w:rPr>
        <w:t>联系方式：</w:t>
      </w:r>
      <w:r>
        <w:rPr>
          <w:rFonts w:hint="eastAsia" w:ascii="仿宋" w:hAnsi="仿宋" w:eastAsia="仿宋" w:cs="仿宋"/>
          <w:u w:val="single"/>
        </w:rPr>
        <w:t>010-89481601，林老师</w:t>
      </w:r>
    </w:p>
    <w:p w14:paraId="7CD8D26F">
      <w:pPr>
        <w:spacing w:line="360" w:lineRule="auto"/>
        <w:ind w:left="779" w:leftChars="371" w:firstLine="422" w:firstLineChars="200"/>
        <w:jc w:val="left"/>
        <w:rPr>
          <w:rFonts w:hint="eastAsia" w:ascii="仿宋" w:hAnsi="仿宋" w:eastAsia="仿宋" w:cs="仿宋"/>
          <w:b/>
        </w:rPr>
      </w:pPr>
      <w:r>
        <w:rPr>
          <w:rFonts w:hint="eastAsia" w:ascii="仿宋" w:hAnsi="仿宋" w:eastAsia="仿宋" w:cs="仿宋"/>
          <w:b/>
        </w:rPr>
        <w:t>2.采购代理机构信息</w:t>
      </w:r>
      <w:bookmarkEnd w:id="3"/>
      <w:bookmarkEnd w:id="4"/>
      <w:r>
        <w:rPr>
          <w:rFonts w:hint="eastAsia" w:ascii="仿宋" w:hAnsi="仿宋" w:eastAsia="仿宋" w:cs="仿宋"/>
          <w:b/>
        </w:rPr>
        <w:t xml:space="preserve"> </w:t>
      </w:r>
    </w:p>
    <w:p w14:paraId="250DF96B">
      <w:pPr>
        <w:spacing w:line="360" w:lineRule="auto"/>
        <w:ind w:left="779" w:leftChars="371" w:firstLine="420" w:firstLineChars="200"/>
        <w:jc w:val="left"/>
        <w:rPr>
          <w:rFonts w:hint="eastAsia" w:ascii="仿宋" w:hAnsi="仿宋" w:eastAsia="仿宋" w:cs="仿宋"/>
        </w:rPr>
      </w:pPr>
      <w:bookmarkStart w:id="5" w:name="_Toc28359087"/>
      <w:bookmarkStart w:id="6" w:name="_Toc28359010"/>
      <w:r>
        <w:rPr>
          <w:rFonts w:hint="eastAsia" w:ascii="仿宋" w:hAnsi="仿宋" w:eastAsia="仿宋" w:cs="仿宋"/>
        </w:rPr>
        <w:t>名    称：</w:t>
      </w:r>
      <w:r>
        <w:rPr>
          <w:rFonts w:hint="eastAsia" w:ascii="仿宋" w:hAnsi="仿宋" w:eastAsia="仿宋" w:cs="仿宋"/>
          <w:u w:val="single"/>
        </w:rPr>
        <w:t>北京博睿丰工程咨询有限公司</w:t>
      </w:r>
    </w:p>
    <w:p w14:paraId="2426328C">
      <w:pPr>
        <w:spacing w:line="360" w:lineRule="auto"/>
        <w:ind w:left="779" w:leftChars="371" w:firstLine="420" w:firstLineChars="200"/>
        <w:jc w:val="left"/>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北京市顺义区林河南大街9号院9号楼2层262室</w:t>
      </w:r>
    </w:p>
    <w:p w14:paraId="686DF2EF">
      <w:pPr>
        <w:pStyle w:val="3"/>
        <w:spacing w:line="360" w:lineRule="auto"/>
        <w:ind w:firstLine="420" w:firstLineChars="200"/>
        <w:rPr>
          <w:rFonts w:hint="eastAsia" w:ascii="仿宋" w:hAnsi="仿宋" w:eastAsia="仿宋" w:cs="仿宋"/>
        </w:rPr>
      </w:pPr>
      <w:r>
        <w:rPr>
          <w:rFonts w:hint="eastAsia" w:ascii="仿宋" w:hAnsi="仿宋" w:eastAsia="仿宋" w:cs="仿宋"/>
        </w:rPr>
        <w:t>联系方式：</w:t>
      </w:r>
      <w:r>
        <w:rPr>
          <w:rFonts w:hint="eastAsia" w:ascii="仿宋" w:hAnsi="仿宋" w:eastAsia="仿宋" w:cs="仿宋"/>
          <w:spacing w:val="-6"/>
          <w:u w:val="single"/>
        </w:rPr>
        <w:t>郭大龙、赵毛鹅、路璐、孙萌、于辉、王鑫磊、金文玲、王海霞、赵星梅</w:t>
      </w:r>
    </w:p>
    <w:p w14:paraId="5D0D9F00">
      <w:pPr>
        <w:spacing w:line="360" w:lineRule="auto"/>
        <w:ind w:left="779" w:leftChars="371" w:firstLine="420" w:firstLineChars="200"/>
        <w:jc w:val="left"/>
        <w:rPr>
          <w:rFonts w:hint="eastAsia" w:ascii="仿宋" w:hAnsi="仿宋" w:eastAsia="仿宋" w:cs="仿宋"/>
          <w:u w:val="single"/>
        </w:rPr>
      </w:pPr>
      <w:r>
        <w:rPr>
          <w:rFonts w:hint="eastAsia" w:ascii="仿宋" w:hAnsi="仿宋" w:eastAsia="仿宋" w:cs="仿宋"/>
          <w:u w:val="single"/>
        </w:rPr>
        <w:t>010-61409078、13716552263</w:t>
      </w:r>
    </w:p>
    <w:p w14:paraId="6E99BD95">
      <w:pPr>
        <w:spacing w:line="360" w:lineRule="auto"/>
        <w:ind w:left="779" w:leftChars="371" w:firstLine="422" w:firstLineChars="200"/>
        <w:rPr>
          <w:rFonts w:hint="eastAsia" w:ascii="仿宋" w:hAnsi="仿宋" w:eastAsia="仿宋" w:cs="仿宋"/>
          <w:b/>
          <w:u w:val="single"/>
        </w:rPr>
      </w:pPr>
      <w:r>
        <w:rPr>
          <w:rFonts w:hint="eastAsia" w:ascii="仿宋" w:hAnsi="仿宋" w:eastAsia="仿宋" w:cs="仿宋"/>
          <w:b/>
        </w:rPr>
        <w:t>3.项目联系方式</w:t>
      </w:r>
      <w:bookmarkEnd w:id="5"/>
      <w:bookmarkEnd w:id="6"/>
    </w:p>
    <w:p w14:paraId="1B0ADD44">
      <w:pPr>
        <w:pStyle w:val="3"/>
        <w:spacing w:line="360" w:lineRule="auto"/>
        <w:ind w:firstLine="376" w:firstLineChars="200"/>
        <w:rPr>
          <w:rFonts w:hint="eastAsia" w:ascii="仿宋" w:hAnsi="仿宋" w:eastAsia="仿宋" w:cs="仿宋"/>
        </w:rPr>
      </w:pPr>
      <w:r>
        <w:rPr>
          <w:rFonts w:hint="eastAsia" w:ascii="仿宋" w:hAnsi="仿宋" w:eastAsia="仿宋" w:cs="仿宋"/>
          <w:spacing w:val="-11"/>
        </w:rPr>
        <w:t>项目联系人：</w:t>
      </w:r>
      <w:r>
        <w:rPr>
          <w:rFonts w:hint="eastAsia" w:ascii="仿宋" w:hAnsi="仿宋" w:eastAsia="仿宋" w:cs="仿宋"/>
          <w:spacing w:val="-6"/>
          <w:u w:val="single"/>
        </w:rPr>
        <w:t>郭大龙、赵毛鹅、路璐、孙萌、于辉、王鑫磊、金文玲、王海霞、赵星梅</w:t>
      </w:r>
    </w:p>
    <w:p w14:paraId="0AD72EFB">
      <w:pPr>
        <w:spacing w:line="360" w:lineRule="auto"/>
        <w:ind w:left="779" w:leftChars="371" w:firstLine="420" w:firstLineChars="200"/>
        <w:jc w:val="left"/>
        <w:rPr>
          <w:rFonts w:hint="eastAsia" w:ascii="仿宋" w:hAnsi="仿宋" w:eastAsia="仿宋" w:cs="仿宋"/>
          <w:u w:val="single"/>
        </w:rPr>
      </w:pPr>
      <w:r>
        <w:rPr>
          <w:rFonts w:hint="eastAsia" w:ascii="仿宋" w:hAnsi="仿宋" w:eastAsia="仿宋" w:cs="仿宋"/>
        </w:rPr>
        <w:t>电      话：</w:t>
      </w:r>
      <w:r>
        <w:rPr>
          <w:rFonts w:hint="eastAsia" w:ascii="仿宋" w:hAnsi="仿宋" w:eastAsia="仿宋" w:cs="仿宋"/>
          <w:u w:val="single"/>
        </w:rPr>
        <w:t>010-61409078、13716552263</w:t>
      </w:r>
    </w:p>
    <w:p w14:paraId="7C320C47">
      <w:pPr>
        <w:spacing w:line="360" w:lineRule="auto"/>
        <w:ind w:firstLine="422" w:firstLineChars="200"/>
        <w:jc w:val="center"/>
        <w:outlineLvl w:val="0"/>
        <w:rPr>
          <w:rFonts w:hint="eastAsia" w:ascii="仿宋" w:hAnsi="仿宋" w:eastAsia="仿宋" w:cs="仿宋"/>
          <w:b/>
        </w:rPr>
        <w:sectPr>
          <w:footerReference r:id="rId4" w:type="first"/>
          <w:footerReference r:id="rId3" w:type="default"/>
          <w:pgSz w:w="11907" w:h="16840"/>
          <w:pgMar w:top="1440" w:right="1800" w:bottom="1440" w:left="1800" w:header="851" w:footer="851" w:gutter="0"/>
          <w:pgNumType w:start="1"/>
          <w:cols w:space="720" w:num="1"/>
          <w:titlePg/>
          <w:docGrid w:linePitch="462" w:charSpace="0"/>
        </w:sectPr>
      </w:pPr>
    </w:p>
    <w:p w14:paraId="270DE95E">
      <w:pPr>
        <w:spacing w:line="460" w:lineRule="exact"/>
        <w:rPr>
          <w:rFonts w:hint="eastAsia" w:ascii="仿宋" w:hAnsi="仿宋" w:eastAsia="仿宋" w:cs="宋体"/>
          <w:b/>
          <w:lang w:bidi="ar"/>
        </w:rPr>
      </w:pPr>
      <w:r>
        <w:rPr>
          <w:rFonts w:hint="eastAsia" w:ascii="仿宋" w:hAnsi="仿宋" w:eastAsia="仿宋" w:cs="宋体"/>
          <w:b/>
          <w:lang w:bidi="ar"/>
        </w:rPr>
        <w:t>十、附件</w:t>
      </w:r>
    </w:p>
    <w:p w14:paraId="5BBE9270">
      <w:pPr>
        <w:spacing w:line="460" w:lineRule="exact"/>
        <w:ind w:firstLine="420" w:firstLineChars="200"/>
        <w:rPr>
          <w:rFonts w:hint="eastAsia" w:ascii="仿宋" w:hAnsi="仿宋" w:eastAsia="仿宋" w:cs="宋体"/>
          <w:lang w:bidi="ar"/>
        </w:rPr>
      </w:pPr>
      <w:bookmarkStart w:id="7" w:name="_Hlk106356826"/>
      <w:r>
        <w:rPr>
          <w:rFonts w:hint="eastAsia" w:ascii="仿宋" w:hAnsi="仿宋" w:eastAsia="仿宋"/>
          <w:bCs/>
        </w:rPr>
        <w:t>1.采购文件</w:t>
      </w:r>
      <w:bookmarkEnd w:id="7"/>
    </w:p>
    <w:p w14:paraId="3904C3FB">
      <w:pPr>
        <w:spacing w:line="460" w:lineRule="exact"/>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宋体"/>
          <w:bCs/>
        </w:rPr>
        <w:t>代理服务收费标准</w:t>
      </w:r>
    </w:p>
    <w:p w14:paraId="06DF403D">
      <w:pPr>
        <w:ind w:firstLine="420" w:firstLineChars="200"/>
        <w:jc w:val="center"/>
        <w:rPr>
          <w:rFonts w:hint="eastAsia" w:ascii="仿宋" w:hAnsi="仿宋" w:eastAsia="仿宋" w:cs="仿宋"/>
        </w:rPr>
      </w:pPr>
      <w:r>
        <w:rPr>
          <w:rFonts w:hint="eastAsia" w:ascii="仿宋" w:hAnsi="仿宋" w:eastAsia="仿宋" w:cs="仿宋"/>
        </w:rPr>
        <w:t>代理服务收费标准</w:t>
      </w:r>
    </w:p>
    <w:tbl>
      <w:tblPr>
        <w:tblStyle w:val="9"/>
        <w:tblW w:w="75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92"/>
        <w:gridCol w:w="1237"/>
        <w:gridCol w:w="1237"/>
        <w:gridCol w:w="1240"/>
      </w:tblGrid>
      <w:tr w14:paraId="252C9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7" w:hRule="atLeast"/>
          <w:tblCellSpacing w:w="0" w:type="dxa"/>
          <w:jc w:val="center"/>
        </w:trPr>
        <w:tc>
          <w:tcPr>
            <w:tcW w:w="3792" w:type="dxa"/>
            <w:vMerge w:val="restart"/>
            <w:tcBorders>
              <w:top w:val="outset" w:color="auto" w:sz="6" w:space="0"/>
              <w:left w:val="outset" w:color="auto" w:sz="6" w:space="0"/>
              <w:right w:val="outset" w:color="auto" w:sz="6" w:space="0"/>
              <w:tl2br w:val="outset" w:color="auto" w:sz="6" w:space="0"/>
            </w:tcBorders>
            <w:vAlign w:val="center"/>
          </w:tcPr>
          <w:p w14:paraId="3DB025A6">
            <w:pPr>
              <w:widowControl/>
              <w:jc w:val="left"/>
              <w:rPr>
                <w:rFonts w:hint="eastAsia" w:ascii="仿宋" w:hAnsi="仿宋" w:eastAsia="仿宋" w:cs="仿宋"/>
              </w:rPr>
            </w:pPr>
            <w:r>
              <w:rPr>
                <w:rFonts w:hint="eastAsia" w:ascii="仿宋" w:hAnsi="仿宋" w:eastAsia="仿宋" w:cs="仿宋"/>
              </w:rPr>
              <w:t xml:space="preserve">      </w:t>
            </w:r>
            <w:r>
              <w:rPr>
                <w:rFonts w:eastAsia="仿宋" w:cs="Calibri"/>
              </w:rPr>
              <w:t>   </w:t>
            </w:r>
            <w:r>
              <w:rPr>
                <w:rFonts w:hint="eastAsia" w:ascii="仿宋" w:hAnsi="仿宋" w:eastAsia="仿宋" w:cs="仿宋"/>
              </w:rPr>
              <w:t xml:space="preserve">  项目类别</w:t>
            </w:r>
            <w:r>
              <w:rPr>
                <w:rFonts w:eastAsia="仿宋" w:cs="Calibri"/>
              </w:rPr>
              <w:t> </w:t>
            </w:r>
            <w:r>
              <w:rPr>
                <w:rFonts w:hint="eastAsia" w:ascii="仿宋" w:hAnsi="仿宋" w:eastAsia="仿宋" w:cs="仿宋"/>
              </w:rPr>
              <w:t xml:space="preserve"> </w:t>
            </w:r>
          </w:p>
          <w:p w14:paraId="29A121B4">
            <w:pPr>
              <w:ind w:left="630" w:hanging="630" w:hangingChars="300"/>
              <w:jc w:val="left"/>
              <w:rPr>
                <w:rFonts w:hint="eastAsia" w:ascii="仿宋" w:hAnsi="仿宋" w:eastAsia="仿宋" w:cs="仿宋"/>
              </w:rPr>
            </w:pPr>
            <w:r>
              <w:rPr>
                <w:rFonts w:hint="eastAsia" w:ascii="仿宋" w:hAnsi="仿宋" w:eastAsia="仿宋" w:cs="仿宋"/>
              </w:rPr>
              <w:t>成交金额(万元)</w:t>
            </w:r>
          </w:p>
        </w:tc>
        <w:tc>
          <w:tcPr>
            <w:tcW w:w="3714" w:type="dxa"/>
            <w:gridSpan w:val="3"/>
            <w:tcBorders>
              <w:top w:val="outset" w:color="auto" w:sz="6" w:space="0"/>
              <w:left w:val="outset" w:color="auto" w:sz="6" w:space="0"/>
              <w:bottom w:val="outset" w:color="auto" w:sz="6" w:space="0"/>
              <w:right w:val="outset" w:color="auto" w:sz="6" w:space="0"/>
            </w:tcBorders>
            <w:vAlign w:val="center"/>
          </w:tcPr>
          <w:p w14:paraId="2596CC69">
            <w:pPr>
              <w:widowControl/>
              <w:jc w:val="center"/>
              <w:rPr>
                <w:rFonts w:hint="eastAsia" w:ascii="仿宋" w:hAnsi="仿宋" w:eastAsia="仿宋" w:cs="仿宋"/>
              </w:rPr>
            </w:pPr>
            <w:r>
              <w:rPr>
                <w:rFonts w:hint="eastAsia" w:ascii="仿宋" w:hAnsi="仿宋" w:eastAsia="仿宋" w:cs="仿宋"/>
              </w:rPr>
              <w:t>标准费率（%）</w:t>
            </w:r>
          </w:p>
        </w:tc>
      </w:tr>
      <w:tr w14:paraId="0E420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tblCellSpacing w:w="0" w:type="dxa"/>
          <w:jc w:val="center"/>
        </w:trPr>
        <w:tc>
          <w:tcPr>
            <w:tcW w:w="3792" w:type="dxa"/>
            <w:vMerge w:val="continue"/>
            <w:tcBorders>
              <w:left w:val="outset" w:color="auto" w:sz="6" w:space="0"/>
              <w:bottom w:val="outset" w:color="auto" w:sz="6" w:space="0"/>
              <w:right w:val="outset" w:color="auto" w:sz="6" w:space="0"/>
              <w:tl2br w:val="outset" w:color="auto" w:sz="6" w:space="0"/>
            </w:tcBorders>
            <w:vAlign w:val="center"/>
          </w:tcPr>
          <w:p w14:paraId="3BF781C6">
            <w:pPr>
              <w:widowControl/>
              <w:jc w:val="left"/>
              <w:rPr>
                <w:rFonts w:hint="eastAsia" w:ascii="仿宋" w:hAnsi="仿宋" w:eastAsia="仿宋" w:cs="仿宋"/>
              </w:rPr>
            </w:pPr>
          </w:p>
        </w:tc>
        <w:tc>
          <w:tcPr>
            <w:tcW w:w="1237" w:type="dxa"/>
            <w:tcBorders>
              <w:top w:val="outset" w:color="auto" w:sz="6" w:space="0"/>
              <w:left w:val="outset" w:color="auto" w:sz="6" w:space="0"/>
              <w:bottom w:val="outset" w:color="auto" w:sz="6" w:space="0"/>
              <w:right w:val="outset" w:color="auto" w:sz="6" w:space="0"/>
            </w:tcBorders>
            <w:vAlign w:val="center"/>
          </w:tcPr>
          <w:p w14:paraId="213A6A6A">
            <w:pPr>
              <w:widowControl/>
              <w:spacing w:before="100" w:beforeAutospacing="1" w:after="100" w:afterAutospacing="1"/>
              <w:jc w:val="center"/>
              <w:rPr>
                <w:rFonts w:hint="eastAsia" w:ascii="仿宋" w:hAnsi="仿宋" w:eastAsia="仿宋" w:cs="仿宋"/>
              </w:rPr>
            </w:pPr>
            <w:r>
              <w:rPr>
                <w:rFonts w:hint="eastAsia" w:ascii="仿宋" w:hAnsi="仿宋" w:eastAsia="仿宋" w:cs="仿宋"/>
              </w:rPr>
              <w:t>货物</w:t>
            </w:r>
          </w:p>
        </w:tc>
        <w:tc>
          <w:tcPr>
            <w:tcW w:w="1237" w:type="dxa"/>
            <w:tcBorders>
              <w:top w:val="outset" w:color="auto" w:sz="6" w:space="0"/>
              <w:left w:val="outset" w:color="auto" w:sz="6" w:space="0"/>
              <w:bottom w:val="outset" w:color="auto" w:sz="6" w:space="0"/>
              <w:right w:val="outset" w:color="auto" w:sz="6" w:space="0"/>
            </w:tcBorders>
            <w:vAlign w:val="center"/>
          </w:tcPr>
          <w:p w14:paraId="5911240C">
            <w:pPr>
              <w:widowControl/>
              <w:jc w:val="center"/>
              <w:rPr>
                <w:rFonts w:hint="eastAsia" w:ascii="仿宋" w:hAnsi="仿宋" w:eastAsia="仿宋" w:cs="仿宋"/>
              </w:rPr>
            </w:pPr>
            <w:r>
              <w:rPr>
                <w:rFonts w:hint="eastAsia" w:ascii="仿宋" w:hAnsi="仿宋" w:eastAsia="仿宋" w:cs="仿宋"/>
              </w:rPr>
              <w:t>服务</w:t>
            </w:r>
          </w:p>
        </w:tc>
        <w:tc>
          <w:tcPr>
            <w:tcW w:w="1240" w:type="dxa"/>
            <w:tcBorders>
              <w:top w:val="outset" w:color="auto" w:sz="6" w:space="0"/>
              <w:left w:val="outset" w:color="auto" w:sz="6" w:space="0"/>
              <w:bottom w:val="outset" w:color="auto" w:sz="6" w:space="0"/>
              <w:right w:val="outset" w:color="auto" w:sz="6" w:space="0"/>
            </w:tcBorders>
            <w:vAlign w:val="center"/>
          </w:tcPr>
          <w:p w14:paraId="01A0BB67">
            <w:pPr>
              <w:widowControl/>
              <w:jc w:val="center"/>
              <w:rPr>
                <w:rFonts w:hint="eastAsia" w:ascii="仿宋" w:hAnsi="仿宋" w:eastAsia="仿宋" w:cs="仿宋"/>
              </w:rPr>
            </w:pPr>
            <w:r>
              <w:rPr>
                <w:rFonts w:hint="eastAsia" w:ascii="仿宋" w:hAnsi="仿宋" w:eastAsia="仿宋" w:cs="仿宋"/>
              </w:rPr>
              <w:t>工程</w:t>
            </w:r>
          </w:p>
        </w:tc>
      </w:tr>
      <w:tr w14:paraId="37DBCC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15F2042C">
            <w:pPr>
              <w:widowControl/>
              <w:ind w:firstLine="420" w:firstLineChars="200"/>
              <w:jc w:val="left"/>
              <w:rPr>
                <w:rFonts w:hint="eastAsia" w:ascii="仿宋" w:hAnsi="仿宋" w:eastAsia="仿宋" w:cs="仿宋"/>
              </w:rPr>
            </w:pPr>
            <w:r>
              <w:rPr>
                <w:rFonts w:hint="eastAsia" w:ascii="仿宋" w:hAnsi="仿宋" w:eastAsia="仿宋" w:cs="仿宋"/>
              </w:rPr>
              <w:t>100以下</w:t>
            </w:r>
          </w:p>
        </w:tc>
        <w:tc>
          <w:tcPr>
            <w:tcW w:w="1237" w:type="dxa"/>
            <w:tcBorders>
              <w:top w:val="outset" w:color="auto" w:sz="6" w:space="0"/>
              <w:left w:val="outset" w:color="auto" w:sz="6" w:space="0"/>
              <w:bottom w:val="outset" w:color="auto" w:sz="6" w:space="0"/>
              <w:right w:val="outset" w:color="auto" w:sz="6" w:space="0"/>
            </w:tcBorders>
            <w:vAlign w:val="center"/>
          </w:tcPr>
          <w:p w14:paraId="0096C559">
            <w:pPr>
              <w:widowControl/>
              <w:jc w:val="center"/>
              <w:rPr>
                <w:rFonts w:hint="eastAsia" w:ascii="仿宋" w:hAnsi="仿宋" w:eastAsia="仿宋" w:cs="仿宋"/>
              </w:rPr>
            </w:pPr>
            <w:r>
              <w:rPr>
                <w:rFonts w:hint="eastAsia" w:ascii="仿宋" w:hAnsi="仿宋" w:eastAsia="仿宋" w:cs="仿宋"/>
              </w:rPr>
              <w:t>1.5</w:t>
            </w:r>
          </w:p>
        </w:tc>
        <w:tc>
          <w:tcPr>
            <w:tcW w:w="1237" w:type="dxa"/>
            <w:tcBorders>
              <w:top w:val="outset" w:color="auto" w:sz="6" w:space="0"/>
              <w:left w:val="outset" w:color="auto" w:sz="6" w:space="0"/>
              <w:bottom w:val="outset" w:color="auto" w:sz="6" w:space="0"/>
              <w:right w:val="outset" w:color="auto" w:sz="6" w:space="0"/>
            </w:tcBorders>
            <w:vAlign w:val="center"/>
          </w:tcPr>
          <w:p w14:paraId="331D8963">
            <w:pPr>
              <w:widowControl/>
              <w:jc w:val="center"/>
              <w:rPr>
                <w:rFonts w:hint="eastAsia" w:ascii="仿宋" w:hAnsi="仿宋" w:eastAsia="仿宋" w:cs="仿宋"/>
              </w:rPr>
            </w:pPr>
            <w:r>
              <w:rPr>
                <w:rFonts w:hint="eastAsia" w:ascii="仿宋" w:hAnsi="仿宋" w:eastAsia="仿宋" w:cs="仿宋"/>
              </w:rPr>
              <w:t>1.5</w:t>
            </w:r>
          </w:p>
        </w:tc>
        <w:tc>
          <w:tcPr>
            <w:tcW w:w="1240" w:type="dxa"/>
            <w:tcBorders>
              <w:top w:val="outset" w:color="auto" w:sz="6" w:space="0"/>
              <w:left w:val="outset" w:color="auto" w:sz="6" w:space="0"/>
              <w:bottom w:val="outset" w:color="auto" w:sz="6" w:space="0"/>
              <w:right w:val="outset" w:color="auto" w:sz="6" w:space="0"/>
            </w:tcBorders>
            <w:vAlign w:val="center"/>
          </w:tcPr>
          <w:p w14:paraId="0F2C76F2">
            <w:pPr>
              <w:widowControl/>
              <w:jc w:val="center"/>
              <w:rPr>
                <w:rFonts w:hint="eastAsia" w:ascii="仿宋" w:hAnsi="仿宋" w:eastAsia="仿宋" w:cs="仿宋"/>
              </w:rPr>
            </w:pPr>
            <w:r>
              <w:rPr>
                <w:rFonts w:hint="eastAsia" w:ascii="仿宋" w:hAnsi="仿宋" w:eastAsia="仿宋" w:cs="仿宋"/>
              </w:rPr>
              <w:t>1.0</w:t>
            </w:r>
          </w:p>
        </w:tc>
      </w:tr>
      <w:tr w14:paraId="3A3852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063A5EA7">
            <w:pPr>
              <w:widowControl/>
              <w:ind w:firstLine="420" w:firstLineChars="200"/>
              <w:jc w:val="left"/>
              <w:rPr>
                <w:rFonts w:hint="eastAsia" w:ascii="仿宋" w:hAnsi="仿宋" w:eastAsia="仿宋" w:cs="仿宋"/>
              </w:rPr>
            </w:pPr>
            <w:r>
              <w:rPr>
                <w:rFonts w:hint="eastAsia" w:ascii="仿宋" w:hAnsi="仿宋" w:eastAsia="仿宋" w:cs="仿宋"/>
              </w:rPr>
              <w:t>100—500</w:t>
            </w:r>
          </w:p>
        </w:tc>
        <w:tc>
          <w:tcPr>
            <w:tcW w:w="1237" w:type="dxa"/>
            <w:tcBorders>
              <w:top w:val="outset" w:color="auto" w:sz="6" w:space="0"/>
              <w:left w:val="outset" w:color="auto" w:sz="6" w:space="0"/>
              <w:bottom w:val="outset" w:color="auto" w:sz="6" w:space="0"/>
              <w:right w:val="outset" w:color="auto" w:sz="6" w:space="0"/>
            </w:tcBorders>
            <w:vAlign w:val="center"/>
          </w:tcPr>
          <w:p w14:paraId="084DDF9F">
            <w:pPr>
              <w:widowControl/>
              <w:jc w:val="center"/>
              <w:rPr>
                <w:rFonts w:hint="eastAsia" w:ascii="仿宋" w:hAnsi="仿宋" w:eastAsia="仿宋" w:cs="仿宋"/>
              </w:rPr>
            </w:pPr>
            <w:r>
              <w:rPr>
                <w:rFonts w:hint="eastAsia" w:ascii="仿宋" w:hAnsi="仿宋" w:eastAsia="仿宋" w:cs="仿宋"/>
              </w:rPr>
              <w:t>1.1</w:t>
            </w:r>
          </w:p>
        </w:tc>
        <w:tc>
          <w:tcPr>
            <w:tcW w:w="1237" w:type="dxa"/>
            <w:tcBorders>
              <w:top w:val="outset" w:color="auto" w:sz="6" w:space="0"/>
              <w:left w:val="outset" w:color="auto" w:sz="6" w:space="0"/>
              <w:bottom w:val="outset" w:color="auto" w:sz="6" w:space="0"/>
              <w:right w:val="outset" w:color="auto" w:sz="6" w:space="0"/>
            </w:tcBorders>
            <w:vAlign w:val="center"/>
          </w:tcPr>
          <w:p w14:paraId="2E889E05">
            <w:pPr>
              <w:widowControl/>
              <w:jc w:val="center"/>
              <w:rPr>
                <w:rFonts w:hint="eastAsia" w:ascii="仿宋" w:hAnsi="仿宋" w:eastAsia="仿宋" w:cs="仿宋"/>
              </w:rPr>
            </w:pPr>
            <w:r>
              <w:rPr>
                <w:rFonts w:hint="eastAsia" w:ascii="仿宋" w:hAnsi="仿宋" w:eastAsia="仿宋" w:cs="仿宋"/>
              </w:rPr>
              <w:t>0.8</w:t>
            </w:r>
          </w:p>
        </w:tc>
        <w:tc>
          <w:tcPr>
            <w:tcW w:w="1240" w:type="dxa"/>
            <w:tcBorders>
              <w:top w:val="outset" w:color="auto" w:sz="6" w:space="0"/>
              <w:left w:val="outset" w:color="auto" w:sz="6" w:space="0"/>
              <w:bottom w:val="outset" w:color="auto" w:sz="6" w:space="0"/>
              <w:right w:val="outset" w:color="auto" w:sz="6" w:space="0"/>
            </w:tcBorders>
            <w:vAlign w:val="center"/>
          </w:tcPr>
          <w:p w14:paraId="4A22F5B1">
            <w:pPr>
              <w:widowControl/>
              <w:jc w:val="center"/>
              <w:rPr>
                <w:rFonts w:hint="eastAsia" w:ascii="仿宋" w:hAnsi="仿宋" w:eastAsia="仿宋" w:cs="仿宋"/>
              </w:rPr>
            </w:pPr>
            <w:r>
              <w:rPr>
                <w:rFonts w:hint="eastAsia" w:ascii="仿宋" w:hAnsi="仿宋" w:eastAsia="仿宋" w:cs="仿宋"/>
              </w:rPr>
              <w:t>0.7</w:t>
            </w:r>
          </w:p>
        </w:tc>
      </w:tr>
      <w:tr w14:paraId="1976B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1DD14C53">
            <w:pPr>
              <w:widowControl/>
              <w:ind w:firstLine="420" w:firstLineChars="200"/>
              <w:jc w:val="left"/>
              <w:rPr>
                <w:rFonts w:hint="eastAsia" w:ascii="仿宋" w:hAnsi="仿宋" w:eastAsia="仿宋" w:cs="仿宋"/>
              </w:rPr>
            </w:pPr>
            <w:r>
              <w:rPr>
                <w:rFonts w:hint="eastAsia" w:ascii="仿宋" w:hAnsi="仿宋" w:eastAsia="仿宋" w:cs="仿宋"/>
              </w:rPr>
              <w:t>500—1000</w:t>
            </w:r>
          </w:p>
        </w:tc>
        <w:tc>
          <w:tcPr>
            <w:tcW w:w="1237" w:type="dxa"/>
            <w:tcBorders>
              <w:top w:val="outset" w:color="auto" w:sz="6" w:space="0"/>
              <w:left w:val="outset" w:color="auto" w:sz="6" w:space="0"/>
              <w:bottom w:val="outset" w:color="auto" w:sz="6" w:space="0"/>
              <w:right w:val="outset" w:color="auto" w:sz="6" w:space="0"/>
            </w:tcBorders>
            <w:vAlign w:val="center"/>
          </w:tcPr>
          <w:p w14:paraId="0169CEEB">
            <w:pPr>
              <w:widowControl/>
              <w:jc w:val="center"/>
              <w:rPr>
                <w:rFonts w:hint="eastAsia" w:ascii="仿宋" w:hAnsi="仿宋" w:eastAsia="仿宋" w:cs="仿宋"/>
              </w:rPr>
            </w:pPr>
            <w:r>
              <w:rPr>
                <w:rFonts w:hint="eastAsia" w:ascii="仿宋" w:hAnsi="仿宋" w:eastAsia="仿宋" w:cs="仿宋"/>
              </w:rPr>
              <w:t>0.8</w:t>
            </w:r>
          </w:p>
        </w:tc>
        <w:tc>
          <w:tcPr>
            <w:tcW w:w="1237" w:type="dxa"/>
            <w:tcBorders>
              <w:top w:val="outset" w:color="auto" w:sz="6" w:space="0"/>
              <w:left w:val="outset" w:color="auto" w:sz="6" w:space="0"/>
              <w:bottom w:val="outset" w:color="auto" w:sz="6" w:space="0"/>
              <w:right w:val="outset" w:color="auto" w:sz="6" w:space="0"/>
            </w:tcBorders>
            <w:vAlign w:val="center"/>
          </w:tcPr>
          <w:p w14:paraId="5333BAC7">
            <w:pPr>
              <w:widowControl/>
              <w:jc w:val="center"/>
              <w:rPr>
                <w:rFonts w:hint="eastAsia" w:ascii="仿宋" w:hAnsi="仿宋" w:eastAsia="仿宋" w:cs="仿宋"/>
              </w:rPr>
            </w:pPr>
            <w:r>
              <w:rPr>
                <w:rFonts w:hint="eastAsia" w:ascii="仿宋" w:hAnsi="仿宋" w:eastAsia="仿宋" w:cs="仿宋"/>
              </w:rPr>
              <w:t>0.45</w:t>
            </w:r>
          </w:p>
        </w:tc>
        <w:tc>
          <w:tcPr>
            <w:tcW w:w="1240" w:type="dxa"/>
            <w:tcBorders>
              <w:top w:val="outset" w:color="auto" w:sz="6" w:space="0"/>
              <w:left w:val="outset" w:color="auto" w:sz="6" w:space="0"/>
              <w:bottom w:val="outset" w:color="auto" w:sz="6" w:space="0"/>
              <w:right w:val="outset" w:color="auto" w:sz="6" w:space="0"/>
            </w:tcBorders>
            <w:vAlign w:val="center"/>
          </w:tcPr>
          <w:p w14:paraId="029140FC">
            <w:pPr>
              <w:widowControl/>
              <w:jc w:val="center"/>
              <w:rPr>
                <w:rFonts w:hint="eastAsia" w:ascii="仿宋" w:hAnsi="仿宋" w:eastAsia="仿宋" w:cs="仿宋"/>
              </w:rPr>
            </w:pPr>
            <w:r>
              <w:rPr>
                <w:rFonts w:hint="eastAsia" w:ascii="仿宋" w:hAnsi="仿宋" w:eastAsia="仿宋" w:cs="仿宋"/>
              </w:rPr>
              <w:t>0.55</w:t>
            </w:r>
          </w:p>
        </w:tc>
      </w:tr>
      <w:tr w14:paraId="296B3E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7A46F3A0">
            <w:pPr>
              <w:widowControl/>
              <w:ind w:firstLine="420" w:firstLineChars="200"/>
              <w:jc w:val="left"/>
              <w:rPr>
                <w:rFonts w:hint="eastAsia" w:ascii="仿宋" w:hAnsi="仿宋" w:eastAsia="仿宋" w:cs="仿宋"/>
              </w:rPr>
            </w:pPr>
            <w:r>
              <w:rPr>
                <w:rFonts w:hint="eastAsia" w:ascii="仿宋" w:hAnsi="仿宋" w:eastAsia="仿宋" w:cs="仿宋"/>
              </w:rPr>
              <w:t>1000—5000</w:t>
            </w:r>
          </w:p>
        </w:tc>
        <w:tc>
          <w:tcPr>
            <w:tcW w:w="1237" w:type="dxa"/>
            <w:tcBorders>
              <w:top w:val="outset" w:color="auto" w:sz="6" w:space="0"/>
              <w:left w:val="outset" w:color="auto" w:sz="6" w:space="0"/>
              <w:bottom w:val="outset" w:color="auto" w:sz="6" w:space="0"/>
              <w:right w:val="outset" w:color="auto" w:sz="6" w:space="0"/>
            </w:tcBorders>
            <w:vAlign w:val="center"/>
          </w:tcPr>
          <w:p w14:paraId="0EFD4A3F">
            <w:pPr>
              <w:widowControl/>
              <w:jc w:val="center"/>
              <w:rPr>
                <w:rFonts w:hint="eastAsia" w:ascii="仿宋" w:hAnsi="仿宋" w:eastAsia="仿宋" w:cs="仿宋"/>
              </w:rPr>
            </w:pPr>
            <w:r>
              <w:rPr>
                <w:rFonts w:hint="eastAsia" w:ascii="仿宋" w:hAnsi="仿宋" w:eastAsia="仿宋" w:cs="仿宋"/>
              </w:rPr>
              <w:t>0.5</w:t>
            </w:r>
          </w:p>
        </w:tc>
        <w:tc>
          <w:tcPr>
            <w:tcW w:w="1237" w:type="dxa"/>
            <w:tcBorders>
              <w:top w:val="outset" w:color="auto" w:sz="6" w:space="0"/>
              <w:left w:val="outset" w:color="auto" w:sz="6" w:space="0"/>
              <w:bottom w:val="outset" w:color="auto" w:sz="6" w:space="0"/>
              <w:right w:val="outset" w:color="auto" w:sz="6" w:space="0"/>
            </w:tcBorders>
            <w:vAlign w:val="center"/>
          </w:tcPr>
          <w:p w14:paraId="261615F3">
            <w:pPr>
              <w:widowControl/>
              <w:jc w:val="center"/>
              <w:rPr>
                <w:rFonts w:hint="eastAsia" w:ascii="仿宋" w:hAnsi="仿宋" w:eastAsia="仿宋" w:cs="仿宋"/>
              </w:rPr>
            </w:pPr>
            <w:r>
              <w:rPr>
                <w:rFonts w:hint="eastAsia" w:ascii="仿宋" w:hAnsi="仿宋" w:eastAsia="仿宋" w:cs="仿宋"/>
              </w:rPr>
              <w:t>0.25</w:t>
            </w:r>
          </w:p>
        </w:tc>
        <w:tc>
          <w:tcPr>
            <w:tcW w:w="1240" w:type="dxa"/>
            <w:tcBorders>
              <w:top w:val="outset" w:color="auto" w:sz="6" w:space="0"/>
              <w:left w:val="outset" w:color="auto" w:sz="6" w:space="0"/>
              <w:bottom w:val="outset" w:color="auto" w:sz="6" w:space="0"/>
              <w:right w:val="outset" w:color="auto" w:sz="6" w:space="0"/>
            </w:tcBorders>
            <w:vAlign w:val="center"/>
          </w:tcPr>
          <w:p w14:paraId="3854D48F">
            <w:pPr>
              <w:widowControl/>
              <w:jc w:val="center"/>
              <w:rPr>
                <w:rFonts w:hint="eastAsia" w:ascii="仿宋" w:hAnsi="仿宋" w:eastAsia="仿宋" w:cs="仿宋"/>
              </w:rPr>
            </w:pPr>
            <w:r>
              <w:rPr>
                <w:rFonts w:hint="eastAsia" w:ascii="仿宋" w:hAnsi="仿宋" w:eastAsia="仿宋" w:cs="仿宋"/>
              </w:rPr>
              <w:t>0.35</w:t>
            </w:r>
          </w:p>
        </w:tc>
      </w:tr>
      <w:tr w14:paraId="55F1E6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123C2D98">
            <w:pPr>
              <w:widowControl/>
              <w:ind w:firstLine="420" w:firstLineChars="200"/>
              <w:jc w:val="left"/>
              <w:rPr>
                <w:rFonts w:hint="eastAsia" w:ascii="仿宋" w:hAnsi="仿宋" w:eastAsia="仿宋" w:cs="仿宋"/>
              </w:rPr>
            </w:pPr>
            <w:r>
              <w:rPr>
                <w:rFonts w:hint="eastAsia" w:ascii="仿宋" w:hAnsi="仿宋" w:eastAsia="仿宋" w:cs="仿宋"/>
              </w:rPr>
              <w:t>5000—10000</w:t>
            </w:r>
          </w:p>
        </w:tc>
        <w:tc>
          <w:tcPr>
            <w:tcW w:w="1237" w:type="dxa"/>
            <w:tcBorders>
              <w:top w:val="outset" w:color="auto" w:sz="6" w:space="0"/>
              <w:left w:val="outset" w:color="auto" w:sz="6" w:space="0"/>
              <w:bottom w:val="outset" w:color="auto" w:sz="6" w:space="0"/>
              <w:right w:val="outset" w:color="auto" w:sz="6" w:space="0"/>
            </w:tcBorders>
            <w:vAlign w:val="center"/>
          </w:tcPr>
          <w:p w14:paraId="29ADE860">
            <w:pPr>
              <w:widowControl/>
              <w:jc w:val="center"/>
              <w:rPr>
                <w:rFonts w:hint="eastAsia" w:ascii="仿宋" w:hAnsi="仿宋" w:eastAsia="仿宋" w:cs="仿宋"/>
              </w:rPr>
            </w:pPr>
            <w:r>
              <w:rPr>
                <w:rFonts w:hint="eastAsia" w:ascii="仿宋" w:hAnsi="仿宋" w:eastAsia="仿宋" w:cs="仿宋"/>
              </w:rPr>
              <w:t>0.25</w:t>
            </w:r>
          </w:p>
        </w:tc>
        <w:tc>
          <w:tcPr>
            <w:tcW w:w="1237" w:type="dxa"/>
            <w:tcBorders>
              <w:top w:val="outset" w:color="auto" w:sz="6" w:space="0"/>
              <w:left w:val="outset" w:color="auto" w:sz="6" w:space="0"/>
              <w:bottom w:val="outset" w:color="auto" w:sz="6" w:space="0"/>
              <w:right w:val="outset" w:color="auto" w:sz="6" w:space="0"/>
            </w:tcBorders>
            <w:vAlign w:val="center"/>
          </w:tcPr>
          <w:p w14:paraId="0FB881A5">
            <w:pPr>
              <w:widowControl/>
              <w:jc w:val="center"/>
              <w:rPr>
                <w:rFonts w:hint="eastAsia" w:ascii="仿宋" w:hAnsi="仿宋" w:eastAsia="仿宋" w:cs="仿宋"/>
              </w:rPr>
            </w:pPr>
            <w:r>
              <w:rPr>
                <w:rFonts w:hint="eastAsia" w:ascii="仿宋" w:hAnsi="仿宋" w:eastAsia="仿宋" w:cs="仿宋"/>
              </w:rPr>
              <w:t>0.1</w:t>
            </w:r>
          </w:p>
        </w:tc>
        <w:tc>
          <w:tcPr>
            <w:tcW w:w="1240" w:type="dxa"/>
            <w:tcBorders>
              <w:top w:val="outset" w:color="auto" w:sz="6" w:space="0"/>
              <w:left w:val="outset" w:color="auto" w:sz="6" w:space="0"/>
              <w:bottom w:val="outset" w:color="auto" w:sz="6" w:space="0"/>
              <w:right w:val="outset" w:color="auto" w:sz="6" w:space="0"/>
            </w:tcBorders>
            <w:vAlign w:val="center"/>
          </w:tcPr>
          <w:p w14:paraId="34525775">
            <w:pPr>
              <w:widowControl/>
              <w:jc w:val="center"/>
              <w:rPr>
                <w:rFonts w:hint="eastAsia" w:ascii="仿宋" w:hAnsi="仿宋" w:eastAsia="仿宋" w:cs="仿宋"/>
              </w:rPr>
            </w:pPr>
            <w:r>
              <w:rPr>
                <w:rFonts w:hint="eastAsia" w:ascii="仿宋" w:hAnsi="仿宋" w:eastAsia="仿宋" w:cs="仿宋"/>
              </w:rPr>
              <w:t>0.2</w:t>
            </w:r>
          </w:p>
        </w:tc>
      </w:tr>
      <w:tr w14:paraId="3A04D7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3C12F2DD">
            <w:pPr>
              <w:widowControl/>
              <w:ind w:firstLine="420" w:firstLineChars="200"/>
              <w:jc w:val="left"/>
              <w:rPr>
                <w:rFonts w:hint="eastAsia" w:ascii="仿宋" w:hAnsi="仿宋" w:eastAsia="仿宋" w:cs="仿宋"/>
              </w:rPr>
            </w:pPr>
            <w:r>
              <w:rPr>
                <w:rFonts w:hint="eastAsia" w:ascii="仿宋" w:hAnsi="仿宋" w:eastAsia="仿宋" w:cs="仿宋"/>
              </w:rPr>
              <w:t>10000—50000</w:t>
            </w:r>
          </w:p>
        </w:tc>
        <w:tc>
          <w:tcPr>
            <w:tcW w:w="1237" w:type="dxa"/>
            <w:tcBorders>
              <w:top w:val="outset" w:color="auto" w:sz="6" w:space="0"/>
              <w:left w:val="outset" w:color="auto" w:sz="6" w:space="0"/>
              <w:bottom w:val="outset" w:color="auto" w:sz="6" w:space="0"/>
              <w:right w:val="outset" w:color="auto" w:sz="6" w:space="0"/>
            </w:tcBorders>
            <w:vAlign w:val="center"/>
          </w:tcPr>
          <w:p w14:paraId="3DFBCAF9">
            <w:pPr>
              <w:widowControl/>
              <w:jc w:val="center"/>
              <w:rPr>
                <w:rFonts w:hint="eastAsia" w:ascii="仿宋" w:hAnsi="仿宋" w:eastAsia="仿宋" w:cs="仿宋"/>
              </w:rPr>
            </w:pPr>
            <w:r>
              <w:rPr>
                <w:rFonts w:hint="eastAsia" w:ascii="仿宋" w:hAnsi="仿宋" w:eastAsia="仿宋" w:cs="仿宋"/>
              </w:rPr>
              <w:t>0.05</w:t>
            </w:r>
          </w:p>
        </w:tc>
        <w:tc>
          <w:tcPr>
            <w:tcW w:w="1237" w:type="dxa"/>
            <w:tcBorders>
              <w:top w:val="outset" w:color="auto" w:sz="6" w:space="0"/>
              <w:left w:val="outset" w:color="auto" w:sz="6" w:space="0"/>
              <w:bottom w:val="outset" w:color="auto" w:sz="6" w:space="0"/>
              <w:right w:val="outset" w:color="auto" w:sz="6" w:space="0"/>
            </w:tcBorders>
            <w:vAlign w:val="center"/>
          </w:tcPr>
          <w:p w14:paraId="7FA67F41">
            <w:pPr>
              <w:widowControl/>
              <w:jc w:val="center"/>
              <w:rPr>
                <w:rFonts w:hint="eastAsia" w:ascii="仿宋" w:hAnsi="仿宋" w:eastAsia="仿宋" w:cs="仿宋"/>
              </w:rPr>
            </w:pPr>
            <w:r>
              <w:rPr>
                <w:rFonts w:hint="eastAsia" w:ascii="仿宋" w:hAnsi="仿宋" w:eastAsia="仿宋" w:cs="仿宋"/>
              </w:rPr>
              <w:t>0.05</w:t>
            </w:r>
          </w:p>
        </w:tc>
        <w:tc>
          <w:tcPr>
            <w:tcW w:w="1240" w:type="dxa"/>
            <w:tcBorders>
              <w:top w:val="outset" w:color="auto" w:sz="6" w:space="0"/>
              <w:left w:val="outset" w:color="auto" w:sz="6" w:space="0"/>
              <w:bottom w:val="outset" w:color="auto" w:sz="6" w:space="0"/>
              <w:right w:val="outset" w:color="auto" w:sz="6" w:space="0"/>
            </w:tcBorders>
            <w:vAlign w:val="center"/>
          </w:tcPr>
          <w:p w14:paraId="316CE7C9">
            <w:pPr>
              <w:widowControl/>
              <w:jc w:val="center"/>
              <w:rPr>
                <w:rFonts w:hint="eastAsia" w:ascii="仿宋" w:hAnsi="仿宋" w:eastAsia="仿宋" w:cs="仿宋"/>
              </w:rPr>
            </w:pPr>
            <w:r>
              <w:rPr>
                <w:rFonts w:hint="eastAsia" w:ascii="仿宋" w:hAnsi="仿宋" w:eastAsia="仿宋" w:cs="仿宋"/>
              </w:rPr>
              <w:t>0.05</w:t>
            </w:r>
          </w:p>
        </w:tc>
      </w:tr>
      <w:tr w14:paraId="053D9B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tblCellSpacing w:w="0" w:type="dxa"/>
          <w:jc w:val="center"/>
        </w:trPr>
        <w:tc>
          <w:tcPr>
            <w:tcW w:w="3792" w:type="dxa"/>
            <w:tcBorders>
              <w:top w:val="outset" w:color="auto" w:sz="6" w:space="0"/>
              <w:left w:val="outset" w:color="auto" w:sz="6" w:space="0"/>
              <w:bottom w:val="outset" w:color="auto" w:sz="6" w:space="0"/>
              <w:right w:val="outset" w:color="auto" w:sz="6" w:space="0"/>
            </w:tcBorders>
            <w:vAlign w:val="center"/>
          </w:tcPr>
          <w:p w14:paraId="66CED5CD">
            <w:pPr>
              <w:widowControl/>
              <w:ind w:firstLine="420" w:firstLineChars="200"/>
              <w:jc w:val="left"/>
              <w:rPr>
                <w:rFonts w:hint="eastAsia" w:ascii="仿宋" w:hAnsi="仿宋" w:eastAsia="仿宋" w:cs="仿宋"/>
              </w:rPr>
            </w:pPr>
            <w:r>
              <w:rPr>
                <w:rFonts w:hint="eastAsia" w:ascii="仿宋" w:hAnsi="仿宋" w:eastAsia="仿宋" w:cs="仿宋"/>
              </w:rPr>
              <w:t>50000—8000000</w:t>
            </w:r>
          </w:p>
        </w:tc>
        <w:tc>
          <w:tcPr>
            <w:tcW w:w="1237" w:type="dxa"/>
            <w:tcBorders>
              <w:top w:val="outset" w:color="auto" w:sz="6" w:space="0"/>
              <w:left w:val="outset" w:color="auto" w:sz="6" w:space="0"/>
              <w:bottom w:val="outset" w:color="auto" w:sz="6" w:space="0"/>
              <w:right w:val="outset" w:color="auto" w:sz="6" w:space="0"/>
            </w:tcBorders>
            <w:vAlign w:val="center"/>
          </w:tcPr>
          <w:p w14:paraId="27ED0A8B">
            <w:pPr>
              <w:widowControl/>
              <w:jc w:val="center"/>
              <w:rPr>
                <w:rFonts w:hint="eastAsia" w:ascii="仿宋" w:hAnsi="仿宋" w:eastAsia="仿宋" w:cs="仿宋"/>
              </w:rPr>
            </w:pPr>
            <w:r>
              <w:rPr>
                <w:rFonts w:hint="eastAsia" w:ascii="仿宋" w:hAnsi="仿宋" w:eastAsia="仿宋" w:cs="仿宋"/>
              </w:rPr>
              <w:t>0.035</w:t>
            </w:r>
          </w:p>
        </w:tc>
        <w:tc>
          <w:tcPr>
            <w:tcW w:w="1237" w:type="dxa"/>
            <w:tcBorders>
              <w:top w:val="outset" w:color="auto" w:sz="6" w:space="0"/>
              <w:left w:val="outset" w:color="auto" w:sz="6" w:space="0"/>
              <w:bottom w:val="outset" w:color="auto" w:sz="6" w:space="0"/>
              <w:right w:val="outset" w:color="auto" w:sz="6" w:space="0"/>
            </w:tcBorders>
            <w:vAlign w:val="center"/>
          </w:tcPr>
          <w:p w14:paraId="4BBA2DA5">
            <w:pPr>
              <w:widowControl/>
              <w:jc w:val="center"/>
              <w:rPr>
                <w:rFonts w:hint="eastAsia" w:ascii="仿宋" w:hAnsi="仿宋" w:eastAsia="仿宋" w:cs="仿宋"/>
              </w:rPr>
            </w:pPr>
            <w:r>
              <w:rPr>
                <w:rFonts w:hint="eastAsia" w:ascii="仿宋" w:hAnsi="仿宋" w:eastAsia="仿宋" w:cs="仿宋"/>
              </w:rPr>
              <w:t>0.035</w:t>
            </w:r>
          </w:p>
        </w:tc>
        <w:tc>
          <w:tcPr>
            <w:tcW w:w="1240" w:type="dxa"/>
            <w:tcBorders>
              <w:top w:val="outset" w:color="auto" w:sz="6" w:space="0"/>
              <w:left w:val="outset" w:color="auto" w:sz="6" w:space="0"/>
              <w:bottom w:val="outset" w:color="auto" w:sz="6" w:space="0"/>
              <w:right w:val="outset" w:color="auto" w:sz="6" w:space="0"/>
            </w:tcBorders>
            <w:vAlign w:val="center"/>
          </w:tcPr>
          <w:p w14:paraId="4075E0CB">
            <w:pPr>
              <w:widowControl/>
              <w:jc w:val="center"/>
              <w:rPr>
                <w:rFonts w:hint="eastAsia" w:ascii="仿宋" w:hAnsi="仿宋" w:eastAsia="仿宋" w:cs="仿宋"/>
              </w:rPr>
            </w:pPr>
            <w:r>
              <w:rPr>
                <w:rFonts w:hint="eastAsia" w:ascii="仿宋" w:hAnsi="仿宋" w:eastAsia="仿宋" w:cs="仿宋"/>
              </w:rPr>
              <w:t>0.035</w:t>
            </w:r>
          </w:p>
        </w:tc>
      </w:tr>
    </w:tbl>
    <w:p w14:paraId="2770EF67">
      <w:pPr>
        <w:pStyle w:val="16"/>
        <w:spacing w:line="460" w:lineRule="exact"/>
        <w:rPr>
          <w:rFonts w:hint="eastAsia" w:ascii="仿宋" w:hAnsi="仿宋" w:eastAsia="仿宋"/>
        </w:rPr>
      </w:pPr>
    </w:p>
    <w:p w14:paraId="329CFB11">
      <w:pPr>
        <w:spacing w:line="460" w:lineRule="exact"/>
        <w:rPr>
          <w:rFonts w:hint="eastAsia" w:ascii="仿宋" w:hAnsi="仿宋" w:eastAsia="仿宋"/>
        </w:rPr>
      </w:pPr>
    </w:p>
    <w:p w14:paraId="4B587AF0">
      <w:pPr>
        <w:rPr>
          <w:rFonts w:hint="eastAsia" w:ascii="仿宋" w:hAnsi="仿宋" w:eastAsia="仿宋"/>
        </w:rPr>
      </w:pPr>
      <w:r>
        <w:rPr>
          <w:rFonts w:hint="eastAsia" w:ascii="仿宋" w:hAnsi="仿宋" w:eastAsia="仿宋"/>
        </w:rPr>
        <w:br w:type="page"/>
      </w:r>
    </w:p>
    <w:p w14:paraId="1C713922">
      <w:pPr>
        <w:spacing w:line="460" w:lineRule="exact"/>
        <w:rPr>
          <w:rFonts w:hint="eastAsia" w:ascii="仿宋" w:hAnsi="仿宋" w:eastAsia="仿宋"/>
        </w:rPr>
      </w:pPr>
      <w:r>
        <w:rPr>
          <w:rFonts w:hint="eastAsia" w:ascii="仿宋" w:hAnsi="仿宋" w:eastAsia="仿宋"/>
        </w:rPr>
        <w:t>3中小企业声明函</w:t>
      </w:r>
    </w:p>
    <w:p w14:paraId="3EA98F10">
      <w:pPr>
        <w:jc w:val="center"/>
      </w:pPr>
      <w:r>
        <w:drawing>
          <wp:inline distT="0" distB="0" distL="114300" distR="114300">
            <wp:extent cx="5221605" cy="7200265"/>
            <wp:effectExtent l="0" t="0" r="1079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21605" cy="7200265"/>
                    </a:xfrm>
                    <a:prstGeom prst="rect">
                      <a:avLst/>
                    </a:prstGeom>
                    <a:noFill/>
                    <a:ln>
                      <a:noFill/>
                    </a:ln>
                  </pic:spPr>
                </pic:pic>
              </a:graphicData>
            </a:graphic>
          </wp:inline>
        </w:drawing>
      </w:r>
    </w:p>
    <w:p w14:paraId="09E23E1F">
      <w:pPr>
        <w:spacing w:line="460" w:lineRule="exact"/>
        <w:rPr>
          <w:rFonts w:hint="eastAsia" w:ascii="仿宋" w:hAnsi="仿宋" w:eastAsia="仿宋"/>
        </w:rPr>
      </w:pPr>
    </w:p>
    <w:p w14:paraId="4775CE8E">
      <w:pPr>
        <w:spacing w:line="460" w:lineRule="exact"/>
        <w:rPr>
          <w:rFonts w:hint="eastAsia" w:ascii="仿宋" w:hAnsi="仿宋" w:eastAsia="仿宋"/>
        </w:rPr>
      </w:pPr>
    </w:p>
    <w:p w14:paraId="0D81E645">
      <w:pPr>
        <w:spacing w:line="460" w:lineRule="exact"/>
        <w:rPr>
          <w:rFonts w:hint="eastAsia" w:ascii="仿宋" w:hAnsi="仿宋" w:eastAsia="仿宋"/>
        </w:rPr>
      </w:pPr>
    </w:p>
    <w:p w14:paraId="4B6B9FE2">
      <w:pPr>
        <w:spacing w:line="460" w:lineRule="exact"/>
        <w:rPr>
          <w:rFonts w:hint="eastAsia" w:ascii="仿宋" w:hAnsi="仿宋" w:eastAsia="仿宋"/>
        </w:rPr>
      </w:pPr>
    </w:p>
    <w:p w14:paraId="7AE1917E">
      <w:pPr>
        <w:spacing w:line="460" w:lineRule="exact"/>
        <w:rPr>
          <w:rFonts w:hint="eastAsia" w:ascii="仿宋" w:hAnsi="仿宋" w:eastAsia="仿宋"/>
        </w:rPr>
      </w:pPr>
    </w:p>
    <w:sectPr>
      <w:pgSz w:w="11906" w:h="16838"/>
      <w:pgMar w:top="1327"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AAAE">
    <w:pPr>
      <w:pStyle w:val="6"/>
      <w:rPr>
        <w:rFonts w:ascii="Times New Roman"/>
      </w:rPr>
    </w:pPr>
    <w: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-90805</wp:posOffset>
              </wp:positionV>
              <wp:extent cx="2755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55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D903F">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9pt;margin-top:-7.15pt;height:144pt;width:21.7pt;mso-position-horizontal-relative:margin;z-index:251659264;mso-width-relative:page;mso-height-relative:page;" filled="f" stroked="f" coordsize="21600,21600" o:gfxdata="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FE0LZAAAACwEAAA8AAAAAAAAAAQAgAAAAIgAAAGRycy9kb3ducmV2Lnht&#10;bFBLAQIUABQAAAAIAIdO4kBAO8nzMQIAAFYEAAAOAAAAAAAAAAEAIAAAACgBAABkcnMvZTJvRG9j&#10;LnhtbFBLBQYAAAAABgAGAFkBAADLBQAAAAA=&#10;">
              <v:fill on="f" focussize="0,0"/>
              <v:stroke on="f" weight="0.5pt"/>
              <v:imagedata o:title=""/>
              <o:lock v:ext="edit" aspectratio="f"/>
              <v:textbox inset="0mm,0mm,0mm,0mm" style="mso-fit-shape-to-text:t;">
                <w:txbxContent>
                  <w:p w14:paraId="5B6D903F">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AFC4">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4624E">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A04624E">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E77E51"/>
    <w:rsid w:val="00011C18"/>
    <w:rsid w:val="00024B4D"/>
    <w:rsid w:val="00040E6D"/>
    <w:rsid w:val="000509CB"/>
    <w:rsid w:val="000638DF"/>
    <w:rsid w:val="00073984"/>
    <w:rsid w:val="00081F31"/>
    <w:rsid w:val="00090ED5"/>
    <w:rsid w:val="00094FF0"/>
    <w:rsid w:val="000E38A3"/>
    <w:rsid w:val="0011695C"/>
    <w:rsid w:val="00147196"/>
    <w:rsid w:val="00174E7E"/>
    <w:rsid w:val="00175FDE"/>
    <w:rsid w:val="00176B6D"/>
    <w:rsid w:val="00187EE5"/>
    <w:rsid w:val="001C5FB8"/>
    <w:rsid w:val="001E163A"/>
    <w:rsid w:val="001E78ED"/>
    <w:rsid w:val="00216B6F"/>
    <w:rsid w:val="00223F19"/>
    <w:rsid w:val="00237CF4"/>
    <w:rsid w:val="002534BA"/>
    <w:rsid w:val="00283E9D"/>
    <w:rsid w:val="00284C4F"/>
    <w:rsid w:val="002C3138"/>
    <w:rsid w:val="002E273F"/>
    <w:rsid w:val="002F4EDF"/>
    <w:rsid w:val="0030439E"/>
    <w:rsid w:val="0033609C"/>
    <w:rsid w:val="0036148E"/>
    <w:rsid w:val="00370BBC"/>
    <w:rsid w:val="00380C50"/>
    <w:rsid w:val="00395390"/>
    <w:rsid w:val="003A121A"/>
    <w:rsid w:val="003B0AED"/>
    <w:rsid w:val="003C6924"/>
    <w:rsid w:val="003F076A"/>
    <w:rsid w:val="003F4A4D"/>
    <w:rsid w:val="00402E14"/>
    <w:rsid w:val="00433468"/>
    <w:rsid w:val="0045396B"/>
    <w:rsid w:val="004F21C5"/>
    <w:rsid w:val="005114AF"/>
    <w:rsid w:val="005159CA"/>
    <w:rsid w:val="00523692"/>
    <w:rsid w:val="00557AF2"/>
    <w:rsid w:val="005640D7"/>
    <w:rsid w:val="005B2DA7"/>
    <w:rsid w:val="005D47CE"/>
    <w:rsid w:val="0066559A"/>
    <w:rsid w:val="00686E34"/>
    <w:rsid w:val="006B4BC6"/>
    <w:rsid w:val="006C0B5F"/>
    <w:rsid w:val="006C1D90"/>
    <w:rsid w:val="006D7B23"/>
    <w:rsid w:val="006E5ABA"/>
    <w:rsid w:val="007030DC"/>
    <w:rsid w:val="0073440C"/>
    <w:rsid w:val="007437B9"/>
    <w:rsid w:val="00747180"/>
    <w:rsid w:val="007A15FF"/>
    <w:rsid w:val="007E45CF"/>
    <w:rsid w:val="00812528"/>
    <w:rsid w:val="00812551"/>
    <w:rsid w:val="00814515"/>
    <w:rsid w:val="008624A7"/>
    <w:rsid w:val="008A41CF"/>
    <w:rsid w:val="008B4C8A"/>
    <w:rsid w:val="008C62C2"/>
    <w:rsid w:val="008F3BF3"/>
    <w:rsid w:val="00981081"/>
    <w:rsid w:val="009B53FA"/>
    <w:rsid w:val="009D2ED7"/>
    <w:rsid w:val="009E6E10"/>
    <w:rsid w:val="00A37346"/>
    <w:rsid w:val="00A839DA"/>
    <w:rsid w:val="00A87252"/>
    <w:rsid w:val="00AA124F"/>
    <w:rsid w:val="00AA46C4"/>
    <w:rsid w:val="00AA657A"/>
    <w:rsid w:val="00B23544"/>
    <w:rsid w:val="00B606B4"/>
    <w:rsid w:val="00B71E8D"/>
    <w:rsid w:val="00B76438"/>
    <w:rsid w:val="00B9591C"/>
    <w:rsid w:val="00BB1DE5"/>
    <w:rsid w:val="00BD621A"/>
    <w:rsid w:val="00C50C01"/>
    <w:rsid w:val="00C53F49"/>
    <w:rsid w:val="00C619D9"/>
    <w:rsid w:val="00CE1E87"/>
    <w:rsid w:val="00CF131A"/>
    <w:rsid w:val="00CF6AD3"/>
    <w:rsid w:val="00D23BB8"/>
    <w:rsid w:val="00D55035"/>
    <w:rsid w:val="00D82355"/>
    <w:rsid w:val="00DB0BBE"/>
    <w:rsid w:val="00DC2FE8"/>
    <w:rsid w:val="00E0430E"/>
    <w:rsid w:val="00E714A0"/>
    <w:rsid w:val="00E77E51"/>
    <w:rsid w:val="00E903C4"/>
    <w:rsid w:val="00F35339"/>
    <w:rsid w:val="00F37E96"/>
    <w:rsid w:val="00F40ACF"/>
    <w:rsid w:val="00F52CA0"/>
    <w:rsid w:val="00F810D3"/>
    <w:rsid w:val="00F957DF"/>
    <w:rsid w:val="00FA46BE"/>
    <w:rsid w:val="00FE1111"/>
    <w:rsid w:val="03EA0B16"/>
    <w:rsid w:val="1A2A009F"/>
    <w:rsid w:val="25496D80"/>
    <w:rsid w:val="26AA76AE"/>
    <w:rsid w:val="2DEB4E67"/>
    <w:rsid w:val="30A928B7"/>
    <w:rsid w:val="33111AD6"/>
    <w:rsid w:val="37924AE6"/>
    <w:rsid w:val="395A0066"/>
    <w:rsid w:val="49B51C43"/>
    <w:rsid w:val="4DA41D36"/>
    <w:rsid w:val="4DE778B6"/>
    <w:rsid w:val="4F7500BB"/>
    <w:rsid w:val="50F31AD1"/>
    <w:rsid w:val="55F16348"/>
    <w:rsid w:val="58BB7584"/>
    <w:rsid w:val="5EC953EE"/>
    <w:rsid w:val="697E38E3"/>
    <w:rsid w:val="6F2819AD"/>
    <w:rsid w:val="71B14779"/>
    <w:rsid w:val="759C7ADD"/>
    <w:rsid w:val="768E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unhideWhenUsed/>
    <w:qFormat/>
    <w:uiPriority w:val="99"/>
    <w:pPr>
      <w:jc w:val="left"/>
    </w:pPr>
    <w:rPr>
      <w:rFonts w:ascii="Times New Roman" w:hAnsi="Times New Roman"/>
    </w:rPr>
  </w:style>
  <w:style w:type="paragraph" w:styleId="4">
    <w:name w:val="Plain Text"/>
    <w:basedOn w:val="1"/>
    <w:link w:val="20"/>
    <w:autoRedefine/>
    <w:semiHidden/>
    <w:unhideWhenUsed/>
    <w:qFormat/>
    <w:uiPriority w:val="99"/>
    <w:rPr>
      <w:rFonts w:hint="eastAsia" w:ascii="宋体" w:hAnsi="Courier New"/>
      <w:szCs w:val="20"/>
    </w:rPr>
  </w:style>
  <w:style w:type="paragraph" w:styleId="5">
    <w:name w:val="Balloon Text"/>
    <w:basedOn w:val="1"/>
    <w:link w:val="15"/>
    <w:autoRedefine/>
    <w:semiHidden/>
    <w:unhideWhenUsed/>
    <w:qFormat/>
    <w:uiPriority w:val="99"/>
    <w:rPr>
      <w:sz w:val="18"/>
      <w:szCs w:val="18"/>
    </w:rPr>
  </w:style>
  <w:style w:type="paragraph" w:styleId="6">
    <w:name w:val="footer"/>
    <w:basedOn w:val="1"/>
    <w:next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4"/>
    <w:autoRedefine/>
    <w:semiHidden/>
    <w:unhideWhenUsed/>
    <w:qFormat/>
    <w:uiPriority w:val="99"/>
    <w:rPr>
      <w:b/>
      <w:bCs/>
    </w:rPr>
  </w:style>
  <w:style w:type="character" w:styleId="11">
    <w:name w:val="Hyperlink"/>
    <w:basedOn w:val="10"/>
    <w:autoRedefine/>
    <w:semiHidden/>
    <w:unhideWhenUsed/>
    <w:qFormat/>
    <w:uiPriority w:val="99"/>
    <w:rPr>
      <w:color w:val="0000FF"/>
      <w:u w:val="single"/>
    </w:rPr>
  </w:style>
  <w:style w:type="character" w:styleId="12">
    <w:name w:val="annotation reference"/>
    <w:basedOn w:val="10"/>
    <w:autoRedefine/>
    <w:semiHidden/>
    <w:unhideWhenUsed/>
    <w:qFormat/>
    <w:uiPriority w:val="99"/>
    <w:rPr>
      <w:sz w:val="21"/>
      <w:szCs w:val="21"/>
    </w:rPr>
  </w:style>
  <w:style w:type="character" w:customStyle="1" w:styleId="13">
    <w:name w:val="批注文字 字符"/>
    <w:basedOn w:val="10"/>
    <w:link w:val="3"/>
    <w:autoRedefine/>
    <w:qFormat/>
    <w:uiPriority w:val="99"/>
    <w:rPr>
      <w:rFonts w:ascii="Calibri" w:hAnsi="Calibri" w:eastAsia="宋体" w:cs="Times New Roman"/>
      <w:kern w:val="2"/>
      <w:sz w:val="21"/>
      <w:szCs w:val="21"/>
    </w:rPr>
  </w:style>
  <w:style w:type="character" w:customStyle="1" w:styleId="14">
    <w:name w:val="批注主题 字符"/>
    <w:basedOn w:val="13"/>
    <w:link w:val="8"/>
    <w:autoRedefine/>
    <w:semiHidden/>
    <w:qFormat/>
    <w:uiPriority w:val="99"/>
    <w:rPr>
      <w:rFonts w:ascii="Calibri" w:hAnsi="Calibri" w:eastAsia="宋体" w:cs="Times New Roman"/>
      <w:b/>
      <w:bCs/>
      <w:kern w:val="2"/>
      <w:sz w:val="21"/>
      <w:szCs w:val="21"/>
    </w:rPr>
  </w:style>
  <w:style w:type="character" w:customStyle="1" w:styleId="15">
    <w:name w:val="批注框文本 字符"/>
    <w:basedOn w:val="10"/>
    <w:link w:val="5"/>
    <w:autoRedefine/>
    <w:semiHidden/>
    <w:qFormat/>
    <w:uiPriority w:val="99"/>
    <w:rPr>
      <w:rFonts w:ascii="Calibri" w:hAnsi="Calibri" w:eastAsia="宋体" w:cs="Times New Roman"/>
      <w:kern w:val="2"/>
      <w:sz w:val="18"/>
      <w:szCs w:val="18"/>
    </w:rPr>
  </w:style>
  <w:style w:type="paragraph" w:customStyle="1" w:styleId="16">
    <w:name w:val="_Style 41"/>
    <w:basedOn w:val="1"/>
    <w:next w:val="1"/>
    <w:autoRedefine/>
    <w:qFormat/>
    <w:uiPriority w:val="0"/>
    <w:pPr>
      <w:ind w:firstLine="420" w:firstLineChars="200"/>
    </w:pPr>
    <w:rPr>
      <w:rFonts w:ascii="Times New Roman" w:hAnsi="Times New Roman"/>
    </w:rPr>
  </w:style>
  <w:style w:type="character" w:customStyle="1" w:styleId="17">
    <w:name w:val="页眉 字符"/>
    <w:basedOn w:val="10"/>
    <w:link w:val="7"/>
    <w:autoRedefine/>
    <w:qFormat/>
    <w:uiPriority w:val="99"/>
    <w:rPr>
      <w:rFonts w:ascii="Calibri" w:hAnsi="Calibri" w:eastAsia="宋体" w:cs="Times New Roman"/>
      <w:kern w:val="2"/>
      <w:sz w:val="18"/>
      <w:szCs w:val="18"/>
    </w:rPr>
  </w:style>
  <w:style w:type="character" w:customStyle="1" w:styleId="18">
    <w:name w:val="页脚 字符"/>
    <w:basedOn w:val="10"/>
    <w:link w:val="6"/>
    <w:autoRedefine/>
    <w:qFormat/>
    <w:uiPriority w:val="99"/>
    <w:rPr>
      <w:rFonts w:ascii="Calibri" w:hAnsi="Calibri" w:eastAsia="宋体" w:cs="Times New Roman"/>
      <w:kern w:val="2"/>
      <w:sz w:val="18"/>
      <w:szCs w:val="18"/>
    </w:rPr>
  </w:style>
  <w:style w:type="paragraph" w:customStyle="1" w:styleId="19">
    <w:name w:val="Char"/>
    <w:basedOn w:val="1"/>
    <w:autoRedefine/>
    <w:qFormat/>
    <w:uiPriority w:val="0"/>
    <w:rPr>
      <w:rFonts w:ascii="Times New Roman" w:hAnsi="Times New Roman"/>
      <w:szCs w:val="24"/>
    </w:rPr>
  </w:style>
  <w:style w:type="character" w:customStyle="1" w:styleId="20">
    <w:name w:val="纯文本 字符"/>
    <w:basedOn w:val="10"/>
    <w:link w:val="4"/>
    <w:autoRedefine/>
    <w:qFormat/>
    <w:uiPriority w:val="0"/>
    <w:rPr>
      <w:rFonts w:hint="eastAsia" w:ascii="宋体" w:hAnsi="Courier New" w:eastAsia="宋体" w:cs="宋体"/>
      <w:kern w:val="2"/>
      <w:sz w:val="21"/>
    </w:rPr>
  </w:style>
  <w:style w:type="paragraph" w:customStyle="1" w:styleId="21">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524A1-B6ED-4F37-A12E-B78D4381A4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765</Words>
  <Characters>991</Characters>
  <Lines>51</Lines>
  <Paragraphs>48</Paragraphs>
  <TotalTime>7</TotalTime>
  <ScaleCrop>false</ScaleCrop>
  <LinksUpToDate>false</LinksUpToDate>
  <CharactersWithSpaces>1031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2024-12-09T08:28:00Z</dcterms:created>
  <dc:creator>萌 孙</dc:creator>
  <cp:lastModifiedBy>孙萌</cp:lastModifiedBy>
  <dcterms:modified xsi:type="dcterms:W3CDTF">2025-08-18T09:34:42Z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B4492B3B2E8B465F94C635EA4B843C0D_13</vt:lpwstr>
  </property>
  <property fmtid="{D5CDD505-2E9C-101B-9397-08002B2CF9AE}" pid="4" name="KSOTemplateDocerSaveRecord">
    <vt:lpwstr>eyJoZGlkIjoiMmZmODhkODhhZDhlOTJiOGJhODk0YmVjYjIyZmQzMWMiLCJ1c2VySWQiOiIzODU0OTM4MDEifQ==</vt:lpwstr>
  </property>
</Properties>
</file>