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BF42" w14:textId="4CD61A31" w:rsidR="00270D71" w:rsidRPr="00CC28EC" w:rsidRDefault="009C7DD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仿宋" w:eastAsia="仿宋" w:hAnsi="仿宋" w:hint="eastAsia"/>
        </w:rPr>
      </w:pPr>
      <w:bookmarkStart w:id="0" w:name="_Toc35393809"/>
      <w:bookmarkStart w:id="1" w:name="_Toc28359022"/>
      <w:r>
        <w:rPr>
          <w:rFonts w:ascii="仿宋" w:eastAsia="仿宋" w:hAnsi="仿宋" w:hint="eastAsia"/>
        </w:rPr>
        <w:t>资产-义务教育生均定额补助-教育教学设备购置项目</w:t>
      </w:r>
      <w:r w:rsidR="009D3CF6" w:rsidRPr="00CC28EC">
        <w:rPr>
          <w:rFonts w:ascii="仿宋" w:eastAsia="仿宋" w:hAnsi="仿宋" w:hint="eastAsia"/>
        </w:rPr>
        <w:t>中标结果公告</w:t>
      </w:r>
      <w:bookmarkEnd w:id="0"/>
      <w:bookmarkEnd w:id="1"/>
    </w:p>
    <w:p w14:paraId="0CE108C4" w14:textId="2F7A6812" w:rsidR="00270D71" w:rsidRPr="00CC28EC" w:rsidRDefault="009D3CF6">
      <w:pPr>
        <w:rPr>
          <w:rFonts w:ascii="仿宋" w:eastAsia="仿宋" w:hAnsi="仿宋" w:hint="eastAsia"/>
          <w:sz w:val="28"/>
          <w:szCs w:val="28"/>
        </w:rPr>
      </w:pPr>
      <w:r w:rsidRPr="00CC28EC">
        <w:rPr>
          <w:rFonts w:ascii="仿宋" w:eastAsia="仿宋" w:hAnsi="仿宋" w:hint="eastAsia"/>
          <w:sz w:val="28"/>
          <w:szCs w:val="28"/>
        </w:rPr>
        <w:t>一</w:t>
      </w:r>
      <w:r w:rsidRPr="00CC28EC">
        <w:rPr>
          <w:rFonts w:ascii="仿宋" w:eastAsia="仿宋" w:hAnsi="仿宋"/>
          <w:sz w:val="28"/>
          <w:szCs w:val="28"/>
        </w:rPr>
        <w:t>、</w:t>
      </w:r>
      <w:r w:rsidRPr="00CC28EC">
        <w:rPr>
          <w:rFonts w:ascii="仿宋" w:eastAsia="仿宋" w:hAnsi="仿宋" w:hint="eastAsia"/>
          <w:sz w:val="28"/>
          <w:szCs w:val="28"/>
        </w:rPr>
        <w:t>项目编号：</w:t>
      </w:r>
      <w:r w:rsidR="009C7DD6" w:rsidRPr="009C7DD6">
        <w:rPr>
          <w:rFonts w:ascii="仿宋" w:eastAsia="仿宋" w:hAnsi="仿宋"/>
          <w:sz w:val="28"/>
          <w:szCs w:val="28"/>
        </w:rPr>
        <w:t>11011325210200022675-XM001</w:t>
      </w:r>
    </w:p>
    <w:p w14:paraId="301A0D1D" w14:textId="6D27E74E" w:rsidR="00270D71" w:rsidRPr="00CC28EC" w:rsidRDefault="009D3CF6">
      <w:pPr>
        <w:rPr>
          <w:rFonts w:ascii="仿宋" w:eastAsia="仿宋" w:hAnsi="仿宋" w:hint="eastAsia"/>
          <w:sz w:val="28"/>
          <w:szCs w:val="28"/>
          <w:u w:val="single"/>
        </w:rPr>
      </w:pPr>
      <w:r w:rsidRPr="00CC28EC">
        <w:rPr>
          <w:rFonts w:ascii="仿宋" w:eastAsia="仿宋" w:hAnsi="仿宋" w:hint="eastAsia"/>
          <w:sz w:val="28"/>
          <w:szCs w:val="28"/>
        </w:rPr>
        <w:t>二</w:t>
      </w:r>
      <w:r w:rsidRPr="00CC28EC">
        <w:rPr>
          <w:rFonts w:ascii="仿宋" w:eastAsia="仿宋" w:hAnsi="仿宋"/>
          <w:sz w:val="28"/>
          <w:szCs w:val="28"/>
        </w:rPr>
        <w:t>、</w:t>
      </w:r>
      <w:r w:rsidRPr="00CC28EC">
        <w:rPr>
          <w:rFonts w:ascii="仿宋" w:eastAsia="仿宋" w:hAnsi="仿宋" w:hint="eastAsia"/>
          <w:sz w:val="28"/>
          <w:szCs w:val="28"/>
        </w:rPr>
        <w:t>项目名称：</w:t>
      </w:r>
      <w:r w:rsidR="009C7DD6" w:rsidRPr="009C7DD6">
        <w:rPr>
          <w:rFonts w:ascii="仿宋" w:eastAsia="仿宋" w:hAnsi="仿宋" w:hint="eastAsia"/>
          <w:sz w:val="28"/>
          <w:szCs w:val="28"/>
        </w:rPr>
        <w:t>资产-义务教育生均定额补助-教育教学设备购置项目</w:t>
      </w:r>
    </w:p>
    <w:p w14:paraId="7275D711" w14:textId="77777777" w:rsidR="00270D71" w:rsidRPr="00CC28EC" w:rsidRDefault="009D3CF6">
      <w:pPr>
        <w:rPr>
          <w:rFonts w:ascii="仿宋" w:eastAsia="仿宋" w:hAnsi="仿宋" w:hint="eastAsia"/>
          <w:sz w:val="28"/>
          <w:szCs w:val="28"/>
        </w:rPr>
      </w:pPr>
      <w:r w:rsidRPr="00CC28EC">
        <w:rPr>
          <w:rFonts w:ascii="仿宋" w:eastAsia="仿宋" w:hAnsi="仿宋" w:hint="eastAsia"/>
          <w:sz w:val="28"/>
          <w:szCs w:val="28"/>
        </w:rPr>
        <w:t>三、中标（成交）信息</w:t>
      </w:r>
    </w:p>
    <w:p w14:paraId="2DC89698" w14:textId="38FFD9EC" w:rsidR="00270D71" w:rsidRPr="00CC28EC" w:rsidRDefault="009D3CF6" w:rsidP="00E73AFC">
      <w:pPr>
        <w:ind w:firstLineChars="200" w:firstLine="560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CC28EC">
        <w:rPr>
          <w:rFonts w:ascii="仿宋" w:eastAsia="仿宋" w:hAnsi="仿宋" w:hint="eastAsia"/>
          <w:sz w:val="28"/>
          <w:szCs w:val="28"/>
        </w:rPr>
        <w:t>供应商名称：</w:t>
      </w:r>
      <w:r w:rsidR="009C7DD6" w:rsidRPr="009C7DD6">
        <w:rPr>
          <w:rFonts w:ascii="仿宋" w:eastAsia="仿宋" w:hAnsi="仿宋" w:hint="eastAsia"/>
          <w:color w:val="000000" w:themeColor="text1"/>
          <w:sz w:val="28"/>
          <w:szCs w:val="28"/>
        </w:rPr>
        <w:t>北京广盛和商贸有限公司</w:t>
      </w:r>
    </w:p>
    <w:p w14:paraId="7FADD757" w14:textId="2C37714B" w:rsidR="00E73AFC" w:rsidRPr="00CC28EC" w:rsidRDefault="009D3CF6" w:rsidP="00E73AFC">
      <w:pPr>
        <w:ind w:firstLineChars="200" w:firstLine="560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CC28EC">
        <w:rPr>
          <w:rFonts w:ascii="仿宋" w:eastAsia="仿宋" w:hAnsi="仿宋" w:hint="eastAsia"/>
          <w:color w:val="000000" w:themeColor="text1"/>
          <w:sz w:val="28"/>
          <w:szCs w:val="28"/>
        </w:rPr>
        <w:t>供应商地址：</w:t>
      </w:r>
      <w:r w:rsidR="009C7DD6" w:rsidRPr="009C7DD6">
        <w:rPr>
          <w:rFonts w:ascii="仿宋" w:eastAsia="仿宋" w:hAnsi="仿宋" w:hint="eastAsia"/>
          <w:color w:val="000000" w:themeColor="text1"/>
          <w:sz w:val="28"/>
          <w:szCs w:val="28"/>
        </w:rPr>
        <w:t>北京市顺义区马坡镇衙门村安乐路38号</w:t>
      </w:r>
    </w:p>
    <w:p w14:paraId="34B7CD66" w14:textId="2EC9A38D" w:rsidR="00270D71" w:rsidRPr="00CC28EC" w:rsidRDefault="009D3CF6" w:rsidP="00E73AFC">
      <w:pPr>
        <w:ind w:firstLineChars="200" w:firstLine="560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CC28EC">
        <w:rPr>
          <w:rFonts w:ascii="仿宋" w:eastAsia="仿宋" w:hAnsi="仿宋" w:hint="eastAsia"/>
          <w:color w:val="000000" w:themeColor="text1"/>
          <w:sz w:val="28"/>
          <w:szCs w:val="28"/>
        </w:rPr>
        <w:t>中标（成交）金额：</w:t>
      </w:r>
      <w:r w:rsidR="009C7DD6">
        <w:rPr>
          <w:rFonts w:ascii="仿宋" w:eastAsia="仿宋" w:hAnsi="仿宋" w:hint="eastAsia"/>
          <w:color w:val="000000" w:themeColor="text1"/>
          <w:sz w:val="28"/>
          <w:szCs w:val="28"/>
        </w:rPr>
        <w:t>1145520</w:t>
      </w:r>
      <w:r w:rsidRPr="00CC28EC">
        <w:rPr>
          <w:rFonts w:ascii="仿宋" w:eastAsia="仿宋" w:hAnsi="仿宋" w:hint="eastAsia"/>
          <w:color w:val="000000" w:themeColor="text1"/>
          <w:sz w:val="28"/>
          <w:szCs w:val="28"/>
        </w:rPr>
        <w:t>元</w:t>
      </w:r>
    </w:p>
    <w:p w14:paraId="0A4F84F9" w14:textId="77777777" w:rsidR="00270D71" w:rsidRPr="00CC28EC" w:rsidRDefault="009D3CF6">
      <w:pPr>
        <w:numPr>
          <w:ilvl w:val="0"/>
          <w:numId w:val="1"/>
        </w:numPr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CC28EC">
        <w:rPr>
          <w:rFonts w:ascii="仿宋" w:eastAsia="仿宋" w:hAnsi="仿宋" w:hint="eastAsia"/>
          <w:color w:val="000000" w:themeColor="text1"/>
          <w:sz w:val="28"/>
          <w:szCs w:val="28"/>
        </w:rPr>
        <w:t>主要标的信息</w:t>
      </w:r>
    </w:p>
    <w:p w14:paraId="27ACF071" w14:textId="77777777" w:rsidR="00270D71" w:rsidRPr="00CC28EC" w:rsidRDefault="009D3CF6">
      <w:pPr>
        <w:ind w:firstLineChars="200" w:firstLine="560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CC28EC">
        <w:rPr>
          <w:rFonts w:ascii="仿宋" w:eastAsia="仿宋" w:hAnsi="仿宋" w:hint="eastAsia"/>
          <w:color w:val="000000" w:themeColor="text1"/>
          <w:sz w:val="28"/>
          <w:szCs w:val="28"/>
        </w:rPr>
        <w:t>详见附件。</w:t>
      </w:r>
    </w:p>
    <w:p w14:paraId="3090EA6E" w14:textId="77777777" w:rsidR="00270D71" w:rsidRPr="00CC28EC" w:rsidRDefault="009D3CF6">
      <w:pPr>
        <w:numPr>
          <w:ilvl w:val="0"/>
          <w:numId w:val="1"/>
        </w:numPr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CC28EC">
        <w:rPr>
          <w:rFonts w:ascii="仿宋" w:eastAsia="仿宋" w:hAnsi="仿宋" w:hint="eastAsia"/>
          <w:color w:val="000000" w:themeColor="text1"/>
          <w:sz w:val="28"/>
          <w:szCs w:val="28"/>
        </w:rPr>
        <w:t>评审专家（单一来源采购人员）名单：</w:t>
      </w:r>
    </w:p>
    <w:p w14:paraId="427E4D76" w14:textId="160EDEDF" w:rsidR="00270D71" w:rsidRPr="00CC28EC" w:rsidRDefault="009C7DD6" w:rsidP="009A0EB9">
      <w:pPr>
        <w:ind w:firstLineChars="200" w:firstLine="56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华慧芳、张道山、张雪梅、蒋从根、张蒙</w:t>
      </w:r>
    </w:p>
    <w:p w14:paraId="026E76FF" w14:textId="77777777" w:rsidR="00270D71" w:rsidRPr="00CC28EC" w:rsidRDefault="009D3CF6">
      <w:pPr>
        <w:numPr>
          <w:ilvl w:val="0"/>
          <w:numId w:val="1"/>
        </w:numPr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CC28EC">
        <w:rPr>
          <w:rFonts w:ascii="仿宋" w:eastAsia="仿宋" w:hAnsi="仿宋" w:hint="eastAsia"/>
          <w:color w:val="000000" w:themeColor="text1"/>
          <w:sz w:val="28"/>
          <w:szCs w:val="28"/>
        </w:rPr>
        <w:t>代理服务收费标准及金额：</w:t>
      </w:r>
    </w:p>
    <w:p w14:paraId="71D7E950" w14:textId="1FAE5C3D" w:rsidR="008C09E5" w:rsidRDefault="009D3CF6" w:rsidP="008C09E5">
      <w:pPr>
        <w:pStyle w:val="Style41"/>
        <w:tabs>
          <w:tab w:val="left" w:pos="851"/>
        </w:tabs>
        <w:spacing w:line="500" w:lineRule="exact"/>
        <w:ind w:firstLine="560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CC28EC">
        <w:rPr>
          <w:rFonts w:ascii="仿宋" w:eastAsia="仿宋" w:hAnsi="仿宋" w:hint="eastAsia"/>
          <w:color w:val="000000" w:themeColor="text1"/>
          <w:sz w:val="28"/>
          <w:szCs w:val="28"/>
        </w:rPr>
        <w:t>收费标准：</w:t>
      </w:r>
      <w:r w:rsidR="008C09E5" w:rsidRPr="008C09E5">
        <w:rPr>
          <w:rFonts w:ascii="仿宋" w:eastAsia="仿宋" w:hAnsi="仿宋" w:hint="eastAsia"/>
          <w:color w:val="000000" w:themeColor="text1"/>
          <w:sz w:val="28"/>
          <w:szCs w:val="28"/>
        </w:rPr>
        <w:t>以</w:t>
      </w:r>
      <w:r w:rsidR="009C7DD6">
        <w:rPr>
          <w:rFonts w:ascii="仿宋" w:eastAsia="仿宋" w:hAnsi="仿宋" w:hint="eastAsia"/>
          <w:color w:val="000000" w:themeColor="text1"/>
          <w:sz w:val="28"/>
          <w:szCs w:val="28"/>
        </w:rPr>
        <w:t>采购项目</w:t>
      </w:r>
      <w:r w:rsidR="008C09E5" w:rsidRPr="008C09E5">
        <w:rPr>
          <w:rFonts w:ascii="仿宋" w:eastAsia="仿宋" w:hAnsi="仿宋" w:hint="eastAsia"/>
          <w:color w:val="000000" w:themeColor="text1"/>
          <w:sz w:val="28"/>
          <w:szCs w:val="28"/>
        </w:rPr>
        <w:t>中标金额为计费基数，按“差额定率累进法”的计算结果结算。差额定率累进法是指将</w:t>
      </w:r>
      <w:r w:rsidR="009C7DD6">
        <w:rPr>
          <w:rFonts w:ascii="仿宋" w:eastAsia="仿宋" w:hAnsi="仿宋" w:hint="eastAsia"/>
          <w:color w:val="000000" w:themeColor="text1"/>
          <w:sz w:val="28"/>
          <w:szCs w:val="28"/>
        </w:rPr>
        <w:t>采购项目</w:t>
      </w:r>
      <w:r w:rsidR="008C09E5" w:rsidRPr="008C09E5">
        <w:rPr>
          <w:rFonts w:ascii="仿宋" w:eastAsia="仿宋" w:hAnsi="仿宋" w:hint="eastAsia"/>
          <w:color w:val="000000" w:themeColor="text1"/>
          <w:sz w:val="28"/>
          <w:szCs w:val="28"/>
        </w:rPr>
        <w:t>中标金额划分成若干区间并按项目类别设定标准费率，各区间中标金额与对应费率之积为该区间计费额，各区间计费额之和下浮15%后（取费费率85%），即为采购代理机构应得报酬（代理服务收费标准详见附件2）</w:t>
      </w:r>
      <w:r w:rsidR="00DD49D8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8C09E5" w:rsidRPr="008C09E5">
        <w:rPr>
          <w:rFonts w:ascii="仿宋" w:eastAsia="仿宋" w:hAnsi="仿宋" w:hint="eastAsia"/>
          <w:color w:val="000000" w:themeColor="text1"/>
          <w:sz w:val="28"/>
          <w:szCs w:val="28"/>
        </w:rPr>
        <w:t>注：分包次采购的，以包次为单元分别计算。</w:t>
      </w:r>
    </w:p>
    <w:p w14:paraId="0A10DEA1" w14:textId="5008BEFC" w:rsidR="00270D71" w:rsidRPr="00CC28EC" w:rsidRDefault="009D3CF6" w:rsidP="008C09E5">
      <w:pPr>
        <w:pStyle w:val="Style41"/>
        <w:tabs>
          <w:tab w:val="left" w:pos="851"/>
        </w:tabs>
        <w:spacing w:line="500" w:lineRule="exact"/>
        <w:ind w:firstLine="560"/>
        <w:rPr>
          <w:rFonts w:ascii="仿宋" w:eastAsia="仿宋" w:hAnsi="仿宋" w:hint="eastAsia"/>
          <w:sz w:val="28"/>
          <w:szCs w:val="28"/>
        </w:rPr>
      </w:pPr>
      <w:r w:rsidRPr="00CC28EC">
        <w:rPr>
          <w:rFonts w:ascii="仿宋" w:eastAsia="仿宋" w:hAnsi="仿宋" w:hint="eastAsia"/>
          <w:sz w:val="28"/>
          <w:szCs w:val="28"/>
        </w:rPr>
        <w:t>代理服务费总额：</w:t>
      </w:r>
      <w:r w:rsidR="009C7DD6">
        <w:rPr>
          <w:rFonts w:ascii="仿宋" w:eastAsia="仿宋" w:hAnsi="仿宋" w:hint="eastAsia"/>
          <w:sz w:val="28"/>
          <w:szCs w:val="28"/>
        </w:rPr>
        <w:t>1.411061</w:t>
      </w:r>
      <w:r w:rsidRPr="00CC28EC">
        <w:rPr>
          <w:rFonts w:ascii="仿宋" w:eastAsia="仿宋" w:hAnsi="仿宋" w:hint="eastAsia"/>
          <w:sz w:val="28"/>
          <w:szCs w:val="28"/>
        </w:rPr>
        <w:t>万元</w:t>
      </w:r>
    </w:p>
    <w:p w14:paraId="44397625" w14:textId="77777777" w:rsidR="00270D71" w:rsidRPr="00CC28EC" w:rsidRDefault="009D3CF6">
      <w:pPr>
        <w:rPr>
          <w:rFonts w:ascii="仿宋" w:eastAsia="仿宋" w:hAnsi="仿宋" w:hint="eastAsia"/>
          <w:sz w:val="28"/>
          <w:szCs w:val="28"/>
        </w:rPr>
      </w:pPr>
      <w:r w:rsidRPr="00CC28EC">
        <w:rPr>
          <w:rFonts w:ascii="仿宋" w:eastAsia="仿宋" w:hAnsi="仿宋" w:hint="eastAsia"/>
          <w:sz w:val="28"/>
          <w:szCs w:val="28"/>
        </w:rPr>
        <w:t>七、公告期限</w:t>
      </w:r>
    </w:p>
    <w:p w14:paraId="6B7630FF" w14:textId="77777777" w:rsidR="00270D71" w:rsidRPr="00CC28EC" w:rsidRDefault="009D3CF6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CC28EC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Pr="00CC28EC">
        <w:rPr>
          <w:rFonts w:ascii="仿宋" w:eastAsia="仿宋" w:hAnsi="仿宋" w:cs="宋体"/>
          <w:kern w:val="0"/>
          <w:sz w:val="28"/>
          <w:szCs w:val="28"/>
        </w:rPr>
        <w:t>1</w:t>
      </w:r>
      <w:r w:rsidRPr="00CC28EC"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30429263" w14:textId="77777777" w:rsidR="00270D71" w:rsidRPr="00CC28EC" w:rsidRDefault="009D3CF6">
      <w:pPr>
        <w:rPr>
          <w:rFonts w:ascii="仿宋" w:eastAsia="仿宋" w:hAnsi="仿宋" w:cs="仿宋" w:hint="eastAsia"/>
          <w:sz w:val="28"/>
          <w:szCs w:val="28"/>
        </w:rPr>
      </w:pPr>
      <w:r w:rsidRPr="00CC28EC">
        <w:rPr>
          <w:rFonts w:ascii="仿宋" w:eastAsia="仿宋" w:hAnsi="仿宋" w:cs="仿宋" w:hint="eastAsia"/>
          <w:sz w:val="28"/>
          <w:szCs w:val="28"/>
        </w:rPr>
        <w:t>八、其他补充事宜</w:t>
      </w:r>
    </w:p>
    <w:p w14:paraId="04F69B3D" w14:textId="4E8AE661" w:rsidR="00270D71" w:rsidRPr="00CC28EC" w:rsidRDefault="009D3CF6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CC28EC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1.中标供应商评审总得分：</w:t>
      </w:r>
      <w:r w:rsidR="00D859BE" w:rsidRPr="00CC28EC">
        <w:rPr>
          <w:rFonts w:ascii="仿宋" w:eastAsia="仿宋" w:hAnsi="仿宋" w:cs="宋体"/>
          <w:kern w:val="0"/>
          <w:sz w:val="28"/>
          <w:szCs w:val="28"/>
        </w:rPr>
        <w:t>8</w:t>
      </w:r>
      <w:r w:rsidR="009C7DD6">
        <w:rPr>
          <w:rFonts w:ascii="仿宋" w:eastAsia="仿宋" w:hAnsi="仿宋" w:cs="宋体" w:hint="eastAsia"/>
          <w:kern w:val="0"/>
          <w:sz w:val="28"/>
          <w:szCs w:val="28"/>
        </w:rPr>
        <w:t>4.96</w:t>
      </w:r>
      <w:r w:rsidRPr="00CC28EC">
        <w:rPr>
          <w:rFonts w:ascii="仿宋" w:eastAsia="仿宋" w:hAnsi="仿宋" w:cs="宋体" w:hint="eastAsia"/>
          <w:kern w:val="0"/>
          <w:sz w:val="28"/>
          <w:szCs w:val="28"/>
        </w:rPr>
        <w:t>分。</w:t>
      </w:r>
    </w:p>
    <w:p w14:paraId="50A285C9" w14:textId="41FBF842" w:rsidR="00CB1AE4" w:rsidRPr="00CC28EC" w:rsidRDefault="009D3CF6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CC28EC">
        <w:rPr>
          <w:rFonts w:ascii="仿宋" w:eastAsia="仿宋" w:hAnsi="仿宋" w:cs="宋体" w:hint="eastAsia"/>
          <w:kern w:val="0"/>
          <w:sz w:val="28"/>
          <w:szCs w:val="28"/>
        </w:rPr>
        <w:t>2.</w:t>
      </w:r>
      <w:r w:rsidR="00CB1AE4" w:rsidRPr="00CC28EC">
        <w:rPr>
          <w:rFonts w:ascii="仿宋" w:eastAsia="仿宋" w:hAnsi="仿宋" w:cs="宋体" w:hint="eastAsia"/>
          <w:kern w:val="0"/>
          <w:sz w:val="28"/>
          <w:szCs w:val="28"/>
        </w:rPr>
        <w:t>合同履行期限：</w:t>
      </w:r>
      <w:r w:rsidR="00CB1AE4" w:rsidRPr="00CC28EC">
        <w:rPr>
          <w:rFonts w:ascii="仿宋" w:eastAsia="仿宋" w:hAnsi="仿宋" w:cs="宋体"/>
          <w:kern w:val="0"/>
          <w:sz w:val="28"/>
          <w:szCs w:val="28"/>
        </w:rPr>
        <w:t xml:space="preserve">计划合同签订后 </w:t>
      </w:r>
      <w:r w:rsidR="009C7DD6">
        <w:rPr>
          <w:rFonts w:ascii="仿宋" w:eastAsia="仿宋" w:hAnsi="仿宋" w:cs="宋体" w:hint="eastAsia"/>
          <w:kern w:val="0"/>
          <w:sz w:val="28"/>
          <w:szCs w:val="28"/>
        </w:rPr>
        <w:t>15</w:t>
      </w:r>
      <w:r w:rsidR="00CB1AE4" w:rsidRPr="00CC28EC">
        <w:rPr>
          <w:rFonts w:ascii="仿宋" w:eastAsia="仿宋" w:hAnsi="仿宋" w:cs="宋体"/>
          <w:kern w:val="0"/>
          <w:sz w:val="28"/>
          <w:szCs w:val="28"/>
        </w:rPr>
        <w:t>日内完成供货、安装及调试（具体时间按采购人要求进行调整）</w:t>
      </w:r>
      <w:r w:rsidR="00CB1AE4" w:rsidRPr="00CC28EC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03AE1A47" w14:textId="0E97B67A" w:rsidR="00270D71" w:rsidRPr="00CC28EC" w:rsidRDefault="00CB1AE4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CC28EC">
        <w:rPr>
          <w:rFonts w:ascii="仿宋" w:eastAsia="仿宋" w:hAnsi="仿宋" w:cs="宋体" w:hint="eastAsia"/>
          <w:kern w:val="0"/>
          <w:sz w:val="28"/>
          <w:szCs w:val="28"/>
        </w:rPr>
        <w:t>3.</w:t>
      </w:r>
      <w:r w:rsidR="009D3CF6" w:rsidRPr="00CC28EC">
        <w:rPr>
          <w:rFonts w:ascii="仿宋" w:eastAsia="仿宋" w:hAnsi="仿宋" w:cs="宋体" w:hint="eastAsia"/>
          <w:kern w:val="0"/>
          <w:sz w:val="28"/>
          <w:szCs w:val="28"/>
        </w:rPr>
        <w:t>本次公告信息在中国政府采购网、北京市政府采购网发布。</w:t>
      </w:r>
    </w:p>
    <w:p w14:paraId="3B51F9E5" w14:textId="77777777" w:rsidR="00270D71" w:rsidRPr="00CC28EC" w:rsidRDefault="009D3CF6">
      <w:pPr>
        <w:rPr>
          <w:rFonts w:ascii="仿宋" w:eastAsia="仿宋" w:hAnsi="仿宋" w:cs="宋体" w:hint="eastAsia"/>
          <w:kern w:val="0"/>
          <w:sz w:val="28"/>
          <w:szCs w:val="28"/>
        </w:rPr>
      </w:pPr>
      <w:r w:rsidRPr="00CC28EC">
        <w:rPr>
          <w:rFonts w:ascii="仿宋" w:eastAsia="仿宋" w:hAnsi="仿宋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52ECA354" w14:textId="77777777" w:rsidR="00D859BE" w:rsidRPr="00CC28EC" w:rsidRDefault="00D859BE" w:rsidP="00D859BE">
      <w:pPr>
        <w:ind w:leftChars="270" w:left="567"/>
        <w:rPr>
          <w:rFonts w:ascii="仿宋" w:eastAsia="仿宋" w:hAnsi="仿宋" w:cs="宋体" w:hint="eastAsia"/>
          <w:bCs/>
          <w:sz w:val="28"/>
          <w:szCs w:val="28"/>
        </w:rPr>
      </w:pPr>
      <w:r w:rsidRPr="00CC28EC">
        <w:rPr>
          <w:rFonts w:ascii="仿宋" w:eastAsia="仿宋" w:hAnsi="仿宋" w:cs="宋体" w:hint="eastAsia"/>
          <w:bCs/>
          <w:sz w:val="28"/>
          <w:szCs w:val="28"/>
        </w:rPr>
        <w:t>1.采购人信息</w:t>
      </w:r>
    </w:p>
    <w:p w14:paraId="5B429EE3" w14:textId="77777777" w:rsidR="00D859BE" w:rsidRPr="00CC28EC" w:rsidRDefault="00D859BE" w:rsidP="00D859BE">
      <w:pPr>
        <w:ind w:leftChars="270" w:left="567"/>
        <w:rPr>
          <w:rFonts w:ascii="仿宋" w:eastAsia="仿宋" w:hAnsi="仿宋" w:cs="宋体" w:hint="eastAsia"/>
          <w:bCs/>
          <w:sz w:val="28"/>
          <w:szCs w:val="28"/>
        </w:rPr>
      </w:pPr>
      <w:r w:rsidRPr="00CC28EC">
        <w:rPr>
          <w:rFonts w:ascii="仿宋" w:eastAsia="仿宋" w:hAnsi="仿宋" w:cs="宋体" w:hint="eastAsia"/>
          <w:bCs/>
          <w:sz w:val="28"/>
          <w:szCs w:val="28"/>
        </w:rPr>
        <w:t>名    称：北京市顺义区教育资产管理服务中心</w:t>
      </w:r>
    </w:p>
    <w:p w14:paraId="25D64E59" w14:textId="77777777" w:rsidR="00D859BE" w:rsidRPr="00CC28EC" w:rsidRDefault="00D859BE" w:rsidP="00D859BE">
      <w:pPr>
        <w:ind w:leftChars="270" w:left="567"/>
        <w:rPr>
          <w:rFonts w:ascii="仿宋" w:eastAsia="仿宋" w:hAnsi="仿宋" w:cs="宋体" w:hint="eastAsia"/>
          <w:bCs/>
          <w:sz w:val="28"/>
          <w:szCs w:val="28"/>
        </w:rPr>
      </w:pPr>
      <w:r w:rsidRPr="00CC28EC">
        <w:rPr>
          <w:rFonts w:ascii="仿宋" w:eastAsia="仿宋" w:hAnsi="仿宋" w:cs="宋体" w:hint="eastAsia"/>
          <w:bCs/>
          <w:sz w:val="28"/>
          <w:szCs w:val="28"/>
        </w:rPr>
        <w:t>地    址：北京市顺义区府前西街5号院</w:t>
      </w:r>
    </w:p>
    <w:p w14:paraId="298864AE" w14:textId="4D0DFCE2" w:rsidR="00D859BE" w:rsidRPr="00CC28EC" w:rsidRDefault="00D859BE" w:rsidP="00D859BE">
      <w:pPr>
        <w:ind w:leftChars="270" w:left="567"/>
        <w:rPr>
          <w:rFonts w:ascii="仿宋" w:eastAsia="仿宋" w:hAnsi="仿宋" w:cs="宋体" w:hint="eastAsia"/>
          <w:bCs/>
          <w:sz w:val="28"/>
          <w:szCs w:val="28"/>
        </w:rPr>
      </w:pPr>
      <w:r w:rsidRPr="00CC28EC">
        <w:rPr>
          <w:rFonts w:ascii="仿宋" w:eastAsia="仿宋" w:hAnsi="仿宋" w:cs="宋体" w:hint="eastAsia"/>
          <w:bCs/>
          <w:sz w:val="28"/>
          <w:szCs w:val="28"/>
        </w:rPr>
        <w:t>联系方式：</w:t>
      </w:r>
      <w:r w:rsidR="009C7DD6">
        <w:rPr>
          <w:rFonts w:ascii="仿宋" w:eastAsia="仿宋" w:hAnsi="仿宋" w:cs="宋体" w:hint="eastAsia"/>
          <w:bCs/>
          <w:sz w:val="28"/>
          <w:szCs w:val="28"/>
        </w:rPr>
        <w:t>刘志海</w:t>
      </w:r>
      <w:r w:rsidRPr="00CC28EC">
        <w:rPr>
          <w:rFonts w:ascii="仿宋" w:eastAsia="仿宋" w:hAnsi="仿宋" w:cs="宋体" w:hint="eastAsia"/>
          <w:bCs/>
          <w:sz w:val="28"/>
          <w:szCs w:val="28"/>
        </w:rPr>
        <w:t>、010-69444342</w:t>
      </w:r>
    </w:p>
    <w:p w14:paraId="708B3176" w14:textId="77777777" w:rsidR="00D859BE" w:rsidRPr="00CC28EC" w:rsidRDefault="00D859BE" w:rsidP="00D859BE">
      <w:pPr>
        <w:ind w:leftChars="270" w:left="567"/>
        <w:rPr>
          <w:rFonts w:ascii="仿宋" w:eastAsia="仿宋" w:hAnsi="仿宋" w:cs="宋体" w:hint="eastAsia"/>
          <w:bCs/>
          <w:sz w:val="28"/>
          <w:szCs w:val="28"/>
        </w:rPr>
      </w:pPr>
      <w:r w:rsidRPr="00CC28EC">
        <w:rPr>
          <w:rFonts w:ascii="仿宋" w:eastAsia="仿宋" w:hAnsi="仿宋" w:cs="宋体" w:hint="eastAsia"/>
          <w:bCs/>
          <w:sz w:val="28"/>
          <w:szCs w:val="28"/>
        </w:rPr>
        <w:t>2.采购代理机构信息</w:t>
      </w:r>
    </w:p>
    <w:p w14:paraId="26F57C4C" w14:textId="77777777" w:rsidR="00D859BE" w:rsidRPr="00CC28EC" w:rsidRDefault="00D859BE" w:rsidP="00D859BE">
      <w:pPr>
        <w:ind w:leftChars="270" w:left="567"/>
        <w:rPr>
          <w:rFonts w:ascii="仿宋" w:eastAsia="仿宋" w:hAnsi="仿宋" w:cs="宋体" w:hint="eastAsia"/>
          <w:bCs/>
          <w:sz w:val="28"/>
          <w:szCs w:val="28"/>
        </w:rPr>
      </w:pPr>
      <w:r w:rsidRPr="00CC28EC">
        <w:rPr>
          <w:rFonts w:ascii="仿宋" w:eastAsia="仿宋" w:hAnsi="仿宋" w:cs="宋体" w:hint="eastAsia"/>
          <w:bCs/>
          <w:sz w:val="28"/>
          <w:szCs w:val="28"/>
        </w:rPr>
        <w:t>名    称：北京博睿丰工程咨询有限公司</w:t>
      </w:r>
    </w:p>
    <w:p w14:paraId="32AE2FF9" w14:textId="77777777" w:rsidR="00D859BE" w:rsidRPr="00CC28EC" w:rsidRDefault="00D859BE" w:rsidP="00D859BE">
      <w:pPr>
        <w:ind w:leftChars="270" w:left="567"/>
        <w:rPr>
          <w:rFonts w:ascii="仿宋" w:eastAsia="仿宋" w:hAnsi="仿宋" w:cs="宋体" w:hint="eastAsia"/>
          <w:bCs/>
          <w:sz w:val="28"/>
          <w:szCs w:val="28"/>
        </w:rPr>
      </w:pPr>
      <w:r w:rsidRPr="00CC28EC">
        <w:rPr>
          <w:rFonts w:ascii="仿宋" w:eastAsia="仿宋" w:hAnsi="仿宋" w:cs="宋体" w:hint="eastAsia"/>
          <w:bCs/>
          <w:sz w:val="28"/>
          <w:szCs w:val="28"/>
        </w:rPr>
        <w:t>地    址：北京市顺义区林河南大街9号院9号楼2层262室</w:t>
      </w:r>
    </w:p>
    <w:p w14:paraId="5F733E6B" w14:textId="799AF2EE" w:rsidR="00D859BE" w:rsidRPr="00CC28EC" w:rsidRDefault="00D859BE" w:rsidP="00CC28EC">
      <w:pPr>
        <w:ind w:firstLineChars="200" w:firstLine="560"/>
        <w:rPr>
          <w:rFonts w:ascii="仿宋" w:eastAsia="仿宋" w:hAnsi="仿宋" w:cs="宋体" w:hint="eastAsia"/>
          <w:bCs/>
          <w:sz w:val="28"/>
          <w:szCs w:val="28"/>
        </w:rPr>
      </w:pPr>
      <w:r w:rsidRPr="00CC28EC">
        <w:rPr>
          <w:rFonts w:ascii="仿宋" w:eastAsia="仿宋" w:hAnsi="仿宋" w:cs="宋体" w:hint="eastAsia"/>
          <w:bCs/>
          <w:sz w:val="28"/>
          <w:szCs w:val="28"/>
        </w:rPr>
        <w:t>联系方式：</w:t>
      </w:r>
      <w:r w:rsidR="009C7DD6" w:rsidRPr="009C7DD6">
        <w:rPr>
          <w:rFonts w:ascii="仿宋" w:eastAsia="仿宋" w:hAnsi="仿宋" w:cs="宋体" w:hint="eastAsia"/>
          <w:bCs/>
          <w:sz w:val="28"/>
          <w:szCs w:val="28"/>
        </w:rPr>
        <w:t>王鑫磊、路璐、胡紫阳、段泽胜、赵毛鹅、孙萌、于辉、金文玲、王海霞、梅春霞、赵星梅</w:t>
      </w:r>
      <w:r w:rsidRPr="00CC28EC">
        <w:rPr>
          <w:rFonts w:ascii="仿宋" w:eastAsia="仿宋" w:hAnsi="仿宋" w:cs="宋体" w:hint="eastAsia"/>
          <w:bCs/>
          <w:sz w:val="28"/>
          <w:szCs w:val="28"/>
        </w:rPr>
        <w:t xml:space="preserve"> 010-61409078、1</w:t>
      </w:r>
      <w:r w:rsidR="00E73AFC" w:rsidRPr="00CC28EC">
        <w:rPr>
          <w:rFonts w:ascii="仿宋" w:eastAsia="仿宋" w:hAnsi="仿宋" w:cs="宋体" w:hint="eastAsia"/>
          <w:bCs/>
          <w:sz w:val="28"/>
          <w:szCs w:val="28"/>
        </w:rPr>
        <w:t>8730477818</w:t>
      </w:r>
    </w:p>
    <w:p w14:paraId="632E7C57" w14:textId="77777777" w:rsidR="00D859BE" w:rsidRPr="00CC28EC" w:rsidRDefault="00D859BE" w:rsidP="00D859BE">
      <w:pPr>
        <w:ind w:leftChars="270" w:left="567"/>
        <w:rPr>
          <w:rFonts w:ascii="仿宋" w:eastAsia="仿宋" w:hAnsi="仿宋" w:cs="宋体" w:hint="eastAsia"/>
          <w:bCs/>
          <w:sz w:val="28"/>
          <w:szCs w:val="28"/>
        </w:rPr>
      </w:pPr>
      <w:r w:rsidRPr="00CC28EC">
        <w:rPr>
          <w:rFonts w:ascii="仿宋" w:eastAsia="仿宋" w:hAnsi="仿宋" w:cs="宋体" w:hint="eastAsia"/>
          <w:bCs/>
          <w:sz w:val="28"/>
          <w:szCs w:val="28"/>
        </w:rPr>
        <w:t>3.项目联系方式</w:t>
      </w:r>
    </w:p>
    <w:p w14:paraId="0964FDE9" w14:textId="718D9BC0" w:rsidR="00D859BE" w:rsidRPr="00CC28EC" w:rsidRDefault="00D859BE" w:rsidP="00CC28EC">
      <w:pPr>
        <w:ind w:firstLineChars="200" w:firstLine="560"/>
        <w:rPr>
          <w:rFonts w:ascii="仿宋" w:eastAsia="仿宋" w:hAnsi="仿宋" w:cs="宋体" w:hint="eastAsia"/>
          <w:bCs/>
          <w:sz w:val="28"/>
          <w:szCs w:val="28"/>
        </w:rPr>
      </w:pPr>
      <w:r w:rsidRPr="00CC28EC">
        <w:rPr>
          <w:rFonts w:ascii="仿宋" w:eastAsia="仿宋" w:hAnsi="仿宋" w:cs="宋体" w:hint="eastAsia"/>
          <w:bCs/>
          <w:sz w:val="28"/>
          <w:szCs w:val="28"/>
        </w:rPr>
        <w:t>项目联系人：</w:t>
      </w:r>
      <w:r w:rsidR="009C7DD6" w:rsidRPr="009C7DD6">
        <w:rPr>
          <w:rFonts w:ascii="仿宋" w:eastAsia="仿宋" w:hAnsi="仿宋" w:cs="宋体" w:hint="eastAsia"/>
          <w:bCs/>
          <w:sz w:val="28"/>
          <w:szCs w:val="28"/>
        </w:rPr>
        <w:t>王鑫磊、路璐、胡紫阳、段泽胜、赵毛鹅、孙萌、于辉、金文玲、王海霞、梅春霞、赵星梅</w:t>
      </w:r>
    </w:p>
    <w:p w14:paraId="026D8121" w14:textId="6B77EBA4" w:rsidR="00D859BE" w:rsidRPr="00CC28EC" w:rsidRDefault="00D859BE" w:rsidP="00D859BE">
      <w:pPr>
        <w:ind w:leftChars="270" w:left="567"/>
        <w:rPr>
          <w:rFonts w:ascii="仿宋" w:eastAsia="仿宋" w:hAnsi="仿宋" w:cs="宋体" w:hint="eastAsia"/>
          <w:bCs/>
          <w:sz w:val="28"/>
          <w:szCs w:val="28"/>
        </w:rPr>
      </w:pPr>
      <w:r w:rsidRPr="00CC28EC">
        <w:rPr>
          <w:rFonts w:ascii="仿宋" w:eastAsia="仿宋" w:hAnsi="仿宋" w:cs="宋体" w:hint="eastAsia"/>
          <w:bCs/>
          <w:sz w:val="28"/>
          <w:szCs w:val="28"/>
        </w:rPr>
        <w:t>电    话：010-61409078、</w:t>
      </w:r>
      <w:r w:rsidR="00E73AFC" w:rsidRPr="00CC28EC">
        <w:rPr>
          <w:rFonts w:ascii="仿宋" w:eastAsia="仿宋" w:hAnsi="仿宋" w:cs="宋体" w:hint="eastAsia"/>
          <w:bCs/>
          <w:sz w:val="28"/>
          <w:szCs w:val="28"/>
        </w:rPr>
        <w:t>18730477818</w:t>
      </w:r>
    </w:p>
    <w:p w14:paraId="3DFF8C48" w14:textId="77777777" w:rsidR="00270D71" w:rsidRPr="00CC28EC" w:rsidRDefault="009D3CF6" w:rsidP="00D859BE">
      <w:pPr>
        <w:rPr>
          <w:rFonts w:ascii="仿宋" w:eastAsia="仿宋" w:hAnsi="仿宋" w:cs="宋体" w:hint="eastAsia"/>
          <w:kern w:val="0"/>
          <w:sz w:val="28"/>
          <w:szCs w:val="28"/>
        </w:rPr>
      </w:pPr>
      <w:r w:rsidRPr="00CC28EC">
        <w:rPr>
          <w:rFonts w:ascii="仿宋" w:eastAsia="仿宋" w:hAnsi="仿宋" w:cs="宋体" w:hint="eastAsia"/>
          <w:kern w:val="0"/>
          <w:sz w:val="28"/>
          <w:szCs w:val="28"/>
        </w:rPr>
        <w:t>十、附件</w:t>
      </w:r>
    </w:p>
    <w:p w14:paraId="0FB56FF7" w14:textId="77777777" w:rsidR="00D075A1" w:rsidRPr="00CC28EC" w:rsidRDefault="00D075A1" w:rsidP="00D075A1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CC28EC">
        <w:rPr>
          <w:rFonts w:ascii="仿宋" w:eastAsia="仿宋" w:hAnsi="仿宋" w:cs="宋体" w:hint="eastAsia"/>
          <w:kern w:val="0"/>
          <w:sz w:val="28"/>
          <w:szCs w:val="28"/>
        </w:rPr>
        <w:t>1.采购文件</w:t>
      </w:r>
    </w:p>
    <w:p w14:paraId="3E951DFD" w14:textId="77777777" w:rsidR="00D075A1" w:rsidRPr="00CC28EC" w:rsidRDefault="00D075A1" w:rsidP="00D075A1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CC28EC">
        <w:rPr>
          <w:rFonts w:ascii="仿宋" w:eastAsia="仿宋" w:hAnsi="仿宋" w:cs="宋体" w:hint="eastAsia"/>
          <w:kern w:val="0"/>
          <w:sz w:val="28"/>
          <w:szCs w:val="28"/>
        </w:rPr>
        <w:t>2.中标结果公告（附：代理服务费收费标准表）</w:t>
      </w:r>
    </w:p>
    <w:p w14:paraId="79AC42C8" w14:textId="77777777" w:rsidR="00D075A1" w:rsidRPr="00CC28EC" w:rsidRDefault="00D075A1" w:rsidP="00D075A1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CC28EC">
        <w:rPr>
          <w:rFonts w:ascii="仿宋" w:eastAsia="仿宋" w:hAnsi="仿宋" w:cs="宋体" w:hint="eastAsia"/>
          <w:kern w:val="0"/>
          <w:sz w:val="28"/>
          <w:szCs w:val="28"/>
        </w:rPr>
        <w:t>3.中小企业声明函</w:t>
      </w:r>
    </w:p>
    <w:p w14:paraId="608AE49F" w14:textId="77777777" w:rsidR="00270D71" w:rsidRPr="00CC28EC" w:rsidRDefault="00D075A1" w:rsidP="00D075A1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CC28EC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4.主要标的信息表</w:t>
      </w:r>
    </w:p>
    <w:p w14:paraId="4B718C3D" w14:textId="77777777" w:rsidR="00D075A1" w:rsidRPr="00CC28EC" w:rsidRDefault="00D075A1">
      <w:pPr>
        <w:spacing w:line="60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  <w:sectPr w:rsidR="00D075A1" w:rsidRPr="00CC28EC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5E1DF040" w14:textId="77777777" w:rsidR="00270D71" w:rsidRPr="00CC28EC" w:rsidRDefault="00D075A1" w:rsidP="00D075A1">
      <w:pPr>
        <w:spacing w:line="600" w:lineRule="exact"/>
        <w:rPr>
          <w:rFonts w:ascii="仿宋" w:eastAsia="仿宋" w:hAnsi="仿宋" w:cs="仿宋" w:hint="eastAsia"/>
          <w:kern w:val="0"/>
          <w:sz w:val="28"/>
          <w:szCs w:val="28"/>
        </w:rPr>
      </w:pPr>
      <w:r w:rsidRPr="00CC28EC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附件</w:t>
      </w:r>
      <w:r w:rsidR="009D3CF6" w:rsidRPr="00CC28EC">
        <w:rPr>
          <w:rFonts w:ascii="仿宋" w:eastAsia="仿宋" w:hAnsi="仿宋" w:cs="宋体" w:hint="eastAsia"/>
          <w:kern w:val="0"/>
          <w:sz w:val="28"/>
          <w:szCs w:val="28"/>
        </w:rPr>
        <w:t>2.</w:t>
      </w:r>
      <w:r w:rsidRPr="00CC28EC">
        <w:rPr>
          <w:rFonts w:ascii="仿宋" w:eastAsia="仿宋" w:hAnsi="仿宋" w:cs="仿宋" w:hint="eastAsia"/>
          <w:kern w:val="0"/>
          <w:sz w:val="28"/>
          <w:szCs w:val="28"/>
        </w:rPr>
        <w:t>代理服务费收费标准表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3"/>
        <w:gridCol w:w="1081"/>
        <w:gridCol w:w="1081"/>
        <w:gridCol w:w="1081"/>
      </w:tblGrid>
      <w:tr w:rsidR="00270D71" w:rsidRPr="00CC28EC" w14:paraId="6A03254A" w14:textId="77777777">
        <w:trPr>
          <w:trHeight w:val="300"/>
          <w:tblCellSpacing w:w="0" w:type="dxa"/>
          <w:jc w:val="center"/>
        </w:trPr>
        <w:tc>
          <w:tcPr>
            <w:tcW w:w="4508" w:type="dxa"/>
            <w:vMerge w:val="restart"/>
            <w:tcBorders>
              <w:tl2br w:val="outset" w:sz="6" w:space="0" w:color="auto"/>
            </w:tcBorders>
            <w:vAlign w:val="center"/>
          </w:tcPr>
          <w:p w14:paraId="3D96BD43" w14:textId="77777777" w:rsidR="00270D71" w:rsidRPr="00CC28EC" w:rsidRDefault="009D3CF6">
            <w:pPr>
              <w:widowControl/>
              <w:spacing w:line="440" w:lineRule="exact"/>
              <w:jc w:val="right"/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</w:pPr>
            <w:r w:rsidRPr="00CC28EC">
              <w:rPr>
                <w:rFonts w:ascii="Calibri" w:eastAsia="仿宋" w:hAnsi="Calibri" w:cs="Calibri"/>
                <w:kern w:val="0"/>
                <w:sz w:val="28"/>
                <w:szCs w:val="28"/>
              </w:rPr>
              <w:t>     </w:t>
            </w: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 w:rsidRPr="00CC28EC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项目类别</w:t>
            </w:r>
            <w:r w:rsidRPr="00CC28EC">
              <w:rPr>
                <w:rFonts w:ascii="Calibri" w:eastAsia="仿宋" w:hAnsi="Calibri" w:cs="Calibri"/>
                <w:bCs/>
                <w:kern w:val="0"/>
                <w:sz w:val="28"/>
                <w:szCs w:val="28"/>
              </w:rPr>
              <w:t> </w:t>
            </w:r>
            <w:r w:rsidRPr="00CC28EC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 </w:t>
            </w:r>
          </w:p>
          <w:p w14:paraId="5AE79066" w14:textId="77777777" w:rsidR="00270D71" w:rsidRPr="00CC28EC" w:rsidRDefault="009D3CF6">
            <w:pPr>
              <w:spacing w:line="440" w:lineRule="exact"/>
              <w:ind w:left="840" w:hangingChars="300" w:hanging="840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中标(成交)金额(万元)</w:t>
            </w:r>
          </w:p>
        </w:tc>
        <w:tc>
          <w:tcPr>
            <w:tcW w:w="964" w:type="dxa"/>
            <w:gridSpan w:val="3"/>
            <w:vAlign w:val="center"/>
          </w:tcPr>
          <w:p w14:paraId="009B89D3" w14:textId="77777777" w:rsidR="00270D71" w:rsidRPr="00CC28EC" w:rsidRDefault="009D3CF6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标准费率（%）</w:t>
            </w:r>
          </w:p>
        </w:tc>
      </w:tr>
      <w:tr w:rsidR="00270D71" w:rsidRPr="00CC28EC" w14:paraId="4CBDEEE5" w14:textId="77777777">
        <w:trPr>
          <w:trHeight w:val="300"/>
          <w:tblCellSpacing w:w="0" w:type="dxa"/>
          <w:jc w:val="center"/>
        </w:trPr>
        <w:tc>
          <w:tcPr>
            <w:tcW w:w="4508" w:type="dxa"/>
            <w:vMerge/>
            <w:tcBorders>
              <w:tl2br w:val="outset" w:sz="6" w:space="0" w:color="auto"/>
            </w:tcBorders>
            <w:vAlign w:val="center"/>
          </w:tcPr>
          <w:p w14:paraId="15BA6639" w14:textId="77777777" w:rsidR="00270D71" w:rsidRPr="00CC28EC" w:rsidRDefault="00270D71">
            <w:pPr>
              <w:widowControl/>
              <w:spacing w:line="440" w:lineRule="exac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2AF04B96" w14:textId="77777777" w:rsidR="00270D71" w:rsidRPr="00CC28EC" w:rsidRDefault="009D3CF6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货物</w:t>
            </w:r>
          </w:p>
        </w:tc>
        <w:tc>
          <w:tcPr>
            <w:tcW w:w="964" w:type="dxa"/>
            <w:vAlign w:val="center"/>
          </w:tcPr>
          <w:p w14:paraId="5F9079C7" w14:textId="77777777" w:rsidR="00270D71" w:rsidRPr="00CC28EC" w:rsidRDefault="009D3CF6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服务</w:t>
            </w:r>
          </w:p>
        </w:tc>
        <w:tc>
          <w:tcPr>
            <w:tcW w:w="964" w:type="dxa"/>
            <w:vAlign w:val="center"/>
          </w:tcPr>
          <w:p w14:paraId="449CC1A7" w14:textId="77777777" w:rsidR="00270D71" w:rsidRPr="00CC28EC" w:rsidRDefault="009D3CF6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工程</w:t>
            </w:r>
          </w:p>
        </w:tc>
      </w:tr>
      <w:tr w:rsidR="00270D71" w:rsidRPr="00CC28EC" w14:paraId="19E2279A" w14:textId="77777777">
        <w:trPr>
          <w:trHeight w:val="210"/>
          <w:tblCellSpacing w:w="0" w:type="dxa"/>
          <w:jc w:val="center"/>
        </w:trPr>
        <w:tc>
          <w:tcPr>
            <w:tcW w:w="4508" w:type="dxa"/>
            <w:vAlign w:val="center"/>
          </w:tcPr>
          <w:p w14:paraId="2D82AF1E" w14:textId="77777777" w:rsidR="00270D71" w:rsidRPr="00CC28EC" w:rsidRDefault="009D3CF6">
            <w:pPr>
              <w:widowControl/>
              <w:spacing w:line="440" w:lineRule="exact"/>
              <w:ind w:firstLineChars="200" w:firstLine="560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100以下</w:t>
            </w:r>
          </w:p>
        </w:tc>
        <w:tc>
          <w:tcPr>
            <w:tcW w:w="964" w:type="dxa"/>
            <w:vAlign w:val="center"/>
          </w:tcPr>
          <w:p w14:paraId="0984E945" w14:textId="77777777" w:rsidR="00270D71" w:rsidRPr="00CC28EC" w:rsidRDefault="009D3CF6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964" w:type="dxa"/>
            <w:vAlign w:val="center"/>
          </w:tcPr>
          <w:p w14:paraId="4AF5A799" w14:textId="77777777" w:rsidR="00270D71" w:rsidRPr="00CC28EC" w:rsidRDefault="009D3CF6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964" w:type="dxa"/>
            <w:vAlign w:val="center"/>
          </w:tcPr>
          <w:p w14:paraId="4D2B86E0" w14:textId="77777777" w:rsidR="00270D71" w:rsidRPr="00CC28EC" w:rsidRDefault="009D3CF6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1.0</w:t>
            </w:r>
          </w:p>
        </w:tc>
      </w:tr>
      <w:tr w:rsidR="00270D71" w:rsidRPr="00CC28EC" w14:paraId="4545DEF6" w14:textId="77777777">
        <w:trPr>
          <w:trHeight w:val="210"/>
          <w:tblCellSpacing w:w="0" w:type="dxa"/>
          <w:jc w:val="center"/>
        </w:trPr>
        <w:tc>
          <w:tcPr>
            <w:tcW w:w="4508" w:type="dxa"/>
            <w:vAlign w:val="center"/>
          </w:tcPr>
          <w:p w14:paraId="14160BD3" w14:textId="77777777" w:rsidR="00270D71" w:rsidRPr="00CC28EC" w:rsidRDefault="009D3CF6">
            <w:pPr>
              <w:widowControl/>
              <w:spacing w:line="440" w:lineRule="exact"/>
              <w:ind w:firstLineChars="200" w:firstLine="560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100—500</w:t>
            </w:r>
          </w:p>
        </w:tc>
        <w:tc>
          <w:tcPr>
            <w:tcW w:w="964" w:type="dxa"/>
            <w:vAlign w:val="center"/>
          </w:tcPr>
          <w:p w14:paraId="2CD05F11" w14:textId="77777777" w:rsidR="00270D71" w:rsidRPr="00CC28EC" w:rsidRDefault="009D3CF6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1.1</w:t>
            </w:r>
          </w:p>
        </w:tc>
        <w:tc>
          <w:tcPr>
            <w:tcW w:w="964" w:type="dxa"/>
            <w:vAlign w:val="center"/>
          </w:tcPr>
          <w:p w14:paraId="50DBD89B" w14:textId="77777777" w:rsidR="00270D71" w:rsidRPr="00CC28EC" w:rsidRDefault="009D3CF6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0.8</w:t>
            </w:r>
          </w:p>
        </w:tc>
        <w:tc>
          <w:tcPr>
            <w:tcW w:w="964" w:type="dxa"/>
            <w:vAlign w:val="center"/>
          </w:tcPr>
          <w:p w14:paraId="1D118C73" w14:textId="77777777" w:rsidR="00270D71" w:rsidRPr="00CC28EC" w:rsidRDefault="009D3CF6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0.7</w:t>
            </w:r>
          </w:p>
        </w:tc>
      </w:tr>
      <w:tr w:rsidR="00270D71" w:rsidRPr="00CC28EC" w14:paraId="487C7872" w14:textId="77777777">
        <w:trPr>
          <w:trHeight w:val="210"/>
          <w:tblCellSpacing w:w="0" w:type="dxa"/>
          <w:jc w:val="center"/>
        </w:trPr>
        <w:tc>
          <w:tcPr>
            <w:tcW w:w="4508" w:type="dxa"/>
            <w:vAlign w:val="center"/>
          </w:tcPr>
          <w:p w14:paraId="24874C46" w14:textId="77777777" w:rsidR="00270D71" w:rsidRPr="00CC28EC" w:rsidRDefault="009D3CF6">
            <w:pPr>
              <w:widowControl/>
              <w:spacing w:line="440" w:lineRule="exact"/>
              <w:ind w:firstLineChars="200" w:firstLine="560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500—1000</w:t>
            </w:r>
          </w:p>
        </w:tc>
        <w:tc>
          <w:tcPr>
            <w:tcW w:w="964" w:type="dxa"/>
            <w:vAlign w:val="center"/>
          </w:tcPr>
          <w:p w14:paraId="7585E927" w14:textId="77777777" w:rsidR="00270D71" w:rsidRPr="00CC28EC" w:rsidRDefault="009D3CF6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0.8</w:t>
            </w:r>
          </w:p>
        </w:tc>
        <w:tc>
          <w:tcPr>
            <w:tcW w:w="964" w:type="dxa"/>
            <w:vAlign w:val="center"/>
          </w:tcPr>
          <w:p w14:paraId="2D4E6133" w14:textId="77777777" w:rsidR="00270D71" w:rsidRPr="00CC28EC" w:rsidRDefault="009D3CF6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0.45</w:t>
            </w:r>
          </w:p>
        </w:tc>
        <w:tc>
          <w:tcPr>
            <w:tcW w:w="964" w:type="dxa"/>
            <w:vAlign w:val="center"/>
          </w:tcPr>
          <w:p w14:paraId="32F3A7E3" w14:textId="77777777" w:rsidR="00270D71" w:rsidRPr="00CC28EC" w:rsidRDefault="009D3CF6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0.55</w:t>
            </w:r>
          </w:p>
        </w:tc>
      </w:tr>
      <w:tr w:rsidR="00270D71" w:rsidRPr="00CC28EC" w14:paraId="6C9F8C6A" w14:textId="77777777">
        <w:trPr>
          <w:trHeight w:val="210"/>
          <w:tblCellSpacing w:w="0" w:type="dxa"/>
          <w:jc w:val="center"/>
        </w:trPr>
        <w:tc>
          <w:tcPr>
            <w:tcW w:w="4508" w:type="dxa"/>
            <w:vAlign w:val="center"/>
          </w:tcPr>
          <w:p w14:paraId="6A25841B" w14:textId="77777777" w:rsidR="00270D71" w:rsidRPr="00CC28EC" w:rsidRDefault="009D3CF6">
            <w:pPr>
              <w:widowControl/>
              <w:spacing w:line="440" w:lineRule="exact"/>
              <w:ind w:firstLineChars="200" w:firstLine="560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1000—5000</w:t>
            </w:r>
          </w:p>
        </w:tc>
        <w:tc>
          <w:tcPr>
            <w:tcW w:w="964" w:type="dxa"/>
            <w:vAlign w:val="center"/>
          </w:tcPr>
          <w:p w14:paraId="3C49DFB8" w14:textId="77777777" w:rsidR="00270D71" w:rsidRPr="00CC28EC" w:rsidRDefault="009D3CF6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0.5</w:t>
            </w:r>
          </w:p>
        </w:tc>
        <w:tc>
          <w:tcPr>
            <w:tcW w:w="964" w:type="dxa"/>
            <w:vAlign w:val="center"/>
          </w:tcPr>
          <w:p w14:paraId="79185C7F" w14:textId="77777777" w:rsidR="00270D71" w:rsidRPr="00CC28EC" w:rsidRDefault="009D3CF6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0.25</w:t>
            </w:r>
          </w:p>
        </w:tc>
        <w:tc>
          <w:tcPr>
            <w:tcW w:w="964" w:type="dxa"/>
            <w:vAlign w:val="center"/>
          </w:tcPr>
          <w:p w14:paraId="36A17F5B" w14:textId="77777777" w:rsidR="00270D71" w:rsidRPr="00CC28EC" w:rsidRDefault="009D3CF6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0.35</w:t>
            </w:r>
          </w:p>
        </w:tc>
      </w:tr>
      <w:tr w:rsidR="00270D71" w:rsidRPr="00CC28EC" w14:paraId="39A091AA" w14:textId="77777777">
        <w:trPr>
          <w:trHeight w:val="210"/>
          <w:tblCellSpacing w:w="0" w:type="dxa"/>
          <w:jc w:val="center"/>
        </w:trPr>
        <w:tc>
          <w:tcPr>
            <w:tcW w:w="4508" w:type="dxa"/>
            <w:vAlign w:val="center"/>
          </w:tcPr>
          <w:p w14:paraId="3FDAADDA" w14:textId="77777777" w:rsidR="00270D71" w:rsidRPr="00CC28EC" w:rsidRDefault="009D3CF6">
            <w:pPr>
              <w:widowControl/>
              <w:spacing w:line="440" w:lineRule="exact"/>
              <w:ind w:firstLineChars="200" w:firstLine="560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5000—10000</w:t>
            </w:r>
          </w:p>
        </w:tc>
        <w:tc>
          <w:tcPr>
            <w:tcW w:w="964" w:type="dxa"/>
            <w:vAlign w:val="center"/>
          </w:tcPr>
          <w:p w14:paraId="434C5B0A" w14:textId="77777777" w:rsidR="00270D71" w:rsidRPr="00CC28EC" w:rsidRDefault="009D3CF6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0.25</w:t>
            </w:r>
          </w:p>
        </w:tc>
        <w:tc>
          <w:tcPr>
            <w:tcW w:w="964" w:type="dxa"/>
            <w:vAlign w:val="center"/>
          </w:tcPr>
          <w:p w14:paraId="634D561D" w14:textId="77777777" w:rsidR="00270D71" w:rsidRPr="00CC28EC" w:rsidRDefault="009D3CF6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0.1</w:t>
            </w:r>
          </w:p>
        </w:tc>
        <w:tc>
          <w:tcPr>
            <w:tcW w:w="964" w:type="dxa"/>
            <w:vAlign w:val="center"/>
          </w:tcPr>
          <w:p w14:paraId="28ED7B51" w14:textId="77777777" w:rsidR="00270D71" w:rsidRPr="00CC28EC" w:rsidRDefault="009D3CF6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0.2</w:t>
            </w:r>
          </w:p>
        </w:tc>
      </w:tr>
      <w:tr w:rsidR="00270D71" w:rsidRPr="00CC28EC" w14:paraId="2A06982C" w14:textId="77777777">
        <w:trPr>
          <w:trHeight w:val="210"/>
          <w:tblCellSpacing w:w="0" w:type="dxa"/>
          <w:jc w:val="center"/>
        </w:trPr>
        <w:tc>
          <w:tcPr>
            <w:tcW w:w="4508" w:type="dxa"/>
            <w:vAlign w:val="center"/>
          </w:tcPr>
          <w:p w14:paraId="60010C49" w14:textId="77777777" w:rsidR="00270D71" w:rsidRPr="00CC28EC" w:rsidRDefault="009D3CF6">
            <w:pPr>
              <w:widowControl/>
              <w:spacing w:line="440" w:lineRule="exact"/>
              <w:ind w:firstLineChars="200" w:firstLine="560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10000—50000</w:t>
            </w:r>
          </w:p>
        </w:tc>
        <w:tc>
          <w:tcPr>
            <w:tcW w:w="964" w:type="dxa"/>
            <w:vAlign w:val="center"/>
          </w:tcPr>
          <w:p w14:paraId="23412B15" w14:textId="77777777" w:rsidR="00270D71" w:rsidRPr="00CC28EC" w:rsidRDefault="009D3CF6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0.05</w:t>
            </w:r>
          </w:p>
        </w:tc>
        <w:tc>
          <w:tcPr>
            <w:tcW w:w="964" w:type="dxa"/>
            <w:vAlign w:val="center"/>
          </w:tcPr>
          <w:p w14:paraId="161E80F3" w14:textId="77777777" w:rsidR="00270D71" w:rsidRPr="00CC28EC" w:rsidRDefault="009D3CF6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0.05</w:t>
            </w:r>
          </w:p>
        </w:tc>
        <w:tc>
          <w:tcPr>
            <w:tcW w:w="964" w:type="dxa"/>
            <w:vAlign w:val="center"/>
          </w:tcPr>
          <w:p w14:paraId="2B45A639" w14:textId="77777777" w:rsidR="00270D71" w:rsidRPr="00CC28EC" w:rsidRDefault="009D3CF6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0.05</w:t>
            </w:r>
          </w:p>
        </w:tc>
      </w:tr>
      <w:tr w:rsidR="00270D71" w:rsidRPr="00CC28EC" w14:paraId="0B3A118D" w14:textId="77777777">
        <w:trPr>
          <w:trHeight w:val="210"/>
          <w:tblCellSpacing w:w="0" w:type="dxa"/>
          <w:jc w:val="center"/>
        </w:trPr>
        <w:tc>
          <w:tcPr>
            <w:tcW w:w="4508" w:type="dxa"/>
            <w:vAlign w:val="center"/>
          </w:tcPr>
          <w:p w14:paraId="5A08A40D" w14:textId="77777777" w:rsidR="00270D71" w:rsidRPr="00CC28EC" w:rsidRDefault="009D3CF6">
            <w:pPr>
              <w:widowControl/>
              <w:spacing w:line="440" w:lineRule="exact"/>
              <w:ind w:firstLineChars="200" w:firstLine="560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50000—1000000</w:t>
            </w:r>
          </w:p>
        </w:tc>
        <w:tc>
          <w:tcPr>
            <w:tcW w:w="964" w:type="dxa"/>
            <w:vAlign w:val="center"/>
          </w:tcPr>
          <w:p w14:paraId="188A7F49" w14:textId="77777777" w:rsidR="00270D71" w:rsidRPr="00CC28EC" w:rsidRDefault="009D3CF6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0.035</w:t>
            </w:r>
          </w:p>
        </w:tc>
        <w:tc>
          <w:tcPr>
            <w:tcW w:w="964" w:type="dxa"/>
            <w:vAlign w:val="center"/>
          </w:tcPr>
          <w:p w14:paraId="1441D0F7" w14:textId="77777777" w:rsidR="00270D71" w:rsidRPr="00CC28EC" w:rsidRDefault="009D3CF6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0.035</w:t>
            </w:r>
          </w:p>
        </w:tc>
        <w:tc>
          <w:tcPr>
            <w:tcW w:w="964" w:type="dxa"/>
            <w:vAlign w:val="center"/>
          </w:tcPr>
          <w:p w14:paraId="3BFA451C" w14:textId="77777777" w:rsidR="00270D71" w:rsidRPr="00CC28EC" w:rsidRDefault="009D3CF6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C28E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0.035</w:t>
            </w:r>
          </w:p>
        </w:tc>
      </w:tr>
    </w:tbl>
    <w:p w14:paraId="4DC0018C" w14:textId="77777777" w:rsidR="00270D71" w:rsidRPr="00CC28EC" w:rsidRDefault="00270D71" w:rsidP="00D075A1">
      <w:pPr>
        <w:rPr>
          <w:rFonts w:ascii="仿宋" w:eastAsia="仿宋" w:hAnsi="仿宋" w:cs="宋体" w:hint="eastAsia"/>
          <w:kern w:val="0"/>
          <w:sz w:val="28"/>
          <w:szCs w:val="28"/>
        </w:rPr>
      </w:pPr>
    </w:p>
    <w:sectPr w:rsidR="00270D71" w:rsidRPr="00CC28EC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69BF0" w14:textId="77777777" w:rsidR="00505DDE" w:rsidRDefault="00505DDE">
      <w:r>
        <w:separator/>
      </w:r>
    </w:p>
  </w:endnote>
  <w:endnote w:type="continuationSeparator" w:id="0">
    <w:p w14:paraId="66D73EEF" w14:textId="77777777" w:rsidR="00505DDE" w:rsidRDefault="0050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663037"/>
    </w:sdtPr>
    <w:sdtContent>
      <w:p w14:paraId="2AE2343E" w14:textId="77777777" w:rsidR="00270D71" w:rsidRDefault="009D3CF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9BE" w:rsidRPr="00D859BE">
          <w:rPr>
            <w:noProof/>
            <w:lang w:val="zh-CN"/>
          </w:rPr>
          <w:t>1</w:t>
        </w:r>
        <w:r>
          <w:fldChar w:fldCharType="end"/>
        </w:r>
      </w:p>
    </w:sdtContent>
  </w:sdt>
  <w:p w14:paraId="42FB0896" w14:textId="77777777" w:rsidR="00270D71" w:rsidRDefault="00270D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43563" w14:textId="77777777" w:rsidR="00505DDE" w:rsidRDefault="00505DDE">
      <w:r>
        <w:separator/>
      </w:r>
    </w:p>
  </w:footnote>
  <w:footnote w:type="continuationSeparator" w:id="0">
    <w:p w14:paraId="3E03C8B6" w14:textId="77777777" w:rsidR="00505DDE" w:rsidRDefault="00505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32A811"/>
    <w:multiLevelType w:val="singleLevel"/>
    <w:tmpl w:val="EE32A81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969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FmZWIzNDg2MmIzZjExOTIzMmViNTBmYTMwYTk0ZWY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248A4"/>
    <w:rsid w:val="00151C8B"/>
    <w:rsid w:val="00152559"/>
    <w:rsid w:val="00165A80"/>
    <w:rsid w:val="00182A98"/>
    <w:rsid w:val="00244094"/>
    <w:rsid w:val="00246690"/>
    <w:rsid w:val="00270D71"/>
    <w:rsid w:val="002E6E2C"/>
    <w:rsid w:val="002F4172"/>
    <w:rsid w:val="00322E12"/>
    <w:rsid w:val="003365C8"/>
    <w:rsid w:val="003D04C7"/>
    <w:rsid w:val="00430D5D"/>
    <w:rsid w:val="00445621"/>
    <w:rsid w:val="00493B5A"/>
    <w:rsid w:val="004B0417"/>
    <w:rsid w:val="004F0CA3"/>
    <w:rsid w:val="004F449A"/>
    <w:rsid w:val="00505DDE"/>
    <w:rsid w:val="00507382"/>
    <w:rsid w:val="0057162B"/>
    <w:rsid w:val="005902A4"/>
    <w:rsid w:val="005A4425"/>
    <w:rsid w:val="005B0BE6"/>
    <w:rsid w:val="005E12D4"/>
    <w:rsid w:val="00611E03"/>
    <w:rsid w:val="006939FC"/>
    <w:rsid w:val="0079663A"/>
    <w:rsid w:val="007A757E"/>
    <w:rsid w:val="007E2D83"/>
    <w:rsid w:val="0080774A"/>
    <w:rsid w:val="00837013"/>
    <w:rsid w:val="00877C6E"/>
    <w:rsid w:val="008974EE"/>
    <w:rsid w:val="008A1192"/>
    <w:rsid w:val="008A2FE7"/>
    <w:rsid w:val="008C09E5"/>
    <w:rsid w:val="0090581E"/>
    <w:rsid w:val="00966F02"/>
    <w:rsid w:val="009A0EB9"/>
    <w:rsid w:val="009A15C7"/>
    <w:rsid w:val="009C7DD6"/>
    <w:rsid w:val="009D3CF6"/>
    <w:rsid w:val="00A30F31"/>
    <w:rsid w:val="00A3374C"/>
    <w:rsid w:val="00A85662"/>
    <w:rsid w:val="00A95028"/>
    <w:rsid w:val="00AD31E6"/>
    <w:rsid w:val="00BA18C0"/>
    <w:rsid w:val="00C37A88"/>
    <w:rsid w:val="00C52F06"/>
    <w:rsid w:val="00C61BBE"/>
    <w:rsid w:val="00C95981"/>
    <w:rsid w:val="00CB1AE4"/>
    <w:rsid w:val="00CC28EC"/>
    <w:rsid w:val="00D075A1"/>
    <w:rsid w:val="00D26832"/>
    <w:rsid w:val="00D8564F"/>
    <w:rsid w:val="00D859BE"/>
    <w:rsid w:val="00D90963"/>
    <w:rsid w:val="00DA7067"/>
    <w:rsid w:val="00DC09FA"/>
    <w:rsid w:val="00DD49D8"/>
    <w:rsid w:val="00E13017"/>
    <w:rsid w:val="00E457B7"/>
    <w:rsid w:val="00E702D6"/>
    <w:rsid w:val="00E71013"/>
    <w:rsid w:val="00E73AFC"/>
    <w:rsid w:val="00E75E92"/>
    <w:rsid w:val="00ED7C2A"/>
    <w:rsid w:val="00EE3266"/>
    <w:rsid w:val="00F41FFD"/>
    <w:rsid w:val="00F53A4B"/>
    <w:rsid w:val="00FB7328"/>
    <w:rsid w:val="1F665481"/>
    <w:rsid w:val="217C6D52"/>
    <w:rsid w:val="25A751E1"/>
    <w:rsid w:val="2AF31486"/>
    <w:rsid w:val="3439473C"/>
    <w:rsid w:val="44A92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A613BB"/>
  <w15:docId w15:val="{26107024-F832-403B-A614-8535D25C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  <w:style w:type="paragraph" w:customStyle="1" w:styleId="Style41">
    <w:name w:val="_Style 41"/>
    <w:basedOn w:val="a"/>
    <w:next w:val="af5"/>
    <w:autoRedefine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613</Characters>
  <Application>Microsoft Office Word</Application>
  <DocSecurity>0</DocSecurity>
  <Lines>43</Lines>
  <Paragraphs>38</Paragraphs>
  <ScaleCrop>false</ScaleCrop>
  <Company>Hewlett-Packard Company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鑫磊 王</cp:lastModifiedBy>
  <cp:revision>2</cp:revision>
  <cp:lastPrinted>2025-05-19T08:37:00Z</cp:lastPrinted>
  <dcterms:created xsi:type="dcterms:W3CDTF">2025-08-12T08:01:00Z</dcterms:created>
  <dcterms:modified xsi:type="dcterms:W3CDTF">2025-08-12T08:01:00Z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FDA53DC0F4F14DAC95FEF5A91FD918FF_13</vt:lpwstr>
  </property>
</Properties>
</file>