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0EEA7E">
      <w:pPr>
        <w:snapToGrid w:val="0"/>
        <w:spacing w:line="360" w:lineRule="auto"/>
        <w:ind w:right="31" w:rightChars="15"/>
        <w:rPr>
          <w:snapToGrid w:val="0"/>
          <w:kern w:val="0"/>
          <w:sz w:val="60"/>
          <w:szCs w:val="60"/>
        </w:rPr>
      </w:pPr>
    </w:p>
    <w:p w14:paraId="2346A736">
      <w:pPr>
        <w:pStyle w:val="46"/>
        <w:snapToGrid w:val="0"/>
        <w:spacing w:after="0" w:line="360" w:lineRule="auto"/>
        <w:ind w:left="0" w:leftChars="0" w:right="31" w:rightChars="15" w:firstLine="0" w:firstLineChars="0"/>
        <w:rPr>
          <w:snapToGrid w:val="0"/>
          <w:kern w:val="0"/>
          <w:sz w:val="60"/>
          <w:szCs w:val="60"/>
        </w:rPr>
      </w:pPr>
    </w:p>
    <w:p w14:paraId="68898860">
      <w:pPr>
        <w:snapToGrid w:val="0"/>
        <w:spacing w:line="360" w:lineRule="auto"/>
        <w:ind w:right="31" w:rightChars="15"/>
        <w:jc w:val="center"/>
        <w:rPr>
          <w:b/>
          <w:bCs/>
          <w:snapToGrid w:val="0"/>
          <w:kern w:val="0"/>
          <w:sz w:val="60"/>
          <w:szCs w:val="60"/>
        </w:rPr>
      </w:pPr>
      <w:bookmarkStart w:id="0" w:name="_Toc2877"/>
      <w:bookmarkStart w:id="1" w:name="_Toc22623"/>
      <w:bookmarkStart w:id="2" w:name="_Toc6600"/>
      <w:r>
        <w:rPr>
          <w:b/>
          <w:bCs/>
          <w:snapToGrid w:val="0"/>
          <w:kern w:val="0"/>
          <w:sz w:val="60"/>
          <w:szCs w:val="60"/>
        </w:rPr>
        <w:t>北京市政府采购项目</w:t>
      </w:r>
      <w:bookmarkEnd w:id="0"/>
      <w:bookmarkEnd w:id="1"/>
      <w:bookmarkEnd w:id="2"/>
    </w:p>
    <w:p w14:paraId="7F41A8D5">
      <w:pPr>
        <w:snapToGrid w:val="0"/>
        <w:spacing w:line="360" w:lineRule="auto"/>
        <w:ind w:right="31" w:rightChars="15"/>
        <w:jc w:val="center"/>
        <w:rPr>
          <w:b/>
          <w:bCs/>
          <w:snapToGrid w:val="0"/>
          <w:kern w:val="0"/>
          <w:sz w:val="60"/>
          <w:szCs w:val="60"/>
        </w:rPr>
      </w:pPr>
      <w:bookmarkStart w:id="3" w:name="_Toc16169"/>
      <w:bookmarkStart w:id="4" w:name="_Toc3795"/>
      <w:bookmarkStart w:id="5" w:name="_Toc506"/>
      <w:bookmarkStart w:id="6" w:name="_Toc5343"/>
      <w:r>
        <w:rPr>
          <w:rFonts w:hint="eastAsia"/>
          <w:b/>
          <w:bCs/>
          <w:snapToGrid w:val="0"/>
          <w:kern w:val="0"/>
          <w:sz w:val="60"/>
          <w:szCs w:val="60"/>
        </w:rPr>
        <w:t>公开</w:t>
      </w:r>
      <w:r>
        <w:rPr>
          <w:b/>
          <w:bCs/>
          <w:snapToGrid w:val="0"/>
          <w:kern w:val="0"/>
          <w:sz w:val="60"/>
          <w:szCs w:val="60"/>
        </w:rPr>
        <w:t>招标文件</w:t>
      </w:r>
      <w:bookmarkEnd w:id="3"/>
      <w:bookmarkEnd w:id="4"/>
      <w:bookmarkEnd w:id="5"/>
      <w:bookmarkEnd w:id="6"/>
    </w:p>
    <w:p w14:paraId="14F6EB0B">
      <w:pPr>
        <w:snapToGrid w:val="0"/>
        <w:spacing w:line="360" w:lineRule="auto"/>
        <w:ind w:right="31" w:rightChars="15"/>
        <w:jc w:val="center"/>
        <w:rPr>
          <w:b/>
          <w:bCs/>
          <w:snapToGrid w:val="0"/>
          <w:kern w:val="0"/>
          <w:sz w:val="60"/>
          <w:szCs w:val="60"/>
        </w:rPr>
      </w:pPr>
    </w:p>
    <w:p w14:paraId="5FA3BB9E">
      <w:pPr>
        <w:snapToGrid w:val="0"/>
        <w:spacing w:line="360" w:lineRule="auto"/>
        <w:ind w:right="31" w:rightChars="15"/>
        <w:jc w:val="center"/>
        <w:rPr>
          <w:snapToGrid w:val="0"/>
          <w:kern w:val="0"/>
          <w:sz w:val="60"/>
          <w:szCs w:val="60"/>
        </w:rPr>
      </w:pPr>
    </w:p>
    <w:p w14:paraId="27618633">
      <w:pPr>
        <w:pStyle w:val="46"/>
        <w:snapToGrid w:val="0"/>
        <w:spacing w:after="0" w:line="360" w:lineRule="auto"/>
        <w:ind w:left="0" w:leftChars="0" w:right="31" w:rightChars="15" w:firstLine="0" w:firstLineChars="0"/>
        <w:rPr>
          <w:snapToGrid w:val="0"/>
          <w:kern w:val="0"/>
          <w:sz w:val="60"/>
          <w:szCs w:val="60"/>
        </w:rPr>
      </w:pPr>
    </w:p>
    <w:p w14:paraId="63661849">
      <w:pPr>
        <w:pStyle w:val="46"/>
        <w:snapToGrid w:val="0"/>
        <w:spacing w:after="0" w:line="360" w:lineRule="auto"/>
        <w:ind w:left="0" w:leftChars="0" w:right="31" w:rightChars="15" w:firstLine="0" w:firstLineChars="0"/>
        <w:rPr>
          <w:snapToGrid w:val="0"/>
          <w:kern w:val="0"/>
          <w:sz w:val="60"/>
          <w:szCs w:val="60"/>
        </w:rPr>
      </w:pPr>
    </w:p>
    <w:p w14:paraId="5EBE867A">
      <w:pPr>
        <w:pStyle w:val="46"/>
        <w:snapToGrid w:val="0"/>
        <w:spacing w:after="0" w:line="360" w:lineRule="auto"/>
        <w:ind w:left="0" w:leftChars="0" w:right="31" w:rightChars="15" w:firstLine="0" w:firstLineChars="0"/>
        <w:rPr>
          <w:snapToGrid w:val="0"/>
          <w:kern w:val="0"/>
          <w:sz w:val="60"/>
          <w:szCs w:val="60"/>
        </w:rPr>
      </w:pPr>
    </w:p>
    <w:p w14:paraId="4E39EDFB">
      <w:pPr>
        <w:tabs>
          <w:tab w:val="left" w:pos="3240"/>
          <w:tab w:val="left" w:pos="3420"/>
        </w:tabs>
        <w:snapToGrid w:val="0"/>
        <w:spacing w:line="360" w:lineRule="auto"/>
        <w:ind w:right="31" w:rightChars="15"/>
        <w:jc w:val="left"/>
        <w:rPr>
          <w:rFonts w:hint="eastAsia" w:ascii="宋体" w:hAnsi="宋体" w:cs="宋体"/>
          <w:bCs/>
          <w:snapToGrid w:val="0"/>
          <w:kern w:val="0"/>
          <w:sz w:val="32"/>
          <w:szCs w:val="32"/>
        </w:rPr>
      </w:pPr>
      <w:r>
        <w:rPr>
          <w:rFonts w:hint="eastAsia" w:ascii="宋体" w:hAnsi="宋体" w:cs="宋体"/>
          <w:bCs/>
          <w:snapToGrid w:val="0"/>
          <w:kern w:val="0"/>
          <w:sz w:val="32"/>
          <w:szCs w:val="32"/>
        </w:rPr>
        <w:t>项目名称：</w:t>
      </w:r>
      <w:r>
        <w:rPr>
          <w:rFonts w:hint="eastAsia" w:ascii="宋体" w:hAnsi="宋体" w:cs="宋体"/>
          <w:bCs/>
          <w:snapToGrid w:val="0"/>
          <w:kern w:val="0"/>
          <w:sz w:val="32"/>
          <w:szCs w:val="32"/>
          <w:lang w:eastAsia="zh-CN"/>
        </w:rPr>
        <w:t>门头沟区潭柘寺镇草甸水村异地重建安置基础设施建设工程（监理）</w:t>
      </w:r>
      <w:r>
        <w:rPr>
          <w:rFonts w:hint="eastAsia" w:ascii="宋体" w:hAnsi="宋体" w:cs="宋体"/>
          <w:bCs/>
          <w:snapToGrid w:val="0"/>
          <w:kern w:val="0"/>
          <w:sz w:val="32"/>
          <w:szCs w:val="32"/>
        </w:rPr>
        <w:t xml:space="preserve"> </w:t>
      </w:r>
    </w:p>
    <w:p w14:paraId="1F6B9319">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项目编号：</w:t>
      </w:r>
      <w:bookmarkStart w:id="7" w:name="_Toc9008"/>
      <w:bookmarkStart w:id="8" w:name="_Toc4686"/>
      <w:bookmarkStart w:id="9" w:name="_Toc18013"/>
      <w:bookmarkStart w:id="10" w:name="_Toc9156"/>
      <w:r>
        <w:rPr>
          <w:rFonts w:hint="eastAsia" w:ascii="宋体" w:hAnsi="宋体" w:cs="宋体"/>
          <w:bCs/>
          <w:snapToGrid w:val="0"/>
          <w:kern w:val="0"/>
          <w:sz w:val="32"/>
          <w:szCs w:val="32"/>
          <w:lang w:val="en-US" w:eastAsia="zh-CN"/>
        </w:rPr>
        <w:t xml:space="preserve"> 11010925210200013957-XM001</w:t>
      </w:r>
    </w:p>
    <w:p w14:paraId="7CF6E28C">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采 购 人：</w:t>
      </w:r>
      <w:bookmarkEnd w:id="7"/>
      <w:bookmarkEnd w:id="8"/>
      <w:bookmarkEnd w:id="9"/>
      <w:bookmarkEnd w:id="10"/>
      <w:r>
        <w:rPr>
          <w:rFonts w:hint="eastAsia" w:ascii="宋体" w:hAnsi="宋体" w:cs="宋体"/>
          <w:bCs/>
          <w:snapToGrid w:val="0"/>
          <w:kern w:val="0"/>
          <w:sz w:val="32"/>
          <w:szCs w:val="32"/>
          <w:lang w:eastAsia="zh-CN"/>
        </w:rPr>
        <w:t>北京市门头沟区潭柘寺镇人民政府</w:t>
      </w:r>
    </w:p>
    <w:p w14:paraId="265E051B">
      <w:pPr>
        <w:tabs>
          <w:tab w:val="left" w:pos="3240"/>
          <w:tab w:val="left" w:pos="3420"/>
        </w:tabs>
        <w:snapToGrid w:val="0"/>
        <w:spacing w:line="360" w:lineRule="auto"/>
        <w:ind w:right="31" w:rightChars="15"/>
        <w:jc w:val="left"/>
        <w:rPr>
          <w:rFonts w:hint="eastAsia" w:ascii="宋体" w:hAnsi="宋体" w:eastAsia="宋体" w:cs="宋体"/>
          <w:bCs/>
          <w:snapToGrid w:val="0"/>
          <w:kern w:val="0"/>
          <w:sz w:val="32"/>
          <w:szCs w:val="32"/>
          <w:lang w:eastAsia="zh-CN"/>
        </w:rPr>
      </w:pPr>
      <w:r>
        <w:rPr>
          <w:rFonts w:hint="eastAsia" w:ascii="宋体" w:hAnsi="宋体" w:cs="宋体"/>
          <w:bCs/>
          <w:snapToGrid w:val="0"/>
          <w:kern w:val="0"/>
          <w:sz w:val="32"/>
          <w:szCs w:val="32"/>
        </w:rPr>
        <w:t>采购代理机构：</w:t>
      </w:r>
      <w:r>
        <w:rPr>
          <w:rFonts w:hint="eastAsia" w:ascii="宋体" w:hAnsi="宋体" w:cs="宋体"/>
          <w:bCs/>
          <w:snapToGrid w:val="0"/>
          <w:kern w:val="0"/>
          <w:sz w:val="32"/>
          <w:szCs w:val="32"/>
          <w:lang w:eastAsia="zh-CN"/>
        </w:rPr>
        <w:t>北京门城永平工程管理有限公司</w:t>
      </w:r>
    </w:p>
    <w:p w14:paraId="7FF6942D">
      <w:pPr>
        <w:snapToGrid w:val="0"/>
        <w:spacing w:line="360" w:lineRule="auto"/>
        <w:ind w:right="31" w:rightChars="15"/>
        <w:rPr>
          <w:snapToGrid w:val="0"/>
          <w:kern w:val="0"/>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800" w:bottom="1440" w:left="1800" w:header="851" w:footer="851" w:gutter="0"/>
          <w:pgNumType w:start="0"/>
          <w:cols w:space="720" w:num="1"/>
          <w:titlePg/>
          <w:docGrid w:linePitch="462" w:charSpace="0"/>
        </w:sectPr>
      </w:pPr>
    </w:p>
    <w:p w14:paraId="319F8B78">
      <w:pPr>
        <w:snapToGrid w:val="0"/>
        <w:spacing w:line="360" w:lineRule="auto"/>
        <w:ind w:right="31" w:rightChars="15"/>
        <w:rPr>
          <w:snapToGrid w:val="0"/>
          <w:kern w:val="0"/>
        </w:rPr>
      </w:pPr>
    </w:p>
    <w:sdt>
      <w:sdtPr>
        <w:rPr>
          <w:rFonts w:ascii="宋体" w:hAnsi="宋体"/>
          <w:snapToGrid w:val="0"/>
          <w:kern w:val="0"/>
        </w:rPr>
        <w:id w:val="147476085"/>
        <w15:color w:val="DBDBDB"/>
      </w:sdtPr>
      <w:sdtEndPr>
        <w:rPr>
          <w:rFonts w:ascii="宋体" w:hAnsi="宋体"/>
          <w:snapToGrid w:val="0"/>
          <w:kern w:val="0"/>
        </w:rPr>
      </w:sdtEndPr>
      <w:sdtContent>
        <w:p w14:paraId="50B63DA7">
          <w:pPr>
            <w:snapToGrid w:val="0"/>
            <w:spacing w:line="480" w:lineRule="auto"/>
            <w:ind w:right="126" w:rightChars="60"/>
            <w:jc w:val="center"/>
            <w:rPr>
              <w:rFonts w:hint="eastAsia" w:ascii="宋体" w:hAnsi="宋体" w:cs="宋体"/>
              <w:snapToGrid w:val="0"/>
              <w:kern w:val="0"/>
              <w:sz w:val="24"/>
            </w:rPr>
          </w:pPr>
          <w:r>
            <w:rPr>
              <w:rFonts w:hint="eastAsia" w:ascii="宋体" w:hAnsi="宋体" w:cs="宋体"/>
              <w:snapToGrid w:val="0"/>
              <w:kern w:val="0"/>
              <w:sz w:val="24"/>
            </w:rPr>
            <w:t>目录</w:t>
          </w:r>
        </w:p>
        <w:p w14:paraId="7A681F4F">
          <w:pPr>
            <w:pStyle w:val="31"/>
            <w:tabs>
              <w:tab w:val="right" w:leader="dot" w:pos="8307"/>
              <w:tab w:val="clear" w:pos="1050"/>
              <w:tab w:val="clear" w:pos="8937"/>
            </w:tabs>
            <w:rPr>
              <w:rFonts w:hint="eastAsia"/>
            </w:rPr>
          </w:pPr>
          <w:r>
            <w:rPr>
              <w:rFonts w:hint="eastAsia" w:cs="宋体"/>
              <w:snapToGrid w:val="0"/>
              <w:kern w:val="0"/>
            </w:rPr>
            <w:fldChar w:fldCharType="begin"/>
          </w:r>
          <w:r>
            <w:rPr>
              <w:rFonts w:hint="eastAsia" w:cs="宋体"/>
              <w:snapToGrid w:val="0"/>
              <w:kern w:val="0"/>
            </w:rPr>
            <w:instrText xml:space="preserve">TOC \o "1-1" \h \u </w:instrText>
          </w:r>
          <w:r>
            <w:rPr>
              <w:rFonts w:hint="eastAsia" w:cs="宋体"/>
              <w:snapToGrid w:val="0"/>
              <w:kern w:val="0"/>
            </w:rPr>
            <w:fldChar w:fldCharType="separate"/>
          </w:r>
          <w:r>
            <w:fldChar w:fldCharType="begin"/>
          </w:r>
          <w:r>
            <w:instrText xml:space="preserve"> HYPERLINK \l "_Toc17063" </w:instrText>
          </w:r>
          <w:r>
            <w:fldChar w:fldCharType="separate"/>
          </w:r>
          <w:r>
            <w:rPr>
              <w:snapToGrid w:val="0"/>
              <w:kern w:val="0"/>
            </w:rPr>
            <w:t>第一章   投标邀请</w:t>
          </w:r>
          <w:r>
            <w:tab/>
          </w:r>
          <w:r>
            <w:fldChar w:fldCharType="begin"/>
          </w:r>
          <w:r>
            <w:instrText xml:space="preserve"> PAGEREF _Toc17063 \h </w:instrText>
          </w:r>
          <w:r>
            <w:fldChar w:fldCharType="separate"/>
          </w:r>
          <w:r>
            <w:t>1</w:t>
          </w:r>
          <w:r>
            <w:fldChar w:fldCharType="end"/>
          </w:r>
          <w:r>
            <w:fldChar w:fldCharType="end"/>
          </w:r>
        </w:p>
        <w:p w14:paraId="07860C45">
          <w:pPr>
            <w:pStyle w:val="31"/>
            <w:tabs>
              <w:tab w:val="right" w:leader="dot" w:pos="8307"/>
              <w:tab w:val="clear" w:pos="1050"/>
              <w:tab w:val="clear" w:pos="8937"/>
            </w:tabs>
            <w:rPr>
              <w:rFonts w:hint="eastAsia"/>
            </w:rPr>
          </w:pPr>
          <w:r>
            <w:fldChar w:fldCharType="begin"/>
          </w:r>
          <w:r>
            <w:instrText xml:space="preserve"> HYPERLINK \l "_Toc18746" </w:instrText>
          </w:r>
          <w:r>
            <w:fldChar w:fldCharType="separate"/>
          </w:r>
          <w:r>
            <w:rPr>
              <w:rFonts w:hAnsi="Times New Roman"/>
              <w:snapToGrid w:val="0"/>
              <w:kern w:val="0"/>
            </w:rPr>
            <w:t>第二章   投标人须知</w:t>
          </w:r>
          <w:r>
            <w:tab/>
          </w:r>
          <w:r>
            <w:fldChar w:fldCharType="begin"/>
          </w:r>
          <w:r>
            <w:instrText xml:space="preserve"> PAGEREF _Toc18746 \h </w:instrText>
          </w:r>
          <w:r>
            <w:fldChar w:fldCharType="separate"/>
          </w:r>
          <w:r>
            <w:t>5</w:t>
          </w:r>
          <w:r>
            <w:fldChar w:fldCharType="end"/>
          </w:r>
          <w:r>
            <w:fldChar w:fldCharType="end"/>
          </w:r>
        </w:p>
        <w:p w14:paraId="3C915C34">
          <w:pPr>
            <w:pStyle w:val="31"/>
            <w:tabs>
              <w:tab w:val="right" w:leader="dot" w:pos="8307"/>
              <w:tab w:val="clear" w:pos="1050"/>
              <w:tab w:val="clear" w:pos="8937"/>
            </w:tabs>
            <w:rPr>
              <w:rFonts w:hint="eastAsia"/>
            </w:rPr>
          </w:pPr>
          <w:r>
            <w:fldChar w:fldCharType="begin"/>
          </w:r>
          <w:r>
            <w:instrText xml:space="preserve"> HYPERLINK \l "_Toc1595" </w:instrText>
          </w:r>
          <w:r>
            <w:fldChar w:fldCharType="separate"/>
          </w:r>
          <w:r>
            <w:rPr>
              <w:snapToGrid w:val="0"/>
              <w:kern w:val="0"/>
            </w:rPr>
            <w:t>第三章   资格审查</w:t>
          </w:r>
          <w:r>
            <w:tab/>
          </w:r>
          <w:r>
            <w:fldChar w:fldCharType="begin"/>
          </w:r>
          <w:r>
            <w:instrText xml:space="preserve"> PAGEREF _Toc1595 \h </w:instrText>
          </w:r>
          <w:r>
            <w:fldChar w:fldCharType="separate"/>
          </w:r>
          <w:r>
            <w:t>21</w:t>
          </w:r>
          <w:r>
            <w:fldChar w:fldCharType="end"/>
          </w:r>
          <w:r>
            <w:fldChar w:fldCharType="end"/>
          </w:r>
        </w:p>
        <w:p w14:paraId="2F8B0604">
          <w:pPr>
            <w:pStyle w:val="31"/>
            <w:tabs>
              <w:tab w:val="right" w:leader="dot" w:pos="8307"/>
              <w:tab w:val="clear" w:pos="1050"/>
              <w:tab w:val="clear" w:pos="8937"/>
            </w:tabs>
            <w:rPr>
              <w:rFonts w:hint="eastAsia"/>
            </w:rPr>
          </w:pPr>
          <w:r>
            <w:fldChar w:fldCharType="begin"/>
          </w:r>
          <w:r>
            <w:instrText xml:space="preserve"> HYPERLINK \l "_Toc11644" </w:instrText>
          </w:r>
          <w:r>
            <w:fldChar w:fldCharType="separate"/>
          </w:r>
          <w:r>
            <w:rPr>
              <w:snapToGrid w:val="0"/>
              <w:kern w:val="0"/>
            </w:rPr>
            <w:t>第四章   评标程序、评标方法和评标标准</w:t>
          </w:r>
          <w:r>
            <w:tab/>
          </w:r>
          <w:r>
            <w:fldChar w:fldCharType="begin"/>
          </w:r>
          <w:r>
            <w:instrText xml:space="preserve"> PAGEREF _Toc11644 \h </w:instrText>
          </w:r>
          <w:r>
            <w:fldChar w:fldCharType="separate"/>
          </w:r>
          <w:r>
            <w:t>23</w:t>
          </w:r>
          <w:r>
            <w:fldChar w:fldCharType="end"/>
          </w:r>
          <w:r>
            <w:fldChar w:fldCharType="end"/>
          </w:r>
        </w:p>
        <w:p w14:paraId="03729A1A">
          <w:pPr>
            <w:pStyle w:val="31"/>
            <w:tabs>
              <w:tab w:val="right" w:leader="dot" w:pos="8307"/>
              <w:tab w:val="clear" w:pos="1050"/>
              <w:tab w:val="clear" w:pos="8937"/>
            </w:tabs>
            <w:rPr>
              <w:rFonts w:hint="eastAsia"/>
            </w:rPr>
          </w:pPr>
          <w:r>
            <w:fldChar w:fldCharType="begin"/>
          </w:r>
          <w:r>
            <w:instrText xml:space="preserve"> HYPERLINK \l "_Toc27550" </w:instrText>
          </w:r>
          <w:r>
            <w:fldChar w:fldCharType="separate"/>
          </w:r>
          <w:r>
            <w:rPr>
              <w:snapToGrid w:val="0"/>
              <w:kern w:val="0"/>
            </w:rPr>
            <w:t>第五章   采购需求</w:t>
          </w:r>
          <w:r>
            <w:tab/>
          </w:r>
          <w:r>
            <w:fldChar w:fldCharType="begin"/>
          </w:r>
          <w:r>
            <w:instrText xml:space="preserve"> PAGEREF _Toc27550 \h </w:instrText>
          </w:r>
          <w:r>
            <w:fldChar w:fldCharType="separate"/>
          </w:r>
          <w:r>
            <w:t>31</w:t>
          </w:r>
          <w:r>
            <w:fldChar w:fldCharType="end"/>
          </w:r>
          <w:r>
            <w:fldChar w:fldCharType="end"/>
          </w:r>
        </w:p>
        <w:p w14:paraId="5E8E9855">
          <w:pPr>
            <w:pStyle w:val="31"/>
            <w:tabs>
              <w:tab w:val="right" w:leader="dot" w:pos="8307"/>
              <w:tab w:val="clear" w:pos="1050"/>
              <w:tab w:val="clear" w:pos="8937"/>
            </w:tabs>
            <w:rPr>
              <w:rFonts w:hint="eastAsia"/>
            </w:rPr>
          </w:pPr>
          <w:r>
            <w:fldChar w:fldCharType="begin"/>
          </w:r>
          <w:r>
            <w:instrText xml:space="preserve"> HYPERLINK \l "_Toc27004" </w:instrText>
          </w:r>
          <w:r>
            <w:fldChar w:fldCharType="separate"/>
          </w:r>
          <w:r>
            <w:rPr>
              <w:szCs w:val="36"/>
            </w:rPr>
            <w:t>第六章   拟签订的合同文本</w:t>
          </w:r>
          <w:r>
            <w:tab/>
          </w:r>
          <w:r>
            <w:fldChar w:fldCharType="begin"/>
          </w:r>
          <w:r>
            <w:instrText xml:space="preserve"> PAGEREF _Toc27004 \h </w:instrText>
          </w:r>
          <w:r>
            <w:fldChar w:fldCharType="separate"/>
          </w:r>
          <w:r>
            <w:t>32</w:t>
          </w:r>
          <w:r>
            <w:fldChar w:fldCharType="end"/>
          </w:r>
          <w:r>
            <w:fldChar w:fldCharType="end"/>
          </w:r>
        </w:p>
        <w:p w14:paraId="1F76DA42">
          <w:pPr>
            <w:pStyle w:val="31"/>
            <w:tabs>
              <w:tab w:val="right" w:leader="dot" w:pos="8307"/>
              <w:tab w:val="clear" w:pos="1050"/>
              <w:tab w:val="clear" w:pos="8937"/>
            </w:tabs>
            <w:rPr>
              <w:rFonts w:hint="eastAsia"/>
            </w:rPr>
          </w:pPr>
          <w:r>
            <w:fldChar w:fldCharType="begin"/>
          </w:r>
          <w:r>
            <w:instrText xml:space="preserve"> HYPERLINK \l "_Toc2888" </w:instrText>
          </w:r>
          <w:r>
            <w:fldChar w:fldCharType="separate"/>
          </w:r>
          <w:r>
            <w:rPr>
              <w:snapToGrid w:val="0"/>
              <w:kern w:val="0"/>
            </w:rPr>
            <w:t>第七章   投标文件格式</w:t>
          </w:r>
          <w:r>
            <w:tab/>
          </w:r>
          <w:r>
            <w:fldChar w:fldCharType="begin"/>
          </w:r>
          <w:r>
            <w:instrText xml:space="preserve"> PAGEREF _Toc2888 \h </w:instrText>
          </w:r>
          <w:r>
            <w:fldChar w:fldCharType="separate"/>
          </w:r>
          <w:r>
            <w:t>57</w:t>
          </w:r>
          <w:r>
            <w:fldChar w:fldCharType="end"/>
          </w:r>
          <w:r>
            <w:fldChar w:fldCharType="end"/>
          </w:r>
        </w:p>
        <w:p w14:paraId="2D9FE69A">
          <w:pPr>
            <w:snapToGrid w:val="0"/>
            <w:spacing w:line="480" w:lineRule="auto"/>
            <w:ind w:right="126" w:rightChars="60"/>
            <w:rPr>
              <w:snapToGrid w:val="0"/>
              <w:kern w:val="0"/>
            </w:rPr>
          </w:pPr>
          <w:r>
            <w:rPr>
              <w:rFonts w:hint="eastAsia" w:ascii="宋体" w:hAnsi="宋体" w:cs="宋体"/>
              <w:snapToGrid w:val="0"/>
              <w:kern w:val="0"/>
            </w:rPr>
            <w:fldChar w:fldCharType="end"/>
          </w:r>
        </w:p>
      </w:sdtContent>
    </w:sdt>
    <w:p w14:paraId="6A5E6681">
      <w:pPr>
        <w:pStyle w:val="29"/>
        <w:rPr>
          <w:rStyle w:val="63"/>
          <w:snapToGrid w:val="0"/>
          <w:kern w:val="0"/>
        </w:rPr>
        <w:sectPr>
          <w:footerReference r:id="rId10" w:type="first"/>
          <w:footerReference r:id="rId9" w:type="default"/>
          <w:pgSz w:w="11907" w:h="16840"/>
          <w:pgMar w:top="1440" w:right="1800" w:bottom="1440" w:left="1800" w:header="851" w:footer="851" w:gutter="0"/>
          <w:pgNumType w:start="1"/>
          <w:cols w:space="720" w:num="1"/>
          <w:docGrid w:linePitch="462" w:charSpace="0"/>
        </w:sectPr>
      </w:pPr>
      <w:bookmarkStart w:id="11" w:name="_Toc14535"/>
      <w:bookmarkStart w:id="12" w:name="_Toc4167"/>
      <w:bookmarkStart w:id="13" w:name="_Toc99301419"/>
      <w:r>
        <w:rPr>
          <w:rFonts w:hint="eastAsia" w:hAnsi="宋体" w:cs="宋体"/>
          <w:sz w:val="21"/>
          <w:szCs w:val="21"/>
        </w:rPr>
        <w:t>注:采购文件条款中以“</w:t>
      </w:r>
      <w:r>
        <w:rPr>
          <w:rFonts w:hint="eastAsia" w:hAnsi="宋体" w:cs="宋体"/>
          <w:snapToGrid w:val="0"/>
          <w:sz w:val="21"/>
          <w:szCs w:val="21"/>
        </w:rPr>
        <w:t>■</w:t>
      </w:r>
      <w:r>
        <w:rPr>
          <w:rFonts w:hint="eastAsia" w:hAnsi="宋体" w:cs="宋体"/>
          <w:sz w:val="21"/>
          <w:szCs w:val="21"/>
        </w:rPr>
        <w:t>“"形式标记的内容适用于本项目，以“</w:t>
      </w:r>
      <w:r>
        <w:rPr>
          <w:rFonts w:hint="eastAsia" w:hAnsi="宋体" w:cs="宋体"/>
          <w:snapToGrid w:val="0"/>
          <w:sz w:val="21"/>
          <w:szCs w:val="21"/>
        </w:rPr>
        <w:t>□</w:t>
      </w:r>
      <w:r>
        <w:rPr>
          <w:rFonts w:hint="eastAsia" w:hAnsi="宋体" w:cs="宋体"/>
          <w:sz w:val="21"/>
          <w:szCs w:val="21"/>
        </w:rPr>
        <w:t>"形式标记的内容不适用于本项目。</w:t>
      </w:r>
    </w:p>
    <w:p w14:paraId="428F446C">
      <w:pPr>
        <w:snapToGrid w:val="0"/>
        <w:spacing w:line="360" w:lineRule="auto"/>
        <w:ind w:right="126" w:rightChars="60"/>
        <w:jc w:val="center"/>
        <w:outlineLvl w:val="0"/>
        <w:rPr>
          <w:snapToGrid w:val="0"/>
          <w:kern w:val="0"/>
          <w:sz w:val="32"/>
          <w:szCs w:val="32"/>
        </w:rPr>
      </w:pPr>
      <w:bookmarkStart w:id="14" w:name="_Toc17063"/>
      <w:r>
        <w:rPr>
          <w:rStyle w:val="63"/>
          <w:snapToGrid w:val="0"/>
          <w:kern w:val="0"/>
        </w:rPr>
        <w:t>第一章   投标邀请</w:t>
      </w:r>
      <w:bookmarkEnd w:id="11"/>
      <w:bookmarkEnd w:id="12"/>
      <w:bookmarkEnd w:id="13"/>
      <w:bookmarkEnd w:id="14"/>
    </w:p>
    <w:p w14:paraId="0D40A9BF">
      <w:pPr>
        <w:pStyle w:val="3"/>
        <w:snapToGrid w:val="0"/>
        <w:spacing w:before="0" w:line="360" w:lineRule="auto"/>
        <w:ind w:right="31" w:rightChars="15"/>
        <w:jc w:val="left"/>
        <w:rPr>
          <w:rFonts w:hint="eastAsia" w:ascii="宋体" w:hAnsi="宋体" w:eastAsia="宋体" w:cs="宋体"/>
          <w:snapToGrid w:val="0"/>
          <w:sz w:val="24"/>
          <w:szCs w:val="24"/>
        </w:rPr>
      </w:pPr>
      <w:bookmarkStart w:id="15" w:name="_Toc28359002"/>
      <w:bookmarkStart w:id="16" w:name="_Toc35393790"/>
      <w:bookmarkStart w:id="17" w:name="_Toc35393621"/>
      <w:bookmarkStart w:id="18" w:name="_Toc28359079"/>
      <w:bookmarkStart w:id="19" w:name="_Hlk24379207"/>
      <w:r>
        <w:rPr>
          <w:rFonts w:hint="eastAsia" w:ascii="宋体" w:hAnsi="宋体" w:eastAsia="宋体" w:cs="宋体"/>
          <w:snapToGrid w:val="0"/>
          <w:sz w:val="24"/>
          <w:szCs w:val="24"/>
        </w:rPr>
        <w:t>一、项目基本情况</w:t>
      </w:r>
      <w:bookmarkEnd w:id="15"/>
      <w:bookmarkEnd w:id="16"/>
      <w:bookmarkEnd w:id="17"/>
      <w:bookmarkEnd w:id="18"/>
    </w:p>
    <w:p w14:paraId="04BCB4F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1.项目编号：</w:t>
      </w:r>
      <w:r>
        <w:rPr>
          <w:rFonts w:hint="eastAsia" w:ascii="宋体" w:hAnsi="宋体" w:cs="宋体"/>
          <w:snapToGrid w:val="0"/>
          <w:kern w:val="0"/>
          <w:sz w:val="24"/>
          <w:u w:val="single"/>
        </w:rPr>
        <w:t xml:space="preserve"> 11010925210200013957-XM001</w:t>
      </w:r>
      <w:r>
        <w:rPr>
          <w:rFonts w:hint="eastAsia" w:ascii="宋体" w:hAnsi="宋体" w:cs="宋体"/>
          <w:snapToGrid w:val="0"/>
          <w:kern w:val="0"/>
          <w:sz w:val="24"/>
          <w:u w:val="single"/>
          <w:lang w:val="en-US" w:eastAsia="zh-CN"/>
        </w:rPr>
        <w:t xml:space="preserve">  </w:t>
      </w:r>
    </w:p>
    <w:p w14:paraId="56765000">
      <w:pPr>
        <w:snapToGrid w:val="0"/>
        <w:spacing w:line="360" w:lineRule="auto"/>
        <w:ind w:right="31" w:rightChars="15"/>
        <w:rPr>
          <w:rFonts w:hint="eastAsia" w:ascii="宋体" w:hAnsi="宋体" w:cs="宋体"/>
          <w:snapToGrid w:val="0"/>
          <w:kern w:val="0"/>
          <w:sz w:val="24"/>
          <w:u w:val="single"/>
        </w:rPr>
      </w:pPr>
      <w:r>
        <w:rPr>
          <w:rFonts w:hint="eastAsia" w:ascii="宋体" w:hAnsi="宋体" w:cs="宋体"/>
          <w:snapToGrid w:val="0"/>
          <w:kern w:val="0"/>
          <w:sz w:val="24"/>
        </w:rPr>
        <w:t>2.项目名称：</w:t>
      </w:r>
      <w:bookmarkEnd w:id="19"/>
      <w:r>
        <w:rPr>
          <w:rFonts w:hint="eastAsia" w:ascii="宋体" w:hAnsi="宋体" w:cs="宋体"/>
          <w:snapToGrid w:val="0"/>
          <w:kern w:val="0"/>
          <w:sz w:val="24"/>
          <w:u w:val="single"/>
          <w:lang w:eastAsia="zh-CN"/>
        </w:rPr>
        <w:t>门头沟区潭柘寺镇草甸水村异地重建安置基础设施建设工程（监理）</w:t>
      </w:r>
      <w:r>
        <w:rPr>
          <w:rFonts w:hint="eastAsia" w:ascii="宋体" w:hAnsi="宋体" w:cs="宋体"/>
          <w:snapToGrid w:val="0"/>
          <w:kern w:val="0"/>
          <w:sz w:val="24"/>
          <w:u w:val="single"/>
        </w:rPr>
        <w:t xml:space="preserve"> </w:t>
      </w:r>
    </w:p>
    <w:p w14:paraId="13E7F0A9">
      <w:pPr>
        <w:snapToGrid w:val="0"/>
        <w:spacing w:line="360" w:lineRule="auto"/>
        <w:ind w:left="240" w:right="-92" w:rightChars="-44" w:hanging="240" w:hangingChars="100"/>
        <w:rPr>
          <w:rFonts w:hint="eastAsia" w:ascii="宋体" w:hAnsi="宋体" w:cs="宋体"/>
          <w:snapToGrid w:val="0"/>
          <w:kern w:val="0"/>
          <w:sz w:val="24"/>
          <w:u w:val="single"/>
        </w:rPr>
      </w:pPr>
      <w:r>
        <w:rPr>
          <w:rFonts w:hint="eastAsia" w:ascii="宋体" w:hAnsi="宋体" w:cs="宋体"/>
          <w:snapToGrid w:val="0"/>
          <w:kern w:val="0"/>
          <w:sz w:val="24"/>
        </w:rPr>
        <w:t>3.项目预算金额：</w:t>
      </w:r>
      <w:r>
        <w:rPr>
          <w:rFonts w:hint="eastAsia" w:ascii="宋体" w:hAnsi="宋体" w:cs="宋体"/>
          <w:snapToGrid w:val="0"/>
          <w:kern w:val="0"/>
          <w:sz w:val="24"/>
          <w:u w:val="single"/>
          <w:lang w:val="en-US" w:eastAsia="zh-CN"/>
        </w:rPr>
        <w:t xml:space="preserve"> 205.283424 </w:t>
      </w:r>
      <w:r>
        <w:rPr>
          <w:rFonts w:hint="eastAsia" w:ascii="宋体" w:hAnsi="宋体" w:cs="宋体"/>
          <w:snapToGrid w:val="0"/>
          <w:kern w:val="0"/>
          <w:sz w:val="24"/>
          <w:u w:val="single"/>
        </w:rPr>
        <w:t>万元</w:t>
      </w:r>
      <w:r>
        <w:rPr>
          <w:rFonts w:hint="eastAsia" w:ascii="宋体" w:hAnsi="宋体" w:cs="宋体"/>
          <w:snapToGrid w:val="0"/>
          <w:kern w:val="0"/>
          <w:sz w:val="24"/>
        </w:rPr>
        <w:t>、项目最高限价（如有）：</w:t>
      </w:r>
      <w:r>
        <w:rPr>
          <w:rFonts w:hint="eastAsia" w:ascii="宋体" w:hAnsi="宋体" w:cs="宋体"/>
          <w:snapToGrid w:val="0"/>
          <w:kern w:val="0"/>
          <w:sz w:val="24"/>
          <w:u w:val="single"/>
          <w:lang w:val="en-US" w:eastAsia="zh-CN"/>
        </w:rPr>
        <w:t xml:space="preserve"> 205.283424 </w:t>
      </w:r>
      <w:r>
        <w:rPr>
          <w:rFonts w:hint="eastAsia" w:ascii="宋体" w:hAnsi="宋体" w:cs="宋体"/>
          <w:snapToGrid w:val="0"/>
          <w:kern w:val="0"/>
          <w:sz w:val="24"/>
          <w:u w:val="single"/>
        </w:rPr>
        <w:t>万元</w:t>
      </w:r>
    </w:p>
    <w:p w14:paraId="44084302">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4.采购需求：</w:t>
      </w:r>
    </w:p>
    <w:tbl>
      <w:tblPr>
        <w:tblStyle w:val="255"/>
        <w:tblW w:w="9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106"/>
        <w:gridCol w:w="1701"/>
        <w:gridCol w:w="1134"/>
        <w:gridCol w:w="3830"/>
      </w:tblGrid>
      <w:tr w14:paraId="16322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726" w:type="dxa"/>
            <w:vAlign w:val="center"/>
          </w:tcPr>
          <w:p w14:paraId="0BFF85BC">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包号</w:t>
            </w:r>
          </w:p>
        </w:tc>
        <w:tc>
          <w:tcPr>
            <w:tcW w:w="2106" w:type="dxa"/>
            <w:vAlign w:val="center"/>
          </w:tcPr>
          <w:p w14:paraId="64BA4740">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标的名称</w:t>
            </w:r>
          </w:p>
        </w:tc>
        <w:tc>
          <w:tcPr>
            <w:tcW w:w="1701" w:type="dxa"/>
            <w:vAlign w:val="center"/>
          </w:tcPr>
          <w:p w14:paraId="594C46CD">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采购包预算金额（万元）</w:t>
            </w:r>
          </w:p>
        </w:tc>
        <w:tc>
          <w:tcPr>
            <w:tcW w:w="1134" w:type="dxa"/>
            <w:vAlign w:val="center"/>
          </w:tcPr>
          <w:p w14:paraId="5E451D88">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数量</w:t>
            </w:r>
          </w:p>
        </w:tc>
        <w:tc>
          <w:tcPr>
            <w:tcW w:w="3830" w:type="dxa"/>
            <w:vAlign w:val="center"/>
          </w:tcPr>
          <w:p w14:paraId="1C8ADC4D">
            <w:pPr>
              <w:autoSpaceDE w:val="0"/>
              <w:autoSpaceDN w:val="0"/>
              <w:snapToGrid w:val="0"/>
              <w:spacing w:line="360" w:lineRule="auto"/>
              <w:ind w:right="31" w:rightChars="15"/>
              <w:jc w:val="center"/>
              <w:rPr>
                <w:rFonts w:hint="eastAsia" w:ascii="宋体" w:hAnsi="宋体" w:cs="宋体"/>
                <w:snapToGrid w:val="0"/>
                <w:kern w:val="0"/>
                <w:sz w:val="24"/>
                <w:lang w:eastAsia="en-US"/>
              </w:rPr>
            </w:pPr>
            <w:r>
              <w:rPr>
                <w:rFonts w:hint="eastAsia" w:ascii="宋体" w:hAnsi="宋体" w:cs="宋体"/>
                <w:snapToGrid w:val="0"/>
                <w:kern w:val="0"/>
                <w:sz w:val="24"/>
                <w:lang w:eastAsia="en-US"/>
              </w:rPr>
              <w:t>简要技术需求或服务要求</w:t>
            </w:r>
          </w:p>
        </w:tc>
      </w:tr>
      <w:tr w14:paraId="59098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jc w:val="center"/>
        </w:trPr>
        <w:tc>
          <w:tcPr>
            <w:tcW w:w="726" w:type="dxa"/>
            <w:vAlign w:val="center"/>
          </w:tcPr>
          <w:p w14:paraId="1DF6EC3E">
            <w:pPr>
              <w:pStyle w:val="270"/>
              <w:autoSpaceDE w:val="0"/>
              <w:autoSpaceDN w:val="0"/>
              <w:spacing w:before="142" w:line="209" w:lineRule="auto"/>
              <w:ind w:left="232"/>
              <w:rPr>
                <w:rFonts w:hint="eastAsia"/>
                <w:snapToGrid w:val="0"/>
                <w:kern w:val="0"/>
                <w:lang w:eastAsia="zh-CN"/>
              </w:rPr>
            </w:pPr>
            <w:r>
              <w:rPr>
                <w:rFonts w:hint="eastAsia"/>
                <w:snapToGrid w:val="0"/>
                <w:kern w:val="0"/>
                <w:lang w:eastAsia="zh-CN"/>
              </w:rPr>
              <w:t>1</w:t>
            </w:r>
          </w:p>
        </w:tc>
        <w:tc>
          <w:tcPr>
            <w:tcW w:w="2106" w:type="dxa"/>
            <w:vAlign w:val="center"/>
          </w:tcPr>
          <w:p w14:paraId="24D1D9EC">
            <w:pPr>
              <w:pStyle w:val="270"/>
              <w:autoSpaceDE w:val="0"/>
              <w:autoSpaceDN w:val="0"/>
              <w:jc w:val="center"/>
              <w:rPr>
                <w:rFonts w:hint="eastAsia"/>
                <w:snapToGrid w:val="0"/>
                <w:kern w:val="0"/>
                <w:lang w:eastAsia="zh-CN"/>
              </w:rPr>
            </w:pPr>
            <w:r>
              <w:rPr>
                <w:rFonts w:hint="eastAsia"/>
                <w:snapToGrid w:val="0"/>
                <w:kern w:val="0"/>
                <w:lang w:eastAsia="zh-CN"/>
              </w:rPr>
              <w:t xml:space="preserve">门头沟区潭柘寺镇草甸水村异地重建安置基础设施建设工程（监理） </w:t>
            </w:r>
          </w:p>
        </w:tc>
        <w:tc>
          <w:tcPr>
            <w:tcW w:w="1701" w:type="dxa"/>
            <w:vAlign w:val="center"/>
          </w:tcPr>
          <w:p w14:paraId="21A1EC95">
            <w:pPr>
              <w:pStyle w:val="270"/>
              <w:autoSpaceDE w:val="0"/>
              <w:autoSpaceDN w:val="0"/>
              <w:jc w:val="center"/>
              <w:rPr>
                <w:rFonts w:hint="eastAsia"/>
                <w:snapToGrid w:val="0"/>
                <w:kern w:val="0"/>
                <w:lang w:eastAsia="zh-CN"/>
              </w:rPr>
            </w:pPr>
            <w:r>
              <w:rPr>
                <w:rFonts w:hint="eastAsia"/>
                <w:snapToGrid w:val="0"/>
                <w:kern w:val="0"/>
                <w:lang w:val="en-US" w:eastAsia="zh-CN"/>
              </w:rPr>
              <w:t xml:space="preserve">205.283424 </w:t>
            </w:r>
          </w:p>
        </w:tc>
        <w:tc>
          <w:tcPr>
            <w:tcW w:w="1134" w:type="dxa"/>
            <w:vAlign w:val="center"/>
          </w:tcPr>
          <w:p w14:paraId="5BFDCC4C">
            <w:pPr>
              <w:pStyle w:val="270"/>
              <w:autoSpaceDE w:val="0"/>
              <w:autoSpaceDN w:val="0"/>
              <w:jc w:val="center"/>
              <w:rPr>
                <w:rFonts w:hint="eastAsia"/>
                <w:snapToGrid w:val="0"/>
                <w:kern w:val="0"/>
                <w:lang w:eastAsia="zh-CN"/>
              </w:rPr>
            </w:pPr>
            <w:r>
              <w:rPr>
                <w:rFonts w:hint="eastAsia"/>
                <w:snapToGrid w:val="0"/>
                <w:kern w:val="0"/>
                <w:lang w:eastAsia="zh-CN"/>
              </w:rPr>
              <w:t>1</w:t>
            </w:r>
          </w:p>
        </w:tc>
        <w:tc>
          <w:tcPr>
            <w:tcW w:w="3830" w:type="dxa"/>
            <w:vAlign w:val="center"/>
          </w:tcPr>
          <w:p w14:paraId="329353FB">
            <w:pPr>
              <w:pStyle w:val="270"/>
              <w:autoSpaceDE w:val="0"/>
              <w:autoSpaceDN w:val="0"/>
              <w:jc w:val="center"/>
              <w:rPr>
                <w:rFonts w:hint="eastAsia"/>
                <w:snapToGrid w:val="0"/>
                <w:kern w:val="0"/>
                <w:lang w:eastAsia="zh-CN"/>
              </w:rPr>
            </w:pPr>
            <w:r>
              <w:rPr>
                <w:rFonts w:hint="eastAsia"/>
                <w:snapToGrid w:val="0"/>
                <w:kern w:val="0"/>
                <w:lang w:eastAsia="zh-CN"/>
              </w:rPr>
              <w:t>设计施工图纸及工程量清单范围内全部施工内容的监理工作。</w:t>
            </w:r>
          </w:p>
        </w:tc>
      </w:tr>
    </w:tbl>
    <w:p w14:paraId="5E487D26">
      <w:pPr>
        <w:numPr>
          <w:ilvl w:val="0"/>
          <w:numId w:val="8"/>
        </w:numPr>
        <w:snapToGrid w:val="0"/>
        <w:spacing w:line="360" w:lineRule="auto"/>
        <w:ind w:right="31" w:rightChars="15"/>
        <w:rPr>
          <w:rFonts w:hint="eastAsia" w:ascii="宋体" w:hAnsi="宋体" w:cs="宋体"/>
          <w:snapToGrid w:val="0"/>
          <w:kern w:val="0"/>
          <w:sz w:val="24"/>
          <w:highlight w:val="none"/>
        </w:rPr>
      </w:pPr>
      <w:r>
        <w:rPr>
          <w:rFonts w:hint="eastAsia" w:ascii="宋体" w:hAnsi="宋体" w:cs="宋体"/>
          <w:snapToGrid w:val="0"/>
          <w:kern w:val="0"/>
          <w:sz w:val="24"/>
          <w:highlight w:val="none"/>
        </w:rPr>
        <w:t>合同履行期限：</w:t>
      </w:r>
      <w:r>
        <w:rPr>
          <w:rFonts w:hint="eastAsia" w:ascii="宋体" w:hAnsi="宋体" w:cs="宋体"/>
          <w:snapToGrid w:val="0"/>
          <w:kern w:val="0"/>
          <w:sz w:val="24"/>
          <w:highlight w:val="none"/>
          <w:lang w:val="en-US" w:eastAsia="zh-CN"/>
        </w:rPr>
        <w:t xml:space="preserve"> 473 日历天 </w:t>
      </w:r>
    </w:p>
    <w:p w14:paraId="1DF5F40C">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6.本项目是否接受联合体投标：□是  ■否。</w:t>
      </w:r>
    </w:p>
    <w:p w14:paraId="7FA030A5">
      <w:pPr>
        <w:pStyle w:val="3"/>
        <w:snapToGrid w:val="0"/>
        <w:spacing w:before="0" w:line="360" w:lineRule="auto"/>
        <w:ind w:right="31" w:rightChars="15"/>
        <w:jc w:val="left"/>
        <w:rPr>
          <w:rFonts w:hint="eastAsia" w:ascii="宋体" w:hAnsi="宋体" w:eastAsia="宋体" w:cs="宋体"/>
          <w:snapToGrid w:val="0"/>
          <w:sz w:val="24"/>
          <w:szCs w:val="24"/>
        </w:rPr>
      </w:pPr>
      <w:bookmarkStart w:id="20" w:name="_Toc35393791"/>
      <w:bookmarkStart w:id="21" w:name="_Toc35393622"/>
      <w:bookmarkStart w:id="22" w:name="_Toc28359080"/>
      <w:bookmarkStart w:id="23" w:name="_Toc28359003"/>
      <w:r>
        <w:rPr>
          <w:rFonts w:hint="eastAsia" w:ascii="宋体" w:hAnsi="宋体" w:eastAsia="宋体" w:cs="宋体"/>
          <w:snapToGrid w:val="0"/>
          <w:sz w:val="24"/>
          <w:szCs w:val="24"/>
        </w:rPr>
        <w:t>二、申请人的资格要求（须同时满足）</w:t>
      </w:r>
      <w:bookmarkEnd w:id="20"/>
      <w:bookmarkEnd w:id="21"/>
      <w:bookmarkEnd w:id="22"/>
      <w:bookmarkEnd w:id="23"/>
    </w:p>
    <w:p w14:paraId="3F77244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1.满足《中华人民共和国政府采购法》第二十二条规定；</w:t>
      </w:r>
    </w:p>
    <w:p w14:paraId="58B86946">
      <w:pPr>
        <w:snapToGrid w:val="0"/>
        <w:spacing w:line="360" w:lineRule="auto"/>
        <w:ind w:right="31" w:rightChars="15" w:firstLine="480" w:firstLineChars="200"/>
        <w:rPr>
          <w:rFonts w:hint="eastAsia" w:ascii="宋体" w:hAnsi="宋体" w:cs="宋体"/>
          <w:snapToGrid w:val="0"/>
          <w:kern w:val="0"/>
          <w:sz w:val="24"/>
        </w:rPr>
      </w:pPr>
      <w:bookmarkStart w:id="24" w:name="_Toc28359081"/>
      <w:bookmarkStart w:id="25" w:name="_Toc28359004"/>
      <w:r>
        <w:rPr>
          <w:rFonts w:hint="eastAsia" w:ascii="宋体" w:hAnsi="宋体" w:cs="宋体"/>
          <w:snapToGrid w:val="0"/>
          <w:kern w:val="0"/>
          <w:sz w:val="24"/>
        </w:rPr>
        <w:t>2.落实政府采购政策需满足的资格要求：</w:t>
      </w:r>
    </w:p>
    <w:p w14:paraId="35AB9153">
      <w:pPr>
        <w:snapToGrid w:val="0"/>
        <w:spacing w:line="360" w:lineRule="auto"/>
        <w:ind w:right="31" w:rightChars="15" w:firstLine="480" w:firstLineChars="200"/>
        <w:rPr>
          <w:rFonts w:hint="eastAsia" w:ascii="宋体" w:hAnsi="宋体" w:cs="宋体"/>
          <w:snapToGrid w:val="0"/>
          <w:kern w:val="0"/>
          <w:sz w:val="24"/>
          <w:highlight w:val="none"/>
        </w:rPr>
      </w:pPr>
      <w:r>
        <w:rPr>
          <w:rFonts w:hint="eastAsia" w:ascii="宋体" w:hAnsi="宋体" w:cs="宋体"/>
          <w:snapToGrid w:val="0"/>
          <w:kern w:val="0"/>
          <w:sz w:val="24"/>
          <w:highlight w:val="none"/>
        </w:rPr>
        <w:t>2.1 中小企业政策</w:t>
      </w:r>
    </w:p>
    <w:p w14:paraId="11F2F06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■本项目不专门面向中小企业预留采购份额。</w:t>
      </w:r>
    </w:p>
    <w:p w14:paraId="2FFD4B54">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□本项目专门面向  □中小 □小微企业  采购。即：提供的货物全部由符合政策要求的中小/小微企业制造、服务全部由符合政策要求的中小/小微企业承接。</w:t>
      </w:r>
    </w:p>
    <w:p w14:paraId="233F99E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5A00ECB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 其它落实政府采购政策的资格要求（如有）：</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70861D97">
      <w:pPr>
        <w:snapToGrid w:val="0"/>
        <w:spacing w:line="360" w:lineRule="auto"/>
        <w:ind w:right="31" w:rightChars="15" w:firstLine="480" w:firstLineChars="200"/>
        <w:rPr>
          <w:rFonts w:hint="eastAsia" w:ascii="宋体" w:hAnsi="宋体" w:cs="宋体"/>
          <w:i/>
          <w:iCs/>
          <w:snapToGrid w:val="0"/>
          <w:kern w:val="0"/>
          <w:sz w:val="24"/>
          <w:u w:val="single"/>
        </w:rPr>
      </w:pPr>
      <w:r>
        <w:rPr>
          <w:rFonts w:hint="eastAsia" w:ascii="宋体" w:hAnsi="宋体" w:cs="宋体"/>
          <w:snapToGrid w:val="0"/>
          <w:kern w:val="0"/>
          <w:sz w:val="24"/>
        </w:rPr>
        <w:t>3.本项目的特定资格要求：</w:t>
      </w:r>
    </w:p>
    <w:p w14:paraId="642A2662">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3.1本项目是否属于政府购买服务：</w:t>
      </w:r>
    </w:p>
    <w:p w14:paraId="400F799C">
      <w:pPr>
        <w:tabs>
          <w:tab w:val="left" w:pos="900"/>
          <w:tab w:val="left" w:pos="1134"/>
          <w:tab w:val="left" w:pos="1589"/>
          <w:tab w:val="left" w:pos="5521"/>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■否</w:t>
      </w:r>
    </w:p>
    <w:p w14:paraId="2CB920C0">
      <w:pPr>
        <w:tabs>
          <w:tab w:val="left" w:pos="900"/>
          <w:tab w:val="left" w:pos="1134"/>
          <w:tab w:val="left" w:pos="1589"/>
          <w:tab w:val="left" w:pos="5521"/>
        </w:tabs>
        <w:snapToGrid w:val="0"/>
        <w:spacing w:line="360" w:lineRule="auto"/>
        <w:ind w:left="840" w:leftChars="400" w:right="31" w:rightChars="15"/>
        <w:rPr>
          <w:rFonts w:hint="eastAsia" w:ascii="宋体" w:hAnsi="宋体" w:cs="宋体"/>
          <w:snapToGrid w:val="0"/>
          <w:kern w:val="0"/>
          <w:sz w:val="24"/>
        </w:rPr>
      </w:pPr>
      <w:r>
        <w:rPr>
          <w:rFonts w:hint="eastAsia" w:ascii="宋体" w:hAnsi="宋体" w:cs="宋体"/>
          <w:snapToGrid w:val="0"/>
          <w:kern w:val="0"/>
          <w:sz w:val="24"/>
        </w:rPr>
        <w:t>□是，公益一类事业单位、使用事业编制且由财政拨款保障的群团组织，不得作为承接主体；</w:t>
      </w:r>
    </w:p>
    <w:p w14:paraId="552A3FBD">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3.2其他特定资格要求：</w:t>
      </w:r>
    </w:p>
    <w:p w14:paraId="50DC1545">
      <w:pPr>
        <w:tabs>
          <w:tab w:val="left" w:pos="900"/>
          <w:tab w:val="left" w:pos="1134"/>
          <w:tab w:val="left" w:pos="1589"/>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3.2.1投标人须具备建设行政主管部门颁发的市政公用工程监理</w:t>
      </w:r>
      <w:r>
        <w:rPr>
          <w:rFonts w:hint="eastAsia" w:ascii="宋体" w:hAnsi="宋体" w:cs="宋体"/>
          <w:snapToGrid w:val="0"/>
          <w:kern w:val="0"/>
          <w:sz w:val="24"/>
          <w:lang w:val="en-US" w:eastAsia="zh-CN"/>
        </w:rPr>
        <w:t>甲</w:t>
      </w:r>
      <w:r>
        <w:rPr>
          <w:rFonts w:hint="eastAsia" w:ascii="宋体" w:hAnsi="宋体" w:cs="宋体"/>
          <w:snapToGrid w:val="0"/>
          <w:kern w:val="0"/>
          <w:sz w:val="24"/>
        </w:rPr>
        <w:t>级及以上工程监理资质；拟派总监理工程师须具备注册监理工程师证书，注册专业市政公用工程，具有总监理工程师任命书；</w:t>
      </w:r>
    </w:p>
    <w:p w14:paraId="2628C937">
      <w:pPr>
        <w:tabs>
          <w:tab w:val="left" w:pos="900"/>
          <w:tab w:val="left" w:pos="1134"/>
          <w:tab w:val="left" w:pos="1589"/>
          <w:tab w:val="left" w:pos="5521"/>
        </w:tabs>
        <w:snapToGrid w:val="0"/>
        <w:spacing w:line="360" w:lineRule="auto"/>
        <w:ind w:right="31" w:rightChars="15" w:firstLine="480" w:firstLineChars="200"/>
        <w:rPr>
          <w:rFonts w:hint="default" w:ascii="宋体" w:hAnsi="宋体" w:eastAsia="宋体" w:cs="宋体"/>
          <w:snapToGrid w:val="0"/>
          <w:kern w:val="0"/>
          <w:sz w:val="24"/>
          <w:lang w:val="en-US" w:eastAsia="zh-CN"/>
        </w:rPr>
      </w:pPr>
      <w:r>
        <w:rPr>
          <w:rFonts w:hint="eastAsia" w:ascii="宋体" w:hAnsi="宋体" w:cs="宋体"/>
          <w:snapToGrid w:val="0"/>
          <w:kern w:val="0"/>
          <w:sz w:val="24"/>
        </w:rPr>
        <w:t>3.2.2单位负责人为同一人或者存在直接控股、管理关系的不同供应商，不得同时参加本项目；为本项目提供整体设计、规范编制或者项目管理、检测等服务的投标人，不得再参加本项目的投标；</w:t>
      </w:r>
      <w:r>
        <w:rPr>
          <w:rFonts w:hint="eastAsia" w:ascii="宋体" w:hAnsi="宋体" w:cs="宋体"/>
          <w:snapToGrid w:val="0"/>
          <w:kern w:val="0"/>
          <w:sz w:val="24"/>
          <w:lang w:val="en-US" w:eastAsia="zh-CN"/>
        </w:rPr>
        <w:t xml:space="preserve">   </w:t>
      </w:r>
    </w:p>
    <w:bookmarkEnd w:id="24"/>
    <w:bookmarkEnd w:id="25"/>
    <w:p w14:paraId="05BC11F5">
      <w:pPr>
        <w:pStyle w:val="3"/>
        <w:widowControl/>
        <w:snapToGrid w:val="0"/>
        <w:spacing w:before="0" w:line="360" w:lineRule="auto"/>
        <w:ind w:right="31" w:rightChars="15"/>
        <w:jc w:val="left"/>
        <w:rPr>
          <w:rFonts w:hint="eastAsia" w:ascii="宋体" w:hAnsi="宋体" w:eastAsia="宋体" w:cs="宋体"/>
          <w:snapToGrid w:val="0"/>
          <w:sz w:val="24"/>
          <w:szCs w:val="24"/>
        </w:rPr>
      </w:pPr>
      <w:bookmarkStart w:id="26" w:name="_Toc35393623"/>
      <w:bookmarkStart w:id="27" w:name="_Toc35393792"/>
      <w:r>
        <w:rPr>
          <w:rFonts w:hint="eastAsia" w:ascii="宋体" w:hAnsi="宋体" w:eastAsia="宋体" w:cs="宋体"/>
          <w:snapToGrid w:val="0"/>
          <w:sz w:val="24"/>
          <w:szCs w:val="24"/>
        </w:rPr>
        <w:t>三、获取招标文件</w:t>
      </w:r>
      <w:bookmarkEnd w:id="26"/>
      <w:bookmarkEnd w:id="27"/>
    </w:p>
    <w:p w14:paraId="1B09A8B7">
      <w:pPr>
        <w:widowControl/>
        <w:adjustRightInd w:val="0"/>
        <w:snapToGrid w:val="0"/>
        <w:spacing w:line="360" w:lineRule="auto"/>
        <w:ind w:firstLine="480" w:firstLineChars="200"/>
        <w:jc w:val="left"/>
        <w:rPr>
          <w:sz w:val="24"/>
          <w:u w:val="single"/>
          <w:lang w:bidi="ar"/>
        </w:rPr>
      </w:pPr>
      <w:bookmarkStart w:id="28" w:name="_Toc28359082"/>
      <w:bookmarkStart w:id="29" w:name="_Toc35393793"/>
      <w:bookmarkStart w:id="30" w:name="_Toc28359005"/>
      <w:bookmarkStart w:id="31" w:name="_Toc35393624"/>
      <w:r>
        <w:rPr>
          <w:rFonts w:hint="eastAsia"/>
          <w:sz w:val="24"/>
          <w:lang w:bidi="ar"/>
        </w:rPr>
        <w:t>1.时间：</w:t>
      </w:r>
      <w:r>
        <w:rPr>
          <w:rFonts w:hint="eastAsia"/>
          <w:sz w:val="24"/>
          <w:u w:val="single"/>
          <w:lang w:bidi="ar"/>
        </w:rPr>
        <w:t xml:space="preserve">2025 年 </w:t>
      </w:r>
      <w:r>
        <w:rPr>
          <w:rFonts w:hint="eastAsia"/>
          <w:sz w:val="24"/>
          <w:u w:val="single"/>
          <w:lang w:val="en-US" w:eastAsia="zh-CN" w:bidi="ar"/>
        </w:rPr>
        <w:t>7</w:t>
      </w:r>
      <w:r>
        <w:rPr>
          <w:rFonts w:hint="eastAsia"/>
          <w:sz w:val="24"/>
          <w:u w:val="single"/>
          <w:lang w:bidi="ar"/>
        </w:rPr>
        <w:t xml:space="preserve"> 月 </w:t>
      </w:r>
      <w:r>
        <w:rPr>
          <w:rFonts w:hint="eastAsia"/>
          <w:sz w:val="24"/>
          <w:u w:val="single"/>
          <w:lang w:val="en-US" w:eastAsia="zh-CN" w:bidi="ar"/>
        </w:rPr>
        <w:t>21</w:t>
      </w:r>
      <w:r>
        <w:rPr>
          <w:rFonts w:hint="eastAsia"/>
          <w:sz w:val="24"/>
          <w:u w:val="single"/>
          <w:lang w:bidi="ar"/>
        </w:rPr>
        <w:t xml:space="preserve"> 日 至 2025 年 </w:t>
      </w:r>
      <w:r>
        <w:rPr>
          <w:rFonts w:hint="eastAsia"/>
          <w:sz w:val="24"/>
          <w:u w:val="single"/>
          <w:lang w:val="en-US" w:eastAsia="zh-CN" w:bidi="ar"/>
        </w:rPr>
        <w:t>7</w:t>
      </w:r>
      <w:r>
        <w:rPr>
          <w:rFonts w:hint="eastAsia"/>
          <w:sz w:val="24"/>
          <w:u w:val="single"/>
          <w:lang w:bidi="ar"/>
        </w:rPr>
        <w:t xml:space="preserve"> 月 </w:t>
      </w:r>
      <w:r>
        <w:rPr>
          <w:rFonts w:hint="eastAsia"/>
          <w:sz w:val="24"/>
          <w:u w:val="single"/>
          <w:lang w:val="en-US" w:eastAsia="zh-CN" w:bidi="ar"/>
        </w:rPr>
        <w:t>25</w:t>
      </w:r>
      <w:r>
        <w:rPr>
          <w:rFonts w:hint="eastAsia"/>
          <w:sz w:val="24"/>
          <w:u w:val="single"/>
          <w:lang w:bidi="ar"/>
        </w:rPr>
        <w:t xml:space="preserve"> 日，每天上午 9：00 至 11：00，下午14:00至17：00（北京时间，法定节假日除外）。</w:t>
      </w:r>
    </w:p>
    <w:p w14:paraId="5C9A3D9C">
      <w:pPr>
        <w:widowControl/>
        <w:adjustRightInd w:val="0"/>
        <w:snapToGrid w:val="0"/>
        <w:spacing w:line="360" w:lineRule="auto"/>
        <w:ind w:firstLine="480" w:firstLineChars="200"/>
        <w:jc w:val="left"/>
        <w:rPr>
          <w:sz w:val="24"/>
          <w:lang w:bidi="ar"/>
        </w:rPr>
      </w:pPr>
      <w:r>
        <w:rPr>
          <w:rFonts w:hint="eastAsia"/>
          <w:sz w:val="24"/>
          <w:lang w:bidi="ar"/>
        </w:rPr>
        <w:t>2.地点：</w:t>
      </w:r>
      <w:r>
        <w:rPr>
          <w:sz w:val="24"/>
          <w:lang w:bidi="ar"/>
        </w:rPr>
        <w:t>北京市政府采购电子交易平台</w:t>
      </w:r>
    </w:p>
    <w:p w14:paraId="243A6E4D">
      <w:pPr>
        <w:widowControl/>
        <w:adjustRightInd w:val="0"/>
        <w:snapToGrid w:val="0"/>
        <w:spacing w:line="360" w:lineRule="auto"/>
        <w:ind w:firstLine="480" w:firstLineChars="200"/>
        <w:jc w:val="left"/>
        <w:rPr>
          <w:sz w:val="24"/>
          <w:lang w:bidi="ar"/>
        </w:rPr>
      </w:pPr>
      <w:r>
        <w:rPr>
          <w:rFonts w:hint="eastAsia"/>
          <w:sz w:val="24"/>
          <w:lang w:bidi="ar"/>
        </w:rPr>
        <w:t>3.方式：</w:t>
      </w:r>
      <w:r>
        <w:rPr>
          <w:sz w:val="24"/>
          <w:lang w:bidi="ar"/>
        </w:rPr>
        <w:t>供应商使用 CA 数字证书或电子营业执照登录北京市政府采购电子交易平 台（http://zbcg-bjzc.zhongcy.com/bjczj-portal-site/index.html#/home）获取电子版招标文件</w:t>
      </w:r>
      <w:r>
        <w:rPr>
          <w:rFonts w:hint="eastAsia"/>
          <w:sz w:val="24"/>
          <w:lang w:bidi="ar"/>
        </w:rPr>
        <w:t>。</w:t>
      </w:r>
    </w:p>
    <w:p w14:paraId="70A657A3">
      <w:pPr>
        <w:widowControl/>
        <w:adjustRightInd w:val="0"/>
        <w:snapToGrid w:val="0"/>
        <w:spacing w:line="360" w:lineRule="auto"/>
        <w:ind w:firstLine="480" w:firstLineChars="200"/>
        <w:jc w:val="left"/>
        <w:rPr>
          <w:sz w:val="24"/>
          <w:lang w:bidi="ar"/>
        </w:rPr>
      </w:pPr>
      <w:r>
        <w:rPr>
          <w:rFonts w:hint="eastAsia"/>
          <w:sz w:val="24"/>
          <w:lang w:bidi="ar"/>
        </w:rPr>
        <w:t>4.售价：0元。</w:t>
      </w:r>
    </w:p>
    <w:bookmarkEnd w:id="28"/>
    <w:bookmarkEnd w:id="29"/>
    <w:bookmarkEnd w:id="30"/>
    <w:bookmarkEnd w:id="31"/>
    <w:p w14:paraId="387CF5FC">
      <w:pPr>
        <w:pStyle w:val="3"/>
        <w:widowControl/>
        <w:spacing w:before="0" w:line="360" w:lineRule="auto"/>
        <w:jc w:val="left"/>
        <w:rPr>
          <w:rFonts w:ascii="Times New Roman" w:hAnsi="Times New Roman" w:eastAsiaTheme="minorEastAsia"/>
          <w:sz w:val="24"/>
          <w:szCs w:val="24"/>
        </w:rPr>
      </w:pPr>
      <w:bookmarkStart w:id="32" w:name="_Toc305158854"/>
      <w:bookmarkStart w:id="33" w:name="_Toc99301420"/>
      <w:bookmarkStart w:id="34" w:name="_Toc150774783"/>
      <w:bookmarkStart w:id="35" w:name="_Toc265228423"/>
      <w:bookmarkStart w:id="36" w:name="_Toc11806"/>
      <w:bookmarkStart w:id="37" w:name="_Toc353825548"/>
      <w:bookmarkStart w:id="38" w:name="_Toc195842950"/>
      <w:bookmarkStart w:id="39" w:name="_Toc305158928"/>
      <w:bookmarkStart w:id="40" w:name="_Toc264969275"/>
      <w:bookmarkStart w:id="41" w:name="_Toc7921"/>
      <w:bookmarkStart w:id="42" w:name="_Toc226965856"/>
      <w:bookmarkStart w:id="43" w:name="_Toc127151777"/>
      <w:bookmarkStart w:id="44" w:name="_Toc353873938"/>
      <w:bookmarkStart w:id="45" w:name="_Toc127161488"/>
      <w:bookmarkStart w:id="46" w:name="_Toc512937850"/>
      <w:r>
        <w:rPr>
          <w:rFonts w:ascii="Times New Roman" w:hAnsi="Times New Roman" w:eastAsiaTheme="minorEastAsia"/>
          <w:sz w:val="24"/>
          <w:szCs w:val="24"/>
        </w:rPr>
        <w:t>四、</w:t>
      </w:r>
      <w:r>
        <w:rPr>
          <w:rFonts w:ascii="Times New Roman" w:hAnsi="Times New Roman" w:eastAsiaTheme="minorEastAsia"/>
          <w:bCs/>
          <w:sz w:val="24"/>
          <w:szCs w:val="24"/>
        </w:rPr>
        <w:t>提交投标文件截止时间、开标时间和地点</w:t>
      </w:r>
    </w:p>
    <w:p w14:paraId="2CF5A26F">
      <w:pPr>
        <w:spacing w:line="360" w:lineRule="auto"/>
        <w:ind w:firstLine="480" w:firstLineChars="200"/>
        <w:rPr>
          <w:rFonts w:eastAsiaTheme="minorEastAsia"/>
          <w:bCs/>
          <w:sz w:val="24"/>
          <w:u w:val="single"/>
        </w:rPr>
      </w:pPr>
      <w:r>
        <w:rPr>
          <w:rFonts w:eastAsiaTheme="minorEastAsia"/>
          <w:sz w:val="24"/>
          <w:lang w:bidi="ar"/>
        </w:rPr>
        <w:t>投标截止时间、开标时间：</w:t>
      </w:r>
      <w:r>
        <w:rPr>
          <w:rFonts w:hint="eastAsia" w:eastAsiaTheme="minorEastAsia"/>
          <w:sz w:val="24"/>
        </w:rPr>
        <w:t>2025</w:t>
      </w:r>
      <w:r>
        <w:rPr>
          <w:rFonts w:eastAsiaTheme="minorEastAsia"/>
          <w:sz w:val="24"/>
          <w:lang w:bidi="ar"/>
        </w:rPr>
        <w:t>年</w:t>
      </w:r>
      <w:r>
        <w:rPr>
          <w:rFonts w:hint="eastAsia" w:eastAsiaTheme="minorEastAsia"/>
          <w:sz w:val="24"/>
        </w:rPr>
        <w:t xml:space="preserve"> </w:t>
      </w:r>
      <w:r>
        <w:rPr>
          <w:rFonts w:hint="eastAsia" w:eastAsiaTheme="minorEastAsia"/>
          <w:sz w:val="24"/>
          <w:lang w:val="en-US" w:eastAsia="zh-CN"/>
        </w:rPr>
        <w:t xml:space="preserve">8 </w:t>
      </w:r>
      <w:r>
        <w:rPr>
          <w:rFonts w:eastAsiaTheme="minorEastAsia"/>
          <w:sz w:val="24"/>
          <w:lang w:bidi="ar"/>
        </w:rPr>
        <w:t>月</w:t>
      </w:r>
      <w:r>
        <w:rPr>
          <w:rFonts w:hint="eastAsia" w:eastAsiaTheme="minorEastAsia"/>
          <w:sz w:val="24"/>
        </w:rPr>
        <w:t xml:space="preserve"> </w:t>
      </w:r>
      <w:r>
        <w:rPr>
          <w:rFonts w:hint="eastAsia" w:eastAsiaTheme="minorEastAsia"/>
          <w:sz w:val="24"/>
          <w:lang w:val="en-US" w:eastAsia="zh-CN"/>
        </w:rPr>
        <w:t>13</w:t>
      </w:r>
      <w:r>
        <w:rPr>
          <w:rFonts w:hint="eastAsia" w:eastAsiaTheme="minorEastAsia"/>
          <w:sz w:val="24"/>
        </w:rPr>
        <w:t xml:space="preserve"> </w:t>
      </w:r>
      <w:r>
        <w:rPr>
          <w:rFonts w:eastAsiaTheme="minorEastAsia"/>
          <w:sz w:val="24"/>
          <w:lang w:bidi="ar"/>
        </w:rPr>
        <w:t>日</w:t>
      </w:r>
      <w:r>
        <w:rPr>
          <w:rFonts w:hint="eastAsia" w:eastAsiaTheme="minorEastAsia"/>
          <w:sz w:val="24"/>
        </w:rPr>
        <w:t>09</w:t>
      </w:r>
      <w:r>
        <w:rPr>
          <w:rFonts w:eastAsiaTheme="minorEastAsia"/>
          <w:sz w:val="24"/>
          <w:lang w:bidi="ar"/>
        </w:rPr>
        <w:t>点</w:t>
      </w:r>
      <w:r>
        <w:rPr>
          <w:rFonts w:hint="eastAsia" w:eastAsiaTheme="minorEastAsia"/>
          <w:sz w:val="24"/>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666546A7">
      <w:pPr>
        <w:spacing w:line="360" w:lineRule="auto"/>
        <w:ind w:firstLine="480" w:firstLineChars="200"/>
        <w:rPr>
          <w:rFonts w:eastAsiaTheme="minorEastAsia"/>
          <w:sz w:val="24"/>
          <w:lang w:val="zh-TW" w:bidi="ar"/>
        </w:rPr>
      </w:pPr>
      <w:r>
        <w:rPr>
          <w:rFonts w:eastAsiaTheme="minorEastAsia"/>
          <w:sz w:val="24"/>
          <w:lang w:bidi="ar"/>
        </w:rPr>
        <w:t>地点：</w:t>
      </w:r>
      <w:bookmarkStart w:id="47" w:name="OLE_LINK1"/>
      <w:r>
        <w:rPr>
          <w:rFonts w:hint="eastAsia" w:ascii="宋体" w:hAnsi="宋体" w:cs="宋体"/>
          <w:snapToGrid w:val="0"/>
          <w:kern w:val="0"/>
          <w:sz w:val="24"/>
          <w:lang w:bidi="ar"/>
        </w:rPr>
        <w:t>北京市政府采购电子交易平台</w:t>
      </w:r>
      <w:bookmarkEnd w:id="47"/>
      <w:r>
        <w:rPr>
          <w:rFonts w:eastAsiaTheme="minorEastAsia"/>
          <w:sz w:val="24"/>
          <w:lang w:val="zh-TW" w:bidi="ar"/>
        </w:rPr>
        <w:t>。</w:t>
      </w:r>
    </w:p>
    <w:p w14:paraId="565455B3">
      <w:pPr>
        <w:spacing w:line="360" w:lineRule="auto"/>
        <w:rPr>
          <w:rFonts w:eastAsiaTheme="minorEastAsia"/>
          <w:bCs/>
          <w:sz w:val="24"/>
          <w:u w:val="single"/>
        </w:rPr>
      </w:pPr>
    </w:p>
    <w:p w14:paraId="7C68967B">
      <w:pPr>
        <w:pStyle w:val="3"/>
        <w:spacing w:before="0" w:line="360" w:lineRule="auto"/>
        <w:jc w:val="left"/>
        <w:rPr>
          <w:rFonts w:ascii="Times New Roman" w:hAnsi="Times New Roman" w:eastAsiaTheme="minorEastAsia"/>
          <w:sz w:val="24"/>
          <w:szCs w:val="24"/>
        </w:rPr>
      </w:pPr>
      <w:bookmarkStart w:id="48" w:name="_Toc28359084"/>
      <w:bookmarkStart w:id="49" w:name="_Toc35393794"/>
      <w:bookmarkStart w:id="50" w:name="_Toc35393625"/>
      <w:bookmarkStart w:id="51" w:name="_Toc28359007"/>
      <w:r>
        <w:rPr>
          <w:rFonts w:hint="eastAsia" w:ascii="Times New Roman" w:hAnsi="Times New Roman" w:eastAsiaTheme="minorEastAsia"/>
          <w:sz w:val="24"/>
          <w:szCs w:val="24"/>
        </w:rPr>
        <w:t>五</w:t>
      </w:r>
      <w:r>
        <w:rPr>
          <w:rFonts w:ascii="Times New Roman" w:hAnsi="Times New Roman" w:eastAsiaTheme="minorEastAsia"/>
          <w:sz w:val="24"/>
          <w:szCs w:val="24"/>
        </w:rPr>
        <w:t>、公告期限</w:t>
      </w:r>
      <w:bookmarkEnd w:id="48"/>
      <w:bookmarkEnd w:id="49"/>
      <w:bookmarkEnd w:id="50"/>
      <w:bookmarkEnd w:id="51"/>
    </w:p>
    <w:p w14:paraId="5361E072">
      <w:pPr>
        <w:spacing w:line="360" w:lineRule="auto"/>
        <w:ind w:firstLine="480" w:firstLineChars="200"/>
        <w:rPr>
          <w:rFonts w:eastAsiaTheme="minorEastAsia"/>
          <w:kern w:val="0"/>
          <w:sz w:val="24"/>
        </w:rPr>
      </w:pPr>
      <w:r>
        <w:rPr>
          <w:rFonts w:eastAsiaTheme="minorEastAsia"/>
          <w:kern w:val="0"/>
          <w:sz w:val="24"/>
        </w:rPr>
        <w:t>自本公告发布之日起</w:t>
      </w:r>
      <w:r>
        <w:rPr>
          <w:rFonts w:hint="eastAsia" w:eastAsiaTheme="minorEastAsia"/>
          <w:kern w:val="0"/>
          <w:sz w:val="24"/>
        </w:rPr>
        <w:t>5</w:t>
      </w:r>
      <w:r>
        <w:rPr>
          <w:rFonts w:eastAsiaTheme="minorEastAsia"/>
          <w:kern w:val="0"/>
          <w:sz w:val="24"/>
        </w:rPr>
        <w:t>个工作日。</w:t>
      </w:r>
    </w:p>
    <w:p w14:paraId="6CEC67AD">
      <w:pPr>
        <w:spacing w:line="360" w:lineRule="auto"/>
        <w:ind w:firstLine="480" w:firstLineChars="200"/>
        <w:rPr>
          <w:rFonts w:eastAsiaTheme="minorEastAsia"/>
          <w:kern w:val="0"/>
          <w:sz w:val="24"/>
        </w:rPr>
      </w:pPr>
    </w:p>
    <w:p w14:paraId="44525820">
      <w:pPr>
        <w:pStyle w:val="3"/>
        <w:spacing w:before="0" w:line="360" w:lineRule="auto"/>
        <w:jc w:val="left"/>
        <w:rPr>
          <w:rFonts w:ascii="Times New Roman" w:hAnsi="Times New Roman" w:eastAsiaTheme="minorEastAsia"/>
          <w:sz w:val="24"/>
          <w:szCs w:val="24"/>
        </w:rPr>
      </w:pPr>
      <w:bookmarkStart w:id="52" w:name="_Toc35393626"/>
      <w:bookmarkStart w:id="53" w:name="_Toc35393795"/>
      <w:r>
        <w:rPr>
          <w:rFonts w:hint="eastAsia" w:ascii="Times New Roman" w:hAnsi="Times New Roman" w:eastAsiaTheme="minorEastAsia"/>
          <w:sz w:val="24"/>
          <w:szCs w:val="24"/>
        </w:rPr>
        <w:t>六</w:t>
      </w:r>
      <w:r>
        <w:rPr>
          <w:rFonts w:ascii="Times New Roman" w:hAnsi="Times New Roman" w:eastAsiaTheme="minorEastAsia"/>
          <w:sz w:val="24"/>
          <w:szCs w:val="24"/>
        </w:rPr>
        <w:t>、其他补充事宜</w:t>
      </w:r>
      <w:bookmarkEnd w:id="52"/>
      <w:bookmarkEnd w:id="53"/>
    </w:p>
    <w:p w14:paraId="260B9C44">
      <w:pPr>
        <w:spacing w:line="360" w:lineRule="auto"/>
        <w:ind w:firstLine="480" w:firstLineChars="200"/>
        <w:rPr>
          <w:kern w:val="0"/>
          <w:sz w:val="24"/>
        </w:rPr>
      </w:pPr>
      <w:r>
        <w:rPr>
          <w:rFonts w:hint="eastAsia"/>
          <w:kern w:val="0"/>
          <w:sz w:val="24"/>
        </w:rPr>
        <w:t>1、本次招标公告在《北京市政府采购网》《中国政府采购网》上发布。凡对本次项目提出询问，请与我公司联系（请以信函或传真的形式）</w:t>
      </w:r>
    </w:p>
    <w:p w14:paraId="2676B1F9">
      <w:pPr>
        <w:spacing w:line="360" w:lineRule="auto"/>
        <w:ind w:firstLine="480" w:firstLineChars="200"/>
        <w:rPr>
          <w:kern w:val="0"/>
          <w:sz w:val="24"/>
        </w:rPr>
      </w:pPr>
      <w:r>
        <w:rPr>
          <w:rFonts w:hint="eastAsia"/>
          <w:kern w:val="0"/>
          <w:sz w:val="24"/>
        </w:rPr>
        <w:t>2、本项目需要落实的政府采购政策：</w:t>
      </w:r>
    </w:p>
    <w:p w14:paraId="32966C0F">
      <w:pPr>
        <w:spacing w:line="360" w:lineRule="auto"/>
        <w:ind w:firstLine="480" w:firstLineChars="200"/>
        <w:rPr>
          <w:sz w:val="24"/>
        </w:rPr>
      </w:pPr>
      <w:r>
        <w:rPr>
          <w:rFonts w:hint="eastAsia"/>
          <w:sz w:val="24"/>
        </w:rPr>
        <w:t>（1）执行《财政部发展改革委关于印发&lt;节能产品政府采购品目清单&gt;的通知》（财库[2019]19 号）</w:t>
      </w:r>
    </w:p>
    <w:p w14:paraId="4FBC43AE">
      <w:pPr>
        <w:spacing w:line="360" w:lineRule="auto"/>
        <w:ind w:firstLine="480" w:firstLineChars="200"/>
        <w:rPr>
          <w:sz w:val="24"/>
        </w:rPr>
      </w:pPr>
      <w:r>
        <w:rPr>
          <w:rFonts w:hint="eastAsia"/>
          <w:sz w:val="24"/>
        </w:rPr>
        <w:t>（2）执行《财政部生态环境部关于印发&lt;环境标志产品政府采购品目清单&gt;的通知》（财库[2019]18 号）；</w:t>
      </w:r>
    </w:p>
    <w:p w14:paraId="047D47F3">
      <w:pPr>
        <w:spacing w:line="360" w:lineRule="auto"/>
        <w:ind w:firstLine="480" w:firstLineChars="200"/>
        <w:rPr>
          <w:sz w:val="24"/>
        </w:rPr>
      </w:pPr>
      <w:r>
        <w:rPr>
          <w:rFonts w:hint="eastAsia"/>
          <w:sz w:val="24"/>
        </w:rPr>
        <w:t>（3）执行《政府采购促进中小企业发展管理办法》（财库〔2020〕46号）；</w:t>
      </w:r>
    </w:p>
    <w:p w14:paraId="553DF1AB">
      <w:pPr>
        <w:spacing w:line="360" w:lineRule="auto"/>
        <w:ind w:firstLine="480" w:firstLineChars="200"/>
        <w:rPr>
          <w:sz w:val="24"/>
        </w:rPr>
      </w:pPr>
      <w:r>
        <w:rPr>
          <w:rFonts w:hint="eastAsia"/>
          <w:sz w:val="24"/>
          <w:lang w:val="zh-CN"/>
        </w:rPr>
        <w:t>（</w:t>
      </w:r>
      <w:r>
        <w:rPr>
          <w:rFonts w:hint="eastAsia"/>
          <w:sz w:val="24"/>
        </w:rPr>
        <w:t>4</w:t>
      </w:r>
      <w:r>
        <w:rPr>
          <w:rFonts w:hint="eastAsia"/>
          <w:sz w:val="24"/>
          <w:lang w:val="zh-CN"/>
        </w:rPr>
        <w:t>）财库〔2022〕19号《财政部关于进一步加大政府采购支持中小企业力度的通知》；</w:t>
      </w:r>
    </w:p>
    <w:p w14:paraId="446D1665">
      <w:pPr>
        <w:spacing w:line="360" w:lineRule="auto"/>
        <w:ind w:firstLine="480" w:firstLineChars="200"/>
        <w:rPr>
          <w:sz w:val="24"/>
        </w:rPr>
      </w:pPr>
      <w:r>
        <w:rPr>
          <w:rFonts w:hint="eastAsia"/>
          <w:sz w:val="24"/>
        </w:rPr>
        <w:t>（5）执行《财政部关于开展政府采购信用担保试点工作方案》（财库[2011]124号）；</w:t>
      </w:r>
    </w:p>
    <w:p w14:paraId="28010266">
      <w:pPr>
        <w:spacing w:line="360" w:lineRule="auto"/>
        <w:ind w:firstLine="480" w:firstLineChars="200"/>
        <w:rPr>
          <w:sz w:val="24"/>
        </w:rPr>
      </w:pPr>
      <w:r>
        <w:rPr>
          <w:rFonts w:hint="eastAsia"/>
          <w:sz w:val="24"/>
        </w:rPr>
        <w:t>（6）执行《财政部、司法部关于政府采购支持监狱企业发展有关问题的通知》（财库[2014]68号）；</w:t>
      </w:r>
    </w:p>
    <w:p w14:paraId="49C5D780">
      <w:pPr>
        <w:spacing w:line="360" w:lineRule="auto"/>
        <w:ind w:firstLine="480" w:firstLineChars="200"/>
        <w:rPr>
          <w:sz w:val="24"/>
        </w:rPr>
      </w:pPr>
      <w:r>
        <w:rPr>
          <w:rFonts w:hint="eastAsia"/>
          <w:sz w:val="24"/>
        </w:rPr>
        <w:t>（7）执行《关于促进残疾人就业政府采购政策的通知》（财库〔2017〕141号）；</w:t>
      </w:r>
    </w:p>
    <w:p w14:paraId="45E9182D">
      <w:pPr>
        <w:spacing w:line="360" w:lineRule="auto"/>
        <w:ind w:firstLine="480" w:firstLineChars="200"/>
        <w:rPr>
          <w:sz w:val="24"/>
        </w:rPr>
      </w:pPr>
      <w:r>
        <w:rPr>
          <w:rFonts w:hint="eastAsia"/>
          <w:sz w:val="24"/>
        </w:rPr>
        <w:t>（8）执行《财政部关于在政府采购活动中查询及使用信用记录有关问题的通知》（财库[2016]125号）；</w:t>
      </w:r>
    </w:p>
    <w:p w14:paraId="1A51458D">
      <w:pPr>
        <w:spacing w:line="360" w:lineRule="auto"/>
        <w:ind w:firstLine="480" w:firstLineChars="200"/>
        <w:rPr>
          <w:sz w:val="24"/>
        </w:rPr>
      </w:pPr>
      <w:r>
        <w:rPr>
          <w:rFonts w:hint="eastAsia"/>
          <w:sz w:val="24"/>
        </w:rPr>
        <w:t>（9）政府采购进口产品管理政策(财库[2007]119号、财库[2008]248号)。</w:t>
      </w:r>
    </w:p>
    <w:p w14:paraId="3AE5E579">
      <w:pPr>
        <w:spacing w:line="360" w:lineRule="auto"/>
        <w:ind w:firstLine="480" w:firstLineChars="200"/>
        <w:rPr>
          <w:rFonts w:eastAsiaTheme="minorEastAsia"/>
          <w:sz w:val="24"/>
        </w:rPr>
      </w:pPr>
      <w:r>
        <w:rPr>
          <w:rFonts w:hint="eastAsia"/>
          <w:sz w:val="24"/>
        </w:rPr>
        <w:t>（10）北京市财政局关于落实好政府采购支持中小企业发展的通知(京财采购〔2022〕1143号)</w:t>
      </w:r>
    </w:p>
    <w:p w14:paraId="20A13617">
      <w:pPr>
        <w:spacing w:line="360" w:lineRule="auto"/>
        <w:ind w:firstLine="480" w:firstLineChars="200"/>
        <w:rPr>
          <w:rFonts w:eastAsiaTheme="minorEastAsia"/>
          <w:sz w:val="24"/>
          <w:lang w:bidi="ar"/>
        </w:rPr>
      </w:pPr>
      <w:r>
        <w:rPr>
          <w:rFonts w:eastAsiaTheme="minorEastAsia"/>
          <w:sz w:val="24"/>
          <w:lang w:bidi="ar"/>
        </w:rPr>
        <w:t>3.本项目采用全流程电子化采购方式，请供应商认真学习北京市政府采购电子交易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63A4CFBE">
      <w:pPr>
        <w:spacing w:line="360" w:lineRule="auto"/>
        <w:ind w:firstLine="480" w:firstLineChars="200"/>
        <w:rPr>
          <w:rFonts w:eastAsiaTheme="minorEastAsia"/>
          <w:sz w:val="24"/>
          <w:lang w:bidi="ar"/>
        </w:rPr>
      </w:pPr>
      <w:r>
        <w:rPr>
          <w:rFonts w:eastAsiaTheme="minorEastAsia"/>
          <w:sz w:val="24"/>
          <w:lang w:bidi="ar"/>
        </w:rPr>
        <w:t xml:space="preserve"> CA 数字证书服务热线 010-58511086 </w:t>
      </w:r>
    </w:p>
    <w:p w14:paraId="44C29F7D">
      <w:pPr>
        <w:spacing w:line="360" w:lineRule="auto"/>
        <w:ind w:firstLine="480" w:firstLineChars="200"/>
        <w:rPr>
          <w:rFonts w:eastAsiaTheme="minorEastAsia"/>
          <w:sz w:val="24"/>
          <w:lang w:bidi="ar"/>
        </w:rPr>
      </w:pPr>
      <w:r>
        <w:rPr>
          <w:rFonts w:eastAsiaTheme="minorEastAsia"/>
          <w:sz w:val="24"/>
          <w:lang w:bidi="ar"/>
        </w:rPr>
        <w:t xml:space="preserve">电子营业执照服务热线 400-699-7000 </w:t>
      </w:r>
    </w:p>
    <w:p w14:paraId="796D54B9">
      <w:pPr>
        <w:spacing w:line="360" w:lineRule="auto"/>
        <w:ind w:firstLine="480" w:firstLineChars="200"/>
        <w:rPr>
          <w:rFonts w:eastAsiaTheme="minorEastAsia"/>
          <w:sz w:val="24"/>
          <w:lang w:bidi="ar"/>
        </w:rPr>
      </w:pPr>
      <w:r>
        <w:rPr>
          <w:rFonts w:eastAsiaTheme="minorEastAsia"/>
          <w:sz w:val="24"/>
          <w:lang w:bidi="ar"/>
        </w:rPr>
        <w:t>技术支持服务热线 010-86483801</w:t>
      </w:r>
    </w:p>
    <w:p w14:paraId="725846FF">
      <w:pPr>
        <w:spacing w:line="360" w:lineRule="auto"/>
        <w:ind w:firstLine="480" w:firstLineChars="200"/>
        <w:rPr>
          <w:rFonts w:eastAsiaTheme="minorEastAsia"/>
          <w:sz w:val="24"/>
          <w:lang w:bidi="ar"/>
        </w:rPr>
      </w:pPr>
      <w:r>
        <w:rPr>
          <w:rFonts w:eastAsiaTheme="minorEastAsia"/>
          <w:sz w:val="24"/>
          <w:lang w:bidi="ar"/>
        </w:rPr>
        <w:t xml:space="preserve"> 3.1 办理 CA 数字证书或电子营业执照 供应商登录北京市政府采购电子交易平台查阅 “用户指南”—“操作指南”—“市场 主体 CA 办理操作流程指引”/“电子营业执照使用指南”，按照程序要求办理。 </w:t>
      </w:r>
    </w:p>
    <w:p w14:paraId="3FA8A657">
      <w:pPr>
        <w:spacing w:line="360" w:lineRule="auto"/>
        <w:ind w:firstLine="480" w:firstLineChars="200"/>
        <w:rPr>
          <w:rFonts w:eastAsiaTheme="minorEastAsia"/>
          <w:sz w:val="24"/>
          <w:lang w:bidi="ar"/>
        </w:rPr>
      </w:pPr>
      <w:r>
        <w:rPr>
          <w:rFonts w:eastAsiaTheme="minorEastAsia"/>
          <w:sz w:val="24"/>
          <w:lang w:bidi="ar"/>
        </w:rPr>
        <w:t xml:space="preserve">3.2 注册 供应商登录北京市政府采购电子交易平台“用户指南”—“操作指南”—“市场主体注 册入库操作流程指引”进行自助注册绑定。 </w:t>
      </w:r>
    </w:p>
    <w:p w14:paraId="44021B44">
      <w:pPr>
        <w:spacing w:line="360" w:lineRule="auto"/>
        <w:ind w:firstLine="480" w:firstLineChars="200"/>
        <w:rPr>
          <w:rFonts w:eastAsiaTheme="minorEastAsia"/>
          <w:sz w:val="24"/>
          <w:lang w:bidi="ar"/>
        </w:rPr>
      </w:pPr>
      <w:r>
        <w:rPr>
          <w:rFonts w:eastAsiaTheme="minorEastAsia"/>
          <w:sz w:val="24"/>
          <w:lang w:bidi="ar"/>
        </w:rPr>
        <w:t xml:space="preserve">3.3 驱动、客户端下载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1FDCDA5E">
      <w:pPr>
        <w:spacing w:line="360" w:lineRule="auto"/>
        <w:ind w:firstLine="480" w:firstLineChars="200"/>
        <w:rPr>
          <w:rFonts w:eastAsiaTheme="minorEastAsia"/>
          <w:sz w:val="24"/>
          <w:lang w:bidi="ar"/>
        </w:rPr>
      </w:pPr>
      <w:r>
        <w:rPr>
          <w:rFonts w:eastAsiaTheme="minorEastAsia"/>
          <w:sz w:val="24"/>
          <w:lang w:bidi="ar"/>
        </w:rPr>
        <w:t xml:space="preserve">3.4 获取电子招标文件 供应商使用 CA 数字证书或电子营业执照登录北京市政府采购电子交易平台获取电子招标文件。 </w:t>
      </w:r>
    </w:p>
    <w:p w14:paraId="76B219BE">
      <w:pPr>
        <w:spacing w:line="360" w:lineRule="auto"/>
        <w:ind w:firstLine="480" w:firstLineChars="200"/>
        <w:rPr>
          <w:rFonts w:eastAsiaTheme="minorEastAsia"/>
          <w:sz w:val="24"/>
          <w:lang w:bidi="ar"/>
        </w:rPr>
      </w:pPr>
      <w:r>
        <w:rPr>
          <w:rFonts w:eastAsiaTheme="minorEastAsia"/>
          <w:sz w:val="24"/>
          <w:lang w:bidi="ar"/>
        </w:rPr>
        <w:t xml:space="preserve">供应商如计划参与多个采购包的投标，应在登录北京市政府采购电子交易平台后， 在【我的项目】栏目依次选择对应采购包，进入项目工作台招标/采购文件环节分别按 采购包下载招标文件电子版。未在规定期限内按上述操作获取文件的采购包，供应商无 法提交相应包的电子投标文件。 </w:t>
      </w:r>
    </w:p>
    <w:p w14:paraId="299286CF">
      <w:pPr>
        <w:spacing w:line="360" w:lineRule="auto"/>
        <w:ind w:firstLine="480" w:firstLineChars="200"/>
        <w:rPr>
          <w:rFonts w:eastAsiaTheme="minorEastAsia"/>
          <w:sz w:val="24"/>
          <w:lang w:bidi="ar"/>
        </w:rPr>
      </w:pPr>
      <w:r>
        <w:rPr>
          <w:rFonts w:eastAsiaTheme="minorEastAsia"/>
          <w:sz w:val="24"/>
          <w:lang w:bidi="ar"/>
        </w:rPr>
        <w:t xml:space="preserve">3.5 编制电子投标文件 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 </w:t>
      </w:r>
    </w:p>
    <w:p w14:paraId="754A858B">
      <w:pPr>
        <w:spacing w:line="360" w:lineRule="auto"/>
        <w:ind w:firstLine="480" w:firstLineChars="200"/>
        <w:rPr>
          <w:rFonts w:eastAsiaTheme="minorEastAsia"/>
          <w:sz w:val="24"/>
          <w:lang w:bidi="ar"/>
        </w:rPr>
      </w:pPr>
      <w:r>
        <w:rPr>
          <w:rFonts w:eastAsiaTheme="minorEastAsia"/>
          <w:sz w:val="24"/>
          <w:lang w:bidi="ar"/>
        </w:rPr>
        <w:t xml:space="preserve">3.6 提交电子投标文件 供应商应于投标截止时间前在北京市政府采购电子交易平台提交电子投标文件，上 传电子投标文件过程中请保持与互联网的连接畅通。 </w:t>
      </w:r>
    </w:p>
    <w:p w14:paraId="46F2173D">
      <w:pPr>
        <w:spacing w:line="360" w:lineRule="auto"/>
        <w:ind w:firstLine="480" w:firstLineChars="200"/>
        <w:rPr>
          <w:rFonts w:eastAsiaTheme="minorEastAsia"/>
          <w:sz w:val="24"/>
          <w:lang w:bidi="ar"/>
        </w:rPr>
      </w:pPr>
      <w:r>
        <w:rPr>
          <w:rFonts w:eastAsiaTheme="minorEastAsia"/>
          <w:sz w:val="24"/>
          <w:lang w:bidi="ar"/>
        </w:rPr>
        <w:t>3.7 电子开标供应商在开标地点使用 CA 数字证书或电子营业执照登录北京市政府采购电子交易平台进行电子开标。</w:t>
      </w:r>
    </w:p>
    <w:p w14:paraId="50724ECF">
      <w:pPr>
        <w:spacing w:line="360" w:lineRule="auto"/>
        <w:ind w:firstLine="480" w:firstLineChars="200"/>
        <w:rPr>
          <w:rFonts w:eastAsiaTheme="minorEastAsia"/>
          <w:sz w:val="24"/>
        </w:rPr>
      </w:pPr>
    </w:p>
    <w:p w14:paraId="4C463842">
      <w:pPr>
        <w:pStyle w:val="3"/>
        <w:spacing w:before="0" w:line="360" w:lineRule="auto"/>
        <w:jc w:val="left"/>
        <w:rPr>
          <w:rFonts w:ascii="Times New Roman" w:hAnsi="Times New Roman" w:eastAsiaTheme="minorEastAsia"/>
          <w:sz w:val="24"/>
          <w:szCs w:val="24"/>
        </w:rPr>
      </w:pPr>
      <w:bookmarkStart w:id="54" w:name="_Toc28359085"/>
      <w:bookmarkStart w:id="55" w:name="_Toc35393627"/>
      <w:bookmarkStart w:id="56" w:name="_Toc28359008"/>
      <w:bookmarkStart w:id="57" w:name="_Toc35393796"/>
      <w:r>
        <w:rPr>
          <w:rFonts w:hint="eastAsia" w:ascii="Times New Roman" w:hAnsi="Times New Roman" w:eastAsiaTheme="minorEastAsia"/>
          <w:sz w:val="24"/>
          <w:szCs w:val="24"/>
        </w:rPr>
        <w:t>七</w:t>
      </w:r>
      <w:r>
        <w:rPr>
          <w:rFonts w:ascii="Times New Roman" w:hAnsi="Times New Roman" w:eastAsiaTheme="minorEastAsia"/>
          <w:sz w:val="24"/>
          <w:szCs w:val="24"/>
        </w:rPr>
        <w:t>、对本次采购提出询问，请按以下方式联系。</w:t>
      </w:r>
      <w:bookmarkEnd w:id="54"/>
      <w:bookmarkEnd w:id="55"/>
      <w:bookmarkEnd w:id="56"/>
      <w:bookmarkEnd w:id="57"/>
    </w:p>
    <w:p w14:paraId="3CE92CBF">
      <w:pPr>
        <w:widowControl/>
        <w:snapToGrid w:val="0"/>
        <w:spacing w:line="360" w:lineRule="auto"/>
        <w:ind w:right="31" w:rightChars="15"/>
        <w:jc w:val="left"/>
        <w:rPr>
          <w:rFonts w:hint="eastAsia" w:ascii="宋体" w:hAnsi="宋体" w:cs="宋体"/>
          <w:b/>
          <w:snapToGrid w:val="0"/>
          <w:kern w:val="0"/>
          <w:sz w:val="24"/>
        </w:rPr>
      </w:pPr>
      <w:r>
        <w:rPr>
          <w:rFonts w:hint="eastAsia" w:ascii="宋体" w:hAnsi="宋体" w:cs="宋体"/>
          <w:b/>
          <w:snapToGrid w:val="0"/>
          <w:kern w:val="0"/>
          <w:sz w:val="24"/>
        </w:rPr>
        <w:t>1.采购人信息</w:t>
      </w:r>
    </w:p>
    <w:p w14:paraId="58665D06">
      <w:pPr>
        <w:snapToGrid w:val="0"/>
        <w:spacing w:line="360" w:lineRule="auto"/>
        <w:ind w:right="31" w:rightChars="15"/>
        <w:jc w:val="left"/>
        <w:rPr>
          <w:rFonts w:hint="eastAsia" w:ascii="宋体" w:hAnsi="宋体" w:cs="宋体"/>
          <w:snapToGrid w:val="0"/>
          <w:kern w:val="0"/>
          <w:sz w:val="24"/>
          <w:u w:val="single"/>
        </w:rPr>
      </w:pPr>
      <w:bookmarkStart w:id="58" w:name="_Toc28359009"/>
      <w:bookmarkStart w:id="59" w:name="_Toc28359086"/>
      <w:r>
        <w:rPr>
          <w:rFonts w:hint="eastAsia" w:ascii="宋体" w:hAnsi="宋体" w:cs="宋体"/>
          <w:snapToGrid w:val="0"/>
          <w:kern w:val="0"/>
          <w:sz w:val="24"/>
        </w:rPr>
        <w:t>名    称：</w:t>
      </w:r>
      <w:r>
        <w:rPr>
          <w:rFonts w:hint="eastAsia" w:ascii="宋体" w:hAnsi="宋体" w:cs="宋体"/>
          <w:snapToGrid w:val="0"/>
          <w:kern w:val="0"/>
          <w:sz w:val="24"/>
          <w:u w:val="single"/>
          <w:lang w:eastAsia="zh-CN"/>
        </w:rPr>
        <w:t>北京市门头沟区潭柘寺镇人民政府</w:t>
      </w:r>
      <w:r>
        <w:rPr>
          <w:rFonts w:hint="eastAsia" w:ascii="宋体" w:hAnsi="宋体" w:cs="宋体"/>
          <w:snapToGrid w:val="0"/>
          <w:kern w:val="0"/>
          <w:sz w:val="24"/>
        </w:rPr>
        <w:t xml:space="preserve"> </w:t>
      </w:r>
    </w:p>
    <w:p w14:paraId="6A0B8D83">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lang w:eastAsia="zh-CN"/>
        </w:rPr>
        <w:t>北京市门头沟区</w:t>
      </w:r>
      <w:r>
        <w:rPr>
          <w:rFonts w:hint="eastAsia" w:ascii="宋体" w:hAnsi="宋体" w:cs="宋体"/>
          <w:snapToGrid w:val="0"/>
          <w:kern w:val="0"/>
          <w:sz w:val="24"/>
          <w:u w:val="single"/>
          <w:lang w:val="en-US" w:eastAsia="zh-CN"/>
        </w:rPr>
        <w:t xml:space="preserve">潭柘寺镇鲁家滩村 </w:t>
      </w:r>
      <w:r>
        <w:rPr>
          <w:rFonts w:hint="eastAsia" w:ascii="宋体" w:hAnsi="宋体" w:cs="宋体"/>
          <w:snapToGrid w:val="0"/>
          <w:kern w:val="0"/>
          <w:sz w:val="24"/>
          <w:u w:val="single"/>
        </w:rPr>
        <w:t xml:space="preserve"> </w:t>
      </w:r>
    </w:p>
    <w:p w14:paraId="5840CEBA">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联系方式：</w:t>
      </w:r>
      <w:r>
        <w:rPr>
          <w:rFonts w:hint="eastAsia" w:ascii="宋体" w:hAnsi="宋体" w:cs="宋体"/>
          <w:snapToGrid w:val="0"/>
          <w:kern w:val="0"/>
          <w:sz w:val="24"/>
          <w:u w:val="single"/>
          <w:lang w:val="en-US" w:eastAsia="zh-CN"/>
        </w:rPr>
        <w:t xml:space="preserve"> 王川、</w:t>
      </w:r>
      <w:r>
        <w:rPr>
          <w:rFonts w:hint="eastAsia" w:ascii="宋体" w:hAnsi="宋体" w:cs="宋体"/>
          <w:snapToGrid w:val="0"/>
          <w:kern w:val="0"/>
          <w:sz w:val="24"/>
          <w:u w:val="single"/>
        </w:rPr>
        <w:t xml:space="preserve"> 60860699</w:t>
      </w:r>
    </w:p>
    <w:p w14:paraId="4947A43D">
      <w:pPr>
        <w:snapToGrid w:val="0"/>
        <w:spacing w:line="360" w:lineRule="auto"/>
        <w:ind w:right="31" w:rightChars="15"/>
        <w:jc w:val="left"/>
        <w:rPr>
          <w:rFonts w:hint="eastAsia" w:ascii="宋体" w:hAnsi="宋体" w:cs="宋体"/>
          <w:b/>
          <w:snapToGrid w:val="0"/>
          <w:kern w:val="0"/>
          <w:sz w:val="24"/>
        </w:rPr>
      </w:pPr>
      <w:r>
        <w:rPr>
          <w:rFonts w:hint="eastAsia" w:ascii="宋体" w:hAnsi="宋体" w:cs="宋体"/>
          <w:b/>
          <w:snapToGrid w:val="0"/>
          <w:kern w:val="0"/>
          <w:sz w:val="24"/>
        </w:rPr>
        <w:t>2.采购代理机构信息</w:t>
      </w:r>
      <w:bookmarkEnd w:id="58"/>
      <w:bookmarkEnd w:id="59"/>
    </w:p>
    <w:p w14:paraId="5C749CDD">
      <w:pPr>
        <w:snapToGrid w:val="0"/>
        <w:spacing w:line="360" w:lineRule="auto"/>
        <w:ind w:right="31" w:rightChars="15"/>
        <w:jc w:val="left"/>
        <w:rPr>
          <w:rFonts w:hint="eastAsia" w:ascii="宋体" w:hAnsi="宋体" w:cs="宋体"/>
          <w:snapToGrid w:val="0"/>
          <w:kern w:val="0"/>
          <w:sz w:val="24"/>
          <w:u w:val="single"/>
        </w:rPr>
      </w:pPr>
      <w:bookmarkStart w:id="60" w:name="_Toc28359010"/>
      <w:bookmarkStart w:id="61" w:name="_Toc28359087"/>
      <w:r>
        <w:rPr>
          <w:rFonts w:hint="eastAsia" w:ascii="宋体" w:hAnsi="宋体" w:cs="宋体"/>
          <w:snapToGrid w:val="0"/>
          <w:kern w:val="0"/>
          <w:sz w:val="24"/>
        </w:rPr>
        <w:t>名    称：</w:t>
      </w:r>
      <w:r>
        <w:rPr>
          <w:rFonts w:hint="eastAsia" w:ascii="宋体" w:hAnsi="宋体" w:cs="宋体"/>
          <w:snapToGrid w:val="0"/>
          <w:kern w:val="0"/>
          <w:sz w:val="24"/>
          <w:u w:val="single"/>
          <w:lang w:eastAsia="zh-CN"/>
        </w:rPr>
        <w:t>北京门城永平工程管理有限公司</w:t>
      </w:r>
      <w:r>
        <w:rPr>
          <w:rFonts w:hint="eastAsia" w:ascii="宋体" w:hAnsi="宋体" w:cs="宋体"/>
          <w:snapToGrid w:val="0"/>
          <w:kern w:val="0"/>
          <w:sz w:val="24"/>
          <w:u w:val="single"/>
        </w:rPr>
        <w:t xml:space="preserve"> </w:t>
      </w:r>
    </w:p>
    <w:p w14:paraId="00B2A8EC">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北京市门头沟区石龙经济开发区平安路1号</w:t>
      </w:r>
    </w:p>
    <w:p w14:paraId="61072905">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联系方式：</w:t>
      </w:r>
      <w:r>
        <w:rPr>
          <w:rFonts w:hint="eastAsia" w:ascii="宋体" w:hAnsi="宋体" w:cs="宋体"/>
          <w:snapToGrid w:val="0"/>
          <w:kern w:val="0"/>
          <w:sz w:val="24"/>
          <w:u w:val="single"/>
          <w:lang w:val="en-US" w:eastAsia="zh-CN"/>
        </w:rPr>
        <w:t>韩工</w:t>
      </w:r>
      <w:r>
        <w:rPr>
          <w:rFonts w:hint="eastAsia" w:ascii="宋体" w:hAnsi="宋体" w:cs="宋体"/>
          <w:snapToGrid w:val="0"/>
          <w:kern w:val="0"/>
          <w:sz w:val="24"/>
          <w:u w:val="single"/>
        </w:rPr>
        <w:t xml:space="preserve">、60863865-8212 </w:t>
      </w:r>
    </w:p>
    <w:p w14:paraId="6ABD8300">
      <w:pPr>
        <w:snapToGrid w:val="0"/>
        <w:spacing w:line="360" w:lineRule="auto"/>
        <w:ind w:right="31" w:rightChars="15"/>
        <w:rPr>
          <w:rFonts w:hint="eastAsia" w:ascii="宋体" w:hAnsi="宋体" w:cs="宋体"/>
          <w:b/>
          <w:snapToGrid w:val="0"/>
          <w:kern w:val="0"/>
          <w:sz w:val="24"/>
          <w:u w:val="single"/>
        </w:rPr>
      </w:pPr>
      <w:r>
        <w:rPr>
          <w:rFonts w:hint="eastAsia" w:ascii="宋体" w:hAnsi="宋体" w:cs="宋体"/>
          <w:b/>
          <w:snapToGrid w:val="0"/>
          <w:kern w:val="0"/>
          <w:sz w:val="24"/>
        </w:rPr>
        <w:t>3.项目联系方式</w:t>
      </w:r>
      <w:bookmarkEnd w:id="60"/>
      <w:bookmarkEnd w:id="61"/>
    </w:p>
    <w:p w14:paraId="035788AC">
      <w:pPr>
        <w:snapToGrid w:val="0"/>
        <w:spacing w:line="360" w:lineRule="auto"/>
        <w:ind w:right="31" w:rightChars="15"/>
        <w:jc w:val="left"/>
        <w:rPr>
          <w:rFonts w:hint="eastAsia" w:ascii="宋体" w:hAnsi="宋体" w:eastAsia="宋体" w:cs="宋体"/>
          <w:snapToGrid w:val="0"/>
          <w:kern w:val="0"/>
          <w:sz w:val="24"/>
          <w:u w:val="single"/>
          <w:lang w:eastAsia="zh-CN"/>
        </w:rPr>
      </w:pPr>
      <w:r>
        <w:rPr>
          <w:rFonts w:hint="eastAsia" w:ascii="宋体" w:hAnsi="宋体" w:cs="宋体"/>
          <w:snapToGrid w:val="0"/>
          <w:kern w:val="0"/>
          <w:sz w:val="24"/>
        </w:rPr>
        <w:t>项目联系人：</w:t>
      </w:r>
      <w:r>
        <w:rPr>
          <w:rFonts w:hint="eastAsia" w:ascii="宋体" w:hAnsi="宋体" w:cs="宋体"/>
          <w:snapToGrid w:val="0"/>
          <w:kern w:val="0"/>
          <w:sz w:val="24"/>
          <w:lang w:val="en-US" w:eastAsia="zh-CN"/>
        </w:rPr>
        <w:t>韩工</w:t>
      </w:r>
    </w:p>
    <w:p w14:paraId="5022D0A7">
      <w:pPr>
        <w:snapToGrid w:val="0"/>
        <w:spacing w:line="360" w:lineRule="auto"/>
        <w:ind w:right="31" w:rightChars="15"/>
        <w:jc w:val="left"/>
        <w:rPr>
          <w:rFonts w:hint="eastAsia" w:ascii="宋体" w:hAnsi="宋体" w:cs="宋体"/>
          <w:snapToGrid w:val="0"/>
          <w:kern w:val="0"/>
          <w:sz w:val="24"/>
        </w:rPr>
        <w:sectPr>
          <w:footerReference r:id="rId12" w:type="first"/>
          <w:footerReference r:id="rId11" w:type="default"/>
          <w:pgSz w:w="11907" w:h="16840"/>
          <w:pgMar w:top="1440" w:right="1287" w:bottom="1440" w:left="1800" w:header="851" w:footer="851" w:gutter="0"/>
          <w:pgNumType w:start="1"/>
          <w:cols w:space="720" w:num="1"/>
          <w:titlePg/>
          <w:docGrid w:linePitch="462" w:charSpace="0"/>
        </w:sectPr>
      </w:pPr>
      <w:r>
        <w:rPr>
          <w:rFonts w:hint="eastAsia" w:ascii="宋体" w:hAnsi="宋体" w:cs="宋体"/>
          <w:snapToGrid w:val="0"/>
          <w:kern w:val="0"/>
          <w:sz w:val="24"/>
        </w:rPr>
        <w:t>电     话：60863865-8212</w:t>
      </w:r>
    </w:p>
    <w:p w14:paraId="62AB69E9">
      <w:pPr>
        <w:snapToGrid w:val="0"/>
        <w:spacing w:line="360" w:lineRule="auto"/>
        <w:ind w:right="31" w:rightChars="15"/>
        <w:jc w:val="center"/>
        <w:outlineLvl w:val="0"/>
        <w:rPr>
          <w:b/>
          <w:snapToGrid w:val="0"/>
          <w:kern w:val="0"/>
          <w:sz w:val="32"/>
          <w:szCs w:val="32"/>
        </w:rPr>
      </w:pPr>
      <w:bookmarkStart w:id="62" w:name="_Toc18746"/>
      <w:r>
        <w:rPr>
          <w:rStyle w:val="63"/>
          <w:snapToGrid w:val="0"/>
          <w:kern w:val="0"/>
        </w:rPr>
        <w:t>第二章   投标人须知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62"/>
    </w:p>
    <w:p w14:paraId="650B0847">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bookmarkStart w:id="63" w:name="_Toc195842884"/>
      <w:bookmarkStart w:id="64" w:name="_Toc164229360"/>
      <w:bookmarkStart w:id="65" w:name="_Toc164351613"/>
      <w:bookmarkStart w:id="66" w:name="_Toc151193761"/>
      <w:bookmarkStart w:id="67" w:name="_Toc127151720"/>
      <w:bookmarkStart w:id="68" w:name="_Toc226965709"/>
      <w:bookmarkStart w:id="69" w:name="_Toc226309763"/>
      <w:bookmarkStart w:id="70" w:name="_Toc150509270"/>
      <w:bookmarkStart w:id="71" w:name="_Toc127161433"/>
      <w:bookmarkStart w:id="72" w:name="_Toc226337215"/>
      <w:bookmarkStart w:id="73" w:name="_Toc164608633"/>
      <w:bookmarkStart w:id="74" w:name="_Toc150480757"/>
      <w:bookmarkStart w:id="75" w:name="_Toc150774619"/>
      <w:bookmarkStart w:id="76" w:name="_Toc151193833"/>
      <w:bookmarkStart w:id="77" w:name="_Toc151190146"/>
      <w:bookmarkStart w:id="78" w:name="_Toc164229214"/>
      <w:bookmarkStart w:id="79" w:name="_Toc150774724"/>
      <w:bookmarkStart w:id="80" w:name="_Toc520356144"/>
      <w:bookmarkStart w:id="81" w:name="_Toc142311021"/>
      <w:bookmarkStart w:id="82" w:name="_Toc151193689"/>
      <w:bookmarkStart w:id="83" w:name="_Toc151193907"/>
      <w:bookmarkStart w:id="84" w:name="_Toc149720812"/>
      <w:bookmarkStart w:id="85" w:name="_Toc127151519"/>
      <w:bookmarkStart w:id="86" w:name="_Toc151193617"/>
      <w:bookmarkStart w:id="87" w:name="_Toc164608788"/>
      <w:bookmarkStart w:id="88" w:name="_Toc226965792"/>
      <w:r>
        <w:rPr>
          <w:rFonts w:ascii="Times New Roman" w:hAnsi="Times New Roman" w:eastAsia="宋体"/>
          <w:snapToGrid w:val="0"/>
          <w:sz w:val="28"/>
        </w:rPr>
        <w:t>投标人须知资料表</w:t>
      </w:r>
    </w:p>
    <w:p w14:paraId="73497690">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本表是对投标人须知的具体补充和修改，如有矛盾，均以本资料表为准。</w:t>
      </w:r>
    </w:p>
    <w:tbl>
      <w:tblPr>
        <w:tblStyle w:val="47"/>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662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4566C4B">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snapToGrid w:val="0"/>
                <w:kern w:val="0"/>
                <w:sz w:val="24"/>
              </w:rPr>
              <w:t>条款号</w:t>
            </w:r>
          </w:p>
        </w:tc>
        <w:tc>
          <w:tcPr>
            <w:tcW w:w="1701" w:type="dxa"/>
            <w:vAlign w:val="center"/>
          </w:tcPr>
          <w:p w14:paraId="62856E5B">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条目</w:t>
            </w:r>
          </w:p>
        </w:tc>
        <w:tc>
          <w:tcPr>
            <w:tcW w:w="7540" w:type="dxa"/>
            <w:vAlign w:val="center"/>
          </w:tcPr>
          <w:p w14:paraId="33E79597">
            <w:pPr>
              <w:snapToGrid w:val="0"/>
              <w:spacing w:line="360" w:lineRule="auto"/>
              <w:ind w:right="31" w:rightChars="15"/>
              <w:jc w:val="center"/>
              <w:rPr>
                <w:rFonts w:hint="eastAsia" w:ascii="宋体" w:hAnsi="宋体" w:cs="宋体"/>
                <w:b/>
                <w:bCs/>
                <w:snapToGrid w:val="0"/>
                <w:kern w:val="0"/>
                <w:sz w:val="24"/>
              </w:rPr>
            </w:pPr>
            <w:r>
              <w:rPr>
                <w:rFonts w:hint="eastAsia" w:ascii="宋体" w:hAnsi="宋体" w:cs="宋体"/>
                <w:b/>
                <w:bCs/>
                <w:snapToGrid w:val="0"/>
                <w:kern w:val="0"/>
                <w:sz w:val="24"/>
              </w:rPr>
              <w:t>内容</w:t>
            </w:r>
          </w:p>
        </w:tc>
      </w:tr>
      <w:tr w14:paraId="12BE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F5514D7">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w:t>
            </w:r>
          </w:p>
        </w:tc>
        <w:tc>
          <w:tcPr>
            <w:tcW w:w="1701" w:type="dxa"/>
            <w:vAlign w:val="center"/>
          </w:tcPr>
          <w:p w14:paraId="1E0D37F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项目属性</w:t>
            </w:r>
          </w:p>
        </w:tc>
        <w:tc>
          <w:tcPr>
            <w:tcW w:w="7540" w:type="dxa"/>
            <w:vAlign w:val="center"/>
          </w:tcPr>
          <w:p w14:paraId="7C292A50">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项目属性：</w:t>
            </w:r>
          </w:p>
          <w:p w14:paraId="52493D9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■服务</w:t>
            </w:r>
          </w:p>
          <w:p w14:paraId="5ECDA84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□货物</w:t>
            </w:r>
          </w:p>
        </w:tc>
      </w:tr>
      <w:tr w14:paraId="693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5CC1D5C">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2.3</w:t>
            </w:r>
          </w:p>
        </w:tc>
        <w:tc>
          <w:tcPr>
            <w:tcW w:w="1701" w:type="dxa"/>
            <w:vAlign w:val="center"/>
          </w:tcPr>
          <w:p w14:paraId="228F1F4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科研仪器设备</w:t>
            </w:r>
          </w:p>
        </w:tc>
        <w:tc>
          <w:tcPr>
            <w:tcW w:w="7540" w:type="dxa"/>
            <w:vAlign w:val="center"/>
          </w:tcPr>
          <w:p w14:paraId="67B08E6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是否属于科研仪器设备采购项目：</w:t>
            </w:r>
          </w:p>
          <w:p w14:paraId="7B53356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□是</w:t>
            </w:r>
          </w:p>
          <w:p w14:paraId="42343DD5">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■否</w:t>
            </w:r>
          </w:p>
        </w:tc>
      </w:tr>
      <w:tr w14:paraId="1A89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DACC17">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2.4</w:t>
            </w:r>
          </w:p>
        </w:tc>
        <w:tc>
          <w:tcPr>
            <w:tcW w:w="1701" w:type="dxa"/>
            <w:vAlign w:val="center"/>
          </w:tcPr>
          <w:p w14:paraId="03D459F6">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核心产品</w:t>
            </w:r>
          </w:p>
        </w:tc>
        <w:tc>
          <w:tcPr>
            <w:tcW w:w="7540" w:type="dxa"/>
            <w:vAlign w:val="center"/>
          </w:tcPr>
          <w:p w14:paraId="048BF069">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■关于核心产品本项目</w:t>
            </w:r>
            <w:r>
              <w:rPr>
                <w:rFonts w:hAnsi="宋体" w:cs="宋体"/>
                <w:snapToGrid w:val="0"/>
                <w:kern w:val="0"/>
                <w:sz w:val="24"/>
                <w:szCs w:val="24"/>
                <w:u w:val="single"/>
              </w:rPr>
              <w:t xml:space="preserve">   </w:t>
            </w:r>
            <w:r>
              <w:rPr>
                <w:rFonts w:hAnsi="宋体" w:cs="宋体"/>
                <w:snapToGrid w:val="0"/>
                <w:kern w:val="0"/>
                <w:sz w:val="24"/>
                <w:szCs w:val="24"/>
              </w:rPr>
              <w:t>包不适用。</w:t>
            </w:r>
          </w:p>
          <w:p w14:paraId="0792AEE9">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□本项目__包为单一产品采购项目。</w:t>
            </w:r>
          </w:p>
          <w:p w14:paraId="214CCE0E">
            <w:pPr>
              <w:pStyle w:val="46"/>
              <w:snapToGrid w:val="0"/>
              <w:spacing w:after="0" w:line="360" w:lineRule="auto"/>
              <w:ind w:left="0" w:leftChars="0" w:right="31" w:rightChars="15" w:firstLine="0" w:firstLineChars="0"/>
              <w:rPr>
                <w:rFonts w:hint="eastAsia" w:ascii="宋体" w:hAnsi="宋体" w:cs="宋体"/>
                <w:snapToGrid w:val="0"/>
                <w:kern w:val="0"/>
                <w:szCs w:val="24"/>
              </w:rPr>
            </w:pPr>
            <w:r>
              <w:rPr>
                <w:rFonts w:hint="eastAsia" w:ascii="宋体" w:hAnsi="宋体" w:cs="宋体"/>
                <w:snapToGrid w:val="0"/>
                <w:kern w:val="0"/>
                <w:szCs w:val="24"/>
              </w:rPr>
              <w:t>□本项目__包为非单一产品采购项目，核心产品为：</w:t>
            </w:r>
            <w:r>
              <w:rPr>
                <w:rFonts w:hint="eastAsia" w:ascii="宋体" w:hAnsi="宋体" w:cs="宋体"/>
                <w:snapToGrid w:val="0"/>
                <w:kern w:val="0"/>
                <w:szCs w:val="24"/>
                <w:u w:val="single"/>
              </w:rPr>
              <w:t xml:space="preserve">         </w:t>
            </w:r>
            <w:r>
              <w:rPr>
                <w:rFonts w:hint="eastAsia" w:ascii="宋体" w:hAnsi="宋体" w:cs="宋体"/>
                <w:snapToGrid w:val="0"/>
                <w:kern w:val="0"/>
                <w:szCs w:val="24"/>
              </w:rPr>
              <w:t>。</w:t>
            </w:r>
          </w:p>
        </w:tc>
      </w:tr>
      <w:tr w14:paraId="113D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D9B7B12">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3.1</w:t>
            </w:r>
          </w:p>
        </w:tc>
        <w:tc>
          <w:tcPr>
            <w:tcW w:w="1701" w:type="dxa"/>
            <w:vAlign w:val="center"/>
          </w:tcPr>
          <w:p w14:paraId="40CD37C8">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现场考察</w:t>
            </w:r>
          </w:p>
        </w:tc>
        <w:tc>
          <w:tcPr>
            <w:tcW w:w="7540" w:type="dxa"/>
            <w:vAlign w:val="center"/>
          </w:tcPr>
          <w:p w14:paraId="1BE1D01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■不组织</w:t>
            </w:r>
          </w:p>
          <w:p w14:paraId="40F9EE48">
            <w:pPr>
              <w:snapToGrid w:val="0"/>
              <w:spacing w:line="360" w:lineRule="auto"/>
              <w:ind w:right="31" w:rightChars="15"/>
              <w:jc w:val="left"/>
              <w:rPr>
                <w:rFonts w:hint="eastAsia" w:ascii="宋体" w:hAnsi="宋体" w:cs="宋体"/>
                <w:bCs/>
                <w:snapToGrid w:val="0"/>
                <w:kern w:val="0"/>
                <w:sz w:val="24"/>
              </w:rPr>
            </w:pPr>
            <w:r>
              <w:rPr>
                <w:rFonts w:hint="eastAsia" w:ascii="宋体" w:hAnsi="宋体" w:cs="宋体"/>
                <w:snapToGrid w:val="0"/>
                <w:kern w:val="0"/>
                <w:sz w:val="24"/>
              </w:rPr>
              <w:t>□组织，考察时间：__年_月_日_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4F3722C3">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考察地点：____________。</w:t>
            </w:r>
          </w:p>
        </w:tc>
      </w:tr>
      <w:tr w14:paraId="0271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CB89E4B">
            <w:pPr>
              <w:pStyle w:val="24"/>
              <w:adjustRightInd w:val="0"/>
              <w:snapToGrid w:val="0"/>
              <w:spacing w:line="360" w:lineRule="auto"/>
              <w:ind w:right="31" w:rightChars="15"/>
              <w:jc w:val="center"/>
              <w:rPr>
                <w:rFonts w:hAnsi="宋体" w:cs="宋体"/>
                <w:snapToGrid w:val="0"/>
                <w:kern w:val="0"/>
                <w:sz w:val="24"/>
                <w:szCs w:val="24"/>
              </w:rPr>
            </w:pPr>
          </w:p>
        </w:tc>
        <w:tc>
          <w:tcPr>
            <w:tcW w:w="1701" w:type="dxa"/>
            <w:vAlign w:val="center"/>
          </w:tcPr>
          <w:p w14:paraId="519D9D4E">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开标前答疑会</w:t>
            </w:r>
          </w:p>
        </w:tc>
        <w:tc>
          <w:tcPr>
            <w:tcW w:w="7540" w:type="dxa"/>
            <w:vAlign w:val="center"/>
          </w:tcPr>
          <w:p w14:paraId="26A88F2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■不召开</w:t>
            </w:r>
          </w:p>
          <w:p w14:paraId="2B87BE01">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□召开，召开时间：__年_月_日_</w:t>
            </w:r>
            <w:r>
              <w:rPr>
                <w:rFonts w:hint="eastAsia" w:ascii="宋体" w:hAnsi="宋体" w:cs="宋体"/>
                <w:bCs/>
                <w:snapToGrid w:val="0"/>
                <w:kern w:val="0"/>
                <w:sz w:val="24"/>
              </w:rPr>
              <w:t>点</w:t>
            </w:r>
            <w:r>
              <w:rPr>
                <w:rFonts w:hint="eastAsia" w:ascii="宋体" w:hAnsi="宋体" w:cs="宋体"/>
                <w:snapToGrid w:val="0"/>
                <w:kern w:val="0"/>
                <w:sz w:val="24"/>
              </w:rPr>
              <w:t>_</w:t>
            </w:r>
            <w:r>
              <w:rPr>
                <w:rFonts w:hint="eastAsia" w:ascii="宋体" w:hAnsi="宋体" w:cs="宋体"/>
                <w:bCs/>
                <w:snapToGrid w:val="0"/>
                <w:kern w:val="0"/>
                <w:sz w:val="24"/>
              </w:rPr>
              <w:t>分</w:t>
            </w:r>
          </w:p>
          <w:p w14:paraId="1190FE1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召开地点：____________。</w:t>
            </w:r>
          </w:p>
        </w:tc>
      </w:tr>
      <w:tr w14:paraId="652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E2382">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4.1</w:t>
            </w:r>
          </w:p>
        </w:tc>
        <w:tc>
          <w:tcPr>
            <w:tcW w:w="1701" w:type="dxa"/>
            <w:vAlign w:val="center"/>
          </w:tcPr>
          <w:p w14:paraId="238524B9">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样品</w:t>
            </w:r>
          </w:p>
        </w:tc>
        <w:tc>
          <w:tcPr>
            <w:tcW w:w="7540" w:type="dxa"/>
            <w:vAlign w:val="center"/>
          </w:tcPr>
          <w:p w14:paraId="45DE864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投标样品递交：</w:t>
            </w:r>
          </w:p>
          <w:p w14:paraId="04D3218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■不需要</w:t>
            </w:r>
          </w:p>
          <w:p w14:paraId="32BACF1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□需要，具体要求如下：</w:t>
            </w:r>
          </w:p>
          <w:p w14:paraId="43A6F63A">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（1）样品制作的标准和要求：_________；</w:t>
            </w:r>
          </w:p>
          <w:p w14:paraId="7740DF3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（2）是否需要随样品提交相关检测报告：</w:t>
            </w:r>
          </w:p>
          <w:p w14:paraId="0EC13501">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□不需要</w:t>
            </w:r>
          </w:p>
          <w:p w14:paraId="251B14FF">
            <w:pPr>
              <w:snapToGrid w:val="0"/>
              <w:spacing w:line="360" w:lineRule="auto"/>
              <w:ind w:right="31" w:rightChars="15" w:firstLine="240" w:firstLineChars="100"/>
              <w:jc w:val="left"/>
              <w:rPr>
                <w:rFonts w:hint="eastAsia" w:ascii="宋体" w:hAnsi="宋体" w:cs="宋体"/>
                <w:snapToGrid w:val="0"/>
                <w:kern w:val="0"/>
                <w:sz w:val="24"/>
              </w:rPr>
            </w:pPr>
            <w:r>
              <w:rPr>
                <w:rFonts w:hint="eastAsia" w:ascii="宋体" w:hAnsi="宋体" w:cs="宋体"/>
                <w:snapToGrid w:val="0"/>
                <w:kern w:val="0"/>
                <w:sz w:val="24"/>
              </w:rPr>
              <w:t>□需要</w:t>
            </w:r>
          </w:p>
          <w:p w14:paraId="1B0145DE">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（3）样品递交要求：_________；</w:t>
            </w:r>
          </w:p>
          <w:p w14:paraId="1AE21737">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（4）未中标人样品退还：_________；</w:t>
            </w:r>
          </w:p>
          <w:p w14:paraId="6EA149FB">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（5）中标人样品保管、封存及退还：________；</w:t>
            </w:r>
          </w:p>
          <w:p w14:paraId="3CA01A7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（6）其他要求（如有）：_________。</w:t>
            </w:r>
          </w:p>
        </w:tc>
      </w:tr>
      <w:tr w14:paraId="1FE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988" w:type="dxa"/>
            <w:vAlign w:val="center"/>
          </w:tcPr>
          <w:p w14:paraId="16AAAB11">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5.2.5</w:t>
            </w:r>
          </w:p>
        </w:tc>
        <w:tc>
          <w:tcPr>
            <w:tcW w:w="1701" w:type="dxa"/>
            <w:vAlign w:val="center"/>
          </w:tcPr>
          <w:p w14:paraId="2C7173E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标的所属行业</w:t>
            </w:r>
          </w:p>
        </w:tc>
        <w:tc>
          <w:tcPr>
            <w:tcW w:w="7540" w:type="dxa"/>
            <w:vAlign w:val="center"/>
          </w:tcPr>
          <w:p w14:paraId="1779599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本项目采购标的对应的中小企业划分标准所属行业：</w:t>
            </w:r>
          </w:p>
          <w:tbl>
            <w:tblPr>
              <w:tblStyle w:val="255"/>
              <w:tblW w:w="68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51C7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67" w:type="dxa"/>
                  <w:vAlign w:val="center"/>
                </w:tcPr>
                <w:p w14:paraId="256FA1F2">
                  <w:pPr>
                    <w:autoSpaceDE w:val="0"/>
                    <w:autoSpaceDN w:val="0"/>
                    <w:spacing w:before="112" w:line="222" w:lineRule="auto"/>
                    <w:ind w:left="150"/>
                    <w:rPr>
                      <w:rFonts w:hint="eastAsia" w:ascii="宋体" w:hAnsi="宋体" w:cs="宋体"/>
                      <w:sz w:val="24"/>
                      <w:lang w:eastAsia="en-US"/>
                    </w:rPr>
                  </w:pPr>
                  <w:r>
                    <w:rPr>
                      <w:rFonts w:ascii="宋体" w:hAnsi="宋体" w:cs="宋体"/>
                      <w:spacing w:val="-3"/>
                      <w:sz w:val="24"/>
                      <w:lang w:eastAsia="en-US"/>
                    </w:rPr>
                    <w:t>包号</w:t>
                  </w:r>
                </w:p>
              </w:tc>
              <w:tc>
                <w:tcPr>
                  <w:tcW w:w="2798" w:type="dxa"/>
                  <w:vAlign w:val="center"/>
                </w:tcPr>
                <w:p w14:paraId="46A48673">
                  <w:pPr>
                    <w:autoSpaceDE w:val="0"/>
                    <w:autoSpaceDN w:val="0"/>
                    <w:spacing w:before="112" w:line="221" w:lineRule="auto"/>
                    <w:ind w:left="925"/>
                    <w:rPr>
                      <w:rFonts w:hint="eastAsia" w:ascii="宋体" w:hAnsi="宋体" w:cs="宋体"/>
                      <w:sz w:val="24"/>
                      <w:lang w:eastAsia="en-US"/>
                    </w:rPr>
                  </w:pPr>
                  <w:r>
                    <w:rPr>
                      <w:rFonts w:ascii="宋体" w:hAnsi="宋体" w:cs="宋体"/>
                      <w:spacing w:val="-2"/>
                      <w:sz w:val="24"/>
                      <w:lang w:eastAsia="en-US"/>
                    </w:rPr>
                    <w:t>标的名称</w:t>
                  </w:r>
                </w:p>
              </w:tc>
              <w:tc>
                <w:tcPr>
                  <w:tcW w:w="3241" w:type="dxa"/>
                  <w:vAlign w:val="center"/>
                </w:tcPr>
                <w:p w14:paraId="30C6B2D5">
                  <w:pPr>
                    <w:autoSpaceDE w:val="0"/>
                    <w:autoSpaceDN w:val="0"/>
                    <w:spacing w:before="112" w:line="221" w:lineRule="auto"/>
                    <w:ind w:left="208"/>
                    <w:rPr>
                      <w:rFonts w:hint="eastAsia" w:ascii="宋体" w:hAnsi="宋体" w:cs="宋体"/>
                      <w:sz w:val="24"/>
                      <w:lang w:eastAsia="en-US"/>
                    </w:rPr>
                  </w:pPr>
                  <w:r>
                    <w:rPr>
                      <w:rFonts w:ascii="宋体" w:hAnsi="宋体" w:cs="宋体"/>
                      <w:spacing w:val="-3"/>
                      <w:sz w:val="24"/>
                      <w:lang w:eastAsia="en-US"/>
                    </w:rPr>
                    <w:t>中小企业划分标准所属行业</w:t>
                  </w:r>
                </w:p>
              </w:tc>
            </w:tr>
            <w:tr w14:paraId="36F08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67" w:type="dxa"/>
                  <w:vAlign w:val="center"/>
                </w:tcPr>
                <w:p w14:paraId="6B95226B">
                  <w:pPr>
                    <w:pStyle w:val="270"/>
                    <w:autoSpaceDE w:val="0"/>
                    <w:autoSpaceDN w:val="0"/>
                    <w:jc w:val="center"/>
                    <w:rPr>
                      <w:rFonts w:hint="eastAsia"/>
                      <w:lang w:eastAsia="zh-CN"/>
                    </w:rPr>
                  </w:pPr>
                  <w:r>
                    <w:rPr>
                      <w:rFonts w:hint="eastAsia"/>
                      <w:lang w:eastAsia="zh-CN"/>
                    </w:rPr>
                    <w:t>1</w:t>
                  </w:r>
                </w:p>
              </w:tc>
              <w:tc>
                <w:tcPr>
                  <w:tcW w:w="2798" w:type="dxa"/>
                  <w:vAlign w:val="center"/>
                </w:tcPr>
                <w:p w14:paraId="53565044">
                  <w:pPr>
                    <w:pStyle w:val="270"/>
                    <w:autoSpaceDE w:val="0"/>
                    <w:autoSpaceDN w:val="0"/>
                    <w:jc w:val="center"/>
                    <w:rPr>
                      <w:rFonts w:hint="eastAsia"/>
                      <w:lang w:eastAsia="zh-CN"/>
                    </w:rPr>
                  </w:pPr>
                  <w:r>
                    <w:rPr>
                      <w:rFonts w:hint="eastAsia"/>
                      <w:lang w:eastAsia="zh-CN"/>
                    </w:rPr>
                    <w:t xml:space="preserve"> 门头沟区潭柘寺镇草甸水村异地重建安置基础设施建设工程（监理） </w:t>
                  </w:r>
                </w:p>
              </w:tc>
              <w:tc>
                <w:tcPr>
                  <w:tcW w:w="3241" w:type="dxa"/>
                  <w:vAlign w:val="center"/>
                </w:tcPr>
                <w:p w14:paraId="31522209">
                  <w:pPr>
                    <w:pStyle w:val="270"/>
                    <w:autoSpaceDE w:val="0"/>
                    <w:autoSpaceDN w:val="0"/>
                    <w:jc w:val="center"/>
                    <w:rPr>
                      <w:rFonts w:hint="default"/>
                      <w:lang w:val="en-US" w:eastAsia="zh-CN"/>
                    </w:rPr>
                  </w:pPr>
                  <w:r>
                    <w:rPr>
                      <w:rFonts w:hint="eastAsia"/>
                      <w:kern w:val="0"/>
                      <w:lang w:val="en-US" w:eastAsia="zh-CN"/>
                    </w:rPr>
                    <w:t>其他未列明行业</w:t>
                  </w:r>
                </w:p>
              </w:tc>
            </w:tr>
          </w:tbl>
          <w:p w14:paraId="451A6014">
            <w:pPr>
              <w:snapToGrid w:val="0"/>
              <w:spacing w:line="360" w:lineRule="auto"/>
              <w:ind w:right="31" w:rightChars="15"/>
              <w:jc w:val="left"/>
              <w:rPr>
                <w:rFonts w:hint="eastAsia" w:ascii="宋体" w:hAnsi="宋体" w:cs="宋体"/>
                <w:snapToGrid w:val="0"/>
                <w:kern w:val="0"/>
                <w:sz w:val="24"/>
              </w:rPr>
            </w:pPr>
          </w:p>
        </w:tc>
      </w:tr>
      <w:tr w14:paraId="7253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22BE0814">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11.2</w:t>
            </w:r>
          </w:p>
        </w:tc>
        <w:tc>
          <w:tcPr>
            <w:tcW w:w="1701" w:type="dxa"/>
            <w:vAlign w:val="center"/>
          </w:tcPr>
          <w:p w14:paraId="6F48BE54">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投标报价</w:t>
            </w:r>
          </w:p>
        </w:tc>
        <w:tc>
          <w:tcPr>
            <w:tcW w:w="7540" w:type="dxa"/>
            <w:vAlign w:val="center"/>
          </w:tcPr>
          <w:p w14:paraId="54BA9F4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投标报价的特殊规定：</w:t>
            </w:r>
          </w:p>
          <w:p w14:paraId="167CCC3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4CB2617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□有，具体情形：_____。</w:t>
            </w:r>
          </w:p>
        </w:tc>
      </w:tr>
      <w:tr w14:paraId="454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96533A9">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12.1</w:t>
            </w:r>
          </w:p>
        </w:tc>
        <w:tc>
          <w:tcPr>
            <w:tcW w:w="1701" w:type="dxa"/>
            <w:vMerge w:val="restart"/>
            <w:vAlign w:val="center"/>
          </w:tcPr>
          <w:p w14:paraId="3A7BE5B0">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投标保证金</w:t>
            </w:r>
          </w:p>
        </w:tc>
        <w:tc>
          <w:tcPr>
            <w:tcW w:w="7540" w:type="dxa"/>
            <w:vAlign w:val="center"/>
          </w:tcPr>
          <w:p w14:paraId="3E275E30">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投标保证金金额：（本项目不涉及） </w:t>
            </w:r>
          </w:p>
          <w:p w14:paraId="07553BB2">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01包：</w:t>
            </w:r>
            <w:r>
              <w:rPr>
                <w:rFonts w:hAnsi="宋体" w:cs="宋体"/>
                <w:snapToGrid w:val="0"/>
                <w:kern w:val="0"/>
                <w:sz w:val="24"/>
                <w:szCs w:val="24"/>
                <w:u w:val="single"/>
              </w:rPr>
              <w:t xml:space="preserve">            </w:t>
            </w:r>
            <w:r>
              <w:rPr>
                <w:rFonts w:hAnsi="宋体" w:cs="宋体"/>
                <w:snapToGrid w:val="0"/>
                <w:kern w:val="0"/>
                <w:sz w:val="24"/>
                <w:szCs w:val="24"/>
              </w:rPr>
              <w:t>；</w:t>
            </w:r>
          </w:p>
          <w:p w14:paraId="6BDFD07C">
            <w:pPr>
              <w:pStyle w:val="24"/>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...包：</w:t>
            </w:r>
            <w:r>
              <w:rPr>
                <w:rFonts w:hAnsi="宋体" w:cs="宋体"/>
                <w:snapToGrid w:val="0"/>
                <w:kern w:val="0"/>
                <w:sz w:val="24"/>
                <w:szCs w:val="24"/>
                <w:u w:val="single"/>
              </w:rPr>
              <w:t xml:space="preserve">            </w:t>
            </w:r>
            <w:r>
              <w:rPr>
                <w:rFonts w:hAnsi="宋体" w:cs="宋体"/>
                <w:snapToGrid w:val="0"/>
                <w:kern w:val="0"/>
                <w:sz w:val="24"/>
                <w:szCs w:val="24"/>
              </w:rPr>
              <w:t>。</w:t>
            </w:r>
          </w:p>
          <w:p w14:paraId="044E276D">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投标保证金收受人信息：</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tc>
      </w:tr>
      <w:tr w14:paraId="35EA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716A0AF3">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12.8.2</w:t>
            </w:r>
          </w:p>
        </w:tc>
        <w:tc>
          <w:tcPr>
            <w:tcW w:w="1701" w:type="dxa"/>
            <w:vMerge w:val="continue"/>
            <w:vAlign w:val="center"/>
          </w:tcPr>
          <w:p w14:paraId="0C330BBC">
            <w:pPr>
              <w:snapToGrid w:val="0"/>
              <w:spacing w:line="360" w:lineRule="auto"/>
              <w:ind w:right="31" w:rightChars="15"/>
              <w:jc w:val="center"/>
              <w:rPr>
                <w:rFonts w:hint="eastAsia" w:ascii="宋体" w:hAnsi="宋体" w:cs="宋体"/>
                <w:snapToGrid w:val="0"/>
                <w:kern w:val="0"/>
                <w:sz w:val="24"/>
              </w:rPr>
            </w:pPr>
          </w:p>
        </w:tc>
        <w:tc>
          <w:tcPr>
            <w:tcW w:w="7540" w:type="dxa"/>
            <w:vAlign w:val="center"/>
          </w:tcPr>
          <w:p w14:paraId="1D55DDB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投标保证金可以不予退还的其他情形：</w:t>
            </w:r>
          </w:p>
          <w:p w14:paraId="0227E56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■无</w:t>
            </w:r>
          </w:p>
          <w:p w14:paraId="4F98D9DD">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□有，具体情形：_____。</w:t>
            </w:r>
          </w:p>
        </w:tc>
      </w:tr>
      <w:tr w14:paraId="346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0F05283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13.1</w:t>
            </w:r>
          </w:p>
        </w:tc>
        <w:tc>
          <w:tcPr>
            <w:tcW w:w="1701" w:type="dxa"/>
            <w:vAlign w:val="center"/>
          </w:tcPr>
          <w:p w14:paraId="53E369EA">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投标有效期</w:t>
            </w:r>
          </w:p>
        </w:tc>
        <w:tc>
          <w:tcPr>
            <w:tcW w:w="7540" w:type="dxa"/>
            <w:vAlign w:val="center"/>
          </w:tcPr>
          <w:p w14:paraId="566323D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自提交投标文件的截止之日起算</w:t>
            </w:r>
            <w:r>
              <w:rPr>
                <w:rFonts w:hint="eastAsia" w:ascii="宋体" w:hAnsi="宋体" w:cs="宋体"/>
                <w:snapToGrid w:val="0"/>
                <w:kern w:val="0"/>
                <w:sz w:val="24"/>
                <w:u w:val="single"/>
              </w:rPr>
              <w:t>90</w:t>
            </w:r>
            <w:r>
              <w:rPr>
                <w:rFonts w:hint="eastAsia" w:ascii="宋体" w:hAnsi="宋体" w:cs="宋体"/>
                <w:snapToGrid w:val="0"/>
                <w:kern w:val="0"/>
                <w:sz w:val="24"/>
              </w:rPr>
              <w:t>日历天。</w:t>
            </w:r>
          </w:p>
        </w:tc>
      </w:tr>
      <w:tr w14:paraId="77DA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5FA6A40F">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18.2</w:t>
            </w:r>
          </w:p>
        </w:tc>
        <w:tc>
          <w:tcPr>
            <w:tcW w:w="1701" w:type="dxa"/>
            <w:vAlign w:val="center"/>
          </w:tcPr>
          <w:p w14:paraId="16F0B8FB">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解密时间</w:t>
            </w:r>
          </w:p>
        </w:tc>
        <w:tc>
          <w:tcPr>
            <w:tcW w:w="7540" w:type="dxa"/>
            <w:vAlign w:val="center"/>
          </w:tcPr>
          <w:p w14:paraId="2BF52D62">
            <w:pPr>
              <w:snapToGrid w:val="0"/>
              <w:spacing w:line="360" w:lineRule="auto"/>
              <w:ind w:right="31" w:rightChars="15"/>
              <w:jc w:val="left"/>
              <w:rPr>
                <w:rFonts w:hint="eastAsia" w:ascii="宋体" w:hAnsi="宋体" w:cs="宋体"/>
                <w:snapToGrid w:val="0"/>
                <w:kern w:val="0"/>
                <w:sz w:val="24"/>
              </w:rPr>
            </w:pPr>
            <w:r>
              <w:rPr>
                <w:rFonts w:ascii="宋体" w:hAnsi="宋体" w:cs="宋体"/>
                <w:snapToGrid w:val="0"/>
                <w:kern w:val="0"/>
                <w:sz w:val="24"/>
              </w:rPr>
              <w:t>解密时间：</w:t>
            </w:r>
            <w:r>
              <w:rPr>
                <w:rFonts w:ascii="宋体" w:hAnsi="宋体" w:cs="宋体"/>
                <w:snapToGrid w:val="0"/>
                <w:kern w:val="0"/>
                <w:sz w:val="24"/>
                <w:u w:val="single"/>
              </w:rPr>
              <w:t xml:space="preserve"> </w:t>
            </w:r>
            <w:r>
              <w:rPr>
                <w:rFonts w:hint="eastAsia" w:ascii="宋体" w:hAnsi="宋体" w:cs="宋体"/>
                <w:snapToGrid w:val="0"/>
                <w:kern w:val="0"/>
                <w:sz w:val="24"/>
                <w:u w:val="single"/>
              </w:rPr>
              <w:t xml:space="preserve">30 </w:t>
            </w:r>
            <w:r>
              <w:rPr>
                <w:rFonts w:ascii="宋体" w:hAnsi="宋体" w:cs="宋体"/>
                <w:snapToGrid w:val="0"/>
                <w:kern w:val="0"/>
                <w:sz w:val="24"/>
              </w:rPr>
              <w:t>分钟</w:t>
            </w:r>
          </w:p>
        </w:tc>
      </w:tr>
      <w:tr w14:paraId="4A2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C14DAE">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22.1</w:t>
            </w:r>
          </w:p>
        </w:tc>
        <w:tc>
          <w:tcPr>
            <w:tcW w:w="1701" w:type="dxa"/>
            <w:vAlign w:val="center"/>
          </w:tcPr>
          <w:p w14:paraId="78CDCBAC">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确定中标人</w:t>
            </w:r>
          </w:p>
        </w:tc>
        <w:tc>
          <w:tcPr>
            <w:tcW w:w="7540" w:type="dxa"/>
            <w:vAlign w:val="center"/>
          </w:tcPr>
          <w:p w14:paraId="0A0B7FEC">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中标候选人并列的，采购人是否委托评标委员会确定中标人：</w:t>
            </w:r>
          </w:p>
          <w:p w14:paraId="76372CB7">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■否</w:t>
            </w:r>
          </w:p>
          <w:p w14:paraId="3DBB5A39">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□是</w:t>
            </w:r>
          </w:p>
          <w:p w14:paraId="57810C5B">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 xml:space="preserve">中标候选人并列的，按照以下方式确定中标人： </w:t>
            </w:r>
          </w:p>
          <w:p w14:paraId="0CC3DC1F">
            <w:pPr>
              <w:pStyle w:val="24"/>
              <w:adjustRightInd w:val="0"/>
              <w:snapToGrid w:val="0"/>
              <w:spacing w:line="360" w:lineRule="auto"/>
              <w:ind w:right="31" w:rightChars="15"/>
              <w:rPr>
                <w:rFonts w:hAnsi="宋体" w:cs="宋体"/>
                <w:snapToGrid w:val="0"/>
                <w:kern w:val="0"/>
                <w:sz w:val="24"/>
                <w:szCs w:val="24"/>
              </w:rPr>
            </w:pPr>
            <w:r>
              <w:rPr>
                <w:rFonts w:hAnsi="宋体" w:cs="宋体"/>
                <w:snapToGrid w:val="0"/>
                <w:kern w:val="0"/>
                <w:sz w:val="24"/>
                <w:szCs w:val="24"/>
              </w:rPr>
              <w:t>■得分且投标报价均相同的，以</w:t>
            </w:r>
            <w:r>
              <w:rPr>
                <w:rFonts w:hAnsi="宋体" w:cs="宋体"/>
                <w:snapToGrid w:val="0"/>
                <w:kern w:val="0"/>
                <w:sz w:val="24"/>
                <w:szCs w:val="24"/>
                <w:u w:val="single"/>
              </w:rPr>
              <w:t xml:space="preserve"> 技术方案 </w:t>
            </w:r>
            <w:r>
              <w:rPr>
                <w:rFonts w:hAnsi="宋体" w:cs="宋体"/>
                <w:snapToGrid w:val="0"/>
                <w:kern w:val="0"/>
                <w:sz w:val="24"/>
                <w:szCs w:val="24"/>
              </w:rPr>
              <w:t>得分高者为中标人</w:t>
            </w:r>
          </w:p>
          <w:p w14:paraId="50E05BAA">
            <w:pPr>
              <w:pStyle w:val="24"/>
              <w:adjustRightInd w:val="0"/>
              <w:snapToGrid w:val="0"/>
              <w:spacing w:line="360" w:lineRule="auto"/>
              <w:ind w:right="31" w:rightChars="15"/>
              <w:rPr>
                <w:rFonts w:hAnsi="宋体" w:cs="宋体"/>
                <w:snapToGrid w:val="0"/>
                <w:kern w:val="0"/>
                <w:sz w:val="24"/>
                <w:szCs w:val="24"/>
                <w:u w:val="single"/>
              </w:rPr>
            </w:pPr>
            <w:r>
              <w:rPr>
                <w:rFonts w:hAnsi="宋体" w:cs="宋体"/>
                <w:snapToGrid w:val="0"/>
                <w:kern w:val="0"/>
                <w:sz w:val="24"/>
                <w:szCs w:val="24"/>
              </w:rPr>
              <w:t>□随机抽取</w:t>
            </w:r>
          </w:p>
        </w:tc>
      </w:tr>
      <w:tr w14:paraId="3077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D7A0D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25.5</w:t>
            </w:r>
          </w:p>
        </w:tc>
        <w:tc>
          <w:tcPr>
            <w:tcW w:w="1701" w:type="dxa"/>
            <w:vAlign w:val="center"/>
          </w:tcPr>
          <w:p w14:paraId="15411957">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分包</w:t>
            </w:r>
          </w:p>
        </w:tc>
        <w:tc>
          <w:tcPr>
            <w:tcW w:w="7540" w:type="dxa"/>
            <w:vAlign w:val="center"/>
          </w:tcPr>
          <w:p w14:paraId="7D75E6E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本项目的非主体、非关键性工作是否允许分包： </w:t>
            </w:r>
          </w:p>
          <w:p w14:paraId="2F285D59">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■不允许</w:t>
            </w:r>
          </w:p>
          <w:p w14:paraId="3A91FDF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□允许，具体要求：</w:t>
            </w:r>
          </w:p>
          <w:p w14:paraId="0DC8D66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（1）可以分包履行的具体内容：_____；</w:t>
            </w:r>
          </w:p>
          <w:p w14:paraId="6CD5256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（2）允许分包的金额或者比例：_____；</w:t>
            </w:r>
          </w:p>
          <w:p w14:paraId="48098670">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（3）其他要求：_____。</w:t>
            </w:r>
          </w:p>
        </w:tc>
      </w:tr>
      <w:tr w14:paraId="799D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F4ACC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25.6</w:t>
            </w:r>
          </w:p>
        </w:tc>
        <w:tc>
          <w:tcPr>
            <w:tcW w:w="1701" w:type="dxa"/>
            <w:vAlign w:val="center"/>
          </w:tcPr>
          <w:p w14:paraId="4794276D">
            <w:pPr>
              <w:snapToGrid w:val="0"/>
              <w:spacing w:line="360" w:lineRule="auto"/>
              <w:ind w:right="31" w:rightChars="15"/>
              <w:jc w:val="center"/>
              <w:rPr>
                <w:rFonts w:hint="eastAsia" w:ascii="宋体" w:hAnsi="宋体" w:cs="宋体"/>
                <w:snapToGrid w:val="0"/>
                <w:kern w:val="0"/>
                <w:sz w:val="24"/>
              </w:rPr>
            </w:pPr>
            <w:r>
              <w:rPr>
                <w:rFonts w:ascii="宋体" w:hAnsi="宋体" w:cs="宋体"/>
                <w:snapToGrid w:val="0"/>
                <w:kern w:val="0"/>
                <w:sz w:val="24"/>
              </w:rPr>
              <w:t>政采贷</w:t>
            </w:r>
          </w:p>
        </w:tc>
        <w:tc>
          <w:tcPr>
            <w:tcW w:w="7540" w:type="dxa"/>
            <w:vAlign w:val="center"/>
          </w:tcPr>
          <w:p w14:paraId="19B96D2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56A2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3A74A77A">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26.1.1</w:t>
            </w:r>
          </w:p>
        </w:tc>
        <w:tc>
          <w:tcPr>
            <w:tcW w:w="1701" w:type="dxa"/>
            <w:vAlign w:val="center"/>
          </w:tcPr>
          <w:p w14:paraId="2849D28E">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询问</w:t>
            </w:r>
          </w:p>
        </w:tc>
        <w:tc>
          <w:tcPr>
            <w:tcW w:w="7540" w:type="dxa"/>
            <w:vAlign w:val="center"/>
          </w:tcPr>
          <w:p w14:paraId="331F6642">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询问送达形式：</w:t>
            </w:r>
            <w:r>
              <w:rPr>
                <w:rFonts w:hint="eastAsia" w:ascii="宋体" w:hAnsi="宋体" w:cs="宋体"/>
                <w:snapToGrid w:val="0"/>
                <w:kern w:val="0"/>
                <w:sz w:val="24"/>
                <w:u w:val="single"/>
              </w:rPr>
              <w:t>信函或传真</w:t>
            </w:r>
          </w:p>
        </w:tc>
      </w:tr>
      <w:tr w14:paraId="124C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27D400">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26.3</w:t>
            </w:r>
          </w:p>
        </w:tc>
        <w:tc>
          <w:tcPr>
            <w:tcW w:w="1701" w:type="dxa"/>
            <w:vAlign w:val="center"/>
          </w:tcPr>
          <w:p w14:paraId="24FCDEBD">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联系方式</w:t>
            </w:r>
          </w:p>
        </w:tc>
        <w:tc>
          <w:tcPr>
            <w:tcW w:w="7540" w:type="dxa"/>
            <w:vAlign w:val="center"/>
          </w:tcPr>
          <w:p w14:paraId="13F9D13A">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接收询问和质疑的联系方式</w:t>
            </w:r>
          </w:p>
          <w:p w14:paraId="71DC6C5E">
            <w:pPr>
              <w:snapToGrid w:val="0"/>
              <w:spacing w:line="360" w:lineRule="auto"/>
              <w:ind w:right="31" w:rightChars="15"/>
              <w:jc w:val="left"/>
              <w:rPr>
                <w:rFonts w:hint="eastAsia" w:ascii="宋体" w:hAnsi="宋体" w:cs="宋体"/>
                <w:snapToGrid w:val="0"/>
                <w:kern w:val="0"/>
                <w:sz w:val="24"/>
                <w:u w:val="single"/>
              </w:rPr>
            </w:pPr>
            <w:r>
              <w:rPr>
                <w:rFonts w:hint="eastAsia" w:ascii="宋体" w:hAnsi="宋体" w:cs="宋体"/>
                <w:snapToGrid w:val="0"/>
                <w:kern w:val="0"/>
                <w:sz w:val="24"/>
              </w:rPr>
              <w:t>联系部门：</w:t>
            </w:r>
            <w:r>
              <w:rPr>
                <w:rFonts w:hint="eastAsia" w:ascii="宋体" w:hAnsi="宋体" w:cs="宋体"/>
                <w:snapToGrid w:val="0"/>
                <w:kern w:val="0"/>
                <w:sz w:val="24"/>
                <w:u w:val="single"/>
              </w:rPr>
              <w:t xml:space="preserve">   经营部     </w:t>
            </w:r>
            <w:r>
              <w:rPr>
                <w:rFonts w:hint="eastAsia" w:ascii="宋体" w:hAnsi="宋体" w:cs="宋体"/>
                <w:snapToGrid w:val="0"/>
                <w:kern w:val="0"/>
                <w:sz w:val="24"/>
              </w:rPr>
              <w:t>；</w:t>
            </w:r>
          </w:p>
          <w:p w14:paraId="30364B3C">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联系电话：</w:t>
            </w:r>
            <w:r>
              <w:rPr>
                <w:rFonts w:hint="eastAsia" w:ascii="宋体" w:hAnsi="宋体" w:cs="宋体"/>
                <w:snapToGrid w:val="0"/>
                <w:kern w:val="0"/>
                <w:sz w:val="24"/>
                <w:u w:val="single"/>
              </w:rPr>
              <w:t>60863865-8212</w:t>
            </w:r>
            <w:r>
              <w:rPr>
                <w:rFonts w:hint="eastAsia" w:ascii="宋体" w:hAnsi="宋体" w:cs="宋体"/>
                <w:snapToGrid w:val="0"/>
                <w:kern w:val="0"/>
                <w:sz w:val="24"/>
              </w:rPr>
              <w:t>；</w:t>
            </w:r>
          </w:p>
          <w:p w14:paraId="2DF104A8">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通讯地址：</w:t>
            </w:r>
            <w:r>
              <w:rPr>
                <w:rFonts w:hint="eastAsia" w:ascii="宋体" w:hAnsi="宋体" w:cs="宋体"/>
                <w:snapToGrid w:val="0"/>
                <w:kern w:val="0"/>
                <w:sz w:val="24"/>
                <w:u w:val="single"/>
              </w:rPr>
              <w:t>北京市门头沟区石龙开发区平安路1号</w:t>
            </w:r>
            <w:r>
              <w:rPr>
                <w:rFonts w:hint="eastAsia" w:ascii="宋体" w:hAnsi="宋体" w:cs="宋体"/>
                <w:snapToGrid w:val="0"/>
                <w:kern w:val="0"/>
                <w:sz w:val="24"/>
              </w:rPr>
              <w:t>。</w:t>
            </w:r>
          </w:p>
        </w:tc>
      </w:tr>
      <w:tr w14:paraId="6278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66F6419">
            <w:pPr>
              <w:pStyle w:val="24"/>
              <w:adjustRightInd w:val="0"/>
              <w:snapToGrid w:val="0"/>
              <w:spacing w:line="360" w:lineRule="auto"/>
              <w:ind w:right="31" w:rightChars="15"/>
              <w:jc w:val="center"/>
              <w:rPr>
                <w:rFonts w:hAnsi="宋体" w:cs="宋体"/>
                <w:snapToGrid w:val="0"/>
                <w:kern w:val="0"/>
                <w:sz w:val="24"/>
                <w:szCs w:val="24"/>
              </w:rPr>
            </w:pPr>
            <w:r>
              <w:rPr>
                <w:rFonts w:hAnsi="宋体" w:cs="宋体"/>
                <w:snapToGrid w:val="0"/>
                <w:ker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A5FD41F">
            <w:pPr>
              <w:snapToGrid w:val="0"/>
              <w:spacing w:line="360" w:lineRule="auto"/>
              <w:ind w:right="31" w:rightChars="15"/>
              <w:jc w:val="center"/>
              <w:rPr>
                <w:rFonts w:hint="eastAsia" w:ascii="宋体" w:hAnsi="宋体" w:cs="宋体"/>
                <w:snapToGrid w:val="0"/>
                <w:kern w:val="0"/>
                <w:sz w:val="24"/>
              </w:rPr>
            </w:pPr>
            <w:r>
              <w:rPr>
                <w:rFonts w:hint="eastAsia" w:ascii="宋体" w:hAnsi="宋体" w:cs="宋体"/>
                <w:snapToGrid w:val="0"/>
                <w:ker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0674F83">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收费对象：</w:t>
            </w:r>
          </w:p>
          <w:p w14:paraId="4662456F">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 xml:space="preserve">□采购人  </w:t>
            </w:r>
          </w:p>
          <w:p w14:paraId="430E7C14">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■中标人</w:t>
            </w:r>
          </w:p>
          <w:p w14:paraId="1DBAF36B">
            <w:pPr>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t>收费标准：</w:t>
            </w:r>
            <w:r>
              <w:rPr>
                <w:rFonts w:hint="eastAsia" w:ascii="宋体" w:hAnsi="宋体" w:cs="宋体"/>
                <w:snapToGrid w:val="0"/>
                <w:kern w:val="0"/>
                <w:sz w:val="24"/>
                <w:lang w:val="en-US" w:eastAsia="zh-CN"/>
              </w:rPr>
              <w:t>依据相关规定及市场价格计取</w:t>
            </w:r>
            <w:r>
              <w:rPr>
                <w:rFonts w:hint="eastAsia" w:ascii="宋体" w:hAnsi="宋体" w:cs="宋体"/>
                <w:snapToGrid w:val="0"/>
                <w:kern w:val="0"/>
                <w:sz w:val="24"/>
              </w:rPr>
              <w:t>。</w:t>
            </w:r>
          </w:p>
          <w:p w14:paraId="580CCCCA">
            <w:pPr>
              <w:snapToGrid w:val="0"/>
              <w:spacing w:line="360" w:lineRule="auto"/>
              <w:ind w:right="31" w:rightChars="15"/>
              <w:jc w:val="left"/>
              <w:rPr>
                <w:rFonts w:hint="eastAsia" w:ascii="宋体" w:hAnsi="宋体" w:cs="宋体"/>
                <w:snapToGrid w:val="0"/>
                <w:kern w:val="0"/>
                <w:sz w:val="24"/>
              </w:rPr>
            </w:pPr>
            <w:r>
              <w:rPr>
                <w:rFonts w:ascii="宋体" w:hAnsi="宋体" w:cs="宋体"/>
                <w:spacing w:val="-1"/>
                <w:sz w:val="24"/>
              </w:rPr>
              <w:t>缴纳时间：</w:t>
            </w:r>
            <w:r>
              <w:rPr>
                <w:rFonts w:hint="eastAsia" w:ascii="宋体" w:hAnsi="宋体" w:cs="宋体"/>
                <w:spacing w:val="-1"/>
                <w:sz w:val="24"/>
              </w:rPr>
              <w:t>中标人领取通知书时一次性支付</w:t>
            </w:r>
            <w:r>
              <w:rPr>
                <w:rFonts w:ascii="宋体" w:hAnsi="宋体" w:cs="宋体"/>
                <w:spacing w:val="-1"/>
                <w:sz w:val="24"/>
              </w:rPr>
              <w:t>。</w:t>
            </w:r>
          </w:p>
        </w:tc>
      </w:tr>
    </w:tbl>
    <w:p w14:paraId="42A6DB38">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br w:type="page"/>
      </w:r>
    </w:p>
    <w:p w14:paraId="1634DCC5">
      <w:pPr>
        <w:tabs>
          <w:tab w:val="left" w:pos="5580"/>
        </w:tabs>
        <w:adjustRightInd w:val="0"/>
        <w:snapToGrid w:val="0"/>
        <w:spacing w:line="360" w:lineRule="auto"/>
        <w:ind w:right="31" w:rightChars="15"/>
        <w:jc w:val="distribute"/>
        <w:rPr>
          <w:rFonts w:hint="eastAsia" w:ascii="宋体" w:hAnsi="宋体" w:cs="宋体"/>
          <w:snapToGrid w:val="0"/>
          <w:kern w:val="0"/>
          <w:sz w:val="24"/>
        </w:rPr>
        <w:sectPr>
          <w:pgSz w:w="11907" w:h="16840"/>
          <w:pgMar w:top="1440" w:right="1800" w:bottom="1440" w:left="1800" w:header="851" w:footer="851" w:gutter="0"/>
          <w:cols w:space="720" w:num="1"/>
          <w:titlePg/>
          <w:docGrid w:linePitch="462" w:charSpace="0"/>
        </w:sectPr>
      </w:pPr>
    </w:p>
    <w:p w14:paraId="05063ADA">
      <w:pPr>
        <w:snapToGrid w:val="0"/>
        <w:spacing w:line="360" w:lineRule="auto"/>
        <w:ind w:right="31" w:rightChars="15"/>
        <w:jc w:val="center"/>
        <w:rPr>
          <w:b/>
          <w:snapToGrid w:val="0"/>
          <w:kern w:val="0"/>
          <w:sz w:val="28"/>
          <w:szCs w:val="28"/>
        </w:rPr>
      </w:pPr>
      <w:bookmarkStart w:id="89" w:name="_Toc305158859"/>
      <w:bookmarkStart w:id="90" w:name="_Toc127151517"/>
      <w:bookmarkStart w:id="91" w:name="_Toc142311019"/>
      <w:bookmarkStart w:id="92" w:name="_Toc264969207"/>
      <w:bookmarkStart w:id="93" w:name="_Toc150774722"/>
      <w:bookmarkStart w:id="94" w:name="_Toc226965790"/>
      <w:bookmarkStart w:id="95" w:name="_Toc150480755"/>
      <w:bookmarkStart w:id="96" w:name="_Toc305158785"/>
      <w:bookmarkStart w:id="97" w:name="_Toc353873932"/>
      <w:bookmarkStart w:id="98" w:name="_Toc226337213"/>
      <w:bookmarkStart w:id="99" w:name="_Toc353825542"/>
      <w:bookmarkStart w:id="100" w:name="_Toc265228355"/>
      <w:bookmarkStart w:id="101" w:name="_Toc195842882"/>
      <w:bookmarkStart w:id="102" w:name="_Toc353873662"/>
      <w:bookmarkStart w:id="103" w:name="_Toc226965827"/>
      <w:bookmarkStart w:id="104" w:name="_Toc264969244"/>
      <w:bookmarkStart w:id="105" w:name="_Toc305158896"/>
      <w:bookmarkStart w:id="106" w:name="_Toc305158822"/>
      <w:bookmarkStart w:id="107" w:name="_Toc353873934"/>
      <w:bookmarkStart w:id="108" w:name="_Toc150480792"/>
      <w:bookmarkStart w:id="109" w:name="_Toc226337250"/>
      <w:bookmarkStart w:id="110" w:name="_Toc353873664"/>
      <w:bookmarkStart w:id="111" w:name="_Toc265228392"/>
      <w:bookmarkStart w:id="112" w:name="_Toc150774759"/>
      <w:bookmarkStart w:id="113" w:name="_Toc127151554"/>
      <w:bookmarkStart w:id="114" w:name="_Toc353825544"/>
      <w:bookmarkStart w:id="115" w:name="_Toc142311056"/>
      <w:r>
        <w:rPr>
          <w:b/>
          <w:snapToGrid w:val="0"/>
          <w:kern w:val="0"/>
          <w:sz w:val="28"/>
          <w:szCs w:val="28"/>
        </w:rPr>
        <w:t>投标人须知</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B0C6308">
      <w:pPr>
        <w:pStyle w:val="3"/>
        <w:tabs>
          <w:tab w:val="center" w:pos="4592"/>
          <w:tab w:val="left" w:pos="7860"/>
        </w:tabs>
        <w:snapToGrid w:val="0"/>
        <w:spacing w:before="0" w:line="360" w:lineRule="auto"/>
        <w:ind w:right="31" w:rightChars="15"/>
        <w:rPr>
          <w:rFonts w:ascii="Times New Roman" w:hAnsi="Times New Roman" w:eastAsia="宋体"/>
          <w:snapToGrid w:val="0"/>
          <w:sz w:val="28"/>
        </w:rPr>
      </w:pPr>
      <w:bookmarkStart w:id="116" w:name="_Toc151193832"/>
      <w:bookmarkStart w:id="117" w:name="_Toc142311020"/>
      <w:bookmarkStart w:id="118" w:name="_Toc151193760"/>
      <w:bookmarkStart w:id="119" w:name="_Toc127151518"/>
      <w:bookmarkStart w:id="120" w:name="_Toc226337214"/>
      <w:bookmarkStart w:id="121" w:name="_Toc150480756"/>
      <w:bookmarkStart w:id="122" w:name="_Toc265228356"/>
      <w:bookmarkStart w:id="123" w:name="_Toc264969208"/>
      <w:bookmarkStart w:id="124" w:name="_Toc151190145"/>
      <w:bookmarkStart w:id="125" w:name="_Toc151193616"/>
      <w:bookmarkStart w:id="126" w:name="_Toc226965708"/>
      <w:bookmarkStart w:id="127" w:name="_Toc195842883"/>
      <w:bookmarkStart w:id="128" w:name="_Toc226965791"/>
      <w:bookmarkStart w:id="129" w:name="_Toc305158786"/>
      <w:bookmarkStart w:id="130" w:name="_Toc151193906"/>
      <w:bookmarkStart w:id="131" w:name="_Toc150509269"/>
      <w:bookmarkStart w:id="132" w:name="_Toc520356143"/>
      <w:bookmarkStart w:id="133" w:name="_Toc226309762"/>
      <w:bookmarkStart w:id="134" w:name="_Toc150774618"/>
      <w:bookmarkStart w:id="135" w:name="_Toc150774723"/>
      <w:bookmarkStart w:id="136" w:name="_Toc305158860"/>
      <w:bookmarkStart w:id="137" w:name="_Toc151193688"/>
      <w:r>
        <w:rPr>
          <w:rFonts w:hint="eastAsia" w:ascii="Times New Roman" w:hAnsi="Times New Roman" w:eastAsia="宋体"/>
          <w:snapToGrid w:val="0"/>
          <w:sz w:val="28"/>
        </w:rPr>
        <w:t xml:space="preserve">一  </w:t>
      </w:r>
      <w:r>
        <w:rPr>
          <w:rFonts w:ascii="Times New Roman" w:hAnsi="Times New Roman" w:eastAsia="宋体"/>
          <w:snapToGrid w:val="0"/>
          <w:sz w:val="28"/>
        </w:rPr>
        <w:t>说  明</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5401FB3">
      <w:pPr>
        <w:tabs>
          <w:tab w:val="left" w:pos="360"/>
        </w:tabs>
        <w:snapToGrid w:val="0"/>
        <w:spacing w:line="360" w:lineRule="auto"/>
        <w:ind w:right="31" w:rightChars="15"/>
        <w:outlineLvl w:val="1"/>
        <w:rPr>
          <w:rFonts w:hint="eastAsia" w:ascii="宋体" w:hAnsi="宋体" w:cs="宋体"/>
          <w:snapToGrid w:val="0"/>
          <w:kern w:val="0"/>
          <w:sz w:val="24"/>
        </w:rPr>
      </w:pPr>
      <w:bookmarkStart w:id="138" w:name="_Toc265228357"/>
      <w:bookmarkStart w:id="139" w:name="_Toc305158861"/>
      <w:bookmarkStart w:id="140" w:name="_Toc305158787"/>
      <w:bookmarkStart w:id="141" w:name="_Toc264969209"/>
      <w:r>
        <w:rPr>
          <w:rFonts w:hint="eastAsia" w:ascii="宋体" w:hAnsi="宋体" w:cs="宋体"/>
          <w:snapToGrid w:val="0"/>
          <w:kern w:val="0"/>
          <w:sz w:val="24"/>
        </w:rPr>
        <w:t>1   采购人、采购代理机构、投标人</w:t>
      </w:r>
      <w:bookmarkEnd w:id="138"/>
      <w:bookmarkEnd w:id="139"/>
      <w:bookmarkEnd w:id="140"/>
      <w:bookmarkEnd w:id="141"/>
      <w:r>
        <w:rPr>
          <w:rFonts w:hint="eastAsia" w:ascii="宋体" w:hAnsi="宋体" w:cs="宋体"/>
          <w:snapToGrid w:val="0"/>
          <w:kern w:val="0"/>
          <w:sz w:val="24"/>
        </w:rPr>
        <w:t>、联合体</w:t>
      </w:r>
    </w:p>
    <w:p w14:paraId="080CB7D3">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1.1采购人、采购代理机构：指依法进行政府采购的国家机关、事业单位、团体组织，及其委托的采购代理机构。本项目采购人、采购代理机构见第一章《投标邀请》。</w:t>
      </w:r>
    </w:p>
    <w:p w14:paraId="6AF4CA0E">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1.2投标人（也称“供应商”、“申请人”）：指向采购人提供货物、工程或者服务的法人、其他组织或者自然人。</w:t>
      </w:r>
    </w:p>
    <w:p w14:paraId="4BF861F6">
      <w:pPr>
        <w:tabs>
          <w:tab w:val="left" w:pos="1080"/>
          <w:tab w:val="left" w:pos="2014"/>
          <w:tab w:val="left" w:pos="5521"/>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1.3联合体：指两个以上的自然人、法人或者其他组织组成一个联合体，以一个供应商的身份共同参加政府采购。</w:t>
      </w:r>
    </w:p>
    <w:p w14:paraId="12D30358">
      <w:pPr>
        <w:tabs>
          <w:tab w:val="left" w:pos="360"/>
        </w:tabs>
        <w:snapToGrid w:val="0"/>
        <w:spacing w:line="360" w:lineRule="auto"/>
        <w:ind w:right="31" w:rightChars="15"/>
        <w:outlineLvl w:val="1"/>
        <w:rPr>
          <w:rFonts w:hint="eastAsia" w:ascii="宋体" w:hAnsi="宋体" w:cs="宋体"/>
          <w:snapToGrid w:val="0"/>
          <w:kern w:val="0"/>
          <w:sz w:val="24"/>
        </w:rPr>
      </w:pPr>
      <w:bookmarkStart w:id="142" w:name="_Toc151193834"/>
      <w:bookmarkStart w:id="143" w:name="_Toc164351614"/>
      <w:bookmarkStart w:id="144" w:name="_Toc305158862"/>
      <w:bookmarkStart w:id="145" w:name="_Toc226965710"/>
      <w:bookmarkStart w:id="146" w:name="_Toc164608789"/>
      <w:bookmarkStart w:id="147" w:name="_Toc150774725"/>
      <w:bookmarkStart w:id="148" w:name="_Toc265228358"/>
      <w:bookmarkStart w:id="149" w:name="_Toc149720813"/>
      <w:bookmarkStart w:id="150" w:name="_Toc151193908"/>
      <w:bookmarkStart w:id="151" w:name="_Toc164229215"/>
      <w:bookmarkStart w:id="152" w:name="_Toc226309764"/>
      <w:bookmarkStart w:id="153" w:name="_Toc151190147"/>
      <w:bookmarkStart w:id="154" w:name="_Toc264969210"/>
      <w:bookmarkStart w:id="155" w:name="_Toc127161434"/>
      <w:bookmarkStart w:id="156" w:name="_Toc127151721"/>
      <w:bookmarkStart w:id="157" w:name="_Toc150774620"/>
      <w:bookmarkStart w:id="158" w:name="_Toc195842885"/>
      <w:bookmarkStart w:id="159" w:name="_Toc305158788"/>
      <w:bookmarkStart w:id="160" w:name="_Toc164229361"/>
      <w:bookmarkStart w:id="161" w:name="_Toc127151520"/>
      <w:bookmarkStart w:id="162" w:name="_Toc151193762"/>
      <w:bookmarkStart w:id="163" w:name="_Toc142311022"/>
      <w:bookmarkStart w:id="164" w:name="_Toc150509271"/>
      <w:bookmarkStart w:id="165" w:name="_Toc226965793"/>
      <w:bookmarkStart w:id="166" w:name="_Toc226337216"/>
      <w:bookmarkStart w:id="167" w:name="_Toc164608634"/>
      <w:bookmarkStart w:id="168" w:name="_Toc151193690"/>
      <w:bookmarkStart w:id="169" w:name="_Toc151193618"/>
      <w:bookmarkStart w:id="170" w:name="_Toc150480758"/>
      <w:r>
        <w:rPr>
          <w:rFonts w:hint="eastAsia" w:ascii="宋体" w:hAnsi="宋体" w:cs="宋体"/>
          <w:snapToGrid w:val="0"/>
          <w:kern w:val="0"/>
          <w:sz w:val="24"/>
        </w:rPr>
        <w:t>2   资金来源</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snapToGrid w:val="0"/>
          <w:kern w:val="0"/>
          <w:sz w:val="24"/>
        </w:rPr>
        <w:t>、项目属性、科研仪器设备采购、核心产品</w:t>
      </w:r>
    </w:p>
    <w:p w14:paraId="44340CC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2.1资金来源为财政性资金和/或本项目采购中无法与财政性资金分割的非财政性资金。</w:t>
      </w:r>
    </w:p>
    <w:p w14:paraId="1BDBF967">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2.2项目属性见《投标人须知资料表》。</w:t>
      </w:r>
    </w:p>
    <w:p w14:paraId="60FBB198">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2.3是否属于科研仪器设备采购见《投标人须知资料表》。</w:t>
      </w:r>
    </w:p>
    <w:p w14:paraId="32D8F181">
      <w:pPr>
        <w:tabs>
          <w:tab w:val="left" w:pos="1080"/>
          <w:tab w:val="left" w:pos="2014"/>
          <w:tab w:val="left" w:pos="5521"/>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2.4核心产品见《投标人须知资料表》。</w:t>
      </w:r>
    </w:p>
    <w:p w14:paraId="47B5C12C">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现场考察、开标前答疑会</w:t>
      </w:r>
    </w:p>
    <w:p w14:paraId="22C090A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3.1若《投标人须知资料表》中规定了组织现场考察、召开开标前答疑会，则投标人应按要求在规定的时间和地点参加。</w:t>
      </w:r>
      <w:bookmarkStart w:id="171" w:name="_Toc151193910"/>
      <w:bookmarkStart w:id="172" w:name="_Toc305158864"/>
      <w:bookmarkStart w:id="173" w:name="_Toc151190149"/>
      <w:bookmarkStart w:id="174" w:name="_Toc226309766"/>
      <w:bookmarkStart w:id="175" w:name="_Toc150774727"/>
      <w:bookmarkStart w:id="176" w:name="_Toc226337218"/>
      <w:bookmarkStart w:id="177" w:name="_Toc226965795"/>
      <w:bookmarkStart w:id="178" w:name="_Toc305158790"/>
      <w:bookmarkStart w:id="179" w:name="_Toc150509273"/>
      <w:bookmarkStart w:id="180" w:name="_Toc150774622"/>
      <w:bookmarkStart w:id="181" w:name="_Toc264969212"/>
      <w:bookmarkStart w:id="182" w:name="_Toc127151522"/>
      <w:bookmarkStart w:id="183" w:name="_Toc142311024"/>
      <w:bookmarkStart w:id="184" w:name="_Toc151193764"/>
      <w:bookmarkStart w:id="185" w:name="_Toc520356146"/>
      <w:bookmarkStart w:id="186" w:name="_Toc151193836"/>
      <w:bookmarkStart w:id="187" w:name="_Toc151193620"/>
      <w:bookmarkStart w:id="188" w:name="_Toc150480760"/>
      <w:bookmarkStart w:id="189" w:name="_Toc265228360"/>
      <w:bookmarkStart w:id="190" w:name="_Toc151193692"/>
      <w:bookmarkStart w:id="191" w:name="_Toc195842887"/>
      <w:bookmarkStart w:id="192" w:name="_Toc226965712"/>
    </w:p>
    <w:p w14:paraId="5079033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3.2由于未参加现场考察或开标前答疑会而导致对项目实际情况不了解，影响投标文件编制、投标报价准确性、综合因素响应不全面等问题的，由投标人自行承担不利评审后果。</w:t>
      </w:r>
    </w:p>
    <w:p w14:paraId="4D7D64EB">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4   样品</w:t>
      </w:r>
    </w:p>
    <w:p w14:paraId="5E95629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4.1本项目是否要求投标人提供样品，以及样品制作的标准和要求、是否需要随样品提交相关检测报告、样品的递交与退还等要求见《投标人须知资料表》。</w:t>
      </w:r>
    </w:p>
    <w:p w14:paraId="23F3FED1">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4.2样品的评审方法以及评审标准等内容见第四章《评标方法和评标标准》。</w:t>
      </w:r>
    </w:p>
    <w:p w14:paraId="6283681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政府采购政策（包括但不限于下列具体政策要求）</w:t>
      </w:r>
    </w:p>
    <w:p w14:paraId="663D6E8E">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 采购本国货物、工程和服务</w:t>
      </w:r>
    </w:p>
    <w:p w14:paraId="5DC737DE">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5.1.1 政府采购应当采购本国货物、工程和服务。但有《中华人民共和国政府采购法》第十条规定情形的除外。</w:t>
      </w:r>
    </w:p>
    <w:p w14:paraId="3EB72A46">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5.1.2 本项目如接受非本国货物、工程、服务参与投标， 则具体要求见第五章《采购需求》。</w:t>
      </w:r>
    </w:p>
    <w:p w14:paraId="13DD851E">
      <w:pPr>
        <w:tabs>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5.1.3 进口产品指通过中国海关报关验放进入中国境内且产自关境外的产</w:t>
      </w:r>
    </w:p>
    <w:p w14:paraId="34488087">
      <w:pPr>
        <w:tabs>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品，包括已经进入中国境内的进口产品。关于进口产品的相关规定依 据《政府采购进口产品管理办法》（财库〔2007〕119 号文）、《关 于政府采购进口产品管理有关问题的通知》（财办库〔2008〕248 号文）。</w:t>
      </w:r>
    </w:p>
    <w:p w14:paraId="5C77907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5.2   中小企业、监狱企业及残疾人福利性单位</w:t>
      </w:r>
    </w:p>
    <w:p w14:paraId="71EDDB67">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5.2.1  中小企业定义：</w:t>
      </w:r>
    </w:p>
    <w:p w14:paraId="4D06E4C5">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5.2.1.1 中小企业是指在中华人民共和国境内依法设立，依据国务院 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接控股、管理关系的除外。符合中小企业划分标准的个体工商户，在政府采购活动中视同中小企业。关于中小企业的相 关规定依据《中华人民共和国中小企业促进法》、《关于进一 步加大政府采购支持中小企业力度的通知》（财库〔2022〕 19 号）、《政府采购促进中小企业发展管理办法》（财库〔2020〕46 号）、《关于印发中小企业划型标准规定的通知》 （工信部联企业〔2011〕300 号）、</w:t>
      </w:r>
      <w:r>
        <w:rPr>
          <w:rFonts w:ascii="宋体" w:hAnsi="宋体" w:cs="宋体"/>
          <w:snapToGrid w:val="0"/>
          <w:kern w:val="0"/>
          <w:sz w:val="24"/>
        </w:rPr>
        <w:t>《金融业企业划型标准规定》（〔2015〕309 号）等国务院批准的中小企业划分标准执 行。</w:t>
      </w:r>
    </w:p>
    <w:p w14:paraId="1C833834">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5.2.1.2 供应商提供的货物、工程或者服务符合下列情形的，享受中 小企业扶持政策：</w:t>
      </w:r>
    </w:p>
    <w:p w14:paraId="710FE62C">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（1）在货物采购项目中，货物由中小企业制造，即货物由中小企业生产且使用该中小企业商号或者注册商标；</w:t>
      </w:r>
    </w:p>
    <w:p w14:paraId="09FE2A89">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（2）在工程采购项目中，工程由中小企业承建，即工程施工单位为中小企业；</w:t>
      </w:r>
    </w:p>
    <w:p w14:paraId="76B289AE">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（3）在服务采购项目中，服务由中小企业承接，即提供服务的人员为中小企业依照《中华人民共和国劳动合同法》订立劳动合同的从业人员。</w:t>
      </w:r>
    </w:p>
    <w:p w14:paraId="3A58D617">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5.2.1.3 在货物采购项目中，供应商提供的货物既有中小企业制造货物，也有大型企业制造货物的，不享受中小企业扶持政策。</w:t>
      </w:r>
    </w:p>
    <w:p w14:paraId="7D1A102F">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5.2.1.4 以联合体形式参加政府采购活动，联合体各方均为中小企业的，联合体视同中小企业。其中，联合体各方均为小微企业的，联合体视同小微企业。</w:t>
      </w:r>
    </w:p>
    <w:p w14:paraId="6BEBE77D">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5.2.2 在政府采购活动中，监狱企业视同小型、微型企业，享受预留份额、</w:t>
      </w:r>
    </w:p>
    <w:p w14:paraId="541C8F89">
      <w:pPr>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评审中价格扣除等政府采购促进中小企业发展的政府采购政策。监狱企业定义：是指由司法部认定的为罪犯、戒毒人员提供生产项目和劳动对象，且全部产权属于司法部监狱管理局、戒毒管理局、直属煤矿 管理局，各省、自治区、直辖市监狱管理局、戒毒管理局， 各地（设区的市）监狱、强制隔离戒毒所、戒毒康复所，以及新疆生产建设兵 团监狱管理局、戒毒管理局的企业。</w:t>
      </w:r>
    </w:p>
    <w:p w14:paraId="66BB4E9D">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5.2.3 在政府采购活动中，残疾人福利性单位视同小型、微型企业，享受预留份额、评审中价格扣除等促进中小企业发展的政府采购政策。残疾人福利性单位定义：享受政府采购支持政策的残疾人福利性单位应当 同时满足以下条件：</w:t>
      </w:r>
    </w:p>
    <w:p w14:paraId="3AC3C0B1">
      <w:pPr>
        <w:snapToGrid w:val="0"/>
        <w:spacing w:line="360" w:lineRule="auto"/>
        <w:ind w:left="958" w:leftChars="456" w:right="31" w:rightChars="15" w:firstLine="240" w:firstLineChars="100"/>
        <w:rPr>
          <w:rFonts w:hint="eastAsia" w:ascii="宋体" w:hAnsi="宋体" w:cs="宋体"/>
          <w:snapToGrid w:val="0"/>
          <w:kern w:val="0"/>
          <w:sz w:val="24"/>
        </w:rPr>
      </w:pPr>
      <w:r>
        <w:rPr>
          <w:rFonts w:hint="eastAsia" w:ascii="宋体" w:hAnsi="宋体" w:cs="宋体"/>
          <w:snapToGrid w:val="0"/>
          <w:kern w:val="0"/>
          <w:sz w:val="24"/>
        </w:rPr>
        <w:t>5.2.3.1 安置的残疾人占本单位在职职工人数的比例不低于25%（含 25%），并且安置的残疾人人数不少于10 人（含 10 人）；</w:t>
      </w:r>
    </w:p>
    <w:p w14:paraId="02C4101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5.2.3.2 依法与安置的每位残疾人签订了一年以上（含一年）的劳动合同或服务协议；</w:t>
      </w:r>
    </w:p>
    <w:p w14:paraId="36AAB26D">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5.2.3.3 为安置的每位残疾人按月足额缴纳了基本养老保险、基本医疗保险、失业保险、工伤保险和生育保险等社会保险费；</w:t>
      </w:r>
    </w:p>
    <w:p w14:paraId="4D8BD88A">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5.2.3.4 通过银行等金融机构向安置的每位残疾人，按月支付了不低于单位所在区县适用的经省级人民政府批准的月最低工资标准的工资；</w:t>
      </w:r>
    </w:p>
    <w:p w14:paraId="08FF07EB">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5.2.3.5 提供本单位制造的货物、承担的工程或者服务（以下简称产品），或者提供其他残疾人福利性单位制造的货物（不包括使用非残疾人福利性单位注册商标的货物）；</w:t>
      </w:r>
    </w:p>
    <w:p w14:paraId="3ADF776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5.2.3.6 前款所称残疾人是指法定劳动年龄内，持有《中华人民共和国残疾人证》或者《中华人民共和国残疾军人证（1至8 级）》 的自然人，包括具有劳动条件和劳动意愿的精神残疾人。在职职工人数是指与残疾人福利性单位建立劳动关系并依法签订劳动合同或服务协议的雇员人数。</w:t>
      </w:r>
    </w:p>
    <w:p w14:paraId="29F534CA">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5.2.4  本项目是否专门面向中小企业预留采购份额见第一章《投标邀请》。</w:t>
      </w:r>
    </w:p>
    <w:p w14:paraId="3EF6F8F5">
      <w:pPr>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5.2.5 采购标的对应的中小企业划分标准所属行业见《投标人须知资料表》。</w:t>
      </w:r>
    </w:p>
    <w:p w14:paraId="23B9A519">
      <w:pPr>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5.2.6 小微企业价格评审优惠的政策调整：见第四章《评标程序、评标方法和评标标准》。</w:t>
      </w:r>
    </w:p>
    <w:p w14:paraId="23FF7E9C">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5.3   政府采购节能产品、环境标志产品</w:t>
      </w:r>
    </w:p>
    <w:p w14:paraId="1BA8E7F0">
      <w:pPr>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5.3.1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 清单和认证证书实施政府优先采购和强制采购。</w:t>
      </w:r>
    </w:p>
    <w:p w14:paraId="39D69DAE">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796BFE97">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5.3.3 如本项目采购产品属于实施政府强制采购品目清单范围的节能产品，则投标人所报产品必须获得国家确定的认证机构出具的、处于有效期之内的节能产品认证证书，否则投标无效；</w:t>
      </w:r>
    </w:p>
    <w:p w14:paraId="3F12D3A7">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5.3.4 非政府强制采购的节能产品或环境标志产品，依据品目清单和认证证书实施政府优先采购。优先采购的具体规定见第四章《评标程序、评标方法和评标标准》（如涉及）。</w:t>
      </w:r>
    </w:p>
    <w:p w14:paraId="504E7D9E">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5.4   正版软件</w:t>
      </w:r>
    </w:p>
    <w:p w14:paraId="6E35E8F8">
      <w:pPr>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5.4.1 各级政府部门在购置计算机办公设备时，必须采购预装正版操作系统软件的计算机产品，相关规定依据《国家版权局、信息产业部、财政  部、国务院机关事务管理局关于政府部门购置计算机办公设备必须采  购已预装正版操作系统软件产品的通知》（国权联〔2006〕1号）、 《国务院办公厅关于进一步做好政府机关使用正版软件工作的通知》 （国办发〔2010〕47  号）、《财政部关于进一步做好政府机关使用正版软件工作的通知》（财预〔2010〕536 号）。</w:t>
      </w:r>
    </w:p>
    <w:p w14:paraId="2537526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5.5   网络安全专用产品</w:t>
      </w:r>
    </w:p>
    <w:p w14:paraId="56601673">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5.5.1 根据《关于调整网络安全专用产品安全管理有关事项的公告》（2023年第 1 号），所提供产品属于列入《网络关键设备和网络安全专用产品目录》的网络安全专用产品时，应当按照《信息安全技术网络安全</w:t>
      </w:r>
    </w:p>
    <w:p w14:paraId="3F4A10FF">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专用产品安全技术要求》等相关国家标准的强制性要求，由具备资格的机构安全认证合格或者安全检测符合要求。</w:t>
      </w:r>
    </w:p>
    <w:p w14:paraId="177ACA99">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5.6   推广使用低挥发性有机化合物（VOCs）</w:t>
      </w:r>
    </w:p>
    <w:p w14:paraId="5CBB1FC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5.6.1 为全面推进本市挥发性有机物（VOCs）治理，贯彻落实挥发性有机物污染治理专项行动有关要求，相关规定依据《北京市财政局北京市  生态环境局关于政府采购推广使用低挥发性有机化合物（VOCs）有 关事项的通知》（京财采购〔2020〕2381  号）。本项目中涉及涂料、 胶黏剂、油墨、清洗剂等挥发性有机物产品的，属于强制性标准的， 供应商应执行符合本市和国家的 VOCs 含量限制标准（具体标准见 第五章《采购需求》），否则投标无效；属于推荐性标准的，优先采购，具体见第四章《评标程序、评标方法和评标标准》。</w:t>
      </w:r>
    </w:p>
    <w:p w14:paraId="11BE169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5.7   采购需求标准</w:t>
      </w:r>
    </w:p>
    <w:p w14:paraId="447572C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5.7.1 商品包装、快递包装政府采购需求标准（试行）</w:t>
      </w:r>
    </w:p>
    <w:p w14:paraId="68C1008D">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为助力打好污染防治攻坚战，推广使用绿色包装，根据财政部关于印发《商品包装政府采购需求标准（试行）》、《快递包装政府采购需求 标准（试行）》的通知（财办库〔2020〕123 号），本项目如涉及商品包装和快递包装的，则其具体要求见第五章《采购需求》。</w:t>
      </w:r>
    </w:p>
    <w:p w14:paraId="4F3F0D45">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 xml:space="preserve">5.7.2 </w:t>
      </w:r>
      <w:r>
        <w:rPr>
          <w:rFonts w:ascii="宋体" w:hAnsi="宋体" w:cs="宋体"/>
          <w:snapToGrid w:val="0"/>
          <w:kern w:val="0"/>
          <w:sz w:val="24"/>
        </w:rPr>
        <w:t>其他政府采购需求标准</w:t>
      </w:r>
    </w:p>
    <w:p w14:paraId="40ECE70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ascii="宋体" w:hAnsi="宋体" w:cs="宋体"/>
          <w:snapToGrid w:val="0"/>
          <w:kern w:val="0"/>
          <w:sz w:val="24"/>
        </w:rPr>
        <w:t>为贯彻落实《深化政府采购制度改革方案》有关要求，推动政府采购 需求标准建设，财政部门会同有关部门制定发布的其他政府采购需求 标准，本项目如涉及，则具体要求见第五章《采购需求》</w:t>
      </w:r>
      <w:r>
        <w:rPr>
          <w:rFonts w:hint="eastAsia" w:ascii="宋体" w:hAnsi="宋体" w:cs="宋体"/>
          <w:snapToGrid w:val="0"/>
          <w:kern w:val="0"/>
          <w:sz w:val="24"/>
        </w:rPr>
        <w:t>。</w:t>
      </w:r>
    </w:p>
    <w:p w14:paraId="5B68FFDE">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6   投标费用</w:t>
      </w:r>
    </w:p>
    <w:p w14:paraId="662CC42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6.1 投标人应自行承担所有与准备和参加投标有关的费用，无论投标的结果如何，采购人或采购代理机构在任何情况下均无承担这些费用的义务和责任。</w:t>
      </w:r>
    </w:p>
    <w:p w14:paraId="5E6F256D">
      <w:pPr>
        <w:tabs>
          <w:tab w:val="left" w:pos="1080"/>
        </w:tabs>
        <w:snapToGrid w:val="0"/>
        <w:spacing w:line="360" w:lineRule="auto"/>
        <w:ind w:right="31" w:rightChars="15"/>
        <w:rPr>
          <w:snapToGrid w:val="0"/>
          <w:kern w:val="0"/>
          <w:sz w:val="28"/>
        </w:rPr>
      </w:pPr>
      <w:bookmarkStart w:id="193" w:name="_1.8_计量单位"/>
      <w:bookmarkEnd w:id="193"/>
    </w:p>
    <w:p w14:paraId="68FBA514">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二   招标文件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8F8F258">
      <w:pPr>
        <w:tabs>
          <w:tab w:val="left" w:pos="360"/>
        </w:tabs>
        <w:snapToGrid w:val="0"/>
        <w:spacing w:line="360" w:lineRule="auto"/>
        <w:ind w:right="31" w:rightChars="15"/>
        <w:outlineLvl w:val="1"/>
        <w:rPr>
          <w:rFonts w:hint="eastAsia" w:ascii="宋体" w:hAnsi="宋体" w:cs="宋体"/>
          <w:snapToGrid w:val="0"/>
          <w:kern w:val="0"/>
          <w:sz w:val="24"/>
        </w:rPr>
      </w:pPr>
      <w:bookmarkStart w:id="194" w:name="_Toc195842888"/>
      <w:bookmarkStart w:id="195" w:name="_Toc226965796"/>
      <w:bookmarkStart w:id="196" w:name="_Toc127151523"/>
      <w:bookmarkStart w:id="197" w:name="_Toc305158865"/>
      <w:bookmarkStart w:id="198" w:name="_Toc164608792"/>
      <w:bookmarkStart w:id="199" w:name="_Toc150774623"/>
      <w:bookmarkStart w:id="200" w:name="_Toc151193621"/>
      <w:bookmarkStart w:id="201" w:name="_Toc151193693"/>
      <w:bookmarkStart w:id="202" w:name="_Toc149720816"/>
      <w:bookmarkStart w:id="203" w:name="_Toc150774728"/>
      <w:bookmarkStart w:id="204" w:name="_Toc164608637"/>
      <w:bookmarkStart w:id="205" w:name="_Toc127151724"/>
      <w:bookmarkStart w:id="206" w:name="_Toc265228361"/>
      <w:bookmarkStart w:id="207" w:name="_Toc150480761"/>
      <w:bookmarkStart w:id="208" w:name="_Toc142311025"/>
      <w:bookmarkStart w:id="209" w:name="_Toc150509274"/>
      <w:bookmarkStart w:id="210" w:name="_Toc264969213"/>
      <w:bookmarkStart w:id="211" w:name="_Toc226337219"/>
      <w:bookmarkStart w:id="212" w:name="_Toc151193911"/>
      <w:bookmarkStart w:id="213" w:name="_Toc520356147"/>
      <w:bookmarkStart w:id="214" w:name="_Toc226309767"/>
      <w:bookmarkStart w:id="215" w:name="_Toc226965713"/>
      <w:bookmarkStart w:id="216" w:name="_Toc164229364"/>
      <w:bookmarkStart w:id="217" w:name="_Toc151193765"/>
      <w:bookmarkStart w:id="218" w:name="_Toc151193837"/>
      <w:bookmarkStart w:id="219" w:name="_Toc164351617"/>
      <w:bookmarkStart w:id="220" w:name="_Toc151190150"/>
      <w:bookmarkStart w:id="221" w:name="_Toc164229218"/>
      <w:bookmarkStart w:id="222" w:name="_Toc305158791"/>
      <w:bookmarkStart w:id="223" w:name="_Toc127161437"/>
      <w:r>
        <w:rPr>
          <w:rFonts w:hint="eastAsia" w:ascii="宋体" w:hAnsi="宋体" w:cs="宋体"/>
          <w:snapToGrid w:val="0"/>
          <w:kern w:val="0"/>
          <w:sz w:val="24"/>
        </w:rPr>
        <w:t>7   招标文件构</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hint="eastAsia" w:ascii="宋体" w:hAnsi="宋体" w:cs="宋体"/>
          <w:snapToGrid w:val="0"/>
          <w:kern w:val="0"/>
          <w:sz w:val="24"/>
        </w:rPr>
        <w:t>成</w:t>
      </w:r>
    </w:p>
    <w:p w14:paraId="2175DA09">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7.1招标文件包括以下部分：</w:t>
      </w:r>
    </w:p>
    <w:p w14:paraId="413A4A5C">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投标邀请</w:t>
      </w:r>
    </w:p>
    <w:p w14:paraId="74438303">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投标人须知</w:t>
      </w:r>
    </w:p>
    <w:p w14:paraId="5D05F0E4">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资格审查</w:t>
      </w:r>
    </w:p>
    <w:p w14:paraId="47F73CC2">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评标程序、评标方法和评标标准</w:t>
      </w:r>
    </w:p>
    <w:p w14:paraId="72E2C7D3">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采购需求</w:t>
      </w:r>
    </w:p>
    <w:p w14:paraId="0118D255">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拟签订的合同文本</w:t>
      </w:r>
    </w:p>
    <w:p w14:paraId="3049B0EA">
      <w:pPr>
        <w:numPr>
          <w:ilvl w:val="0"/>
          <w:numId w:val="9"/>
        </w:numPr>
        <w:tabs>
          <w:tab w:val="left" w:pos="1980"/>
          <w:tab w:val="left" w:pos="2520"/>
        </w:tabs>
        <w:snapToGrid w:val="0"/>
        <w:spacing w:line="360" w:lineRule="auto"/>
        <w:ind w:left="0" w:right="31" w:rightChars="15" w:firstLine="0"/>
        <w:rPr>
          <w:rFonts w:hint="eastAsia" w:ascii="宋体" w:hAnsi="宋体" w:cs="宋体"/>
          <w:snapToGrid w:val="0"/>
          <w:kern w:val="0"/>
          <w:sz w:val="24"/>
        </w:rPr>
      </w:pPr>
      <w:r>
        <w:rPr>
          <w:rFonts w:hint="eastAsia" w:ascii="宋体" w:hAnsi="宋体" w:cs="宋体"/>
          <w:snapToGrid w:val="0"/>
          <w:kern w:val="0"/>
          <w:sz w:val="24"/>
        </w:rPr>
        <w:t>投标文件格式</w:t>
      </w:r>
    </w:p>
    <w:p w14:paraId="1614D70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7.2投标人应认真阅读招标文件的全部内容。投标人应按照招标文件要求提交投标文件并保证所提供的全部资料的真实性，并对招标文件做出实质性响应，否则</w:t>
      </w:r>
      <w:r>
        <w:rPr>
          <w:rFonts w:hint="eastAsia" w:ascii="宋体" w:hAnsi="宋体" w:cs="宋体"/>
          <w:b/>
          <w:snapToGrid w:val="0"/>
          <w:kern w:val="0"/>
          <w:sz w:val="24"/>
        </w:rPr>
        <w:t>投标无效</w:t>
      </w:r>
      <w:r>
        <w:rPr>
          <w:rFonts w:hint="eastAsia" w:ascii="宋体" w:hAnsi="宋体" w:cs="宋体"/>
          <w:snapToGrid w:val="0"/>
          <w:kern w:val="0"/>
          <w:sz w:val="24"/>
        </w:rPr>
        <w:t>。</w:t>
      </w:r>
    </w:p>
    <w:p w14:paraId="3889FA9A">
      <w:pPr>
        <w:tabs>
          <w:tab w:val="left" w:pos="1080"/>
          <w:tab w:val="left" w:pos="2014"/>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8   对招标文件的澄清或修改</w:t>
      </w:r>
    </w:p>
    <w:p w14:paraId="205FB9F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8.1采购人或采购代理机构对已发出的招标文件进行必要澄清或者修改的，将在原公告发布媒体上发布更正公告，并以书面形式通知所有获取招标文件的潜在投标人。</w:t>
      </w:r>
    </w:p>
    <w:p w14:paraId="136E8DAE">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8.2上述书面通知，按照获取招标文件的潜在投标人提供的联系方式发出，因提供的信息有误导致通知延迟或无法通知的，采购人或采购代理机构不承担责任。</w:t>
      </w:r>
    </w:p>
    <w:p w14:paraId="133E083B">
      <w:pPr>
        <w:tabs>
          <w:tab w:val="left" w:pos="1080"/>
          <w:tab w:val="left" w:pos="1561"/>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DCE85DE">
      <w:pPr>
        <w:tabs>
          <w:tab w:val="left" w:pos="1080"/>
          <w:tab w:val="left" w:pos="1561"/>
        </w:tabs>
        <w:snapToGrid w:val="0"/>
        <w:spacing w:line="360" w:lineRule="auto"/>
        <w:ind w:right="31" w:rightChars="15"/>
        <w:rPr>
          <w:rFonts w:hint="eastAsia" w:ascii="宋体" w:hAnsi="宋体" w:cs="宋体"/>
          <w:snapToGrid w:val="0"/>
          <w:kern w:val="0"/>
          <w:sz w:val="24"/>
        </w:rPr>
      </w:pPr>
      <w:bookmarkStart w:id="224" w:name="_Toc516367020"/>
      <w:bookmarkStart w:id="225" w:name="_Toc226965716"/>
      <w:bookmarkStart w:id="226" w:name="_Toc150509277"/>
      <w:bookmarkStart w:id="227" w:name="_Toc150774626"/>
      <w:bookmarkStart w:id="228" w:name="_Toc142311028"/>
      <w:bookmarkStart w:id="229" w:name="_Toc127151526"/>
      <w:bookmarkStart w:id="230" w:name="_Toc520356150"/>
      <w:bookmarkStart w:id="231" w:name="_Toc151190153"/>
      <w:bookmarkStart w:id="232" w:name="_Toc265228364"/>
      <w:bookmarkStart w:id="233" w:name="_Toc150480764"/>
      <w:bookmarkStart w:id="234" w:name="_Toc151193768"/>
      <w:bookmarkStart w:id="235" w:name="_Toc151193914"/>
      <w:bookmarkStart w:id="236" w:name="_Toc151193696"/>
      <w:bookmarkStart w:id="237" w:name="_Toc305158794"/>
      <w:bookmarkStart w:id="238" w:name="_Toc151193840"/>
      <w:bookmarkStart w:id="239" w:name="_Toc195842891"/>
      <w:bookmarkStart w:id="240" w:name="_Toc151193624"/>
      <w:bookmarkStart w:id="241" w:name="_Toc150774731"/>
      <w:bookmarkStart w:id="242" w:name="_Toc305158868"/>
      <w:bookmarkStart w:id="243" w:name="_Toc264969216"/>
      <w:bookmarkStart w:id="244" w:name="_Toc226965799"/>
      <w:bookmarkStart w:id="245" w:name="_Toc226309770"/>
      <w:bookmarkStart w:id="246" w:name="_Toc226337222"/>
    </w:p>
    <w:p w14:paraId="06F2659A">
      <w:pPr>
        <w:pStyle w:val="3"/>
        <w:snapToGrid w:val="0"/>
        <w:spacing w:before="0" w:line="360" w:lineRule="auto"/>
        <w:ind w:right="31" w:rightChars="15"/>
        <w:rPr>
          <w:rFonts w:hint="eastAsia" w:ascii="宋体" w:hAnsi="宋体" w:eastAsia="宋体" w:cs="宋体"/>
          <w:snapToGrid w:val="0"/>
          <w:sz w:val="24"/>
          <w:szCs w:val="24"/>
        </w:rPr>
      </w:pPr>
      <w:r>
        <w:rPr>
          <w:rFonts w:hint="eastAsia" w:ascii="宋体" w:hAnsi="宋体" w:eastAsia="宋体" w:cs="宋体"/>
          <w:snapToGrid w:val="0"/>
          <w:sz w:val="24"/>
          <w:szCs w:val="24"/>
        </w:rPr>
        <w:t>三   投标文件</w:t>
      </w:r>
      <w:bookmarkEnd w:id="224"/>
      <w:r>
        <w:rPr>
          <w:rFonts w:hint="eastAsia" w:ascii="宋体" w:hAnsi="宋体" w:eastAsia="宋体" w:cs="宋体"/>
          <w:snapToGrid w:val="0"/>
          <w:sz w:val="24"/>
          <w:szCs w:val="24"/>
        </w:rPr>
        <w:t>的编制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1C307128">
      <w:pPr>
        <w:tabs>
          <w:tab w:val="left" w:pos="360"/>
        </w:tabs>
        <w:snapToGrid w:val="0"/>
        <w:spacing w:line="360" w:lineRule="auto"/>
        <w:ind w:right="31" w:rightChars="15"/>
        <w:outlineLvl w:val="1"/>
        <w:rPr>
          <w:rFonts w:hint="eastAsia" w:ascii="宋体" w:hAnsi="宋体" w:cs="宋体"/>
          <w:snapToGrid w:val="0"/>
          <w:kern w:val="0"/>
          <w:sz w:val="24"/>
        </w:rPr>
      </w:pPr>
      <w:bookmarkStart w:id="247" w:name="_Toc151193625"/>
      <w:bookmarkStart w:id="248" w:name="_Toc151190154"/>
      <w:bookmarkStart w:id="249" w:name="_Toc127151728"/>
      <w:bookmarkStart w:id="250" w:name="_Toc520356151"/>
      <w:bookmarkStart w:id="251" w:name="_Toc127161441"/>
      <w:bookmarkStart w:id="252" w:name="_Toc150509278"/>
      <w:bookmarkStart w:id="253" w:name="_Toc151193915"/>
      <w:bookmarkStart w:id="254" w:name="_Toc516367021"/>
      <w:bookmarkStart w:id="255" w:name="_Toc151193697"/>
      <w:bookmarkStart w:id="256" w:name="_Toc226337223"/>
      <w:bookmarkStart w:id="257" w:name="_Toc164608796"/>
      <w:bookmarkStart w:id="258" w:name="_Toc151193841"/>
      <w:bookmarkStart w:id="259" w:name="_Toc149720820"/>
      <w:bookmarkStart w:id="260" w:name="_Toc164351621"/>
      <w:bookmarkStart w:id="261" w:name="_Toc164229368"/>
      <w:bookmarkStart w:id="262" w:name="_Toc142311029"/>
      <w:bookmarkStart w:id="263" w:name="_Toc150480765"/>
      <w:bookmarkStart w:id="264" w:name="_Toc127151527"/>
      <w:bookmarkStart w:id="265" w:name="_Toc264969217"/>
      <w:bookmarkStart w:id="266" w:name="_Toc150774627"/>
      <w:bookmarkStart w:id="267" w:name="_Toc305158869"/>
      <w:bookmarkStart w:id="268" w:name="_Toc195842892"/>
      <w:bookmarkStart w:id="269" w:name="_Toc265228365"/>
      <w:bookmarkStart w:id="270" w:name="_Toc150774732"/>
      <w:bookmarkStart w:id="271" w:name="_Toc226309771"/>
      <w:bookmarkStart w:id="272" w:name="_Toc164608641"/>
      <w:bookmarkStart w:id="273" w:name="_Toc305158795"/>
      <w:bookmarkStart w:id="274" w:name="_Toc164229222"/>
      <w:bookmarkStart w:id="275" w:name="_Toc226965717"/>
      <w:bookmarkStart w:id="276" w:name="_Toc226965800"/>
      <w:bookmarkStart w:id="277" w:name="_Toc151193769"/>
      <w:r>
        <w:rPr>
          <w:rFonts w:hint="eastAsia" w:ascii="宋体" w:hAnsi="宋体" w:cs="宋体"/>
          <w:snapToGrid w:val="0"/>
          <w:kern w:val="0"/>
          <w:sz w:val="24"/>
        </w:rPr>
        <w:t>9   投标范围、投标文件中计量单位的使用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ascii="宋体" w:hAnsi="宋体" w:cs="宋体"/>
          <w:snapToGrid w:val="0"/>
          <w:kern w:val="0"/>
          <w:sz w:val="24"/>
        </w:rPr>
        <w:t>及投标语言</w:t>
      </w:r>
    </w:p>
    <w:p w14:paraId="0971C57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napToGrid w:val="0"/>
          <w:kern w:val="0"/>
          <w:sz w:val="24"/>
        </w:rPr>
        <w:t>无效投标</w:t>
      </w:r>
      <w:r>
        <w:rPr>
          <w:rFonts w:hint="eastAsia" w:ascii="宋体" w:hAnsi="宋体" w:cs="宋体"/>
          <w:snapToGrid w:val="0"/>
          <w:kern w:val="0"/>
          <w:sz w:val="24"/>
        </w:rPr>
        <w:t>。</w:t>
      </w:r>
    </w:p>
    <w:p w14:paraId="6CB0B64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9.2除招标文件有特殊要求外，本项目投标所使用的计量单位，应采用中华人民共和国法定计量单位。</w:t>
      </w:r>
    </w:p>
    <w:p w14:paraId="524D920A">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4E87828">
      <w:pPr>
        <w:tabs>
          <w:tab w:val="left" w:pos="360"/>
        </w:tabs>
        <w:snapToGrid w:val="0"/>
        <w:spacing w:line="360" w:lineRule="auto"/>
        <w:ind w:right="31" w:rightChars="15"/>
        <w:outlineLvl w:val="1"/>
        <w:rPr>
          <w:rFonts w:hint="eastAsia" w:ascii="宋体" w:hAnsi="宋体" w:cs="宋体"/>
          <w:snapToGrid w:val="0"/>
          <w:kern w:val="0"/>
          <w:sz w:val="24"/>
        </w:rPr>
      </w:pPr>
      <w:bookmarkStart w:id="278" w:name="_Ref467306676"/>
      <w:bookmarkStart w:id="279" w:name="_Ref467306195"/>
      <w:bookmarkStart w:id="280" w:name="_Toc516367022"/>
      <w:bookmarkStart w:id="281" w:name="_Toc151193698"/>
      <w:bookmarkStart w:id="282" w:name="_Toc142311030"/>
      <w:bookmarkStart w:id="283" w:name="_Toc305158870"/>
      <w:bookmarkStart w:id="284" w:name="_Toc151193842"/>
      <w:bookmarkStart w:id="285" w:name="_Toc127161442"/>
      <w:bookmarkStart w:id="286" w:name="_Toc164229223"/>
      <w:bookmarkStart w:id="287" w:name="_Toc150774733"/>
      <w:bookmarkStart w:id="288" w:name="_Toc164229369"/>
      <w:bookmarkStart w:id="289" w:name="_Toc151190155"/>
      <w:bookmarkStart w:id="290" w:name="_Toc127151528"/>
      <w:bookmarkStart w:id="291" w:name="_Toc151193916"/>
      <w:bookmarkStart w:id="292" w:name="_Toc164608797"/>
      <w:bookmarkStart w:id="293" w:name="_Toc151193626"/>
      <w:bookmarkStart w:id="294" w:name="_Toc520356152"/>
      <w:bookmarkStart w:id="295" w:name="_Toc149720821"/>
      <w:bookmarkStart w:id="296" w:name="_Toc195842893"/>
      <w:bookmarkStart w:id="297" w:name="_Toc226965801"/>
      <w:bookmarkStart w:id="298" w:name="_Toc164351622"/>
      <w:bookmarkStart w:id="299" w:name="_Toc150509279"/>
      <w:bookmarkStart w:id="300" w:name="_Toc226965718"/>
      <w:bookmarkStart w:id="301" w:name="_Toc264969218"/>
      <w:bookmarkStart w:id="302" w:name="_Toc150774628"/>
      <w:bookmarkStart w:id="303" w:name="_Toc150480766"/>
      <w:bookmarkStart w:id="304" w:name="_Toc226337224"/>
      <w:bookmarkStart w:id="305" w:name="_Toc164608642"/>
      <w:bookmarkStart w:id="306" w:name="_Toc127151729"/>
      <w:bookmarkStart w:id="307" w:name="_Toc151193770"/>
      <w:bookmarkStart w:id="308" w:name="_Toc305158796"/>
      <w:bookmarkStart w:id="309" w:name="_Toc265228366"/>
      <w:bookmarkStart w:id="310" w:name="_Toc226309772"/>
      <w:r>
        <w:rPr>
          <w:rFonts w:hint="eastAsia" w:ascii="宋体" w:hAnsi="宋体" w:cs="宋体"/>
          <w:snapToGrid w:val="0"/>
          <w:kern w:val="0"/>
          <w:sz w:val="24"/>
        </w:rPr>
        <w:t>10   投标文件</w:t>
      </w:r>
      <w:bookmarkEnd w:id="278"/>
      <w:bookmarkEnd w:id="279"/>
      <w:bookmarkEnd w:id="280"/>
      <w:r>
        <w:rPr>
          <w:rFonts w:hint="eastAsia" w:ascii="宋体" w:hAnsi="宋体" w:cs="宋体"/>
          <w:snapToGrid w:val="0"/>
          <w:kern w:val="0"/>
          <w:sz w:val="24"/>
        </w:rPr>
        <w:t>构成</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55646EF">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11" w:name="_Ref467052588"/>
      <w:r>
        <w:rPr>
          <w:rFonts w:hint="eastAsia" w:ascii="宋体" w:hAnsi="宋体" w:cs="宋体"/>
          <w:snapToGrid w:val="0"/>
          <w:kern w:val="0"/>
          <w:sz w:val="24"/>
        </w:rPr>
        <w:t>10.1投标人应当按照招标文件的要求编制投标文件。投标文件应由《资格证明文件》、《商务技术文件》两部分构成。投标文件的部分格式要求，见第七章《投标文件格式》。</w:t>
      </w:r>
    </w:p>
    <w:p w14:paraId="39EC25B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未标记“实质性格式”的文件和招标文件未提供格式的内容，可由投标人自行编写。</w:t>
      </w:r>
    </w:p>
    <w:p w14:paraId="336F2CEE">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10.3 第四章《评标程序、评标方法和评标标准》中涉及的证明文件。</w:t>
      </w:r>
    </w:p>
    <w:p w14:paraId="4B1B6553">
      <w:pPr>
        <w:tabs>
          <w:tab w:val="left" w:pos="1080"/>
          <w:tab w:val="left" w:pos="2014"/>
        </w:tabs>
        <w:snapToGrid w:val="0"/>
        <w:spacing w:line="360" w:lineRule="auto"/>
        <w:ind w:left="420" w:leftChars="200" w:right="31" w:rightChars="15" w:firstLine="60" w:firstLineChars="25"/>
        <w:rPr>
          <w:rFonts w:hint="eastAsia" w:ascii="宋体" w:hAnsi="宋体" w:cs="宋体"/>
          <w:snapToGrid w:val="0"/>
          <w:kern w:val="0"/>
          <w:sz w:val="24"/>
        </w:rPr>
      </w:pPr>
      <w:r>
        <w:rPr>
          <w:rFonts w:hint="eastAsia" w:ascii="宋体" w:hAnsi="宋体" w:cs="宋体"/>
          <w:snapToGrid w:val="0"/>
          <w:kern w:val="0"/>
          <w:sz w:val="24"/>
        </w:rPr>
        <w:t>10.4对照第五章《采购需求》，说明所提供货物和服务已对第五章《采购     需求》做出了响应，或申明与第五章《采购需求》的偏差和例外。如第五章《采购需求》中要求提供证明文件的，投标人应当按具体要求提供证明文件。</w:t>
      </w:r>
    </w:p>
    <w:p w14:paraId="750B0A3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10.5投标人认为应附的其他材料。</w:t>
      </w:r>
      <w:bookmarkEnd w:id="311"/>
    </w:p>
    <w:p w14:paraId="439339B1">
      <w:pPr>
        <w:tabs>
          <w:tab w:val="left" w:pos="360"/>
        </w:tabs>
        <w:snapToGrid w:val="0"/>
        <w:spacing w:line="360" w:lineRule="auto"/>
        <w:ind w:right="31" w:rightChars="15"/>
        <w:outlineLvl w:val="1"/>
        <w:rPr>
          <w:rFonts w:hint="eastAsia" w:ascii="宋体" w:hAnsi="宋体" w:cs="宋体"/>
          <w:snapToGrid w:val="0"/>
          <w:kern w:val="0"/>
          <w:sz w:val="24"/>
        </w:rPr>
      </w:pPr>
      <w:bookmarkStart w:id="312" w:name="_Toc164351624"/>
      <w:bookmarkStart w:id="313" w:name="_Toc142311032"/>
      <w:bookmarkStart w:id="314" w:name="_Toc164229225"/>
      <w:bookmarkStart w:id="315" w:name="_Toc127161444"/>
      <w:bookmarkStart w:id="316" w:name="_Toc150480768"/>
      <w:bookmarkStart w:id="317" w:name="_Toc150509281"/>
      <w:bookmarkStart w:id="318" w:name="_Toc127151530"/>
      <w:bookmarkStart w:id="319" w:name="_Toc151193628"/>
      <w:bookmarkStart w:id="320" w:name="_Toc149720823"/>
      <w:bookmarkStart w:id="321" w:name="_Toc127151731"/>
      <w:bookmarkStart w:id="322" w:name="_Toc164229371"/>
      <w:bookmarkStart w:id="323" w:name="_Toc151193844"/>
      <w:bookmarkStart w:id="324" w:name="_Toc150774630"/>
      <w:bookmarkStart w:id="325" w:name="_Toc164608644"/>
      <w:bookmarkStart w:id="326" w:name="_Toc150774735"/>
      <w:bookmarkStart w:id="327" w:name="_Toc151193918"/>
      <w:bookmarkStart w:id="328" w:name="_Toc520356155"/>
      <w:bookmarkStart w:id="329" w:name="_Toc195842895"/>
      <w:bookmarkStart w:id="330" w:name="_Toc151193772"/>
      <w:bookmarkStart w:id="331" w:name="_Toc151193700"/>
      <w:bookmarkStart w:id="332" w:name="_Toc164608799"/>
      <w:bookmarkStart w:id="333" w:name="_Toc151190157"/>
      <w:r>
        <w:rPr>
          <w:rFonts w:hint="eastAsia" w:ascii="宋体" w:hAnsi="宋体" w:cs="宋体"/>
          <w:snapToGrid w:val="0"/>
          <w:kern w:val="0"/>
          <w:sz w:val="24"/>
        </w:rPr>
        <w:t>11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2191C30">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11.1所有投标均以人民币报价。</w:t>
      </w:r>
    </w:p>
    <w:p w14:paraId="185B0B99">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11.2投标人的报价应包括为完成本项目所发生的一切费用和税费，采购人将不再支付报价以外的任何费用。投标人的报价应包括但不限于下列内容，《投标人须知资料表》中有特殊规定的，从其规定。</w:t>
      </w:r>
    </w:p>
    <w:p w14:paraId="77D89BDC">
      <w:pPr>
        <w:snapToGrid w:val="0"/>
        <w:spacing w:line="360" w:lineRule="auto"/>
        <w:ind w:left="1197" w:leftChars="570" w:right="31" w:rightChars="15"/>
        <w:rPr>
          <w:rFonts w:hint="eastAsia" w:ascii="宋体" w:hAnsi="宋体" w:cs="宋体"/>
          <w:snapToGrid w:val="0"/>
          <w:kern w:val="0"/>
          <w:sz w:val="24"/>
        </w:rPr>
      </w:pPr>
      <w:r>
        <w:rPr>
          <w:rFonts w:hint="eastAsia" w:ascii="宋体" w:hAnsi="宋体" w:cs="宋体"/>
          <w:snapToGrid w:val="0"/>
          <w:kern w:val="0"/>
          <w:sz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BE04F5E">
      <w:pPr>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11.2.2按照招标文件要求完成本项目的全部相关服务费用。 </w:t>
      </w:r>
    </w:p>
    <w:p w14:paraId="77519A25">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11.3采购人不得向供应商索要或者接受其给予的赠品、回扣或者与采购无关的其他商品、服务。</w:t>
      </w:r>
    </w:p>
    <w:p w14:paraId="109364D8">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11.4投标人不能提供任何有选择性或可调整的报价。</w:t>
      </w:r>
    </w:p>
    <w:p w14:paraId="01907F6D">
      <w:pPr>
        <w:tabs>
          <w:tab w:val="left" w:pos="360"/>
        </w:tabs>
        <w:snapToGrid w:val="0"/>
        <w:spacing w:line="360" w:lineRule="auto"/>
        <w:ind w:right="31" w:rightChars="15"/>
        <w:outlineLvl w:val="1"/>
        <w:rPr>
          <w:rFonts w:hint="eastAsia" w:ascii="宋体" w:hAnsi="宋体" w:cs="宋体"/>
          <w:snapToGrid w:val="0"/>
          <w:kern w:val="0"/>
          <w:sz w:val="24"/>
        </w:rPr>
      </w:pPr>
      <w:bookmarkStart w:id="334" w:name="_Toc151193919"/>
      <w:bookmarkStart w:id="335" w:name="_Toc226965721"/>
      <w:bookmarkStart w:id="336" w:name="_Toc305158799"/>
      <w:bookmarkStart w:id="337" w:name="_Toc150509282"/>
      <w:bookmarkStart w:id="338" w:name="_Toc520356156"/>
      <w:bookmarkStart w:id="339" w:name="_Toc142311033"/>
      <w:bookmarkStart w:id="340" w:name="_Toc264969221"/>
      <w:bookmarkStart w:id="341" w:name="_Ref467306513"/>
      <w:bookmarkStart w:id="342" w:name="_Toc150774736"/>
      <w:bookmarkStart w:id="343" w:name="_Toc127161445"/>
      <w:bookmarkStart w:id="344" w:name="_Toc151193845"/>
      <w:bookmarkStart w:id="345" w:name="_Toc226309775"/>
      <w:bookmarkStart w:id="346" w:name="_Toc151193701"/>
      <w:bookmarkStart w:id="347" w:name="_Toc226337227"/>
      <w:bookmarkStart w:id="348" w:name="_Toc151193629"/>
      <w:bookmarkStart w:id="349" w:name="_Toc164608800"/>
      <w:bookmarkStart w:id="350" w:name="_Toc164229226"/>
      <w:bookmarkStart w:id="351" w:name="_Toc226965804"/>
      <w:bookmarkStart w:id="352" w:name="_Toc164351625"/>
      <w:bookmarkStart w:id="353" w:name="_Toc150774631"/>
      <w:bookmarkStart w:id="354" w:name="_Toc164229372"/>
      <w:bookmarkStart w:id="355" w:name="_Toc164608645"/>
      <w:bookmarkStart w:id="356" w:name="_Toc151193773"/>
      <w:bookmarkStart w:id="357" w:name="_Toc151190158"/>
      <w:bookmarkStart w:id="358" w:name="_Toc150480769"/>
      <w:bookmarkStart w:id="359" w:name="_Toc305158873"/>
      <w:bookmarkStart w:id="360" w:name="_Toc265228369"/>
      <w:bookmarkStart w:id="361" w:name="_Toc127151531"/>
      <w:bookmarkStart w:id="362" w:name="_Toc149720824"/>
      <w:bookmarkStart w:id="363" w:name="_Toc127151732"/>
      <w:bookmarkStart w:id="364" w:name="_Toc195842896"/>
      <w:r>
        <w:rPr>
          <w:rFonts w:hint="eastAsia" w:ascii="宋体" w:hAnsi="宋体" w:cs="宋体"/>
          <w:snapToGrid w:val="0"/>
          <w:kern w:val="0"/>
          <w:sz w:val="24"/>
        </w:rPr>
        <w:t>12   投标保证金</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F751A9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365" w:name="_Ref467306302"/>
      <w:r>
        <w:rPr>
          <w:rFonts w:hint="eastAsia" w:ascii="宋体" w:hAnsi="宋体" w:cs="宋体"/>
          <w:snapToGrid w:val="0"/>
          <w:kern w:val="0"/>
          <w:sz w:val="24"/>
        </w:rPr>
        <w:t>12.1投标人应按《投标人须知资料表》中规定的金额及要求交纳投标保证金</w:t>
      </w:r>
      <w:bookmarkEnd w:id="365"/>
      <w:r>
        <w:rPr>
          <w:rFonts w:hint="eastAsia" w:ascii="宋体" w:hAnsi="宋体" w:cs="宋体"/>
          <w:snapToGrid w:val="0"/>
          <w:kern w:val="0"/>
          <w:sz w:val="24"/>
        </w:rPr>
        <w:t>，并作为其投标的一部分。</w:t>
      </w:r>
    </w:p>
    <w:p w14:paraId="6A8AE4B5">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12.2交纳投标保证金可采用的形式：政府采购法律法规接受的支票、汇票、本票、网上银行支付或者金融机构、担保机构出具的保函等非现金形式。</w:t>
      </w:r>
    </w:p>
    <w:p w14:paraId="6D74D9C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6D32CD7">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12.4 </w:t>
      </w:r>
      <w:r>
        <w:rPr>
          <w:rFonts w:ascii="宋体" w:hAnsi="宋体" w:cs="宋体"/>
          <w:snapToGrid w:val="0"/>
          <w:kern w:val="0"/>
          <w:sz w:val="24"/>
        </w:rPr>
        <w:t>投标人除需在投标文件中提供“投标保证金凭证/交款单据电子件”，还需在 投标截止时间前，通过电子交易平台上传“投标保证金凭证/交款单据电子件”</w:t>
      </w:r>
    </w:p>
    <w:p w14:paraId="5E6BF8AA">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12.5投标保证金（保函）有效期同投标有效期。</w:t>
      </w:r>
    </w:p>
    <w:p w14:paraId="6F2F735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12.6</w:t>
      </w:r>
      <w:r>
        <w:rPr>
          <w:rFonts w:ascii="宋体" w:hAnsi="宋体" w:cs="宋体"/>
          <w:snapToGrid w:val="0"/>
          <w:kern w:val="0"/>
          <w:sz w:val="24"/>
        </w:rPr>
        <w:t>投标人为联合体的，可以由联合体中的一方或者多方共同交纳投标保证金， 其交纳的投标保证金对联合体各方均具有约束力。</w:t>
      </w:r>
    </w:p>
    <w:p w14:paraId="0A67B0F0">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12.7</w:t>
      </w:r>
      <w:r>
        <w:rPr>
          <w:rFonts w:ascii="宋体" w:hAnsi="宋体" w:cs="宋体"/>
          <w:snapToGrid w:val="0"/>
          <w:kern w:val="0"/>
          <w:sz w:val="24"/>
        </w:rPr>
        <w:t>采购人、采购代理机构将及时退还投标人的投标保证金，采用银行保函、担 保机构担保函等形式递交的投标保证金，经投标人同意后采购人、采购代理 机构可以不再退还，但因投标人自身原因导致无法及时退还的除外：</w:t>
      </w:r>
    </w:p>
    <w:p w14:paraId="46FB97D1">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12.7.1投标人在投标截止时间前撤回已提交的投标文件的，自收到投标人书面撤回通知之日起5个工作日内退还已收取的投标保证金；</w:t>
      </w:r>
    </w:p>
    <w:p w14:paraId="3CFC0258">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12.7.2中标人的投标保证金，自采购合同签订之日起5个工作日内退还中标人；</w:t>
      </w:r>
    </w:p>
    <w:p w14:paraId="2AF2C682">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12.7.3未中标投标人的投标保证金，自中标通知书发出之日起5个工作日内退还未中标人；</w:t>
      </w:r>
    </w:p>
    <w:p w14:paraId="3EB62937">
      <w:pPr>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12.7.4终止招标项目已经收取投标保证金的，自终止采购活动后5个工作日内退还已收取的投标保证金及其在银行产生的孳息。</w:t>
      </w:r>
    </w:p>
    <w:p w14:paraId="6D58017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12.8有下列情形之一的，采购人或采购代理机构可以不予退还投标保证金：</w:t>
      </w:r>
    </w:p>
    <w:p w14:paraId="643D0DF1">
      <w:pPr>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12.8.1 投标有效期内投标人撤销投标文件的；</w:t>
      </w:r>
    </w:p>
    <w:p w14:paraId="154CBCFB">
      <w:pPr>
        <w:tabs>
          <w:tab w:val="left" w:pos="900"/>
          <w:tab w:val="left" w:pos="1080"/>
          <w:tab w:val="left" w:pos="2014"/>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12.8.2 《投标人须知资料表》中规定的其他情形。</w:t>
      </w:r>
    </w:p>
    <w:p w14:paraId="3BFAA846">
      <w:pPr>
        <w:tabs>
          <w:tab w:val="left" w:pos="360"/>
        </w:tabs>
        <w:snapToGrid w:val="0"/>
        <w:spacing w:line="360" w:lineRule="auto"/>
        <w:ind w:right="31" w:rightChars="15"/>
        <w:rPr>
          <w:rFonts w:hint="eastAsia" w:ascii="宋体" w:hAnsi="宋体" w:cs="宋体"/>
          <w:snapToGrid w:val="0"/>
          <w:kern w:val="0"/>
          <w:sz w:val="24"/>
        </w:rPr>
      </w:pPr>
      <w:bookmarkStart w:id="366" w:name="_Toc164351626"/>
      <w:bookmarkStart w:id="367" w:name="_Toc150774632"/>
      <w:bookmarkStart w:id="368" w:name="_Toc151193920"/>
      <w:bookmarkStart w:id="369" w:name="_Toc150509283"/>
      <w:bookmarkStart w:id="370" w:name="_Toc226309776"/>
      <w:bookmarkStart w:id="371" w:name="_Toc164608801"/>
      <w:bookmarkStart w:id="372" w:name="_Toc195842897"/>
      <w:bookmarkStart w:id="373" w:name="_Toc164608646"/>
      <w:bookmarkStart w:id="374" w:name="_Toc264969222"/>
      <w:bookmarkStart w:id="375" w:name="_Toc151190159"/>
      <w:bookmarkStart w:id="376" w:name="_Toc265228370"/>
      <w:bookmarkStart w:id="377" w:name="_Toc142311034"/>
      <w:bookmarkStart w:id="378" w:name="_Toc127151532"/>
      <w:bookmarkStart w:id="379" w:name="_Toc164229373"/>
      <w:bookmarkStart w:id="380" w:name="_Toc305158800"/>
      <w:bookmarkStart w:id="381" w:name="_Toc150480770"/>
      <w:bookmarkStart w:id="382" w:name="_Toc149720825"/>
      <w:bookmarkStart w:id="383" w:name="_Toc151193846"/>
      <w:bookmarkStart w:id="384" w:name="_Toc520356157"/>
      <w:bookmarkStart w:id="385" w:name="_Toc127151733"/>
      <w:bookmarkStart w:id="386" w:name="_Toc127161446"/>
      <w:bookmarkStart w:id="387" w:name="_Toc150774737"/>
      <w:bookmarkStart w:id="388" w:name="_Toc151193774"/>
      <w:bookmarkStart w:id="389" w:name="_Toc226337228"/>
      <w:bookmarkStart w:id="390" w:name="_Toc226965805"/>
      <w:bookmarkStart w:id="391" w:name="_Toc151193630"/>
      <w:bookmarkStart w:id="392" w:name="_Toc151193702"/>
      <w:bookmarkStart w:id="393" w:name="_Toc226965722"/>
      <w:bookmarkStart w:id="394" w:name="_Toc164229227"/>
      <w:bookmarkStart w:id="395" w:name="_Toc305158874"/>
      <w:r>
        <w:rPr>
          <w:rFonts w:hint="eastAsia" w:ascii="宋体" w:hAnsi="宋体" w:cs="宋体"/>
          <w:snapToGrid w:val="0"/>
          <w:kern w:val="0"/>
          <w:sz w:val="24"/>
        </w:rPr>
        <w:t>13   投标有效期</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A165D06">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13.1 投标文件应在本招标文件《投标人须知资料表》中规定的投标有效期内保持有效，投标有效期少于招标文件规定期限的，其投标无效。</w:t>
      </w:r>
    </w:p>
    <w:p w14:paraId="66FB6F9E">
      <w:pPr>
        <w:tabs>
          <w:tab w:val="left" w:pos="360"/>
        </w:tabs>
        <w:snapToGrid w:val="0"/>
        <w:spacing w:line="360" w:lineRule="auto"/>
        <w:ind w:right="31" w:rightChars="15"/>
        <w:rPr>
          <w:rFonts w:hint="eastAsia" w:ascii="宋体" w:hAnsi="宋体" w:cs="宋体"/>
          <w:snapToGrid w:val="0"/>
          <w:kern w:val="0"/>
          <w:sz w:val="24"/>
        </w:rPr>
      </w:pPr>
      <w:bookmarkStart w:id="396" w:name="_Toc164229228"/>
      <w:bookmarkStart w:id="397" w:name="_Toc150480771"/>
      <w:bookmarkStart w:id="398" w:name="_Toc164351627"/>
      <w:bookmarkStart w:id="399" w:name="_Toc305158875"/>
      <w:bookmarkStart w:id="400" w:name="_Toc142311035"/>
      <w:bookmarkStart w:id="401" w:name="_Toc226965806"/>
      <w:bookmarkStart w:id="402" w:name="_Toc151193921"/>
      <w:bookmarkStart w:id="403" w:name="_Toc520356158"/>
      <w:bookmarkStart w:id="404" w:name="_Toc226337229"/>
      <w:bookmarkStart w:id="405" w:name="_Toc151193847"/>
      <w:bookmarkStart w:id="406" w:name="_Toc164608647"/>
      <w:bookmarkStart w:id="407" w:name="_Toc127151734"/>
      <w:bookmarkStart w:id="408" w:name="_Toc150774738"/>
      <w:bookmarkStart w:id="409" w:name="_Toc195842898"/>
      <w:bookmarkStart w:id="410" w:name="_Toc226965723"/>
      <w:bookmarkStart w:id="411" w:name="_Toc164608802"/>
      <w:bookmarkStart w:id="412" w:name="_Toc151193703"/>
      <w:bookmarkStart w:id="413" w:name="_Toc164229374"/>
      <w:bookmarkStart w:id="414" w:name="_Toc149720826"/>
      <w:bookmarkStart w:id="415" w:name="_Toc265228371"/>
      <w:bookmarkStart w:id="416" w:name="_Toc150774633"/>
      <w:bookmarkStart w:id="417" w:name="_Toc151193631"/>
      <w:bookmarkStart w:id="418" w:name="_Toc305158801"/>
      <w:bookmarkStart w:id="419" w:name="_Toc127151533"/>
      <w:bookmarkStart w:id="420" w:name="_Toc151193775"/>
      <w:bookmarkStart w:id="421" w:name="_Toc127161447"/>
      <w:bookmarkStart w:id="422" w:name="_Toc226309777"/>
      <w:bookmarkStart w:id="423" w:name="_Toc264969223"/>
      <w:bookmarkStart w:id="424" w:name="_Toc151190160"/>
      <w:bookmarkStart w:id="425" w:name="_Toc150509284"/>
      <w:r>
        <w:rPr>
          <w:rFonts w:hint="eastAsia" w:ascii="宋体" w:hAnsi="宋体" w:cs="宋体"/>
          <w:snapToGrid w:val="0"/>
          <w:kern w:val="0"/>
          <w:sz w:val="24"/>
        </w:rPr>
        <w:t>14   投标文件的签署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ascii="宋体" w:hAnsi="宋体" w:cs="宋体"/>
          <w:snapToGrid w:val="0"/>
          <w:kern w:val="0"/>
          <w:sz w:val="24"/>
        </w:rPr>
        <w:t>、盖章</w:t>
      </w:r>
    </w:p>
    <w:p w14:paraId="56F5E254">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bookmarkStart w:id="426" w:name="_Toc150774739"/>
      <w:bookmarkStart w:id="427" w:name="_Toc305158876"/>
      <w:bookmarkStart w:id="428" w:name="_Toc150509285"/>
      <w:bookmarkStart w:id="429" w:name="_Toc150480772"/>
      <w:bookmarkStart w:id="430" w:name="_Toc226965807"/>
      <w:bookmarkStart w:id="431" w:name="_Toc226965724"/>
      <w:bookmarkStart w:id="432" w:name="_Toc151193922"/>
      <w:bookmarkStart w:id="433" w:name="_Toc151193704"/>
      <w:bookmarkStart w:id="434" w:name="_Toc142311036"/>
      <w:bookmarkStart w:id="435" w:name="_Toc127151534"/>
      <w:bookmarkStart w:id="436" w:name="_Toc151190161"/>
      <w:bookmarkStart w:id="437" w:name="_Toc195842899"/>
      <w:bookmarkStart w:id="438" w:name="_Toc520356159"/>
      <w:bookmarkStart w:id="439" w:name="_Toc305158802"/>
      <w:bookmarkStart w:id="440" w:name="_Toc226309778"/>
      <w:bookmarkStart w:id="441" w:name="_Toc151193848"/>
      <w:bookmarkStart w:id="442" w:name="_Toc264969224"/>
      <w:bookmarkStart w:id="443" w:name="_Toc150774634"/>
      <w:bookmarkStart w:id="444" w:name="_Toc226337230"/>
      <w:bookmarkStart w:id="445" w:name="_Toc265228372"/>
      <w:bookmarkStart w:id="446" w:name="_Toc151193632"/>
      <w:bookmarkStart w:id="447" w:name="_Toc151193776"/>
      <w:r>
        <w:rPr>
          <w:rFonts w:hint="eastAsia" w:ascii="宋体" w:hAnsi="宋体" w:cs="宋体"/>
          <w:snapToGrid w:val="0"/>
          <w:kern w:val="0"/>
          <w:sz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1F899DE">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14.2 招标文件要求盖章的内容，一般通过投标文件编制工具加盖电子签章。</w:t>
      </w:r>
    </w:p>
    <w:p w14:paraId="29339BF6">
      <w:pPr>
        <w:tabs>
          <w:tab w:val="left" w:pos="900"/>
          <w:tab w:val="left" w:pos="1080"/>
        </w:tabs>
        <w:snapToGrid w:val="0"/>
        <w:spacing w:line="360" w:lineRule="auto"/>
        <w:ind w:right="31" w:rightChars="15"/>
        <w:rPr>
          <w:snapToGrid w:val="0"/>
          <w:kern w:val="0"/>
        </w:rPr>
      </w:pPr>
    </w:p>
    <w:p w14:paraId="3BF2FCB1">
      <w:pPr>
        <w:pStyle w:val="3"/>
        <w:snapToGrid w:val="0"/>
        <w:spacing w:before="0" w:line="360" w:lineRule="auto"/>
        <w:ind w:right="31" w:rightChars="15"/>
        <w:rPr>
          <w:rFonts w:ascii="Times New Roman" w:hAnsi="Times New Roman" w:eastAsia="宋体"/>
          <w:snapToGrid w:val="0"/>
          <w:sz w:val="28"/>
        </w:rPr>
      </w:pPr>
      <w:r>
        <w:rPr>
          <w:rFonts w:ascii="Times New Roman" w:hAnsi="Times New Roman" w:eastAsia="宋体"/>
          <w:snapToGrid w:val="0"/>
          <w:sz w:val="28"/>
        </w:rPr>
        <w:t>四   投标文件的提交</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3D4E159">
      <w:pPr>
        <w:tabs>
          <w:tab w:val="left" w:pos="360"/>
        </w:tabs>
        <w:snapToGrid w:val="0"/>
        <w:spacing w:line="360" w:lineRule="auto"/>
        <w:ind w:right="31" w:rightChars="15"/>
        <w:outlineLvl w:val="1"/>
        <w:rPr>
          <w:rFonts w:hint="eastAsia" w:ascii="宋体" w:hAnsi="宋体" w:cs="宋体"/>
          <w:snapToGrid w:val="0"/>
          <w:kern w:val="0"/>
          <w:sz w:val="24"/>
        </w:rPr>
      </w:pPr>
      <w:bookmarkStart w:id="448" w:name="_Toc226337231"/>
      <w:bookmarkStart w:id="449" w:name="_Toc151193633"/>
      <w:bookmarkStart w:id="450" w:name="_Toc150509286"/>
      <w:bookmarkStart w:id="451" w:name="_Toc265228373"/>
      <w:bookmarkStart w:id="452" w:name="_Toc164229376"/>
      <w:bookmarkStart w:id="453" w:name="_Toc226309779"/>
      <w:bookmarkStart w:id="454" w:name="_Toc150774635"/>
      <w:bookmarkStart w:id="455" w:name="_Toc226965725"/>
      <w:bookmarkStart w:id="456" w:name="_Toc164608649"/>
      <w:bookmarkStart w:id="457" w:name="_Toc151193923"/>
      <w:bookmarkStart w:id="458" w:name="_Toc151190162"/>
      <w:bookmarkStart w:id="459" w:name="_Toc127151535"/>
      <w:bookmarkStart w:id="460" w:name="_Toc520356160"/>
      <w:bookmarkStart w:id="461" w:name="_Toc305158877"/>
      <w:bookmarkStart w:id="462" w:name="_Toc142311037"/>
      <w:bookmarkStart w:id="463" w:name="_Toc305158803"/>
      <w:bookmarkStart w:id="464" w:name="_Toc164229230"/>
      <w:bookmarkStart w:id="465" w:name="_Toc151193777"/>
      <w:bookmarkStart w:id="466" w:name="_Toc151193849"/>
      <w:bookmarkStart w:id="467" w:name="_Toc150774740"/>
      <w:bookmarkStart w:id="468" w:name="_Toc226965808"/>
      <w:bookmarkStart w:id="469" w:name="_Toc150480773"/>
      <w:bookmarkStart w:id="470" w:name="_Toc195842900"/>
      <w:bookmarkStart w:id="471" w:name="_Toc164608804"/>
      <w:bookmarkStart w:id="472" w:name="_Toc127161449"/>
      <w:bookmarkStart w:id="473" w:name="_Toc149720828"/>
      <w:bookmarkStart w:id="474" w:name="_Toc264969225"/>
      <w:bookmarkStart w:id="475" w:name="_Toc164351629"/>
      <w:bookmarkStart w:id="476" w:name="_Toc151193705"/>
      <w:bookmarkStart w:id="477" w:name="_Toc127151736"/>
      <w:r>
        <w:rPr>
          <w:rFonts w:hint="eastAsia" w:ascii="宋体" w:hAnsi="宋体" w:cs="宋体"/>
          <w:snapToGrid w:val="0"/>
          <w:kern w:val="0"/>
          <w:sz w:val="24"/>
        </w:rPr>
        <w:t>15  投标文件的</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宋体" w:hAnsi="宋体" w:cs="宋体"/>
          <w:snapToGrid w:val="0"/>
          <w:kern w:val="0"/>
          <w:sz w:val="24"/>
        </w:rPr>
        <w:t>提交</w:t>
      </w:r>
    </w:p>
    <w:p w14:paraId="48D6055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15.1本项目使用</w:t>
      </w:r>
      <w:r>
        <w:rPr>
          <w:rFonts w:ascii="宋体" w:hAnsi="宋体" w:cs="宋体"/>
          <w:snapToGrid w:val="0"/>
          <w:kern w:val="0"/>
          <w:sz w:val="24"/>
        </w:rPr>
        <w:t>北京市政府采购电子交易平台</w:t>
      </w:r>
      <w:r>
        <w:rPr>
          <w:rFonts w:hint="eastAsia" w:ascii="宋体" w:hAnsi="宋体" w:cs="宋体"/>
          <w:snapToGrid w:val="0"/>
          <w:kern w:val="0"/>
          <w:sz w:val="24"/>
        </w:rPr>
        <w:t>。投标人根据招标文件及电子交易平台供应商操作手册要求编制、生成并提交电子投标文件。</w:t>
      </w:r>
    </w:p>
    <w:p w14:paraId="5598F908">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15.2</w:t>
      </w:r>
      <w:r>
        <w:rPr>
          <w:rFonts w:ascii="宋体" w:hAnsi="宋体" w:cs="宋体"/>
          <w:snapToGrid w:val="0"/>
          <w:kern w:val="0"/>
          <w:sz w:val="24"/>
        </w:rPr>
        <w:t>采购人及采购代理机构拒绝接受通过电子交易平台以外任何形式提交的投标 文件，投标保证金除外</w:t>
      </w:r>
      <w:r>
        <w:rPr>
          <w:rFonts w:hint="eastAsia" w:ascii="宋体" w:hAnsi="宋体" w:cs="宋体"/>
          <w:snapToGrid w:val="0"/>
          <w:kern w:val="0"/>
          <w:sz w:val="24"/>
        </w:rPr>
        <w:t>。</w:t>
      </w:r>
    </w:p>
    <w:p w14:paraId="68969AD8">
      <w:pPr>
        <w:tabs>
          <w:tab w:val="left" w:pos="360"/>
        </w:tabs>
        <w:snapToGrid w:val="0"/>
        <w:spacing w:line="360" w:lineRule="auto"/>
        <w:ind w:right="31" w:rightChars="15"/>
        <w:outlineLvl w:val="1"/>
        <w:rPr>
          <w:rFonts w:hint="eastAsia" w:ascii="宋体" w:hAnsi="宋体" w:cs="宋体"/>
          <w:snapToGrid w:val="0"/>
          <w:kern w:val="0"/>
          <w:sz w:val="24"/>
        </w:rPr>
      </w:pPr>
      <w:bookmarkStart w:id="478" w:name="_Toc520356161"/>
      <w:bookmarkStart w:id="479" w:name="_Toc305158878"/>
      <w:bookmarkStart w:id="480" w:name="_Toc150774741"/>
      <w:bookmarkStart w:id="481" w:name="_Toc151190163"/>
      <w:bookmarkStart w:id="482" w:name="_Toc149720829"/>
      <w:bookmarkStart w:id="483" w:name="_Toc226309780"/>
      <w:bookmarkStart w:id="484" w:name="_Toc151193706"/>
      <w:bookmarkStart w:id="485" w:name="_Toc127151536"/>
      <w:bookmarkStart w:id="486" w:name="_Toc151193778"/>
      <w:bookmarkStart w:id="487" w:name="_Toc226965726"/>
      <w:bookmarkStart w:id="488" w:name="_Toc305158804"/>
      <w:bookmarkStart w:id="489" w:name="_Toc150480774"/>
      <w:bookmarkStart w:id="490" w:name="_Toc150509287"/>
      <w:bookmarkStart w:id="491" w:name="_Toc226337232"/>
      <w:bookmarkStart w:id="492" w:name="_Toc127151737"/>
      <w:bookmarkStart w:id="493" w:name="_Toc265228374"/>
      <w:bookmarkStart w:id="494" w:name="_Toc264969226"/>
      <w:bookmarkStart w:id="495" w:name="_Toc151193924"/>
      <w:bookmarkStart w:id="496" w:name="_Toc164229231"/>
      <w:bookmarkStart w:id="497" w:name="_Toc226965809"/>
      <w:bookmarkStart w:id="498" w:name="_Toc164351630"/>
      <w:bookmarkStart w:id="499" w:name="_Toc195842901"/>
      <w:bookmarkStart w:id="500" w:name="_Toc127161450"/>
      <w:bookmarkStart w:id="501" w:name="_Toc150774636"/>
      <w:bookmarkStart w:id="502" w:name="_Toc164608650"/>
      <w:bookmarkStart w:id="503" w:name="_Toc164608805"/>
      <w:bookmarkStart w:id="504" w:name="_Toc164229377"/>
      <w:bookmarkStart w:id="505" w:name="_Toc142311038"/>
      <w:bookmarkStart w:id="506" w:name="_Toc151193850"/>
      <w:bookmarkStart w:id="507" w:name="_Toc151193634"/>
      <w:r>
        <w:rPr>
          <w:rFonts w:hint="eastAsia" w:ascii="宋体" w:hAnsi="宋体" w:cs="宋体"/>
          <w:snapToGrid w:val="0"/>
          <w:kern w:val="0"/>
          <w:sz w:val="24"/>
        </w:rPr>
        <w:t>16  投标截止</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hint="eastAsia" w:ascii="宋体" w:hAnsi="宋体" w:cs="宋体"/>
          <w:snapToGrid w:val="0"/>
          <w:kern w:val="0"/>
          <w:sz w:val="24"/>
        </w:rPr>
        <w:t>时间</w:t>
      </w:r>
    </w:p>
    <w:p w14:paraId="74BF42BB">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16.1投标人应在招标文件要求提交投标文件截止时间前，将电子投标文件提交至电子交易平台。</w:t>
      </w:r>
    </w:p>
    <w:p w14:paraId="68700035">
      <w:pPr>
        <w:tabs>
          <w:tab w:val="left" w:pos="360"/>
        </w:tabs>
        <w:snapToGrid w:val="0"/>
        <w:spacing w:line="360" w:lineRule="auto"/>
        <w:ind w:right="31" w:rightChars="15"/>
        <w:outlineLvl w:val="1"/>
        <w:rPr>
          <w:rFonts w:hint="eastAsia" w:ascii="宋体" w:hAnsi="宋体" w:cs="宋体"/>
          <w:snapToGrid w:val="0"/>
          <w:kern w:val="0"/>
          <w:sz w:val="24"/>
        </w:rPr>
      </w:pPr>
      <w:bookmarkStart w:id="508" w:name="_Toc151193851"/>
      <w:bookmarkStart w:id="509" w:name="_Toc226337233"/>
      <w:bookmarkStart w:id="510" w:name="_Toc151193779"/>
      <w:bookmarkStart w:id="511" w:name="_Toc305158879"/>
      <w:bookmarkStart w:id="512" w:name="_Toc151193635"/>
      <w:bookmarkStart w:id="513" w:name="_Toc226965810"/>
      <w:bookmarkStart w:id="514" w:name="_Toc164229232"/>
      <w:bookmarkStart w:id="515" w:name="_Toc164608806"/>
      <w:bookmarkStart w:id="516" w:name="_Toc305158805"/>
      <w:bookmarkStart w:id="517" w:name="_Toc195842902"/>
      <w:bookmarkStart w:id="518" w:name="_Toc150774637"/>
      <w:bookmarkStart w:id="519" w:name="_Toc226965727"/>
      <w:bookmarkStart w:id="520" w:name="_Toc164351631"/>
      <w:bookmarkStart w:id="521" w:name="_Toc151190164"/>
      <w:bookmarkStart w:id="522" w:name="_Toc142311039"/>
      <w:bookmarkStart w:id="523" w:name="_Toc127151537"/>
      <w:bookmarkStart w:id="524" w:name="_Toc520356162"/>
      <w:bookmarkStart w:id="525" w:name="_Toc150774742"/>
      <w:bookmarkStart w:id="526" w:name="_Toc226309781"/>
      <w:bookmarkStart w:id="527" w:name="_Toc265228375"/>
      <w:bookmarkStart w:id="528" w:name="_Toc164229378"/>
      <w:bookmarkStart w:id="529" w:name="_Toc127161451"/>
      <w:bookmarkStart w:id="530" w:name="_Toc151193925"/>
      <w:bookmarkStart w:id="531" w:name="_Toc149720830"/>
      <w:bookmarkStart w:id="532" w:name="_Toc127151738"/>
      <w:bookmarkStart w:id="533" w:name="_Toc164608651"/>
      <w:bookmarkStart w:id="534" w:name="_Toc151193707"/>
      <w:bookmarkStart w:id="535" w:name="_Toc150480775"/>
      <w:bookmarkStart w:id="536" w:name="_Toc150509288"/>
      <w:bookmarkStart w:id="537" w:name="_Toc264969227"/>
      <w:r>
        <w:rPr>
          <w:rFonts w:hint="eastAsia" w:ascii="宋体" w:hAnsi="宋体" w:cs="宋体"/>
          <w:snapToGrid w:val="0"/>
          <w:kern w:val="0"/>
          <w:sz w:val="24"/>
        </w:rPr>
        <w:t>17   投标文件的修改与撤回</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2BC4F042">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17.1投标截止时间前，投标人可以通过电子交易平台对所提交的投标文件进行补充、修改或者撤回。</w:t>
      </w:r>
      <w:r>
        <w:rPr>
          <w:rFonts w:hint="eastAsia" w:ascii="宋体" w:hAnsi="宋体" w:cs="宋体"/>
          <w:snapToGrid w:val="0"/>
          <w:color w:val="000000"/>
          <w:kern w:val="0"/>
          <w:sz w:val="24"/>
        </w:rPr>
        <w:t>投标保证金的</w:t>
      </w:r>
      <w:r>
        <w:rPr>
          <w:rFonts w:hint="eastAsia" w:ascii="宋体" w:hAnsi="宋体" w:cs="宋体"/>
          <w:snapToGrid w:val="0"/>
          <w:kern w:val="0"/>
          <w:sz w:val="24"/>
        </w:rPr>
        <w:t>补充、修改或者撤回无需通过电子交易平台，但应就其补充、修改或者撤回通知采购人或采购代理机构。</w:t>
      </w:r>
    </w:p>
    <w:p w14:paraId="3D41E93F">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17.2 投标人对投标文件的补充、修改的内容应当按照招标文件要求签署、盖章，作为投标文件的组成部分。</w:t>
      </w:r>
    </w:p>
    <w:p w14:paraId="249DE47D">
      <w:pPr>
        <w:snapToGrid w:val="0"/>
        <w:spacing w:line="360" w:lineRule="auto"/>
        <w:ind w:right="31" w:rightChars="15"/>
        <w:rPr>
          <w:snapToGrid w:val="0"/>
          <w:kern w:val="0"/>
          <w:sz w:val="24"/>
        </w:rPr>
      </w:pPr>
    </w:p>
    <w:p w14:paraId="585357A4">
      <w:pPr>
        <w:pStyle w:val="3"/>
        <w:snapToGrid w:val="0"/>
        <w:spacing w:before="0" w:line="360" w:lineRule="auto"/>
        <w:ind w:right="31" w:rightChars="15"/>
        <w:rPr>
          <w:rFonts w:ascii="Times New Roman" w:hAnsi="Times New Roman" w:eastAsia="宋体"/>
          <w:snapToGrid w:val="0"/>
          <w:sz w:val="28"/>
        </w:rPr>
      </w:pPr>
      <w:bookmarkStart w:id="538" w:name="_Toc150480776"/>
      <w:bookmarkStart w:id="539" w:name="_Toc151190165"/>
      <w:bookmarkStart w:id="540" w:name="_Toc151193780"/>
      <w:bookmarkStart w:id="541" w:name="_Toc305158880"/>
      <w:bookmarkStart w:id="542" w:name="_Toc264969228"/>
      <w:bookmarkStart w:id="543" w:name="_Toc151193708"/>
      <w:bookmarkStart w:id="544" w:name="_Toc195842903"/>
      <w:bookmarkStart w:id="545" w:name="_Toc151193852"/>
      <w:bookmarkStart w:id="546" w:name="_Toc226965811"/>
      <w:bookmarkStart w:id="547" w:name="_Toc226965728"/>
      <w:bookmarkStart w:id="548" w:name="_Toc150774638"/>
      <w:bookmarkStart w:id="549" w:name="_Toc150774743"/>
      <w:bookmarkStart w:id="550" w:name="_Toc151193926"/>
      <w:bookmarkStart w:id="551" w:name="_Toc150509289"/>
      <w:bookmarkStart w:id="552" w:name="_Toc305158806"/>
      <w:bookmarkStart w:id="553" w:name="_Toc151193636"/>
      <w:bookmarkStart w:id="554" w:name="_Toc127151538"/>
      <w:bookmarkStart w:id="555" w:name="_Toc226309782"/>
      <w:bookmarkStart w:id="556" w:name="_Toc520356163"/>
      <w:bookmarkStart w:id="557" w:name="_Toc142311040"/>
      <w:bookmarkStart w:id="558" w:name="_Toc226337234"/>
      <w:bookmarkStart w:id="559" w:name="_Toc265228376"/>
      <w:r>
        <w:rPr>
          <w:rFonts w:ascii="Times New Roman" w:hAnsi="Times New Roman" w:eastAsia="宋体"/>
          <w:snapToGrid w:val="0"/>
          <w:sz w:val="28"/>
        </w:rPr>
        <w:t>五   开标、资格审查及评标</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0560C51">
      <w:pPr>
        <w:tabs>
          <w:tab w:val="left" w:pos="360"/>
        </w:tabs>
        <w:snapToGrid w:val="0"/>
        <w:spacing w:line="360" w:lineRule="auto"/>
        <w:ind w:right="31" w:rightChars="15"/>
        <w:outlineLvl w:val="1"/>
        <w:rPr>
          <w:rFonts w:hint="eastAsia" w:ascii="宋体" w:hAnsi="宋体" w:cs="宋体"/>
          <w:snapToGrid w:val="0"/>
          <w:kern w:val="0"/>
          <w:sz w:val="24"/>
        </w:rPr>
      </w:pPr>
      <w:bookmarkStart w:id="560" w:name="_Toc149720832"/>
      <w:bookmarkStart w:id="561" w:name="_Toc226965729"/>
      <w:bookmarkStart w:id="562" w:name="_Toc226965812"/>
      <w:bookmarkStart w:id="563" w:name="_Toc305158881"/>
      <w:bookmarkStart w:id="564" w:name="_Toc150480777"/>
      <w:bookmarkStart w:id="565" w:name="_Toc164229380"/>
      <w:bookmarkStart w:id="566" w:name="_Toc195842904"/>
      <w:bookmarkStart w:id="567" w:name="_Toc150774639"/>
      <w:bookmarkStart w:id="568" w:name="_Toc164229234"/>
      <w:bookmarkStart w:id="569" w:name="_Toc164608653"/>
      <w:bookmarkStart w:id="570" w:name="_Toc151190166"/>
      <w:bookmarkStart w:id="571" w:name="_Toc127151740"/>
      <w:bookmarkStart w:id="572" w:name="_Toc264969229"/>
      <w:bookmarkStart w:id="573" w:name="_Toc520356164"/>
      <w:bookmarkStart w:id="574" w:name="_Toc164351633"/>
      <w:bookmarkStart w:id="575" w:name="_Toc151193637"/>
      <w:bookmarkStart w:id="576" w:name="_Toc151193781"/>
      <w:bookmarkStart w:id="577" w:name="_Toc305158807"/>
      <w:bookmarkStart w:id="578" w:name="_Toc151193927"/>
      <w:bookmarkStart w:id="579" w:name="_Toc150509290"/>
      <w:bookmarkStart w:id="580" w:name="_Toc150774744"/>
      <w:bookmarkStart w:id="581" w:name="_Toc265228377"/>
      <w:bookmarkStart w:id="582" w:name="_Toc151193709"/>
      <w:bookmarkStart w:id="583" w:name="_Toc127151539"/>
      <w:bookmarkStart w:id="584" w:name="_Toc142311041"/>
      <w:bookmarkStart w:id="585" w:name="_Toc127161453"/>
      <w:bookmarkStart w:id="586" w:name="_Toc151193853"/>
      <w:bookmarkStart w:id="587" w:name="_Toc226309783"/>
      <w:bookmarkStart w:id="588" w:name="_Toc226337235"/>
      <w:bookmarkStart w:id="589" w:name="_Toc164608808"/>
      <w:r>
        <w:rPr>
          <w:rFonts w:hint="eastAsia" w:ascii="宋体" w:hAnsi="宋体" w:cs="宋体"/>
          <w:snapToGrid w:val="0"/>
          <w:kern w:val="0"/>
          <w:sz w:val="24"/>
        </w:rPr>
        <w:t>18   开标</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0233BD1">
      <w:pPr>
        <w:tabs>
          <w:tab w:val="left" w:pos="1080"/>
          <w:tab w:val="left" w:pos="2014"/>
        </w:tabs>
        <w:snapToGrid w:val="0"/>
        <w:spacing w:line="360" w:lineRule="auto"/>
        <w:ind w:left="420" w:leftChars="200" w:right="31" w:rightChars="15"/>
        <w:rPr>
          <w:rFonts w:hint="eastAsia" w:ascii="宋体" w:hAnsi="宋体" w:cs="宋体"/>
          <w:snapToGrid w:val="0"/>
          <w:kern w:val="0"/>
          <w:sz w:val="24"/>
        </w:rPr>
      </w:pPr>
      <w:r>
        <w:rPr>
          <w:rFonts w:hint="eastAsia" w:ascii="宋体" w:hAnsi="宋体" w:cs="宋体"/>
          <w:snapToGrid w:val="0"/>
          <w:kern w:val="0"/>
          <w:sz w:val="24"/>
        </w:rPr>
        <w:t>18.1采购人或采购代理机构将按招标文件的规定，在投标截止时间的同一时间和招标文件预先确定的地点组织开标。</w:t>
      </w:r>
    </w:p>
    <w:p w14:paraId="72BAAA3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18.2</w:t>
      </w:r>
      <w:r>
        <w:rPr>
          <w:rFonts w:ascii="宋体" w:hAnsi="宋体" w:cs="宋体"/>
          <w:snapToGrid w:val="0"/>
          <w:kern w:val="0"/>
          <w:sz w:val="24"/>
        </w:rPr>
        <w:t>本项目开标使用北京市政府采购电子交易平台。投标人应在《投标人须知资 料表》规定的时间内对投标文件进行解密，因非系统原因导致的解密失败， 视为</w:t>
      </w:r>
      <w:r>
        <w:rPr>
          <w:rFonts w:ascii="宋体" w:hAnsi="宋体" w:cs="宋体"/>
          <w:b/>
          <w:bCs/>
          <w:snapToGrid w:val="0"/>
          <w:kern w:val="0"/>
          <w:sz w:val="24"/>
        </w:rPr>
        <w:t>投标无效</w:t>
      </w:r>
      <w:r>
        <w:rPr>
          <w:rFonts w:hint="eastAsia" w:ascii="宋体" w:hAnsi="宋体" w:cs="宋体"/>
          <w:snapToGrid w:val="0"/>
          <w:kern w:val="0"/>
          <w:sz w:val="24"/>
        </w:rPr>
        <w:t>。</w:t>
      </w:r>
    </w:p>
    <w:p w14:paraId="7E20483B">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18.3</w:t>
      </w:r>
      <w:bookmarkStart w:id="590" w:name="_Toc520356165"/>
      <w:r>
        <w:rPr>
          <w:rFonts w:ascii="宋体" w:hAnsi="宋体" w:cs="宋体"/>
          <w:snapToGrid w:val="0"/>
          <w:kern w:val="0"/>
          <w:sz w:val="24"/>
        </w:rPr>
        <w:t>开标过程将使用电子交易平台宣布投标人名称、投标价格和招标文件规定的 需要宣布的其他内容并进行记录，并由参加开标的各投标人确认。投标人未 在规定时间内提出疑义或确认一览表的，视同认可开标结果</w:t>
      </w:r>
      <w:r>
        <w:rPr>
          <w:rFonts w:hint="eastAsia" w:ascii="宋体" w:hAnsi="宋体" w:cs="宋体"/>
          <w:snapToGrid w:val="0"/>
          <w:kern w:val="0"/>
          <w:sz w:val="24"/>
        </w:rPr>
        <w:t>。</w:t>
      </w:r>
    </w:p>
    <w:p w14:paraId="377FFA3E">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3AFEB4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18.5投标人不足3家的，不予开标。</w:t>
      </w:r>
    </w:p>
    <w:p w14:paraId="4EE1B299">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19   资格审查</w:t>
      </w:r>
    </w:p>
    <w:p w14:paraId="438D6D1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19.1见第三章《资格审查》。</w:t>
      </w:r>
    </w:p>
    <w:bookmarkEnd w:id="590"/>
    <w:p w14:paraId="239E5569">
      <w:pPr>
        <w:tabs>
          <w:tab w:val="left" w:pos="360"/>
        </w:tabs>
        <w:snapToGrid w:val="0"/>
        <w:spacing w:line="360" w:lineRule="auto"/>
        <w:ind w:right="31" w:rightChars="15"/>
        <w:outlineLvl w:val="1"/>
        <w:rPr>
          <w:rFonts w:hint="eastAsia" w:ascii="宋体" w:hAnsi="宋体" w:cs="宋体"/>
          <w:snapToGrid w:val="0"/>
          <w:kern w:val="0"/>
          <w:sz w:val="24"/>
        </w:rPr>
      </w:pPr>
      <w:bookmarkStart w:id="591" w:name="_Toc164229381"/>
      <w:bookmarkStart w:id="592" w:name="_Toc195842905"/>
      <w:bookmarkStart w:id="593" w:name="_Toc226965813"/>
      <w:bookmarkStart w:id="594" w:name="_Toc150774640"/>
      <w:bookmarkStart w:id="595" w:name="_Toc151193782"/>
      <w:bookmarkStart w:id="596" w:name="_Toc127151741"/>
      <w:bookmarkStart w:id="597" w:name="_Toc151193928"/>
      <w:bookmarkStart w:id="598" w:name="_Toc151190167"/>
      <w:bookmarkStart w:id="599" w:name="_Toc164608654"/>
      <w:bookmarkStart w:id="600" w:name="_Toc150509291"/>
      <w:bookmarkStart w:id="601" w:name="_Toc151193710"/>
      <w:bookmarkStart w:id="602" w:name="_Toc164608809"/>
      <w:bookmarkStart w:id="603" w:name="_Toc226965730"/>
      <w:bookmarkStart w:id="604" w:name="_Toc127151540"/>
      <w:bookmarkStart w:id="605" w:name="_Toc142311042"/>
      <w:bookmarkStart w:id="606" w:name="_Toc127161454"/>
      <w:bookmarkStart w:id="607" w:name="_Toc150774745"/>
      <w:bookmarkStart w:id="608" w:name="_Toc305158808"/>
      <w:bookmarkStart w:id="609" w:name="_Toc226309784"/>
      <w:bookmarkStart w:id="610" w:name="_Toc265228378"/>
      <w:bookmarkStart w:id="611" w:name="_Toc150480778"/>
      <w:bookmarkStart w:id="612" w:name="_Toc264969230"/>
      <w:bookmarkStart w:id="613" w:name="_Toc151193638"/>
      <w:bookmarkStart w:id="614" w:name="_Toc149720833"/>
      <w:bookmarkStart w:id="615" w:name="_Toc164229235"/>
      <w:bookmarkStart w:id="616" w:name="_Toc305158882"/>
      <w:bookmarkStart w:id="617" w:name="_Toc226337236"/>
      <w:bookmarkStart w:id="618" w:name="_Toc151193854"/>
      <w:bookmarkStart w:id="619" w:name="_Toc164351634"/>
      <w:r>
        <w:rPr>
          <w:rFonts w:hint="eastAsia" w:ascii="宋体" w:hAnsi="宋体" w:cs="宋体"/>
          <w:snapToGrid w:val="0"/>
          <w:kern w:val="0"/>
          <w:sz w:val="24"/>
        </w:rPr>
        <w:t>20   评标委员会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0C3F5904">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bookmarkStart w:id="620" w:name="_Toc520356169"/>
      <w:r>
        <w:rPr>
          <w:rFonts w:hint="eastAsia" w:ascii="宋体" w:hAnsi="宋体" w:cs="宋体"/>
          <w:snapToGrid w:val="0"/>
          <w:kern w:val="0"/>
          <w:sz w:val="24"/>
        </w:rPr>
        <w:t>20.1 评标委员会根据政府采购有关规定和本次采购项目的特点进行组建，并负责具体评标事务，独立履行职责。</w:t>
      </w:r>
    </w:p>
    <w:p w14:paraId="7546A6F2">
      <w:pPr>
        <w:tabs>
          <w:tab w:val="left" w:pos="1080"/>
          <w:tab w:val="left" w:pos="2014"/>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20.2评审专家须符合《财政部关于在政府采购活动中查询及使用信用记录有关问题的通知》（财库〔2016〕125 号）的规定。依法自行选定评审专家的，采购人和采购代理机构将查询有关信用记录，对具有行贿、受贿、欺诈等不良 信用记录的人员，拒绝其参与政府采购活动。</w:t>
      </w:r>
    </w:p>
    <w:p w14:paraId="327F9078">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21   评标程序、评标方法和评标标准</w:t>
      </w:r>
    </w:p>
    <w:p w14:paraId="62D61D7D">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21.1见第四章《评标程序、评标方法和评标标准》。</w:t>
      </w:r>
    </w:p>
    <w:p w14:paraId="4B3632B4">
      <w:pPr>
        <w:tabs>
          <w:tab w:val="left" w:pos="360"/>
          <w:tab w:val="left" w:pos="1080"/>
        </w:tabs>
        <w:snapToGrid w:val="0"/>
        <w:spacing w:line="360" w:lineRule="auto"/>
        <w:ind w:right="31" w:rightChars="15"/>
        <w:rPr>
          <w:snapToGrid w:val="0"/>
          <w:kern w:val="0"/>
          <w:sz w:val="24"/>
        </w:rPr>
      </w:pPr>
    </w:p>
    <w:p w14:paraId="79440B9D">
      <w:pPr>
        <w:pStyle w:val="3"/>
        <w:snapToGrid w:val="0"/>
        <w:spacing w:before="0" w:line="360" w:lineRule="auto"/>
        <w:ind w:right="31" w:rightChars="15"/>
        <w:rPr>
          <w:rFonts w:ascii="Times New Roman" w:hAnsi="Times New Roman" w:eastAsia="宋体"/>
          <w:snapToGrid w:val="0"/>
          <w:sz w:val="28"/>
        </w:rPr>
      </w:pPr>
      <w:bookmarkStart w:id="621" w:name="_Toc226965735"/>
      <w:bookmarkStart w:id="622" w:name="_Toc151193787"/>
      <w:bookmarkStart w:id="623" w:name="_Toc150509296"/>
      <w:bookmarkStart w:id="624" w:name="_Toc226309789"/>
      <w:bookmarkStart w:id="625" w:name="_Toc305158813"/>
      <w:bookmarkStart w:id="626" w:name="_Toc151190172"/>
      <w:bookmarkStart w:id="627" w:name="_Toc142311047"/>
      <w:bookmarkStart w:id="628" w:name="_Toc226965818"/>
      <w:bookmarkStart w:id="629" w:name="_Toc151193715"/>
      <w:bookmarkStart w:id="630" w:name="_Toc150774750"/>
      <w:bookmarkStart w:id="631" w:name="_Toc226337241"/>
      <w:bookmarkStart w:id="632" w:name="_Toc151193643"/>
      <w:bookmarkStart w:id="633" w:name="_Toc264969235"/>
      <w:bookmarkStart w:id="634" w:name="_Toc265228383"/>
      <w:bookmarkStart w:id="635" w:name="_Toc150480783"/>
      <w:bookmarkStart w:id="636" w:name="_Toc150774645"/>
      <w:bookmarkStart w:id="637" w:name="_Toc151193859"/>
      <w:bookmarkStart w:id="638" w:name="_Toc151193933"/>
      <w:bookmarkStart w:id="639" w:name="_Toc305158887"/>
      <w:bookmarkStart w:id="640" w:name="_Toc195842910"/>
      <w:bookmarkStart w:id="641" w:name="_Toc127151545"/>
      <w:r>
        <w:rPr>
          <w:rFonts w:ascii="Times New Roman" w:hAnsi="Times New Roman" w:eastAsia="宋体"/>
          <w:snapToGrid w:val="0"/>
          <w:sz w:val="28"/>
        </w:rPr>
        <w:t xml:space="preserve">六   </w:t>
      </w:r>
      <w:bookmarkEnd w:id="620"/>
      <w:r>
        <w:rPr>
          <w:rFonts w:ascii="Times New Roman" w:hAnsi="Times New Roman" w:eastAsia="宋体"/>
          <w:snapToGrid w:val="0"/>
          <w:sz w:val="28"/>
        </w:rPr>
        <w:t>确定中标</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Start w:id="642" w:name="_Toc150480785"/>
      <w:bookmarkStart w:id="643" w:name="_Toc150509298"/>
      <w:bookmarkStart w:id="644" w:name="_Toc127151748"/>
      <w:bookmarkStart w:id="645" w:name="_Toc305158889"/>
      <w:bookmarkStart w:id="646" w:name="_Toc164229388"/>
      <w:bookmarkStart w:id="647" w:name="_Toc150774752"/>
      <w:bookmarkStart w:id="648" w:name="_Toc150774647"/>
      <w:bookmarkStart w:id="649" w:name="_Toc127161461"/>
      <w:bookmarkStart w:id="650" w:name="_Toc164608661"/>
      <w:bookmarkStart w:id="651" w:name="_Toc164351641"/>
      <w:bookmarkStart w:id="652" w:name="_Toc226965820"/>
      <w:bookmarkStart w:id="653" w:name="_Toc151193645"/>
      <w:bookmarkStart w:id="654" w:name="_Toc264969237"/>
      <w:bookmarkStart w:id="655" w:name="_Toc151190174"/>
      <w:bookmarkStart w:id="656" w:name="_Toc195842912"/>
      <w:bookmarkStart w:id="657" w:name="_Toc226965737"/>
      <w:bookmarkStart w:id="658" w:name="_Toc226337243"/>
      <w:bookmarkStart w:id="659" w:name="_Toc151193935"/>
      <w:bookmarkStart w:id="660" w:name="_Toc305158815"/>
      <w:bookmarkStart w:id="661" w:name="_Toc151193861"/>
      <w:bookmarkStart w:id="662" w:name="_Toc265228385"/>
      <w:bookmarkStart w:id="663" w:name="_Toc164229242"/>
      <w:bookmarkStart w:id="664" w:name="_Toc151193789"/>
      <w:bookmarkStart w:id="665" w:name="_Toc164608816"/>
      <w:bookmarkStart w:id="666" w:name="_Toc149720840"/>
      <w:bookmarkStart w:id="667" w:name="_Toc151193717"/>
      <w:bookmarkStart w:id="668" w:name="_Toc142311049"/>
      <w:bookmarkStart w:id="669" w:name="_Toc127151547"/>
      <w:bookmarkStart w:id="670" w:name="_Toc226309791"/>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427E7946">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22   确定中标人</w:t>
      </w:r>
    </w:p>
    <w:p w14:paraId="08FF5A5C">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73A2C6D">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23   中标公告与中标通知书</w:t>
      </w:r>
    </w:p>
    <w:p w14:paraId="1DC7237F">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23.1</w:t>
      </w:r>
      <w:r>
        <w:rPr>
          <w:rFonts w:ascii="宋体" w:hAnsi="宋体" w:cs="宋体"/>
          <w:snapToGrid w:val="0"/>
          <w:kern w:val="0"/>
          <w:sz w:val="24"/>
        </w:rPr>
        <w:t>采购人或采购代理机构自中标人确定之日起 2 个工作日内，在北京市政府采 购网公告中标结果，同时向中标人发出中标通知书，中标公告期限为 1 个工作日</w:t>
      </w:r>
      <w:r>
        <w:rPr>
          <w:rFonts w:hint="eastAsia" w:ascii="宋体" w:hAnsi="宋体" w:cs="宋体"/>
          <w:snapToGrid w:val="0"/>
          <w:kern w:val="0"/>
          <w:sz w:val="24"/>
        </w:rPr>
        <w:t>。</w:t>
      </w:r>
    </w:p>
    <w:p w14:paraId="7BA98711">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23.2中标通知书对采购人和中标供应商均具有法律效力。中标通知书发出后，采购人改变中标结果的，或者中标供应商放弃中标项目的，应当依法承担法律责任。</w:t>
      </w:r>
    </w:p>
    <w:p w14:paraId="31AF7F67">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24   废标</w:t>
      </w:r>
    </w:p>
    <w:p w14:paraId="34B75F5F">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24.1在招标采购中，出现下列情形之一的，应予废标：</w:t>
      </w:r>
    </w:p>
    <w:p w14:paraId="79D287E4">
      <w:pPr>
        <w:tabs>
          <w:tab w:val="left" w:pos="1080"/>
          <w:tab w:val="left" w:pos="2014"/>
        </w:tabs>
        <w:snapToGrid w:val="0"/>
        <w:spacing w:line="360" w:lineRule="auto"/>
        <w:ind w:left="1917" w:leftChars="57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24.1.1符合专业条件的供应商或者对招标文件作实质响应的供应商不足三家的；</w:t>
      </w:r>
    </w:p>
    <w:p w14:paraId="1CB42181">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24.1.2出现影响采购公正的违法、违规行为的；</w:t>
      </w:r>
    </w:p>
    <w:p w14:paraId="45760617">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 xml:space="preserve">24.1.3投标人的报价均超过了采购预算，采购人不能支付的； </w:t>
      </w:r>
    </w:p>
    <w:p w14:paraId="5BD46AFC">
      <w:pPr>
        <w:tabs>
          <w:tab w:val="left" w:pos="1080"/>
          <w:tab w:val="left" w:pos="2014"/>
        </w:tabs>
        <w:snapToGrid w:val="0"/>
        <w:spacing w:line="360" w:lineRule="auto"/>
        <w:ind w:right="31" w:rightChars="15" w:firstLine="1200" w:firstLineChars="500"/>
        <w:rPr>
          <w:rFonts w:hint="eastAsia" w:ascii="宋体" w:hAnsi="宋体" w:cs="宋体"/>
          <w:snapToGrid w:val="0"/>
          <w:kern w:val="0"/>
          <w:sz w:val="24"/>
        </w:rPr>
      </w:pPr>
      <w:r>
        <w:rPr>
          <w:rFonts w:hint="eastAsia" w:ascii="宋体" w:hAnsi="宋体" w:cs="宋体"/>
          <w:snapToGrid w:val="0"/>
          <w:kern w:val="0"/>
          <w:sz w:val="24"/>
        </w:rPr>
        <w:t>24.1.4因重大变故，采购任务取消的。</w:t>
      </w:r>
    </w:p>
    <w:p w14:paraId="7F191C16">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24.2废标后，采购人将废标理由书面通知所有投标人。</w:t>
      </w:r>
    </w:p>
    <w:p w14:paraId="01577055">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25   签订合同</w:t>
      </w:r>
    </w:p>
    <w:p w14:paraId="127D1591">
      <w:pPr>
        <w:tabs>
          <w:tab w:val="left" w:pos="1080"/>
          <w:tab w:val="left" w:pos="20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25.1中标人、采购人应当自中标通知书发出之日起 30日内，按照招标文件和中标人投标文件的规定签订书面合同。所签订的合同不得对招标文件确定的事项和中标人投标文件作实质性修改。</w:t>
      </w:r>
    </w:p>
    <w:p w14:paraId="63B1275A">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25.2中标人拒绝与采购人签订合同的，采购人可以按照评标报告推荐的中标候选人名单排序，确定下一候选人为中标人，也可以重新开展政府采购活动。</w:t>
      </w:r>
    </w:p>
    <w:p w14:paraId="1E3F9E92">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 xml:space="preserve">25.3联合体中标的，联合体各方应当共同与采购人签订合同，就采购合同约定的事项向采购人承担连带责任。 </w:t>
      </w:r>
    </w:p>
    <w:p w14:paraId="09B3145E">
      <w:pPr>
        <w:tabs>
          <w:tab w:val="left" w:pos="1080"/>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25.4政府采购合同不能转包。</w:t>
      </w:r>
    </w:p>
    <w:p w14:paraId="36211F02">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2FAF66CB">
      <w:pPr>
        <w:tabs>
          <w:tab w:val="left" w:pos="1080"/>
          <w:tab w:val="left" w:pos="2014"/>
        </w:tabs>
        <w:snapToGrid w:val="0"/>
        <w:spacing w:line="360" w:lineRule="auto"/>
        <w:ind w:left="1198" w:leftChars="342"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 xml:space="preserve">25.6 </w:t>
      </w:r>
      <w:r>
        <w:rPr>
          <w:rFonts w:ascii="宋体" w:hAnsi="宋体" w:cs="宋体"/>
          <w:snapToGrid w:val="0"/>
          <w:kern w:val="0"/>
          <w:sz w:val="24"/>
        </w:rPr>
        <w:t>“政采贷”融资指引：详见《投标人须知资料表》。</w:t>
      </w:r>
    </w:p>
    <w:p w14:paraId="77075621">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 xml:space="preserve">26   询问与质疑 </w:t>
      </w:r>
    </w:p>
    <w:p w14:paraId="6F802EC4">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26.1询问</w:t>
      </w:r>
    </w:p>
    <w:p w14:paraId="238EFBEF">
      <w:pPr>
        <w:tabs>
          <w:tab w:val="left" w:pos="1080"/>
          <w:tab w:val="left" w:pos="2014"/>
        </w:tabs>
        <w:snapToGrid w:val="0"/>
        <w:spacing w:line="360" w:lineRule="auto"/>
        <w:ind w:left="1560" w:leftChars="400"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26.1.1投标人对政府采购活动事项有疑问的，可依法向采购人或采购 代理机构提出询问，提出形式见《投标人须知资料表》。</w:t>
      </w:r>
    </w:p>
    <w:p w14:paraId="3F63B480">
      <w:pPr>
        <w:tabs>
          <w:tab w:val="left" w:pos="1080"/>
          <w:tab w:val="left" w:pos="2014"/>
        </w:tabs>
        <w:snapToGrid w:val="0"/>
        <w:spacing w:line="360" w:lineRule="auto"/>
        <w:ind w:left="958" w:leftChars="456" w:right="31" w:rightChars="15"/>
        <w:rPr>
          <w:rFonts w:hint="eastAsia" w:ascii="宋体" w:hAnsi="宋体" w:cs="宋体"/>
          <w:snapToGrid w:val="0"/>
          <w:kern w:val="0"/>
          <w:sz w:val="24"/>
        </w:rPr>
      </w:pPr>
      <w:r>
        <w:rPr>
          <w:rFonts w:hint="eastAsia" w:ascii="宋体" w:hAnsi="宋体" w:cs="宋体"/>
          <w:snapToGrid w:val="0"/>
          <w:kern w:val="0"/>
          <w:sz w:val="24"/>
        </w:rPr>
        <w:t>26.1.2 采购人或采购代理机构对供应商依法提出的询问，在3个工作日内作出答复，但答复的内容不得涉及商业秘密。</w:t>
      </w:r>
    </w:p>
    <w:p w14:paraId="6F106093">
      <w:pPr>
        <w:tabs>
          <w:tab w:val="left" w:pos="1080"/>
          <w:tab w:val="left" w:pos="2014"/>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26.2质疑</w:t>
      </w:r>
    </w:p>
    <w:p w14:paraId="6255CB94">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26.2.1投标人认为采购文件、采购过程、中标结果使自己的权益受到损害的，可以在知道或者应知其权益受到损害之日起 7 个工作日内，以书面形式向采购人、采购代理机构提出质疑。采购人、采购代理机构在收 到质疑函后 7 个工作日内作出答复。</w:t>
      </w:r>
    </w:p>
    <w:p w14:paraId="106FE76D">
      <w:pPr>
        <w:tabs>
          <w:tab w:val="left" w:pos="1080"/>
          <w:tab w:val="left" w:pos="2014"/>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26.2.2 质疑函须使用财政部制定的范本文件。投标人为自然人的， 质疑函应当由本人签字；投标人为法人或者其他组织的，质疑函应当由法定代表人、主要负责人，或者其授权代表签字或者盖章，并加盖公章。</w:t>
      </w:r>
    </w:p>
    <w:p w14:paraId="300E0156">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26.2.3 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14:paraId="245617AF">
      <w:pPr>
        <w:tabs>
          <w:tab w:val="left" w:pos="1080"/>
          <w:tab w:val="left" w:pos="2014"/>
        </w:tabs>
        <w:snapToGrid w:val="0"/>
        <w:spacing w:line="360" w:lineRule="auto"/>
        <w:ind w:left="1918" w:leftChars="456" w:right="31" w:rightChars="15" w:hanging="960" w:hangingChars="400"/>
        <w:rPr>
          <w:rFonts w:hint="eastAsia" w:ascii="宋体" w:hAnsi="宋体" w:cs="宋体"/>
          <w:snapToGrid w:val="0"/>
          <w:kern w:val="0"/>
          <w:sz w:val="24"/>
        </w:rPr>
      </w:pPr>
      <w:r>
        <w:rPr>
          <w:rFonts w:hint="eastAsia" w:ascii="宋体" w:hAnsi="宋体" w:cs="宋体"/>
          <w:snapToGrid w:val="0"/>
          <w:kern w:val="0"/>
          <w:sz w:val="24"/>
        </w:rPr>
        <w:t>26.2.4  投标人应在法定质疑期内一次性提出针对同一采购程序环节的质疑， 法定质疑期内针对同一采购程序环节再次提出的质疑，采购人、采购代理机构有权不予答复。</w:t>
      </w:r>
    </w:p>
    <w:p w14:paraId="15D76D71">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26.3接收询问和质疑的联系部门、联系电话和通讯地址见《投标人须知资料表》。</w:t>
      </w:r>
    </w:p>
    <w:p w14:paraId="048E4BDD">
      <w:pPr>
        <w:tabs>
          <w:tab w:val="left" w:pos="1080"/>
          <w:tab w:val="left" w:pos="2014"/>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27   代理费</w:t>
      </w:r>
    </w:p>
    <w:p w14:paraId="62011F85">
      <w:pPr>
        <w:tabs>
          <w:tab w:val="left" w:pos="1080"/>
          <w:tab w:val="left" w:pos="2014"/>
        </w:tabs>
        <w:snapToGrid w:val="0"/>
        <w:spacing w:line="360" w:lineRule="auto"/>
        <w:ind w:left="959" w:leftChars="228" w:right="31" w:rightChars="15" w:hanging="480" w:hangingChars="200"/>
        <w:rPr>
          <w:rFonts w:hint="eastAsia" w:ascii="宋体" w:hAnsi="宋体" w:cs="宋体"/>
          <w:snapToGrid w:val="0"/>
          <w:kern w:val="0"/>
          <w:sz w:val="24"/>
        </w:rPr>
        <w:sectPr>
          <w:headerReference r:id="rId14" w:type="first"/>
          <w:footerReference r:id="rId16" w:type="first"/>
          <w:headerReference r:id="rId13" w:type="even"/>
          <w:footerReference r:id="rId15" w:type="even"/>
          <w:pgSz w:w="11907" w:h="16840"/>
          <w:pgMar w:top="1440" w:right="1800" w:bottom="1440" w:left="1800" w:header="851" w:footer="851" w:gutter="0"/>
          <w:cols w:space="720" w:num="1"/>
          <w:docGrid w:linePitch="462" w:charSpace="0"/>
        </w:sectPr>
      </w:pPr>
      <w:r>
        <w:rPr>
          <w:rFonts w:hint="eastAsia" w:ascii="宋体" w:hAnsi="宋体" w:cs="宋体"/>
          <w:snapToGrid w:val="0"/>
          <w:kern w:val="0"/>
          <w:sz w:val="24"/>
        </w:rPr>
        <w:t>27.1收费对象、收费标准及缴纳时间见《投标人须知资料表》。由中标人支付的，中标人须一次性向采购代理机构缴纳代理费，投标报价应包含代理费用。</w:t>
      </w:r>
    </w:p>
    <w:p w14:paraId="60232108"/>
    <w:p w14:paraId="3EB72971">
      <w:pPr>
        <w:tabs>
          <w:tab w:val="left" w:pos="1080"/>
          <w:tab w:val="left" w:pos="2014"/>
        </w:tabs>
        <w:snapToGrid w:val="0"/>
        <w:spacing w:line="360" w:lineRule="auto"/>
        <w:ind w:right="31" w:rightChars="15"/>
        <w:jc w:val="center"/>
        <w:outlineLvl w:val="0"/>
        <w:rPr>
          <w:b/>
          <w:snapToGrid w:val="0"/>
          <w:kern w:val="0"/>
          <w:sz w:val="36"/>
          <w:szCs w:val="36"/>
        </w:rPr>
      </w:pPr>
      <w:bookmarkStart w:id="671" w:name="_Toc1595"/>
      <w:bookmarkStart w:id="672" w:name="_Toc99301421"/>
      <w:r>
        <w:rPr>
          <w:rStyle w:val="63"/>
          <w:snapToGrid w:val="0"/>
          <w:kern w:val="0"/>
        </w:rPr>
        <w:t xml:space="preserve">第三章   </w:t>
      </w:r>
      <w:bookmarkEnd w:id="103"/>
      <w:bookmarkEnd w:id="104"/>
      <w:bookmarkEnd w:id="105"/>
      <w:bookmarkEnd w:id="106"/>
      <w:bookmarkEnd w:id="107"/>
      <w:bookmarkEnd w:id="108"/>
      <w:bookmarkEnd w:id="109"/>
      <w:bookmarkEnd w:id="110"/>
      <w:bookmarkEnd w:id="111"/>
      <w:bookmarkEnd w:id="112"/>
      <w:bookmarkEnd w:id="113"/>
      <w:bookmarkEnd w:id="114"/>
      <w:bookmarkEnd w:id="115"/>
      <w:r>
        <w:rPr>
          <w:rStyle w:val="63"/>
          <w:snapToGrid w:val="0"/>
          <w:kern w:val="0"/>
        </w:rPr>
        <w:t>资格审查</w:t>
      </w:r>
      <w:bookmarkEnd w:id="671"/>
      <w:bookmarkEnd w:id="672"/>
      <w:bookmarkStart w:id="673" w:name="_Toc487900382"/>
    </w:p>
    <w:p w14:paraId="13BD9F5B">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bookmarkStart w:id="674" w:name="_Toc99301422"/>
      <w:r>
        <w:rPr>
          <w:rFonts w:hint="eastAsia" w:ascii="宋体" w:hAnsi="宋体" w:cs="宋体"/>
          <w:b/>
          <w:snapToGrid w:val="0"/>
          <w:kern w:val="0"/>
          <w:sz w:val="24"/>
        </w:rPr>
        <w:t>一、资格审查程序</w:t>
      </w:r>
      <w:bookmarkEnd w:id="674"/>
    </w:p>
    <w:p w14:paraId="6C972E96">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1   开标结束后，采购人或采购代理机构将根据《资格审查要求》中的规定，对投标人进行资格审查，并形成资格审查结果。</w:t>
      </w:r>
    </w:p>
    <w:p w14:paraId="7EE32A19">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2  《资格审查要求》中对格式有要求的，除招标文件另有规定外，均为“实质性格式”文件。</w:t>
      </w:r>
    </w:p>
    <w:p w14:paraId="6BD2F9CA">
      <w:pPr>
        <w:tabs>
          <w:tab w:val="left" w:pos="426"/>
          <w:tab w:val="left" w:pos="851"/>
        </w:tabs>
        <w:snapToGrid w:val="0"/>
        <w:spacing w:line="360" w:lineRule="auto"/>
        <w:ind w:left="480" w:right="31" w:rightChars="15" w:hanging="480" w:hangingChars="200"/>
        <w:rPr>
          <w:rFonts w:hint="eastAsia" w:ascii="宋体" w:hAnsi="宋体" w:cs="宋体"/>
          <w:snapToGrid w:val="0"/>
          <w:kern w:val="0"/>
          <w:sz w:val="24"/>
        </w:rPr>
      </w:pPr>
      <w:r>
        <w:rPr>
          <w:rFonts w:hint="eastAsia" w:ascii="宋体" w:hAnsi="宋体" w:cs="宋体"/>
          <w:snapToGrid w:val="0"/>
          <w:kern w:val="0"/>
          <w:sz w:val="24"/>
        </w:rPr>
        <w:t>3   投标人《资格证明文件》有任何一项不符合《资格审查要求》的，资格审查不合格，其</w:t>
      </w:r>
      <w:r>
        <w:rPr>
          <w:rFonts w:hint="eastAsia" w:ascii="宋体" w:hAnsi="宋体" w:cs="宋体"/>
          <w:b/>
          <w:snapToGrid w:val="0"/>
          <w:kern w:val="0"/>
          <w:sz w:val="24"/>
        </w:rPr>
        <w:t>投标无效</w:t>
      </w:r>
      <w:r>
        <w:rPr>
          <w:rFonts w:hint="eastAsia" w:ascii="宋体" w:hAnsi="宋体" w:cs="宋体"/>
          <w:snapToGrid w:val="0"/>
          <w:kern w:val="0"/>
          <w:sz w:val="24"/>
        </w:rPr>
        <w:t>。</w:t>
      </w:r>
    </w:p>
    <w:p w14:paraId="17C5AC34">
      <w:pPr>
        <w:tabs>
          <w:tab w:val="left" w:pos="426"/>
          <w:tab w:val="left" w:pos="851"/>
        </w:tabs>
        <w:snapToGrid w:val="0"/>
        <w:spacing w:line="360" w:lineRule="auto"/>
        <w:ind w:right="31" w:rightChars="15"/>
        <w:rPr>
          <w:rFonts w:hint="eastAsia" w:ascii="宋体" w:hAnsi="宋体" w:cs="宋体"/>
          <w:snapToGrid w:val="0"/>
          <w:kern w:val="0"/>
          <w:sz w:val="24"/>
        </w:rPr>
      </w:pPr>
      <w:r>
        <w:rPr>
          <w:rFonts w:hint="eastAsia" w:ascii="宋体" w:hAnsi="宋体" w:cs="宋体"/>
          <w:snapToGrid w:val="0"/>
          <w:kern w:val="0"/>
          <w:sz w:val="24"/>
        </w:rPr>
        <w:t>4   资格审查合格的投标人不足3家的，不进行评标。</w:t>
      </w:r>
    </w:p>
    <w:p w14:paraId="156BF713">
      <w:pPr>
        <w:widowControl/>
        <w:snapToGrid w:val="0"/>
        <w:spacing w:line="360" w:lineRule="auto"/>
        <w:ind w:right="31" w:rightChars="15"/>
        <w:jc w:val="left"/>
        <w:rPr>
          <w:snapToGrid w:val="0"/>
          <w:kern w:val="0"/>
          <w:sz w:val="24"/>
        </w:rPr>
      </w:pPr>
    </w:p>
    <w:p w14:paraId="69F23F82">
      <w:pPr>
        <w:tabs>
          <w:tab w:val="left" w:pos="360"/>
          <w:tab w:val="left" w:pos="900"/>
        </w:tabs>
        <w:snapToGrid w:val="0"/>
        <w:spacing w:line="360" w:lineRule="auto"/>
        <w:ind w:right="31" w:rightChars="15"/>
        <w:jc w:val="center"/>
        <w:outlineLvl w:val="1"/>
        <w:rPr>
          <w:rFonts w:hint="eastAsia" w:ascii="宋体" w:hAnsi="宋体" w:cs="宋体"/>
          <w:b/>
          <w:snapToGrid w:val="0"/>
          <w:kern w:val="0"/>
          <w:sz w:val="24"/>
        </w:rPr>
      </w:pPr>
      <w:r>
        <w:rPr>
          <w:rFonts w:hint="eastAsia" w:ascii="宋体" w:hAnsi="宋体" w:cs="宋体"/>
          <w:b/>
          <w:snapToGrid w:val="0"/>
          <w:kern w:val="0"/>
          <w:sz w:val="24"/>
        </w:rPr>
        <w:t>二、资格审查要求</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673"/>
    <w:tbl>
      <w:tblPr>
        <w:tblStyle w:val="4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1792"/>
        <w:gridCol w:w="4403"/>
        <w:gridCol w:w="1478"/>
      </w:tblGrid>
      <w:tr w14:paraId="520F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97" w:type="pct"/>
            <w:vAlign w:val="center"/>
          </w:tcPr>
          <w:p w14:paraId="0D7B537E">
            <w:pPr>
              <w:tabs>
                <w:tab w:val="left" w:pos="1080"/>
              </w:tabs>
              <w:snapToGrid w:val="0"/>
              <w:spacing w:line="360" w:lineRule="auto"/>
              <w:ind w:right="31" w:rightChars="15"/>
              <w:jc w:val="center"/>
              <w:rPr>
                <w:rFonts w:hint="eastAsia" w:ascii="宋体" w:hAnsi="宋体" w:cs="宋体"/>
                <w:b/>
                <w:snapToGrid w:val="0"/>
                <w:kern w:val="0"/>
                <w:sz w:val="24"/>
              </w:rPr>
            </w:pPr>
            <w:bookmarkStart w:id="675" w:name="_Hlt487972895"/>
            <w:bookmarkEnd w:id="675"/>
            <w:bookmarkStart w:id="676" w:name="_Toc226965858"/>
            <w:bookmarkStart w:id="677" w:name="_Toc353873940"/>
            <w:bookmarkStart w:id="678" w:name="_Toc127151779"/>
            <w:bookmarkStart w:id="679" w:name="_Toc353825550"/>
            <w:bookmarkStart w:id="680" w:name="_Toc127161490"/>
            <w:r>
              <w:rPr>
                <w:rFonts w:hint="eastAsia" w:ascii="宋体" w:hAnsi="宋体" w:cs="宋体"/>
                <w:b/>
                <w:snapToGrid w:val="0"/>
                <w:kern w:val="0"/>
                <w:sz w:val="24"/>
              </w:rPr>
              <w:t>序号</w:t>
            </w:r>
          </w:p>
        </w:tc>
        <w:tc>
          <w:tcPr>
            <w:tcW w:w="1051" w:type="pct"/>
            <w:vAlign w:val="center"/>
          </w:tcPr>
          <w:p w14:paraId="4F3EC684">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审查因素</w:t>
            </w:r>
          </w:p>
        </w:tc>
        <w:tc>
          <w:tcPr>
            <w:tcW w:w="2583" w:type="pct"/>
            <w:vAlign w:val="center"/>
          </w:tcPr>
          <w:p w14:paraId="36528335">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审查内容</w:t>
            </w:r>
          </w:p>
        </w:tc>
        <w:tc>
          <w:tcPr>
            <w:tcW w:w="867" w:type="pct"/>
            <w:vAlign w:val="center"/>
          </w:tcPr>
          <w:p w14:paraId="16804626">
            <w:pPr>
              <w:tabs>
                <w:tab w:val="left" w:pos="1080"/>
              </w:tabs>
              <w:snapToGrid w:val="0"/>
              <w:spacing w:line="360" w:lineRule="auto"/>
              <w:ind w:right="31" w:rightChars="15"/>
              <w:jc w:val="center"/>
              <w:rPr>
                <w:rFonts w:hint="eastAsia" w:ascii="宋体" w:hAnsi="宋体" w:cs="宋体"/>
                <w:b/>
                <w:snapToGrid w:val="0"/>
                <w:kern w:val="0"/>
                <w:sz w:val="24"/>
              </w:rPr>
            </w:pPr>
            <w:r>
              <w:rPr>
                <w:rFonts w:hint="eastAsia" w:ascii="宋体" w:hAnsi="宋体" w:cs="宋体"/>
                <w:b/>
                <w:snapToGrid w:val="0"/>
                <w:kern w:val="0"/>
                <w:sz w:val="24"/>
              </w:rPr>
              <w:t>格式要求</w:t>
            </w:r>
          </w:p>
        </w:tc>
      </w:tr>
      <w:tr w14:paraId="6F4C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45D0080">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w:t>
            </w:r>
          </w:p>
        </w:tc>
        <w:tc>
          <w:tcPr>
            <w:tcW w:w="1051" w:type="pct"/>
            <w:vAlign w:val="center"/>
          </w:tcPr>
          <w:p w14:paraId="3EE90A7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满足《中华人民共和国政府采购法》第二十二条规定及法律法规的其他规定</w:t>
            </w:r>
          </w:p>
        </w:tc>
        <w:tc>
          <w:tcPr>
            <w:tcW w:w="2583" w:type="pct"/>
            <w:vAlign w:val="center"/>
          </w:tcPr>
          <w:p w14:paraId="0D423FA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具体规定见第一章《投标邀请》</w:t>
            </w:r>
          </w:p>
        </w:tc>
        <w:tc>
          <w:tcPr>
            <w:tcW w:w="867" w:type="pct"/>
            <w:vAlign w:val="center"/>
          </w:tcPr>
          <w:p w14:paraId="4190E91F">
            <w:pPr>
              <w:tabs>
                <w:tab w:val="left" w:pos="1080"/>
              </w:tabs>
              <w:snapToGrid w:val="0"/>
              <w:ind w:right="31" w:rightChars="15"/>
              <w:rPr>
                <w:rFonts w:hint="eastAsia" w:ascii="宋体" w:hAnsi="宋体" w:cs="宋体"/>
                <w:snapToGrid w:val="0"/>
                <w:kern w:val="0"/>
                <w:sz w:val="22"/>
                <w:szCs w:val="22"/>
              </w:rPr>
            </w:pPr>
          </w:p>
        </w:tc>
      </w:tr>
      <w:tr w14:paraId="1AED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56E6AD0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1-1</w:t>
            </w:r>
          </w:p>
        </w:tc>
        <w:tc>
          <w:tcPr>
            <w:tcW w:w="1051" w:type="pct"/>
            <w:vAlign w:val="center"/>
          </w:tcPr>
          <w:p w14:paraId="6A89E30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营业执照等证明文件</w:t>
            </w:r>
          </w:p>
        </w:tc>
        <w:tc>
          <w:tcPr>
            <w:tcW w:w="2583" w:type="pct"/>
            <w:vAlign w:val="center"/>
          </w:tcPr>
          <w:p w14:paraId="46D66CF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投标人为企业（包括合伙企业）的，应提供有效的“营业执照”；</w:t>
            </w:r>
          </w:p>
          <w:p w14:paraId="2B1E0948">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投标人为事业单位的，应提供有效的“事业单位法人证书”；</w:t>
            </w:r>
          </w:p>
          <w:p w14:paraId="3A56DDAF">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投标人是非企业机构的，应提供有效的“执业许可证”、“登记证书”等证明文件；</w:t>
            </w:r>
          </w:p>
          <w:p w14:paraId="318343D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投标人是个体工商户的，应提供有效的“个体工商户营业执照”；</w:t>
            </w:r>
          </w:p>
          <w:p w14:paraId="13CE4A9A">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投标人是自然人的，应提供有效的自然人身份证明。</w:t>
            </w:r>
          </w:p>
          <w:p w14:paraId="6C10B1F6">
            <w:pPr>
              <w:tabs>
                <w:tab w:val="left" w:pos="1080"/>
              </w:tabs>
              <w:snapToGrid w:val="0"/>
              <w:ind w:right="31" w:rightChars="15"/>
              <w:rPr>
                <w:rFonts w:hint="eastAsia" w:ascii="宋体" w:hAnsi="宋体" w:cs="宋体"/>
                <w:snapToGrid w:val="0"/>
                <w:color w:val="000000"/>
                <w:kern w:val="0"/>
                <w:sz w:val="22"/>
                <w:szCs w:val="22"/>
              </w:rPr>
            </w:pPr>
            <w:r>
              <w:rPr>
                <w:rFonts w:ascii="宋体" w:hAnsi="宋体" w:cs="宋体"/>
                <w:snapToGrid w:val="0"/>
                <w:color w:val="000000"/>
                <w:kern w:val="0"/>
                <w:sz w:val="22"/>
                <w:szCs w:val="22"/>
              </w:rPr>
              <w:t>分支机构参加投标的，应提供该分支机构或 其所属法人/其他组织的相应证明文件；同时 还应提供其所属法人/其他组织出具的授权 其参与本项目的授权书（格式自拟，须加盖 其所属法人/其他组织的公章）；对于银行、 保险、石油石化、电力、电信等行业的分支 机构，可以提供上述授权，也可以提供其所 属法人/其他组织的有关文件或制度等能够证明授权其独立开展业务的证明材料</w:t>
            </w:r>
            <w:r>
              <w:rPr>
                <w:rFonts w:hint="eastAsia" w:ascii="宋体" w:hAnsi="宋体" w:cs="宋体"/>
                <w:snapToGrid w:val="0"/>
                <w:color w:val="000000"/>
                <w:kern w:val="0"/>
                <w:sz w:val="22"/>
                <w:szCs w:val="22"/>
              </w:rPr>
              <w:t>。</w:t>
            </w:r>
          </w:p>
        </w:tc>
        <w:tc>
          <w:tcPr>
            <w:tcW w:w="867" w:type="pct"/>
            <w:vAlign w:val="center"/>
          </w:tcPr>
          <w:p w14:paraId="57881729">
            <w:pPr>
              <w:tabs>
                <w:tab w:val="left" w:pos="1080"/>
              </w:tabs>
              <w:snapToGrid w:val="0"/>
              <w:ind w:right="31" w:rightChars="15"/>
              <w:rPr>
                <w:rFonts w:hint="eastAsia" w:ascii="宋体" w:hAnsi="宋体" w:cs="宋体"/>
                <w:snapToGrid w:val="0"/>
                <w:kern w:val="0"/>
                <w:sz w:val="22"/>
                <w:szCs w:val="22"/>
              </w:rPr>
            </w:pPr>
            <w:r>
              <w:rPr>
                <w:rFonts w:hint="eastAsia"/>
                <w:sz w:val="22"/>
                <w:szCs w:val="22"/>
              </w:rPr>
              <w:t>提供证明文件的电子件或电子证照（加盖公章）</w:t>
            </w:r>
          </w:p>
        </w:tc>
      </w:tr>
      <w:tr w14:paraId="4A91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2DCA1D4">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1-2</w:t>
            </w:r>
          </w:p>
        </w:tc>
        <w:tc>
          <w:tcPr>
            <w:tcW w:w="1051" w:type="pct"/>
            <w:vAlign w:val="center"/>
          </w:tcPr>
          <w:p w14:paraId="0538FBF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投标人资格声明书</w:t>
            </w:r>
          </w:p>
        </w:tc>
        <w:tc>
          <w:tcPr>
            <w:tcW w:w="2583" w:type="pct"/>
            <w:vAlign w:val="center"/>
          </w:tcPr>
          <w:p w14:paraId="7625E952">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提供了符合招标文件要求的《投标人资格声明书》</w:t>
            </w:r>
          </w:p>
        </w:tc>
        <w:tc>
          <w:tcPr>
            <w:tcW w:w="867" w:type="pct"/>
            <w:vAlign w:val="center"/>
          </w:tcPr>
          <w:p w14:paraId="2774E567">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格式见《投标文件格式》</w:t>
            </w:r>
          </w:p>
        </w:tc>
      </w:tr>
      <w:tr w14:paraId="1BFE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4765A62B">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1-3</w:t>
            </w:r>
          </w:p>
        </w:tc>
        <w:tc>
          <w:tcPr>
            <w:tcW w:w="1051" w:type="pct"/>
            <w:vAlign w:val="center"/>
          </w:tcPr>
          <w:p w14:paraId="21A4A680">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投标人信用记录</w:t>
            </w:r>
          </w:p>
        </w:tc>
        <w:tc>
          <w:tcPr>
            <w:tcW w:w="2583" w:type="pct"/>
            <w:vAlign w:val="center"/>
          </w:tcPr>
          <w:p w14:paraId="44943F09">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查询渠道：信用中国网站和中国政府采购（www.creditchina.gov.cn、www.ccgp.gov.cn）；</w:t>
            </w:r>
          </w:p>
          <w:p w14:paraId="06432180">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截止时点：投标截止时间以后、资格审查阶段采购人或采购代理机构的实际查询时间；</w:t>
            </w:r>
          </w:p>
          <w:p w14:paraId="5868EE2F">
            <w:pPr>
              <w:tabs>
                <w:tab w:val="left" w:pos="900"/>
                <w:tab w:val="left" w:pos="19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信用信息查询记录和证据留存具体方式：查询结果网页打印页作为查询记录和证据，与其他采购文件一并保存；</w:t>
            </w:r>
          </w:p>
          <w:p w14:paraId="4C86743D">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信用信息的使用原则：经认定的被列入失信被执行人、重大税收违法案件当事人名单、政府采购严重违法失信行为记录名单的投标人，其</w:t>
            </w:r>
            <w:r>
              <w:rPr>
                <w:rFonts w:hint="eastAsia" w:ascii="宋体" w:hAnsi="宋体" w:cs="宋体"/>
                <w:b/>
                <w:snapToGrid w:val="0"/>
                <w:kern w:val="0"/>
                <w:sz w:val="22"/>
                <w:szCs w:val="22"/>
              </w:rPr>
              <w:t>投标无效</w:t>
            </w:r>
            <w:r>
              <w:rPr>
                <w:rFonts w:hint="eastAsia" w:ascii="宋体" w:hAnsi="宋体" w:cs="宋体"/>
                <w:snapToGrid w:val="0"/>
                <w:kern w:val="0"/>
                <w:sz w:val="22"/>
                <w:szCs w:val="22"/>
              </w:rPr>
              <w:t>。联合体形式投标的，联合体成员存在不良信用记录，视同联合体存在不良信用记录。</w:t>
            </w:r>
          </w:p>
        </w:tc>
        <w:tc>
          <w:tcPr>
            <w:tcW w:w="867" w:type="pct"/>
            <w:vAlign w:val="center"/>
          </w:tcPr>
          <w:p w14:paraId="5D2628F7">
            <w:pPr>
              <w:tabs>
                <w:tab w:val="left" w:pos="1080"/>
              </w:tabs>
              <w:snapToGrid w:val="0"/>
              <w:ind w:right="31" w:rightChars="15"/>
              <w:rPr>
                <w:rFonts w:hint="eastAsia" w:ascii="宋体" w:hAnsi="宋体" w:cs="宋体"/>
                <w:snapToGrid w:val="0"/>
                <w:kern w:val="0"/>
                <w:sz w:val="22"/>
                <w:szCs w:val="22"/>
              </w:rPr>
            </w:pPr>
            <w:r>
              <w:rPr>
                <w:rFonts w:eastAsiaTheme="minorEastAsia"/>
                <w:szCs w:val="21"/>
              </w:rPr>
              <w:t>无 须 投 标 人 提供，由采购 人 或 采 购 代 理机构查询。</w:t>
            </w:r>
          </w:p>
        </w:tc>
      </w:tr>
      <w:tr w14:paraId="20B6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D73B6B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w:t>
            </w:r>
          </w:p>
        </w:tc>
        <w:tc>
          <w:tcPr>
            <w:tcW w:w="1051" w:type="pct"/>
            <w:vAlign w:val="center"/>
          </w:tcPr>
          <w:p w14:paraId="2B350876">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落实政府采购政策需满足的资格要求</w:t>
            </w:r>
          </w:p>
        </w:tc>
        <w:tc>
          <w:tcPr>
            <w:tcW w:w="2583" w:type="pct"/>
            <w:vAlign w:val="center"/>
          </w:tcPr>
          <w:p w14:paraId="2C924E04">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具体要求见第一章《投标邀请》</w:t>
            </w:r>
          </w:p>
        </w:tc>
        <w:tc>
          <w:tcPr>
            <w:tcW w:w="867" w:type="pct"/>
            <w:vAlign w:val="center"/>
          </w:tcPr>
          <w:p w14:paraId="03C7BD4F">
            <w:pPr>
              <w:tabs>
                <w:tab w:val="left" w:pos="1080"/>
              </w:tabs>
              <w:snapToGrid w:val="0"/>
              <w:ind w:right="31" w:rightChars="15"/>
              <w:rPr>
                <w:rFonts w:hint="eastAsia" w:ascii="宋体" w:hAnsi="宋体" w:cs="宋体"/>
                <w:snapToGrid w:val="0"/>
                <w:kern w:val="0"/>
                <w:sz w:val="22"/>
                <w:szCs w:val="22"/>
              </w:rPr>
            </w:pPr>
          </w:p>
        </w:tc>
      </w:tr>
      <w:tr w14:paraId="0E49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0740C942">
            <w:pPr>
              <w:tabs>
                <w:tab w:val="left" w:pos="1080"/>
              </w:tabs>
              <w:snapToGrid w:val="0"/>
              <w:ind w:right="31" w:rightChars="15"/>
              <w:jc w:val="center"/>
              <w:rPr>
                <w:rFonts w:hint="eastAsia" w:ascii="宋体" w:hAnsi="宋体" w:cs="宋体"/>
                <w:snapToGrid w:val="0"/>
                <w:kern w:val="0"/>
                <w:sz w:val="22"/>
                <w:szCs w:val="22"/>
              </w:rPr>
            </w:pPr>
          </w:p>
          <w:p w14:paraId="5B75A19F">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2-1</w:t>
            </w:r>
          </w:p>
        </w:tc>
        <w:tc>
          <w:tcPr>
            <w:tcW w:w="1051" w:type="pct"/>
            <w:vAlign w:val="center"/>
          </w:tcPr>
          <w:p w14:paraId="4AC636E3">
            <w:pPr>
              <w:tabs>
                <w:tab w:val="left" w:pos="1080"/>
              </w:tabs>
              <w:snapToGrid w:val="0"/>
              <w:ind w:right="31" w:rightChars="15"/>
              <w:rPr>
                <w:rFonts w:hint="eastAsia" w:ascii="宋体" w:hAnsi="宋体" w:eastAsia="宋体" w:cs="宋体"/>
                <w:snapToGrid w:val="0"/>
                <w:kern w:val="0"/>
                <w:sz w:val="22"/>
                <w:szCs w:val="22"/>
                <w:lang w:eastAsia="zh-CN"/>
              </w:rPr>
            </w:pPr>
            <w:r>
              <w:rPr>
                <w:rFonts w:hint="eastAsia" w:ascii="宋体" w:hAnsi="宋体" w:cs="宋体"/>
                <w:snapToGrid w:val="0"/>
                <w:kern w:val="0"/>
                <w:sz w:val="22"/>
                <w:szCs w:val="22"/>
              </w:rPr>
              <w:t>中小企业证明文 件</w:t>
            </w:r>
            <w:r>
              <w:rPr>
                <w:rFonts w:hint="eastAsia" w:ascii="宋体" w:hAnsi="宋体" w:cs="宋体"/>
                <w:snapToGrid w:val="0"/>
                <w:kern w:val="0"/>
                <w:sz w:val="22"/>
                <w:szCs w:val="22"/>
                <w:lang w:eastAsia="zh-CN"/>
              </w:rPr>
              <w:t>（</w:t>
            </w:r>
            <w:r>
              <w:rPr>
                <w:rFonts w:hint="eastAsia" w:ascii="宋体" w:hAnsi="宋体" w:cs="宋体"/>
                <w:snapToGrid w:val="0"/>
                <w:kern w:val="0"/>
                <w:sz w:val="22"/>
                <w:szCs w:val="22"/>
                <w:lang w:val="en-US" w:eastAsia="zh-CN"/>
              </w:rPr>
              <w:t>大型企业可不提供此证明文件，小微企业不提供则没有价格扣除</w:t>
            </w:r>
            <w:r>
              <w:rPr>
                <w:rFonts w:hint="eastAsia" w:ascii="宋体" w:hAnsi="宋体" w:cs="宋体"/>
                <w:snapToGrid w:val="0"/>
                <w:kern w:val="0"/>
                <w:sz w:val="22"/>
                <w:szCs w:val="22"/>
                <w:lang w:eastAsia="zh-CN"/>
              </w:rPr>
              <w:t>）</w:t>
            </w:r>
          </w:p>
        </w:tc>
        <w:tc>
          <w:tcPr>
            <w:tcW w:w="2583" w:type="pct"/>
            <w:vAlign w:val="center"/>
          </w:tcPr>
          <w:p w14:paraId="31349269">
            <w:pPr>
              <w:spacing w:before="37"/>
              <w:ind w:left="115" w:right="102" w:firstLine="14"/>
              <w:rPr>
                <w:rFonts w:hint="eastAsia" w:ascii="宋体" w:hAnsi="宋体" w:cs="宋体"/>
                <w:sz w:val="22"/>
                <w:szCs w:val="22"/>
              </w:rPr>
            </w:pPr>
            <w:r>
              <w:rPr>
                <w:rFonts w:ascii="宋体" w:hAnsi="宋体" w:cs="宋体"/>
                <w:spacing w:val="1"/>
                <w:sz w:val="22"/>
                <w:szCs w:val="22"/>
              </w:rPr>
              <w:t>当本项目（包）涉及预留份额专门面向中小企业采购，此时在《资格证明文件》中</w:t>
            </w:r>
            <w:r>
              <w:rPr>
                <w:rFonts w:ascii="宋体" w:hAnsi="宋体" w:cs="宋体"/>
                <w:spacing w:val="-10"/>
                <w:sz w:val="22"/>
                <w:szCs w:val="22"/>
              </w:rPr>
              <w:t>提供。</w:t>
            </w:r>
          </w:p>
          <w:p w14:paraId="48E187DB">
            <w:pPr>
              <w:pStyle w:val="270"/>
              <w:spacing w:before="22"/>
              <w:ind w:left="116" w:right="102" w:firstLine="15"/>
              <w:rPr>
                <w:rFonts w:hint="eastAsia"/>
                <w:sz w:val="22"/>
                <w:szCs w:val="22"/>
                <w:lang w:eastAsia="zh-CN"/>
              </w:rPr>
            </w:pPr>
            <w:r>
              <w:rPr>
                <w:spacing w:val="-6"/>
                <w:sz w:val="22"/>
                <w:szCs w:val="22"/>
                <w:lang w:eastAsia="zh-CN"/>
              </w:rPr>
              <w:t>1、投标人单独投标的，应提供《中小企业声</w:t>
            </w:r>
            <w:r>
              <w:rPr>
                <w:spacing w:val="4"/>
                <w:sz w:val="22"/>
                <w:szCs w:val="22"/>
                <w:lang w:eastAsia="zh-CN"/>
              </w:rPr>
              <w:t xml:space="preserve"> </w:t>
            </w:r>
            <w:r>
              <w:rPr>
                <w:spacing w:val="1"/>
                <w:sz w:val="22"/>
                <w:szCs w:val="22"/>
                <w:lang w:eastAsia="zh-CN"/>
              </w:rPr>
              <w:t>明函》或《残疾人福利性单位声明函》或由省级以上监狱管理局、戒毒管理局（含新疆</w:t>
            </w:r>
            <w:r>
              <w:rPr>
                <w:spacing w:val="14"/>
                <w:sz w:val="22"/>
                <w:szCs w:val="22"/>
                <w:lang w:eastAsia="zh-CN"/>
              </w:rPr>
              <w:t xml:space="preserve"> </w:t>
            </w:r>
            <w:r>
              <w:rPr>
                <w:spacing w:val="1"/>
                <w:sz w:val="22"/>
                <w:szCs w:val="22"/>
                <w:lang w:eastAsia="zh-CN"/>
              </w:rPr>
              <w:t>生产建设兵团）出具的属于监狱企业的证明</w:t>
            </w:r>
            <w:r>
              <w:rPr>
                <w:spacing w:val="-11"/>
                <w:sz w:val="22"/>
                <w:szCs w:val="22"/>
                <w:lang w:eastAsia="zh-CN"/>
              </w:rPr>
              <w:t>文件。</w:t>
            </w:r>
          </w:p>
          <w:p w14:paraId="0F25C1DD">
            <w:pPr>
              <w:tabs>
                <w:tab w:val="left" w:pos="1080"/>
              </w:tabs>
              <w:snapToGrid w:val="0"/>
              <w:ind w:right="31" w:rightChars="15"/>
              <w:rPr>
                <w:rFonts w:hint="eastAsia" w:ascii="宋体" w:hAnsi="宋体" w:cs="宋体"/>
                <w:snapToGrid w:val="0"/>
                <w:kern w:val="0"/>
                <w:sz w:val="22"/>
                <w:szCs w:val="22"/>
              </w:rPr>
            </w:pPr>
            <w:r>
              <w:rPr>
                <w:spacing w:val="-6"/>
                <w:sz w:val="22"/>
                <w:szCs w:val="22"/>
              </w:rPr>
              <w:t>2</w:t>
            </w:r>
            <w:r>
              <w:rPr>
                <w:rFonts w:ascii="宋体" w:hAnsi="宋体" w:cs="宋体"/>
                <w:spacing w:val="-6"/>
                <w:sz w:val="22"/>
                <w:szCs w:val="22"/>
              </w:rPr>
              <w:t>、如招标文件要求以联合体形式参加或者要</w:t>
            </w:r>
            <w:r>
              <w:rPr>
                <w:rFonts w:ascii="宋体" w:hAnsi="宋体" w:cs="宋体"/>
                <w:spacing w:val="13"/>
                <w:sz w:val="22"/>
                <w:szCs w:val="22"/>
              </w:rPr>
              <w:t xml:space="preserve"> </w:t>
            </w:r>
            <w:r>
              <w:rPr>
                <w:rFonts w:ascii="宋体" w:hAnsi="宋体" w:cs="宋体"/>
                <w:spacing w:val="1"/>
                <w:sz w:val="22"/>
                <w:szCs w:val="22"/>
              </w:rPr>
              <w:t>求合同分包的，且投标人为联合体或拟进行</w:t>
            </w:r>
            <w:r>
              <w:rPr>
                <w:rFonts w:ascii="宋体" w:hAnsi="宋体" w:cs="宋体"/>
                <w:spacing w:val="17"/>
                <w:sz w:val="22"/>
                <w:szCs w:val="22"/>
              </w:rPr>
              <w:t xml:space="preserve"> </w:t>
            </w:r>
            <w:r>
              <w:rPr>
                <w:rFonts w:ascii="宋体" w:hAnsi="宋体" w:cs="宋体"/>
                <w:spacing w:val="1"/>
                <w:sz w:val="22"/>
                <w:szCs w:val="22"/>
              </w:rPr>
              <w:t>合同分包的，则联合体中的中小企业、签订</w:t>
            </w:r>
            <w:r>
              <w:rPr>
                <w:rFonts w:ascii="宋体" w:hAnsi="宋体" w:cs="宋体"/>
                <w:spacing w:val="17"/>
                <w:sz w:val="22"/>
                <w:szCs w:val="22"/>
              </w:rPr>
              <w:t xml:space="preserve"> </w:t>
            </w:r>
            <w:r>
              <w:rPr>
                <w:rFonts w:ascii="宋体" w:hAnsi="宋体" w:cs="宋体"/>
                <w:spacing w:val="1"/>
                <w:sz w:val="22"/>
                <w:szCs w:val="22"/>
              </w:rPr>
              <w:t>分包意向协议的中小企业具体情况须在《中</w:t>
            </w:r>
            <w:r>
              <w:rPr>
                <w:rFonts w:ascii="宋体" w:hAnsi="宋体" w:cs="宋体"/>
                <w:spacing w:val="17"/>
                <w:sz w:val="22"/>
                <w:szCs w:val="22"/>
              </w:rPr>
              <w:t xml:space="preserve"> </w:t>
            </w:r>
            <w:r>
              <w:rPr>
                <w:rFonts w:ascii="宋体" w:hAnsi="宋体" w:cs="宋体"/>
                <w:spacing w:val="1"/>
                <w:sz w:val="22"/>
                <w:szCs w:val="22"/>
              </w:rPr>
              <w:t>小企业声明函》或《残疾人福利性单位声明</w:t>
            </w:r>
            <w:r>
              <w:rPr>
                <w:rFonts w:ascii="宋体" w:hAnsi="宋体" w:cs="宋体"/>
                <w:spacing w:val="17"/>
                <w:sz w:val="22"/>
                <w:szCs w:val="22"/>
              </w:rPr>
              <w:t xml:space="preserve"> </w:t>
            </w:r>
            <w:r>
              <w:rPr>
                <w:rFonts w:ascii="宋体" w:hAnsi="宋体" w:cs="宋体"/>
                <w:spacing w:val="1"/>
                <w:sz w:val="22"/>
                <w:szCs w:val="22"/>
              </w:rPr>
              <w:t>函》或由省级以上监狱管理局、戒毒管理局</w:t>
            </w:r>
            <w:r>
              <w:rPr>
                <w:rFonts w:ascii="宋体" w:hAnsi="宋体" w:cs="宋体"/>
                <w:spacing w:val="17"/>
                <w:sz w:val="22"/>
                <w:szCs w:val="22"/>
              </w:rPr>
              <w:t xml:space="preserve"> </w:t>
            </w:r>
            <w:r>
              <w:rPr>
                <w:rFonts w:ascii="宋体" w:hAnsi="宋体" w:cs="宋体"/>
                <w:spacing w:val="1"/>
                <w:sz w:val="22"/>
                <w:szCs w:val="22"/>
              </w:rPr>
              <w:t>（含新疆生产建设兵团）出具的属于监狱企</w:t>
            </w:r>
            <w:r>
              <w:rPr>
                <w:rFonts w:ascii="宋体" w:hAnsi="宋体" w:cs="宋体"/>
                <w:spacing w:val="17"/>
                <w:sz w:val="22"/>
                <w:szCs w:val="22"/>
              </w:rPr>
              <w:t xml:space="preserve"> </w:t>
            </w:r>
            <w:r>
              <w:rPr>
                <w:rFonts w:ascii="宋体" w:hAnsi="宋体" w:cs="宋体"/>
                <w:spacing w:val="1"/>
                <w:sz w:val="22"/>
                <w:szCs w:val="22"/>
              </w:rPr>
              <w:t>业的证明文件中如实填报，且满足招标文件</w:t>
            </w:r>
            <w:r>
              <w:rPr>
                <w:rFonts w:ascii="宋体" w:hAnsi="宋体" w:cs="宋体"/>
                <w:spacing w:val="-4"/>
                <w:sz w:val="22"/>
                <w:szCs w:val="22"/>
              </w:rPr>
              <w:t>关于预留份额的要求。</w:t>
            </w:r>
          </w:p>
        </w:tc>
        <w:tc>
          <w:tcPr>
            <w:tcW w:w="867" w:type="pct"/>
            <w:vAlign w:val="center"/>
          </w:tcPr>
          <w:p w14:paraId="368B04F1">
            <w:pPr>
              <w:tabs>
                <w:tab w:val="left" w:pos="1080"/>
              </w:tabs>
              <w:snapToGrid w:val="0"/>
              <w:ind w:right="31" w:rightChars="15"/>
              <w:rPr>
                <w:rFonts w:hint="eastAsia" w:ascii="宋体" w:hAnsi="宋体" w:cs="宋体"/>
                <w:snapToGrid w:val="0"/>
                <w:kern w:val="0"/>
                <w:sz w:val="22"/>
                <w:szCs w:val="22"/>
              </w:rPr>
            </w:pPr>
            <w:r>
              <w:rPr>
                <w:rFonts w:ascii="宋体" w:hAnsi="宋体" w:cs="宋体"/>
                <w:spacing w:val="-6"/>
                <w:sz w:val="22"/>
                <w:szCs w:val="22"/>
              </w:rPr>
              <w:t>格式见《投标</w:t>
            </w:r>
            <w:r>
              <w:rPr>
                <w:rFonts w:ascii="宋体" w:hAnsi="宋体" w:cs="宋体"/>
                <w:sz w:val="22"/>
                <w:szCs w:val="22"/>
              </w:rPr>
              <w:t xml:space="preserve"> </w:t>
            </w:r>
            <w:r>
              <w:rPr>
                <w:rFonts w:ascii="宋体" w:hAnsi="宋体" w:cs="宋体"/>
                <w:spacing w:val="-4"/>
                <w:sz w:val="22"/>
                <w:szCs w:val="22"/>
              </w:rPr>
              <w:t>文件格式》</w:t>
            </w:r>
          </w:p>
        </w:tc>
      </w:tr>
      <w:tr w14:paraId="20AF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2F176A9E">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2-2</w:t>
            </w:r>
          </w:p>
        </w:tc>
        <w:tc>
          <w:tcPr>
            <w:tcW w:w="1051" w:type="pct"/>
            <w:vAlign w:val="center"/>
          </w:tcPr>
          <w:p w14:paraId="3061F96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其它落实政府采购政策的资格要求</w:t>
            </w:r>
          </w:p>
        </w:tc>
        <w:tc>
          <w:tcPr>
            <w:tcW w:w="2583" w:type="pct"/>
            <w:vAlign w:val="center"/>
          </w:tcPr>
          <w:p w14:paraId="39AAB61F">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65198FD6">
            <w:pPr>
              <w:tabs>
                <w:tab w:val="left" w:pos="1080"/>
              </w:tabs>
              <w:snapToGrid w:val="0"/>
              <w:ind w:right="31" w:rightChars="15"/>
              <w:rPr>
                <w:rFonts w:hint="eastAsia" w:ascii="宋体" w:hAnsi="宋体" w:cs="宋体"/>
                <w:snapToGrid w:val="0"/>
                <w:kern w:val="0"/>
                <w:sz w:val="22"/>
                <w:szCs w:val="22"/>
              </w:rPr>
            </w:pPr>
          </w:p>
        </w:tc>
      </w:tr>
      <w:tr w14:paraId="1821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97" w:type="pct"/>
            <w:vAlign w:val="center"/>
          </w:tcPr>
          <w:p w14:paraId="19A3E1A5">
            <w:pPr>
              <w:tabs>
                <w:tab w:val="left" w:pos="1080"/>
              </w:tabs>
              <w:snapToGrid w:val="0"/>
              <w:ind w:right="31" w:rightChars="15"/>
              <w:jc w:val="center"/>
              <w:rPr>
                <w:rFonts w:hint="eastAsia" w:ascii="宋体" w:hAnsi="宋体" w:cs="宋体"/>
                <w:snapToGrid w:val="0"/>
                <w:kern w:val="0"/>
                <w:sz w:val="22"/>
                <w:szCs w:val="22"/>
              </w:rPr>
            </w:pPr>
            <w:r>
              <w:rPr>
                <w:rFonts w:hint="eastAsia" w:ascii="宋体" w:hAnsi="宋体" w:cs="宋体"/>
                <w:snapToGrid w:val="0"/>
                <w:kern w:val="0"/>
                <w:sz w:val="22"/>
                <w:szCs w:val="22"/>
              </w:rPr>
              <w:t>3</w:t>
            </w:r>
          </w:p>
        </w:tc>
        <w:tc>
          <w:tcPr>
            <w:tcW w:w="1051" w:type="pct"/>
            <w:vAlign w:val="center"/>
          </w:tcPr>
          <w:p w14:paraId="3F142938">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本项目的特定资格要求</w:t>
            </w:r>
          </w:p>
        </w:tc>
        <w:tc>
          <w:tcPr>
            <w:tcW w:w="2583" w:type="pct"/>
            <w:vAlign w:val="center"/>
          </w:tcPr>
          <w:p w14:paraId="037E1E9E">
            <w:pPr>
              <w:tabs>
                <w:tab w:val="left" w:pos="1080"/>
              </w:tabs>
              <w:snapToGrid w:val="0"/>
              <w:ind w:right="31" w:rightChars="15"/>
              <w:rPr>
                <w:rFonts w:hint="eastAsia" w:ascii="宋体" w:hAnsi="宋体" w:cs="宋体"/>
                <w:snapToGrid w:val="0"/>
                <w:kern w:val="0"/>
                <w:sz w:val="22"/>
                <w:szCs w:val="22"/>
              </w:rPr>
            </w:pPr>
            <w:r>
              <w:rPr>
                <w:rFonts w:hint="eastAsia" w:ascii="宋体" w:hAnsi="宋体" w:cs="宋体"/>
                <w:snapToGrid w:val="0"/>
                <w:kern w:val="0"/>
                <w:sz w:val="22"/>
                <w:szCs w:val="22"/>
              </w:rPr>
              <w:t>如有，见第一章《投标邀请》</w:t>
            </w:r>
          </w:p>
        </w:tc>
        <w:tc>
          <w:tcPr>
            <w:tcW w:w="867" w:type="pct"/>
            <w:vAlign w:val="center"/>
          </w:tcPr>
          <w:p w14:paraId="18693BA3">
            <w:pPr>
              <w:tabs>
                <w:tab w:val="left" w:pos="1080"/>
              </w:tabs>
              <w:snapToGrid w:val="0"/>
              <w:ind w:right="31" w:rightChars="15"/>
              <w:rPr>
                <w:rFonts w:hint="eastAsia" w:ascii="宋体" w:hAnsi="宋体" w:cs="宋体"/>
                <w:snapToGrid w:val="0"/>
                <w:kern w:val="0"/>
                <w:sz w:val="22"/>
                <w:szCs w:val="22"/>
              </w:rPr>
            </w:pPr>
            <w:r>
              <w:rPr>
                <w:rFonts w:eastAsiaTheme="minorEastAsia"/>
                <w:szCs w:val="21"/>
              </w:rPr>
              <w:t>提供证明文件的电子件或电子证照</w:t>
            </w:r>
          </w:p>
        </w:tc>
      </w:tr>
    </w:tbl>
    <w:p w14:paraId="5DAE8726">
      <w:pPr>
        <w:widowControl/>
        <w:snapToGrid w:val="0"/>
        <w:spacing w:line="360" w:lineRule="auto"/>
        <w:ind w:right="31" w:rightChars="15"/>
        <w:jc w:val="left"/>
        <w:rPr>
          <w:rFonts w:hint="eastAsia" w:ascii="宋体" w:hAnsi="宋体" w:cs="宋体"/>
          <w:snapToGrid w:val="0"/>
          <w:kern w:val="0"/>
          <w:sz w:val="24"/>
        </w:rPr>
      </w:pPr>
      <w:r>
        <w:rPr>
          <w:rFonts w:hint="eastAsia" w:ascii="宋体" w:hAnsi="宋体" w:cs="宋体"/>
          <w:snapToGrid w:val="0"/>
          <w:kern w:val="0"/>
          <w:sz w:val="24"/>
        </w:rPr>
        <w:br w:type="page"/>
      </w:r>
    </w:p>
    <w:p w14:paraId="0B839F90">
      <w:pPr>
        <w:pStyle w:val="2"/>
        <w:snapToGrid w:val="0"/>
        <w:spacing w:before="0" w:after="0" w:line="360" w:lineRule="auto"/>
        <w:ind w:right="31" w:rightChars="15"/>
        <w:rPr>
          <w:snapToGrid w:val="0"/>
          <w:kern w:val="0"/>
        </w:rPr>
      </w:pPr>
      <w:bookmarkStart w:id="681" w:name="_Toc11644"/>
      <w:bookmarkStart w:id="682" w:name="_Toc1190"/>
      <w:bookmarkStart w:id="683" w:name="_Toc99301423"/>
      <w:bookmarkStart w:id="684" w:name="_Toc4529"/>
      <w:r>
        <w:rPr>
          <w:snapToGrid w:val="0"/>
          <w:kern w:val="0"/>
        </w:rPr>
        <w:t xml:space="preserve">第四章   </w:t>
      </w:r>
      <w:bookmarkEnd w:id="676"/>
      <w:bookmarkEnd w:id="677"/>
      <w:bookmarkEnd w:id="678"/>
      <w:bookmarkEnd w:id="679"/>
      <w:bookmarkEnd w:id="680"/>
      <w:bookmarkStart w:id="685" w:name="_Hlt164229061"/>
      <w:bookmarkEnd w:id="685"/>
      <w:bookmarkStart w:id="686" w:name="_Hlk177984700"/>
      <w:r>
        <w:rPr>
          <w:snapToGrid w:val="0"/>
          <w:kern w:val="0"/>
        </w:rPr>
        <w:t>评标程序、评标方法和评标标准</w:t>
      </w:r>
      <w:bookmarkEnd w:id="681"/>
      <w:bookmarkEnd w:id="682"/>
      <w:bookmarkEnd w:id="683"/>
      <w:bookmarkEnd w:id="684"/>
      <w:bookmarkEnd w:id="686"/>
    </w:p>
    <w:p w14:paraId="538D1A39">
      <w:pPr>
        <w:tabs>
          <w:tab w:val="left" w:pos="360"/>
          <w:tab w:val="left" w:pos="900"/>
        </w:tabs>
        <w:snapToGrid w:val="0"/>
        <w:spacing w:line="360" w:lineRule="auto"/>
        <w:ind w:right="31" w:rightChars="15"/>
        <w:jc w:val="center"/>
        <w:outlineLvl w:val="1"/>
        <w:rPr>
          <w:b/>
          <w:snapToGrid w:val="0"/>
          <w:kern w:val="0"/>
        </w:rPr>
      </w:pPr>
      <w:r>
        <w:rPr>
          <w:b/>
          <w:snapToGrid w:val="0"/>
          <w:kern w:val="0"/>
          <w:sz w:val="24"/>
        </w:rPr>
        <w:t>一、评标方法</w:t>
      </w:r>
    </w:p>
    <w:p w14:paraId="6733DE69">
      <w:pPr>
        <w:tabs>
          <w:tab w:val="left" w:pos="360"/>
        </w:tabs>
        <w:snapToGrid w:val="0"/>
        <w:spacing w:line="360" w:lineRule="auto"/>
        <w:ind w:right="31" w:rightChars="15"/>
        <w:outlineLvl w:val="1"/>
        <w:rPr>
          <w:rFonts w:hint="eastAsia" w:ascii="宋体" w:hAnsi="宋体" w:cs="宋体"/>
          <w:snapToGrid w:val="0"/>
          <w:kern w:val="0"/>
          <w:sz w:val="24"/>
        </w:rPr>
      </w:pPr>
      <w:bookmarkStart w:id="687" w:name="_Toc149720834"/>
      <w:bookmarkStart w:id="688" w:name="_Toc164229382"/>
      <w:bookmarkStart w:id="689" w:name="_Toc150480779"/>
      <w:bookmarkStart w:id="690" w:name="_Toc226309785"/>
      <w:bookmarkStart w:id="691" w:name="_Toc151193711"/>
      <w:bookmarkStart w:id="692" w:name="_Toc164608810"/>
      <w:bookmarkStart w:id="693" w:name="_Toc142311043"/>
      <w:bookmarkStart w:id="694" w:name="_Toc151193855"/>
      <w:bookmarkStart w:id="695" w:name="_Toc127151541"/>
      <w:bookmarkStart w:id="696" w:name="_Toc150774746"/>
      <w:bookmarkStart w:id="697" w:name="_Toc151193929"/>
      <w:bookmarkStart w:id="698" w:name="_Toc305158809"/>
      <w:bookmarkStart w:id="699" w:name="_Toc226337237"/>
      <w:bookmarkStart w:id="700" w:name="_Toc226965814"/>
      <w:bookmarkStart w:id="701" w:name="_Toc226965731"/>
      <w:bookmarkStart w:id="702" w:name="_Toc151190168"/>
      <w:bookmarkStart w:id="703" w:name="_Toc127151742"/>
      <w:bookmarkStart w:id="704" w:name="_Toc151193783"/>
      <w:bookmarkStart w:id="705" w:name="_Toc150509292"/>
      <w:bookmarkStart w:id="706" w:name="_Toc195842906"/>
      <w:bookmarkStart w:id="707" w:name="_Toc265228379"/>
      <w:bookmarkStart w:id="708" w:name="_Toc164229236"/>
      <w:bookmarkStart w:id="709" w:name="_Toc127161455"/>
      <w:bookmarkStart w:id="710" w:name="_Toc305158883"/>
      <w:bookmarkStart w:id="711" w:name="_Toc164351635"/>
      <w:bookmarkStart w:id="712" w:name="_Toc164608655"/>
      <w:bookmarkStart w:id="713" w:name="_Toc151193639"/>
      <w:bookmarkStart w:id="714" w:name="_Toc264969231"/>
      <w:bookmarkStart w:id="715" w:name="_Toc150774641"/>
      <w:bookmarkStart w:id="716" w:name="_Toc353873941"/>
      <w:bookmarkStart w:id="717" w:name="_Toc353825551"/>
      <w:bookmarkStart w:id="718" w:name="_Toc150480793"/>
      <w:bookmarkStart w:id="719" w:name="_Toc353873935"/>
      <w:bookmarkStart w:id="720" w:name="_Toc150774760"/>
      <w:bookmarkStart w:id="721" w:name="_Toc142311057"/>
      <w:bookmarkStart w:id="722" w:name="_Toc353825545"/>
      <w:bookmarkStart w:id="723" w:name="_Toc226965828"/>
      <w:bookmarkStart w:id="724" w:name="_Toc264969245"/>
      <w:bookmarkStart w:id="725" w:name="_Toc305158897"/>
      <w:bookmarkStart w:id="726" w:name="_Toc127151555"/>
      <w:bookmarkStart w:id="727" w:name="_Toc353873665"/>
      <w:bookmarkStart w:id="728" w:name="_Toc305158823"/>
      <w:bookmarkStart w:id="729" w:name="_Toc265228393"/>
      <w:bookmarkStart w:id="730" w:name="_Toc195842920"/>
      <w:bookmarkStart w:id="731" w:name="_Toc226337251"/>
      <w:r>
        <w:rPr>
          <w:rFonts w:hint="eastAsia" w:ascii="宋体" w:hAnsi="宋体" w:cs="宋体"/>
          <w:snapToGrid w:val="0"/>
          <w:kern w:val="0"/>
          <w:sz w:val="24"/>
        </w:rPr>
        <w:t>1   投标文件的符合性审查</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4BE85CF4">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1.1评标委员会对资格审查合格的投标人的投标文件进行符合性审查，以确定其是否满足招标文件的实质性要求。</w:t>
      </w:r>
      <w:bookmarkStart w:id="732" w:name="_Toc520356167"/>
    </w:p>
    <w:p w14:paraId="2C42CB51">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32"/>
      <w:r>
        <w:rPr>
          <w:rFonts w:hint="eastAsia" w:ascii="宋体" w:hAnsi="宋体" w:cs="宋体"/>
          <w:snapToGrid w:val="0"/>
          <w:kern w:val="0"/>
          <w:sz w:val="24"/>
        </w:rPr>
        <w:t>要求的，</w:t>
      </w:r>
      <w:r>
        <w:rPr>
          <w:rFonts w:hint="eastAsia" w:ascii="宋体" w:hAnsi="宋体" w:cs="宋体"/>
          <w:b/>
          <w:snapToGrid w:val="0"/>
          <w:kern w:val="0"/>
          <w:sz w:val="24"/>
        </w:rPr>
        <w:t>投标无效</w:t>
      </w:r>
      <w:r>
        <w:rPr>
          <w:rFonts w:hint="eastAsia" w:ascii="宋体" w:hAnsi="宋体" w:cs="宋体"/>
          <w:snapToGrid w:val="0"/>
          <w:kern w:val="0"/>
          <w:sz w:val="24"/>
        </w:rPr>
        <w:t>。</w:t>
      </w:r>
    </w:p>
    <w:p w14:paraId="197EB1A1">
      <w:pPr>
        <w:tabs>
          <w:tab w:val="left" w:pos="900"/>
          <w:tab w:val="left" w:pos="1080"/>
          <w:tab w:val="left" w:pos="1589"/>
        </w:tabs>
        <w:snapToGrid w:val="0"/>
        <w:spacing w:line="360" w:lineRule="auto"/>
        <w:ind w:right="31" w:rightChars="15"/>
        <w:jc w:val="center"/>
        <w:rPr>
          <w:rFonts w:hint="eastAsia" w:ascii="宋体" w:hAnsi="宋体" w:cs="宋体"/>
          <w:b/>
          <w:snapToGrid w:val="0"/>
          <w:color w:val="000000"/>
          <w:kern w:val="0"/>
          <w:sz w:val="24"/>
        </w:rPr>
      </w:pPr>
      <w:r>
        <w:rPr>
          <w:rFonts w:hint="eastAsia" w:ascii="宋体" w:hAnsi="宋体" w:cs="宋体"/>
          <w:b/>
          <w:snapToGrid w:val="0"/>
          <w:kern w:val="0"/>
          <w:sz w:val="24"/>
        </w:rPr>
        <w:t>符合性审查要求</w:t>
      </w:r>
    </w:p>
    <w:tbl>
      <w:tblPr>
        <w:tblStyle w:val="47"/>
        <w:tblW w:w="54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62"/>
        <w:gridCol w:w="6911"/>
      </w:tblGrid>
      <w:tr w14:paraId="4BD3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9" w:type="pct"/>
            <w:vAlign w:val="center"/>
          </w:tcPr>
          <w:p w14:paraId="2C7120BE">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898" w:type="pct"/>
            <w:vAlign w:val="center"/>
          </w:tcPr>
          <w:p w14:paraId="0B01D5CB">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3733" w:type="pct"/>
            <w:vAlign w:val="center"/>
          </w:tcPr>
          <w:p w14:paraId="60738C22">
            <w:pPr>
              <w:widowControl/>
              <w:jc w:val="center"/>
              <w:rPr>
                <w:rFonts w:hint="eastAsia" w:ascii="宋体" w:hAnsi="宋体" w:cs="宋体"/>
                <w:b/>
                <w:color w:val="000000"/>
                <w:kern w:val="0"/>
                <w:szCs w:val="21"/>
              </w:rPr>
            </w:pPr>
            <w:r>
              <w:rPr>
                <w:rFonts w:hint="eastAsia" w:ascii="宋体" w:hAnsi="宋体" w:cs="宋体"/>
                <w:b/>
                <w:color w:val="000000"/>
                <w:kern w:val="0"/>
                <w:szCs w:val="21"/>
              </w:rPr>
              <w:t>审查内容</w:t>
            </w:r>
          </w:p>
        </w:tc>
      </w:tr>
      <w:tr w14:paraId="11B5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69" w:type="pct"/>
            <w:vAlign w:val="center"/>
          </w:tcPr>
          <w:p w14:paraId="1B71133F">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98" w:type="pct"/>
            <w:vAlign w:val="center"/>
          </w:tcPr>
          <w:p w14:paraId="5BFC14F4">
            <w:pPr>
              <w:widowControl/>
              <w:jc w:val="left"/>
              <w:rPr>
                <w:rFonts w:hint="eastAsia" w:ascii="宋体" w:hAnsi="宋体" w:cs="宋体"/>
                <w:color w:val="000000"/>
                <w:kern w:val="0"/>
                <w:szCs w:val="21"/>
              </w:rPr>
            </w:pPr>
            <w:r>
              <w:rPr>
                <w:rFonts w:hint="eastAsia" w:ascii="宋体" w:hAnsi="宋体" w:cs="宋体"/>
                <w:color w:val="000000"/>
                <w:kern w:val="0"/>
                <w:szCs w:val="21"/>
              </w:rPr>
              <w:t>授权委托书</w:t>
            </w:r>
          </w:p>
        </w:tc>
        <w:tc>
          <w:tcPr>
            <w:tcW w:w="3733" w:type="pct"/>
            <w:vAlign w:val="center"/>
          </w:tcPr>
          <w:p w14:paraId="70BCAFE7">
            <w:pPr>
              <w:widowControl/>
              <w:jc w:val="left"/>
              <w:rPr>
                <w:rFonts w:hint="eastAsia" w:ascii="宋体" w:hAnsi="宋体" w:cs="宋体"/>
                <w:color w:val="000000"/>
                <w:kern w:val="0"/>
                <w:szCs w:val="21"/>
              </w:rPr>
            </w:pPr>
            <w:r>
              <w:rPr>
                <w:rFonts w:hint="eastAsia" w:ascii="宋体" w:hAnsi="宋体" w:cs="宋体"/>
                <w:szCs w:val="21"/>
              </w:rPr>
              <w:t>按招标文件要求提供授权委托书；</w:t>
            </w:r>
          </w:p>
        </w:tc>
      </w:tr>
      <w:tr w14:paraId="01A9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vAlign w:val="center"/>
          </w:tcPr>
          <w:p w14:paraId="6AC93671">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898" w:type="pct"/>
            <w:vAlign w:val="center"/>
          </w:tcPr>
          <w:p w14:paraId="443A8FBA">
            <w:pPr>
              <w:widowControl/>
              <w:jc w:val="left"/>
              <w:rPr>
                <w:rFonts w:hint="eastAsia" w:ascii="宋体" w:hAnsi="宋体" w:cs="宋体"/>
                <w:color w:val="000000"/>
                <w:kern w:val="0"/>
                <w:szCs w:val="21"/>
              </w:rPr>
            </w:pPr>
            <w:r>
              <w:rPr>
                <w:rFonts w:hint="eastAsia" w:ascii="宋体" w:hAnsi="宋体" w:cs="宋体"/>
                <w:color w:val="000000"/>
                <w:kern w:val="0"/>
                <w:szCs w:val="21"/>
              </w:rPr>
              <w:t>投标完整性</w:t>
            </w:r>
          </w:p>
        </w:tc>
        <w:tc>
          <w:tcPr>
            <w:tcW w:w="3733" w:type="pct"/>
            <w:vAlign w:val="center"/>
          </w:tcPr>
          <w:p w14:paraId="15A8A405">
            <w:pPr>
              <w:widowControl/>
              <w:jc w:val="left"/>
              <w:rPr>
                <w:rFonts w:hint="eastAsia" w:ascii="宋体" w:hAnsi="宋体" w:cs="宋体"/>
                <w:color w:val="000000"/>
                <w:kern w:val="0"/>
                <w:szCs w:val="21"/>
              </w:rPr>
            </w:pPr>
            <w:r>
              <w:rPr>
                <w:rFonts w:hint="eastAsia" w:ascii="宋体" w:hAnsi="宋体" w:cs="宋体"/>
                <w:szCs w:val="21"/>
              </w:rPr>
              <w:t>未将一个采购包中的内容拆开投标；</w:t>
            </w:r>
          </w:p>
        </w:tc>
      </w:tr>
      <w:tr w14:paraId="7679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69" w:type="pct"/>
            <w:vAlign w:val="center"/>
          </w:tcPr>
          <w:p w14:paraId="4F161C8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898" w:type="pct"/>
            <w:vAlign w:val="center"/>
          </w:tcPr>
          <w:p w14:paraId="1E528AF2">
            <w:pPr>
              <w:widowControl/>
              <w:jc w:val="left"/>
              <w:rPr>
                <w:rFonts w:hint="eastAsia" w:ascii="宋体" w:hAnsi="宋体" w:cs="宋体"/>
                <w:color w:val="000000"/>
                <w:kern w:val="0"/>
                <w:szCs w:val="21"/>
              </w:rPr>
            </w:pPr>
            <w:r>
              <w:rPr>
                <w:rFonts w:hint="eastAsia" w:ascii="宋体" w:hAnsi="宋体" w:cs="宋体"/>
                <w:color w:val="000000"/>
                <w:kern w:val="0"/>
                <w:szCs w:val="21"/>
              </w:rPr>
              <w:t>投标报价</w:t>
            </w:r>
          </w:p>
        </w:tc>
        <w:tc>
          <w:tcPr>
            <w:tcW w:w="3733" w:type="pct"/>
            <w:vAlign w:val="center"/>
          </w:tcPr>
          <w:p w14:paraId="5FA9218E">
            <w:pPr>
              <w:widowControl/>
              <w:jc w:val="left"/>
              <w:rPr>
                <w:rFonts w:hint="eastAsia" w:ascii="宋体" w:hAnsi="宋体" w:cs="宋体"/>
                <w:color w:val="000000"/>
                <w:kern w:val="0"/>
                <w:szCs w:val="21"/>
              </w:rPr>
            </w:pPr>
            <w:r>
              <w:rPr>
                <w:rFonts w:hint="eastAsia" w:ascii="宋体" w:hAnsi="宋体" w:cs="宋体"/>
                <w:color w:val="000000"/>
                <w:kern w:val="0"/>
                <w:szCs w:val="21"/>
              </w:rPr>
              <w:t>投标报价未</w:t>
            </w:r>
            <w:r>
              <w:rPr>
                <w:rFonts w:hint="eastAsia" w:ascii="宋体" w:hAnsi="宋体" w:cs="宋体"/>
                <w:color w:val="000000"/>
                <w:szCs w:val="21"/>
              </w:rPr>
              <w:t>超过招标文件中规定的项目/采购包预算金额或者项目/采购包最高限价</w:t>
            </w:r>
            <w:r>
              <w:rPr>
                <w:rFonts w:hint="eastAsia" w:ascii="宋体" w:hAnsi="宋体" w:cs="宋体"/>
                <w:color w:val="000000"/>
                <w:kern w:val="0"/>
                <w:szCs w:val="21"/>
              </w:rPr>
              <w:t>；</w:t>
            </w:r>
          </w:p>
        </w:tc>
      </w:tr>
      <w:tr w14:paraId="719D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69" w:type="pct"/>
            <w:vAlign w:val="center"/>
          </w:tcPr>
          <w:p w14:paraId="22EF6679">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898" w:type="pct"/>
            <w:vAlign w:val="center"/>
          </w:tcPr>
          <w:p w14:paraId="553B00CE">
            <w:pPr>
              <w:widowControl/>
              <w:jc w:val="left"/>
              <w:rPr>
                <w:rFonts w:hint="eastAsia" w:ascii="宋体" w:hAnsi="宋体" w:cs="宋体"/>
                <w:color w:val="000000"/>
                <w:kern w:val="0"/>
                <w:szCs w:val="21"/>
              </w:rPr>
            </w:pPr>
            <w:r>
              <w:rPr>
                <w:rFonts w:hint="eastAsia" w:ascii="宋体" w:hAnsi="宋体" w:cs="宋体"/>
                <w:color w:val="000000"/>
                <w:kern w:val="0"/>
                <w:szCs w:val="21"/>
              </w:rPr>
              <w:t>报价唯一性</w:t>
            </w:r>
          </w:p>
        </w:tc>
        <w:tc>
          <w:tcPr>
            <w:tcW w:w="3733" w:type="pct"/>
            <w:vAlign w:val="center"/>
          </w:tcPr>
          <w:p w14:paraId="539AB84D">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w:t>
            </w:r>
            <w:r>
              <w:rPr>
                <w:rFonts w:hint="eastAsia" w:ascii="宋体" w:hAnsi="宋体" w:cs="宋体"/>
                <w:szCs w:val="21"/>
              </w:rPr>
              <w:t>出现可选择性或可调整的报价（招标文件另有规定的除外）</w:t>
            </w:r>
            <w:r>
              <w:rPr>
                <w:rFonts w:hint="eastAsia" w:ascii="宋体" w:hAnsi="宋体" w:cs="宋体"/>
                <w:color w:val="000000"/>
                <w:kern w:val="0"/>
                <w:szCs w:val="21"/>
              </w:rPr>
              <w:t>；</w:t>
            </w:r>
          </w:p>
        </w:tc>
      </w:tr>
      <w:tr w14:paraId="6BC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69" w:type="pct"/>
            <w:vAlign w:val="center"/>
          </w:tcPr>
          <w:p w14:paraId="375A3441">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898" w:type="pct"/>
            <w:vAlign w:val="center"/>
          </w:tcPr>
          <w:p w14:paraId="1A936DF8">
            <w:pPr>
              <w:widowControl/>
              <w:jc w:val="left"/>
              <w:rPr>
                <w:rFonts w:hint="eastAsia" w:ascii="宋体" w:hAnsi="宋体" w:cs="宋体"/>
                <w:color w:val="000000"/>
                <w:kern w:val="0"/>
                <w:szCs w:val="21"/>
              </w:rPr>
            </w:pPr>
            <w:r>
              <w:rPr>
                <w:rFonts w:hint="eastAsia" w:ascii="宋体" w:hAnsi="宋体" w:cs="宋体"/>
                <w:color w:val="000000"/>
                <w:kern w:val="0"/>
                <w:szCs w:val="21"/>
              </w:rPr>
              <w:t>投标有效期</w:t>
            </w:r>
          </w:p>
        </w:tc>
        <w:tc>
          <w:tcPr>
            <w:tcW w:w="3733" w:type="pct"/>
            <w:vAlign w:val="center"/>
          </w:tcPr>
          <w:p w14:paraId="24EE7A18">
            <w:pPr>
              <w:widowControl/>
              <w:jc w:val="left"/>
              <w:rPr>
                <w:rFonts w:hint="eastAsia" w:ascii="宋体" w:hAnsi="宋体" w:cs="宋体"/>
                <w:color w:val="000000"/>
                <w:kern w:val="0"/>
                <w:szCs w:val="21"/>
              </w:rPr>
            </w:pPr>
            <w:r>
              <w:rPr>
                <w:rFonts w:hint="eastAsia" w:ascii="宋体" w:hAnsi="宋体" w:cs="宋体"/>
                <w:color w:val="000000"/>
                <w:kern w:val="0"/>
                <w:szCs w:val="21"/>
              </w:rPr>
              <w:t>投标文件中承诺的投标有效期满足招标文件中载明的投标有效期的；</w:t>
            </w:r>
          </w:p>
        </w:tc>
      </w:tr>
      <w:tr w14:paraId="213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69" w:type="pct"/>
            <w:vAlign w:val="center"/>
          </w:tcPr>
          <w:p w14:paraId="7274E05D">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898" w:type="pct"/>
            <w:vAlign w:val="center"/>
          </w:tcPr>
          <w:p w14:paraId="08D055FC">
            <w:pPr>
              <w:widowControl/>
              <w:jc w:val="left"/>
              <w:rPr>
                <w:rFonts w:hint="eastAsia" w:ascii="宋体" w:hAnsi="宋体" w:cs="宋体"/>
                <w:color w:val="000000"/>
                <w:kern w:val="0"/>
                <w:szCs w:val="21"/>
              </w:rPr>
            </w:pPr>
            <w:r>
              <w:rPr>
                <w:rFonts w:hint="eastAsia" w:ascii="宋体" w:hAnsi="宋体" w:cs="宋体"/>
                <w:color w:val="000000"/>
                <w:kern w:val="0"/>
                <w:szCs w:val="21"/>
              </w:rPr>
              <w:t>实质性格式</w:t>
            </w:r>
          </w:p>
        </w:tc>
        <w:tc>
          <w:tcPr>
            <w:tcW w:w="3733" w:type="pct"/>
            <w:vAlign w:val="center"/>
          </w:tcPr>
          <w:p w14:paraId="3B7F6450">
            <w:pPr>
              <w:widowControl/>
              <w:jc w:val="left"/>
              <w:rPr>
                <w:rFonts w:hint="eastAsia" w:ascii="宋体" w:hAnsi="宋体" w:cs="宋体"/>
                <w:color w:val="000000"/>
                <w:kern w:val="0"/>
                <w:szCs w:val="21"/>
              </w:rPr>
            </w:pPr>
            <w:r>
              <w:rPr>
                <w:rFonts w:ascii="宋体" w:hAnsi="宋体" w:cs="宋体"/>
                <w:kern w:val="0"/>
                <w:szCs w:val="21"/>
              </w:rPr>
              <w:t>标记为“实质性格式”的文件均按招标文件要求提供且签署、盖章的；</w:t>
            </w:r>
          </w:p>
        </w:tc>
      </w:tr>
      <w:tr w14:paraId="327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69" w:type="pct"/>
            <w:vAlign w:val="center"/>
          </w:tcPr>
          <w:p w14:paraId="0062EDA8">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898" w:type="pct"/>
            <w:vAlign w:val="center"/>
          </w:tcPr>
          <w:p w14:paraId="6E4404F8">
            <w:pPr>
              <w:widowControl/>
              <w:jc w:val="left"/>
              <w:rPr>
                <w:rFonts w:hint="eastAsia" w:ascii="宋体" w:hAnsi="宋体" w:cs="宋体"/>
                <w:color w:val="000000"/>
                <w:kern w:val="0"/>
                <w:szCs w:val="21"/>
              </w:rPr>
            </w:pPr>
            <w:r>
              <w:rPr>
                <w:rFonts w:hint="eastAsia" w:ascii="宋体" w:hAnsi="宋体" w:cs="宋体"/>
                <w:color w:val="000000"/>
                <w:kern w:val="0"/>
                <w:szCs w:val="21"/>
              </w:rPr>
              <w:t>报价的修正（如有）</w:t>
            </w:r>
          </w:p>
        </w:tc>
        <w:tc>
          <w:tcPr>
            <w:tcW w:w="3733" w:type="pct"/>
            <w:vAlign w:val="center"/>
          </w:tcPr>
          <w:p w14:paraId="427F8E1D">
            <w:pPr>
              <w:widowControl/>
              <w:jc w:val="left"/>
              <w:rPr>
                <w:rFonts w:hint="eastAsia" w:ascii="宋体" w:hAnsi="宋体" w:cs="宋体"/>
                <w:color w:val="000000"/>
                <w:kern w:val="0"/>
                <w:szCs w:val="21"/>
              </w:rPr>
            </w:pPr>
            <w:r>
              <w:rPr>
                <w:rFonts w:hint="eastAsia" w:ascii="宋体" w:hAnsi="宋体" w:cs="宋体"/>
                <w:color w:val="000000"/>
                <w:kern w:val="0"/>
                <w:szCs w:val="21"/>
              </w:rPr>
              <w:t>不涉及报价修正，或投标文件报价出现前后不一致时，投标人对修正后的报价予以确认；（如有）</w:t>
            </w:r>
          </w:p>
        </w:tc>
      </w:tr>
      <w:tr w14:paraId="726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69" w:type="pct"/>
            <w:vAlign w:val="center"/>
          </w:tcPr>
          <w:p w14:paraId="515B6134">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898" w:type="pct"/>
            <w:vAlign w:val="center"/>
          </w:tcPr>
          <w:p w14:paraId="39ACDC30">
            <w:pPr>
              <w:widowControl/>
              <w:jc w:val="left"/>
              <w:rPr>
                <w:rFonts w:hint="eastAsia" w:ascii="宋体" w:hAnsi="宋体" w:cs="宋体"/>
                <w:color w:val="000000"/>
                <w:kern w:val="0"/>
                <w:szCs w:val="21"/>
              </w:rPr>
            </w:pPr>
            <w:r>
              <w:rPr>
                <w:rFonts w:hint="eastAsia" w:ascii="宋体" w:hAnsi="宋体" w:cs="宋体"/>
                <w:color w:val="000000"/>
                <w:kern w:val="0"/>
                <w:szCs w:val="21"/>
              </w:rPr>
              <w:t>报价合理性</w:t>
            </w:r>
          </w:p>
        </w:tc>
        <w:tc>
          <w:tcPr>
            <w:tcW w:w="3733" w:type="pct"/>
            <w:vAlign w:val="center"/>
          </w:tcPr>
          <w:p w14:paraId="3787DE2D">
            <w:pPr>
              <w:widowControl/>
              <w:jc w:val="left"/>
              <w:rPr>
                <w:rFonts w:hint="eastAsia" w:ascii="宋体" w:hAnsi="宋体" w:eastAsia="宋体" w:cs="宋体"/>
                <w:color w:val="000000"/>
                <w:kern w:val="0"/>
                <w:szCs w:val="21"/>
                <w:lang w:val="en-US" w:eastAsia="zh-CN"/>
              </w:rPr>
            </w:pPr>
            <w:r>
              <w:rPr>
                <w:rFonts w:hint="eastAsia"/>
              </w:rPr>
              <w:t>报价合理，或投标人的报价明显低于其他通过符合性审查投标人的报价，有可能影响产品质量或者不能诚信履约的，能够应评标委员会要求在规定时间内证明其报价合理性的。</w:t>
            </w:r>
            <w:r>
              <w:rPr>
                <w:rFonts w:hint="eastAsia"/>
                <w:lang w:eastAsia="zh-CN"/>
              </w:rPr>
              <w:t>（</w:t>
            </w:r>
            <w:r>
              <w:rPr>
                <w:rFonts w:hint="eastAsia"/>
                <w:lang w:val="en-US" w:eastAsia="zh-CN"/>
              </w:rPr>
              <w:t>关于异常低价的认定相关政策：关于在相关自由贸易试验区和自由贸易港开展推动解决政府采购异常低价问题试点工作的通知、</w:t>
            </w:r>
            <w:r>
              <w:rPr>
                <w:rFonts w:hint="eastAsia"/>
              </w:rPr>
              <w:t>财办库〔2024〕265号</w:t>
            </w:r>
            <w:r>
              <w:rPr>
                <w:rFonts w:hint="eastAsia"/>
                <w:lang w:eastAsia="zh-CN"/>
              </w:rPr>
              <w:t>）</w:t>
            </w:r>
          </w:p>
        </w:tc>
      </w:tr>
      <w:tr w14:paraId="57D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63F98D3F">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898" w:type="pct"/>
            <w:vAlign w:val="center"/>
          </w:tcPr>
          <w:p w14:paraId="77AC9435">
            <w:pPr>
              <w:widowControl/>
              <w:jc w:val="left"/>
              <w:rPr>
                <w:rFonts w:hint="eastAsia" w:ascii="宋体" w:hAnsi="宋体" w:cs="宋体"/>
                <w:color w:val="000000"/>
                <w:kern w:val="0"/>
                <w:szCs w:val="21"/>
              </w:rPr>
            </w:pPr>
            <w:r>
              <w:rPr>
                <w:rFonts w:hint="eastAsia" w:ascii="宋体" w:hAnsi="宋体" w:cs="宋体"/>
                <w:color w:val="000000"/>
                <w:kern w:val="0"/>
                <w:szCs w:val="21"/>
              </w:rPr>
              <w:t>公平竞争</w:t>
            </w:r>
          </w:p>
        </w:tc>
        <w:tc>
          <w:tcPr>
            <w:tcW w:w="3733" w:type="pct"/>
            <w:vAlign w:val="center"/>
          </w:tcPr>
          <w:p w14:paraId="32BEABCB">
            <w:pPr>
              <w:widowControl/>
              <w:jc w:val="left"/>
              <w:rPr>
                <w:rFonts w:hint="eastAsia" w:ascii="宋体" w:hAnsi="宋体" w:cs="宋体"/>
                <w:color w:val="000000"/>
                <w:kern w:val="0"/>
                <w:szCs w:val="21"/>
              </w:rPr>
            </w:pPr>
            <w:r>
              <w:rPr>
                <w:rFonts w:hint="eastAsia" w:ascii="宋体" w:hAnsi="宋体" w:cs="宋体"/>
                <w:color w:val="000000"/>
                <w:szCs w:val="21"/>
              </w:rPr>
              <w:t>投标人遵循公平竞争的原则，不存在恶意串通，妨碍其他投标人的竞争行为，不存在损害采购人或者其他投标人的合法权益情形的；</w:t>
            </w:r>
          </w:p>
        </w:tc>
      </w:tr>
      <w:tr w14:paraId="016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135DCA96">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898" w:type="pct"/>
            <w:vAlign w:val="center"/>
          </w:tcPr>
          <w:p w14:paraId="10319883">
            <w:pPr>
              <w:widowControl/>
              <w:jc w:val="left"/>
              <w:rPr>
                <w:rFonts w:hint="eastAsia" w:ascii="宋体" w:hAnsi="宋体" w:cs="宋体"/>
                <w:color w:val="000000"/>
                <w:kern w:val="0"/>
                <w:szCs w:val="21"/>
              </w:rPr>
            </w:pPr>
            <w:r>
              <w:rPr>
                <w:rFonts w:hint="eastAsia" w:ascii="宋体" w:hAnsi="宋体" w:cs="宋体"/>
                <w:color w:val="000000"/>
                <w:kern w:val="0"/>
                <w:szCs w:val="21"/>
              </w:rPr>
              <w:t>串通投标</w:t>
            </w:r>
          </w:p>
        </w:tc>
        <w:tc>
          <w:tcPr>
            <w:tcW w:w="3733" w:type="pct"/>
            <w:vAlign w:val="center"/>
          </w:tcPr>
          <w:p w14:paraId="59B4A005">
            <w:pPr>
              <w:widowControl/>
              <w:jc w:val="left"/>
              <w:rPr>
                <w:rFonts w:hint="eastAsia" w:ascii="宋体" w:hAnsi="宋体" w:cs="宋体"/>
                <w:color w:val="000000"/>
                <w:kern w:val="0"/>
                <w:szCs w:val="21"/>
              </w:rPr>
            </w:pPr>
            <w:r>
              <w:rPr>
                <w:rFonts w:hint="eastAsia" w:ascii="宋体" w:hAnsi="宋体" w:cs="宋体"/>
                <w:color w:val="000000"/>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4272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21028290">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898" w:type="pct"/>
            <w:vAlign w:val="center"/>
          </w:tcPr>
          <w:p w14:paraId="7857883B">
            <w:pPr>
              <w:widowControl/>
              <w:jc w:val="left"/>
              <w:rPr>
                <w:rFonts w:hint="eastAsia" w:ascii="宋体" w:hAnsi="宋体" w:cs="宋体"/>
                <w:color w:val="000000"/>
                <w:kern w:val="0"/>
                <w:szCs w:val="21"/>
              </w:rPr>
            </w:pPr>
            <w:r>
              <w:rPr>
                <w:rFonts w:hint="eastAsia" w:ascii="宋体" w:hAnsi="宋体" w:cs="宋体"/>
                <w:color w:val="000000"/>
                <w:kern w:val="0"/>
                <w:szCs w:val="21"/>
              </w:rPr>
              <w:t>附加条件</w:t>
            </w:r>
          </w:p>
        </w:tc>
        <w:tc>
          <w:tcPr>
            <w:tcW w:w="3733" w:type="pct"/>
            <w:vAlign w:val="center"/>
          </w:tcPr>
          <w:p w14:paraId="5112346F">
            <w:pPr>
              <w:widowControl/>
              <w:jc w:val="left"/>
              <w:rPr>
                <w:rFonts w:hint="eastAsia" w:ascii="宋体" w:hAnsi="宋体" w:cs="宋体"/>
                <w:color w:val="000000"/>
                <w:kern w:val="0"/>
                <w:szCs w:val="21"/>
              </w:rPr>
            </w:pPr>
            <w:r>
              <w:rPr>
                <w:rFonts w:hint="eastAsia" w:ascii="宋体" w:hAnsi="宋体" w:cs="宋体"/>
                <w:color w:val="000000"/>
                <w:kern w:val="0"/>
                <w:szCs w:val="21"/>
              </w:rPr>
              <w:t>投标文件未含有采购人不能接受的附加条件的；</w:t>
            </w:r>
          </w:p>
        </w:tc>
      </w:tr>
      <w:tr w14:paraId="315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9" w:type="pct"/>
            <w:vAlign w:val="center"/>
          </w:tcPr>
          <w:p w14:paraId="39A37423">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898" w:type="pct"/>
            <w:vAlign w:val="center"/>
          </w:tcPr>
          <w:p w14:paraId="4EAB306A">
            <w:pPr>
              <w:widowControl/>
              <w:jc w:val="left"/>
              <w:rPr>
                <w:rFonts w:hint="eastAsia" w:ascii="宋体" w:hAnsi="宋体" w:cs="宋体"/>
                <w:color w:val="000000"/>
                <w:kern w:val="0"/>
                <w:szCs w:val="21"/>
              </w:rPr>
            </w:pPr>
            <w:r>
              <w:rPr>
                <w:rFonts w:hint="eastAsia" w:ascii="宋体" w:hAnsi="宋体" w:cs="宋体"/>
                <w:color w:val="000000"/>
                <w:kern w:val="0"/>
                <w:szCs w:val="21"/>
              </w:rPr>
              <w:t>其他无效情形</w:t>
            </w:r>
          </w:p>
        </w:tc>
        <w:tc>
          <w:tcPr>
            <w:tcW w:w="3733" w:type="pct"/>
            <w:vAlign w:val="center"/>
          </w:tcPr>
          <w:p w14:paraId="186D3A36">
            <w:pPr>
              <w:widowControl/>
              <w:jc w:val="left"/>
              <w:rPr>
                <w:rFonts w:hint="eastAsia" w:ascii="宋体" w:hAnsi="宋体" w:cs="宋体"/>
                <w:color w:val="000000"/>
                <w:kern w:val="0"/>
                <w:szCs w:val="21"/>
              </w:rPr>
            </w:pPr>
            <w:r>
              <w:rPr>
                <w:rFonts w:hint="eastAsia" w:ascii="宋体" w:hAnsi="宋体" w:cs="宋体"/>
                <w:color w:val="000000"/>
                <w:szCs w:val="21"/>
              </w:rPr>
              <w:t>投标人、投标文件不存在不符合法律、法规和招标文件规定的其他无效情形。</w:t>
            </w:r>
          </w:p>
        </w:tc>
      </w:tr>
    </w:tbl>
    <w:p w14:paraId="21939987">
      <w:pPr>
        <w:numPr>
          <w:ilvl w:val="0"/>
          <w:numId w:val="10"/>
        </w:numPr>
        <w:tabs>
          <w:tab w:val="left" w:pos="1080"/>
          <w:tab w:val="left" w:pos="1589"/>
        </w:tabs>
        <w:snapToGrid w:val="0"/>
        <w:spacing w:line="360" w:lineRule="auto"/>
        <w:ind w:left="0" w:right="31" w:rightChars="15" w:firstLine="0"/>
        <w:rPr>
          <w:rFonts w:hint="eastAsia" w:ascii="宋体" w:hAnsi="宋体" w:cs="宋体"/>
          <w:snapToGrid w:val="0"/>
          <w:kern w:val="0"/>
          <w:sz w:val="24"/>
        </w:rPr>
        <w:sectPr>
          <w:pgSz w:w="11907" w:h="16840"/>
          <w:pgMar w:top="1440" w:right="1800" w:bottom="1440" w:left="1800" w:header="851" w:footer="851" w:gutter="0"/>
          <w:cols w:space="720" w:num="1"/>
          <w:docGrid w:linePitch="462" w:charSpace="0"/>
        </w:sectPr>
      </w:pPr>
    </w:p>
    <w:p w14:paraId="367596DA">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2   投标文件有关事项的澄清或者说明</w:t>
      </w:r>
    </w:p>
    <w:p w14:paraId="5828F59F">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663B917">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napToGrid w:val="0"/>
          <w:kern w:val="0"/>
          <w:sz w:val="24"/>
        </w:rPr>
        <w:t>无效投标处理</w:t>
      </w:r>
      <w:r>
        <w:rPr>
          <w:rFonts w:hint="eastAsia" w:ascii="宋体" w:hAnsi="宋体" w:cs="宋体"/>
          <w:snapToGrid w:val="0"/>
          <w:kern w:val="0"/>
          <w:sz w:val="24"/>
        </w:rPr>
        <w:t>。</w:t>
      </w:r>
    </w:p>
    <w:p w14:paraId="2AC08983">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napToGrid w:val="0"/>
          <w:kern w:val="0"/>
          <w:sz w:val="24"/>
        </w:rPr>
        <w:t>投标无效</w:t>
      </w:r>
      <w:r>
        <w:rPr>
          <w:rFonts w:hint="eastAsia" w:ascii="宋体" w:hAnsi="宋体" w:cs="宋体"/>
          <w:snapToGrid w:val="0"/>
          <w:kern w:val="0"/>
          <w:sz w:val="24"/>
        </w:rPr>
        <w:t>。</w:t>
      </w:r>
    </w:p>
    <w:p w14:paraId="37683E7B">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2.4投标文件报价出现前后不一致的，按照下列规定修正：</w:t>
      </w:r>
    </w:p>
    <w:p w14:paraId="3531D0FF">
      <w:pPr>
        <w:tabs>
          <w:tab w:val="left" w:pos="1080"/>
          <w:tab w:val="left" w:pos="1589"/>
          <w:tab w:val="left" w:pos="2035"/>
          <w:tab w:val="left" w:pos="2114"/>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2.4.1招标文件对于报价修正是否另有规定：</w:t>
      </w:r>
    </w:p>
    <w:p w14:paraId="532B9815">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u w:val="single"/>
        </w:rPr>
      </w:pPr>
      <w:r>
        <w:rPr>
          <w:rFonts w:hint="eastAsia" w:ascii="宋体" w:hAnsi="宋体" w:cs="宋体"/>
          <w:snapToGrid w:val="0"/>
          <w:kern w:val="0"/>
          <w:sz w:val="24"/>
        </w:rPr>
        <w:t>□有，具体规定为：______________</w:t>
      </w:r>
    </w:p>
    <w:p w14:paraId="4A76487A">
      <w:pPr>
        <w:tabs>
          <w:tab w:val="left" w:pos="1080"/>
          <w:tab w:val="left" w:pos="1589"/>
          <w:tab w:val="left" w:pos="2035"/>
          <w:tab w:val="left" w:pos="2114"/>
        </w:tabs>
        <w:snapToGrid w:val="0"/>
        <w:spacing w:line="360" w:lineRule="auto"/>
        <w:ind w:right="31" w:rightChars="15" w:firstLine="1440" w:firstLineChars="600"/>
        <w:rPr>
          <w:rFonts w:hint="eastAsia" w:ascii="宋体" w:hAnsi="宋体" w:cs="宋体"/>
          <w:snapToGrid w:val="0"/>
          <w:kern w:val="0"/>
          <w:sz w:val="24"/>
        </w:rPr>
      </w:pPr>
      <w:r>
        <w:rPr>
          <w:rFonts w:hint="eastAsia" w:ascii="宋体" w:hAnsi="宋体" w:cs="宋体"/>
          <w:snapToGrid w:val="0"/>
          <w:kern w:val="0"/>
          <w:sz w:val="24"/>
        </w:rPr>
        <w:t>■无，按下述2.4.2-2.4.8规定修正。</w:t>
      </w:r>
    </w:p>
    <w:p w14:paraId="36C74AE9">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2.4.2投标文件中开标一览表（报价表）内容与投标文件中相应内容不一致的，以开标一览表（报价表）为准；</w:t>
      </w:r>
    </w:p>
    <w:p w14:paraId="16919747">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2.4.3大写金额和小写金额不一致的，以大写金额为准；</w:t>
      </w:r>
    </w:p>
    <w:p w14:paraId="6A652EF8">
      <w:pPr>
        <w:tabs>
          <w:tab w:val="left" w:pos="2035"/>
          <w:tab w:val="left" w:pos="2114"/>
          <w:tab w:val="left" w:pos="2977"/>
        </w:tabs>
        <w:snapToGrid w:val="0"/>
        <w:spacing w:line="360" w:lineRule="auto"/>
        <w:ind w:left="718" w:leftChars="342" w:right="31" w:rightChars="15"/>
        <w:rPr>
          <w:rFonts w:hint="eastAsia" w:ascii="宋体" w:hAnsi="宋体" w:cs="宋体"/>
          <w:snapToGrid w:val="0"/>
          <w:color w:val="000000"/>
          <w:kern w:val="0"/>
          <w:sz w:val="24"/>
        </w:rPr>
      </w:pPr>
      <w:r>
        <w:rPr>
          <w:rFonts w:hint="eastAsia" w:ascii="宋体" w:hAnsi="宋体" w:cs="宋体"/>
          <w:snapToGrid w:val="0"/>
          <w:color w:val="000000"/>
          <w:kern w:val="0"/>
          <w:sz w:val="24"/>
        </w:rPr>
        <w:t>2.4.4单价金额小数点或者百分比有明显错位的，以开标一览表的总价为准，并修改单价；</w:t>
      </w:r>
    </w:p>
    <w:p w14:paraId="46C7D86E">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2.4.5总价金额与按单价汇总金额不一致的，以单价金额计算结果为准。</w:t>
      </w:r>
    </w:p>
    <w:p w14:paraId="7BC6C2DB">
      <w:pPr>
        <w:tabs>
          <w:tab w:val="left" w:pos="2035"/>
          <w:tab w:val="left" w:pos="2114"/>
          <w:tab w:val="left" w:pos="2977"/>
        </w:tabs>
        <w:snapToGrid w:val="0"/>
        <w:spacing w:line="360" w:lineRule="auto"/>
        <w:ind w:right="31" w:rightChars="15" w:firstLine="720" w:firstLineChars="3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2.4.6 </w:t>
      </w:r>
      <w:r>
        <w:rPr>
          <w:rFonts w:ascii="宋体" w:hAnsi="宋体" w:cs="宋体"/>
          <w:snapToGrid w:val="0"/>
          <w:color w:val="000000"/>
          <w:kern w:val="0"/>
          <w:sz w:val="24"/>
        </w:rPr>
        <w:t>同时出现两种以上不一致的，按照前款规定的顺序修正</w:t>
      </w:r>
      <w:r>
        <w:rPr>
          <w:rFonts w:hint="eastAsia" w:ascii="宋体" w:hAnsi="宋体" w:cs="宋体"/>
          <w:snapToGrid w:val="0"/>
          <w:color w:val="000000"/>
          <w:kern w:val="0"/>
          <w:sz w:val="24"/>
        </w:rPr>
        <w:t>。</w:t>
      </w:r>
    </w:p>
    <w:p w14:paraId="132E5607">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2.4.7同时出现两种以上不一致的，按照前款规定的顺序修正。</w:t>
      </w:r>
    </w:p>
    <w:p w14:paraId="73A717CB">
      <w:pPr>
        <w:tabs>
          <w:tab w:val="left" w:pos="1080"/>
          <w:tab w:val="left" w:pos="1589"/>
          <w:tab w:val="left" w:pos="2035"/>
          <w:tab w:val="left" w:pos="21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2.4.8修正后的报价经投标人书面确认后产生约束力，投标人不确认的，其</w:t>
      </w:r>
      <w:r>
        <w:rPr>
          <w:rFonts w:hint="eastAsia" w:ascii="宋体" w:hAnsi="宋体" w:cs="宋体"/>
          <w:b/>
          <w:snapToGrid w:val="0"/>
          <w:kern w:val="0"/>
          <w:sz w:val="24"/>
        </w:rPr>
        <w:t>投标无效</w:t>
      </w:r>
      <w:r>
        <w:rPr>
          <w:rFonts w:hint="eastAsia" w:ascii="宋体" w:hAnsi="宋体" w:cs="宋体"/>
          <w:snapToGrid w:val="0"/>
          <w:kern w:val="0"/>
          <w:sz w:val="24"/>
        </w:rPr>
        <w:t>。</w:t>
      </w:r>
    </w:p>
    <w:p w14:paraId="6C48AAFF">
      <w:pPr>
        <w:tabs>
          <w:tab w:val="left" w:pos="1080"/>
        </w:tabs>
        <w:snapToGrid w:val="0"/>
        <w:spacing w:line="360" w:lineRule="auto"/>
        <w:ind w:left="638" w:leftChars="200" w:right="31" w:rightChars="15" w:hanging="218" w:hangingChars="91"/>
        <w:rPr>
          <w:rFonts w:hint="eastAsia" w:ascii="宋体" w:hAnsi="宋体" w:cs="宋体"/>
          <w:snapToGrid w:val="0"/>
          <w:kern w:val="0"/>
          <w:sz w:val="24"/>
        </w:rPr>
      </w:pPr>
      <w:r>
        <w:rPr>
          <w:rFonts w:hint="eastAsia" w:ascii="宋体" w:hAnsi="宋体" w:cs="宋体"/>
          <w:snapToGrid w:val="0"/>
          <w:kern w:val="0"/>
          <w:sz w:val="24"/>
        </w:rPr>
        <w:t>2.5落实政府采购政策的价格调整：只有符合第二章《投标人须知》5.2条     规定情形的，可以享受中小企业扶持政策，用扣除后的价格参加评审；否则，评标时价格不予扣除。</w:t>
      </w:r>
    </w:p>
    <w:p w14:paraId="3AD4FA57">
      <w:pPr>
        <w:tabs>
          <w:tab w:val="left" w:pos="1080"/>
          <w:tab w:val="left" w:pos="1589"/>
          <w:tab w:val="left" w:pos="2035"/>
        </w:tabs>
        <w:snapToGrid w:val="0"/>
        <w:spacing w:line="360" w:lineRule="auto"/>
        <w:ind w:left="1438" w:leftChars="342" w:right="31" w:rightChars="15" w:hanging="720" w:hangingChars="300"/>
      </w:pPr>
      <w:r>
        <w:rPr>
          <w:rFonts w:hint="eastAsia" w:ascii="宋体" w:hAnsi="宋体" w:cs="宋体"/>
          <w:snapToGrid w:val="0"/>
          <w:kern w:val="0"/>
          <w:sz w:val="24"/>
        </w:rPr>
        <w:t>2.5.1对于未预留份额专门面向中小企业采购的采购项目，以及预留份额项目中的非预留部分采购包，对小微企业报价给予</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10</w:t>
      </w:r>
      <w:r>
        <w:rPr>
          <w:rFonts w:hint="eastAsia" w:ascii="宋体" w:hAnsi="宋体" w:cs="宋体"/>
          <w:snapToGrid w:val="0"/>
          <w:kern w:val="0"/>
          <w:sz w:val="24"/>
          <w:u w:val="single"/>
        </w:rPr>
        <w:t xml:space="preserve"> </w:t>
      </w:r>
      <w:r>
        <w:rPr>
          <w:rFonts w:hint="eastAsia" w:ascii="宋体" w:hAnsi="宋体" w:cs="宋体"/>
          <w:snapToGrid w:val="0"/>
          <w:kern w:val="0"/>
          <w:sz w:val="24"/>
        </w:rPr>
        <w:t>%的扣除，用扣除后的价格参加评审。</w:t>
      </w:r>
    </w:p>
    <w:p w14:paraId="17949F45">
      <w:pPr>
        <w:tabs>
          <w:tab w:val="left" w:pos="1080"/>
          <w:tab w:val="left" w:pos="1589"/>
          <w:tab w:val="left" w:pos="2035"/>
        </w:tabs>
        <w:snapToGrid w:val="0"/>
        <w:spacing w:line="360" w:lineRule="auto"/>
        <w:ind w:left="1438" w:leftChars="342"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30%以上的联合体或者大中型企业的报价给予</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%的扣除，用扣除后的价格参加评审。</w:t>
      </w:r>
    </w:p>
    <w:p w14:paraId="3BAECE5E">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2.5.3组成联合体或者接受分包的小微企业与联合体内其他企业、分包企业之间存在直接控股、管理关系的，不享受价格扣除优惠政策。</w:t>
      </w:r>
    </w:p>
    <w:p w14:paraId="3C2FBDBF">
      <w:pPr>
        <w:tabs>
          <w:tab w:val="left" w:pos="1080"/>
          <w:tab w:val="left" w:pos="1589"/>
          <w:tab w:val="left" w:pos="2035"/>
        </w:tabs>
        <w:snapToGrid w:val="0"/>
        <w:spacing w:line="360" w:lineRule="auto"/>
        <w:ind w:right="31" w:rightChars="15" w:firstLine="720" w:firstLineChars="300"/>
        <w:rPr>
          <w:rFonts w:hint="eastAsia" w:ascii="宋体" w:hAnsi="宋体" w:cs="宋体"/>
          <w:snapToGrid w:val="0"/>
          <w:kern w:val="0"/>
          <w:sz w:val="24"/>
        </w:rPr>
      </w:pPr>
      <w:r>
        <w:rPr>
          <w:rFonts w:hint="eastAsia" w:ascii="宋体" w:hAnsi="宋体" w:cs="宋体"/>
          <w:snapToGrid w:val="0"/>
          <w:kern w:val="0"/>
          <w:sz w:val="24"/>
        </w:rPr>
        <w:t>2.5.4价格扣除比例对小型企业和微型企业同等对待，不作区分。</w:t>
      </w:r>
    </w:p>
    <w:p w14:paraId="0E8F1AD0">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color w:val="000000"/>
          <w:kern w:val="0"/>
          <w:sz w:val="24"/>
        </w:rPr>
        <w:t>2.5.5中小企业参加政府采购活动，应当按照招标文件给定的格式出具《中小企业声明函》，否则不得享受相关中小企业扶持政策。</w:t>
      </w:r>
    </w:p>
    <w:p w14:paraId="2304498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2.5.6监狱企业提供了由省级以上监狱管理局（北京市含教育矫治局）、戒毒管理局（含新疆生产建设兵团）出具的属于监狱企业的证明文件的，视同小微企业。</w:t>
      </w:r>
    </w:p>
    <w:p w14:paraId="76864B3C">
      <w:pPr>
        <w:tabs>
          <w:tab w:val="left" w:pos="1080"/>
          <w:tab w:val="left" w:pos="1589"/>
          <w:tab w:val="left" w:pos="2035"/>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2.5.7残疾人福利性单位按招标文件要求提供了《残疾人福利性单位声明函》（见附件）的，视同小微企业。</w:t>
      </w:r>
    </w:p>
    <w:p w14:paraId="190132A9">
      <w:pPr>
        <w:tabs>
          <w:tab w:val="left" w:pos="1080"/>
          <w:tab w:val="left" w:pos="1589"/>
          <w:tab w:val="left" w:pos="2014"/>
        </w:tabs>
        <w:snapToGrid w:val="0"/>
        <w:spacing w:line="360" w:lineRule="auto"/>
        <w:ind w:left="718" w:leftChars="342" w:right="31" w:rightChars="15"/>
        <w:rPr>
          <w:rFonts w:hint="eastAsia" w:ascii="宋体" w:hAnsi="宋体" w:cs="宋体"/>
          <w:snapToGrid w:val="0"/>
          <w:kern w:val="0"/>
          <w:sz w:val="24"/>
        </w:rPr>
      </w:pPr>
      <w:r>
        <w:rPr>
          <w:rFonts w:hint="eastAsia" w:ascii="宋体" w:hAnsi="宋体" w:cs="宋体"/>
          <w:snapToGrid w:val="0"/>
          <w:kern w:val="0"/>
          <w:sz w:val="24"/>
        </w:rPr>
        <w:t>2.5.8若投标人同时属于小型或微型企业、监狱企业、残疾人福利性单位中的两种及以上，将不重复享受小微企业价格扣减的优惠政策。</w:t>
      </w:r>
    </w:p>
    <w:p w14:paraId="5E014C98">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3   投标文件的比较和评价</w:t>
      </w:r>
      <w:bookmarkEnd w:id="716"/>
      <w:bookmarkEnd w:id="717"/>
    </w:p>
    <w:p w14:paraId="72E43CD5">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3.1评标委员会将按照招标文件中规定的评标方法和标准，对符合性审查合格的投标文件进行商务和技术评估，综合比较与评价；未通过符合性审查的投标文件不得进入比较与评价。</w:t>
      </w:r>
    </w:p>
    <w:p w14:paraId="38FE9A83">
      <w:pPr>
        <w:tabs>
          <w:tab w:val="left" w:pos="1080"/>
        </w:tabs>
        <w:snapToGrid w:val="0"/>
        <w:spacing w:line="360" w:lineRule="auto"/>
        <w:ind w:right="31" w:rightChars="15" w:firstLine="480" w:firstLineChars="200"/>
        <w:rPr>
          <w:rFonts w:hint="eastAsia" w:ascii="宋体" w:hAnsi="宋体" w:cs="宋体"/>
          <w:snapToGrid w:val="0"/>
          <w:kern w:val="0"/>
          <w:sz w:val="24"/>
        </w:rPr>
      </w:pPr>
      <w:r>
        <w:rPr>
          <w:rFonts w:hint="eastAsia" w:ascii="宋体" w:hAnsi="宋体" w:cs="宋体"/>
          <w:snapToGrid w:val="0"/>
          <w:kern w:val="0"/>
          <w:sz w:val="24"/>
        </w:rPr>
        <w:t>3.2评标方法和评标标准</w:t>
      </w:r>
    </w:p>
    <w:p w14:paraId="1A7A530F">
      <w:pPr>
        <w:tabs>
          <w:tab w:val="left" w:pos="1080"/>
          <w:tab w:val="left" w:pos="1589"/>
          <w:tab w:val="left" w:pos="2035"/>
        </w:tabs>
        <w:snapToGrid w:val="0"/>
        <w:spacing w:line="360" w:lineRule="auto"/>
        <w:ind w:right="31" w:rightChars="15" w:firstLine="960" w:firstLineChars="400"/>
        <w:rPr>
          <w:rFonts w:hint="eastAsia" w:ascii="宋体" w:hAnsi="宋体" w:cs="宋体"/>
          <w:snapToGrid w:val="0"/>
          <w:kern w:val="0"/>
          <w:sz w:val="24"/>
        </w:rPr>
      </w:pPr>
      <w:r>
        <w:rPr>
          <w:rFonts w:hint="eastAsia" w:ascii="宋体" w:hAnsi="宋体" w:cs="宋体"/>
          <w:snapToGrid w:val="0"/>
          <w:kern w:val="0"/>
          <w:sz w:val="24"/>
        </w:rPr>
        <w:t>3.2.1本项目采用的评标方法为：</w:t>
      </w:r>
    </w:p>
    <w:p w14:paraId="61D11427">
      <w:pPr>
        <w:tabs>
          <w:tab w:val="left" w:pos="900"/>
          <w:tab w:val="left" w:pos="1589"/>
          <w:tab w:val="left" w:pos="1701"/>
        </w:tabs>
        <w:snapToGrid w:val="0"/>
        <w:spacing w:line="360" w:lineRule="auto"/>
        <w:ind w:left="1680" w:leftChars="800" w:right="31" w:rightChars="15"/>
        <w:rPr>
          <w:rFonts w:hint="eastAsia" w:ascii="宋体" w:hAnsi="宋体" w:cs="宋体"/>
          <w:snapToGrid w:val="0"/>
          <w:kern w:val="0"/>
          <w:sz w:val="24"/>
        </w:rPr>
      </w:pPr>
      <w:r>
        <w:rPr>
          <w:rFonts w:hint="eastAsia" w:ascii="宋体" w:hAnsi="宋体" w:cs="宋体"/>
          <w:snapToGrid w:val="0"/>
          <w:kern w:val="0"/>
          <w:sz w:val="24"/>
        </w:rPr>
        <w:t>■综合评分法，指投标文件满足招标文件全部实质性要求，且      按照评审因素的量化指标评审得分最高的投标人为中标候选人的评标方法，见《评标标准》，招标文件中没有规定的评标标准不得作为评审的依据。</w:t>
      </w:r>
    </w:p>
    <w:p w14:paraId="2CFF14BB">
      <w:pPr>
        <w:tabs>
          <w:tab w:val="left" w:pos="900"/>
          <w:tab w:val="left" w:pos="1589"/>
          <w:tab w:val="left" w:pos="1701"/>
        </w:tabs>
        <w:snapToGrid w:val="0"/>
        <w:spacing w:line="360" w:lineRule="auto"/>
        <w:ind w:left="1676" w:leftChars="684" w:right="31" w:rightChars="15" w:hanging="240" w:hangingChars="100"/>
        <w:rPr>
          <w:rFonts w:hint="eastAsia" w:ascii="宋体" w:hAnsi="宋体" w:cs="宋体"/>
          <w:snapToGrid w:val="0"/>
          <w:kern w:val="0"/>
          <w:sz w:val="24"/>
        </w:rPr>
      </w:pPr>
      <w:r>
        <w:rPr>
          <w:rFonts w:hint="eastAsia" w:ascii="宋体" w:hAnsi="宋体" w:cs="宋体"/>
          <w:snapToGrid w:val="0"/>
          <w:kern w:val="0"/>
          <w:sz w:val="24"/>
        </w:rPr>
        <w:t>□最低评标价法，指投标文件满足招标文件全部实质性要求，且投标报价最低的投标人为中标候选人的评标方法。</w:t>
      </w:r>
    </w:p>
    <w:p w14:paraId="50CB0760">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napToGrid w:val="0"/>
          <w:kern w:val="0"/>
          <w:sz w:val="24"/>
        </w:rPr>
        <w:t>投标无效</w:t>
      </w:r>
      <w:r>
        <w:rPr>
          <w:rFonts w:hint="eastAsia" w:ascii="宋体" w:hAnsi="宋体" w:cs="宋体"/>
          <w:snapToGrid w:val="0"/>
          <w:kern w:val="0"/>
          <w:sz w:val="24"/>
        </w:rPr>
        <w:t>。</w:t>
      </w:r>
    </w:p>
    <w:p w14:paraId="17E6C59E">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rPr>
      </w:pPr>
      <w:r>
        <w:rPr>
          <w:rFonts w:hint="eastAsia" w:ascii="宋体" w:hAnsi="宋体" w:cs="宋体"/>
          <w:snapToGrid w:val="0"/>
          <w:kern w:val="0"/>
          <w:sz w:val="24"/>
        </w:rPr>
        <w:t>□随机抽取</w:t>
      </w:r>
    </w:p>
    <w:p w14:paraId="0B380CC7">
      <w:pPr>
        <w:tabs>
          <w:tab w:val="left" w:pos="1080"/>
          <w:tab w:val="left" w:pos="1589"/>
          <w:tab w:val="left" w:pos="2035"/>
        </w:tabs>
        <w:snapToGrid w:val="0"/>
        <w:spacing w:line="360" w:lineRule="auto"/>
        <w:ind w:right="31" w:rightChars="15" w:firstLine="1680" w:firstLineChars="700"/>
        <w:rPr>
          <w:rFonts w:hint="eastAsia" w:ascii="宋体" w:hAnsi="宋体" w:cs="宋体"/>
          <w:snapToGrid w:val="0"/>
          <w:kern w:val="0"/>
          <w:sz w:val="24"/>
          <w:u w:val="single"/>
        </w:rPr>
      </w:pPr>
      <w:r>
        <w:rPr>
          <w:rFonts w:hint="eastAsia" w:ascii="宋体" w:hAnsi="宋体" w:cs="宋体"/>
          <w:snapToGrid w:val="0"/>
          <w:kern w:val="0"/>
          <w:sz w:val="24"/>
        </w:rPr>
        <w:t>□其他方式，具体要求：___</w:t>
      </w:r>
      <w:r>
        <w:rPr>
          <w:rFonts w:hint="eastAsia" w:ascii="宋体" w:hAnsi="宋体" w:cs="宋体"/>
          <w:snapToGrid w:val="0"/>
          <w:kern w:val="0"/>
          <w:sz w:val="24"/>
          <w:u w:val="single"/>
        </w:rPr>
        <w:t>/_</w:t>
      </w:r>
      <w:r>
        <w:rPr>
          <w:rFonts w:hint="eastAsia" w:ascii="宋体" w:hAnsi="宋体" w:cs="宋体"/>
          <w:snapToGrid w:val="0"/>
          <w:kern w:val="0"/>
          <w:sz w:val="24"/>
        </w:rPr>
        <w:t>_</w:t>
      </w:r>
    </w:p>
    <w:p w14:paraId="004EE1A0">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3.2.3非政府强制采购的节能产品或环境标志产品，依据品目清单和认证证书实施政府优先采购。优先采购的具体规定（如涉及）</w:t>
      </w:r>
      <w:r>
        <w:rPr>
          <w:rFonts w:hint="eastAsia" w:ascii="宋体" w:hAnsi="宋体" w:cs="宋体"/>
          <w:snapToGrid w:val="0"/>
          <w:kern w:val="0"/>
          <w:sz w:val="24"/>
          <w:u w:val="single"/>
        </w:rPr>
        <w:t xml:space="preserve">       /    。</w:t>
      </w:r>
    </w:p>
    <w:p w14:paraId="6D32547F">
      <w:pPr>
        <w:tabs>
          <w:tab w:val="left" w:pos="1080"/>
          <w:tab w:val="left" w:pos="1589"/>
          <w:tab w:val="left" w:pos="2035"/>
        </w:tabs>
        <w:snapToGrid w:val="0"/>
        <w:spacing w:line="360" w:lineRule="auto"/>
        <w:ind w:left="1678" w:leftChars="456" w:right="31" w:rightChars="15" w:hanging="720" w:hangingChars="300"/>
        <w:rPr>
          <w:rFonts w:hint="eastAsia" w:ascii="宋体" w:hAnsi="宋体" w:cs="宋体"/>
          <w:snapToGrid w:val="0"/>
          <w:kern w:val="0"/>
          <w:sz w:val="24"/>
        </w:rPr>
      </w:pPr>
      <w:r>
        <w:rPr>
          <w:rFonts w:hint="eastAsia" w:ascii="宋体" w:hAnsi="宋体" w:cs="宋体"/>
          <w:snapToGrid w:val="0"/>
          <w:kern w:val="0"/>
          <w:sz w:val="24"/>
        </w:rPr>
        <w:t>3.2.4关于无线局域网认证产品政府采购清单中的产品，优先采购的具体规定（如涉及）</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14:paraId="3EE06DC5">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 xml:space="preserve">4  </w:t>
      </w:r>
      <w:bookmarkStart w:id="733" w:name="_Hlk177984737"/>
      <w:r>
        <w:rPr>
          <w:rFonts w:hint="eastAsia" w:ascii="宋体" w:hAnsi="宋体" w:cs="宋体"/>
          <w:snapToGrid w:val="0"/>
          <w:kern w:val="0"/>
          <w:sz w:val="24"/>
        </w:rPr>
        <w:t xml:space="preserve"> 确定</w:t>
      </w:r>
      <w:bookmarkStart w:id="734" w:name="_Toc265228384"/>
      <w:bookmarkStart w:id="735" w:name="_Toc164229241"/>
      <w:bookmarkStart w:id="736" w:name="_Toc127151747"/>
      <w:bookmarkStart w:id="737" w:name="_Toc226337242"/>
      <w:bookmarkStart w:id="738" w:name="_Toc151193860"/>
      <w:bookmarkStart w:id="739" w:name="_Toc305158888"/>
      <w:bookmarkStart w:id="740" w:name="_Toc264969236"/>
      <w:bookmarkStart w:id="741" w:name="_Toc150509297"/>
      <w:bookmarkStart w:id="742" w:name="_Toc151190173"/>
      <w:bookmarkStart w:id="743" w:name="_Toc164351640"/>
      <w:bookmarkStart w:id="744" w:name="_Toc226965819"/>
      <w:bookmarkStart w:id="745" w:name="_Toc150774646"/>
      <w:bookmarkStart w:id="746" w:name="_Toc150480784"/>
      <w:bookmarkStart w:id="747" w:name="_Toc305158814"/>
      <w:bookmarkStart w:id="748" w:name="_Toc127161460"/>
      <w:bookmarkStart w:id="749" w:name="_Ref467307010"/>
      <w:bookmarkStart w:id="750" w:name="_Toc151193788"/>
      <w:bookmarkStart w:id="751" w:name="_Toc164608815"/>
      <w:bookmarkStart w:id="752" w:name="_Toc151193934"/>
      <w:bookmarkStart w:id="753" w:name="_Toc151193644"/>
      <w:bookmarkStart w:id="754" w:name="_Toc142311048"/>
      <w:bookmarkStart w:id="755" w:name="_Toc149720839"/>
      <w:bookmarkStart w:id="756" w:name="_Toc164229387"/>
      <w:bookmarkStart w:id="757" w:name="_Toc150774751"/>
      <w:bookmarkStart w:id="758" w:name="_Toc195842911"/>
      <w:bookmarkStart w:id="759" w:name="_Toc164608660"/>
      <w:bookmarkStart w:id="760" w:name="_Toc151193716"/>
      <w:bookmarkStart w:id="761" w:name="_Toc226965736"/>
      <w:bookmarkStart w:id="762" w:name="_Toc520356170"/>
      <w:bookmarkStart w:id="763" w:name="_Toc127151546"/>
      <w:bookmarkStart w:id="764" w:name="_Toc226309790"/>
      <w:r>
        <w:rPr>
          <w:rFonts w:hint="eastAsia" w:ascii="宋体" w:hAnsi="宋体" w:cs="宋体"/>
          <w:snapToGrid w:val="0"/>
          <w:kern w:val="0"/>
          <w:sz w:val="24"/>
        </w:rPr>
        <w:t>中标候选人名单</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2DFFA81">
      <w:pPr>
        <w:tabs>
          <w:tab w:val="left" w:pos="1080"/>
        </w:tabs>
        <w:snapToGrid w:val="0"/>
        <w:spacing w:line="360" w:lineRule="auto"/>
        <w:ind w:left="719" w:leftChars="228" w:right="31" w:rightChars="15" w:hanging="240" w:hangingChars="100"/>
        <w:rPr>
          <w:rFonts w:hint="eastAsia" w:ascii="宋体" w:hAnsi="宋体" w:cs="宋体"/>
          <w:snapToGrid w:val="0"/>
          <w:kern w:val="0"/>
          <w:sz w:val="24"/>
        </w:rPr>
      </w:pPr>
      <w:bookmarkStart w:id="765" w:name="_Hlk177984748"/>
      <w:r>
        <w:rPr>
          <w:rFonts w:hint="eastAsia" w:ascii="宋体" w:hAnsi="宋体" w:cs="宋体"/>
          <w:snapToGrid w:val="0"/>
          <w:kern w:val="0"/>
          <w:sz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599FBD5">
      <w:pPr>
        <w:pStyle w:val="24"/>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□随机抽取</w:t>
      </w:r>
    </w:p>
    <w:p w14:paraId="1F5EF379">
      <w:pPr>
        <w:pStyle w:val="24"/>
        <w:tabs>
          <w:tab w:val="left" w:pos="900"/>
          <w:tab w:val="left" w:pos="2127"/>
        </w:tabs>
        <w:adjustRightInd w:val="0"/>
        <w:snapToGrid w:val="0"/>
        <w:spacing w:line="360" w:lineRule="auto"/>
        <w:ind w:right="31" w:rightChars="15" w:firstLine="720" w:firstLineChars="300"/>
        <w:rPr>
          <w:rFonts w:hAnsi="宋体" w:cs="宋体"/>
          <w:snapToGrid w:val="0"/>
          <w:kern w:val="0"/>
          <w:sz w:val="24"/>
          <w:szCs w:val="24"/>
        </w:rPr>
      </w:pPr>
      <w:r>
        <w:rPr>
          <w:rFonts w:hAnsi="宋体" w:cs="宋体"/>
          <w:snapToGrid w:val="0"/>
          <w:kern w:val="0"/>
          <w:sz w:val="24"/>
          <w:szCs w:val="24"/>
        </w:rPr>
        <w:t>■其他方式，具体要求：第二章“投标人须知”中的22.1“得分且投标报价均相同的，以对招标文件技术规格要求的响应程度得分高者为中标人”</w:t>
      </w:r>
      <w:r>
        <w:rPr>
          <w:rStyle w:val="60"/>
          <w:rFonts w:ascii="Times New Roman" w:hAnsi="Times New Roman"/>
        </w:rPr>
        <w:t>。</w:t>
      </w:r>
    </w:p>
    <w:bookmarkEnd w:id="765"/>
    <w:p w14:paraId="18AF1B50">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0B781F0">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4.3 </w:t>
      </w:r>
      <w:r>
        <w:rPr>
          <w:rFonts w:ascii="宋体" w:hAnsi="宋体" w:cs="宋体"/>
          <w:snapToGrid w:val="0"/>
          <w:kern w:val="0"/>
          <w:sz w:val="24"/>
        </w:rPr>
        <w:t>采用最低评标价法时，评标结果按本章 2.4、2.5 调整后的投标报价由低到高顺序排列。投标报价相同的并列。投标文件满足招标文件全部实质性要求且投标报价最低的投标人为排名第一的中标候选人</w:t>
      </w:r>
      <w:r>
        <w:rPr>
          <w:rFonts w:hint="eastAsia" w:ascii="宋体" w:hAnsi="宋体" w:cs="宋体"/>
          <w:snapToGrid w:val="0"/>
          <w:kern w:val="0"/>
          <w:sz w:val="24"/>
        </w:rPr>
        <w:t>。</w:t>
      </w:r>
    </w:p>
    <w:p w14:paraId="6B009EAA">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4.4评标委员会要对评分汇总情况进行复核，特别是对排名第一的、报价最低的、投标或响应文件被认定为无效的情形进行重点复核。</w:t>
      </w:r>
    </w:p>
    <w:p w14:paraId="11D3CEBB">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4.5评标委员会将根据各投标人的评标排序，依次推荐本项目（各采购包）的中标候选人，起草并签署评标报告。本项目（各采购包）评标委员会共（各）推荐</w:t>
      </w:r>
      <w:r>
        <w:rPr>
          <w:rFonts w:hint="eastAsia" w:ascii="宋体" w:hAnsi="宋体" w:cs="宋体"/>
          <w:snapToGrid w:val="0"/>
          <w:kern w:val="0"/>
          <w:sz w:val="24"/>
          <w:u w:val="single"/>
        </w:rPr>
        <w:t>3</w:t>
      </w:r>
      <w:r>
        <w:rPr>
          <w:rFonts w:hint="eastAsia" w:ascii="宋体" w:hAnsi="宋体" w:cs="宋体"/>
          <w:snapToGrid w:val="0"/>
          <w:kern w:val="0"/>
          <w:sz w:val="24"/>
        </w:rPr>
        <w:t>名中标候选人。</w:t>
      </w:r>
    </w:p>
    <w:p w14:paraId="05AE8FDD">
      <w:pPr>
        <w:tabs>
          <w:tab w:val="left" w:pos="360"/>
        </w:tabs>
        <w:snapToGrid w:val="0"/>
        <w:spacing w:line="360" w:lineRule="auto"/>
        <w:ind w:right="31" w:rightChars="15"/>
        <w:outlineLvl w:val="1"/>
        <w:rPr>
          <w:rFonts w:hint="eastAsia" w:ascii="宋体" w:hAnsi="宋体" w:cs="宋体"/>
          <w:snapToGrid w:val="0"/>
          <w:kern w:val="0"/>
          <w:sz w:val="24"/>
        </w:rPr>
      </w:pPr>
      <w:r>
        <w:rPr>
          <w:rFonts w:hint="eastAsia" w:ascii="宋体" w:hAnsi="宋体" w:cs="宋体"/>
          <w:snapToGrid w:val="0"/>
          <w:kern w:val="0"/>
          <w:sz w:val="24"/>
        </w:rPr>
        <w:t>5   报告违法行为</w:t>
      </w:r>
    </w:p>
    <w:p w14:paraId="14D1C00B">
      <w:pPr>
        <w:tabs>
          <w:tab w:val="left" w:pos="1080"/>
        </w:tabs>
        <w:snapToGrid w:val="0"/>
        <w:spacing w:line="360" w:lineRule="auto"/>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5.1评标委员会在评标过程中发现投标人有行贿、提供虚假材料或者串通等违法行为时，有向采购人、采购代理机构或者有关部门报告的职责。</w:t>
      </w:r>
    </w:p>
    <w:p w14:paraId="4DC126A9">
      <w:pPr>
        <w:widowControl/>
        <w:snapToGrid w:val="0"/>
        <w:spacing w:line="360" w:lineRule="auto"/>
        <w:ind w:right="31" w:rightChars="15"/>
        <w:jc w:val="left"/>
        <w:rPr>
          <w:b/>
          <w:snapToGrid w:val="0"/>
          <w:kern w:val="0"/>
          <w:sz w:val="24"/>
        </w:rPr>
      </w:pPr>
      <w:r>
        <w:rPr>
          <w:b/>
          <w:snapToGrid w:val="0"/>
          <w:kern w:val="0"/>
          <w:sz w:val="24"/>
        </w:rPr>
        <w:br w:type="page"/>
      </w:r>
    </w:p>
    <w:p w14:paraId="05F4F1DF">
      <w:pPr>
        <w:tabs>
          <w:tab w:val="left" w:pos="360"/>
          <w:tab w:val="left" w:pos="900"/>
        </w:tabs>
        <w:snapToGrid w:val="0"/>
        <w:spacing w:line="360" w:lineRule="auto"/>
        <w:ind w:right="31" w:rightChars="15"/>
        <w:jc w:val="center"/>
        <w:outlineLvl w:val="1"/>
        <w:rPr>
          <w:snapToGrid w:val="0"/>
          <w:kern w:val="0"/>
          <w:sz w:val="24"/>
        </w:rPr>
      </w:pPr>
      <w:r>
        <w:rPr>
          <w:b/>
          <w:snapToGrid w:val="0"/>
          <w:kern w:val="0"/>
          <w:sz w:val="24"/>
        </w:rPr>
        <w:t>二、评标标准</w:t>
      </w:r>
    </w:p>
    <w:p w14:paraId="20EFAEA3">
      <w:pPr>
        <w:widowControl/>
        <w:snapToGrid w:val="0"/>
        <w:spacing w:line="360" w:lineRule="auto"/>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1   评分因素及分值</w:t>
      </w:r>
    </w:p>
    <w:tbl>
      <w:tblPr>
        <w:tblStyle w:val="47"/>
        <w:tblW w:w="83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2"/>
        <w:gridCol w:w="3392"/>
        <w:gridCol w:w="3828"/>
      </w:tblGrid>
      <w:tr w14:paraId="6E81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260B66A7">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序号</w:t>
            </w:r>
          </w:p>
        </w:tc>
        <w:tc>
          <w:tcPr>
            <w:tcW w:w="3392" w:type="dxa"/>
            <w:tcBorders>
              <w:top w:val="single" w:color="000000" w:sz="6" w:space="0"/>
              <w:left w:val="single" w:color="000000" w:sz="6" w:space="0"/>
              <w:bottom w:val="single" w:color="000000" w:sz="6" w:space="0"/>
              <w:right w:val="single" w:color="000000" w:sz="6" w:space="0"/>
            </w:tcBorders>
            <w:vAlign w:val="center"/>
          </w:tcPr>
          <w:p w14:paraId="1E6DDA6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评分标准</w:t>
            </w:r>
          </w:p>
        </w:tc>
        <w:tc>
          <w:tcPr>
            <w:tcW w:w="3828" w:type="dxa"/>
            <w:tcBorders>
              <w:top w:val="single" w:color="000000" w:sz="6" w:space="0"/>
              <w:left w:val="single" w:color="000000" w:sz="6" w:space="0"/>
              <w:bottom w:val="single" w:color="000000" w:sz="6" w:space="0"/>
              <w:right w:val="single" w:color="000000" w:sz="6" w:space="0"/>
            </w:tcBorders>
            <w:vAlign w:val="center"/>
          </w:tcPr>
          <w:p w14:paraId="7761658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分值</w:t>
            </w:r>
          </w:p>
        </w:tc>
      </w:tr>
      <w:tr w14:paraId="0FBC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09EA7DE0">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w:t>
            </w:r>
          </w:p>
        </w:tc>
        <w:tc>
          <w:tcPr>
            <w:tcW w:w="3392" w:type="dxa"/>
            <w:tcBorders>
              <w:top w:val="single" w:color="000000" w:sz="6" w:space="0"/>
              <w:left w:val="single" w:color="000000" w:sz="6" w:space="0"/>
              <w:bottom w:val="single" w:color="000000" w:sz="6" w:space="0"/>
              <w:right w:val="single" w:color="000000" w:sz="6" w:space="0"/>
            </w:tcBorders>
            <w:vAlign w:val="center"/>
          </w:tcPr>
          <w:p w14:paraId="03EBBDE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商务部分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05E07A32">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20</w:t>
            </w:r>
          </w:p>
        </w:tc>
      </w:tr>
      <w:tr w14:paraId="78B2C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4E12FC40">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w:t>
            </w:r>
          </w:p>
        </w:tc>
        <w:tc>
          <w:tcPr>
            <w:tcW w:w="3392" w:type="dxa"/>
            <w:tcBorders>
              <w:top w:val="single" w:color="000000" w:sz="6" w:space="0"/>
              <w:left w:val="single" w:color="000000" w:sz="6" w:space="0"/>
              <w:bottom w:val="single" w:color="000000" w:sz="6" w:space="0"/>
              <w:right w:val="single" w:color="000000" w:sz="6" w:space="0"/>
            </w:tcBorders>
            <w:vAlign w:val="center"/>
          </w:tcPr>
          <w:p w14:paraId="4963FCA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技术部分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1BDFEDC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70</w:t>
            </w:r>
          </w:p>
        </w:tc>
      </w:tr>
      <w:tr w14:paraId="5F3F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7D0643D4">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3</w:t>
            </w:r>
          </w:p>
        </w:tc>
        <w:tc>
          <w:tcPr>
            <w:tcW w:w="3392" w:type="dxa"/>
            <w:tcBorders>
              <w:top w:val="single" w:color="000000" w:sz="6" w:space="0"/>
              <w:left w:val="single" w:color="000000" w:sz="6" w:space="0"/>
              <w:bottom w:val="single" w:color="000000" w:sz="6" w:space="0"/>
              <w:right w:val="single" w:color="000000" w:sz="6" w:space="0"/>
            </w:tcBorders>
            <w:vAlign w:val="center"/>
          </w:tcPr>
          <w:p w14:paraId="7465236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价格部分</w:t>
            </w:r>
          </w:p>
        </w:tc>
        <w:tc>
          <w:tcPr>
            <w:tcW w:w="3828" w:type="dxa"/>
            <w:tcBorders>
              <w:top w:val="single" w:color="000000" w:sz="6" w:space="0"/>
              <w:left w:val="single" w:color="000000" w:sz="6" w:space="0"/>
              <w:bottom w:val="single" w:color="000000" w:sz="6" w:space="0"/>
              <w:right w:val="single" w:color="000000" w:sz="6" w:space="0"/>
            </w:tcBorders>
            <w:vAlign w:val="center"/>
          </w:tcPr>
          <w:p w14:paraId="670C55AC">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w:t>
            </w:r>
          </w:p>
        </w:tc>
      </w:tr>
      <w:tr w14:paraId="76067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4564" w:type="dxa"/>
            <w:gridSpan w:val="2"/>
            <w:tcBorders>
              <w:top w:val="single" w:color="000000" w:sz="6" w:space="0"/>
              <w:left w:val="single" w:color="000000" w:sz="6" w:space="0"/>
              <w:bottom w:val="single" w:color="000000" w:sz="6" w:space="0"/>
              <w:right w:val="single" w:color="000000" w:sz="6" w:space="0"/>
            </w:tcBorders>
            <w:vAlign w:val="center"/>
          </w:tcPr>
          <w:p w14:paraId="2741E5EC">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合计</w:t>
            </w:r>
          </w:p>
        </w:tc>
        <w:tc>
          <w:tcPr>
            <w:tcW w:w="3828" w:type="dxa"/>
            <w:tcBorders>
              <w:top w:val="single" w:color="000000" w:sz="6" w:space="0"/>
              <w:left w:val="single" w:color="000000" w:sz="6" w:space="0"/>
              <w:bottom w:val="single" w:color="000000" w:sz="6" w:space="0"/>
              <w:right w:val="single" w:color="000000" w:sz="6" w:space="0"/>
            </w:tcBorders>
            <w:vAlign w:val="center"/>
          </w:tcPr>
          <w:p w14:paraId="261E5DEF">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100</w:t>
            </w:r>
          </w:p>
        </w:tc>
      </w:tr>
    </w:tbl>
    <w:p w14:paraId="708772D1">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2   评分标准</w:t>
      </w:r>
    </w:p>
    <w:p w14:paraId="174CA1C2">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2.1商务部分</w:t>
      </w:r>
    </w:p>
    <w:tbl>
      <w:tblPr>
        <w:tblStyle w:val="47"/>
        <w:tblW w:w="82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3"/>
        <w:gridCol w:w="1653"/>
        <w:gridCol w:w="816"/>
        <w:gridCol w:w="5138"/>
      </w:tblGrid>
      <w:tr w14:paraId="5F8E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71E63D41">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序号</w:t>
            </w:r>
          </w:p>
        </w:tc>
        <w:tc>
          <w:tcPr>
            <w:tcW w:w="1653" w:type="dxa"/>
            <w:tcBorders>
              <w:top w:val="single" w:color="auto" w:sz="6" w:space="0"/>
              <w:left w:val="single" w:color="auto" w:sz="6" w:space="0"/>
              <w:bottom w:val="single" w:color="auto" w:sz="6" w:space="0"/>
              <w:right w:val="single" w:color="auto" w:sz="6" w:space="0"/>
            </w:tcBorders>
            <w:vAlign w:val="center"/>
          </w:tcPr>
          <w:p w14:paraId="28C8E625">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评分因素分项</w:t>
            </w:r>
          </w:p>
        </w:tc>
        <w:tc>
          <w:tcPr>
            <w:tcW w:w="816" w:type="dxa"/>
            <w:tcBorders>
              <w:top w:val="single" w:color="auto" w:sz="6" w:space="0"/>
              <w:left w:val="single" w:color="auto" w:sz="6" w:space="0"/>
              <w:bottom w:val="single" w:color="auto" w:sz="6" w:space="0"/>
              <w:right w:val="single" w:color="auto" w:sz="6" w:space="0"/>
            </w:tcBorders>
            <w:vAlign w:val="center"/>
          </w:tcPr>
          <w:p w14:paraId="3E31D2E9">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分值</w:t>
            </w:r>
          </w:p>
        </w:tc>
        <w:tc>
          <w:tcPr>
            <w:tcW w:w="5138" w:type="dxa"/>
            <w:tcBorders>
              <w:top w:val="single" w:color="auto" w:sz="6" w:space="0"/>
              <w:left w:val="single" w:color="auto" w:sz="6" w:space="0"/>
              <w:bottom w:val="single" w:color="auto" w:sz="6" w:space="0"/>
              <w:right w:val="single" w:color="auto" w:sz="6" w:space="0"/>
            </w:tcBorders>
            <w:vAlign w:val="center"/>
          </w:tcPr>
          <w:p w14:paraId="18751AB3">
            <w:pPr>
              <w:widowControl/>
              <w:snapToGrid w:val="0"/>
              <w:spacing w:line="340" w:lineRule="exact"/>
              <w:ind w:right="31" w:rightChars="15"/>
              <w:jc w:val="center"/>
              <w:rPr>
                <w:rFonts w:hint="eastAsia" w:ascii="宋体" w:hAnsi="宋体" w:cs="宋体"/>
                <w:b/>
                <w:snapToGrid w:val="0"/>
                <w:color w:val="000000"/>
                <w:kern w:val="0"/>
                <w:sz w:val="24"/>
              </w:rPr>
            </w:pPr>
            <w:r>
              <w:rPr>
                <w:rFonts w:hint="eastAsia" w:ascii="宋体" w:hAnsi="宋体" w:cs="宋体"/>
                <w:b/>
                <w:snapToGrid w:val="0"/>
                <w:color w:val="000000"/>
                <w:kern w:val="0"/>
                <w:sz w:val="24"/>
              </w:rPr>
              <w:t>评分标准</w:t>
            </w:r>
          </w:p>
        </w:tc>
      </w:tr>
      <w:tr w14:paraId="5FA8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66C7E469">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w:t>
            </w:r>
          </w:p>
        </w:tc>
        <w:tc>
          <w:tcPr>
            <w:tcW w:w="1653" w:type="dxa"/>
            <w:tcBorders>
              <w:top w:val="single" w:color="auto" w:sz="6" w:space="0"/>
              <w:left w:val="single" w:color="auto" w:sz="6" w:space="0"/>
              <w:bottom w:val="single" w:color="auto" w:sz="6" w:space="0"/>
              <w:right w:val="single" w:color="auto" w:sz="6" w:space="0"/>
            </w:tcBorders>
            <w:vAlign w:val="center"/>
          </w:tcPr>
          <w:p w14:paraId="1D927513">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同类业绩</w:t>
            </w:r>
          </w:p>
        </w:tc>
        <w:tc>
          <w:tcPr>
            <w:tcW w:w="816" w:type="dxa"/>
            <w:tcBorders>
              <w:top w:val="single" w:color="auto" w:sz="6" w:space="0"/>
              <w:left w:val="single" w:color="auto" w:sz="6" w:space="0"/>
              <w:bottom w:val="single" w:color="auto" w:sz="6" w:space="0"/>
              <w:right w:val="single" w:color="auto" w:sz="6" w:space="0"/>
            </w:tcBorders>
            <w:vAlign w:val="center"/>
          </w:tcPr>
          <w:p w14:paraId="16A22715">
            <w:pPr>
              <w:widowControl/>
              <w:snapToGrid w:val="0"/>
              <w:spacing w:line="340" w:lineRule="exact"/>
              <w:ind w:right="31" w:rightChars="15"/>
              <w:jc w:val="center"/>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kern w:val="0"/>
                <w:sz w:val="24"/>
                <w:lang w:val="en-US" w:eastAsia="zh-CN"/>
              </w:rPr>
              <w:t>10</w:t>
            </w:r>
          </w:p>
        </w:tc>
        <w:tc>
          <w:tcPr>
            <w:tcW w:w="5138" w:type="dxa"/>
            <w:tcBorders>
              <w:top w:val="single" w:color="auto" w:sz="6" w:space="0"/>
              <w:left w:val="single" w:color="auto" w:sz="6" w:space="0"/>
              <w:bottom w:val="single" w:color="auto" w:sz="6" w:space="0"/>
              <w:right w:val="single" w:color="auto" w:sz="6" w:space="0"/>
            </w:tcBorders>
            <w:vAlign w:val="center"/>
          </w:tcPr>
          <w:p w14:paraId="65C2078D">
            <w:pPr>
              <w:spacing w:line="340" w:lineRule="exact"/>
              <w:rPr>
                <w:rFonts w:hint="eastAsia" w:ascii="宋体" w:hAnsi="宋体" w:cs="宋体"/>
                <w:snapToGrid w:val="0"/>
                <w:color w:val="000000"/>
                <w:kern w:val="0"/>
                <w:sz w:val="24"/>
              </w:rPr>
            </w:pPr>
            <w:r>
              <w:rPr>
                <w:rFonts w:hint="eastAsia" w:ascii="宋体" w:hAnsi="宋体" w:cs="宋体"/>
                <w:sz w:val="24"/>
              </w:rPr>
              <w:t>供应商提供近五年（2020年</w:t>
            </w:r>
            <w:r>
              <w:rPr>
                <w:rFonts w:hint="eastAsia" w:ascii="宋体" w:hAnsi="宋体" w:cs="宋体"/>
                <w:sz w:val="24"/>
                <w:lang w:val="en-US" w:eastAsia="zh-CN"/>
              </w:rPr>
              <w:t>6</w:t>
            </w:r>
            <w:r>
              <w:rPr>
                <w:rFonts w:hint="eastAsia" w:ascii="宋体" w:hAnsi="宋体" w:cs="宋体"/>
                <w:sz w:val="24"/>
              </w:rPr>
              <w:t>月1日至今）承担过的类似项目业绩（提供合同关键页并加盖供应商公章），每个</w:t>
            </w:r>
            <w:r>
              <w:rPr>
                <w:rFonts w:hint="eastAsia" w:ascii="宋体" w:hAnsi="宋体" w:cs="宋体"/>
                <w:sz w:val="24"/>
                <w:lang w:val="en-US" w:eastAsia="zh-CN"/>
              </w:rPr>
              <w:t>5</w:t>
            </w:r>
            <w:r>
              <w:rPr>
                <w:rFonts w:hint="eastAsia" w:ascii="宋体" w:hAnsi="宋体" w:cs="宋体"/>
                <w:sz w:val="24"/>
              </w:rPr>
              <w:t>分，满分</w:t>
            </w:r>
            <w:r>
              <w:rPr>
                <w:rFonts w:hint="eastAsia" w:ascii="宋体" w:hAnsi="宋体" w:cs="宋体"/>
                <w:sz w:val="24"/>
                <w:lang w:val="en-US" w:eastAsia="zh-CN"/>
              </w:rPr>
              <w:t>10</w:t>
            </w:r>
            <w:r>
              <w:rPr>
                <w:rFonts w:hint="eastAsia" w:ascii="宋体" w:hAnsi="宋体" w:cs="宋体"/>
                <w:sz w:val="24"/>
              </w:rPr>
              <w:t>分。</w:t>
            </w:r>
          </w:p>
        </w:tc>
      </w:tr>
      <w:tr w14:paraId="339A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43" w:type="dxa"/>
            <w:tcBorders>
              <w:top w:val="single" w:color="auto" w:sz="6" w:space="0"/>
              <w:left w:val="single" w:color="auto" w:sz="6" w:space="0"/>
              <w:bottom w:val="single" w:color="auto" w:sz="6" w:space="0"/>
              <w:right w:val="single" w:color="auto" w:sz="6" w:space="0"/>
            </w:tcBorders>
            <w:vAlign w:val="center"/>
          </w:tcPr>
          <w:p w14:paraId="5FFDBC0B">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2</w:t>
            </w:r>
          </w:p>
        </w:tc>
        <w:tc>
          <w:tcPr>
            <w:tcW w:w="1653" w:type="dxa"/>
            <w:tcBorders>
              <w:top w:val="single" w:color="auto" w:sz="6" w:space="0"/>
              <w:left w:val="single" w:color="auto" w:sz="6" w:space="0"/>
              <w:bottom w:val="single" w:color="auto" w:sz="6" w:space="0"/>
              <w:right w:val="single" w:color="auto" w:sz="6" w:space="0"/>
            </w:tcBorders>
            <w:vAlign w:val="center"/>
          </w:tcPr>
          <w:p w14:paraId="2423D17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bCs/>
                <w:sz w:val="24"/>
              </w:rPr>
              <w:t>拟派项目人员</w:t>
            </w:r>
          </w:p>
        </w:tc>
        <w:tc>
          <w:tcPr>
            <w:tcW w:w="816" w:type="dxa"/>
            <w:tcBorders>
              <w:top w:val="single" w:color="auto" w:sz="6" w:space="0"/>
              <w:left w:val="single" w:color="auto" w:sz="6" w:space="0"/>
              <w:bottom w:val="single" w:color="auto" w:sz="6" w:space="0"/>
              <w:right w:val="single" w:color="auto" w:sz="6" w:space="0"/>
            </w:tcBorders>
            <w:vAlign w:val="center"/>
          </w:tcPr>
          <w:p w14:paraId="0D2738B8">
            <w:pPr>
              <w:widowControl/>
              <w:snapToGrid w:val="0"/>
              <w:spacing w:line="340" w:lineRule="exact"/>
              <w:ind w:right="31" w:rightChars="15"/>
              <w:jc w:val="center"/>
              <w:rPr>
                <w:rFonts w:hint="default" w:ascii="宋体" w:hAnsi="宋体" w:eastAsia="宋体" w:cs="宋体"/>
                <w:snapToGrid w:val="0"/>
                <w:color w:val="000000"/>
                <w:kern w:val="0"/>
                <w:sz w:val="24"/>
                <w:lang w:val="en-US" w:eastAsia="zh-CN"/>
              </w:rPr>
            </w:pPr>
            <w:r>
              <w:rPr>
                <w:rFonts w:hint="eastAsia" w:ascii="宋体" w:hAnsi="宋体" w:cs="宋体"/>
                <w:snapToGrid w:val="0"/>
                <w:color w:val="000000"/>
                <w:kern w:val="0"/>
                <w:sz w:val="24"/>
                <w:lang w:val="en-US" w:eastAsia="zh-CN"/>
              </w:rPr>
              <w:t>10</w:t>
            </w:r>
          </w:p>
        </w:tc>
        <w:tc>
          <w:tcPr>
            <w:tcW w:w="5138" w:type="dxa"/>
            <w:tcBorders>
              <w:top w:val="single" w:color="auto" w:sz="6" w:space="0"/>
              <w:left w:val="single" w:color="auto" w:sz="6" w:space="0"/>
              <w:bottom w:val="single" w:color="auto" w:sz="6" w:space="0"/>
              <w:right w:val="single" w:color="auto" w:sz="6" w:space="0"/>
            </w:tcBorders>
            <w:vAlign w:val="center"/>
          </w:tcPr>
          <w:p w14:paraId="34B79BB3">
            <w:pPr>
              <w:spacing w:line="340" w:lineRule="exact"/>
              <w:rPr>
                <w:rFonts w:hint="eastAsia" w:ascii="宋体" w:hAnsi="宋体" w:cs="宋体"/>
                <w:bCs/>
                <w:sz w:val="24"/>
              </w:rPr>
            </w:pPr>
            <w:bookmarkStart w:id="766" w:name="_Hlk177984889"/>
            <w:r>
              <w:rPr>
                <w:rFonts w:hint="eastAsia" w:ascii="宋体" w:hAnsi="宋体" w:cs="宋体"/>
                <w:sz w:val="24"/>
              </w:rPr>
              <w:t>供应商</w:t>
            </w:r>
            <w:r>
              <w:rPr>
                <w:rFonts w:hint="eastAsia" w:ascii="宋体" w:hAnsi="宋体" w:cs="宋体"/>
                <w:bCs/>
                <w:sz w:val="24"/>
              </w:rPr>
              <w:t>提供的人员安排合理、实用性强。专业配备齐全得</w:t>
            </w:r>
            <w:r>
              <w:rPr>
                <w:rFonts w:hint="eastAsia" w:ascii="宋体" w:hAnsi="宋体" w:cs="宋体"/>
                <w:bCs/>
                <w:sz w:val="24"/>
                <w:lang w:val="en-US" w:eastAsia="zh-CN"/>
              </w:rPr>
              <w:t>10</w:t>
            </w:r>
            <w:r>
              <w:rPr>
                <w:rFonts w:hint="eastAsia" w:ascii="宋体" w:hAnsi="宋体" w:cs="宋体"/>
                <w:bCs/>
                <w:sz w:val="24"/>
              </w:rPr>
              <w:t>分；</w:t>
            </w:r>
          </w:p>
          <w:p w14:paraId="02DCE5FE">
            <w:pPr>
              <w:spacing w:line="340" w:lineRule="exact"/>
              <w:rPr>
                <w:rFonts w:hint="eastAsia" w:ascii="宋体" w:hAnsi="宋体" w:cs="宋体"/>
                <w:bCs/>
                <w:sz w:val="24"/>
              </w:rPr>
            </w:pPr>
            <w:r>
              <w:rPr>
                <w:rFonts w:hint="eastAsia" w:ascii="宋体" w:hAnsi="宋体" w:cs="宋体"/>
                <w:sz w:val="24"/>
              </w:rPr>
              <w:t>供应商</w:t>
            </w:r>
            <w:r>
              <w:rPr>
                <w:rFonts w:hint="eastAsia" w:ascii="宋体" w:hAnsi="宋体" w:cs="宋体"/>
                <w:bCs/>
                <w:sz w:val="24"/>
              </w:rPr>
              <w:t>提供的人员安排、实用性、</w:t>
            </w:r>
            <w:r>
              <w:rPr>
                <w:rFonts w:hint="eastAsia" w:ascii="宋体" w:hAnsi="宋体" w:cs="宋体"/>
                <w:bCs/>
                <w:sz w:val="24"/>
                <w:lang w:val="en-US" w:eastAsia="zh-CN"/>
              </w:rPr>
              <w:t>专业配备</w:t>
            </w:r>
            <w:r>
              <w:rPr>
                <w:rFonts w:hint="eastAsia" w:ascii="宋体" w:hAnsi="宋体" w:cs="宋体"/>
                <w:bCs/>
                <w:sz w:val="24"/>
              </w:rPr>
              <w:t>满足项目需求得6分；</w:t>
            </w:r>
          </w:p>
          <w:p w14:paraId="6F6FEB15">
            <w:pPr>
              <w:spacing w:line="340" w:lineRule="exact"/>
              <w:rPr>
                <w:rFonts w:hint="eastAsia" w:ascii="宋体" w:hAnsi="宋体" w:cs="宋体"/>
                <w:snapToGrid w:val="0"/>
                <w:color w:val="000000"/>
                <w:kern w:val="0"/>
                <w:sz w:val="24"/>
              </w:rPr>
            </w:pPr>
            <w:r>
              <w:rPr>
                <w:rFonts w:hint="eastAsia" w:ascii="宋体" w:hAnsi="宋体" w:cs="宋体"/>
                <w:sz w:val="24"/>
              </w:rPr>
              <w:t>供应商</w:t>
            </w:r>
            <w:r>
              <w:rPr>
                <w:rFonts w:hint="eastAsia" w:ascii="宋体" w:hAnsi="宋体" w:cs="宋体"/>
                <w:bCs/>
                <w:sz w:val="24"/>
              </w:rPr>
              <w:t>提供的人员安排、实用性、专业配</w:t>
            </w:r>
            <w:r>
              <w:rPr>
                <w:rFonts w:hint="eastAsia" w:ascii="宋体" w:hAnsi="宋体" w:cs="宋体"/>
                <w:bCs/>
                <w:sz w:val="24"/>
                <w:lang w:val="en-US" w:eastAsia="zh-CN"/>
              </w:rPr>
              <w:t>备不合理</w:t>
            </w:r>
            <w:r>
              <w:rPr>
                <w:rFonts w:hint="eastAsia" w:ascii="宋体" w:hAnsi="宋体" w:cs="宋体"/>
                <w:bCs/>
                <w:sz w:val="24"/>
              </w:rPr>
              <w:t>2分</w:t>
            </w:r>
            <w:r>
              <w:rPr>
                <w:rFonts w:hint="eastAsia" w:ascii="宋体" w:hAnsi="宋体" w:cs="宋体"/>
                <w:sz w:val="24"/>
              </w:rPr>
              <w:t>。</w:t>
            </w:r>
            <w:bookmarkEnd w:id="766"/>
          </w:p>
        </w:tc>
      </w:tr>
    </w:tbl>
    <w:p w14:paraId="463232BB">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2.2技术部分</w:t>
      </w:r>
    </w:p>
    <w:tbl>
      <w:tblPr>
        <w:tblStyle w:val="4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31"/>
        <w:gridCol w:w="610"/>
        <w:gridCol w:w="5729"/>
      </w:tblGrid>
      <w:tr w14:paraId="2A62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67" w:type="dxa"/>
            <w:vAlign w:val="center"/>
          </w:tcPr>
          <w:p w14:paraId="0ED1117E">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序号</w:t>
            </w:r>
          </w:p>
        </w:tc>
        <w:tc>
          <w:tcPr>
            <w:tcW w:w="1431" w:type="dxa"/>
            <w:vAlign w:val="center"/>
          </w:tcPr>
          <w:p w14:paraId="0598D549">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评分因素分项</w:t>
            </w:r>
          </w:p>
        </w:tc>
        <w:tc>
          <w:tcPr>
            <w:tcW w:w="610" w:type="dxa"/>
            <w:vAlign w:val="center"/>
          </w:tcPr>
          <w:p w14:paraId="533B0212">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分值</w:t>
            </w:r>
          </w:p>
        </w:tc>
        <w:tc>
          <w:tcPr>
            <w:tcW w:w="5729" w:type="dxa"/>
            <w:vAlign w:val="center"/>
          </w:tcPr>
          <w:p w14:paraId="19CB615B">
            <w:pPr>
              <w:widowControl/>
              <w:snapToGrid w:val="0"/>
              <w:spacing w:line="340" w:lineRule="exact"/>
              <w:ind w:right="31" w:rightChars="15"/>
              <w:jc w:val="center"/>
              <w:rPr>
                <w:rFonts w:hint="eastAsia" w:ascii="宋体" w:hAnsi="宋体" w:cs="宋体"/>
                <w:bCs/>
                <w:sz w:val="24"/>
              </w:rPr>
            </w:pPr>
            <w:r>
              <w:rPr>
                <w:rFonts w:hint="eastAsia" w:ascii="宋体" w:hAnsi="宋体" w:cs="宋体"/>
                <w:bCs/>
                <w:sz w:val="24"/>
              </w:rPr>
              <w:t>评分标准</w:t>
            </w:r>
          </w:p>
        </w:tc>
      </w:tr>
      <w:tr w14:paraId="4D2B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67" w:type="dxa"/>
            <w:vAlign w:val="center"/>
          </w:tcPr>
          <w:p w14:paraId="23C854AD">
            <w:pPr>
              <w:widowControl/>
              <w:snapToGrid w:val="0"/>
              <w:spacing w:line="340" w:lineRule="exact"/>
              <w:ind w:right="31" w:rightChars="15"/>
              <w:jc w:val="center"/>
              <w:rPr>
                <w:rFonts w:hint="eastAsia" w:ascii="宋体" w:hAnsi="宋体" w:cs="宋体"/>
                <w:bCs/>
                <w:sz w:val="24"/>
              </w:rPr>
            </w:pPr>
            <w:bookmarkStart w:id="767" w:name="_Hlk189661785"/>
            <w:r>
              <w:rPr>
                <w:rFonts w:hint="eastAsia" w:ascii="宋体" w:hAnsi="宋体" w:cs="宋体"/>
                <w:snapToGrid w:val="0"/>
                <w:color w:val="000000"/>
                <w:kern w:val="0"/>
                <w:sz w:val="24"/>
              </w:rPr>
              <w:t>1</w:t>
            </w:r>
          </w:p>
        </w:tc>
        <w:tc>
          <w:tcPr>
            <w:tcW w:w="1431" w:type="dxa"/>
            <w:vAlign w:val="center"/>
          </w:tcPr>
          <w:p w14:paraId="57652C7D">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项目理解</w:t>
            </w:r>
          </w:p>
        </w:tc>
        <w:tc>
          <w:tcPr>
            <w:tcW w:w="610" w:type="dxa"/>
            <w:vAlign w:val="center"/>
          </w:tcPr>
          <w:p w14:paraId="5F68A7BA">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5</w:t>
            </w:r>
          </w:p>
        </w:tc>
        <w:tc>
          <w:tcPr>
            <w:tcW w:w="5729" w:type="dxa"/>
            <w:vAlign w:val="center"/>
          </w:tcPr>
          <w:p w14:paraId="4CF76F20">
            <w:pPr>
              <w:spacing w:line="320" w:lineRule="exact"/>
              <w:rPr>
                <w:rFonts w:hint="eastAsia" w:ascii="宋体" w:hAnsi="宋体" w:cs="宋体"/>
                <w:sz w:val="24"/>
              </w:rPr>
            </w:pPr>
            <w:r>
              <w:rPr>
                <w:rFonts w:hint="eastAsia" w:ascii="宋体" w:hAnsi="宋体" w:cs="宋体"/>
                <w:sz w:val="24"/>
              </w:rPr>
              <w:t>项目理解全面，完全具有针对性，得 5分；</w:t>
            </w:r>
          </w:p>
          <w:p w14:paraId="4B6EEF53">
            <w:pPr>
              <w:spacing w:line="320" w:lineRule="exact"/>
              <w:rPr>
                <w:rFonts w:hint="eastAsia" w:ascii="宋体" w:hAnsi="宋体" w:cs="宋体"/>
                <w:sz w:val="24"/>
              </w:rPr>
            </w:pPr>
            <w:r>
              <w:rPr>
                <w:rFonts w:hint="eastAsia" w:ascii="宋体" w:hAnsi="宋体" w:cs="宋体"/>
                <w:sz w:val="24"/>
              </w:rPr>
              <w:t>项目理解较全面，具有一定的针对性，得3分；</w:t>
            </w:r>
          </w:p>
          <w:p w14:paraId="79E00EAD">
            <w:pPr>
              <w:spacing w:line="320" w:lineRule="exact"/>
              <w:rPr>
                <w:rFonts w:hint="eastAsia" w:ascii="宋体" w:hAnsi="宋体" w:cs="宋体"/>
                <w:sz w:val="24"/>
              </w:rPr>
            </w:pPr>
            <w:r>
              <w:rPr>
                <w:rFonts w:hint="eastAsia" w:ascii="宋体" w:hAnsi="宋体" w:cs="宋体"/>
                <w:sz w:val="24"/>
              </w:rPr>
              <w:t>项目理解欠缺，针对性欠缺，得 2分；</w:t>
            </w:r>
          </w:p>
          <w:p w14:paraId="23A006A6">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458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7" w:type="dxa"/>
            <w:vAlign w:val="center"/>
          </w:tcPr>
          <w:p w14:paraId="25A145B5">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2</w:t>
            </w:r>
          </w:p>
        </w:tc>
        <w:tc>
          <w:tcPr>
            <w:tcW w:w="1431" w:type="dxa"/>
            <w:vAlign w:val="center"/>
          </w:tcPr>
          <w:p w14:paraId="36FBE67A">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重点难点分析及解决方案</w:t>
            </w:r>
          </w:p>
        </w:tc>
        <w:tc>
          <w:tcPr>
            <w:tcW w:w="610" w:type="dxa"/>
            <w:vAlign w:val="center"/>
          </w:tcPr>
          <w:p w14:paraId="78C5B939">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5</w:t>
            </w:r>
          </w:p>
        </w:tc>
        <w:tc>
          <w:tcPr>
            <w:tcW w:w="5729" w:type="dxa"/>
            <w:vAlign w:val="center"/>
          </w:tcPr>
          <w:p w14:paraId="545FB6EB">
            <w:pPr>
              <w:spacing w:line="320" w:lineRule="exact"/>
              <w:rPr>
                <w:rFonts w:hint="eastAsia" w:ascii="宋体" w:hAnsi="宋体" w:cs="宋体"/>
                <w:sz w:val="24"/>
              </w:rPr>
            </w:pPr>
            <w:r>
              <w:rPr>
                <w:rFonts w:hint="eastAsia" w:ascii="宋体" w:hAnsi="宋体" w:cs="宋体"/>
                <w:sz w:val="24"/>
              </w:rPr>
              <w:t>方案具有针对性，内容合理、全面，得 5 分；</w:t>
            </w:r>
          </w:p>
          <w:p w14:paraId="76F92EE8">
            <w:pPr>
              <w:spacing w:line="320" w:lineRule="exact"/>
              <w:rPr>
                <w:rFonts w:hint="eastAsia" w:ascii="宋体" w:hAnsi="宋体" w:cs="宋体"/>
                <w:sz w:val="24"/>
              </w:rPr>
            </w:pPr>
            <w:r>
              <w:rPr>
                <w:rFonts w:hint="eastAsia" w:ascii="宋体" w:hAnsi="宋体" w:cs="宋体"/>
                <w:sz w:val="24"/>
              </w:rPr>
              <w:t>方案较具有针对性，内容较合理、较全面，得 3 分；方案针对性欠缺，内容合理性欠缺、全面性欠缺，得 2 分；</w:t>
            </w:r>
          </w:p>
          <w:p w14:paraId="50897CCE">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 xml:space="preserve">未提供，得 0 分。 </w:t>
            </w:r>
          </w:p>
        </w:tc>
      </w:tr>
      <w:tr w14:paraId="365A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67" w:type="dxa"/>
            <w:vAlign w:val="center"/>
          </w:tcPr>
          <w:p w14:paraId="3A43D696">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3</w:t>
            </w:r>
          </w:p>
        </w:tc>
        <w:tc>
          <w:tcPr>
            <w:tcW w:w="1431" w:type="dxa"/>
            <w:vAlign w:val="center"/>
          </w:tcPr>
          <w:p w14:paraId="578C0A1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质量控制措施</w:t>
            </w:r>
          </w:p>
        </w:tc>
        <w:tc>
          <w:tcPr>
            <w:tcW w:w="610" w:type="dxa"/>
            <w:vAlign w:val="center"/>
          </w:tcPr>
          <w:p w14:paraId="326BE6C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708132A3">
            <w:pPr>
              <w:spacing w:line="320" w:lineRule="exact"/>
              <w:rPr>
                <w:rFonts w:hint="eastAsia" w:ascii="宋体" w:hAnsi="宋体" w:cs="宋体"/>
                <w:sz w:val="24"/>
              </w:rPr>
            </w:pPr>
            <w:r>
              <w:rPr>
                <w:rFonts w:hint="eastAsia" w:ascii="宋体" w:hAnsi="宋体" w:cs="宋体"/>
                <w:sz w:val="24"/>
              </w:rPr>
              <w:t>措施具有针对性，内容合理、全面，得 10 分；</w:t>
            </w:r>
          </w:p>
          <w:p w14:paraId="278088F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0912EEA8">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 xml:space="preserve">未提供，得 0 分。 </w:t>
            </w:r>
          </w:p>
        </w:tc>
      </w:tr>
      <w:tr w14:paraId="3B3A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67" w:type="dxa"/>
            <w:vAlign w:val="center"/>
          </w:tcPr>
          <w:p w14:paraId="43312556">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4</w:t>
            </w:r>
          </w:p>
        </w:tc>
        <w:tc>
          <w:tcPr>
            <w:tcW w:w="1431" w:type="dxa"/>
            <w:vAlign w:val="center"/>
          </w:tcPr>
          <w:p w14:paraId="4F723C3E">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过程控制措施</w:t>
            </w:r>
          </w:p>
        </w:tc>
        <w:tc>
          <w:tcPr>
            <w:tcW w:w="610" w:type="dxa"/>
            <w:vAlign w:val="center"/>
          </w:tcPr>
          <w:p w14:paraId="6C7DF4DB">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372769B3">
            <w:pPr>
              <w:spacing w:line="320" w:lineRule="exact"/>
              <w:rPr>
                <w:rFonts w:hint="eastAsia" w:ascii="宋体" w:hAnsi="宋体" w:cs="宋体"/>
                <w:sz w:val="24"/>
              </w:rPr>
            </w:pPr>
            <w:r>
              <w:rPr>
                <w:rFonts w:hint="eastAsia" w:ascii="宋体" w:hAnsi="宋体" w:cs="宋体"/>
                <w:sz w:val="24"/>
              </w:rPr>
              <w:t>措施具有针对性，内容合理、全面，得 10 分；</w:t>
            </w:r>
          </w:p>
          <w:p w14:paraId="7E0EC07B">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16FB2154">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77F4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67" w:type="dxa"/>
            <w:vAlign w:val="center"/>
          </w:tcPr>
          <w:p w14:paraId="4543D5A3">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5</w:t>
            </w:r>
          </w:p>
        </w:tc>
        <w:tc>
          <w:tcPr>
            <w:tcW w:w="1431" w:type="dxa"/>
            <w:vAlign w:val="center"/>
          </w:tcPr>
          <w:p w14:paraId="56679D1D">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投资控制措施</w:t>
            </w:r>
          </w:p>
        </w:tc>
        <w:tc>
          <w:tcPr>
            <w:tcW w:w="610" w:type="dxa"/>
            <w:vAlign w:val="center"/>
          </w:tcPr>
          <w:p w14:paraId="600345A3">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789371D3">
            <w:pPr>
              <w:spacing w:line="320" w:lineRule="exact"/>
              <w:rPr>
                <w:rFonts w:hint="eastAsia" w:ascii="宋体" w:hAnsi="宋体" w:cs="宋体"/>
                <w:sz w:val="24"/>
              </w:rPr>
            </w:pPr>
            <w:r>
              <w:rPr>
                <w:rFonts w:hint="eastAsia" w:ascii="宋体" w:hAnsi="宋体" w:cs="宋体"/>
                <w:sz w:val="24"/>
              </w:rPr>
              <w:t>措施具有针对性，内容合理、全面，得 10 分；</w:t>
            </w:r>
          </w:p>
          <w:p w14:paraId="4B82B64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70975067">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1AE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767B0EFD">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6</w:t>
            </w:r>
          </w:p>
        </w:tc>
        <w:tc>
          <w:tcPr>
            <w:tcW w:w="1431" w:type="dxa"/>
            <w:vAlign w:val="center"/>
          </w:tcPr>
          <w:p w14:paraId="69FB0A00">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安全控制措施</w:t>
            </w:r>
          </w:p>
        </w:tc>
        <w:tc>
          <w:tcPr>
            <w:tcW w:w="610" w:type="dxa"/>
            <w:vAlign w:val="center"/>
          </w:tcPr>
          <w:p w14:paraId="5EBB9936">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5DF18614">
            <w:pPr>
              <w:spacing w:line="320" w:lineRule="exact"/>
              <w:rPr>
                <w:rFonts w:hint="eastAsia" w:ascii="宋体" w:hAnsi="宋体" w:cs="宋体"/>
                <w:sz w:val="24"/>
              </w:rPr>
            </w:pPr>
            <w:r>
              <w:rPr>
                <w:rFonts w:hint="eastAsia" w:ascii="宋体" w:hAnsi="宋体" w:cs="宋体"/>
                <w:sz w:val="24"/>
              </w:rPr>
              <w:t>措施具有针对性，内容合理、全面，得 10 分；</w:t>
            </w:r>
          </w:p>
          <w:p w14:paraId="15B1A8D3">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5BA66E48">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5BCB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5F97F25F">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7</w:t>
            </w:r>
          </w:p>
        </w:tc>
        <w:tc>
          <w:tcPr>
            <w:tcW w:w="1431" w:type="dxa"/>
            <w:vAlign w:val="center"/>
          </w:tcPr>
          <w:p w14:paraId="633A0CC9">
            <w:pPr>
              <w:spacing w:line="320" w:lineRule="exact"/>
              <w:jc w:val="center"/>
              <w:rPr>
                <w:rFonts w:hint="eastAsia" w:ascii="宋体" w:hAnsi="宋体" w:cs="宋体"/>
                <w:sz w:val="24"/>
              </w:rPr>
            </w:pPr>
            <w:r>
              <w:rPr>
                <w:rFonts w:hint="eastAsia" w:ascii="宋体" w:hAnsi="宋体" w:cs="宋体"/>
                <w:sz w:val="24"/>
              </w:rPr>
              <w:t>组织协调管理措施</w:t>
            </w:r>
          </w:p>
        </w:tc>
        <w:tc>
          <w:tcPr>
            <w:tcW w:w="610" w:type="dxa"/>
            <w:vAlign w:val="center"/>
          </w:tcPr>
          <w:p w14:paraId="450978E6">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176FEF64">
            <w:pPr>
              <w:spacing w:line="320" w:lineRule="exact"/>
              <w:rPr>
                <w:rFonts w:hint="eastAsia" w:ascii="宋体" w:hAnsi="宋体" w:cs="宋体"/>
                <w:sz w:val="24"/>
              </w:rPr>
            </w:pPr>
            <w:r>
              <w:rPr>
                <w:rFonts w:hint="eastAsia" w:ascii="宋体" w:hAnsi="宋体" w:cs="宋体"/>
                <w:sz w:val="24"/>
              </w:rPr>
              <w:t>措施具有针对性，内容合理、全面，得 10 分；</w:t>
            </w:r>
          </w:p>
          <w:p w14:paraId="3C3F8F05">
            <w:pPr>
              <w:spacing w:line="320" w:lineRule="exact"/>
              <w:rPr>
                <w:rFonts w:hint="eastAsia" w:ascii="宋体" w:hAnsi="宋体" w:cs="宋体"/>
                <w:sz w:val="24"/>
              </w:rPr>
            </w:pPr>
            <w:r>
              <w:rPr>
                <w:rFonts w:hint="eastAsia" w:ascii="宋体" w:hAnsi="宋体" w:cs="宋体"/>
                <w:sz w:val="24"/>
              </w:rPr>
              <w:t>措施较具有针对性，内容较合理、较全面，得6 分；措施针对性欠缺，内容合理性欠缺、全面性欠缺，得 3 分；</w:t>
            </w:r>
          </w:p>
          <w:p w14:paraId="6D5E756D">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p>
        </w:tc>
      </w:tr>
      <w:tr w14:paraId="3B18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67" w:type="dxa"/>
            <w:vAlign w:val="center"/>
          </w:tcPr>
          <w:p w14:paraId="32FCCAAD">
            <w:pPr>
              <w:widowControl/>
              <w:snapToGrid w:val="0"/>
              <w:spacing w:line="340" w:lineRule="exact"/>
              <w:ind w:right="31" w:rightChars="15"/>
              <w:jc w:val="center"/>
              <w:rPr>
                <w:rFonts w:hint="eastAsia" w:ascii="宋体" w:hAnsi="宋体" w:cs="宋体"/>
                <w:bCs/>
                <w:sz w:val="24"/>
              </w:rPr>
            </w:pPr>
            <w:r>
              <w:rPr>
                <w:rFonts w:hint="eastAsia" w:ascii="宋体" w:hAnsi="宋体" w:cs="宋体"/>
                <w:snapToGrid w:val="0"/>
                <w:color w:val="000000"/>
                <w:kern w:val="0"/>
                <w:sz w:val="24"/>
              </w:rPr>
              <w:t>8</w:t>
            </w:r>
          </w:p>
        </w:tc>
        <w:tc>
          <w:tcPr>
            <w:tcW w:w="1431" w:type="dxa"/>
            <w:vAlign w:val="center"/>
          </w:tcPr>
          <w:p w14:paraId="26F81C07">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相关</w:t>
            </w:r>
            <w:r>
              <w:rPr>
                <w:rFonts w:hint="eastAsia" w:ascii="宋体" w:hAnsi="宋体" w:cs="宋体"/>
                <w:sz w:val="24"/>
                <w:lang w:val="en-US" w:eastAsia="zh-CN"/>
              </w:rPr>
              <w:t>监理</w:t>
            </w:r>
            <w:r>
              <w:rPr>
                <w:rFonts w:hint="eastAsia" w:ascii="宋体" w:hAnsi="宋体" w:cs="宋体"/>
                <w:sz w:val="24"/>
              </w:rPr>
              <w:t>服务承诺</w:t>
            </w:r>
          </w:p>
        </w:tc>
        <w:tc>
          <w:tcPr>
            <w:tcW w:w="610" w:type="dxa"/>
            <w:vAlign w:val="center"/>
          </w:tcPr>
          <w:p w14:paraId="1757EF78">
            <w:pPr>
              <w:widowControl/>
              <w:snapToGrid w:val="0"/>
              <w:spacing w:line="340" w:lineRule="exact"/>
              <w:ind w:right="31" w:rightChars="15"/>
              <w:jc w:val="center"/>
              <w:rPr>
                <w:rFonts w:hint="eastAsia" w:ascii="宋体" w:hAnsi="宋体" w:cs="宋体"/>
                <w:bCs/>
                <w:sz w:val="24"/>
              </w:rPr>
            </w:pPr>
            <w:r>
              <w:rPr>
                <w:rFonts w:hint="eastAsia" w:ascii="宋体" w:hAnsi="宋体" w:cs="宋体"/>
                <w:sz w:val="24"/>
              </w:rPr>
              <w:t>10</w:t>
            </w:r>
          </w:p>
        </w:tc>
        <w:tc>
          <w:tcPr>
            <w:tcW w:w="5729" w:type="dxa"/>
            <w:vAlign w:val="center"/>
          </w:tcPr>
          <w:p w14:paraId="238A878B">
            <w:pPr>
              <w:spacing w:line="320" w:lineRule="exact"/>
              <w:rPr>
                <w:rFonts w:hint="eastAsia" w:ascii="宋体" w:hAnsi="宋体" w:cs="宋体"/>
                <w:sz w:val="24"/>
              </w:rPr>
            </w:pPr>
            <w:bookmarkStart w:id="768" w:name="OLE_LINK2"/>
            <w:r>
              <w:rPr>
                <w:rFonts w:hint="eastAsia" w:ascii="宋体" w:hAnsi="宋体" w:cs="宋体"/>
                <w:sz w:val="24"/>
                <w:lang w:val="en-US" w:eastAsia="zh-CN"/>
              </w:rPr>
              <w:t>服务承诺</w:t>
            </w:r>
            <w:r>
              <w:rPr>
                <w:rFonts w:hint="eastAsia" w:ascii="宋体" w:hAnsi="宋体" w:cs="宋体"/>
                <w:sz w:val="24"/>
              </w:rPr>
              <w:t>具有针对性，内容合理、全面，得 10 分；</w:t>
            </w:r>
          </w:p>
          <w:p w14:paraId="147E94C6">
            <w:pPr>
              <w:spacing w:line="320" w:lineRule="exact"/>
              <w:rPr>
                <w:rFonts w:hint="eastAsia" w:ascii="宋体" w:hAnsi="宋体" w:cs="宋体"/>
                <w:sz w:val="24"/>
              </w:rPr>
            </w:pPr>
            <w:r>
              <w:rPr>
                <w:rFonts w:hint="eastAsia" w:ascii="宋体" w:hAnsi="宋体" w:cs="宋体"/>
                <w:sz w:val="24"/>
                <w:lang w:val="en-US" w:eastAsia="zh-CN"/>
              </w:rPr>
              <w:t>服务承诺</w:t>
            </w:r>
            <w:r>
              <w:rPr>
                <w:rFonts w:hint="eastAsia" w:ascii="宋体" w:hAnsi="宋体" w:cs="宋体"/>
                <w:sz w:val="24"/>
              </w:rPr>
              <w:t>较具有针对性，内容较合理、较全面，得6 分；</w:t>
            </w:r>
            <w:r>
              <w:rPr>
                <w:rFonts w:hint="eastAsia" w:ascii="宋体" w:hAnsi="宋体" w:cs="宋体"/>
                <w:sz w:val="24"/>
                <w:lang w:val="en-US" w:eastAsia="zh-CN"/>
              </w:rPr>
              <w:t>服务承诺</w:t>
            </w:r>
            <w:r>
              <w:rPr>
                <w:rFonts w:hint="eastAsia" w:ascii="宋体" w:hAnsi="宋体" w:cs="宋体"/>
                <w:sz w:val="24"/>
              </w:rPr>
              <w:t>针对性欠缺，内容合理性欠缺、全面性欠缺，得 3 分；</w:t>
            </w:r>
          </w:p>
          <w:p w14:paraId="571E2906">
            <w:pPr>
              <w:widowControl/>
              <w:snapToGrid w:val="0"/>
              <w:spacing w:line="340" w:lineRule="exact"/>
              <w:ind w:right="31" w:rightChars="15"/>
              <w:jc w:val="left"/>
              <w:rPr>
                <w:rFonts w:hint="eastAsia" w:ascii="宋体" w:hAnsi="宋体" w:cs="宋体"/>
                <w:bCs/>
                <w:sz w:val="24"/>
              </w:rPr>
            </w:pPr>
            <w:r>
              <w:rPr>
                <w:rFonts w:hint="eastAsia" w:ascii="宋体" w:hAnsi="宋体" w:cs="宋体"/>
                <w:sz w:val="24"/>
              </w:rPr>
              <w:t>未提供，得 0 分。</w:t>
            </w:r>
            <w:bookmarkEnd w:id="768"/>
          </w:p>
        </w:tc>
      </w:tr>
      <w:bookmarkEnd w:id="767"/>
    </w:tbl>
    <w:p w14:paraId="3DDB2755">
      <w:pPr>
        <w:widowControl/>
        <w:snapToGrid w:val="0"/>
        <w:spacing w:line="340" w:lineRule="exact"/>
        <w:ind w:right="31" w:rightChars="15" w:firstLine="480" w:firstLineChars="200"/>
        <w:jc w:val="left"/>
        <w:rPr>
          <w:rFonts w:hint="eastAsia" w:ascii="宋体" w:hAnsi="宋体" w:cs="宋体"/>
          <w:snapToGrid w:val="0"/>
          <w:color w:val="000000"/>
          <w:kern w:val="0"/>
          <w:sz w:val="24"/>
        </w:rPr>
      </w:pPr>
      <w:r>
        <w:rPr>
          <w:rFonts w:hint="eastAsia" w:ascii="宋体" w:hAnsi="宋体" w:cs="宋体"/>
          <w:snapToGrid w:val="0"/>
          <w:color w:val="000000"/>
          <w:kern w:val="0"/>
          <w:sz w:val="24"/>
        </w:rPr>
        <w:t>2.3价格部分</w:t>
      </w:r>
    </w:p>
    <w:tbl>
      <w:tblPr>
        <w:tblStyle w:val="47"/>
        <w:tblW w:w="4998" w:type="pct"/>
        <w:jc w:val="center"/>
        <w:tblLayout w:type="autofit"/>
        <w:tblCellMar>
          <w:top w:w="0" w:type="dxa"/>
          <w:left w:w="108" w:type="dxa"/>
          <w:bottom w:w="0" w:type="dxa"/>
          <w:right w:w="108" w:type="dxa"/>
        </w:tblCellMar>
      </w:tblPr>
      <w:tblGrid>
        <w:gridCol w:w="1243"/>
        <w:gridCol w:w="767"/>
        <w:gridCol w:w="6510"/>
      </w:tblGrid>
      <w:tr w14:paraId="7EA548FC">
        <w:tblPrEx>
          <w:tblCellMar>
            <w:top w:w="0" w:type="dxa"/>
            <w:left w:w="108" w:type="dxa"/>
            <w:bottom w:w="0" w:type="dxa"/>
            <w:right w:w="108" w:type="dxa"/>
          </w:tblCellMar>
        </w:tblPrEx>
        <w:trPr>
          <w:trHeight w:val="420" w:hRule="atLeast"/>
          <w:jc w:val="center"/>
        </w:trPr>
        <w:tc>
          <w:tcPr>
            <w:tcW w:w="729" w:type="pct"/>
            <w:tcBorders>
              <w:top w:val="single" w:color="auto" w:sz="4" w:space="0"/>
              <w:left w:val="single" w:color="auto" w:sz="4" w:space="0"/>
              <w:bottom w:val="single" w:color="auto" w:sz="4" w:space="0"/>
              <w:right w:val="single" w:color="auto" w:sz="4" w:space="0"/>
            </w:tcBorders>
            <w:vAlign w:val="center"/>
          </w:tcPr>
          <w:p w14:paraId="1B80ABD7">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评分因素</w:t>
            </w:r>
          </w:p>
        </w:tc>
        <w:tc>
          <w:tcPr>
            <w:tcW w:w="450" w:type="pct"/>
            <w:tcBorders>
              <w:top w:val="single" w:color="auto" w:sz="4" w:space="0"/>
              <w:left w:val="nil"/>
              <w:bottom w:val="single" w:color="auto" w:sz="4" w:space="0"/>
              <w:right w:val="single" w:color="auto" w:sz="4" w:space="0"/>
            </w:tcBorders>
            <w:vAlign w:val="center"/>
          </w:tcPr>
          <w:p w14:paraId="324D2748">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分值</w:t>
            </w:r>
          </w:p>
        </w:tc>
        <w:tc>
          <w:tcPr>
            <w:tcW w:w="3819" w:type="pct"/>
            <w:tcBorders>
              <w:top w:val="single" w:color="auto" w:sz="4" w:space="0"/>
              <w:left w:val="nil"/>
              <w:bottom w:val="single" w:color="auto" w:sz="4" w:space="0"/>
              <w:right w:val="single" w:color="000000" w:sz="4" w:space="0"/>
            </w:tcBorders>
            <w:vAlign w:val="center"/>
          </w:tcPr>
          <w:p w14:paraId="54E8B645">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评分标准</w:t>
            </w:r>
          </w:p>
        </w:tc>
      </w:tr>
      <w:tr w14:paraId="43D5C812">
        <w:tblPrEx>
          <w:tblCellMar>
            <w:top w:w="0" w:type="dxa"/>
            <w:left w:w="108" w:type="dxa"/>
            <w:bottom w:w="0" w:type="dxa"/>
            <w:right w:w="108" w:type="dxa"/>
          </w:tblCellMar>
        </w:tblPrEx>
        <w:trPr>
          <w:trHeight w:val="58" w:hRule="atLeast"/>
          <w:jc w:val="center"/>
        </w:trPr>
        <w:tc>
          <w:tcPr>
            <w:tcW w:w="729" w:type="pct"/>
            <w:tcBorders>
              <w:top w:val="nil"/>
              <w:left w:val="single" w:color="auto" w:sz="4" w:space="0"/>
              <w:bottom w:val="single" w:color="auto" w:sz="4" w:space="0"/>
              <w:right w:val="single" w:color="auto" w:sz="4" w:space="0"/>
            </w:tcBorders>
            <w:vAlign w:val="center"/>
          </w:tcPr>
          <w:p w14:paraId="25EDD62C">
            <w:pPr>
              <w:widowControl/>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投标报价</w:t>
            </w:r>
          </w:p>
        </w:tc>
        <w:tc>
          <w:tcPr>
            <w:tcW w:w="450" w:type="pct"/>
            <w:tcBorders>
              <w:top w:val="nil"/>
              <w:left w:val="nil"/>
              <w:bottom w:val="single" w:color="auto" w:sz="4" w:space="0"/>
              <w:right w:val="single" w:color="auto" w:sz="4" w:space="0"/>
            </w:tcBorders>
            <w:vAlign w:val="center"/>
          </w:tcPr>
          <w:p w14:paraId="303E1BBE">
            <w:pPr>
              <w:widowControl/>
              <w:snapToGrid w:val="0"/>
              <w:spacing w:line="340" w:lineRule="exact"/>
              <w:ind w:right="31" w:rightChars="15"/>
              <w:jc w:val="center"/>
              <w:rPr>
                <w:rFonts w:hint="eastAsia" w:ascii="宋体" w:hAnsi="宋体" w:cs="宋体"/>
                <w:snapToGrid w:val="0"/>
                <w:color w:val="000000"/>
                <w:kern w:val="0"/>
                <w:sz w:val="24"/>
              </w:rPr>
            </w:pPr>
            <w:r>
              <w:rPr>
                <w:rFonts w:hint="eastAsia" w:ascii="宋体" w:hAnsi="宋体" w:cs="宋体"/>
                <w:snapToGrid w:val="0"/>
                <w:color w:val="000000"/>
                <w:kern w:val="0"/>
                <w:sz w:val="24"/>
              </w:rPr>
              <w:t>10</w:t>
            </w:r>
          </w:p>
        </w:tc>
        <w:tc>
          <w:tcPr>
            <w:tcW w:w="3819" w:type="pct"/>
            <w:tcBorders>
              <w:top w:val="single" w:color="auto" w:sz="4" w:space="0"/>
              <w:left w:val="nil"/>
              <w:bottom w:val="single" w:color="auto" w:sz="4" w:space="0"/>
              <w:right w:val="single" w:color="000000" w:sz="4" w:space="0"/>
            </w:tcBorders>
            <w:vAlign w:val="center"/>
          </w:tcPr>
          <w:p w14:paraId="59BB25FB">
            <w:pPr>
              <w:snapToGrid w:val="0"/>
              <w:spacing w:line="340" w:lineRule="exact"/>
              <w:ind w:right="31" w:rightChars="15"/>
              <w:jc w:val="left"/>
              <w:rPr>
                <w:rFonts w:hint="eastAsia" w:ascii="宋体" w:hAnsi="宋体" w:cs="宋体"/>
                <w:snapToGrid w:val="0"/>
                <w:color w:val="000000"/>
                <w:kern w:val="0"/>
                <w:sz w:val="24"/>
              </w:rPr>
            </w:pPr>
            <w:r>
              <w:rPr>
                <w:rFonts w:ascii="宋体" w:hAnsi="宋体" w:cs="宋体"/>
                <w:snapToGrid w:val="0"/>
                <w:color w:val="000000"/>
                <w:kern w:val="0"/>
                <w:sz w:val="24"/>
              </w:rPr>
              <w:t>满足招标文件要求且投标价格最低的投标报价为评标基准价，</w:t>
            </w:r>
            <w:r>
              <w:rPr>
                <w:rFonts w:hint="eastAsia" w:ascii="宋体" w:hAnsi="宋体" w:cs="宋体"/>
                <w:snapToGrid w:val="0"/>
                <w:color w:val="000000"/>
                <w:kern w:val="0"/>
                <w:sz w:val="24"/>
              </w:rPr>
              <w:t>该投标报价得</w:t>
            </w:r>
            <w:r>
              <w:rPr>
                <w:rFonts w:ascii="宋体" w:hAnsi="宋体" w:cs="宋体"/>
                <w:snapToGrid w:val="0"/>
                <w:color w:val="000000"/>
                <w:kern w:val="0"/>
                <w:sz w:val="24"/>
              </w:rPr>
              <w:t>分为满分。其他投标人的</w:t>
            </w:r>
            <w:r>
              <w:rPr>
                <w:rFonts w:hint="eastAsia" w:ascii="宋体" w:hAnsi="宋体" w:cs="宋体"/>
                <w:snapToGrid w:val="0"/>
                <w:color w:val="000000"/>
                <w:kern w:val="0"/>
                <w:sz w:val="24"/>
              </w:rPr>
              <w:t>投标报价得分</w:t>
            </w:r>
            <w:r>
              <w:rPr>
                <w:rFonts w:ascii="宋体" w:hAnsi="宋体" w:cs="宋体"/>
                <w:snapToGrid w:val="0"/>
                <w:color w:val="000000"/>
                <w:kern w:val="0"/>
                <w:sz w:val="24"/>
              </w:rPr>
              <w:t>统一按照下列公式计算：</w:t>
            </w:r>
          </w:p>
          <w:p w14:paraId="7BAD05D7">
            <w:pPr>
              <w:snapToGrid w:val="0"/>
              <w:spacing w:line="340" w:lineRule="exact"/>
              <w:ind w:right="31" w:rightChars="15"/>
              <w:jc w:val="left"/>
              <w:rPr>
                <w:rFonts w:hint="eastAsia" w:ascii="宋体" w:hAnsi="宋体" w:cs="宋体"/>
                <w:snapToGrid w:val="0"/>
                <w:color w:val="000000"/>
                <w:kern w:val="0"/>
                <w:sz w:val="24"/>
              </w:rPr>
            </w:pPr>
            <w:r>
              <w:rPr>
                <w:rFonts w:ascii="宋体" w:hAnsi="宋体" w:cs="宋体"/>
                <w:snapToGrid w:val="0"/>
                <w:color w:val="000000"/>
                <w:kern w:val="0"/>
                <w:sz w:val="24"/>
              </w:rPr>
              <w:t>投标报价得分＝（评标基准价/投标报价）×分值。</w:t>
            </w:r>
          </w:p>
          <w:p w14:paraId="37C60C61">
            <w:pPr>
              <w:snapToGrid w:val="0"/>
              <w:spacing w:line="340" w:lineRule="exact"/>
              <w:ind w:right="31" w:rightChars="15"/>
              <w:jc w:val="left"/>
              <w:rPr>
                <w:rFonts w:hint="eastAsia" w:ascii="宋体" w:hAnsi="宋体" w:cs="宋体"/>
                <w:snapToGrid w:val="0"/>
                <w:color w:val="000000"/>
                <w:kern w:val="0"/>
                <w:sz w:val="24"/>
              </w:rPr>
            </w:pPr>
            <w:r>
              <w:rPr>
                <w:rFonts w:hint="eastAsia" w:ascii="宋体" w:hAnsi="宋体" w:cs="宋体"/>
                <w:snapToGrid w:val="0"/>
                <w:color w:val="000000"/>
                <w:kern w:val="0"/>
                <w:sz w:val="24"/>
              </w:rPr>
              <w:t>此处投标报价指经过报价修正，及</w:t>
            </w:r>
            <w:r>
              <w:rPr>
                <w:rFonts w:ascii="宋体" w:hAnsi="宋体" w:cs="宋体"/>
                <w:snapToGrid w:val="0"/>
                <w:color w:val="000000"/>
                <w:kern w:val="0"/>
                <w:sz w:val="24"/>
              </w:rPr>
              <w:t>因落实政府采购政策进行价格调整</w:t>
            </w:r>
            <w:r>
              <w:rPr>
                <w:rFonts w:hint="eastAsia" w:ascii="宋体" w:hAnsi="宋体" w:cs="宋体"/>
                <w:snapToGrid w:val="0"/>
                <w:color w:val="000000"/>
                <w:kern w:val="0"/>
                <w:sz w:val="24"/>
              </w:rPr>
              <w:t>后</w:t>
            </w:r>
            <w:r>
              <w:rPr>
                <w:rFonts w:ascii="宋体" w:hAnsi="宋体" w:cs="宋体"/>
                <w:snapToGrid w:val="0"/>
                <w:color w:val="000000"/>
                <w:kern w:val="0"/>
                <w:sz w:val="24"/>
              </w:rPr>
              <w:t>的</w:t>
            </w:r>
            <w:r>
              <w:rPr>
                <w:rFonts w:hint="eastAsia" w:ascii="宋体" w:hAnsi="宋体" w:cs="宋体"/>
                <w:snapToGrid w:val="0"/>
                <w:color w:val="000000"/>
                <w:kern w:val="0"/>
                <w:sz w:val="24"/>
              </w:rPr>
              <w:t>报价</w:t>
            </w:r>
            <w:r>
              <w:rPr>
                <w:rFonts w:ascii="宋体" w:hAnsi="宋体" w:cs="宋体"/>
                <w:snapToGrid w:val="0"/>
                <w:color w:val="000000"/>
                <w:kern w:val="0"/>
                <w:sz w:val="24"/>
              </w:rPr>
              <w:t>，详见第四章《</w:t>
            </w:r>
            <w:r>
              <w:rPr>
                <w:rFonts w:hint="eastAsia"/>
                <w:snapToGrid w:val="0"/>
                <w:color w:val="000000"/>
                <w:kern w:val="0"/>
                <w:sz w:val="24"/>
              </w:rPr>
              <w:t>评标程序、</w:t>
            </w:r>
            <w:r>
              <w:rPr>
                <w:rFonts w:ascii="宋体" w:hAnsi="宋体" w:cs="宋体"/>
                <w:snapToGrid w:val="0"/>
                <w:color w:val="000000"/>
                <w:kern w:val="0"/>
                <w:sz w:val="24"/>
              </w:rPr>
              <w:t>评标方法和评标标准》</w:t>
            </w:r>
            <w:r>
              <w:rPr>
                <w:rFonts w:hint="eastAsia" w:ascii="宋体" w:hAnsi="宋体" w:cs="宋体"/>
                <w:snapToGrid w:val="0"/>
                <w:color w:val="000000"/>
                <w:kern w:val="0"/>
                <w:sz w:val="24"/>
              </w:rPr>
              <w:t>2</w:t>
            </w:r>
            <w:r>
              <w:rPr>
                <w:rFonts w:ascii="宋体" w:hAnsi="宋体" w:cs="宋体"/>
                <w:snapToGrid w:val="0"/>
                <w:color w:val="000000"/>
                <w:kern w:val="0"/>
                <w:sz w:val="24"/>
              </w:rPr>
              <w:t>.4</w:t>
            </w:r>
            <w:r>
              <w:rPr>
                <w:rFonts w:hint="eastAsia" w:ascii="宋体" w:hAnsi="宋体" w:cs="宋体"/>
                <w:snapToGrid w:val="0"/>
                <w:color w:val="000000"/>
                <w:kern w:val="0"/>
                <w:sz w:val="24"/>
              </w:rPr>
              <w:t>及</w:t>
            </w:r>
            <w:r>
              <w:rPr>
                <w:rFonts w:ascii="宋体" w:hAnsi="宋体" w:cs="宋体"/>
                <w:snapToGrid w:val="0"/>
                <w:color w:val="000000"/>
                <w:kern w:val="0"/>
                <w:sz w:val="24"/>
              </w:rPr>
              <w:t>2.5。</w:t>
            </w:r>
          </w:p>
        </w:tc>
      </w:tr>
    </w:tbl>
    <w:p w14:paraId="7B69246A">
      <w:pPr>
        <w:snapToGrid w:val="0"/>
        <w:spacing w:line="340" w:lineRule="exact"/>
        <w:ind w:right="31" w:rightChars="15"/>
        <w:rPr>
          <w:rFonts w:hint="eastAsia" w:ascii="宋体" w:hAnsi="宋体" w:cs="宋体"/>
          <w:snapToGrid w:val="0"/>
          <w:kern w:val="0"/>
          <w:sz w:val="24"/>
        </w:rPr>
      </w:pPr>
      <w:r>
        <w:rPr>
          <w:rFonts w:hint="eastAsia" w:ascii="宋体" w:hAnsi="宋体" w:cs="宋体"/>
          <w:snapToGrid w:val="0"/>
          <w:kern w:val="0"/>
          <w:sz w:val="24"/>
        </w:rPr>
        <w:t xml:space="preserve">3  确定中标人 </w:t>
      </w:r>
    </w:p>
    <w:p w14:paraId="0BA6FA76">
      <w:pPr>
        <w:snapToGrid w:val="0"/>
        <w:spacing w:line="340" w:lineRule="exact"/>
        <w:ind w:left="479" w:leftChars="228" w:right="31" w:rightChars="15"/>
        <w:rPr>
          <w:rFonts w:hint="eastAsia" w:ascii="宋体" w:hAnsi="宋体" w:cs="宋体"/>
          <w:snapToGrid w:val="0"/>
          <w:kern w:val="0"/>
          <w:sz w:val="24"/>
        </w:rPr>
      </w:pPr>
      <w:r>
        <w:rPr>
          <w:rFonts w:hint="eastAsia" w:ascii="宋体" w:hAnsi="宋体" w:cs="宋体"/>
          <w:snapToGrid w:val="0"/>
          <w:kern w:val="0"/>
          <w:sz w:val="24"/>
        </w:rPr>
        <w:t xml:space="preserve">3.1 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第三位四舍五入），并按照投标人最终得分由高到低排序。评标委员会将推荐中标候选人3名，若出现最终得分相同时，按投标报价由低到高顺序排列；若最终得分及报价均相同时，按技术方案优劣顺序排列。 </w:t>
      </w:r>
    </w:p>
    <w:p w14:paraId="1FE32F66">
      <w:pPr>
        <w:snapToGrid w:val="0"/>
        <w:spacing w:line="340" w:lineRule="exact"/>
        <w:ind w:right="31" w:rightChars="15" w:firstLine="480" w:firstLineChars="200"/>
        <w:rPr>
          <w:snapToGrid w:val="0"/>
          <w:kern w:val="0"/>
          <w:sz w:val="28"/>
          <w:szCs w:val="28"/>
        </w:rPr>
      </w:pPr>
      <w:r>
        <w:rPr>
          <w:rFonts w:hint="eastAsia" w:ascii="宋体" w:hAnsi="宋体" w:cs="宋体"/>
          <w:snapToGrid w:val="0"/>
          <w:kern w:val="0"/>
          <w:sz w:val="24"/>
        </w:rPr>
        <w:t>3.2 评标中如遇特殊问题，由评标委员会根据有关法规研究决定。</w:t>
      </w:r>
    </w:p>
    <w:p w14:paraId="699E2E2D">
      <w:pPr>
        <w:pStyle w:val="46"/>
        <w:snapToGrid w:val="0"/>
        <w:spacing w:after="0" w:line="360" w:lineRule="auto"/>
        <w:ind w:left="0" w:leftChars="0" w:right="31" w:rightChars="15" w:firstLine="0" w:firstLineChars="0"/>
        <w:rPr>
          <w:snapToGrid w:val="0"/>
          <w:kern w:val="0"/>
          <w:sz w:val="28"/>
          <w:szCs w:val="28"/>
        </w:rPr>
        <w:sectPr>
          <w:headerReference r:id="rId17" w:type="default"/>
          <w:footerReference r:id="rId18" w:type="default"/>
          <w:pgSz w:w="11907" w:h="16840"/>
          <w:pgMar w:top="1440" w:right="1800" w:bottom="1440" w:left="1800" w:header="851" w:footer="851" w:gutter="0"/>
          <w:cols w:space="720" w:num="1"/>
          <w:docGrid w:linePitch="462" w:charSpace="0"/>
        </w:sectPr>
      </w:pPr>
      <w:bookmarkStart w:id="769" w:name="_Toc99301424"/>
    </w:p>
    <w:p w14:paraId="745E512E">
      <w:pPr>
        <w:pStyle w:val="46"/>
        <w:snapToGrid w:val="0"/>
        <w:spacing w:after="0" w:line="360" w:lineRule="auto"/>
        <w:ind w:left="0" w:leftChars="0" w:right="31" w:rightChars="15" w:firstLine="0" w:firstLineChars="0"/>
        <w:rPr>
          <w:snapToGrid w:val="0"/>
          <w:kern w:val="0"/>
          <w:sz w:val="28"/>
          <w:szCs w:val="28"/>
        </w:rPr>
      </w:pPr>
    </w:p>
    <w:p w14:paraId="615D53EF">
      <w:pPr>
        <w:pStyle w:val="2"/>
        <w:snapToGrid w:val="0"/>
        <w:spacing w:before="0" w:after="0" w:line="360" w:lineRule="auto"/>
        <w:ind w:right="31" w:rightChars="15"/>
        <w:rPr>
          <w:sz w:val="24"/>
        </w:rPr>
      </w:pPr>
      <w:bookmarkStart w:id="770" w:name="_Toc27550"/>
      <w:bookmarkStart w:id="771" w:name="_Toc3108"/>
      <w:bookmarkStart w:id="772" w:name="_Toc8793"/>
      <w:r>
        <w:rPr>
          <w:snapToGrid w:val="0"/>
          <w:kern w:val="0"/>
        </w:rPr>
        <w:t>第五章   采购需求</w:t>
      </w:r>
      <w:bookmarkEnd w:id="769"/>
      <w:bookmarkEnd w:id="770"/>
      <w:bookmarkEnd w:id="771"/>
      <w:bookmarkEnd w:id="772"/>
      <w:bookmarkStart w:id="773" w:name="_Toc99301425"/>
    </w:p>
    <w:bookmarkEnd w:id="773"/>
    <w:p w14:paraId="57311850">
      <w:pPr>
        <w:autoSpaceDE w:val="0"/>
        <w:autoSpaceDN w:val="0"/>
        <w:spacing w:line="360" w:lineRule="auto"/>
        <w:ind w:firstLine="562" w:firstLineChars="200"/>
        <w:rPr>
          <w:rFonts w:hint="eastAsia" w:eastAsia="宋体"/>
          <w:b/>
          <w:bCs/>
          <w:sz w:val="28"/>
          <w:szCs w:val="28"/>
          <w:lang w:eastAsia="zh-CN"/>
        </w:rPr>
      </w:pPr>
      <w:bookmarkStart w:id="774" w:name="_Toc342296261"/>
      <w:bookmarkStart w:id="775" w:name="_Toc489003594"/>
      <w:bookmarkStart w:id="776" w:name="_Toc99301426"/>
      <w:bookmarkStart w:id="777" w:name="_Toc3451"/>
      <w:bookmarkStart w:id="778" w:name="_Toc17190"/>
      <w:r>
        <w:rPr>
          <w:rFonts w:hint="eastAsia"/>
          <w:b/>
          <w:bCs/>
          <w:sz w:val="28"/>
          <w:szCs w:val="28"/>
        </w:rPr>
        <w:t>一、项目</w:t>
      </w:r>
      <w:r>
        <w:rPr>
          <w:rFonts w:hint="eastAsia"/>
          <w:b/>
          <w:bCs/>
          <w:sz w:val="28"/>
          <w:szCs w:val="28"/>
          <w:lang w:val="en-US" w:eastAsia="zh-CN"/>
        </w:rPr>
        <w:t>概况</w:t>
      </w:r>
    </w:p>
    <w:p w14:paraId="2EE242AC">
      <w:pPr>
        <w:autoSpaceDE w:val="0"/>
        <w:autoSpaceDN w:val="0"/>
        <w:spacing w:line="360" w:lineRule="auto"/>
        <w:ind w:firstLine="560" w:firstLineChars="200"/>
        <w:rPr>
          <w:rFonts w:hint="eastAsia" w:eastAsia="宋体"/>
          <w:sz w:val="28"/>
          <w:szCs w:val="28"/>
          <w:highlight w:val="none"/>
          <w:lang w:eastAsia="zh-CN"/>
        </w:rPr>
      </w:pPr>
      <w:r>
        <w:rPr>
          <w:rFonts w:hint="eastAsia"/>
          <w:sz w:val="28"/>
          <w:szCs w:val="28"/>
          <w:highlight w:val="none"/>
        </w:rPr>
        <w:t>项目名称：</w:t>
      </w:r>
      <w:r>
        <w:rPr>
          <w:rFonts w:hint="eastAsia"/>
          <w:sz w:val="28"/>
          <w:szCs w:val="28"/>
          <w:highlight w:val="none"/>
          <w:lang w:eastAsia="zh-CN"/>
        </w:rPr>
        <w:t>门头沟区潭柘寺镇</w:t>
      </w:r>
      <w:r>
        <w:rPr>
          <w:rFonts w:hint="eastAsia"/>
          <w:sz w:val="28"/>
          <w:szCs w:val="28"/>
          <w:highlight w:val="none"/>
          <w:lang w:val="en-US" w:eastAsia="zh-CN"/>
        </w:rPr>
        <w:t>草甸水村</w:t>
      </w:r>
      <w:r>
        <w:rPr>
          <w:rFonts w:hint="eastAsia"/>
          <w:sz w:val="28"/>
          <w:szCs w:val="28"/>
          <w:highlight w:val="none"/>
          <w:lang w:eastAsia="zh-CN"/>
        </w:rPr>
        <w:t>异地重建安置基础设施建设工程（监理）</w:t>
      </w:r>
    </w:p>
    <w:p w14:paraId="66CD7D88">
      <w:pPr>
        <w:autoSpaceDE w:val="0"/>
        <w:autoSpaceDN w:val="0"/>
        <w:spacing w:line="360" w:lineRule="auto"/>
        <w:ind w:firstLine="562" w:firstLineChars="200"/>
        <w:rPr>
          <w:b/>
          <w:bCs/>
          <w:sz w:val="28"/>
          <w:szCs w:val="28"/>
          <w:highlight w:val="none"/>
        </w:rPr>
      </w:pPr>
      <w:r>
        <w:rPr>
          <w:rFonts w:hint="eastAsia"/>
          <w:b/>
          <w:bCs/>
          <w:sz w:val="28"/>
          <w:szCs w:val="28"/>
          <w:highlight w:val="none"/>
        </w:rPr>
        <w:t>二、合同履行期限</w:t>
      </w:r>
    </w:p>
    <w:p w14:paraId="409D42F4">
      <w:pPr>
        <w:autoSpaceDE w:val="0"/>
        <w:autoSpaceDN w:val="0"/>
        <w:spacing w:line="360" w:lineRule="auto"/>
        <w:ind w:firstLine="560" w:firstLineChars="200"/>
        <w:rPr>
          <w:rFonts w:hint="eastAsia"/>
          <w:sz w:val="28"/>
          <w:szCs w:val="28"/>
          <w:highlight w:val="none"/>
          <w:lang w:val="en-US" w:eastAsia="zh-CN"/>
        </w:rPr>
      </w:pPr>
      <w:r>
        <w:rPr>
          <w:rFonts w:hint="eastAsia"/>
          <w:sz w:val="28"/>
          <w:szCs w:val="28"/>
          <w:highlight w:val="none"/>
          <w:lang w:val="en-US" w:eastAsia="zh-CN"/>
        </w:rPr>
        <w:t>473日历天。</w:t>
      </w:r>
    </w:p>
    <w:p w14:paraId="56C3F012">
      <w:pPr>
        <w:autoSpaceDE w:val="0"/>
        <w:autoSpaceDN w:val="0"/>
        <w:spacing w:line="360" w:lineRule="auto"/>
        <w:ind w:firstLine="562" w:firstLineChars="200"/>
        <w:rPr>
          <w:highlight w:val="none"/>
        </w:rPr>
      </w:pPr>
      <w:r>
        <w:rPr>
          <w:rFonts w:hint="eastAsia"/>
          <w:b/>
          <w:bCs/>
          <w:sz w:val="28"/>
          <w:szCs w:val="28"/>
          <w:highlight w:val="none"/>
          <w:lang w:val="zh-CN"/>
        </w:rPr>
        <w:t>三、实施地点</w:t>
      </w:r>
    </w:p>
    <w:p w14:paraId="1E16E482">
      <w:pPr>
        <w:autoSpaceDE w:val="0"/>
        <w:autoSpaceDN w:val="0"/>
        <w:spacing w:line="360" w:lineRule="auto"/>
        <w:ind w:firstLine="560" w:firstLineChars="200"/>
        <w:rPr>
          <w:rFonts w:hint="eastAsia"/>
          <w:b w:val="0"/>
          <w:bCs w:val="0"/>
          <w:sz w:val="28"/>
          <w:szCs w:val="28"/>
          <w:highlight w:val="none"/>
        </w:rPr>
      </w:pPr>
      <w:r>
        <w:rPr>
          <w:rFonts w:hint="eastAsia"/>
          <w:b w:val="0"/>
          <w:bCs w:val="0"/>
          <w:sz w:val="28"/>
          <w:szCs w:val="28"/>
          <w:highlight w:val="none"/>
        </w:rPr>
        <w:t>北京市门头沟区</w:t>
      </w:r>
    </w:p>
    <w:p w14:paraId="60BB0257">
      <w:pPr>
        <w:autoSpaceDE w:val="0"/>
        <w:autoSpaceDN w:val="0"/>
        <w:spacing w:line="360" w:lineRule="auto"/>
        <w:ind w:firstLine="562" w:firstLineChars="200"/>
        <w:rPr>
          <w:b/>
          <w:bCs/>
          <w:sz w:val="28"/>
          <w:szCs w:val="28"/>
          <w:highlight w:val="none"/>
        </w:rPr>
      </w:pPr>
      <w:r>
        <w:rPr>
          <w:rFonts w:hint="eastAsia"/>
          <w:b/>
          <w:bCs/>
          <w:sz w:val="28"/>
          <w:szCs w:val="28"/>
          <w:highlight w:val="none"/>
        </w:rPr>
        <w:t>四、验收标准</w:t>
      </w:r>
    </w:p>
    <w:p w14:paraId="0D4DCF39">
      <w:pPr>
        <w:autoSpaceDE w:val="0"/>
        <w:autoSpaceDN w:val="0"/>
        <w:spacing w:line="360" w:lineRule="auto"/>
        <w:ind w:firstLine="560" w:firstLineChars="200"/>
        <w:rPr>
          <w:rFonts w:hint="eastAsia"/>
          <w:sz w:val="28"/>
          <w:szCs w:val="28"/>
          <w:highlight w:val="none"/>
        </w:rPr>
      </w:pPr>
      <w:r>
        <w:rPr>
          <w:rFonts w:hint="eastAsia"/>
          <w:sz w:val="28"/>
          <w:szCs w:val="28"/>
          <w:highlight w:val="none"/>
        </w:rPr>
        <w:t>《建设工程监理规范》（GB/T50319-2013）监理规范、规程如重新修订，以新修订的版本为准</w:t>
      </w:r>
    </w:p>
    <w:p w14:paraId="75EA98BF">
      <w:pPr>
        <w:autoSpaceDE w:val="0"/>
        <w:autoSpaceDN w:val="0"/>
        <w:spacing w:line="360" w:lineRule="auto"/>
        <w:ind w:firstLine="562" w:firstLineChars="200"/>
        <w:rPr>
          <w:b/>
          <w:bCs/>
          <w:sz w:val="28"/>
          <w:szCs w:val="28"/>
          <w:highlight w:val="none"/>
        </w:rPr>
      </w:pPr>
      <w:r>
        <w:rPr>
          <w:rFonts w:hint="eastAsia"/>
          <w:b/>
          <w:bCs/>
          <w:sz w:val="28"/>
          <w:szCs w:val="28"/>
          <w:highlight w:val="none"/>
        </w:rPr>
        <w:t>五、标的需实现的主要功能或者目标</w:t>
      </w:r>
    </w:p>
    <w:p w14:paraId="6A14C6A9">
      <w:pPr>
        <w:autoSpaceDE w:val="0"/>
        <w:autoSpaceDN w:val="0"/>
        <w:spacing w:line="360" w:lineRule="auto"/>
        <w:ind w:firstLine="560" w:firstLineChars="2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lang w:val="en-US" w:eastAsia="zh-CN"/>
        </w:rPr>
        <w:t>监理工作范围：负责本项目的现场实施和验收等阶段的质量、实施进度、成本、合同审核和信息文档管理及组织协调工作；代表采购人审核项目从实施、验收等阶段过程中所产生的成果；对项目执行过程当中的变更进行控制，确保项目达到质量计划或者合同所规定的质量要求。</w:t>
      </w:r>
    </w:p>
    <w:p w14:paraId="0782B56A">
      <w:pPr>
        <w:autoSpaceDE w:val="0"/>
        <w:autoSpaceDN w:val="0"/>
        <w:spacing w:line="360" w:lineRule="auto"/>
        <w:ind w:firstLine="562" w:firstLineChars="200"/>
        <w:rPr>
          <w:rFonts w:ascii="宋体" w:hAnsi="宋体"/>
          <w:b/>
          <w:bCs/>
          <w:sz w:val="28"/>
          <w:szCs w:val="28"/>
        </w:rPr>
      </w:pPr>
      <w:r>
        <w:rPr>
          <w:rFonts w:hint="eastAsia" w:ascii="宋体" w:hAnsi="宋体"/>
          <w:b/>
          <w:bCs/>
          <w:sz w:val="28"/>
          <w:szCs w:val="28"/>
        </w:rPr>
        <w:t>六、标的需满足的质量、服务、安全、时限等要求</w:t>
      </w:r>
    </w:p>
    <w:p w14:paraId="2D597264">
      <w:pPr>
        <w:autoSpaceDE w:val="0"/>
        <w:autoSpaceDN w:val="0"/>
        <w:spacing w:line="360" w:lineRule="auto"/>
        <w:ind w:firstLine="560" w:firstLineChars="200"/>
        <w:rPr>
          <w:sz w:val="28"/>
          <w:szCs w:val="28"/>
        </w:rPr>
      </w:pPr>
      <w:r>
        <w:rPr>
          <w:rFonts w:hint="eastAsia"/>
          <w:sz w:val="28"/>
          <w:szCs w:val="28"/>
        </w:rPr>
        <w:t>本项目需执行国家和行业现行规范并满足采购人关于项目、安全、时限等要求。</w:t>
      </w:r>
    </w:p>
    <w:p w14:paraId="36953CAA">
      <w:pPr>
        <w:autoSpaceDE w:val="0"/>
        <w:autoSpaceDN w:val="0"/>
        <w:spacing w:line="360" w:lineRule="auto"/>
        <w:ind w:firstLine="562" w:firstLineChars="200"/>
        <w:rPr>
          <w:rFonts w:ascii="宋体" w:hAnsi="宋体" w:cs="宋体"/>
          <w:sz w:val="28"/>
          <w:szCs w:val="28"/>
          <w:highlight w:val="none"/>
        </w:rPr>
      </w:pPr>
      <w:r>
        <w:rPr>
          <w:rFonts w:hint="eastAsia" w:ascii="宋体" w:hAnsi="宋体"/>
          <w:b/>
          <w:bCs/>
          <w:sz w:val="28"/>
          <w:szCs w:val="28"/>
          <w:highlight w:val="none"/>
          <w:lang w:val="en-US" w:eastAsia="zh-CN"/>
        </w:rPr>
        <w:t>七</w:t>
      </w:r>
      <w:r>
        <w:rPr>
          <w:rFonts w:hint="eastAsia" w:ascii="宋体" w:hAnsi="宋体"/>
          <w:b/>
          <w:bCs/>
          <w:sz w:val="28"/>
          <w:szCs w:val="28"/>
          <w:highlight w:val="none"/>
          <w:lang w:val="zh-CN"/>
        </w:rPr>
        <w:t>、项目需求</w:t>
      </w:r>
    </w:p>
    <w:p w14:paraId="1C2A457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（一）基本要求</w:t>
      </w:r>
    </w:p>
    <w:p w14:paraId="18C827B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监理工作范围：负责本项目的现场实施和验收等阶段的质量、实施进度、 成本、合同审核和信息文档管理及组织协调工作；代表采购人审核项目从实 施、验收等阶段过程中所产生的成果；对项目执行过程当中的变更进行控制， 确保项目达到质量计划或者合同所规定的质量要求。。</w:t>
      </w:r>
    </w:p>
    <w:p w14:paraId="4796BD9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（二）项目各阶段监理服务基本要求</w:t>
      </w:r>
    </w:p>
    <w:p w14:paraId="7ECB0E8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本项目监理包括对上述项目的现场施工、实施、技术服务与培训等各项实 施内容监理服务，对项目从合同签订、 实施、测试、验收等各阶段进行监理服务。</w:t>
      </w:r>
    </w:p>
    <w:p w14:paraId="17A08BD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1、对本项目已签订合同进行分析，促使采购人、承建方所签订的合同在 技术、经济上合理有效。</w:t>
      </w:r>
    </w:p>
    <w:p w14:paraId="3173F13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2、在本项目到货阶段，监理方将代表采购人审核项目清单，确保产品数  量、质量、外观符合招标要求，施工阶段监理方需有现场旁站、拍照、存档。 在审核通过后，承建方才能进入下一步的工作。</w:t>
      </w:r>
    </w:p>
    <w:p w14:paraId="6DC41E8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3、在本项目实施阶段，项目的执行应该符合国家法律、法规和标准，满 足承建合同的要求，以项目计划为依据，并按照项目计划实施。如果项目没 有按照预定的进度执行，必须做出说明并调整计划。</w:t>
      </w:r>
    </w:p>
    <w:p w14:paraId="67B8E3C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4、在本项目实际实施过程中，采购人或承建方根据需求变更情况以书面 提出变更请求，详细说明变更内容（变更方案和变更范围），变更的理由。  然后，监理方对变更请求进行分析和评价，包括：功能价值，潜在的副作用， 影响范围，变更代价。</w:t>
      </w:r>
    </w:p>
    <w:p w14:paraId="4AF9F1D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5、在本项目验收阶段，监理要明确项目测试验收方案的符合性（验收目 标、责任双方、验收提交清单、验收标准、验收方式、验收环境等）及可行 性；促使项目的最终功能和性能符合承建合同、法律、法规和标准的要求； 推动承建方所提供的项目各阶段形成的技术、管理文档的内容和种类符合标 准要求。监理负责组织对所有的项目内容的最终验收，验收完毕后，提交验收清单及签收单。</w:t>
      </w:r>
    </w:p>
    <w:p w14:paraId="206DD34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6、对本项目投资和变更投资的合理性提出合理化建议。</w:t>
      </w:r>
    </w:p>
    <w:p w14:paraId="395A4ED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7、在本项目在实际进行的各阶段中，监理方组织各参建方对风险进行预 测，并提出降低和化解风险的办法。</w:t>
      </w:r>
    </w:p>
    <w:p w14:paraId="43E42E2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8、协助采购人落实维护保养等具体措施。</w:t>
      </w:r>
    </w:p>
    <w:p w14:paraId="28BB2080">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（三）监理工作的基本内容要求</w:t>
      </w:r>
    </w:p>
    <w:p w14:paraId="22CC006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为了保证项目各阶段的质量、进度和投资，在监理工作中要实行五控制（质 量控制、进度控制、投资控制、信息安全控制和知识产权控制）、两管理（合 同和信息文档管理）、 一协调（组织协调）。</w:t>
      </w:r>
    </w:p>
    <w:p w14:paraId="237BF4C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1、质量控制</w:t>
      </w:r>
    </w:p>
    <w:p w14:paraId="3FC9469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审核图纸并提供图纸修改意见，组织图纸会审和设计交底工作；</w:t>
      </w:r>
    </w:p>
    <w:p w14:paraId="04CD6A1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审查承建方提供的技术方案并督促其实施；</w:t>
      </w:r>
    </w:p>
    <w:p w14:paraId="53C1D2E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审核并签认采购人、承建方选定的材料、构配件及设备的质量。对影 响工程使用功能、观感的材料、设备进行质量控制；</w:t>
      </w:r>
    </w:p>
    <w:p w14:paraId="0E56053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负责对进场材料、设备及时检查认定，材料、设备未用前按有关规定 的要求进行有见证取样。及时向采购人承报影响工程质量的材料、设备；</w:t>
      </w:r>
    </w:p>
    <w:p w14:paraId="450E8B2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督促承建方建立健全质量保证体系，完善技术管理制度和落实质量保 证措施；</w:t>
      </w:r>
    </w:p>
    <w:p w14:paraId="040A4BA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 检查工程质量，对违反设计文件、规范、规程的承建方，责令立即改 正，必要时签发工程暂停指令。向违规的承建方签发监理通知后，尚应监督 其的整改措施，至整改完毕；</w:t>
      </w:r>
    </w:p>
    <w:p w14:paraId="59A39C5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19" w:type="default"/>
          <w:pgSz w:w="11905" w:h="16840"/>
          <w:pgMar w:top="1376" w:right="1204" w:bottom="1168" w:left="1428" w:header="0" w:footer="989" w:gutter="0"/>
          <w:cols w:space="720" w:num="1"/>
        </w:sectPr>
      </w:pPr>
    </w:p>
    <w:p w14:paraId="2B2FCD6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 监督工程全过程的施工安全，发现任何安全隐患及时通告承建方，并 督促整改方案的实施。负责工程质量事故处理，进行事故原因、责任分析，</w:t>
      </w:r>
    </w:p>
    <w:p w14:paraId="20D591D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提出事故处理办法， 向采购人提供专项报告并督促检查事故处理方案的事实；</w:t>
      </w:r>
    </w:p>
    <w:p w14:paraId="3CBFE0A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 承建方要求变更设计应事先征得监理单位同意，并报采购人确认，由 监理单位向设计单位提出，在设计单位修改设计后，经监理审核，报采购人 批准后，由监理单位向</w:t>
      </w:r>
    </w:p>
    <w:p w14:paraId="4E817EF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承建方下达设计变更通知。设计单位修改设计方案，由采购人审核，经采 购人批准后，通过监理单位向承建方下达设计变更通知。</w:t>
      </w:r>
    </w:p>
    <w:p w14:paraId="3C59B48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(9) 由采购人提出使用的新材料、新工艺、新产品、新技术的项目，监理 单位负责提供技术服务；凡由承建方使用的新材料、新产品、新工艺、新技 术的项目，应经监理单位认可，并报采购人批准，并要求承建方提供产品鉴 定证明、产品质量标准、使用说明和工艺要求，监理单位按质量标准进行验 收；</w:t>
      </w:r>
    </w:p>
    <w:p w14:paraId="17A68EF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(10) 检查承建方的技术资料，并督促承建方对技术资料进行收集、整理、 归档， 达到北京市城建档案管理的规定，并按采购人要求的期限，完成资料 上报审核工作；</w:t>
      </w:r>
    </w:p>
    <w:p w14:paraId="3CEF5BC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(11) 负责组织有关单位进行竣工初验，提出工程竣工初验报告；</w:t>
      </w:r>
    </w:p>
    <w:p w14:paraId="4F8E6B7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(12) 负责与质量监督部门联系对工程质量进行核定，并按采购人要求组 织工程移交。</w:t>
      </w:r>
    </w:p>
    <w:p w14:paraId="10B9960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(13) 对工程建设有关事项包括工程规模、设计标准、规划设计、生产工 艺设计和使用功能要求，向采购人的建议权；对工程设计中的技术问题，按</w:t>
      </w:r>
    </w:p>
    <w:p w14:paraId="6980674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0" w:type="default"/>
          <w:pgSz w:w="11905" w:h="16840"/>
          <w:pgMar w:top="1376" w:right="990" w:bottom="1168" w:left="1425" w:header="0" w:footer="989" w:gutter="0"/>
          <w:cols w:space="720" w:num="1"/>
        </w:sectPr>
      </w:pPr>
    </w:p>
    <w:p w14:paraId="7341CDE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照安全和优化的原则， 向设计人提出建议；如果拟提出的建议可能会提高工 程造价，或延长工期，应当事先征得采购人的同意。当发现工程设计不符合 国家颁布的建设工程质量标准或设计合同约定的质量标准时，监理人应当书 面报告采购人并要求设计人更正；审批工程技术服务方案，按照保质量、保 工期、保安全、保环境和降低成本的原则，向承建方提出建议，并向采购人 提出书面报告；主持项目有关协作单位的组织协调，重要协调事项应当事先 向采购人报告； 征得采购人同意，监理人有权发布开工令、停工令、复工令， 但应当事先向采购人报告，如在紧急情况下未能事先报告时，则应当在 24 小 时内向采购人做出书面报告；工程上使用的材料和质量的检验权。对于不符 合设计要求和合同约定及国家质量标准的材料、构配件、设备，有权通知承 建方停止使用；对于不符合规范和质量标准的工序、分部分项工程和不安全 施工作业，有权通知承建方停工整改、 返工。承建方得到监理机构复工令后 才能复工；项目进度的检查、监督权， 以及工程实际竣工日期提前或超过合 同规定的竣工期限的签认权；监理人有权及时向采购人获取工程建设过程中 有关如：工程量洽商变更、材料采购及工程拨付款等重要信息、资料，采购人应当给予支持；所有工程变更（包括设计变更和工程洽商）应当通过监理人的审核和签认。</w:t>
      </w:r>
    </w:p>
    <w:p w14:paraId="0D4D381B">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2、进度控制</w:t>
      </w:r>
    </w:p>
    <w:p w14:paraId="02B111E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制定本工程总控制进度计划,审查承建方提交的单位工程进度计划；</w:t>
      </w:r>
    </w:p>
    <w:p w14:paraId="0DF6D60C">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根据总进度计划，审核承建方提交的月度资金计划并控制其执行，必 要时对上述计划提出调整建议；</w:t>
      </w:r>
    </w:p>
    <w:p w14:paraId="5F135B9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1" w:type="default"/>
          <w:pgSz w:w="11905" w:h="16840"/>
          <w:pgMar w:top="1376" w:right="1133" w:bottom="1168" w:left="1425" w:header="0" w:footer="989" w:gutter="0"/>
          <w:cols w:space="720" w:num="1"/>
        </w:sectPr>
      </w:pPr>
    </w:p>
    <w:p w14:paraId="74112CC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对承建方报送的工、料、机动态月报进行分析，找出影响进度原因， 提出纠正措施；</w:t>
      </w:r>
    </w:p>
    <w:p w14:paraId="55E4CD8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审核采购人、承建方的材料、设备采购计划，并检查提出补救措施；</w:t>
      </w:r>
    </w:p>
    <w:p w14:paraId="6566CCB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及时分析进度障碍，调整总控制进度计划，审查并提出补救措施。</w:t>
      </w:r>
    </w:p>
    <w:p w14:paraId="0D6717D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3、投资控制</w:t>
      </w:r>
    </w:p>
    <w:p w14:paraId="09A1A66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审查承建方提交的工程预算,并可根据工程情况增减预算,但前述增 减应得到采购人的书面确认；</w:t>
      </w:r>
    </w:p>
    <w:p w14:paraId="39A7DEB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负责本项目的技术洽商，审查核实图纸范围内的洽商签证、设计变更 及过程中图纸外发生的设计变更、洽商及各种签证并在 5 日内将签订的意见 报采购人确认；</w:t>
      </w:r>
    </w:p>
    <w:p w14:paraId="191A687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 审查核实有关材料的性能价格比及价差和处理办法，审查核实可调价 材料的价格；</w:t>
      </w:r>
    </w:p>
    <w:p w14:paraId="03BB3FB2">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 按合同要求审核供应商申报的结算书并向采购人报告；</w:t>
      </w:r>
    </w:p>
    <w:p w14:paraId="08B21AC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 审核承建方编制的该项目的月度资金计划，并控制执行；</w:t>
      </w:r>
    </w:p>
    <w:p w14:paraId="4F2A672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 监理单位应负责本工程的结算审核工作。</w:t>
      </w:r>
    </w:p>
    <w:p w14:paraId="5A19387D">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4、信息安全控制信息安全性检查。</w:t>
      </w:r>
    </w:p>
    <w:p w14:paraId="41B85C55">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5、知识产权保护控制采购人、 承建方及第三方知识产权的保护。</w:t>
      </w:r>
    </w:p>
    <w:p w14:paraId="77AD22C6">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6、合同管理</w:t>
      </w:r>
    </w:p>
    <w:p w14:paraId="1AC9FAE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 协助采购人签订合同，以及与本工程有关的各项补充协议。</w:t>
      </w:r>
    </w:p>
    <w:p w14:paraId="1E28A6D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 定期对合同的执行情况进行跟踪管理和检查(如遇特殊情况、紧急情 况应在第一时间内以书面形式报送承建方；</w:t>
      </w:r>
    </w:p>
    <w:p w14:paraId="3C87A16E">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2" w:type="default"/>
          <w:pgSz w:w="11905" w:h="16840"/>
          <w:pgMar w:top="1376" w:right="1175" w:bottom="1168" w:left="1425" w:header="0" w:footer="989" w:gutter="0"/>
          <w:cols w:space="720" w:num="1"/>
        </w:sectPr>
      </w:pPr>
    </w:p>
    <w:p w14:paraId="5F5E9B3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 负责计算、审核各项索赔金额，提供处理意见，并协助承建方处理合 同纠纷。</w:t>
      </w:r>
    </w:p>
    <w:p w14:paraId="76E3046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7、信息管理/文档管理</w:t>
      </w:r>
    </w:p>
    <w:p w14:paraId="49715023">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(1)做好监理例会、周报、项目大事记、项目协调会、技术专题会及会议 纪要；</w:t>
      </w:r>
    </w:p>
    <w:p w14:paraId="7703EA5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(2)整理记录归档采购人与承建方来往的文件、合同、协议及会议记录、 电话记录等各种文档；</w:t>
      </w:r>
    </w:p>
    <w:p w14:paraId="33AD780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(3)各项文挡的审查工作；</w:t>
      </w:r>
    </w:p>
    <w:p w14:paraId="1E56B2B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(4)建立设备验收工作文件，按时提供采购人与承建方；</w:t>
      </w:r>
    </w:p>
    <w:p w14:paraId="517DFB4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(5)材料设备等的验收文档核实；</w:t>
      </w:r>
    </w:p>
    <w:p w14:paraId="376ED21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(6)项目实施、竣工文档的移交。</w:t>
      </w:r>
    </w:p>
    <w:p w14:paraId="0633AACF">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8、组织协调</w:t>
      </w:r>
    </w:p>
    <w:p w14:paraId="22AAFFC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对于整个项目建设过程中，对可能出现的影响项目进度和质量的情况，应 及时予以通报并召开相关会议,进行组织协调。</w:t>
      </w:r>
    </w:p>
    <w:p w14:paraId="243CBEA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（四）监理方案设计</w:t>
      </w:r>
    </w:p>
    <w:p w14:paraId="5D8FDB68">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投标人根据项目管理的基本要求，设计好项目采购人、承建方和监理方的 工作机制。规定三方的工作模式，并就如何保证前节要求，提出工作流程和 方案。</w:t>
      </w:r>
    </w:p>
    <w:p w14:paraId="4D60D93A">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项目监理方案至少应包括：监理工作流程、监理措施、检测、监测方法、 保证措施以及选用的监测仪器、设备清单等等。</w:t>
      </w:r>
    </w:p>
    <w:p w14:paraId="09A2159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（五）对监理单位及其人员的特殊要求</w:t>
      </w:r>
    </w:p>
    <w:p w14:paraId="3D7A5CE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sectPr>
          <w:footerReference r:id="rId23" w:type="default"/>
          <w:pgSz w:w="11905" w:h="16840"/>
          <w:pgMar w:top="1376" w:right="1153" w:bottom="1168" w:left="1427" w:header="0" w:footer="989" w:gutter="0"/>
          <w:cols w:space="720" w:num="1"/>
        </w:sectPr>
      </w:pPr>
    </w:p>
    <w:p w14:paraId="61E9F1A1">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bookmarkStart w:id="779" w:name="bookmark51"/>
      <w:bookmarkEnd w:id="779"/>
      <w:r>
        <w:rPr>
          <w:rFonts w:hint="eastAsia" w:ascii="Times New Roman" w:hAnsi="Times New Roman" w:eastAsia="宋体" w:cs="Times New Roman"/>
          <w:sz w:val="28"/>
          <w:szCs w:val="28"/>
          <w:highlight w:val="none"/>
          <w:lang w:val="en-US" w:eastAsia="zh-CN"/>
        </w:rPr>
        <w:t>1、监理人不得与承建单位有隶属关系和利益上的关系。</w:t>
      </w:r>
    </w:p>
    <w:p w14:paraId="66EB8667">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2、监理人不得参与或从事承建单位的商务活动。</w:t>
      </w:r>
    </w:p>
    <w:p w14:paraId="42204414">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3、监理人员数量应足够满足本监理的工作任务，人员配备合理，按招标人要求保证有 24 小时跟踪监理,两个场馆每个场馆至少有一名专人旁站。</w:t>
      </w:r>
    </w:p>
    <w:p w14:paraId="30D5C279">
      <w:pPr>
        <w:autoSpaceDE w:val="0"/>
        <w:autoSpaceDN w:val="0"/>
        <w:spacing w:line="360" w:lineRule="auto"/>
        <w:ind w:firstLine="560" w:firstLineChars="200"/>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4、在监理过程中不得向被监理方介绍指定分包商和供应商。</w:t>
      </w:r>
    </w:p>
    <w:p w14:paraId="2B5D9455">
      <w:pPr>
        <w:autoSpaceDE w:val="0"/>
        <w:autoSpaceDN w:val="0"/>
        <w:spacing w:line="360" w:lineRule="auto"/>
        <w:ind w:firstLine="560" w:firstLineChars="20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5、总监理工程师一旦确定不得随意更换，主要人员必须到位，不能兼职。各监理工程师如有变动，应事先经采购人批准。</w:t>
      </w:r>
    </w:p>
    <w:p w14:paraId="357E021A">
      <w:pPr>
        <w:autoSpaceDE w:val="0"/>
        <w:autoSpaceDN w:val="0"/>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lang w:val="en-US" w:eastAsia="zh-CN"/>
        </w:rPr>
        <w:t>八</w:t>
      </w:r>
      <w:r>
        <w:rPr>
          <w:rFonts w:hint="eastAsia" w:ascii="宋体" w:hAnsi="宋体"/>
          <w:b/>
          <w:bCs/>
          <w:sz w:val="28"/>
          <w:szCs w:val="28"/>
          <w:highlight w:val="none"/>
        </w:rPr>
        <w:t>、合同条款：详见第五章</w:t>
      </w:r>
    </w:p>
    <w:p w14:paraId="54287E47">
      <w:pPr>
        <w:autoSpaceDE w:val="0"/>
        <w:autoSpaceDN w:val="0"/>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lang w:val="en-US" w:eastAsia="zh-CN"/>
        </w:rPr>
        <w:t>九</w:t>
      </w:r>
      <w:r>
        <w:rPr>
          <w:rFonts w:hint="eastAsia" w:ascii="宋体" w:hAnsi="宋体"/>
          <w:b/>
          <w:bCs/>
          <w:sz w:val="28"/>
          <w:szCs w:val="28"/>
          <w:highlight w:val="none"/>
        </w:rPr>
        <w:t>、为落实政府采购政策需满足的要求</w:t>
      </w:r>
    </w:p>
    <w:p w14:paraId="4C6171C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168FF06B">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5388A426">
      <w:pPr>
        <w:spacing w:line="360" w:lineRule="auto"/>
        <w:ind w:firstLine="560" w:firstLineChars="200"/>
        <w:sectPr>
          <w:headerReference r:id="rId24" w:type="default"/>
          <w:footerReference r:id="rId25" w:type="default"/>
          <w:pgSz w:w="11907" w:h="16840"/>
          <w:pgMar w:top="1418" w:right="1134" w:bottom="1418" w:left="1701" w:header="851" w:footer="851" w:gutter="0"/>
          <w:cols w:space="720" w:num="1"/>
          <w:docGrid w:linePitch="462" w:charSpace="0"/>
        </w:sectPr>
      </w:pPr>
      <w:r>
        <w:rPr>
          <w:rFonts w:hint="eastAsia" w:ascii="宋体" w:hAnsi="宋体" w:cs="宋体"/>
          <w:sz w:val="28"/>
          <w:szCs w:val="28"/>
          <w:highlight w:val="none"/>
        </w:rPr>
        <w:t>促进残疾人就业政府采</w:t>
      </w:r>
      <w:r>
        <w:rPr>
          <w:rFonts w:hint="eastAsia" w:ascii="宋体" w:hAnsi="宋体" w:cs="宋体"/>
          <w:sz w:val="28"/>
          <w:szCs w:val="28"/>
        </w:rPr>
        <w:t>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04FED810">
      <w:pPr>
        <w:rPr>
          <w:b/>
          <w:sz w:val="36"/>
          <w:szCs w:val="36"/>
        </w:rPr>
      </w:pPr>
    </w:p>
    <w:p w14:paraId="7CE4DA94">
      <w:pPr>
        <w:spacing w:line="360" w:lineRule="auto"/>
        <w:jc w:val="center"/>
        <w:outlineLvl w:val="0"/>
        <w:rPr>
          <w:b/>
          <w:sz w:val="36"/>
          <w:szCs w:val="36"/>
        </w:rPr>
      </w:pPr>
      <w:r>
        <w:rPr>
          <w:b/>
          <w:sz w:val="36"/>
          <w:szCs w:val="36"/>
        </w:rPr>
        <w:t>第六章   拟签订的合同文本</w:t>
      </w:r>
    </w:p>
    <w:p w14:paraId="23816BFA">
      <w:pPr>
        <w:jc w:val="center"/>
        <w:rPr>
          <w:rFonts w:hAnsi="宋体"/>
          <w:b/>
          <w:kern w:val="0"/>
          <w:sz w:val="44"/>
          <w:szCs w:val="44"/>
        </w:rPr>
      </w:pPr>
    </w:p>
    <w:p w14:paraId="324B72CB">
      <w:pPr>
        <w:jc w:val="center"/>
        <w:rPr>
          <w:rFonts w:hAnsi="宋体"/>
          <w:b/>
          <w:kern w:val="0"/>
          <w:sz w:val="44"/>
          <w:szCs w:val="44"/>
        </w:rPr>
      </w:pPr>
      <w:r>
        <w:rPr>
          <w:rFonts w:hAnsi="宋体"/>
          <w:b/>
          <w:kern w:val="0"/>
          <w:sz w:val="44"/>
          <w:szCs w:val="44"/>
        </w:rPr>
        <w:t>北京市建设工程监理合同</w:t>
      </w:r>
    </w:p>
    <w:p w14:paraId="0BD0A158">
      <w:pPr>
        <w:ind w:firstLine="357"/>
        <w:jc w:val="center"/>
        <w:rPr>
          <w:bCs/>
          <w:sz w:val="40"/>
          <w:szCs w:val="72"/>
        </w:rPr>
      </w:pPr>
    </w:p>
    <w:p w14:paraId="7BA07D23">
      <w:pPr>
        <w:ind w:firstLine="357"/>
        <w:jc w:val="center"/>
        <w:rPr>
          <w:rFonts w:hint="eastAsia"/>
          <w:b/>
          <w:bCs/>
          <w:sz w:val="40"/>
          <w:szCs w:val="72"/>
        </w:rPr>
      </w:pPr>
    </w:p>
    <w:p w14:paraId="6D4D033D">
      <w:pPr>
        <w:ind w:firstLine="357"/>
        <w:jc w:val="center"/>
        <w:rPr>
          <w:b/>
          <w:bCs/>
          <w:sz w:val="40"/>
          <w:szCs w:val="72"/>
        </w:rPr>
      </w:pPr>
    </w:p>
    <w:tbl>
      <w:tblPr>
        <w:tblStyle w:val="47"/>
        <w:tblW w:w="0" w:type="auto"/>
        <w:jc w:val="center"/>
        <w:tblLayout w:type="autofit"/>
        <w:tblCellMar>
          <w:top w:w="0" w:type="dxa"/>
          <w:left w:w="108" w:type="dxa"/>
          <w:bottom w:w="0" w:type="dxa"/>
          <w:right w:w="108" w:type="dxa"/>
        </w:tblCellMar>
      </w:tblPr>
      <w:tblGrid>
        <w:gridCol w:w="1748"/>
        <w:gridCol w:w="456"/>
        <w:gridCol w:w="5369"/>
      </w:tblGrid>
      <w:tr w14:paraId="4A18D3AD">
        <w:trPr>
          <w:trHeight w:val="997" w:hRule="atLeast"/>
          <w:jc w:val="center"/>
        </w:trPr>
        <w:tc>
          <w:tcPr>
            <w:tcW w:w="1748" w:type="dxa"/>
            <w:noWrap w:val="0"/>
            <w:vAlign w:val="bottom"/>
          </w:tcPr>
          <w:p w14:paraId="6C79633B">
            <w:pPr>
              <w:jc w:val="distribute"/>
              <w:rPr>
                <w:bCs/>
                <w:sz w:val="24"/>
                <w:szCs w:val="24"/>
              </w:rPr>
            </w:pPr>
            <w:r>
              <w:rPr>
                <w:bCs/>
                <w:sz w:val="24"/>
                <w:szCs w:val="24"/>
              </w:rPr>
              <w:t>委托人</w:t>
            </w:r>
          </w:p>
        </w:tc>
        <w:tc>
          <w:tcPr>
            <w:tcW w:w="349" w:type="dxa"/>
            <w:noWrap w:val="0"/>
            <w:vAlign w:val="bottom"/>
          </w:tcPr>
          <w:p w14:paraId="128759FC">
            <w:pPr>
              <w:jc w:val="center"/>
              <w:rPr>
                <w:bCs/>
                <w:sz w:val="24"/>
                <w:szCs w:val="24"/>
              </w:rPr>
            </w:pPr>
            <w:r>
              <w:rPr>
                <w:bCs/>
                <w:sz w:val="24"/>
                <w:szCs w:val="24"/>
              </w:rPr>
              <w:t>：</w:t>
            </w:r>
          </w:p>
        </w:tc>
        <w:tc>
          <w:tcPr>
            <w:tcW w:w="5369" w:type="dxa"/>
            <w:tcBorders>
              <w:bottom w:val="single" w:color="auto" w:sz="4" w:space="0"/>
            </w:tcBorders>
            <w:noWrap w:val="0"/>
            <w:vAlign w:val="bottom"/>
          </w:tcPr>
          <w:p w14:paraId="6BC00D5D">
            <w:pPr>
              <w:jc w:val="center"/>
              <w:rPr>
                <w:rFonts w:hint="default" w:eastAsia="宋体"/>
                <w:bCs/>
                <w:sz w:val="24"/>
                <w:szCs w:val="24"/>
                <w:lang w:val="en-US" w:eastAsia="zh-CN"/>
              </w:rPr>
            </w:pPr>
            <w:r>
              <w:rPr>
                <w:rFonts w:hint="eastAsia"/>
                <w:bCs/>
                <w:sz w:val="24"/>
                <w:szCs w:val="24"/>
                <w:lang w:val="en-US" w:eastAsia="zh-CN"/>
              </w:rPr>
              <w:t>北京市门头沟区潭柘寺镇人民政府</w:t>
            </w:r>
          </w:p>
        </w:tc>
      </w:tr>
      <w:tr w14:paraId="068B761A">
        <w:tblPrEx>
          <w:tblCellMar>
            <w:top w:w="0" w:type="dxa"/>
            <w:left w:w="108" w:type="dxa"/>
            <w:bottom w:w="0" w:type="dxa"/>
            <w:right w:w="108" w:type="dxa"/>
          </w:tblCellMar>
        </w:tblPrEx>
        <w:trPr>
          <w:trHeight w:val="997" w:hRule="atLeast"/>
          <w:jc w:val="center"/>
        </w:trPr>
        <w:tc>
          <w:tcPr>
            <w:tcW w:w="1748" w:type="dxa"/>
            <w:noWrap w:val="0"/>
            <w:vAlign w:val="bottom"/>
          </w:tcPr>
          <w:p w14:paraId="20ECAD26">
            <w:pPr>
              <w:jc w:val="distribute"/>
              <w:rPr>
                <w:bCs/>
                <w:sz w:val="24"/>
                <w:szCs w:val="24"/>
              </w:rPr>
            </w:pPr>
            <w:r>
              <w:rPr>
                <w:bCs/>
                <w:sz w:val="24"/>
                <w:szCs w:val="24"/>
              </w:rPr>
              <w:t>监理人</w:t>
            </w:r>
          </w:p>
        </w:tc>
        <w:tc>
          <w:tcPr>
            <w:tcW w:w="349" w:type="dxa"/>
            <w:noWrap w:val="0"/>
            <w:vAlign w:val="bottom"/>
          </w:tcPr>
          <w:p w14:paraId="0F826DAE">
            <w:pPr>
              <w:jc w:val="center"/>
              <w:rPr>
                <w:bCs/>
                <w:sz w:val="24"/>
                <w:szCs w:val="24"/>
              </w:rPr>
            </w:pPr>
            <w:r>
              <w:rPr>
                <w:bCs/>
                <w:sz w:val="24"/>
                <w:szCs w:val="24"/>
              </w:rPr>
              <w:t>：</w:t>
            </w:r>
          </w:p>
        </w:tc>
        <w:tc>
          <w:tcPr>
            <w:tcW w:w="5369" w:type="dxa"/>
            <w:tcBorders>
              <w:top w:val="single" w:color="auto" w:sz="4" w:space="0"/>
              <w:bottom w:val="single" w:color="auto" w:sz="4" w:space="0"/>
            </w:tcBorders>
            <w:noWrap w:val="0"/>
            <w:vAlign w:val="bottom"/>
          </w:tcPr>
          <w:p w14:paraId="7DCD0AC3">
            <w:pPr>
              <w:jc w:val="center"/>
              <w:rPr>
                <w:bCs/>
                <w:sz w:val="24"/>
                <w:szCs w:val="24"/>
              </w:rPr>
            </w:pPr>
          </w:p>
        </w:tc>
      </w:tr>
      <w:tr w14:paraId="430AD7E1">
        <w:tblPrEx>
          <w:tblCellMar>
            <w:top w:w="0" w:type="dxa"/>
            <w:left w:w="108" w:type="dxa"/>
            <w:bottom w:w="0" w:type="dxa"/>
            <w:right w:w="108" w:type="dxa"/>
          </w:tblCellMar>
        </w:tblPrEx>
        <w:trPr>
          <w:trHeight w:val="997" w:hRule="atLeast"/>
          <w:jc w:val="center"/>
        </w:trPr>
        <w:tc>
          <w:tcPr>
            <w:tcW w:w="1748" w:type="dxa"/>
            <w:noWrap w:val="0"/>
            <w:vAlign w:val="bottom"/>
          </w:tcPr>
          <w:p w14:paraId="35275A5D">
            <w:pPr>
              <w:jc w:val="center"/>
              <w:rPr>
                <w:bCs/>
                <w:sz w:val="24"/>
                <w:szCs w:val="24"/>
              </w:rPr>
            </w:pPr>
            <w:r>
              <w:rPr>
                <w:bCs/>
                <w:sz w:val="24"/>
                <w:szCs w:val="24"/>
              </w:rPr>
              <w:t>项目名称</w:t>
            </w:r>
          </w:p>
        </w:tc>
        <w:tc>
          <w:tcPr>
            <w:tcW w:w="349" w:type="dxa"/>
            <w:noWrap w:val="0"/>
            <w:vAlign w:val="bottom"/>
          </w:tcPr>
          <w:p w14:paraId="2919E38D">
            <w:pPr>
              <w:jc w:val="center"/>
              <w:rPr>
                <w:bCs/>
                <w:sz w:val="24"/>
                <w:szCs w:val="24"/>
              </w:rPr>
            </w:pPr>
            <w:r>
              <w:rPr>
                <w:bCs/>
                <w:sz w:val="24"/>
                <w:szCs w:val="24"/>
              </w:rPr>
              <w:t>：</w:t>
            </w:r>
          </w:p>
        </w:tc>
        <w:tc>
          <w:tcPr>
            <w:tcW w:w="5369" w:type="dxa"/>
            <w:tcBorders>
              <w:top w:val="single" w:color="auto" w:sz="4" w:space="0"/>
              <w:bottom w:val="single" w:color="auto" w:sz="4" w:space="0"/>
            </w:tcBorders>
            <w:noWrap w:val="0"/>
            <w:vAlign w:val="bottom"/>
          </w:tcPr>
          <w:p w14:paraId="3191F653">
            <w:pPr>
              <w:keepNext w:val="0"/>
              <w:keepLines w:val="0"/>
              <w:widowControl/>
              <w:suppressLineNumbers w:val="0"/>
              <w:pBdr>
                <w:top w:val="single" w:color="DABB85" w:sz="2" w:space="7"/>
                <w:left w:val="none" w:color="auto" w:sz="0" w:space="0"/>
                <w:bottom w:val="none" w:color="auto" w:sz="0" w:space="0"/>
                <w:right w:val="none" w:color="auto" w:sz="0" w:space="0"/>
              </w:pBdr>
              <w:shd w:val="clear" w:color="auto" w:fill="FFFFFF"/>
              <w:wordWrap w:val="0"/>
              <w:spacing w:before="0" w:beforeAutospacing="0" w:after="0" w:afterAutospacing="0"/>
              <w:ind w:left="0" w:right="0"/>
              <w:jc w:val="center"/>
              <w:rPr>
                <w:bCs/>
                <w:sz w:val="24"/>
                <w:szCs w:val="24"/>
              </w:rPr>
            </w:pPr>
            <w:r>
              <w:rPr>
                <w:rFonts w:hint="eastAsia"/>
                <w:bCs/>
                <w:sz w:val="24"/>
                <w:szCs w:val="24"/>
                <w:lang w:val="en-US" w:eastAsia="zh-CN"/>
              </w:rPr>
              <w:t>门头沟区潭柘寺镇草甸水村异地重建安置基础设施建设工程（监理）</w:t>
            </w:r>
          </w:p>
        </w:tc>
      </w:tr>
      <w:tr w14:paraId="71D168EA">
        <w:tblPrEx>
          <w:tblCellMar>
            <w:top w:w="0" w:type="dxa"/>
            <w:left w:w="108" w:type="dxa"/>
            <w:bottom w:w="0" w:type="dxa"/>
            <w:right w:w="108" w:type="dxa"/>
          </w:tblCellMar>
        </w:tblPrEx>
        <w:trPr>
          <w:trHeight w:val="997" w:hRule="atLeast"/>
          <w:jc w:val="center"/>
        </w:trPr>
        <w:tc>
          <w:tcPr>
            <w:tcW w:w="1748" w:type="dxa"/>
            <w:noWrap w:val="0"/>
            <w:vAlign w:val="bottom"/>
          </w:tcPr>
          <w:p w14:paraId="294FB54A">
            <w:pPr>
              <w:jc w:val="center"/>
              <w:rPr>
                <w:bCs/>
                <w:sz w:val="24"/>
                <w:szCs w:val="24"/>
              </w:rPr>
            </w:pPr>
            <w:r>
              <w:rPr>
                <w:bCs/>
                <w:sz w:val="24"/>
                <w:szCs w:val="24"/>
              </w:rPr>
              <w:t>合同编号</w:t>
            </w:r>
          </w:p>
        </w:tc>
        <w:tc>
          <w:tcPr>
            <w:tcW w:w="349" w:type="dxa"/>
            <w:noWrap w:val="0"/>
            <w:vAlign w:val="bottom"/>
          </w:tcPr>
          <w:p w14:paraId="40F232E1">
            <w:pPr>
              <w:jc w:val="center"/>
              <w:rPr>
                <w:bCs/>
                <w:sz w:val="24"/>
                <w:szCs w:val="24"/>
              </w:rPr>
            </w:pPr>
            <w:r>
              <w:rPr>
                <w:bCs/>
                <w:sz w:val="24"/>
                <w:szCs w:val="24"/>
              </w:rPr>
              <w:t>：</w:t>
            </w:r>
          </w:p>
        </w:tc>
        <w:tc>
          <w:tcPr>
            <w:tcW w:w="5369" w:type="dxa"/>
            <w:tcBorders>
              <w:top w:val="single" w:color="auto" w:sz="4" w:space="0"/>
              <w:bottom w:val="single" w:color="auto" w:sz="4" w:space="0"/>
            </w:tcBorders>
            <w:noWrap w:val="0"/>
            <w:vAlign w:val="bottom"/>
          </w:tcPr>
          <w:p w14:paraId="26D592DB">
            <w:pPr>
              <w:jc w:val="center"/>
              <w:rPr>
                <w:bCs/>
                <w:sz w:val="24"/>
                <w:szCs w:val="24"/>
              </w:rPr>
            </w:pPr>
          </w:p>
        </w:tc>
      </w:tr>
    </w:tbl>
    <w:p w14:paraId="69CB31DA">
      <w:pPr>
        <w:rPr>
          <w:sz w:val="24"/>
          <w:szCs w:val="24"/>
        </w:rPr>
      </w:pPr>
    </w:p>
    <w:p w14:paraId="32C0B1EC">
      <w:pPr>
        <w:rPr>
          <w:sz w:val="24"/>
          <w:szCs w:val="24"/>
        </w:rPr>
      </w:pPr>
    </w:p>
    <w:p w14:paraId="3818B02C">
      <w:pPr>
        <w:ind w:right="1804" w:rightChars="859" w:firstLine="1075" w:firstLineChars="448"/>
        <w:jc w:val="distribute"/>
        <w:rPr>
          <w:bCs/>
          <w:sz w:val="24"/>
          <w:szCs w:val="24"/>
        </w:rPr>
      </w:pPr>
    </w:p>
    <w:p w14:paraId="6FAB030A">
      <w:pPr>
        <w:ind w:right="1804" w:rightChars="859" w:firstLine="1075" w:firstLineChars="448"/>
        <w:jc w:val="distribute"/>
        <w:rPr>
          <w:bCs/>
          <w:sz w:val="24"/>
          <w:szCs w:val="24"/>
        </w:rPr>
      </w:pPr>
    </w:p>
    <w:p w14:paraId="15BE64CE">
      <w:pPr>
        <w:ind w:right="1804" w:rightChars="859" w:firstLine="1075" w:firstLineChars="448"/>
        <w:jc w:val="distribute"/>
        <w:rPr>
          <w:bCs/>
          <w:sz w:val="24"/>
          <w:szCs w:val="24"/>
        </w:rPr>
      </w:pPr>
      <w:r>
        <w:rPr>
          <w:bCs/>
          <w:sz w:val="24"/>
          <w:szCs w:val="24"/>
        </w:rPr>
        <w:t>北京市住房和城乡建设委员会</w:t>
      </w:r>
    </w:p>
    <w:p w14:paraId="4CACE95D">
      <w:pPr>
        <w:ind w:right="1804" w:rightChars="859" w:firstLine="1075" w:firstLineChars="448"/>
        <w:jc w:val="distribute"/>
        <w:rPr>
          <w:bCs/>
          <w:sz w:val="24"/>
          <w:szCs w:val="24"/>
        </w:rPr>
      </w:pPr>
      <w:r>
        <w:rPr>
          <w:bCs/>
          <w:sz w:val="24"/>
          <w:szCs w:val="24"/>
        </w:rPr>
        <w:t>北京市工商行政管理局</w:t>
      </w:r>
    </w:p>
    <w:p w14:paraId="1511410E">
      <w:pPr>
        <w:ind w:right="1804" w:rightChars="859"/>
        <w:jc w:val="center"/>
        <w:rPr>
          <w:bCs/>
          <w:sz w:val="24"/>
          <w:szCs w:val="24"/>
        </w:rPr>
      </w:pPr>
      <w:r>
        <w:rPr>
          <w:bCs/>
          <w:sz w:val="24"/>
          <w:szCs w:val="24"/>
        </w:rPr>
        <w:t xml:space="preserve">          二○一四年四月  制定</w:t>
      </w:r>
    </w:p>
    <w:p w14:paraId="31B72920">
      <w:pPr>
        <w:sectPr>
          <w:pgSz w:w="11906" w:h="16838"/>
          <w:pgMar w:top="1440" w:right="1588" w:bottom="1440" w:left="1588" w:header="851" w:footer="992" w:gutter="0"/>
          <w:cols w:space="720" w:num="1"/>
          <w:docGrid w:type="lines" w:linePitch="312" w:charSpace="0"/>
        </w:sectPr>
      </w:pPr>
    </w:p>
    <w:p w14:paraId="3B123490">
      <w:pPr>
        <w:pStyle w:val="3"/>
        <w:jc w:val="center"/>
        <w:rPr>
          <w:rFonts w:ascii="Times New Roman" w:hAnsi="Times New Roman" w:eastAsia="宋体"/>
          <w:sz w:val="30"/>
          <w:szCs w:val="30"/>
        </w:rPr>
      </w:pPr>
      <w:bookmarkStart w:id="780" w:name="_Toc471218896"/>
      <w:bookmarkStart w:id="781" w:name="_Toc470187183"/>
      <w:r>
        <w:rPr>
          <w:rFonts w:ascii="Times New Roman" w:hAnsi="Times New Roman" w:eastAsia="宋体"/>
          <w:sz w:val="30"/>
          <w:szCs w:val="30"/>
        </w:rPr>
        <w:t>第一部分 合同协议书</w:t>
      </w:r>
      <w:bookmarkEnd w:id="780"/>
      <w:bookmarkEnd w:id="781"/>
    </w:p>
    <w:p w14:paraId="1ABC1971"/>
    <w:p w14:paraId="624EECE6">
      <w:pPr>
        <w:adjustRightInd w:val="0"/>
        <w:snapToGrid w:val="0"/>
        <w:spacing w:line="360" w:lineRule="auto"/>
        <w:ind w:firstLine="480" w:firstLineChars="200"/>
        <w:rPr>
          <w:sz w:val="24"/>
          <w:szCs w:val="24"/>
        </w:rPr>
      </w:pPr>
      <w:r>
        <w:rPr>
          <w:sz w:val="24"/>
          <w:szCs w:val="24"/>
        </w:rPr>
        <w:t>委托人（全称）：</w:t>
      </w:r>
      <w:r>
        <w:rPr>
          <w:sz w:val="24"/>
          <w:szCs w:val="24"/>
          <w:u w:val="single"/>
        </w:rPr>
        <w:t xml:space="preserve">      </w:t>
      </w:r>
      <w:r>
        <w:rPr>
          <w:rFonts w:hint="eastAsia"/>
          <w:sz w:val="24"/>
          <w:szCs w:val="24"/>
          <w:u w:val="single"/>
        </w:rPr>
        <w:t>北京市门头沟区潭柘寺镇人民政府</w:t>
      </w:r>
      <w:r>
        <w:rPr>
          <w:sz w:val="24"/>
          <w:szCs w:val="24"/>
          <w:u w:val="single"/>
        </w:rPr>
        <w:t xml:space="preserve">      </w:t>
      </w:r>
    </w:p>
    <w:p w14:paraId="52378E7D">
      <w:pPr>
        <w:adjustRightInd w:val="0"/>
        <w:snapToGrid w:val="0"/>
        <w:spacing w:line="360" w:lineRule="auto"/>
        <w:ind w:firstLine="480" w:firstLineChars="200"/>
        <w:rPr>
          <w:sz w:val="24"/>
          <w:szCs w:val="24"/>
        </w:rPr>
      </w:pPr>
      <w:r>
        <w:rPr>
          <w:sz w:val="24"/>
          <w:szCs w:val="24"/>
        </w:rPr>
        <w:t>监理人（全称）：</w:t>
      </w:r>
      <w:r>
        <w:rPr>
          <w:sz w:val="24"/>
          <w:szCs w:val="24"/>
          <w:u w:val="single"/>
        </w:rPr>
        <w:t xml:space="preserve">                                          </w:t>
      </w:r>
    </w:p>
    <w:p w14:paraId="12E3607B">
      <w:pPr>
        <w:adjustRightInd w:val="0"/>
        <w:snapToGrid w:val="0"/>
        <w:spacing w:line="360" w:lineRule="auto"/>
        <w:ind w:firstLine="480" w:firstLineChars="200"/>
        <w:rPr>
          <w:sz w:val="24"/>
          <w:szCs w:val="24"/>
          <w:u w:val="single"/>
        </w:rPr>
      </w:pPr>
      <w:r>
        <w:rPr>
          <w:sz w:val="24"/>
          <w:szCs w:val="24"/>
        </w:rPr>
        <w:t>根据</w:t>
      </w:r>
      <w:r>
        <w:rPr>
          <w:sz w:val="24"/>
          <w:szCs w:val="24"/>
          <w:highlight w:val="none"/>
        </w:rPr>
        <w:t>《中华人民共和国</w:t>
      </w:r>
      <w:r>
        <w:rPr>
          <w:rFonts w:hint="eastAsia"/>
          <w:sz w:val="24"/>
          <w:szCs w:val="24"/>
          <w:highlight w:val="none"/>
          <w:lang w:val="en-US" w:eastAsia="zh-CN"/>
        </w:rPr>
        <w:t>民法典</w:t>
      </w:r>
      <w:r>
        <w:rPr>
          <w:sz w:val="24"/>
          <w:szCs w:val="24"/>
          <w:highlight w:val="none"/>
        </w:rPr>
        <w:t>》、《中</w:t>
      </w:r>
      <w:r>
        <w:rPr>
          <w:sz w:val="24"/>
          <w:szCs w:val="24"/>
        </w:rPr>
        <w:t>华人民共和国建筑法》及其他有关法律、法规，遵循平等、自愿、公平和诚实信用原则，双方就下述工程委托监理与相关服务事项协商一致，订立本合同。</w:t>
      </w:r>
    </w:p>
    <w:p w14:paraId="763D6364">
      <w:pPr>
        <w:spacing w:line="360" w:lineRule="auto"/>
        <w:ind w:firstLine="431" w:firstLineChars="179"/>
        <w:outlineLvl w:val="0"/>
        <w:rPr>
          <w:b/>
          <w:sz w:val="24"/>
          <w:szCs w:val="24"/>
        </w:rPr>
      </w:pPr>
      <w:bookmarkStart w:id="782" w:name="_Toc470187184"/>
      <w:bookmarkStart w:id="783" w:name="_Toc471218897"/>
      <w:bookmarkStart w:id="784" w:name="_Toc433185121"/>
      <w:r>
        <w:rPr>
          <w:b/>
          <w:sz w:val="24"/>
          <w:szCs w:val="24"/>
        </w:rPr>
        <w:t>一、工程概况</w:t>
      </w:r>
      <w:bookmarkEnd w:id="782"/>
      <w:bookmarkEnd w:id="783"/>
      <w:bookmarkEnd w:id="784"/>
    </w:p>
    <w:p w14:paraId="1CF9BE4B">
      <w:pPr>
        <w:adjustRightInd w:val="0"/>
        <w:snapToGrid w:val="0"/>
        <w:spacing w:line="360" w:lineRule="auto"/>
        <w:rPr>
          <w:sz w:val="24"/>
          <w:szCs w:val="24"/>
        </w:rPr>
      </w:pPr>
      <w:r>
        <w:rPr>
          <w:sz w:val="24"/>
          <w:szCs w:val="24"/>
        </w:rPr>
        <w:t>1. 工程名称：</w:t>
      </w:r>
      <w:r>
        <w:rPr>
          <w:sz w:val="24"/>
          <w:szCs w:val="24"/>
          <w:u w:val="single"/>
        </w:rPr>
        <w:t xml:space="preserve"> </w:t>
      </w:r>
      <w:r>
        <w:rPr>
          <w:rFonts w:hint="eastAsia"/>
          <w:sz w:val="24"/>
          <w:szCs w:val="24"/>
          <w:u w:val="single"/>
        </w:rPr>
        <w:t>门头沟区潭柘寺镇</w:t>
      </w:r>
      <w:r>
        <w:rPr>
          <w:rFonts w:hint="eastAsia"/>
          <w:sz w:val="24"/>
          <w:szCs w:val="24"/>
          <w:u w:val="single"/>
          <w:lang w:eastAsia="zh-CN"/>
        </w:rPr>
        <w:t>草甸水村</w:t>
      </w:r>
      <w:r>
        <w:rPr>
          <w:rFonts w:hint="eastAsia"/>
          <w:sz w:val="24"/>
          <w:szCs w:val="24"/>
          <w:u w:val="single"/>
        </w:rPr>
        <w:t>异地重建安置基础设施建设工程（监理）</w:t>
      </w:r>
      <w:r>
        <w:rPr>
          <w:sz w:val="24"/>
          <w:szCs w:val="24"/>
          <w:u w:val="single"/>
        </w:rPr>
        <w:t xml:space="preserve"> </w:t>
      </w:r>
      <w:r>
        <w:rPr>
          <w:sz w:val="24"/>
          <w:szCs w:val="24"/>
        </w:rPr>
        <w:t>；</w:t>
      </w:r>
    </w:p>
    <w:p w14:paraId="4E13A438">
      <w:pPr>
        <w:adjustRightInd w:val="0"/>
        <w:snapToGrid w:val="0"/>
        <w:spacing w:line="360" w:lineRule="auto"/>
        <w:rPr>
          <w:sz w:val="24"/>
          <w:szCs w:val="24"/>
        </w:rPr>
      </w:pPr>
      <w:r>
        <w:rPr>
          <w:sz w:val="24"/>
          <w:szCs w:val="24"/>
        </w:rPr>
        <w:t>2. 工程地点：</w:t>
      </w:r>
      <w:r>
        <w:rPr>
          <w:sz w:val="24"/>
          <w:szCs w:val="24"/>
          <w:u w:val="single"/>
        </w:rPr>
        <w:t xml:space="preserve">  </w:t>
      </w:r>
      <w:r>
        <w:rPr>
          <w:rFonts w:hint="eastAsia"/>
          <w:sz w:val="24"/>
          <w:szCs w:val="24"/>
          <w:u w:val="single"/>
          <w:lang w:val="en-US" w:eastAsia="zh-CN"/>
        </w:rPr>
        <w:t>北京市门头沟区</w:t>
      </w:r>
      <w:r>
        <w:rPr>
          <w:sz w:val="24"/>
          <w:szCs w:val="24"/>
          <w:u w:val="single"/>
        </w:rPr>
        <w:t xml:space="preserve">  </w:t>
      </w:r>
      <w:r>
        <w:rPr>
          <w:sz w:val="24"/>
          <w:szCs w:val="24"/>
        </w:rPr>
        <w:t>；</w:t>
      </w:r>
    </w:p>
    <w:p w14:paraId="0E3B5985">
      <w:pPr>
        <w:pStyle w:val="16"/>
        <w:rPr>
          <w:rFonts w:hint="eastAsia" w:ascii="Times New Roman" w:hAnsi="Times New Roman" w:eastAsia="宋体" w:cs="Times New Roman"/>
          <w:kern w:val="2"/>
          <w:sz w:val="24"/>
          <w:szCs w:val="24"/>
          <w:u w:val="single"/>
          <w:lang w:val="en-US" w:eastAsia="zh-CN" w:bidi="ar-SA"/>
        </w:rPr>
      </w:pPr>
      <w:r>
        <w:rPr>
          <w:sz w:val="24"/>
          <w:szCs w:val="24"/>
        </w:rPr>
        <w:t xml:space="preserve">3. </w:t>
      </w:r>
      <w:r>
        <w:rPr>
          <w:rFonts w:hint="eastAsia" w:ascii="Times New Roman" w:hAnsi="Times New Roman" w:eastAsia="宋体" w:cs="Times New Roman"/>
          <w:kern w:val="2"/>
          <w:sz w:val="24"/>
          <w:szCs w:val="24"/>
          <w:u w:val="single"/>
          <w:lang w:val="en-US" w:eastAsia="zh-CN" w:bidi="ar-SA"/>
        </w:rPr>
        <w:t>工程规模：</w:t>
      </w:r>
      <w:r>
        <w:rPr>
          <w:rFonts w:hint="eastAsia" w:cs="Times New Roman"/>
          <w:kern w:val="2"/>
          <w:sz w:val="24"/>
          <w:szCs w:val="24"/>
          <w:u w:val="single"/>
          <w:lang w:val="en-US" w:eastAsia="zh-CN" w:bidi="ar-SA"/>
        </w:rPr>
        <w:t>土</w:t>
      </w:r>
      <w:r>
        <w:rPr>
          <w:rFonts w:hint="eastAsia" w:ascii="Times New Roman" w:hAnsi="Times New Roman" w:eastAsia="宋体" w:cs="Times New Roman"/>
          <w:kern w:val="2"/>
          <w:sz w:val="24"/>
          <w:szCs w:val="24"/>
          <w:u w:val="single"/>
          <w:lang w:val="en-US" w:eastAsia="zh-CN" w:bidi="ar-SA"/>
        </w:rPr>
        <w:t>石方工程、场地整理工程、基础设施、通信工程、公厕、机井、蓄水池等设计图纸、工程量清单内及拆迁拆改等相关范围</w:t>
      </w:r>
    </w:p>
    <w:p w14:paraId="3F7DED14">
      <w:pPr>
        <w:pStyle w:val="16"/>
        <w:rPr>
          <w:rFonts w:hint="eastAsia" w:ascii="Times New Roman" w:hAnsi="Times New Roman" w:eastAsia="宋体" w:cs="Times New Roman"/>
          <w:kern w:val="2"/>
          <w:sz w:val="24"/>
          <w:szCs w:val="24"/>
          <w:u w:val="single"/>
          <w:lang w:val="en-US" w:eastAsia="zh-CN" w:bidi="ar-SA"/>
        </w:rPr>
      </w:pPr>
      <w:r>
        <w:rPr>
          <w:rFonts w:hint="eastAsia" w:ascii="Times New Roman" w:hAnsi="Times New Roman" w:eastAsia="宋体" w:cs="Times New Roman"/>
          <w:kern w:val="2"/>
          <w:sz w:val="24"/>
          <w:szCs w:val="24"/>
          <w:u w:val="single"/>
          <w:lang w:val="en-US" w:eastAsia="zh-CN" w:bidi="ar-SA"/>
        </w:rPr>
        <w:t>4. 工程范围：门头沟区潭柘寺镇草甸水村异地重建安置基础设施建设工程包括</w:t>
      </w:r>
      <w:r>
        <w:rPr>
          <w:rFonts w:hint="eastAsia" w:cs="Times New Roman"/>
          <w:kern w:val="2"/>
          <w:sz w:val="24"/>
          <w:szCs w:val="24"/>
          <w:u w:val="single"/>
          <w:lang w:val="en-US" w:eastAsia="zh-CN" w:bidi="ar-SA"/>
        </w:rPr>
        <w:t>土</w:t>
      </w:r>
      <w:r>
        <w:rPr>
          <w:rFonts w:hint="eastAsia" w:ascii="Times New Roman" w:hAnsi="Times New Roman" w:eastAsia="宋体" w:cs="Times New Roman"/>
          <w:kern w:val="2"/>
          <w:sz w:val="24"/>
          <w:szCs w:val="24"/>
          <w:u w:val="single"/>
          <w:lang w:val="en-US" w:eastAsia="zh-CN" w:bidi="ar-SA"/>
        </w:rPr>
        <w:t>石方工程、场地整理工程、基础设施、通信工程、公厕、机井、蓄水池等设计图纸、工程量清单内及拆迁拆改等相关范围</w:t>
      </w:r>
    </w:p>
    <w:p w14:paraId="5A55D857">
      <w:pPr>
        <w:adjustRightInd w:val="0"/>
        <w:snapToGrid w:val="0"/>
        <w:spacing w:line="360" w:lineRule="auto"/>
        <w:rPr>
          <w:sz w:val="24"/>
          <w:szCs w:val="24"/>
        </w:rPr>
      </w:pPr>
      <w:r>
        <w:rPr>
          <w:sz w:val="24"/>
          <w:szCs w:val="24"/>
        </w:rPr>
        <w:t xml:space="preserve">5. </w:t>
      </w:r>
      <w:r>
        <w:rPr>
          <w:rFonts w:hint="eastAsia"/>
          <w:sz w:val="24"/>
          <w:szCs w:val="24"/>
        </w:rPr>
        <w:t>工程建安投资</w:t>
      </w:r>
      <w:r>
        <w:rPr>
          <w:sz w:val="24"/>
          <w:szCs w:val="24"/>
        </w:rPr>
        <w:t>：</w:t>
      </w:r>
      <w:r>
        <w:rPr>
          <w:rFonts w:hint="eastAsia"/>
          <w:sz w:val="24"/>
          <w:szCs w:val="24"/>
          <w:u w:val="single"/>
        </w:rPr>
        <w:t xml:space="preserve"> </w:t>
      </w:r>
      <w:r>
        <w:rPr>
          <w:sz w:val="24"/>
          <w:szCs w:val="24"/>
          <w:u w:val="single"/>
        </w:rPr>
        <w:t xml:space="preserve">         </w:t>
      </w:r>
      <w:r>
        <w:rPr>
          <w:rFonts w:hint="eastAsia"/>
          <w:sz w:val="24"/>
          <w:szCs w:val="24"/>
          <w:u w:val="single"/>
          <w:lang w:val="en-US" w:eastAsia="zh-CN"/>
        </w:rPr>
        <w:t>暂估12000</w:t>
      </w:r>
      <w:r>
        <w:rPr>
          <w:rFonts w:hint="eastAsia"/>
          <w:sz w:val="24"/>
          <w:szCs w:val="24"/>
          <w:u w:val="single"/>
        </w:rPr>
        <w:t>万元</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rPr>
        <w:t>。</w:t>
      </w:r>
    </w:p>
    <w:p w14:paraId="1A69C4B6">
      <w:pPr>
        <w:ind w:firstLine="420" w:firstLineChars="200"/>
        <w:outlineLvl w:val="0"/>
        <w:rPr>
          <w:rFonts w:hint="eastAsia"/>
          <w:b/>
          <w:sz w:val="24"/>
          <w:szCs w:val="24"/>
        </w:rPr>
      </w:pPr>
      <w:bookmarkStart w:id="785" w:name="_Toc471218898"/>
      <w:bookmarkStart w:id="786" w:name="_Toc470187185"/>
      <w:bookmarkStart w:id="787" w:name="_Toc433185122"/>
      <w:r>
        <w:rPr>
          <w:rFonts w:hint="eastAsia"/>
        </w:rPr>
        <w:t>二、</w:t>
      </w:r>
      <w:r>
        <w:rPr>
          <w:b/>
          <w:sz w:val="24"/>
          <w:szCs w:val="24"/>
        </w:rPr>
        <w:t>词语定义</w:t>
      </w:r>
      <w:bookmarkEnd w:id="785"/>
      <w:bookmarkEnd w:id="786"/>
    </w:p>
    <w:p w14:paraId="2EF5FD4C">
      <w:pPr>
        <w:adjustRightInd w:val="0"/>
        <w:snapToGrid w:val="0"/>
        <w:spacing w:line="360" w:lineRule="auto"/>
        <w:ind w:firstLine="540" w:firstLineChars="225"/>
        <w:rPr>
          <w:sz w:val="24"/>
          <w:szCs w:val="24"/>
        </w:rPr>
      </w:pPr>
      <w:r>
        <w:rPr>
          <w:sz w:val="24"/>
          <w:szCs w:val="24"/>
        </w:rPr>
        <w:t>合同协议书中相关词语的含义与合同通用条款中的定义与解释相同。</w:t>
      </w:r>
    </w:p>
    <w:p w14:paraId="1D473959">
      <w:pPr>
        <w:pStyle w:val="3"/>
        <w:ind w:firstLine="424" w:firstLineChars="176"/>
        <w:rPr>
          <w:rFonts w:ascii="Times New Roman" w:hAnsi="Times New Roman" w:eastAsia="宋体"/>
          <w:bCs w:val="0"/>
          <w:sz w:val="24"/>
          <w:szCs w:val="24"/>
          <w:lang w:val="en-US" w:eastAsia="zh-CN"/>
        </w:rPr>
      </w:pPr>
      <w:bookmarkStart w:id="788" w:name="_Toc470187186"/>
      <w:bookmarkStart w:id="789" w:name="_Toc471218899"/>
      <w:r>
        <w:rPr>
          <w:rFonts w:ascii="Times New Roman" w:hAnsi="Times New Roman" w:eastAsia="宋体"/>
          <w:bCs w:val="0"/>
          <w:sz w:val="24"/>
          <w:szCs w:val="24"/>
          <w:lang w:val="en-US" w:eastAsia="zh-CN"/>
        </w:rPr>
        <w:t>三、组成合同的文件</w:t>
      </w:r>
      <w:bookmarkEnd w:id="787"/>
      <w:bookmarkEnd w:id="788"/>
      <w:bookmarkEnd w:id="789"/>
    </w:p>
    <w:p w14:paraId="7B8F4042">
      <w:pPr>
        <w:adjustRightInd w:val="0"/>
        <w:snapToGrid w:val="0"/>
        <w:spacing w:line="360" w:lineRule="auto"/>
        <w:ind w:firstLine="540" w:firstLineChars="225"/>
        <w:rPr>
          <w:sz w:val="24"/>
          <w:szCs w:val="24"/>
        </w:rPr>
      </w:pPr>
      <w:r>
        <w:rPr>
          <w:sz w:val="24"/>
          <w:szCs w:val="24"/>
        </w:rPr>
        <w:t>1. 合同协议书；</w:t>
      </w:r>
    </w:p>
    <w:p w14:paraId="4A034017">
      <w:pPr>
        <w:adjustRightInd w:val="0"/>
        <w:snapToGrid w:val="0"/>
        <w:spacing w:line="360" w:lineRule="auto"/>
        <w:ind w:firstLine="540" w:firstLineChars="225"/>
        <w:rPr>
          <w:sz w:val="24"/>
          <w:szCs w:val="24"/>
        </w:rPr>
      </w:pPr>
      <w:r>
        <w:rPr>
          <w:sz w:val="24"/>
          <w:szCs w:val="24"/>
        </w:rPr>
        <w:t>2. 中标通知书或委托书；</w:t>
      </w:r>
    </w:p>
    <w:p w14:paraId="568EE269">
      <w:pPr>
        <w:adjustRightInd w:val="0"/>
        <w:snapToGrid w:val="0"/>
        <w:spacing w:line="360" w:lineRule="auto"/>
        <w:ind w:firstLine="540" w:firstLineChars="225"/>
        <w:rPr>
          <w:sz w:val="24"/>
          <w:szCs w:val="24"/>
        </w:rPr>
      </w:pPr>
      <w:r>
        <w:rPr>
          <w:sz w:val="24"/>
          <w:szCs w:val="24"/>
        </w:rPr>
        <w:t>3. 投标函及投标函附录；</w:t>
      </w:r>
    </w:p>
    <w:p w14:paraId="4B09DEAD">
      <w:pPr>
        <w:adjustRightInd w:val="0"/>
        <w:snapToGrid w:val="0"/>
        <w:spacing w:line="360" w:lineRule="auto"/>
        <w:ind w:firstLine="540" w:firstLineChars="225"/>
        <w:rPr>
          <w:sz w:val="24"/>
          <w:szCs w:val="24"/>
        </w:rPr>
      </w:pPr>
      <w:r>
        <w:rPr>
          <w:sz w:val="24"/>
          <w:szCs w:val="24"/>
        </w:rPr>
        <w:t>4. 投标文件中的拟投入监理与相关服务人员、设备计划、监理大纲及相关服务方案或监理与相关服务建议书；</w:t>
      </w:r>
    </w:p>
    <w:p w14:paraId="4E665610">
      <w:pPr>
        <w:adjustRightInd w:val="0"/>
        <w:snapToGrid w:val="0"/>
        <w:spacing w:line="360" w:lineRule="auto"/>
        <w:ind w:firstLine="540" w:firstLineChars="225"/>
        <w:rPr>
          <w:sz w:val="24"/>
          <w:szCs w:val="24"/>
        </w:rPr>
      </w:pPr>
      <w:r>
        <w:rPr>
          <w:sz w:val="24"/>
          <w:szCs w:val="24"/>
        </w:rPr>
        <w:t>5. 合同专用条款；</w:t>
      </w:r>
    </w:p>
    <w:p w14:paraId="14A0BDAD">
      <w:pPr>
        <w:adjustRightInd w:val="0"/>
        <w:snapToGrid w:val="0"/>
        <w:spacing w:line="360" w:lineRule="auto"/>
        <w:ind w:firstLine="540" w:firstLineChars="225"/>
        <w:rPr>
          <w:sz w:val="24"/>
          <w:szCs w:val="24"/>
        </w:rPr>
      </w:pPr>
      <w:r>
        <w:rPr>
          <w:sz w:val="24"/>
          <w:szCs w:val="24"/>
        </w:rPr>
        <w:t>6. 合同通用条款；</w:t>
      </w:r>
    </w:p>
    <w:p w14:paraId="05E4B4E1">
      <w:pPr>
        <w:adjustRightInd w:val="0"/>
        <w:snapToGrid w:val="0"/>
        <w:spacing w:line="360" w:lineRule="auto"/>
        <w:ind w:firstLine="540" w:firstLineChars="225"/>
        <w:rPr>
          <w:sz w:val="24"/>
          <w:szCs w:val="24"/>
        </w:rPr>
      </w:pPr>
      <w:r>
        <w:rPr>
          <w:sz w:val="24"/>
          <w:szCs w:val="24"/>
        </w:rPr>
        <w:t>7. 本工程适用的监理与相关服务有关的规范、规程，及其他合同文件。</w:t>
      </w:r>
    </w:p>
    <w:p w14:paraId="09819C44">
      <w:pPr>
        <w:adjustRightInd w:val="0"/>
        <w:snapToGrid w:val="0"/>
        <w:spacing w:line="360" w:lineRule="auto"/>
        <w:ind w:firstLine="540" w:firstLineChars="225"/>
        <w:rPr>
          <w:sz w:val="24"/>
          <w:szCs w:val="24"/>
        </w:rPr>
      </w:pPr>
      <w:r>
        <w:rPr>
          <w:sz w:val="24"/>
          <w:szCs w:val="24"/>
        </w:rPr>
        <w:t>合同签订后，双方依法签订的补充协议也是合同文件的组成部分。</w:t>
      </w:r>
    </w:p>
    <w:p w14:paraId="0487A39B">
      <w:pPr>
        <w:pStyle w:val="3"/>
        <w:ind w:firstLine="424" w:firstLineChars="176"/>
        <w:rPr>
          <w:rFonts w:ascii="Times New Roman" w:hAnsi="Times New Roman" w:eastAsia="宋体"/>
          <w:bCs w:val="0"/>
          <w:sz w:val="24"/>
          <w:szCs w:val="24"/>
          <w:lang w:val="en-US" w:eastAsia="zh-CN"/>
        </w:rPr>
      </w:pPr>
      <w:bookmarkStart w:id="790" w:name="_Toc471218900"/>
      <w:bookmarkStart w:id="791" w:name="_Toc470187187"/>
      <w:bookmarkStart w:id="792" w:name="_Toc433185123"/>
      <w:r>
        <w:rPr>
          <w:rFonts w:ascii="Times New Roman" w:hAnsi="Times New Roman" w:eastAsia="宋体"/>
          <w:bCs w:val="0"/>
          <w:sz w:val="24"/>
          <w:szCs w:val="24"/>
          <w:lang w:val="en-US" w:eastAsia="zh-CN"/>
        </w:rPr>
        <w:t>四、总监理工程师</w:t>
      </w:r>
      <w:bookmarkEnd w:id="790"/>
      <w:bookmarkEnd w:id="791"/>
      <w:bookmarkEnd w:id="792"/>
    </w:p>
    <w:p w14:paraId="2C488EB3">
      <w:pPr>
        <w:adjustRightInd w:val="0"/>
        <w:snapToGrid w:val="0"/>
        <w:spacing w:line="360" w:lineRule="auto"/>
        <w:ind w:firstLine="540" w:firstLineChars="225"/>
        <w:rPr>
          <w:sz w:val="24"/>
          <w:szCs w:val="24"/>
        </w:rPr>
      </w:pPr>
      <w:r>
        <w:rPr>
          <w:sz w:val="24"/>
          <w:szCs w:val="24"/>
        </w:rPr>
        <w:t>总监理工程师姓名：</w:t>
      </w:r>
      <w:r>
        <w:rPr>
          <w:sz w:val="24"/>
          <w:szCs w:val="24"/>
          <w:u w:val="single"/>
        </w:rPr>
        <w:t xml:space="preserve">               </w:t>
      </w:r>
      <w:r>
        <w:rPr>
          <w:sz w:val="24"/>
          <w:szCs w:val="24"/>
        </w:rPr>
        <w:t>，身份证号码：</w:t>
      </w:r>
      <w:r>
        <w:rPr>
          <w:sz w:val="24"/>
          <w:szCs w:val="24"/>
          <w:u w:val="single"/>
        </w:rPr>
        <w:t xml:space="preserve">                       </w:t>
      </w:r>
      <w:r>
        <w:rPr>
          <w:sz w:val="24"/>
          <w:szCs w:val="24"/>
        </w:rPr>
        <w:t>，注册号：</w:t>
      </w:r>
      <w:r>
        <w:rPr>
          <w:sz w:val="24"/>
          <w:szCs w:val="24"/>
          <w:u w:val="single"/>
        </w:rPr>
        <w:t xml:space="preserve">                          </w:t>
      </w:r>
      <w:r>
        <w:rPr>
          <w:sz w:val="24"/>
          <w:szCs w:val="24"/>
        </w:rPr>
        <w:t>。</w:t>
      </w:r>
    </w:p>
    <w:p w14:paraId="0D442228">
      <w:pPr>
        <w:pStyle w:val="3"/>
        <w:ind w:firstLine="424" w:firstLineChars="176"/>
        <w:jc w:val="both"/>
        <w:rPr>
          <w:rFonts w:ascii="Times New Roman" w:hAnsi="Times New Roman" w:eastAsia="宋体"/>
          <w:bCs w:val="0"/>
          <w:sz w:val="24"/>
          <w:szCs w:val="24"/>
          <w:lang w:val="en-US" w:eastAsia="zh-CN"/>
        </w:rPr>
      </w:pPr>
      <w:bookmarkStart w:id="793" w:name="_Toc470187188"/>
      <w:bookmarkStart w:id="794" w:name="_Toc433185124"/>
      <w:bookmarkStart w:id="795" w:name="_Toc471218901"/>
      <w:r>
        <w:rPr>
          <w:rFonts w:ascii="Times New Roman" w:hAnsi="Times New Roman" w:eastAsia="宋体"/>
          <w:bCs w:val="0"/>
          <w:sz w:val="24"/>
          <w:szCs w:val="24"/>
          <w:lang w:val="en-US" w:eastAsia="zh-CN"/>
        </w:rPr>
        <w:t>五、签约酬金与补偿费用</w:t>
      </w:r>
      <w:bookmarkEnd w:id="793"/>
      <w:bookmarkEnd w:id="794"/>
      <w:bookmarkEnd w:id="795"/>
    </w:p>
    <w:p w14:paraId="5AC4CBDE">
      <w:pPr>
        <w:adjustRightInd w:val="0"/>
        <w:snapToGrid w:val="0"/>
        <w:spacing w:line="360" w:lineRule="auto"/>
        <w:ind w:firstLine="540" w:firstLineChars="225"/>
        <w:rPr>
          <w:rFonts w:hint="default" w:eastAsia="宋体"/>
          <w:sz w:val="24"/>
          <w:szCs w:val="24"/>
          <w:lang w:val="en-US" w:eastAsia="zh-CN"/>
        </w:rPr>
      </w:pPr>
      <w:r>
        <w:rPr>
          <w:sz w:val="24"/>
          <w:szCs w:val="24"/>
        </w:rPr>
        <w:t xml:space="preserve">（一） </w:t>
      </w:r>
      <w:r>
        <w:rPr>
          <w:rFonts w:hint="eastAsia"/>
          <w:sz w:val="24"/>
          <w:szCs w:val="24"/>
          <w:lang w:val="en-US" w:eastAsia="zh-CN"/>
        </w:rPr>
        <w:t>暂估</w:t>
      </w:r>
      <w:r>
        <w:rPr>
          <w:sz w:val="24"/>
          <w:szCs w:val="24"/>
        </w:rPr>
        <w:t>监理酬金（大写）：</w:t>
      </w:r>
      <w:r>
        <w:rPr>
          <w:sz w:val="24"/>
          <w:szCs w:val="24"/>
          <w:u w:val="single"/>
        </w:rPr>
        <w:t xml:space="preserve"> （中标金额）           </w:t>
      </w:r>
      <w:r>
        <w:rPr>
          <w:sz w:val="24"/>
          <w:szCs w:val="24"/>
        </w:rPr>
        <w:t xml:space="preserve">元 （¥ </w:t>
      </w:r>
      <w:r>
        <w:rPr>
          <w:sz w:val="24"/>
          <w:szCs w:val="24"/>
          <w:u w:val="single"/>
        </w:rPr>
        <w:t xml:space="preserve">            </w:t>
      </w:r>
      <w:r>
        <w:rPr>
          <w:sz w:val="24"/>
          <w:szCs w:val="24"/>
        </w:rPr>
        <w:t>）。</w:t>
      </w:r>
      <w:r>
        <w:rPr>
          <w:rFonts w:hint="eastAsia"/>
          <w:sz w:val="24"/>
          <w:szCs w:val="24"/>
          <w:lang w:val="en-US" w:eastAsia="zh-CN"/>
        </w:rPr>
        <w:t>监理酬金最终支付以财政评审后工程费金额为计取基数为准。</w:t>
      </w:r>
    </w:p>
    <w:p w14:paraId="53A61E90">
      <w:pPr>
        <w:pStyle w:val="3"/>
        <w:ind w:firstLine="424" w:firstLineChars="176"/>
        <w:jc w:val="both"/>
        <w:rPr>
          <w:rFonts w:ascii="Times New Roman" w:hAnsi="Times New Roman" w:eastAsia="宋体"/>
          <w:bCs w:val="0"/>
          <w:sz w:val="24"/>
          <w:szCs w:val="24"/>
          <w:lang w:val="en-US" w:eastAsia="zh-CN"/>
        </w:rPr>
      </w:pPr>
      <w:bookmarkStart w:id="796" w:name="_Toc471218902"/>
      <w:bookmarkStart w:id="797" w:name="_Toc433185125"/>
      <w:bookmarkStart w:id="798" w:name="_Toc470187189"/>
      <w:r>
        <w:rPr>
          <w:rFonts w:ascii="Times New Roman" w:hAnsi="Times New Roman" w:eastAsia="宋体"/>
          <w:bCs w:val="0"/>
          <w:sz w:val="24"/>
          <w:szCs w:val="24"/>
          <w:lang w:val="en-US" w:eastAsia="zh-CN"/>
        </w:rPr>
        <w:t>六、期限</w:t>
      </w:r>
      <w:bookmarkEnd w:id="796"/>
      <w:bookmarkEnd w:id="797"/>
      <w:bookmarkEnd w:id="798"/>
    </w:p>
    <w:p w14:paraId="7197F50D">
      <w:pPr>
        <w:adjustRightInd w:val="0"/>
        <w:snapToGrid w:val="0"/>
        <w:spacing w:line="360" w:lineRule="auto"/>
        <w:ind w:firstLine="540" w:firstLineChars="225"/>
        <w:rPr>
          <w:rFonts w:hint="eastAsia"/>
          <w:sz w:val="24"/>
          <w:szCs w:val="24"/>
        </w:rPr>
      </w:pPr>
      <w:r>
        <w:rPr>
          <w:sz w:val="24"/>
          <w:szCs w:val="24"/>
        </w:rPr>
        <w:t>1. 监理期限：</w:t>
      </w:r>
    </w:p>
    <w:p w14:paraId="1D4B4955">
      <w:pPr>
        <w:adjustRightInd w:val="0"/>
        <w:snapToGrid w:val="0"/>
        <w:spacing w:line="360" w:lineRule="auto"/>
        <w:ind w:firstLine="540" w:firstLineChars="225"/>
        <w:rPr>
          <w:sz w:val="24"/>
          <w:szCs w:val="24"/>
        </w:rPr>
      </w:pPr>
      <w:r>
        <w:rPr>
          <w:sz w:val="24"/>
          <w:szCs w:val="24"/>
        </w:rPr>
        <w:t>自</w:t>
      </w:r>
      <w:r>
        <w:rPr>
          <w:sz w:val="24"/>
          <w:szCs w:val="24"/>
          <w:u w:val="single"/>
        </w:rPr>
        <w:t xml:space="preserve"> </w:t>
      </w:r>
      <w:r>
        <w:rPr>
          <w:rFonts w:hint="eastAsia"/>
          <w:sz w:val="24"/>
          <w:szCs w:val="24"/>
          <w:u w:val="single"/>
          <w:lang w:val="en-US" w:eastAsia="zh-CN"/>
        </w:rPr>
        <w:t>2025</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日始，至</w:t>
      </w:r>
      <w:r>
        <w:rPr>
          <w:sz w:val="24"/>
          <w:szCs w:val="24"/>
          <w:u w:val="single"/>
        </w:rPr>
        <w:t xml:space="preserve">   </w:t>
      </w:r>
      <w:r>
        <w:rPr>
          <w:rFonts w:hint="eastAsia"/>
          <w:sz w:val="24"/>
          <w:szCs w:val="24"/>
          <w:u w:val="single"/>
          <w:lang w:val="en-US" w:eastAsia="zh-CN"/>
        </w:rPr>
        <w:t xml:space="preserve">2025 </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日止；共计</w:t>
      </w:r>
      <w:r>
        <w:rPr>
          <w:sz w:val="24"/>
          <w:szCs w:val="24"/>
          <w:u w:val="single"/>
        </w:rPr>
        <w:t xml:space="preserve">    </w:t>
      </w:r>
      <w:r>
        <w:rPr>
          <w:sz w:val="24"/>
          <w:szCs w:val="24"/>
        </w:rPr>
        <w:t>天。</w:t>
      </w:r>
    </w:p>
    <w:p w14:paraId="0F4E5B27">
      <w:pPr>
        <w:pStyle w:val="3"/>
        <w:ind w:firstLine="424" w:firstLineChars="176"/>
        <w:jc w:val="both"/>
        <w:rPr>
          <w:rFonts w:ascii="Times New Roman" w:hAnsi="Times New Roman" w:eastAsia="宋体"/>
          <w:bCs w:val="0"/>
          <w:sz w:val="24"/>
          <w:szCs w:val="24"/>
          <w:lang w:val="en-US" w:eastAsia="zh-CN"/>
        </w:rPr>
      </w:pPr>
      <w:bookmarkStart w:id="799" w:name="_Toc433185126"/>
      <w:bookmarkStart w:id="800" w:name="_Toc471218903"/>
      <w:bookmarkStart w:id="801" w:name="_Toc470187190"/>
      <w:r>
        <w:rPr>
          <w:rFonts w:ascii="Times New Roman" w:hAnsi="Times New Roman" w:eastAsia="宋体"/>
          <w:bCs w:val="0"/>
          <w:sz w:val="24"/>
          <w:szCs w:val="24"/>
          <w:lang w:val="en-US" w:eastAsia="zh-CN"/>
        </w:rPr>
        <w:t>七、双方承诺</w:t>
      </w:r>
      <w:bookmarkEnd w:id="799"/>
      <w:bookmarkEnd w:id="800"/>
      <w:bookmarkEnd w:id="801"/>
    </w:p>
    <w:p w14:paraId="26C56343">
      <w:pPr>
        <w:adjustRightInd w:val="0"/>
        <w:snapToGrid w:val="0"/>
        <w:spacing w:line="360" w:lineRule="auto"/>
        <w:ind w:firstLine="540" w:firstLineChars="225"/>
        <w:rPr>
          <w:sz w:val="24"/>
          <w:szCs w:val="24"/>
        </w:rPr>
      </w:pPr>
      <w:r>
        <w:rPr>
          <w:sz w:val="24"/>
          <w:szCs w:val="24"/>
        </w:rPr>
        <w:t>1. 监理人向委托人承诺，按照合同约定提供监理与相关服务。</w:t>
      </w:r>
    </w:p>
    <w:p w14:paraId="3EDDB193">
      <w:pPr>
        <w:adjustRightInd w:val="0"/>
        <w:snapToGrid w:val="0"/>
        <w:spacing w:line="360" w:lineRule="auto"/>
        <w:ind w:firstLine="540" w:firstLineChars="225"/>
        <w:rPr>
          <w:sz w:val="24"/>
          <w:szCs w:val="24"/>
        </w:rPr>
      </w:pPr>
      <w:r>
        <w:rPr>
          <w:sz w:val="24"/>
          <w:szCs w:val="24"/>
        </w:rPr>
        <w:t>2. 委托人向监理人承诺，按照合同约定提供相应的人员、房屋、资料、设备、设施，并按照合同约定支付酬金。</w:t>
      </w:r>
    </w:p>
    <w:p w14:paraId="2BC56800">
      <w:pPr>
        <w:pStyle w:val="3"/>
        <w:ind w:firstLine="424" w:firstLineChars="176"/>
        <w:jc w:val="both"/>
        <w:rPr>
          <w:rFonts w:ascii="Times New Roman" w:hAnsi="Times New Roman" w:eastAsia="宋体"/>
          <w:bCs w:val="0"/>
          <w:sz w:val="24"/>
          <w:szCs w:val="24"/>
          <w:lang w:val="en-US" w:eastAsia="zh-CN"/>
        </w:rPr>
      </w:pPr>
      <w:bookmarkStart w:id="802" w:name="_Toc471218904"/>
      <w:bookmarkStart w:id="803" w:name="_Toc470187191"/>
      <w:bookmarkStart w:id="804" w:name="_Toc433185127"/>
      <w:r>
        <w:rPr>
          <w:rFonts w:ascii="Times New Roman" w:hAnsi="Times New Roman" w:eastAsia="宋体"/>
          <w:bCs w:val="0"/>
          <w:sz w:val="24"/>
          <w:szCs w:val="24"/>
          <w:lang w:val="en-US" w:eastAsia="zh-CN"/>
        </w:rPr>
        <w:t>八、合同订立</w:t>
      </w:r>
      <w:bookmarkEnd w:id="802"/>
      <w:bookmarkEnd w:id="803"/>
      <w:bookmarkEnd w:id="804"/>
    </w:p>
    <w:p w14:paraId="2FB2C50B">
      <w:pPr>
        <w:adjustRightInd w:val="0"/>
        <w:snapToGrid w:val="0"/>
        <w:spacing w:line="360" w:lineRule="auto"/>
        <w:ind w:firstLine="540" w:firstLineChars="225"/>
        <w:rPr>
          <w:sz w:val="24"/>
          <w:szCs w:val="24"/>
        </w:rPr>
      </w:pPr>
      <w:r>
        <w:rPr>
          <w:sz w:val="24"/>
          <w:szCs w:val="24"/>
        </w:rPr>
        <w:t>1. 订立时间：</w:t>
      </w:r>
      <w:r>
        <w:rPr>
          <w:sz w:val="24"/>
          <w:szCs w:val="24"/>
          <w:u w:val="single"/>
        </w:rPr>
        <w:t xml:space="preserve">  </w:t>
      </w:r>
      <w:r>
        <w:rPr>
          <w:rFonts w:hint="eastAsia"/>
          <w:sz w:val="24"/>
          <w:szCs w:val="24"/>
          <w:u w:val="single"/>
          <w:lang w:val="en-US" w:eastAsia="zh-CN"/>
        </w:rPr>
        <w:t>2025</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46A58C2">
      <w:pPr>
        <w:adjustRightInd w:val="0"/>
        <w:snapToGrid w:val="0"/>
        <w:spacing w:line="360" w:lineRule="auto"/>
        <w:ind w:firstLine="540" w:firstLineChars="225"/>
        <w:rPr>
          <w:sz w:val="24"/>
          <w:szCs w:val="24"/>
        </w:rPr>
      </w:pPr>
      <w:r>
        <w:rPr>
          <w:sz w:val="24"/>
          <w:szCs w:val="24"/>
        </w:rPr>
        <w:t>2. 订立地点：</w:t>
      </w:r>
      <w:r>
        <w:rPr>
          <w:sz w:val="24"/>
          <w:szCs w:val="24"/>
          <w:u w:val="single"/>
        </w:rPr>
        <w:t xml:space="preserve">   </w:t>
      </w:r>
      <w:r>
        <w:rPr>
          <w:rFonts w:hint="eastAsia"/>
          <w:sz w:val="24"/>
          <w:szCs w:val="24"/>
          <w:u w:val="single"/>
        </w:rPr>
        <w:t>北京市门头沟区潭柘寺镇人民政府</w:t>
      </w:r>
      <w:r>
        <w:rPr>
          <w:sz w:val="24"/>
          <w:szCs w:val="24"/>
          <w:u w:val="single"/>
        </w:rPr>
        <w:t xml:space="preserve">                  </w:t>
      </w:r>
      <w:r>
        <w:rPr>
          <w:sz w:val="24"/>
          <w:szCs w:val="24"/>
        </w:rPr>
        <w:t xml:space="preserve"> 。</w:t>
      </w:r>
    </w:p>
    <w:p w14:paraId="67FA7A97">
      <w:pPr>
        <w:adjustRightInd w:val="0"/>
        <w:snapToGrid w:val="0"/>
        <w:spacing w:line="360" w:lineRule="auto"/>
        <w:ind w:firstLine="540" w:firstLineChars="225"/>
        <w:rPr>
          <w:rFonts w:hint="eastAsia"/>
          <w:sz w:val="24"/>
          <w:szCs w:val="24"/>
          <w:lang w:eastAsia="zh-CN"/>
        </w:rPr>
      </w:pPr>
      <w:r>
        <w:rPr>
          <w:sz w:val="24"/>
          <w:szCs w:val="24"/>
        </w:rPr>
        <w:t>3. 合同一式</w:t>
      </w:r>
      <w:r>
        <w:rPr>
          <w:sz w:val="24"/>
          <w:szCs w:val="24"/>
          <w:u w:val="single"/>
        </w:rPr>
        <w:t xml:space="preserve">  </w:t>
      </w:r>
      <w:r>
        <w:rPr>
          <w:rFonts w:hint="eastAsia"/>
          <w:sz w:val="24"/>
          <w:szCs w:val="24"/>
          <w:u w:val="single"/>
          <w:lang w:val="en-US" w:eastAsia="zh-CN"/>
        </w:rPr>
        <w:t>捌</w:t>
      </w:r>
      <w:r>
        <w:rPr>
          <w:sz w:val="24"/>
          <w:szCs w:val="24"/>
          <w:u w:val="single"/>
        </w:rPr>
        <w:t xml:space="preserve">   </w:t>
      </w:r>
      <w:r>
        <w:rPr>
          <w:sz w:val="24"/>
          <w:szCs w:val="24"/>
        </w:rPr>
        <w:t>份，具有同等法律效力，双方各执</w:t>
      </w:r>
      <w:r>
        <w:rPr>
          <w:sz w:val="24"/>
          <w:szCs w:val="24"/>
          <w:u w:val="single"/>
        </w:rPr>
        <w:t xml:space="preserve">  </w:t>
      </w:r>
      <w:r>
        <w:rPr>
          <w:rFonts w:hint="eastAsia"/>
          <w:sz w:val="24"/>
          <w:szCs w:val="24"/>
          <w:u w:val="single"/>
          <w:lang w:val="en-US" w:eastAsia="zh-CN"/>
        </w:rPr>
        <w:t>肆</w:t>
      </w:r>
      <w:r>
        <w:rPr>
          <w:sz w:val="24"/>
          <w:szCs w:val="24"/>
          <w:u w:val="single"/>
        </w:rPr>
        <w:t xml:space="preserve">  </w:t>
      </w:r>
      <w:r>
        <w:rPr>
          <w:sz w:val="24"/>
          <w:szCs w:val="24"/>
        </w:rPr>
        <w:t>份</w:t>
      </w:r>
      <w:r>
        <w:rPr>
          <w:rFonts w:hint="eastAsia"/>
          <w:sz w:val="24"/>
          <w:szCs w:val="24"/>
          <w:lang w:eastAsia="zh-CN"/>
        </w:rPr>
        <w:t>。</w:t>
      </w:r>
    </w:p>
    <w:p w14:paraId="6A6F3CE2">
      <w:pPr>
        <w:adjustRightInd w:val="0"/>
        <w:snapToGrid w:val="0"/>
        <w:spacing w:line="360" w:lineRule="auto"/>
        <w:ind w:firstLine="540" w:firstLineChars="225"/>
        <w:rPr>
          <w:rFonts w:hint="default"/>
          <w:sz w:val="24"/>
          <w:szCs w:val="24"/>
          <w:lang w:val="en-US" w:eastAsia="zh-CN"/>
        </w:rPr>
      </w:pPr>
      <w:r>
        <w:rPr>
          <w:rFonts w:hint="eastAsia"/>
          <w:sz w:val="24"/>
          <w:szCs w:val="24"/>
          <w:lang w:val="en-US" w:eastAsia="zh-CN"/>
        </w:rPr>
        <w:t>4.本合同自合同双方法定代表人或其委托代理人签字或盖章并加盖双方公章后生效。</w:t>
      </w:r>
    </w:p>
    <w:p w14:paraId="111B94C3">
      <w:pPr>
        <w:adjustRightInd w:val="0"/>
        <w:snapToGrid w:val="0"/>
        <w:spacing w:line="360" w:lineRule="auto"/>
        <w:ind w:firstLine="540" w:firstLineChars="225"/>
        <w:rPr>
          <w:rFonts w:hint="eastAsia"/>
          <w:sz w:val="24"/>
          <w:szCs w:val="24"/>
        </w:rPr>
      </w:pPr>
    </w:p>
    <w:p w14:paraId="37F26640">
      <w:pPr>
        <w:adjustRightInd w:val="0"/>
        <w:snapToGrid w:val="0"/>
        <w:spacing w:line="360" w:lineRule="auto"/>
        <w:ind w:firstLine="540" w:firstLineChars="225"/>
        <w:rPr>
          <w:rFonts w:hint="eastAsia"/>
          <w:sz w:val="24"/>
          <w:szCs w:val="24"/>
        </w:rPr>
      </w:pPr>
    </w:p>
    <w:p w14:paraId="41B25B2F">
      <w:pPr>
        <w:adjustRightInd w:val="0"/>
        <w:snapToGrid w:val="0"/>
        <w:spacing w:line="360" w:lineRule="auto"/>
        <w:ind w:firstLine="540" w:firstLineChars="225"/>
        <w:rPr>
          <w:rFonts w:hint="eastAsia"/>
          <w:sz w:val="24"/>
          <w:szCs w:val="24"/>
        </w:rPr>
      </w:pPr>
    </w:p>
    <w:p w14:paraId="5F77B39B">
      <w:pPr>
        <w:adjustRightInd w:val="0"/>
        <w:snapToGrid w:val="0"/>
        <w:spacing w:line="360" w:lineRule="auto"/>
        <w:ind w:firstLine="540" w:firstLineChars="225"/>
        <w:rPr>
          <w:rFonts w:hint="eastAsia"/>
          <w:sz w:val="24"/>
          <w:szCs w:val="24"/>
        </w:rPr>
      </w:pPr>
    </w:p>
    <w:p w14:paraId="58CCCEB8">
      <w:pPr>
        <w:adjustRightInd w:val="0"/>
        <w:snapToGrid w:val="0"/>
        <w:spacing w:line="360" w:lineRule="auto"/>
        <w:ind w:firstLine="540" w:firstLineChars="225"/>
        <w:rPr>
          <w:rFonts w:hint="eastAsia"/>
          <w:sz w:val="24"/>
          <w:szCs w:val="24"/>
        </w:rPr>
      </w:pPr>
    </w:p>
    <w:p w14:paraId="6E8B2824">
      <w:pPr>
        <w:adjustRightInd w:val="0"/>
        <w:snapToGrid w:val="0"/>
        <w:spacing w:line="360" w:lineRule="auto"/>
        <w:ind w:firstLine="540" w:firstLineChars="225"/>
        <w:rPr>
          <w:rFonts w:hint="eastAsia"/>
          <w:sz w:val="24"/>
          <w:szCs w:val="24"/>
        </w:rPr>
      </w:pPr>
    </w:p>
    <w:p w14:paraId="486D0999">
      <w:pPr>
        <w:adjustRightInd w:val="0"/>
        <w:snapToGrid w:val="0"/>
        <w:spacing w:line="360" w:lineRule="auto"/>
        <w:rPr>
          <w:sz w:val="24"/>
          <w:szCs w:val="24"/>
        </w:rPr>
      </w:pPr>
      <w:r>
        <w:rPr>
          <w:sz w:val="24"/>
          <w:szCs w:val="24"/>
        </w:rPr>
        <w:t>委托人：</w:t>
      </w:r>
      <w:r>
        <w:rPr>
          <w:sz w:val="24"/>
          <w:szCs w:val="24"/>
          <w:u w:val="single"/>
        </w:rPr>
        <w:t xml:space="preserve"> </w:t>
      </w:r>
      <w:r>
        <w:rPr>
          <w:rFonts w:hint="eastAsia"/>
          <w:sz w:val="24"/>
          <w:szCs w:val="24"/>
          <w:u w:val="single"/>
        </w:rPr>
        <w:t>北京市门头沟区潭柘寺镇人民政府</w:t>
      </w:r>
      <w:r>
        <w:rPr>
          <w:sz w:val="24"/>
          <w:szCs w:val="24"/>
          <w:u w:val="single"/>
        </w:rPr>
        <w:t xml:space="preserve"> （盖章）  </w:t>
      </w:r>
      <w:r>
        <w:rPr>
          <w:sz w:val="24"/>
          <w:szCs w:val="24"/>
        </w:rPr>
        <w:t xml:space="preserve"> 监理人：</w:t>
      </w:r>
      <w:r>
        <w:rPr>
          <w:sz w:val="24"/>
          <w:szCs w:val="24"/>
          <w:u w:val="single"/>
        </w:rPr>
        <w:t xml:space="preserve">     （盖章）          </w:t>
      </w:r>
    </w:p>
    <w:p w14:paraId="302E10C0">
      <w:pPr>
        <w:adjustRightInd w:val="0"/>
        <w:snapToGrid w:val="0"/>
        <w:spacing w:line="360" w:lineRule="auto"/>
        <w:rPr>
          <w:sz w:val="24"/>
          <w:u w:val="single"/>
        </w:rPr>
      </w:pPr>
      <w:r>
        <w:rPr>
          <w:sz w:val="24"/>
        </w:rPr>
        <w:t>营业执照号：</w:t>
      </w:r>
      <w:r>
        <w:rPr>
          <w:sz w:val="24"/>
          <w:u w:val="single"/>
        </w:rPr>
        <w:t xml:space="preserve">                  </w:t>
      </w:r>
      <w:r>
        <w:rPr>
          <w:sz w:val="24"/>
        </w:rPr>
        <w:t xml:space="preserve">      营业执照号：</w:t>
      </w:r>
      <w:r>
        <w:rPr>
          <w:sz w:val="24"/>
          <w:u w:val="single"/>
        </w:rPr>
        <w:t xml:space="preserve">                   </w:t>
      </w:r>
    </w:p>
    <w:p w14:paraId="0B128AA4">
      <w:pPr>
        <w:adjustRightInd w:val="0"/>
        <w:snapToGrid w:val="0"/>
        <w:spacing w:line="360" w:lineRule="auto"/>
        <w:rPr>
          <w:sz w:val="24"/>
        </w:rPr>
      </w:pPr>
      <w:r>
        <w:rPr>
          <w:sz w:val="24"/>
        </w:rPr>
        <w:t xml:space="preserve">                                    资质证书编号：</w:t>
      </w:r>
      <w:r>
        <w:rPr>
          <w:sz w:val="24"/>
          <w:u w:val="single"/>
        </w:rPr>
        <w:t xml:space="preserve">                 </w:t>
      </w:r>
      <w:r>
        <w:rPr>
          <w:sz w:val="24"/>
        </w:rPr>
        <w:t xml:space="preserve">        </w:t>
      </w:r>
    </w:p>
    <w:p w14:paraId="6AFEF63D">
      <w:pPr>
        <w:adjustRightInd w:val="0"/>
        <w:snapToGrid w:val="0"/>
        <w:spacing w:line="360" w:lineRule="auto"/>
        <w:rPr>
          <w:sz w:val="24"/>
        </w:rPr>
      </w:pPr>
      <w:r>
        <w:rPr>
          <w:sz w:val="24"/>
        </w:rPr>
        <w:t>住所：</w:t>
      </w:r>
      <w:r>
        <w:rPr>
          <w:sz w:val="24"/>
          <w:u w:val="single"/>
        </w:rPr>
        <w:t xml:space="preserve">                        </w:t>
      </w:r>
      <w:r>
        <w:rPr>
          <w:sz w:val="24"/>
        </w:rPr>
        <w:t xml:space="preserve">      住所：</w:t>
      </w:r>
      <w:r>
        <w:rPr>
          <w:sz w:val="24"/>
          <w:u w:val="single"/>
        </w:rPr>
        <w:t xml:space="preserve">                         </w:t>
      </w:r>
    </w:p>
    <w:p w14:paraId="45A83A72">
      <w:pPr>
        <w:adjustRightInd w:val="0"/>
        <w:snapToGrid w:val="0"/>
        <w:spacing w:line="360" w:lineRule="auto"/>
        <w:rPr>
          <w:sz w:val="24"/>
        </w:rPr>
      </w:pPr>
      <w:r>
        <w:rPr>
          <w:sz w:val="24"/>
        </w:rPr>
        <w:t>邮政编码：</w:t>
      </w:r>
      <w:r>
        <w:rPr>
          <w:sz w:val="24"/>
          <w:u w:val="single"/>
        </w:rPr>
        <w:t xml:space="preserve">  </w:t>
      </w:r>
      <w:r>
        <w:rPr>
          <w:rFonts w:hint="eastAsia"/>
          <w:sz w:val="24"/>
          <w:u w:val="single"/>
          <w:lang w:val="en-US" w:eastAsia="zh-CN"/>
        </w:rPr>
        <w:t>102300</w:t>
      </w:r>
      <w:r>
        <w:rPr>
          <w:sz w:val="24"/>
          <w:u w:val="single"/>
        </w:rPr>
        <w:t xml:space="preserve">       </w:t>
      </w:r>
      <w:r>
        <w:rPr>
          <w:sz w:val="24"/>
        </w:rPr>
        <w:t xml:space="preserve">      邮政编码：</w:t>
      </w:r>
      <w:r>
        <w:rPr>
          <w:sz w:val="24"/>
          <w:u w:val="single"/>
        </w:rPr>
        <w:t xml:space="preserve">                     </w:t>
      </w:r>
    </w:p>
    <w:p w14:paraId="63E46535">
      <w:pPr>
        <w:adjustRightInd w:val="0"/>
        <w:snapToGrid w:val="0"/>
        <w:spacing w:line="360" w:lineRule="auto"/>
        <w:rPr>
          <w:sz w:val="24"/>
        </w:rPr>
      </w:pPr>
      <w:r>
        <w:rPr>
          <w:sz w:val="24"/>
        </w:rPr>
        <w:t>法定代表人或其委托                  法定代表人或其委托</w:t>
      </w:r>
    </w:p>
    <w:p w14:paraId="2E359492">
      <w:pPr>
        <w:adjustRightInd w:val="0"/>
        <w:snapToGrid w:val="0"/>
        <w:spacing w:line="360" w:lineRule="auto"/>
        <w:rPr>
          <w:sz w:val="24"/>
        </w:rPr>
      </w:pPr>
      <w:r>
        <w:rPr>
          <w:sz w:val="24"/>
        </w:rPr>
        <w:t>代理人：</w:t>
      </w:r>
      <w:r>
        <w:rPr>
          <w:sz w:val="24"/>
          <w:u w:val="single"/>
        </w:rPr>
        <w:t>（签字</w:t>
      </w:r>
      <w:r>
        <w:rPr>
          <w:rFonts w:hint="eastAsia"/>
          <w:sz w:val="24"/>
          <w:u w:val="single"/>
        </w:rPr>
        <w:t>或盖章</w:t>
      </w:r>
      <w:r>
        <w:rPr>
          <w:sz w:val="24"/>
          <w:u w:val="single"/>
        </w:rPr>
        <w:t xml:space="preserve">）        </w:t>
      </w:r>
      <w:r>
        <w:rPr>
          <w:sz w:val="24"/>
        </w:rPr>
        <w:t xml:space="preserve">       代理人：</w:t>
      </w:r>
      <w:r>
        <w:rPr>
          <w:sz w:val="24"/>
          <w:u w:val="single"/>
        </w:rPr>
        <w:t xml:space="preserve"> （签字</w:t>
      </w:r>
      <w:r>
        <w:rPr>
          <w:rFonts w:hint="eastAsia"/>
          <w:sz w:val="24"/>
          <w:u w:val="single"/>
        </w:rPr>
        <w:t>或盖章</w:t>
      </w:r>
      <w:r>
        <w:rPr>
          <w:sz w:val="24"/>
          <w:u w:val="single"/>
        </w:rPr>
        <w:t xml:space="preserve">）              </w:t>
      </w:r>
    </w:p>
    <w:p w14:paraId="4CCDDC19">
      <w:pPr>
        <w:adjustRightInd w:val="0"/>
        <w:snapToGrid w:val="0"/>
        <w:spacing w:line="360" w:lineRule="auto"/>
        <w:rPr>
          <w:sz w:val="24"/>
        </w:rPr>
      </w:pPr>
      <w:r>
        <w:rPr>
          <w:sz w:val="24"/>
        </w:rPr>
        <w:t>开户银行：</w:t>
      </w:r>
      <w:r>
        <w:rPr>
          <w:sz w:val="24"/>
          <w:u w:val="single"/>
        </w:rPr>
        <w:t xml:space="preserve">                    </w:t>
      </w:r>
      <w:r>
        <w:rPr>
          <w:sz w:val="24"/>
        </w:rPr>
        <w:t xml:space="preserve">      开户银行：</w:t>
      </w:r>
      <w:r>
        <w:rPr>
          <w:sz w:val="24"/>
          <w:u w:val="single"/>
        </w:rPr>
        <w:t xml:space="preserve">                     </w:t>
      </w:r>
    </w:p>
    <w:p w14:paraId="23322B49">
      <w:pPr>
        <w:adjustRightInd w:val="0"/>
        <w:snapToGrid w:val="0"/>
        <w:spacing w:line="360" w:lineRule="auto"/>
        <w:rPr>
          <w:sz w:val="24"/>
        </w:rPr>
      </w:pPr>
      <w:r>
        <w:rPr>
          <w:sz w:val="24"/>
        </w:rPr>
        <w:t>账号：</w:t>
      </w:r>
      <w:r>
        <w:rPr>
          <w:sz w:val="24"/>
          <w:u w:val="single"/>
        </w:rPr>
        <w:t xml:space="preserve">                        </w:t>
      </w:r>
      <w:r>
        <w:rPr>
          <w:sz w:val="24"/>
        </w:rPr>
        <w:t xml:space="preserve">      账号：</w:t>
      </w:r>
      <w:r>
        <w:rPr>
          <w:sz w:val="24"/>
          <w:u w:val="single"/>
        </w:rPr>
        <w:t xml:space="preserve">                         </w:t>
      </w:r>
    </w:p>
    <w:p w14:paraId="2DA1F095">
      <w:pPr>
        <w:adjustRightInd w:val="0"/>
        <w:snapToGrid w:val="0"/>
        <w:spacing w:line="360" w:lineRule="auto"/>
        <w:rPr>
          <w:sz w:val="24"/>
        </w:rPr>
      </w:pPr>
      <w:r>
        <w:rPr>
          <w:sz w:val="24"/>
        </w:rPr>
        <w:t>电话：</w:t>
      </w:r>
      <w:r>
        <w:rPr>
          <w:sz w:val="24"/>
          <w:u w:val="single"/>
        </w:rPr>
        <w:t xml:space="preserve">                        </w:t>
      </w:r>
      <w:r>
        <w:rPr>
          <w:sz w:val="24"/>
        </w:rPr>
        <w:t xml:space="preserve">      电话：</w:t>
      </w:r>
      <w:r>
        <w:rPr>
          <w:sz w:val="24"/>
          <w:u w:val="single"/>
        </w:rPr>
        <w:t xml:space="preserve">                         </w:t>
      </w:r>
    </w:p>
    <w:p w14:paraId="2BD09177">
      <w:pPr>
        <w:adjustRightInd w:val="0"/>
        <w:snapToGrid w:val="0"/>
        <w:spacing w:line="360" w:lineRule="auto"/>
        <w:rPr>
          <w:sz w:val="24"/>
        </w:rPr>
      </w:pPr>
      <w:r>
        <w:rPr>
          <w:sz w:val="24"/>
        </w:rPr>
        <w:t>传真：</w:t>
      </w:r>
      <w:r>
        <w:rPr>
          <w:sz w:val="24"/>
          <w:u w:val="single"/>
        </w:rPr>
        <w:t xml:space="preserve">                        </w:t>
      </w:r>
      <w:r>
        <w:rPr>
          <w:sz w:val="24"/>
        </w:rPr>
        <w:t xml:space="preserve">      传真：</w:t>
      </w:r>
      <w:r>
        <w:rPr>
          <w:sz w:val="24"/>
          <w:u w:val="single"/>
        </w:rPr>
        <w:t xml:space="preserve">                         </w:t>
      </w:r>
    </w:p>
    <w:p w14:paraId="76CE7FB3">
      <w:pPr>
        <w:adjustRightInd w:val="0"/>
        <w:snapToGrid w:val="0"/>
        <w:spacing w:line="360" w:lineRule="auto"/>
        <w:rPr>
          <w:sz w:val="24"/>
        </w:rPr>
      </w:pPr>
      <w:r>
        <w:rPr>
          <w:sz w:val="24"/>
        </w:rPr>
        <w:t>电子邮箱：</w:t>
      </w:r>
      <w:r>
        <w:rPr>
          <w:sz w:val="24"/>
          <w:u w:val="single"/>
        </w:rPr>
        <w:t xml:space="preserve">                    </w:t>
      </w:r>
      <w:r>
        <w:rPr>
          <w:sz w:val="24"/>
        </w:rPr>
        <w:t xml:space="preserve">      电子邮箱：</w:t>
      </w:r>
      <w:r>
        <w:rPr>
          <w:sz w:val="24"/>
          <w:u w:val="single"/>
        </w:rPr>
        <w:t xml:space="preserve">                     </w:t>
      </w:r>
    </w:p>
    <w:p w14:paraId="35E3867A">
      <w:pPr>
        <w:spacing w:line="360" w:lineRule="auto"/>
        <w:ind w:firstLine="542" w:firstLineChars="225"/>
        <w:jc w:val="center"/>
        <w:rPr>
          <w:b/>
          <w:sz w:val="24"/>
        </w:rPr>
        <w:sectPr>
          <w:pgSz w:w="11906" w:h="16838"/>
          <w:pgMar w:top="1440" w:right="1588" w:bottom="1440" w:left="1588" w:header="851" w:footer="992" w:gutter="0"/>
          <w:cols w:space="720" w:num="1"/>
          <w:docGrid w:type="lines" w:linePitch="312" w:charSpace="0"/>
        </w:sectPr>
      </w:pPr>
    </w:p>
    <w:p w14:paraId="42A20971">
      <w:pPr>
        <w:pageBreakBefore/>
        <w:spacing w:line="360" w:lineRule="auto"/>
        <w:ind w:firstLine="357"/>
        <w:jc w:val="center"/>
        <w:outlineLvl w:val="0"/>
        <w:rPr>
          <w:b/>
          <w:bCs/>
          <w:sz w:val="30"/>
          <w:szCs w:val="30"/>
        </w:rPr>
      </w:pPr>
      <w:bookmarkStart w:id="805" w:name="_Toc470187192"/>
      <w:bookmarkStart w:id="806" w:name="_Toc471218905"/>
      <w:r>
        <w:rPr>
          <w:b/>
          <w:bCs/>
          <w:sz w:val="30"/>
          <w:szCs w:val="30"/>
        </w:rPr>
        <w:t>第二部分  合同通用条款</w:t>
      </w:r>
      <w:bookmarkEnd w:id="805"/>
      <w:bookmarkEnd w:id="806"/>
    </w:p>
    <w:p w14:paraId="23D495EF">
      <w:pPr>
        <w:adjustRightInd w:val="0"/>
        <w:snapToGrid w:val="0"/>
        <w:spacing w:line="360" w:lineRule="auto"/>
        <w:ind w:firstLine="480" w:firstLineChars="200"/>
        <w:rPr>
          <w:sz w:val="24"/>
        </w:rPr>
      </w:pPr>
    </w:p>
    <w:p w14:paraId="2F2EA0C5">
      <w:pPr>
        <w:autoSpaceDE w:val="0"/>
        <w:autoSpaceDN w:val="0"/>
        <w:adjustRightInd w:val="0"/>
        <w:spacing w:before="156" w:beforeLines="50" w:line="360" w:lineRule="auto"/>
        <w:outlineLvl w:val="0"/>
        <w:rPr>
          <w:sz w:val="24"/>
          <w:szCs w:val="24"/>
        </w:rPr>
      </w:pPr>
      <w:bookmarkStart w:id="807" w:name="_Toc471218906"/>
      <w:bookmarkStart w:id="808" w:name="_Toc371398288"/>
      <w:bookmarkStart w:id="809" w:name="_Toc470187193"/>
      <w:r>
        <w:rPr>
          <w:sz w:val="24"/>
          <w:szCs w:val="24"/>
        </w:rPr>
        <w:t>1. 一般约定</w:t>
      </w:r>
      <w:bookmarkEnd w:id="807"/>
      <w:bookmarkEnd w:id="808"/>
      <w:bookmarkEnd w:id="809"/>
    </w:p>
    <w:p w14:paraId="3B88C522">
      <w:pPr>
        <w:pStyle w:val="4"/>
        <w:spacing w:before="120" w:after="120" w:line="360" w:lineRule="auto"/>
        <w:ind w:left="420" w:leftChars="200" w:firstLine="118"/>
        <w:rPr>
          <w:rFonts w:ascii="Times New Roman" w:hAnsi="Times New Roman" w:eastAsia="宋体"/>
          <w:b/>
          <w:sz w:val="24"/>
          <w:szCs w:val="24"/>
          <w:u w:val="none"/>
        </w:rPr>
      </w:pPr>
      <w:bookmarkStart w:id="810" w:name="_Toc371398289"/>
      <w:bookmarkStart w:id="811" w:name="_Toc433185130"/>
      <w:bookmarkStart w:id="812" w:name="_Toc470187194"/>
      <w:bookmarkStart w:id="813" w:name="_Toc471218907"/>
      <w:r>
        <w:rPr>
          <w:rFonts w:ascii="Times New Roman" w:hAnsi="Times New Roman" w:eastAsia="宋体"/>
          <w:b/>
          <w:sz w:val="24"/>
          <w:szCs w:val="24"/>
          <w:u w:val="none"/>
        </w:rPr>
        <w:t>1.1 词语定义</w:t>
      </w:r>
      <w:bookmarkEnd w:id="810"/>
      <w:bookmarkEnd w:id="811"/>
      <w:bookmarkEnd w:id="812"/>
      <w:bookmarkEnd w:id="813"/>
    </w:p>
    <w:p w14:paraId="091E6CC8">
      <w:pPr>
        <w:adjustRightInd w:val="0"/>
        <w:snapToGrid w:val="0"/>
        <w:spacing w:line="360" w:lineRule="auto"/>
        <w:ind w:firstLine="480" w:firstLineChars="200"/>
        <w:rPr>
          <w:sz w:val="24"/>
          <w:szCs w:val="24"/>
        </w:rPr>
      </w:pPr>
      <w:r>
        <w:rPr>
          <w:sz w:val="24"/>
          <w:szCs w:val="24"/>
        </w:rPr>
        <w:t>除根据上下文另有意义或合同专用条款另有约定外，合同中的下列名词和用语应当具有本款所赋予的含义：</w:t>
      </w:r>
    </w:p>
    <w:p w14:paraId="0416B73D">
      <w:pPr>
        <w:adjustRightInd w:val="0"/>
        <w:snapToGrid w:val="0"/>
        <w:spacing w:line="360" w:lineRule="auto"/>
        <w:ind w:firstLine="480" w:firstLineChars="200"/>
        <w:rPr>
          <w:sz w:val="24"/>
          <w:szCs w:val="24"/>
        </w:rPr>
      </w:pPr>
      <w:r>
        <w:rPr>
          <w:sz w:val="24"/>
          <w:szCs w:val="24"/>
        </w:rPr>
        <w:t>1.1.1 “工程”是指按照合同约定实施监理与相关服务的建设工程。</w:t>
      </w:r>
    </w:p>
    <w:p w14:paraId="23BC7E3C">
      <w:pPr>
        <w:adjustRightInd w:val="0"/>
        <w:snapToGrid w:val="0"/>
        <w:spacing w:line="360" w:lineRule="auto"/>
        <w:ind w:firstLine="480" w:firstLineChars="200"/>
        <w:rPr>
          <w:sz w:val="24"/>
          <w:szCs w:val="24"/>
        </w:rPr>
      </w:pPr>
      <w:r>
        <w:rPr>
          <w:sz w:val="24"/>
          <w:szCs w:val="24"/>
        </w:rPr>
        <w:t>1.1.2 “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14:paraId="4CA35FD3">
      <w:pPr>
        <w:adjustRightInd w:val="0"/>
        <w:snapToGrid w:val="0"/>
        <w:spacing w:line="360" w:lineRule="auto"/>
        <w:ind w:firstLine="480" w:firstLineChars="200"/>
        <w:rPr>
          <w:sz w:val="24"/>
          <w:szCs w:val="24"/>
        </w:rPr>
      </w:pPr>
      <w:r>
        <w:rPr>
          <w:sz w:val="24"/>
          <w:szCs w:val="24"/>
        </w:rPr>
        <w:t>1.1.3 “委托人”是指合同协议书中指明，委托监理与相关服务的当事人，及其合法的继承人或受让人。</w:t>
      </w:r>
    </w:p>
    <w:p w14:paraId="1015FC2D">
      <w:pPr>
        <w:adjustRightInd w:val="0"/>
        <w:snapToGrid w:val="0"/>
        <w:spacing w:line="360" w:lineRule="auto"/>
        <w:ind w:firstLine="480" w:firstLineChars="200"/>
        <w:rPr>
          <w:sz w:val="24"/>
          <w:szCs w:val="24"/>
        </w:rPr>
      </w:pPr>
      <w:r>
        <w:rPr>
          <w:sz w:val="24"/>
          <w:szCs w:val="24"/>
        </w:rPr>
        <w:t>1.1.4 “监理人”是指合同协议书中指明，具备相应资质的，提供监理与相关服务的当事人，及其合法的继承人。</w:t>
      </w:r>
    </w:p>
    <w:p w14:paraId="77E0E967">
      <w:pPr>
        <w:adjustRightInd w:val="0"/>
        <w:snapToGrid w:val="0"/>
        <w:spacing w:line="360" w:lineRule="auto"/>
        <w:ind w:firstLine="480" w:firstLineChars="200"/>
        <w:rPr>
          <w:sz w:val="24"/>
          <w:szCs w:val="24"/>
        </w:rPr>
      </w:pPr>
      <w:r>
        <w:rPr>
          <w:sz w:val="24"/>
          <w:szCs w:val="24"/>
        </w:rPr>
        <w:t>1.1.5 “承包人”是指在工程范围内与委托人签订施工合同的当事人，及其合法的继承人。当相关服务包括勘察、设计等相关服务时，承包人包括与委托人签订勘察、设计等有关合同的当事人及其合法的继承人。</w:t>
      </w:r>
    </w:p>
    <w:p w14:paraId="50E5E6E0">
      <w:pPr>
        <w:adjustRightInd w:val="0"/>
        <w:snapToGrid w:val="0"/>
        <w:spacing w:line="360" w:lineRule="auto"/>
        <w:ind w:firstLine="480" w:firstLineChars="200"/>
        <w:rPr>
          <w:sz w:val="24"/>
          <w:szCs w:val="24"/>
        </w:rPr>
      </w:pPr>
      <w:r>
        <w:rPr>
          <w:sz w:val="24"/>
          <w:szCs w:val="24"/>
        </w:rPr>
        <w:t>1.1.6 “监理”是指监理人根据法律法规、工程建设标准、勘察设计文件及合同，在施工阶段对建设工程质量、进度、造价进行控制，对合同、信息进行管理，对工程建设相关方的关系进行协调，并履行建设工程安全生产管理法定及合同约定职责的服务活动。</w:t>
      </w:r>
    </w:p>
    <w:p w14:paraId="2DD204F0">
      <w:pPr>
        <w:adjustRightInd w:val="0"/>
        <w:snapToGrid w:val="0"/>
        <w:spacing w:line="360" w:lineRule="auto"/>
        <w:ind w:firstLine="480" w:firstLineChars="200"/>
        <w:rPr>
          <w:sz w:val="24"/>
          <w:szCs w:val="24"/>
        </w:rPr>
      </w:pPr>
      <w:r>
        <w:rPr>
          <w:sz w:val="24"/>
          <w:szCs w:val="24"/>
        </w:rPr>
        <w:t>1.1.7 “相关服务”是指监理人按照合同约定提供的施工阶段监理以外的其他服务，包括保修期提供的服务等。</w:t>
      </w:r>
    </w:p>
    <w:p w14:paraId="37DF6C7C">
      <w:pPr>
        <w:adjustRightInd w:val="0"/>
        <w:snapToGrid w:val="0"/>
        <w:spacing w:line="360" w:lineRule="auto"/>
        <w:ind w:firstLine="480" w:firstLineChars="200"/>
        <w:rPr>
          <w:sz w:val="24"/>
          <w:szCs w:val="24"/>
        </w:rPr>
      </w:pPr>
      <w:r>
        <w:rPr>
          <w:sz w:val="24"/>
          <w:szCs w:val="24"/>
        </w:rPr>
        <w:t>1.1.8 “正常工作”是指合同订立时约定的监理人在监理与相关服务期限和范围内的工作。</w:t>
      </w:r>
    </w:p>
    <w:p w14:paraId="5E67E8B8">
      <w:pPr>
        <w:adjustRightInd w:val="0"/>
        <w:snapToGrid w:val="0"/>
        <w:spacing w:line="360" w:lineRule="auto"/>
        <w:ind w:firstLine="480" w:firstLineChars="200"/>
        <w:rPr>
          <w:sz w:val="24"/>
          <w:szCs w:val="24"/>
        </w:rPr>
      </w:pPr>
      <w:r>
        <w:rPr>
          <w:sz w:val="24"/>
          <w:szCs w:val="24"/>
        </w:rPr>
        <w:t>1.1.9 “附加工作”是指合同约定正常工作以外的监理人工作。</w:t>
      </w:r>
    </w:p>
    <w:p w14:paraId="0D46E422">
      <w:pPr>
        <w:adjustRightInd w:val="0"/>
        <w:snapToGrid w:val="0"/>
        <w:spacing w:line="360" w:lineRule="auto"/>
        <w:ind w:firstLine="480" w:firstLineChars="200"/>
        <w:rPr>
          <w:sz w:val="24"/>
          <w:szCs w:val="24"/>
        </w:rPr>
      </w:pPr>
      <w:r>
        <w:rPr>
          <w:sz w:val="24"/>
          <w:szCs w:val="24"/>
        </w:rPr>
        <w:t>1.1.10 “项目监理与相关服务机构”是指监理人派驻本工程负责履行合同的组织机构。</w:t>
      </w:r>
    </w:p>
    <w:p w14:paraId="2201ADE1">
      <w:pPr>
        <w:adjustRightInd w:val="0"/>
        <w:snapToGrid w:val="0"/>
        <w:spacing w:line="360" w:lineRule="auto"/>
        <w:ind w:firstLine="480" w:firstLineChars="200"/>
        <w:rPr>
          <w:sz w:val="24"/>
          <w:szCs w:val="24"/>
        </w:rPr>
      </w:pPr>
      <w:r>
        <w:rPr>
          <w:sz w:val="24"/>
          <w:szCs w:val="24"/>
        </w:rPr>
        <w:t>1.1.11 “总监理工程师”是指由监理人的法定代表人书面授权，全面负责履行合同、主持项目监理与相关服务机构工作的注册监理工程师。</w:t>
      </w:r>
    </w:p>
    <w:p w14:paraId="1D0AB510">
      <w:pPr>
        <w:adjustRightInd w:val="0"/>
        <w:snapToGrid w:val="0"/>
        <w:spacing w:line="360" w:lineRule="auto"/>
        <w:ind w:firstLine="480" w:firstLineChars="200"/>
        <w:rPr>
          <w:sz w:val="24"/>
          <w:szCs w:val="24"/>
        </w:rPr>
      </w:pPr>
      <w:r>
        <w:rPr>
          <w:sz w:val="24"/>
          <w:szCs w:val="24"/>
        </w:rPr>
        <w:t>1.1.12 “委托人代表” 是指由委托人任命的，在委托授权范围内代表委托人行使合同约定的权利并履行约定义务的委托代理人。</w:t>
      </w:r>
    </w:p>
    <w:p w14:paraId="4F2515A2">
      <w:pPr>
        <w:adjustRightInd w:val="0"/>
        <w:snapToGrid w:val="0"/>
        <w:spacing w:line="360" w:lineRule="auto"/>
        <w:ind w:firstLine="475" w:firstLineChars="198"/>
        <w:rPr>
          <w:sz w:val="24"/>
          <w:szCs w:val="24"/>
        </w:rPr>
      </w:pPr>
      <w:r>
        <w:rPr>
          <w:sz w:val="24"/>
          <w:szCs w:val="24"/>
        </w:rPr>
        <w:t>1.1.13 “酬金”是指监理人履行合同义务，委托人按照合同约定给付监理人的金额。</w:t>
      </w:r>
    </w:p>
    <w:p w14:paraId="6C542716">
      <w:pPr>
        <w:adjustRightInd w:val="0"/>
        <w:snapToGrid w:val="0"/>
        <w:spacing w:line="360" w:lineRule="auto"/>
        <w:ind w:firstLine="480" w:firstLineChars="200"/>
        <w:rPr>
          <w:sz w:val="24"/>
          <w:szCs w:val="24"/>
        </w:rPr>
      </w:pPr>
      <w:r>
        <w:rPr>
          <w:sz w:val="24"/>
          <w:szCs w:val="24"/>
        </w:rPr>
        <w:t>1.1.14 “正常工作酬金”是指监理人完成正常工作，委托人应当给付监理人并在合同协议书中载明的签约酬金额。</w:t>
      </w:r>
    </w:p>
    <w:p w14:paraId="299ADE53">
      <w:pPr>
        <w:adjustRightInd w:val="0"/>
        <w:snapToGrid w:val="0"/>
        <w:spacing w:line="360" w:lineRule="auto"/>
        <w:ind w:firstLine="480" w:firstLineChars="200"/>
        <w:rPr>
          <w:sz w:val="24"/>
          <w:szCs w:val="24"/>
        </w:rPr>
      </w:pPr>
      <w:r>
        <w:rPr>
          <w:sz w:val="24"/>
          <w:szCs w:val="24"/>
        </w:rPr>
        <w:t>1.1.15 “附加工作酬金”是指监理人完成附加工作，委托人应当给付监理人的金额。</w:t>
      </w:r>
    </w:p>
    <w:p w14:paraId="16E8931C">
      <w:pPr>
        <w:adjustRightInd w:val="0"/>
        <w:snapToGrid w:val="0"/>
        <w:spacing w:line="360" w:lineRule="auto"/>
        <w:ind w:firstLine="475" w:firstLineChars="198"/>
        <w:rPr>
          <w:sz w:val="24"/>
          <w:szCs w:val="24"/>
        </w:rPr>
      </w:pPr>
      <w:r>
        <w:rPr>
          <w:sz w:val="24"/>
          <w:szCs w:val="24"/>
        </w:rPr>
        <w:t>1.1.16 “补偿费用”是指委托人不提供或部分提供相应的人员、</w:t>
      </w:r>
      <w:r>
        <w:rPr>
          <w:bCs/>
          <w:sz w:val="24"/>
          <w:szCs w:val="24"/>
        </w:rPr>
        <w:t>房屋、资料</w:t>
      </w:r>
      <w:r>
        <w:rPr>
          <w:sz w:val="24"/>
          <w:szCs w:val="24"/>
        </w:rPr>
        <w:t>、设备、设施时应当补偿的费用。</w:t>
      </w:r>
    </w:p>
    <w:p w14:paraId="05C84A6C">
      <w:pPr>
        <w:adjustRightInd w:val="0"/>
        <w:snapToGrid w:val="0"/>
        <w:spacing w:line="360" w:lineRule="auto"/>
        <w:ind w:firstLine="480" w:firstLineChars="200"/>
        <w:rPr>
          <w:sz w:val="24"/>
          <w:szCs w:val="24"/>
        </w:rPr>
      </w:pPr>
      <w:r>
        <w:rPr>
          <w:sz w:val="24"/>
          <w:szCs w:val="24"/>
        </w:rPr>
        <w:t>1.1.17 “一方”是指委托人或监理人；“双方”是指委托人和监理人；“第三方”是指除委托人和监理人以外的有关方。</w:t>
      </w:r>
    </w:p>
    <w:p w14:paraId="1A8FBDB9">
      <w:pPr>
        <w:adjustRightInd w:val="0"/>
        <w:snapToGrid w:val="0"/>
        <w:spacing w:line="360" w:lineRule="auto"/>
        <w:ind w:firstLine="480" w:firstLineChars="200"/>
        <w:rPr>
          <w:sz w:val="24"/>
          <w:szCs w:val="24"/>
        </w:rPr>
      </w:pPr>
      <w:r>
        <w:rPr>
          <w:sz w:val="24"/>
          <w:szCs w:val="24"/>
        </w:rPr>
        <w:t>1.1.18 “书面形式”是指信件和数据电文（包括电报、电传、传真、电子数据交换和电子邮件）等可以有形地表现所载内容的形式。</w:t>
      </w:r>
    </w:p>
    <w:p w14:paraId="3AE82EFB">
      <w:pPr>
        <w:adjustRightInd w:val="0"/>
        <w:snapToGrid w:val="0"/>
        <w:spacing w:line="360" w:lineRule="auto"/>
        <w:ind w:firstLine="480" w:firstLineChars="200"/>
        <w:rPr>
          <w:sz w:val="24"/>
          <w:szCs w:val="24"/>
        </w:rPr>
      </w:pPr>
      <w:r>
        <w:rPr>
          <w:sz w:val="24"/>
          <w:szCs w:val="24"/>
        </w:rPr>
        <w:t>1.1.19 “监理与相关服务期限”是指合同协议书中约定的监理人提供监理与相关服务的期限。</w:t>
      </w:r>
    </w:p>
    <w:p w14:paraId="1BAB74AA">
      <w:pPr>
        <w:adjustRightInd w:val="0"/>
        <w:snapToGrid w:val="0"/>
        <w:spacing w:line="360" w:lineRule="auto"/>
        <w:ind w:firstLine="480" w:firstLineChars="200"/>
        <w:rPr>
          <w:sz w:val="24"/>
          <w:szCs w:val="24"/>
        </w:rPr>
      </w:pPr>
      <w:r>
        <w:rPr>
          <w:sz w:val="24"/>
          <w:szCs w:val="24"/>
        </w:rPr>
        <w:t>1.1.20 “天”是指第一天零时至第二天零时的时间。</w:t>
      </w:r>
    </w:p>
    <w:p w14:paraId="1C527D0B">
      <w:pPr>
        <w:adjustRightInd w:val="0"/>
        <w:snapToGrid w:val="0"/>
        <w:spacing w:line="360" w:lineRule="auto"/>
        <w:ind w:firstLine="480" w:firstLineChars="200"/>
        <w:rPr>
          <w:sz w:val="24"/>
          <w:szCs w:val="24"/>
        </w:rPr>
      </w:pPr>
      <w:r>
        <w:rPr>
          <w:sz w:val="24"/>
          <w:szCs w:val="24"/>
        </w:rPr>
        <w:t>1.1.21 “不可抗力”是指委托人和监理人在订立本合同时不可预见，在工程施工过程中不可避免发生并不能克服的自然灾害和社会性突发事件，如地震、海啸、瘟疫、水灾、骚乱、暴动、战争和专用条款约定的其他情形。</w:t>
      </w:r>
    </w:p>
    <w:p w14:paraId="16888A29">
      <w:pPr>
        <w:pStyle w:val="4"/>
        <w:spacing w:before="120" w:after="120" w:line="360" w:lineRule="auto"/>
        <w:ind w:left="420" w:leftChars="200" w:firstLine="118"/>
        <w:rPr>
          <w:rFonts w:ascii="Times New Roman" w:hAnsi="Times New Roman" w:eastAsia="宋体"/>
          <w:b/>
          <w:sz w:val="24"/>
          <w:szCs w:val="24"/>
          <w:u w:val="none"/>
          <w:lang w:eastAsia="zh-CN"/>
        </w:rPr>
      </w:pPr>
      <w:bookmarkStart w:id="814" w:name="_Toc470187195"/>
      <w:bookmarkStart w:id="815" w:name="_Toc433185131"/>
      <w:bookmarkStart w:id="816" w:name="_Toc371398290"/>
      <w:bookmarkStart w:id="817" w:name="_Toc471218908"/>
      <w:r>
        <w:rPr>
          <w:rFonts w:ascii="Times New Roman" w:hAnsi="Times New Roman" w:eastAsia="宋体"/>
          <w:b/>
          <w:sz w:val="24"/>
          <w:szCs w:val="24"/>
          <w:u w:val="none"/>
        </w:rPr>
        <w:t>1.2 解释</w:t>
      </w:r>
      <w:bookmarkEnd w:id="814"/>
      <w:bookmarkEnd w:id="815"/>
      <w:bookmarkEnd w:id="816"/>
      <w:bookmarkEnd w:id="817"/>
    </w:p>
    <w:p w14:paraId="1A23C7EF">
      <w:pPr>
        <w:adjustRightInd w:val="0"/>
        <w:snapToGrid w:val="0"/>
        <w:spacing w:line="360" w:lineRule="auto"/>
        <w:ind w:firstLine="480" w:firstLineChars="200"/>
        <w:rPr>
          <w:sz w:val="24"/>
          <w:szCs w:val="24"/>
        </w:rPr>
      </w:pPr>
      <w:r>
        <w:rPr>
          <w:sz w:val="24"/>
          <w:szCs w:val="24"/>
        </w:rPr>
        <w:t>合同使用中文书写、解释和说明。如合同专用条款约定使用两种及以上语言文字时，应当以中文为准。</w:t>
      </w:r>
    </w:p>
    <w:p w14:paraId="50912008">
      <w:pPr>
        <w:pStyle w:val="4"/>
        <w:spacing w:before="120" w:after="120" w:line="360" w:lineRule="auto"/>
        <w:ind w:left="420" w:leftChars="200" w:firstLine="118"/>
        <w:rPr>
          <w:rFonts w:ascii="Times New Roman" w:hAnsi="Times New Roman" w:eastAsia="宋体"/>
          <w:b/>
          <w:sz w:val="24"/>
          <w:szCs w:val="24"/>
        </w:rPr>
      </w:pPr>
      <w:bookmarkStart w:id="818" w:name="_Toc433185132"/>
      <w:bookmarkStart w:id="819" w:name="_Toc470187196"/>
      <w:bookmarkStart w:id="820" w:name="_Toc371398291"/>
      <w:bookmarkStart w:id="821" w:name="_Toc471218909"/>
      <w:r>
        <w:rPr>
          <w:rFonts w:ascii="Times New Roman" w:hAnsi="Times New Roman" w:eastAsia="宋体"/>
          <w:b/>
          <w:sz w:val="24"/>
          <w:szCs w:val="24"/>
        </w:rPr>
        <w:t>1.3 合同文件组成与解释顺序</w:t>
      </w:r>
      <w:bookmarkEnd w:id="818"/>
      <w:bookmarkEnd w:id="819"/>
      <w:bookmarkEnd w:id="820"/>
      <w:bookmarkEnd w:id="821"/>
    </w:p>
    <w:p w14:paraId="4A2C30BE">
      <w:pPr>
        <w:tabs>
          <w:tab w:val="left" w:pos="6140"/>
        </w:tabs>
        <w:adjustRightInd w:val="0"/>
        <w:snapToGrid w:val="0"/>
        <w:spacing w:line="360" w:lineRule="auto"/>
        <w:ind w:firstLine="480" w:firstLineChars="200"/>
        <w:rPr>
          <w:sz w:val="24"/>
          <w:szCs w:val="24"/>
        </w:rPr>
      </w:pPr>
      <w:r>
        <w:rPr>
          <w:sz w:val="24"/>
          <w:szCs w:val="24"/>
        </w:rPr>
        <w:t>组成合同的下列文件彼此应当相互解释、互为说明。除合同专用条款另有约定外，合同文件的解释顺序如下：</w:t>
      </w:r>
    </w:p>
    <w:p w14:paraId="644E9076">
      <w:pPr>
        <w:adjustRightInd w:val="0"/>
        <w:snapToGrid w:val="0"/>
        <w:spacing w:line="360" w:lineRule="auto"/>
        <w:ind w:firstLine="540" w:firstLineChars="225"/>
        <w:rPr>
          <w:sz w:val="24"/>
          <w:szCs w:val="24"/>
        </w:rPr>
      </w:pPr>
      <w:r>
        <w:rPr>
          <w:sz w:val="24"/>
          <w:szCs w:val="24"/>
        </w:rPr>
        <w:t>（1）合同协议书；</w:t>
      </w:r>
    </w:p>
    <w:p w14:paraId="37BA29B4">
      <w:pPr>
        <w:adjustRightInd w:val="0"/>
        <w:snapToGrid w:val="0"/>
        <w:spacing w:line="360" w:lineRule="auto"/>
        <w:ind w:firstLine="540" w:firstLineChars="225"/>
        <w:rPr>
          <w:sz w:val="24"/>
          <w:szCs w:val="24"/>
        </w:rPr>
      </w:pPr>
      <w:r>
        <w:rPr>
          <w:sz w:val="24"/>
          <w:szCs w:val="24"/>
        </w:rPr>
        <w:t>（2）中标通知书（适用于招标工程）或委托书（适用于非招标工程）；</w:t>
      </w:r>
    </w:p>
    <w:p w14:paraId="74815CAB">
      <w:pPr>
        <w:adjustRightInd w:val="0"/>
        <w:snapToGrid w:val="0"/>
        <w:spacing w:line="360" w:lineRule="auto"/>
        <w:ind w:firstLine="540" w:firstLineChars="225"/>
        <w:rPr>
          <w:sz w:val="24"/>
          <w:szCs w:val="24"/>
        </w:rPr>
      </w:pPr>
      <w:r>
        <w:rPr>
          <w:sz w:val="24"/>
          <w:szCs w:val="24"/>
        </w:rPr>
        <w:t>（3）投标函及投标函附录；</w:t>
      </w:r>
    </w:p>
    <w:p w14:paraId="2B14BF3D">
      <w:pPr>
        <w:adjustRightInd w:val="0"/>
        <w:snapToGrid w:val="0"/>
        <w:spacing w:line="360" w:lineRule="auto"/>
        <w:ind w:firstLine="540" w:firstLineChars="225"/>
        <w:rPr>
          <w:sz w:val="24"/>
          <w:szCs w:val="24"/>
        </w:rPr>
      </w:pPr>
      <w:r>
        <w:rPr>
          <w:sz w:val="24"/>
          <w:szCs w:val="24"/>
        </w:rPr>
        <w:t>（4）投标文件中的拟投入监理与相关服务人员、设备计划、监理大纲及相关服务方案（适用于招标工程）或监理与相关服务建议书（适用于非招标工程）；</w:t>
      </w:r>
    </w:p>
    <w:p w14:paraId="07FE7A04">
      <w:pPr>
        <w:adjustRightInd w:val="0"/>
        <w:snapToGrid w:val="0"/>
        <w:spacing w:line="360" w:lineRule="auto"/>
        <w:ind w:firstLine="540" w:firstLineChars="225"/>
        <w:rPr>
          <w:sz w:val="24"/>
          <w:szCs w:val="24"/>
        </w:rPr>
      </w:pPr>
      <w:r>
        <w:rPr>
          <w:sz w:val="24"/>
          <w:szCs w:val="24"/>
        </w:rPr>
        <w:t>（5）合同专用条款；</w:t>
      </w:r>
    </w:p>
    <w:p w14:paraId="4D0D2472">
      <w:pPr>
        <w:adjustRightInd w:val="0"/>
        <w:snapToGrid w:val="0"/>
        <w:spacing w:line="360" w:lineRule="auto"/>
        <w:ind w:firstLine="540" w:firstLineChars="225"/>
        <w:rPr>
          <w:sz w:val="24"/>
          <w:szCs w:val="24"/>
        </w:rPr>
      </w:pPr>
      <w:r>
        <w:rPr>
          <w:sz w:val="24"/>
          <w:szCs w:val="24"/>
        </w:rPr>
        <w:t>（6）合同通用条款；</w:t>
      </w:r>
    </w:p>
    <w:p w14:paraId="455B08EA">
      <w:pPr>
        <w:adjustRightInd w:val="0"/>
        <w:snapToGrid w:val="0"/>
        <w:spacing w:line="360" w:lineRule="auto"/>
        <w:ind w:firstLine="540" w:firstLineChars="225"/>
        <w:rPr>
          <w:sz w:val="24"/>
          <w:szCs w:val="24"/>
        </w:rPr>
      </w:pPr>
      <w:r>
        <w:rPr>
          <w:sz w:val="24"/>
          <w:szCs w:val="24"/>
        </w:rPr>
        <w:t>（7）本工程适用的监理与相关服务有关的规范、规程，及其他合同文件。</w:t>
      </w:r>
    </w:p>
    <w:p w14:paraId="07904E58">
      <w:pPr>
        <w:spacing w:line="360" w:lineRule="auto"/>
        <w:ind w:firstLine="480" w:firstLineChars="200"/>
        <w:rPr>
          <w:sz w:val="24"/>
          <w:szCs w:val="24"/>
        </w:rPr>
      </w:pPr>
      <w:r>
        <w:rPr>
          <w:sz w:val="24"/>
          <w:szCs w:val="24"/>
        </w:rPr>
        <w:t>双方签订的补充协议与其他文件发生矛盾或歧义时，属于同一类内容的文件，以最新签署的为准，但招标工程的补充协议不得背离合同的实质性内容。</w:t>
      </w:r>
    </w:p>
    <w:p w14:paraId="6B8676C0">
      <w:pPr>
        <w:pStyle w:val="4"/>
        <w:spacing w:before="120" w:after="120" w:line="360" w:lineRule="auto"/>
        <w:ind w:left="420" w:leftChars="200" w:firstLine="118"/>
        <w:rPr>
          <w:rFonts w:ascii="Times New Roman" w:hAnsi="Times New Roman" w:eastAsia="宋体"/>
          <w:b/>
          <w:sz w:val="24"/>
          <w:szCs w:val="24"/>
        </w:rPr>
      </w:pPr>
      <w:bookmarkStart w:id="822" w:name="_Toc371398292"/>
      <w:bookmarkStart w:id="823" w:name="_Toc433185133"/>
      <w:bookmarkStart w:id="824" w:name="_Toc470187197"/>
      <w:bookmarkStart w:id="825" w:name="_Toc471218910"/>
      <w:r>
        <w:rPr>
          <w:rFonts w:ascii="Times New Roman" w:hAnsi="Times New Roman" w:eastAsia="宋体"/>
          <w:b/>
          <w:sz w:val="24"/>
          <w:szCs w:val="24"/>
        </w:rPr>
        <w:t>1.4 通知</w:t>
      </w:r>
      <w:bookmarkEnd w:id="822"/>
      <w:bookmarkEnd w:id="823"/>
      <w:bookmarkEnd w:id="824"/>
      <w:bookmarkEnd w:id="825"/>
    </w:p>
    <w:p w14:paraId="06C7DD21">
      <w:pPr>
        <w:snapToGrid w:val="0"/>
        <w:spacing w:line="360" w:lineRule="auto"/>
        <w:ind w:firstLine="480" w:firstLineChars="200"/>
        <w:rPr>
          <w:bCs/>
          <w:sz w:val="24"/>
          <w:szCs w:val="24"/>
        </w:rPr>
      </w:pPr>
      <w:r>
        <w:rPr>
          <w:sz w:val="24"/>
          <w:szCs w:val="24"/>
        </w:rPr>
        <w:t>与合同有关的通知均应当采用书面形式，并在送达对方时生效，收件人应当签收或回复。</w:t>
      </w:r>
    </w:p>
    <w:p w14:paraId="074C0046">
      <w:pPr>
        <w:pStyle w:val="4"/>
        <w:spacing w:before="120" w:after="120" w:line="360" w:lineRule="auto"/>
        <w:ind w:left="420" w:leftChars="200" w:firstLine="118"/>
        <w:rPr>
          <w:rFonts w:ascii="Times New Roman" w:hAnsi="Times New Roman" w:eastAsia="宋体"/>
          <w:b/>
          <w:sz w:val="24"/>
          <w:szCs w:val="24"/>
        </w:rPr>
      </w:pPr>
      <w:bookmarkStart w:id="826" w:name="_Toc470187198"/>
      <w:bookmarkStart w:id="827" w:name="_Toc433185134"/>
      <w:bookmarkStart w:id="828" w:name="_Toc471218911"/>
      <w:bookmarkStart w:id="829" w:name="_Toc371398293"/>
      <w:r>
        <w:rPr>
          <w:rFonts w:ascii="Times New Roman" w:hAnsi="Times New Roman" w:eastAsia="宋体"/>
          <w:b/>
          <w:sz w:val="24"/>
          <w:szCs w:val="24"/>
        </w:rPr>
        <w:t>1.5 保密</w:t>
      </w:r>
      <w:bookmarkEnd w:id="826"/>
      <w:bookmarkEnd w:id="827"/>
      <w:bookmarkEnd w:id="828"/>
      <w:bookmarkEnd w:id="829"/>
    </w:p>
    <w:p w14:paraId="2472C139">
      <w:pPr>
        <w:snapToGrid w:val="0"/>
        <w:spacing w:line="360" w:lineRule="auto"/>
        <w:ind w:firstLine="480" w:firstLineChars="200"/>
        <w:rPr>
          <w:bCs/>
          <w:sz w:val="24"/>
          <w:szCs w:val="24"/>
        </w:rPr>
      </w:pPr>
      <w:r>
        <w:rPr>
          <w:sz w:val="24"/>
          <w:szCs w:val="24"/>
        </w:rPr>
        <w:t>双方不得泄露对方申明的保密资料，亦不得泄露与实施工程有关的第三方所提供的保密资料，保密事项及保密期限在合同专用条款中约定。</w:t>
      </w:r>
    </w:p>
    <w:p w14:paraId="3FE46722">
      <w:pPr>
        <w:pStyle w:val="4"/>
        <w:spacing w:before="120" w:after="120" w:line="360" w:lineRule="auto"/>
        <w:ind w:left="420" w:leftChars="200" w:firstLine="118"/>
        <w:rPr>
          <w:rFonts w:ascii="Times New Roman" w:hAnsi="Times New Roman" w:eastAsia="宋体"/>
          <w:b/>
          <w:sz w:val="24"/>
          <w:szCs w:val="24"/>
        </w:rPr>
      </w:pPr>
      <w:bookmarkStart w:id="830" w:name="_Toc470187199"/>
      <w:bookmarkStart w:id="831" w:name="_Toc433185135"/>
      <w:bookmarkStart w:id="832" w:name="_Toc471218912"/>
      <w:bookmarkStart w:id="833" w:name="_Toc371398294"/>
      <w:r>
        <w:rPr>
          <w:rFonts w:ascii="Times New Roman" w:hAnsi="Times New Roman" w:eastAsia="宋体"/>
          <w:b/>
          <w:sz w:val="24"/>
          <w:szCs w:val="24"/>
        </w:rPr>
        <w:t>1.6 著作权</w:t>
      </w:r>
      <w:bookmarkEnd w:id="830"/>
      <w:bookmarkEnd w:id="831"/>
      <w:bookmarkEnd w:id="832"/>
      <w:bookmarkEnd w:id="833"/>
    </w:p>
    <w:p w14:paraId="6B0F7C4A">
      <w:pPr>
        <w:adjustRightInd w:val="0"/>
        <w:snapToGrid w:val="0"/>
        <w:spacing w:line="360" w:lineRule="auto"/>
        <w:ind w:firstLine="480" w:firstLineChars="200"/>
        <w:rPr>
          <w:sz w:val="24"/>
          <w:szCs w:val="24"/>
        </w:rPr>
      </w:pPr>
      <w:r>
        <w:rPr>
          <w:sz w:val="24"/>
          <w:szCs w:val="24"/>
        </w:rPr>
        <w:t>监理人对其编制的文件拥有著作权。</w:t>
      </w:r>
    </w:p>
    <w:p w14:paraId="5F787BF7">
      <w:pPr>
        <w:snapToGrid w:val="0"/>
        <w:spacing w:line="360" w:lineRule="auto"/>
        <w:ind w:firstLine="480" w:firstLineChars="200"/>
        <w:rPr>
          <w:bCs/>
          <w:sz w:val="24"/>
          <w:szCs w:val="24"/>
        </w:rPr>
      </w:pPr>
      <w:r>
        <w:rPr>
          <w:sz w:val="24"/>
          <w:szCs w:val="24"/>
        </w:rPr>
        <w:t>监理人可单独或与他人联合出版有关监理与相关服务的资料。除合同专用条款另有约定外，如果监理人在合同履行期间及合同终止后两年内出版涉及本工程的有关监理与相关服务的资料，应当征得委托人的同意。</w:t>
      </w:r>
    </w:p>
    <w:p w14:paraId="07ED4D6A">
      <w:pPr>
        <w:autoSpaceDE w:val="0"/>
        <w:autoSpaceDN w:val="0"/>
        <w:adjustRightInd w:val="0"/>
        <w:spacing w:before="156" w:beforeLines="50" w:line="360" w:lineRule="auto"/>
        <w:outlineLvl w:val="0"/>
        <w:rPr>
          <w:b/>
          <w:sz w:val="24"/>
          <w:szCs w:val="24"/>
        </w:rPr>
      </w:pPr>
      <w:bookmarkStart w:id="834" w:name="_Toc470187200"/>
      <w:bookmarkStart w:id="835" w:name="_Toc371398295"/>
      <w:bookmarkStart w:id="836" w:name="_Toc471218913"/>
      <w:r>
        <w:rPr>
          <w:b/>
          <w:sz w:val="24"/>
          <w:szCs w:val="24"/>
        </w:rPr>
        <w:t>2. 监理人的义务</w:t>
      </w:r>
      <w:bookmarkEnd w:id="834"/>
      <w:bookmarkEnd w:id="835"/>
      <w:bookmarkEnd w:id="836"/>
    </w:p>
    <w:p w14:paraId="1F13076D">
      <w:pPr>
        <w:pStyle w:val="4"/>
        <w:spacing w:before="120" w:after="120" w:line="360" w:lineRule="auto"/>
        <w:ind w:left="420" w:leftChars="200" w:firstLine="118"/>
        <w:rPr>
          <w:rFonts w:ascii="Times New Roman" w:hAnsi="Times New Roman" w:eastAsia="宋体"/>
          <w:b/>
          <w:sz w:val="24"/>
          <w:szCs w:val="24"/>
        </w:rPr>
      </w:pPr>
      <w:bookmarkStart w:id="837" w:name="_Toc470187201"/>
      <w:bookmarkStart w:id="838" w:name="_Toc371398296"/>
      <w:bookmarkStart w:id="839" w:name="_Toc433185137"/>
      <w:bookmarkStart w:id="840" w:name="_Toc471218914"/>
      <w:r>
        <w:rPr>
          <w:rFonts w:ascii="Times New Roman" w:hAnsi="Times New Roman" w:eastAsia="宋体"/>
          <w:b/>
          <w:sz w:val="24"/>
          <w:szCs w:val="24"/>
        </w:rPr>
        <w:t>2.1 监理与相关服务的工程范围和服务内容</w:t>
      </w:r>
      <w:bookmarkEnd w:id="837"/>
      <w:bookmarkEnd w:id="838"/>
      <w:bookmarkEnd w:id="839"/>
      <w:bookmarkEnd w:id="840"/>
    </w:p>
    <w:p w14:paraId="35C21055">
      <w:pPr>
        <w:adjustRightInd w:val="0"/>
        <w:snapToGrid w:val="0"/>
        <w:spacing w:line="360" w:lineRule="auto"/>
        <w:ind w:firstLine="480" w:firstLineChars="200"/>
        <w:rPr>
          <w:sz w:val="24"/>
          <w:szCs w:val="24"/>
        </w:rPr>
      </w:pPr>
      <w:r>
        <w:rPr>
          <w:sz w:val="24"/>
          <w:szCs w:val="24"/>
        </w:rPr>
        <w:t>2.1.1 监理与相关服务的工程范围在合同专用条款中约定。</w:t>
      </w:r>
    </w:p>
    <w:p w14:paraId="719DD671">
      <w:pPr>
        <w:snapToGrid w:val="0"/>
        <w:spacing w:line="360" w:lineRule="auto"/>
        <w:ind w:firstLine="480" w:firstLineChars="200"/>
        <w:rPr>
          <w:sz w:val="24"/>
          <w:szCs w:val="24"/>
        </w:rPr>
      </w:pPr>
      <w:r>
        <w:rPr>
          <w:sz w:val="24"/>
          <w:szCs w:val="24"/>
        </w:rPr>
        <w:t>2.1.2 除合同专用条款另有约定外，监理内容指监理人根据法律法规、工程建设标准、勘察设计文件及合同，在施工阶段对建设工程质量、进度、造价进行控制，对合同、信息进行管理，对工程建设相关方的关系进行协调，并履行法定及合同约定的建设工程安全生产管理职责。</w:t>
      </w:r>
    </w:p>
    <w:p w14:paraId="3F09ED66">
      <w:pPr>
        <w:spacing w:line="360" w:lineRule="auto"/>
        <w:ind w:firstLine="420" w:firstLineChars="175"/>
        <w:rPr>
          <w:sz w:val="24"/>
          <w:szCs w:val="24"/>
        </w:rPr>
      </w:pPr>
      <w:r>
        <w:rPr>
          <w:sz w:val="24"/>
          <w:szCs w:val="24"/>
        </w:rPr>
        <w:t>2.1.3除合同专用条款另有约定外，委托人委托的下列内容，应当作为监理相关服务内容：</w:t>
      </w:r>
    </w:p>
    <w:p w14:paraId="082E3FE8">
      <w:pPr>
        <w:spacing w:line="360" w:lineRule="auto"/>
        <w:ind w:firstLine="420" w:firstLineChars="175"/>
        <w:rPr>
          <w:sz w:val="24"/>
          <w:szCs w:val="24"/>
        </w:rPr>
      </w:pPr>
      <w:r>
        <w:rPr>
          <w:sz w:val="24"/>
          <w:szCs w:val="24"/>
        </w:rPr>
        <w:t>2.1.3.1保修期内定期回访，调查和确认缺陷原因及责任，检查缺陷修复质量；</w:t>
      </w:r>
    </w:p>
    <w:p w14:paraId="30A73F0F">
      <w:pPr>
        <w:spacing w:line="360" w:lineRule="auto"/>
        <w:ind w:firstLine="420" w:firstLineChars="175"/>
        <w:rPr>
          <w:sz w:val="24"/>
          <w:szCs w:val="24"/>
        </w:rPr>
      </w:pPr>
      <w:r>
        <w:rPr>
          <w:sz w:val="24"/>
          <w:szCs w:val="24"/>
        </w:rPr>
        <w:t>2.1.3.2委托人要求监理人外出考察；</w:t>
      </w:r>
    </w:p>
    <w:p w14:paraId="53BF4719">
      <w:pPr>
        <w:spacing w:line="360" w:lineRule="auto"/>
        <w:ind w:firstLine="420" w:firstLineChars="175"/>
        <w:rPr>
          <w:sz w:val="24"/>
          <w:szCs w:val="24"/>
        </w:rPr>
      </w:pPr>
      <w:r>
        <w:rPr>
          <w:sz w:val="24"/>
          <w:szCs w:val="24"/>
        </w:rPr>
        <w:t>2.1.3.3委托人要求监理人进行的材料和设备检测；</w:t>
      </w:r>
    </w:p>
    <w:p w14:paraId="536C6F79">
      <w:pPr>
        <w:spacing w:line="360" w:lineRule="auto"/>
        <w:ind w:firstLine="420" w:firstLineChars="175"/>
        <w:rPr>
          <w:sz w:val="24"/>
          <w:szCs w:val="24"/>
        </w:rPr>
      </w:pPr>
      <w:r>
        <w:rPr>
          <w:sz w:val="24"/>
          <w:szCs w:val="24"/>
        </w:rPr>
        <w:t>2.1.3.4委托人要求监理人组织相关咨询论证会以及聘请相关专家；</w:t>
      </w:r>
    </w:p>
    <w:p w14:paraId="55D3EDC4">
      <w:pPr>
        <w:spacing w:line="360" w:lineRule="auto"/>
        <w:ind w:firstLine="420" w:firstLineChars="175"/>
        <w:rPr>
          <w:sz w:val="24"/>
          <w:szCs w:val="24"/>
        </w:rPr>
      </w:pPr>
      <w:r>
        <w:rPr>
          <w:sz w:val="24"/>
          <w:szCs w:val="24"/>
        </w:rPr>
        <w:t>2.1.3.5其他相关服务的内容在合同专用条款中约定。</w:t>
      </w:r>
    </w:p>
    <w:p w14:paraId="643353D0">
      <w:pPr>
        <w:pStyle w:val="4"/>
        <w:spacing w:before="120" w:after="120" w:line="360" w:lineRule="auto"/>
        <w:ind w:left="420" w:leftChars="200" w:firstLine="118"/>
        <w:rPr>
          <w:rFonts w:ascii="Times New Roman" w:hAnsi="Times New Roman" w:eastAsia="宋体"/>
          <w:b/>
          <w:sz w:val="24"/>
          <w:szCs w:val="24"/>
        </w:rPr>
      </w:pPr>
      <w:bookmarkStart w:id="841" w:name="_Toc470187202"/>
      <w:bookmarkStart w:id="842" w:name="_Toc371398297"/>
      <w:bookmarkStart w:id="843" w:name="_Toc433185138"/>
      <w:bookmarkStart w:id="844" w:name="_Toc471218915"/>
      <w:r>
        <w:rPr>
          <w:rFonts w:ascii="Times New Roman" w:hAnsi="Times New Roman" w:eastAsia="宋体"/>
          <w:b/>
          <w:sz w:val="24"/>
          <w:szCs w:val="24"/>
        </w:rPr>
        <w:t>2.2 监理与相关服务依据</w:t>
      </w:r>
      <w:bookmarkEnd w:id="841"/>
      <w:bookmarkEnd w:id="842"/>
      <w:bookmarkEnd w:id="843"/>
      <w:bookmarkEnd w:id="844"/>
    </w:p>
    <w:p w14:paraId="550513C1">
      <w:pPr>
        <w:adjustRightInd w:val="0"/>
        <w:snapToGrid w:val="0"/>
        <w:spacing w:line="360" w:lineRule="auto"/>
        <w:ind w:firstLine="480" w:firstLineChars="200"/>
        <w:rPr>
          <w:sz w:val="24"/>
          <w:szCs w:val="24"/>
        </w:rPr>
      </w:pPr>
      <w:r>
        <w:rPr>
          <w:sz w:val="24"/>
          <w:szCs w:val="24"/>
        </w:rPr>
        <w:t>2.2.1 监理依据包括：</w:t>
      </w:r>
    </w:p>
    <w:p w14:paraId="634D97D5">
      <w:pPr>
        <w:adjustRightInd w:val="0"/>
        <w:snapToGrid w:val="0"/>
        <w:spacing w:line="360" w:lineRule="auto"/>
        <w:ind w:firstLine="480" w:firstLineChars="200"/>
        <w:rPr>
          <w:sz w:val="24"/>
          <w:szCs w:val="24"/>
        </w:rPr>
      </w:pPr>
      <w:r>
        <w:rPr>
          <w:sz w:val="24"/>
          <w:szCs w:val="24"/>
        </w:rPr>
        <w:t>（1）适用的法律、法规及部门规章；</w:t>
      </w:r>
    </w:p>
    <w:p w14:paraId="71D744E6">
      <w:pPr>
        <w:adjustRightInd w:val="0"/>
        <w:snapToGrid w:val="0"/>
        <w:spacing w:line="360" w:lineRule="auto"/>
        <w:ind w:firstLine="480" w:firstLineChars="200"/>
        <w:rPr>
          <w:sz w:val="24"/>
          <w:szCs w:val="24"/>
        </w:rPr>
      </w:pPr>
      <w:r>
        <w:rPr>
          <w:sz w:val="24"/>
          <w:szCs w:val="24"/>
        </w:rPr>
        <w:t>（2）与工程有关的标准；</w:t>
      </w:r>
    </w:p>
    <w:p w14:paraId="00CADFC6">
      <w:pPr>
        <w:adjustRightInd w:val="0"/>
        <w:snapToGrid w:val="0"/>
        <w:spacing w:line="360" w:lineRule="auto"/>
        <w:ind w:firstLine="480" w:firstLineChars="200"/>
        <w:rPr>
          <w:sz w:val="24"/>
          <w:szCs w:val="24"/>
        </w:rPr>
      </w:pPr>
      <w:r>
        <w:rPr>
          <w:sz w:val="24"/>
          <w:szCs w:val="24"/>
        </w:rPr>
        <w:t>（3）工程设计及有关文件；</w:t>
      </w:r>
    </w:p>
    <w:p w14:paraId="2E8159C1">
      <w:pPr>
        <w:adjustRightInd w:val="0"/>
        <w:snapToGrid w:val="0"/>
        <w:spacing w:line="360" w:lineRule="auto"/>
        <w:ind w:firstLine="480" w:firstLineChars="200"/>
        <w:rPr>
          <w:sz w:val="24"/>
          <w:szCs w:val="24"/>
        </w:rPr>
      </w:pPr>
      <w:r>
        <w:rPr>
          <w:sz w:val="24"/>
          <w:szCs w:val="24"/>
        </w:rPr>
        <w:t>（4）合同及委托人与第三方签订的与实施工程有关的其他合同；</w:t>
      </w:r>
    </w:p>
    <w:p w14:paraId="5D6119F9">
      <w:pPr>
        <w:adjustRightInd w:val="0"/>
        <w:snapToGrid w:val="0"/>
        <w:spacing w:line="360" w:lineRule="auto"/>
        <w:ind w:firstLine="480" w:firstLineChars="200"/>
        <w:rPr>
          <w:sz w:val="24"/>
          <w:szCs w:val="24"/>
        </w:rPr>
      </w:pPr>
      <w:r>
        <w:rPr>
          <w:sz w:val="24"/>
          <w:szCs w:val="24"/>
        </w:rPr>
        <w:t>（5）国家及本市监理服务规范、规程。</w:t>
      </w:r>
    </w:p>
    <w:p w14:paraId="38D9CA48">
      <w:pPr>
        <w:adjustRightInd w:val="0"/>
        <w:snapToGrid w:val="0"/>
        <w:spacing w:line="360" w:lineRule="auto"/>
        <w:ind w:firstLine="480" w:firstLineChars="200"/>
        <w:rPr>
          <w:sz w:val="24"/>
          <w:szCs w:val="24"/>
        </w:rPr>
      </w:pPr>
      <w:r>
        <w:rPr>
          <w:sz w:val="24"/>
          <w:szCs w:val="24"/>
        </w:rPr>
        <w:t>双方可根据工程的行业特点，在合同专用条款中补充约定具体监理依据。</w:t>
      </w:r>
    </w:p>
    <w:p w14:paraId="7708DFF4">
      <w:pPr>
        <w:adjustRightInd w:val="0"/>
        <w:snapToGrid w:val="0"/>
        <w:spacing w:line="360" w:lineRule="auto"/>
        <w:ind w:firstLine="480" w:firstLineChars="200"/>
        <w:rPr>
          <w:sz w:val="24"/>
          <w:szCs w:val="24"/>
        </w:rPr>
      </w:pPr>
      <w:r>
        <w:rPr>
          <w:sz w:val="24"/>
          <w:szCs w:val="24"/>
        </w:rPr>
        <w:t>2.2.2 相关服务依据在合同专用条款中约定。</w:t>
      </w:r>
    </w:p>
    <w:p w14:paraId="7E2A1650">
      <w:pPr>
        <w:pStyle w:val="4"/>
        <w:spacing w:before="120" w:after="120" w:line="360" w:lineRule="auto"/>
        <w:ind w:left="420" w:leftChars="200" w:firstLine="118"/>
        <w:rPr>
          <w:rFonts w:ascii="Times New Roman" w:hAnsi="Times New Roman" w:eastAsia="宋体"/>
          <w:b/>
          <w:sz w:val="24"/>
          <w:szCs w:val="24"/>
        </w:rPr>
      </w:pPr>
      <w:bookmarkStart w:id="845" w:name="_Toc471218916"/>
      <w:bookmarkStart w:id="846" w:name="_Toc470187203"/>
      <w:bookmarkStart w:id="847" w:name="_Toc433185139"/>
      <w:bookmarkStart w:id="848" w:name="_Toc371398298"/>
      <w:r>
        <w:rPr>
          <w:rFonts w:ascii="Times New Roman" w:hAnsi="Times New Roman" w:eastAsia="宋体"/>
          <w:b/>
          <w:sz w:val="24"/>
          <w:szCs w:val="24"/>
        </w:rPr>
        <w:t>2.3 项目监理与相关服务机构和人员</w:t>
      </w:r>
      <w:bookmarkEnd w:id="845"/>
      <w:bookmarkEnd w:id="846"/>
      <w:bookmarkEnd w:id="847"/>
      <w:bookmarkEnd w:id="848"/>
    </w:p>
    <w:p w14:paraId="14AA8E13">
      <w:pPr>
        <w:adjustRightInd w:val="0"/>
        <w:snapToGrid w:val="0"/>
        <w:spacing w:line="360" w:lineRule="auto"/>
        <w:ind w:firstLine="240" w:firstLineChars="100"/>
        <w:rPr>
          <w:sz w:val="24"/>
          <w:szCs w:val="24"/>
        </w:rPr>
      </w:pPr>
      <w:r>
        <w:rPr>
          <w:sz w:val="24"/>
          <w:szCs w:val="24"/>
        </w:rPr>
        <w:t xml:space="preserve"> </w:t>
      </w:r>
      <w:r>
        <w:rPr>
          <w:rFonts w:hint="eastAsia"/>
          <w:sz w:val="24"/>
          <w:szCs w:val="24"/>
        </w:rPr>
        <w:t xml:space="preserve"> </w:t>
      </w:r>
      <w:r>
        <w:rPr>
          <w:sz w:val="24"/>
          <w:szCs w:val="24"/>
        </w:rPr>
        <w:t>2.3.1 监理人应当根据合同约定组建满足工作需要的项目监理与相关服务机构，配备必要的检测设备。项目监理与相关服务机构的主要人员应当具有相应的资格条件。</w:t>
      </w:r>
    </w:p>
    <w:p w14:paraId="2A139BFA">
      <w:pPr>
        <w:adjustRightInd w:val="0"/>
        <w:snapToGrid w:val="0"/>
        <w:spacing w:line="360" w:lineRule="auto"/>
        <w:ind w:firstLine="480" w:firstLineChars="200"/>
        <w:rPr>
          <w:sz w:val="24"/>
          <w:szCs w:val="24"/>
        </w:rPr>
      </w:pPr>
      <w:r>
        <w:rPr>
          <w:sz w:val="24"/>
          <w:szCs w:val="24"/>
        </w:rPr>
        <w:t>2.3.2 合同履行过程中，总监理工程师及重要岗位监理人员应当保持相对稳定，以保证监理工作正常进行。</w:t>
      </w:r>
    </w:p>
    <w:p w14:paraId="0B32DA6D">
      <w:pPr>
        <w:adjustRightInd w:val="0"/>
        <w:snapToGrid w:val="0"/>
        <w:spacing w:line="360" w:lineRule="auto"/>
        <w:ind w:firstLine="480" w:firstLineChars="200"/>
        <w:rPr>
          <w:sz w:val="24"/>
          <w:szCs w:val="24"/>
        </w:rPr>
      </w:pPr>
      <w:r>
        <w:rPr>
          <w:sz w:val="24"/>
          <w:szCs w:val="24"/>
        </w:rPr>
        <w:t>2.3.3 监理人可根据工程进展和工作需要调整项目监理与相关服务机构人员。监理人更换总监理工程师时，应当提前7天向委托人书面报告，经委托人同意后方可更换；监理人更换项目监理与相关服务其他监理人员，应当以相当资格与能力的人员替换，并通知委托人。</w:t>
      </w:r>
    </w:p>
    <w:p w14:paraId="54B318D3">
      <w:pPr>
        <w:adjustRightInd w:val="0"/>
        <w:snapToGrid w:val="0"/>
        <w:spacing w:line="360" w:lineRule="auto"/>
        <w:ind w:firstLine="480" w:firstLineChars="200"/>
        <w:rPr>
          <w:sz w:val="24"/>
          <w:szCs w:val="24"/>
        </w:rPr>
      </w:pPr>
      <w:r>
        <w:rPr>
          <w:sz w:val="24"/>
          <w:szCs w:val="24"/>
        </w:rPr>
        <w:t>2.3.4 监理人应当及时更换有下列情形之一的监理人员：</w:t>
      </w:r>
    </w:p>
    <w:p w14:paraId="48A5A714">
      <w:pPr>
        <w:adjustRightInd w:val="0"/>
        <w:snapToGrid w:val="0"/>
        <w:spacing w:line="360" w:lineRule="auto"/>
        <w:ind w:firstLine="480" w:firstLineChars="200"/>
        <w:rPr>
          <w:sz w:val="24"/>
          <w:szCs w:val="24"/>
        </w:rPr>
      </w:pPr>
      <w:r>
        <w:rPr>
          <w:sz w:val="24"/>
          <w:szCs w:val="24"/>
        </w:rPr>
        <w:t>（1）不能胜任岗位职责的；</w:t>
      </w:r>
    </w:p>
    <w:p w14:paraId="22D65FDD">
      <w:pPr>
        <w:adjustRightInd w:val="0"/>
        <w:snapToGrid w:val="0"/>
        <w:spacing w:line="360" w:lineRule="auto"/>
        <w:ind w:firstLine="480" w:firstLineChars="200"/>
        <w:rPr>
          <w:sz w:val="24"/>
          <w:szCs w:val="24"/>
        </w:rPr>
      </w:pPr>
      <w:r>
        <w:rPr>
          <w:sz w:val="24"/>
          <w:szCs w:val="24"/>
        </w:rPr>
        <w:t>（2）严重违反职业道德的；</w:t>
      </w:r>
    </w:p>
    <w:p w14:paraId="4D511A53">
      <w:pPr>
        <w:adjustRightInd w:val="0"/>
        <w:snapToGrid w:val="0"/>
        <w:spacing w:line="360" w:lineRule="auto"/>
        <w:ind w:firstLine="480" w:firstLineChars="200"/>
        <w:rPr>
          <w:sz w:val="24"/>
          <w:szCs w:val="24"/>
        </w:rPr>
      </w:pPr>
      <w:r>
        <w:rPr>
          <w:sz w:val="24"/>
          <w:szCs w:val="24"/>
        </w:rPr>
        <w:t>（3）有严重过失行为的；</w:t>
      </w:r>
    </w:p>
    <w:p w14:paraId="53CEB88A">
      <w:pPr>
        <w:adjustRightInd w:val="0"/>
        <w:snapToGrid w:val="0"/>
        <w:spacing w:line="360" w:lineRule="auto"/>
        <w:ind w:firstLine="480" w:firstLineChars="200"/>
        <w:rPr>
          <w:sz w:val="24"/>
          <w:szCs w:val="24"/>
        </w:rPr>
      </w:pPr>
      <w:r>
        <w:rPr>
          <w:sz w:val="24"/>
          <w:szCs w:val="24"/>
        </w:rPr>
        <w:t>（4）有违法行为不能履行职责的；</w:t>
      </w:r>
    </w:p>
    <w:p w14:paraId="38D3F41E">
      <w:pPr>
        <w:adjustRightInd w:val="0"/>
        <w:snapToGrid w:val="0"/>
        <w:spacing w:line="360" w:lineRule="auto"/>
        <w:ind w:firstLine="480" w:firstLineChars="200"/>
        <w:rPr>
          <w:sz w:val="24"/>
          <w:szCs w:val="24"/>
        </w:rPr>
      </w:pPr>
      <w:r>
        <w:rPr>
          <w:sz w:val="24"/>
          <w:szCs w:val="24"/>
        </w:rPr>
        <w:t>（5）涉嫌犯罪的；</w:t>
      </w:r>
    </w:p>
    <w:p w14:paraId="5712E202">
      <w:pPr>
        <w:adjustRightInd w:val="0"/>
        <w:snapToGrid w:val="0"/>
        <w:spacing w:line="360" w:lineRule="auto"/>
        <w:ind w:firstLine="480" w:firstLineChars="200"/>
        <w:rPr>
          <w:sz w:val="24"/>
          <w:szCs w:val="24"/>
        </w:rPr>
      </w:pPr>
      <w:r>
        <w:rPr>
          <w:sz w:val="24"/>
          <w:szCs w:val="24"/>
        </w:rPr>
        <w:t>（6）合同专用条款约定的其他情形。</w:t>
      </w:r>
    </w:p>
    <w:p w14:paraId="37917F82">
      <w:pPr>
        <w:spacing w:line="360" w:lineRule="auto"/>
        <w:ind w:firstLine="480" w:firstLineChars="200"/>
        <w:rPr>
          <w:sz w:val="24"/>
          <w:szCs w:val="24"/>
        </w:rPr>
      </w:pPr>
      <w:r>
        <w:rPr>
          <w:sz w:val="24"/>
          <w:szCs w:val="24"/>
        </w:rPr>
        <w:t>2.3.5 委托人有权要求监理人更换不能胜任本职工作的项目监理与相关服务机构人员。</w:t>
      </w:r>
    </w:p>
    <w:p w14:paraId="7C9F124A">
      <w:pPr>
        <w:pStyle w:val="4"/>
        <w:spacing w:before="120" w:after="120" w:line="360" w:lineRule="auto"/>
        <w:ind w:left="420" w:leftChars="200" w:firstLine="118"/>
        <w:rPr>
          <w:rFonts w:ascii="Times New Roman" w:hAnsi="Times New Roman" w:eastAsia="宋体"/>
          <w:b/>
          <w:sz w:val="24"/>
          <w:szCs w:val="24"/>
        </w:rPr>
      </w:pPr>
      <w:bookmarkStart w:id="849" w:name="_Toc471218917"/>
      <w:bookmarkStart w:id="850" w:name="_Toc371398299"/>
      <w:bookmarkStart w:id="851" w:name="_Toc470187204"/>
      <w:bookmarkStart w:id="852" w:name="_Toc433185140"/>
      <w:r>
        <w:rPr>
          <w:rFonts w:ascii="Times New Roman" w:hAnsi="Times New Roman" w:eastAsia="宋体"/>
          <w:b/>
          <w:sz w:val="24"/>
          <w:szCs w:val="24"/>
        </w:rPr>
        <w:t>2.4 履行职责</w:t>
      </w:r>
      <w:bookmarkEnd w:id="849"/>
      <w:bookmarkEnd w:id="850"/>
      <w:bookmarkEnd w:id="851"/>
      <w:bookmarkEnd w:id="852"/>
    </w:p>
    <w:p w14:paraId="25FD5629">
      <w:pPr>
        <w:adjustRightInd w:val="0"/>
        <w:snapToGrid w:val="0"/>
        <w:spacing w:line="360" w:lineRule="auto"/>
        <w:ind w:firstLine="480" w:firstLineChars="200"/>
        <w:rPr>
          <w:sz w:val="24"/>
          <w:szCs w:val="24"/>
        </w:rPr>
      </w:pPr>
      <w:r>
        <w:rPr>
          <w:sz w:val="24"/>
          <w:szCs w:val="24"/>
        </w:rPr>
        <w:t>监理人应当遵循职业道德准则和行为规范，严格按照法律、法规、工程建设有关标准及合同履行职责。</w:t>
      </w:r>
    </w:p>
    <w:p w14:paraId="4A7CA100">
      <w:pPr>
        <w:adjustRightInd w:val="0"/>
        <w:snapToGrid w:val="0"/>
        <w:spacing w:line="360" w:lineRule="auto"/>
        <w:ind w:firstLine="480" w:firstLineChars="200"/>
        <w:rPr>
          <w:sz w:val="24"/>
          <w:szCs w:val="24"/>
        </w:rPr>
      </w:pPr>
      <w:r>
        <w:rPr>
          <w:sz w:val="24"/>
          <w:szCs w:val="24"/>
        </w:rPr>
        <w:t>2.4.1 在合同约定的监理与相关服务范围内，委托人和承包人提出的意见和要求，监理人应当及时处置并回复。当委托人与承包人之间发生合同争议时，监理人应当协调委托人、承包人协商解决。</w:t>
      </w:r>
    </w:p>
    <w:p w14:paraId="2A722B13">
      <w:pPr>
        <w:adjustRightInd w:val="0"/>
        <w:snapToGrid w:val="0"/>
        <w:spacing w:line="360" w:lineRule="auto"/>
        <w:ind w:firstLine="480" w:firstLineChars="200"/>
        <w:rPr>
          <w:sz w:val="24"/>
          <w:szCs w:val="24"/>
        </w:rPr>
      </w:pPr>
      <w:r>
        <w:rPr>
          <w:sz w:val="24"/>
          <w:szCs w:val="24"/>
        </w:rPr>
        <w:t>2.4.2 当委托人与承包人之间的合同争议提交仲裁机构仲裁或人民法院审理时，监理人应当提供必要的证明资料。</w:t>
      </w:r>
    </w:p>
    <w:p w14:paraId="62676A0D">
      <w:pPr>
        <w:adjustRightInd w:val="0"/>
        <w:snapToGrid w:val="0"/>
        <w:spacing w:line="360" w:lineRule="auto"/>
        <w:ind w:firstLine="480" w:firstLineChars="200"/>
        <w:rPr>
          <w:sz w:val="24"/>
          <w:szCs w:val="24"/>
        </w:rPr>
      </w:pPr>
      <w:r>
        <w:rPr>
          <w:sz w:val="24"/>
          <w:szCs w:val="24"/>
        </w:rPr>
        <w:t>2.4.3 监理人应当在合同专用条款约定的授权范围内，处理委托人与承包人所签订合同的变更事宜。如果变更超过授权范围，应当以书面形式报委托人批准。</w:t>
      </w:r>
    </w:p>
    <w:p w14:paraId="3D395E11">
      <w:pPr>
        <w:adjustRightInd w:val="0"/>
        <w:snapToGrid w:val="0"/>
        <w:spacing w:line="360" w:lineRule="auto"/>
        <w:ind w:firstLine="480" w:firstLineChars="200"/>
        <w:rPr>
          <w:sz w:val="24"/>
          <w:szCs w:val="24"/>
        </w:rPr>
      </w:pPr>
      <w:r>
        <w:rPr>
          <w:sz w:val="24"/>
          <w:szCs w:val="24"/>
        </w:rPr>
        <w:t>在紧急情况下，为了保护财产和人身安全，监理人所发出的指令未能事先报委托人批准时，应当在发出指令后的24小时内以书面形式报委托人。</w:t>
      </w:r>
    </w:p>
    <w:p w14:paraId="77A5CAD3">
      <w:pPr>
        <w:spacing w:line="360" w:lineRule="auto"/>
        <w:ind w:firstLine="480" w:firstLineChars="200"/>
        <w:rPr>
          <w:sz w:val="24"/>
          <w:szCs w:val="24"/>
        </w:rPr>
      </w:pPr>
      <w:r>
        <w:rPr>
          <w:sz w:val="24"/>
          <w:szCs w:val="24"/>
        </w:rPr>
        <w:t>2.4.4 除合同专用条款另有约定外，监理人发现承包人的人员不能胜任本职工作的，有权要求承包人予以更换。</w:t>
      </w:r>
    </w:p>
    <w:p w14:paraId="0946AB6F">
      <w:pPr>
        <w:spacing w:line="360" w:lineRule="auto"/>
        <w:ind w:firstLine="480" w:firstLineChars="200"/>
        <w:rPr>
          <w:sz w:val="24"/>
          <w:szCs w:val="24"/>
        </w:rPr>
      </w:pPr>
      <w:r>
        <w:rPr>
          <w:sz w:val="24"/>
          <w:szCs w:val="24"/>
        </w:rPr>
        <w:t>2.4.5 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0F79CD09">
      <w:pPr>
        <w:pStyle w:val="4"/>
        <w:spacing w:before="120" w:after="120" w:line="360" w:lineRule="auto"/>
        <w:ind w:left="420" w:leftChars="200" w:firstLine="118"/>
        <w:rPr>
          <w:rFonts w:ascii="Times New Roman" w:hAnsi="Times New Roman" w:eastAsia="宋体"/>
          <w:b/>
          <w:sz w:val="24"/>
          <w:szCs w:val="24"/>
          <w:lang w:eastAsia="zh-CN"/>
        </w:rPr>
      </w:pPr>
      <w:bookmarkStart w:id="853" w:name="_Toc433185141"/>
      <w:bookmarkStart w:id="854" w:name="_Toc470187205"/>
      <w:bookmarkStart w:id="855" w:name="_Toc371398300"/>
      <w:bookmarkStart w:id="856" w:name="_Toc471218918"/>
      <w:r>
        <w:rPr>
          <w:rFonts w:ascii="Times New Roman" w:hAnsi="Times New Roman" w:eastAsia="宋体"/>
          <w:b/>
          <w:sz w:val="24"/>
          <w:szCs w:val="24"/>
        </w:rPr>
        <w:t>2.5 守法诚信</w:t>
      </w:r>
      <w:bookmarkEnd w:id="853"/>
      <w:bookmarkEnd w:id="854"/>
      <w:bookmarkEnd w:id="855"/>
      <w:bookmarkEnd w:id="856"/>
    </w:p>
    <w:p w14:paraId="6AD8020E">
      <w:pPr>
        <w:snapToGrid w:val="0"/>
        <w:spacing w:line="360" w:lineRule="auto"/>
        <w:ind w:firstLine="480" w:firstLineChars="200"/>
        <w:rPr>
          <w:sz w:val="24"/>
          <w:szCs w:val="24"/>
        </w:rPr>
      </w:pPr>
      <w:r>
        <w:rPr>
          <w:sz w:val="24"/>
          <w:szCs w:val="24"/>
        </w:rPr>
        <w:t>监理人及其工作人员不得从与实施工程有关的第三方处获得任何经济利益。</w:t>
      </w:r>
    </w:p>
    <w:p w14:paraId="5F175AC4">
      <w:pPr>
        <w:pStyle w:val="4"/>
        <w:spacing w:before="120" w:after="120" w:line="360" w:lineRule="auto"/>
        <w:ind w:left="420" w:leftChars="200" w:firstLine="118"/>
        <w:rPr>
          <w:rFonts w:ascii="Times New Roman" w:hAnsi="Times New Roman" w:eastAsia="宋体"/>
          <w:b/>
          <w:sz w:val="24"/>
          <w:szCs w:val="24"/>
        </w:rPr>
      </w:pPr>
      <w:bookmarkStart w:id="857" w:name="_Toc433185142"/>
      <w:bookmarkStart w:id="858" w:name="_Toc471218919"/>
      <w:bookmarkStart w:id="859" w:name="_Toc371398301"/>
      <w:bookmarkStart w:id="860" w:name="_Toc470187206"/>
      <w:r>
        <w:rPr>
          <w:rFonts w:ascii="Times New Roman" w:hAnsi="Times New Roman" w:eastAsia="宋体"/>
          <w:b/>
          <w:sz w:val="24"/>
          <w:szCs w:val="24"/>
        </w:rPr>
        <w:t>2.6保险</w:t>
      </w:r>
      <w:bookmarkEnd w:id="857"/>
      <w:bookmarkEnd w:id="858"/>
      <w:bookmarkEnd w:id="859"/>
      <w:bookmarkEnd w:id="860"/>
    </w:p>
    <w:p w14:paraId="0028CDBA">
      <w:pPr>
        <w:snapToGrid w:val="0"/>
        <w:spacing w:line="360" w:lineRule="auto"/>
        <w:ind w:firstLine="480" w:firstLineChars="200"/>
        <w:rPr>
          <w:sz w:val="24"/>
          <w:szCs w:val="24"/>
        </w:rPr>
      </w:pPr>
      <w:r>
        <w:rPr>
          <w:sz w:val="24"/>
          <w:szCs w:val="24"/>
        </w:rPr>
        <w:t>监理人应当按法律、法规规定，为派驻现场的监理与相关服务机构人员办理相关保险,保证现场监理人员的安全。</w:t>
      </w:r>
    </w:p>
    <w:p w14:paraId="4DC969CD">
      <w:pPr>
        <w:pStyle w:val="4"/>
        <w:spacing w:before="120" w:after="120" w:line="360" w:lineRule="auto"/>
        <w:ind w:left="420" w:leftChars="200" w:firstLine="118"/>
        <w:rPr>
          <w:rFonts w:ascii="Times New Roman" w:hAnsi="Times New Roman" w:eastAsia="宋体"/>
          <w:b/>
          <w:sz w:val="24"/>
          <w:szCs w:val="24"/>
        </w:rPr>
      </w:pPr>
      <w:bookmarkStart w:id="861" w:name="_Toc471218920"/>
      <w:bookmarkStart w:id="862" w:name="_Toc433185143"/>
      <w:bookmarkStart w:id="863" w:name="_Toc470187207"/>
      <w:bookmarkStart w:id="864" w:name="_Toc371398302"/>
      <w:r>
        <w:rPr>
          <w:rFonts w:ascii="Times New Roman" w:hAnsi="Times New Roman" w:eastAsia="宋体"/>
          <w:b/>
          <w:sz w:val="24"/>
          <w:szCs w:val="24"/>
        </w:rPr>
        <w:t>2.7 提交报告</w:t>
      </w:r>
      <w:bookmarkEnd w:id="861"/>
      <w:bookmarkEnd w:id="862"/>
      <w:bookmarkEnd w:id="863"/>
      <w:bookmarkEnd w:id="864"/>
    </w:p>
    <w:p w14:paraId="13DB46B5">
      <w:pPr>
        <w:spacing w:line="360" w:lineRule="auto"/>
        <w:ind w:firstLine="480" w:firstLineChars="200"/>
        <w:rPr>
          <w:sz w:val="24"/>
          <w:szCs w:val="24"/>
        </w:rPr>
      </w:pPr>
      <w:r>
        <w:rPr>
          <w:sz w:val="24"/>
          <w:szCs w:val="24"/>
        </w:rPr>
        <w:t>监理人应当按合同专用条款约定的种类、时间和份数向委托人提交监理与相关服务的报告。</w:t>
      </w:r>
    </w:p>
    <w:p w14:paraId="15C519D1">
      <w:pPr>
        <w:pStyle w:val="4"/>
        <w:spacing w:before="120" w:after="120" w:line="360" w:lineRule="auto"/>
        <w:ind w:left="420" w:leftChars="200" w:firstLine="118"/>
        <w:rPr>
          <w:rFonts w:ascii="Times New Roman" w:hAnsi="Times New Roman" w:eastAsia="宋体"/>
          <w:b/>
          <w:sz w:val="24"/>
          <w:szCs w:val="24"/>
        </w:rPr>
      </w:pPr>
      <w:bookmarkStart w:id="865" w:name="_Toc471218921"/>
      <w:bookmarkStart w:id="866" w:name="_Toc433185144"/>
      <w:bookmarkStart w:id="867" w:name="_Toc470187208"/>
      <w:bookmarkStart w:id="868" w:name="_Toc371398303"/>
      <w:r>
        <w:rPr>
          <w:rFonts w:ascii="Times New Roman" w:hAnsi="Times New Roman" w:eastAsia="宋体"/>
          <w:b/>
          <w:sz w:val="24"/>
          <w:szCs w:val="24"/>
        </w:rPr>
        <w:t>2.8 文件资料</w:t>
      </w:r>
      <w:bookmarkEnd w:id="865"/>
      <w:bookmarkEnd w:id="866"/>
      <w:bookmarkEnd w:id="867"/>
      <w:bookmarkEnd w:id="868"/>
    </w:p>
    <w:p w14:paraId="3F398074">
      <w:pPr>
        <w:spacing w:line="360" w:lineRule="auto"/>
        <w:ind w:firstLine="480" w:firstLineChars="200"/>
        <w:rPr>
          <w:sz w:val="24"/>
          <w:szCs w:val="24"/>
        </w:rPr>
      </w:pPr>
      <w:r>
        <w:rPr>
          <w:sz w:val="24"/>
          <w:szCs w:val="24"/>
        </w:rPr>
        <w:t>在合同履行期内，监理人应当在现场保留工作所用的图纸、报告及记录监理工作的相关文件。工程竣工后，应当按照档案管理规定将监理有关文件归档。</w:t>
      </w:r>
    </w:p>
    <w:p w14:paraId="11C85F7D">
      <w:pPr>
        <w:pStyle w:val="4"/>
        <w:spacing w:before="120" w:after="120" w:line="360" w:lineRule="auto"/>
        <w:ind w:left="420" w:leftChars="200" w:firstLine="118"/>
        <w:rPr>
          <w:rFonts w:ascii="Times New Roman" w:hAnsi="Times New Roman" w:eastAsia="宋体"/>
          <w:b/>
          <w:sz w:val="24"/>
          <w:szCs w:val="24"/>
        </w:rPr>
      </w:pPr>
      <w:bookmarkStart w:id="869" w:name="_Toc471218922"/>
      <w:bookmarkStart w:id="870" w:name="_Toc433185145"/>
      <w:bookmarkStart w:id="871" w:name="_Toc371398304"/>
      <w:bookmarkStart w:id="872" w:name="_Toc470187209"/>
      <w:r>
        <w:rPr>
          <w:rFonts w:ascii="Times New Roman" w:hAnsi="Times New Roman" w:eastAsia="宋体"/>
          <w:b/>
          <w:sz w:val="24"/>
          <w:szCs w:val="24"/>
        </w:rPr>
        <w:t>2.9 使用委托人的财产</w:t>
      </w:r>
      <w:bookmarkEnd w:id="869"/>
      <w:bookmarkEnd w:id="870"/>
      <w:bookmarkEnd w:id="871"/>
      <w:bookmarkEnd w:id="872"/>
    </w:p>
    <w:p w14:paraId="756CD4F8">
      <w:pPr>
        <w:spacing w:line="360" w:lineRule="auto"/>
        <w:ind w:firstLine="480" w:firstLineChars="200"/>
        <w:rPr>
          <w:sz w:val="24"/>
          <w:szCs w:val="24"/>
        </w:rPr>
      </w:pPr>
      <w:r>
        <w:rPr>
          <w:sz w:val="24"/>
          <w:szCs w:val="24"/>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14:paraId="385ECF57">
      <w:pPr>
        <w:autoSpaceDE w:val="0"/>
        <w:autoSpaceDN w:val="0"/>
        <w:adjustRightInd w:val="0"/>
        <w:spacing w:before="156" w:beforeLines="50" w:line="360" w:lineRule="auto"/>
        <w:outlineLvl w:val="0"/>
        <w:rPr>
          <w:b/>
          <w:sz w:val="24"/>
          <w:szCs w:val="24"/>
        </w:rPr>
      </w:pPr>
      <w:bookmarkStart w:id="873" w:name="_Toc470187210"/>
      <w:bookmarkStart w:id="874" w:name="_Toc371398305"/>
      <w:bookmarkStart w:id="875" w:name="_Toc471218923"/>
      <w:r>
        <w:rPr>
          <w:b/>
          <w:sz w:val="24"/>
          <w:szCs w:val="24"/>
        </w:rPr>
        <w:t>3．委托人的义务</w:t>
      </w:r>
      <w:bookmarkEnd w:id="873"/>
      <w:bookmarkEnd w:id="874"/>
      <w:bookmarkEnd w:id="875"/>
    </w:p>
    <w:p w14:paraId="4D79C317">
      <w:pPr>
        <w:pStyle w:val="4"/>
        <w:spacing w:before="120" w:after="120" w:line="360" w:lineRule="auto"/>
        <w:ind w:left="420" w:leftChars="200" w:firstLine="118"/>
        <w:rPr>
          <w:rFonts w:ascii="Times New Roman" w:hAnsi="Times New Roman" w:eastAsia="宋体"/>
          <w:b/>
          <w:sz w:val="24"/>
          <w:szCs w:val="24"/>
        </w:rPr>
      </w:pPr>
      <w:bookmarkStart w:id="876" w:name="_Toc433185147"/>
      <w:bookmarkStart w:id="877" w:name="_Toc470187211"/>
      <w:bookmarkStart w:id="878" w:name="_Toc471218924"/>
      <w:bookmarkStart w:id="879" w:name="_Toc371398306"/>
      <w:r>
        <w:rPr>
          <w:rFonts w:ascii="Times New Roman" w:hAnsi="Times New Roman" w:eastAsia="宋体"/>
          <w:b/>
          <w:sz w:val="24"/>
          <w:szCs w:val="24"/>
        </w:rPr>
        <w:t>3.1 告知</w:t>
      </w:r>
      <w:bookmarkEnd w:id="876"/>
      <w:bookmarkEnd w:id="877"/>
      <w:bookmarkEnd w:id="878"/>
      <w:bookmarkEnd w:id="879"/>
    </w:p>
    <w:p w14:paraId="61A8D392">
      <w:pPr>
        <w:spacing w:line="360" w:lineRule="auto"/>
        <w:ind w:firstLine="480" w:firstLineChars="200"/>
        <w:rPr>
          <w:sz w:val="24"/>
          <w:szCs w:val="24"/>
        </w:rPr>
      </w:pPr>
      <w:r>
        <w:rPr>
          <w:sz w:val="24"/>
          <w:szCs w:val="24"/>
        </w:rPr>
        <w:t>委托人应当在委托人与承包人签订的合同中明确监理人、总监理工程师和授予项目监理与相关服务机构的权限。如有变更，应当及时通知承包人。</w:t>
      </w:r>
    </w:p>
    <w:p w14:paraId="30077510">
      <w:pPr>
        <w:pStyle w:val="4"/>
        <w:spacing w:before="120" w:after="120" w:line="360" w:lineRule="auto"/>
        <w:ind w:left="420" w:leftChars="200" w:firstLine="118"/>
        <w:rPr>
          <w:rFonts w:ascii="Times New Roman" w:hAnsi="Times New Roman" w:eastAsia="宋体"/>
          <w:b/>
          <w:sz w:val="24"/>
          <w:szCs w:val="24"/>
        </w:rPr>
      </w:pPr>
      <w:bookmarkStart w:id="880" w:name="_Toc470187212"/>
      <w:bookmarkStart w:id="881" w:name="_Toc433185148"/>
      <w:bookmarkStart w:id="882" w:name="_Toc371398307"/>
      <w:bookmarkStart w:id="883" w:name="_Toc471218925"/>
      <w:r>
        <w:rPr>
          <w:rFonts w:ascii="Times New Roman" w:hAnsi="Times New Roman" w:eastAsia="宋体"/>
          <w:b/>
          <w:sz w:val="24"/>
          <w:szCs w:val="24"/>
        </w:rPr>
        <w:t>3.2 提供资料</w:t>
      </w:r>
      <w:bookmarkEnd w:id="880"/>
      <w:bookmarkEnd w:id="881"/>
      <w:bookmarkEnd w:id="882"/>
      <w:bookmarkEnd w:id="883"/>
    </w:p>
    <w:p w14:paraId="57846484">
      <w:pPr>
        <w:spacing w:line="360" w:lineRule="auto"/>
        <w:ind w:firstLine="480" w:firstLineChars="200"/>
        <w:rPr>
          <w:sz w:val="24"/>
          <w:szCs w:val="24"/>
        </w:rPr>
      </w:pPr>
      <w:r>
        <w:rPr>
          <w:sz w:val="24"/>
          <w:szCs w:val="24"/>
        </w:rPr>
        <w:t>委托人应当按照合同专用条款约定，免费向监理人提供与工程有关的资料。在合同履行过程中，委托人应当及时向监理人提供与工程有关的最新资料。</w:t>
      </w:r>
    </w:p>
    <w:p w14:paraId="1CB6FCEC">
      <w:pPr>
        <w:pStyle w:val="4"/>
        <w:spacing w:before="120" w:after="120" w:line="360" w:lineRule="auto"/>
        <w:ind w:left="420" w:leftChars="200" w:firstLine="118"/>
        <w:rPr>
          <w:rFonts w:ascii="Times New Roman" w:hAnsi="Times New Roman" w:eastAsia="宋体"/>
          <w:b/>
          <w:sz w:val="24"/>
          <w:szCs w:val="24"/>
          <w:lang w:eastAsia="zh-CN"/>
        </w:rPr>
      </w:pPr>
      <w:bookmarkStart w:id="884" w:name="_Toc371398308"/>
      <w:bookmarkStart w:id="885" w:name="_Toc471218926"/>
      <w:bookmarkStart w:id="886" w:name="_Toc470187213"/>
      <w:bookmarkStart w:id="887" w:name="_Toc433185149"/>
      <w:r>
        <w:rPr>
          <w:rFonts w:ascii="Times New Roman" w:hAnsi="Times New Roman" w:eastAsia="宋体"/>
          <w:b/>
          <w:sz w:val="24"/>
          <w:szCs w:val="24"/>
        </w:rPr>
        <w:t>3.3 提供工作条件</w:t>
      </w:r>
      <w:bookmarkEnd w:id="884"/>
      <w:bookmarkEnd w:id="885"/>
      <w:bookmarkEnd w:id="886"/>
      <w:bookmarkEnd w:id="887"/>
    </w:p>
    <w:p w14:paraId="0C302870">
      <w:pPr>
        <w:adjustRightInd w:val="0"/>
        <w:snapToGrid w:val="0"/>
        <w:spacing w:line="360" w:lineRule="auto"/>
        <w:ind w:firstLine="480" w:firstLineChars="200"/>
        <w:rPr>
          <w:sz w:val="24"/>
          <w:szCs w:val="24"/>
        </w:rPr>
      </w:pPr>
      <w:r>
        <w:rPr>
          <w:sz w:val="24"/>
          <w:szCs w:val="24"/>
        </w:rPr>
        <w:t>委托人应当为监理人完成监理与相关服务提供必要的条件。</w:t>
      </w:r>
    </w:p>
    <w:p w14:paraId="687EBE29">
      <w:pPr>
        <w:adjustRightInd w:val="0"/>
        <w:snapToGrid w:val="0"/>
        <w:spacing w:line="360" w:lineRule="auto"/>
        <w:ind w:firstLine="480" w:firstLineChars="200"/>
        <w:rPr>
          <w:sz w:val="24"/>
          <w:szCs w:val="24"/>
        </w:rPr>
      </w:pPr>
      <w:r>
        <w:rPr>
          <w:sz w:val="24"/>
          <w:szCs w:val="24"/>
        </w:rPr>
        <w:t>3.3.1 委托人应当按照合同专用条款约定，提供相应的人员、房屋、设备、设施，供监理人免费使用。如委托人不提供或部分提供相应的人员、</w:t>
      </w:r>
      <w:r>
        <w:rPr>
          <w:bCs/>
          <w:sz w:val="24"/>
          <w:szCs w:val="24"/>
        </w:rPr>
        <w:t>房屋、资料</w:t>
      </w:r>
      <w:r>
        <w:rPr>
          <w:sz w:val="24"/>
          <w:szCs w:val="24"/>
        </w:rPr>
        <w:t>、设备、设施时应当进行补偿。</w:t>
      </w:r>
    </w:p>
    <w:p w14:paraId="35749381">
      <w:pPr>
        <w:spacing w:line="360" w:lineRule="auto"/>
        <w:ind w:firstLine="480" w:firstLineChars="200"/>
        <w:rPr>
          <w:sz w:val="24"/>
          <w:szCs w:val="24"/>
        </w:rPr>
      </w:pPr>
      <w:r>
        <w:rPr>
          <w:sz w:val="24"/>
          <w:szCs w:val="24"/>
        </w:rPr>
        <w:t>3.3.2 委托人应当负责协调工程建设中所有外部关系，为监理人履行合同提供必要的外部条件。</w:t>
      </w:r>
    </w:p>
    <w:p w14:paraId="4B94E554">
      <w:pPr>
        <w:pStyle w:val="4"/>
        <w:spacing w:before="120" w:after="120" w:line="360" w:lineRule="auto"/>
        <w:ind w:left="420" w:leftChars="200" w:firstLine="118"/>
        <w:rPr>
          <w:rFonts w:ascii="Times New Roman" w:hAnsi="Times New Roman" w:eastAsia="宋体"/>
          <w:b/>
          <w:sz w:val="24"/>
          <w:szCs w:val="24"/>
        </w:rPr>
      </w:pPr>
      <w:bookmarkStart w:id="888" w:name="_Toc470187214"/>
      <w:bookmarkStart w:id="889" w:name="_Toc371398309"/>
      <w:bookmarkStart w:id="890" w:name="_Toc471218927"/>
      <w:bookmarkStart w:id="891" w:name="_Toc433185150"/>
      <w:r>
        <w:rPr>
          <w:rFonts w:ascii="Times New Roman" w:hAnsi="Times New Roman" w:eastAsia="宋体"/>
          <w:b/>
          <w:sz w:val="24"/>
          <w:szCs w:val="24"/>
        </w:rPr>
        <w:t>3.4 委托人代表</w:t>
      </w:r>
      <w:bookmarkEnd w:id="888"/>
      <w:bookmarkEnd w:id="889"/>
      <w:bookmarkEnd w:id="890"/>
      <w:bookmarkEnd w:id="891"/>
    </w:p>
    <w:p w14:paraId="1F8AFC89">
      <w:pPr>
        <w:snapToGrid w:val="0"/>
        <w:spacing w:line="360" w:lineRule="auto"/>
        <w:ind w:firstLine="480" w:firstLineChars="200"/>
        <w:rPr>
          <w:sz w:val="24"/>
          <w:szCs w:val="24"/>
        </w:rPr>
      </w:pPr>
      <w:r>
        <w:rPr>
          <w:sz w:val="24"/>
          <w:szCs w:val="24"/>
        </w:rPr>
        <w:t>委托人应当授权一名熟悉工程情况的代表，负责与监理人联系。委托人应将委托人代表的姓名和职责书面告知监理人，当委托人更换委托人代表时，应当提前7天通知监理人。</w:t>
      </w:r>
    </w:p>
    <w:p w14:paraId="32ABB6B3">
      <w:pPr>
        <w:snapToGrid w:val="0"/>
        <w:spacing w:line="360" w:lineRule="auto"/>
        <w:ind w:firstLine="480" w:firstLineChars="200"/>
        <w:rPr>
          <w:sz w:val="24"/>
          <w:szCs w:val="24"/>
        </w:rPr>
      </w:pPr>
      <w:r>
        <w:rPr>
          <w:sz w:val="24"/>
          <w:szCs w:val="24"/>
        </w:rPr>
        <w:t>委托人代表的姓名在合同专用条款中明确。</w:t>
      </w:r>
    </w:p>
    <w:p w14:paraId="713F0DE4">
      <w:pPr>
        <w:pStyle w:val="4"/>
        <w:spacing w:before="120" w:after="120" w:line="360" w:lineRule="auto"/>
        <w:ind w:left="420" w:leftChars="200" w:firstLine="118"/>
        <w:rPr>
          <w:rFonts w:ascii="Times New Roman" w:hAnsi="Times New Roman" w:eastAsia="宋体"/>
          <w:b/>
          <w:sz w:val="24"/>
          <w:szCs w:val="24"/>
        </w:rPr>
      </w:pPr>
      <w:bookmarkStart w:id="892" w:name="_Toc433185151"/>
      <w:bookmarkStart w:id="893" w:name="_Toc470187215"/>
      <w:bookmarkStart w:id="894" w:name="_Toc371398310"/>
      <w:bookmarkStart w:id="895" w:name="_Toc471218928"/>
      <w:r>
        <w:rPr>
          <w:rFonts w:ascii="Times New Roman" w:hAnsi="Times New Roman" w:eastAsia="宋体"/>
          <w:b/>
          <w:sz w:val="24"/>
          <w:szCs w:val="24"/>
        </w:rPr>
        <w:t>3.5 委托人意见或要求</w:t>
      </w:r>
      <w:bookmarkEnd w:id="892"/>
      <w:bookmarkEnd w:id="893"/>
      <w:bookmarkEnd w:id="894"/>
      <w:bookmarkEnd w:id="895"/>
    </w:p>
    <w:p w14:paraId="383D5A88">
      <w:pPr>
        <w:snapToGrid w:val="0"/>
        <w:spacing w:line="360" w:lineRule="auto"/>
        <w:ind w:firstLine="480" w:firstLineChars="200"/>
        <w:rPr>
          <w:sz w:val="24"/>
          <w:szCs w:val="24"/>
        </w:rPr>
      </w:pPr>
      <w:r>
        <w:rPr>
          <w:sz w:val="24"/>
          <w:szCs w:val="24"/>
        </w:rPr>
        <w:t>在合同约定的监理和相关服务工作范围内，委托人对承包人的任何意见或要求应当通知监理人，由监理人向承包人发出相应指令。</w:t>
      </w:r>
    </w:p>
    <w:p w14:paraId="122E09F3">
      <w:pPr>
        <w:pStyle w:val="4"/>
        <w:spacing w:before="120" w:after="120" w:line="360" w:lineRule="auto"/>
        <w:ind w:left="420" w:leftChars="200" w:firstLine="118"/>
        <w:rPr>
          <w:rFonts w:ascii="Times New Roman" w:hAnsi="Times New Roman" w:eastAsia="宋体"/>
          <w:b/>
          <w:sz w:val="24"/>
          <w:szCs w:val="24"/>
        </w:rPr>
      </w:pPr>
      <w:bookmarkStart w:id="896" w:name="_Toc371398311"/>
      <w:bookmarkStart w:id="897" w:name="_Toc470187216"/>
      <w:bookmarkStart w:id="898" w:name="_Toc471218929"/>
      <w:bookmarkStart w:id="899" w:name="_Toc433185152"/>
      <w:r>
        <w:rPr>
          <w:rFonts w:ascii="Times New Roman" w:hAnsi="Times New Roman" w:eastAsia="宋体"/>
          <w:b/>
          <w:sz w:val="24"/>
          <w:szCs w:val="24"/>
        </w:rPr>
        <w:t>3.6 答复</w:t>
      </w:r>
      <w:bookmarkEnd w:id="896"/>
      <w:bookmarkEnd w:id="897"/>
      <w:bookmarkEnd w:id="898"/>
      <w:bookmarkEnd w:id="899"/>
    </w:p>
    <w:p w14:paraId="2362ADD7">
      <w:pPr>
        <w:snapToGrid w:val="0"/>
        <w:spacing w:line="360" w:lineRule="auto"/>
        <w:ind w:firstLine="480" w:firstLineChars="200"/>
        <w:rPr>
          <w:sz w:val="24"/>
          <w:szCs w:val="24"/>
        </w:rPr>
      </w:pPr>
      <w:r>
        <w:rPr>
          <w:sz w:val="24"/>
          <w:szCs w:val="24"/>
        </w:rPr>
        <w:t>委托人应当在合同专用条款约定的时间内，对监理人以书面形式提交并要求做出决定的事宜，给予书面答复。逾期未答复的，视为委托人认可。</w:t>
      </w:r>
    </w:p>
    <w:p w14:paraId="089C70FC">
      <w:pPr>
        <w:pStyle w:val="4"/>
        <w:spacing w:before="120" w:after="120" w:line="360" w:lineRule="auto"/>
        <w:ind w:left="420" w:leftChars="200" w:firstLine="118"/>
        <w:rPr>
          <w:rFonts w:ascii="Times New Roman" w:hAnsi="Times New Roman" w:eastAsia="宋体"/>
          <w:b/>
          <w:sz w:val="24"/>
          <w:szCs w:val="24"/>
        </w:rPr>
      </w:pPr>
      <w:bookmarkStart w:id="900" w:name="_Toc433185153"/>
      <w:bookmarkStart w:id="901" w:name="_Toc470187217"/>
      <w:bookmarkStart w:id="902" w:name="_Toc371398312"/>
      <w:bookmarkStart w:id="903" w:name="_Toc471218930"/>
      <w:r>
        <w:rPr>
          <w:rFonts w:ascii="Times New Roman" w:hAnsi="Times New Roman" w:eastAsia="宋体"/>
          <w:b/>
          <w:sz w:val="24"/>
          <w:szCs w:val="24"/>
        </w:rPr>
        <w:t>3.7 支付</w:t>
      </w:r>
      <w:bookmarkEnd w:id="900"/>
      <w:bookmarkEnd w:id="901"/>
      <w:bookmarkEnd w:id="902"/>
      <w:bookmarkEnd w:id="903"/>
    </w:p>
    <w:p w14:paraId="4E06FA1D">
      <w:pPr>
        <w:snapToGrid w:val="0"/>
        <w:spacing w:line="360" w:lineRule="auto"/>
        <w:ind w:firstLine="480" w:firstLineChars="200"/>
        <w:rPr>
          <w:sz w:val="24"/>
          <w:szCs w:val="24"/>
        </w:rPr>
      </w:pPr>
      <w:r>
        <w:rPr>
          <w:sz w:val="24"/>
          <w:szCs w:val="24"/>
        </w:rPr>
        <w:t>委托人应当按合同约定，向监理人支付酬金。</w:t>
      </w:r>
    </w:p>
    <w:p w14:paraId="44A9795D">
      <w:pPr>
        <w:pStyle w:val="4"/>
        <w:spacing w:before="120" w:after="120" w:line="360" w:lineRule="auto"/>
        <w:ind w:left="420" w:leftChars="200" w:firstLine="118"/>
        <w:rPr>
          <w:rFonts w:ascii="Times New Roman" w:hAnsi="Times New Roman" w:eastAsia="宋体"/>
          <w:b/>
          <w:sz w:val="24"/>
          <w:szCs w:val="24"/>
        </w:rPr>
      </w:pPr>
      <w:bookmarkStart w:id="904" w:name="_Toc371398313"/>
      <w:bookmarkStart w:id="905" w:name="_Toc433185154"/>
      <w:bookmarkStart w:id="906" w:name="_Toc471218931"/>
      <w:bookmarkStart w:id="907" w:name="_Toc470187218"/>
      <w:r>
        <w:rPr>
          <w:rFonts w:ascii="Times New Roman" w:hAnsi="Times New Roman" w:eastAsia="宋体"/>
          <w:b/>
          <w:sz w:val="24"/>
          <w:szCs w:val="24"/>
        </w:rPr>
        <w:t>3.8 合理化建议的奖励</w:t>
      </w:r>
      <w:bookmarkEnd w:id="904"/>
      <w:bookmarkEnd w:id="905"/>
      <w:bookmarkEnd w:id="906"/>
      <w:bookmarkEnd w:id="907"/>
    </w:p>
    <w:p w14:paraId="71105760">
      <w:pPr>
        <w:snapToGrid w:val="0"/>
        <w:spacing w:line="360" w:lineRule="auto"/>
        <w:ind w:firstLine="480" w:firstLineChars="200"/>
        <w:rPr>
          <w:sz w:val="24"/>
          <w:szCs w:val="24"/>
        </w:rPr>
      </w:pPr>
      <w:r>
        <w:rPr>
          <w:sz w:val="24"/>
          <w:szCs w:val="24"/>
        </w:rPr>
        <w:t>监理人在服务过程中提出的合理化建议，使委托人获得经济效益的，委托人应当予以奖励。奖励金额的确定方法在合同专用条款中约定。</w:t>
      </w:r>
    </w:p>
    <w:p w14:paraId="417F230D">
      <w:pPr>
        <w:pStyle w:val="4"/>
        <w:spacing w:before="120" w:after="120" w:line="360" w:lineRule="auto"/>
        <w:ind w:left="420" w:leftChars="200" w:firstLine="118"/>
        <w:rPr>
          <w:rFonts w:ascii="Times New Roman" w:hAnsi="Times New Roman" w:eastAsia="宋体"/>
          <w:b/>
          <w:sz w:val="24"/>
          <w:szCs w:val="24"/>
        </w:rPr>
      </w:pPr>
      <w:bookmarkStart w:id="908" w:name="_Toc471218932"/>
      <w:bookmarkStart w:id="909" w:name="_Toc433185155"/>
      <w:bookmarkStart w:id="910" w:name="_Toc371398314"/>
      <w:bookmarkStart w:id="911" w:name="_Toc470187219"/>
      <w:r>
        <w:rPr>
          <w:rFonts w:ascii="Times New Roman" w:hAnsi="Times New Roman" w:eastAsia="宋体"/>
          <w:b/>
          <w:sz w:val="24"/>
          <w:szCs w:val="24"/>
        </w:rPr>
        <w:t>3.9 保障监理人的权利</w:t>
      </w:r>
      <w:bookmarkEnd w:id="908"/>
      <w:bookmarkEnd w:id="909"/>
      <w:bookmarkEnd w:id="910"/>
      <w:bookmarkEnd w:id="911"/>
    </w:p>
    <w:p w14:paraId="3058D783">
      <w:pPr>
        <w:snapToGrid w:val="0"/>
        <w:spacing w:line="360" w:lineRule="auto"/>
        <w:ind w:firstLine="480" w:firstLineChars="200"/>
        <w:rPr>
          <w:sz w:val="24"/>
          <w:szCs w:val="24"/>
        </w:rPr>
      </w:pPr>
      <w:r>
        <w:rPr>
          <w:sz w:val="24"/>
          <w:szCs w:val="24"/>
        </w:rPr>
        <w:t>委托人应当保证监理人为履行合同而正常行使合同授予的对工程的监督、管理相应权利。</w:t>
      </w:r>
    </w:p>
    <w:p w14:paraId="2D1FFC8C">
      <w:pPr>
        <w:autoSpaceDE w:val="0"/>
        <w:autoSpaceDN w:val="0"/>
        <w:adjustRightInd w:val="0"/>
        <w:spacing w:before="156" w:beforeLines="50" w:line="360" w:lineRule="auto"/>
        <w:outlineLvl w:val="0"/>
        <w:rPr>
          <w:b/>
          <w:sz w:val="24"/>
          <w:szCs w:val="24"/>
        </w:rPr>
      </w:pPr>
      <w:bookmarkStart w:id="912" w:name="_Toc371398315"/>
      <w:bookmarkStart w:id="913" w:name="_Toc470187220"/>
      <w:bookmarkStart w:id="914" w:name="_Toc471218933"/>
      <w:r>
        <w:rPr>
          <w:b/>
          <w:sz w:val="24"/>
          <w:szCs w:val="24"/>
        </w:rPr>
        <w:t>4. 违约</w:t>
      </w:r>
      <w:bookmarkEnd w:id="912"/>
      <w:bookmarkEnd w:id="913"/>
      <w:bookmarkEnd w:id="914"/>
    </w:p>
    <w:p w14:paraId="39427E03">
      <w:pPr>
        <w:pStyle w:val="4"/>
        <w:spacing w:before="120" w:after="120" w:line="360" w:lineRule="auto"/>
        <w:ind w:left="420" w:leftChars="200" w:firstLine="118"/>
        <w:rPr>
          <w:rFonts w:ascii="Times New Roman" w:hAnsi="Times New Roman" w:eastAsia="宋体"/>
          <w:b/>
          <w:sz w:val="24"/>
          <w:szCs w:val="24"/>
        </w:rPr>
      </w:pPr>
      <w:bookmarkStart w:id="915" w:name="_Toc471218934"/>
      <w:bookmarkStart w:id="916" w:name="_Toc470187221"/>
      <w:bookmarkStart w:id="917" w:name="_Toc371398316"/>
      <w:bookmarkStart w:id="918" w:name="_Toc433185157"/>
      <w:r>
        <w:rPr>
          <w:rFonts w:ascii="Times New Roman" w:hAnsi="Times New Roman" w:eastAsia="宋体"/>
          <w:b/>
          <w:sz w:val="24"/>
          <w:szCs w:val="24"/>
        </w:rPr>
        <w:t>4.1 监理人的违约</w:t>
      </w:r>
      <w:bookmarkEnd w:id="915"/>
      <w:bookmarkEnd w:id="916"/>
      <w:bookmarkEnd w:id="917"/>
      <w:bookmarkEnd w:id="918"/>
    </w:p>
    <w:p w14:paraId="43121C7E">
      <w:pPr>
        <w:snapToGrid w:val="0"/>
        <w:spacing w:line="360" w:lineRule="auto"/>
        <w:ind w:firstLine="480" w:firstLineChars="200"/>
        <w:rPr>
          <w:sz w:val="24"/>
          <w:szCs w:val="24"/>
        </w:rPr>
      </w:pPr>
      <w:r>
        <w:rPr>
          <w:sz w:val="24"/>
          <w:szCs w:val="24"/>
        </w:rPr>
        <w:t>4.1.1  监理人的违约情形</w:t>
      </w:r>
    </w:p>
    <w:p w14:paraId="533ACA4B">
      <w:pPr>
        <w:snapToGrid w:val="0"/>
        <w:spacing w:line="360" w:lineRule="auto"/>
        <w:ind w:firstLine="480" w:firstLineChars="200"/>
        <w:rPr>
          <w:sz w:val="24"/>
          <w:szCs w:val="24"/>
        </w:rPr>
      </w:pPr>
      <w:r>
        <w:rPr>
          <w:sz w:val="24"/>
          <w:szCs w:val="24"/>
        </w:rPr>
        <w:t>4.1.1.1 监理人明确表示或者以行为表明不履行合同义务，或履行义务不符合约定；</w:t>
      </w:r>
    </w:p>
    <w:p w14:paraId="3FD29119">
      <w:pPr>
        <w:snapToGrid w:val="0"/>
        <w:spacing w:line="360" w:lineRule="auto"/>
        <w:ind w:firstLine="480" w:firstLineChars="200"/>
        <w:rPr>
          <w:sz w:val="24"/>
          <w:szCs w:val="24"/>
        </w:rPr>
      </w:pPr>
      <w:r>
        <w:rPr>
          <w:sz w:val="24"/>
          <w:szCs w:val="24"/>
        </w:rPr>
        <w:t>4.1.1.2 监理人违反合同的约定，将监理与相关服务的任何部分转让或分包；</w:t>
      </w:r>
    </w:p>
    <w:p w14:paraId="6F39C7D3">
      <w:pPr>
        <w:snapToGrid w:val="0"/>
        <w:spacing w:line="360" w:lineRule="auto"/>
        <w:ind w:firstLine="480" w:firstLineChars="200"/>
        <w:rPr>
          <w:sz w:val="24"/>
          <w:szCs w:val="24"/>
        </w:rPr>
      </w:pPr>
      <w:r>
        <w:rPr>
          <w:sz w:val="24"/>
          <w:szCs w:val="24"/>
        </w:rPr>
        <w:t>4.1.1.3 违反合同专用条款约定的其他情形。</w:t>
      </w:r>
    </w:p>
    <w:p w14:paraId="2856E80E">
      <w:pPr>
        <w:snapToGrid w:val="0"/>
        <w:spacing w:line="360" w:lineRule="auto"/>
        <w:ind w:firstLine="480" w:firstLineChars="200"/>
        <w:rPr>
          <w:sz w:val="24"/>
          <w:szCs w:val="24"/>
        </w:rPr>
      </w:pPr>
      <w:r>
        <w:rPr>
          <w:sz w:val="24"/>
          <w:szCs w:val="24"/>
        </w:rPr>
        <w:t>4.1.2 监理人的违约责任</w:t>
      </w:r>
    </w:p>
    <w:p w14:paraId="244A0929">
      <w:pPr>
        <w:snapToGrid w:val="0"/>
        <w:spacing w:line="360" w:lineRule="auto"/>
        <w:ind w:firstLine="480" w:firstLineChars="200"/>
        <w:rPr>
          <w:sz w:val="24"/>
          <w:szCs w:val="24"/>
        </w:rPr>
      </w:pPr>
      <w:r>
        <w:rPr>
          <w:sz w:val="24"/>
          <w:szCs w:val="24"/>
        </w:rPr>
        <w:t>4.1.2.1 监理人违反合同约定，在第6.3款约定的时间内，拒绝改正的，委托人有权解除合同；</w:t>
      </w:r>
    </w:p>
    <w:p w14:paraId="70486325">
      <w:pPr>
        <w:snapToGrid w:val="0"/>
        <w:spacing w:line="360" w:lineRule="auto"/>
        <w:ind w:firstLine="480" w:firstLineChars="200"/>
        <w:rPr>
          <w:sz w:val="24"/>
          <w:szCs w:val="24"/>
        </w:rPr>
      </w:pPr>
      <w:r>
        <w:rPr>
          <w:sz w:val="24"/>
          <w:szCs w:val="24"/>
        </w:rPr>
        <w:t>4.1.2.2因监理人违反本合同约定给委托人造成损失的，监理人应当赔偿委托人损失。赔偿金额的确定方法在合同专用条款中约定。监理人承担部分赔偿责任的，其承担赔偿金额由双方协商确定。</w:t>
      </w:r>
    </w:p>
    <w:p w14:paraId="7A067C84">
      <w:pPr>
        <w:pStyle w:val="4"/>
        <w:spacing w:before="120" w:after="120" w:line="360" w:lineRule="auto"/>
        <w:ind w:left="420" w:leftChars="200" w:firstLine="118"/>
        <w:rPr>
          <w:rFonts w:ascii="Times New Roman" w:hAnsi="Times New Roman" w:eastAsia="宋体"/>
          <w:b/>
          <w:sz w:val="24"/>
          <w:szCs w:val="24"/>
        </w:rPr>
      </w:pPr>
      <w:bookmarkStart w:id="919" w:name="_Toc471218935"/>
      <w:bookmarkStart w:id="920" w:name="_Toc433185158"/>
      <w:bookmarkStart w:id="921" w:name="_Toc371398317"/>
      <w:bookmarkStart w:id="922" w:name="_Toc470187222"/>
      <w:r>
        <w:rPr>
          <w:rFonts w:ascii="Times New Roman" w:hAnsi="Times New Roman" w:eastAsia="宋体"/>
          <w:b/>
          <w:sz w:val="24"/>
          <w:szCs w:val="24"/>
        </w:rPr>
        <w:t>4.2 委托人的违约</w:t>
      </w:r>
      <w:bookmarkEnd w:id="919"/>
      <w:bookmarkEnd w:id="920"/>
      <w:bookmarkEnd w:id="921"/>
      <w:bookmarkEnd w:id="922"/>
    </w:p>
    <w:p w14:paraId="2AEB81DB">
      <w:pPr>
        <w:snapToGrid w:val="0"/>
        <w:spacing w:line="360" w:lineRule="auto"/>
        <w:ind w:firstLine="480" w:firstLineChars="200"/>
        <w:rPr>
          <w:sz w:val="24"/>
          <w:szCs w:val="24"/>
        </w:rPr>
      </w:pPr>
      <w:bookmarkStart w:id="923" w:name="_Toc343091309"/>
      <w:r>
        <w:rPr>
          <w:sz w:val="24"/>
          <w:szCs w:val="24"/>
        </w:rPr>
        <w:t>4.2.1 委托人的违约情形</w:t>
      </w:r>
      <w:bookmarkEnd w:id="923"/>
    </w:p>
    <w:p w14:paraId="14258140">
      <w:pPr>
        <w:snapToGrid w:val="0"/>
        <w:spacing w:line="360" w:lineRule="auto"/>
        <w:ind w:firstLine="480" w:firstLineChars="200"/>
        <w:rPr>
          <w:sz w:val="24"/>
          <w:szCs w:val="24"/>
        </w:rPr>
      </w:pPr>
      <w:r>
        <w:rPr>
          <w:sz w:val="24"/>
          <w:szCs w:val="24"/>
        </w:rPr>
        <w:t>4.2.1.1 明确表示或者以行为表明不履行合同义务，或履行义务不符合约定；</w:t>
      </w:r>
    </w:p>
    <w:p w14:paraId="2BAEDF8A">
      <w:pPr>
        <w:snapToGrid w:val="0"/>
        <w:spacing w:line="360" w:lineRule="auto"/>
        <w:ind w:firstLine="480" w:firstLineChars="200"/>
        <w:rPr>
          <w:sz w:val="24"/>
          <w:szCs w:val="24"/>
        </w:rPr>
      </w:pPr>
      <w:r>
        <w:rPr>
          <w:sz w:val="24"/>
          <w:szCs w:val="24"/>
        </w:rPr>
        <w:t>4.2.1.2 未按合同约定支付酬金；</w:t>
      </w:r>
    </w:p>
    <w:p w14:paraId="57A9F794">
      <w:pPr>
        <w:snapToGrid w:val="0"/>
        <w:spacing w:line="360" w:lineRule="auto"/>
        <w:ind w:firstLine="480" w:firstLineChars="200"/>
        <w:rPr>
          <w:sz w:val="24"/>
          <w:szCs w:val="24"/>
        </w:rPr>
      </w:pPr>
      <w:r>
        <w:rPr>
          <w:sz w:val="24"/>
          <w:szCs w:val="24"/>
        </w:rPr>
        <w:t>4.2.1.3 违反合同专用条款约定的其他情形。</w:t>
      </w:r>
    </w:p>
    <w:p w14:paraId="2635D866">
      <w:pPr>
        <w:snapToGrid w:val="0"/>
        <w:spacing w:line="360" w:lineRule="auto"/>
        <w:ind w:firstLine="480" w:firstLineChars="200"/>
        <w:rPr>
          <w:sz w:val="24"/>
          <w:szCs w:val="24"/>
        </w:rPr>
      </w:pPr>
      <w:bookmarkStart w:id="924" w:name="_Toc343091310"/>
      <w:r>
        <w:rPr>
          <w:sz w:val="24"/>
          <w:szCs w:val="24"/>
        </w:rPr>
        <w:t>4.2.2 委托人的违约责任</w:t>
      </w:r>
      <w:bookmarkEnd w:id="924"/>
    </w:p>
    <w:p w14:paraId="3AFDBC02">
      <w:pPr>
        <w:snapToGrid w:val="0"/>
        <w:spacing w:line="360" w:lineRule="auto"/>
        <w:ind w:firstLine="480" w:firstLineChars="200"/>
        <w:rPr>
          <w:sz w:val="24"/>
          <w:szCs w:val="24"/>
        </w:rPr>
      </w:pPr>
      <w:r>
        <w:rPr>
          <w:sz w:val="24"/>
          <w:szCs w:val="24"/>
        </w:rPr>
        <w:t>4.2.2.1 委托人违反合同的约定并造成监理人的经济损失，应当向监理人赔偿，赔偿金额的确定方法在合同专用条款中约定。</w:t>
      </w:r>
    </w:p>
    <w:p w14:paraId="1C765C55">
      <w:pPr>
        <w:adjustRightInd w:val="0"/>
        <w:snapToGrid w:val="0"/>
        <w:spacing w:line="360" w:lineRule="auto"/>
        <w:ind w:firstLine="480" w:firstLineChars="200"/>
        <w:rPr>
          <w:sz w:val="24"/>
          <w:szCs w:val="24"/>
        </w:rPr>
      </w:pPr>
      <w:r>
        <w:rPr>
          <w:sz w:val="24"/>
          <w:szCs w:val="24"/>
        </w:rPr>
        <w:t xml:space="preserve">4.2.2.2委托人未能按期支付酬金超过28天，应当支付逾期付款利息，监理人可依据第6.3.2项解除合同，逾期付款利息按下述方法确定： </w:t>
      </w:r>
    </w:p>
    <w:p w14:paraId="3A1CE190">
      <w:pPr>
        <w:spacing w:line="360" w:lineRule="auto"/>
        <w:ind w:firstLine="480" w:firstLineChars="200"/>
        <w:rPr>
          <w:sz w:val="24"/>
          <w:szCs w:val="24"/>
        </w:rPr>
      </w:pPr>
      <w:r>
        <w:rPr>
          <w:sz w:val="24"/>
          <w:szCs w:val="24"/>
        </w:rPr>
        <w:t>逾期付款利息＝当期应付酬金总额×中国人民银行发布的同期同类贷款利率×拖延支付天数</w:t>
      </w:r>
    </w:p>
    <w:p w14:paraId="7A933A7F">
      <w:pPr>
        <w:pStyle w:val="4"/>
        <w:spacing w:before="120" w:after="120" w:line="360" w:lineRule="auto"/>
        <w:ind w:left="420" w:leftChars="200" w:firstLine="118"/>
        <w:rPr>
          <w:rFonts w:ascii="Times New Roman" w:hAnsi="Times New Roman" w:eastAsia="宋体"/>
          <w:b/>
          <w:sz w:val="24"/>
          <w:szCs w:val="24"/>
        </w:rPr>
      </w:pPr>
      <w:bookmarkStart w:id="925" w:name="_Toc371398318"/>
      <w:bookmarkStart w:id="926" w:name="_Toc471218936"/>
      <w:bookmarkStart w:id="927" w:name="_Toc470187223"/>
      <w:bookmarkStart w:id="928" w:name="_Toc433185159"/>
      <w:r>
        <w:rPr>
          <w:rFonts w:ascii="Times New Roman" w:hAnsi="Times New Roman" w:eastAsia="宋体"/>
          <w:b/>
          <w:sz w:val="24"/>
          <w:szCs w:val="24"/>
        </w:rPr>
        <w:t>4.3 除外责任</w:t>
      </w:r>
      <w:bookmarkEnd w:id="925"/>
      <w:bookmarkEnd w:id="926"/>
      <w:bookmarkEnd w:id="927"/>
      <w:bookmarkEnd w:id="928"/>
    </w:p>
    <w:p w14:paraId="700BAF48">
      <w:pPr>
        <w:adjustRightInd w:val="0"/>
        <w:snapToGrid w:val="0"/>
        <w:spacing w:line="360" w:lineRule="auto"/>
        <w:ind w:firstLine="480" w:firstLineChars="200"/>
        <w:rPr>
          <w:sz w:val="24"/>
          <w:szCs w:val="24"/>
        </w:rPr>
      </w:pPr>
      <w:r>
        <w:rPr>
          <w:sz w:val="24"/>
          <w:szCs w:val="24"/>
        </w:rPr>
        <w:t>因非监理人的原因，且监理人无过错，发生工程质量事故、安全事故、工期延误等造成的损失，监理人不承担违约责任。</w:t>
      </w:r>
    </w:p>
    <w:p w14:paraId="47B015C6">
      <w:pPr>
        <w:snapToGrid w:val="0"/>
        <w:spacing w:line="360" w:lineRule="auto"/>
        <w:ind w:firstLine="480" w:firstLineChars="200"/>
        <w:rPr>
          <w:sz w:val="24"/>
          <w:szCs w:val="24"/>
        </w:rPr>
      </w:pPr>
      <w:r>
        <w:rPr>
          <w:sz w:val="24"/>
          <w:szCs w:val="24"/>
        </w:rPr>
        <w:t>因不可抗力导致合同全部或部分不能履行时，双方各自承担其因此而造成的损失、损害。</w:t>
      </w:r>
    </w:p>
    <w:p w14:paraId="7C2491F6">
      <w:pPr>
        <w:autoSpaceDE w:val="0"/>
        <w:autoSpaceDN w:val="0"/>
        <w:adjustRightInd w:val="0"/>
        <w:spacing w:before="156" w:beforeLines="50" w:line="360" w:lineRule="auto"/>
        <w:outlineLvl w:val="0"/>
        <w:rPr>
          <w:b/>
          <w:sz w:val="24"/>
          <w:szCs w:val="24"/>
        </w:rPr>
      </w:pPr>
      <w:bookmarkStart w:id="929" w:name="_Toc471218937"/>
      <w:bookmarkStart w:id="930" w:name="_Toc470187224"/>
      <w:bookmarkStart w:id="931" w:name="_Toc371398319"/>
      <w:r>
        <w:rPr>
          <w:b/>
          <w:sz w:val="24"/>
          <w:szCs w:val="24"/>
        </w:rPr>
        <w:t>5. 支付</w:t>
      </w:r>
      <w:bookmarkEnd w:id="929"/>
      <w:bookmarkEnd w:id="930"/>
      <w:bookmarkEnd w:id="931"/>
    </w:p>
    <w:p w14:paraId="5973C75B">
      <w:pPr>
        <w:pStyle w:val="4"/>
        <w:spacing w:before="120" w:after="120" w:line="360" w:lineRule="auto"/>
        <w:ind w:left="420" w:leftChars="200" w:firstLine="118"/>
        <w:rPr>
          <w:rFonts w:ascii="Times New Roman" w:hAnsi="Times New Roman" w:eastAsia="宋体"/>
          <w:b/>
          <w:sz w:val="24"/>
          <w:szCs w:val="24"/>
        </w:rPr>
      </w:pPr>
      <w:bookmarkStart w:id="932" w:name="_Toc433185161"/>
      <w:bookmarkStart w:id="933" w:name="_Toc371398320"/>
      <w:bookmarkStart w:id="934" w:name="_Toc470187225"/>
      <w:bookmarkStart w:id="935" w:name="_Toc471218938"/>
      <w:r>
        <w:rPr>
          <w:rFonts w:ascii="Times New Roman" w:hAnsi="Times New Roman" w:eastAsia="宋体"/>
          <w:b/>
          <w:sz w:val="24"/>
          <w:szCs w:val="24"/>
        </w:rPr>
        <w:t>5.1 支付货币</w:t>
      </w:r>
      <w:bookmarkEnd w:id="932"/>
      <w:bookmarkEnd w:id="933"/>
      <w:bookmarkEnd w:id="934"/>
      <w:bookmarkEnd w:id="935"/>
    </w:p>
    <w:p w14:paraId="4DC3A9BC">
      <w:pPr>
        <w:snapToGrid w:val="0"/>
        <w:spacing w:line="360" w:lineRule="auto"/>
        <w:ind w:firstLine="480" w:firstLineChars="200"/>
        <w:rPr>
          <w:sz w:val="24"/>
          <w:szCs w:val="24"/>
        </w:rPr>
      </w:pPr>
      <w:r>
        <w:rPr>
          <w:sz w:val="24"/>
          <w:szCs w:val="24"/>
        </w:rPr>
        <w:t>除合同专用条款另有约定外，酬金均以人民币支付。</w:t>
      </w:r>
    </w:p>
    <w:p w14:paraId="7F9CB4E8">
      <w:pPr>
        <w:pStyle w:val="4"/>
        <w:spacing w:before="120" w:after="120" w:line="360" w:lineRule="auto"/>
        <w:ind w:left="420" w:leftChars="200" w:firstLine="118"/>
        <w:rPr>
          <w:rFonts w:ascii="Times New Roman" w:hAnsi="Times New Roman" w:eastAsia="宋体"/>
          <w:b/>
          <w:sz w:val="24"/>
          <w:szCs w:val="24"/>
        </w:rPr>
      </w:pPr>
      <w:bookmarkStart w:id="936" w:name="_Toc433185162"/>
      <w:bookmarkStart w:id="937" w:name="_Toc470187226"/>
      <w:bookmarkStart w:id="938" w:name="_Toc371398321"/>
      <w:bookmarkStart w:id="939" w:name="_Toc471218939"/>
      <w:r>
        <w:rPr>
          <w:rFonts w:ascii="Times New Roman" w:hAnsi="Times New Roman" w:eastAsia="宋体"/>
          <w:b/>
          <w:sz w:val="24"/>
          <w:szCs w:val="24"/>
        </w:rPr>
        <w:t>5.2 首付款</w:t>
      </w:r>
      <w:bookmarkEnd w:id="936"/>
      <w:bookmarkEnd w:id="937"/>
      <w:bookmarkEnd w:id="938"/>
      <w:bookmarkEnd w:id="939"/>
    </w:p>
    <w:p w14:paraId="7EFBF560">
      <w:pPr>
        <w:snapToGrid w:val="0"/>
        <w:spacing w:line="360" w:lineRule="auto"/>
        <w:ind w:firstLine="480" w:firstLineChars="200"/>
        <w:rPr>
          <w:sz w:val="24"/>
          <w:szCs w:val="24"/>
          <w:highlight w:val="none"/>
        </w:rPr>
      </w:pPr>
      <w:r>
        <w:rPr>
          <w:sz w:val="24"/>
          <w:szCs w:val="24"/>
          <w:highlight w:val="none"/>
        </w:rPr>
        <w:t>除合同专用条款另有约定外，委托人应当在双方签订合同后14天内向监理人支付首付款，额度为签约监理酬金的20%</w:t>
      </w:r>
      <w:r>
        <w:rPr>
          <w:rFonts w:hint="eastAsia"/>
          <w:sz w:val="24"/>
          <w:szCs w:val="24"/>
          <w:highlight w:val="none"/>
          <w:lang w:eastAsia="zh-CN"/>
        </w:rPr>
        <w:t>，</w:t>
      </w:r>
      <w:r>
        <w:rPr>
          <w:rFonts w:hint="eastAsia"/>
          <w:sz w:val="24"/>
          <w:szCs w:val="24"/>
          <w:highlight w:val="none"/>
        </w:rPr>
        <w:t>具体付款约定按专用条款5.3.1 相应约定执行。</w:t>
      </w:r>
    </w:p>
    <w:p w14:paraId="5DD27D81">
      <w:pPr>
        <w:pStyle w:val="4"/>
        <w:spacing w:before="120" w:after="120" w:line="360" w:lineRule="auto"/>
        <w:ind w:left="420" w:leftChars="200" w:firstLine="118"/>
        <w:rPr>
          <w:rFonts w:ascii="Times New Roman" w:hAnsi="Times New Roman" w:eastAsia="宋体"/>
          <w:b/>
          <w:sz w:val="24"/>
          <w:szCs w:val="24"/>
          <w:lang w:eastAsia="zh-CN"/>
        </w:rPr>
      </w:pPr>
      <w:bookmarkStart w:id="940" w:name="_Toc371398322"/>
      <w:bookmarkStart w:id="941" w:name="_Toc471218940"/>
      <w:bookmarkStart w:id="942" w:name="_Toc433185163"/>
      <w:bookmarkStart w:id="943" w:name="_Toc470187227"/>
      <w:r>
        <w:rPr>
          <w:rFonts w:ascii="Times New Roman" w:hAnsi="Times New Roman" w:eastAsia="宋体"/>
          <w:b/>
          <w:sz w:val="24"/>
          <w:szCs w:val="24"/>
        </w:rPr>
        <w:t>5.3 中</w:t>
      </w:r>
      <w:r>
        <w:rPr>
          <w:rFonts w:ascii="Times New Roman" w:hAnsi="Times New Roman" w:eastAsia="宋体"/>
          <w:b/>
          <w:sz w:val="24"/>
          <w:szCs w:val="24"/>
          <w:lang w:eastAsia="zh-CN"/>
        </w:rPr>
        <w:t>期</w:t>
      </w:r>
      <w:r>
        <w:rPr>
          <w:rFonts w:ascii="Times New Roman" w:hAnsi="Times New Roman" w:eastAsia="宋体"/>
          <w:b/>
          <w:sz w:val="24"/>
          <w:szCs w:val="24"/>
        </w:rPr>
        <w:t>支付</w:t>
      </w:r>
      <w:bookmarkEnd w:id="940"/>
      <w:bookmarkEnd w:id="941"/>
      <w:bookmarkEnd w:id="942"/>
      <w:bookmarkEnd w:id="943"/>
    </w:p>
    <w:p w14:paraId="25244971">
      <w:pPr>
        <w:snapToGrid w:val="0"/>
        <w:spacing w:line="360" w:lineRule="auto"/>
        <w:ind w:firstLine="480"/>
        <w:rPr>
          <w:sz w:val="24"/>
          <w:szCs w:val="24"/>
        </w:rPr>
      </w:pPr>
      <w:r>
        <w:rPr>
          <w:sz w:val="24"/>
          <w:szCs w:val="24"/>
        </w:rPr>
        <w:t>5.3.1监理酬金</w:t>
      </w:r>
    </w:p>
    <w:p w14:paraId="0341E074">
      <w:pPr>
        <w:snapToGrid w:val="0"/>
        <w:spacing w:line="360" w:lineRule="auto"/>
        <w:ind w:firstLine="480"/>
        <w:rPr>
          <w:sz w:val="24"/>
          <w:szCs w:val="24"/>
        </w:rPr>
      </w:pPr>
      <w:r>
        <w:rPr>
          <w:sz w:val="24"/>
          <w:szCs w:val="24"/>
        </w:rPr>
        <w:t>委托人采用总价平均、分期支付的方式按月向监理人支付监理酬金。具体支付方式在合同专用条款中约定。</w:t>
      </w:r>
    </w:p>
    <w:p w14:paraId="27E1BBCF">
      <w:pPr>
        <w:snapToGrid w:val="0"/>
        <w:spacing w:line="360" w:lineRule="auto"/>
        <w:ind w:firstLine="480"/>
        <w:rPr>
          <w:sz w:val="24"/>
          <w:szCs w:val="24"/>
        </w:rPr>
      </w:pPr>
      <w:r>
        <w:rPr>
          <w:sz w:val="24"/>
          <w:szCs w:val="24"/>
        </w:rPr>
        <w:t>5.3.2相关服务酬金</w:t>
      </w:r>
    </w:p>
    <w:p w14:paraId="5025A9C5">
      <w:pPr>
        <w:snapToGrid w:val="0"/>
        <w:spacing w:line="360" w:lineRule="auto"/>
        <w:ind w:firstLine="480"/>
        <w:rPr>
          <w:sz w:val="24"/>
          <w:szCs w:val="24"/>
        </w:rPr>
      </w:pPr>
      <w:r>
        <w:rPr>
          <w:sz w:val="24"/>
          <w:szCs w:val="24"/>
        </w:rPr>
        <w:t>相关服务酬金按合同约定的人工日费用，根据实际工作时间支付。具体支付方式在合同专用条款中约定。</w:t>
      </w:r>
    </w:p>
    <w:p w14:paraId="4C3100B0">
      <w:pPr>
        <w:snapToGrid w:val="0"/>
        <w:spacing w:line="360" w:lineRule="auto"/>
        <w:ind w:firstLine="480"/>
        <w:rPr>
          <w:sz w:val="24"/>
          <w:szCs w:val="24"/>
        </w:rPr>
      </w:pPr>
      <w:r>
        <w:rPr>
          <w:sz w:val="24"/>
          <w:szCs w:val="24"/>
        </w:rPr>
        <w:t>5.3.3附加工作酬金</w:t>
      </w:r>
    </w:p>
    <w:p w14:paraId="4B8AD6CE">
      <w:pPr>
        <w:snapToGrid w:val="0"/>
        <w:spacing w:line="360" w:lineRule="auto"/>
        <w:ind w:firstLine="480"/>
        <w:rPr>
          <w:sz w:val="24"/>
          <w:szCs w:val="24"/>
        </w:rPr>
      </w:pPr>
      <w:r>
        <w:rPr>
          <w:sz w:val="24"/>
          <w:szCs w:val="24"/>
        </w:rPr>
        <w:t>附加工作酬金经双方确定后按月支付。具体支付方式在合同专用条款中约定。</w:t>
      </w:r>
    </w:p>
    <w:p w14:paraId="0CF76BBB">
      <w:pPr>
        <w:snapToGrid w:val="0"/>
        <w:spacing w:line="360" w:lineRule="auto"/>
        <w:ind w:firstLine="480"/>
        <w:rPr>
          <w:sz w:val="24"/>
          <w:szCs w:val="24"/>
        </w:rPr>
      </w:pPr>
      <w:r>
        <w:rPr>
          <w:sz w:val="24"/>
          <w:szCs w:val="24"/>
        </w:rPr>
        <w:t>5.3.4补偿费用</w:t>
      </w:r>
    </w:p>
    <w:p w14:paraId="0CBF0D1B">
      <w:pPr>
        <w:snapToGrid w:val="0"/>
        <w:spacing w:line="360" w:lineRule="auto"/>
        <w:ind w:firstLine="480"/>
        <w:rPr>
          <w:sz w:val="24"/>
          <w:szCs w:val="24"/>
        </w:rPr>
      </w:pPr>
      <w:r>
        <w:rPr>
          <w:sz w:val="24"/>
          <w:szCs w:val="24"/>
        </w:rPr>
        <w:t>补偿费用的支付方法在合同专用条款中约定。</w:t>
      </w:r>
    </w:p>
    <w:p w14:paraId="1978E842">
      <w:pPr>
        <w:snapToGrid w:val="0"/>
        <w:spacing w:line="360" w:lineRule="auto"/>
        <w:ind w:firstLine="480"/>
        <w:rPr>
          <w:sz w:val="24"/>
          <w:szCs w:val="24"/>
        </w:rPr>
      </w:pPr>
      <w:r>
        <w:rPr>
          <w:sz w:val="24"/>
          <w:szCs w:val="24"/>
        </w:rPr>
        <w:t>5.3.5合理化建议奖励</w:t>
      </w:r>
    </w:p>
    <w:p w14:paraId="297CB4EF">
      <w:pPr>
        <w:snapToGrid w:val="0"/>
        <w:spacing w:line="360" w:lineRule="auto"/>
        <w:ind w:firstLine="480"/>
        <w:rPr>
          <w:sz w:val="24"/>
          <w:szCs w:val="24"/>
        </w:rPr>
      </w:pPr>
      <w:r>
        <w:rPr>
          <w:sz w:val="24"/>
          <w:szCs w:val="24"/>
        </w:rPr>
        <w:t>监理人提出合理化建议奖励金额的支付方法在合同专用条款中约定。</w:t>
      </w:r>
    </w:p>
    <w:p w14:paraId="4E742C52">
      <w:pPr>
        <w:snapToGrid w:val="0"/>
        <w:spacing w:line="360" w:lineRule="auto"/>
        <w:ind w:firstLine="480"/>
        <w:rPr>
          <w:sz w:val="24"/>
          <w:szCs w:val="24"/>
        </w:rPr>
      </w:pPr>
      <w:r>
        <w:rPr>
          <w:sz w:val="24"/>
          <w:szCs w:val="24"/>
        </w:rPr>
        <w:t>5.3.6竣工支付</w:t>
      </w:r>
    </w:p>
    <w:p w14:paraId="1CE70EC6">
      <w:pPr>
        <w:snapToGrid w:val="0"/>
        <w:spacing w:line="360" w:lineRule="auto"/>
        <w:ind w:firstLine="514"/>
        <w:rPr>
          <w:sz w:val="24"/>
          <w:szCs w:val="24"/>
        </w:rPr>
      </w:pPr>
      <w:r>
        <w:rPr>
          <w:sz w:val="24"/>
          <w:szCs w:val="24"/>
        </w:rPr>
        <w:t>工程竣工验收时，委托人累计支付的酬金比例应当不少于合同约定酬金总和的90%。</w:t>
      </w:r>
    </w:p>
    <w:p w14:paraId="0D7D9ADD">
      <w:pPr>
        <w:snapToGrid w:val="0"/>
        <w:spacing w:line="360" w:lineRule="auto"/>
        <w:ind w:firstLine="480"/>
        <w:rPr>
          <w:sz w:val="24"/>
          <w:szCs w:val="24"/>
        </w:rPr>
      </w:pPr>
      <w:r>
        <w:rPr>
          <w:sz w:val="24"/>
          <w:szCs w:val="24"/>
        </w:rPr>
        <w:t>如委托人未按约定支付，监理人可不签署工程竣工验收及移交竣工文件。</w:t>
      </w:r>
    </w:p>
    <w:p w14:paraId="7853A6CD">
      <w:pPr>
        <w:snapToGrid w:val="0"/>
        <w:spacing w:line="360" w:lineRule="auto"/>
        <w:ind w:firstLine="480"/>
        <w:rPr>
          <w:sz w:val="24"/>
          <w:szCs w:val="24"/>
        </w:rPr>
      </w:pPr>
      <w:r>
        <w:rPr>
          <w:sz w:val="24"/>
          <w:szCs w:val="24"/>
        </w:rPr>
        <w:t>5.3.7支付申请</w:t>
      </w:r>
    </w:p>
    <w:p w14:paraId="2172C7E8">
      <w:pPr>
        <w:snapToGrid w:val="0"/>
        <w:spacing w:line="360" w:lineRule="auto"/>
        <w:ind w:firstLine="480"/>
        <w:rPr>
          <w:sz w:val="24"/>
          <w:szCs w:val="24"/>
        </w:rPr>
      </w:pPr>
      <w:r>
        <w:rPr>
          <w:sz w:val="24"/>
          <w:szCs w:val="24"/>
        </w:rPr>
        <w:t>监理人应当在合同约定的每个支付周期结束后的7天内，以书面形式向委托人提交支付申请书。支付申请书应当说明当期应付酬金和费用总额及细目、金额。</w:t>
      </w:r>
    </w:p>
    <w:p w14:paraId="6DD97072">
      <w:pPr>
        <w:snapToGrid w:val="0"/>
        <w:spacing w:line="360" w:lineRule="auto"/>
        <w:ind w:firstLine="480"/>
        <w:rPr>
          <w:sz w:val="24"/>
          <w:szCs w:val="24"/>
        </w:rPr>
      </w:pPr>
      <w:r>
        <w:rPr>
          <w:sz w:val="24"/>
          <w:szCs w:val="24"/>
        </w:rPr>
        <w:t>支付申请书应当包括以下内容：</w:t>
      </w:r>
    </w:p>
    <w:p w14:paraId="0D652D1A">
      <w:pPr>
        <w:snapToGrid w:val="0"/>
        <w:spacing w:line="360" w:lineRule="auto"/>
        <w:ind w:firstLine="480"/>
        <w:rPr>
          <w:sz w:val="24"/>
          <w:szCs w:val="24"/>
        </w:rPr>
      </w:pPr>
      <w:r>
        <w:rPr>
          <w:sz w:val="24"/>
          <w:szCs w:val="24"/>
        </w:rPr>
        <w:t>（1）截至本次付款周期应当支付的酬金；</w:t>
      </w:r>
    </w:p>
    <w:p w14:paraId="211EC2A4">
      <w:pPr>
        <w:snapToGrid w:val="0"/>
        <w:spacing w:line="360" w:lineRule="auto"/>
        <w:ind w:firstLine="480"/>
        <w:rPr>
          <w:sz w:val="24"/>
          <w:szCs w:val="24"/>
        </w:rPr>
      </w:pPr>
      <w:r>
        <w:rPr>
          <w:sz w:val="24"/>
          <w:szCs w:val="24"/>
        </w:rPr>
        <w:t>（2）根据第4.1、4.2款确定的违约金和赔偿金；</w:t>
      </w:r>
    </w:p>
    <w:p w14:paraId="416ED4D1">
      <w:pPr>
        <w:snapToGrid w:val="0"/>
        <w:spacing w:line="360" w:lineRule="auto"/>
        <w:ind w:firstLine="480"/>
        <w:rPr>
          <w:sz w:val="24"/>
          <w:szCs w:val="24"/>
        </w:rPr>
      </w:pPr>
      <w:r>
        <w:rPr>
          <w:sz w:val="24"/>
          <w:szCs w:val="24"/>
        </w:rPr>
        <w:t>（3）根据第5.3.4项约定的补偿费用；</w:t>
      </w:r>
    </w:p>
    <w:p w14:paraId="525EED28">
      <w:pPr>
        <w:snapToGrid w:val="0"/>
        <w:spacing w:line="360" w:lineRule="auto"/>
        <w:ind w:firstLine="480"/>
        <w:rPr>
          <w:sz w:val="24"/>
          <w:szCs w:val="24"/>
        </w:rPr>
      </w:pPr>
      <w:r>
        <w:rPr>
          <w:sz w:val="24"/>
          <w:szCs w:val="24"/>
        </w:rPr>
        <w:t>（4）根据第5.3.5项约定应当支付的合理化建议奖励；</w:t>
      </w:r>
    </w:p>
    <w:p w14:paraId="1D59AD50">
      <w:pPr>
        <w:snapToGrid w:val="0"/>
        <w:spacing w:line="360" w:lineRule="auto"/>
        <w:ind w:firstLine="480"/>
        <w:rPr>
          <w:sz w:val="24"/>
          <w:szCs w:val="24"/>
        </w:rPr>
      </w:pPr>
      <w:r>
        <w:rPr>
          <w:sz w:val="24"/>
          <w:szCs w:val="24"/>
        </w:rPr>
        <w:t>（5）根据第6.2款应当增加或扣减的变更金额；</w:t>
      </w:r>
    </w:p>
    <w:p w14:paraId="384FFF88">
      <w:pPr>
        <w:snapToGrid w:val="0"/>
        <w:spacing w:line="360" w:lineRule="auto"/>
        <w:ind w:firstLine="480"/>
        <w:rPr>
          <w:sz w:val="24"/>
          <w:szCs w:val="24"/>
        </w:rPr>
      </w:pPr>
      <w:r>
        <w:rPr>
          <w:sz w:val="24"/>
          <w:szCs w:val="24"/>
        </w:rPr>
        <w:t>（6）根据合同应当增加和扣减的其他金额。</w:t>
      </w:r>
    </w:p>
    <w:p w14:paraId="13B447B7">
      <w:pPr>
        <w:snapToGrid w:val="0"/>
        <w:spacing w:line="360" w:lineRule="auto"/>
        <w:ind w:firstLine="480"/>
        <w:rPr>
          <w:sz w:val="24"/>
          <w:szCs w:val="24"/>
        </w:rPr>
      </w:pPr>
      <w:r>
        <w:rPr>
          <w:sz w:val="24"/>
          <w:szCs w:val="24"/>
        </w:rPr>
        <w:t>5.3.8支付时限</w:t>
      </w:r>
    </w:p>
    <w:p w14:paraId="12ECDD0F">
      <w:pPr>
        <w:snapToGrid w:val="0"/>
        <w:spacing w:line="360" w:lineRule="auto"/>
        <w:ind w:firstLine="480"/>
        <w:rPr>
          <w:sz w:val="24"/>
          <w:szCs w:val="24"/>
        </w:rPr>
      </w:pPr>
      <w:r>
        <w:rPr>
          <w:sz w:val="24"/>
          <w:szCs w:val="24"/>
        </w:rPr>
        <w:t>除合同专用条款另有约定外，委托人应当在收到监理支付申请后7天内予以审批，在批复后14天内向监理人支付酬金。</w:t>
      </w:r>
    </w:p>
    <w:p w14:paraId="77A117D3">
      <w:pPr>
        <w:pStyle w:val="4"/>
        <w:spacing w:before="120" w:after="120" w:line="360" w:lineRule="auto"/>
        <w:ind w:left="420" w:leftChars="200" w:firstLine="118"/>
        <w:rPr>
          <w:rFonts w:ascii="Times New Roman" w:hAnsi="Times New Roman" w:eastAsia="宋体"/>
          <w:b/>
          <w:sz w:val="24"/>
          <w:szCs w:val="24"/>
        </w:rPr>
      </w:pPr>
      <w:bookmarkStart w:id="944" w:name="_Toc470187228"/>
      <w:bookmarkStart w:id="945" w:name="_Toc433185164"/>
      <w:bookmarkStart w:id="946" w:name="_Toc371398323"/>
      <w:bookmarkStart w:id="947" w:name="_Toc471218941"/>
      <w:r>
        <w:rPr>
          <w:rFonts w:ascii="Times New Roman" w:hAnsi="Times New Roman" w:eastAsia="宋体"/>
          <w:b/>
          <w:sz w:val="24"/>
          <w:szCs w:val="24"/>
        </w:rPr>
        <w:t>5.4 有争议部分的付款</w:t>
      </w:r>
      <w:bookmarkEnd w:id="944"/>
      <w:bookmarkEnd w:id="945"/>
      <w:bookmarkEnd w:id="946"/>
      <w:bookmarkEnd w:id="947"/>
    </w:p>
    <w:p w14:paraId="171E2B6D">
      <w:pPr>
        <w:snapToGrid w:val="0"/>
        <w:spacing w:line="360" w:lineRule="auto"/>
        <w:ind w:firstLine="420"/>
        <w:rPr>
          <w:sz w:val="24"/>
          <w:szCs w:val="24"/>
        </w:rPr>
      </w:pPr>
      <w:r>
        <w:rPr>
          <w:sz w:val="24"/>
          <w:szCs w:val="24"/>
        </w:rPr>
        <w:t>委托人对监理人提交的支付申请书有异议时，应当在收到监理人提交的支付申请书后7天内，以书面形式向监理人发出异议通知。无异议部分的款项应当按期支付，有异议部分的款项按第7条约定办理。</w:t>
      </w:r>
    </w:p>
    <w:p w14:paraId="26A2A658">
      <w:pPr>
        <w:pStyle w:val="4"/>
        <w:spacing w:before="120" w:after="120" w:line="360" w:lineRule="auto"/>
        <w:ind w:left="420" w:leftChars="200" w:firstLine="118"/>
        <w:rPr>
          <w:rFonts w:ascii="Times New Roman" w:hAnsi="Times New Roman" w:eastAsia="宋体"/>
          <w:b/>
          <w:sz w:val="24"/>
          <w:szCs w:val="24"/>
          <w:lang w:eastAsia="zh-CN"/>
        </w:rPr>
      </w:pPr>
      <w:bookmarkStart w:id="948" w:name="_Toc471218942"/>
      <w:bookmarkStart w:id="949" w:name="_Toc371398324"/>
      <w:bookmarkStart w:id="950" w:name="_Toc433185165"/>
      <w:bookmarkStart w:id="951" w:name="_Toc470187229"/>
      <w:r>
        <w:rPr>
          <w:rFonts w:ascii="Times New Roman" w:hAnsi="Times New Roman" w:eastAsia="宋体"/>
          <w:b/>
          <w:sz w:val="24"/>
          <w:szCs w:val="24"/>
        </w:rPr>
        <w:t>5.5 结算</w:t>
      </w:r>
      <w:bookmarkEnd w:id="948"/>
      <w:bookmarkEnd w:id="949"/>
      <w:bookmarkEnd w:id="950"/>
      <w:bookmarkEnd w:id="951"/>
    </w:p>
    <w:p w14:paraId="53DCC51C">
      <w:pPr>
        <w:snapToGrid w:val="0"/>
        <w:spacing w:line="360" w:lineRule="auto"/>
        <w:ind w:firstLine="420"/>
        <w:rPr>
          <w:sz w:val="24"/>
          <w:szCs w:val="24"/>
        </w:rPr>
      </w:pPr>
      <w:r>
        <w:rPr>
          <w:sz w:val="24"/>
          <w:szCs w:val="24"/>
        </w:rPr>
        <w:t>工程竣工后，监理与相关服务结算价款依据本合同文件约定的结算方法进行调整，并于工程竣工结算后28天内一次性支付剩余监理与相关服务酬金。</w:t>
      </w:r>
    </w:p>
    <w:p w14:paraId="7A5FBE0F">
      <w:pPr>
        <w:autoSpaceDE w:val="0"/>
        <w:autoSpaceDN w:val="0"/>
        <w:adjustRightInd w:val="0"/>
        <w:spacing w:before="156" w:beforeLines="50" w:line="360" w:lineRule="auto"/>
        <w:outlineLvl w:val="0"/>
        <w:rPr>
          <w:b/>
          <w:sz w:val="24"/>
          <w:szCs w:val="24"/>
        </w:rPr>
      </w:pPr>
      <w:bookmarkStart w:id="952" w:name="_Toc471218943"/>
      <w:bookmarkStart w:id="953" w:name="_Toc470187230"/>
      <w:bookmarkStart w:id="954" w:name="_Toc371398325"/>
      <w:r>
        <w:rPr>
          <w:b/>
          <w:sz w:val="24"/>
          <w:szCs w:val="24"/>
        </w:rPr>
        <w:t>6. 合同生效、变更与终止</w:t>
      </w:r>
      <w:bookmarkEnd w:id="952"/>
      <w:bookmarkEnd w:id="953"/>
      <w:bookmarkEnd w:id="954"/>
    </w:p>
    <w:p w14:paraId="4C65ACD3">
      <w:pPr>
        <w:pStyle w:val="4"/>
        <w:spacing w:before="120" w:after="120" w:line="360" w:lineRule="auto"/>
        <w:ind w:left="420" w:leftChars="200" w:firstLine="118"/>
        <w:rPr>
          <w:rFonts w:ascii="Times New Roman" w:hAnsi="Times New Roman" w:eastAsia="宋体"/>
          <w:b/>
          <w:sz w:val="24"/>
          <w:szCs w:val="24"/>
        </w:rPr>
      </w:pPr>
      <w:bookmarkStart w:id="955" w:name="_Toc470187231"/>
      <w:bookmarkStart w:id="956" w:name="_Toc433185167"/>
      <w:bookmarkStart w:id="957" w:name="_Toc471218944"/>
      <w:bookmarkStart w:id="958" w:name="_Toc371398326"/>
      <w:r>
        <w:rPr>
          <w:rFonts w:ascii="Times New Roman" w:hAnsi="Times New Roman" w:eastAsia="宋体"/>
          <w:b/>
          <w:sz w:val="24"/>
          <w:szCs w:val="24"/>
        </w:rPr>
        <w:t>6.1 生效</w:t>
      </w:r>
      <w:bookmarkEnd w:id="955"/>
      <w:bookmarkEnd w:id="956"/>
      <w:bookmarkEnd w:id="957"/>
      <w:bookmarkEnd w:id="958"/>
    </w:p>
    <w:p w14:paraId="0EF10B95">
      <w:pPr>
        <w:spacing w:line="360" w:lineRule="auto"/>
        <w:ind w:firstLine="480" w:firstLineChars="200"/>
        <w:rPr>
          <w:sz w:val="24"/>
          <w:szCs w:val="24"/>
        </w:rPr>
      </w:pPr>
      <w:r>
        <w:rPr>
          <w:sz w:val="24"/>
          <w:szCs w:val="24"/>
        </w:rPr>
        <w:t>除法律另有规定或合同专用条款另有约定外，委托人和监理人的法定代表人或其授权代理人在合同协议书上签字并盖单位章后合同生效。</w:t>
      </w:r>
    </w:p>
    <w:p w14:paraId="4DA8001E">
      <w:pPr>
        <w:pStyle w:val="4"/>
        <w:spacing w:before="120" w:after="120" w:line="360" w:lineRule="auto"/>
        <w:ind w:left="420" w:leftChars="200" w:firstLine="118"/>
        <w:rPr>
          <w:rFonts w:ascii="Times New Roman" w:hAnsi="Times New Roman" w:eastAsia="宋体"/>
          <w:b/>
          <w:sz w:val="24"/>
          <w:szCs w:val="24"/>
        </w:rPr>
      </w:pPr>
      <w:bookmarkStart w:id="959" w:name="_Toc471218945"/>
      <w:bookmarkStart w:id="960" w:name="_Toc470187232"/>
      <w:bookmarkStart w:id="961" w:name="_Toc433185168"/>
      <w:bookmarkStart w:id="962" w:name="_Toc371398327"/>
      <w:r>
        <w:rPr>
          <w:rFonts w:ascii="Times New Roman" w:hAnsi="Times New Roman" w:eastAsia="宋体"/>
          <w:b/>
          <w:sz w:val="24"/>
          <w:szCs w:val="24"/>
        </w:rPr>
        <w:t>6.2变更</w:t>
      </w:r>
      <w:bookmarkEnd w:id="959"/>
      <w:bookmarkEnd w:id="960"/>
      <w:bookmarkEnd w:id="961"/>
      <w:bookmarkEnd w:id="962"/>
    </w:p>
    <w:p w14:paraId="6D53257A">
      <w:pPr>
        <w:snapToGrid w:val="0"/>
        <w:spacing w:line="360" w:lineRule="auto"/>
        <w:ind w:firstLine="480" w:firstLineChars="200"/>
        <w:rPr>
          <w:sz w:val="24"/>
          <w:szCs w:val="24"/>
        </w:rPr>
      </w:pPr>
      <w:r>
        <w:rPr>
          <w:sz w:val="24"/>
          <w:szCs w:val="24"/>
        </w:rPr>
        <w:t>6.2.1 附加工作</w:t>
      </w:r>
    </w:p>
    <w:p w14:paraId="0795CCC6">
      <w:pPr>
        <w:snapToGrid w:val="0"/>
        <w:spacing w:line="360" w:lineRule="auto"/>
        <w:ind w:firstLine="480" w:firstLineChars="200"/>
        <w:rPr>
          <w:sz w:val="24"/>
          <w:szCs w:val="24"/>
        </w:rPr>
      </w:pPr>
      <w:r>
        <w:rPr>
          <w:sz w:val="24"/>
          <w:szCs w:val="24"/>
        </w:rPr>
        <w:t>除合同专用条款另有约定外，在履行合同过程中发生以下情形之一，视为附加工作，委托人应向监理人支付附加工作酬金。除下列第6.2.1.4目的情形外，附加工作酬金的确定方法为：</w:t>
      </w:r>
    </w:p>
    <w:p w14:paraId="3CEEDADE">
      <w:pPr>
        <w:adjustRightInd w:val="0"/>
        <w:snapToGrid w:val="0"/>
        <w:spacing w:line="360" w:lineRule="auto"/>
        <w:ind w:firstLine="480" w:firstLineChars="200"/>
        <w:outlineLvl w:val="0"/>
        <w:rPr>
          <w:sz w:val="24"/>
          <w:szCs w:val="24"/>
        </w:rPr>
      </w:pPr>
      <w:bookmarkStart w:id="963" w:name="_Toc471218946"/>
      <w:bookmarkStart w:id="964" w:name="_Toc470187233"/>
      <w:r>
        <w:rPr>
          <w:sz w:val="24"/>
          <w:szCs w:val="24"/>
        </w:rPr>
        <w:t>a. 因非监理人原因工程工期延长，按下列方法确定：</w:t>
      </w:r>
      <w:bookmarkEnd w:id="963"/>
      <w:bookmarkEnd w:id="964"/>
    </w:p>
    <w:p w14:paraId="12CF3CF1">
      <w:pPr>
        <w:snapToGrid w:val="0"/>
        <w:spacing w:line="360" w:lineRule="auto"/>
        <w:ind w:firstLine="480" w:firstLineChars="200"/>
        <w:rPr>
          <w:sz w:val="24"/>
          <w:szCs w:val="24"/>
        </w:rPr>
      </w:pPr>
      <w:r>
        <w:rPr>
          <w:sz w:val="24"/>
          <w:szCs w:val="24"/>
        </w:rPr>
        <w:t>附加工作酬金=增加的监理与相关服务时间（天）×正常工作酬金÷合同协议书约定的监理与相关服务期限（天）</w:t>
      </w:r>
    </w:p>
    <w:p w14:paraId="72E8631E">
      <w:pPr>
        <w:adjustRightInd w:val="0"/>
        <w:snapToGrid w:val="0"/>
        <w:spacing w:line="360" w:lineRule="auto"/>
        <w:ind w:firstLine="480" w:firstLineChars="200"/>
        <w:outlineLvl w:val="0"/>
        <w:rPr>
          <w:sz w:val="24"/>
          <w:szCs w:val="24"/>
        </w:rPr>
      </w:pPr>
      <w:bookmarkStart w:id="965" w:name="_Toc471218947"/>
      <w:bookmarkStart w:id="966" w:name="_Toc470187234"/>
      <w:r>
        <w:rPr>
          <w:sz w:val="24"/>
          <w:szCs w:val="24"/>
        </w:rPr>
        <w:t>b. 实际情况发生变化导致履行中的合同全部或部分中止，监理人完成善后工作以及恢复服务前准备工作的工作酬金按下列方法确定：</w:t>
      </w:r>
      <w:bookmarkEnd w:id="965"/>
      <w:bookmarkEnd w:id="966"/>
    </w:p>
    <w:p w14:paraId="15BD5032">
      <w:pPr>
        <w:adjustRightInd w:val="0"/>
        <w:snapToGrid w:val="0"/>
        <w:spacing w:line="360" w:lineRule="auto"/>
        <w:ind w:firstLine="480" w:firstLineChars="200"/>
        <w:rPr>
          <w:sz w:val="24"/>
          <w:szCs w:val="24"/>
        </w:rPr>
      </w:pPr>
      <w:r>
        <w:rPr>
          <w:sz w:val="24"/>
          <w:szCs w:val="24"/>
        </w:rPr>
        <w:t>附加工作酬金=善后或准备工作的时间（天）×正常工作酬金÷合同协议书约定的监理与相关服务期限（天）</w:t>
      </w:r>
    </w:p>
    <w:p w14:paraId="0C0D968C">
      <w:pPr>
        <w:snapToGrid w:val="0"/>
        <w:spacing w:line="360" w:lineRule="auto"/>
        <w:ind w:firstLine="480" w:firstLineChars="200"/>
        <w:rPr>
          <w:sz w:val="24"/>
          <w:szCs w:val="24"/>
        </w:rPr>
      </w:pPr>
      <w:r>
        <w:rPr>
          <w:sz w:val="24"/>
          <w:szCs w:val="24"/>
        </w:rPr>
        <w:t>6.2.1.1 除不可抗力外，因非监理人原因，工程工期延长；</w:t>
      </w:r>
    </w:p>
    <w:p w14:paraId="6CBBC4FE">
      <w:pPr>
        <w:snapToGrid w:val="0"/>
        <w:spacing w:line="360" w:lineRule="auto"/>
        <w:ind w:firstLine="480" w:firstLineChars="200"/>
        <w:rPr>
          <w:sz w:val="24"/>
          <w:szCs w:val="24"/>
        </w:rPr>
      </w:pPr>
      <w:r>
        <w:rPr>
          <w:sz w:val="24"/>
          <w:szCs w:val="24"/>
        </w:rPr>
        <w:t>6.2.1.2因非监理人原因监理与相关服务受到延误或阻碍或暂停；</w:t>
      </w:r>
    </w:p>
    <w:p w14:paraId="681DB551">
      <w:pPr>
        <w:snapToGrid w:val="0"/>
        <w:spacing w:line="360" w:lineRule="auto"/>
        <w:ind w:firstLine="480" w:firstLineChars="200"/>
        <w:rPr>
          <w:sz w:val="24"/>
          <w:szCs w:val="24"/>
        </w:rPr>
      </w:pPr>
      <w:r>
        <w:rPr>
          <w:sz w:val="24"/>
          <w:szCs w:val="24"/>
        </w:rPr>
        <w:t>6.2.1.3实际情况发生变化，使监理人不能完成全部或部分工作，监理人进行善后工作以及恢复服务准备工作，监理人用于恢复服务的时间不得超过28天；</w:t>
      </w:r>
    </w:p>
    <w:p w14:paraId="2C9676E6">
      <w:pPr>
        <w:snapToGrid w:val="0"/>
        <w:spacing w:line="360" w:lineRule="auto"/>
        <w:ind w:firstLine="480" w:firstLineChars="200"/>
        <w:rPr>
          <w:sz w:val="24"/>
          <w:szCs w:val="24"/>
        </w:rPr>
      </w:pPr>
      <w:r>
        <w:rPr>
          <w:sz w:val="24"/>
          <w:szCs w:val="24"/>
        </w:rPr>
        <w:t>6.2.1.4监理与相关服务内容增加，附加工作酬金应该按照增加的内容占正常工作范围内监理与相关服务内容的比例计算，具体比例由双方根据增加的内容通过协商确定。</w:t>
      </w:r>
    </w:p>
    <w:p w14:paraId="4E57933F">
      <w:pPr>
        <w:snapToGrid w:val="0"/>
        <w:spacing w:line="360" w:lineRule="auto"/>
        <w:ind w:firstLine="480" w:firstLineChars="200"/>
        <w:rPr>
          <w:sz w:val="24"/>
          <w:szCs w:val="24"/>
        </w:rPr>
      </w:pPr>
      <w:r>
        <w:rPr>
          <w:sz w:val="24"/>
          <w:szCs w:val="24"/>
        </w:rPr>
        <w:t>6.2.2 合同签订后，遇有与工程相关的法律、法规、标准颁布或修订的，双方应当遵照执行。由此引起监理与相关服务的范围、时间、酬金变化的，双方应当通过协商进行相应调整。</w:t>
      </w:r>
    </w:p>
    <w:p w14:paraId="287D9464">
      <w:pPr>
        <w:snapToGrid w:val="0"/>
        <w:spacing w:line="360" w:lineRule="auto"/>
        <w:ind w:firstLine="480" w:firstLineChars="200"/>
        <w:rPr>
          <w:sz w:val="24"/>
          <w:szCs w:val="24"/>
        </w:rPr>
      </w:pPr>
      <w:r>
        <w:rPr>
          <w:sz w:val="24"/>
          <w:szCs w:val="24"/>
        </w:rPr>
        <w:t>6.2.3因非监理人原因，工程投资额（建筑安装工程费）增加，正常工作酬金应当按以下方法调整：</w:t>
      </w:r>
    </w:p>
    <w:p w14:paraId="5907ED34">
      <w:pPr>
        <w:spacing w:line="360" w:lineRule="auto"/>
        <w:ind w:firstLine="480" w:firstLineChars="200"/>
        <w:rPr>
          <w:sz w:val="24"/>
          <w:szCs w:val="24"/>
        </w:rPr>
      </w:pPr>
      <w:r>
        <w:rPr>
          <w:sz w:val="24"/>
          <w:szCs w:val="24"/>
        </w:rPr>
        <w:t>正常工作酬金增加额=工程投资（建筑安装工程费）增加额×正常工作酬金÷工程概算投资额（建筑安装工程费）</w:t>
      </w:r>
    </w:p>
    <w:p w14:paraId="01FF44C1">
      <w:pPr>
        <w:adjustRightInd w:val="0"/>
        <w:snapToGrid w:val="0"/>
        <w:spacing w:line="360" w:lineRule="auto"/>
        <w:ind w:firstLine="480"/>
        <w:rPr>
          <w:sz w:val="24"/>
          <w:szCs w:val="24"/>
        </w:rPr>
      </w:pPr>
      <w:r>
        <w:rPr>
          <w:sz w:val="24"/>
          <w:szCs w:val="24"/>
        </w:rPr>
        <w:t>6.2.4因非监理人原因工程投资额（建筑安装工程费）减少，正常工作酬金应当按以下方法调整：正常工作酬金减少额＝工程投资（建筑安装工程费）减少额×正常工作酬金÷工程概算投资额（建筑安装工程费）。因非监理人原因监理与相关服务内容减少，正常工作酬金应作相应调整，调整减少金额按照减少的内容占正常工作范围内监理与相关服务内容的比例计算，具体比例由双方根据减少的内容通过协商确定。</w:t>
      </w:r>
    </w:p>
    <w:p w14:paraId="39D86D2F">
      <w:pPr>
        <w:snapToGrid w:val="0"/>
        <w:spacing w:line="360" w:lineRule="auto"/>
        <w:rPr>
          <w:sz w:val="24"/>
          <w:szCs w:val="24"/>
        </w:rPr>
      </w:pPr>
      <w:r>
        <w:rPr>
          <w:sz w:val="24"/>
          <w:szCs w:val="24"/>
        </w:rPr>
        <w:t>工程投资额（建筑安装工程费）或监理与相关服务内容未发生变化，工程提前竣工，不减少监理人酬金。</w:t>
      </w:r>
    </w:p>
    <w:p w14:paraId="75A19D18">
      <w:pPr>
        <w:snapToGrid w:val="0"/>
        <w:spacing w:line="360" w:lineRule="auto"/>
        <w:ind w:firstLine="480" w:firstLineChars="200"/>
        <w:rPr>
          <w:sz w:val="24"/>
          <w:szCs w:val="24"/>
        </w:rPr>
      </w:pPr>
      <w:r>
        <w:rPr>
          <w:sz w:val="24"/>
          <w:szCs w:val="24"/>
        </w:rPr>
        <w:t>6.2.5 任何一方提出变更请求时，双方经协商一致后可进行变更。</w:t>
      </w:r>
    </w:p>
    <w:p w14:paraId="19F597EB">
      <w:pPr>
        <w:pStyle w:val="4"/>
        <w:spacing w:before="120" w:after="120" w:line="360" w:lineRule="auto"/>
        <w:ind w:left="420" w:leftChars="200" w:firstLine="118"/>
        <w:rPr>
          <w:rFonts w:ascii="Times New Roman" w:hAnsi="Times New Roman" w:eastAsia="宋体"/>
          <w:b/>
          <w:sz w:val="24"/>
          <w:szCs w:val="24"/>
        </w:rPr>
      </w:pPr>
      <w:bookmarkStart w:id="967" w:name="_Toc471218948"/>
      <w:bookmarkStart w:id="968" w:name="_Toc371398328"/>
      <w:bookmarkStart w:id="969" w:name="_Toc470187235"/>
      <w:bookmarkStart w:id="970" w:name="_Toc433185169"/>
      <w:r>
        <w:rPr>
          <w:rFonts w:ascii="Times New Roman" w:hAnsi="Times New Roman" w:eastAsia="宋体"/>
          <w:b/>
          <w:sz w:val="24"/>
          <w:szCs w:val="24"/>
        </w:rPr>
        <w:t>6.3 暂停履行与解除</w:t>
      </w:r>
      <w:bookmarkEnd w:id="967"/>
      <w:bookmarkEnd w:id="968"/>
      <w:bookmarkEnd w:id="969"/>
      <w:bookmarkEnd w:id="970"/>
    </w:p>
    <w:p w14:paraId="066C30D9">
      <w:pPr>
        <w:adjustRightInd w:val="0"/>
        <w:snapToGrid w:val="0"/>
        <w:spacing w:line="360" w:lineRule="auto"/>
        <w:ind w:firstLine="480" w:firstLineChars="200"/>
        <w:rPr>
          <w:sz w:val="24"/>
          <w:szCs w:val="24"/>
        </w:rPr>
      </w:pPr>
      <w:r>
        <w:rPr>
          <w:sz w:val="24"/>
          <w:szCs w:val="24"/>
        </w:rPr>
        <w:t>6.3.1 委托人发出通知</w:t>
      </w:r>
    </w:p>
    <w:p w14:paraId="3EBD6865">
      <w:pPr>
        <w:adjustRightInd w:val="0"/>
        <w:snapToGrid w:val="0"/>
        <w:spacing w:line="360" w:lineRule="auto"/>
        <w:ind w:firstLine="480" w:firstLineChars="200"/>
        <w:rPr>
          <w:sz w:val="24"/>
          <w:szCs w:val="24"/>
        </w:rPr>
      </w:pPr>
      <w:r>
        <w:rPr>
          <w:sz w:val="24"/>
          <w:szCs w:val="24"/>
        </w:rPr>
        <w:t>当监理人发生第4.1.1项情况时，委托人应当通知监理人限期改正。若委托人在发出通知后7天内没有收到监理人书面形式的合理解释，则可在7天内发出解除合同的通知，自通知到达监理人时合同解除。</w:t>
      </w:r>
    </w:p>
    <w:p w14:paraId="1637C8D0">
      <w:pPr>
        <w:adjustRightInd w:val="0"/>
        <w:snapToGrid w:val="0"/>
        <w:spacing w:line="360" w:lineRule="auto"/>
        <w:ind w:firstLine="480" w:firstLineChars="200"/>
        <w:rPr>
          <w:sz w:val="24"/>
          <w:szCs w:val="24"/>
        </w:rPr>
      </w:pPr>
      <w:r>
        <w:rPr>
          <w:sz w:val="24"/>
          <w:szCs w:val="24"/>
        </w:rPr>
        <w:t>6.3.2 监理人发出通知</w:t>
      </w:r>
    </w:p>
    <w:p w14:paraId="1A47AF74">
      <w:pPr>
        <w:adjustRightInd w:val="0"/>
        <w:snapToGrid w:val="0"/>
        <w:spacing w:line="360" w:lineRule="auto"/>
        <w:ind w:firstLine="480" w:firstLineChars="200"/>
        <w:rPr>
          <w:sz w:val="24"/>
          <w:szCs w:val="24"/>
        </w:rPr>
      </w:pPr>
      <w:r>
        <w:rPr>
          <w:sz w:val="24"/>
          <w:szCs w:val="24"/>
        </w:rPr>
        <w:t>当委托人发生下列情况时，监理人可向委托人发出解除合同的通知，自通知到达委托人时合同解除，委托人应当将监理与相关服务的酬金支付至合同解除日。</w:t>
      </w:r>
    </w:p>
    <w:p w14:paraId="76126C2F">
      <w:pPr>
        <w:adjustRightInd w:val="0"/>
        <w:snapToGrid w:val="0"/>
        <w:spacing w:line="360" w:lineRule="auto"/>
        <w:ind w:firstLine="480" w:firstLineChars="200"/>
        <w:rPr>
          <w:sz w:val="24"/>
          <w:szCs w:val="24"/>
        </w:rPr>
      </w:pPr>
      <w:r>
        <w:rPr>
          <w:sz w:val="24"/>
          <w:szCs w:val="24"/>
        </w:rPr>
        <w:t>6.3.2.1 监理人在合同专用条款中约定的支付之日起28天后仍未收到委托人按合同约定应付的酬金，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发出解除合同的通知。</w:t>
      </w:r>
    </w:p>
    <w:p w14:paraId="2A5229E0">
      <w:pPr>
        <w:adjustRightInd w:val="0"/>
        <w:snapToGrid w:val="0"/>
        <w:spacing w:line="360" w:lineRule="auto"/>
        <w:ind w:firstLine="480" w:firstLineChars="200"/>
        <w:rPr>
          <w:sz w:val="24"/>
          <w:szCs w:val="24"/>
        </w:rPr>
      </w:pPr>
      <w:r>
        <w:rPr>
          <w:sz w:val="24"/>
          <w:szCs w:val="24"/>
        </w:rPr>
        <w:t>6.3.2.2 在合同有效期内，因非监理人的原因导致工程施工全部或部分暂停，委托人可以书面形式通知监理人要求暂停全部或部分工作。监理人应当立即安排停止工作，并将开支减至最小。除不可抗力外，由此导致监理人遭受的损失应当由委托人予以补偿。</w:t>
      </w:r>
    </w:p>
    <w:p w14:paraId="75E772A1">
      <w:pPr>
        <w:adjustRightInd w:val="0"/>
        <w:snapToGrid w:val="0"/>
        <w:spacing w:line="360" w:lineRule="auto"/>
        <w:ind w:firstLine="480" w:firstLineChars="200"/>
        <w:rPr>
          <w:sz w:val="24"/>
          <w:szCs w:val="24"/>
        </w:rPr>
      </w:pPr>
      <w:r>
        <w:rPr>
          <w:sz w:val="24"/>
          <w:szCs w:val="24"/>
        </w:rPr>
        <w:t>暂停部分监理与相关服务且暂停时间超过182天，监理人可发出解除合同约定的该部分义务的通知；暂停全部工作且暂停时间超过182天，监理人可发出解除合同的通知。</w:t>
      </w:r>
    </w:p>
    <w:p w14:paraId="30A8E916">
      <w:pPr>
        <w:adjustRightInd w:val="0"/>
        <w:snapToGrid w:val="0"/>
        <w:spacing w:line="360" w:lineRule="auto"/>
        <w:ind w:firstLine="480" w:firstLineChars="200"/>
        <w:rPr>
          <w:sz w:val="24"/>
          <w:szCs w:val="24"/>
        </w:rPr>
      </w:pPr>
      <w:r>
        <w:rPr>
          <w:sz w:val="24"/>
          <w:szCs w:val="24"/>
        </w:rPr>
        <w:t>6.3.3 双方协商一致</w:t>
      </w:r>
    </w:p>
    <w:p w14:paraId="5A0C03A1">
      <w:pPr>
        <w:adjustRightInd w:val="0"/>
        <w:snapToGrid w:val="0"/>
        <w:spacing w:line="360" w:lineRule="auto"/>
        <w:ind w:firstLine="480" w:firstLineChars="200"/>
        <w:rPr>
          <w:sz w:val="24"/>
          <w:szCs w:val="24"/>
        </w:rPr>
      </w:pPr>
      <w:r>
        <w:rPr>
          <w:sz w:val="24"/>
          <w:szCs w:val="24"/>
        </w:rPr>
        <w:t>在合同有效期内，由于双方无法预见和控制的原因导致合同全部或部分无法继续履行或继续履行已无意义，经双方协商一致，可以解除合同或监理人的部分义务。在解除之前，监理人应当作出合理安排，使开支减至最小。</w:t>
      </w:r>
    </w:p>
    <w:p w14:paraId="05912F92">
      <w:pPr>
        <w:adjustRightInd w:val="0"/>
        <w:snapToGrid w:val="0"/>
        <w:spacing w:line="360" w:lineRule="auto"/>
        <w:ind w:firstLine="480" w:firstLineChars="200"/>
        <w:rPr>
          <w:sz w:val="24"/>
          <w:szCs w:val="24"/>
        </w:rPr>
      </w:pPr>
      <w:r>
        <w:rPr>
          <w:sz w:val="24"/>
          <w:szCs w:val="24"/>
        </w:rPr>
        <w:t>因解除合同或解除监理人的部分义务导致监理人遭受的损失，除依法可以免除责任的情况外，应当由委托人予以补偿，补偿金额由双方协商确定。</w:t>
      </w:r>
    </w:p>
    <w:p w14:paraId="1CC0BCBC">
      <w:pPr>
        <w:snapToGrid w:val="0"/>
        <w:spacing w:line="360" w:lineRule="auto"/>
        <w:ind w:firstLine="480" w:firstLineChars="200"/>
        <w:rPr>
          <w:sz w:val="24"/>
          <w:szCs w:val="24"/>
        </w:rPr>
      </w:pPr>
      <w:r>
        <w:rPr>
          <w:sz w:val="24"/>
          <w:szCs w:val="24"/>
        </w:rPr>
        <w:t>6.3.4 不可抗力导致合同暂停或解除</w:t>
      </w:r>
    </w:p>
    <w:p w14:paraId="2ED82F36">
      <w:pPr>
        <w:adjustRightInd w:val="0"/>
        <w:snapToGrid w:val="0"/>
        <w:spacing w:line="360" w:lineRule="auto"/>
        <w:ind w:firstLine="480" w:firstLineChars="200"/>
        <w:rPr>
          <w:sz w:val="24"/>
          <w:szCs w:val="24"/>
        </w:rPr>
      </w:pPr>
      <w:r>
        <w:rPr>
          <w:sz w:val="24"/>
          <w:szCs w:val="24"/>
        </w:rPr>
        <w:t>因不可抗力致使合同不能履行或只能部分履行时，一方应当立即书面通知另一方，暂停或解除合同。</w:t>
      </w:r>
    </w:p>
    <w:p w14:paraId="5722CF18">
      <w:pPr>
        <w:pStyle w:val="4"/>
        <w:spacing w:before="120" w:after="120" w:line="360" w:lineRule="auto"/>
        <w:ind w:left="420" w:leftChars="200" w:firstLine="118"/>
        <w:rPr>
          <w:rFonts w:ascii="Times New Roman" w:hAnsi="Times New Roman" w:eastAsia="宋体"/>
          <w:b/>
          <w:sz w:val="24"/>
          <w:szCs w:val="24"/>
        </w:rPr>
      </w:pPr>
      <w:bookmarkStart w:id="971" w:name="_Toc433185170"/>
      <w:bookmarkStart w:id="972" w:name="_Toc471218949"/>
      <w:bookmarkStart w:id="973" w:name="_Toc371398329"/>
      <w:bookmarkStart w:id="974" w:name="_Toc470187236"/>
      <w:r>
        <w:rPr>
          <w:rFonts w:ascii="Times New Roman" w:hAnsi="Times New Roman" w:eastAsia="宋体"/>
          <w:b/>
          <w:sz w:val="24"/>
          <w:szCs w:val="24"/>
        </w:rPr>
        <w:t>6.4 终止</w:t>
      </w:r>
      <w:bookmarkEnd w:id="971"/>
      <w:bookmarkEnd w:id="972"/>
      <w:bookmarkEnd w:id="973"/>
      <w:bookmarkEnd w:id="974"/>
    </w:p>
    <w:p w14:paraId="15B89AFA">
      <w:pPr>
        <w:adjustRightInd w:val="0"/>
        <w:snapToGrid w:val="0"/>
        <w:spacing w:line="360" w:lineRule="auto"/>
        <w:ind w:firstLine="480" w:firstLineChars="200"/>
        <w:rPr>
          <w:sz w:val="24"/>
          <w:szCs w:val="24"/>
        </w:rPr>
      </w:pPr>
      <w:r>
        <w:rPr>
          <w:sz w:val="24"/>
          <w:szCs w:val="24"/>
        </w:rPr>
        <w:t>6.4.1 下列条件之一成就时，合同权利义务即告终止：</w:t>
      </w:r>
    </w:p>
    <w:p w14:paraId="6D857B78">
      <w:pPr>
        <w:adjustRightInd w:val="0"/>
        <w:snapToGrid w:val="0"/>
        <w:spacing w:line="360" w:lineRule="auto"/>
        <w:ind w:firstLine="480" w:firstLineChars="200"/>
        <w:rPr>
          <w:sz w:val="24"/>
          <w:szCs w:val="24"/>
        </w:rPr>
      </w:pPr>
      <w:r>
        <w:rPr>
          <w:sz w:val="24"/>
          <w:szCs w:val="24"/>
        </w:rPr>
        <w:t>（1）按第6.3款约定双方解除合同；</w:t>
      </w:r>
    </w:p>
    <w:p w14:paraId="0C27C9A3">
      <w:pPr>
        <w:adjustRightInd w:val="0"/>
        <w:snapToGrid w:val="0"/>
        <w:spacing w:line="360" w:lineRule="auto"/>
        <w:ind w:firstLine="480" w:firstLineChars="200"/>
        <w:rPr>
          <w:sz w:val="24"/>
          <w:szCs w:val="24"/>
        </w:rPr>
      </w:pPr>
      <w:r>
        <w:rPr>
          <w:sz w:val="24"/>
          <w:szCs w:val="24"/>
        </w:rPr>
        <w:t>（2）监理人完成合同约定的全部工作。</w:t>
      </w:r>
    </w:p>
    <w:p w14:paraId="776CFF14">
      <w:pPr>
        <w:adjustRightInd w:val="0"/>
        <w:snapToGrid w:val="0"/>
        <w:spacing w:line="360" w:lineRule="auto"/>
        <w:ind w:firstLine="480" w:firstLineChars="200"/>
        <w:rPr>
          <w:sz w:val="24"/>
          <w:szCs w:val="24"/>
        </w:rPr>
      </w:pPr>
      <w:r>
        <w:rPr>
          <w:sz w:val="24"/>
          <w:szCs w:val="24"/>
        </w:rPr>
        <w:t>6.4.2合同权利义务终止后，合同约定的有关结算、清理、争议解决方式的条款仍然有效。</w:t>
      </w:r>
    </w:p>
    <w:p w14:paraId="13A43ACD">
      <w:pPr>
        <w:autoSpaceDE w:val="0"/>
        <w:autoSpaceDN w:val="0"/>
        <w:adjustRightInd w:val="0"/>
        <w:spacing w:before="156" w:beforeLines="50" w:line="360" w:lineRule="auto"/>
        <w:outlineLvl w:val="0"/>
        <w:rPr>
          <w:b/>
          <w:sz w:val="24"/>
          <w:szCs w:val="24"/>
        </w:rPr>
      </w:pPr>
      <w:bookmarkStart w:id="975" w:name="_Toc470187237"/>
      <w:bookmarkStart w:id="976" w:name="_Toc471218950"/>
      <w:bookmarkStart w:id="977" w:name="_Toc371398330"/>
      <w:r>
        <w:rPr>
          <w:b/>
          <w:sz w:val="24"/>
          <w:szCs w:val="24"/>
        </w:rPr>
        <w:t>7. 争议解决</w:t>
      </w:r>
      <w:bookmarkEnd w:id="975"/>
      <w:bookmarkEnd w:id="976"/>
      <w:bookmarkEnd w:id="977"/>
    </w:p>
    <w:p w14:paraId="5E443D3B">
      <w:pPr>
        <w:pStyle w:val="4"/>
        <w:spacing w:before="120" w:after="120" w:line="360" w:lineRule="auto"/>
        <w:ind w:left="420" w:leftChars="200" w:firstLine="118"/>
        <w:rPr>
          <w:rFonts w:ascii="Times New Roman" w:hAnsi="Times New Roman" w:eastAsia="宋体"/>
          <w:b/>
          <w:sz w:val="24"/>
          <w:szCs w:val="24"/>
        </w:rPr>
      </w:pPr>
      <w:bookmarkStart w:id="978" w:name="_Toc433185172"/>
      <w:bookmarkStart w:id="979" w:name="_Toc470187238"/>
      <w:bookmarkStart w:id="980" w:name="_Toc371398331"/>
      <w:bookmarkStart w:id="981" w:name="_Toc471218951"/>
      <w:r>
        <w:rPr>
          <w:rFonts w:ascii="Times New Roman" w:hAnsi="Times New Roman" w:eastAsia="宋体"/>
          <w:b/>
          <w:sz w:val="24"/>
          <w:szCs w:val="24"/>
        </w:rPr>
        <w:t>7.1协商</w:t>
      </w:r>
      <w:bookmarkEnd w:id="978"/>
      <w:bookmarkEnd w:id="979"/>
      <w:bookmarkEnd w:id="980"/>
      <w:bookmarkEnd w:id="981"/>
    </w:p>
    <w:p w14:paraId="42C58665">
      <w:pPr>
        <w:snapToGrid w:val="0"/>
        <w:spacing w:line="360" w:lineRule="auto"/>
        <w:ind w:firstLine="480" w:firstLineChars="200"/>
        <w:rPr>
          <w:bCs/>
          <w:sz w:val="24"/>
          <w:szCs w:val="24"/>
        </w:rPr>
      </w:pPr>
      <w:r>
        <w:rPr>
          <w:sz w:val="24"/>
          <w:szCs w:val="24"/>
        </w:rPr>
        <w:t>双方应当本着诚信原则协商解决彼此间的争议。</w:t>
      </w:r>
    </w:p>
    <w:p w14:paraId="782D2701">
      <w:pPr>
        <w:pStyle w:val="4"/>
        <w:spacing w:before="120" w:after="120" w:line="360" w:lineRule="auto"/>
        <w:ind w:left="420" w:leftChars="200" w:firstLine="118"/>
        <w:rPr>
          <w:rFonts w:ascii="Times New Roman" w:hAnsi="Times New Roman" w:eastAsia="宋体"/>
          <w:b/>
          <w:sz w:val="24"/>
          <w:szCs w:val="24"/>
        </w:rPr>
      </w:pPr>
      <w:bookmarkStart w:id="982" w:name="_Toc371398332"/>
      <w:bookmarkStart w:id="983" w:name="_Toc471218952"/>
      <w:bookmarkStart w:id="984" w:name="_Toc470187239"/>
      <w:bookmarkStart w:id="985" w:name="_Toc433185173"/>
      <w:r>
        <w:rPr>
          <w:rFonts w:ascii="Times New Roman" w:hAnsi="Times New Roman" w:eastAsia="宋体"/>
          <w:b/>
          <w:sz w:val="24"/>
          <w:szCs w:val="24"/>
        </w:rPr>
        <w:t>7.2调解</w:t>
      </w:r>
      <w:bookmarkEnd w:id="982"/>
      <w:bookmarkEnd w:id="983"/>
      <w:bookmarkEnd w:id="984"/>
      <w:bookmarkEnd w:id="985"/>
    </w:p>
    <w:p w14:paraId="299E60BC">
      <w:pPr>
        <w:snapToGrid w:val="0"/>
        <w:spacing w:line="360" w:lineRule="auto"/>
        <w:ind w:firstLine="480" w:firstLineChars="200"/>
        <w:rPr>
          <w:bCs/>
          <w:sz w:val="24"/>
          <w:szCs w:val="24"/>
        </w:rPr>
      </w:pPr>
      <w:r>
        <w:rPr>
          <w:sz w:val="24"/>
          <w:szCs w:val="24"/>
        </w:rPr>
        <w:t>如果双方不能在14天内或双方商定的其他时间内解决合同争议，可以将其提交给合同专用条款约定的或事后达成协议选定的调解人进行调解。</w:t>
      </w:r>
    </w:p>
    <w:p w14:paraId="195A7925">
      <w:pPr>
        <w:pStyle w:val="4"/>
        <w:spacing w:before="120" w:after="120" w:line="360" w:lineRule="auto"/>
        <w:ind w:left="420" w:leftChars="200" w:firstLine="118"/>
        <w:rPr>
          <w:rFonts w:ascii="Times New Roman" w:hAnsi="Times New Roman" w:eastAsia="宋体"/>
          <w:b/>
          <w:sz w:val="24"/>
          <w:szCs w:val="24"/>
        </w:rPr>
      </w:pPr>
      <w:bookmarkStart w:id="986" w:name="_Toc433185174"/>
      <w:bookmarkStart w:id="987" w:name="_Toc471218953"/>
      <w:bookmarkStart w:id="988" w:name="_Toc371398333"/>
      <w:bookmarkStart w:id="989" w:name="_Toc470187240"/>
      <w:r>
        <w:rPr>
          <w:rFonts w:ascii="Times New Roman" w:hAnsi="Times New Roman" w:eastAsia="宋体"/>
          <w:b/>
          <w:sz w:val="24"/>
          <w:szCs w:val="24"/>
        </w:rPr>
        <w:t>7.3仲裁或诉讼</w:t>
      </w:r>
      <w:bookmarkEnd w:id="986"/>
      <w:bookmarkEnd w:id="987"/>
      <w:bookmarkEnd w:id="988"/>
      <w:bookmarkEnd w:id="989"/>
    </w:p>
    <w:p w14:paraId="3F0120C9">
      <w:pPr>
        <w:snapToGrid w:val="0"/>
        <w:spacing w:line="360" w:lineRule="auto"/>
        <w:ind w:firstLine="480" w:firstLineChars="200"/>
        <w:rPr>
          <w:sz w:val="24"/>
          <w:szCs w:val="24"/>
        </w:rPr>
      </w:pPr>
      <w:r>
        <w:rPr>
          <w:sz w:val="24"/>
          <w:szCs w:val="24"/>
        </w:rPr>
        <w:t>双方均有权不经调解直接向合同专用条款约定的仲裁机构申请仲裁或向有管辖权的人民法院提起诉讼。</w:t>
      </w:r>
    </w:p>
    <w:p w14:paraId="6E6D5D1E">
      <w:pPr>
        <w:pageBreakBefore/>
        <w:spacing w:line="360" w:lineRule="auto"/>
        <w:ind w:firstLine="357"/>
        <w:jc w:val="center"/>
        <w:outlineLvl w:val="0"/>
        <w:rPr>
          <w:b/>
          <w:bCs/>
          <w:sz w:val="30"/>
          <w:szCs w:val="30"/>
        </w:rPr>
      </w:pPr>
      <w:bookmarkStart w:id="990" w:name="_Toc471218954"/>
      <w:bookmarkStart w:id="991" w:name="_Toc470187241"/>
      <w:r>
        <w:rPr>
          <w:b/>
          <w:bCs/>
          <w:sz w:val="30"/>
          <w:szCs w:val="30"/>
        </w:rPr>
        <w:t>第三部分  合同专用条款</w:t>
      </w:r>
      <w:bookmarkEnd w:id="990"/>
      <w:bookmarkEnd w:id="991"/>
    </w:p>
    <w:p w14:paraId="4E0A41BB">
      <w:pPr>
        <w:spacing w:line="360" w:lineRule="auto"/>
        <w:jc w:val="center"/>
        <w:rPr>
          <w:b/>
          <w:sz w:val="24"/>
        </w:rPr>
      </w:pPr>
    </w:p>
    <w:p w14:paraId="7B547D38">
      <w:pPr>
        <w:autoSpaceDE w:val="0"/>
        <w:autoSpaceDN w:val="0"/>
        <w:adjustRightInd w:val="0"/>
        <w:spacing w:before="156" w:beforeLines="50" w:line="360" w:lineRule="auto"/>
        <w:outlineLvl w:val="0"/>
        <w:rPr>
          <w:sz w:val="24"/>
          <w:szCs w:val="24"/>
        </w:rPr>
      </w:pPr>
      <w:bookmarkStart w:id="992" w:name="_Toc471218955"/>
      <w:bookmarkStart w:id="993" w:name="_Toc470187242"/>
      <w:bookmarkStart w:id="994" w:name="_Toc371398132"/>
      <w:r>
        <w:rPr>
          <w:sz w:val="24"/>
          <w:szCs w:val="24"/>
        </w:rPr>
        <w:t>1. 定义与解释</w:t>
      </w:r>
      <w:bookmarkEnd w:id="992"/>
      <w:bookmarkEnd w:id="993"/>
      <w:bookmarkEnd w:id="994"/>
    </w:p>
    <w:p w14:paraId="3CBF4766">
      <w:pPr>
        <w:pStyle w:val="4"/>
        <w:spacing w:before="120" w:after="120" w:line="360" w:lineRule="auto"/>
        <w:ind w:left="420" w:leftChars="200" w:firstLine="118"/>
        <w:rPr>
          <w:rFonts w:ascii="Times New Roman" w:hAnsi="Times New Roman" w:eastAsia="宋体" w:cs="Times New Roman"/>
          <w:b w:val="0"/>
          <w:kern w:val="2"/>
          <w:sz w:val="24"/>
          <w:szCs w:val="24"/>
          <w:u w:val="none"/>
          <w:lang w:val="en-US" w:eastAsia="zh-CN" w:bidi="ar-SA"/>
        </w:rPr>
      </w:pPr>
      <w:bookmarkStart w:id="995" w:name="_Toc371398133"/>
      <w:bookmarkStart w:id="996" w:name="_Toc433185176"/>
      <w:bookmarkStart w:id="997" w:name="_Toc471218956"/>
      <w:bookmarkStart w:id="998" w:name="_Toc470187243"/>
      <w:r>
        <w:rPr>
          <w:rFonts w:ascii="Times New Roman" w:hAnsi="Times New Roman" w:eastAsia="宋体" w:cs="Times New Roman"/>
          <w:b w:val="0"/>
          <w:kern w:val="2"/>
          <w:sz w:val="24"/>
          <w:szCs w:val="24"/>
          <w:u w:val="none"/>
          <w:lang w:val="en-US" w:eastAsia="zh-CN" w:bidi="ar-SA"/>
        </w:rPr>
        <w:t>1.3 合同文件组成与解释顺序</w:t>
      </w:r>
      <w:bookmarkEnd w:id="995"/>
      <w:bookmarkEnd w:id="996"/>
      <w:bookmarkEnd w:id="997"/>
      <w:bookmarkEnd w:id="998"/>
    </w:p>
    <w:p w14:paraId="1847F9FE">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bookmarkStart w:id="999" w:name="_Toc470187244"/>
      <w:bookmarkStart w:id="1000" w:name="_Toc371398134"/>
      <w:bookmarkStart w:id="1001" w:name="_Toc471218957"/>
      <w:bookmarkStart w:id="1002" w:name="_Toc433185177"/>
      <w:r>
        <w:rPr>
          <w:rFonts w:hint="eastAsia" w:ascii="Times New Roman" w:hAnsi="Times New Roman" w:eastAsia="宋体" w:cs="Times New Roman"/>
          <w:b w:val="0"/>
          <w:kern w:val="2"/>
          <w:sz w:val="24"/>
          <w:szCs w:val="24"/>
          <w:u w:val="none"/>
          <w:lang w:val="en-US" w:eastAsia="zh-CN" w:bidi="ar-SA"/>
        </w:rPr>
        <w:t>(1)合同协议书；</w:t>
      </w:r>
    </w:p>
    <w:p w14:paraId="763A1BB8">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(2)中标通知书(适用于招标工程)或委托书(适用于非招标工程);</w:t>
      </w:r>
    </w:p>
    <w:p w14:paraId="4AA36876">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(3)投标函及投标函附录；</w:t>
      </w:r>
    </w:p>
    <w:p w14:paraId="02FBD18F">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(4)投标文件中的拟投入监理与相关服务人员、设备计划、监理大纲及相关服务 方案(适用于招标工程)或监理与相关服务建议书(适用于非招标工程);</w:t>
      </w:r>
    </w:p>
    <w:p w14:paraId="05EF148D">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(5)合同专用条款；</w:t>
      </w:r>
    </w:p>
    <w:p w14:paraId="31B9CF8C">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(6)合同通用条款；</w:t>
      </w:r>
    </w:p>
    <w:p w14:paraId="1B22A327">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(7)技术标准和要求；</w:t>
      </w:r>
    </w:p>
    <w:p w14:paraId="68831A76">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(8)监理与相关服务报价清单；</w:t>
      </w:r>
    </w:p>
    <w:p w14:paraId="4B833F19">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(9)本工程适用的监理与相关服务有关的规范、规程。</w:t>
      </w:r>
    </w:p>
    <w:p w14:paraId="12805A4B">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(10)组成合同文件的其他文件： 合同签订后，双方依法签订的补充协议也是合同</w:t>
      </w:r>
    </w:p>
    <w:p w14:paraId="224D3CFD">
      <w:pPr>
        <w:pStyle w:val="4"/>
        <w:spacing w:before="120" w:after="120" w:line="360" w:lineRule="auto"/>
        <w:ind w:left="420" w:leftChars="200" w:firstLine="118"/>
        <w:rPr>
          <w:rFonts w:hint="eastAsia" w:ascii="Times New Roman" w:hAnsi="Times New Roman" w:eastAsia="宋体" w:cs="Times New Roman"/>
          <w:b w:val="0"/>
          <w:kern w:val="2"/>
          <w:sz w:val="24"/>
          <w:szCs w:val="24"/>
          <w:u w:val="none"/>
          <w:lang w:val="en-US" w:eastAsia="zh-CN" w:bidi="ar-SA"/>
        </w:rPr>
      </w:pPr>
      <w:r>
        <w:rPr>
          <w:rFonts w:hint="eastAsia" w:ascii="Times New Roman" w:hAnsi="Times New Roman" w:eastAsia="宋体" w:cs="Times New Roman"/>
          <w:b w:val="0"/>
          <w:kern w:val="2"/>
          <w:sz w:val="24"/>
          <w:szCs w:val="24"/>
          <w:u w:val="none"/>
          <w:lang w:val="en-US" w:eastAsia="zh-CN" w:bidi="ar-SA"/>
        </w:rPr>
        <w:t xml:space="preserve">文件的组成部分。  </w:t>
      </w:r>
    </w:p>
    <w:p w14:paraId="70867839">
      <w:pPr>
        <w:pStyle w:val="4"/>
        <w:spacing w:before="120" w:after="120" w:line="360" w:lineRule="auto"/>
        <w:ind w:left="420" w:leftChars="200" w:firstLine="118"/>
        <w:rPr>
          <w:rFonts w:ascii="Times New Roman" w:hAnsi="Times New Roman" w:eastAsia="宋体" w:cs="Times New Roman"/>
          <w:b w:val="0"/>
          <w:kern w:val="2"/>
          <w:sz w:val="24"/>
          <w:szCs w:val="24"/>
          <w:u w:val="none"/>
          <w:lang w:val="en-US" w:eastAsia="zh-CN" w:bidi="ar-SA"/>
        </w:rPr>
      </w:pPr>
      <w:r>
        <w:rPr>
          <w:rFonts w:ascii="Times New Roman" w:hAnsi="Times New Roman" w:eastAsia="宋体" w:cs="Times New Roman"/>
          <w:b w:val="0"/>
          <w:kern w:val="2"/>
          <w:sz w:val="24"/>
          <w:szCs w:val="24"/>
          <w:u w:val="none"/>
          <w:lang w:val="en-US" w:eastAsia="zh-CN" w:bidi="ar-SA"/>
        </w:rPr>
        <w:t>1.5 保密</w:t>
      </w:r>
      <w:bookmarkEnd w:id="999"/>
      <w:bookmarkEnd w:id="1000"/>
      <w:bookmarkEnd w:id="1001"/>
      <w:bookmarkEnd w:id="1002"/>
    </w:p>
    <w:p w14:paraId="1F7C8ABA">
      <w:pPr>
        <w:autoSpaceDE w:val="0"/>
        <w:autoSpaceDN w:val="0"/>
        <w:adjustRightInd w:val="0"/>
        <w:spacing w:before="156" w:beforeLines="50" w:line="360" w:lineRule="auto"/>
        <w:outlineLvl w:val="0"/>
        <w:rPr>
          <w:rFonts w:hint="eastAsia"/>
          <w:sz w:val="24"/>
          <w:szCs w:val="24"/>
        </w:rPr>
      </w:pPr>
      <w:bookmarkStart w:id="1003" w:name="_Toc371398135"/>
      <w:bookmarkStart w:id="1004" w:name="_Toc471218958"/>
      <w:bookmarkStart w:id="1005" w:name="_Toc470187245"/>
      <w:r>
        <w:rPr>
          <w:rFonts w:hint="eastAsia"/>
          <w:sz w:val="24"/>
          <w:szCs w:val="24"/>
        </w:rPr>
        <w:t>委托人申明的保密事项和期限：</w:t>
      </w:r>
      <w:r>
        <w:rPr>
          <w:rFonts w:hint="eastAsia"/>
          <w:sz w:val="24"/>
          <w:szCs w:val="24"/>
          <w:u w:val="single"/>
        </w:rPr>
        <w:t xml:space="preserve"> 与实施工程有关的所有保密事项；期限是直到工程 施工结束(竣工验收合格后)。 </w:t>
      </w:r>
      <w:r>
        <w:rPr>
          <w:rFonts w:hint="eastAsia"/>
          <w:sz w:val="24"/>
          <w:szCs w:val="24"/>
        </w:rPr>
        <w:t xml:space="preserve"> </w:t>
      </w:r>
    </w:p>
    <w:p w14:paraId="4B6E04D0">
      <w:pPr>
        <w:autoSpaceDE w:val="0"/>
        <w:autoSpaceDN w:val="0"/>
        <w:adjustRightInd w:val="0"/>
        <w:spacing w:before="156" w:beforeLines="50" w:line="360" w:lineRule="auto"/>
        <w:outlineLvl w:val="0"/>
        <w:rPr>
          <w:rFonts w:hint="eastAsia"/>
          <w:sz w:val="24"/>
          <w:szCs w:val="24"/>
        </w:rPr>
      </w:pPr>
      <w:r>
        <w:rPr>
          <w:rFonts w:hint="eastAsia"/>
          <w:sz w:val="24"/>
          <w:szCs w:val="24"/>
        </w:rPr>
        <w:t xml:space="preserve">监理人申明的保密事项和期限： </w:t>
      </w:r>
      <w:r>
        <w:rPr>
          <w:rFonts w:hint="eastAsia"/>
          <w:sz w:val="24"/>
          <w:szCs w:val="24"/>
          <w:u w:val="single"/>
        </w:rPr>
        <w:t xml:space="preserve">与实施工程有关的所有保密事项；期限是直到工程 施工结束(竣工验收合格后)。  </w:t>
      </w:r>
    </w:p>
    <w:p w14:paraId="2476508E">
      <w:pPr>
        <w:autoSpaceDE w:val="0"/>
        <w:autoSpaceDN w:val="0"/>
        <w:adjustRightInd w:val="0"/>
        <w:spacing w:before="156" w:beforeLines="50" w:line="360" w:lineRule="auto"/>
        <w:outlineLvl w:val="0"/>
        <w:rPr>
          <w:rFonts w:hint="eastAsia"/>
          <w:sz w:val="24"/>
          <w:szCs w:val="24"/>
          <w:u w:val="single"/>
        </w:rPr>
      </w:pPr>
      <w:r>
        <w:rPr>
          <w:rFonts w:hint="eastAsia"/>
          <w:sz w:val="24"/>
          <w:szCs w:val="24"/>
        </w:rPr>
        <w:t xml:space="preserve">第三方申明的保密事项和期限： </w:t>
      </w:r>
      <w:r>
        <w:rPr>
          <w:rFonts w:hint="eastAsia"/>
          <w:sz w:val="24"/>
          <w:szCs w:val="24"/>
          <w:u w:val="single"/>
        </w:rPr>
        <w:t xml:space="preserve">与实施工程有关的所有保密事项；期限是直到工程 施工结束(竣工验收合格后)。 </w:t>
      </w:r>
    </w:p>
    <w:p w14:paraId="009EE0E3">
      <w:pPr>
        <w:autoSpaceDE w:val="0"/>
        <w:autoSpaceDN w:val="0"/>
        <w:adjustRightInd w:val="0"/>
        <w:spacing w:before="156" w:beforeLines="50" w:line="360" w:lineRule="auto"/>
        <w:outlineLvl w:val="0"/>
        <w:rPr>
          <w:sz w:val="24"/>
          <w:szCs w:val="24"/>
        </w:rPr>
      </w:pPr>
      <w:r>
        <w:rPr>
          <w:sz w:val="24"/>
          <w:szCs w:val="24"/>
        </w:rPr>
        <w:t>2. 监理人义务</w:t>
      </w:r>
      <w:bookmarkEnd w:id="1003"/>
      <w:bookmarkEnd w:id="1004"/>
      <w:bookmarkEnd w:id="1005"/>
    </w:p>
    <w:p w14:paraId="44570545">
      <w:pPr>
        <w:pStyle w:val="4"/>
        <w:spacing w:before="120" w:after="120" w:line="360" w:lineRule="auto"/>
        <w:ind w:left="420" w:leftChars="200" w:firstLine="118"/>
        <w:rPr>
          <w:rFonts w:ascii="Times New Roman" w:hAnsi="Times New Roman" w:eastAsia="宋体"/>
          <w:b/>
          <w:sz w:val="24"/>
          <w:szCs w:val="24"/>
          <w:highlight w:val="none"/>
        </w:rPr>
      </w:pPr>
      <w:bookmarkStart w:id="1006" w:name="_Toc471218959"/>
      <w:bookmarkStart w:id="1007" w:name="_Toc470187246"/>
      <w:bookmarkStart w:id="1008" w:name="_Toc371398136"/>
      <w:bookmarkStart w:id="1009" w:name="_Toc433185179"/>
      <w:r>
        <w:rPr>
          <w:rFonts w:ascii="Times New Roman" w:hAnsi="Times New Roman" w:eastAsia="宋体"/>
          <w:b/>
          <w:sz w:val="24"/>
          <w:szCs w:val="24"/>
          <w:highlight w:val="none"/>
        </w:rPr>
        <w:t>2.1 监理与相关服务的工程范围和服务内容</w:t>
      </w:r>
      <w:bookmarkEnd w:id="1006"/>
      <w:bookmarkEnd w:id="1007"/>
      <w:bookmarkEnd w:id="1008"/>
      <w:bookmarkEnd w:id="1009"/>
    </w:p>
    <w:p w14:paraId="33AAAB7A">
      <w:pPr>
        <w:pStyle w:val="16"/>
        <w:rPr>
          <w:rFonts w:hint="eastAsia" w:eastAsia="宋体"/>
          <w:highlight w:val="none"/>
          <w:lang w:eastAsia="zh-CN"/>
        </w:rPr>
      </w:pPr>
      <w:r>
        <w:rPr>
          <w:sz w:val="24"/>
          <w:szCs w:val="24"/>
          <w:highlight w:val="none"/>
        </w:rPr>
        <w:t>2.1.1 监理与相关服务的工程范围包括：</w:t>
      </w:r>
      <w:r>
        <w:rPr>
          <w:sz w:val="24"/>
          <w:szCs w:val="24"/>
          <w:highlight w:val="none"/>
          <w:u w:val="single"/>
        </w:rPr>
        <w:t xml:space="preserve"> </w:t>
      </w:r>
      <w:r>
        <w:rPr>
          <w:rFonts w:hint="eastAsia"/>
          <w:sz w:val="24"/>
          <w:szCs w:val="24"/>
          <w:highlight w:val="none"/>
          <w:u w:val="single"/>
          <w:lang w:val="en-US" w:eastAsia="zh-CN"/>
        </w:rPr>
        <w:t>包括但不限于</w:t>
      </w:r>
      <w:r>
        <w:rPr>
          <w:rFonts w:hint="eastAsia"/>
          <w:sz w:val="24"/>
          <w:szCs w:val="24"/>
          <w:highlight w:val="none"/>
          <w:u w:val="single"/>
        </w:rPr>
        <w:t>门头沟区潭柘寺镇草甸水村异地重建安置基础设施建设工程包括土石方工程、场地整理工程、基础设施、通信工程、公厕、机井、蓄水池等设计图纸、工程量清单内及拆迁拆改等相关范围</w:t>
      </w:r>
      <w:r>
        <w:rPr>
          <w:rFonts w:hint="eastAsia"/>
          <w:sz w:val="24"/>
          <w:szCs w:val="24"/>
          <w:highlight w:val="none"/>
          <w:u w:val="single"/>
          <w:lang w:eastAsia="zh-CN"/>
        </w:rPr>
        <w:t>。</w:t>
      </w:r>
    </w:p>
    <w:p w14:paraId="6609942F">
      <w:pPr>
        <w:adjustRightInd w:val="0"/>
        <w:snapToGrid w:val="0"/>
        <w:spacing w:line="360" w:lineRule="auto"/>
        <w:ind w:firstLine="480"/>
        <w:rPr>
          <w:sz w:val="24"/>
          <w:szCs w:val="24"/>
        </w:rPr>
      </w:pPr>
      <w:r>
        <w:rPr>
          <w:sz w:val="24"/>
          <w:szCs w:val="24"/>
        </w:rPr>
        <w:t>2.1.3.5 其他相关服务的内容：</w:t>
      </w:r>
      <w:r>
        <w:rPr>
          <w:sz w:val="24"/>
          <w:szCs w:val="24"/>
          <w:u w:val="single"/>
        </w:rPr>
        <w:t xml:space="preserve">  </w:t>
      </w:r>
      <w:r>
        <w:rPr>
          <w:rFonts w:hint="eastAsia"/>
          <w:sz w:val="24"/>
          <w:szCs w:val="24"/>
          <w:u w:val="single"/>
        </w:rPr>
        <w:t>工程保修阶段需要履行的监理相关职责</w:t>
      </w:r>
      <w:r>
        <w:rPr>
          <w:sz w:val="24"/>
          <w:szCs w:val="24"/>
          <w:u w:val="single"/>
        </w:rPr>
        <w:t xml:space="preserve">   </w:t>
      </w:r>
      <w:r>
        <w:rPr>
          <w:sz w:val="24"/>
          <w:szCs w:val="24"/>
        </w:rPr>
        <w:t>。</w:t>
      </w:r>
    </w:p>
    <w:p w14:paraId="3569A0D5">
      <w:pPr>
        <w:pStyle w:val="4"/>
        <w:spacing w:before="120" w:after="120" w:line="360" w:lineRule="auto"/>
        <w:ind w:left="420" w:leftChars="200" w:firstLine="118"/>
        <w:rPr>
          <w:rFonts w:ascii="Times New Roman" w:hAnsi="Times New Roman" w:eastAsia="宋体"/>
          <w:b/>
          <w:sz w:val="24"/>
          <w:szCs w:val="24"/>
        </w:rPr>
      </w:pPr>
      <w:bookmarkStart w:id="1010" w:name="_Toc371398137"/>
      <w:bookmarkStart w:id="1011" w:name="_Toc433185180"/>
      <w:bookmarkStart w:id="1012" w:name="_Toc471218960"/>
      <w:bookmarkStart w:id="1013" w:name="_Toc470187247"/>
      <w:r>
        <w:rPr>
          <w:rFonts w:ascii="Times New Roman" w:hAnsi="Times New Roman" w:eastAsia="宋体"/>
          <w:b/>
          <w:sz w:val="24"/>
          <w:szCs w:val="24"/>
        </w:rPr>
        <w:t>2.2 监理与相关服务依据</w:t>
      </w:r>
      <w:bookmarkEnd w:id="1010"/>
      <w:bookmarkEnd w:id="1011"/>
      <w:bookmarkEnd w:id="1012"/>
      <w:bookmarkEnd w:id="1013"/>
    </w:p>
    <w:p w14:paraId="0CE65176">
      <w:pPr>
        <w:adjustRightInd w:val="0"/>
        <w:snapToGrid w:val="0"/>
        <w:spacing w:line="360" w:lineRule="auto"/>
        <w:rPr>
          <w:sz w:val="24"/>
          <w:szCs w:val="24"/>
        </w:rPr>
      </w:pPr>
      <w:r>
        <w:rPr>
          <w:sz w:val="24"/>
          <w:szCs w:val="24"/>
        </w:rPr>
        <w:t>2.2.1 监理依据：</w:t>
      </w:r>
      <w:r>
        <w:rPr>
          <w:rFonts w:hint="eastAsia"/>
          <w:sz w:val="24"/>
          <w:szCs w:val="24"/>
          <w:u w:val="single"/>
        </w:rPr>
        <w:t>建设部及北京市有关监理的法规文件；国家及北京市政府</w:t>
      </w:r>
      <w:bookmarkStart w:id="1107" w:name="_GoBack"/>
      <w:bookmarkEnd w:id="1107"/>
      <w:r>
        <w:rPr>
          <w:rFonts w:hint="eastAsia"/>
          <w:sz w:val="24"/>
          <w:szCs w:val="24"/>
          <w:u w:val="single"/>
        </w:rPr>
        <w:t>有关工  程建设的法规文件；本工程监理招标文件；施工招标文件；本工程合同、协议及附件；  工程设计文件；中标通知书；现行标准图集、技术规范、工程质量评定标准、试验规程；往来文件和会议纪要；其他有效文件</w:t>
      </w:r>
      <w:r>
        <w:rPr>
          <w:sz w:val="24"/>
          <w:szCs w:val="24"/>
          <w:u w:val="single"/>
        </w:rPr>
        <w:t xml:space="preserve"> </w:t>
      </w:r>
      <w:r>
        <w:rPr>
          <w:sz w:val="24"/>
          <w:szCs w:val="24"/>
        </w:rPr>
        <w:t>。</w:t>
      </w:r>
    </w:p>
    <w:p w14:paraId="69A94BB7">
      <w:pPr>
        <w:adjustRightInd w:val="0"/>
        <w:snapToGrid w:val="0"/>
        <w:spacing w:line="360" w:lineRule="auto"/>
        <w:rPr>
          <w:rFonts w:hint="eastAsia" w:eastAsia="宋体"/>
          <w:dstrike/>
          <w:sz w:val="24"/>
          <w:szCs w:val="24"/>
          <w:lang w:eastAsia="zh-CN"/>
        </w:rPr>
      </w:pPr>
      <w:r>
        <w:rPr>
          <w:sz w:val="24"/>
          <w:szCs w:val="24"/>
        </w:rPr>
        <w:t>2.2.2 相关服务依据：</w:t>
      </w:r>
      <w:r>
        <w:rPr>
          <w:sz w:val="24"/>
          <w:szCs w:val="24"/>
          <w:u w:val="single"/>
        </w:rPr>
        <w:t xml:space="preserve"> </w:t>
      </w:r>
      <w:r>
        <w:rPr>
          <w:rFonts w:hint="eastAsia"/>
          <w:sz w:val="24"/>
          <w:szCs w:val="24"/>
          <w:u w:val="single"/>
        </w:rPr>
        <w:t>《建设工程监理规范》(GB/T50319-2013)、《建设工程监理规 程》(DB11 T-382-2017)等国家和北京市现行有关工程建设和建设监理的法律、法规、  规章、规范、规程、技术标准、要求、通知及其他规范性文件；本合同在实施过程中如 与国家及北京市颁布的新规范性文件有抵触时，按国家及北京市颁布的新规范性文件执行</w:t>
      </w:r>
      <w:r>
        <w:rPr>
          <w:rFonts w:hint="eastAsia"/>
          <w:sz w:val="24"/>
          <w:szCs w:val="24"/>
          <w:u w:val="single"/>
          <w:lang w:eastAsia="zh-CN"/>
        </w:rPr>
        <w:t>。</w:t>
      </w:r>
    </w:p>
    <w:p w14:paraId="0DDA1EFF">
      <w:pPr>
        <w:pStyle w:val="4"/>
        <w:spacing w:before="120" w:after="120" w:line="360" w:lineRule="auto"/>
        <w:ind w:left="420" w:leftChars="200" w:firstLine="118"/>
        <w:rPr>
          <w:rFonts w:ascii="Times New Roman" w:hAnsi="Times New Roman" w:eastAsia="宋体"/>
          <w:b/>
          <w:sz w:val="24"/>
          <w:szCs w:val="24"/>
        </w:rPr>
      </w:pPr>
      <w:bookmarkStart w:id="1014" w:name="_Toc470187248"/>
      <w:bookmarkStart w:id="1015" w:name="_Toc371398138"/>
      <w:bookmarkStart w:id="1016" w:name="_Toc471218961"/>
      <w:bookmarkStart w:id="1017" w:name="_Toc433185181"/>
      <w:r>
        <w:rPr>
          <w:rFonts w:ascii="Times New Roman" w:hAnsi="Times New Roman" w:eastAsia="宋体"/>
          <w:b/>
          <w:sz w:val="24"/>
          <w:szCs w:val="24"/>
        </w:rPr>
        <w:t>2.3 项目监理与相关服务机构和人员</w:t>
      </w:r>
      <w:bookmarkEnd w:id="1014"/>
      <w:bookmarkEnd w:id="1015"/>
      <w:bookmarkEnd w:id="1016"/>
      <w:bookmarkEnd w:id="1017"/>
    </w:p>
    <w:p w14:paraId="753B004C">
      <w:pPr>
        <w:adjustRightInd w:val="0"/>
        <w:snapToGrid w:val="0"/>
        <w:spacing w:line="360" w:lineRule="auto"/>
        <w:rPr>
          <w:sz w:val="24"/>
          <w:szCs w:val="24"/>
        </w:rPr>
      </w:pPr>
      <w:r>
        <w:rPr>
          <w:sz w:val="24"/>
          <w:szCs w:val="24"/>
        </w:rPr>
        <w:t>2.3.4 更换监理人员的其他情形：</w:t>
      </w:r>
      <w:r>
        <w:rPr>
          <w:sz w:val="24"/>
          <w:szCs w:val="24"/>
          <w:u w:val="single"/>
        </w:rPr>
        <w:t xml:space="preserve">  </w:t>
      </w:r>
      <w:r>
        <w:rPr>
          <w:rFonts w:hint="eastAsia"/>
          <w:sz w:val="24"/>
          <w:szCs w:val="24"/>
          <w:u w:val="single"/>
        </w:rPr>
        <w:t>双方约定</w:t>
      </w:r>
      <w:r>
        <w:rPr>
          <w:sz w:val="24"/>
          <w:szCs w:val="24"/>
          <w:u w:val="single"/>
        </w:rPr>
        <w:t xml:space="preserve"> </w:t>
      </w:r>
      <w:r>
        <w:rPr>
          <w:sz w:val="24"/>
          <w:szCs w:val="24"/>
        </w:rPr>
        <w:t>。</w:t>
      </w:r>
    </w:p>
    <w:p w14:paraId="2F27B8AC">
      <w:pPr>
        <w:pStyle w:val="4"/>
        <w:spacing w:before="120" w:after="120" w:line="360" w:lineRule="auto"/>
        <w:ind w:left="420" w:leftChars="200" w:firstLine="118"/>
        <w:rPr>
          <w:rFonts w:ascii="Times New Roman" w:hAnsi="Times New Roman" w:eastAsia="宋体"/>
          <w:b/>
          <w:sz w:val="24"/>
          <w:szCs w:val="24"/>
        </w:rPr>
      </w:pPr>
      <w:bookmarkStart w:id="1018" w:name="_Toc371398139"/>
      <w:bookmarkStart w:id="1019" w:name="_Toc470187249"/>
      <w:bookmarkStart w:id="1020" w:name="_Toc433185182"/>
      <w:bookmarkStart w:id="1021" w:name="_Toc471218962"/>
      <w:r>
        <w:rPr>
          <w:rFonts w:ascii="Times New Roman" w:hAnsi="Times New Roman" w:eastAsia="宋体"/>
          <w:b/>
          <w:sz w:val="24"/>
          <w:szCs w:val="24"/>
        </w:rPr>
        <w:t>2.4 履行职责</w:t>
      </w:r>
      <w:bookmarkEnd w:id="1018"/>
      <w:bookmarkEnd w:id="1019"/>
      <w:bookmarkEnd w:id="1020"/>
      <w:bookmarkEnd w:id="1021"/>
    </w:p>
    <w:p w14:paraId="75610C15">
      <w:pPr>
        <w:adjustRightInd w:val="0"/>
        <w:snapToGrid w:val="0"/>
        <w:spacing w:line="360" w:lineRule="auto"/>
        <w:rPr>
          <w:sz w:val="24"/>
          <w:szCs w:val="24"/>
        </w:rPr>
      </w:pPr>
      <w:bookmarkStart w:id="1022" w:name="_Toc343092723"/>
      <w:r>
        <w:rPr>
          <w:sz w:val="24"/>
          <w:szCs w:val="24"/>
        </w:rPr>
        <w:t>2.4.3 对监理人的授权范围：</w:t>
      </w:r>
      <w:bookmarkEnd w:id="1022"/>
      <w:r>
        <w:rPr>
          <w:sz w:val="24"/>
          <w:szCs w:val="24"/>
          <w:u w:val="single"/>
        </w:rPr>
        <w:t xml:space="preserve">  </w:t>
      </w:r>
      <w:r>
        <w:rPr>
          <w:rFonts w:hint="eastAsia"/>
          <w:sz w:val="24"/>
          <w:szCs w:val="24"/>
          <w:u w:val="single"/>
        </w:rPr>
        <w:t xml:space="preserve"> (1)协助委托人签订材料供应合同(如果有),以  及与本工程有关的各项补充协议。   (2)负责审查承包商资质，包括对供应商的资质，  供货能力、商业信誉等，并将审核意见报送委托人；参与确认承包商所选择的供应商。  (3)定期对施工合同的执行情况进行跟踪管理和检查(如遇特殊情况、紧急情况应在第一时间内上报委托人),并以书面形式报送委托人。(4)负责计算、审核各项索赔金额， 提供处理意见，并协助委托人处理合同纠纷</w:t>
      </w:r>
      <w:r>
        <w:rPr>
          <w:sz w:val="24"/>
          <w:szCs w:val="24"/>
          <w:u w:val="single"/>
        </w:rPr>
        <w:t xml:space="preserve"> </w:t>
      </w:r>
      <w:r>
        <w:rPr>
          <w:sz w:val="24"/>
          <w:szCs w:val="24"/>
        </w:rPr>
        <w:t>。</w:t>
      </w:r>
    </w:p>
    <w:p w14:paraId="3485DC09">
      <w:pPr>
        <w:snapToGrid w:val="0"/>
        <w:spacing w:line="360" w:lineRule="auto"/>
        <w:ind w:firstLine="480" w:firstLineChars="200"/>
        <w:rPr>
          <w:sz w:val="24"/>
          <w:szCs w:val="24"/>
        </w:rPr>
      </w:pPr>
      <w:r>
        <w:rPr>
          <w:sz w:val="24"/>
          <w:szCs w:val="24"/>
        </w:rPr>
        <w:t>在涉及工程延期</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天内和（或）金额</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万元内的变更，监理人不需请示委托人即可向承包人发布变更通知。</w:t>
      </w:r>
    </w:p>
    <w:p w14:paraId="3C327FBC">
      <w:pPr>
        <w:pStyle w:val="4"/>
        <w:spacing w:before="120" w:after="120" w:line="360" w:lineRule="auto"/>
        <w:ind w:left="420" w:leftChars="200" w:firstLine="118"/>
        <w:rPr>
          <w:rFonts w:ascii="Times New Roman" w:hAnsi="Times New Roman" w:eastAsia="宋体"/>
          <w:b/>
          <w:sz w:val="24"/>
          <w:szCs w:val="24"/>
        </w:rPr>
      </w:pPr>
      <w:bookmarkStart w:id="1023" w:name="_Toc470187250"/>
      <w:bookmarkStart w:id="1024" w:name="_Toc471218963"/>
      <w:bookmarkStart w:id="1025" w:name="_Toc371398140"/>
      <w:bookmarkStart w:id="1026" w:name="_Toc433185183"/>
      <w:r>
        <w:rPr>
          <w:rFonts w:ascii="Times New Roman" w:hAnsi="Times New Roman" w:eastAsia="宋体"/>
          <w:b/>
          <w:sz w:val="24"/>
          <w:szCs w:val="24"/>
        </w:rPr>
        <w:t>2.7 提交报告</w:t>
      </w:r>
      <w:bookmarkEnd w:id="1023"/>
      <w:bookmarkEnd w:id="1024"/>
      <w:bookmarkEnd w:id="1025"/>
      <w:bookmarkEnd w:id="1026"/>
    </w:p>
    <w:p w14:paraId="67F47B05">
      <w:pPr>
        <w:adjustRightInd w:val="0"/>
        <w:snapToGrid w:val="0"/>
        <w:spacing w:line="360" w:lineRule="auto"/>
        <w:rPr>
          <w:sz w:val="24"/>
          <w:szCs w:val="24"/>
        </w:rPr>
      </w:pPr>
      <w:r>
        <w:rPr>
          <w:sz w:val="24"/>
          <w:szCs w:val="24"/>
        </w:rPr>
        <w:t>监理人应当提交报告的种类（包括监理规划、监理月报及约定的专项报告）、时间和份数：</w:t>
      </w:r>
      <w:r>
        <w:rPr>
          <w:sz w:val="24"/>
          <w:szCs w:val="24"/>
          <w:u w:val="single"/>
        </w:rPr>
        <w:t xml:space="preserve"> </w:t>
      </w:r>
      <w:r>
        <w:rPr>
          <w:rFonts w:hint="eastAsia"/>
          <w:sz w:val="24"/>
          <w:szCs w:val="24"/>
          <w:u w:val="single"/>
        </w:rPr>
        <w:t>监理人应当在签订委托监理合同及收到设计文件后，于开工前7日内向委托人报  送监理规划纸质版和PDF电子版各1份；每月7日前提交上月监理月报纸质版和PDF电 子版各一份；其他专项报告应当根据需要或相关要求及时报送</w:t>
      </w:r>
      <w:r>
        <w:rPr>
          <w:sz w:val="24"/>
          <w:szCs w:val="24"/>
          <w:u w:val="single"/>
        </w:rPr>
        <w:t xml:space="preserve"> </w:t>
      </w:r>
      <w:r>
        <w:rPr>
          <w:sz w:val="24"/>
          <w:szCs w:val="24"/>
        </w:rPr>
        <w:t>。</w:t>
      </w:r>
    </w:p>
    <w:p w14:paraId="11E1FA27">
      <w:pPr>
        <w:pStyle w:val="4"/>
        <w:spacing w:before="120" w:after="120" w:line="360" w:lineRule="auto"/>
        <w:ind w:left="420" w:leftChars="200" w:firstLine="118"/>
        <w:rPr>
          <w:rFonts w:ascii="Times New Roman" w:hAnsi="Times New Roman" w:eastAsia="宋体"/>
          <w:b/>
          <w:sz w:val="24"/>
          <w:szCs w:val="24"/>
        </w:rPr>
      </w:pPr>
      <w:bookmarkStart w:id="1027" w:name="_Toc433185184"/>
      <w:bookmarkStart w:id="1028" w:name="_Toc371398141"/>
      <w:bookmarkStart w:id="1029" w:name="_Toc471218964"/>
      <w:bookmarkStart w:id="1030" w:name="_Toc470187251"/>
      <w:r>
        <w:rPr>
          <w:rFonts w:ascii="Times New Roman" w:hAnsi="Times New Roman" w:eastAsia="宋体"/>
          <w:b/>
          <w:sz w:val="24"/>
          <w:szCs w:val="24"/>
        </w:rPr>
        <w:t>2.9 使用委托人的财产</w:t>
      </w:r>
      <w:bookmarkEnd w:id="1027"/>
      <w:bookmarkEnd w:id="1028"/>
      <w:bookmarkEnd w:id="1029"/>
      <w:bookmarkEnd w:id="1030"/>
    </w:p>
    <w:p w14:paraId="6D5647B3">
      <w:pPr>
        <w:spacing w:line="360" w:lineRule="auto"/>
        <w:rPr>
          <w:b/>
          <w:sz w:val="24"/>
          <w:szCs w:val="24"/>
        </w:rPr>
      </w:pPr>
      <w:r>
        <w:rPr>
          <w:sz w:val="24"/>
          <w:szCs w:val="24"/>
        </w:rPr>
        <w:t>委托人提供的人员、房屋、设备、设施：</w:t>
      </w:r>
      <w:r>
        <w:rPr>
          <w:sz w:val="24"/>
          <w:szCs w:val="24"/>
          <w:u w:val="single"/>
        </w:rPr>
        <w:t xml:space="preserve"> </w:t>
      </w:r>
      <w:r>
        <w:rPr>
          <w:rFonts w:hint="eastAsia"/>
          <w:sz w:val="24"/>
          <w:szCs w:val="24"/>
          <w:u w:val="single"/>
        </w:rPr>
        <w:t>办公用房以及相应的工作设施；生活用房</w:t>
      </w:r>
      <w:r>
        <w:rPr>
          <w:sz w:val="24"/>
          <w:szCs w:val="24"/>
          <w:u w:val="single"/>
        </w:rPr>
        <w:t xml:space="preserve"> </w:t>
      </w:r>
      <w:r>
        <w:rPr>
          <w:sz w:val="24"/>
          <w:szCs w:val="24"/>
        </w:rPr>
        <w:t>。</w:t>
      </w:r>
    </w:p>
    <w:p w14:paraId="17CA4C00">
      <w:pPr>
        <w:adjustRightInd w:val="0"/>
        <w:snapToGrid w:val="0"/>
        <w:spacing w:line="360" w:lineRule="auto"/>
        <w:rPr>
          <w:sz w:val="24"/>
          <w:szCs w:val="24"/>
        </w:rPr>
      </w:pPr>
      <w:r>
        <w:rPr>
          <w:sz w:val="24"/>
          <w:szCs w:val="24"/>
        </w:rPr>
        <w:t>由委托人提供的房屋、设备、设施的所有权属于：</w:t>
      </w:r>
      <w:r>
        <w:rPr>
          <w:rFonts w:hint="eastAsia"/>
          <w:sz w:val="24"/>
          <w:szCs w:val="24"/>
          <w:u w:val="single"/>
        </w:rPr>
        <w:t>委托人</w:t>
      </w:r>
      <w:r>
        <w:rPr>
          <w:sz w:val="24"/>
          <w:szCs w:val="24"/>
          <w:u w:val="single"/>
        </w:rPr>
        <w:t xml:space="preserve"> </w:t>
      </w:r>
      <w:r>
        <w:rPr>
          <w:sz w:val="24"/>
          <w:szCs w:val="24"/>
        </w:rPr>
        <w:t>。</w:t>
      </w:r>
    </w:p>
    <w:p w14:paraId="23A5C35D">
      <w:pPr>
        <w:adjustRightInd w:val="0"/>
        <w:snapToGrid w:val="0"/>
        <w:spacing w:line="360" w:lineRule="auto"/>
        <w:rPr>
          <w:sz w:val="24"/>
          <w:szCs w:val="24"/>
        </w:rPr>
      </w:pPr>
      <w:r>
        <w:rPr>
          <w:sz w:val="24"/>
          <w:szCs w:val="24"/>
        </w:rPr>
        <w:t xml:space="preserve">    在合同终止后，监理人应当在</w:t>
      </w:r>
      <w:r>
        <w:rPr>
          <w:sz w:val="24"/>
          <w:szCs w:val="24"/>
          <w:u w:val="single"/>
        </w:rPr>
        <w:t xml:space="preserve">    </w:t>
      </w:r>
      <w:r>
        <w:rPr>
          <w:rFonts w:hint="eastAsia"/>
          <w:sz w:val="24"/>
          <w:szCs w:val="24"/>
          <w:u w:val="single"/>
          <w:lang w:val="en-US" w:eastAsia="zh-CN"/>
        </w:rPr>
        <w:t>7</w:t>
      </w:r>
      <w:r>
        <w:rPr>
          <w:sz w:val="24"/>
          <w:szCs w:val="24"/>
          <w:u w:val="single"/>
        </w:rPr>
        <w:t xml:space="preserve">   </w:t>
      </w:r>
      <w:r>
        <w:rPr>
          <w:sz w:val="24"/>
          <w:szCs w:val="24"/>
        </w:rPr>
        <w:t>天内移交委托人免费提供的设备、设施，移交的方式和时间为：</w:t>
      </w:r>
      <w:r>
        <w:rPr>
          <w:sz w:val="24"/>
          <w:szCs w:val="24"/>
          <w:u w:val="single"/>
        </w:rPr>
        <w:t xml:space="preserve">  </w:t>
      </w:r>
      <w:r>
        <w:rPr>
          <w:rFonts w:hint="eastAsia"/>
          <w:sz w:val="24"/>
          <w:szCs w:val="24"/>
          <w:u w:val="single"/>
        </w:rPr>
        <w:t>在工程现场将委托人提供的设施及属委托人的财产的剩余物品移交委托人</w:t>
      </w:r>
      <w:r>
        <w:rPr>
          <w:sz w:val="24"/>
          <w:szCs w:val="24"/>
          <w:u w:val="single"/>
        </w:rPr>
        <w:t xml:space="preserve">  </w:t>
      </w:r>
      <w:r>
        <w:rPr>
          <w:sz w:val="24"/>
          <w:szCs w:val="24"/>
        </w:rPr>
        <w:t>。</w:t>
      </w:r>
    </w:p>
    <w:p w14:paraId="6D3921F1">
      <w:pPr>
        <w:autoSpaceDE w:val="0"/>
        <w:autoSpaceDN w:val="0"/>
        <w:adjustRightInd w:val="0"/>
        <w:spacing w:before="156" w:beforeLines="50" w:line="360" w:lineRule="auto"/>
        <w:outlineLvl w:val="0"/>
        <w:rPr>
          <w:sz w:val="24"/>
          <w:szCs w:val="24"/>
        </w:rPr>
      </w:pPr>
      <w:bookmarkStart w:id="1031" w:name="_Toc371398142"/>
      <w:bookmarkStart w:id="1032" w:name="_Toc471218965"/>
      <w:bookmarkStart w:id="1033" w:name="_Toc470187252"/>
      <w:r>
        <w:rPr>
          <w:sz w:val="24"/>
          <w:szCs w:val="24"/>
        </w:rPr>
        <w:t>3. 委托人义务</w:t>
      </w:r>
      <w:bookmarkEnd w:id="1031"/>
      <w:bookmarkEnd w:id="1032"/>
      <w:bookmarkEnd w:id="1033"/>
      <w:r>
        <w:rPr>
          <w:sz w:val="24"/>
          <w:szCs w:val="24"/>
        </w:rPr>
        <w:t xml:space="preserve">  </w:t>
      </w:r>
    </w:p>
    <w:p w14:paraId="2050C8C3">
      <w:pPr>
        <w:pStyle w:val="4"/>
        <w:spacing w:before="120" w:after="120" w:line="360" w:lineRule="auto"/>
        <w:ind w:left="420" w:leftChars="200" w:firstLine="118"/>
        <w:rPr>
          <w:rFonts w:ascii="Times New Roman" w:hAnsi="Times New Roman" w:eastAsia="宋体"/>
          <w:b/>
          <w:sz w:val="24"/>
          <w:szCs w:val="24"/>
        </w:rPr>
      </w:pPr>
      <w:bookmarkStart w:id="1034" w:name="_Toc433185186"/>
      <w:bookmarkStart w:id="1035" w:name="_Toc470187253"/>
      <w:bookmarkStart w:id="1036" w:name="_Toc471218966"/>
      <w:r>
        <w:rPr>
          <w:rFonts w:ascii="Times New Roman" w:hAnsi="Times New Roman" w:eastAsia="宋体"/>
          <w:b/>
          <w:sz w:val="24"/>
          <w:szCs w:val="24"/>
        </w:rPr>
        <w:t>3.2 提供资料</w:t>
      </w:r>
      <w:bookmarkEnd w:id="1034"/>
      <w:bookmarkEnd w:id="1035"/>
      <w:bookmarkEnd w:id="1036"/>
    </w:p>
    <w:p w14:paraId="2D6A9BD4">
      <w:pPr>
        <w:snapToGrid w:val="0"/>
        <w:spacing w:line="360" w:lineRule="auto"/>
        <w:rPr>
          <w:sz w:val="24"/>
          <w:szCs w:val="24"/>
        </w:rPr>
      </w:pPr>
      <w:r>
        <w:rPr>
          <w:sz w:val="24"/>
          <w:szCs w:val="24"/>
        </w:rPr>
        <w:t>委托人免费向监理人提供与工程有关的资料：</w:t>
      </w:r>
      <w:r>
        <w:rPr>
          <w:sz w:val="24"/>
          <w:szCs w:val="24"/>
          <w:u w:val="single"/>
        </w:rPr>
        <w:t xml:space="preserve">  </w:t>
      </w:r>
      <w:r>
        <w:rPr>
          <w:rFonts w:hint="eastAsia"/>
          <w:sz w:val="24"/>
          <w:szCs w:val="24"/>
          <w:u w:val="single"/>
        </w:rPr>
        <w:t>设计文件、施工图、招标文件、中标文件、工程施工承包合同纸质版和PDF版各一份。</w:t>
      </w:r>
    </w:p>
    <w:p w14:paraId="013A4361">
      <w:pPr>
        <w:pStyle w:val="4"/>
        <w:spacing w:before="120" w:after="120" w:line="360" w:lineRule="auto"/>
        <w:ind w:left="420" w:leftChars="200" w:firstLine="118"/>
        <w:rPr>
          <w:rFonts w:ascii="Times New Roman" w:hAnsi="Times New Roman" w:eastAsia="宋体"/>
          <w:b/>
          <w:sz w:val="24"/>
          <w:szCs w:val="24"/>
        </w:rPr>
      </w:pPr>
      <w:bookmarkStart w:id="1037" w:name="_Toc371398143"/>
      <w:bookmarkStart w:id="1038" w:name="_Toc471218967"/>
      <w:bookmarkStart w:id="1039" w:name="_Toc470187254"/>
      <w:bookmarkStart w:id="1040" w:name="_Toc433185187"/>
      <w:r>
        <w:rPr>
          <w:rFonts w:ascii="Times New Roman" w:hAnsi="Times New Roman" w:eastAsia="宋体"/>
          <w:b/>
          <w:sz w:val="24"/>
          <w:szCs w:val="24"/>
        </w:rPr>
        <w:t>3.4 委托人代表</w:t>
      </w:r>
      <w:bookmarkEnd w:id="1037"/>
      <w:bookmarkEnd w:id="1038"/>
      <w:bookmarkEnd w:id="1039"/>
      <w:bookmarkEnd w:id="1040"/>
    </w:p>
    <w:p w14:paraId="3A4880B3">
      <w:pPr>
        <w:snapToGrid w:val="0"/>
        <w:spacing w:line="360" w:lineRule="auto"/>
        <w:ind w:firstLine="480" w:firstLineChars="200"/>
        <w:jc w:val="left"/>
        <w:rPr>
          <w:sz w:val="24"/>
          <w:szCs w:val="24"/>
        </w:rPr>
      </w:pPr>
      <w:r>
        <w:rPr>
          <w:sz w:val="24"/>
          <w:szCs w:val="24"/>
        </w:rPr>
        <w:t>委托人代表为：</w:t>
      </w:r>
      <w:r>
        <w:rPr>
          <w:sz w:val="24"/>
          <w:szCs w:val="24"/>
          <w:u w:val="single"/>
        </w:rPr>
        <w:t xml:space="preserve">                          　　　　　　　　     </w:t>
      </w:r>
      <w:r>
        <w:rPr>
          <w:sz w:val="24"/>
          <w:szCs w:val="24"/>
        </w:rPr>
        <w:t>。</w:t>
      </w:r>
    </w:p>
    <w:p w14:paraId="7EA01A1A">
      <w:pPr>
        <w:pStyle w:val="4"/>
        <w:spacing w:before="120" w:after="120" w:line="360" w:lineRule="auto"/>
        <w:ind w:left="420" w:leftChars="200" w:firstLine="118"/>
        <w:rPr>
          <w:rFonts w:ascii="Times New Roman" w:hAnsi="Times New Roman" w:eastAsia="宋体"/>
          <w:b/>
          <w:sz w:val="24"/>
          <w:szCs w:val="24"/>
        </w:rPr>
      </w:pPr>
      <w:bookmarkStart w:id="1041" w:name="_Toc470187255"/>
      <w:bookmarkStart w:id="1042" w:name="_Toc433185188"/>
      <w:bookmarkStart w:id="1043" w:name="_Toc371398144"/>
      <w:bookmarkStart w:id="1044" w:name="_Toc471218968"/>
      <w:r>
        <w:rPr>
          <w:rFonts w:ascii="Times New Roman" w:hAnsi="Times New Roman" w:eastAsia="宋体"/>
          <w:b/>
          <w:sz w:val="24"/>
          <w:szCs w:val="24"/>
        </w:rPr>
        <w:t>3.6 答复</w:t>
      </w:r>
      <w:bookmarkEnd w:id="1041"/>
      <w:bookmarkEnd w:id="1042"/>
      <w:bookmarkEnd w:id="1043"/>
      <w:bookmarkEnd w:id="1044"/>
    </w:p>
    <w:p w14:paraId="1D885C46">
      <w:pPr>
        <w:snapToGrid w:val="0"/>
        <w:spacing w:line="360" w:lineRule="auto"/>
        <w:ind w:firstLine="480" w:firstLineChars="200"/>
        <w:rPr>
          <w:sz w:val="24"/>
          <w:szCs w:val="24"/>
        </w:rPr>
      </w:pPr>
      <w:r>
        <w:rPr>
          <w:sz w:val="24"/>
          <w:szCs w:val="24"/>
        </w:rPr>
        <w:t>委托人同意在</w:t>
      </w:r>
      <w:r>
        <w:rPr>
          <w:sz w:val="24"/>
          <w:szCs w:val="24"/>
          <w:u w:val="single"/>
        </w:rPr>
        <w:t xml:space="preserve">   </w:t>
      </w:r>
      <w:r>
        <w:rPr>
          <w:rFonts w:hint="eastAsia"/>
          <w:sz w:val="24"/>
          <w:szCs w:val="24"/>
          <w:u w:val="single"/>
          <w:lang w:val="en-US" w:eastAsia="zh-CN"/>
        </w:rPr>
        <w:t>7</w:t>
      </w:r>
      <w:r>
        <w:rPr>
          <w:sz w:val="24"/>
          <w:szCs w:val="24"/>
          <w:u w:val="single"/>
        </w:rPr>
        <w:t xml:space="preserve">    </w:t>
      </w:r>
      <w:r>
        <w:rPr>
          <w:sz w:val="24"/>
          <w:szCs w:val="24"/>
        </w:rPr>
        <w:t>天内，对监理人书面提交并要求作出决定的事宜给予书面答复。</w:t>
      </w:r>
    </w:p>
    <w:p w14:paraId="4ED861DF">
      <w:pPr>
        <w:pStyle w:val="4"/>
        <w:spacing w:before="120" w:after="120" w:line="360" w:lineRule="auto"/>
        <w:ind w:left="420" w:leftChars="200" w:firstLine="118"/>
        <w:rPr>
          <w:rFonts w:ascii="Times New Roman" w:hAnsi="Times New Roman" w:eastAsia="宋体"/>
          <w:b/>
          <w:sz w:val="24"/>
          <w:szCs w:val="24"/>
        </w:rPr>
      </w:pPr>
      <w:bookmarkStart w:id="1045" w:name="_Toc371398145"/>
      <w:bookmarkStart w:id="1046" w:name="_Toc433185189"/>
      <w:bookmarkStart w:id="1047" w:name="_Toc470187256"/>
      <w:bookmarkStart w:id="1048" w:name="_Toc471218969"/>
      <w:r>
        <w:rPr>
          <w:rFonts w:ascii="Times New Roman" w:hAnsi="Times New Roman" w:eastAsia="宋体"/>
          <w:b/>
          <w:sz w:val="24"/>
          <w:szCs w:val="24"/>
        </w:rPr>
        <w:t>3.8 合理化建议的奖励</w:t>
      </w:r>
      <w:bookmarkEnd w:id="1045"/>
      <w:bookmarkEnd w:id="1046"/>
      <w:bookmarkEnd w:id="1047"/>
      <w:bookmarkEnd w:id="1048"/>
    </w:p>
    <w:p w14:paraId="48E0BBB2">
      <w:pPr>
        <w:snapToGrid w:val="0"/>
        <w:spacing w:line="360" w:lineRule="auto"/>
        <w:ind w:firstLine="480" w:firstLineChars="200"/>
        <w:rPr>
          <w:sz w:val="24"/>
          <w:szCs w:val="24"/>
        </w:rPr>
      </w:pPr>
      <w:r>
        <w:rPr>
          <w:sz w:val="24"/>
          <w:szCs w:val="24"/>
        </w:rPr>
        <w:t>监理人提出合理化建议的奖励金额按下列方法确定：</w:t>
      </w:r>
    </w:p>
    <w:p w14:paraId="318934FF">
      <w:pPr>
        <w:snapToGrid w:val="0"/>
        <w:spacing w:line="360" w:lineRule="auto"/>
        <w:ind w:firstLine="480" w:firstLineChars="200"/>
        <w:rPr>
          <w:sz w:val="24"/>
          <w:szCs w:val="24"/>
        </w:rPr>
      </w:pPr>
      <w:r>
        <w:rPr>
          <w:sz w:val="24"/>
          <w:szCs w:val="24"/>
        </w:rPr>
        <w:t>奖励金额＝工程投资节省额×奖励金额的比率；</w:t>
      </w:r>
    </w:p>
    <w:p w14:paraId="2EA9CBDB">
      <w:pPr>
        <w:snapToGrid w:val="0"/>
        <w:spacing w:line="360" w:lineRule="auto"/>
        <w:ind w:firstLine="480" w:firstLineChars="200"/>
        <w:rPr>
          <w:sz w:val="24"/>
          <w:szCs w:val="24"/>
        </w:rPr>
      </w:pPr>
      <w:r>
        <w:rPr>
          <w:sz w:val="24"/>
          <w:szCs w:val="24"/>
        </w:rPr>
        <w:t>奖励金额的比率为</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298D2F55">
      <w:pPr>
        <w:autoSpaceDE w:val="0"/>
        <w:autoSpaceDN w:val="0"/>
        <w:adjustRightInd w:val="0"/>
        <w:spacing w:before="156" w:beforeLines="50" w:line="360" w:lineRule="auto"/>
        <w:outlineLvl w:val="0"/>
        <w:rPr>
          <w:sz w:val="24"/>
          <w:szCs w:val="24"/>
        </w:rPr>
      </w:pPr>
      <w:bookmarkStart w:id="1049" w:name="_Toc470187257"/>
      <w:bookmarkStart w:id="1050" w:name="_Toc371398146"/>
      <w:bookmarkStart w:id="1051" w:name="_Toc471218970"/>
      <w:r>
        <w:rPr>
          <w:sz w:val="24"/>
          <w:szCs w:val="24"/>
        </w:rPr>
        <w:t>4. 违约</w:t>
      </w:r>
      <w:bookmarkEnd w:id="1049"/>
      <w:bookmarkEnd w:id="1050"/>
      <w:bookmarkEnd w:id="1051"/>
    </w:p>
    <w:p w14:paraId="2729905E">
      <w:pPr>
        <w:pStyle w:val="4"/>
        <w:spacing w:before="120" w:after="120" w:line="360" w:lineRule="auto"/>
        <w:ind w:left="420" w:leftChars="200" w:firstLine="118"/>
        <w:rPr>
          <w:rFonts w:ascii="Times New Roman" w:hAnsi="Times New Roman" w:eastAsia="宋体"/>
          <w:b/>
          <w:sz w:val="24"/>
          <w:szCs w:val="24"/>
        </w:rPr>
      </w:pPr>
      <w:bookmarkStart w:id="1052" w:name="_Toc470187258"/>
      <w:bookmarkStart w:id="1053" w:name="_Toc433185191"/>
      <w:bookmarkStart w:id="1054" w:name="_Toc471218971"/>
      <w:bookmarkStart w:id="1055" w:name="_Toc371398147"/>
      <w:r>
        <w:rPr>
          <w:rFonts w:ascii="Times New Roman" w:hAnsi="Times New Roman" w:eastAsia="宋体"/>
          <w:b/>
          <w:sz w:val="24"/>
          <w:szCs w:val="24"/>
        </w:rPr>
        <w:t>4.1 监理人的违约</w:t>
      </w:r>
      <w:bookmarkEnd w:id="1052"/>
      <w:bookmarkEnd w:id="1053"/>
      <w:bookmarkEnd w:id="1054"/>
      <w:bookmarkEnd w:id="1055"/>
    </w:p>
    <w:p w14:paraId="15C43C5F">
      <w:pPr>
        <w:adjustRightInd w:val="0"/>
        <w:snapToGrid w:val="0"/>
        <w:spacing w:line="360" w:lineRule="auto"/>
        <w:rPr>
          <w:sz w:val="24"/>
          <w:szCs w:val="24"/>
        </w:rPr>
      </w:pPr>
      <w:r>
        <w:rPr>
          <w:sz w:val="24"/>
          <w:szCs w:val="24"/>
        </w:rPr>
        <w:t>4.1.1.3 监理人违约的其他情形：</w:t>
      </w:r>
      <w:r>
        <w:rPr>
          <w:sz w:val="24"/>
          <w:szCs w:val="24"/>
          <w:u w:val="single"/>
        </w:rPr>
        <w:t xml:space="preserve"> </w:t>
      </w:r>
      <w:r>
        <w:rPr>
          <w:rFonts w:hint="eastAsia"/>
          <w:sz w:val="24"/>
          <w:szCs w:val="24"/>
          <w:u w:val="single"/>
        </w:rPr>
        <w:t xml:space="preserve"> 监理人在责任期内未认真履行职责，使工程质量、  进度、造价、安全发生问题，给委托人造成经济损失</w:t>
      </w:r>
      <w:r>
        <w:rPr>
          <w:sz w:val="24"/>
          <w:szCs w:val="24"/>
          <w:u w:val="single"/>
        </w:rPr>
        <w:t xml:space="preserve"> </w:t>
      </w:r>
      <w:r>
        <w:rPr>
          <w:sz w:val="24"/>
          <w:szCs w:val="24"/>
        </w:rPr>
        <w:t>。</w:t>
      </w:r>
    </w:p>
    <w:p w14:paraId="427D4FF9">
      <w:pPr>
        <w:adjustRightInd w:val="0"/>
        <w:snapToGrid w:val="0"/>
        <w:spacing w:line="360" w:lineRule="auto"/>
        <w:rPr>
          <w:sz w:val="24"/>
          <w:szCs w:val="24"/>
        </w:rPr>
      </w:pPr>
      <w:r>
        <w:rPr>
          <w:sz w:val="24"/>
          <w:szCs w:val="24"/>
        </w:rPr>
        <w:t>4.1.2.2监理人赔偿金额按下列方法确定：</w:t>
      </w:r>
      <w:r>
        <w:rPr>
          <w:sz w:val="24"/>
          <w:szCs w:val="24"/>
          <w:u w:val="single"/>
        </w:rPr>
        <w:t xml:space="preserve"> </w:t>
      </w:r>
      <w:r>
        <w:rPr>
          <w:rFonts w:hint="eastAsia"/>
          <w:sz w:val="24"/>
          <w:szCs w:val="24"/>
          <w:u w:val="single"/>
        </w:rPr>
        <w:t>赔偿金=直接经济损失×酬金比率(扣除 税金);酬金比率=监理酬金/工程造价。上述条款中 工程造价即为本工程概算投资额，监理酬金即为本合同给定的施工监理服务收费，除非 监理人有足够证据证明其过失行为，否则监理人的过失行为造成的损失可以被认为是主观故意</w:t>
      </w:r>
      <w:r>
        <w:rPr>
          <w:sz w:val="24"/>
          <w:szCs w:val="24"/>
          <w:u w:val="single"/>
        </w:rPr>
        <w:t xml:space="preserve"> </w:t>
      </w:r>
      <w:r>
        <w:rPr>
          <w:sz w:val="24"/>
          <w:szCs w:val="24"/>
        </w:rPr>
        <w:t>。</w:t>
      </w:r>
    </w:p>
    <w:p w14:paraId="57C9358D">
      <w:pPr>
        <w:pStyle w:val="4"/>
        <w:spacing w:before="120" w:after="120" w:line="360" w:lineRule="auto"/>
        <w:ind w:left="420" w:leftChars="200" w:firstLine="118"/>
        <w:rPr>
          <w:rFonts w:ascii="Times New Roman" w:hAnsi="Times New Roman" w:eastAsia="宋体"/>
          <w:b/>
          <w:sz w:val="24"/>
          <w:szCs w:val="24"/>
        </w:rPr>
      </w:pPr>
      <w:bookmarkStart w:id="1056" w:name="_Toc433185192"/>
      <w:bookmarkStart w:id="1057" w:name="_Toc371398148"/>
      <w:bookmarkStart w:id="1058" w:name="_Toc471218972"/>
      <w:bookmarkStart w:id="1059" w:name="_Toc470187259"/>
      <w:r>
        <w:rPr>
          <w:rFonts w:ascii="Times New Roman" w:hAnsi="Times New Roman" w:eastAsia="宋体"/>
          <w:b/>
          <w:sz w:val="24"/>
          <w:szCs w:val="24"/>
        </w:rPr>
        <w:t>4.2 委托人的违约</w:t>
      </w:r>
      <w:bookmarkEnd w:id="1056"/>
      <w:bookmarkEnd w:id="1057"/>
      <w:bookmarkEnd w:id="1058"/>
      <w:bookmarkEnd w:id="1059"/>
    </w:p>
    <w:p w14:paraId="087FAED2">
      <w:pPr>
        <w:adjustRightInd w:val="0"/>
        <w:snapToGrid w:val="0"/>
        <w:spacing w:line="360" w:lineRule="auto"/>
        <w:rPr>
          <w:rFonts w:hint="eastAsia"/>
          <w:sz w:val="24"/>
          <w:szCs w:val="24"/>
          <w:u w:val="single"/>
        </w:rPr>
      </w:pPr>
      <w:r>
        <w:rPr>
          <w:sz w:val="24"/>
          <w:szCs w:val="24"/>
        </w:rPr>
        <w:t>4.2.1.3 委托人违约的其他情形：</w:t>
      </w:r>
      <w:r>
        <w:rPr>
          <w:sz w:val="24"/>
          <w:szCs w:val="24"/>
          <w:u w:val="single"/>
        </w:rPr>
        <w:t xml:space="preserve">  </w:t>
      </w:r>
      <w:r>
        <w:rPr>
          <w:rFonts w:hint="eastAsia"/>
          <w:sz w:val="24"/>
          <w:szCs w:val="24"/>
          <w:u w:val="single"/>
        </w:rPr>
        <w:t>赔偿金=</w:t>
      </w:r>
      <w:r>
        <w:rPr>
          <w:rFonts w:hint="eastAsia"/>
          <w:sz w:val="24"/>
          <w:szCs w:val="24"/>
          <w:u w:val="single"/>
          <w:lang w:val="en-US" w:eastAsia="zh-CN"/>
        </w:rPr>
        <w:t>直</w:t>
      </w:r>
      <w:r>
        <w:rPr>
          <w:rFonts w:hint="eastAsia"/>
          <w:sz w:val="24"/>
          <w:szCs w:val="24"/>
          <w:u w:val="single"/>
        </w:rPr>
        <w:t>接经济损失×酬金比率(扣除税金);</w:t>
      </w:r>
    </w:p>
    <w:p w14:paraId="41D42C01">
      <w:pPr>
        <w:adjustRightInd w:val="0"/>
        <w:snapToGrid w:val="0"/>
        <w:spacing w:line="360" w:lineRule="auto"/>
        <w:rPr>
          <w:sz w:val="24"/>
          <w:szCs w:val="24"/>
        </w:rPr>
      </w:pPr>
      <w:r>
        <w:rPr>
          <w:rFonts w:hint="eastAsia"/>
          <w:sz w:val="24"/>
          <w:szCs w:val="24"/>
          <w:u w:val="single"/>
        </w:rPr>
        <w:t>酬金比率=监理酬金/工程造价</w:t>
      </w:r>
      <w:r>
        <w:rPr>
          <w:sz w:val="24"/>
          <w:szCs w:val="24"/>
          <w:u w:val="single"/>
        </w:rPr>
        <w:t xml:space="preserve"> </w:t>
      </w:r>
      <w:r>
        <w:rPr>
          <w:sz w:val="24"/>
          <w:szCs w:val="24"/>
        </w:rPr>
        <w:t>。</w:t>
      </w:r>
    </w:p>
    <w:p w14:paraId="34F899D4">
      <w:pPr>
        <w:adjustRightInd w:val="0"/>
        <w:snapToGrid w:val="0"/>
        <w:spacing w:line="360" w:lineRule="auto"/>
        <w:rPr>
          <w:sz w:val="24"/>
          <w:szCs w:val="24"/>
        </w:rPr>
      </w:pPr>
      <w:r>
        <w:rPr>
          <w:sz w:val="24"/>
          <w:szCs w:val="24"/>
        </w:rPr>
        <w:t>4.2.2.1 委托人赔偿金额按下列方法确定：</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5AC8230B">
      <w:pPr>
        <w:autoSpaceDE w:val="0"/>
        <w:autoSpaceDN w:val="0"/>
        <w:adjustRightInd w:val="0"/>
        <w:spacing w:before="156" w:beforeLines="50" w:line="360" w:lineRule="auto"/>
        <w:outlineLvl w:val="0"/>
        <w:rPr>
          <w:sz w:val="24"/>
          <w:szCs w:val="24"/>
        </w:rPr>
      </w:pPr>
      <w:bookmarkStart w:id="1060" w:name="_Toc470187260"/>
      <w:bookmarkStart w:id="1061" w:name="_Toc471218973"/>
      <w:bookmarkStart w:id="1062" w:name="_Toc371398149"/>
      <w:r>
        <w:rPr>
          <w:sz w:val="24"/>
          <w:szCs w:val="24"/>
        </w:rPr>
        <w:t>5. 支付</w:t>
      </w:r>
      <w:bookmarkEnd w:id="1060"/>
      <w:bookmarkEnd w:id="1061"/>
      <w:bookmarkEnd w:id="1062"/>
    </w:p>
    <w:p w14:paraId="0A8EC10D">
      <w:pPr>
        <w:pStyle w:val="4"/>
        <w:spacing w:before="120" w:after="120" w:line="360" w:lineRule="auto"/>
        <w:ind w:left="420" w:leftChars="200" w:firstLine="118"/>
        <w:rPr>
          <w:rFonts w:ascii="Times New Roman" w:hAnsi="Times New Roman" w:eastAsia="宋体"/>
          <w:b/>
          <w:sz w:val="24"/>
          <w:szCs w:val="24"/>
        </w:rPr>
      </w:pPr>
      <w:bookmarkStart w:id="1063" w:name="_Toc371398150"/>
      <w:bookmarkStart w:id="1064" w:name="_Toc470187261"/>
      <w:bookmarkStart w:id="1065" w:name="_Toc433185194"/>
      <w:bookmarkStart w:id="1066" w:name="_Toc471218974"/>
      <w:r>
        <w:rPr>
          <w:rFonts w:ascii="Times New Roman" w:hAnsi="Times New Roman" w:eastAsia="宋体"/>
          <w:b/>
          <w:sz w:val="24"/>
          <w:szCs w:val="24"/>
        </w:rPr>
        <w:t xml:space="preserve">5.3 </w:t>
      </w:r>
      <w:bookmarkEnd w:id="1063"/>
      <w:r>
        <w:rPr>
          <w:rFonts w:ascii="Times New Roman" w:hAnsi="Times New Roman" w:eastAsia="宋体"/>
          <w:b/>
          <w:sz w:val="24"/>
          <w:szCs w:val="24"/>
          <w:lang w:eastAsia="zh-CN"/>
        </w:rPr>
        <w:t>中期</w:t>
      </w:r>
      <w:r>
        <w:rPr>
          <w:rFonts w:ascii="Times New Roman" w:hAnsi="Times New Roman" w:eastAsia="宋体"/>
          <w:b/>
          <w:sz w:val="24"/>
          <w:szCs w:val="24"/>
        </w:rPr>
        <w:t>支付</w:t>
      </w:r>
      <w:bookmarkEnd w:id="1064"/>
      <w:bookmarkEnd w:id="1065"/>
      <w:bookmarkEnd w:id="1066"/>
    </w:p>
    <w:p w14:paraId="395B81BC">
      <w:pPr>
        <w:snapToGrid w:val="0"/>
        <w:spacing w:line="360" w:lineRule="auto"/>
        <w:ind w:firstLine="480" w:firstLineChars="200"/>
        <w:rPr>
          <w:sz w:val="24"/>
          <w:szCs w:val="24"/>
        </w:rPr>
      </w:pPr>
      <w:r>
        <w:rPr>
          <w:sz w:val="24"/>
          <w:szCs w:val="24"/>
        </w:rPr>
        <w:t>5.3.1 监理酬金</w:t>
      </w:r>
    </w:p>
    <w:p w14:paraId="263E7E3F">
      <w:pPr>
        <w:snapToGrid w:val="0"/>
        <w:spacing w:line="360" w:lineRule="auto"/>
        <w:ind w:firstLine="480" w:firstLineChars="200"/>
        <w:rPr>
          <w:sz w:val="24"/>
          <w:szCs w:val="24"/>
          <w:highlight w:val="none"/>
        </w:rPr>
      </w:pPr>
      <w:r>
        <w:rPr>
          <w:rFonts w:hint="eastAsia"/>
          <w:sz w:val="24"/>
          <w:szCs w:val="24"/>
          <w:highlight w:val="none"/>
          <w:lang w:val="en-US" w:eastAsia="zh-CN"/>
        </w:rPr>
        <w:t>5.3.1.1</w:t>
      </w:r>
      <w:r>
        <w:rPr>
          <w:sz w:val="24"/>
          <w:szCs w:val="24"/>
          <w:highlight w:val="none"/>
        </w:rPr>
        <w:t>监理酬金具体支付方式：</w:t>
      </w:r>
      <w:r>
        <w:rPr>
          <w:rFonts w:hint="eastAsia"/>
          <w:sz w:val="24"/>
          <w:szCs w:val="24"/>
          <w:highlight w:val="none"/>
          <w:u w:val="single"/>
        </w:rPr>
        <w:t>首付款额度为签约监理酬金的20%。按现场施工进度支付监理酬金，支付到监理酬金的90%时停止支付，剩余监理酬金依据审计审定结果支付(监理最终收费金额以财政评审后金额为准)。委托人支付前，监理人为委托人出具等额合法正规发票</w:t>
      </w:r>
      <w:r>
        <w:rPr>
          <w:sz w:val="24"/>
          <w:szCs w:val="24"/>
          <w:highlight w:val="none"/>
        </w:rPr>
        <w:t>。</w:t>
      </w:r>
    </w:p>
    <w:p w14:paraId="2C1FA744">
      <w:pPr>
        <w:snapToGrid w:val="0"/>
        <w:spacing w:line="360" w:lineRule="auto"/>
        <w:ind w:firstLine="480" w:firstLineChars="200"/>
        <w:rPr>
          <w:sz w:val="24"/>
          <w:szCs w:val="24"/>
        </w:rPr>
      </w:pPr>
      <w:r>
        <w:rPr>
          <w:rFonts w:hint="eastAsia"/>
          <w:sz w:val="24"/>
          <w:szCs w:val="24"/>
          <w:lang w:val="en-US" w:eastAsia="zh-CN"/>
        </w:rPr>
        <w:t>5.3.1.2</w:t>
      </w:r>
      <w:r>
        <w:rPr>
          <w:rFonts w:hint="eastAsia"/>
          <w:sz w:val="24"/>
          <w:szCs w:val="24"/>
        </w:rPr>
        <w:t>由于项目建设资金属于财政性资金，监理费（包括预付款、进度款、结算款等）支付时间受建设资金到位时限的限制，项目发包人按照上述约定及流程办理监理费支付审核应视为项目发包人按合同约定支付监理费，履行了监理费支付义务。监理费待财政资金到位后30个工作日内支付，承包人不得因监理费支付时间问题影响本项目的安全、质量、进度、验收及交付使用。</w:t>
      </w:r>
    </w:p>
    <w:p w14:paraId="346C518D">
      <w:pPr>
        <w:snapToGrid w:val="0"/>
        <w:spacing w:line="360" w:lineRule="auto"/>
        <w:ind w:firstLine="480" w:firstLineChars="200"/>
        <w:rPr>
          <w:sz w:val="24"/>
          <w:szCs w:val="24"/>
        </w:rPr>
      </w:pPr>
      <w:r>
        <w:rPr>
          <w:sz w:val="24"/>
          <w:szCs w:val="24"/>
        </w:rPr>
        <w:t>5.3.2 相关服务酬金</w:t>
      </w:r>
    </w:p>
    <w:p w14:paraId="1C0F649E">
      <w:pPr>
        <w:snapToGrid w:val="0"/>
        <w:spacing w:line="360" w:lineRule="auto"/>
        <w:ind w:firstLine="480" w:firstLineChars="200"/>
        <w:rPr>
          <w:sz w:val="24"/>
          <w:szCs w:val="24"/>
        </w:rPr>
      </w:pPr>
      <w:r>
        <w:rPr>
          <w:sz w:val="24"/>
          <w:szCs w:val="24"/>
        </w:rPr>
        <w:t>相关服务酬金具体支付方式：</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1CA5378E">
      <w:pPr>
        <w:snapToGrid w:val="0"/>
        <w:spacing w:line="360" w:lineRule="auto"/>
        <w:ind w:firstLine="480" w:firstLineChars="200"/>
        <w:rPr>
          <w:sz w:val="24"/>
          <w:szCs w:val="24"/>
        </w:rPr>
      </w:pPr>
      <w:r>
        <w:rPr>
          <w:sz w:val="24"/>
          <w:szCs w:val="24"/>
        </w:rPr>
        <w:t>5.3.3附加工作酬金</w:t>
      </w:r>
    </w:p>
    <w:p w14:paraId="0D1B175D">
      <w:pPr>
        <w:snapToGrid w:val="0"/>
        <w:spacing w:line="360" w:lineRule="auto"/>
        <w:ind w:firstLine="480"/>
        <w:rPr>
          <w:sz w:val="24"/>
          <w:szCs w:val="24"/>
        </w:rPr>
      </w:pPr>
      <w:r>
        <w:rPr>
          <w:sz w:val="24"/>
          <w:szCs w:val="24"/>
        </w:rPr>
        <w:t>附加工作酬金具体支付方式：</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0DE83E12">
      <w:pPr>
        <w:snapToGrid w:val="0"/>
        <w:spacing w:line="360" w:lineRule="auto"/>
        <w:ind w:firstLine="480" w:firstLineChars="200"/>
        <w:rPr>
          <w:sz w:val="24"/>
          <w:szCs w:val="24"/>
        </w:rPr>
      </w:pPr>
      <w:r>
        <w:rPr>
          <w:sz w:val="24"/>
          <w:szCs w:val="24"/>
        </w:rPr>
        <w:t>5.3.4 补偿费用</w:t>
      </w:r>
    </w:p>
    <w:p w14:paraId="03D4B16E">
      <w:pPr>
        <w:snapToGrid w:val="0"/>
        <w:spacing w:line="360" w:lineRule="auto"/>
        <w:ind w:firstLine="480"/>
        <w:rPr>
          <w:sz w:val="24"/>
          <w:szCs w:val="24"/>
        </w:rPr>
      </w:pPr>
      <w:r>
        <w:rPr>
          <w:sz w:val="24"/>
          <w:szCs w:val="24"/>
        </w:rPr>
        <w:t>补偿费用的支付方法：</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5A4EB9E5">
      <w:pPr>
        <w:snapToGrid w:val="0"/>
        <w:spacing w:line="360" w:lineRule="auto"/>
        <w:ind w:firstLine="480" w:firstLineChars="200"/>
        <w:rPr>
          <w:sz w:val="24"/>
          <w:szCs w:val="24"/>
        </w:rPr>
      </w:pPr>
      <w:r>
        <w:rPr>
          <w:sz w:val="24"/>
          <w:szCs w:val="24"/>
        </w:rPr>
        <w:t>5.3.5合理化建议奖励</w:t>
      </w:r>
    </w:p>
    <w:p w14:paraId="0F56FBCF">
      <w:pPr>
        <w:snapToGrid w:val="0"/>
        <w:spacing w:line="360" w:lineRule="auto"/>
        <w:ind w:firstLine="480"/>
        <w:rPr>
          <w:sz w:val="24"/>
          <w:szCs w:val="24"/>
        </w:rPr>
      </w:pPr>
      <w:r>
        <w:rPr>
          <w:sz w:val="24"/>
          <w:szCs w:val="24"/>
        </w:rPr>
        <w:t>合理化建议奖励的支付方法：</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w:t>
      </w:r>
    </w:p>
    <w:p w14:paraId="0138640E">
      <w:pPr>
        <w:pStyle w:val="4"/>
        <w:spacing w:before="120" w:after="120" w:line="360" w:lineRule="auto"/>
        <w:ind w:left="420" w:leftChars="200" w:firstLine="118"/>
        <w:rPr>
          <w:rFonts w:ascii="Times New Roman" w:hAnsi="Times New Roman" w:eastAsia="宋体"/>
          <w:b/>
          <w:sz w:val="24"/>
          <w:szCs w:val="24"/>
        </w:rPr>
      </w:pPr>
      <w:r>
        <w:rPr>
          <w:rFonts w:ascii="Times New Roman" w:hAnsi="Times New Roman" w:eastAsia="宋体"/>
          <w:b/>
          <w:sz w:val="24"/>
          <w:szCs w:val="24"/>
        </w:rPr>
        <w:t>5.</w:t>
      </w:r>
      <w:r>
        <w:rPr>
          <w:rFonts w:hint="eastAsia" w:ascii="Times New Roman"/>
          <w:b/>
          <w:sz w:val="24"/>
          <w:szCs w:val="24"/>
          <w:lang w:val="en-US" w:eastAsia="zh-CN"/>
        </w:rPr>
        <w:t>4</w:t>
      </w:r>
      <w:r>
        <w:rPr>
          <w:rFonts w:ascii="Times New Roman" w:hAnsi="Times New Roman" w:eastAsia="宋体"/>
          <w:b/>
          <w:sz w:val="24"/>
          <w:szCs w:val="24"/>
        </w:rPr>
        <w:t xml:space="preserve"> </w:t>
      </w:r>
      <w:r>
        <w:rPr>
          <w:rFonts w:hint="eastAsia" w:ascii="Times New Roman"/>
          <w:b/>
          <w:sz w:val="24"/>
          <w:szCs w:val="24"/>
          <w:lang w:val="en-US" w:eastAsia="zh-CN"/>
        </w:rPr>
        <w:t>其他</w:t>
      </w:r>
    </w:p>
    <w:p w14:paraId="46D229A5">
      <w:pPr>
        <w:snapToGrid w:val="0"/>
        <w:spacing w:line="360" w:lineRule="auto"/>
        <w:ind w:firstLine="480"/>
        <w:rPr>
          <w:sz w:val="24"/>
          <w:szCs w:val="24"/>
        </w:rPr>
      </w:pPr>
      <w:r>
        <w:rPr>
          <w:rFonts w:hint="eastAsia"/>
          <w:sz w:val="24"/>
          <w:szCs w:val="24"/>
        </w:rPr>
        <w:t xml:space="preserve">其他：乙方同意，如因审计审核或财政资金拨付延迟，导致甲方无法及时付款，不构成甲方违约，甲方无需因此承担违约责任。        </w:t>
      </w:r>
    </w:p>
    <w:p w14:paraId="16601F0C">
      <w:pPr>
        <w:autoSpaceDE w:val="0"/>
        <w:autoSpaceDN w:val="0"/>
        <w:adjustRightInd w:val="0"/>
        <w:spacing w:before="156" w:beforeLines="50" w:line="360" w:lineRule="auto"/>
        <w:outlineLvl w:val="0"/>
        <w:rPr>
          <w:sz w:val="24"/>
          <w:szCs w:val="24"/>
        </w:rPr>
      </w:pPr>
      <w:bookmarkStart w:id="1067" w:name="_Toc371398154"/>
      <w:bookmarkStart w:id="1068" w:name="_Toc471218975"/>
      <w:bookmarkStart w:id="1069" w:name="_Toc470187262"/>
      <w:r>
        <w:rPr>
          <w:sz w:val="24"/>
          <w:szCs w:val="24"/>
        </w:rPr>
        <w:t>7. 争议解决</w:t>
      </w:r>
      <w:bookmarkEnd w:id="1067"/>
      <w:bookmarkEnd w:id="1068"/>
      <w:bookmarkEnd w:id="1069"/>
    </w:p>
    <w:p w14:paraId="22314CE7">
      <w:pPr>
        <w:pStyle w:val="4"/>
        <w:spacing w:before="120" w:after="120" w:line="360" w:lineRule="auto"/>
        <w:ind w:left="420" w:leftChars="200" w:firstLine="118"/>
        <w:rPr>
          <w:rFonts w:ascii="Times New Roman" w:hAnsi="Times New Roman" w:eastAsia="宋体"/>
          <w:b/>
          <w:sz w:val="24"/>
          <w:szCs w:val="24"/>
        </w:rPr>
      </w:pPr>
      <w:bookmarkStart w:id="1070" w:name="_Toc471218976"/>
      <w:bookmarkStart w:id="1071" w:name="_Toc470187263"/>
      <w:bookmarkStart w:id="1072" w:name="_Toc433185196"/>
      <w:bookmarkStart w:id="1073" w:name="_Toc371398155"/>
      <w:r>
        <w:rPr>
          <w:rFonts w:ascii="Times New Roman" w:hAnsi="Times New Roman" w:eastAsia="宋体"/>
          <w:b/>
          <w:sz w:val="24"/>
          <w:szCs w:val="24"/>
        </w:rPr>
        <w:t>7.2 调解</w:t>
      </w:r>
      <w:bookmarkEnd w:id="1070"/>
      <w:bookmarkEnd w:id="1071"/>
      <w:bookmarkEnd w:id="1072"/>
      <w:bookmarkEnd w:id="1073"/>
    </w:p>
    <w:p w14:paraId="04293814">
      <w:pPr>
        <w:snapToGrid w:val="0"/>
        <w:spacing w:line="360" w:lineRule="auto"/>
        <w:ind w:firstLine="470" w:firstLineChars="196"/>
        <w:rPr>
          <w:sz w:val="24"/>
          <w:szCs w:val="24"/>
        </w:rPr>
      </w:pPr>
      <w:r>
        <w:rPr>
          <w:sz w:val="24"/>
          <w:szCs w:val="24"/>
        </w:rPr>
        <w:t>合同争议进行调解时，可提交</w:t>
      </w:r>
      <w:r>
        <w:rPr>
          <w:sz w:val="24"/>
          <w:szCs w:val="24"/>
          <w:u w:val="single"/>
        </w:rPr>
        <w:t xml:space="preserve">    </w:t>
      </w:r>
      <w:r>
        <w:rPr>
          <w:rFonts w:hint="eastAsia"/>
          <w:sz w:val="24"/>
          <w:szCs w:val="24"/>
          <w:u w:val="single"/>
          <w:lang w:val="en-US" w:eastAsia="zh-CN"/>
        </w:rPr>
        <w:t>/</w:t>
      </w:r>
      <w:r>
        <w:rPr>
          <w:sz w:val="24"/>
          <w:szCs w:val="24"/>
          <w:u w:val="single"/>
        </w:rPr>
        <w:t xml:space="preserve">  </w:t>
      </w:r>
      <w:r>
        <w:rPr>
          <w:sz w:val="24"/>
          <w:szCs w:val="24"/>
        </w:rPr>
        <w:t>（调解人）进行调解。</w:t>
      </w:r>
    </w:p>
    <w:p w14:paraId="187145EF">
      <w:pPr>
        <w:pStyle w:val="4"/>
        <w:spacing w:before="120" w:after="120" w:line="360" w:lineRule="auto"/>
        <w:ind w:left="420" w:leftChars="200" w:firstLine="118"/>
        <w:rPr>
          <w:rFonts w:ascii="Times New Roman" w:hAnsi="Times New Roman" w:eastAsia="宋体"/>
          <w:b/>
          <w:sz w:val="24"/>
          <w:szCs w:val="24"/>
        </w:rPr>
      </w:pPr>
      <w:bookmarkStart w:id="1074" w:name="_Toc433185197"/>
      <w:bookmarkStart w:id="1075" w:name="_Toc471218977"/>
      <w:bookmarkStart w:id="1076" w:name="_Toc470187264"/>
      <w:bookmarkStart w:id="1077" w:name="_Toc371398156"/>
      <w:r>
        <w:rPr>
          <w:rFonts w:ascii="Times New Roman" w:hAnsi="Times New Roman" w:eastAsia="宋体"/>
          <w:b/>
          <w:sz w:val="24"/>
          <w:szCs w:val="24"/>
        </w:rPr>
        <w:t>7.3 仲裁或诉讼</w:t>
      </w:r>
      <w:bookmarkEnd w:id="1074"/>
      <w:bookmarkEnd w:id="1075"/>
      <w:bookmarkEnd w:id="1076"/>
      <w:bookmarkEnd w:id="1077"/>
    </w:p>
    <w:p w14:paraId="3DF02872">
      <w:pPr>
        <w:snapToGrid w:val="0"/>
        <w:spacing w:line="360" w:lineRule="auto"/>
        <w:ind w:firstLine="470" w:firstLineChars="196"/>
        <w:rPr>
          <w:sz w:val="24"/>
          <w:szCs w:val="24"/>
        </w:rPr>
      </w:pPr>
      <w:r>
        <w:rPr>
          <w:sz w:val="24"/>
          <w:szCs w:val="24"/>
        </w:rPr>
        <w:t>合同争议的最终解决方式为下列第</w:t>
      </w:r>
      <w:r>
        <w:rPr>
          <w:sz w:val="24"/>
          <w:szCs w:val="24"/>
          <w:u w:val="single"/>
        </w:rPr>
        <w:t xml:space="preserve">    </w:t>
      </w:r>
      <w:r>
        <w:rPr>
          <w:rFonts w:hint="eastAsia"/>
          <w:sz w:val="24"/>
          <w:szCs w:val="24"/>
          <w:u w:val="single"/>
          <w:lang w:val="en-US" w:eastAsia="zh-CN"/>
        </w:rPr>
        <w:t>(2)</w:t>
      </w:r>
      <w:r>
        <w:rPr>
          <w:sz w:val="24"/>
          <w:szCs w:val="24"/>
          <w:u w:val="single"/>
        </w:rPr>
        <w:t xml:space="preserve">    </w:t>
      </w:r>
      <w:r>
        <w:rPr>
          <w:sz w:val="24"/>
          <w:szCs w:val="24"/>
        </w:rPr>
        <w:t>种方式。</w:t>
      </w:r>
    </w:p>
    <w:p w14:paraId="52EB1A49">
      <w:pPr>
        <w:snapToGrid w:val="0"/>
        <w:spacing w:line="360" w:lineRule="auto"/>
        <w:ind w:firstLine="470" w:firstLineChars="196"/>
        <w:rPr>
          <w:sz w:val="24"/>
          <w:szCs w:val="24"/>
        </w:rPr>
      </w:pPr>
      <w:r>
        <w:rPr>
          <w:sz w:val="24"/>
          <w:szCs w:val="24"/>
        </w:rPr>
        <w:t>（1）提请</w:t>
      </w:r>
      <w:r>
        <w:rPr>
          <w:sz w:val="24"/>
          <w:szCs w:val="24"/>
          <w:u w:val="single"/>
        </w:rPr>
        <w:t xml:space="preserve">                   </w:t>
      </w:r>
      <w:r>
        <w:rPr>
          <w:sz w:val="24"/>
          <w:szCs w:val="24"/>
        </w:rPr>
        <w:t>仲裁委员会进行仲裁。</w:t>
      </w:r>
    </w:p>
    <w:p w14:paraId="04A12BD4">
      <w:pPr>
        <w:snapToGrid w:val="0"/>
        <w:spacing w:line="360" w:lineRule="auto"/>
        <w:ind w:firstLine="470" w:firstLineChars="196"/>
        <w:rPr>
          <w:sz w:val="24"/>
          <w:szCs w:val="24"/>
        </w:rPr>
      </w:pPr>
      <w:r>
        <w:rPr>
          <w:sz w:val="24"/>
          <w:szCs w:val="24"/>
        </w:rPr>
        <w:t>（2）向</w:t>
      </w:r>
      <w:r>
        <w:rPr>
          <w:sz w:val="24"/>
          <w:szCs w:val="24"/>
          <w:u w:val="single"/>
        </w:rPr>
        <w:t xml:space="preserve">  </w:t>
      </w:r>
      <w:r>
        <w:rPr>
          <w:rFonts w:hint="eastAsia"/>
          <w:sz w:val="24"/>
          <w:szCs w:val="24"/>
          <w:u w:val="single"/>
          <w:lang w:val="en-US" w:eastAsia="zh-CN"/>
        </w:rPr>
        <w:t>北京市门头沟区</w:t>
      </w:r>
      <w:r>
        <w:rPr>
          <w:sz w:val="24"/>
          <w:szCs w:val="24"/>
          <w:u w:val="single"/>
        </w:rPr>
        <w:t xml:space="preserve"> </w:t>
      </w:r>
      <w:r>
        <w:rPr>
          <w:sz w:val="24"/>
          <w:szCs w:val="24"/>
        </w:rPr>
        <w:t>人民法院提起诉讼。</w:t>
      </w:r>
    </w:p>
    <w:p w14:paraId="1478E173">
      <w:pPr>
        <w:autoSpaceDE w:val="0"/>
        <w:autoSpaceDN w:val="0"/>
        <w:adjustRightInd w:val="0"/>
        <w:spacing w:before="156" w:beforeLines="50" w:line="360" w:lineRule="auto"/>
        <w:outlineLvl w:val="0"/>
        <w:rPr>
          <w:sz w:val="24"/>
          <w:szCs w:val="24"/>
        </w:rPr>
      </w:pPr>
      <w:bookmarkStart w:id="1078" w:name="_Toc471218978"/>
      <w:bookmarkStart w:id="1079" w:name="_Toc470187265"/>
      <w:bookmarkStart w:id="1080" w:name="_Toc371398157"/>
      <w:r>
        <w:rPr>
          <w:sz w:val="24"/>
          <w:szCs w:val="24"/>
        </w:rPr>
        <w:t>8. 补充条款</w:t>
      </w:r>
      <w:bookmarkEnd w:id="1078"/>
      <w:bookmarkEnd w:id="1079"/>
      <w:bookmarkEnd w:id="1080"/>
    </w:p>
    <w:p w14:paraId="34FC4C32">
      <w:pPr>
        <w:adjustRightInd w:val="0"/>
        <w:snapToGrid w:val="0"/>
        <w:spacing w:before="156" w:beforeLines="50" w:after="156" w:afterLines="50" w:line="360" w:lineRule="auto"/>
        <w:rPr>
          <w:szCs w:val="21"/>
          <w:u w:val="single"/>
        </w:rPr>
      </w:pPr>
      <w:r>
        <w:rPr>
          <w:szCs w:val="21"/>
          <w:u w:val="single"/>
        </w:rPr>
        <w:t xml:space="preserve">                                                   　　　　　　　  　          </w:t>
      </w:r>
    </w:p>
    <w:p w14:paraId="062DB8E0">
      <w:pPr>
        <w:adjustRightInd w:val="0"/>
        <w:snapToGrid w:val="0"/>
        <w:spacing w:before="156" w:beforeLines="50" w:after="156" w:afterLines="50" w:line="360" w:lineRule="auto"/>
        <w:rPr>
          <w:szCs w:val="21"/>
          <w:u w:val="single"/>
        </w:rPr>
      </w:pPr>
      <w:r>
        <w:rPr>
          <w:szCs w:val="21"/>
          <w:u w:val="single"/>
        </w:rPr>
        <w:t xml:space="preserve">                                                                                </w:t>
      </w:r>
    </w:p>
    <w:p w14:paraId="17947A9A">
      <w:pPr>
        <w:adjustRightInd w:val="0"/>
        <w:snapToGrid w:val="0"/>
        <w:spacing w:before="156" w:beforeLines="50" w:after="156" w:afterLines="50" w:line="360" w:lineRule="auto"/>
        <w:rPr>
          <w:sz w:val="24"/>
          <w:szCs w:val="24"/>
          <w:u w:val="single"/>
        </w:rPr>
      </w:pPr>
      <w:r>
        <w:rPr>
          <w:sz w:val="24"/>
          <w:szCs w:val="24"/>
          <w:u w:val="single"/>
        </w:rPr>
        <w:t xml:space="preserve">                                                       </w:t>
      </w:r>
    </w:p>
    <w:p w14:paraId="3736E4B6"/>
    <w:p w14:paraId="68F4536F">
      <w:pPr>
        <w:autoSpaceDE w:val="0"/>
        <w:autoSpaceDN w:val="0"/>
        <w:adjustRightInd w:val="0"/>
        <w:snapToGrid w:val="0"/>
        <w:spacing w:line="460" w:lineRule="exact"/>
        <w:ind w:firstLine="2" w:firstLineChars="1"/>
        <w:outlineLvl w:val="1"/>
        <w:rPr>
          <w:b/>
          <w:sz w:val="28"/>
          <w:szCs w:val="28"/>
        </w:rPr>
      </w:pPr>
      <w:r>
        <w:br w:type="page"/>
      </w:r>
      <w:bookmarkStart w:id="1081" w:name="_Toc433185199"/>
      <w:bookmarkStart w:id="1082" w:name="_Toc470187266"/>
      <w:bookmarkStart w:id="1083" w:name="_Toc471218979"/>
      <w:bookmarkStart w:id="1084" w:name="_Toc152045769"/>
      <w:bookmarkStart w:id="1085" w:name="_Toc144974831"/>
      <w:bookmarkStart w:id="1086" w:name="_Toc152042551"/>
      <w:bookmarkStart w:id="1087" w:name="_Toc384308368"/>
      <w:bookmarkStart w:id="1088" w:name="_Toc247514200"/>
      <w:bookmarkStart w:id="1089" w:name="_Toc361508745"/>
      <w:bookmarkStart w:id="1090" w:name="_Toc247527801"/>
      <w:bookmarkStart w:id="1091" w:name="_Toc370676418"/>
      <w:bookmarkStart w:id="1092" w:name="_Toc300835202"/>
      <w:r>
        <w:rPr>
          <w:b/>
          <w:sz w:val="28"/>
          <w:szCs w:val="28"/>
        </w:rPr>
        <w:t>附件一：工程监理廉政承诺书</w:t>
      </w:r>
      <w:bookmarkEnd w:id="1081"/>
      <w:bookmarkEnd w:id="1082"/>
      <w:bookmarkEnd w:id="1083"/>
      <w:bookmarkStart w:id="1093" w:name="OLE_LINK72"/>
    </w:p>
    <w:p w14:paraId="51768A65">
      <w:pPr>
        <w:spacing w:line="360" w:lineRule="auto"/>
        <w:jc w:val="center"/>
        <w:rPr>
          <w:rFonts w:ascii="黑体" w:hAnsi="黑体" w:eastAsia="黑体"/>
          <w:sz w:val="28"/>
          <w:szCs w:val="28"/>
        </w:rPr>
      </w:pPr>
      <w:r>
        <w:rPr>
          <w:rFonts w:ascii="黑体" w:hAnsi="黑体" w:eastAsia="黑体"/>
          <w:sz w:val="28"/>
          <w:szCs w:val="28"/>
        </w:rPr>
        <w:t>工程监理廉政</w:t>
      </w:r>
      <w:r>
        <w:rPr>
          <w:rFonts w:hint="eastAsia" w:ascii="黑体" w:hAnsi="黑体" w:eastAsia="黑体"/>
          <w:sz w:val="28"/>
          <w:szCs w:val="28"/>
        </w:rPr>
        <w:t>责任</w:t>
      </w:r>
      <w:r>
        <w:rPr>
          <w:rFonts w:ascii="黑体" w:hAnsi="黑体" w:eastAsia="黑体"/>
          <w:sz w:val="28"/>
          <w:szCs w:val="28"/>
        </w:rPr>
        <w:t>承诺书</w:t>
      </w:r>
      <w:bookmarkEnd w:id="1093"/>
    </w:p>
    <w:p w14:paraId="01CC481B">
      <w:pPr>
        <w:spacing w:line="360" w:lineRule="auto"/>
        <w:rPr>
          <w:sz w:val="24"/>
          <w:szCs w:val="24"/>
        </w:rPr>
      </w:pPr>
    </w:p>
    <w:p w14:paraId="5C69D321">
      <w:pPr>
        <w:spacing w:line="360" w:lineRule="auto"/>
        <w:rPr>
          <w:sz w:val="24"/>
          <w:szCs w:val="24"/>
        </w:rPr>
      </w:pPr>
      <w:r>
        <w:rPr>
          <w:sz w:val="24"/>
          <w:szCs w:val="24"/>
        </w:rPr>
        <w:t>工程项目名称：</w:t>
      </w:r>
      <w:bookmarkStart w:id="1094" w:name="OLE_LINK73"/>
      <w:r>
        <w:rPr>
          <w:sz w:val="24"/>
          <w:szCs w:val="24"/>
          <w:u w:val="single"/>
        </w:rPr>
        <w:t xml:space="preserve">                          </w:t>
      </w:r>
      <w:bookmarkEnd w:id="1094"/>
    </w:p>
    <w:p w14:paraId="18CEA334">
      <w:pPr>
        <w:spacing w:line="360" w:lineRule="auto"/>
        <w:rPr>
          <w:sz w:val="24"/>
          <w:szCs w:val="24"/>
          <w:u w:val="single"/>
        </w:rPr>
      </w:pPr>
      <w:r>
        <w:rPr>
          <w:sz w:val="24"/>
          <w:szCs w:val="24"/>
        </w:rPr>
        <w:t>工程项目地址：</w:t>
      </w:r>
      <w:r>
        <w:rPr>
          <w:sz w:val="24"/>
          <w:szCs w:val="24"/>
          <w:u w:val="single"/>
        </w:rPr>
        <w:t xml:space="preserve">                          </w:t>
      </w:r>
    </w:p>
    <w:p w14:paraId="63277133">
      <w:pPr>
        <w:spacing w:line="360" w:lineRule="auto"/>
        <w:rPr>
          <w:sz w:val="24"/>
          <w:szCs w:val="24"/>
        </w:rPr>
      </w:pPr>
      <w:r>
        <w:rPr>
          <w:sz w:val="24"/>
          <w:szCs w:val="24"/>
        </w:rPr>
        <w:t>委托人（甲方）：</w:t>
      </w:r>
      <w:r>
        <w:rPr>
          <w:sz w:val="24"/>
          <w:szCs w:val="24"/>
          <w:u w:val="single"/>
        </w:rPr>
        <w:t xml:space="preserve">                          </w:t>
      </w:r>
    </w:p>
    <w:p w14:paraId="264445FC">
      <w:pPr>
        <w:spacing w:line="360" w:lineRule="auto"/>
        <w:rPr>
          <w:sz w:val="24"/>
          <w:szCs w:val="24"/>
        </w:rPr>
      </w:pPr>
      <w:r>
        <w:rPr>
          <w:sz w:val="24"/>
          <w:szCs w:val="24"/>
        </w:rPr>
        <w:t>监理人（乙方）：</w:t>
      </w:r>
      <w:r>
        <w:rPr>
          <w:sz w:val="24"/>
          <w:szCs w:val="24"/>
          <w:u w:val="single"/>
        </w:rPr>
        <w:t xml:space="preserve">                          </w:t>
      </w:r>
    </w:p>
    <w:p w14:paraId="6BF70D0D">
      <w:pPr>
        <w:spacing w:line="360" w:lineRule="auto"/>
        <w:rPr>
          <w:sz w:val="24"/>
          <w:szCs w:val="24"/>
        </w:rPr>
      </w:pPr>
      <w:r>
        <w:rPr>
          <w:sz w:val="24"/>
          <w:szCs w:val="24"/>
        </w:rPr>
        <w:t>　　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w:t>
      </w:r>
      <w:r>
        <w:rPr>
          <w:rFonts w:hint="eastAsia"/>
          <w:sz w:val="24"/>
          <w:szCs w:val="24"/>
        </w:rPr>
        <w:t>责任</w:t>
      </w:r>
      <w:r>
        <w:rPr>
          <w:sz w:val="24"/>
          <w:szCs w:val="24"/>
        </w:rPr>
        <w:t>承诺书。</w:t>
      </w:r>
    </w:p>
    <w:p w14:paraId="2E896E89">
      <w:pPr>
        <w:spacing w:line="360" w:lineRule="auto"/>
        <w:ind w:firstLine="480" w:firstLineChars="200"/>
        <w:rPr>
          <w:sz w:val="24"/>
          <w:szCs w:val="24"/>
        </w:rPr>
      </w:pPr>
      <w:r>
        <w:rPr>
          <w:sz w:val="24"/>
          <w:szCs w:val="24"/>
        </w:rPr>
        <w:t>第一条　甲乙双方的责任</w:t>
      </w:r>
    </w:p>
    <w:p w14:paraId="75F4929A">
      <w:pPr>
        <w:spacing w:line="360" w:lineRule="auto"/>
        <w:rPr>
          <w:sz w:val="24"/>
          <w:szCs w:val="24"/>
        </w:rPr>
      </w:pPr>
      <w:r>
        <w:rPr>
          <w:sz w:val="24"/>
          <w:szCs w:val="24"/>
        </w:rPr>
        <w:t>　　（一）应严格遵守国家关于市场准入、项目招标投标、工程建设、工程监理和市场活动等有关法律、法规，相关政策，以及廉政建设的各项规定。</w:t>
      </w:r>
    </w:p>
    <w:p w14:paraId="13592F66">
      <w:pPr>
        <w:spacing w:line="360" w:lineRule="auto"/>
        <w:rPr>
          <w:sz w:val="24"/>
          <w:szCs w:val="24"/>
        </w:rPr>
      </w:pPr>
      <w:r>
        <w:rPr>
          <w:sz w:val="24"/>
          <w:szCs w:val="24"/>
        </w:rPr>
        <w:t>　　（二）严格执行建设工程项目监理合同文件，自觉按合同办事。</w:t>
      </w:r>
    </w:p>
    <w:p w14:paraId="57D8E5C2">
      <w:pPr>
        <w:spacing w:line="360" w:lineRule="auto"/>
        <w:rPr>
          <w:sz w:val="24"/>
          <w:szCs w:val="24"/>
        </w:rPr>
      </w:pPr>
      <w:r>
        <w:rPr>
          <w:sz w:val="24"/>
          <w:szCs w:val="24"/>
        </w:rPr>
        <w:t>　　（三）业务活动必须坚持公开、公平、公正、诚信、透明的原则（除法律法规另有规定者外），不得为获取不正当的利益，损害国家、集体和对方利益，不得违反工程建设管理、建设监理的规章制度。</w:t>
      </w:r>
    </w:p>
    <w:p w14:paraId="3E7FD6A9">
      <w:pPr>
        <w:spacing w:line="360" w:lineRule="auto"/>
        <w:rPr>
          <w:sz w:val="24"/>
          <w:szCs w:val="24"/>
        </w:rPr>
      </w:pPr>
      <w:r>
        <w:rPr>
          <w:sz w:val="24"/>
          <w:szCs w:val="24"/>
        </w:rPr>
        <w:t>　　（四）发现对方在业务活动中有违规、违纪、违法行为的，应及时提醒对方，情节严重的，应向其上级主管部门或纪检监察、司法等有关机关举报。　　</w:t>
      </w:r>
    </w:p>
    <w:p w14:paraId="00EE1F85">
      <w:pPr>
        <w:spacing w:line="360" w:lineRule="auto"/>
        <w:ind w:firstLine="480" w:firstLineChars="200"/>
        <w:rPr>
          <w:sz w:val="24"/>
          <w:szCs w:val="24"/>
        </w:rPr>
      </w:pPr>
      <w:r>
        <w:rPr>
          <w:sz w:val="24"/>
          <w:szCs w:val="24"/>
        </w:rPr>
        <w:t>第二条　甲方的责任</w:t>
      </w:r>
    </w:p>
    <w:p w14:paraId="61608172">
      <w:pPr>
        <w:spacing w:line="360" w:lineRule="auto"/>
        <w:rPr>
          <w:sz w:val="24"/>
          <w:szCs w:val="24"/>
        </w:rPr>
      </w:pPr>
      <w:r>
        <w:rPr>
          <w:sz w:val="24"/>
          <w:szCs w:val="24"/>
        </w:rPr>
        <w:t>　　甲方的领导和从事该建设工程项目的工作人员在工程建设的事前、事中、事后应遵守以下规定：</w:t>
      </w:r>
    </w:p>
    <w:p w14:paraId="1F33D3A7">
      <w:pPr>
        <w:spacing w:line="360" w:lineRule="auto"/>
        <w:rPr>
          <w:sz w:val="24"/>
          <w:szCs w:val="24"/>
        </w:rPr>
      </w:pPr>
      <w:r>
        <w:rPr>
          <w:sz w:val="24"/>
          <w:szCs w:val="24"/>
        </w:rPr>
        <w:t>　　（一）不准向乙方和相关单位索要或接受回扣、礼金、有价证券、贵重物品和好处费、感谢费等。</w:t>
      </w:r>
    </w:p>
    <w:p w14:paraId="49C79CBB">
      <w:pPr>
        <w:spacing w:line="360" w:lineRule="auto"/>
        <w:rPr>
          <w:sz w:val="24"/>
          <w:szCs w:val="24"/>
        </w:rPr>
      </w:pPr>
      <w:r>
        <w:rPr>
          <w:sz w:val="24"/>
          <w:szCs w:val="24"/>
        </w:rPr>
        <w:t>　　（二）不准在乙方和相关单位报销任何应由甲方或个人支付的费用。</w:t>
      </w:r>
    </w:p>
    <w:p w14:paraId="2E981DD8">
      <w:pPr>
        <w:spacing w:line="360" w:lineRule="auto"/>
        <w:rPr>
          <w:sz w:val="24"/>
          <w:szCs w:val="24"/>
        </w:rPr>
      </w:pPr>
      <w:r>
        <w:rPr>
          <w:sz w:val="24"/>
          <w:szCs w:val="24"/>
        </w:rPr>
        <w:t>　　（三）不准要求、暗示或接受乙方和相关单位为个人装修住房、婚丧嫁娶、配偶子女的工作安排以及出国（境）、旅游等提供方便。</w:t>
      </w:r>
    </w:p>
    <w:p w14:paraId="29C05DA7">
      <w:pPr>
        <w:spacing w:line="360" w:lineRule="auto"/>
        <w:rPr>
          <w:sz w:val="24"/>
          <w:szCs w:val="24"/>
        </w:rPr>
      </w:pPr>
      <w:r>
        <w:rPr>
          <w:sz w:val="24"/>
          <w:szCs w:val="24"/>
        </w:rPr>
        <w:t>　　（四）不准参加有可能影响公正执行公务的乙方和相关单位的宴请、健身、娱乐等活动。</w:t>
      </w:r>
    </w:p>
    <w:p w14:paraId="41903DE1">
      <w:pPr>
        <w:spacing w:line="360" w:lineRule="auto"/>
        <w:rPr>
          <w:sz w:val="24"/>
          <w:szCs w:val="24"/>
        </w:rPr>
      </w:pPr>
      <w:r>
        <w:rPr>
          <w:sz w:val="24"/>
          <w:szCs w:val="24"/>
        </w:rPr>
        <w:t>　　（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18F8DDA5">
      <w:pPr>
        <w:spacing w:line="360" w:lineRule="auto"/>
        <w:rPr>
          <w:sz w:val="24"/>
          <w:szCs w:val="24"/>
        </w:rPr>
      </w:pPr>
      <w:r>
        <w:rPr>
          <w:sz w:val="24"/>
          <w:szCs w:val="24"/>
        </w:rPr>
        <w:t>　　第三条　乙方的责任</w:t>
      </w:r>
    </w:p>
    <w:p w14:paraId="77A3380E">
      <w:pPr>
        <w:spacing w:line="360" w:lineRule="auto"/>
        <w:rPr>
          <w:sz w:val="24"/>
          <w:szCs w:val="24"/>
        </w:rPr>
      </w:pPr>
      <w:r>
        <w:rPr>
          <w:sz w:val="24"/>
          <w:szCs w:val="24"/>
        </w:rPr>
        <w:t>　　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14:paraId="5D260598">
      <w:pPr>
        <w:spacing w:line="360" w:lineRule="auto"/>
        <w:rPr>
          <w:sz w:val="24"/>
          <w:szCs w:val="24"/>
        </w:rPr>
      </w:pPr>
      <w:r>
        <w:rPr>
          <w:sz w:val="24"/>
          <w:szCs w:val="24"/>
        </w:rPr>
        <w:t>　　（一）不准以任何理由向甲方和相关单位及其工作人员索要、接受或赠送礼金、有价证券、贵重物品及回扣、好处费、感谢费等。</w:t>
      </w:r>
    </w:p>
    <w:p w14:paraId="1F33D834">
      <w:pPr>
        <w:spacing w:line="360" w:lineRule="auto"/>
        <w:rPr>
          <w:sz w:val="24"/>
          <w:szCs w:val="24"/>
        </w:rPr>
      </w:pPr>
      <w:r>
        <w:rPr>
          <w:sz w:val="24"/>
          <w:szCs w:val="24"/>
        </w:rPr>
        <w:t>　　（二）不准以任何理由为甲方和相关单位报销应由对方或个人支付的费用。</w:t>
      </w:r>
    </w:p>
    <w:p w14:paraId="5E25385A">
      <w:pPr>
        <w:spacing w:line="360" w:lineRule="auto"/>
        <w:rPr>
          <w:sz w:val="24"/>
          <w:szCs w:val="24"/>
        </w:rPr>
      </w:pPr>
      <w:r>
        <w:rPr>
          <w:sz w:val="24"/>
          <w:szCs w:val="24"/>
        </w:rPr>
        <w:t>　　（三）不准接受或暗示为甲方、相关单位或个人装修住房、婚丧嫁娶、配偶子女的工作安排以及出国（境）、旅游等提供方便。</w:t>
      </w:r>
    </w:p>
    <w:p w14:paraId="6CF8ADDD">
      <w:pPr>
        <w:spacing w:line="360" w:lineRule="auto"/>
        <w:rPr>
          <w:sz w:val="24"/>
          <w:szCs w:val="24"/>
        </w:rPr>
      </w:pPr>
      <w:r>
        <w:rPr>
          <w:sz w:val="24"/>
          <w:szCs w:val="24"/>
        </w:rPr>
        <w:t>　　（四）不准违反合同约定而使用甲方、相关单位提供的通信、交通工具和高档办公用品。</w:t>
      </w:r>
    </w:p>
    <w:p w14:paraId="19E6389C">
      <w:pPr>
        <w:spacing w:line="360" w:lineRule="auto"/>
        <w:rPr>
          <w:sz w:val="24"/>
          <w:szCs w:val="24"/>
        </w:rPr>
      </w:pPr>
      <w:r>
        <w:rPr>
          <w:sz w:val="24"/>
          <w:szCs w:val="24"/>
        </w:rPr>
        <w:t>　　（五）不准以任何理由为甲方、相关单位或个人组织有可能影响公正执行公务的宴请、健身、娱乐等活动。</w:t>
      </w:r>
    </w:p>
    <w:p w14:paraId="59302D82">
      <w:pPr>
        <w:spacing w:line="360" w:lineRule="auto"/>
        <w:rPr>
          <w:sz w:val="24"/>
          <w:szCs w:val="24"/>
        </w:rPr>
      </w:pPr>
      <w:r>
        <w:rPr>
          <w:sz w:val="24"/>
          <w:szCs w:val="24"/>
        </w:rPr>
        <w:t>　　第四条　违约责任</w:t>
      </w:r>
    </w:p>
    <w:p w14:paraId="17BA620A">
      <w:pPr>
        <w:spacing w:line="360" w:lineRule="auto"/>
        <w:rPr>
          <w:sz w:val="24"/>
          <w:szCs w:val="24"/>
        </w:rPr>
      </w:pPr>
      <w:r>
        <w:rPr>
          <w:sz w:val="24"/>
          <w:szCs w:val="24"/>
        </w:rPr>
        <w:t>　　（一）甲方工作人员有违反本承诺书第一、二条责任行为的，按照管理权限，依据有关法律法规和规定给予党纪、政纪处分或组织处理；涉嫌犯罪，移交司法机关追究刑事责任；给乙方单位造成经济损失的，应予以赔偿。</w:t>
      </w:r>
    </w:p>
    <w:p w14:paraId="4173BE47">
      <w:pPr>
        <w:spacing w:line="360" w:lineRule="auto"/>
        <w:rPr>
          <w:sz w:val="24"/>
          <w:szCs w:val="24"/>
        </w:rPr>
      </w:pPr>
      <w:r>
        <w:rPr>
          <w:sz w:val="24"/>
          <w:szCs w:val="24"/>
        </w:rPr>
        <w:t>　　（二）乙方工作人员有违反本承诺书第一、三条责任行为的，按照管理权限，依据有关法律法规和规定给予党纪、政纪处分或组织处理；涉嫌犯罪的，移交司法机关追究刑事责任；给甲方单位造成经济损失的，应予以赔偿。</w:t>
      </w:r>
    </w:p>
    <w:p w14:paraId="430AABAA">
      <w:pPr>
        <w:spacing w:line="360" w:lineRule="auto"/>
        <w:rPr>
          <w:sz w:val="24"/>
          <w:szCs w:val="24"/>
        </w:rPr>
      </w:pPr>
      <w:r>
        <w:rPr>
          <w:sz w:val="24"/>
          <w:szCs w:val="24"/>
        </w:rPr>
        <w:t>　　第五条　本承诺书作为工程监理合同的附件，与工程监理合同具有同等法律效力。经双方签署后立即生效。</w:t>
      </w:r>
    </w:p>
    <w:p w14:paraId="6CF3089D">
      <w:pPr>
        <w:spacing w:line="360" w:lineRule="auto"/>
        <w:rPr>
          <w:sz w:val="24"/>
          <w:szCs w:val="24"/>
        </w:rPr>
      </w:pPr>
      <w:r>
        <w:rPr>
          <w:sz w:val="24"/>
          <w:szCs w:val="24"/>
        </w:rPr>
        <w:t>　　第六条　本承诺书的有效期为双方签署之日起至该工程项目竣工验收合格时止。</w:t>
      </w:r>
    </w:p>
    <w:p w14:paraId="1430875C">
      <w:pPr>
        <w:spacing w:after="84"/>
        <w:rPr>
          <w:sz w:val="24"/>
          <w:szCs w:val="24"/>
        </w:rPr>
      </w:pPr>
      <w:r>
        <w:rPr>
          <w:sz w:val="24"/>
          <w:szCs w:val="24"/>
        </w:rPr>
        <w:t xml:space="preserve">    第七条　本承诺书</w:t>
      </w:r>
      <w:r>
        <w:rPr>
          <w:rFonts w:hint="eastAsia"/>
          <w:sz w:val="24"/>
          <w:szCs w:val="24"/>
        </w:rPr>
        <w:t>作为监理合同附件，份数与合同一致</w:t>
      </w:r>
      <w:r>
        <w:rPr>
          <w:sz w:val="24"/>
          <w:szCs w:val="24"/>
        </w:rPr>
        <w:t>。</w:t>
      </w:r>
    </w:p>
    <w:p w14:paraId="7E787CCA">
      <w:pPr>
        <w:spacing w:line="360" w:lineRule="auto"/>
        <w:ind w:firstLine="570"/>
        <w:rPr>
          <w:sz w:val="24"/>
          <w:szCs w:val="24"/>
        </w:rPr>
      </w:pPr>
    </w:p>
    <w:p w14:paraId="00B5E910">
      <w:pPr>
        <w:tabs>
          <w:tab w:val="left" w:pos="4300"/>
        </w:tabs>
        <w:spacing w:line="360" w:lineRule="auto"/>
        <w:rPr>
          <w:sz w:val="24"/>
          <w:szCs w:val="24"/>
        </w:rPr>
      </w:pPr>
      <w:r>
        <w:rPr>
          <w:sz w:val="24"/>
          <w:szCs w:val="24"/>
        </w:rPr>
        <w:t>甲方单位：</w:t>
      </w:r>
      <w:r>
        <w:rPr>
          <w:sz w:val="24"/>
          <w:szCs w:val="24"/>
          <w:u w:val="single"/>
        </w:rPr>
        <w:t xml:space="preserve">（盖章）        </w:t>
      </w:r>
      <w:r>
        <w:rPr>
          <w:sz w:val="24"/>
          <w:szCs w:val="24"/>
        </w:rPr>
        <w:t xml:space="preserve">     </w:t>
      </w:r>
      <w:r>
        <w:rPr>
          <w:sz w:val="24"/>
          <w:szCs w:val="24"/>
        </w:rPr>
        <w:tab/>
      </w:r>
      <w:r>
        <w:rPr>
          <w:sz w:val="24"/>
          <w:szCs w:val="24"/>
        </w:rPr>
        <w:t>乙方单位：</w:t>
      </w:r>
      <w:r>
        <w:rPr>
          <w:sz w:val="24"/>
          <w:szCs w:val="24"/>
          <w:u w:val="single"/>
        </w:rPr>
        <w:t xml:space="preserve">（盖章）        </w:t>
      </w:r>
    </w:p>
    <w:p w14:paraId="5656DA7B">
      <w:pPr>
        <w:tabs>
          <w:tab w:val="left" w:pos="4300"/>
        </w:tabs>
        <w:spacing w:line="360" w:lineRule="auto"/>
        <w:rPr>
          <w:sz w:val="24"/>
          <w:szCs w:val="24"/>
        </w:rPr>
      </w:pPr>
      <w:r>
        <w:rPr>
          <w:sz w:val="24"/>
          <w:szCs w:val="24"/>
        </w:rPr>
        <w:t>法定代表人：</w:t>
      </w:r>
      <w:bookmarkStart w:id="1095" w:name="OLE_LINK74"/>
      <w:r>
        <w:rPr>
          <w:sz w:val="24"/>
          <w:szCs w:val="24"/>
          <w:u w:val="single"/>
        </w:rPr>
        <w:t xml:space="preserve">             </w:t>
      </w:r>
      <w:bookmarkEnd w:id="1095"/>
      <w:r>
        <w:rPr>
          <w:sz w:val="24"/>
          <w:szCs w:val="24"/>
        </w:rPr>
        <w:tab/>
      </w:r>
      <w:r>
        <w:rPr>
          <w:sz w:val="24"/>
          <w:szCs w:val="24"/>
        </w:rPr>
        <w:t>法定代表人：</w:t>
      </w:r>
      <w:r>
        <w:rPr>
          <w:sz w:val="24"/>
          <w:szCs w:val="24"/>
          <w:u w:val="single"/>
        </w:rPr>
        <w:t xml:space="preserve">             </w:t>
      </w:r>
    </w:p>
    <w:p w14:paraId="67279129">
      <w:pPr>
        <w:tabs>
          <w:tab w:val="left" w:pos="4300"/>
        </w:tabs>
        <w:spacing w:line="360" w:lineRule="auto"/>
        <w:rPr>
          <w:sz w:val="24"/>
          <w:szCs w:val="24"/>
        </w:rPr>
      </w:pPr>
      <w:r>
        <w:rPr>
          <w:sz w:val="24"/>
          <w:szCs w:val="24"/>
        </w:rPr>
        <w:t>地址：</w:t>
      </w:r>
      <w:bookmarkStart w:id="1096" w:name="OLE_LINK76"/>
      <w:bookmarkStart w:id="1097" w:name="OLE_LINK75"/>
      <w:r>
        <w:rPr>
          <w:sz w:val="24"/>
          <w:szCs w:val="24"/>
          <w:u w:val="single"/>
        </w:rPr>
        <w:t xml:space="preserve">                   </w:t>
      </w:r>
      <w:bookmarkEnd w:id="1096"/>
      <w:bookmarkEnd w:id="1097"/>
      <w:r>
        <w:rPr>
          <w:sz w:val="24"/>
          <w:szCs w:val="24"/>
        </w:rPr>
        <w:tab/>
      </w:r>
      <w:r>
        <w:rPr>
          <w:sz w:val="24"/>
          <w:szCs w:val="24"/>
        </w:rPr>
        <w:t>地址：</w:t>
      </w:r>
      <w:r>
        <w:rPr>
          <w:sz w:val="24"/>
          <w:szCs w:val="24"/>
          <w:u w:val="single"/>
        </w:rPr>
        <w:t xml:space="preserve">                   </w:t>
      </w:r>
    </w:p>
    <w:p w14:paraId="7966593A">
      <w:pPr>
        <w:tabs>
          <w:tab w:val="left" w:pos="4300"/>
        </w:tabs>
        <w:spacing w:line="360" w:lineRule="auto"/>
        <w:rPr>
          <w:sz w:val="24"/>
          <w:szCs w:val="24"/>
        </w:rPr>
      </w:pPr>
      <w:r>
        <w:rPr>
          <w:sz w:val="24"/>
          <w:szCs w:val="24"/>
        </w:rPr>
        <w:t>电话：</w:t>
      </w:r>
      <w:r>
        <w:rPr>
          <w:sz w:val="24"/>
          <w:szCs w:val="24"/>
          <w:u w:val="single"/>
        </w:rPr>
        <w:t xml:space="preserve">                   </w:t>
      </w:r>
      <w:r>
        <w:rPr>
          <w:sz w:val="24"/>
          <w:szCs w:val="24"/>
        </w:rPr>
        <w:tab/>
      </w:r>
      <w:r>
        <w:rPr>
          <w:sz w:val="24"/>
          <w:szCs w:val="24"/>
        </w:rPr>
        <w:t>电话：</w:t>
      </w:r>
      <w:r>
        <w:rPr>
          <w:sz w:val="24"/>
          <w:szCs w:val="24"/>
          <w:u w:val="single"/>
        </w:rPr>
        <w:t xml:space="preserve">                   </w:t>
      </w:r>
    </w:p>
    <w:p w14:paraId="57A290EB">
      <w:pPr>
        <w:tabs>
          <w:tab w:val="left" w:pos="4300"/>
        </w:tabs>
        <w:spacing w:line="360" w:lineRule="auto"/>
        <w:ind w:firstLine="9" w:firstLineChars="4"/>
        <w:rPr>
          <w:sz w:val="24"/>
          <w:szCs w:val="24"/>
        </w:rPr>
      </w:pPr>
      <w:r>
        <w:rPr>
          <w:sz w:val="24"/>
          <w:szCs w:val="24"/>
        </w:rPr>
        <w:t>日期      年　　月　　日　</w:t>
      </w:r>
      <w:r>
        <w:rPr>
          <w:sz w:val="24"/>
          <w:szCs w:val="24"/>
        </w:rPr>
        <w:tab/>
      </w:r>
      <w:r>
        <w:rPr>
          <w:sz w:val="24"/>
          <w:szCs w:val="24"/>
        </w:rPr>
        <w:t>日期         年　　月　　日</w:t>
      </w:r>
    </w:p>
    <w:p w14:paraId="1DC2162D">
      <w:pPr>
        <w:tabs>
          <w:tab w:val="left" w:pos="4300"/>
        </w:tabs>
        <w:spacing w:line="360" w:lineRule="auto"/>
        <w:rPr>
          <w:sz w:val="24"/>
          <w:szCs w:val="24"/>
        </w:rPr>
      </w:pPr>
    </w:p>
    <w:p w14:paraId="701946BB">
      <w:pPr>
        <w:tabs>
          <w:tab w:val="left" w:pos="4300"/>
        </w:tabs>
        <w:spacing w:line="360" w:lineRule="auto"/>
        <w:rPr>
          <w:sz w:val="24"/>
          <w:szCs w:val="24"/>
        </w:rPr>
      </w:pPr>
      <w:r>
        <w:rPr>
          <w:sz w:val="24"/>
          <w:szCs w:val="24"/>
        </w:rPr>
        <w:t>甲方监督单位：</w:t>
      </w:r>
      <w:r>
        <w:rPr>
          <w:sz w:val="24"/>
          <w:szCs w:val="24"/>
          <w:u w:val="single"/>
        </w:rPr>
        <w:t xml:space="preserve">（盖章）    </w:t>
      </w:r>
      <w:r>
        <w:rPr>
          <w:sz w:val="24"/>
          <w:szCs w:val="24"/>
        </w:rPr>
        <w:t xml:space="preserve">       </w:t>
      </w:r>
      <w:r>
        <w:rPr>
          <w:sz w:val="24"/>
          <w:szCs w:val="24"/>
        </w:rPr>
        <w:tab/>
      </w:r>
      <w:r>
        <w:rPr>
          <w:sz w:val="24"/>
          <w:szCs w:val="24"/>
        </w:rPr>
        <w:t>乙方监督单位：</w:t>
      </w:r>
      <w:r>
        <w:rPr>
          <w:sz w:val="24"/>
          <w:szCs w:val="24"/>
          <w:u w:val="single"/>
        </w:rPr>
        <w:t xml:space="preserve">（盖章）       </w:t>
      </w:r>
    </w:p>
    <w:p w14:paraId="504194ED">
      <w:pPr>
        <w:tabs>
          <w:tab w:val="left" w:pos="4300"/>
        </w:tabs>
        <w:spacing w:line="360" w:lineRule="auto"/>
        <w:ind w:firstLine="9" w:firstLineChars="4"/>
        <w:rPr>
          <w:sz w:val="24"/>
          <w:szCs w:val="24"/>
        </w:rPr>
      </w:pPr>
      <w:r>
        <w:rPr>
          <w:sz w:val="24"/>
          <w:szCs w:val="24"/>
        </w:rPr>
        <w:t>日期      年　　月　　日　</w:t>
      </w:r>
      <w:r>
        <w:rPr>
          <w:sz w:val="24"/>
          <w:szCs w:val="24"/>
        </w:rPr>
        <w:tab/>
      </w:r>
      <w:r>
        <w:rPr>
          <w:sz w:val="24"/>
          <w:szCs w:val="24"/>
        </w:rPr>
        <w:t>日期         年　　月　　日</w:t>
      </w:r>
    </w:p>
    <w:bookmarkEnd w:id="1084"/>
    <w:bookmarkEnd w:id="1085"/>
    <w:bookmarkEnd w:id="1086"/>
    <w:bookmarkEnd w:id="1087"/>
    <w:bookmarkEnd w:id="1088"/>
    <w:bookmarkEnd w:id="1089"/>
    <w:bookmarkEnd w:id="1090"/>
    <w:bookmarkEnd w:id="1091"/>
    <w:bookmarkEnd w:id="1092"/>
    <w:p w14:paraId="0515823D">
      <w:pPr>
        <w:spacing w:before="120" w:beforeLines="50"/>
      </w:pPr>
      <w:r>
        <w:rPr>
          <w:rFonts w:hint="eastAsia" w:ascii="宋体" w:hAnsi="宋体" w:eastAsia="宋体" w:cs="宋体"/>
          <w:sz w:val="21"/>
          <w:szCs w:val="21"/>
        </w:rPr>
        <w:br w:type="page"/>
      </w:r>
      <w:bookmarkEnd w:id="774"/>
      <w:bookmarkEnd w:id="775"/>
      <w:bookmarkStart w:id="1098" w:name="_Toc247085687"/>
      <w:bookmarkEnd w:id="1098"/>
      <w:bookmarkStart w:id="1099" w:name="_Toc179632544"/>
      <w:bookmarkEnd w:id="1099"/>
      <w:bookmarkStart w:id="1100" w:name="_Toc246996173"/>
      <w:bookmarkEnd w:id="1100"/>
      <w:bookmarkStart w:id="1101" w:name="_Toc144974495"/>
      <w:bookmarkEnd w:id="1101"/>
      <w:bookmarkStart w:id="1102" w:name="_Toc152042303"/>
      <w:bookmarkEnd w:id="1102"/>
      <w:bookmarkStart w:id="1103" w:name="_Toc457290101"/>
      <w:bookmarkEnd w:id="1103"/>
      <w:bookmarkStart w:id="1104" w:name="_Toc1899"/>
      <w:bookmarkEnd w:id="1104"/>
      <w:bookmarkStart w:id="1105" w:name="_Toc152045527"/>
      <w:bookmarkEnd w:id="1105"/>
    </w:p>
    <w:p w14:paraId="25321ADB">
      <w:pPr>
        <w:pStyle w:val="2"/>
        <w:snapToGrid w:val="0"/>
        <w:spacing w:before="0" w:after="0" w:line="360" w:lineRule="auto"/>
        <w:ind w:right="31" w:rightChars="15"/>
        <w:rPr>
          <w:snapToGrid w:val="0"/>
          <w:kern w:val="0"/>
        </w:rPr>
      </w:pPr>
      <w:bookmarkStart w:id="1106" w:name="_Toc2888"/>
      <w:r>
        <w:rPr>
          <w:snapToGrid w:val="0"/>
          <w:kern w:val="0"/>
        </w:rPr>
        <w:t>第七章   投标文件格式</w:t>
      </w:r>
      <w:bookmarkEnd w:id="1106"/>
    </w:p>
    <w:p w14:paraId="0E3CFBFC">
      <w:pPr>
        <w:tabs>
          <w:tab w:val="left" w:pos="900"/>
          <w:tab w:val="left" w:pos="1980"/>
        </w:tabs>
        <w:snapToGrid w:val="0"/>
        <w:spacing w:line="360" w:lineRule="auto"/>
        <w:ind w:right="31" w:rightChars="15"/>
        <w:rPr>
          <w:b/>
          <w:snapToGrid w:val="0"/>
          <w:kern w:val="0"/>
          <w:sz w:val="24"/>
        </w:rPr>
      </w:pPr>
    </w:p>
    <w:p w14:paraId="2883EEF0">
      <w:pPr>
        <w:rPr>
          <w:b/>
          <w:bCs/>
          <w:color w:val="000000"/>
          <w:sz w:val="72"/>
          <w:szCs w:val="72"/>
        </w:rPr>
      </w:pPr>
    </w:p>
    <w:bookmarkEnd w:id="776"/>
    <w:bookmarkEnd w:id="777"/>
    <w:bookmarkEnd w:id="778"/>
    <w:p w14:paraId="48547F86">
      <w:pPr>
        <w:tabs>
          <w:tab w:val="left" w:pos="900"/>
          <w:tab w:val="left" w:pos="1980"/>
        </w:tabs>
        <w:snapToGrid w:val="0"/>
        <w:spacing w:line="360" w:lineRule="auto"/>
        <w:ind w:right="31" w:rightChars="15"/>
        <w:rPr>
          <w:snapToGrid w:val="0"/>
          <w:kern w:val="0"/>
          <w:sz w:val="24"/>
        </w:rPr>
      </w:pPr>
      <w:r>
        <w:rPr>
          <w:snapToGrid w:val="0"/>
          <w:kern w:val="0"/>
          <w:sz w:val="24"/>
        </w:rPr>
        <w:t>1、投标人按照本部分的顺序编制投标文件（资格证明文件）、投标文件（商务技术文件），编制中涉及格式资料的，应按照本部分提供的内容和格式（所有表格的格式可扩展）填写提交。</w:t>
      </w:r>
    </w:p>
    <w:p w14:paraId="6CAD206D">
      <w:pPr>
        <w:tabs>
          <w:tab w:val="left" w:pos="900"/>
          <w:tab w:val="left" w:pos="1980"/>
        </w:tabs>
        <w:snapToGrid w:val="0"/>
        <w:spacing w:line="360" w:lineRule="auto"/>
        <w:ind w:right="31" w:rightChars="15"/>
        <w:rPr>
          <w:snapToGrid w:val="0"/>
          <w:kern w:val="0"/>
          <w:sz w:val="24"/>
        </w:rPr>
      </w:pPr>
      <w:r>
        <w:rPr>
          <w:snapToGrid w:val="0"/>
          <w:ker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napToGrid w:val="0"/>
          <w:kern w:val="0"/>
          <w:sz w:val="24"/>
        </w:rPr>
        <w:t>投标无效</w:t>
      </w:r>
      <w:r>
        <w:rPr>
          <w:snapToGrid w:val="0"/>
          <w:kern w:val="0"/>
          <w:sz w:val="24"/>
        </w:rPr>
        <w:t>。未标记“实质性格式”的文件和招标文件未提供格式的内容，可由投标人自行编写。</w:t>
      </w:r>
    </w:p>
    <w:p w14:paraId="48C1F341">
      <w:pPr>
        <w:tabs>
          <w:tab w:val="left" w:pos="900"/>
          <w:tab w:val="left" w:pos="1980"/>
        </w:tabs>
        <w:snapToGrid w:val="0"/>
        <w:spacing w:line="360" w:lineRule="auto"/>
        <w:ind w:right="31" w:rightChars="15"/>
        <w:rPr>
          <w:snapToGrid w:val="0"/>
          <w:kern w:val="0"/>
          <w:sz w:val="24"/>
        </w:rPr>
      </w:pPr>
      <w:r>
        <w:rPr>
          <w:snapToGrid w:val="0"/>
          <w:kern w:val="0"/>
          <w:sz w:val="24"/>
        </w:rPr>
        <w:t>3、全部声明和问题的回答及所附材料必须是真实的、准确的和完整的。</w:t>
      </w:r>
    </w:p>
    <w:p w14:paraId="539DCF9E">
      <w:pPr>
        <w:tabs>
          <w:tab w:val="left" w:pos="900"/>
          <w:tab w:val="left" w:pos="1980"/>
        </w:tabs>
        <w:snapToGrid w:val="0"/>
        <w:spacing w:line="360" w:lineRule="auto"/>
        <w:ind w:right="31" w:rightChars="15"/>
        <w:rPr>
          <w:b/>
          <w:bCs/>
          <w:snapToGrid w:val="0"/>
          <w:kern w:val="0"/>
          <w:sz w:val="24"/>
        </w:rPr>
      </w:pPr>
    </w:p>
    <w:p w14:paraId="6832B36B">
      <w:pPr>
        <w:tabs>
          <w:tab w:val="left" w:pos="900"/>
          <w:tab w:val="left" w:pos="1980"/>
        </w:tabs>
        <w:snapToGrid w:val="0"/>
        <w:spacing w:line="360" w:lineRule="auto"/>
        <w:ind w:right="31" w:rightChars="15"/>
        <w:rPr>
          <w:snapToGrid w:val="0"/>
          <w:kern w:val="0"/>
          <w:sz w:val="24"/>
        </w:rPr>
      </w:pPr>
    </w:p>
    <w:p w14:paraId="708491E5">
      <w:pPr>
        <w:pStyle w:val="18"/>
        <w:spacing w:before="307" w:line="200" w:lineRule="auto"/>
        <w:ind w:left="6"/>
        <w:outlineLvl w:val="1"/>
        <w:rPr>
          <w:rFonts w:hint="eastAsia" w:ascii="宋体" w:hAnsi="宋体" w:eastAsia="宋体" w:cs="宋体"/>
          <w:sz w:val="24"/>
          <w:szCs w:val="24"/>
        </w:rPr>
      </w:pPr>
      <w:r>
        <w:rPr>
          <w:snapToGrid w:val="0"/>
          <w:kern w:val="0"/>
          <w:sz w:val="24"/>
        </w:rPr>
        <w:br w:type="page"/>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Fonts w:hint="eastAsia" w:ascii="宋体" w:hAnsi="宋体" w:eastAsia="宋体" w:cs="宋体"/>
          <w:b/>
          <w:bCs/>
          <w:spacing w:val="24"/>
          <w:sz w:val="24"/>
          <w:szCs w:val="24"/>
        </w:rPr>
        <w:t>一、资格证明文件格式</w:t>
      </w:r>
    </w:p>
    <w:p w14:paraId="56B70BCB">
      <w:pPr>
        <w:pStyle w:val="18"/>
        <w:spacing w:before="336" w:line="196" w:lineRule="auto"/>
        <w:ind w:left="6"/>
        <w:rPr>
          <w:rFonts w:hint="eastAsia" w:ascii="宋体" w:hAnsi="宋体" w:eastAsia="宋体" w:cs="宋体"/>
          <w:sz w:val="24"/>
          <w:szCs w:val="24"/>
        </w:rPr>
      </w:pPr>
      <w:r>
        <w:rPr>
          <w:rFonts w:hint="eastAsia" w:ascii="宋体" w:hAnsi="宋体" w:eastAsia="宋体" w:cs="宋体"/>
          <w:b/>
          <w:bCs/>
          <w:spacing w:val="-6"/>
          <w:sz w:val="24"/>
          <w:szCs w:val="24"/>
        </w:rPr>
        <w:t>投标文件（资格证明文件）封面（非实质性格式）</w:t>
      </w:r>
    </w:p>
    <w:p w14:paraId="6EB142A6">
      <w:pPr>
        <w:pStyle w:val="18"/>
        <w:spacing w:before="352" w:line="196" w:lineRule="auto"/>
        <w:ind w:left="1819"/>
        <w:rPr>
          <w:rFonts w:hint="eastAsia" w:ascii="宋体" w:hAnsi="宋体" w:eastAsia="宋体" w:cs="宋体"/>
          <w:b/>
          <w:bCs/>
          <w:spacing w:val="-8"/>
          <w:sz w:val="83"/>
          <w:szCs w:val="83"/>
        </w:rPr>
      </w:pPr>
    </w:p>
    <w:p w14:paraId="5A60ABF8">
      <w:pPr>
        <w:pStyle w:val="18"/>
        <w:spacing w:before="352" w:line="196" w:lineRule="auto"/>
        <w:ind w:left="1819"/>
        <w:rPr>
          <w:rFonts w:hint="eastAsia" w:ascii="宋体" w:hAnsi="宋体" w:eastAsia="宋体" w:cs="宋体"/>
          <w:b/>
          <w:bCs/>
          <w:spacing w:val="-8"/>
          <w:sz w:val="83"/>
          <w:szCs w:val="83"/>
        </w:rPr>
      </w:pPr>
    </w:p>
    <w:p w14:paraId="16E4E921">
      <w:pPr>
        <w:pStyle w:val="18"/>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7D7C8FD8">
      <w:pPr>
        <w:pStyle w:val="18"/>
        <w:spacing w:before="1" w:line="196" w:lineRule="auto"/>
        <w:ind w:left="1946"/>
        <w:rPr>
          <w:rFonts w:hint="eastAsia" w:ascii="宋体" w:hAnsi="宋体" w:eastAsia="宋体" w:cs="宋体"/>
          <w:sz w:val="52"/>
          <w:szCs w:val="52"/>
        </w:rPr>
      </w:pPr>
      <w:r>
        <w:rPr>
          <w:rFonts w:hint="eastAsia" w:ascii="宋体" w:hAnsi="宋体" w:eastAsia="宋体" w:cs="宋体"/>
          <w:b/>
          <w:bCs/>
          <w:spacing w:val="62"/>
          <w:sz w:val="52"/>
          <w:szCs w:val="52"/>
        </w:rPr>
        <w:t>（资格证明文件）</w:t>
      </w:r>
    </w:p>
    <w:p w14:paraId="410B5560">
      <w:pPr>
        <w:spacing w:line="300" w:lineRule="auto"/>
        <w:rPr>
          <w:rFonts w:hint="eastAsia" w:ascii="宋体" w:hAnsi="宋体" w:eastAsia="宋体" w:cs="宋体"/>
          <w:sz w:val="21"/>
        </w:rPr>
      </w:pPr>
    </w:p>
    <w:p w14:paraId="468E18CF">
      <w:pPr>
        <w:spacing w:line="301" w:lineRule="auto"/>
        <w:rPr>
          <w:rFonts w:hint="eastAsia" w:ascii="宋体" w:hAnsi="宋体" w:eastAsia="宋体" w:cs="宋体"/>
          <w:sz w:val="21"/>
        </w:rPr>
      </w:pPr>
    </w:p>
    <w:p w14:paraId="446B3CBD">
      <w:pPr>
        <w:pStyle w:val="18"/>
        <w:spacing w:before="134" w:line="205" w:lineRule="auto"/>
        <w:ind w:left="546"/>
        <w:rPr>
          <w:rFonts w:hint="eastAsia" w:ascii="宋体" w:hAnsi="宋体" w:eastAsia="宋体" w:cs="宋体"/>
        </w:rPr>
      </w:pPr>
      <w:r>
        <w:rPr>
          <w:rFonts w:hint="eastAsia" w:ascii="宋体" w:hAnsi="宋体" w:eastAsia="宋体" w:cs="宋体"/>
          <w:b/>
          <w:bCs/>
          <w:spacing w:val="-11"/>
        </w:rPr>
        <w:t>项目名称:</w:t>
      </w:r>
    </w:p>
    <w:p w14:paraId="122D5ECE">
      <w:pPr>
        <w:pStyle w:val="18"/>
        <w:spacing w:before="11" w:line="205" w:lineRule="auto"/>
        <w:ind w:left="546"/>
        <w:rPr>
          <w:rFonts w:hint="eastAsia" w:ascii="宋体" w:hAnsi="宋体" w:eastAsia="宋体" w:cs="宋体"/>
        </w:rPr>
      </w:pPr>
      <w:r>
        <w:rPr>
          <w:rFonts w:hint="eastAsia" w:ascii="宋体" w:hAnsi="宋体" w:eastAsia="宋体" w:cs="宋体"/>
          <w:b/>
          <w:bCs/>
          <w:spacing w:val="1"/>
        </w:rPr>
        <w:t>项目编号/包号：</w:t>
      </w:r>
    </w:p>
    <w:p w14:paraId="2ADF39DB">
      <w:pPr>
        <w:spacing w:line="257" w:lineRule="auto"/>
        <w:rPr>
          <w:rFonts w:hint="eastAsia" w:ascii="宋体" w:hAnsi="宋体" w:eastAsia="宋体" w:cs="宋体"/>
          <w:sz w:val="21"/>
        </w:rPr>
      </w:pPr>
    </w:p>
    <w:p w14:paraId="58B4968A">
      <w:pPr>
        <w:spacing w:line="258" w:lineRule="auto"/>
        <w:rPr>
          <w:rFonts w:hint="eastAsia" w:ascii="宋体" w:hAnsi="宋体" w:eastAsia="宋体" w:cs="宋体"/>
          <w:sz w:val="21"/>
        </w:rPr>
      </w:pPr>
    </w:p>
    <w:p w14:paraId="1F76B4AC">
      <w:pPr>
        <w:spacing w:line="258" w:lineRule="auto"/>
        <w:rPr>
          <w:rFonts w:hint="eastAsia" w:ascii="宋体" w:hAnsi="宋体" w:eastAsia="宋体" w:cs="宋体"/>
          <w:sz w:val="21"/>
        </w:rPr>
      </w:pPr>
    </w:p>
    <w:p w14:paraId="55401CFA">
      <w:pPr>
        <w:spacing w:line="258" w:lineRule="auto"/>
        <w:rPr>
          <w:rFonts w:hint="eastAsia" w:ascii="宋体" w:hAnsi="宋体" w:eastAsia="宋体" w:cs="宋体"/>
          <w:sz w:val="21"/>
        </w:rPr>
      </w:pPr>
    </w:p>
    <w:p w14:paraId="7AFA5F3D">
      <w:pPr>
        <w:spacing w:line="258" w:lineRule="auto"/>
        <w:rPr>
          <w:rFonts w:hint="eastAsia" w:ascii="宋体" w:hAnsi="宋体" w:eastAsia="宋体" w:cs="宋体"/>
          <w:sz w:val="21"/>
        </w:rPr>
      </w:pPr>
    </w:p>
    <w:p w14:paraId="7BBD5521">
      <w:pPr>
        <w:spacing w:line="258" w:lineRule="auto"/>
        <w:rPr>
          <w:rFonts w:hint="eastAsia" w:ascii="宋体" w:hAnsi="宋体" w:eastAsia="宋体" w:cs="宋体"/>
          <w:sz w:val="21"/>
        </w:rPr>
      </w:pPr>
    </w:p>
    <w:p w14:paraId="4F44C07F">
      <w:pPr>
        <w:spacing w:line="258" w:lineRule="auto"/>
        <w:rPr>
          <w:rFonts w:hint="eastAsia" w:ascii="宋体" w:hAnsi="宋体" w:eastAsia="宋体" w:cs="宋体"/>
          <w:sz w:val="21"/>
        </w:rPr>
      </w:pPr>
    </w:p>
    <w:p w14:paraId="39A483A2">
      <w:pPr>
        <w:spacing w:line="258" w:lineRule="auto"/>
        <w:rPr>
          <w:rFonts w:hint="eastAsia" w:ascii="宋体" w:hAnsi="宋体" w:eastAsia="宋体" w:cs="宋体"/>
          <w:sz w:val="21"/>
        </w:rPr>
      </w:pPr>
    </w:p>
    <w:p w14:paraId="4D5088ED">
      <w:pPr>
        <w:spacing w:line="258" w:lineRule="auto"/>
        <w:rPr>
          <w:rFonts w:hint="eastAsia" w:ascii="宋体" w:hAnsi="宋体" w:eastAsia="宋体" w:cs="宋体"/>
          <w:sz w:val="21"/>
        </w:rPr>
      </w:pPr>
    </w:p>
    <w:p w14:paraId="3D049DCB">
      <w:pPr>
        <w:spacing w:line="258" w:lineRule="auto"/>
        <w:rPr>
          <w:rFonts w:hint="eastAsia" w:ascii="宋体" w:hAnsi="宋体" w:eastAsia="宋体" w:cs="宋体"/>
          <w:sz w:val="21"/>
        </w:rPr>
      </w:pPr>
    </w:p>
    <w:p w14:paraId="21FB5E21">
      <w:pPr>
        <w:spacing w:line="258" w:lineRule="auto"/>
        <w:rPr>
          <w:rFonts w:hint="eastAsia" w:ascii="宋体" w:hAnsi="宋体" w:eastAsia="宋体" w:cs="宋体"/>
          <w:sz w:val="21"/>
        </w:rPr>
      </w:pPr>
    </w:p>
    <w:p w14:paraId="703D2F53">
      <w:pPr>
        <w:pStyle w:val="18"/>
        <w:spacing w:before="134" w:line="205" w:lineRule="auto"/>
        <w:ind w:left="1447"/>
        <w:rPr>
          <w:rFonts w:hint="eastAsia" w:ascii="宋体" w:hAnsi="宋体" w:eastAsia="宋体" w:cs="宋体"/>
        </w:rPr>
      </w:pPr>
      <w:r>
        <w:rPr>
          <w:rFonts w:hint="eastAsia" w:ascii="宋体" w:hAnsi="宋体" w:eastAsia="宋体" w:cs="宋体"/>
          <w:b/>
          <w:bCs/>
          <w:spacing w:val="34"/>
        </w:rPr>
        <w:t>投标人名称：</w:t>
      </w:r>
    </w:p>
    <w:p w14:paraId="0C0DF5AB">
      <w:pPr>
        <w:spacing w:line="205" w:lineRule="auto"/>
        <w:rPr>
          <w:rFonts w:hint="eastAsia" w:ascii="宋体" w:hAnsi="宋体" w:eastAsia="宋体" w:cs="宋体"/>
        </w:rPr>
        <w:sectPr>
          <w:headerReference r:id="rId26" w:type="default"/>
          <w:footerReference r:id="rId27" w:type="default"/>
          <w:pgSz w:w="11907" w:h="16840"/>
          <w:pgMar w:top="1149" w:right="1133" w:bottom="1060" w:left="1701" w:header="875" w:footer="886" w:gutter="0"/>
          <w:pgNumType w:fmt="decimal"/>
          <w:cols w:space="720" w:num="1"/>
        </w:sectPr>
      </w:pPr>
    </w:p>
    <w:p w14:paraId="045520E2">
      <w:pPr>
        <w:pStyle w:val="18"/>
        <w:spacing w:before="307" w:line="201" w:lineRule="auto"/>
        <w:ind w:left="26"/>
        <w:outlineLvl w:val="1"/>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4EE44D2">
      <w:pPr>
        <w:pStyle w:val="18"/>
        <w:spacing w:before="176" w:line="201" w:lineRule="auto"/>
        <w:ind w:left="26"/>
        <w:outlineLvl w:val="2"/>
        <w:rPr>
          <w:rFonts w:hint="eastAsia" w:ascii="宋体" w:hAnsi="宋体" w:eastAsia="宋体" w:cs="宋体"/>
          <w:sz w:val="24"/>
          <w:szCs w:val="24"/>
        </w:rPr>
      </w:pPr>
      <w:r>
        <w:rPr>
          <w:rFonts w:hint="eastAsia" w:ascii="宋体" w:hAnsi="宋体" w:eastAsia="宋体" w:cs="宋体"/>
          <w:sz w:val="24"/>
          <w:szCs w:val="24"/>
        </w:rPr>
        <w:t>1-1营业执照等证明文件</w:t>
      </w:r>
    </w:p>
    <w:p w14:paraId="77ED7397">
      <w:pPr>
        <w:spacing w:line="201" w:lineRule="auto"/>
        <w:rPr>
          <w:rFonts w:hint="eastAsia" w:ascii="宋体" w:hAnsi="宋体" w:eastAsia="宋体" w:cs="宋体"/>
          <w:sz w:val="24"/>
          <w:szCs w:val="24"/>
        </w:rPr>
        <w:sectPr>
          <w:footerReference r:id="rId28" w:type="default"/>
          <w:pgSz w:w="11907" w:h="16840"/>
          <w:pgMar w:top="1149" w:right="1133" w:bottom="1060" w:left="1701" w:header="875" w:footer="886" w:gutter="0"/>
          <w:pgNumType w:fmt="decimal"/>
          <w:cols w:space="720" w:num="1"/>
        </w:sectPr>
      </w:pPr>
    </w:p>
    <w:p w14:paraId="629720B5">
      <w:pPr>
        <w:pStyle w:val="18"/>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1-2投标人资格声明书</w:t>
      </w:r>
    </w:p>
    <w:p w14:paraId="346B88DA">
      <w:pPr>
        <w:pStyle w:val="18"/>
        <w:spacing w:before="141" w:line="204" w:lineRule="auto"/>
        <w:ind w:left="3100"/>
        <w:rPr>
          <w:rFonts w:hint="eastAsia" w:ascii="宋体" w:hAnsi="宋体" w:eastAsia="宋体" w:cs="宋体"/>
          <w:sz w:val="35"/>
          <w:szCs w:val="35"/>
        </w:rPr>
      </w:pPr>
      <w:r>
        <w:rPr>
          <w:rFonts w:hint="eastAsia" w:ascii="宋体" w:hAnsi="宋体" w:eastAsia="宋体" w:cs="宋体"/>
          <w:b/>
          <w:bCs/>
          <w:spacing w:val="10"/>
          <w:sz w:val="35"/>
          <w:szCs w:val="35"/>
        </w:rPr>
        <w:t>投标人资格声明书</w:t>
      </w:r>
    </w:p>
    <w:p w14:paraId="3FD5E43C">
      <w:pPr>
        <w:pStyle w:val="18"/>
        <w:keepNext w:val="0"/>
        <w:keepLines w:val="0"/>
        <w:pageBreakBefore w:val="0"/>
        <w:widowControl/>
        <w:kinsoku w:val="0"/>
        <w:wordWrap/>
        <w:overflowPunct/>
        <w:topLinePunct w:val="0"/>
        <w:autoSpaceDE w:val="0"/>
        <w:autoSpaceDN w:val="0"/>
        <w:bidi w:val="0"/>
        <w:adjustRightInd w:val="0"/>
        <w:snapToGrid w:val="0"/>
        <w:spacing w:line="201" w:lineRule="auto"/>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277821">
      <w:pPr>
        <w:pStyle w:val="18"/>
        <w:keepNext w:val="0"/>
        <w:keepLines w:val="0"/>
        <w:pageBreakBefore w:val="0"/>
        <w:widowControl/>
        <w:kinsoku w:val="0"/>
        <w:wordWrap/>
        <w:overflowPunct/>
        <w:topLinePunct w:val="0"/>
        <w:autoSpaceDE w:val="0"/>
        <w:autoSpaceDN w:val="0"/>
        <w:bidi w:val="0"/>
        <w:adjustRightInd w:val="0"/>
        <w:snapToGrid w:val="0"/>
        <w:spacing w:line="200" w:lineRule="auto"/>
        <w:ind w:left="487"/>
        <w:textAlignment w:val="baseline"/>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780865E7">
      <w:pPr>
        <w:pStyle w:val="18"/>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74443204">
      <w:pPr>
        <w:pStyle w:val="18"/>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7FC62F7A">
      <w:pPr>
        <w:pStyle w:val="18"/>
        <w:keepNext w:val="0"/>
        <w:keepLines w:val="0"/>
        <w:pageBreakBefore w:val="0"/>
        <w:widowControl/>
        <w:kinsoku w:val="0"/>
        <w:wordWrap/>
        <w:overflowPunct/>
        <w:topLinePunct w:val="0"/>
        <w:autoSpaceDE w:val="0"/>
        <w:autoSpaceDN w:val="0"/>
        <w:bidi w:val="0"/>
        <w:adjustRightInd w:val="0"/>
        <w:snapToGrid w:val="0"/>
        <w:spacing w:line="196" w:lineRule="auto"/>
        <w:ind w:left="408"/>
        <w:textAlignment w:val="baseline"/>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21E2CA67">
      <w:pPr>
        <w:pStyle w:val="18"/>
        <w:keepNext w:val="0"/>
        <w:keepLines w:val="0"/>
        <w:pageBreakBefore w:val="0"/>
        <w:widowControl/>
        <w:kinsoku w:val="0"/>
        <w:wordWrap/>
        <w:overflowPunct/>
        <w:topLinePunct w:val="0"/>
        <w:autoSpaceDE w:val="0"/>
        <w:autoSpaceDN w:val="0"/>
        <w:bidi w:val="0"/>
        <w:adjustRightInd w:val="0"/>
        <w:snapToGrid w:val="0"/>
        <w:spacing w:line="277" w:lineRule="auto"/>
        <w:ind w:left="1140" w:right="2" w:hanging="732"/>
        <w:textAlignment w:val="baseline"/>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08EF28D6">
      <w:pPr>
        <w:pStyle w:val="18"/>
        <w:keepNext w:val="0"/>
        <w:keepLines w:val="0"/>
        <w:pageBreakBefore w:val="0"/>
        <w:widowControl/>
        <w:kinsoku w:val="0"/>
        <w:wordWrap/>
        <w:overflowPunct/>
        <w:topLinePunct w:val="0"/>
        <w:autoSpaceDE w:val="0"/>
        <w:autoSpaceDN w:val="0"/>
        <w:bidi w:val="0"/>
        <w:adjustRightInd w:val="0"/>
        <w:snapToGrid w:val="0"/>
        <w:spacing w:line="250" w:lineRule="auto"/>
        <w:ind w:left="1136" w:right="2" w:hanging="728"/>
        <w:textAlignment w:val="baseline"/>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03A28259">
      <w:pPr>
        <w:pStyle w:val="18"/>
        <w:keepNext w:val="0"/>
        <w:keepLines w:val="0"/>
        <w:pageBreakBefore w:val="0"/>
        <w:widowControl/>
        <w:kinsoku w:val="0"/>
        <w:wordWrap/>
        <w:overflowPunct/>
        <w:topLinePunct w:val="0"/>
        <w:autoSpaceDE w:val="0"/>
        <w:autoSpaceDN w:val="0"/>
        <w:bidi w:val="0"/>
        <w:adjustRightInd w:val="0"/>
        <w:snapToGrid w:val="0"/>
        <w:spacing w:line="268" w:lineRule="auto"/>
        <w:ind w:left="1138" w:right="2" w:hanging="730"/>
        <w:textAlignment w:val="baseline"/>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z w:val="24"/>
          <w:szCs w:val="24"/>
          <w:lang w:val="en-US" w:eastAsia="zh-CN"/>
        </w:rPr>
        <w:t>除外</w:t>
      </w:r>
      <w:r>
        <w:rPr>
          <w:rFonts w:hint="eastAsia" w:ascii="宋体" w:hAnsi="宋体" w:eastAsia="宋体" w:cs="宋体"/>
          <w:sz w:val="24"/>
          <w:szCs w:val="24"/>
        </w:rPr>
        <w:t>）；</w:t>
      </w:r>
    </w:p>
    <w:p w14:paraId="76EE1AA9">
      <w:pPr>
        <w:pStyle w:val="18"/>
        <w:keepNext w:val="0"/>
        <w:keepLines w:val="0"/>
        <w:pageBreakBefore w:val="0"/>
        <w:widowControl/>
        <w:kinsoku w:val="0"/>
        <w:wordWrap/>
        <w:overflowPunct/>
        <w:topLinePunct w:val="0"/>
        <w:autoSpaceDE w:val="0"/>
        <w:autoSpaceDN w:val="0"/>
        <w:bidi w:val="0"/>
        <w:adjustRightInd w:val="0"/>
        <w:snapToGrid w:val="0"/>
        <w:spacing w:line="268" w:lineRule="auto"/>
        <w:ind w:left="1137" w:right="2" w:hanging="729"/>
        <w:textAlignment w:val="baseline"/>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73A9BCEC">
      <w:pPr>
        <w:spacing w:line="146" w:lineRule="exact"/>
        <w:rPr>
          <w:rFonts w:hint="eastAsia" w:ascii="宋体" w:hAnsi="宋体" w:eastAsia="宋体" w:cs="宋体"/>
        </w:rPr>
      </w:pPr>
    </w:p>
    <w:tbl>
      <w:tblPr>
        <w:tblStyle w:val="255"/>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35D0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16E389CB">
            <w:pPr>
              <w:autoSpaceDE w:val="0"/>
              <w:autoSpaceDN w:val="0"/>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2D805CCA">
            <w:pPr>
              <w:autoSpaceDE w:val="0"/>
              <w:autoSpaceDN w:val="0"/>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33288CDF">
            <w:pPr>
              <w:autoSpaceDE w:val="0"/>
              <w:autoSpaceDN w:val="0"/>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2CA1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6EC90675">
            <w:pPr>
              <w:pStyle w:val="270"/>
              <w:autoSpaceDE w:val="0"/>
              <w:autoSpaceDN w:val="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7AB4E38A">
            <w:pPr>
              <w:pStyle w:val="270"/>
              <w:autoSpaceDE w:val="0"/>
              <w:autoSpaceDN w:val="0"/>
              <w:rPr>
                <w:rFonts w:hint="eastAsia" w:ascii="宋体" w:hAnsi="宋体" w:eastAsia="宋体" w:cs="宋体"/>
              </w:rPr>
            </w:pPr>
          </w:p>
        </w:tc>
        <w:tc>
          <w:tcPr>
            <w:tcW w:w="2979" w:type="dxa"/>
            <w:vAlign w:val="top"/>
          </w:tcPr>
          <w:p w14:paraId="24EDC65A">
            <w:pPr>
              <w:pStyle w:val="270"/>
              <w:autoSpaceDE w:val="0"/>
              <w:autoSpaceDN w:val="0"/>
              <w:rPr>
                <w:rFonts w:hint="eastAsia" w:ascii="宋体" w:hAnsi="宋体" w:eastAsia="宋体" w:cs="宋体"/>
              </w:rPr>
            </w:pPr>
          </w:p>
        </w:tc>
      </w:tr>
      <w:tr w14:paraId="2E8C7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1CA5390C">
            <w:pPr>
              <w:pStyle w:val="270"/>
              <w:autoSpaceDE w:val="0"/>
              <w:autoSpaceDN w:val="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3FACD3FA">
            <w:pPr>
              <w:pStyle w:val="270"/>
              <w:autoSpaceDE w:val="0"/>
              <w:autoSpaceDN w:val="0"/>
              <w:rPr>
                <w:rFonts w:hint="eastAsia" w:ascii="宋体" w:hAnsi="宋体" w:eastAsia="宋体" w:cs="宋体"/>
              </w:rPr>
            </w:pPr>
          </w:p>
        </w:tc>
        <w:tc>
          <w:tcPr>
            <w:tcW w:w="2979" w:type="dxa"/>
            <w:vAlign w:val="top"/>
          </w:tcPr>
          <w:p w14:paraId="2952E119">
            <w:pPr>
              <w:pStyle w:val="270"/>
              <w:autoSpaceDE w:val="0"/>
              <w:autoSpaceDN w:val="0"/>
              <w:rPr>
                <w:rFonts w:hint="eastAsia" w:ascii="宋体" w:hAnsi="宋体" w:eastAsia="宋体" w:cs="宋体"/>
              </w:rPr>
            </w:pPr>
          </w:p>
        </w:tc>
      </w:tr>
      <w:tr w14:paraId="29379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9CECAB9">
            <w:pPr>
              <w:pStyle w:val="270"/>
              <w:autoSpaceDE w:val="0"/>
              <w:autoSpaceDN w:val="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38E4F9DE">
            <w:pPr>
              <w:pStyle w:val="270"/>
              <w:autoSpaceDE w:val="0"/>
              <w:autoSpaceDN w:val="0"/>
              <w:rPr>
                <w:rFonts w:hint="eastAsia" w:ascii="宋体" w:hAnsi="宋体" w:eastAsia="宋体" w:cs="宋体"/>
              </w:rPr>
            </w:pPr>
          </w:p>
        </w:tc>
        <w:tc>
          <w:tcPr>
            <w:tcW w:w="2979" w:type="dxa"/>
            <w:vAlign w:val="top"/>
          </w:tcPr>
          <w:p w14:paraId="027C76B1">
            <w:pPr>
              <w:pStyle w:val="270"/>
              <w:autoSpaceDE w:val="0"/>
              <w:autoSpaceDN w:val="0"/>
              <w:rPr>
                <w:rFonts w:hint="eastAsia" w:ascii="宋体" w:hAnsi="宋体" w:eastAsia="宋体" w:cs="宋体"/>
              </w:rPr>
            </w:pPr>
          </w:p>
        </w:tc>
      </w:tr>
    </w:tbl>
    <w:p w14:paraId="2D13A56D">
      <w:pPr>
        <w:pStyle w:val="18"/>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上述声明真实有效，否则我方负全部责任。</w:t>
      </w:r>
    </w:p>
    <w:p w14:paraId="5B2EBED5">
      <w:pPr>
        <w:spacing w:line="342" w:lineRule="auto"/>
        <w:rPr>
          <w:rFonts w:hint="eastAsia" w:ascii="宋体" w:hAnsi="宋体" w:eastAsia="宋体" w:cs="宋体"/>
          <w:sz w:val="21"/>
        </w:rPr>
      </w:pPr>
    </w:p>
    <w:p w14:paraId="45B8C066">
      <w:pPr>
        <w:pStyle w:val="18"/>
        <w:spacing w:before="103" w:line="196" w:lineRule="auto"/>
        <w:ind w:left="4398"/>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p>
    <w:p w14:paraId="5324A89F">
      <w:pPr>
        <w:pStyle w:val="18"/>
        <w:spacing w:before="104" w:line="200" w:lineRule="auto"/>
        <w:ind w:left="56"/>
        <w:jc w:val="right"/>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日</w:t>
      </w:r>
    </w:p>
    <w:p w14:paraId="3AF9C37E">
      <w:pPr>
        <w:pStyle w:val="18"/>
        <w:spacing w:before="209" w:line="200" w:lineRule="auto"/>
        <w:ind w:left="5288"/>
        <w:jc w:val="right"/>
        <w:rPr>
          <w:rFonts w:hint="eastAsia" w:ascii="宋体" w:hAnsi="宋体" w:eastAsia="宋体" w:cs="宋体"/>
          <w:sz w:val="24"/>
          <w:szCs w:val="24"/>
        </w:rPr>
      </w:pPr>
    </w:p>
    <w:p w14:paraId="3419C5A5">
      <w:pPr>
        <w:pStyle w:val="18"/>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第七十七条“提供虚假材料谋取中标、成交的”有关规定予以处理。</w:t>
      </w:r>
    </w:p>
    <w:p w14:paraId="1D5533F2">
      <w:pPr>
        <w:spacing w:line="300" w:lineRule="auto"/>
        <w:rPr>
          <w:rFonts w:hint="eastAsia" w:ascii="宋体" w:hAnsi="宋体" w:eastAsia="宋体" w:cs="宋体"/>
          <w:sz w:val="24"/>
          <w:szCs w:val="24"/>
        </w:rPr>
        <w:sectPr>
          <w:footerReference r:id="rId29" w:type="default"/>
          <w:pgSz w:w="11907" w:h="16840"/>
          <w:pgMar w:top="1149" w:right="1133" w:bottom="1060" w:left="1701" w:header="875" w:footer="886" w:gutter="0"/>
          <w:pgNumType w:fmt="decimal"/>
          <w:cols w:space="720" w:num="1"/>
        </w:sectPr>
      </w:pPr>
    </w:p>
    <w:p w14:paraId="56DEB893">
      <w:pPr>
        <w:pStyle w:val="18"/>
        <w:spacing w:before="307" w:line="196" w:lineRule="auto"/>
        <w:ind w:left="32"/>
        <w:outlineLvl w:val="1"/>
        <w:rPr>
          <w:rFonts w:hint="eastAsia" w:ascii="宋体" w:hAnsi="宋体" w:eastAsia="宋体" w:cs="宋体"/>
          <w:sz w:val="24"/>
          <w:szCs w:val="24"/>
        </w:rPr>
      </w:pPr>
      <w:r>
        <w:rPr>
          <w:rFonts w:hint="eastAsia" w:ascii="宋体" w:hAnsi="宋体" w:eastAsia="宋体" w:cs="宋体"/>
          <w:sz w:val="24"/>
          <w:szCs w:val="24"/>
        </w:rPr>
        <w:t>2落实政府采购政策需满足的资格要求（如有）</w:t>
      </w:r>
    </w:p>
    <w:p w14:paraId="06B5A3C1">
      <w:pPr>
        <w:pStyle w:val="18"/>
        <w:spacing w:before="184" w:line="201" w:lineRule="auto"/>
        <w:ind w:left="32"/>
        <w:outlineLvl w:val="2"/>
        <w:rPr>
          <w:rFonts w:hint="eastAsia" w:ascii="宋体" w:hAnsi="宋体" w:eastAsia="宋体" w:cs="宋体"/>
          <w:sz w:val="24"/>
          <w:szCs w:val="24"/>
        </w:rPr>
      </w:pPr>
      <w:r>
        <w:rPr>
          <w:rFonts w:hint="eastAsia" w:ascii="宋体" w:hAnsi="宋体" w:eastAsia="宋体" w:cs="宋体"/>
          <w:sz w:val="24"/>
          <w:szCs w:val="24"/>
        </w:rPr>
        <w:t>2-1中小企业政策证明文件</w:t>
      </w:r>
    </w:p>
    <w:p w14:paraId="6F523CE3">
      <w:pPr>
        <w:pStyle w:val="18"/>
        <w:spacing w:before="178" w:line="201" w:lineRule="auto"/>
        <w:ind w:left="17"/>
        <w:rPr>
          <w:rFonts w:hint="eastAsia" w:ascii="宋体" w:hAnsi="宋体" w:eastAsia="宋体" w:cs="宋体"/>
          <w:sz w:val="24"/>
          <w:szCs w:val="24"/>
        </w:rPr>
      </w:pPr>
      <w:r>
        <w:rPr>
          <w:rFonts w:hint="eastAsia" w:ascii="宋体" w:hAnsi="宋体" w:eastAsia="宋体" w:cs="宋体"/>
          <w:spacing w:val="-1"/>
          <w:sz w:val="24"/>
          <w:szCs w:val="24"/>
        </w:rPr>
        <w:t>说明：</w:t>
      </w:r>
    </w:p>
    <w:p w14:paraId="7BCE188D">
      <w:pPr>
        <w:pStyle w:val="18"/>
        <w:spacing w:before="176" w:line="278" w:lineRule="auto"/>
        <w:ind w:right="14" w:firstLine="9"/>
        <w:rPr>
          <w:rFonts w:hint="eastAsia" w:ascii="宋体" w:hAnsi="宋体" w:eastAsia="宋体" w:cs="宋体"/>
          <w:sz w:val="24"/>
          <w:szCs w:val="24"/>
        </w:rPr>
      </w:pPr>
      <w:r>
        <w:rPr>
          <w:rFonts w:hint="eastAsia" w:ascii="宋体" w:hAnsi="宋体" w:eastAsia="宋体" w:cs="宋体"/>
          <w:spacing w:val="-2"/>
          <w:sz w:val="24"/>
          <w:szCs w:val="24"/>
        </w:rPr>
        <w:t>（1）如本项目（包）不专门面向中小企业预</w:t>
      </w:r>
      <w:r>
        <w:rPr>
          <w:rFonts w:hint="eastAsia" w:ascii="宋体" w:hAnsi="宋体" w:eastAsia="宋体" w:cs="宋体"/>
          <w:spacing w:val="-3"/>
          <w:sz w:val="24"/>
          <w:szCs w:val="24"/>
        </w:rPr>
        <w:t>留采购份额，资格证明文件部分无需提供</w:t>
      </w:r>
      <w:r>
        <w:rPr>
          <w:rFonts w:hint="eastAsia" w:ascii="宋体" w:hAnsi="宋体" w:eastAsia="宋体" w:cs="宋体"/>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宋体" w:hAnsi="宋体" w:eastAsia="宋体" w:cs="宋体"/>
          <w:sz w:val="24"/>
          <w:szCs w:val="24"/>
        </w:rPr>
        <w:t>文件，建议在商务技术文件中提供。</w:t>
      </w:r>
    </w:p>
    <w:p w14:paraId="04727349">
      <w:pPr>
        <w:pStyle w:val="18"/>
        <w:spacing w:before="178" w:line="268" w:lineRule="auto"/>
        <w:ind w:left="15" w:hanging="6"/>
        <w:rPr>
          <w:rFonts w:hint="eastAsia" w:ascii="宋体" w:hAnsi="宋体" w:eastAsia="宋体" w:cs="宋体"/>
          <w:sz w:val="24"/>
          <w:szCs w:val="24"/>
        </w:rPr>
      </w:pPr>
      <w:r>
        <w:rPr>
          <w:rFonts w:hint="eastAsia" w:ascii="宋体" w:hAnsi="宋体" w:eastAsia="宋体" w:cs="宋体"/>
          <w:spacing w:val="-2"/>
          <w:sz w:val="24"/>
          <w:szCs w:val="24"/>
        </w:rPr>
        <w:t>（2）如本项目（包）专门面向中小企业采购，投标文件中须提供《中小企业声</w:t>
      </w:r>
      <w:r>
        <w:rPr>
          <w:rFonts w:hint="eastAsia" w:ascii="宋体" w:hAnsi="宋体" w:eastAsia="宋体" w:cs="宋体"/>
          <w:spacing w:val="-3"/>
          <w:sz w:val="24"/>
          <w:szCs w:val="24"/>
        </w:rPr>
        <w:t>明函》</w:t>
      </w:r>
      <w:r>
        <w:rPr>
          <w:rFonts w:hint="eastAsia" w:ascii="宋体" w:hAnsi="宋体" w:eastAsia="宋体" w:cs="宋体"/>
          <w:spacing w:val="-1"/>
          <w:sz w:val="24"/>
          <w:szCs w:val="24"/>
        </w:rPr>
        <w:t>或《残疾人福利性单位声明函》或由省级以上监狱管理局、</w:t>
      </w:r>
      <w:r>
        <w:rPr>
          <w:rFonts w:hint="eastAsia" w:ascii="宋体" w:hAnsi="宋体" w:eastAsia="宋体" w:cs="宋体"/>
          <w:spacing w:val="-2"/>
          <w:sz w:val="24"/>
          <w:szCs w:val="24"/>
        </w:rPr>
        <w:t>戒毒管理局（含新疆生产建</w:t>
      </w:r>
      <w:r>
        <w:rPr>
          <w:rFonts w:hint="eastAsia" w:ascii="宋体" w:hAnsi="宋体" w:eastAsia="宋体" w:cs="宋体"/>
          <w:sz w:val="24"/>
          <w:szCs w:val="24"/>
        </w:rPr>
        <w:t>设兵团）出具的属于监狱企业的证明文件，且建议在资格证明文件部分提</w:t>
      </w:r>
      <w:r>
        <w:rPr>
          <w:rFonts w:hint="eastAsia" w:ascii="宋体" w:hAnsi="宋体" w:eastAsia="宋体" w:cs="宋体"/>
          <w:spacing w:val="-1"/>
          <w:sz w:val="24"/>
          <w:szCs w:val="24"/>
        </w:rPr>
        <w:t>供。</w:t>
      </w:r>
    </w:p>
    <w:p w14:paraId="5014DEEE">
      <w:pPr>
        <w:pStyle w:val="18"/>
        <w:spacing w:before="185" w:line="287" w:lineRule="auto"/>
        <w:ind w:left="18" w:right="14" w:hanging="9"/>
        <w:rPr>
          <w:rFonts w:hint="eastAsia" w:ascii="宋体" w:hAnsi="宋体" w:eastAsia="宋体" w:cs="宋体"/>
          <w:sz w:val="24"/>
          <w:szCs w:val="24"/>
        </w:rPr>
      </w:pPr>
      <w:r>
        <w:rPr>
          <w:rFonts w:hint="eastAsia" w:ascii="宋体" w:hAnsi="宋体" w:eastAsia="宋体" w:cs="宋体"/>
          <w:spacing w:val="2"/>
          <w:sz w:val="24"/>
          <w:szCs w:val="24"/>
        </w:rPr>
        <w:t>（3）如本项目（包）预留部分采购项目预算专门面向</w:t>
      </w:r>
      <w:r>
        <w:rPr>
          <w:rFonts w:hint="eastAsia" w:ascii="宋体" w:hAnsi="宋体" w:eastAsia="宋体" w:cs="宋体"/>
          <w:spacing w:val="1"/>
          <w:sz w:val="24"/>
          <w:szCs w:val="24"/>
        </w:rPr>
        <w:t>中小企业采购，且要求获得采购</w:t>
      </w:r>
      <w:r>
        <w:rPr>
          <w:rFonts w:hint="eastAsia" w:ascii="宋体" w:hAnsi="宋体" w:eastAsia="宋体" w:cs="宋体"/>
          <w:spacing w:val="-1"/>
          <w:sz w:val="24"/>
          <w:szCs w:val="24"/>
        </w:rPr>
        <w:t>合同的供应商将采购项目中的一定比例分包给一家或</w:t>
      </w:r>
      <w:r>
        <w:rPr>
          <w:rFonts w:hint="eastAsia" w:ascii="宋体" w:hAnsi="宋体" w:eastAsia="宋体" w:cs="宋体"/>
          <w:spacing w:val="-2"/>
          <w:sz w:val="24"/>
          <w:szCs w:val="24"/>
        </w:rPr>
        <w:t>者多家中小企业的，如供应商因落</w:t>
      </w:r>
      <w:r>
        <w:rPr>
          <w:rFonts w:hint="eastAsia" w:ascii="宋体" w:hAnsi="宋体" w:eastAsia="宋体" w:cs="宋体"/>
          <w:spacing w:val="-1"/>
          <w:sz w:val="24"/>
          <w:szCs w:val="24"/>
        </w:rPr>
        <w:t>实政府采购政策拟进行分包的，投标文件中除须提供</w:t>
      </w:r>
      <w:r>
        <w:rPr>
          <w:rFonts w:hint="eastAsia" w:ascii="宋体" w:hAnsi="宋体" w:eastAsia="宋体" w:cs="宋体"/>
          <w:spacing w:val="-2"/>
          <w:sz w:val="24"/>
          <w:szCs w:val="24"/>
        </w:rPr>
        <w:t>《中小企业声明函》或《残疾人福</w:t>
      </w:r>
      <w:r>
        <w:rPr>
          <w:rFonts w:hint="eastAsia" w:ascii="宋体" w:hAnsi="宋体" w:eastAsia="宋体" w:cs="宋体"/>
          <w:spacing w:val="-1"/>
          <w:sz w:val="24"/>
          <w:szCs w:val="24"/>
        </w:rPr>
        <w:t>利性单位声明函》或由省级以上监狱管理局、戒毒管</w:t>
      </w:r>
      <w:r>
        <w:rPr>
          <w:rFonts w:hint="eastAsia" w:ascii="宋体" w:hAnsi="宋体" w:eastAsia="宋体" w:cs="宋体"/>
          <w:spacing w:val="-2"/>
          <w:sz w:val="24"/>
          <w:szCs w:val="24"/>
        </w:rPr>
        <w:t>理局（含新疆生产建设兵团）出具</w:t>
      </w:r>
      <w:r>
        <w:rPr>
          <w:rFonts w:hint="eastAsia" w:ascii="宋体" w:hAnsi="宋体" w:eastAsia="宋体" w:cs="宋体"/>
          <w:spacing w:val="-3"/>
          <w:sz w:val="24"/>
          <w:szCs w:val="24"/>
        </w:rPr>
        <w:t>的属于监狱企业的证明文件，还须同时提供《拟分包情况说明》及《分包意向协议》，</w:t>
      </w:r>
      <w:r>
        <w:rPr>
          <w:rFonts w:hint="eastAsia" w:ascii="宋体" w:hAnsi="宋体" w:eastAsia="宋体" w:cs="宋体"/>
          <w:spacing w:val="-1"/>
          <w:sz w:val="24"/>
          <w:szCs w:val="24"/>
        </w:rPr>
        <w:t>且建议在资格证明文件部分提供。</w:t>
      </w:r>
    </w:p>
    <w:p w14:paraId="0F6CAB6B">
      <w:pPr>
        <w:pStyle w:val="18"/>
        <w:spacing w:before="173" w:line="284" w:lineRule="auto"/>
        <w:ind w:left="19" w:right="14" w:hanging="10"/>
        <w:rPr>
          <w:rFonts w:hint="eastAsia" w:ascii="宋体" w:hAnsi="宋体" w:eastAsia="宋体" w:cs="宋体"/>
          <w:sz w:val="24"/>
          <w:szCs w:val="24"/>
        </w:rPr>
      </w:pPr>
      <w:r>
        <w:rPr>
          <w:rFonts w:hint="eastAsia" w:ascii="宋体" w:hAnsi="宋体" w:eastAsia="宋体" w:cs="宋体"/>
          <w:spacing w:val="2"/>
          <w:sz w:val="24"/>
          <w:szCs w:val="24"/>
        </w:rPr>
        <w:t>（4）如本项目（包）预留部分采购项目预算专门面向</w:t>
      </w:r>
      <w:r>
        <w:rPr>
          <w:rFonts w:hint="eastAsia" w:ascii="宋体" w:hAnsi="宋体" w:eastAsia="宋体" w:cs="宋体"/>
          <w:spacing w:val="1"/>
          <w:sz w:val="24"/>
          <w:szCs w:val="24"/>
        </w:rPr>
        <w:t>中小企业采购，且要求供应商以</w:t>
      </w:r>
      <w:r>
        <w:rPr>
          <w:rFonts w:hint="eastAsia" w:ascii="宋体" w:hAnsi="宋体" w:eastAsia="宋体" w:cs="宋体"/>
          <w:spacing w:val="-1"/>
          <w:sz w:val="24"/>
          <w:szCs w:val="24"/>
        </w:rPr>
        <w:t>联合体形式参加采购活动</w:t>
      </w:r>
      <w:r>
        <w:rPr>
          <w:rFonts w:hint="eastAsia" w:ascii="宋体" w:hAnsi="宋体" w:eastAsia="宋体" w:cs="宋体"/>
          <w:spacing w:val="-1"/>
          <w:sz w:val="20"/>
          <w:szCs w:val="20"/>
        </w:rPr>
        <w:t>，</w:t>
      </w:r>
      <w:r>
        <w:rPr>
          <w:rFonts w:hint="eastAsia" w:ascii="宋体" w:hAnsi="宋体" w:eastAsia="宋体" w:cs="宋体"/>
          <w:spacing w:val="-1"/>
          <w:sz w:val="24"/>
          <w:szCs w:val="24"/>
        </w:rPr>
        <w:t>如供应商为联合体的，投标文</w:t>
      </w:r>
      <w:r>
        <w:rPr>
          <w:rFonts w:hint="eastAsia" w:ascii="宋体" w:hAnsi="宋体" w:eastAsia="宋体" w:cs="宋体"/>
          <w:spacing w:val="-2"/>
          <w:sz w:val="24"/>
          <w:szCs w:val="24"/>
        </w:rPr>
        <w:t>件中除须提供《中小企业声明</w:t>
      </w:r>
      <w:r>
        <w:rPr>
          <w:rFonts w:hint="eastAsia" w:ascii="宋体" w:hAnsi="宋体" w:eastAsia="宋体" w:cs="宋体"/>
          <w:spacing w:val="-1"/>
          <w:sz w:val="24"/>
          <w:szCs w:val="24"/>
        </w:rPr>
        <w:t>函》或《残疾人福利性单位声明函》或由省级以上</w:t>
      </w:r>
      <w:r>
        <w:rPr>
          <w:rFonts w:hint="eastAsia" w:ascii="宋体" w:hAnsi="宋体" w:eastAsia="宋体" w:cs="宋体"/>
          <w:spacing w:val="-2"/>
          <w:sz w:val="24"/>
          <w:szCs w:val="24"/>
        </w:rPr>
        <w:t>监狱管理局、戒毒管理局（含新疆生</w:t>
      </w:r>
      <w:r>
        <w:rPr>
          <w:rFonts w:hint="eastAsia" w:ascii="宋体" w:hAnsi="宋体" w:eastAsia="宋体" w:cs="宋体"/>
          <w:spacing w:val="-3"/>
          <w:sz w:val="24"/>
          <w:szCs w:val="24"/>
        </w:rPr>
        <w:t>产建设兵团）出具的属于监狱企业的证明文件，还须同时提供《联合协议》；上述文件</w:t>
      </w:r>
      <w:r>
        <w:rPr>
          <w:rFonts w:hint="eastAsia" w:ascii="宋体" w:hAnsi="宋体" w:eastAsia="宋体" w:cs="宋体"/>
          <w:spacing w:val="-1"/>
          <w:sz w:val="24"/>
          <w:szCs w:val="24"/>
        </w:rPr>
        <w:t>建议在资格证明文件部分提供。</w:t>
      </w:r>
    </w:p>
    <w:p w14:paraId="5EB12052">
      <w:pPr>
        <w:pStyle w:val="18"/>
        <w:spacing w:before="176" w:line="196" w:lineRule="auto"/>
        <w:ind w:left="9"/>
        <w:rPr>
          <w:rFonts w:hint="eastAsia" w:ascii="宋体" w:hAnsi="宋体" w:eastAsia="宋体" w:cs="宋体"/>
          <w:sz w:val="24"/>
          <w:szCs w:val="24"/>
        </w:rPr>
      </w:pPr>
      <w:r>
        <w:rPr>
          <w:rFonts w:hint="eastAsia" w:ascii="宋体" w:hAnsi="宋体" w:eastAsia="宋体" w:cs="宋体"/>
          <w:spacing w:val="1"/>
          <w:sz w:val="24"/>
          <w:szCs w:val="24"/>
        </w:rPr>
        <w:t>（5）中小企业声明函填写注意事项</w:t>
      </w:r>
    </w:p>
    <w:p w14:paraId="31543AA5">
      <w:pPr>
        <w:pStyle w:val="18"/>
        <w:spacing w:before="184" w:line="253" w:lineRule="auto"/>
        <w:ind w:left="18" w:right="14" w:firstLine="22"/>
        <w:rPr>
          <w:rFonts w:hint="eastAsia" w:ascii="宋体" w:hAnsi="宋体" w:eastAsia="宋体" w:cs="宋体"/>
          <w:sz w:val="24"/>
          <w:szCs w:val="24"/>
        </w:rPr>
      </w:pPr>
      <w:r>
        <w:rPr>
          <w:rFonts w:hint="eastAsia" w:ascii="宋体" w:hAnsi="宋体" w:eastAsia="宋体" w:cs="宋体"/>
          <w:spacing w:val="-7"/>
          <w:sz w:val="24"/>
          <w:szCs w:val="24"/>
        </w:rPr>
        <w:t>1）《中小企业声明函》由参加政府采购活动的投标人出具。联合体投标的，《中小</w:t>
      </w:r>
      <w:r>
        <w:rPr>
          <w:rFonts w:hint="eastAsia" w:ascii="宋体" w:hAnsi="宋体" w:eastAsia="宋体" w:cs="宋体"/>
          <w:spacing w:val="-8"/>
          <w:sz w:val="24"/>
          <w:szCs w:val="24"/>
        </w:rPr>
        <w:t>企业</w:t>
      </w:r>
      <w:r>
        <w:rPr>
          <w:rFonts w:hint="eastAsia" w:ascii="宋体" w:hAnsi="宋体" w:eastAsia="宋体" w:cs="宋体"/>
          <w:spacing w:val="-1"/>
          <w:sz w:val="24"/>
          <w:szCs w:val="24"/>
        </w:rPr>
        <w:t>声明函》可由牵头人出具。</w:t>
      </w:r>
    </w:p>
    <w:p w14:paraId="5275A8B9">
      <w:pPr>
        <w:pStyle w:val="18"/>
        <w:spacing w:before="175" w:line="270" w:lineRule="auto"/>
        <w:ind w:left="17" w:right="14" w:firstLine="14"/>
        <w:rPr>
          <w:rFonts w:hint="eastAsia" w:ascii="宋体" w:hAnsi="宋体" w:eastAsia="宋体" w:cs="宋体"/>
          <w:sz w:val="24"/>
          <w:szCs w:val="24"/>
        </w:rPr>
      </w:pPr>
      <w:r>
        <w:rPr>
          <w:rFonts w:hint="eastAsia" w:ascii="宋体" w:hAnsi="宋体" w:eastAsia="宋体" w:cs="宋体"/>
          <w:spacing w:val="-1"/>
          <w:sz w:val="24"/>
          <w:szCs w:val="24"/>
        </w:rPr>
        <w:t>2）对于联合体中由中小企业承担的部分，或者分包给中小</w:t>
      </w:r>
      <w:r>
        <w:rPr>
          <w:rFonts w:hint="eastAsia" w:ascii="宋体" w:hAnsi="宋体" w:eastAsia="宋体" w:cs="宋体"/>
          <w:spacing w:val="-2"/>
          <w:sz w:val="24"/>
          <w:szCs w:val="24"/>
        </w:rPr>
        <w:t>企业的部分，必须全部由中</w:t>
      </w:r>
      <w:r>
        <w:rPr>
          <w:rFonts w:hint="eastAsia" w:ascii="宋体" w:hAnsi="宋体" w:eastAsia="宋体" w:cs="宋体"/>
          <w:sz w:val="24"/>
          <w:szCs w:val="24"/>
        </w:rPr>
        <w:t>小企业制造、承建或者承接。供应商应当在声明函“标的名</w:t>
      </w:r>
      <w:r>
        <w:rPr>
          <w:rFonts w:hint="eastAsia" w:ascii="宋体" w:hAnsi="宋体" w:eastAsia="宋体" w:cs="宋体"/>
          <w:spacing w:val="-1"/>
          <w:sz w:val="24"/>
          <w:szCs w:val="24"/>
        </w:rPr>
        <w:t>称”部分标明联合体中中小企业承担的具体内容或者中小企业的具体分包内容。</w:t>
      </w:r>
    </w:p>
    <w:p w14:paraId="5805B9D8">
      <w:pPr>
        <w:spacing w:line="270" w:lineRule="auto"/>
        <w:rPr>
          <w:rFonts w:hint="eastAsia" w:ascii="宋体" w:hAnsi="宋体" w:eastAsia="宋体" w:cs="宋体"/>
          <w:sz w:val="24"/>
          <w:szCs w:val="24"/>
        </w:rPr>
        <w:sectPr>
          <w:headerReference r:id="rId30" w:type="default"/>
          <w:footerReference r:id="rId31" w:type="default"/>
          <w:pgSz w:w="11907" w:h="16840"/>
          <w:pgMar w:top="1149" w:right="1118" w:bottom="1060" w:left="1686" w:header="875" w:footer="886" w:gutter="0"/>
          <w:pgNumType w:fmt="decimal"/>
          <w:cols w:space="720" w:num="1"/>
        </w:sectPr>
      </w:pPr>
    </w:p>
    <w:p w14:paraId="4B0440B6">
      <w:pPr>
        <w:pStyle w:val="18"/>
        <w:spacing w:before="307" w:line="252" w:lineRule="auto"/>
        <w:ind w:left="10" w:right="14" w:firstLine="13"/>
        <w:rPr>
          <w:rFonts w:hint="eastAsia" w:ascii="宋体" w:hAnsi="宋体" w:eastAsia="宋体" w:cs="宋体"/>
          <w:sz w:val="24"/>
          <w:szCs w:val="24"/>
        </w:rPr>
      </w:pPr>
      <w:r>
        <w:rPr>
          <w:rFonts w:hint="eastAsia" w:ascii="宋体" w:hAnsi="宋体" w:eastAsia="宋体" w:cs="宋体"/>
          <w:spacing w:val="-1"/>
          <w:sz w:val="24"/>
          <w:szCs w:val="24"/>
        </w:rPr>
        <w:t>3）对于多标的采购项目，投标人应充分、准确地了解所提供货物的制造企业、提供服</w:t>
      </w:r>
      <w:r>
        <w:rPr>
          <w:rFonts w:hint="eastAsia" w:ascii="宋体" w:hAnsi="宋体" w:eastAsia="宋体" w:cs="宋体"/>
          <w:sz w:val="24"/>
          <w:szCs w:val="24"/>
        </w:rPr>
        <w:t>务的承接企业信息。对相关情况了解不清楚的，不建议填</w:t>
      </w:r>
      <w:r>
        <w:rPr>
          <w:rFonts w:hint="eastAsia" w:ascii="宋体" w:hAnsi="宋体" w:eastAsia="宋体" w:cs="宋体"/>
          <w:spacing w:val="-1"/>
          <w:sz w:val="24"/>
          <w:szCs w:val="24"/>
        </w:rPr>
        <w:t>报本声明函。</w:t>
      </w:r>
    </w:p>
    <w:p w14:paraId="2AAA5AE9">
      <w:pPr>
        <w:pStyle w:val="18"/>
        <w:spacing w:before="181" w:line="289" w:lineRule="auto"/>
        <w:ind w:left="8" w:hanging="9"/>
        <w:rPr>
          <w:rFonts w:hint="eastAsia" w:ascii="宋体" w:hAnsi="宋体" w:eastAsia="宋体" w:cs="宋体"/>
          <w:sz w:val="24"/>
          <w:szCs w:val="24"/>
        </w:rPr>
      </w:pPr>
      <w:r>
        <w:rPr>
          <w:rFonts w:hint="eastAsia" w:ascii="宋体" w:hAnsi="宋体" w:eastAsia="宋体" w:cs="宋体"/>
          <w:spacing w:val="-1"/>
          <w:sz w:val="24"/>
          <w:szCs w:val="24"/>
        </w:rPr>
        <w:t>（6）温馨提示：为方便广大中小企业识别企业规模类型，工业和信息化部组织开发了中小企业规模类型自测小程序，在国务院客户端和工</w:t>
      </w:r>
      <w:r>
        <w:rPr>
          <w:rFonts w:hint="eastAsia" w:ascii="宋体" w:hAnsi="宋体" w:eastAsia="宋体" w:cs="宋体"/>
          <w:spacing w:val="-2"/>
          <w:sz w:val="24"/>
          <w:szCs w:val="24"/>
        </w:rPr>
        <w:t>业和信息化部网站上均有链接，投</w:t>
      </w:r>
      <w:r>
        <w:rPr>
          <w:rFonts w:hint="eastAsia" w:ascii="宋体" w:hAnsi="宋体" w:eastAsia="宋体" w:cs="宋体"/>
          <w:spacing w:val="-1"/>
          <w:sz w:val="24"/>
          <w:szCs w:val="24"/>
        </w:rPr>
        <w:t>标人填写所属的行业和指标数据可自动生成企业规模</w:t>
      </w:r>
      <w:r>
        <w:rPr>
          <w:rFonts w:hint="eastAsia" w:ascii="宋体" w:hAnsi="宋体" w:eastAsia="宋体" w:cs="宋体"/>
          <w:spacing w:val="-2"/>
          <w:sz w:val="24"/>
          <w:szCs w:val="24"/>
        </w:rPr>
        <w:t>类型测试结果。本项目中小企业划</w:t>
      </w:r>
      <w:r>
        <w:rPr>
          <w:rFonts w:hint="eastAsia" w:ascii="宋体" w:hAnsi="宋体" w:eastAsia="宋体" w:cs="宋体"/>
          <w:spacing w:val="-1"/>
          <w:sz w:val="24"/>
          <w:szCs w:val="24"/>
        </w:rPr>
        <w:t>分标准所属行业详见第二章《投标人须知资料</w:t>
      </w:r>
      <w:r>
        <w:rPr>
          <w:rFonts w:hint="eastAsia" w:ascii="宋体" w:hAnsi="宋体" w:eastAsia="宋体" w:cs="宋体"/>
          <w:spacing w:val="-2"/>
          <w:sz w:val="24"/>
          <w:szCs w:val="24"/>
        </w:rPr>
        <w:t>表》，如在该程序中未找到本项目文件规</w:t>
      </w:r>
      <w:r>
        <w:rPr>
          <w:rFonts w:hint="eastAsia" w:ascii="宋体" w:hAnsi="宋体" w:eastAsia="宋体" w:cs="宋体"/>
          <w:spacing w:val="-1"/>
          <w:sz w:val="24"/>
          <w:szCs w:val="24"/>
        </w:rPr>
        <w:t>定的中小企业划分标准所属行业，则按照《关于印发</w:t>
      </w:r>
      <w:r>
        <w:rPr>
          <w:rFonts w:hint="eastAsia" w:ascii="宋体" w:hAnsi="宋体" w:eastAsia="宋体" w:cs="宋体"/>
          <w:spacing w:val="-2"/>
          <w:sz w:val="24"/>
          <w:szCs w:val="24"/>
        </w:rPr>
        <w:t>中小企业划型标准规定的通知（工</w:t>
      </w:r>
      <w:r>
        <w:rPr>
          <w:rFonts w:hint="eastAsia" w:ascii="宋体" w:hAnsi="宋体" w:eastAsia="宋体" w:cs="宋体"/>
          <w:spacing w:val="-5"/>
          <w:sz w:val="24"/>
          <w:szCs w:val="24"/>
        </w:rPr>
        <w:t>信部联企业﹝2011﹞300号）》及《金融业企业划型标准规定》（〔2015〕309号）等</w:t>
      </w:r>
      <w:r>
        <w:rPr>
          <w:rFonts w:hint="eastAsia" w:ascii="宋体" w:hAnsi="宋体" w:eastAsia="宋体" w:cs="宋体"/>
          <w:spacing w:val="-1"/>
          <w:sz w:val="24"/>
          <w:szCs w:val="24"/>
        </w:rPr>
        <w:t>国务院批准的中小企业划分标准执行。</w:t>
      </w:r>
    </w:p>
    <w:p w14:paraId="6947873E">
      <w:pPr>
        <w:spacing w:line="289" w:lineRule="auto"/>
        <w:rPr>
          <w:rFonts w:hint="eastAsia" w:ascii="宋体" w:hAnsi="宋体" w:eastAsia="宋体" w:cs="宋体"/>
          <w:sz w:val="24"/>
          <w:szCs w:val="24"/>
        </w:rPr>
        <w:sectPr>
          <w:headerReference r:id="rId32" w:type="default"/>
          <w:footerReference r:id="rId33" w:type="default"/>
          <w:pgSz w:w="11907" w:h="16840"/>
          <w:pgMar w:top="1149" w:right="1121" w:bottom="1057" w:left="1696" w:header="875" w:footer="886" w:gutter="0"/>
          <w:pgNumType w:fmt="decimal"/>
          <w:cols w:space="720" w:num="1"/>
        </w:sectPr>
      </w:pPr>
    </w:p>
    <w:p w14:paraId="00257665">
      <w:pPr>
        <w:pStyle w:val="18"/>
        <w:spacing w:before="336" w:line="201" w:lineRule="auto"/>
        <w:ind w:left="126"/>
        <w:outlineLvl w:val="3"/>
        <w:rPr>
          <w:rFonts w:hint="eastAsia" w:ascii="宋体" w:hAnsi="宋体" w:eastAsia="宋体" w:cs="宋体"/>
          <w:sz w:val="24"/>
          <w:szCs w:val="24"/>
        </w:rPr>
      </w:pPr>
      <w:r>
        <w:rPr>
          <w:rFonts w:hint="eastAsia" w:ascii="宋体" w:hAnsi="宋体" w:eastAsia="宋体" w:cs="宋体"/>
          <w:spacing w:val="2"/>
          <w:sz w:val="24"/>
          <w:szCs w:val="24"/>
        </w:rPr>
        <w:t>2-1-1中小企业证明文件</w:t>
      </w:r>
    </w:p>
    <w:p w14:paraId="7F224AB0">
      <w:pPr>
        <w:pStyle w:val="18"/>
        <w:spacing w:before="150" w:line="201"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中小企业声明函（服务）格式</w:t>
      </w:r>
    </w:p>
    <w:p w14:paraId="2680F737">
      <w:pPr>
        <w:spacing w:line="394" w:lineRule="auto"/>
        <w:rPr>
          <w:rFonts w:hint="eastAsia" w:ascii="宋体" w:hAnsi="宋体" w:eastAsia="宋体" w:cs="宋体"/>
          <w:sz w:val="21"/>
        </w:rPr>
      </w:pPr>
    </w:p>
    <w:p w14:paraId="3045604B">
      <w:pPr>
        <w:pStyle w:val="18"/>
        <w:spacing w:before="103" w:line="360" w:lineRule="auto"/>
        <w:ind w:left="110"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7"/>
          <w:sz w:val="24"/>
          <w:szCs w:val="24"/>
        </w:rPr>
        <w:t>库﹝2020﹞46号）的规定，本公</w:t>
      </w:r>
      <w:r>
        <w:rPr>
          <w:rFonts w:hint="eastAsia" w:ascii="宋体" w:hAnsi="宋体" w:eastAsia="宋体" w:cs="宋体"/>
          <w:spacing w:val="6"/>
          <w:sz w:val="24"/>
          <w:szCs w:val="24"/>
        </w:rPr>
        <w:t>司（联合体）参加（单位名称）的（项目名称）</w:t>
      </w:r>
      <w:r>
        <w:rPr>
          <w:rFonts w:hint="eastAsia" w:ascii="宋体" w:hAnsi="宋体" w:eastAsia="宋体" w:cs="宋体"/>
          <w:spacing w:val="8"/>
          <w:sz w:val="24"/>
          <w:szCs w:val="24"/>
        </w:rPr>
        <w:t>采购活动，工程的施工单位全部为符合政策要求的中小企业（或者：服务全部由符</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r>
        <w:rPr>
          <w:rFonts w:hint="eastAsia" w:ascii="宋体" w:hAnsi="宋体" w:eastAsia="宋体" w:cs="宋体"/>
          <w:spacing w:val="7"/>
          <w:sz w:val="24"/>
          <w:szCs w:val="24"/>
        </w:rPr>
        <w:t>议的中小企业）的具体情况如下：</w:t>
      </w:r>
    </w:p>
    <w:p w14:paraId="0168B323">
      <w:pPr>
        <w:pStyle w:val="18"/>
        <w:tabs>
          <w:tab w:val="left" w:pos="9172"/>
          <w:tab w:val="clear" w:pos="567"/>
        </w:tabs>
        <w:spacing w:before="20" w:line="360" w:lineRule="auto"/>
        <w:ind w:left="114" w:right="79" w:firstLine="524"/>
        <w:jc w:val="both"/>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5"/>
          <w:sz w:val="24"/>
          <w:szCs w:val="24"/>
        </w:rPr>
        <w:t>行业；承建（承接）企业</w:t>
      </w:r>
      <w:r>
        <w:rPr>
          <w:rFonts w:hint="eastAsia" w:ascii="宋体" w:hAnsi="宋体" w:eastAsia="宋体" w:cs="宋体"/>
          <w:spacing w:val="9"/>
          <w:sz w:val="24"/>
          <w:szCs w:val="24"/>
        </w:rPr>
        <w:t>为</w:t>
      </w:r>
      <w:r>
        <w:rPr>
          <w:rFonts w:hint="eastAsia" w:cs="宋体"/>
          <w:spacing w:val="9"/>
          <w:sz w:val="24"/>
          <w:szCs w:val="24"/>
          <w:u w:val="single" w:color="auto"/>
          <w:lang w:val="en-US" w:eastAsia="zh-CN"/>
        </w:rPr>
        <w:t xml:space="preserve">      </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人，营业收入为</w:t>
      </w:r>
      <w:r>
        <w:rPr>
          <w:rFonts w:hint="eastAsia" w:cs="宋体"/>
          <w:spacing w:val="9"/>
          <w:sz w:val="24"/>
          <w:szCs w:val="24"/>
          <w:u w:val="single"/>
          <w:lang w:val="en-US" w:eastAsia="zh-CN"/>
        </w:rPr>
        <w:t xml:space="preserve">       </w:t>
      </w:r>
      <w:r>
        <w:rPr>
          <w:rFonts w:hint="eastAsia" w:ascii="宋体" w:hAnsi="宋体" w:eastAsia="宋体" w:cs="宋体"/>
          <w:spacing w:val="9"/>
          <w:sz w:val="24"/>
          <w:szCs w:val="24"/>
        </w:rPr>
        <w:t>万元，</w:t>
      </w:r>
      <w:r>
        <w:rPr>
          <w:rFonts w:hint="eastAsia" w:ascii="宋体" w:hAnsi="宋体" w:eastAsia="宋体" w:cs="宋体"/>
          <w:spacing w:val="8"/>
          <w:sz w:val="24"/>
          <w:szCs w:val="24"/>
        </w:rPr>
        <w:t>资产总额为</w:t>
      </w:r>
      <w:r>
        <w:rPr>
          <w:rFonts w:hint="eastAsia" w:cs="宋体"/>
          <w:spacing w:val="8"/>
          <w:sz w:val="24"/>
          <w:szCs w:val="24"/>
          <w:u w:val="single"/>
          <w:lang w:val="en-US" w:eastAsia="zh-CN"/>
        </w:rPr>
        <w:t xml:space="preserve">     </w:t>
      </w:r>
      <w:r>
        <w:rPr>
          <w:rFonts w:hint="eastAsia" w:ascii="宋体" w:hAnsi="宋体" w:eastAsia="宋体" w:cs="宋体"/>
          <w:spacing w:val="1"/>
          <w:sz w:val="24"/>
          <w:szCs w:val="24"/>
        </w:rPr>
        <w:t>万元</w:t>
      </w:r>
      <w:r>
        <w:rPr>
          <w:rFonts w:hint="eastAsia" w:ascii="宋体" w:hAnsi="宋体" w:eastAsia="宋体" w:cs="宋体"/>
          <w:spacing w:val="1"/>
          <w:position w:val="6"/>
          <w:sz w:val="16"/>
          <w:szCs w:val="16"/>
        </w:rPr>
        <w:t>1</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25FFDC80">
      <w:pPr>
        <w:pStyle w:val="18"/>
        <w:tabs>
          <w:tab w:val="left" w:pos="9172"/>
          <w:tab w:val="clear" w:pos="567"/>
        </w:tabs>
        <w:spacing w:before="20" w:line="360" w:lineRule="auto"/>
        <w:ind w:left="114" w:right="79" w:firstLine="515"/>
        <w:jc w:val="both"/>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0"/>
          <w:sz w:val="24"/>
          <w:szCs w:val="24"/>
          <w:u w:val="single" w:color="auto"/>
        </w:rPr>
        <w:t>）</w:t>
      </w:r>
      <w:r>
        <w:rPr>
          <w:rFonts w:hint="eastAsia" w:ascii="宋体" w:hAnsi="宋体" w:eastAsia="宋体" w:cs="宋体"/>
          <w:spacing w:val="-50"/>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w:t>
      </w:r>
      <w:r>
        <w:rPr>
          <w:rFonts w:hint="eastAsia" w:ascii="宋体" w:hAnsi="宋体" w:eastAsia="宋体" w:cs="宋体"/>
          <w:spacing w:val="6"/>
          <w:sz w:val="24"/>
          <w:szCs w:val="24"/>
          <w:u w:val="single" w:color="auto"/>
        </w:rPr>
        <w:t>属行业）</w:t>
      </w:r>
      <w:r>
        <w:rPr>
          <w:rFonts w:hint="eastAsia" w:ascii="宋体" w:hAnsi="宋体" w:eastAsia="宋体" w:cs="宋体"/>
          <w:spacing w:val="6"/>
          <w:sz w:val="24"/>
          <w:szCs w:val="24"/>
        </w:rPr>
        <w:t>行业；承建（承接）企业</w:t>
      </w:r>
      <w:r>
        <w:rPr>
          <w:rFonts w:hint="eastAsia" w:ascii="宋体" w:hAnsi="宋体" w:eastAsia="宋体" w:cs="宋体"/>
          <w:spacing w:val="9"/>
          <w:sz w:val="24"/>
          <w:szCs w:val="24"/>
        </w:rPr>
        <w:t>为</w:t>
      </w:r>
      <w:r>
        <w:rPr>
          <w:rFonts w:hint="eastAsia" w:ascii="宋体" w:hAnsi="宋体" w:eastAsia="宋体" w:cs="宋体"/>
          <w:spacing w:val="9"/>
          <w:sz w:val="24"/>
          <w:szCs w:val="24"/>
          <w:u w:val="single" w:color="auto"/>
        </w:rPr>
        <w:t>（企业名称</w:t>
      </w:r>
      <w:r>
        <w:rPr>
          <w:rFonts w:hint="eastAsia" w:ascii="宋体" w:hAnsi="宋体" w:eastAsia="宋体" w:cs="宋体"/>
          <w:spacing w:val="-53"/>
          <w:w w:val="93"/>
          <w:sz w:val="24"/>
          <w:szCs w:val="24"/>
          <w:u w:val="single" w:color="auto"/>
        </w:rPr>
        <w:t>）</w:t>
      </w:r>
      <w:r>
        <w:rPr>
          <w:rFonts w:hint="eastAsia" w:ascii="宋体" w:hAnsi="宋体" w:eastAsia="宋体" w:cs="宋体"/>
          <w:spacing w:val="-53"/>
          <w:w w:val="93"/>
          <w:sz w:val="24"/>
          <w:szCs w:val="24"/>
        </w:rPr>
        <w:t>，</w:t>
      </w:r>
      <w:r>
        <w:rPr>
          <w:rFonts w:hint="eastAsia" w:ascii="宋体" w:hAnsi="宋体" w:eastAsia="宋体" w:cs="宋体"/>
          <w:spacing w:val="9"/>
          <w:sz w:val="24"/>
          <w:szCs w:val="24"/>
        </w:rPr>
        <w:t>从业人员人，营业收入为万元，</w:t>
      </w:r>
      <w:r>
        <w:rPr>
          <w:rFonts w:hint="eastAsia" w:ascii="宋体" w:hAnsi="宋体" w:eastAsia="宋体" w:cs="宋体"/>
          <w:spacing w:val="8"/>
          <w:sz w:val="24"/>
          <w:szCs w:val="24"/>
        </w:rPr>
        <w:t>资产总额为</w:t>
      </w:r>
      <w:r>
        <w:rPr>
          <w:rFonts w:hint="eastAsia" w:ascii="宋体" w:hAnsi="宋体" w:eastAsia="宋体" w:cs="宋体"/>
          <w:sz w:val="24"/>
          <w:szCs w:val="24"/>
          <w:u w:val="single" w:color="auto"/>
        </w:rPr>
        <w:tab/>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（中型企业、小型企业、微型</w:t>
      </w:r>
      <w:r>
        <w:rPr>
          <w:rFonts w:hint="eastAsia" w:ascii="宋体" w:hAnsi="宋体" w:eastAsia="宋体" w:cs="宋体"/>
          <w:sz w:val="24"/>
          <w:szCs w:val="24"/>
          <w:u w:val="single" w:color="auto"/>
        </w:rPr>
        <w:t>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0ADCBF19">
      <w:pPr>
        <w:spacing w:line="360" w:lineRule="auto"/>
        <w:rPr>
          <w:rFonts w:hint="eastAsia" w:ascii="宋体" w:hAnsi="宋体" w:eastAsia="宋体" w:cs="宋体"/>
          <w:sz w:val="21"/>
        </w:rPr>
      </w:pPr>
    </w:p>
    <w:p w14:paraId="11D0C239">
      <w:pPr>
        <w:spacing w:line="360" w:lineRule="auto"/>
        <w:rPr>
          <w:rFonts w:hint="eastAsia" w:ascii="宋体" w:hAnsi="宋体" w:eastAsia="宋体" w:cs="宋体"/>
          <w:sz w:val="21"/>
        </w:rPr>
      </w:pPr>
    </w:p>
    <w:p w14:paraId="10ACA6A0">
      <w:pPr>
        <w:spacing w:before="70" w:line="360" w:lineRule="auto"/>
        <w:ind w:left="640"/>
        <w:rPr>
          <w:rFonts w:hint="eastAsia" w:ascii="宋体" w:hAnsi="宋体" w:eastAsia="宋体" w:cs="宋体"/>
          <w:sz w:val="24"/>
          <w:szCs w:val="24"/>
        </w:rPr>
      </w:pPr>
      <w:r>
        <w:rPr>
          <w:rFonts w:hint="eastAsia" w:ascii="宋体" w:hAnsi="宋体" w:eastAsia="宋体" w:cs="宋体"/>
          <w:spacing w:val="2"/>
          <w:position w:val="1"/>
          <w:sz w:val="24"/>
          <w:szCs w:val="24"/>
        </w:rPr>
        <w:t>……</w:t>
      </w:r>
    </w:p>
    <w:p w14:paraId="588CF2BF">
      <w:pPr>
        <w:pStyle w:val="18"/>
        <w:spacing w:before="185" w:line="360"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以上企业，不属于大企业的分支机构，不存在控股股东为大企业的情形，也不</w:t>
      </w:r>
      <w:r>
        <w:rPr>
          <w:rFonts w:hint="eastAsia" w:ascii="宋体" w:hAnsi="宋体" w:eastAsia="宋体" w:cs="宋体"/>
          <w:spacing w:val="11"/>
          <w:sz w:val="24"/>
          <w:szCs w:val="24"/>
        </w:rPr>
        <w:t>存在与大企业的负责人为同一人的情形。</w:t>
      </w:r>
    </w:p>
    <w:p w14:paraId="4DA016C7">
      <w:pPr>
        <w:pStyle w:val="18"/>
        <w:spacing w:before="11" w:line="36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本企业对上述声明内容的真实性负责。如有虚假，将依法承担相应</w:t>
      </w:r>
      <w:r>
        <w:rPr>
          <w:rFonts w:hint="eastAsia" w:ascii="宋体" w:hAnsi="宋体" w:eastAsia="宋体" w:cs="宋体"/>
          <w:spacing w:val="8"/>
          <w:sz w:val="24"/>
          <w:szCs w:val="24"/>
        </w:rPr>
        <w:t>责任。</w:t>
      </w:r>
    </w:p>
    <w:p w14:paraId="26C5C516">
      <w:pPr>
        <w:spacing w:line="360" w:lineRule="auto"/>
        <w:rPr>
          <w:rFonts w:hint="eastAsia" w:ascii="宋体" w:hAnsi="宋体" w:eastAsia="宋体" w:cs="宋体"/>
          <w:sz w:val="21"/>
        </w:rPr>
      </w:pPr>
    </w:p>
    <w:p w14:paraId="4ECC9807">
      <w:pPr>
        <w:spacing w:line="245" w:lineRule="auto"/>
        <w:rPr>
          <w:rFonts w:hint="eastAsia" w:ascii="宋体" w:hAnsi="宋体" w:eastAsia="宋体" w:cs="宋体"/>
          <w:sz w:val="21"/>
        </w:rPr>
      </w:pPr>
    </w:p>
    <w:p w14:paraId="0B78177F">
      <w:pPr>
        <w:pStyle w:val="18"/>
        <w:spacing w:before="103" w:line="196" w:lineRule="auto"/>
        <w:ind w:left="5825"/>
        <w:rPr>
          <w:rFonts w:hint="eastAsia" w:ascii="宋体" w:hAnsi="宋体" w:eastAsia="宋体" w:cs="宋体"/>
          <w:sz w:val="24"/>
          <w:szCs w:val="24"/>
          <w:lang w:eastAsia="zh-CN"/>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p>
    <w:p w14:paraId="3BA02F59">
      <w:pPr>
        <w:pStyle w:val="18"/>
        <w:spacing w:before="188" w:line="200" w:lineRule="auto"/>
        <w:ind w:left="7076"/>
        <w:rPr>
          <w:rFonts w:hint="eastAsia" w:ascii="宋体" w:hAnsi="宋体" w:eastAsia="宋体" w:cs="宋体"/>
          <w:sz w:val="24"/>
          <w:szCs w:val="24"/>
          <w:lang w:eastAsia="zh-CN"/>
        </w:rPr>
      </w:pPr>
      <w:r>
        <w:rPr>
          <w:rFonts w:hint="eastAsia" w:ascii="宋体" w:hAnsi="宋体" w:eastAsia="宋体" w:cs="宋体"/>
          <w:spacing w:val="20"/>
          <w:sz w:val="24"/>
          <w:szCs w:val="24"/>
        </w:rPr>
        <w:t>日期：</w:t>
      </w:r>
    </w:p>
    <w:p w14:paraId="0F5A73B7">
      <w:pPr>
        <w:spacing w:line="324" w:lineRule="auto"/>
        <w:rPr>
          <w:rFonts w:hint="eastAsia" w:ascii="宋体" w:hAnsi="宋体" w:eastAsia="宋体" w:cs="宋体"/>
          <w:sz w:val="21"/>
        </w:rPr>
      </w:pPr>
    </w:p>
    <w:p w14:paraId="6057D6CE">
      <w:pPr>
        <w:spacing w:line="325" w:lineRule="auto"/>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0288;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AQn7KjPQIAAJYEAAAOAAAAZHJzL2Uyb0RvYy54bWytVM2O0zAQ&#10;viPxDpbvNOluG7pR0z1QlguClXZ5ANd2Ekv+k+0m7Z07d46Il0AreBoW8RiMnf6xXHogh2TsGX/z&#10;zeeZzK83SqKOOy+MrvB4lGPENTVM6KbCH+5vXsww8oFoRqTRvMJb7vH14vmzeW9LfmFaIxl3CEC0&#10;L3tb4TYEW2aZpy1XxI+M5RqctXGKBFi6JmOO9ICuZHaR50XWG8esM5R7D7vLwYl3iO4cQFPXgvKl&#10;oWvFdRhQHZckQEm+FdbjRWJb15yG93XteUCywlBpSG9IAvYqvrPFnJSNI7YVdEeBnEPhSU2KCA1J&#10;D1BLEghaO/EPlBLUGW/qMKJGZUMhSRGoYpw/0eauJZanWkBqbw+i+/8HS991tw4JVuECI00UXPjP&#10;h4dfHz89fv38+8e3x+9fUBFF6q0vIfbO3rrdyoMZK97UTsUv1II2SdjtQVi+CYjC5rSYjS8nU4wo&#10;+IrLadI9O56lax/ecJNwSPfWh+Fa2N4i7d6iG703LQlxO+aOJuorPLuavMSohbbO020o0/F7kyLC&#10;kdwkFgTZj16pT6MABcQApvvAwQ0nYp509JAbNk/Ja3MjpEzspY6MivwKsCiBQamhQcFUFsT2ukkE&#10;vZGCxSORo3fN6pV0qCOxWdOzY/pXmHU+LIlvh7jkimGkXPGOD7lbTthrzVDYWrhQDXOMIxnFGUaS&#10;w9hHK50JRMhzIqFOqaH02AfDzUdrZdgW2mdtnWhamK1x4hs90K5JqN1oxXk4XSek4+9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WtD+1AAAAAYBAAAPAAAAAAAAAAEAIAAAACIAAABkcnMvZG93&#10;bnJldi54bWxQSwECFAAUAAAACACHTuJAEJ+yoz0CAACWBAAADgAAAAAAAAABACAAAAAjAQAAZHJz&#10;L2Uyb0RvYy54bWxQSwUGAAAAAAYABgBZAQAA0gUAAAAA&#10;" path="m0,4l8946,4e">
                <v:fill on="f" focussize="0,0"/>
                <v:stroke weight="0.48pt" color="#000000" joinstyle="bevel"/>
                <v:imagedata o:title=""/>
                <o:lock v:ext="edit" aspectratio="f"/>
              </v:shape>
            </w:pict>
          </mc:Fallback>
        </mc:AlternateContent>
      </w:r>
    </w:p>
    <w:p w14:paraId="69FF9B8A">
      <w:pPr>
        <w:pStyle w:val="18"/>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3C2B865F">
      <w:pPr>
        <w:spacing w:line="207" w:lineRule="auto"/>
        <w:rPr>
          <w:rFonts w:hint="eastAsia" w:ascii="宋体" w:hAnsi="宋体" w:eastAsia="宋体" w:cs="宋体"/>
          <w:sz w:val="20"/>
          <w:szCs w:val="20"/>
        </w:rPr>
        <w:sectPr>
          <w:headerReference r:id="rId34" w:type="default"/>
          <w:footerReference r:id="rId35" w:type="default"/>
          <w:pgSz w:w="11907" w:h="16840"/>
          <w:pgMar w:top="1149" w:right="1060" w:bottom="1060" w:left="1593" w:header="875" w:footer="886" w:gutter="0"/>
          <w:pgNumType w:fmt="decimal"/>
          <w:cols w:space="720" w:num="1"/>
        </w:sectPr>
      </w:pPr>
    </w:p>
    <w:p w14:paraId="69BC20FA">
      <w:pPr>
        <w:pStyle w:val="18"/>
        <w:spacing w:before="328" w:line="204" w:lineRule="auto"/>
        <w:ind w:left="2196"/>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587E2486">
      <w:pPr>
        <w:spacing w:line="300" w:lineRule="auto"/>
        <w:rPr>
          <w:rFonts w:hint="eastAsia" w:ascii="宋体" w:hAnsi="宋体" w:eastAsia="宋体" w:cs="宋体"/>
          <w:sz w:val="21"/>
        </w:rPr>
      </w:pPr>
    </w:p>
    <w:p w14:paraId="19A128E2">
      <w:pPr>
        <w:spacing w:line="300" w:lineRule="auto"/>
        <w:rPr>
          <w:rFonts w:hint="eastAsia" w:ascii="宋体" w:hAnsi="宋体" w:eastAsia="宋体" w:cs="宋体"/>
          <w:sz w:val="21"/>
        </w:rPr>
      </w:pPr>
    </w:p>
    <w:p w14:paraId="0178FA32">
      <w:pPr>
        <w:pStyle w:val="18"/>
        <w:spacing w:before="103" w:line="337" w:lineRule="auto"/>
        <w:ind w:left="3" w:firstLine="504"/>
        <w:rPr>
          <w:rFonts w:hint="eastAsia" w:ascii="宋体" w:hAnsi="宋体" w:eastAsia="宋体" w:cs="宋体"/>
          <w:sz w:val="24"/>
          <w:szCs w:val="24"/>
        </w:rPr>
      </w:pPr>
      <w:r>
        <w:rPr>
          <w:rFonts w:hint="eastAsia" w:ascii="宋体" w:hAnsi="宋体" w:eastAsia="宋体" w:cs="宋体"/>
          <w:spacing w:val="8"/>
          <w:sz w:val="24"/>
          <w:szCs w:val="24"/>
        </w:rPr>
        <w:t>本单位郑重声明，根据《财政部民政部中国残疾人联合会关于促进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rPr>
        <w:t>：</w:t>
      </w:r>
    </w:p>
    <w:p w14:paraId="3B45E5A8">
      <w:pPr>
        <w:pStyle w:val="18"/>
        <w:spacing w:before="20" w:line="200" w:lineRule="auto"/>
        <w:ind w:left="504"/>
        <w:rPr>
          <w:rFonts w:hint="eastAsia" w:ascii="宋体" w:hAnsi="宋体" w:eastAsia="宋体" w:cs="宋体"/>
          <w:sz w:val="24"/>
          <w:szCs w:val="24"/>
        </w:rPr>
      </w:pPr>
      <w:r>
        <w:rPr>
          <w:rFonts w:hint="eastAsia" w:ascii="宋体" w:hAnsi="宋体" w:eastAsia="宋体" w:cs="宋体"/>
          <w:b/>
          <w:bCs/>
          <w:spacing w:val="15"/>
          <w:sz w:val="24"/>
          <w:szCs w:val="24"/>
          <w:lang w:eastAsia="zh-CN"/>
        </w:rPr>
        <w:t>□</w:t>
      </w:r>
      <w:r>
        <w:rPr>
          <w:rFonts w:hint="eastAsia" w:ascii="宋体" w:hAnsi="宋体" w:eastAsia="宋体" w:cs="宋体"/>
          <w:b/>
          <w:bCs/>
          <w:spacing w:val="15"/>
          <w:sz w:val="24"/>
          <w:szCs w:val="24"/>
        </w:rPr>
        <w:t>不属于符合条件的残疾人福利性单位。</w:t>
      </w:r>
    </w:p>
    <w:p w14:paraId="60E37E9D">
      <w:pPr>
        <w:pStyle w:val="18"/>
        <w:spacing w:before="243" w:line="339" w:lineRule="auto"/>
        <w:ind w:left="4" w:right="58" w:firstLine="500"/>
        <w:rPr>
          <w:rFonts w:hint="eastAsia" w:ascii="宋体" w:hAnsi="宋体" w:eastAsia="宋体" w:cs="宋体"/>
          <w:sz w:val="24"/>
          <w:szCs w:val="24"/>
        </w:rPr>
      </w:pPr>
      <w:r>
        <w:rPr>
          <w:rFonts w:hint="eastAsia" w:ascii="宋体" w:hAnsi="宋体" w:eastAsia="宋体" w:cs="宋体"/>
          <w:b/>
          <w:bCs/>
          <w:spacing w:val="12"/>
          <w:sz w:val="24"/>
          <w:szCs w:val="24"/>
          <w:lang w:eastAsia="zh-CN"/>
        </w:rPr>
        <w:t>□</w:t>
      </w:r>
      <w:r>
        <w:rPr>
          <w:rFonts w:hint="eastAsia" w:ascii="宋体" w:hAnsi="宋体" w:eastAsia="宋体" w:cs="宋体"/>
          <w:b/>
          <w:bCs/>
          <w:spacing w:val="12"/>
          <w:sz w:val="24"/>
          <w:szCs w:val="24"/>
        </w:rPr>
        <w:t>属于符合条件的残疾人福利性单位，</w:t>
      </w:r>
      <w:r>
        <w:rPr>
          <w:rFonts w:hint="eastAsia" w:ascii="宋体" w:hAnsi="宋体" w:eastAsia="宋体" w:cs="宋体"/>
          <w:spacing w:val="12"/>
          <w:sz w:val="24"/>
          <w:szCs w:val="24"/>
        </w:rPr>
        <w:t>且本单位参加单位的项目</w:t>
      </w:r>
      <w:r>
        <w:rPr>
          <w:rFonts w:hint="eastAsia" w:ascii="宋体" w:hAnsi="宋体" w:eastAsia="宋体" w:cs="宋体"/>
          <w:spacing w:val="10"/>
          <w:sz w:val="24"/>
          <w:szCs w:val="24"/>
        </w:rPr>
        <w:t>采购活动提供本单位制造的货物（由本单位承担工程/提供服务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提供其他残疾人福利性单位制造的货物（不包括使用非残疾人福利性单位注</w:t>
      </w:r>
      <w:r>
        <w:rPr>
          <w:rFonts w:hint="eastAsia" w:ascii="宋体" w:hAnsi="宋体" w:eastAsia="宋体" w:cs="宋体"/>
          <w:spacing w:val="8"/>
          <w:sz w:val="24"/>
          <w:szCs w:val="24"/>
        </w:rPr>
        <w:t>册商标的货物）。</w:t>
      </w:r>
    </w:p>
    <w:p w14:paraId="19803D6A">
      <w:pPr>
        <w:pStyle w:val="18"/>
        <w:spacing w:before="19" w:line="200" w:lineRule="auto"/>
        <w:ind w:left="508"/>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本单位对上述声明的真实性负责。如有虚假，将</w:t>
      </w:r>
      <w:r>
        <w:rPr>
          <w:rFonts w:hint="eastAsia" w:ascii="宋体" w:hAnsi="宋体" w:eastAsia="宋体" w:cs="宋体"/>
          <w:b/>
          <w:bCs/>
          <w:spacing w:val="9"/>
          <w:sz w:val="24"/>
          <w:szCs w:val="24"/>
        </w:rPr>
        <w:t>依法承担相应责任。</w:t>
      </w:r>
    </w:p>
    <w:p w14:paraId="27C72842">
      <w:pPr>
        <w:spacing w:line="262" w:lineRule="auto"/>
        <w:rPr>
          <w:rFonts w:hint="eastAsia" w:ascii="宋体" w:hAnsi="宋体" w:eastAsia="宋体" w:cs="宋体"/>
          <w:sz w:val="21"/>
        </w:rPr>
      </w:pPr>
    </w:p>
    <w:p w14:paraId="1321ED33">
      <w:pPr>
        <w:spacing w:line="262" w:lineRule="auto"/>
        <w:rPr>
          <w:rFonts w:hint="eastAsia" w:ascii="宋体" w:hAnsi="宋体" w:eastAsia="宋体" w:cs="宋体"/>
          <w:sz w:val="21"/>
        </w:rPr>
      </w:pPr>
    </w:p>
    <w:p w14:paraId="6DF53600">
      <w:pPr>
        <w:spacing w:line="262" w:lineRule="auto"/>
        <w:rPr>
          <w:rFonts w:hint="eastAsia" w:ascii="宋体" w:hAnsi="宋体" w:eastAsia="宋体" w:cs="宋体"/>
          <w:sz w:val="21"/>
        </w:rPr>
      </w:pPr>
    </w:p>
    <w:p w14:paraId="10AC5E5A">
      <w:pPr>
        <w:spacing w:line="262" w:lineRule="auto"/>
        <w:rPr>
          <w:rFonts w:hint="eastAsia" w:ascii="宋体" w:hAnsi="宋体" w:eastAsia="宋体" w:cs="宋体"/>
          <w:sz w:val="21"/>
        </w:rPr>
      </w:pPr>
    </w:p>
    <w:p w14:paraId="1ECC15A4">
      <w:pPr>
        <w:spacing w:line="262" w:lineRule="auto"/>
        <w:rPr>
          <w:rFonts w:hint="eastAsia" w:ascii="宋体" w:hAnsi="宋体" w:eastAsia="宋体" w:cs="宋体"/>
          <w:sz w:val="21"/>
        </w:rPr>
      </w:pPr>
    </w:p>
    <w:p w14:paraId="1D81E22D">
      <w:pPr>
        <w:pStyle w:val="18"/>
        <w:spacing w:before="104" w:line="339" w:lineRule="auto"/>
        <w:ind w:left="4015" w:right="3129" w:hanging="85"/>
        <w:rPr>
          <w:rFonts w:hint="eastAsia" w:ascii="宋体" w:hAnsi="宋体" w:eastAsia="宋体" w:cs="宋体"/>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62"/>
          <w:w w:val="94"/>
          <w:sz w:val="24"/>
          <w:szCs w:val="24"/>
        </w:rPr>
        <w:t>）：</w:t>
      </w:r>
      <w:r>
        <w:rPr>
          <w:rFonts w:hint="eastAsia" w:ascii="宋体" w:hAnsi="宋体" w:eastAsia="宋体" w:cs="宋体"/>
          <w:spacing w:val="-20"/>
          <w:sz w:val="24"/>
          <w:szCs w:val="24"/>
        </w:rPr>
        <w:t>日期：</w:t>
      </w:r>
    </w:p>
    <w:p w14:paraId="2BF3B9E4">
      <w:pPr>
        <w:spacing w:line="339" w:lineRule="auto"/>
        <w:rPr>
          <w:rFonts w:hint="eastAsia" w:ascii="宋体" w:hAnsi="宋体" w:eastAsia="宋体" w:cs="宋体"/>
          <w:sz w:val="24"/>
          <w:szCs w:val="24"/>
        </w:rPr>
        <w:sectPr>
          <w:headerReference r:id="rId36" w:type="default"/>
          <w:footerReference r:id="rId37" w:type="default"/>
          <w:pgSz w:w="11907" w:h="16840"/>
          <w:pgMar w:top="1149" w:right="1069" w:bottom="1057" w:left="1701" w:header="875" w:footer="886" w:gutter="0"/>
          <w:pgNumType w:fmt="decimal"/>
          <w:cols w:space="720" w:num="1"/>
        </w:sectPr>
      </w:pPr>
    </w:p>
    <w:p w14:paraId="4380D202">
      <w:pPr>
        <w:pStyle w:val="18"/>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2-2其它落实政府采购政策的资格要求（如有）</w:t>
      </w:r>
    </w:p>
    <w:p w14:paraId="5EC71479">
      <w:pPr>
        <w:spacing w:line="196" w:lineRule="auto"/>
        <w:rPr>
          <w:rFonts w:hint="eastAsia" w:ascii="宋体" w:hAnsi="宋体" w:eastAsia="宋体" w:cs="宋体"/>
          <w:sz w:val="24"/>
          <w:szCs w:val="24"/>
        </w:rPr>
        <w:sectPr>
          <w:headerReference r:id="rId38" w:type="default"/>
          <w:footerReference r:id="rId39" w:type="default"/>
          <w:pgSz w:w="11907" w:h="16840"/>
          <w:pgMar w:top="1149" w:right="1133" w:bottom="1060" w:left="1701" w:header="875" w:footer="886" w:gutter="0"/>
          <w:pgNumType w:fmt="decimal"/>
          <w:cols w:space="720" w:num="1"/>
        </w:sectPr>
      </w:pPr>
    </w:p>
    <w:p w14:paraId="3BE7BF60">
      <w:pPr>
        <w:pStyle w:val="18"/>
        <w:spacing w:before="307" w:line="196" w:lineRule="auto"/>
        <w:ind w:left="18"/>
        <w:outlineLvl w:val="1"/>
        <w:rPr>
          <w:rFonts w:hint="eastAsia" w:ascii="宋体" w:hAnsi="宋体" w:eastAsia="宋体" w:cs="宋体"/>
          <w:sz w:val="24"/>
          <w:szCs w:val="24"/>
        </w:rPr>
      </w:pPr>
      <w:r>
        <w:rPr>
          <w:rFonts w:hint="eastAsia" w:ascii="宋体" w:hAnsi="宋体" w:eastAsia="宋体" w:cs="宋体"/>
          <w:spacing w:val="2"/>
          <w:sz w:val="24"/>
          <w:szCs w:val="24"/>
        </w:rPr>
        <w:t>3本项目的特定资格要求（如有）</w:t>
      </w:r>
    </w:p>
    <w:p w14:paraId="61C88625">
      <w:pPr>
        <w:rPr>
          <w:rFonts w:hint="eastAsia" w:ascii="宋体" w:hAnsi="宋体" w:eastAsia="宋体" w:cs="宋体"/>
          <w:b/>
          <w:bCs/>
          <w:spacing w:val="24"/>
          <w:sz w:val="24"/>
          <w:szCs w:val="24"/>
        </w:rPr>
      </w:pPr>
      <w:r>
        <w:rPr>
          <w:rFonts w:hint="eastAsia" w:ascii="宋体" w:hAnsi="宋体" w:eastAsia="宋体" w:cs="宋体"/>
          <w:b/>
          <w:bCs/>
          <w:spacing w:val="24"/>
          <w:sz w:val="24"/>
          <w:szCs w:val="24"/>
        </w:rPr>
        <w:br w:type="page"/>
      </w:r>
    </w:p>
    <w:p w14:paraId="38CA0C9A">
      <w:pPr>
        <w:pStyle w:val="18"/>
        <w:spacing w:before="308" w:line="201" w:lineRule="auto"/>
        <w:ind w:left="6"/>
        <w:outlineLvl w:val="1"/>
        <w:rPr>
          <w:rFonts w:hint="eastAsia" w:ascii="宋体" w:hAnsi="宋体" w:eastAsia="宋体" w:cs="宋体"/>
          <w:sz w:val="24"/>
          <w:szCs w:val="24"/>
        </w:rPr>
      </w:pPr>
      <w:r>
        <w:rPr>
          <w:rFonts w:hint="eastAsia" w:ascii="宋体" w:hAnsi="宋体" w:eastAsia="宋体" w:cs="宋体"/>
          <w:b/>
          <w:bCs/>
          <w:spacing w:val="24"/>
          <w:sz w:val="24"/>
          <w:szCs w:val="24"/>
        </w:rPr>
        <w:t>二、商务技术文件格式</w:t>
      </w:r>
    </w:p>
    <w:p w14:paraId="6D253D03">
      <w:pPr>
        <w:pStyle w:val="18"/>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投标文件（商务技术文件）封面（非实质性格式）</w:t>
      </w:r>
    </w:p>
    <w:p w14:paraId="5D888D7E">
      <w:pPr>
        <w:pStyle w:val="18"/>
        <w:spacing w:before="352" w:line="196" w:lineRule="auto"/>
        <w:ind w:left="1819"/>
        <w:rPr>
          <w:rFonts w:hint="eastAsia" w:ascii="宋体" w:hAnsi="宋体" w:eastAsia="宋体" w:cs="宋体"/>
          <w:b/>
          <w:bCs/>
          <w:spacing w:val="-8"/>
          <w:sz w:val="83"/>
          <w:szCs w:val="83"/>
        </w:rPr>
      </w:pPr>
    </w:p>
    <w:p w14:paraId="0687077B">
      <w:pPr>
        <w:pStyle w:val="18"/>
        <w:spacing w:before="352" w:line="196" w:lineRule="auto"/>
        <w:ind w:left="1819"/>
        <w:rPr>
          <w:rFonts w:hint="eastAsia" w:ascii="宋体" w:hAnsi="宋体" w:eastAsia="宋体" w:cs="宋体"/>
          <w:b/>
          <w:bCs/>
          <w:spacing w:val="-8"/>
          <w:sz w:val="83"/>
          <w:szCs w:val="83"/>
        </w:rPr>
      </w:pPr>
    </w:p>
    <w:p w14:paraId="72EFE6C3">
      <w:pPr>
        <w:pStyle w:val="18"/>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投标文件</w:t>
      </w:r>
    </w:p>
    <w:p w14:paraId="6E3C38A4">
      <w:pPr>
        <w:pStyle w:val="18"/>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14:paraId="35B395B4">
      <w:pPr>
        <w:spacing w:line="300" w:lineRule="auto"/>
        <w:rPr>
          <w:rFonts w:hint="eastAsia" w:ascii="宋体" w:hAnsi="宋体" w:eastAsia="宋体" w:cs="宋体"/>
          <w:sz w:val="21"/>
        </w:rPr>
      </w:pPr>
    </w:p>
    <w:p w14:paraId="523E3130">
      <w:pPr>
        <w:spacing w:line="301" w:lineRule="auto"/>
        <w:rPr>
          <w:rFonts w:hint="eastAsia" w:ascii="宋体" w:hAnsi="宋体" w:eastAsia="宋体" w:cs="宋体"/>
          <w:sz w:val="21"/>
        </w:rPr>
      </w:pPr>
    </w:p>
    <w:p w14:paraId="283CEFE7">
      <w:pPr>
        <w:pStyle w:val="18"/>
        <w:spacing w:before="133" w:line="205" w:lineRule="auto"/>
        <w:ind w:left="546"/>
        <w:rPr>
          <w:rFonts w:hint="eastAsia" w:ascii="宋体" w:hAnsi="宋体" w:eastAsia="宋体" w:cs="宋体"/>
        </w:rPr>
      </w:pPr>
      <w:r>
        <w:rPr>
          <w:rFonts w:hint="eastAsia" w:ascii="宋体" w:hAnsi="宋体" w:eastAsia="宋体" w:cs="宋体"/>
          <w:b/>
          <w:bCs/>
          <w:spacing w:val="-11"/>
        </w:rPr>
        <w:t>项目名称:</w:t>
      </w:r>
    </w:p>
    <w:p w14:paraId="69E4EF14">
      <w:pPr>
        <w:pStyle w:val="18"/>
        <w:spacing w:before="12" w:line="205" w:lineRule="auto"/>
        <w:ind w:left="546"/>
        <w:rPr>
          <w:rFonts w:hint="eastAsia" w:ascii="宋体" w:hAnsi="宋体" w:eastAsia="宋体" w:cs="宋体"/>
        </w:rPr>
      </w:pPr>
      <w:r>
        <w:rPr>
          <w:rFonts w:hint="eastAsia" w:ascii="宋体" w:hAnsi="宋体" w:eastAsia="宋体" w:cs="宋体"/>
          <w:b/>
          <w:bCs/>
          <w:spacing w:val="1"/>
        </w:rPr>
        <w:t>项目编号/包号：</w:t>
      </w:r>
    </w:p>
    <w:p w14:paraId="3B3A7B0D">
      <w:pPr>
        <w:spacing w:line="257" w:lineRule="auto"/>
        <w:rPr>
          <w:rFonts w:hint="eastAsia" w:ascii="宋体" w:hAnsi="宋体" w:eastAsia="宋体" w:cs="宋体"/>
          <w:sz w:val="21"/>
        </w:rPr>
      </w:pPr>
    </w:p>
    <w:p w14:paraId="0268E96A">
      <w:pPr>
        <w:spacing w:line="258" w:lineRule="auto"/>
        <w:rPr>
          <w:rFonts w:hint="eastAsia" w:ascii="宋体" w:hAnsi="宋体" w:eastAsia="宋体" w:cs="宋体"/>
          <w:sz w:val="21"/>
        </w:rPr>
      </w:pPr>
    </w:p>
    <w:p w14:paraId="00FFD60E">
      <w:pPr>
        <w:spacing w:line="258" w:lineRule="auto"/>
        <w:rPr>
          <w:rFonts w:hint="eastAsia" w:ascii="宋体" w:hAnsi="宋体" w:eastAsia="宋体" w:cs="宋体"/>
          <w:sz w:val="21"/>
        </w:rPr>
      </w:pPr>
    </w:p>
    <w:p w14:paraId="3E406DB4">
      <w:pPr>
        <w:spacing w:line="258" w:lineRule="auto"/>
        <w:rPr>
          <w:rFonts w:hint="eastAsia" w:ascii="宋体" w:hAnsi="宋体" w:eastAsia="宋体" w:cs="宋体"/>
          <w:sz w:val="21"/>
        </w:rPr>
      </w:pPr>
    </w:p>
    <w:p w14:paraId="17BC78A9">
      <w:pPr>
        <w:spacing w:line="258" w:lineRule="auto"/>
        <w:rPr>
          <w:rFonts w:hint="eastAsia" w:ascii="宋体" w:hAnsi="宋体" w:eastAsia="宋体" w:cs="宋体"/>
          <w:sz w:val="21"/>
        </w:rPr>
      </w:pPr>
    </w:p>
    <w:p w14:paraId="335DEBB9">
      <w:pPr>
        <w:spacing w:line="258" w:lineRule="auto"/>
        <w:rPr>
          <w:rFonts w:hint="eastAsia" w:ascii="宋体" w:hAnsi="宋体" w:eastAsia="宋体" w:cs="宋体"/>
          <w:sz w:val="21"/>
        </w:rPr>
      </w:pPr>
    </w:p>
    <w:p w14:paraId="584A5B1B">
      <w:pPr>
        <w:spacing w:line="258" w:lineRule="auto"/>
        <w:rPr>
          <w:rFonts w:hint="eastAsia" w:ascii="宋体" w:hAnsi="宋体" w:eastAsia="宋体" w:cs="宋体"/>
          <w:sz w:val="21"/>
        </w:rPr>
      </w:pPr>
    </w:p>
    <w:p w14:paraId="3B58F196">
      <w:pPr>
        <w:spacing w:line="258" w:lineRule="auto"/>
        <w:rPr>
          <w:rFonts w:hint="eastAsia" w:ascii="宋体" w:hAnsi="宋体" w:eastAsia="宋体" w:cs="宋体"/>
          <w:sz w:val="21"/>
        </w:rPr>
      </w:pPr>
    </w:p>
    <w:p w14:paraId="234B9813">
      <w:pPr>
        <w:spacing w:line="258" w:lineRule="auto"/>
        <w:rPr>
          <w:rFonts w:hint="eastAsia" w:ascii="宋体" w:hAnsi="宋体" w:eastAsia="宋体" w:cs="宋体"/>
          <w:sz w:val="21"/>
        </w:rPr>
      </w:pPr>
    </w:p>
    <w:p w14:paraId="3C094E7D">
      <w:pPr>
        <w:spacing w:line="258" w:lineRule="auto"/>
        <w:rPr>
          <w:rFonts w:hint="eastAsia" w:ascii="宋体" w:hAnsi="宋体" w:eastAsia="宋体" w:cs="宋体"/>
          <w:sz w:val="21"/>
        </w:rPr>
      </w:pPr>
    </w:p>
    <w:p w14:paraId="13DF9D98">
      <w:pPr>
        <w:spacing w:line="258" w:lineRule="auto"/>
        <w:rPr>
          <w:rFonts w:hint="eastAsia" w:ascii="宋体" w:hAnsi="宋体" w:eastAsia="宋体" w:cs="宋体"/>
          <w:sz w:val="21"/>
        </w:rPr>
      </w:pPr>
    </w:p>
    <w:p w14:paraId="27D0D972">
      <w:pPr>
        <w:pStyle w:val="18"/>
        <w:spacing w:before="133" w:line="205" w:lineRule="auto"/>
        <w:ind w:left="1447"/>
        <w:rPr>
          <w:rFonts w:hint="eastAsia" w:ascii="宋体" w:hAnsi="宋体" w:eastAsia="宋体" w:cs="宋体"/>
        </w:rPr>
      </w:pPr>
      <w:r>
        <w:rPr>
          <w:rFonts w:hint="eastAsia" w:ascii="宋体" w:hAnsi="宋体" w:eastAsia="宋体" w:cs="宋体"/>
          <w:b/>
          <w:bCs/>
          <w:spacing w:val="34"/>
        </w:rPr>
        <w:t>投标人名称：</w:t>
      </w:r>
    </w:p>
    <w:p w14:paraId="2C65963B">
      <w:pPr>
        <w:spacing w:line="205" w:lineRule="auto"/>
        <w:rPr>
          <w:rFonts w:hint="eastAsia" w:ascii="宋体" w:hAnsi="宋体" w:eastAsia="宋体" w:cs="宋体"/>
        </w:rPr>
        <w:sectPr>
          <w:headerReference r:id="rId40" w:type="default"/>
          <w:footerReference r:id="rId41" w:type="default"/>
          <w:pgSz w:w="11907" w:h="16840"/>
          <w:pgMar w:top="1149" w:right="1133" w:bottom="1060" w:left="1701" w:header="875" w:footer="886" w:gutter="0"/>
          <w:pgNumType w:fmt="decimal"/>
          <w:cols w:space="720" w:num="1"/>
        </w:sectPr>
      </w:pPr>
    </w:p>
    <w:p w14:paraId="20933967">
      <w:pPr>
        <w:pStyle w:val="18"/>
        <w:spacing w:before="307" w:line="196" w:lineRule="auto"/>
        <w:ind w:left="26"/>
        <w:outlineLvl w:val="1"/>
        <w:rPr>
          <w:rFonts w:hint="eastAsia" w:ascii="宋体" w:hAnsi="宋体" w:eastAsia="宋体" w:cs="宋体"/>
          <w:sz w:val="24"/>
          <w:szCs w:val="24"/>
        </w:rPr>
      </w:pPr>
      <w:r>
        <w:rPr>
          <w:rFonts w:hint="eastAsia" w:ascii="宋体" w:hAnsi="宋体" w:eastAsia="宋体" w:cs="宋体"/>
          <w:sz w:val="24"/>
          <w:szCs w:val="24"/>
        </w:rPr>
        <w:t>1投标书（实质性格式）</w:t>
      </w:r>
    </w:p>
    <w:p w14:paraId="7FDFD1DF">
      <w:pPr>
        <w:spacing w:line="470" w:lineRule="auto"/>
        <w:rPr>
          <w:rFonts w:hint="eastAsia" w:ascii="宋体" w:hAnsi="宋体" w:eastAsia="宋体" w:cs="宋体"/>
          <w:sz w:val="21"/>
        </w:rPr>
      </w:pPr>
    </w:p>
    <w:p w14:paraId="21C9965F">
      <w:pPr>
        <w:pStyle w:val="18"/>
        <w:spacing w:before="150" w:line="205" w:lineRule="auto"/>
        <w:ind w:left="4002"/>
        <w:rPr>
          <w:rFonts w:hint="eastAsia" w:ascii="宋体" w:hAnsi="宋体" w:eastAsia="宋体" w:cs="宋体"/>
          <w:sz w:val="35"/>
          <w:szCs w:val="35"/>
        </w:rPr>
      </w:pPr>
      <w:r>
        <w:rPr>
          <w:rFonts w:hint="eastAsia" w:ascii="宋体" w:hAnsi="宋体" w:eastAsia="宋体" w:cs="宋体"/>
          <w:b/>
          <w:bCs/>
          <w:spacing w:val="8"/>
          <w:sz w:val="35"/>
          <w:szCs w:val="35"/>
        </w:rPr>
        <w:t>投标书</w:t>
      </w:r>
    </w:p>
    <w:p w14:paraId="33FE026A">
      <w:pPr>
        <w:pStyle w:val="18"/>
        <w:spacing w:before="250"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111BC554">
      <w:pPr>
        <w:spacing w:line="249" w:lineRule="auto"/>
        <w:rPr>
          <w:rFonts w:hint="eastAsia" w:ascii="宋体" w:hAnsi="宋体" w:eastAsia="宋体" w:cs="宋体"/>
          <w:sz w:val="21"/>
        </w:rPr>
      </w:pPr>
    </w:p>
    <w:p w14:paraId="19BCF121">
      <w:pPr>
        <w:spacing w:line="249" w:lineRule="auto"/>
        <w:rPr>
          <w:rFonts w:hint="eastAsia" w:ascii="宋体" w:hAnsi="宋体" w:eastAsia="宋体" w:cs="宋体"/>
          <w:sz w:val="21"/>
        </w:rPr>
      </w:pPr>
    </w:p>
    <w:p w14:paraId="2967F84F">
      <w:pPr>
        <w:pStyle w:val="18"/>
        <w:spacing w:before="103" w:line="360" w:lineRule="auto"/>
        <w:ind w:left="416"/>
        <w:rPr>
          <w:rFonts w:hint="eastAsia" w:ascii="宋体" w:hAnsi="宋体" w:eastAsia="宋体" w:cs="宋体"/>
          <w:sz w:val="24"/>
          <w:szCs w:val="24"/>
        </w:rPr>
      </w:pPr>
      <w:r>
        <w:rPr>
          <w:rFonts w:hint="eastAsia" w:ascii="宋体" w:hAnsi="宋体" w:eastAsia="宋体" w:cs="宋体"/>
          <w:spacing w:val="1"/>
          <w:sz w:val="24"/>
          <w:szCs w:val="24"/>
        </w:rPr>
        <w:t>我方参加你方就</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（项目名称，项目编号/包号）组织的招标活动，并对</w:t>
      </w:r>
      <w:r>
        <w:rPr>
          <w:rFonts w:hint="eastAsia" w:ascii="宋体" w:hAnsi="宋体" w:eastAsia="宋体" w:cs="宋体"/>
          <w:spacing w:val="-1"/>
          <w:sz w:val="24"/>
          <w:szCs w:val="24"/>
        </w:rPr>
        <w:t>此项目进行投标。</w:t>
      </w:r>
    </w:p>
    <w:p w14:paraId="3C731ADD">
      <w:pPr>
        <w:pStyle w:val="18"/>
        <w:spacing w:before="182" w:line="360" w:lineRule="auto"/>
        <w:ind w:left="435"/>
        <w:rPr>
          <w:rFonts w:hint="eastAsia" w:ascii="宋体" w:hAnsi="宋体" w:eastAsia="宋体" w:cs="宋体"/>
          <w:sz w:val="24"/>
          <w:szCs w:val="24"/>
        </w:rPr>
      </w:pPr>
      <w:r>
        <w:rPr>
          <w:rFonts w:hint="eastAsia" w:ascii="宋体" w:hAnsi="宋体" w:eastAsia="宋体" w:cs="宋体"/>
          <w:spacing w:val="-2"/>
          <w:sz w:val="24"/>
          <w:szCs w:val="24"/>
        </w:rPr>
        <w:t>1.我方已详细审查全部招标文件，自愿参与投标并承诺如下：</w:t>
      </w:r>
    </w:p>
    <w:p w14:paraId="7DA29AEE">
      <w:pPr>
        <w:pStyle w:val="18"/>
        <w:spacing w:before="176" w:line="360" w:lineRule="auto"/>
        <w:ind w:left="427"/>
        <w:rPr>
          <w:rFonts w:hint="eastAsia" w:ascii="宋体" w:hAnsi="宋体" w:eastAsia="宋体" w:cs="宋体"/>
          <w:sz w:val="24"/>
          <w:szCs w:val="24"/>
        </w:rPr>
      </w:pPr>
      <w:r>
        <w:rPr>
          <w:rFonts w:hint="eastAsia" w:ascii="宋体" w:hAnsi="宋体" w:eastAsia="宋体" w:cs="宋体"/>
          <w:sz w:val="24"/>
          <w:szCs w:val="24"/>
        </w:rPr>
        <w:t>（1）本投标有效期为自提交投标文件的截止之日起____个日历日。</w:t>
      </w:r>
    </w:p>
    <w:p w14:paraId="7CD36EC6">
      <w:pPr>
        <w:pStyle w:val="18"/>
        <w:spacing w:before="190" w:line="360" w:lineRule="auto"/>
        <w:jc w:val="right"/>
        <w:rPr>
          <w:rFonts w:hint="eastAsia" w:ascii="宋体" w:hAnsi="宋体" w:eastAsia="宋体" w:cs="宋体"/>
          <w:sz w:val="24"/>
          <w:szCs w:val="24"/>
        </w:rPr>
      </w:pPr>
      <w:r>
        <w:rPr>
          <w:rFonts w:hint="eastAsia" w:ascii="宋体" w:hAnsi="宋体" w:eastAsia="宋体" w:cs="宋体"/>
          <w:spacing w:val="-4"/>
          <w:sz w:val="24"/>
          <w:szCs w:val="24"/>
        </w:rPr>
        <w:t>（2）除合同条款及采购需求偏离表列出的偏离外，我方响应招标文件的全部</w:t>
      </w:r>
      <w:r>
        <w:rPr>
          <w:rFonts w:hint="eastAsia" w:ascii="宋体" w:hAnsi="宋体" w:eastAsia="宋体" w:cs="宋体"/>
          <w:spacing w:val="-5"/>
          <w:sz w:val="24"/>
          <w:szCs w:val="24"/>
        </w:rPr>
        <w:t>要求。</w:t>
      </w:r>
    </w:p>
    <w:p w14:paraId="0E739477">
      <w:pPr>
        <w:pStyle w:val="18"/>
        <w:spacing w:before="185" w:line="360" w:lineRule="auto"/>
        <w:ind w:left="415"/>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w:t>
      </w:r>
      <w:r>
        <w:rPr>
          <w:rFonts w:hint="eastAsia" w:ascii="宋体" w:hAnsi="宋体" w:eastAsia="宋体" w:cs="宋体"/>
          <w:sz w:val="24"/>
          <w:szCs w:val="24"/>
        </w:rPr>
        <w:t>，并对此承担一切法律后果。</w:t>
      </w:r>
    </w:p>
    <w:p w14:paraId="6A8B9C14">
      <w:pPr>
        <w:pStyle w:val="18"/>
        <w:spacing w:before="183" w:line="360" w:lineRule="auto"/>
        <w:ind w:left="5" w:right="88" w:firstLine="409"/>
        <w:rPr>
          <w:rFonts w:hint="eastAsia" w:ascii="宋体" w:hAnsi="宋体" w:eastAsia="宋体" w:cs="宋体"/>
          <w:sz w:val="24"/>
          <w:szCs w:val="24"/>
        </w:rPr>
      </w:pPr>
      <w:r>
        <w:rPr>
          <w:rFonts w:hint="eastAsia" w:ascii="宋体" w:hAnsi="宋体" w:eastAsia="宋体" w:cs="宋体"/>
          <w:spacing w:val="2"/>
          <w:sz w:val="24"/>
          <w:szCs w:val="24"/>
        </w:rPr>
        <w:t>（4）如我方中标，我方将在法律规定的期限内与你方签订合同，按照招标文件要</w:t>
      </w:r>
      <w:r>
        <w:rPr>
          <w:rFonts w:hint="eastAsia" w:ascii="宋体" w:hAnsi="宋体" w:eastAsia="宋体" w:cs="宋体"/>
          <w:sz w:val="24"/>
          <w:szCs w:val="24"/>
        </w:rPr>
        <w:t>求提交履约保证金，并在合同约定的期限内完成合同规定</w:t>
      </w:r>
      <w:r>
        <w:rPr>
          <w:rFonts w:hint="eastAsia" w:ascii="宋体" w:hAnsi="宋体" w:eastAsia="宋体" w:cs="宋体"/>
          <w:spacing w:val="-1"/>
          <w:sz w:val="24"/>
          <w:szCs w:val="24"/>
        </w:rPr>
        <w:t>的全部义务。</w:t>
      </w:r>
    </w:p>
    <w:p w14:paraId="33CDEE61">
      <w:pPr>
        <w:pStyle w:val="18"/>
        <w:spacing w:before="177" w:line="360" w:lineRule="auto"/>
        <w:ind w:left="438"/>
        <w:rPr>
          <w:rFonts w:hint="eastAsia" w:ascii="宋体" w:hAnsi="宋体" w:eastAsia="宋体" w:cs="宋体"/>
          <w:sz w:val="24"/>
          <w:szCs w:val="24"/>
        </w:rPr>
      </w:pPr>
      <w:r>
        <w:rPr>
          <w:rFonts w:hint="eastAsia" w:ascii="宋体" w:hAnsi="宋体" w:eastAsia="宋体" w:cs="宋体"/>
          <w:sz w:val="24"/>
          <w:szCs w:val="24"/>
        </w:rPr>
        <w:t>2.其他补充条款（如有</w:t>
      </w:r>
      <w:r>
        <w:rPr>
          <w:rFonts w:hint="eastAsia" w:ascii="宋体" w:hAnsi="宋体" w:eastAsia="宋体" w:cs="宋体"/>
          <w:spacing w:val="-59"/>
          <w:sz w:val="24"/>
          <w:szCs w:val="24"/>
        </w:rPr>
        <w:t>）：</w:t>
      </w:r>
      <w:r>
        <w:rPr>
          <w:rFonts w:hint="eastAsia" w:ascii="宋体" w:hAnsi="宋体" w:eastAsia="宋体" w:cs="宋体"/>
          <w:spacing w:val="-1"/>
          <w:sz w:val="24"/>
          <w:szCs w:val="24"/>
          <w:u w:val="single"/>
          <w:lang w:val="en-US" w:eastAsia="zh-CN"/>
        </w:rPr>
        <w:t xml:space="preserve">           </w:t>
      </w:r>
      <w:r>
        <w:rPr>
          <w:rFonts w:hint="eastAsia" w:cs="宋体"/>
          <w:spacing w:val="-1"/>
          <w:sz w:val="24"/>
          <w:szCs w:val="24"/>
          <w:u w:val="single"/>
          <w:lang w:val="en-US" w:eastAsia="zh-CN"/>
        </w:rPr>
        <w:t>。</w:t>
      </w:r>
    </w:p>
    <w:p w14:paraId="63B2799E">
      <w:pPr>
        <w:pStyle w:val="18"/>
        <w:spacing w:before="185" w:line="360" w:lineRule="auto"/>
        <w:ind w:left="491"/>
        <w:rPr>
          <w:rFonts w:hint="eastAsia" w:ascii="宋体" w:hAnsi="宋体" w:eastAsia="宋体" w:cs="宋体"/>
          <w:sz w:val="24"/>
          <w:szCs w:val="24"/>
        </w:rPr>
      </w:pPr>
      <w:r>
        <w:rPr>
          <w:rFonts w:hint="eastAsia" w:ascii="宋体" w:hAnsi="宋体" w:eastAsia="宋体" w:cs="宋体"/>
          <w:spacing w:val="-1"/>
          <w:sz w:val="24"/>
          <w:szCs w:val="24"/>
        </w:rPr>
        <w:t>与本投标有关的一切正式往来信函请寄：</w:t>
      </w:r>
    </w:p>
    <w:p w14:paraId="163457D0">
      <w:pPr>
        <w:spacing w:line="246" w:lineRule="auto"/>
        <w:rPr>
          <w:rFonts w:hint="eastAsia" w:ascii="宋体" w:hAnsi="宋体" w:eastAsia="宋体" w:cs="宋体"/>
          <w:sz w:val="21"/>
        </w:rPr>
      </w:pPr>
    </w:p>
    <w:p w14:paraId="67F8497C">
      <w:pPr>
        <w:spacing w:line="246" w:lineRule="auto"/>
        <w:rPr>
          <w:rFonts w:hint="eastAsia" w:ascii="宋体" w:hAnsi="宋体" w:eastAsia="宋体" w:cs="宋体"/>
          <w:sz w:val="21"/>
        </w:rPr>
      </w:pPr>
    </w:p>
    <w:p w14:paraId="22A3BB57">
      <w:pPr>
        <w:pStyle w:val="18"/>
        <w:spacing w:before="104" w:line="200" w:lineRule="auto"/>
        <w:ind w:left="426"/>
        <w:rPr>
          <w:rFonts w:hint="default" w:ascii="宋体" w:hAnsi="宋体" w:eastAsia="宋体" w:cs="宋体"/>
          <w:sz w:val="24"/>
          <w:szCs w:val="24"/>
          <w:u w:val="single"/>
          <w:lang w:val="en-US" w:eastAsia="zh-CN"/>
        </w:rPr>
      </w:pPr>
      <w:r>
        <w:rPr>
          <w:rFonts w:hint="eastAsia" w:ascii="宋体" w:hAnsi="宋体" w:eastAsia="宋体" w:cs="宋体"/>
          <w:spacing w:val="-1"/>
          <w:sz w:val="24"/>
          <w:szCs w:val="24"/>
        </w:rPr>
        <w:t>地址</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传真</w:t>
      </w:r>
      <w:r>
        <w:rPr>
          <w:rFonts w:hint="eastAsia" w:ascii="宋体" w:hAnsi="宋体" w:eastAsia="宋体" w:cs="宋体"/>
          <w:spacing w:val="-1"/>
          <w:sz w:val="24"/>
          <w:szCs w:val="24"/>
          <w:u w:val="single"/>
          <w:lang w:val="en-US" w:eastAsia="zh-CN"/>
        </w:rPr>
        <w:t xml:space="preserve">                      </w:t>
      </w:r>
    </w:p>
    <w:p w14:paraId="55EFDDD0">
      <w:pPr>
        <w:pStyle w:val="18"/>
        <w:spacing w:before="178" w:line="201" w:lineRule="auto"/>
        <w:ind w:left="447"/>
        <w:rPr>
          <w:rFonts w:hint="default" w:ascii="宋体" w:hAnsi="宋体" w:eastAsia="宋体" w:cs="宋体"/>
          <w:sz w:val="24"/>
          <w:szCs w:val="24"/>
          <w:u w:val="single"/>
          <w:lang w:val="en-US" w:eastAsia="zh-CN"/>
        </w:rPr>
      </w:pPr>
      <w:r>
        <w:rPr>
          <w:rFonts w:hint="eastAsia" w:ascii="宋体" w:hAnsi="宋体" w:eastAsia="宋体" w:cs="宋体"/>
          <w:spacing w:val="-5"/>
          <w:sz w:val="24"/>
          <w:szCs w:val="24"/>
        </w:rPr>
        <w:t>电话</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电子函件</w:t>
      </w:r>
      <w:r>
        <w:rPr>
          <w:rFonts w:hint="eastAsia" w:ascii="宋体" w:hAnsi="宋体" w:eastAsia="宋体" w:cs="宋体"/>
          <w:spacing w:val="-5"/>
          <w:sz w:val="24"/>
          <w:szCs w:val="24"/>
          <w:u w:val="single"/>
          <w:lang w:val="en-US" w:eastAsia="zh-CN"/>
        </w:rPr>
        <w:t xml:space="preserve">                   </w:t>
      </w:r>
    </w:p>
    <w:p w14:paraId="534062AB">
      <w:pPr>
        <w:spacing w:line="244" w:lineRule="auto"/>
        <w:rPr>
          <w:rFonts w:hint="eastAsia" w:ascii="宋体" w:hAnsi="宋体" w:eastAsia="宋体" w:cs="宋体"/>
          <w:sz w:val="21"/>
        </w:rPr>
      </w:pPr>
    </w:p>
    <w:p w14:paraId="01E6077B">
      <w:pPr>
        <w:spacing w:line="244" w:lineRule="auto"/>
        <w:rPr>
          <w:rFonts w:hint="eastAsia" w:ascii="宋体" w:hAnsi="宋体" w:eastAsia="宋体" w:cs="宋体"/>
          <w:sz w:val="21"/>
        </w:rPr>
      </w:pPr>
    </w:p>
    <w:p w14:paraId="4C558932">
      <w:pPr>
        <w:pStyle w:val="18"/>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4B6C1AD7">
      <w:pPr>
        <w:pStyle w:val="18"/>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70FA2F3F">
      <w:pPr>
        <w:spacing w:line="272" w:lineRule="auto"/>
        <w:rPr>
          <w:rFonts w:hint="eastAsia" w:ascii="宋体" w:hAnsi="宋体" w:eastAsia="宋体" w:cs="宋体"/>
          <w:sz w:val="21"/>
        </w:rPr>
      </w:pPr>
    </w:p>
    <w:p w14:paraId="6BCF6EA1">
      <w:pPr>
        <w:pStyle w:val="18"/>
        <w:spacing w:before="185" w:line="200" w:lineRule="auto"/>
        <w:ind w:left="476"/>
        <w:rPr>
          <w:rFonts w:hint="eastAsia" w:ascii="宋体" w:hAnsi="宋体" w:eastAsia="宋体" w:cs="宋体"/>
          <w:sz w:val="24"/>
          <w:szCs w:val="24"/>
        </w:rPr>
      </w:pPr>
    </w:p>
    <w:p w14:paraId="447DBEFC">
      <w:pPr>
        <w:spacing w:line="200" w:lineRule="auto"/>
        <w:rPr>
          <w:rFonts w:hint="eastAsia" w:ascii="宋体" w:hAnsi="宋体" w:eastAsia="宋体" w:cs="宋体"/>
          <w:sz w:val="24"/>
          <w:szCs w:val="24"/>
        </w:rPr>
        <w:sectPr>
          <w:headerReference r:id="rId42" w:type="default"/>
          <w:footerReference r:id="rId43" w:type="default"/>
          <w:pgSz w:w="11907" w:h="16840"/>
          <w:pgMar w:top="1149" w:right="1045" w:bottom="1057" w:left="1701" w:header="875" w:footer="886" w:gutter="0"/>
          <w:pgNumType w:fmt="decimal"/>
          <w:cols w:space="720" w:num="1"/>
        </w:sectPr>
      </w:pPr>
    </w:p>
    <w:p w14:paraId="5749E2D1">
      <w:pPr>
        <w:pStyle w:val="18"/>
        <w:spacing w:before="307" w:line="196" w:lineRule="auto"/>
        <w:ind w:left="18"/>
        <w:outlineLvl w:val="1"/>
        <w:rPr>
          <w:rFonts w:hint="eastAsia" w:ascii="宋体" w:hAnsi="宋体" w:eastAsia="宋体" w:cs="宋体"/>
          <w:sz w:val="24"/>
          <w:szCs w:val="24"/>
        </w:rPr>
      </w:pPr>
      <w:r>
        <w:rPr>
          <w:rFonts w:hint="eastAsia" w:ascii="宋体" w:hAnsi="宋体" w:eastAsia="宋体" w:cs="宋体"/>
          <w:sz w:val="24"/>
          <w:szCs w:val="24"/>
        </w:rPr>
        <w:t>2授权委托书（实质性格式）</w:t>
      </w:r>
    </w:p>
    <w:p w14:paraId="7D7A97D8">
      <w:pPr>
        <w:pStyle w:val="18"/>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2AAA608C">
      <w:pPr>
        <w:pStyle w:val="18"/>
        <w:keepNext w:val="0"/>
        <w:keepLines w:val="0"/>
        <w:pageBreakBefore w:val="0"/>
        <w:widowControl/>
        <w:kinsoku w:val="0"/>
        <w:wordWrap/>
        <w:overflowPunct/>
        <w:topLinePunct w:val="0"/>
        <w:autoSpaceDE w:val="0"/>
        <w:autoSpaceDN w:val="0"/>
        <w:bidi w:val="0"/>
        <w:adjustRightInd w:val="0"/>
        <w:snapToGrid w:val="0"/>
        <w:spacing w:before="339" w:line="360" w:lineRule="auto"/>
        <w:ind w:left="0" w:leftChars="0" w:firstLine="417" w:firstLineChars="177"/>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本人</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（姓名）系</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3"/>
          <w:sz w:val="24"/>
          <w:szCs w:val="24"/>
        </w:rPr>
        <w:t>（投标人名称）的法定代表人（单位负责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（姓名）为我方代理人。代理人根据授权，以我方名义签署、澄清确认、提交、撤回、修改</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（项目名称）投标文件和处理有关事宜，其法律后果由我方承担。</w:t>
      </w:r>
    </w:p>
    <w:p w14:paraId="0169FD3D">
      <w:pPr>
        <w:pStyle w:val="18"/>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委托期限：自本授权委托书签署之日起至投标有效期届满</w:t>
      </w:r>
      <w:r>
        <w:rPr>
          <w:rFonts w:hint="eastAsia" w:ascii="宋体" w:hAnsi="宋体" w:eastAsia="宋体" w:cs="宋体"/>
          <w:spacing w:val="-4"/>
          <w:sz w:val="24"/>
          <w:szCs w:val="24"/>
        </w:rPr>
        <w:t>之日止。</w:t>
      </w:r>
    </w:p>
    <w:p w14:paraId="5EB8DAFE">
      <w:pPr>
        <w:pStyle w:val="18"/>
        <w:keepNext w:val="0"/>
        <w:keepLines w:val="0"/>
        <w:pageBreakBefore w:val="0"/>
        <w:widowControl/>
        <w:kinsoku w:val="0"/>
        <w:wordWrap/>
        <w:overflowPunct/>
        <w:topLinePunct w:val="0"/>
        <w:autoSpaceDE w:val="0"/>
        <w:autoSpaceDN w:val="0"/>
        <w:bidi w:val="0"/>
        <w:adjustRightInd w:val="0"/>
        <w:snapToGrid w:val="0"/>
        <w:spacing w:before="178" w:line="360" w:lineRule="auto"/>
        <w:ind w:left="424" w:right="1724" w:firstLine="3"/>
        <w:textAlignment w:val="baseline"/>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4A5D8F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14:paraId="5F825157">
      <w:pPr>
        <w:pStyle w:val="18"/>
        <w:spacing w:before="103" w:line="196" w:lineRule="auto"/>
        <w:ind w:left="6"/>
        <w:rPr>
          <w:rFonts w:hint="eastAsia" w:ascii="宋体" w:hAnsi="宋体" w:eastAsia="宋体" w:cs="宋体"/>
          <w:sz w:val="24"/>
          <w:szCs w:val="24"/>
          <w:u w:val="single"/>
          <w:lang w:val="en-US"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72F70DD7">
      <w:pPr>
        <w:pStyle w:val="18"/>
        <w:spacing w:before="185" w:line="196" w:lineRule="auto"/>
        <w:ind w:left="6"/>
        <w:rPr>
          <w:rFonts w:hint="eastAsia" w:ascii="宋体" w:hAnsi="宋体" w:eastAsia="宋体" w:cs="宋体"/>
          <w:sz w:val="24"/>
          <w:szCs w:val="24"/>
          <w:lang w:eastAsia="zh-CN"/>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pacing w:val="-60"/>
          <w:sz w:val="24"/>
          <w:szCs w:val="24"/>
          <w:u w:val="single"/>
          <w:lang w:val="en-US" w:eastAsia="zh-CN"/>
        </w:rPr>
        <w:t xml:space="preserve">                                                                                                                                                  </w:t>
      </w:r>
    </w:p>
    <w:p w14:paraId="7613C791">
      <w:pPr>
        <w:pStyle w:val="18"/>
        <w:spacing w:before="186" w:line="196" w:lineRule="auto"/>
        <w:ind w:left="8"/>
        <w:rPr>
          <w:rFonts w:hint="eastAsia" w:ascii="宋体" w:hAnsi="宋体" w:eastAsia="宋体" w:cs="宋体"/>
          <w:sz w:val="24"/>
          <w:szCs w:val="24"/>
          <w:lang w:eastAsia="zh-CN"/>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pacing w:val="-60"/>
          <w:sz w:val="24"/>
          <w:szCs w:val="24"/>
          <w:u w:val="single"/>
          <w:lang w:val="en-US" w:eastAsia="zh-CN"/>
        </w:rPr>
        <w:t xml:space="preserve">                                                                                                                                                  </w:t>
      </w:r>
    </w:p>
    <w:p w14:paraId="546893CD">
      <w:pPr>
        <w:pStyle w:val="18"/>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26160EE0">
      <w:pPr>
        <w:spacing w:line="245" w:lineRule="auto"/>
        <w:rPr>
          <w:rFonts w:hint="eastAsia" w:ascii="宋体" w:hAnsi="宋体" w:eastAsia="宋体" w:cs="宋体"/>
          <w:sz w:val="21"/>
        </w:rPr>
      </w:pPr>
    </w:p>
    <w:p w14:paraId="3BA5C6BB">
      <w:pPr>
        <w:spacing w:line="246" w:lineRule="auto"/>
        <w:rPr>
          <w:rFonts w:hint="eastAsia" w:ascii="宋体" w:hAnsi="宋体" w:eastAsia="宋体" w:cs="宋体"/>
          <w:sz w:val="21"/>
        </w:rPr>
      </w:pPr>
    </w:p>
    <w:p w14:paraId="73505D23">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14:paraId="285D331E">
      <w:pPr>
        <w:rPr>
          <w:rFonts w:hint="eastAsia" w:ascii="宋体" w:hAnsi="宋体" w:eastAsia="宋体" w:cs="宋体"/>
          <w:sz w:val="21"/>
        </w:rPr>
      </w:pP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718B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25D9CA1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CD690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67EBA78D">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4B3B9AE1">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77246D0">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6735AC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51CED1DB">
      <w:pPr>
        <w:pStyle w:val="18"/>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14:paraId="5B58788E">
      <w:pPr>
        <w:pStyle w:val="18"/>
        <w:keepNext w:val="0"/>
        <w:keepLines w:val="0"/>
        <w:pageBreakBefore w:val="0"/>
        <w:widowControl/>
        <w:kinsoku w:val="0"/>
        <w:wordWrap/>
        <w:overflowPunct/>
        <w:topLinePunct w:val="0"/>
        <w:autoSpaceDE w:val="0"/>
        <w:autoSpaceDN w:val="0"/>
        <w:bidi w:val="0"/>
        <w:adjustRightInd w:val="0"/>
        <w:snapToGrid w:val="0"/>
        <w:spacing w:before="176" w:line="360" w:lineRule="auto"/>
        <w:ind w:left="4" w:firstLine="22"/>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1.若供应商为事业单位或其他组织或分支机构，则法定代表人（单位负责人）处的签署人可为单位负责人。</w:t>
      </w:r>
    </w:p>
    <w:p w14:paraId="3E797E3B">
      <w:pPr>
        <w:pStyle w:val="18"/>
        <w:keepNext w:val="0"/>
        <w:keepLines w:val="0"/>
        <w:pageBreakBefore w:val="0"/>
        <w:widowControl/>
        <w:kinsoku w:val="0"/>
        <w:wordWrap/>
        <w:overflowPunct/>
        <w:topLinePunct w:val="0"/>
        <w:autoSpaceDE w:val="0"/>
        <w:autoSpaceDN w:val="0"/>
        <w:bidi w:val="0"/>
        <w:adjustRightInd w:val="0"/>
        <w:snapToGrid w:val="0"/>
        <w:spacing w:before="13" w:line="360" w:lineRule="auto"/>
        <w:ind w:left="4" w:firstLine="13"/>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14:paraId="0A2BAE17">
      <w:pPr>
        <w:pStyle w:val="18"/>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pacing w:val="-6"/>
          <w:sz w:val="24"/>
          <w:szCs w:val="24"/>
        </w:rPr>
      </w:pPr>
      <w:r>
        <w:rPr>
          <w:rFonts w:hint="eastAsia" w:ascii="宋体" w:hAnsi="宋体" w:eastAsia="宋体" w:cs="宋体"/>
          <w:spacing w:val="-5"/>
          <w:sz w:val="24"/>
          <w:szCs w:val="24"/>
        </w:rPr>
        <w:t>3.供应商为自然人的情形，可不提供本《授权委</w:t>
      </w:r>
      <w:r>
        <w:rPr>
          <w:rFonts w:hint="eastAsia" w:ascii="宋体" w:hAnsi="宋体" w:eastAsia="宋体" w:cs="宋体"/>
          <w:spacing w:val="-6"/>
          <w:sz w:val="24"/>
          <w:szCs w:val="24"/>
        </w:rPr>
        <w:t>托书》。</w:t>
      </w:r>
    </w:p>
    <w:p w14:paraId="3C47B0AE">
      <w:pPr>
        <w:pStyle w:val="18"/>
        <w:keepNext w:val="0"/>
        <w:keepLines w:val="0"/>
        <w:pageBreakBefore w:val="0"/>
        <w:widowControl/>
        <w:kinsoku w:val="0"/>
        <w:wordWrap/>
        <w:overflowPunct/>
        <w:topLinePunct w:val="0"/>
        <w:autoSpaceDE w:val="0"/>
        <w:autoSpaceDN w:val="0"/>
        <w:bidi w:val="0"/>
        <w:adjustRightInd w:val="0"/>
        <w:snapToGrid w:val="0"/>
        <w:spacing w:before="23" w:line="360" w:lineRule="auto"/>
        <w:ind w:left="18"/>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pacing w:val="-3"/>
          <w:sz w:val="24"/>
          <w:szCs w:val="24"/>
        </w:rPr>
        <w:t>件。</w:t>
      </w:r>
    </w:p>
    <w:p w14:paraId="6B182C5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sectPr>
          <w:footerReference r:id="rId44" w:type="default"/>
          <w:pgSz w:w="11907" w:h="16840"/>
          <w:pgMar w:top="1149" w:right="1133" w:bottom="1060" w:left="1701" w:header="875" w:footer="886" w:gutter="0"/>
          <w:pgNumType w:fmt="decimal"/>
          <w:cols w:space="720" w:num="1"/>
        </w:sectPr>
      </w:pPr>
    </w:p>
    <w:p w14:paraId="712A2E8F">
      <w:pPr>
        <w:pStyle w:val="18"/>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14:paraId="78532247">
      <w:pPr>
        <w:pStyle w:val="18"/>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4B597A04">
      <w:pPr>
        <w:pStyle w:val="18"/>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3F9296DC">
      <w:pPr>
        <w:pStyle w:val="18"/>
        <w:spacing w:before="112" w:line="200" w:lineRule="auto"/>
        <w:ind w:left="7"/>
        <w:rPr>
          <w:rFonts w:hint="eastAsia" w:ascii="宋体" w:hAnsi="宋体" w:eastAsia="宋体" w:cs="宋体"/>
          <w:sz w:val="21"/>
        </w:rPr>
      </w:pPr>
      <w:r>
        <w:rPr>
          <w:rFonts w:hint="eastAsia" w:ascii="宋体" w:hAnsi="宋体" w:eastAsia="宋体" w:cs="宋体"/>
          <w:spacing w:val="-3"/>
          <w:sz w:val="24"/>
          <w:szCs w:val="24"/>
        </w:rPr>
        <w:t>姓名：</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性别：</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年龄：</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lang w:val="en-US" w:eastAsia="zh-CN"/>
        </w:rPr>
        <w:t xml:space="preserve">                  </w:t>
      </w:r>
    </w:p>
    <w:p w14:paraId="37D99B99">
      <w:pPr>
        <w:pStyle w:val="18"/>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cs="宋体"/>
          <w:spacing w:val="-6"/>
          <w:sz w:val="24"/>
          <w:szCs w:val="24"/>
          <w:lang w:val="en-US" w:eastAsia="zh-CN"/>
        </w:rPr>
        <w:t xml:space="preserve"> </w:t>
      </w:r>
      <w:r>
        <w:rPr>
          <w:rFonts w:hint="eastAsia" w:cs="宋体"/>
          <w:spacing w:val="-6"/>
          <w:sz w:val="24"/>
          <w:szCs w:val="24"/>
          <w:u w:val="single"/>
          <w:lang w:val="en-US" w:eastAsia="zh-CN"/>
        </w:rPr>
        <w:t xml:space="preserve">                 </w:t>
      </w:r>
      <w:r>
        <w:rPr>
          <w:rFonts w:hint="eastAsia" w:ascii="宋体" w:hAnsi="宋体" w:eastAsia="宋体" w:cs="宋体"/>
          <w:spacing w:val="-6"/>
          <w:sz w:val="24"/>
          <w:szCs w:val="24"/>
        </w:rPr>
        <w:t>（投标人名称）的法定代表人（单位负责人）。</w:t>
      </w:r>
    </w:p>
    <w:p w14:paraId="3B15BB12">
      <w:pPr>
        <w:spacing w:line="455" w:lineRule="auto"/>
        <w:rPr>
          <w:rFonts w:hint="eastAsia" w:ascii="宋体" w:hAnsi="宋体" w:eastAsia="宋体" w:cs="宋体"/>
          <w:sz w:val="21"/>
        </w:rPr>
      </w:pPr>
    </w:p>
    <w:p w14:paraId="2CDF907E">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36A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30B3B70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7BFF4EC4">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F282EB6">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090D53EB">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32D9CFF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p w14:paraId="2EBCEF32">
            <w:pPr>
              <w:pageBreakBefore w:val="0"/>
              <w:tabs>
                <w:tab w:val="left" w:pos="5580"/>
              </w:tabs>
              <w:wordWrap/>
              <w:topLinePunct w:val="0"/>
              <w:bidi w:val="0"/>
              <w:snapToGrid w:val="0"/>
              <w:spacing w:line="360" w:lineRule="auto"/>
              <w:ind w:left="0" w:leftChars="0" w:right="31" w:rightChars="15" w:firstLine="0" w:firstLineChars="0"/>
              <w:jc w:val="left"/>
              <w:rPr>
                <w:rFonts w:hint="eastAsia" w:ascii="宋体" w:hAnsi="宋体" w:eastAsia="宋体" w:cs="宋体"/>
                <w:snapToGrid w:val="0"/>
                <w:color w:val="000000"/>
                <w:spacing w:val="0"/>
                <w:w w:val="100"/>
                <w:kern w:val="0"/>
                <w:sz w:val="24"/>
                <w:szCs w:val="24"/>
              </w:rPr>
            </w:pPr>
          </w:p>
        </w:tc>
      </w:tr>
    </w:tbl>
    <w:p w14:paraId="608992F5">
      <w:pPr>
        <w:pStyle w:val="18"/>
        <w:spacing w:before="103"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7A26053">
      <w:pPr>
        <w:pStyle w:val="18"/>
        <w:spacing w:before="304" w:line="196" w:lineRule="auto"/>
        <w:ind w:left="6"/>
        <w:rPr>
          <w:rFonts w:hint="eastAsia" w:ascii="宋体" w:hAnsi="宋体" w:eastAsia="宋体" w:cs="宋体"/>
          <w:sz w:val="24"/>
          <w:szCs w:val="24"/>
          <w:lang w:eastAsia="zh-CN"/>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3"/>
          <w:sz w:val="24"/>
          <w:szCs w:val="24"/>
          <w:u w:val="single"/>
          <w:lang w:val="en-US" w:eastAsia="zh-CN"/>
        </w:rPr>
        <w:t xml:space="preserve">                   </w:t>
      </w:r>
    </w:p>
    <w:p w14:paraId="4C08E2AD">
      <w:pPr>
        <w:spacing w:line="272" w:lineRule="auto"/>
        <w:rPr>
          <w:rFonts w:hint="eastAsia" w:ascii="宋体" w:hAnsi="宋体" w:eastAsia="宋体" w:cs="宋体"/>
          <w:sz w:val="21"/>
        </w:rPr>
      </w:pPr>
    </w:p>
    <w:p w14:paraId="444E45AB">
      <w:pPr>
        <w:spacing w:line="273" w:lineRule="auto"/>
        <w:rPr>
          <w:rFonts w:hint="eastAsia" w:ascii="宋体" w:hAnsi="宋体" w:eastAsia="宋体" w:cs="宋体"/>
          <w:sz w:val="21"/>
        </w:rPr>
      </w:pPr>
    </w:p>
    <w:p w14:paraId="7799EB6A">
      <w:pPr>
        <w:spacing w:line="273" w:lineRule="auto"/>
        <w:rPr>
          <w:rFonts w:hint="eastAsia" w:ascii="宋体" w:hAnsi="宋体" w:eastAsia="宋体" w:cs="宋体"/>
          <w:sz w:val="21"/>
        </w:rPr>
      </w:pPr>
    </w:p>
    <w:p w14:paraId="6244A068">
      <w:pPr>
        <w:pStyle w:val="18"/>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日</w:t>
      </w:r>
    </w:p>
    <w:p w14:paraId="43E853D4">
      <w:pPr>
        <w:spacing w:line="200" w:lineRule="auto"/>
        <w:rPr>
          <w:rFonts w:hint="eastAsia" w:ascii="宋体" w:hAnsi="宋体" w:eastAsia="宋体" w:cs="宋体"/>
          <w:sz w:val="24"/>
          <w:szCs w:val="24"/>
        </w:rPr>
        <w:sectPr>
          <w:footerReference r:id="rId45" w:type="default"/>
          <w:pgSz w:w="11907" w:h="16840"/>
          <w:pgMar w:top="1149" w:right="1133" w:bottom="1060" w:left="1701" w:header="875" w:footer="886" w:gutter="0"/>
          <w:pgNumType w:fmt="decimal"/>
          <w:cols w:space="720" w:num="1"/>
        </w:sectPr>
      </w:pPr>
    </w:p>
    <w:p w14:paraId="7D4AF8BE">
      <w:pPr>
        <w:pStyle w:val="18"/>
        <w:spacing w:before="307" w:line="196" w:lineRule="auto"/>
        <w:ind w:left="50"/>
        <w:outlineLvl w:val="1"/>
        <w:rPr>
          <w:rFonts w:hint="eastAsia" w:ascii="宋体" w:hAnsi="宋体" w:eastAsia="宋体" w:cs="宋体"/>
          <w:sz w:val="24"/>
          <w:szCs w:val="24"/>
        </w:rPr>
      </w:pPr>
      <w:r>
        <w:rPr>
          <w:rFonts w:hint="eastAsia" w:ascii="宋体" w:hAnsi="宋体" w:eastAsia="宋体" w:cs="宋体"/>
          <w:sz w:val="24"/>
          <w:szCs w:val="24"/>
        </w:rPr>
        <w:t>3开标一览表（实质性格式）</w:t>
      </w:r>
    </w:p>
    <w:p w14:paraId="26D1E98C">
      <w:pPr>
        <w:pStyle w:val="18"/>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14:paraId="36E2A763">
      <w:pPr>
        <w:pStyle w:val="18"/>
        <w:spacing w:before="181" w:line="200" w:lineRule="auto"/>
        <w:ind w:left="277"/>
        <w:rPr>
          <w:rFonts w:hint="eastAsia" w:ascii="宋体" w:hAnsi="宋体" w:eastAsia="宋体" w:cs="宋体"/>
          <w:sz w:val="24"/>
          <w:szCs w:val="24"/>
          <w:lang w:eastAsia="zh-CN"/>
        </w:rPr>
      </w:pPr>
      <w:r>
        <w:rPr>
          <w:rFonts w:hint="eastAsia" w:ascii="宋体" w:hAnsi="宋体" w:eastAsia="宋体" w:cs="宋体"/>
          <w:spacing w:val="-2"/>
          <w:sz w:val="24"/>
          <w:szCs w:val="24"/>
        </w:rPr>
        <w:t>项目编号：</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项目名称：</w:t>
      </w:r>
    </w:p>
    <w:p w14:paraId="492BE940">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1507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vAlign w:val="top"/>
          </w:tcPr>
          <w:p w14:paraId="0E5783AE">
            <w:pPr>
              <w:pStyle w:val="270"/>
              <w:autoSpaceDE w:val="0"/>
              <w:autoSpaceDN w:val="0"/>
              <w:spacing w:line="371" w:lineRule="auto"/>
              <w:rPr>
                <w:rFonts w:hint="eastAsia" w:ascii="宋体" w:hAnsi="宋体" w:eastAsia="宋体" w:cs="宋体"/>
              </w:rPr>
            </w:pPr>
          </w:p>
          <w:p w14:paraId="006332A2">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14:paraId="57B99F63">
            <w:pPr>
              <w:pStyle w:val="270"/>
              <w:autoSpaceDE w:val="0"/>
              <w:autoSpaceDN w:val="0"/>
              <w:spacing w:line="371" w:lineRule="auto"/>
              <w:rPr>
                <w:rFonts w:hint="eastAsia" w:ascii="宋体" w:hAnsi="宋体" w:eastAsia="宋体" w:cs="宋体"/>
              </w:rPr>
            </w:pPr>
          </w:p>
          <w:p w14:paraId="7F3F2123">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14:paraId="07A66F88">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14:paraId="0C0E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vAlign w:val="top"/>
          </w:tcPr>
          <w:p w14:paraId="3F0E4194">
            <w:pPr>
              <w:pStyle w:val="270"/>
              <w:autoSpaceDE w:val="0"/>
              <w:autoSpaceDN w:val="0"/>
              <w:rPr>
                <w:rFonts w:hint="eastAsia" w:ascii="宋体" w:hAnsi="宋体" w:eastAsia="宋体" w:cs="宋体"/>
              </w:rPr>
            </w:pPr>
          </w:p>
        </w:tc>
        <w:tc>
          <w:tcPr>
            <w:tcW w:w="3707" w:type="dxa"/>
            <w:vMerge w:val="continue"/>
            <w:tcBorders>
              <w:top w:val="nil"/>
            </w:tcBorders>
            <w:vAlign w:val="top"/>
          </w:tcPr>
          <w:p w14:paraId="2E60197C">
            <w:pPr>
              <w:pStyle w:val="270"/>
              <w:autoSpaceDE w:val="0"/>
              <w:autoSpaceDN w:val="0"/>
              <w:rPr>
                <w:rFonts w:hint="eastAsia" w:ascii="宋体" w:hAnsi="宋体" w:eastAsia="宋体" w:cs="宋体"/>
              </w:rPr>
            </w:pPr>
          </w:p>
        </w:tc>
        <w:tc>
          <w:tcPr>
            <w:tcW w:w="1988" w:type="dxa"/>
            <w:vAlign w:val="top"/>
          </w:tcPr>
          <w:p w14:paraId="3A890A4D">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14:paraId="0BAF5C56">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6086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top"/>
          </w:tcPr>
          <w:p w14:paraId="2EE879CB">
            <w:pPr>
              <w:pStyle w:val="270"/>
              <w:autoSpaceDE w:val="0"/>
              <w:autoSpaceDN w:val="0"/>
              <w:rPr>
                <w:rFonts w:hint="eastAsia" w:ascii="宋体" w:hAnsi="宋体" w:eastAsia="宋体" w:cs="宋体"/>
              </w:rPr>
            </w:pPr>
          </w:p>
        </w:tc>
        <w:tc>
          <w:tcPr>
            <w:tcW w:w="3707" w:type="dxa"/>
            <w:vAlign w:val="top"/>
          </w:tcPr>
          <w:p w14:paraId="6BB9BDAA">
            <w:pPr>
              <w:pStyle w:val="270"/>
              <w:autoSpaceDE w:val="0"/>
              <w:autoSpaceDN w:val="0"/>
              <w:rPr>
                <w:rFonts w:hint="eastAsia" w:ascii="宋体" w:hAnsi="宋体" w:eastAsia="宋体" w:cs="宋体"/>
              </w:rPr>
            </w:pPr>
          </w:p>
        </w:tc>
        <w:tc>
          <w:tcPr>
            <w:tcW w:w="1988" w:type="dxa"/>
            <w:vAlign w:val="top"/>
          </w:tcPr>
          <w:p w14:paraId="27D38403">
            <w:pPr>
              <w:pStyle w:val="270"/>
              <w:autoSpaceDE w:val="0"/>
              <w:autoSpaceDN w:val="0"/>
              <w:rPr>
                <w:rFonts w:hint="eastAsia" w:ascii="宋体" w:hAnsi="宋体" w:eastAsia="宋体" w:cs="宋体"/>
              </w:rPr>
            </w:pPr>
          </w:p>
        </w:tc>
        <w:tc>
          <w:tcPr>
            <w:tcW w:w="1987" w:type="dxa"/>
            <w:vAlign w:val="top"/>
          </w:tcPr>
          <w:p w14:paraId="1858049C">
            <w:pPr>
              <w:pStyle w:val="270"/>
              <w:autoSpaceDE w:val="0"/>
              <w:autoSpaceDN w:val="0"/>
              <w:rPr>
                <w:rFonts w:hint="eastAsia" w:ascii="宋体" w:hAnsi="宋体" w:eastAsia="宋体" w:cs="宋体"/>
              </w:rPr>
            </w:pPr>
          </w:p>
        </w:tc>
      </w:tr>
    </w:tbl>
    <w:p w14:paraId="0DE562D0">
      <w:pPr>
        <w:pStyle w:val="18"/>
        <w:spacing w:before="319" w:line="202" w:lineRule="auto"/>
        <w:ind w:left="529" w:right="1196" w:hanging="487"/>
        <w:rPr>
          <w:rFonts w:hint="eastAsia" w:ascii="宋体" w:hAnsi="宋体" w:eastAsia="宋体" w:cs="宋体"/>
          <w:spacing w:val="-3"/>
          <w:sz w:val="24"/>
          <w:szCs w:val="24"/>
        </w:rPr>
      </w:pPr>
      <w:r>
        <w:rPr>
          <w:rFonts w:hint="eastAsia" w:ascii="宋体" w:hAnsi="宋体" w:eastAsia="宋体" w:cs="宋体"/>
          <w:spacing w:val="-3"/>
          <w:sz w:val="24"/>
          <w:szCs w:val="24"/>
        </w:rPr>
        <w:t>注：</w:t>
      </w:r>
    </w:p>
    <w:p w14:paraId="2BB7BADC">
      <w:pPr>
        <w:pStyle w:val="18"/>
        <w:spacing w:before="319" w:line="202" w:lineRule="auto"/>
        <w:ind w:left="529" w:right="1196" w:hanging="487"/>
        <w:rPr>
          <w:rFonts w:hint="eastAsia" w:ascii="宋体" w:hAnsi="宋体" w:eastAsia="宋体" w:cs="宋体"/>
          <w:spacing w:val="-4"/>
          <w:sz w:val="24"/>
          <w:szCs w:val="24"/>
        </w:rPr>
      </w:pPr>
      <w:r>
        <w:rPr>
          <w:rFonts w:hint="eastAsia" w:ascii="宋体" w:hAnsi="宋体" w:eastAsia="宋体" w:cs="宋体"/>
          <w:spacing w:val="-3"/>
          <w:sz w:val="24"/>
          <w:szCs w:val="24"/>
        </w:rPr>
        <w:t>1.此表中，每包的投标报价应和《投标分项报</w:t>
      </w:r>
      <w:r>
        <w:rPr>
          <w:rFonts w:hint="eastAsia" w:ascii="宋体" w:hAnsi="宋体" w:eastAsia="宋体" w:cs="宋体"/>
          <w:spacing w:val="-4"/>
          <w:sz w:val="24"/>
          <w:szCs w:val="24"/>
        </w:rPr>
        <w:t>价表》中的总价相一致。</w:t>
      </w:r>
    </w:p>
    <w:p w14:paraId="5D0D924A">
      <w:pPr>
        <w:pStyle w:val="18"/>
        <w:spacing w:before="319" w:line="202" w:lineRule="auto"/>
        <w:ind w:left="529" w:right="1196" w:hanging="487"/>
        <w:rPr>
          <w:rFonts w:hint="eastAsia" w:ascii="宋体" w:hAnsi="宋体" w:eastAsia="宋体" w:cs="宋体"/>
          <w:sz w:val="24"/>
          <w:szCs w:val="24"/>
        </w:rPr>
      </w:pPr>
      <w:r>
        <w:rPr>
          <w:rFonts w:hint="eastAsia" w:ascii="宋体" w:hAnsi="宋体" w:eastAsia="宋体" w:cs="宋体"/>
          <w:sz w:val="24"/>
          <w:szCs w:val="24"/>
        </w:rPr>
        <w:t>2.本表必须按包分别填写。</w:t>
      </w:r>
    </w:p>
    <w:p w14:paraId="63E5DDC7">
      <w:pPr>
        <w:spacing w:line="269" w:lineRule="auto"/>
        <w:rPr>
          <w:rFonts w:hint="eastAsia" w:ascii="宋体" w:hAnsi="宋体" w:eastAsia="宋体" w:cs="宋体"/>
          <w:sz w:val="21"/>
        </w:rPr>
      </w:pPr>
    </w:p>
    <w:p w14:paraId="43801653">
      <w:pPr>
        <w:spacing w:line="269" w:lineRule="auto"/>
        <w:rPr>
          <w:rFonts w:hint="eastAsia" w:ascii="宋体" w:hAnsi="宋体" w:eastAsia="宋体" w:cs="宋体"/>
          <w:sz w:val="21"/>
        </w:rPr>
      </w:pPr>
    </w:p>
    <w:p w14:paraId="3DD7CB8D">
      <w:pPr>
        <w:spacing w:line="270" w:lineRule="auto"/>
        <w:rPr>
          <w:rFonts w:hint="eastAsia" w:ascii="宋体" w:hAnsi="宋体" w:eastAsia="宋体" w:cs="宋体"/>
          <w:sz w:val="21"/>
        </w:rPr>
      </w:pPr>
    </w:p>
    <w:p w14:paraId="513423F6">
      <w:pPr>
        <w:pStyle w:val="18"/>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D730B1F">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6D003B9E">
      <w:pPr>
        <w:spacing w:line="200" w:lineRule="auto"/>
        <w:rPr>
          <w:rFonts w:hint="eastAsia" w:ascii="宋体" w:hAnsi="宋体" w:eastAsia="宋体" w:cs="宋体"/>
          <w:sz w:val="24"/>
          <w:szCs w:val="24"/>
        </w:rPr>
        <w:sectPr>
          <w:headerReference r:id="rId46" w:type="default"/>
          <w:footerReference r:id="rId47" w:type="default"/>
          <w:pgSz w:w="11907" w:h="16840"/>
          <w:pgMar w:top="1149" w:right="1133" w:bottom="1060" w:left="1669" w:header="875" w:footer="886" w:gutter="0"/>
          <w:pgNumType w:fmt="decimal"/>
          <w:cols w:space="720" w:num="1"/>
        </w:sectPr>
      </w:pPr>
    </w:p>
    <w:p w14:paraId="6150353C">
      <w:pPr>
        <w:pStyle w:val="18"/>
        <w:spacing w:before="103" w:line="196" w:lineRule="auto"/>
        <w:ind w:left="124"/>
        <w:outlineLvl w:val="1"/>
        <w:rPr>
          <w:rFonts w:hint="eastAsia" w:ascii="宋体" w:hAnsi="宋体" w:eastAsia="宋体" w:cs="宋体"/>
          <w:sz w:val="24"/>
          <w:szCs w:val="24"/>
        </w:rPr>
      </w:pPr>
      <w:r>
        <w:rPr>
          <w:rFonts w:hint="eastAsia" w:ascii="宋体" w:hAnsi="宋体" w:eastAsia="宋体" w:cs="宋体"/>
          <w:spacing w:val="1"/>
          <w:sz w:val="24"/>
          <w:szCs w:val="24"/>
        </w:rPr>
        <w:t>4投标分项报价表（实质性格式）</w:t>
      </w:r>
    </w:p>
    <w:p w14:paraId="62FF2AEE">
      <w:pPr>
        <w:spacing w:line="319" w:lineRule="auto"/>
        <w:jc w:val="center"/>
        <w:rPr>
          <w:rFonts w:hint="eastAsia" w:ascii="宋体" w:hAnsi="宋体" w:eastAsia="宋体" w:cs="宋体"/>
          <w:sz w:val="21"/>
        </w:rPr>
      </w:pPr>
      <w:r>
        <w:rPr>
          <w:rFonts w:hint="eastAsia" w:ascii="宋体" w:hAnsi="宋体" w:eastAsia="宋体" w:cs="宋体"/>
          <w:spacing w:val="1"/>
          <w:sz w:val="24"/>
          <w:szCs w:val="24"/>
        </w:rPr>
        <w:t>投标分项报价表</w:t>
      </w:r>
    </w:p>
    <w:p w14:paraId="4C29DD41">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ascii="DejaVuSans" w:hAnsi="DejaVuSans" w:eastAsia="DejaVuSans" w:cs="DejaVuSan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包号：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202"/>
        <w:gridCol w:w="1553"/>
        <w:gridCol w:w="1553"/>
        <w:gridCol w:w="1553"/>
        <w:gridCol w:w="1553"/>
      </w:tblGrid>
      <w:tr w14:paraId="797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3" w:type="dxa"/>
          </w:tcPr>
          <w:p w14:paraId="2A192267">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序号</w:t>
            </w:r>
          </w:p>
        </w:tc>
        <w:tc>
          <w:tcPr>
            <w:tcW w:w="2202" w:type="dxa"/>
          </w:tcPr>
          <w:p w14:paraId="3057DFA5">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分项名称</w:t>
            </w:r>
          </w:p>
        </w:tc>
        <w:tc>
          <w:tcPr>
            <w:tcW w:w="1553" w:type="dxa"/>
          </w:tcPr>
          <w:p w14:paraId="2BDFB587">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单价（元）</w:t>
            </w:r>
          </w:p>
        </w:tc>
        <w:tc>
          <w:tcPr>
            <w:tcW w:w="1553" w:type="dxa"/>
          </w:tcPr>
          <w:p w14:paraId="11273316">
            <w:pPr>
              <w:keepNext w:val="0"/>
              <w:keepLines w:val="0"/>
              <w:widowControl/>
              <w:suppressLineNumbers w:val="0"/>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数量</w:t>
            </w:r>
          </w:p>
        </w:tc>
        <w:tc>
          <w:tcPr>
            <w:tcW w:w="1553" w:type="dxa"/>
          </w:tcPr>
          <w:p w14:paraId="2F46C096">
            <w:pPr>
              <w:spacing w:line="312" w:lineRule="auto"/>
              <w:jc w:val="center"/>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合价（元）</w:t>
            </w:r>
          </w:p>
        </w:tc>
        <w:tc>
          <w:tcPr>
            <w:tcW w:w="1553" w:type="dxa"/>
          </w:tcPr>
          <w:p w14:paraId="51EE52F5">
            <w:pPr>
              <w:spacing w:line="312" w:lineRule="auto"/>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备注</w:t>
            </w:r>
            <w:r>
              <w:rPr>
                <w:rFonts w:ascii="DejaVuSans-Bold" w:hAnsi="DejaVuSans-Bold" w:eastAsia="DejaVuSans-Bold" w:cs="DejaVuSans-Bold"/>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说明</w:t>
            </w:r>
          </w:p>
        </w:tc>
      </w:tr>
      <w:tr w14:paraId="2266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7F35D54D">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1</w:t>
            </w:r>
          </w:p>
        </w:tc>
        <w:tc>
          <w:tcPr>
            <w:tcW w:w="2202" w:type="dxa"/>
          </w:tcPr>
          <w:p w14:paraId="0106F5CA">
            <w:pPr>
              <w:spacing w:line="312" w:lineRule="auto"/>
              <w:rPr>
                <w:rFonts w:hint="default" w:ascii="宋体" w:hAnsi="宋体" w:cs="宋体"/>
                <w:sz w:val="21"/>
                <w:vertAlign w:val="baseline"/>
                <w:lang w:val="en-US" w:eastAsia="zh-CN"/>
              </w:rPr>
            </w:pPr>
          </w:p>
        </w:tc>
        <w:tc>
          <w:tcPr>
            <w:tcW w:w="1553" w:type="dxa"/>
          </w:tcPr>
          <w:p w14:paraId="150939A2">
            <w:pPr>
              <w:spacing w:line="312" w:lineRule="auto"/>
              <w:rPr>
                <w:rFonts w:hint="default" w:ascii="宋体" w:hAnsi="宋体" w:cs="宋体"/>
                <w:sz w:val="21"/>
                <w:vertAlign w:val="baseline"/>
                <w:lang w:val="en-US" w:eastAsia="zh-CN"/>
              </w:rPr>
            </w:pPr>
          </w:p>
        </w:tc>
        <w:tc>
          <w:tcPr>
            <w:tcW w:w="1553" w:type="dxa"/>
          </w:tcPr>
          <w:p w14:paraId="712C565B">
            <w:pPr>
              <w:spacing w:line="312" w:lineRule="auto"/>
              <w:rPr>
                <w:rFonts w:hint="default" w:ascii="宋体" w:hAnsi="宋体" w:cs="宋体"/>
                <w:sz w:val="21"/>
                <w:vertAlign w:val="baseline"/>
                <w:lang w:val="en-US" w:eastAsia="zh-CN"/>
              </w:rPr>
            </w:pPr>
          </w:p>
        </w:tc>
        <w:tc>
          <w:tcPr>
            <w:tcW w:w="1553" w:type="dxa"/>
          </w:tcPr>
          <w:p w14:paraId="14C48B6B">
            <w:pPr>
              <w:spacing w:line="312" w:lineRule="auto"/>
              <w:rPr>
                <w:rFonts w:hint="default" w:ascii="宋体" w:hAnsi="宋体" w:cs="宋体"/>
                <w:sz w:val="21"/>
                <w:vertAlign w:val="baseline"/>
                <w:lang w:val="en-US" w:eastAsia="zh-CN"/>
              </w:rPr>
            </w:pPr>
          </w:p>
        </w:tc>
        <w:tc>
          <w:tcPr>
            <w:tcW w:w="1553" w:type="dxa"/>
          </w:tcPr>
          <w:p w14:paraId="723ACF82">
            <w:pPr>
              <w:spacing w:line="312" w:lineRule="auto"/>
              <w:rPr>
                <w:rFonts w:hint="default" w:ascii="宋体" w:hAnsi="宋体" w:cs="宋体"/>
                <w:sz w:val="21"/>
                <w:vertAlign w:val="baseline"/>
                <w:lang w:val="en-US" w:eastAsia="zh-CN"/>
              </w:rPr>
            </w:pPr>
          </w:p>
        </w:tc>
      </w:tr>
      <w:tr w14:paraId="5D79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3EEC223B">
            <w:pPr>
              <w:spacing w:line="312" w:lineRule="auto"/>
              <w:rPr>
                <w:rFonts w:hint="default" w:ascii="宋体" w:hAnsi="宋体" w:cs="宋体"/>
                <w:sz w:val="21"/>
                <w:vertAlign w:val="baseline"/>
                <w:lang w:val="en-US" w:eastAsia="zh-CN"/>
              </w:rPr>
            </w:pPr>
            <w:r>
              <w:rPr>
                <w:rFonts w:hint="eastAsia" w:ascii="宋体" w:hAnsi="宋体" w:cs="宋体"/>
                <w:sz w:val="21"/>
                <w:vertAlign w:val="baseline"/>
                <w:lang w:val="en-US" w:eastAsia="zh-CN"/>
              </w:rPr>
              <w:t>2</w:t>
            </w:r>
          </w:p>
        </w:tc>
        <w:tc>
          <w:tcPr>
            <w:tcW w:w="2202" w:type="dxa"/>
          </w:tcPr>
          <w:p w14:paraId="3263B568">
            <w:pPr>
              <w:spacing w:line="312" w:lineRule="auto"/>
              <w:rPr>
                <w:rFonts w:hint="default" w:ascii="宋体" w:hAnsi="宋体" w:cs="宋体"/>
                <w:sz w:val="21"/>
                <w:vertAlign w:val="baseline"/>
                <w:lang w:val="en-US" w:eastAsia="zh-CN"/>
              </w:rPr>
            </w:pPr>
          </w:p>
        </w:tc>
        <w:tc>
          <w:tcPr>
            <w:tcW w:w="1553" w:type="dxa"/>
          </w:tcPr>
          <w:p w14:paraId="29B1C25F">
            <w:pPr>
              <w:spacing w:line="312" w:lineRule="auto"/>
              <w:rPr>
                <w:rFonts w:hint="default" w:ascii="宋体" w:hAnsi="宋体" w:cs="宋体"/>
                <w:sz w:val="21"/>
                <w:vertAlign w:val="baseline"/>
                <w:lang w:val="en-US" w:eastAsia="zh-CN"/>
              </w:rPr>
            </w:pPr>
          </w:p>
        </w:tc>
        <w:tc>
          <w:tcPr>
            <w:tcW w:w="1553" w:type="dxa"/>
          </w:tcPr>
          <w:p w14:paraId="4703285C">
            <w:pPr>
              <w:spacing w:line="312" w:lineRule="auto"/>
              <w:rPr>
                <w:rFonts w:hint="default" w:ascii="宋体" w:hAnsi="宋体" w:cs="宋体"/>
                <w:sz w:val="21"/>
                <w:vertAlign w:val="baseline"/>
                <w:lang w:val="en-US" w:eastAsia="zh-CN"/>
              </w:rPr>
            </w:pPr>
          </w:p>
        </w:tc>
        <w:tc>
          <w:tcPr>
            <w:tcW w:w="1553" w:type="dxa"/>
          </w:tcPr>
          <w:p w14:paraId="2907CFB6">
            <w:pPr>
              <w:spacing w:line="312" w:lineRule="auto"/>
              <w:rPr>
                <w:rFonts w:hint="default" w:ascii="宋体" w:hAnsi="宋体" w:cs="宋体"/>
                <w:sz w:val="21"/>
                <w:vertAlign w:val="baseline"/>
                <w:lang w:val="en-US" w:eastAsia="zh-CN"/>
              </w:rPr>
            </w:pPr>
          </w:p>
        </w:tc>
        <w:tc>
          <w:tcPr>
            <w:tcW w:w="1553" w:type="dxa"/>
          </w:tcPr>
          <w:p w14:paraId="484C0BB2">
            <w:pPr>
              <w:spacing w:line="312" w:lineRule="auto"/>
              <w:rPr>
                <w:rFonts w:hint="default" w:ascii="宋体" w:hAnsi="宋体" w:cs="宋体"/>
                <w:sz w:val="21"/>
                <w:vertAlign w:val="baseline"/>
                <w:lang w:val="en-US" w:eastAsia="zh-CN"/>
              </w:rPr>
            </w:pPr>
          </w:p>
        </w:tc>
      </w:tr>
      <w:tr w14:paraId="059E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3" w:type="dxa"/>
          </w:tcPr>
          <w:p w14:paraId="1BD42A92">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3</w:t>
            </w:r>
          </w:p>
        </w:tc>
        <w:tc>
          <w:tcPr>
            <w:tcW w:w="2202" w:type="dxa"/>
          </w:tcPr>
          <w:p w14:paraId="3CED97DF">
            <w:pPr>
              <w:spacing w:line="312" w:lineRule="auto"/>
              <w:rPr>
                <w:rFonts w:hint="default" w:ascii="宋体" w:hAnsi="宋体" w:cs="宋体"/>
                <w:b w:val="0"/>
                <w:bCs w:val="0"/>
                <w:sz w:val="21"/>
                <w:vertAlign w:val="baseline"/>
                <w:lang w:val="en-US" w:eastAsia="zh-CN"/>
              </w:rPr>
            </w:pPr>
            <w:r>
              <w:rPr>
                <w:rFonts w:hint="eastAsia" w:ascii="宋体" w:hAnsi="宋体" w:cs="宋体"/>
                <w:b w:val="0"/>
                <w:bCs w:val="0"/>
                <w:sz w:val="21"/>
                <w:vertAlign w:val="baseline"/>
                <w:lang w:val="en-US" w:eastAsia="zh-CN"/>
              </w:rPr>
              <w:t>...</w:t>
            </w:r>
          </w:p>
        </w:tc>
        <w:tc>
          <w:tcPr>
            <w:tcW w:w="1553" w:type="dxa"/>
          </w:tcPr>
          <w:p w14:paraId="6C57445B">
            <w:pPr>
              <w:spacing w:line="312" w:lineRule="auto"/>
              <w:rPr>
                <w:rFonts w:hint="default" w:ascii="宋体" w:hAnsi="宋体" w:cs="宋体"/>
                <w:b w:val="0"/>
                <w:bCs w:val="0"/>
                <w:sz w:val="21"/>
                <w:vertAlign w:val="baseline"/>
                <w:lang w:val="en-US" w:eastAsia="zh-CN"/>
              </w:rPr>
            </w:pPr>
          </w:p>
        </w:tc>
        <w:tc>
          <w:tcPr>
            <w:tcW w:w="1553" w:type="dxa"/>
          </w:tcPr>
          <w:p w14:paraId="7E68327C">
            <w:pPr>
              <w:spacing w:line="312" w:lineRule="auto"/>
              <w:rPr>
                <w:rFonts w:hint="default" w:ascii="宋体" w:hAnsi="宋体" w:cs="宋体"/>
                <w:b w:val="0"/>
                <w:bCs w:val="0"/>
                <w:sz w:val="21"/>
                <w:vertAlign w:val="baseline"/>
                <w:lang w:val="en-US" w:eastAsia="zh-CN"/>
              </w:rPr>
            </w:pPr>
          </w:p>
        </w:tc>
        <w:tc>
          <w:tcPr>
            <w:tcW w:w="1553" w:type="dxa"/>
          </w:tcPr>
          <w:p w14:paraId="32EC1312">
            <w:pPr>
              <w:spacing w:line="312" w:lineRule="auto"/>
              <w:rPr>
                <w:rFonts w:hint="default" w:ascii="宋体" w:hAnsi="宋体" w:cs="宋体"/>
                <w:sz w:val="21"/>
                <w:vertAlign w:val="baseline"/>
                <w:lang w:val="en-US" w:eastAsia="zh-CN"/>
              </w:rPr>
            </w:pPr>
          </w:p>
        </w:tc>
        <w:tc>
          <w:tcPr>
            <w:tcW w:w="1553" w:type="dxa"/>
          </w:tcPr>
          <w:p w14:paraId="413E0A50">
            <w:pPr>
              <w:spacing w:line="312" w:lineRule="auto"/>
              <w:rPr>
                <w:rFonts w:hint="default" w:ascii="宋体" w:hAnsi="宋体" w:cs="宋体"/>
                <w:sz w:val="21"/>
                <w:vertAlign w:val="baseline"/>
                <w:lang w:val="en-US" w:eastAsia="zh-CN"/>
              </w:rPr>
            </w:pPr>
          </w:p>
        </w:tc>
      </w:tr>
      <w:tr w14:paraId="756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11" w:type="dxa"/>
            <w:gridSpan w:val="4"/>
          </w:tcPr>
          <w:p w14:paraId="4C51F7C6">
            <w:pPr>
              <w:keepNext w:val="0"/>
              <w:keepLines w:val="0"/>
              <w:widowControl/>
              <w:suppressLineNumbers w:val="0"/>
              <w:jc w:val="left"/>
              <w:rPr>
                <w:rFonts w:hint="default" w:ascii="宋体" w:hAnsi="宋体" w:cs="宋体"/>
                <w:b w:val="0"/>
                <w:bCs w:val="0"/>
                <w:sz w:val="21"/>
                <w:vertAlign w:val="baseline"/>
                <w:lang w:val="en-US" w:eastAsia="zh-CN"/>
              </w:rPr>
            </w:pPr>
            <w:r>
              <w:rPr>
                <w:rFonts w:hint="eastAsia" w:ascii="宋体" w:hAnsi="宋体" w:eastAsia="宋体" w:cs="宋体"/>
                <w:b w:val="0"/>
                <w:bCs w:val="0"/>
                <w:color w:val="000000"/>
                <w:kern w:val="0"/>
                <w:sz w:val="24"/>
                <w:szCs w:val="24"/>
                <w:lang w:val="en-US" w:eastAsia="zh-CN" w:bidi="ar"/>
              </w:rPr>
              <w:t>总价（元）</w:t>
            </w:r>
          </w:p>
        </w:tc>
        <w:tc>
          <w:tcPr>
            <w:tcW w:w="1553" w:type="dxa"/>
          </w:tcPr>
          <w:p w14:paraId="491BBBA9">
            <w:pPr>
              <w:spacing w:line="312" w:lineRule="auto"/>
              <w:rPr>
                <w:rFonts w:hint="default" w:ascii="宋体" w:hAnsi="宋体" w:cs="宋体"/>
                <w:sz w:val="21"/>
                <w:vertAlign w:val="baseline"/>
                <w:lang w:val="en-US" w:eastAsia="zh-CN"/>
              </w:rPr>
            </w:pPr>
          </w:p>
        </w:tc>
        <w:tc>
          <w:tcPr>
            <w:tcW w:w="1553" w:type="dxa"/>
          </w:tcPr>
          <w:p w14:paraId="4A270F8D">
            <w:pPr>
              <w:spacing w:line="312" w:lineRule="auto"/>
              <w:rPr>
                <w:rFonts w:hint="default" w:ascii="宋体" w:hAnsi="宋体" w:cs="宋体"/>
                <w:sz w:val="21"/>
                <w:vertAlign w:val="baseline"/>
                <w:lang w:val="en-US" w:eastAsia="zh-CN"/>
              </w:rPr>
            </w:pPr>
          </w:p>
        </w:tc>
      </w:tr>
    </w:tbl>
    <w:p w14:paraId="6D929EA8">
      <w:pPr>
        <w:keepNext w:val="0"/>
        <w:keepLines w:val="0"/>
        <w:widowControl/>
        <w:suppressLineNumbers w:val="0"/>
        <w:spacing w:line="24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注：</w:t>
      </w:r>
    </w:p>
    <w:p w14:paraId="20C4D1B3">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1.本表应按包分别填写。</w:t>
      </w:r>
    </w:p>
    <w:p w14:paraId="3E5FD9EE">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2.如果不提供分项报价将视为没有实质性响应招标文件。</w:t>
      </w:r>
    </w:p>
    <w:p w14:paraId="22A098E6">
      <w:pPr>
        <w:keepNext w:val="0"/>
        <w:keepLines w:val="0"/>
        <w:widowControl/>
        <w:suppressLineNumbers w:val="0"/>
        <w:spacing w:line="240" w:lineRule="auto"/>
        <w:jc w:val="left"/>
        <w:rPr>
          <w:rFonts w:hint="eastAsia" w:ascii="宋体" w:hAnsi="宋体" w:eastAsia="宋体" w:cs="宋体"/>
          <w:sz w:val="20"/>
          <w:szCs w:val="22"/>
        </w:rPr>
      </w:pPr>
      <w:r>
        <w:rPr>
          <w:rFonts w:hint="eastAsia" w:ascii="宋体" w:hAnsi="宋体" w:eastAsia="宋体" w:cs="宋体"/>
          <w:color w:val="000000"/>
          <w:kern w:val="0"/>
          <w:sz w:val="22"/>
          <w:szCs w:val="22"/>
          <w:lang w:val="en-US" w:eastAsia="zh-CN" w:bidi="ar"/>
        </w:rPr>
        <w:t>3.上述各项的详细规格（如有），可另页描述。</w:t>
      </w:r>
    </w:p>
    <w:p w14:paraId="2A86DF74">
      <w:pPr>
        <w:keepNext w:val="0"/>
        <w:keepLines w:val="0"/>
        <w:widowControl/>
        <w:suppressLineNumbers w:val="0"/>
        <w:spacing w:line="240" w:lineRule="auto"/>
        <w:jc w:val="left"/>
        <w:rPr>
          <w:rFonts w:hint="default" w:ascii="宋体" w:hAnsi="宋体" w:cs="宋体"/>
          <w:sz w:val="20"/>
          <w:szCs w:val="22"/>
          <w:lang w:val="en-US" w:eastAsia="zh-CN"/>
        </w:rPr>
      </w:pPr>
      <w:r>
        <w:rPr>
          <w:rFonts w:hint="eastAsia" w:ascii="宋体" w:hAnsi="宋体" w:eastAsia="宋体" w:cs="宋体"/>
          <w:color w:val="000000"/>
          <w:kern w:val="0"/>
          <w:sz w:val="22"/>
          <w:szCs w:val="22"/>
          <w:lang w:val="en-US" w:eastAsia="zh-CN" w:bidi="ar"/>
        </w:rPr>
        <w:t>4.制造商规模列应填写૿“中型”、૿“小型”、“微型”或“其他”，且不应与《中小企业声明函》或《拟分包情况说明》中内容矛盾。</w:t>
      </w:r>
    </w:p>
    <w:p w14:paraId="738B32DF">
      <w:pPr>
        <w:pStyle w:val="18"/>
        <w:spacing w:before="103" w:line="240" w:lineRule="auto"/>
        <w:ind w:left="37"/>
        <w:rPr>
          <w:rFonts w:hint="eastAsia" w:ascii="宋体" w:hAnsi="宋体" w:eastAsia="宋体" w:cs="宋体"/>
          <w:sz w:val="22"/>
          <w:szCs w:val="22"/>
        </w:rPr>
      </w:pPr>
    </w:p>
    <w:p w14:paraId="31A83CF5">
      <w:pPr>
        <w:pStyle w:val="18"/>
        <w:spacing w:before="103" w:line="240" w:lineRule="auto"/>
        <w:ind w:left="37"/>
        <w:rPr>
          <w:rFonts w:hint="eastAsia" w:ascii="宋体" w:hAnsi="宋体" w:eastAsia="宋体" w:cs="宋体"/>
          <w:sz w:val="22"/>
          <w:szCs w:val="22"/>
          <w:lang w:eastAsia="zh-CN"/>
        </w:rPr>
      </w:pPr>
      <w:r>
        <w:rPr>
          <w:rFonts w:hint="eastAsia" w:ascii="宋体" w:hAnsi="宋体" w:eastAsia="宋体" w:cs="宋体"/>
          <w:spacing w:val="-1"/>
          <w:sz w:val="22"/>
          <w:szCs w:val="22"/>
        </w:rPr>
        <w:t>投标人名称（加盖公章</w:t>
      </w:r>
      <w:r>
        <w:rPr>
          <w:rFonts w:hint="eastAsia" w:ascii="宋体" w:hAnsi="宋体" w:eastAsia="宋体" w:cs="宋体"/>
          <w:spacing w:val="-60"/>
          <w:sz w:val="22"/>
          <w:szCs w:val="22"/>
        </w:rPr>
        <w:t>）：</w:t>
      </w:r>
      <w:r>
        <w:rPr>
          <w:rFonts w:hint="eastAsia" w:ascii="宋体" w:hAnsi="宋体" w:eastAsia="宋体" w:cs="宋体"/>
          <w:spacing w:val="-3"/>
          <w:sz w:val="22"/>
          <w:szCs w:val="22"/>
          <w:u w:val="single"/>
          <w:lang w:val="en-US" w:eastAsia="zh-CN"/>
        </w:rPr>
        <w:t xml:space="preserve">                   </w:t>
      </w:r>
    </w:p>
    <w:p w14:paraId="68A89CCA">
      <w:pPr>
        <w:pStyle w:val="18"/>
        <w:spacing w:before="212" w:line="240" w:lineRule="auto"/>
        <w:ind w:left="88"/>
        <w:rPr>
          <w:rFonts w:hint="eastAsia" w:ascii="宋体" w:hAnsi="宋体" w:eastAsia="宋体" w:cs="宋体"/>
          <w:sz w:val="22"/>
          <w:szCs w:val="22"/>
        </w:rPr>
      </w:pPr>
      <w:r>
        <w:rPr>
          <w:rFonts w:hint="eastAsia" w:ascii="宋体" w:hAnsi="宋体" w:eastAsia="宋体" w:cs="宋体"/>
          <w:spacing w:val="-13"/>
          <w:sz w:val="22"/>
          <w:szCs w:val="22"/>
        </w:rPr>
        <w:t>日期：</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年</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月</w:t>
      </w:r>
      <w:r>
        <w:rPr>
          <w:rFonts w:hint="eastAsia" w:ascii="宋体" w:hAnsi="宋体" w:eastAsia="宋体" w:cs="宋体"/>
          <w:spacing w:val="-3"/>
          <w:sz w:val="22"/>
          <w:szCs w:val="22"/>
          <w:u w:val="single"/>
          <w:lang w:val="en-US" w:eastAsia="zh-CN"/>
        </w:rPr>
        <w:t xml:space="preserve">         </w:t>
      </w:r>
      <w:r>
        <w:rPr>
          <w:rFonts w:hint="eastAsia" w:ascii="宋体" w:hAnsi="宋体" w:eastAsia="宋体" w:cs="宋体"/>
          <w:spacing w:val="-13"/>
          <w:sz w:val="22"/>
          <w:szCs w:val="22"/>
        </w:rPr>
        <w:t>日</w:t>
      </w:r>
    </w:p>
    <w:p w14:paraId="101BBDD7">
      <w:pPr>
        <w:spacing w:line="240" w:lineRule="auto"/>
        <w:rPr>
          <w:rFonts w:hint="eastAsia" w:ascii="宋体" w:hAnsi="宋体" w:eastAsia="宋体" w:cs="宋体"/>
          <w:sz w:val="22"/>
          <w:szCs w:val="22"/>
        </w:rPr>
        <w:sectPr>
          <w:headerReference r:id="rId48" w:type="default"/>
          <w:footerReference r:id="rId49" w:type="default"/>
          <w:pgSz w:w="11907" w:h="16840"/>
          <w:pgMar w:top="1149" w:right="1133" w:bottom="1060" w:left="1669" w:header="875" w:footer="886" w:gutter="0"/>
          <w:pgNumType w:fmt="decimal"/>
          <w:cols w:space="720" w:num="1"/>
        </w:sectPr>
      </w:pPr>
    </w:p>
    <w:p w14:paraId="347AAFAA">
      <w:pPr>
        <w:pStyle w:val="18"/>
        <w:spacing w:before="307" w:line="196" w:lineRule="auto"/>
        <w:ind w:left="131"/>
        <w:rPr>
          <w:rFonts w:hint="eastAsia" w:ascii="宋体" w:hAnsi="宋体" w:eastAsia="宋体" w:cs="宋体"/>
          <w:sz w:val="24"/>
          <w:szCs w:val="24"/>
        </w:rPr>
      </w:pPr>
      <w:r>
        <w:rPr>
          <w:rFonts w:hint="eastAsia" w:ascii="宋体" w:hAnsi="宋体" w:eastAsia="宋体" w:cs="宋体"/>
          <w:sz w:val="24"/>
          <w:szCs w:val="24"/>
        </w:rPr>
        <w:t>5合同条款偏离表（实质性格式）</w:t>
      </w:r>
    </w:p>
    <w:p w14:paraId="542C6497">
      <w:pPr>
        <w:spacing w:line="469" w:lineRule="auto"/>
        <w:rPr>
          <w:rFonts w:hint="eastAsia" w:ascii="宋体" w:hAnsi="宋体" w:eastAsia="宋体" w:cs="宋体"/>
          <w:sz w:val="21"/>
        </w:rPr>
      </w:pPr>
    </w:p>
    <w:p w14:paraId="7B50DD5D">
      <w:pPr>
        <w:pStyle w:val="18"/>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6662F0B6">
      <w:pPr>
        <w:spacing w:line="282" w:lineRule="auto"/>
        <w:rPr>
          <w:rFonts w:hint="eastAsia" w:ascii="宋体" w:hAnsi="宋体" w:eastAsia="宋体" w:cs="宋体"/>
          <w:sz w:val="21"/>
        </w:rPr>
      </w:pPr>
    </w:p>
    <w:p w14:paraId="56684E41">
      <w:pPr>
        <w:spacing w:line="283" w:lineRule="auto"/>
        <w:rPr>
          <w:rFonts w:hint="eastAsia" w:ascii="宋体" w:hAnsi="宋体" w:eastAsia="宋体" w:cs="宋体"/>
          <w:sz w:val="21"/>
        </w:rPr>
      </w:pPr>
    </w:p>
    <w:p w14:paraId="4388D23A">
      <w:pPr>
        <w:pStyle w:val="18"/>
        <w:spacing w:before="103" w:line="200" w:lineRule="auto"/>
        <w:ind w:left="478"/>
        <w:rPr>
          <w:rFonts w:hint="eastAsia" w:ascii="宋体" w:hAnsi="宋体" w:eastAsia="宋体" w:cs="宋体"/>
          <w:sz w:val="24"/>
          <w:szCs w:val="24"/>
          <w:lang w:eastAsia="zh-CN"/>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项目名称：</w:t>
      </w:r>
    </w:p>
    <w:p w14:paraId="07FD3643">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0219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58B5B0D3">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14:paraId="7B4F101C">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号（页码）</w:t>
            </w:r>
          </w:p>
        </w:tc>
        <w:tc>
          <w:tcPr>
            <w:tcW w:w="1675" w:type="dxa"/>
            <w:vAlign w:val="top"/>
          </w:tcPr>
          <w:p w14:paraId="037DD2A4">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14:paraId="5FB79BE2">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14:paraId="595ABDB9">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14:paraId="4C8A0358">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8FA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317BC4FE">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14:paraId="3AA247EB">
            <w:pPr>
              <w:pStyle w:val="270"/>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04769817">
            <w:pPr>
              <w:pStyle w:val="270"/>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中的所有要求，除本表列明的偏离外，均视作供应商已对之理解</w:t>
            </w:r>
            <w:r>
              <w:rPr>
                <w:rFonts w:hint="eastAsia" w:ascii="宋体" w:hAnsi="宋体" w:eastAsia="宋体" w:cs="宋体"/>
                <w:spacing w:val="-6"/>
                <w:sz w:val="24"/>
                <w:szCs w:val="24"/>
              </w:rPr>
              <w:t>和响应。）</w:t>
            </w:r>
          </w:p>
        </w:tc>
      </w:tr>
      <w:tr w14:paraId="01AA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0030FE3">
            <w:pPr>
              <w:pStyle w:val="270"/>
              <w:autoSpaceDE w:val="0"/>
              <w:autoSpaceDN w:val="0"/>
              <w:rPr>
                <w:rFonts w:hint="eastAsia" w:ascii="宋体" w:hAnsi="宋体" w:eastAsia="宋体" w:cs="宋体"/>
              </w:rPr>
            </w:pPr>
          </w:p>
        </w:tc>
        <w:tc>
          <w:tcPr>
            <w:tcW w:w="1772" w:type="dxa"/>
            <w:vAlign w:val="top"/>
          </w:tcPr>
          <w:p w14:paraId="6E4A645D">
            <w:pPr>
              <w:pStyle w:val="270"/>
              <w:autoSpaceDE w:val="0"/>
              <w:autoSpaceDN w:val="0"/>
              <w:rPr>
                <w:rFonts w:hint="eastAsia" w:ascii="宋体" w:hAnsi="宋体" w:eastAsia="宋体" w:cs="宋体"/>
              </w:rPr>
            </w:pPr>
          </w:p>
        </w:tc>
        <w:tc>
          <w:tcPr>
            <w:tcW w:w="1675" w:type="dxa"/>
            <w:vAlign w:val="top"/>
          </w:tcPr>
          <w:p w14:paraId="502C7BA3">
            <w:pPr>
              <w:pStyle w:val="270"/>
              <w:autoSpaceDE w:val="0"/>
              <w:autoSpaceDN w:val="0"/>
              <w:rPr>
                <w:rFonts w:hint="eastAsia" w:ascii="宋体" w:hAnsi="宋体" w:eastAsia="宋体" w:cs="宋体"/>
              </w:rPr>
            </w:pPr>
          </w:p>
        </w:tc>
        <w:tc>
          <w:tcPr>
            <w:tcW w:w="1675" w:type="dxa"/>
            <w:vAlign w:val="top"/>
          </w:tcPr>
          <w:p w14:paraId="3C497168">
            <w:pPr>
              <w:pStyle w:val="270"/>
              <w:autoSpaceDE w:val="0"/>
              <w:autoSpaceDN w:val="0"/>
              <w:rPr>
                <w:rFonts w:hint="eastAsia" w:ascii="宋体" w:hAnsi="宋体" w:eastAsia="宋体" w:cs="宋体"/>
              </w:rPr>
            </w:pPr>
          </w:p>
        </w:tc>
        <w:tc>
          <w:tcPr>
            <w:tcW w:w="1874" w:type="dxa"/>
            <w:vAlign w:val="top"/>
          </w:tcPr>
          <w:p w14:paraId="1FBE4B84">
            <w:pPr>
              <w:pStyle w:val="270"/>
              <w:autoSpaceDE w:val="0"/>
              <w:autoSpaceDN w:val="0"/>
              <w:rPr>
                <w:rFonts w:hint="eastAsia" w:ascii="宋体" w:hAnsi="宋体" w:eastAsia="宋体" w:cs="宋体"/>
              </w:rPr>
            </w:pPr>
          </w:p>
        </w:tc>
        <w:tc>
          <w:tcPr>
            <w:tcW w:w="1137" w:type="dxa"/>
            <w:vAlign w:val="top"/>
          </w:tcPr>
          <w:p w14:paraId="2729EAE2">
            <w:pPr>
              <w:pStyle w:val="270"/>
              <w:autoSpaceDE w:val="0"/>
              <w:autoSpaceDN w:val="0"/>
              <w:rPr>
                <w:rFonts w:hint="eastAsia" w:ascii="宋体" w:hAnsi="宋体" w:eastAsia="宋体" w:cs="宋体"/>
              </w:rPr>
            </w:pPr>
          </w:p>
        </w:tc>
      </w:tr>
      <w:tr w14:paraId="1364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90CD299">
            <w:pPr>
              <w:pStyle w:val="270"/>
              <w:autoSpaceDE w:val="0"/>
              <w:autoSpaceDN w:val="0"/>
              <w:rPr>
                <w:rFonts w:hint="eastAsia" w:ascii="宋体" w:hAnsi="宋体" w:eastAsia="宋体" w:cs="宋体"/>
              </w:rPr>
            </w:pPr>
          </w:p>
        </w:tc>
        <w:tc>
          <w:tcPr>
            <w:tcW w:w="1772" w:type="dxa"/>
            <w:vAlign w:val="top"/>
          </w:tcPr>
          <w:p w14:paraId="5EAF8D30">
            <w:pPr>
              <w:pStyle w:val="270"/>
              <w:autoSpaceDE w:val="0"/>
              <w:autoSpaceDN w:val="0"/>
              <w:rPr>
                <w:rFonts w:hint="eastAsia" w:ascii="宋体" w:hAnsi="宋体" w:eastAsia="宋体" w:cs="宋体"/>
              </w:rPr>
            </w:pPr>
          </w:p>
        </w:tc>
        <w:tc>
          <w:tcPr>
            <w:tcW w:w="1675" w:type="dxa"/>
            <w:vAlign w:val="top"/>
          </w:tcPr>
          <w:p w14:paraId="214BDA93">
            <w:pPr>
              <w:pStyle w:val="270"/>
              <w:autoSpaceDE w:val="0"/>
              <w:autoSpaceDN w:val="0"/>
              <w:rPr>
                <w:rFonts w:hint="eastAsia" w:ascii="宋体" w:hAnsi="宋体" w:eastAsia="宋体" w:cs="宋体"/>
              </w:rPr>
            </w:pPr>
          </w:p>
        </w:tc>
        <w:tc>
          <w:tcPr>
            <w:tcW w:w="1675" w:type="dxa"/>
            <w:vAlign w:val="top"/>
          </w:tcPr>
          <w:p w14:paraId="2A3D9866">
            <w:pPr>
              <w:pStyle w:val="270"/>
              <w:autoSpaceDE w:val="0"/>
              <w:autoSpaceDN w:val="0"/>
              <w:rPr>
                <w:rFonts w:hint="eastAsia" w:ascii="宋体" w:hAnsi="宋体" w:eastAsia="宋体" w:cs="宋体"/>
              </w:rPr>
            </w:pPr>
          </w:p>
        </w:tc>
        <w:tc>
          <w:tcPr>
            <w:tcW w:w="1874" w:type="dxa"/>
            <w:vAlign w:val="top"/>
          </w:tcPr>
          <w:p w14:paraId="6907770C">
            <w:pPr>
              <w:pStyle w:val="270"/>
              <w:autoSpaceDE w:val="0"/>
              <w:autoSpaceDN w:val="0"/>
              <w:rPr>
                <w:rFonts w:hint="eastAsia" w:ascii="宋体" w:hAnsi="宋体" w:eastAsia="宋体" w:cs="宋体"/>
              </w:rPr>
            </w:pPr>
          </w:p>
        </w:tc>
        <w:tc>
          <w:tcPr>
            <w:tcW w:w="1137" w:type="dxa"/>
            <w:vAlign w:val="top"/>
          </w:tcPr>
          <w:p w14:paraId="56C9EB6D">
            <w:pPr>
              <w:pStyle w:val="270"/>
              <w:autoSpaceDE w:val="0"/>
              <w:autoSpaceDN w:val="0"/>
              <w:rPr>
                <w:rFonts w:hint="eastAsia" w:ascii="宋体" w:hAnsi="宋体" w:eastAsia="宋体" w:cs="宋体"/>
              </w:rPr>
            </w:pPr>
          </w:p>
        </w:tc>
      </w:tr>
      <w:tr w14:paraId="2B84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E62EF89">
            <w:pPr>
              <w:pStyle w:val="270"/>
              <w:autoSpaceDE w:val="0"/>
              <w:autoSpaceDN w:val="0"/>
              <w:rPr>
                <w:rFonts w:hint="eastAsia" w:ascii="宋体" w:hAnsi="宋体" w:eastAsia="宋体" w:cs="宋体"/>
              </w:rPr>
            </w:pPr>
          </w:p>
        </w:tc>
        <w:tc>
          <w:tcPr>
            <w:tcW w:w="1772" w:type="dxa"/>
            <w:vAlign w:val="top"/>
          </w:tcPr>
          <w:p w14:paraId="35650994">
            <w:pPr>
              <w:pStyle w:val="270"/>
              <w:autoSpaceDE w:val="0"/>
              <w:autoSpaceDN w:val="0"/>
              <w:rPr>
                <w:rFonts w:hint="eastAsia" w:ascii="宋体" w:hAnsi="宋体" w:eastAsia="宋体" w:cs="宋体"/>
              </w:rPr>
            </w:pPr>
          </w:p>
        </w:tc>
        <w:tc>
          <w:tcPr>
            <w:tcW w:w="1675" w:type="dxa"/>
            <w:vAlign w:val="top"/>
          </w:tcPr>
          <w:p w14:paraId="57BD8857">
            <w:pPr>
              <w:pStyle w:val="270"/>
              <w:autoSpaceDE w:val="0"/>
              <w:autoSpaceDN w:val="0"/>
              <w:rPr>
                <w:rFonts w:hint="eastAsia" w:ascii="宋体" w:hAnsi="宋体" w:eastAsia="宋体" w:cs="宋体"/>
              </w:rPr>
            </w:pPr>
          </w:p>
        </w:tc>
        <w:tc>
          <w:tcPr>
            <w:tcW w:w="1675" w:type="dxa"/>
            <w:vAlign w:val="top"/>
          </w:tcPr>
          <w:p w14:paraId="6C545476">
            <w:pPr>
              <w:pStyle w:val="270"/>
              <w:autoSpaceDE w:val="0"/>
              <w:autoSpaceDN w:val="0"/>
              <w:rPr>
                <w:rFonts w:hint="eastAsia" w:ascii="宋体" w:hAnsi="宋体" w:eastAsia="宋体" w:cs="宋体"/>
              </w:rPr>
            </w:pPr>
          </w:p>
        </w:tc>
        <w:tc>
          <w:tcPr>
            <w:tcW w:w="1874" w:type="dxa"/>
            <w:vAlign w:val="top"/>
          </w:tcPr>
          <w:p w14:paraId="28572BA2">
            <w:pPr>
              <w:pStyle w:val="270"/>
              <w:autoSpaceDE w:val="0"/>
              <w:autoSpaceDN w:val="0"/>
              <w:rPr>
                <w:rFonts w:hint="eastAsia" w:ascii="宋体" w:hAnsi="宋体" w:eastAsia="宋体" w:cs="宋体"/>
              </w:rPr>
            </w:pPr>
          </w:p>
        </w:tc>
        <w:tc>
          <w:tcPr>
            <w:tcW w:w="1137" w:type="dxa"/>
            <w:vAlign w:val="top"/>
          </w:tcPr>
          <w:p w14:paraId="43966270">
            <w:pPr>
              <w:pStyle w:val="270"/>
              <w:autoSpaceDE w:val="0"/>
              <w:autoSpaceDN w:val="0"/>
              <w:rPr>
                <w:rFonts w:hint="eastAsia" w:ascii="宋体" w:hAnsi="宋体" w:eastAsia="宋体" w:cs="宋体"/>
              </w:rPr>
            </w:pPr>
          </w:p>
        </w:tc>
      </w:tr>
      <w:tr w14:paraId="128AC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B9538A8">
            <w:pPr>
              <w:pStyle w:val="270"/>
              <w:autoSpaceDE w:val="0"/>
              <w:autoSpaceDN w:val="0"/>
              <w:rPr>
                <w:rFonts w:hint="eastAsia" w:ascii="宋体" w:hAnsi="宋体" w:eastAsia="宋体" w:cs="宋体"/>
              </w:rPr>
            </w:pPr>
          </w:p>
        </w:tc>
        <w:tc>
          <w:tcPr>
            <w:tcW w:w="1772" w:type="dxa"/>
            <w:vAlign w:val="top"/>
          </w:tcPr>
          <w:p w14:paraId="7ECB7F7E">
            <w:pPr>
              <w:pStyle w:val="270"/>
              <w:autoSpaceDE w:val="0"/>
              <w:autoSpaceDN w:val="0"/>
              <w:rPr>
                <w:rFonts w:hint="eastAsia" w:ascii="宋体" w:hAnsi="宋体" w:eastAsia="宋体" w:cs="宋体"/>
              </w:rPr>
            </w:pPr>
          </w:p>
        </w:tc>
        <w:tc>
          <w:tcPr>
            <w:tcW w:w="1675" w:type="dxa"/>
            <w:vAlign w:val="top"/>
          </w:tcPr>
          <w:p w14:paraId="57AD7B62">
            <w:pPr>
              <w:pStyle w:val="270"/>
              <w:autoSpaceDE w:val="0"/>
              <w:autoSpaceDN w:val="0"/>
              <w:rPr>
                <w:rFonts w:hint="eastAsia" w:ascii="宋体" w:hAnsi="宋体" w:eastAsia="宋体" w:cs="宋体"/>
              </w:rPr>
            </w:pPr>
          </w:p>
        </w:tc>
        <w:tc>
          <w:tcPr>
            <w:tcW w:w="1675" w:type="dxa"/>
            <w:vAlign w:val="top"/>
          </w:tcPr>
          <w:p w14:paraId="191BBD2F">
            <w:pPr>
              <w:pStyle w:val="270"/>
              <w:autoSpaceDE w:val="0"/>
              <w:autoSpaceDN w:val="0"/>
              <w:rPr>
                <w:rFonts w:hint="eastAsia" w:ascii="宋体" w:hAnsi="宋体" w:eastAsia="宋体" w:cs="宋体"/>
              </w:rPr>
            </w:pPr>
          </w:p>
        </w:tc>
        <w:tc>
          <w:tcPr>
            <w:tcW w:w="1874" w:type="dxa"/>
            <w:vAlign w:val="top"/>
          </w:tcPr>
          <w:p w14:paraId="021F2334">
            <w:pPr>
              <w:pStyle w:val="270"/>
              <w:autoSpaceDE w:val="0"/>
              <w:autoSpaceDN w:val="0"/>
              <w:rPr>
                <w:rFonts w:hint="eastAsia" w:ascii="宋体" w:hAnsi="宋体" w:eastAsia="宋体" w:cs="宋体"/>
              </w:rPr>
            </w:pPr>
          </w:p>
        </w:tc>
        <w:tc>
          <w:tcPr>
            <w:tcW w:w="1137" w:type="dxa"/>
            <w:vAlign w:val="top"/>
          </w:tcPr>
          <w:p w14:paraId="019B9764">
            <w:pPr>
              <w:pStyle w:val="270"/>
              <w:autoSpaceDE w:val="0"/>
              <w:autoSpaceDN w:val="0"/>
              <w:rPr>
                <w:rFonts w:hint="eastAsia" w:ascii="宋体" w:hAnsi="宋体" w:eastAsia="宋体" w:cs="宋体"/>
              </w:rPr>
            </w:pPr>
          </w:p>
        </w:tc>
      </w:tr>
    </w:tbl>
    <w:p w14:paraId="58A4C1B3">
      <w:pPr>
        <w:pStyle w:val="18"/>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注：“偏离情况”列应据实填写“正偏离”或“负偏离”。</w:t>
      </w:r>
    </w:p>
    <w:p w14:paraId="19E0235D">
      <w:pPr>
        <w:spacing w:line="261" w:lineRule="auto"/>
        <w:rPr>
          <w:rFonts w:hint="eastAsia" w:ascii="宋体" w:hAnsi="宋体" w:eastAsia="宋体" w:cs="宋体"/>
          <w:sz w:val="21"/>
        </w:rPr>
      </w:pPr>
    </w:p>
    <w:p w14:paraId="1EECF1BE">
      <w:pPr>
        <w:spacing w:line="261" w:lineRule="auto"/>
        <w:rPr>
          <w:rFonts w:hint="eastAsia" w:ascii="宋体" w:hAnsi="宋体" w:eastAsia="宋体" w:cs="宋体"/>
          <w:sz w:val="21"/>
        </w:rPr>
      </w:pPr>
    </w:p>
    <w:p w14:paraId="3635920E">
      <w:pPr>
        <w:spacing w:line="262" w:lineRule="auto"/>
        <w:rPr>
          <w:rFonts w:hint="eastAsia" w:ascii="宋体" w:hAnsi="宋体" w:eastAsia="宋体" w:cs="宋体"/>
          <w:sz w:val="21"/>
        </w:rPr>
      </w:pPr>
    </w:p>
    <w:p w14:paraId="3DD29AFB">
      <w:pPr>
        <w:pStyle w:val="18"/>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5881B91F">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1CE7D930">
      <w:pPr>
        <w:spacing w:line="200" w:lineRule="auto"/>
        <w:rPr>
          <w:rFonts w:hint="eastAsia" w:ascii="宋体" w:hAnsi="宋体" w:eastAsia="宋体" w:cs="宋体"/>
          <w:sz w:val="24"/>
          <w:szCs w:val="24"/>
        </w:rPr>
        <w:sectPr>
          <w:headerReference r:id="rId50" w:type="default"/>
          <w:footerReference r:id="rId51" w:type="default"/>
          <w:pgSz w:w="11907" w:h="16840"/>
          <w:pgMar w:top="1149" w:right="1133" w:bottom="1060" w:left="1669" w:header="875" w:footer="886" w:gutter="0"/>
          <w:pgNumType w:fmt="decimal"/>
          <w:cols w:space="720" w:num="1"/>
        </w:sectPr>
      </w:pPr>
    </w:p>
    <w:p w14:paraId="0B726333">
      <w:pPr>
        <w:pStyle w:val="18"/>
        <w:spacing w:before="307" w:line="196" w:lineRule="auto"/>
        <w:ind w:left="312"/>
        <w:rPr>
          <w:rFonts w:hint="eastAsia" w:ascii="宋体" w:hAnsi="宋体" w:eastAsia="宋体" w:cs="宋体"/>
          <w:sz w:val="24"/>
          <w:szCs w:val="24"/>
        </w:rPr>
      </w:pPr>
      <w:r>
        <w:rPr>
          <w:rFonts w:hint="eastAsia" w:ascii="宋体" w:hAnsi="宋体" w:eastAsia="宋体" w:cs="宋体"/>
          <w:sz w:val="24"/>
          <w:szCs w:val="24"/>
        </w:rPr>
        <w:t>6采购需求偏离表（实质性格式）</w:t>
      </w:r>
    </w:p>
    <w:p w14:paraId="15559E59">
      <w:pPr>
        <w:pStyle w:val="18"/>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65890168">
      <w:pPr>
        <w:pStyle w:val="18"/>
        <w:spacing w:before="251" w:line="200" w:lineRule="auto"/>
        <w:ind w:left="660"/>
        <w:rPr>
          <w:rFonts w:hint="eastAsia" w:ascii="宋体" w:hAnsi="宋体" w:eastAsia="宋体" w:cs="宋体"/>
          <w:sz w:val="24"/>
          <w:szCs w:val="24"/>
          <w:lang w:eastAsia="zh-CN"/>
        </w:rPr>
      </w:pPr>
      <w:r>
        <w:rPr>
          <w:rFonts w:hint="eastAsia" w:ascii="宋体" w:hAnsi="宋体" w:eastAsia="宋体" w:cs="宋体"/>
          <w:sz w:val="24"/>
          <w:szCs w:val="24"/>
        </w:rPr>
        <w:t>项目编号/包号：</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项目名称：</w:t>
      </w:r>
    </w:p>
    <w:p w14:paraId="22CD145D">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26098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571F0B56">
            <w:pPr>
              <w:pStyle w:val="270"/>
              <w:autoSpaceDE w:val="0"/>
              <w:autoSpaceDN w:val="0"/>
              <w:spacing w:line="292" w:lineRule="auto"/>
              <w:rPr>
                <w:rFonts w:hint="eastAsia" w:ascii="宋体" w:hAnsi="宋体" w:eastAsia="宋体" w:cs="宋体"/>
              </w:rPr>
            </w:pPr>
          </w:p>
          <w:p w14:paraId="65956532">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14:paraId="03E4836C">
            <w:pPr>
              <w:pStyle w:val="270"/>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pacing w:val="-4"/>
                <w:sz w:val="24"/>
                <w:szCs w:val="24"/>
              </w:rPr>
              <w:t>目号(页码)</w:t>
            </w:r>
          </w:p>
        </w:tc>
        <w:tc>
          <w:tcPr>
            <w:tcW w:w="2383" w:type="dxa"/>
            <w:vAlign w:val="top"/>
          </w:tcPr>
          <w:p w14:paraId="11910FD2">
            <w:pPr>
              <w:pStyle w:val="270"/>
              <w:autoSpaceDE w:val="0"/>
              <w:autoSpaceDN w:val="0"/>
              <w:spacing w:line="292" w:lineRule="auto"/>
              <w:rPr>
                <w:rFonts w:hint="eastAsia" w:ascii="宋体" w:hAnsi="宋体" w:eastAsia="宋体" w:cs="宋体"/>
              </w:rPr>
            </w:pPr>
          </w:p>
          <w:p w14:paraId="4EF8C25A">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14:paraId="7FF9EF69">
            <w:pPr>
              <w:pStyle w:val="270"/>
              <w:autoSpaceDE w:val="0"/>
              <w:autoSpaceDN w:val="0"/>
              <w:spacing w:line="292" w:lineRule="auto"/>
              <w:rPr>
                <w:rFonts w:hint="eastAsia" w:ascii="宋体" w:hAnsi="宋体" w:eastAsia="宋体" w:cs="宋体"/>
              </w:rPr>
            </w:pPr>
          </w:p>
          <w:p w14:paraId="78280779">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14:paraId="780979BE">
            <w:pPr>
              <w:pStyle w:val="270"/>
              <w:autoSpaceDE w:val="0"/>
              <w:autoSpaceDN w:val="0"/>
              <w:spacing w:line="292" w:lineRule="auto"/>
              <w:rPr>
                <w:rFonts w:hint="eastAsia" w:ascii="宋体" w:hAnsi="宋体" w:eastAsia="宋体" w:cs="宋体"/>
              </w:rPr>
            </w:pPr>
          </w:p>
          <w:p w14:paraId="6CB462C0">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14:paraId="1B67C4D5">
            <w:pPr>
              <w:pStyle w:val="270"/>
              <w:autoSpaceDE w:val="0"/>
              <w:autoSpaceDN w:val="0"/>
              <w:spacing w:line="292" w:lineRule="auto"/>
              <w:rPr>
                <w:rFonts w:hint="eastAsia" w:ascii="宋体" w:hAnsi="宋体" w:eastAsia="宋体" w:cs="宋体"/>
              </w:rPr>
            </w:pPr>
          </w:p>
          <w:p w14:paraId="5EA6FCF2">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14:paraId="35C9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DF20753">
            <w:pPr>
              <w:pStyle w:val="270"/>
              <w:autoSpaceDE w:val="0"/>
              <w:autoSpaceDN w:val="0"/>
              <w:rPr>
                <w:rFonts w:hint="eastAsia" w:ascii="宋体" w:hAnsi="宋体" w:eastAsia="宋体" w:cs="宋体"/>
              </w:rPr>
            </w:pPr>
          </w:p>
        </w:tc>
        <w:tc>
          <w:tcPr>
            <w:tcW w:w="1481" w:type="dxa"/>
            <w:vAlign w:val="top"/>
          </w:tcPr>
          <w:p w14:paraId="4919F8A3">
            <w:pPr>
              <w:pStyle w:val="270"/>
              <w:autoSpaceDE w:val="0"/>
              <w:autoSpaceDN w:val="0"/>
              <w:rPr>
                <w:rFonts w:hint="eastAsia" w:ascii="宋体" w:hAnsi="宋体" w:eastAsia="宋体" w:cs="宋体"/>
              </w:rPr>
            </w:pPr>
          </w:p>
        </w:tc>
        <w:tc>
          <w:tcPr>
            <w:tcW w:w="2383" w:type="dxa"/>
            <w:vAlign w:val="top"/>
          </w:tcPr>
          <w:p w14:paraId="3732AC7F">
            <w:pPr>
              <w:pStyle w:val="270"/>
              <w:autoSpaceDE w:val="0"/>
              <w:autoSpaceDN w:val="0"/>
              <w:rPr>
                <w:rFonts w:hint="eastAsia" w:ascii="宋体" w:hAnsi="宋体" w:eastAsia="宋体" w:cs="宋体"/>
              </w:rPr>
            </w:pPr>
          </w:p>
        </w:tc>
        <w:tc>
          <w:tcPr>
            <w:tcW w:w="2125" w:type="dxa"/>
            <w:vAlign w:val="top"/>
          </w:tcPr>
          <w:p w14:paraId="19F25063">
            <w:pPr>
              <w:pStyle w:val="270"/>
              <w:autoSpaceDE w:val="0"/>
              <w:autoSpaceDN w:val="0"/>
              <w:rPr>
                <w:rFonts w:hint="eastAsia" w:ascii="宋体" w:hAnsi="宋体" w:eastAsia="宋体" w:cs="宋体"/>
              </w:rPr>
            </w:pPr>
          </w:p>
        </w:tc>
        <w:tc>
          <w:tcPr>
            <w:tcW w:w="1874" w:type="dxa"/>
            <w:vAlign w:val="top"/>
          </w:tcPr>
          <w:p w14:paraId="2D034494">
            <w:pPr>
              <w:pStyle w:val="270"/>
              <w:autoSpaceDE w:val="0"/>
              <w:autoSpaceDN w:val="0"/>
              <w:rPr>
                <w:rFonts w:hint="eastAsia" w:ascii="宋体" w:hAnsi="宋体" w:eastAsia="宋体" w:cs="宋体"/>
              </w:rPr>
            </w:pPr>
          </w:p>
        </w:tc>
        <w:tc>
          <w:tcPr>
            <w:tcW w:w="1013" w:type="dxa"/>
            <w:vAlign w:val="top"/>
          </w:tcPr>
          <w:p w14:paraId="73CD4554">
            <w:pPr>
              <w:pStyle w:val="270"/>
              <w:autoSpaceDE w:val="0"/>
              <w:autoSpaceDN w:val="0"/>
              <w:rPr>
                <w:rFonts w:hint="eastAsia" w:ascii="宋体" w:hAnsi="宋体" w:eastAsia="宋体" w:cs="宋体"/>
              </w:rPr>
            </w:pPr>
          </w:p>
        </w:tc>
      </w:tr>
      <w:tr w14:paraId="63188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0A48B88">
            <w:pPr>
              <w:pStyle w:val="270"/>
              <w:autoSpaceDE w:val="0"/>
              <w:autoSpaceDN w:val="0"/>
              <w:rPr>
                <w:rFonts w:hint="eastAsia" w:ascii="宋体" w:hAnsi="宋体" w:eastAsia="宋体" w:cs="宋体"/>
              </w:rPr>
            </w:pPr>
          </w:p>
        </w:tc>
        <w:tc>
          <w:tcPr>
            <w:tcW w:w="1481" w:type="dxa"/>
            <w:vAlign w:val="top"/>
          </w:tcPr>
          <w:p w14:paraId="1CD96900">
            <w:pPr>
              <w:pStyle w:val="270"/>
              <w:autoSpaceDE w:val="0"/>
              <w:autoSpaceDN w:val="0"/>
              <w:rPr>
                <w:rFonts w:hint="eastAsia" w:ascii="宋体" w:hAnsi="宋体" w:eastAsia="宋体" w:cs="宋体"/>
              </w:rPr>
            </w:pPr>
          </w:p>
        </w:tc>
        <w:tc>
          <w:tcPr>
            <w:tcW w:w="2383" w:type="dxa"/>
            <w:vAlign w:val="top"/>
          </w:tcPr>
          <w:p w14:paraId="7E80F588">
            <w:pPr>
              <w:pStyle w:val="270"/>
              <w:autoSpaceDE w:val="0"/>
              <w:autoSpaceDN w:val="0"/>
              <w:rPr>
                <w:rFonts w:hint="eastAsia" w:ascii="宋体" w:hAnsi="宋体" w:eastAsia="宋体" w:cs="宋体"/>
              </w:rPr>
            </w:pPr>
          </w:p>
        </w:tc>
        <w:tc>
          <w:tcPr>
            <w:tcW w:w="2125" w:type="dxa"/>
            <w:vAlign w:val="top"/>
          </w:tcPr>
          <w:p w14:paraId="0085244E">
            <w:pPr>
              <w:pStyle w:val="270"/>
              <w:autoSpaceDE w:val="0"/>
              <w:autoSpaceDN w:val="0"/>
              <w:rPr>
                <w:rFonts w:hint="eastAsia" w:ascii="宋体" w:hAnsi="宋体" w:eastAsia="宋体" w:cs="宋体"/>
              </w:rPr>
            </w:pPr>
          </w:p>
        </w:tc>
        <w:tc>
          <w:tcPr>
            <w:tcW w:w="1874" w:type="dxa"/>
            <w:vAlign w:val="top"/>
          </w:tcPr>
          <w:p w14:paraId="27085863">
            <w:pPr>
              <w:pStyle w:val="270"/>
              <w:autoSpaceDE w:val="0"/>
              <w:autoSpaceDN w:val="0"/>
              <w:rPr>
                <w:rFonts w:hint="eastAsia" w:ascii="宋体" w:hAnsi="宋体" w:eastAsia="宋体" w:cs="宋体"/>
              </w:rPr>
            </w:pPr>
          </w:p>
        </w:tc>
        <w:tc>
          <w:tcPr>
            <w:tcW w:w="1013" w:type="dxa"/>
            <w:vAlign w:val="top"/>
          </w:tcPr>
          <w:p w14:paraId="446345FE">
            <w:pPr>
              <w:pStyle w:val="270"/>
              <w:autoSpaceDE w:val="0"/>
              <w:autoSpaceDN w:val="0"/>
              <w:rPr>
                <w:rFonts w:hint="eastAsia" w:ascii="宋体" w:hAnsi="宋体" w:eastAsia="宋体" w:cs="宋体"/>
              </w:rPr>
            </w:pPr>
          </w:p>
        </w:tc>
      </w:tr>
      <w:tr w14:paraId="622E4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7CD52C5E">
            <w:pPr>
              <w:pStyle w:val="270"/>
              <w:autoSpaceDE w:val="0"/>
              <w:autoSpaceDN w:val="0"/>
              <w:rPr>
                <w:rFonts w:hint="eastAsia" w:ascii="宋体" w:hAnsi="宋体" w:eastAsia="宋体" w:cs="宋体"/>
              </w:rPr>
            </w:pPr>
          </w:p>
        </w:tc>
        <w:tc>
          <w:tcPr>
            <w:tcW w:w="1481" w:type="dxa"/>
            <w:vAlign w:val="top"/>
          </w:tcPr>
          <w:p w14:paraId="15F95D4A">
            <w:pPr>
              <w:pStyle w:val="270"/>
              <w:autoSpaceDE w:val="0"/>
              <w:autoSpaceDN w:val="0"/>
              <w:rPr>
                <w:rFonts w:hint="eastAsia" w:ascii="宋体" w:hAnsi="宋体" w:eastAsia="宋体" w:cs="宋体"/>
              </w:rPr>
            </w:pPr>
          </w:p>
        </w:tc>
        <w:tc>
          <w:tcPr>
            <w:tcW w:w="2383" w:type="dxa"/>
            <w:vAlign w:val="top"/>
          </w:tcPr>
          <w:p w14:paraId="740226DC">
            <w:pPr>
              <w:pStyle w:val="270"/>
              <w:autoSpaceDE w:val="0"/>
              <w:autoSpaceDN w:val="0"/>
              <w:rPr>
                <w:rFonts w:hint="eastAsia" w:ascii="宋体" w:hAnsi="宋体" w:eastAsia="宋体" w:cs="宋体"/>
              </w:rPr>
            </w:pPr>
          </w:p>
        </w:tc>
        <w:tc>
          <w:tcPr>
            <w:tcW w:w="2125" w:type="dxa"/>
            <w:vAlign w:val="top"/>
          </w:tcPr>
          <w:p w14:paraId="1537A1AF">
            <w:pPr>
              <w:pStyle w:val="270"/>
              <w:autoSpaceDE w:val="0"/>
              <w:autoSpaceDN w:val="0"/>
              <w:rPr>
                <w:rFonts w:hint="eastAsia" w:ascii="宋体" w:hAnsi="宋体" w:eastAsia="宋体" w:cs="宋体"/>
              </w:rPr>
            </w:pPr>
          </w:p>
        </w:tc>
        <w:tc>
          <w:tcPr>
            <w:tcW w:w="1874" w:type="dxa"/>
            <w:vAlign w:val="top"/>
          </w:tcPr>
          <w:p w14:paraId="3AFCE760">
            <w:pPr>
              <w:pStyle w:val="270"/>
              <w:autoSpaceDE w:val="0"/>
              <w:autoSpaceDN w:val="0"/>
              <w:rPr>
                <w:rFonts w:hint="eastAsia" w:ascii="宋体" w:hAnsi="宋体" w:eastAsia="宋体" w:cs="宋体"/>
              </w:rPr>
            </w:pPr>
          </w:p>
        </w:tc>
        <w:tc>
          <w:tcPr>
            <w:tcW w:w="1013" w:type="dxa"/>
            <w:vAlign w:val="top"/>
          </w:tcPr>
          <w:p w14:paraId="6456D4C1">
            <w:pPr>
              <w:pStyle w:val="270"/>
              <w:autoSpaceDE w:val="0"/>
              <w:autoSpaceDN w:val="0"/>
              <w:rPr>
                <w:rFonts w:hint="eastAsia" w:ascii="宋体" w:hAnsi="宋体" w:eastAsia="宋体" w:cs="宋体"/>
              </w:rPr>
            </w:pPr>
          </w:p>
        </w:tc>
      </w:tr>
      <w:tr w14:paraId="1865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2765E214">
            <w:pPr>
              <w:pStyle w:val="270"/>
              <w:autoSpaceDE w:val="0"/>
              <w:autoSpaceDN w:val="0"/>
              <w:rPr>
                <w:rFonts w:hint="eastAsia" w:ascii="宋体" w:hAnsi="宋体" w:eastAsia="宋体" w:cs="宋体"/>
              </w:rPr>
            </w:pPr>
          </w:p>
        </w:tc>
        <w:tc>
          <w:tcPr>
            <w:tcW w:w="1481" w:type="dxa"/>
            <w:vAlign w:val="top"/>
          </w:tcPr>
          <w:p w14:paraId="4A26526B">
            <w:pPr>
              <w:pStyle w:val="270"/>
              <w:autoSpaceDE w:val="0"/>
              <w:autoSpaceDN w:val="0"/>
              <w:rPr>
                <w:rFonts w:hint="eastAsia" w:ascii="宋体" w:hAnsi="宋体" w:eastAsia="宋体" w:cs="宋体"/>
              </w:rPr>
            </w:pPr>
          </w:p>
        </w:tc>
        <w:tc>
          <w:tcPr>
            <w:tcW w:w="2383" w:type="dxa"/>
            <w:vAlign w:val="top"/>
          </w:tcPr>
          <w:p w14:paraId="74EEDCE8">
            <w:pPr>
              <w:pStyle w:val="270"/>
              <w:autoSpaceDE w:val="0"/>
              <w:autoSpaceDN w:val="0"/>
              <w:rPr>
                <w:rFonts w:hint="eastAsia" w:ascii="宋体" w:hAnsi="宋体" w:eastAsia="宋体" w:cs="宋体"/>
              </w:rPr>
            </w:pPr>
          </w:p>
        </w:tc>
        <w:tc>
          <w:tcPr>
            <w:tcW w:w="2125" w:type="dxa"/>
            <w:vAlign w:val="top"/>
          </w:tcPr>
          <w:p w14:paraId="3B66D34E">
            <w:pPr>
              <w:pStyle w:val="270"/>
              <w:autoSpaceDE w:val="0"/>
              <w:autoSpaceDN w:val="0"/>
              <w:rPr>
                <w:rFonts w:hint="eastAsia" w:ascii="宋体" w:hAnsi="宋体" w:eastAsia="宋体" w:cs="宋体"/>
              </w:rPr>
            </w:pPr>
          </w:p>
        </w:tc>
        <w:tc>
          <w:tcPr>
            <w:tcW w:w="1874" w:type="dxa"/>
            <w:vAlign w:val="top"/>
          </w:tcPr>
          <w:p w14:paraId="12F2AD6E">
            <w:pPr>
              <w:pStyle w:val="270"/>
              <w:autoSpaceDE w:val="0"/>
              <w:autoSpaceDN w:val="0"/>
              <w:rPr>
                <w:rFonts w:hint="eastAsia" w:ascii="宋体" w:hAnsi="宋体" w:eastAsia="宋体" w:cs="宋体"/>
              </w:rPr>
            </w:pPr>
          </w:p>
        </w:tc>
        <w:tc>
          <w:tcPr>
            <w:tcW w:w="1013" w:type="dxa"/>
            <w:vAlign w:val="top"/>
          </w:tcPr>
          <w:p w14:paraId="4D2E0CC9">
            <w:pPr>
              <w:pStyle w:val="270"/>
              <w:autoSpaceDE w:val="0"/>
              <w:autoSpaceDN w:val="0"/>
              <w:rPr>
                <w:rFonts w:hint="eastAsia" w:ascii="宋体" w:hAnsi="宋体" w:eastAsia="宋体" w:cs="宋体"/>
              </w:rPr>
            </w:pPr>
          </w:p>
        </w:tc>
      </w:tr>
      <w:tr w14:paraId="2575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6039AA82">
            <w:pPr>
              <w:pStyle w:val="270"/>
              <w:autoSpaceDE w:val="0"/>
              <w:autoSpaceDN w:val="0"/>
              <w:rPr>
                <w:rFonts w:hint="eastAsia" w:ascii="宋体" w:hAnsi="宋体" w:eastAsia="宋体" w:cs="宋体"/>
              </w:rPr>
            </w:pPr>
          </w:p>
        </w:tc>
        <w:tc>
          <w:tcPr>
            <w:tcW w:w="1481" w:type="dxa"/>
            <w:vAlign w:val="top"/>
          </w:tcPr>
          <w:p w14:paraId="6937945E">
            <w:pPr>
              <w:pStyle w:val="270"/>
              <w:autoSpaceDE w:val="0"/>
              <w:autoSpaceDN w:val="0"/>
              <w:rPr>
                <w:rFonts w:hint="eastAsia" w:ascii="宋体" w:hAnsi="宋体" w:eastAsia="宋体" w:cs="宋体"/>
              </w:rPr>
            </w:pPr>
          </w:p>
        </w:tc>
        <w:tc>
          <w:tcPr>
            <w:tcW w:w="2383" w:type="dxa"/>
            <w:vAlign w:val="top"/>
          </w:tcPr>
          <w:p w14:paraId="219546E2">
            <w:pPr>
              <w:pStyle w:val="270"/>
              <w:autoSpaceDE w:val="0"/>
              <w:autoSpaceDN w:val="0"/>
              <w:rPr>
                <w:rFonts w:hint="eastAsia" w:ascii="宋体" w:hAnsi="宋体" w:eastAsia="宋体" w:cs="宋体"/>
              </w:rPr>
            </w:pPr>
          </w:p>
        </w:tc>
        <w:tc>
          <w:tcPr>
            <w:tcW w:w="2125" w:type="dxa"/>
            <w:vAlign w:val="top"/>
          </w:tcPr>
          <w:p w14:paraId="0462E5CD">
            <w:pPr>
              <w:pStyle w:val="270"/>
              <w:autoSpaceDE w:val="0"/>
              <w:autoSpaceDN w:val="0"/>
              <w:rPr>
                <w:rFonts w:hint="eastAsia" w:ascii="宋体" w:hAnsi="宋体" w:eastAsia="宋体" w:cs="宋体"/>
              </w:rPr>
            </w:pPr>
          </w:p>
        </w:tc>
        <w:tc>
          <w:tcPr>
            <w:tcW w:w="1874" w:type="dxa"/>
            <w:vAlign w:val="top"/>
          </w:tcPr>
          <w:p w14:paraId="1D74F898">
            <w:pPr>
              <w:pStyle w:val="270"/>
              <w:autoSpaceDE w:val="0"/>
              <w:autoSpaceDN w:val="0"/>
              <w:rPr>
                <w:rFonts w:hint="eastAsia" w:ascii="宋体" w:hAnsi="宋体" w:eastAsia="宋体" w:cs="宋体"/>
              </w:rPr>
            </w:pPr>
          </w:p>
        </w:tc>
        <w:tc>
          <w:tcPr>
            <w:tcW w:w="1013" w:type="dxa"/>
            <w:vAlign w:val="top"/>
          </w:tcPr>
          <w:p w14:paraId="2A529226">
            <w:pPr>
              <w:pStyle w:val="270"/>
              <w:autoSpaceDE w:val="0"/>
              <w:autoSpaceDN w:val="0"/>
              <w:rPr>
                <w:rFonts w:hint="eastAsia" w:ascii="宋体" w:hAnsi="宋体" w:eastAsia="宋体" w:cs="宋体"/>
              </w:rPr>
            </w:pPr>
          </w:p>
        </w:tc>
      </w:tr>
      <w:tr w14:paraId="4C21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5786C8CB">
            <w:pPr>
              <w:pStyle w:val="270"/>
              <w:autoSpaceDE w:val="0"/>
              <w:autoSpaceDN w:val="0"/>
              <w:rPr>
                <w:rFonts w:hint="eastAsia" w:ascii="宋体" w:hAnsi="宋体" w:eastAsia="宋体" w:cs="宋体"/>
              </w:rPr>
            </w:pPr>
          </w:p>
        </w:tc>
        <w:tc>
          <w:tcPr>
            <w:tcW w:w="1481" w:type="dxa"/>
            <w:vAlign w:val="top"/>
          </w:tcPr>
          <w:p w14:paraId="40349CD8">
            <w:pPr>
              <w:pStyle w:val="270"/>
              <w:autoSpaceDE w:val="0"/>
              <w:autoSpaceDN w:val="0"/>
              <w:rPr>
                <w:rFonts w:hint="eastAsia" w:ascii="宋体" w:hAnsi="宋体" w:eastAsia="宋体" w:cs="宋体"/>
              </w:rPr>
            </w:pPr>
          </w:p>
        </w:tc>
        <w:tc>
          <w:tcPr>
            <w:tcW w:w="2383" w:type="dxa"/>
            <w:vAlign w:val="top"/>
          </w:tcPr>
          <w:p w14:paraId="4025A879">
            <w:pPr>
              <w:pStyle w:val="270"/>
              <w:autoSpaceDE w:val="0"/>
              <w:autoSpaceDN w:val="0"/>
              <w:rPr>
                <w:rFonts w:hint="eastAsia" w:ascii="宋体" w:hAnsi="宋体" w:eastAsia="宋体" w:cs="宋体"/>
              </w:rPr>
            </w:pPr>
          </w:p>
        </w:tc>
        <w:tc>
          <w:tcPr>
            <w:tcW w:w="2125" w:type="dxa"/>
            <w:vAlign w:val="top"/>
          </w:tcPr>
          <w:p w14:paraId="54DCE2B5">
            <w:pPr>
              <w:pStyle w:val="270"/>
              <w:autoSpaceDE w:val="0"/>
              <w:autoSpaceDN w:val="0"/>
              <w:rPr>
                <w:rFonts w:hint="eastAsia" w:ascii="宋体" w:hAnsi="宋体" w:eastAsia="宋体" w:cs="宋体"/>
              </w:rPr>
            </w:pPr>
          </w:p>
        </w:tc>
        <w:tc>
          <w:tcPr>
            <w:tcW w:w="1874" w:type="dxa"/>
            <w:vAlign w:val="top"/>
          </w:tcPr>
          <w:p w14:paraId="3D459042">
            <w:pPr>
              <w:pStyle w:val="270"/>
              <w:autoSpaceDE w:val="0"/>
              <w:autoSpaceDN w:val="0"/>
              <w:rPr>
                <w:rFonts w:hint="eastAsia" w:ascii="宋体" w:hAnsi="宋体" w:eastAsia="宋体" w:cs="宋体"/>
              </w:rPr>
            </w:pPr>
          </w:p>
        </w:tc>
        <w:tc>
          <w:tcPr>
            <w:tcW w:w="1013" w:type="dxa"/>
            <w:vAlign w:val="top"/>
          </w:tcPr>
          <w:p w14:paraId="5C0012F9">
            <w:pPr>
              <w:pStyle w:val="270"/>
              <w:autoSpaceDE w:val="0"/>
              <w:autoSpaceDN w:val="0"/>
              <w:rPr>
                <w:rFonts w:hint="eastAsia" w:ascii="宋体" w:hAnsi="宋体" w:eastAsia="宋体" w:cs="宋体"/>
              </w:rPr>
            </w:pPr>
          </w:p>
        </w:tc>
      </w:tr>
    </w:tbl>
    <w:p w14:paraId="578910EF">
      <w:pPr>
        <w:spacing w:line="256" w:lineRule="auto"/>
        <w:rPr>
          <w:rFonts w:hint="eastAsia" w:ascii="宋体" w:hAnsi="宋体" w:eastAsia="宋体" w:cs="宋体"/>
          <w:sz w:val="21"/>
        </w:rPr>
      </w:pPr>
    </w:p>
    <w:p w14:paraId="461D7F51">
      <w:pPr>
        <w:spacing w:line="256" w:lineRule="auto"/>
        <w:rPr>
          <w:rFonts w:hint="eastAsia" w:ascii="宋体" w:hAnsi="宋体" w:eastAsia="宋体" w:cs="宋体"/>
          <w:sz w:val="21"/>
        </w:rPr>
      </w:pPr>
    </w:p>
    <w:p w14:paraId="3580AAAD">
      <w:pPr>
        <w:spacing w:line="257" w:lineRule="auto"/>
        <w:rPr>
          <w:rFonts w:hint="eastAsia" w:ascii="宋体" w:hAnsi="宋体" w:eastAsia="宋体" w:cs="宋体"/>
          <w:sz w:val="21"/>
        </w:rPr>
      </w:pPr>
    </w:p>
    <w:p w14:paraId="17FF930B">
      <w:pPr>
        <w:pStyle w:val="18"/>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14:paraId="1B37D1A0">
      <w:pPr>
        <w:pStyle w:val="18"/>
        <w:spacing w:before="1" w:line="200" w:lineRule="auto"/>
        <w:ind w:left="321"/>
        <w:rPr>
          <w:rFonts w:hint="eastAsia" w:ascii="宋体" w:hAnsi="宋体" w:eastAsia="宋体" w:cs="宋体"/>
          <w:sz w:val="24"/>
          <w:szCs w:val="24"/>
        </w:rPr>
      </w:pPr>
      <w:r>
        <w:rPr>
          <w:rFonts w:hint="eastAsia" w:ascii="宋体" w:hAnsi="宋体" w:eastAsia="宋体" w:cs="宋体"/>
          <w:spacing w:val="-2"/>
          <w:sz w:val="24"/>
          <w:szCs w:val="24"/>
        </w:rPr>
        <w:t>1.对招标文件中的所有商务、技术要求，除本表所列明</w:t>
      </w:r>
      <w:r>
        <w:rPr>
          <w:rFonts w:hint="eastAsia" w:ascii="宋体" w:hAnsi="宋体" w:eastAsia="宋体" w:cs="宋体"/>
          <w:spacing w:val="-3"/>
          <w:sz w:val="24"/>
          <w:szCs w:val="24"/>
        </w:rPr>
        <w:t>的所有偏离外，均视作供应商</w:t>
      </w:r>
    </w:p>
    <w:p w14:paraId="73511B6B">
      <w:pPr>
        <w:pStyle w:val="18"/>
        <w:spacing w:before="3" w:line="202" w:lineRule="auto"/>
        <w:ind w:left="312" w:right="1472" w:firstLine="7"/>
        <w:rPr>
          <w:rFonts w:hint="eastAsia" w:ascii="宋体" w:hAnsi="宋体" w:eastAsia="宋体" w:cs="宋体"/>
          <w:sz w:val="24"/>
          <w:szCs w:val="24"/>
        </w:rPr>
      </w:pP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spacing w:val="6"/>
          <w:sz w:val="24"/>
          <w:szCs w:val="24"/>
        </w:rPr>
        <w:t>2.“偏离情况”列应据实填写“无偏离”、“正偏离”或“负偏离”。</w:t>
      </w:r>
    </w:p>
    <w:p w14:paraId="7780AE13">
      <w:pPr>
        <w:spacing w:line="299" w:lineRule="auto"/>
        <w:rPr>
          <w:rFonts w:hint="eastAsia" w:ascii="宋体" w:hAnsi="宋体" w:eastAsia="宋体" w:cs="宋体"/>
          <w:sz w:val="21"/>
        </w:rPr>
      </w:pPr>
    </w:p>
    <w:p w14:paraId="33A05D5C">
      <w:pPr>
        <w:spacing w:line="300" w:lineRule="auto"/>
        <w:rPr>
          <w:rFonts w:hint="eastAsia" w:ascii="宋体" w:hAnsi="宋体" w:eastAsia="宋体" w:cs="宋体"/>
          <w:sz w:val="21"/>
        </w:rPr>
      </w:pPr>
    </w:p>
    <w:p w14:paraId="26407DD6">
      <w:pPr>
        <w:spacing w:line="300" w:lineRule="auto"/>
        <w:rPr>
          <w:rFonts w:hint="eastAsia" w:ascii="宋体" w:hAnsi="宋体" w:eastAsia="宋体" w:cs="宋体"/>
          <w:sz w:val="21"/>
        </w:rPr>
      </w:pPr>
    </w:p>
    <w:p w14:paraId="7F035234">
      <w:pPr>
        <w:spacing w:line="300" w:lineRule="auto"/>
        <w:rPr>
          <w:rFonts w:hint="eastAsia" w:ascii="宋体" w:hAnsi="宋体" w:eastAsia="宋体" w:cs="宋体"/>
          <w:sz w:val="21"/>
        </w:rPr>
      </w:pPr>
    </w:p>
    <w:p w14:paraId="16F6C4FB">
      <w:pPr>
        <w:pStyle w:val="18"/>
        <w:spacing w:before="103" w:line="196"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pacing w:val="-3"/>
          <w:sz w:val="24"/>
          <w:szCs w:val="24"/>
          <w:u w:val="single"/>
          <w:lang w:val="en-US" w:eastAsia="zh-CN"/>
        </w:rPr>
        <w:t xml:space="preserve">                   </w:t>
      </w:r>
    </w:p>
    <w:p w14:paraId="32D61BF6">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13"/>
          <w:sz w:val="24"/>
          <w:szCs w:val="24"/>
        </w:rPr>
        <w:t>日</w:t>
      </w:r>
    </w:p>
    <w:p w14:paraId="746EAB75">
      <w:pPr>
        <w:spacing w:line="200" w:lineRule="auto"/>
        <w:rPr>
          <w:rFonts w:hint="eastAsia" w:ascii="宋体" w:hAnsi="宋体" w:eastAsia="宋体" w:cs="宋体"/>
          <w:sz w:val="24"/>
          <w:szCs w:val="24"/>
        </w:rPr>
        <w:sectPr>
          <w:headerReference r:id="rId52" w:type="default"/>
          <w:footerReference r:id="rId53" w:type="default"/>
          <w:pgSz w:w="11907" w:h="16840"/>
          <w:pgMar w:top="1149" w:right="1133" w:bottom="1060" w:left="1669" w:header="875" w:footer="886" w:gutter="0"/>
          <w:pgNumType w:fmt="decimal"/>
          <w:cols w:space="720" w:num="1"/>
        </w:sectPr>
      </w:pPr>
    </w:p>
    <w:p w14:paraId="454A7A76">
      <w:pPr>
        <w:pStyle w:val="18"/>
        <w:spacing w:before="308" w:line="242" w:lineRule="auto"/>
        <w:ind w:left="128" w:right="2427" w:righ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招标文件要求提供或投标人认为应附的其他材料</w:t>
      </w:r>
    </w:p>
    <w:p w14:paraId="2618903A">
      <w:pPr>
        <w:pStyle w:val="18"/>
        <w:spacing w:before="308" w:line="242" w:lineRule="auto"/>
        <w:ind w:left="128" w:right="3784"/>
        <w:rPr>
          <w:rFonts w:hint="eastAsia" w:ascii="宋体" w:hAnsi="宋体" w:eastAsia="宋体" w:cs="宋体"/>
          <w:sz w:val="24"/>
          <w:szCs w:val="24"/>
        </w:rPr>
      </w:pPr>
      <w:r>
        <w:rPr>
          <w:rFonts w:hint="eastAsia" w:ascii="宋体" w:hAnsi="宋体" w:eastAsia="宋体" w:cs="宋体"/>
          <w:spacing w:val="1"/>
          <w:sz w:val="24"/>
          <w:szCs w:val="24"/>
        </w:rPr>
        <w:t>1供应商信息采集表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C955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49321BF4">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7515CAC7">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1F1D986A">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7CB3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0EBC646">
            <w:pPr>
              <w:pStyle w:val="270"/>
              <w:autoSpaceDE w:val="0"/>
              <w:autoSpaceDN w:val="0"/>
              <w:rPr>
                <w:rFonts w:hint="eastAsia" w:ascii="宋体" w:hAnsi="宋体" w:eastAsia="宋体" w:cs="宋体"/>
              </w:rPr>
            </w:pPr>
          </w:p>
        </w:tc>
        <w:tc>
          <w:tcPr>
            <w:tcW w:w="3095" w:type="dxa"/>
            <w:vAlign w:val="top"/>
          </w:tcPr>
          <w:p w14:paraId="0427B161">
            <w:pPr>
              <w:pStyle w:val="270"/>
              <w:autoSpaceDE w:val="0"/>
              <w:autoSpaceDN w:val="0"/>
              <w:rPr>
                <w:rFonts w:hint="eastAsia" w:ascii="宋体" w:hAnsi="宋体" w:eastAsia="宋体" w:cs="宋体"/>
              </w:rPr>
            </w:pPr>
          </w:p>
        </w:tc>
        <w:tc>
          <w:tcPr>
            <w:tcW w:w="3098" w:type="dxa"/>
            <w:vAlign w:val="top"/>
          </w:tcPr>
          <w:p w14:paraId="69F9ABA7">
            <w:pPr>
              <w:pStyle w:val="270"/>
              <w:autoSpaceDE w:val="0"/>
              <w:autoSpaceDN w:val="0"/>
              <w:rPr>
                <w:rFonts w:hint="eastAsia" w:ascii="宋体" w:hAnsi="宋体" w:eastAsia="宋体" w:cs="宋体"/>
              </w:rPr>
            </w:pPr>
          </w:p>
        </w:tc>
      </w:tr>
      <w:tr w14:paraId="24B7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1DADFE78">
            <w:pPr>
              <w:pStyle w:val="270"/>
              <w:autoSpaceDE w:val="0"/>
              <w:autoSpaceDN w:val="0"/>
              <w:rPr>
                <w:rFonts w:hint="eastAsia" w:ascii="宋体" w:hAnsi="宋体" w:eastAsia="宋体" w:cs="宋体"/>
              </w:rPr>
            </w:pPr>
          </w:p>
        </w:tc>
        <w:tc>
          <w:tcPr>
            <w:tcW w:w="3095" w:type="dxa"/>
            <w:vAlign w:val="top"/>
          </w:tcPr>
          <w:p w14:paraId="6A1C3BDF">
            <w:pPr>
              <w:pStyle w:val="270"/>
              <w:autoSpaceDE w:val="0"/>
              <w:autoSpaceDN w:val="0"/>
              <w:rPr>
                <w:rFonts w:hint="eastAsia" w:ascii="宋体" w:hAnsi="宋体" w:eastAsia="宋体" w:cs="宋体"/>
              </w:rPr>
            </w:pPr>
          </w:p>
        </w:tc>
        <w:tc>
          <w:tcPr>
            <w:tcW w:w="3098" w:type="dxa"/>
            <w:vAlign w:val="top"/>
          </w:tcPr>
          <w:p w14:paraId="6464DC16">
            <w:pPr>
              <w:pStyle w:val="270"/>
              <w:autoSpaceDE w:val="0"/>
              <w:autoSpaceDN w:val="0"/>
              <w:rPr>
                <w:rFonts w:hint="eastAsia" w:ascii="宋体" w:hAnsi="宋体" w:eastAsia="宋体" w:cs="宋体"/>
              </w:rPr>
            </w:pPr>
          </w:p>
        </w:tc>
      </w:tr>
      <w:tr w14:paraId="429B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76302D6">
            <w:pPr>
              <w:pStyle w:val="270"/>
              <w:autoSpaceDE w:val="0"/>
              <w:autoSpaceDN w:val="0"/>
              <w:rPr>
                <w:rFonts w:hint="eastAsia" w:ascii="宋体" w:hAnsi="宋体" w:eastAsia="宋体" w:cs="宋体"/>
              </w:rPr>
            </w:pPr>
          </w:p>
        </w:tc>
        <w:tc>
          <w:tcPr>
            <w:tcW w:w="3095" w:type="dxa"/>
            <w:vAlign w:val="top"/>
          </w:tcPr>
          <w:p w14:paraId="3E9A8075">
            <w:pPr>
              <w:pStyle w:val="270"/>
              <w:autoSpaceDE w:val="0"/>
              <w:autoSpaceDN w:val="0"/>
              <w:rPr>
                <w:rFonts w:hint="eastAsia" w:ascii="宋体" w:hAnsi="宋体" w:eastAsia="宋体" w:cs="宋体"/>
              </w:rPr>
            </w:pPr>
          </w:p>
        </w:tc>
        <w:tc>
          <w:tcPr>
            <w:tcW w:w="3098" w:type="dxa"/>
            <w:vAlign w:val="top"/>
          </w:tcPr>
          <w:p w14:paraId="35091360">
            <w:pPr>
              <w:pStyle w:val="270"/>
              <w:autoSpaceDE w:val="0"/>
              <w:autoSpaceDN w:val="0"/>
              <w:rPr>
                <w:rFonts w:hint="eastAsia" w:ascii="宋体" w:hAnsi="宋体" w:eastAsia="宋体" w:cs="宋体"/>
              </w:rPr>
            </w:pPr>
          </w:p>
        </w:tc>
      </w:tr>
      <w:tr w14:paraId="5766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640E702C">
            <w:pPr>
              <w:pStyle w:val="270"/>
              <w:autoSpaceDE w:val="0"/>
              <w:autoSpaceDN w:val="0"/>
              <w:rPr>
                <w:rFonts w:hint="eastAsia" w:ascii="宋体" w:hAnsi="宋体" w:eastAsia="宋体" w:cs="宋体"/>
              </w:rPr>
            </w:pPr>
          </w:p>
        </w:tc>
        <w:tc>
          <w:tcPr>
            <w:tcW w:w="3095" w:type="dxa"/>
            <w:vAlign w:val="top"/>
          </w:tcPr>
          <w:p w14:paraId="1F0219A7">
            <w:pPr>
              <w:pStyle w:val="270"/>
              <w:autoSpaceDE w:val="0"/>
              <w:autoSpaceDN w:val="0"/>
              <w:rPr>
                <w:rFonts w:hint="eastAsia" w:ascii="宋体" w:hAnsi="宋体" w:eastAsia="宋体" w:cs="宋体"/>
              </w:rPr>
            </w:pPr>
          </w:p>
        </w:tc>
        <w:tc>
          <w:tcPr>
            <w:tcW w:w="3098" w:type="dxa"/>
            <w:vAlign w:val="top"/>
          </w:tcPr>
          <w:p w14:paraId="1055E943">
            <w:pPr>
              <w:pStyle w:val="270"/>
              <w:autoSpaceDE w:val="0"/>
              <w:autoSpaceDN w:val="0"/>
              <w:rPr>
                <w:rFonts w:hint="eastAsia" w:ascii="宋体" w:hAnsi="宋体" w:eastAsia="宋体" w:cs="宋体"/>
              </w:rPr>
            </w:pPr>
          </w:p>
        </w:tc>
      </w:tr>
    </w:tbl>
    <w:p w14:paraId="5317D2A1">
      <w:pPr>
        <w:pStyle w:val="18"/>
        <w:spacing w:before="39"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注：1.供应商如为联合体，则应填写联合体各成员信息。</w:t>
      </w:r>
    </w:p>
    <w:p w14:paraId="014C81D3">
      <w:pPr>
        <w:pStyle w:val="18"/>
        <w:spacing w:before="3" w:line="202" w:lineRule="auto"/>
        <w:ind w:left="118" w:right="36" w:firstLine="491"/>
        <w:rPr>
          <w:rFonts w:hint="eastAsia" w:ascii="宋体" w:hAnsi="宋体" w:eastAsia="宋体" w:cs="宋体"/>
          <w:sz w:val="24"/>
          <w:szCs w:val="24"/>
        </w:rPr>
      </w:pPr>
      <w:r>
        <w:rPr>
          <w:rFonts w:hint="eastAsia" w:ascii="宋体" w:hAnsi="宋体" w:eastAsia="宋体" w:cs="宋体"/>
          <w:spacing w:val="1"/>
          <w:sz w:val="24"/>
          <w:szCs w:val="24"/>
        </w:rPr>
        <w:t>2.供应商所属性别请填写“男”或“女”，指拥有供应商51%以上绝对所有权的性别；</w:t>
      </w:r>
      <w:r>
        <w:rPr>
          <w:rFonts w:hint="eastAsia" w:ascii="宋体" w:hAnsi="宋体" w:eastAsia="宋体" w:cs="宋体"/>
          <w:sz w:val="24"/>
          <w:szCs w:val="24"/>
        </w:rPr>
        <w:t>绝对所有权拥有者可以是一个人，也可以是</w:t>
      </w:r>
      <w:r>
        <w:rPr>
          <w:rFonts w:hint="eastAsia" w:ascii="宋体" w:hAnsi="宋体" w:eastAsia="宋体" w:cs="宋体"/>
          <w:spacing w:val="-1"/>
          <w:sz w:val="24"/>
          <w:szCs w:val="24"/>
        </w:rPr>
        <w:t>多人合计计算。</w:t>
      </w:r>
    </w:p>
    <w:p w14:paraId="2519E597">
      <w:pPr>
        <w:pStyle w:val="18"/>
        <w:spacing w:before="4" w:line="200" w:lineRule="auto"/>
        <w:ind w:left="611"/>
        <w:rPr>
          <w:rFonts w:hint="eastAsia" w:ascii="宋体" w:hAnsi="宋体" w:eastAsia="宋体" w:cs="宋体"/>
          <w:sz w:val="24"/>
          <w:szCs w:val="24"/>
        </w:rPr>
      </w:pPr>
      <w:r>
        <w:rPr>
          <w:rFonts w:hint="eastAsia" w:ascii="宋体" w:hAnsi="宋体" w:eastAsia="宋体" w:cs="宋体"/>
          <w:spacing w:val="3"/>
          <w:sz w:val="24"/>
          <w:szCs w:val="24"/>
        </w:rPr>
        <w:t>3.外商投资类型请填写“外商单独投资”、“外商部分投资”或“内资”。</w:t>
      </w:r>
    </w:p>
    <w:p w14:paraId="06CC6B56">
      <w:pPr>
        <w:spacing w:line="360" w:lineRule="auto"/>
        <w:outlineLvl w:val="2"/>
        <w:rPr>
          <w:color w:val="000000"/>
          <w:sz w:val="24"/>
          <w:szCs w:val="20"/>
        </w:rPr>
      </w:pPr>
    </w:p>
    <w:p w14:paraId="6BF686A3">
      <w:pPr>
        <w:spacing w:line="360" w:lineRule="auto"/>
        <w:outlineLvl w:val="2"/>
        <w:rPr>
          <w:color w:val="000000"/>
          <w:sz w:val="24"/>
          <w:szCs w:val="20"/>
        </w:rPr>
      </w:pPr>
    </w:p>
    <w:sectPr>
      <w:headerReference r:id="rId54" w:type="default"/>
      <w:footerReference r:id="rId55" w:type="default"/>
      <w:pgSz w:w="11907" w:h="16840"/>
      <w:pgMar w:top="1440" w:right="1800" w:bottom="1440" w:left="1800" w:header="851" w:footer="964"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方正楷体简体">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1AD5">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D0761">
    <w:pPr>
      <w:spacing w:line="186" w:lineRule="auto"/>
      <w:ind w:left="4478"/>
      <w:rPr>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5E92D">
                          <w:pPr>
                            <w:pStyle w:val="2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B15E92D">
                    <w:pPr>
                      <w:pStyle w:val="2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0DE0">
    <w:pPr>
      <w:spacing w:line="172" w:lineRule="auto"/>
      <w:ind w:left="4548"/>
      <w:rPr>
        <w:rFonts w:ascii="宋体" w:hAnsi="宋体" w:eastAsia="宋体" w:cs="宋体"/>
        <w:sz w:val="18"/>
        <w:szCs w:val="18"/>
      </w:rPr>
    </w:pPr>
    <w:r>
      <w:rPr>
        <w:rFonts w:ascii="宋体" w:hAnsi="宋体" w:eastAsia="宋体" w:cs="宋体"/>
        <w:spacing w:val="-3"/>
        <w:sz w:val="18"/>
        <w:szCs w:val="18"/>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F233">
    <w:pPr>
      <w:spacing w:line="172" w:lineRule="auto"/>
      <w:ind w:left="4552"/>
      <w:rPr>
        <w:rFonts w:ascii="宋体" w:hAnsi="宋体" w:eastAsia="宋体" w:cs="宋体"/>
        <w:sz w:val="18"/>
        <w:szCs w:val="18"/>
      </w:rPr>
    </w:pPr>
    <w:r>
      <w:rPr>
        <w:rFonts w:ascii="宋体" w:hAnsi="宋体" w:eastAsia="宋体" w:cs="宋体"/>
        <w:spacing w:val="-3"/>
        <w:sz w:val="18"/>
        <w:szCs w:val="18"/>
      </w:rPr>
      <w:t>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9483">
    <w:pPr>
      <w:spacing w:line="173" w:lineRule="auto"/>
      <w:ind w:left="4552"/>
      <w:rPr>
        <w:rFonts w:ascii="宋体" w:hAnsi="宋体" w:eastAsia="宋体" w:cs="宋体"/>
        <w:sz w:val="18"/>
        <w:szCs w:val="18"/>
      </w:rPr>
    </w:pPr>
    <w:r>
      <w:rPr>
        <w:rFonts w:ascii="宋体" w:hAnsi="宋体" w:eastAsia="宋体" w:cs="宋体"/>
        <w:spacing w:val="-3"/>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ACDB">
    <w:pPr>
      <w:spacing w:line="172" w:lineRule="auto"/>
      <w:ind w:left="4552"/>
      <w:rPr>
        <w:rFonts w:ascii="宋体" w:hAnsi="宋体" w:eastAsia="宋体" w:cs="宋体"/>
        <w:sz w:val="18"/>
        <w:szCs w:val="18"/>
      </w:rPr>
    </w:pPr>
    <w:r>
      <w:rPr>
        <w:rFonts w:ascii="宋体" w:hAnsi="宋体" w:eastAsia="宋体" w:cs="宋体"/>
        <w:spacing w:val="-3"/>
        <w:sz w:val="18"/>
        <w:szCs w:val="18"/>
      </w:rPr>
      <w:t>32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7449">
    <w:pPr>
      <w:spacing w:line="172" w:lineRule="auto"/>
      <w:ind w:left="4551"/>
      <w:rPr>
        <w:rFonts w:ascii="宋体" w:hAnsi="宋体" w:eastAsia="宋体" w:cs="宋体"/>
        <w:sz w:val="18"/>
        <w:szCs w:val="18"/>
      </w:rPr>
    </w:pPr>
    <w:r>
      <w:rPr>
        <w:rFonts w:ascii="宋体" w:hAnsi="宋体" w:eastAsia="宋体" w:cs="宋体"/>
        <w:spacing w:val="-3"/>
        <w:sz w:val="18"/>
        <w:szCs w:val="18"/>
      </w:rPr>
      <w:t>33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235C">
    <w:pPr>
      <w:pStyle w:val="2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8829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8290" cy="158750"/>
                      </a:xfrm>
                      <a:prstGeom prst="rect">
                        <a:avLst/>
                      </a:prstGeom>
                      <a:noFill/>
                      <a:ln>
                        <a:noFill/>
                      </a:ln>
                      <a:effectLst/>
                    </wps:spPr>
                    <wps:txbx>
                      <w:txbxContent>
                        <w:p w14:paraId="4A541053">
                          <w:pPr>
                            <w:pStyle w:val="29"/>
                          </w:pPr>
                          <w:r>
                            <w:fldChar w:fldCharType="begin"/>
                          </w:r>
                          <w:r>
                            <w:instrText xml:space="preserve"> PAGE  \* MERGEFORMAT </w:instrText>
                          </w:r>
                          <w:r>
                            <w:fldChar w:fldCharType="separate"/>
                          </w:r>
                          <w:r>
                            <w:t>41</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5pt;width:22.7pt;mso-position-horizontal:center;mso-position-horizontal-relative:margin;z-index:251666432;mso-width-relative:page;mso-height-relative:page;" filled="f" stroked="f" coordsize="21600,21600" o:gfxdata="UEsDBAoAAAAAAIdO4kAAAAAAAAAAAAAAAAAEAAAAZHJzL1BLAwQUAAAACACHTuJAzf4RyNQAAAAD&#10;AQAADwAAAGRycy9kb3ducmV2LnhtbE2PzU7DMBCE70i8g7VI3Kjdqq0gxKkqBKdKiDQcODrxNrEa&#10;r9PY/Xt7Fi5wWWk0o5lv89XF9+KEY3SBNEwnCgRSE6yjVsNn9fbwCCImQ9b0gVDDFSOsitub3GQ2&#10;nKnE0za1gksoZkZDl9KQSRmbDr2JkzAgsbcLozeJ5dhKO5ozl/tezpRaSm8c8UJnBnzpsNlvj17D&#10;+ovKV3d4rz/KXemq6knRZrnX+v5uqp5BJLykvzD84DM6FMxUhyPZKHoN/Ej6vezNF3MQtYbZQoEs&#10;cvmfvfgGUEsDBBQAAAAIAIdO4kCNpbjTvgEAAH8DAAAOAAAAZHJzL2Uyb0RvYy54bWytU8GO0zAQ&#10;vSPxD5bvNG2khRI1XQlVi5AQIC18gOs4jSXbY3ncJv0B+ANOXLjzXf0Oxk7SheWyBy7OeGb8Zt6b&#10;yeZ2sIadVEANruarxZIz5SQ02h1q/uXz3Ys1ZxiFa4QBp2p+Vshvt8+fbXpfqRI6MI0KjEAcVr2v&#10;eRejr4oCZaeswAV45SjYQrAi0jUciiaIntCtKcrl8mXRQ2h8AKkQybsbg3xCDE8BhLbVUu1AHq1y&#10;cUQNyohIlLDTHvk2d9u2SsaPbYsqMlNzYhrzSUXI3qez2G5EdQjCd1pOLYintPCIkxXaUdEr1E5E&#10;wY5B/wNltQyA0MaFBFuMRLIixGK1fKTNfSe8ylxIavRX0fH/wcoPp0+B6abmJWdOWBr45fu3y49f&#10;l59fWZnk6T1WlHXvKS8Ob2CgpZn9SM7EemiDTV/iwyhO4p6v4qohMknOcr0uX1NEUmh1s351k8Uv&#10;Hh77gPGtAsuSUfNAs8uSitN7jNQIpc4pqZaDO21Mnp9xfzkocfSovADT68Rj7DdZcdgPE7k9NGfi&#10;Zt450jXtyGyE2djPxtEHfejyEqWGEhDNJbc27VAa/J/3nPXw3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3+EcjUAAAAAwEAAA8AAAAAAAAAAQAgAAAAIgAAAGRycy9kb3ducmV2LnhtbFBLAQIU&#10;ABQAAAAIAIdO4kCNpbjTvgEAAH8DAAAOAAAAAAAAAAEAIAAAACMBAABkcnMvZTJvRG9jLnhtbFBL&#10;BQYAAAAABgAGAFkBAABTBQAAAAA=&#10;">
              <v:fill on="f" focussize="0,0"/>
              <v:stroke on="f"/>
              <v:imagedata o:title=""/>
              <o:lock v:ext="edit" aspectratio="f"/>
              <v:textbox inset="0mm,0mm,0mm,0mm">
                <w:txbxContent>
                  <w:p w14:paraId="4A541053">
                    <w:pPr>
                      <w:pStyle w:val="2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CDD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BD620">
                          <w:pPr>
                            <w:pStyle w:val="2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ABD620">
                    <w:pPr>
                      <w:pStyle w:val="29"/>
                    </w:pPr>
                    <w:r>
                      <w:fldChar w:fldCharType="begin"/>
                    </w:r>
                    <w:r>
                      <w:instrText xml:space="preserve"> PAGE  \* MERGEFORMAT </w:instrText>
                    </w:r>
                    <w:r>
                      <w:fldChar w:fldCharType="separate"/>
                    </w:r>
                    <w:r>
                      <w:t>60</w:t>
                    </w:r>
                    <w:r>
                      <w:fldChar w:fldCharType="end"/>
                    </w:r>
                  </w:p>
                </w:txbxContent>
              </v:textbox>
            </v:shape>
          </w:pict>
        </mc:Fallback>
      </mc:AlternateContent>
    </w:r>
    <w:r>
      <w:rPr>
        <w:rFonts w:ascii="Arial" w:hAnsi="Arial" w:eastAsia="Arial" w:cs="Arial"/>
        <w:spacing w:val="6"/>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74C5">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2798445</wp:posOffset>
              </wp:positionH>
              <wp:positionV relativeFrom="paragraph">
                <wp:posOffset>-20955</wp:posOffset>
              </wp:positionV>
              <wp:extent cx="1828800" cy="2552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08551">
                          <w:pPr>
                            <w:pStyle w:val="2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35pt;margin-top:-1.65pt;height:20.1pt;width:144pt;mso-position-horizontal-relative:margin;mso-wrap-style:none;z-index:251662336;mso-width-relative:page;mso-height-relative:page;" filled="f" stroked="f" coordsize="21600,21600" o:gfxdata="UEsDBAoAAAAAAIdO4kAAAAAAAAAAAAAAAAAEAAAAZHJzL1BLAwQUAAAACACHTuJA6HrA7doAAAAJ&#10;AQAADwAAAGRycy9kb3ducmV2LnhtbE2Py07DMBBF90j8gzVI7Fq7TWhLyKRCSHTDquEhsXNjN4mw&#10;x5HtNoGvx6zKcmaO7pxbbidr2Fn70DtCWMwFME2NUz21CG+vz7MNsBAlKWkcaYRvHWBbXV+VslBu&#10;pL0+17FlKYRCIRG6GIeC89B02sowd4OmdDs6b2VMo2+58nJM4dbwpRArbmVP6UMnB/3U6earPlmE&#10;3fTzkb/4z2hquW/u3u1je9yNiLc3C/EALOopXmD400/qUCWngzuRCswg5LlYJxRhlmXAErBebtLi&#10;gJCt7oFXJf/foPoFUEsDBBQAAAAIAIdO4kB92zKrNQIAAGIEAAAOAAAAZHJzL2Uyb0RvYy54bWyt&#10;VMtuEzEU3SPxD5b3ZJJUKVHUSRUaBSFVtFJBrB2PJ2PJL9lOZsoHwB+wYsO+39Xv4NiTSVFh0QUb&#10;5859n3PvzcVlpxU5CB+kNSWdjMaUCMNtJc2upJ8/bd7MKQmRmYopa0RJ70Wgl8vXry5atxBT21hV&#10;CU+QxIRF60raxOgWRRF4IzQLI+uEgbG2XrOIT78rKs9aZNeqmI7H50VrfeW85SIEaNe9kR4z+pck&#10;tHUtuVhbvtfCxD6rF4pFQAqNdIEuc7d1LXi8qesgIlElBdKYXxSBvE1vsbxgi51nrpH82AJ7SQvP&#10;MGkmDYqeUq1ZZGTv5V+ptOTeBlvHEbe66IFkRoBiMn7GzV3DnMhYQHVwJ9LD/0vLPx5uPZFVSedn&#10;lBimMfHHH98ffz48/vpGoANBrQsL+N05eMbune2wNoM+QJlwd7XX6ReICOyg9/5Er+gi4SloPp3P&#10;xzBx2Kaz2fRt5r94inY+xPfCapKEknqML7PKDtchohO4Di6pmLEbqVQeoTKkLen52WycA04WRCiD&#10;wISh7zVJsdt2R2BbW90Dl7f9agTHNxLFr1mIt8xjF9AvriXe4KmVRRF7lChprP/6L33yx4hgpaTF&#10;bpXU4JQoUR8MRoeEcRD8IGwHwez1lcWyTnCFjmcRAT6qQay91V9wQqtUAyZmOCqVNA7iVez3GyfI&#10;xWqVnfbOy13TB2DxHIvX5s7xVKYncrWPtpaZ40RQz8qRN6xepv54Jmm3//zOXk9/D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HrA7doAAAAJAQAADwAAAAAAAAABACAAAAAiAAAAZHJzL2Rvd25y&#10;ZXYueG1sUEsBAhQAFAAAAAgAh07iQH3bMqs1AgAAYgQAAA4AAAAAAAAAAQAgAAAAKQEAAGRycy9l&#10;Mm9Eb2MueG1sUEsFBgAAAAAGAAYAWQEAANAFAAAAAA==&#10;">
              <v:fill on="f" focussize="0,0"/>
              <v:stroke on="f" weight="0.5pt"/>
              <v:imagedata o:title=""/>
              <o:lock v:ext="edit" aspectratio="f"/>
              <v:textbox inset="0mm,0mm,0mm,0mm">
                <w:txbxContent>
                  <w:p w14:paraId="04708551">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F1E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D84F">
                          <w:pPr>
                            <w:pStyle w:val="2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63360;mso-width-relative:page;mso-height-relative:page;" filled="f" stroked="f" coordsize="21600,21600" o:gfxdata="UEsDBAoAAAAAAIdO4kAAAAAAAAAAAAAAAAAEAAAAZHJzL1BLAwQUAAAACACHTuJAdMgKftUAAAAI&#10;AQAADwAAAGRycy9kb3ducmV2LnhtbE2PwU7DMBBE70j8g7VI3KjdtKJRyKYSFeGIRMOBoxsvSSC2&#10;I9tNw9+znOA4mtHMm3K/2FHMFOLgHcJ6pUCQa70ZXIfw1tR3OYiYtDN69I4QvinCvrq+KnVh/MW9&#10;0nxMneASFwuN0Kc0FVLGtier48pP5Nj78MHqxDJ00gR94XI7ykype2n14Hih1xMdemq/jmeLcKib&#10;JswUw/hOz/Xm8+VxS08L4u3NWj2ASLSkvzD84jM6VMx08mdnohgRtptsx1EEfsT2LlMsTwhZniuQ&#10;VSn/H6h+AFBLAwQUAAAACACHTuJAER/lHz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oYSwzQq&#10;fvrx/fTz4fTrG8EZBGpcmCHu3iEytu9si7YZzgMOE++28jp9wYjAD3mPF3lFGwlPl6aT6TSHi8M3&#10;bICfPV53PsT3wmqSjIJ61K+TlR02IfahQ0jKZuxaKtXVUBnSFPTq9d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yAp+1QAAAAgBAAAPAAAAAAAAAAEAIAAAACIAAABkcnMvZG93bnJldi54bWxQ&#10;SwECFAAUAAAACACHTuJAER/lHzMCAABjBAAADgAAAAAAAAABACAAAAAkAQAAZHJzL2Uyb0RvYy54&#10;bWxQSwUGAAAAAAYABgBZAQAAyQUAAAAA&#10;">
              <v:fill on="f" focussize="0,0"/>
              <v:stroke on="f" weight="0.5pt"/>
              <v:imagedata o:title=""/>
              <o:lock v:ext="edit" aspectratio="f"/>
              <v:textbox inset="0mm,0mm,0mm,0mm" style="mso-fit-shape-to-text:t;">
                <w:txbxContent>
                  <w:p w14:paraId="5D90D84F">
                    <w:pPr>
                      <w:pStyle w:val="2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BC9A">
    <w:pPr>
      <w:pStyle w:val="2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8F0B">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E1C2E">
                          <w:pPr>
                            <w:pStyle w:val="2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11E1C2E">
                    <w:pPr>
                      <w:pStyle w:val="2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D7ED">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CE99">
                          <w:pPr>
                            <w:pStyle w:val="2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C76CE99">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ADDC">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2673E">
                          <w:pPr>
                            <w:pStyle w:val="2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B72673E">
                    <w:pPr>
                      <w:pStyle w:val="2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ED49">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6E384">
                          <w:pPr>
                            <w:pStyle w:val="2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746E384">
                    <w:pPr>
                      <w:pStyle w:val="2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A656">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A1B3">
                          <w:pPr>
                            <w:pStyle w:val="2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F65A1B3">
                    <w:pPr>
                      <w:pStyle w:val="2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4DE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FBB8">
                          <w:pPr>
                            <w:pStyle w:val="2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C72FBB8">
                    <w:pPr>
                      <w:pStyle w:val="2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013">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93BF4">
                          <w:pPr>
                            <w:pStyle w:val="2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0593BF4">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8B43">
    <w:pPr>
      <w:pStyle w:val="2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A37B2">
                          <w:pPr>
                            <w:pStyle w:val="2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7CA37B2">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4762">
    <w:pPr>
      <w:pStyle w:val="2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17F2E">
                          <w:pPr>
                            <w:pStyle w:val="2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FB17F2E">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1B6">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9461">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EDB9461">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044E">
    <w:pPr>
      <w:pStyle w:val="29"/>
      <w:rPr>
        <w:rStyle w:val="52"/>
      </w:rPr>
    </w:pPr>
  </w:p>
  <w:p w14:paraId="2371E9B9">
    <w:pPr>
      <w:pStyle w:val="29"/>
      <w:ind w:right="360"/>
      <w:jc w:val="righ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EC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76E4A">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76E4A">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8A0D">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8052">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6E8052">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283A">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B005">
                          <w:pPr>
                            <w:pStyle w:val="2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3FB005">
                    <w:pPr>
                      <w:pStyle w:val="2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25585"/>
    </w:sdtPr>
    <w:sdtContent>
      <w:p w14:paraId="0EB726A1">
        <w:pPr>
          <w:pStyle w:val="29"/>
          <w:jc w:val="center"/>
        </w:pPr>
        <w:r>
          <w:fldChar w:fldCharType="begin"/>
        </w:r>
        <w:r>
          <w:instrText xml:space="preserve">PAGE   \* MERGEFORMAT</w:instrText>
        </w:r>
        <w:r>
          <w:fldChar w:fldCharType="separate"/>
        </w:r>
        <w:r>
          <w:rPr>
            <w:lang w:val="zh-CN"/>
          </w:rPr>
          <w:t>2</w:t>
        </w:r>
        <w:r>
          <w:fldChar w:fldCharType="end"/>
        </w:r>
      </w:p>
    </w:sdtContent>
  </w:sdt>
  <w:p w14:paraId="2351972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6B0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40B3">
    <w:pPr>
      <w:pStyle w:val="29"/>
      <w:rPr>
        <w:rStyle w:val="5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7AE3B">
                          <w:pPr>
                            <w:pStyle w:val="2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DF7AE3B">
                    <w:pPr>
                      <w:pStyle w:val="29"/>
                    </w:pPr>
                    <w:r>
                      <w:fldChar w:fldCharType="begin"/>
                    </w:r>
                    <w:r>
                      <w:instrText xml:space="preserve"> PAGE  \* MERGEFORMAT </w:instrText>
                    </w:r>
                    <w:r>
                      <w:fldChar w:fldCharType="separate"/>
                    </w:r>
                    <w:r>
                      <w:t>0</w:t>
                    </w:r>
                    <w:r>
                      <w:fldChar w:fldCharType="end"/>
                    </w:r>
                  </w:p>
                </w:txbxContent>
              </v:textbox>
            </v:shape>
          </w:pict>
        </mc:Fallback>
      </mc:AlternateContent>
    </w:r>
  </w:p>
  <w:p w14:paraId="5F15F734">
    <w:pPr>
      <w:pStyle w:val="29"/>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411815"/>
    </w:sdtPr>
    <w:sdtContent>
      <w:p w14:paraId="2F8561F6">
        <w:pPr>
          <w:pStyle w:val="29"/>
          <w:jc w:val="center"/>
        </w:pPr>
        <w:r>
          <w:fldChar w:fldCharType="begin"/>
        </w:r>
        <w:r>
          <w:instrText xml:space="preserve">PAGE   \* MERGEFORMAT</w:instrText>
        </w:r>
        <w:r>
          <w:fldChar w:fldCharType="separate"/>
        </w:r>
        <w:r>
          <w:rPr>
            <w:lang w:val="zh-CN"/>
          </w:rPr>
          <w:t>2</w:t>
        </w:r>
        <w:r>
          <w:fldChar w:fldCharType="end"/>
        </w:r>
      </w:p>
    </w:sdtContent>
  </w:sdt>
  <w:p w14:paraId="2B0BF1CF">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170958"/>
    </w:sdtPr>
    <w:sdtContent>
      <w:p w14:paraId="69402EFC">
        <w:pPr>
          <w:pStyle w:val="29"/>
          <w:jc w:val="center"/>
        </w:pPr>
        <w:r>
          <w:fldChar w:fldCharType="begin"/>
        </w:r>
        <w:r>
          <w:instrText xml:space="preserve">PAGE   \* MERGEFORMAT</w:instrText>
        </w:r>
        <w:r>
          <w:fldChar w:fldCharType="separate"/>
        </w:r>
        <w:r>
          <w:rPr>
            <w:lang w:val="zh-CN"/>
          </w:rPr>
          <w:t>2</w:t>
        </w:r>
        <w:r>
          <w:fldChar w:fldCharType="end"/>
        </w:r>
      </w:p>
    </w:sdtContent>
  </w:sdt>
  <w:p w14:paraId="5E576225">
    <w:pPr>
      <w:pStyle w:val="29"/>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F337">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C6C5839">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2DAC">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184C">
    <w:pPr>
      <w:pStyle w:val="30"/>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3B61">
    <w:pPr>
      <w:pStyle w:val="30"/>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20AD">
    <w:pPr>
      <w:pStyle w:val="30"/>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06B0">
    <w:pPr>
      <w:pStyle w:val="30"/>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D182">
    <w:pPr>
      <w:pStyle w:val="30"/>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97D7">
    <w:pPr>
      <w:pStyle w:val="30"/>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006">
    <w:pPr>
      <w:pStyle w:val="30"/>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376F">
    <w:pPr>
      <w:pStyle w:val="30"/>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A8EF">
    <w:pPr>
      <w:pStyle w:val="30"/>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6A5B">
    <w:pPr>
      <w:pStyle w:val="30"/>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CE2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D0EA">
    <w:pPr>
      <w:pStyle w:val="3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E74E">
    <w:pPr>
      <w:pStyle w:val="18"/>
      <w:spacing w:line="14" w:lineRule="auto"/>
      <w:rPr>
        <w:rFonts w:hint="eastAsia"/>
        <w:sz w:val="20"/>
      </w:rPr>
    </w:pPr>
  </w:p>
  <w:p w14:paraId="169687C3">
    <w:pPr>
      <w:pStyle w:val="18"/>
      <w:spacing w:line="14" w:lineRule="auto"/>
      <w:rPr>
        <w:rFonts w:hint="eastAs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5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9910">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A361">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DD2A">
    <w:pPr>
      <w:pStyle w:val="18"/>
      <w:spacing w:line="14" w:lineRule="auto"/>
      <w:rPr>
        <w:rFonts w:hint="eastAsia"/>
        <w:sz w:val="20"/>
      </w:rPr>
    </w:pPr>
  </w:p>
  <w:p w14:paraId="1DB35167">
    <w:pPr>
      <w:pStyle w:val="18"/>
      <w:spacing w:line="14" w:lineRule="auto"/>
      <w:rPr>
        <w:rFonts w:hint="eastAsia"/>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0339">
    <w:pPr>
      <w:pStyle w:val="3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FE08">
    <w:pPr>
      <w:pStyle w:val="3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7963">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418DD"/>
    <w:multiLevelType w:val="singleLevel"/>
    <w:tmpl w:val="B54418DD"/>
    <w:lvl w:ilvl="0" w:tentative="0">
      <w:start w:val="5"/>
      <w:numFmt w:val="decimal"/>
      <w:lvlText w:val="%1."/>
      <w:lvlJc w:val="left"/>
      <w:pPr>
        <w:tabs>
          <w:tab w:val="left" w:pos="312"/>
        </w:tabs>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2JiYTliZjJmYzcwNDk5ZWQ3OTAyZTI0MzUxOGJlM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244"/>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B7C"/>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AB3"/>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0F53"/>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354"/>
    <w:rsid w:val="000446D5"/>
    <w:rsid w:val="0004473A"/>
    <w:rsid w:val="0004483E"/>
    <w:rsid w:val="00044AA1"/>
    <w:rsid w:val="00044D9C"/>
    <w:rsid w:val="00044EDD"/>
    <w:rsid w:val="00044EF2"/>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8B5"/>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6F0C"/>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02E"/>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6E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3DF"/>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C4C"/>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43"/>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94"/>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742"/>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8D0"/>
    <w:rsid w:val="00096BFF"/>
    <w:rsid w:val="00096C99"/>
    <w:rsid w:val="00096CA2"/>
    <w:rsid w:val="00096CBB"/>
    <w:rsid w:val="00096CE7"/>
    <w:rsid w:val="00096EE1"/>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3D9"/>
    <w:rsid w:val="000A6A43"/>
    <w:rsid w:val="000A6D69"/>
    <w:rsid w:val="000A6F72"/>
    <w:rsid w:val="000A6F99"/>
    <w:rsid w:val="000A6FE6"/>
    <w:rsid w:val="000A721F"/>
    <w:rsid w:val="000A77E9"/>
    <w:rsid w:val="000A79A7"/>
    <w:rsid w:val="000A7ACC"/>
    <w:rsid w:val="000A7CF5"/>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A8F"/>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50B"/>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4FC"/>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1C"/>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D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1A"/>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C37"/>
    <w:rsid w:val="00137DD9"/>
    <w:rsid w:val="00137F03"/>
    <w:rsid w:val="001400A0"/>
    <w:rsid w:val="001404E9"/>
    <w:rsid w:val="00140656"/>
    <w:rsid w:val="0014097A"/>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55"/>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297"/>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08F"/>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1BF"/>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EE7"/>
    <w:rsid w:val="001B0F08"/>
    <w:rsid w:val="001B0FC5"/>
    <w:rsid w:val="001B106C"/>
    <w:rsid w:val="001B1142"/>
    <w:rsid w:val="001B11B3"/>
    <w:rsid w:val="001B11C4"/>
    <w:rsid w:val="001B16DE"/>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3FE4"/>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822"/>
    <w:rsid w:val="001C4E97"/>
    <w:rsid w:val="001C4F2E"/>
    <w:rsid w:val="001C4F89"/>
    <w:rsid w:val="001C50AB"/>
    <w:rsid w:val="001C52A2"/>
    <w:rsid w:val="001C52D4"/>
    <w:rsid w:val="001C536A"/>
    <w:rsid w:val="001C5478"/>
    <w:rsid w:val="001C54F9"/>
    <w:rsid w:val="001C56EF"/>
    <w:rsid w:val="001C57B0"/>
    <w:rsid w:val="001C5849"/>
    <w:rsid w:val="001C592B"/>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9AD"/>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C07"/>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A8B"/>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518"/>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E56"/>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0CC"/>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777"/>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E7"/>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7E6"/>
    <w:rsid w:val="002D5B33"/>
    <w:rsid w:val="002D5BF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C27"/>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6E6"/>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A5"/>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5E2"/>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51"/>
    <w:rsid w:val="00356C97"/>
    <w:rsid w:val="00357655"/>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A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5F89"/>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083"/>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DE7"/>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958"/>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815"/>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6BB"/>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A1"/>
    <w:rsid w:val="003D58D6"/>
    <w:rsid w:val="003D59FB"/>
    <w:rsid w:val="003D5ABC"/>
    <w:rsid w:val="003D5AE6"/>
    <w:rsid w:val="003D5DEC"/>
    <w:rsid w:val="003D5FE3"/>
    <w:rsid w:val="003D6498"/>
    <w:rsid w:val="003D6899"/>
    <w:rsid w:val="003D6B8C"/>
    <w:rsid w:val="003D6C7D"/>
    <w:rsid w:val="003D7368"/>
    <w:rsid w:val="003D7451"/>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6D04"/>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584"/>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435"/>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58F"/>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793"/>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19C"/>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AA7"/>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8A9"/>
    <w:rsid w:val="005309FA"/>
    <w:rsid w:val="00531011"/>
    <w:rsid w:val="005311EE"/>
    <w:rsid w:val="00531258"/>
    <w:rsid w:val="005315AC"/>
    <w:rsid w:val="005315F7"/>
    <w:rsid w:val="00531660"/>
    <w:rsid w:val="00531696"/>
    <w:rsid w:val="00531746"/>
    <w:rsid w:val="00531919"/>
    <w:rsid w:val="00531A60"/>
    <w:rsid w:val="00531AA2"/>
    <w:rsid w:val="00531C63"/>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CF8"/>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1E1"/>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4C"/>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AF7"/>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4F1"/>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DAC"/>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F4"/>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E6C"/>
    <w:rsid w:val="005B2F67"/>
    <w:rsid w:val="005B2FB3"/>
    <w:rsid w:val="005B3152"/>
    <w:rsid w:val="005B356A"/>
    <w:rsid w:val="005B3598"/>
    <w:rsid w:val="005B3761"/>
    <w:rsid w:val="005B3823"/>
    <w:rsid w:val="005B39E2"/>
    <w:rsid w:val="005B3AE6"/>
    <w:rsid w:val="005B3C99"/>
    <w:rsid w:val="005B3E7B"/>
    <w:rsid w:val="005B3EFF"/>
    <w:rsid w:val="005B404D"/>
    <w:rsid w:val="005B40C9"/>
    <w:rsid w:val="005B4888"/>
    <w:rsid w:val="005B49B4"/>
    <w:rsid w:val="005B4D05"/>
    <w:rsid w:val="005B57CD"/>
    <w:rsid w:val="005B58F8"/>
    <w:rsid w:val="005B5E97"/>
    <w:rsid w:val="005B5F99"/>
    <w:rsid w:val="005B5FF2"/>
    <w:rsid w:val="005B603E"/>
    <w:rsid w:val="005B60C4"/>
    <w:rsid w:val="005B60D3"/>
    <w:rsid w:val="005B63AC"/>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88A"/>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73"/>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22"/>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67"/>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3F67"/>
    <w:rsid w:val="006140D2"/>
    <w:rsid w:val="0061413F"/>
    <w:rsid w:val="00614486"/>
    <w:rsid w:val="00614664"/>
    <w:rsid w:val="0061466C"/>
    <w:rsid w:val="0061495C"/>
    <w:rsid w:val="00614BB6"/>
    <w:rsid w:val="00614C1A"/>
    <w:rsid w:val="00614C57"/>
    <w:rsid w:val="00615675"/>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2EE"/>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83A"/>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E3"/>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28A"/>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761"/>
    <w:rsid w:val="0067288A"/>
    <w:rsid w:val="00672D2B"/>
    <w:rsid w:val="00672D84"/>
    <w:rsid w:val="00673024"/>
    <w:rsid w:val="006733C6"/>
    <w:rsid w:val="00673687"/>
    <w:rsid w:val="00673BA1"/>
    <w:rsid w:val="00673BE3"/>
    <w:rsid w:val="00673E19"/>
    <w:rsid w:val="00674073"/>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4C"/>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A"/>
    <w:rsid w:val="006819FC"/>
    <w:rsid w:val="00681C86"/>
    <w:rsid w:val="00681E57"/>
    <w:rsid w:val="0068228A"/>
    <w:rsid w:val="0068237F"/>
    <w:rsid w:val="0068240B"/>
    <w:rsid w:val="00682C75"/>
    <w:rsid w:val="00683044"/>
    <w:rsid w:val="00683238"/>
    <w:rsid w:val="00683471"/>
    <w:rsid w:val="006834FA"/>
    <w:rsid w:val="006835A5"/>
    <w:rsid w:val="006836D3"/>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5F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2F"/>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B45"/>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0EC2"/>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11"/>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5FEA"/>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9BD"/>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46"/>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534"/>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5C"/>
    <w:rsid w:val="00737C15"/>
    <w:rsid w:val="00737C2E"/>
    <w:rsid w:val="00737DD2"/>
    <w:rsid w:val="00737F72"/>
    <w:rsid w:val="00737FFA"/>
    <w:rsid w:val="00740101"/>
    <w:rsid w:val="007401AA"/>
    <w:rsid w:val="007401F8"/>
    <w:rsid w:val="00740308"/>
    <w:rsid w:val="007405E1"/>
    <w:rsid w:val="007407DC"/>
    <w:rsid w:val="0074088B"/>
    <w:rsid w:val="00740A2B"/>
    <w:rsid w:val="00740A8B"/>
    <w:rsid w:val="00740F28"/>
    <w:rsid w:val="00741013"/>
    <w:rsid w:val="007411C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76D"/>
    <w:rsid w:val="007479EB"/>
    <w:rsid w:val="00747F2A"/>
    <w:rsid w:val="00750057"/>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1D"/>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097"/>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77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423"/>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920"/>
    <w:rsid w:val="007A0D87"/>
    <w:rsid w:val="007A0ED5"/>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4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41"/>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C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4D"/>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39"/>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B2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3F17"/>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386"/>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A61"/>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2B"/>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67FFD"/>
    <w:rsid w:val="00870274"/>
    <w:rsid w:val="0087029B"/>
    <w:rsid w:val="008703F6"/>
    <w:rsid w:val="008704DB"/>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E1E"/>
    <w:rsid w:val="00881F98"/>
    <w:rsid w:val="008823A4"/>
    <w:rsid w:val="00882694"/>
    <w:rsid w:val="00882882"/>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2E2"/>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EA"/>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DDA"/>
    <w:rsid w:val="008B3EB4"/>
    <w:rsid w:val="008B3EE8"/>
    <w:rsid w:val="008B400F"/>
    <w:rsid w:val="008B4139"/>
    <w:rsid w:val="008B41F0"/>
    <w:rsid w:val="008B42B2"/>
    <w:rsid w:val="008B44EB"/>
    <w:rsid w:val="008B4566"/>
    <w:rsid w:val="008B482A"/>
    <w:rsid w:val="008B49B0"/>
    <w:rsid w:val="008B4A8E"/>
    <w:rsid w:val="008B4BE9"/>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B26"/>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D00"/>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4EF"/>
    <w:rsid w:val="008E7545"/>
    <w:rsid w:val="008F0102"/>
    <w:rsid w:val="008F01F5"/>
    <w:rsid w:val="008F02BC"/>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2A"/>
    <w:rsid w:val="00902C42"/>
    <w:rsid w:val="00902CCA"/>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3C"/>
    <w:rsid w:val="00906996"/>
    <w:rsid w:val="009069A3"/>
    <w:rsid w:val="00906D3B"/>
    <w:rsid w:val="00906E61"/>
    <w:rsid w:val="00906F34"/>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BA0"/>
    <w:rsid w:val="00913F2E"/>
    <w:rsid w:val="00913FB0"/>
    <w:rsid w:val="00914434"/>
    <w:rsid w:val="00914541"/>
    <w:rsid w:val="00914ADC"/>
    <w:rsid w:val="00914B9E"/>
    <w:rsid w:val="00914C92"/>
    <w:rsid w:val="00914CBD"/>
    <w:rsid w:val="00914CD6"/>
    <w:rsid w:val="00914E6A"/>
    <w:rsid w:val="0091554C"/>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7"/>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B14"/>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48"/>
    <w:rsid w:val="00962B51"/>
    <w:rsid w:val="009632EE"/>
    <w:rsid w:val="009634DD"/>
    <w:rsid w:val="009636E9"/>
    <w:rsid w:val="00963710"/>
    <w:rsid w:val="009637A9"/>
    <w:rsid w:val="00963872"/>
    <w:rsid w:val="009638C5"/>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6FD"/>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CC1"/>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A61"/>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C23"/>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1C5"/>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5B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1B9"/>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180"/>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7F3"/>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7"/>
    <w:rsid w:val="00A06E6F"/>
    <w:rsid w:val="00A070DD"/>
    <w:rsid w:val="00A07365"/>
    <w:rsid w:val="00A07514"/>
    <w:rsid w:val="00A07558"/>
    <w:rsid w:val="00A078AB"/>
    <w:rsid w:val="00A102D1"/>
    <w:rsid w:val="00A1031F"/>
    <w:rsid w:val="00A106ED"/>
    <w:rsid w:val="00A108F7"/>
    <w:rsid w:val="00A10914"/>
    <w:rsid w:val="00A109E6"/>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2BF"/>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0F"/>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36"/>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A4"/>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3C"/>
    <w:rsid w:val="00A5356F"/>
    <w:rsid w:val="00A53B53"/>
    <w:rsid w:val="00A53D3C"/>
    <w:rsid w:val="00A54038"/>
    <w:rsid w:val="00A542CD"/>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E6"/>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81"/>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C7A"/>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57"/>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DF"/>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6DC"/>
    <w:rsid w:val="00AC4C08"/>
    <w:rsid w:val="00AC511C"/>
    <w:rsid w:val="00AC5357"/>
    <w:rsid w:val="00AC566A"/>
    <w:rsid w:val="00AC5766"/>
    <w:rsid w:val="00AC5A94"/>
    <w:rsid w:val="00AC5D9D"/>
    <w:rsid w:val="00AC5DDE"/>
    <w:rsid w:val="00AC5F08"/>
    <w:rsid w:val="00AC614A"/>
    <w:rsid w:val="00AC61B4"/>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A38"/>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4CDA"/>
    <w:rsid w:val="00AE516D"/>
    <w:rsid w:val="00AE517E"/>
    <w:rsid w:val="00AE5246"/>
    <w:rsid w:val="00AE5292"/>
    <w:rsid w:val="00AE52B4"/>
    <w:rsid w:val="00AE5349"/>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2C5"/>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A9F"/>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D40"/>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BDD"/>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9C5"/>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BD4"/>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2C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9D5"/>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9DB"/>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CD6"/>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1DE"/>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BA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7F"/>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2D"/>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54"/>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7D"/>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31"/>
    <w:rsid w:val="00C34B49"/>
    <w:rsid w:val="00C34BC4"/>
    <w:rsid w:val="00C35562"/>
    <w:rsid w:val="00C3571B"/>
    <w:rsid w:val="00C35744"/>
    <w:rsid w:val="00C3599A"/>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8D6"/>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2FB1"/>
    <w:rsid w:val="00C534AD"/>
    <w:rsid w:val="00C53669"/>
    <w:rsid w:val="00C536D8"/>
    <w:rsid w:val="00C53937"/>
    <w:rsid w:val="00C53BD5"/>
    <w:rsid w:val="00C53D90"/>
    <w:rsid w:val="00C53DD8"/>
    <w:rsid w:val="00C53ECF"/>
    <w:rsid w:val="00C544E0"/>
    <w:rsid w:val="00C546BE"/>
    <w:rsid w:val="00C54A10"/>
    <w:rsid w:val="00C54A74"/>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C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2C4"/>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0B5"/>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A4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CD9"/>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47"/>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3A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8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C7"/>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AF6"/>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6C9"/>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2D2"/>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4A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4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C5E"/>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2F2"/>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34C"/>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104"/>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ABD"/>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50B"/>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8A"/>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6FE"/>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880"/>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28"/>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4E"/>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377"/>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0F8"/>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8CD"/>
    <w:rsid w:val="00EA0BCD"/>
    <w:rsid w:val="00EA0CC9"/>
    <w:rsid w:val="00EA0E29"/>
    <w:rsid w:val="00EA0E9D"/>
    <w:rsid w:val="00EA0F71"/>
    <w:rsid w:val="00EA10A1"/>
    <w:rsid w:val="00EA14F4"/>
    <w:rsid w:val="00EA17C0"/>
    <w:rsid w:val="00EA17C8"/>
    <w:rsid w:val="00EA1A59"/>
    <w:rsid w:val="00EA1AE4"/>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332"/>
    <w:rsid w:val="00EB6872"/>
    <w:rsid w:val="00EB6CFB"/>
    <w:rsid w:val="00EB6D6E"/>
    <w:rsid w:val="00EB6D94"/>
    <w:rsid w:val="00EB7226"/>
    <w:rsid w:val="00EB73C6"/>
    <w:rsid w:val="00EB74C1"/>
    <w:rsid w:val="00EB75B8"/>
    <w:rsid w:val="00EB770C"/>
    <w:rsid w:val="00EB7891"/>
    <w:rsid w:val="00EB7A91"/>
    <w:rsid w:val="00EB7B29"/>
    <w:rsid w:val="00EB7C3D"/>
    <w:rsid w:val="00EB7D39"/>
    <w:rsid w:val="00EB7DF2"/>
    <w:rsid w:val="00EB7E37"/>
    <w:rsid w:val="00EB7E60"/>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AFD"/>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22"/>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68"/>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AFB"/>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EF7E5C"/>
    <w:rsid w:val="00F001AC"/>
    <w:rsid w:val="00F0058E"/>
    <w:rsid w:val="00F00730"/>
    <w:rsid w:val="00F007FE"/>
    <w:rsid w:val="00F0089D"/>
    <w:rsid w:val="00F00956"/>
    <w:rsid w:val="00F0099B"/>
    <w:rsid w:val="00F00AD9"/>
    <w:rsid w:val="00F00CB6"/>
    <w:rsid w:val="00F00CBB"/>
    <w:rsid w:val="00F011F7"/>
    <w:rsid w:val="00F01261"/>
    <w:rsid w:val="00F01303"/>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722"/>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647"/>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68D"/>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BC8"/>
    <w:rsid w:val="00F524C4"/>
    <w:rsid w:val="00F52537"/>
    <w:rsid w:val="00F5286F"/>
    <w:rsid w:val="00F528A3"/>
    <w:rsid w:val="00F52A05"/>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6EC"/>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A4B"/>
    <w:rsid w:val="00F65C3F"/>
    <w:rsid w:val="00F65DB0"/>
    <w:rsid w:val="00F65F2F"/>
    <w:rsid w:val="00F66038"/>
    <w:rsid w:val="00F660F6"/>
    <w:rsid w:val="00F661AC"/>
    <w:rsid w:val="00F66913"/>
    <w:rsid w:val="00F66ED4"/>
    <w:rsid w:val="00F66FB8"/>
    <w:rsid w:val="00F670C8"/>
    <w:rsid w:val="00F67256"/>
    <w:rsid w:val="00F673B5"/>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9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01B5E"/>
    <w:rsid w:val="01145609"/>
    <w:rsid w:val="012A2737"/>
    <w:rsid w:val="013C3F95"/>
    <w:rsid w:val="01431A4A"/>
    <w:rsid w:val="014632E9"/>
    <w:rsid w:val="015E3DF0"/>
    <w:rsid w:val="01600318"/>
    <w:rsid w:val="01633E9B"/>
    <w:rsid w:val="016814B1"/>
    <w:rsid w:val="0187402D"/>
    <w:rsid w:val="01882AE6"/>
    <w:rsid w:val="01896B66"/>
    <w:rsid w:val="01A93FA3"/>
    <w:rsid w:val="01AF5332"/>
    <w:rsid w:val="021C29C7"/>
    <w:rsid w:val="0221767F"/>
    <w:rsid w:val="02366A4A"/>
    <w:rsid w:val="02402799"/>
    <w:rsid w:val="026424ED"/>
    <w:rsid w:val="027E0A8A"/>
    <w:rsid w:val="0284056C"/>
    <w:rsid w:val="02B40E52"/>
    <w:rsid w:val="02C10E79"/>
    <w:rsid w:val="02D05560"/>
    <w:rsid w:val="02D74B40"/>
    <w:rsid w:val="02D768EE"/>
    <w:rsid w:val="02E1151B"/>
    <w:rsid w:val="02E8704D"/>
    <w:rsid w:val="0305187A"/>
    <w:rsid w:val="031F2043"/>
    <w:rsid w:val="032176C4"/>
    <w:rsid w:val="033767CF"/>
    <w:rsid w:val="03430152"/>
    <w:rsid w:val="03494349"/>
    <w:rsid w:val="035E0DBD"/>
    <w:rsid w:val="0365344B"/>
    <w:rsid w:val="0385634A"/>
    <w:rsid w:val="03863E70"/>
    <w:rsid w:val="03A04F32"/>
    <w:rsid w:val="03B7227C"/>
    <w:rsid w:val="03CD2C53"/>
    <w:rsid w:val="03F11C32"/>
    <w:rsid w:val="03FA7457"/>
    <w:rsid w:val="04025BED"/>
    <w:rsid w:val="040C6A6B"/>
    <w:rsid w:val="04114082"/>
    <w:rsid w:val="04161698"/>
    <w:rsid w:val="0421100A"/>
    <w:rsid w:val="0433224A"/>
    <w:rsid w:val="043B4C5B"/>
    <w:rsid w:val="043D11AF"/>
    <w:rsid w:val="04540AAA"/>
    <w:rsid w:val="045B3205"/>
    <w:rsid w:val="04C410F4"/>
    <w:rsid w:val="04CB2483"/>
    <w:rsid w:val="04D1736D"/>
    <w:rsid w:val="04D52FDE"/>
    <w:rsid w:val="05036D54"/>
    <w:rsid w:val="05045994"/>
    <w:rsid w:val="051E25B2"/>
    <w:rsid w:val="053712F0"/>
    <w:rsid w:val="0543590B"/>
    <w:rsid w:val="05713A8D"/>
    <w:rsid w:val="057D3F7E"/>
    <w:rsid w:val="058B39C0"/>
    <w:rsid w:val="05A131E3"/>
    <w:rsid w:val="05AC4062"/>
    <w:rsid w:val="05B73507"/>
    <w:rsid w:val="05CF1AFF"/>
    <w:rsid w:val="05D64483"/>
    <w:rsid w:val="05E76E48"/>
    <w:rsid w:val="05E80A3D"/>
    <w:rsid w:val="05EA4B8A"/>
    <w:rsid w:val="05F006DD"/>
    <w:rsid w:val="06114142"/>
    <w:rsid w:val="06163BD1"/>
    <w:rsid w:val="06255BC2"/>
    <w:rsid w:val="06265B6D"/>
    <w:rsid w:val="062956B3"/>
    <w:rsid w:val="062C51A3"/>
    <w:rsid w:val="063B53E6"/>
    <w:rsid w:val="063E77F6"/>
    <w:rsid w:val="06475B39"/>
    <w:rsid w:val="06564AA0"/>
    <w:rsid w:val="066B2687"/>
    <w:rsid w:val="067032E2"/>
    <w:rsid w:val="0671705A"/>
    <w:rsid w:val="067967A6"/>
    <w:rsid w:val="068F0665"/>
    <w:rsid w:val="06A92350"/>
    <w:rsid w:val="06F35CC1"/>
    <w:rsid w:val="06F85EC1"/>
    <w:rsid w:val="06F85FB1"/>
    <w:rsid w:val="07056D88"/>
    <w:rsid w:val="07097292"/>
    <w:rsid w:val="07293490"/>
    <w:rsid w:val="07322345"/>
    <w:rsid w:val="073562D9"/>
    <w:rsid w:val="075F79DB"/>
    <w:rsid w:val="07A1571D"/>
    <w:rsid w:val="07B15465"/>
    <w:rsid w:val="07C4737B"/>
    <w:rsid w:val="07DD5C45"/>
    <w:rsid w:val="07E06245"/>
    <w:rsid w:val="08071A24"/>
    <w:rsid w:val="0808579C"/>
    <w:rsid w:val="082A3964"/>
    <w:rsid w:val="08352883"/>
    <w:rsid w:val="084C38DA"/>
    <w:rsid w:val="08683FFA"/>
    <w:rsid w:val="087261FE"/>
    <w:rsid w:val="089D7C92"/>
    <w:rsid w:val="08B374B6"/>
    <w:rsid w:val="08C156D1"/>
    <w:rsid w:val="08CA47FF"/>
    <w:rsid w:val="08D433FC"/>
    <w:rsid w:val="08E25FED"/>
    <w:rsid w:val="08E458C1"/>
    <w:rsid w:val="08E7715F"/>
    <w:rsid w:val="08EA2404"/>
    <w:rsid w:val="09252E2B"/>
    <w:rsid w:val="093A3733"/>
    <w:rsid w:val="09616FCB"/>
    <w:rsid w:val="097053A7"/>
    <w:rsid w:val="09775CC9"/>
    <w:rsid w:val="09787339"/>
    <w:rsid w:val="099A0675"/>
    <w:rsid w:val="09A137B2"/>
    <w:rsid w:val="09AD65FB"/>
    <w:rsid w:val="09C1387F"/>
    <w:rsid w:val="09D17A16"/>
    <w:rsid w:val="09E638BB"/>
    <w:rsid w:val="09E77CCE"/>
    <w:rsid w:val="09EC7123"/>
    <w:rsid w:val="09F47D86"/>
    <w:rsid w:val="0A0F26E6"/>
    <w:rsid w:val="0A1421D6"/>
    <w:rsid w:val="0A3A3D1B"/>
    <w:rsid w:val="0A5B1BB3"/>
    <w:rsid w:val="0A6842D0"/>
    <w:rsid w:val="0A7530C4"/>
    <w:rsid w:val="0A83110A"/>
    <w:rsid w:val="0A892BC4"/>
    <w:rsid w:val="0AA052F0"/>
    <w:rsid w:val="0AA23C86"/>
    <w:rsid w:val="0AAB451F"/>
    <w:rsid w:val="0ACA0AE6"/>
    <w:rsid w:val="0AE9282D"/>
    <w:rsid w:val="0AF50259"/>
    <w:rsid w:val="0AF838A6"/>
    <w:rsid w:val="0AFF2E86"/>
    <w:rsid w:val="0B511D8E"/>
    <w:rsid w:val="0B660C1A"/>
    <w:rsid w:val="0B835865"/>
    <w:rsid w:val="0B871A12"/>
    <w:rsid w:val="0B882E7B"/>
    <w:rsid w:val="0BA92DF2"/>
    <w:rsid w:val="0BB91287"/>
    <w:rsid w:val="0BC67500"/>
    <w:rsid w:val="0BDC7C7C"/>
    <w:rsid w:val="0BF202F5"/>
    <w:rsid w:val="0BFC1173"/>
    <w:rsid w:val="0BFF0FDF"/>
    <w:rsid w:val="0C1F6044"/>
    <w:rsid w:val="0C3B7EEE"/>
    <w:rsid w:val="0C403173"/>
    <w:rsid w:val="0C4E2B00"/>
    <w:rsid w:val="0C6F6F5E"/>
    <w:rsid w:val="0C8D68F1"/>
    <w:rsid w:val="0CA37841"/>
    <w:rsid w:val="0CAC4F99"/>
    <w:rsid w:val="0CAD0271"/>
    <w:rsid w:val="0CB2617B"/>
    <w:rsid w:val="0CB35CD6"/>
    <w:rsid w:val="0CD30490"/>
    <w:rsid w:val="0CDC73B8"/>
    <w:rsid w:val="0CF84031"/>
    <w:rsid w:val="0CFF716D"/>
    <w:rsid w:val="0D020A0B"/>
    <w:rsid w:val="0D091D9A"/>
    <w:rsid w:val="0D0C3638"/>
    <w:rsid w:val="0D186481"/>
    <w:rsid w:val="0D4910D9"/>
    <w:rsid w:val="0D576FA9"/>
    <w:rsid w:val="0D6671EC"/>
    <w:rsid w:val="0D676AC1"/>
    <w:rsid w:val="0D7A2C98"/>
    <w:rsid w:val="0D86163D"/>
    <w:rsid w:val="0D865199"/>
    <w:rsid w:val="0D9755F8"/>
    <w:rsid w:val="0DC57A4E"/>
    <w:rsid w:val="0DC66C5B"/>
    <w:rsid w:val="0DC95679"/>
    <w:rsid w:val="0DCF2F8A"/>
    <w:rsid w:val="0DD8176C"/>
    <w:rsid w:val="0DEE2D3E"/>
    <w:rsid w:val="0E1327A4"/>
    <w:rsid w:val="0E274829"/>
    <w:rsid w:val="0E4D215A"/>
    <w:rsid w:val="0E52151F"/>
    <w:rsid w:val="0E6059EA"/>
    <w:rsid w:val="0E883192"/>
    <w:rsid w:val="0EB61D79"/>
    <w:rsid w:val="0EBA686B"/>
    <w:rsid w:val="0EC87963"/>
    <w:rsid w:val="0ECC796F"/>
    <w:rsid w:val="0ED96344"/>
    <w:rsid w:val="0EED1247"/>
    <w:rsid w:val="0F0C5B71"/>
    <w:rsid w:val="0F221070"/>
    <w:rsid w:val="0F317A87"/>
    <w:rsid w:val="0F4F4DAE"/>
    <w:rsid w:val="0F5166AC"/>
    <w:rsid w:val="0F76123D"/>
    <w:rsid w:val="0F8120BC"/>
    <w:rsid w:val="0F8E2D8D"/>
    <w:rsid w:val="0F990AE3"/>
    <w:rsid w:val="0FA1275E"/>
    <w:rsid w:val="0FA97864"/>
    <w:rsid w:val="0FAB0EE6"/>
    <w:rsid w:val="0FB71F81"/>
    <w:rsid w:val="0FB87AA7"/>
    <w:rsid w:val="0FC658E0"/>
    <w:rsid w:val="0FDD12BC"/>
    <w:rsid w:val="0FE67B78"/>
    <w:rsid w:val="0FEA6EBD"/>
    <w:rsid w:val="10312A85"/>
    <w:rsid w:val="10345380"/>
    <w:rsid w:val="103709CC"/>
    <w:rsid w:val="1082318D"/>
    <w:rsid w:val="108B60DF"/>
    <w:rsid w:val="108D683E"/>
    <w:rsid w:val="10A009CC"/>
    <w:rsid w:val="10A32505"/>
    <w:rsid w:val="10AF3082"/>
    <w:rsid w:val="10B4201D"/>
    <w:rsid w:val="10E24DDC"/>
    <w:rsid w:val="10E723F2"/>
    <w:rsid w:val="10EC17B7"/>
    <w:rsid w:val="10F845FF"/>
    <w:rsid w:val="11324E47"/>
    <w:rsid w:val="116220E5"/>
    <w:rsid w:val="116A739F"/>
    <w:rsid w:val="11823EC9"/>
    <w:rsid w:val="11875983"/>
    <w:rsid w:val="118C11EC"/>
    <w:rsid w:val="11C6652A"/>
    <w:rsid w:val="11E46932"/>
    <w:rsid w:val="1201554F"/>
    <w:rsid w:val="120D40DA"/>
    <w:rsid w:val="122B630F"/>
    <w:rsid w:val="12427BCC"/>
    <w:rsid w:val="12457EB0"/>
    <w:rsid w:val="124F0700"/>
    <w:rsid w:val="125B518D"/>
    <w:rsid w:val="12745F08"/>
    <w:rsid w:val="127557DC"/>
    <w:rsid w:val="12771554"/>
    <w:rsid w:val="129245E0"/>
    <w:rsid w:val="12971BF6"/>
    <w:rsid w:val="12EF6AB8"/>
    <w:rsid w:val="12F40DF6"/>
    <w:rsid w:val="130F3E82"/>
    <w:rsid w:val="131B7280"/>
    <w:rsid w:val="13290365"/>
    <w:rsid w:val="13477178"/>
    <w:rsid w:val="134D0507"/>
    <w:rsid w:val="134F427F"/>
    <w:rsid w:val="13531FC1"/>
    <w:rsid w:val="13596EAB"/>
    <w:rsid w:val="13857CA0"/>
    <w:rsid w:val="13893C35"/>
    <w:rsid w:val="13AA6DA9"/>
    <w:rsid w:val="13D529D6"/>
    <w:rsid w:val="13D749A0"/>
    <w:rsid w:val="14096B23"/>
    <w:rsid w:val="141E46CC"/>
    <w:rsid w:val="14211067"/>
    <w:rsid w:val="14290F74"/>
    <w:rsid w:val="14733869"/>
    <w:rsid w:val="14A5684C"/>
    <w:rsid w:val="14AD3953"/>
    <w:rsid w:val="14B940A6"/>
    <w:rsid w:val="14C13BA3"/>
    <w:rsid w:val="14CE602B"/>
    <w:rsid w:val="14EE6287"/>
    <w:rsid w:val="14F72E20"/>
    <w:rsid w:val="14F94C07"/>
    <w:rsid w:val="15111016"/>
    <w:rsid w:val="151412DC"/>
    <w:rsid w:val="15155054"/>
    <w:rsid w:val="152A6D51"/>
    <w:rsid w:val="15396844"/>
    <w:rsid w:val="1542409B"/>
    <w:rsid w:val="15542020"/>
    <w:rsid w:val="157D4738"/>
    <w:rsid w:val="15961DF1"/>
    <w:rsid w:val="15AE1730"/>
    <w:rsid w:val="15AF1A67"/>
    <w:rsid w:val="15B479FC"/>
    <w:rsid w:val="15D13671"/>
    <w:rsid w:val="15D56295"/>
    <w:rsid w:val="15E909BB"/>
    <w:rsid w:val="15F47BFB"/>
    <w:rsid w:val="15F72E1B"/>
    <w:rsid w:val="16086517"/>
    <w:rsid w:val="160E5EF5"/>
    <w:rsid w:val="162224C7"/>
    <w:rsid w:val="16565924"/>
    <w:rsid w:val="165B2F3A"/>
    <w:rsid w:val="1661039A"/>
    <w:rsid w:val="16733D65"/>
    <w:rsid w:val="167504A0"/>
    <w:rsid w:val="167D7355"/>
    <w:rsid w:val="16826719"/>
    <w:rsid w:val="16AC6F7A"/>
    <w:rsid w:val="16BC7E7D"/>
    <w:rsid w:val="16C86822"/>
    <w:rsid w:val="16CB04F0"/>
    <w:rsid w:val="16F33791"/>
    <w:rsid w:val="170B69CA"/>
    <w:rsid w:val="17392278"/>
    <w:rsid w:val="173F32A6"/>
    <w:rsid w:val="17463BEB"/>
    <w:rsid w:val="177C4A0A"/>
    <w:rsid w:val="179E57D5"/>
    <w:rsid w:val="17CE60BA"/>
    <w:rsid w:val="17D2722C"/>
    <w:rsid w:val="17F33351"/>
    <w:rsid w:val="17F872A5"/>
    <w:rsid w:val="17F92A0B"/>
    <w:rsid w:val="17F93E0B"/>
    <w:rsid w:val="17FD24FB"/>
    <w:rsid w:val="180F1FA9"/>
    <w:rsid w:val="18300B23"/>
    <w:rsid w:val="18463EA2"/>
    <w:rsid w:val="185A794E"/>
    <w:rsid w:val="186500A0"/>
    <w:rsid w:val="186F3ECB"/>
    <w:rsid w:val="18965C7D"/>
    <w:rsid w:val="18975EDC"/>
    <w:rsid w:val="189C1D14"/>
    <w:rsid w:val="18D07C10"/>
    <w:rsid w:val="18D72D4C"/>
    <w:rsid w:val="18F541CA"/>
    <w:rsid w:val="191915B7"/>
    <w:rsid w:val="19235F91"/>
    <w:rsid w:val="19272DEC"/>
    <w:rsid w:val="19306900"/>
    <w:rsid w:val="19333384"/>
    <w:rsid w:val="193C52A5"/>
    <w:rsid w:val="193D46CA"/>
    <w:rsid w:val="195C14A3"/>
    <w:rsid w:val="19886C8E"/>
    <w:rsid w:val="19941D53"/>
    <w:rsid w:val="19A11552"/>
    <w:rsid w:val="19C2408D"/>
    <w:rsid w:val="19C71013"/>
    <w:rsid w:val="19D21766"/>
    <w:rsid w:val="19E00326"/>
    <w:rsid w:val="19F811CC"/>
    <w:rsid w:val="1A0A7151"/>
    <w:rsid w:val="1A0F3EA8"/>
    <w:rsid w:val="1A192627"/>
    <w:rsid w:val="1A1965AD"/>
    <w:rsid w:val="1A206975"/>
    <w:rsid w:val="1A2B52D8"/>
    <w:rsid w:val="1A3348FA"/>
    <w:rsid w:val="1A5403CD"/>
    <w:rsid w:val="1A846F04"/>
    <w:rsid w:val="1AA154CF"/>
    <w:rsid w:val="1AA2738A"/>
    <w:rsid w:val="1AC6751C"/>
    <w:rsid w:val="1AE479A2"/>
    <w:rsid w:val="1AFE1E17"/>
    <w:rsid w:val="1B122A89"/>
    <w:rsid w:val="1B140288"/>
    <w:rsid w:val="1B154000"/>
    <w:rsid w:val="1B177D78"/>
    <w:rsid w:val="1B1D4C62"/>
    <w:rsid w:val="1B26620D"/>
    <w:rsid w:val="1B32070E"/>
    <w:rsid w:val="1B784113"/>
    <w:rsid w:val="1B8847D2"/>
    <w:rsid w:val="1B9A7413"/>
    <w:rsid w:val="1BA157B2"/>
    <w:rsid w:val="1BA84E74"/>
    <w:rsid w:val="1BAC6712"/>
    <w:rsid w:val="1BB455C7"/>
    <w:rsid w:val="1BBB15A8"/>
    <w:rsid w:val="1BDE43F2"/>
    <w:rsid w:val="1BEF4851"/>
    <w:rsid w:val="1BFC2ACA"/>
    <w:rsid w:val="1BFC7D0E"/>
    <w:rsid w:val="1C0E117B"/>
    <w:rsid w:val="1C123812"/>
    <w:rsid w:val="1C13159C"/>
    <w:rsid w:val="1C17430F"/>
    <w:rsid w:val="1C455CA5"/>
    <w:rsid w:val="1C556DAA"/>
    <w:rsid w:val="1C817B9F"/>
    <w:rsid w:val="1C907DE2"/>
    <w:rsid w:val="1C9D42AD"/>
    <w:rsid w:val="1CBD66FD"/>
    <w:rsid w:val="1CBF4223"/>
    <w:rsid w:val="1CCF147D"/>
    <w:rsid w:val="1CD53D90"/>
    <w:rsid w:val="1D0D69C4"/>
    <w:rsid w:val="1D1125A5"/>
    <w:rsid w:val="1D126A49"/>
    <w:rsid w:val="1D2C69D2"/>
    <w:rsid w:val="1D512A3A"/>
    <w:rsid w:val="1D5356C3"/>
    <w:rsid w:val="1D647F5C"/>
    <w:rsid w:val="1D666D95"/>
    <w:rsid w:val="1D752408"/>
    <w:rsid w:val="1D927B8A"/>
    <w:rsid w:val="1DCD348A"/>
    <w:rsid w:val="1DCE662F"/>
    <w:rsid w:val="1DD957B9"/>
    <w:rsid w:val="1DEC163C"/>
    <w:rsid w:val="1DFA599B"/>
    <w:rsid w:val="1DFC7533"/>
    <w:rsid w:val="1E002D45"/>
    <w:rsid w:val="1E092E4C"/>
    <w:rsid w:val="1E124827"/>
    <w:rsid w:val="1E171E3D"/>
    <w:rsid w:val="1E1862E1"/>
    <w:rsid w:val="1E222E44"/>
    <w:rsid w:val="1E2673AA"/>
    <w:rsid w:val="1E371794"/>
    <w:rsid w:val="1E3B7C23"/>
    <w:rsid w:val="1E5135A1"/>
    <w:rsid w:val="1E5F0F63"/>
    <w:rsid w:val="1E714146"/>
    <w:rsid w:val="1E8A0861"/>
    <w:rsid w:val="1E943D37"/>
    <w:rsid w:val="1E9B2A6E"/>
    <w:rsid w:val="1EA2204E"/>
    <w:rsid w:val="1EBA2EF4"/>
    <w:rsid w:val="1EBD7CCE"/>
    <w:rsid w:val="1EBE66A5"/>
    <w:rsid w:val="1EDE2D24"/>
    <w:rsid w:val="1EDE6491"/>
    <w:rsid w:val="1EE53CE9"/>
    <w:rsid w:val="1EE6018D"/>
    <w:rsid w:val="1EE83AA2"/>
    <w:rsid w:val="1EF65EF6"/>
    <w:rsid w:val="1EFD0E7E"/>
    <w:rsid w:val="1F100D66"/>
    <w:rsid w:val="1F1F71FB"/>
    <w:rsid w:val="1F314F45"/>
    <w:rsid w:val="1F43738D"/>
    <w:rsid w:val="1FA976C2"/>
    <w:rsid w:val="1FCF6E73"/>
    <w:rsid w:val="1FE741BD"/>
    <w:rsid w:val="1FE87F35"/>
    <w:rsid w:val="1FEC76D0"/>
    <w:rsid w:val="20052895"/>
    <w:rsid w:val="20085EE1"/>
    <w:rsid w:val="201E473C"/>
    <w:rsid w:val="20397070"/>
    <w:rsid w:val="20592BE1"/>
    <w:rsid w:val="206375BB"/>
    <w:rsid w:val="20692E24"/>
    <w:rsid w:val="207B2B57"/>
    <w:rsid w:val="2094148D"/>
    <w:rsid w:val="20A76077"/>
    <w:rsid w:val="20A91472"/>
    <w:rsid w:val="20AA343C"/>
    <w:rsid w:val="20C20786"/>
    <w:rsid w:val="20DF682B"/>
    <w:rsid w:val="21073E91"/>
    <w:rsid w:val="21110DC5"/>
    <w:rsid w:val="21181FBC"/>
    <w:rsid w:val="21313216"/>
    <w:rsid w:val="21463165"/>
    <w:rsid w:val="21464F13"/>
    <w:rsid w:val="2161283E"/>
    <w:rsid w:val="217F6677"/>
    <w:rsid w:val="2188552B"/>
    <w:rsid w:val="219A700D"/>
    <w:rsid w:val="21D462C2"/>
    <w:rsid w:val="21D93411"/>
    <w:rsid w:val="21DC13D3"/>
    <w:rsid w:val="21E131ED"/>
    <w:rsid w:val="21F04E7F"/>
    <w:rsid w:val="21F36637"/>
    <w:rsid w:val="220B3A67"/>
    <w:rsid w:val="220F7BEB"/>
    <w:rsid w:val="22251450"/>
    <w:rsid w:val="223F24C6"/>
    <w:rsid w:val="2245341D"/>
    <w:rsid w:val="2246271F"/>
    <w:rsid w:val="22522AEE"/>
    <w:rsid w:val="2260049A"/>
    <w:rsid w:val="226167B4"/>
    <w:rsid w:val="22617B2B"/>
    <w:rsid w:val="22765384"/>
    <w:rsid w:val="22873A35"/>
    <w:rsid w:val="228C104B"/>
    <w:rsid w:val="22B91715"/>
    <w:rsid w:val="22BA5BB9"/>
    <w:rsid w:val="22C95DFC"/>
    <w:rsid w:val="230A641B"/>
    <w:rsid w:val="231F3C6E"/>
    <w:rsid w:val="23263090"/>
    <w:rsid w:val="23474F72"/>
    <w:rsid w:val="239E00B4"/>
    <w:rsid w:val="23A10B26"/>
    <w:rsid w:val="23DC309A"/>
    <w:rsid w:val="23E46C65"/>
    <w:rsid w:val="23FC534D"/>
    <w:rsid w:val="240115C5"/>
    <w:rsid w:val="241A0820"/>
    <w:rsid w:val="242157C3"/>
    <w:rsid w:val="24265E4B"/>
    <w:rsid w:val="24303C58"/>
    <w:rsid w:val="24453310"/>
    <w:rsid w:val="24547947"/>
    <w:rsid w:val="246D6C5B"/>
    <w:rsid w:val="24883913"/>
    <w:rsid w:val="249E0BC2"/>
    <w:rsid w:val="24A57AD8"/>
    <w:rsid w:val="24B16B47"/>
    <w:rsid w:val="24C543A1"/>
    <w:rsid w:val="24E25DF0"/>
    <w:rsid w:val="24F87C1D"/>
    <w:rsid w:val="250550E5"/>
    <w:rsid w:val="251E1D03"/>
    <w:rsid w:val="251E74A4"/>
    <w:rsid w:val="252F1AE8"/>
    <w:rsid w:val="2547125A"/>
    <w:rsid w:val="25480CB6"/>
    <w:rsid w:val="255B3C2A"/>
    <w:rsid w:val="25710085"/>
    <w:rsid w:val="25902C01"/>
    <w:rsid w:val="25B20DC9"/>
    <w:rsid w:val="25C1100C"/>
    <w:rsid w:val="25C11EEE"/>
    <w:rsid w:val="25CE47EF"/>
    <w:rsid w:val="2608534E"/>
    <w:rsid w:val="26190E48"/>
    <w:rsid w:val="262B521C"/>
    <w:rsid w:val="262C78E7"/>
    <w:rsid w:val="263F63D5"/>
    <w:rsid w:val="266106C5"/>
    <w:rsid w:val="26621CD9"/>
    <w:rsid w:val="26832765"/>
    <w:rsid w:val="268D40BD"/>
    <w:rsid w:val="269A6A51"/>
    <w:rsid w:val="269B7AAF"/>
    <w:rsid w:val="26A5092E"/>
    <w:rsid w:val="26B95B6C"/>
    <w:rsid w:val="26D032CE"/>
    <w:rsid w:val="26D22DA5"/>
    <w:rsid w:val="26FB054E"/>
    <w:rsid w:val="270E3D1E"/>
    <w:rsid w:val="270F7EAA"/>
    <w:rsid w:val="27127EDB"/>
    <w:rsid w:val="27245452"/>
    <w:rsid w:val="274041B2"/>
    <w:rsid w:val="27716A62"/>
    <w:rsid w:val="277B168E"/>
    <w:rsid w:val="27843CE5"/>
    <w:rsid w:val="279B3ADF"/>
    <w:rsid w:val="279F4CC8"/>
    <w:rsid w:val="27A3095D"/>
    <w:rsid w:val="27B0758A"/>
    <w:rsid w:val="27DB3EDB"/>
    <w:rsid w:val="27F01B2B"/>
    <w:rsid w:val="27F84A83"/>
    <w:rsid w:val="27FE01F8"/>
    <w:rsid w:val="28034C6D"/>
    <w:rsid w:val="281A0EA7"/>
    <w:rsid w:val="28550131"/>
    <w:rsid w:val="286B34B1"/>
    <w:rsid w:val="286E6AFD"/>
    <w:rsid w:val="288F143F"/>
    <w:rsid w:val="288F719F"/>
    <w:rsid w:val="28904CC6"/>
    <w:rsid w:val="28AF339E"/>
    <w:rsid w:val="28C77708"/>
    <w:rsid w:val="28DB0637"/>
    <w:rsid w:val="28E86B18"/>
    <w:rsid w:val="28E87FDB"/>
    <w:rsid w:val="29177195"/>
    <w:rsid w:val="291E6775"/>
    <w:rsid w:val="29312005"/>
    <w:rsid w:val="29607A06"/>
    <w:rsid w:val="296444E9"/>
    <w:rsid w:val="29705B8D"/>
    <w:rsid w:val="297113EB"/>
    <w:rsid w:val="29BB1C3D"/>
    <w:rsid w:val="29BD7D3C"/>
    <w:rsid w:val="29CC7F7F"/>
    <w:rsid w:val="29E11C7D"/>
    <w:rsid w:val="29FD638B"/>
    <w:rsid w:val="2A092F82"/>
    <w:rsid w:val="2A0C4820"/>
    <w:rsid w:val="2A375D41"/>
    <w:rsid w:val="2A3864A5"/>
    <w:rsid w:val="2A433901"/>
    <w:rsid w:val="2A634F60"/>
    <w:rsid w:val="2A751DA9"/>
    <w:rsid w:val="2A7A6581"/>
    <w:rsid w:val="2A840A03"/>
    <w:rsid w:val="2A866380"/>
    <w:rsid w:val="2A88659C"/>
    <w:rsid w:val="2A9E05E0"/>
    <w:rsid w:val="2AA9206F"/>
    <w:rsid w:val="2AC11AAE"/>
    <w:rsid w:val="2AC1385C"/>
    <w:rsid w:val="2AC33130"/>
    <w:rsid w:val="2AF459E0"/>
    <w:rsid w:val="2B0674C1"/>
    <w:rsid w:val="2B261911"/>
    <w:rsid w:val="2B2636BF"/>
    <w:rsid w:val="2B323C8D"/>
    <w:rsid w:val="2B45448D"/>
    <w:rsid w:val="2B856125"/>
    <w:rsid w:val="2B8C3E6A"/>
    <w:rsid w:val="2BA20143"/>
    <w:rsid w:val="2BC52ED8"/>
    <w:rsid w:val="2BC97038"/>
    <w:rsid w:val="2BDB26FC"/>
    <w:rsid w:val="2BDD3CFB"/>
    <w:rsid w:val="2BEE519C"/>
    <w:rsid w:val="2BF612E4"/>
    <w:rsid w:val="2BF65788"/>
    <w:rsid w:val="2BFC0FF0"/>
    <w:rsid w:val="2C077995"/>
    <w:rsid w:val="2C080911"/>
    <w:rsid w:val="2C2422F5"/>
    <w:rsid w:val="2C355C6B"/>
    <w:rsid w:val="2C67489F"/>
    <w:rsid w:val="2CA75914"/>
    <w:rsid w:val="2CBF5AC1"/>
    <w:rsid w:val="2CCB09C2"/>
    <w:rsid w:val="2CDF7FCA"/>
    <w:rsid w:val="2CE35D0C"/>
    <w:rsid w:val="2CEE645F"/>
    <w:rsid w:val="2D045C82"/>
    <w:rsid w:val="2D0619FA"/>
    <w:rsid w:val="2D2C76B3"/>
    <w:rsid w:val="2D485B6F"/>
    <w:rsid w:val="2D6829FA"/>
    <w:rsid w:val="2D6D1A79"/>
    <w:rsid w:val="2D7311A2"/>
    <w:rsid w:val="2D7500C1"/>
    <w:rsid w:val="2DC72F38"/>
    <w:rsid w:val="2E27171A"/>
    <w:rsid w:val="2E3D31FA"/>
    <w:rsid w:val="2E560813"/>
    <w:rsid w:val="2E56250D"/>
    <w:rsid w:val="2E644C2A"/>
    <w:rsid w:val="2E814F92"/>
    <w:rsid w:val="2ECA17B2"/>
    <w:rsid w:val="2F1B6803"/>
    <w:rsid w:val="2F281469"/>
    <w:rsid w:val="2F4601B0"/>
    <w:rsid w:val="2F4A02C4"/>
    <w:rsid w:val="2F5729E1"/>
    <w:rsid w:val="2F59133A"/>
    <w:rsid w:val="2F5E5B1E"/>
    <w:rsid w:val="2F5F34C4"/>
    <w:rsid w:val="2FC013DE"/>
    <w:rsid w:val="2FC31E25"/>
    <w:rsid w:val="2FDD4C94"/>
    <w:rsid w:val="2FEA115F"/>
    <w:rsid w:val="2FF26266"/>
    <w:rsid w:val="30000983"/>
    <w:rsid w:val="30055F99"/>
    <w:rsid w:val="301C11B5"/>
    <w:rsid w:val="301C1A9D"/>
    <w:rsid w:val="30295295"/>
    <w:rsid w:val="3034687E"/>
    <w:rsid w:val="3038011D"/>
    <w:rsid w:val="30470360"/>
    <w:rsid w:val="30795387"/>
    <w:rsid w:val="308E2433"/>
    <w:rsid w:val="30A1738A"/>
    <w:rsid w:val="30A567B5"/>
    <w:rsid w:val="30AE6631"/>
    <w:rsid w:val="30BA3228"/>
    <w:rsid w:val="30BC01A9"/>
    <w:rsid w:val="30BD6874"/>
    <w:rsid w:val="30BF439A"/>
    <w:rsid w:val="30C96EAA"/>
    <w:rsid w:val="30CD0E88"/>
    <w:rsid w:val="30D77936"/>
    <w:rsid w:val="30DA363F"/>
    <w:rsid w:val="30DF67EA"/>
    <w:rsid w:val="30EE4C7F"/>
    <w:rsid w:val="30FA7AC8"/>
    <w:rsid w:val="30FC114A"/>
    <w:rsid w:val="31010E56"/>
    <w:rsid w:val="31077AEF"/>
    <w:rsid w:val="310D3357"/>
    <w:rsid w:val="311A1F18"/>
    <w:rsid w:val="3126266B"/>
    <w:rsid w:val="31271430"/>
    <w:rsid w:val="31293F09"/>
    <w:rsid w:val="312D39F9"/>
    <w:rsid w:val="313E5C07"/>
    <w:rsid w:val="315A2315"/>
    <w:rsid w:val="315C42DF"/>
    <w:rsid w:val="319011CB"/>
    <w:rsid w:val="31A359FC"/>
    <w:rsid w:val="31A87524"/>
    <w:rsid w:val="31B7169F"/>
    <w:rsid w:val="31B7224A"/>
    <w:rsid w:val="31BB1CA7"/>
    <w:rsid w:val="31DA4A4D"/>
    <w:rsid w:val="31DC5891"/>
    <w:rsid w:val="31E247E4"/>
    <w:rsid w:val="31EB1A82"/>
    <w:rsid w:val="31FD7EE0"/>
    <w:rsid w:val="320C7AB3"/>
    <w:rsid w:val="321E1594"/>
    <w:rsid w:val="3220530C"/>
    <w:rsid w:val="32235B57"/>
    <w:rsid w:val="323C401E"/>
    <w:rsid w:val="32714AAD"/>
    <w:rsid w:val="32794A1C"/>
    <w:rsid w:val="327A0EC0"/>
    <w:rsid w:val="328A60DF"/>
    <w:rsid w:val="328B75C3"/>
    <w:rsid w:val="32955E08"/>
    <w:rsid w:val="32A221C5"/>
    <w:rsid w:val="32A67694"/>
    <w:rsid w:val="32A745A4"/>
    <w:rsid w:val="32B4184F"/>
    <w:rsid w:val="32C65EB4"/>
    <w:rsid w:val="32D725EC"/>
    <w:rsid w:val="32EB653A"/>
    <w:rsid w:val="32EE7611"/>
    <w:rsid w:val="32FF4F4D"/>
    <w:rsid w:val="331E587B"/>
    <w:rsid w:val="33302154"/>
    <w:rsid w:val="3332721A"/>
    <w:rsid w:val="334078AF"/>
    <w:rsid w:val="33510A49"/>
    <w:rsid w:val="335D5F5C"/>
    <w:rsid w:val="335E60EC"/>
    <w:rsid w:val="337C36E9"/>
    <w:rsid w:val="337E2DBA"/>
    <w:rsid w:val="337E678E"/>
    <w:rsid w:val="33A67A93"/>
    <w:rsid w:val="33DE0FDB"/>
    <w:rsid w:val="33E04D53"/>
    <w:rsid w:val="33E5680D"/>
    <w:rsid w:val="33FB1B8D"/>
    <w:rsid w:val="341964B7"/>
    <w:rsid w:val="34313801"/>
    <w:rsid w:val="34367069"/>
    <w:rsid w:val="344551F7"/>
    <w:rsid w:val="3446796C"/>
    <w:rsid w:val="347A56C5"/>
    <w:rsid w:val="34825E0A"/>
    <w:rsid w:val="348558FB"/>
    <w:rsid w:val="34A915E9"/>
    <w:rsid w:val="34AA3546"/>
    <w:rsid w:val="34AF5B21"/>
    <w:rsid w:val="34B671E5"/>
    <w:rsid w:val="34CA64D7"/>
    <w:rsid w:val="34EC597A"/>
    <w:rsid w:val="34EF0FC6"/>
    <w:rsid w:val="34F30AB6"/>
    <w:rsid w:val="350E769E"/>
    <w:rsid w:val="350F6D2B"/>
    <w:rsid w:val="351F3659"/>
    <w:rsid w:val="35236B40"/>
    <w:rsid w:val="35301D0A"/>
    <w:rsid w:val="35417A73"/>
    <w:rsid w:val="354B444E"/>
    <w:rsid w:val="3553571A"/>
    <w:rsid w:val="35551771"/>
    <w:rsid w:val="355D41B7"/>
    <w:rsid w:val="35656B33"/>
    <w:rsid w:val="35661288"/>
    <w:rsid w:val="35847960"/>
    <w:rsid w:val="359E1531"/>
    <w:rsid w:val="35A11704"/>
    <w:rsid w:val="35A40759"/>
    <w:rsid w:val="35B446E9"/>
    <w:rsid w:val="36080591"/>
    <w:rsid w:val="360D204B"/>
    <w:rsid w:val="36146F36"/>
    <w:rsid w:val="36203B2D"/>
    <w:rsid w:val="36226CDD"/>
    <w:rsid w:val="36392E40"/>
    <w:rsid w:val="363B7262"/>
    <w:rsid w:val="364E33CA"/>
    <w:rsid w:val="36525CB0"/>
    <w:rsid w:val="36A93B22"/>
    <w:rsid w:val="36B64491"/>
    <w:rsid w:val="36BB1AA7"/>
    <w:rsid w:val="36C97D20"/>
    <w:rsid w:val="36DD5980"/>
    <w:rsid w:val="36F950B8"/>
    <w:rsid w:val="3700570C"/>
    <w:rsid w:val="37046B9A"/>
    <w:rsid w:val="37214358"/>
    <w:rsid w:val="37256F21"/>
    <w:rsid w:val="37335AE2"/>
    <w:rsid w:val="373577F2"/>
    <w:rsid w:val="3743216D"/>
    <w:rsid w:val="377A101B"/>
    <w:rsid w:val="37A662B4"/>
    <w:rsid w:val="37BF1123"/>
    <w:rsid w:val="37D06517"/>
    <w:rsid w:val="37D72917"/>
    <w:rsid w:val="37FF7772"/>
    <w:rsid w:val="3814321D"/>
    <w:rsid w:val="38170F5F"/>
    <w:rsid w:val="38253FBA"/>
    <w:rsid w:val="38402264"/>
    <w:rsid w:val="384855BD"/>
    <w:rsid w:val="385C2E16"/>
    <w:rsid w:val="388365F5"/>
    <w:rsid w:val="3894435E"/>
    <w:rsid w:val="38A20DF8"/>
    <w:rsid w:val="38AF2F46"/>
    <w:rsid w:val="38B003F2"/>
    <w:rsid w:val="38EA4AED"/>
    <w:rsid w:val="38F17A02"/>
    <w:rsid w:val="38FB43DD"/>
    <w:rsid w:val="391D25A6"/>
    <w:rsid w:val="3934169D"/>
    <w:rsid w:val="393D0552"/>
    <w:rsid w:val="393F42CA"/>
    <w:rsid w:val="3956037C"/>
    <w:rsid w:val="39627FB8"/>
    <w:rsid w:val="396E4BAF"/>
    <w:rsid w:val="39786BA4"/>
    <w:rsid w:val="397C551E"/>
    <w:rsid w:val="39810D86"/>
    <w:rsid w:val="398E5251"/>
    <w:rsid w:val="39A02C9B"/>
    <w:rsid w:val="39AE4D04"/>
    <w:rsid w:val="39B12CEE"/>
    <w:rsid w:val="39BF365D"/>
    <w:rsid w:val="39C742BF"/>
    <w:rsid w:val="39D030B9"/>
    <w:rsid w:val="39E3559D"/>
    <w:rsid w:val="3A1219DE"/>
    <w:rsid w:val="3A175247"/>
    <w:rsid w:val="3A1C285D"/>
    <w:rsid w:val="3A2B16AE"/>
    <w:rsid w:val="3A402B0E"/>
    <w:rsid w:val="3A541FF7"/>
    <w:rsid w:val="3A5F63CC"/>
    <w:rsid w:val="3A700B09"/>
    <w:rsid w:val="3A816B64"/>
    <w:rsid w:val="3A8521B0"/>
    <w:rsid w:val="3A8A77C7"/>
    <w:rsid w:val="3A95616C"/>
    <w:rsid w:val="3AA54601"/>
    <w:rsid w:val="3AAD7E77"/>
    <w:rsid w:val="3AB46F3A"/>
    <w:rsid w:val="3AB82C02"/>
    <w:rsid w:val="3AC3717D"/>
    <w:rsid w:val="3AC86541"/>
    <w:rsid w:val="3AD33C54"/>
    <w:rsid w:val="3ADE5D64"/>
    <w:rsid w:val="3B021A53"/>
    <w:rsid w:val="3B251BE5"/>
    <w:rsid w:val="3B2714BA"/>
    <w:rsid w:val="3B675D5A"/>
    <w:rsid w:val="3B7C3B26"/>
    <w:rsid w:val="3B8D7293"/>
    <w:rsid w:val="3B9308FD"/>
    <w:rsid w:val="3B954FF7"/>
    <w:rsid w:val="3B9F3746"/>
    <w:rsid w:val="3BA743A8"/>
    <w:rsid w:val="3BB50897"/>
    <w:rsid w:val="3BBD3BCC"/>
    <w:rsid w:val="3BCB6780"/>
    <w:rsid w:val="3BD83E3D"/>
    <w:rsid w:val="3BE94ED9"/>
    <w:rsid w:val="3C17152E"/>
    <w:rsid w:val="3C1D466B"/>
    <w:rsid w:val="3C1D64D3"/>
    <w:rsid w:val="3C553E04"/>
    <w:rsid w:val="3C616750"/>
    <w:rsid w:val="3C6B6B16"/>
    <w:rsid w:val="3C706E90"/>
    <w:rsid w:val="3C8F04C5"/>
    <w:rsid w:val="3C925059"/>
    <w:rsid w:val="3C9C5ED7"/>
    <w:rsid w:val="3CC82828"/>
    <w:rsid w:val="3CCA65A0"/>
    <w:rsid w:val="3CCC6D50"/>
    <w:rsid w:val="3CE753A4"/>
    <w:rsid w:val="3D090932"/>
    <w:rsid w:val="3D193084"/>
    <w:rsid w:val="3D2D2523"/>
    <w:rsid w:val="3D301C3C"/>
    <w:rsid w:val="3D314871"/>
    <w:rsid w:val="3D3B56F0"/>
    <w:rsid w:val="3D3D3216"/>
    <w:rsid w:val="3D51281E"/>
    <w:rsid w:val="3D5241B2"/>
    <w:rsid w:val="3D540560"/>
    <w:rsid w:val="3D6F7148"/>
    <w:rsid w:val="3D7D3613"/>
    <w:rsid w:val="3D7E738B"/>
    <w:rsid w:val="3D834043"/>
    <w:rsid w:val="3D891FB8"/>
    <w:rsid w:val="3DAD6457"/>
    <w:rsid w:val="3DAF5796"/>
    <w:rsid w:val="3DBA4867"/>
    <w:rsid w:val="3DD376D7"/>
    <w:rsid w:val="3DE511B8"/>
    <w:rsid w:val="3DEC38A8"/>
    <w:rsid w:val="3DF31B27"/>
    <w:rsid w:val="3E1321C9"/>
    <w:rsid w:val="3E1A1532"/>
    <w:rsid w:val="3E2919ED"/>
    <w:rsid w:val="3E38578C"/>
    <w:rsid w:val="3E391C30"/>
    <w:rsid w:val="3E522CF1"/>
    <w:rsid w:val="3E6622F9"/>
    <w:rsid w:val="3E6C6D1B"/>
    <w:rsid w:val="3E6E11AD"/>
    <w:rsid w:val="3E795A0B"/>
    <w:rsid w:val="3E7964D0"/>
    <w:rsid w:val="3E7D3916"/>
    <w:rsid w:val="3E863C2C"/>
    <w:rsid w:val="3E993D11"/>
    <w:rsid w:val="3EAA6689"/>
    <w:rsid w:val="3EBA19CC"/>
    <w:rsid w:val="3EBA43F3"/>
    <w:rsid w:val="3EC3774B"/>
    <w:rsid w:val="3EC60FE9"/>
    <w:rsid w:val="3EDE6333"/>
    <w:rsid w:val="3EE651E8"/>
    <w:rsid w:val="3EF36AD2"/>
    <w:rsid w:val="3F06588A"/>
    <w:rsid w:val="3F1B7587"/>
    <w:rsid w:val="3F281CA4"/>
    <w:rsid w:val="3F2A77CA"/>
    <w:rsid w:val="3F3E5024"/>
    <w:rsid w:val="3F454604"/>
    <w:rsid w:val="3F542A99"/>
    <w:rsid w:val="3F696545"/>
    <w:rsid w:val="3F7E18C4"/>
    <w:rsid w:val="3F8808B2"/>
    <w:rsid w:val="3F9B2476"/>
    <w:rsid w:val="3FAC01DF"/>
    <w:rsid w:val="3FB16362"/>
    <w:rsid w:val="3FC31934"/>
    <w:rsid w:val="3FCC443E"/>
    <w:rsid w:val="3FE07E89"/>
    <w:rsid w:val="3FF61BAB"/>
    <w:rsid w:val="401F09B1"/>
    <w:rsid w:val="405A40DF"/>
    <w:rsid w:val="406739AC"/>
    <w:rsid w:val="406867FC"/>
    <w:rsid w:val="408E5B37"/>
    <w:rsid w:val="40907B01"/>
    <w:rsid w:val="409F1AF2"/>
    <w:rsid w:val="40A23670"/>
    <w:rsid w:val="40B25CC9"/>
    <w:rsid w:val="40D93256"/>
    <w:rsid w:val="4104731D"/>
    <w:rsid w:val="411B561D"/>
    <w:rsid w:val="412070D7"/>
    <w:rsid w:val="41263FC1"/>
    <w:rsid w:val="41333716"/>
    <w:rsid w:val="413B7A6D"/>
    <w:rsid w:val="415B3C6B"/>
    <w:rsid w:val="4170691C"/>
    <w:rsid w:val="41854814"/>
    <w:rsid w:val="419B29C6"/>
    <w:rsid w:val="41BD4926"/>
    <w:rsid w:val="41C81F24"/>
    <w:rsid w:val="41E30AE3"/>
    <w:rsid w:val="41FD0DBC"/>
    <w:rsid w:val="420460B1"/>
    <w:rsid w:val="420757C4"/>
    <w:rsid w:val="421123ED"/>
    <w:rsid w:val="422F062E"/>
    <w:rsid w:val="42613503"/>
    <w:rsid w:val="42617F3E"/>
    <w:rsid w:val="42703746"/>
    <w:rsid w:val="427A2817"/>
    <w:rsid w:val="427A6373"/>
    <w:rsid w:val="42825463"/>
    <w:rsid w:val="42A258CA"/>
    <w:rsid w:val="42AE53D1"/>
    <w:rsid w:val="42B96C9A"/>
    <w:rsid w:val="42C13FA2"/>
    <w:rsid w:val="42CD0A98"/>
    <w:rsid w:val="42F73E67"/>
    <w:rsid w:val="430B7913"/>
    <w:rsid w:val="43106CD7"/>
    <w:rsid w:val="431A0C09"/>
    <w:rsid w:val="432664FB"/>
    <w:rsid w:val="432B1D63"/>
    <w:rsid w:val="43302ED5"/>
    <w:rsid w:val="434F77FF"/>
    <w:rsid w:val="43543068"/>
    <w:rsid w:val="435C1F1C"/>
    <w:rsid w:val="43721740"/>
    <w:rsid w:val="43747C70"/>
    <w:rsid w:val="43776D56"/>
    <w:rsid w:val="438D604B"/>
    <w:rsid w:val="43924E1D"/>
    <w:rsid w:val="43A47886"/>
    <w:rsid w:val="43B0057E"/>
    <w:rsid w:val="43D16466"/>
    <w:rsid w:val="43D32954"/>
    <w:rsid w:val="43E75C8A"/>
    <w:rsid w:val="43F97556"/>
    <w:rsid w:val="442339D8"/>
    <w:rsid w:val="442B3B94"/>
    <w:rsid w:val="444E5D09"/>
    <w:rsid w:val="444F55DD"/>
    <w:rsid w:val="44586B88"/>
    <w:rsid w:val="445A5048"/>
    <w:rsid w:val="445D0D68"/>
    <w:rsid w:val="447F4114"/>
    <w:rsid w:val="44867251"/>
    <w:rsid w:val="449D0A3E"/>
    <w:rsid w:val="44C52058"/>
    <w:rsid w:val="44D53D34"/>
    <w:rsid w:val="450B1E4C"/>
    <w:rsid w:val="45172894"/>
    <w:rsid w:val="45516873"/>
    <w:rsid w:val="45521829"/>
    <w:rsid w:val="456D48BF"/>
    <w:rsid w:val="456F5F37"/>
    <w:rsid w:val="4571330C"/>
    <w:rsid w:val="45B60D3B"/>
    <w:rsid w:val="45C269AF"/>
    <w:rsid w:val="45C344D5"/>
    <w:rsid w:val="45C864B7"/>
    <w:rsid w:val="45CD7101"/>
    <w:rsid w:val="45EB4473"/>
    <w:rsid w:val="4620004A"/>
    <w:rsid w:val="46357180"/>
    <w:rsid w:val="464A0752"/>
    <w:rsid w:val="465B295F"/>
    <w:rsid w:val="465E4B3A"/>
    <w:rsid w:val="465F41FD"/>
    <w:rsid w:val="466545A0"/>
    <w:rsid w:val="466B5AD5"/>
    <w:rsid w:val="468D0B22"/>
    <w:rsid w:val="46931AAA"/>
    <w:rsid w:val="46B1257F"/>
    <w:rsid w:val="46B85724"/>
    <w:rsid w:val="46BA1434"/>
    <w:rsid w:val="46C75FA8"/>
    <w:rsid w:val="46D71FE6"/>
    <w:rsid w:val="46DD15C6"/>
    <w:rsid w:val="46E82445"/>
    <w:rsid w:val="46E93AC7"/>
    <w:rsid w:val="46EB783F"/>
    <w:rsid w:val="47084895"/>
    <w:rsid w:val="470B6133"/>
    <w:rsid w:val="47150D60"/>
    <w:rsid w:val="471F1BDF"/>
    <w:rsid w:val="472965B9"/>
    <w:rsid w:val="47514501"/>
    <w:rsid w:val="47535FF2"/>
    <w:rsid w:val="47806BD0"/>
    <w:rsid w:val="47857D64"/>
    <w:rsid w:val="47AF6220"/>
    <w:rsid w:val="47CF1229"/>
    <w:rsid w:val="47E26E94"/>
    <w:rsid w:val="47FB4CDC"/>
    <w:rsid w:val="47FC4AB9"/>
    <w:rsid w:val="48013092"/>
    <w:rsid w:val="480763F2"/>
    <w:rsid w:val="480E2158"/>
    <w:rsid w:val="481544B7"/>
    <w:rsid w:val="481821DF"/>
    <w:rsid w:val="48221986"/>
    <w:rsid w:val="48286871"/>
    <w:rsid w:val="48693111"/>
    <w:rsid w:val="487970CD"/>
    <w:rsid w:val="487A30EC"/>
    <w:rsid w:val="48822425"/>
    <w:rsid w:val="4884619D"/>
    <w:rsid w:val="488E34C4"/>
    <w:rsid w:val="488E4926"/>
    <w:rsid w:val="4893018E"/>
    <w:rsid w:val="489B5295"/>
    <w:rsid w:val="489F4D85"/>
    <w:rsid w:val="48AB6B84"/>
    <w:rsid w:val="48B60321"/>
    <w:rsid w:val="48BD345D"/>
    <w:rsid w:val="48DA71E2"/>
    <w:rsid w:val="48F5140F"/>
    <w:rsid w:val="49107A31"/>
    <w:rsid w:val="49184B37"/>
    <w:rsid w:val="49301E81"/>
    <w:rsid w:val="49373210"/>
    <w:rsid w:val="49443F56"/>
    <w:rsid w:val="494E2307"/>
    <w:rsid w:val="498D72D3"/>
    <w:rsid w:val="49A34401"/>
    <w:rsid w:val="49BF6D61"/>
    <w:rsid w:val="49CA4084"/>
    <w:rsid w:val="49D13DB2"/>
    <w:rsid w:val="49D85505"/>
    <w:rsid w:val="49E8504D"/>
    <w:rsid w:val="49F64E79"/>
    <w:rsid w:val="49F66C27"/>
    <w:rsid w:val="4A007AA5"/>
    <w:rsid w:val="4A194ED2"/>
    <w:rsid w:val="4A3E412A"/>
    <w:rsid w:val="4A45370A"/>
    <w:rsid w:val="4A496842"/>
    <w:rsid w:val="4A834233"/>
    <w:rsid w:val="4A871F75"/>
    <w:rsid w:val="4AA23FB0"/>
    <w:rsid w:val="4AA32E2B"/>
    <w:rsid w:val="4AB22B1A"/>
    <w:rsid w:val="4AEC627C"/>
    <w:rsid w:val="4AEE78FE"/>
    <w:rsid w:val="4AF55130"/>
    <w:rsid w:val="4AFB026D"/>
    <w:rsid w:val="4B1B26BD"/>
    <w:rsid w:val="4B2326A9"/>
    <w:rsid w:val="4B240863"/>
    <w:rsid w:val="4B2E419E"/>
    <w:rsid w:val="4B303BC6"/>
    <w:rsid w:val="4B483CBF"/>
    <w:rsid w:val="4B494296"/>
    <w:rsid w:val="4B5D2CD5"/>
    <w:rsid w:val="4B65373A"/>
    <w:rsid w:val="4B897627"/>
    <w:rsid w:val="4BB26B7D"/>
    <w:rsid w:val="4BB943B0"/>
    <w:rsid w:val="4BBA1ED6"/>
    <w:rsid w:val="4BDA60D4"/>
    <w:rsid w:val="4BE13907"/>
    <w:rsid w:val="4BEF4EAB"/>
    <w:rsid w:val="4C147838"/>
    <w:rsid w:val="4C515F55"/>
    <w:rsid w:val="4C5E6D05"/>
    <w:rsid w:val="4C714C8A"/>
    <w:rsid w:val="4C942B6D"/>
    <w:rsid w:val="4CBD44DF"/>
    <w:rsid w:val="4CC0176E"/>
    <w:rsid w:val="4CE832E1"/>
    <w:rsid w:val="4CE94821"/>
    <w:rsid w:val="4D00163A"/>
    <w:rsid w:val="4D043409"/>
    <w:rsid w:val="4D297313"/>
    <w:rsid w:val="4D3616E2"/>
    <w:rsid w:val="4D3B2BA3"/>
    <w:rsid w:val="4D4001B9"/>
    <w:rsid w:val="4D4759EB"/>
    <w:rsid w:val="4D4D1254"/>
    <w:rsid w:val="4D4E1E3C"/>
    <w:rsid w:val="4D57716C"/>
    <w:rsid w:val="4D761E2D"/>
    <w:rsid w:val="4D7678F0"/>
    <w:rsid w:val="4D9046D4"/>
    <w:rsid w:val="4D9217B5"/>
    <w:rsid w:val="4D92750F"/>
    <w:rsid w:val="4D994499"/>
    <w:rsid w:val="4DA4699A"/>
    <w:rsid w:val="4DB82445"/>
    <w:rsid w:val="4DBA7F6B"/>
    <w:rsid w:val="4DD820A4"/>
    <w:rsid w:val="4DE80F7C"/>
    <w:rsid w:val="4E023DAE"/>
    <w:rsid w:val="4E121C82"/>
    <w:rsid w:val="4E3B72FE"/>
    <w:rsid w:val="4E436684"/>
    <w:rsid w:val="4E467A51"/>
    <w:rsid w:val="4E5C54C6"/>
    <w:rsid w:val="4E6D3230"/>
    <w:rsid w:val="4E726A98"/>
    <w:rsid w:val="4EAF55F6"/>
    <w:rsid w:val="4EB250E6"/>
    <w:rsid w:val="4EB73652"/>
    <w:rsid w:val="4EBF14E6"/>
    <w:rsid w:val="4ED27537"/>
    <w:rsid w:val="4ED43D42"/>
    <w:rsid w:val="4ED80FF1"/>
    <w:rsid w:val="4EDB3AAB"/>
    <w:rsid w:val="4EE7471F"/>
    <w:rsid w:val="4EEF1E97"/>
    <w:rsid w:val="4F0F5BE3"/>
    <w:rsid w:val="4F247D92"/>
    <w:rsid w:val="4F307E45"/>
    <w:rsid w:val="4F4F373F"/>
    <w:rsid w:val="4F5D14F6"/>
    <w:rsid w:val="4F756840"/>
    <w:rsid w:val="4F85070E"/>
    <w:rsid w:val="4F9071D6"/>
    <w:rsid w:val="4F916CEB"/>
    <w:rsid w:val="4FA7451F"/>
    <w:rsid w:val="4FB8497E"/>
    <w:rsid w:val="4FBA65F5"/>
    <w:rsid w:val="4FCB0A29"/>
    <w:rsid w:val="4FCE41A2"/>
    <w:rsid w:val="4FD46FD4"/>
    <w:rsid w:val="500D6A78"/>
    <w:rsid w:val="503404A9"/>
    <w:rsid w:val="503A452D"/>
    <w:rsid w:val="505A0CA5"/>
    <w:rsid w:val="505F4DFA"/>
    <w:rsid w:val="505F76BB"/>
    <w:rsid w:val="50720FD1"/>
    <w:rsid w:val="50754B82"/>
    <w:rsid w:val="50841C06"/>
    <w:rsid w:val="508605D9"/>
    <w:rsid w:val="508825A3"/>
    <w:rsid w:val="509E0BB0"/>
    <w:rsid w:val="509F2572"/>
    <w:rsid w:val="50A2638C"/>
    <w:rsid w:val="50A54F03"/>
    <w:rsid w:val="50A70C7B"/>
    <w:rsid w:val="50A82C45"/>
    <w:rsid w:val="50BA1A83"/>
    <w:rsid w:val="50D13F4A"/>
    <w:rsid w:val="50FE0AB7"/>
    <w:rsid w:val="51071719"/>
    <w:rsid w:val="51085492"/>
    <w:rsid w:val="510A26FE"/>
    <w:rsid w:val="510C31D4"/>
    <w:rsid w:val="511703F1"/>
    <w:rsid w:val="51180D53"/>
    <w:rsid w:val="51241F2C"/>
    <w:rsid w:val="51594E2F"/>
    <w:rsid w:val="5167665C"/>
    <w:rsid w:val="517A013D"/>
    <w:rsid w:val="518604BC"/>
    <w:rsid w:val="51932FAD"/>
    <w:rsid w:val="51AB479B"/>
    <w:rsid w:val="51AC0513"/>
    <w:rsid w:val="51AE7DE7"/>
    <w:rsid w:val="51B3364F"/>
    <w:rsid w:val="51C20B35"/>
    <w:rsid w:val="51C27B8D"/>
    <w:rsid w:val="51EE6435"/>
    <w:rsid w:val="52097713"/>
    <w:rsid w:val="520E65E0"/>
    <w:rsid w:val="52291B63"/>
    <w:rsid w:val="52422029"/>
    <w:rsid w:val="525E35BB"/>
    <w:rsid w:val="527E1EAF"/>
    <w:rsid w:val="527F3531"/>
    <w:rsid w:val="528D218E"/>
    <w:rsid w:val="52974D1F"/>
    <w:rsid w:val="52B92EE7"/>
    <w:rsid w:val="52BE405A"/>
    <w:rsid w:val="52CD6993"/>
    <w:rsid w:val="52D41ACF"/>
    <w:rsid w:val="52DE65D7"/>
    <w:rsid w:val="52E42813"/>
    <w:rsid w:val="52E80861"/>
    <w:rsid w:val="52EA4E4F"/>
    <w:rsid w:val="52F07073"/>
    <w:rsid w:val="53071A34"/>
    <w:rsid w:val="530A0F5C"/>
    <w:rsid w:val="53173882"/>
    <w:rsid w:val="53185E60"/>
    <w:rsid w:val="53191BD8"/>
    <w:rsid w:val="532A7941"/>
    <w:rsid w:val="5338205E"/>
    <w:rsid w:val="5345397C"/>
    <w:rsid w:val="5345477B"/>
    <w:rsid w:val="53590226"/>
    <w:rsid w:val="5359794D"/>
    <w:rsid w:val="5367649F"/>
    <w:rsid w:val="536A09E6"/>
    <w:rsid w:val="536C61AC"/>
    <w:rsid w:val="537B63EF"/>
    <w:rsid w:val="53B51901"/>
    <w:rsid w:val="53D4668F"/>
    <w:rsid w:val="53D77A4C"/>
    <w:rsid w:val="53E67D0C"/>
    <w:rsid w:val="53EC4BF7"/>
    <w:rsid w:val="53F32429"/>
    <w:rsid w:val="541848BB"/>
    <w:rsid w:val="54470D46"/>
    <w:rsid w:val="545729B8"/>
    <w:rsid w:val="54576514"/>
    <w:rsid w:val="546456F6"/>
    <w:rsid w:val="546B6463"/>
    <w:rsid w:val="547215A0"/>
    <w:rsid w:val="5474356A"/>
    <w:rsid w:val="54843081"/>
    <w:rsid w:val="54AB2D04"/>
    <w:rsid w:val="54B25E40"/>
    <w:rsid w:val="54B40600"/>
    <w:rsid w:val="54BE47E5"/>
    <w:rsid w:val="54C6369A"/>
    <w:rsid w:val="54CF69F2"/>
    <w:rsid w:val="54DE09E3"/>
    <w:rsid w:val="54E67898"/>
    <w:rsid w:val="54F31C6D"/>
    <w:rsid w:val="54F63F7F"/>
    <w:rsid w:val="55040901"/>
    <w:rsid w:val="550541C2"/>
    <w:rsid w:val="550A5C7C"/>
    <w:rsid w:val="551268DF"/>
    <w:rsid w:val="55200833"/>
    <w:rsid w:val="55314FB7"/>
    <w:rsid w:val="55572544"/>
    <w:rsid w:val="55684751"/>
    <w:rsid w:val="556C1ED2"/>
    <w:rsid w:val="5589787B"/>
    <w:rsid w:val="559133DE"/>
    <w:rsid w:val="559E63C4"/>
    <w:rsid w:val="55A57753"/>
    <w:rsid w:val="55C0633B"/>
    <w:rsid w:val="55CA71B9"/>
    <w:rsid w:val="55CC2F32"/>
    <w:rsid w:val="561641AD"/>
    <w:rsid w:val="5617008C"/>
    <w:rsid w:val="563F39D8"/>
    <w:rsid w:val="56625644"/>
    <w:rsid w:val="5664316A"/>
    <w:rsid w:val="567F61F6"/>
    <w:rsid w:val="56B539C6"/>
    <w:rsid w:val="56CA4D2E"/>
    <w:rsid w:val="56D0283B"/>
    <w:rsid w:val="56DF05DE"/>
    <w:rsid w:val="56ED13B1"/>
    <w:rsid w:val="56F52014"/>
    <w:rsid w:val="56F70118"/>
    <w:rsid w:val="57436286"/>
    <w:rsid w:val="5748237A"/>
    <w:rsid w:val="577E4497"/>
    <w:rsid w:val="57835872"/>
    <w:rsid w:val="578F7644"/>
    <w:rsid w:val="57B40121"/>
    <w:rsid w:val="57BC2B32"/>
    <w:rsid w:val="57C55E8A"/>
    <w:rsid w:val="57FC6189"/>
    <w:rsid w:val="58276B45"/>
    <w:rsid w:val="582B4E00"/>
    <w:rsid w:val="58405511"/>
    <w:rsid w:val="584D65AC"/>
    <w:rsid w:val="58550FBC"/>
    <w:rsid w:val="585D2567"/>
    <w:rsid w:val="58680CCE"/>
    <w:rsid w:val="5875165E"/>
    <w:rsid w:val="58F92290"/>
    <w:rsid w:val="5900361E"/>
    <w:rsid w:val="59282111"/>
    <w:rsid w:val="593C03CE"/>
    <w:rsid w:val="597C2D7F"/>
    <w:rsid w:val="59B60181"/>
    <w:rsid w:val="59C513E9"/>
    <w:rsid w:val="59C75EEA"/>
    <w:rsid w:val="59CD4FB1"/>
    <w:rsid w:val="59F760A3"/>
    <w:rsid w:val="5A0507C0"/>
    <w:rsid w:val="5A250E62"/>
    <w:rsid w:val="5A3A2B60"/>
    <w:rsid w:val="5A5059A0"/>
    <w:rsid w:val="5A5C7889"/>
    <w:rsid w:val="5A804BC1"/>
    <w:rsid w:val="5A954FE3"/>
    <w:rsid w:val="5A9C20D6"/>
    <w:rsid w:val="5AA47FD9"/>
    <w:rsid w:val="5ABF3065"/>
    <w:rsid w:val="5AD846F3"/>
    <w:rsid w:val="5AE1122D"/>
    <w:rsid w:val="5AED7BD2"/>
    <w:rsid w:val="5AEF5BF2"/>
    <w:rsid w:val="5AF745AD"/>
    <w:rsid w:val="5B1C7E2C"/>
    <w:rsid w:val="5B2555BE"/>
    <w:rsid w:val="5B2A53CB"/>
    <w:rsid w:val="5B461090"/>
    <w:rsid w:val="5B464AF4"/>
    <w:rsid w:val="5B4D241F"/>
    <w:rsid w:val="5B57504B"/>
    <w:rsid w:val="5B61411C"/>
    <w:rsid w:val="5B687259"/>
    <w:rsid w:val="5B77749C"/>
    <w:rsid w:val="5B790143"/>
    <w:rsid w:val="5B7976B8"/>
    <w:rsid w:val="5B8A5421"/>
    <w:rsid w:val="5B90055D"/>
    <w:rsid w:val="5BAC35E9"/>
    <w:rsid w:val="5BC9431F"/>
    <w:rsid w:val="5BD30EB1"/>
    <w:rsid w:val="5BDE576D"/>
    <w:rsid w:val="5BEA4111"/>
    <w:rsid w:val="5BED3C02"/>
    <w:rsid w:val="5BF9299B"/>
    <w:rsid w:val="5C0A6562"/>
    <w:rsid w:val="5C151B4A"/>
    <w:rsid w:val="5C2C64D8"/>
    <w:rsid w:val="5C4A0F7A"/>
    <w:rsid w:val="5C4B55B8"/>
    <w:rsid w:val="5C531CB7"/>
    <w:rsid w:val="5C5A1297"/>
    <w:rsid w:val="5C6C7E73"/>
    <w:rsid w:val="5C6E074F"/>
    <w:rsid w:val="5C7878F3"/>
    <w:rsid w:val="5CA8043A"/>
    <w:rsid w:val="5CB00D05"/>
    <w:rsid w:val="5CB54DA6"/>
    <w:rsid w:val="5CB900FA"/>
    <w:rsid w:val="5CBD06C9"/>
    <w:rsid w:val="5CC76201"/>
    <w:rsid w:val="5CC826A5"/>
    <w:rsid w:val="5CDA167E"/>
    <w:rsid w:val="5CDE67FA"/>
    <w:rsid w:val="5CE15514"/>
    <w:rsid w:val="5CF74D38"/>
    <w:rsid w:val="5D0000AB"/>
    <w:rsid w:val="5D1C654D"/>
    <w:rsid w:val="5D26561D"/>
    <w:rsid w:val="5D373386"/>
    <w:rsid w:val="5D537A94"/>
    <w:rsid w:val="5D6972B8"/>
    <w:rsid w:val="5D6B493B"/>
    <w:rsid w:val="5D7A0D45"/>
    <w:rsid w:val="5D932386"/>
    <w:rsid w:val="5DB70023"/>
    <w:rsid w:val="5DEB5F1F"/>
    <w:rsid w:val="5DF41277"/>
    <w:rsid w:val="5E005A13"/>
    <w:rsid w:val="5E0B133E"/>
    <w:rsid w:val="5E0F1C0D"/>
    <w:rsid w:val="5E0F42FA"/>
    <w:rsid w:val="5E172346"/>
    <w:rsid w:val="5E3E2317"/>
    <w:rsid w:val="5E420235"/>
    <w:rsid w:val="5E4A70E9"/>
    <w:rsid w:val="5E5B12F6"/>
    <w:rsid w:val="5E5B30A5"/>
    <w:rsid w:val="5E5D0BCB"/>
    <w:rsid w:val="5E6149B3"/>
    <w:rsid w:val="5E7B13E8"/>
    <w:rsid w:val="5E993BCD"/>
    <w:rsid w:val="5ED15115"/>
    <w:rsid w:val="5ED96AB8"/>
    <w:rsid w:val="5EE242F8"/>
    <w:rsid w:val="5EEA7035"/>
    <w:rsid w:val="5EEE3F19"/>
    <w:rsid w:val="5F073306"/>
    <w:rsid w:val="5F135472"/>
    <w:rsid w:val="5F265461"/>
    <w:rsid w:val="5F5244A8"/>
    <w:rsid w:val="5F5F0972"/>
    <w:rsid w:val="5F5F73B9"/>
    <w:rsid w:val="5F667F53"/>
    <w:rsid w:val="5F6B5569"/>
    <w:rsid w:val="5F7408C2"/>
    <w:rsid w:val="5F8B1768"/>
    <w:rsid w:val="5F954394"/>
    <w:rsid w:val="5F957EFD"/>
    <w:rsid w:val="5F9A4680"/>
    <w:rsid w:val="5FB44825"/>
    <w:rsid w:val="5FBF7663"/>
    <w:rsid w:val="5FD13294"/>
    <w:rsid w:val="5FFC2665"/>
    <w:rsid w:val="60051F07"/>
    <w:rsid w:val="60091F38"/>
    <w:rsid w:val="60477D84"/>
    <w:rsid w:val="60563B24"/>
    <w:rsid w:val="60681AA9"/>
    <w:rsid w:val="6082700E"/>
    <w:rsid w:val="608368E3"/>
    <w:rsid w:val="60A24FBB"/>
    <w:rsid w:val="60A30D33"/>
    <w:rsid w:val="60B151FE"/>
    <w:rsid w:val="61021EFD"/>
    <w:rsid w:val="611F03B9"/>
    <w:rsid w:val="612E4AA0"/>
    <w:rsid w:val="61330309"/>
    <w:rsid w:val="61412A26"/>
    <w:rsid w:val="614918DA"/>
    <w:rsid w:val="616939FC"/>
    <w:rsid w:val="618254A8"/>
    <w:rsid w:val="61A95334"/>
    <w:rsid w:val="61BA59C8"/>
    <w:rsid w:val="61EB73DC"/>
    <w:rsid w:val="61F061FA"/>
    <w:rsid w:val="620B3DFE"/>
    <w:rsid w:val="62304BE1"/>
    <w:rsid w:val="623324C6"/>
    <w:rsid w:val="62586279"/>
    <w:rsid w:val="62712E97"/>
    <w:rsid w:val="628B7AF4"/>
    <w:rsid w:val="62922E0D"/>
    <w:rsid w:val="62F20854"/>
    <w:rsid w:val="62F31AFE"/>
    <w:rsid w:val="62F819D9"/>
    <w:rsid w:val="6300246C"/>
    <w:rsid w:val="632B573B"/>
    <w:rsid w:val="632E4EBE"/>
    <w:rsid w:val="63381C06"/>
    <w:rsid w:val="6347009B"/>
    <w:rsid w:val="634B7B8C"/>
    <w:rsid w:val="635C4D14"/>
    <w:rsid w:val="63732C3E"/>
    <w:rsid w:val="637F56EE"/>
    <w:rsid w:val="638E5BFC"/>
    <w:rsid w:val="63920F7C"/>
    <w:rsid w:val="63A1155A"/>
    <w:rsid w:val="63C17E4E"/>
    <w:rsid w:val="63C45248"/>
    <w:rsid w:val="63D23E09"/>
    <w:rsid w:val="63E515B3"/>
    <w:rsid w:val="63F35B2D"/>
    <w:rsid w:val="63F55D49"/>
    <w:rsid w:val="63F907C6"/>
    <w:rsid w:val="64095351"/>
    <w:rsid w:val="641E704E"/>
    <w:rsid w:val="641F6922"/>
    <w:rsid w:val="642725A6"/>
    <w:rsid w:val="64340620"/>
    <w:rsid w:val="64511325"/>
    <w:rsid w:val="645760BC"/>
    <w:rsid w:val="646507D9"/>
    <w:rsid w:val="648028AA"/>
    <w:rsid w:val="64835103"/>
    <w:rsid w:val="6484313E"/>
    <w:rsid w:val="64986E00"/>
    <w:rsid w:val="649B244D"/>
    <w:rsid w:val="64AD2180"/>
    <w:rsid w:val="64B11C70"/>
    <w:rsid w:val="64C319A4"/>
    <w:rsid w:val="64D37E39"/>
    <w:rsid w:val="64D63485"/>
    <w:rsid w:val="64FB1502"/>
    <w:rsid w:val="651144BD"/>
    <w:rsid w:val="651421FF"/>
    <w:rsid w:val="65314B5F"/>
    <w:rsid w:val="654523B9"/>
    <w:rsid w:val="657038D9"/>
    <w:rsid w:val="65764C68"/>
    <w:rsid w:val="657874A5"/>
    <w:rsid w:val="658A090B"/>
    <w:rsid w:val="65BC66AA"/>
    <w:rsid w:val="65C23A09"/>
    <w:rsid w:val="65DA57CB"/>
    <w:rsid w:val="65F25EFF"/>
    <w:rsid w:val="65F46511"/>
    <w:rsid w:val="65F77B57"/>
    <w:rsid w:val="65F91B21"/>
    <w:rsid w:val="6612673F"/>
    <w:rsid w:val="66303069"/>
    <w:rsid w:val="66320B8F"/>
    <w:rsid w:val="6632443D"/>
    <w:rsid w:val="66391F1D"/>
    <w:rsid w:val="66444F3F"/>
    <w:rsid w:val="66561414"/>
    <w:rsid w:val="66770C98"/>
    <w:rsid w:val="66B214DE"/>
    <w:rsid w:val="66B9305E"/>
    <w:rsid w:val="66D165FA"/>
    <w:rsid w:val="66DB4D83"/>
    <w:rsid w:val="66DC0AFB"/>
    <w:rsid w:val="66E3632D"/>
    <w:rsid w:val="670342D9"/>
    <w:rsid w:val="671958AB"/>
    <w:rsid w:val="672F2A7A"/>
    <w:rsid w:val="674E548A"/>
    <w:rsid w:val="675608AD"/>
    <w:rsid w:val="6764121C"/>
    <w:rsid w:val="677F0CCA"/>
    <w:rsid w:val="678673E4"/>
    <w:rsid w:val="6793261B"/>
    <w:rsid w:val="679413D5"/>
    <w:rsid w:val="67A1421E"/>
    <w:rsid w:val="67A541BD"/>
    <w:rsid w:val="67D068B1"/>
    <w:rsid w:val="67D22629"/>
    <w:rsid w:val="67D46EF3"/>
    <w:rsid w:val="67D77BA6"/>
    <w:rsid w:val="67FF2CF3"/>
    <w:rsid w:val="68104F00"/>
    <w:rsid w:val="6838144E"/>
    <w:rsid w:val="68444BA9"/>
    <w:rsid w:val="68594AF9"/>
    <w:rsid w:val="685A43CD"/>
    <w:rsid w:val="68A815DC"/>
    <w:rsid w:val="68AA1941"/>
    <w:rsid w:val="68AA7398"/>
    <w:rsid w:val="68D0468F"/>
    <w:rsid w:val="68D422C4"/>
    <w:rsid w:val="68DE0B5A"/>
    <w:rsid w:val="68E36170"/>
    <w:rsid w:val="68E5013A"/>
    <w:rsid w:val="68E71123"/>
    <w:rsid w:val="68ED5241"/>
    <w:rsid w:val="68EF2D67"/>
    <w:rsid w:val="69020CEC"/>
    <w:rsid w:val="691A4CE8"/>
    <w:rsid w:val="692A3D9F"/>
    <w:rsid w:val="692C6C66"/>
    <w:rsid w:val="6931512E"/>
    <w:rsid w:val="6954706E"/>
    <w:rsid w:val="69635503"/>
    <w:rsid w:val="69752D16"/>
    <w:rsid w:val="69840ECA"/>
    <w:rsid w:val="699D70A3"/>
    <w:rsid w:val="69D16911"/>
    <w:rsid w:val="69F677C1"/>
    <w:rsid w:val="6A072332"/>
    <w:rsid w:val="6A125288"/>
    <w:rsid w:val="6A1E6EF1"/>
    <w:rsid w:val="6A3550F2"/>
    <w:rsid w:val="6A5C3504"/>
    <w:rsid w:val="6A611A43"/>
    <w:rsid w:val="6A6228AD"/>
    <w:rsid w:val="6A701C86"/>
    <w:rsid w:val="6A7A48B2"/>
    <w:rsid w:val="6A9F07BD"/>
    <w:rsid w:val="6A9F256B"/>
    <w:rsid w:val="6AA726F9"/>
    <w:rsid w:val="6AB51D8E"/>
    <w:rsid w:val="6ADC009F"/>
    <w:rsid w:val="6AF56655"/>
    <w:rsid w:val="6B0A20DA"/>
    <w:rsid w:val="6B0A3E88"/>
    <w:rsid w:val="6B1B42E7"/>
    <w:rsid w:val="6B511064"/>
    <w:rsid w:val="6B795186"/>
    <w:rsid w:val="6B80239C"/>
    <w:rsid w:val="6BA15A1E"/>
    <w:rsid w:val="6BAF4A30"/>
    <w:rsid w:val="6BB122F1"/>
    <w:rsid w:val="6BBB5183"/>
    <w:rsid w:val="6BE24E05"/>
    <w:rsid w:val="6BE40B7D"/>
    <w:rsid w:val="6BED0ADA"/>
    <w:rsid w:val="6BFC1684"/>
    <w:rsid w:val="6C21592D"/>
    <w:rsid w:val="6C325C6D"/>
    <w:rsid w:val="6C326A9A"/>
    <w:rsid w:val="6C4433CA"/>
    <w:rsid w:val="6C494E84"/>
    <w:rsid w:val="6C537AB1"/>
    <w:rsid w:val="6C6E6699"/>
    <w:rsid w:val="6C871509"/>
    <w:rsid w:val="6C920CDA"/>
    <w:rsid w:val="6C944351"/>
    <w:rsid w:val="6C9C1458"/>
    <w:rsid w:val="6CC4275D"/>
    <w:rsid w:val="6CCB7647"/>
    <w:rsid w:val="6CE626D3"/>
    <w:rsid w:val="6CF3094C"/>
    <w:rsid w:val="6D035182"/>
    <w:rsid w:val="6D066301"/>
    <w:rsid w:val="6D12171A"/>
    <w:rsid w:val="6D1F7993"/>
    <w:rsid w:val="6D262AD0"/>
    <w:rsid w:val="6D53421F"/>
    <w:rsid w:val="6D714A1C"/>
    <w:rsid w:val="6D855A48"/>
    <w:rsid w:val="6D91263F"/>
    <w:rsid w:val="6DAD4F9F"/>
    <w:rsid w:val="6DB043D4"/>
    <w:rsid w:val="6DB9608C"/>
    <w:rsid w:val="6DD8069A"/>
    <w:rsid w:val="6E032E11"/>
    <w:rsid w:val="6E233082"/>
    <w:rsid w:val="6E250FD9"/>
    <w:rsid w:val="6E40376F"/>
    <w:rsid w:val="6E7066F8"/>
    <w:rsid w:val="6E7A7577"/>
    <w:rsid w:val="6E82467D"/>
    <w:rsid w:val="6E870C41"/>
    <w:rsid w:val="6E94481B"/>
    <w:rsid w:val="6EA74418"/>
    <w:rsid w:val="6EBD1212"/>
    <w:rsid w:val="6EDD3B9D"/>
    <w:rsid w:val="6EE059A2"/>
    <w:rsid w:val="6EFA2AD9"/>
    <w:rsid w:val="6F1352D6"/>
    <w:rsid w:val="6F1572A0"/>
    <w:rsid w:val="6F2319BD"/>
    <w:rsid w:val="6F255735"/>
    <w:rsid w:val="6F2968A7"/>
    <w:rsid w:val="6F2E65B2"/>
    <w:rsid w:val="6F375468"/>
    <w:rsid w:val="6F4F4560"/>
    <w:rsid w:val="6F5A2F04"/>
    <w:rsid w:val="6F616041"/>
    <w:rsid w:val="6F6F4C02"/>
    <w:rsid w:val="6F6F68FE"/>
    <w:rsid w:val="6F742FEF"/>
    <w:rsid w:val="6F743FC6"/>
    <w:rsid w:val="6F75727E"/>
    <w:rsid w:val="6F962FBC"/>
    <w:rsid w:val="6F97D24A"/>
    <w:rsid w:val="6FA32AFD"/>
    <w:rsid w:val="6FBC74B2"/>
    <w:rsid w:val="6FC00FB9"/>
    <w:rsid w:val="6FCC34B2"/>
    <w:rsid w:val="702E59DC"/>
    <w:rsid w:val="70381498"/>
    <w:rsid w:val="70644D05"/>
    <w:rsid w:val="70666005"/>
    <w:rsid w:val="70673B2B"/>
    <w:rsid w:val="708B143B"/>
    <w:rsid w:val="70950698"/>
    <w:rsid w:val="709C1A26"/>
    <w:rsid w:val="70AD70EB"/>
    <w:rsid w:val="70CB5E68"/>
    <w:rsid w:val="70D2369A"/>
    <w:rsid w:val="70D60D96"/>
    <w:rsid w:val="70F84783"/>
    <w:rsid w:val="70FB7041"/>
    <w:rsid w:val="71245B27"/>
    <w:rsid w:val="713954C7"/>
    <w:rsid w:val="713C0B14"/>
    <w:rsid w:val="7141612A"/>
    <w:rsid w:val="714B6FA9"/>
    <w:rsid w:val="7162056E"/>
    <w:rsid w:val="716562BC"/>
    <w:rsid w:val="71665B90"/>
    <w:rsid w:val="7168577F"/>
    <w:rsid w:val="716C160F"/>
    <w:rsid w:val="71804EA4"/>
    <w:rsid w:val="71834FF7"/>
    <w:rsid w:val="71836742"/>
    <w:rsid w:val="71902C0D"/>
    <w:rsid w:val="719129F7"/>
    <w:rsid w:val="71BA551E"/>
    <w:rsid w:val="71CA4371"/>
    <w:rsid w:val="71CF32FB"/>
    <w:rsid w:val="71D25EF0"/>
    <w:rsid w:val="71E2790D"/>
    <w:rsid w:val="71E909FE"/>
    <w:rsid w:val="71EC42E8"/>
    <w:rsid w:val="71F238C8"/>
    <w:rsid w:val="72133F6A"/>
    <w:rsid w:val="721D0945"/>
    <w:rsid w:val="72313CCC"/>
    <w:rsid w:val="724D4B5E"/>
    <w:rsid w:val="726522EC"/>
    <w:rsid w:val="726F6CC7"/>
    <w:rsid w:val="72827346"/>
    <w:rsid w:val="729130E1"/>
    <w:rsid w:val="729F2FE7"/>
    <w:rsid w:val="72A11576"/>
    <w:rsid w:val="72B857E9"/>
    <w:rsid w:val="72BF0294"/>
    <w:rsid w:val="72E72D01"/>
    <w:rsid w:val="72FD2525"/>
    <w:rsid w:val="731C6E4F"/>
    <w:rsid w:val="732B6AC2"/>
    <w:rsid w:val="73441F01"/>
    <w:rsid w:val="73477C04"/>
    <w:rsid w:val="735071F1"/>
    <w:rsid w:val="73685BF0"/>
    <w:rsid w:val="73C3376E"/>
    <w:rsid w:val="73CD68AD"/>
    <w:rsid w:val="73EE2C9C"/>
    <w:rsid w:val="73F751C6"/>
    <w:rsid w:val="73FD2CDB"/>
    <w:rsid w:val="740D49E9"/>
    <w:rsid w:val="740E4669"/>
    <w:rsid w:val="742C597A"/>
    <w:rsid w:val="7431126B"/>
    <w:rsid w:val="74353067"/>
    <w:rsid w:val="746B557E"/>
    <w:rsid w:val="747800B5"/>
    <w:rsid w:val="74971B25"/>
    <w:rsid w:val="74985B38"/>
    <w:rsid w:val="74B05E2D"/>
    <w:rsid w:val="74B56984"/>
    <w:rsid w:val="74E9585D"/>
    <w:rsid w:val="74F87447"/>
    <w:rsid w:val="74FA371A"/>
    <w:rsid w:val="74FA6D1C"/>
    <w:rsid w:val="75082F75"/>
    <w:rsid w:val="751A3CC1"/>
    <w:rsid w:val="751E2727"/>
    <w:rsid w:val="75300DAD"/>
    <w:rsid w:val="7548234C"/>
    <w:rsid w:val="75546F51"/>
    <w:rsid w:val="75631D8A"/>
    <w:rsid w:val="756D1BE3"/>
    <w:rsid w:val="756D3D89"/>
    <w:rsid w:val="75720A6B"/>
    <w:rsid w:val="759E7FEF"/>
    <w:rsid w:val="75A4312B"/>
    <w:rsid w:val="75B275F6"/>
    <w:rsid w:val="75BE32F1"/>
    <w:rsid w:val="75CA0DE4"/>
    <w:rsid w:val="75D34A8B"/>
    <w:rsid w:val="75F145C2"/>
    <w:rsid w:val="75F248A9"/>
    <w:rsid w:val="75FE45EA"/>
    <w:rsid w:val="760A3698"/>
    <w:rsid w:val="760D0CD1"/>
    <w:rsid w:val="76391AC6"/>
    <w:rsid w:val="763A4651"/>
    <w:rsid w:val="763C5112"/>
    <w:rsid w:val="76505BD1"/>
    <w:rsid w:val="76592168"/>
    <w:rsid w:val="766B4393"/>
    <w:rsid w:val="76766876"/>
    <w:rsid w:val="76911902"/>
    <w:rsid w:val="769C7587"/>
    <w:rsid w:val="76A74C81"/>
    <w:rsid w:val="76AB714E"/>
    <w:rsid w:val="76AC673B"/>
    <w:rsid w:val="76BB072D"/>
    <w:rsid w:val="76C2746C"/>
    <w:rsid w:val="76C375E1"/>
    <w:rsid w:val="76CD220E"/>
    <w:rsid w:val="771E05C9"/>
    <w:rsid w:val="772269FE"/>
    <w:rsid w:val="772E7150"/>
    <w:rsid w:val="773D24BF"/>
    <w:rsid w:val="77562F7A"/>
    <w:rsid w:val="77805DEA"/>
    <w:rsid w:val="778B00FF"/>
    <w:rsid w:val="779F004E"/>
    <w:rsid w:val="77A15B74"/>
    <w:rsid w:val="77A51AF7"/>
    <w:rsid w:val="77B70EF4"/>
    <w:rsid w:val="77C45C0E"/>
    <w:rsid w:val="77C90C27"/>
    <w:rsid w:val="77E43CB3"/>
    <w:rsid w:val="77E93077"/>
    <w:rsid w:val="77F8750C"/>
    <w:rsid w:val="780424B0"/>
    <w:rsid w:val="7826607A"/>
    <w:rsid w:val="78505E36"/>
    <w:rsid w:val="785E1CB7"/>
    <w:rsid w:val="787119EB"/>
    <w:rsid w:val="78757357"/>
    <w:rsid w:val="78D10F35"/>
    <w:rsid w:val="79322EA2"/>
    <w:rsid w:val="794576E7"/>
    <w:rsid w:val="79621333"/>
    <w:rsid w:val="7973709D"/>
    <w:rsid w:val="7975130C"/>
    <w:rsid w:val="797D1B88"/>
    <w:rsid w:val="79806913"/>
    <w:rsid w:val="798D4602"/>
    <w:rsid w:val="79901CE4"/>
    <w:rsid w:val="79935991"/>
    <w:rsid w:val="79A42434"/>
    <w:rsid w:val="79A454A8"/>
    <w:rsid w:val="79A51CEC"/>
    <w:rsid w:val="79A951B4"/>
    <w:rsid w:val="79AA3DF9"/>
    <w:rsid w:val="79B80F53"/>
    <w:rsid w:val="79BD656A"/>
    <w:rsid w:val="7A15270A"/>
    <w:rsid w:val="7A186E92"/>
    <w:rsid w:val="7A2B5BC9"/>
    <w:rsid w:val="7A3525A4"/>
    <w:rsid w:val="7A5A200A"/>
    <w:rsid w:val="7A63243E"/>
    <w:rsid w:val="7A6A04A0"/>
    <w:rsid w:val="7A726172"/>
    <w:rsid w:val="7AA16127"/>
    <w:rsid w:val="7AA209CA"/>
    <w:rsid w:val="7AA716F4"/>
    <w:rsid w:val="7AAC4F5C"/>
    <w:rsid w:val="7AE64E72"/>
    <w:rsid w:val="7AF67F85"/>
    <w:rsid w:val="7AF96F66"/>
    <w:rsid w:val="7AFA4222"/>
    <w:rsid w:val="7AFB79FE"/>
    <w:rsid w:val="7B0442F1"/>
    <w:rsid w:val="7B0A1C83"/>
    <w:rsid w:val="7B0C4903"/>
    <w:rsid w:val="7B394F55"/>
    <w:rsid w:val="7B6C0247"/>
    <w:rsid w:val="7B783090"/>
    <w:rsid w:val="7B7D2454"/>
    <w:rsid w:val="7B8F3F36"/>
    <w:rsid w:val="7BBF5BEE"/>
    <w:rsid w:val="7BC506FF"/>
    <w:rsid w:val="7BD15723"/>
    <w:rsid w:val="7BDA1655"/>
    <w:rsid w:val="7BFC49E5"/>
    <w:rsid w:val="7C091F3A"/>
    <w:rsid w:val="7C0924C9"/>
    <w:rsid w:val="7C156B31"/>
    <w:rsid w:val="7C2A25DC"/>
    <w:rsid w:val="7C480CB4"/>
    <w:rsid w:val="7C5C5D45"/>
    <w:rsid w:val="7C6333F8"/>
    <w:rsid w:val="7C744059"/>
    <w:rsid w:val="7C9479C0"/>
    <w:rsid w:val="7C964F2F"/>
    <w:rsid w:val="7C9C7D9D"/>
    <w:rsid w:val="7CA5637F"/>
    <w:rsid w:val="7CAC10BD"/>
    <w:rsid w:val="7CAF2AE1"/>
    <w:rsid w:val="7CD67901"/>
    <w:rsid w:val="7CE3278B"/>
    <w:rsid w:val="7CEA58C8"/>
    <w:rsid w:val="7CF420D7"/>
    <w:rsid w:val="7D126BCC"/>
    <w:rsid w:val="7D206BCE"/>
    <w:rsid w:val="7D253AF0"/>
    <w:rsid w:val="7D2C2995"/>
    <w:rsid w:val="7D4122C0"/>
    <w:rsid w:val="7D4B01D0"/>
    <w:rsid w:val="7D8D7201"/>
    <w:rsid w:val="7D955985"/>
    <w:rsid w:val="7DB26889"/>
    <w:rsid w:val="7DC223A1"/>
    <w:rsid w:val="7DF9637A"/>
    <w:rsid w:val="7E05379E"/>
    <w:rsid w:val="7E38629C"/>
    <w:rsid w:val="7E3F60E7"/>
    <w:rsid w:val="7E4B371E"/>
    <w:rsid w:val="7E582D05"/>
    <w:rsid w:val="7E5C4E19"/>
    <w:rsid w:val="7E655B4E"/>
    <w:rsid w:val="7E73721C"/>
    <w:rsid w:val="7E7F4735"/>
    <w:rsid w:val="7E954031"/>
    <w:rsid w:val="7E9C3FB5"/>
    <w:rsid w:val="7EA30424"/>
    <w:rsid w:val="7ECB67E6"/>
    <w:rsid w:val="7ECD724F"/>
    <w:rsid w:val="7ED7363A"/>
    <w:rsid w:val="7EDB7BBE"/>
    <w:rsid w:val="7EDC4BA6"/>
    <w:rsid w:val="7EDE145C"/>
    <w:rsid w:val="7EFA4911"/>
    <w:rsid w:val="7EFE1AFE"/>
    <w:rsid w:val="7F061568"/>
    <w:rsid w:val="7F315A30"/>
    <w:rsid w:val="7F590AE3"/>
    <w:rsid w:val="7F6000C3"/>
    <w:rsid w:val="7F707D00"/>
    <w:rsid w:val="7F763489"/>
    <w:rsid w:val="7F802513"/>
    <w:rsid w:val="7F8A5140"/>
    <w:rsid w:val="7F8D1710"/>
    <w:rsid w:val="7F97D7F2"/>
    <w:rsid w:val="7FB83A5B"/>
    <w:rsid w:val="7FCD06B2"/>
    <w:rsid w:val="7FD413B0"/>
    <w:rsid w:val="7FE02FB2"/>
    <w:rsid w:val="7FF17FC7"/>
    <w:rsid w:val="7FFF5B2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5"/>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7"/>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8"/>
    <w:qFormat/>
    <w:uiPriority w:val="9"/>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9"/>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0"/>
    <w:qFormat/>
    <w:uiPriority w:val="9"/>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1"/>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2"/>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link w:val="66"/>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35"/>
    <w:pPr>
      <w:spacing w:line="480" w:lineRule="auto"/>
    </w:pPr>
    <w:rPr>
      <w:rFonts w:ascii="华文中宋" w:hAnsi="华文中宋" w:eastAsia="华文中宋"/>
      <w:sz w:val="36"/>
      <w:szCs w:val="20"/>
    </w:rPr>
  </w:style>
  <w:style w:type="paragraph" w:styleId="14">
    <w:name w:val="Document Map"/>
    <w:basedOn w:val="1"/>
    <w:link w:val="73"/>
    <w:qFormat/>
    <w:uiPriority w:val="0"/>
    <w:pPr>
      <w:shd w:val="clear" w:color="auto" w:fill="00008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4"/>
    <w:qFormat/>
    <w:uiPriority w:val="0"/>
    <w:pPr>
      <w:jc w:val="left"/>
    </w:pPr>
  </w:style>
  <w:style w:type="paragraph" w:styleId="17">
    <w:name w:val="Body Text 3"/>
    <w:basedOn w:val="1"/>
    <w:link w:val="75"/>
    <w:qFormat/>
    <w:uiPriority w:val="0"/>
    <w:pPr>
      <w:spacing w:after="120"/>
    </w:pPr>
    <w:rPr>
      <w:sz w:val="16"/>
      <w:szCs w:val="16"/>
    </w:rPr>
  </w:style>
  <w:style w:type="paragraph" w:styleId="18">
    <w:name w:val="Body Text"/>
    <w:basedOn w:val="1"/>
    <w:link w:val="76"/>
    <w:qFormat/>
    <w:uiPriority w:val="0"/>
    <w:pPr>
      <w:tabs>
        <w:tab w:val="left" w:pos="567"/>
      </w:tabs>
      <w:spacing w:before="120" w:line="22" w:lineRule="atLeast"/>
    </w:pPr>
    <w:rPr>
      <w:rFonts w:ascii="宋体" w:hAnsi="宋体"/>
      <w:sz w:val="24"/>
    </w:rPr>
  </w:style>
  <w:style w:type="paragraph" w:styleId="19">
    <w:name w:val="Body Text Indent"/>
    <w:basedOn w:val="1"/>
    <w:link w:val="77"/>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8"/>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9"/>
    <w:qFormat/>
    <w:uiPriority w:val="0"/>
    <w:pPr>
      <w:ind w:left="100" w:leftChars="2500"/>
    </w:pPr>
    <w:rPr>
      <w:rFonts w:ascii="仿宋_GB2312" w:hAnsi="宋体" w:eastAsia="仿宋_GB2312"/>
      <w:color w:val="000000"/>
      <w:sz w:val="24"/>
    </w:rPr>
  </w:style>
  <w:style w:type="paragraph" w:styleId="27">
    <w:name w:val="Body Text Indent 2"/>
    <w:basedOn w:val="1"/>
    <w:link w:val="80"/>
    <w:qFormat/>
    <w:uiPriority w:val="0"/>
    <w:pPr>
      <w:ind w:firstLine="480" w:firstLineChars="200"/>
    </w:pPr>
    <w:rPr>
      <w:rFonts w:ascii="仿宋_GB2312" w:eastAsia="仿宋_GB2312"/>
      <w:sz w:val="24"/>
    </w:rPr>
  </w:style>
  <w:style w:type="paragraph" w:styleId="28">
    <w:name w:val="Balloon Text"/>
    <w:basedOn w:val="1"/>
    <w:link w:val="81"/>
    <w:qFormat/>
    <w:uiPriority w:val="0"/>
    <w:rPr>
      <w:sz w:val="18"/>
      <w:szCs w:val="18"/>
    </w:rPr>
  </w:style>
  <w:style w:type="paragraph" w:styleId="29">
    <w:name w:val="footer"/>
    <w:basedOn w:val="1"/>
    <w:link w:val="6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Subtitle"/>
    <w:basedOn w:val="1"/>
    <w:next w:val="1"/>
    <w:link w:val="280"/>
    <w:qFormat/>
    <w:uiPriority w:val="11"/>
    <w:pPr>
      <w:widowControl/>
      <w:spacing w:before="200" w:after="900"/>
      <w:jc w:val="right"/>
    </w:pPr>
    <w:rPr>
      <w:rFonts w:ascii="Calibri" w:hAnsi="Calibri"/>
      <w:i/>
      <w:iCs/>
      <w:kern w:val="0"/>
      <w:sz w:val="24"/>
      <w:lang w:eastAsia="en-US"/>
    </w:rPr>
  </w:style>
  <w:style w:type="paragraph" w:styleId="34">
    <w:name w:val="toc 6"/>
    <w:basedOn w:val="1"/>
    <w:next w:val="1"/>
    <w:qFormat/>
    <w:uiPriority w:val="0"/>
    <w:pPr>
      <w:ind w:left="2100" w:leftChars="1000"/>
    </w:pPr>
  </w:style>
  <w:style w:type="paragraph" w:styleId="35">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able of figures"/>
    <w:basedOn w:val="1"/>
    <w:next w:val="1"/>
    <w:qFormat/>
    <w:uiPriority w:val="0"/>
    <w:pPr>
      <w:ind w:left="420" w:hanging="420"/>
      <w:jc w:val="left"/>
    </w:pPr>
    <w:rPr>
      <w:rFonts w:ascii="Calibri" w:hAnsi="Calibri"/>
      <w:smallCaps/>
      <w:sz w:val="20"/>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0"/>
    <w:pPr>
      <w:ind w:left="3360" w:leftChars="1600"/>
    </w:pPr>
  </w:style>
  <w:style w:type="paragraph" w:styleId="40">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85"/>
    <w:qFormat/>
    <w:uiPriority w:val="10"/>
    <w:pPr>
      <w:jc w:val="center"/>
      <w:outlineLvl w:val="0"/>
    </w:pPr>
    <w:rPr>
      <w:b/>
      <w:sz w:val="32"/>
      <w:szCs w:val="20"/>
    </w:rPr>
  </w:style>
  <w:style w:type="paragraph" w:styleId="44">
    <w:name w:val="annotation subject"/>
    <w:basedOn w:val="16"/>
    <w:next w:val="16"/>
    <w:link w:val="86"/>
    <w:qFormat/>
    <w:uiPriority w:val="0"/>
    <w:rPr>
      <w:b/>
      <w:bCs/>
    </w:rPr>
  </w:style>
  <w:style w:type="paragraph" w:styleId="45">
    <w:name w:val="Body Text First Indent"/>
    <w:basedOn w:val="18"/>
    <w:qFormat/>
    <w:uiPriority w:val="0"/>
    <w:pPr>
      <w:spacing w:line="312" w:lineRule="auto"/>
      <w:ind w:firstLine="420" w:firstLineChars="100"/>
    </w:pPr>
  </w:style>
  <w:style w:type="paragraph" w:styleId="46">
    <w:name w:val="Body Text First Indent 2"/>
    <w:basedOn w:val="19"/>
    <w:link w:val="88"/>
    <w:qFormat/>
    <w:uiPriority w:val="0"/>
    <w:pPr>
      <w:spacing w:after="120" w:line="480" w:lineRule="exact"/>
      <w:ind w:left="420" w:leftChars="200" w:firstLine="420" w:firstLineChars="200"/>
    </w:pPr>
    <w:rPr>
      <w:szCs w:val="20"/>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20"/>
    <w:rPr>
      <w:color w:val="CC0033"/>
    </w:rPr>
  </w:style>
  <w:style w:type="character" w:styleId="55">
    <w:name w:val="HTML Definition"/>
    <w:basedOn w:val="50"/>
    <w:qFormat/>
    <w:uiPriority w:val="0"/>
  </w:style>
  <w:style w:type="character" w:styleId="56">
    <w:name w:val="HTML Acronym"/>
    <w:basedOn w:val="50"/>
    <w:qFormat/>
    <w:uiPriority w:val="0"/>
  </w:style>
  <w:style w:type="character" w:styleId="57">
    <w:name w:val="HTML Variable"/>
    <w:basedOn w:val="50"/>
    <w:qFormat/>
    <w:uiPriority w:val="0"/>
  </w:style>
  <w:style w:type="character" w:styleId="58">
    <w:name w:val="Hyperlink"/>
    <w:qFormat/>
    <w:uiPriority w:val="0"/>
    <w:rPr>
      <w:color w:val="0000FF"/>
      <w:u w:val="single"/>
    </w:rPr>
  </w:style>
  <w:style w:type="character" w:styleId="59">
    <w:name w:val="HTML Code"/>
    <w:basedOn w:val="50"/>
    <w:qFormat/>
    <w:uiPriority w:val="0"/>
    <w:rPr>
      <w:rFonts w:ascii="Courier New" w:hAnsi="Courier New"/>
      <w:sz w:val="20"/>
    </w:rPr>
  </w:style>
  <w:style w:type="character" w:styleId="60">
    <w:name w:val="annotation reference"/>
    <w:qFormat/>
    <w:uiPriority w:val="0"/>
    <w:rPr>
      <w:sz w:val="21"/>
      <w:szCs w:val="21"/>
    </w:rPr>
  </w:style>
  <w:style w:type="character" w:styleId="61">
    <w:name w:val="HTML Cite"/>
    <w:qFormat/>
    <w:uiPriority w:val="0"/>
    <w:rPr>
      <w:i/>
      <w:iCs/>
    </w:rPr>
  </w:style>
  <w:style w:type="character" w:customStyle="1" w:styleId="62">
    <w:name w:val="页脚 字符"/>
    <w:link w:val="29"/>
    <w:qFormat/>
    <w:uiPriority w:val="99"/>
    <w:rPr>
      <w:rFonts w:ascii="宋体" w:eastAsia="宋体"/>
      <w:sz w:val="18"/>
      <w:lang w:val="en-US" w:eastAsia="zh-CN" w:bidi="ar-SA"/>
    </w:rPr>
  </w:style>
  <w:style w:type="character" w:customStyle="1" w:styleId="63">
    <w:name w:val="标题 1 字符"/>
    <w:basedOn w:val="50"/>
    <w:link w:val="2"/>
    <w:qFormat/>
    <w:uiPriority w:val="9"/>
    <w:rPr>
      <w:rFonts w:ascii="宋体"/>
      <w:b/>
      <w:kern w:val="44"/>
      <w:sz w:val="32"/>
    </w:rPr>
  </w:style>
  <w:style w:type="character" w:customStyle="1" w:styleId="64">
    <w:name w:val="标题 2 字符"/>
    <w:link w:val="3"/>
    <w:qFormat/>
    <w:uiPriority w:val="9"/>
    <w:rPr>
      <w:rFonts w:ascii="Arial" w:hAnsi="Arial" w:eastAsia="黑体"/>
      <w:b/>
      <w:sz w:val="30"/>
      <w:lang w:val="en-US" w:eastAsia="zh-CN" w:bidi="ar-SA"/>
    </w:rPr>
  </w:style>
  <w:style w:type="character" w:customStyle="1" w:styleId="65">
    <w:name w:val="标题 3 字符"/>
    <w:link w:val="4"/>
    <w:qFormat/>
    <w:uiPriority w:val="9"/>
    <w:rPr>
      <w:rFonts w:ascii="宋体" w:eastAsia="宋体"/>
      <w:b/>
      <w:sz w:val="24"/>
      <w:u w:val="single"/>
      <w:lang w:val="en-US" w:eastAsia="zh-CN" w:bidi="ar-SA"/>
    </w:rPr>
  </w:style>
  <w:style w:type="character" w:customStyle="1" w:styleId="66">
    <w:name w:val="正文缩进 字符"/>
    <w:link w:val="12"/>
    <w:qFormat/>
    <w:uiPriority w:val="0"/>
    <w:rPr>
      <w:rFonts w:ascii="宋体" w:eastAsia="宋体"/>
      <w:kern w:val="2"/>
      <w:sz w:val="24"/>
      <w:szCs w:val="24"/>
      <w:lang w:val="en-US" w:eastAsia="zh-CN" w:bidi="ar-SA"/>
    </w:rPr>
  </w:style>
  <w:style w:type="character" w:customStyle="1" w:styleId="67">
    <w:name w:val="标题 4 字符"/>
    <w:basedOn w:val="50"/>
    <w:link w:val="5"/>
    <w:qFormat/>
    <w:uiPriority w:val="9"/>
    <w:rPr>
      <w:rFonts w:ascii="Arial" w:hAnsi="Arial" w:eastAsia="黑体"/>
      <w:b/>
      <w:sz w:val="28"/>
    </w:rPr>
  </w:style>
  <w:style w:type="character" w:customStyle="1" w:styleId="68">
    <w:name w:val="标题 5 字符"/>
    <w:basedOn w:val="50"/>
    <w:link w:val="6"/>
    <w:qFormat/>
    <w:uiPriority w:val="9"/>
    <w:rPr>
      <w:b/>
      <w:sz w:val="28"/>
    </w:rPr>
  </w:style>
  <w:style w:type="character" w:customStyle="1" w:styleId="69">
    <w:name w:val="标题 6 字符"/>
    <w:basedOn w:val="50"/>
    <w:link w:val="7"/>
    <w:qFormat/>
    <w:uiPriority w:val="9"/>
    <w:rPr>
      <w:rFonts w:ascii="Arial" w:hAnsi="Arial" w:eastAsia="黑体"/>
      <w:b/>
      <w:sz w:val="24"/>
    </w:rPr>
  </w:style>
  <w:style w:type="character" w:customStyle="1" w:styleId="70">
    <w:name w:val="标题 7 字符"/>
    <w:basedOn w:val="50"/>
    <w:link w:val="8"/>
    <w:qFormat/>
    <w:uiPriority w:val="9"/>
    <w:rPr>
      <w:b/>
      <w:sz w:val="24"/>
    </w:rPr>
  </w:style>
  <w:style w:type="character" w:customStyle="1" w:styleId="71">
    <w:name w:val="标题 8 字符"/>
    <w:basedOn w:val="50"/>
    <w:link w:val="9"/>
    <w:qFormat/>
    <w:uiPriority w:val="9"/>
    <w:rPr>
      <w:rFonts w:ascii="Arial" w:hAnsi="Arial" w:eastAsia="黑体"/>
      <w:sz w:val="24"/>
    </w:rPr>
  </w:style>
  <w:style w:type="character" w:customStyle="1" w:styleId="72">
    <w:name w:val="标题 9 字符"/>
    <w:basedOn w:val="50"/>
    <w:link w:val="10"/>
    <w:qFormat/>
    <w:uiPriority w:val="9"/>
    <w:rPr>
      <w:rFonts w:ascii="Arial" w:hAnsi="Arial" w:eastAsia="黑体"/>
      <w:sz w:val="21"/>
    </w:rPr>
  </w:style>
  <w:style w:type="character" w:customStyle="1" w:styleId="73">
    <w:name w:val="文档结构图 字符"/>
    <w:basedOn w:val="50"/>
    <w:link w:val="14"/>
    <w:qFormat/>
    <w:uiPriority w:val="0"/>
    <w:rPr>
      <w:kern w:val="2"/>
      <w:sz w:val="21"/>
      <w:szCs w:val="24"/>
      <w:shd w:val="clear" w:color="auto" w:fill="000080"/>
    </w:rPr>
  </w:style>
  <w:style w:type="character" w:customStyle="1" w:styleId="74">
    <w:name w:val="批注文字 字符1"/>
    <w:link w:val="16"/>
    <w:qFormat/>
    <w:uiPriority w:val="99"/>
    <w:rPr>
      <w:kern w:val="2"/>
      <w:sz w:val="21"/>
      <w:szCs w:val="24"/>
    </w:rPr>
  </w:style>
  <w:style w:type="character" w:customStyle="1" w:styleId="75">
    <w:name w:val="正文文本 3 字符"/>
    <w:basedOn w:val="50"/>
    <w:link w:val="17"/>
    <w:qFormat/>
    <w:uiPriority w:val="0"/>
    <w:rPr>
      <w:kern w:val="2"/>
      <w:sz w:val="16"/>
      <w:szCs w:val="16"/>
    </w:rPr>
  </w:style>
  <w:style w:type="character" w:customStyle="1" w:styleId="76">
    <w:name w:val="正文文本 字符"/>
    <w:basedOn w:val="50"/>
    <w:link w:val="18"/>
    <w:qFormat/>
    <w:uiPriority w:val="0"/>
    <w:rPr>
      <w:rFonts w:ascii="宋体" w:hAnsi="宋体"/>
      <w:kern w:val="2"/>
      <w:sz w:val="24"/>
      <w:szCs w:val="24"/>
    </w:rPr>
  </w:style>
  <w:style w:type="character" w:customStyle="1" w:styleId="77">
    <w:name w:val="正文文本缩进 字符"/>
    <w:link w:val="19"/>
    <w:qFormat/>
    <w:uiPriority w:val="0"/>
    <w:rPr>
      <w:rFonts w:eastAsia="宋体"/>
      <w:kern w:val="2"/>
      <w:sz w:val="24"/>
      <w:szCs w:val="24"/>
      <w:lang w:val="en-US" w:eastAsia="zh-CN" w:bidi="ar-SA"/>
    </w:rPr>
  </w:style>
  <w:style w:type="character" w:customStyle="1" w:styleId="78">
    <w:name w:val="纯文本 字符2"/>
    <w:basedOn w:val="50"/>
    <w:link w:val="24"/>
    <w:qFormat/>
    <w:uiPriority w:val="0"/>
    <w:rPr>
      <w:rFonts w:hint="eastAsia" w:ascii="宋体" w:hAnsi="Courier New" w:eastAsia="宋体" w:cs="宋体"/>
      <w:kern w:val="2"/>
      <w:sz w:val="21"/>
    </w:rPr>
  </w:style>
  <w:style w:type="character" w:customStyle="1" w:styleId="79">
    <w:name w:val="日期 字符"/>
    <w:basedOn w:val="50"/>
    <w:link w:val="26"/>
    <w:qFormat/>
    <w:uiPriority w:val="0"/>
    <w:rPr>
      <w:rFonts w:ascii="仿宋_GB2312" w:hAnsi="宋体" w:eastAsia="仿宋_GB2312"/>
      <w:color w:val="000000"/>
      <w:kern w:val="2"/>
      <w:sz w:val="24"/>
      <w:szCs w:val="24"/>
    </w:rPr>
  </w:style>
  <w:style w:type="character" w:customStyle="1" w:styleId="80">
    <w:name w:val="正文文本缩进 2 字符"/>
    <w:basedOn w:val="50"/>
    <w:link w:val="27"/>
    <w:qFormat/>
    <w:uiPriority w:val="0"/>
    <w:rPr>
      <w:rFonts w:ascii="仿宋_GB2312" w:eastAsia="仿宋_GB2312"/>
      <w:kern w:val="2"/>
      <w:sz w:val="24"/>
      <w:szCs w:val="24"/>
    </w:rPr>
  </w:style>
  <w:style w:type="character" w:customStyle="1" w:styleId="81">
    <w:name w:val="批注框文本 字符"/>
    <w:basedOn w:val="50"/>
    <w:link w:val="28"/>
    <w:qFormat/>
    <w:uiPriority w:val="0"/>
    <w:rPr>
      <w:kern w:val="2"/>
      <w:sz w:val="18"/>
      <w:szCs w:val="18"/>
    </w:rPr>
  </w:style>
  <w:style w:type="character" w:customStyle="1" w:styleId="82">
    <w:name w:val="页眉 字符"/>
    <w:link w:val="30"/>
    <w:qFormat/>
    <w:uiPriority w:val="0"/>
    <w:rPr>
      <w:rFonts w:eastAsia="宋体"/>
      <w:kern w:val="2"/>
      <w:sz w:val="18"/>
      <w:szCs w:val="18"/>
      <w:lang w:val="en-US" w:eastAsia="zh-CN" w:bidi="ar-SA"/>
    </w:rPr>
  </w:style>
  <w:style w:type="character" w:customStyle="1" w:styleId="83">
    <w:name w:val="正文文本缩进 3 字符"/>
    <w:basedOn w:val="50"/>
    <w:link w:val="35"/>
    <w:qFormat/>
    <w:uiPriority w:val="0"/>
    <w:rPr>
      <w:rFonts w:ascii="宋体"/>
      <w:sz w:val="24"/>
    </w:rPr>
  </w:style>
  <w:style w:type="character" w:customStyle="1" w:styleId="84">
    <w:name w:val="HTML 预设格式 字符"/>
    <w:basedOn w:val="50"/>
    <w:link w:val="40"/>
    <w:qFormat/>
    <w:uiPriority w:val="0"/>
    <w:rPr>
      <w:rFonts w:ascii="宋体" w:hAnsi="宋体" w:cs="宋体"/>
      <w:sz w:val="24"/>
      <w:szCs w:val="24"/>
    </w:rPr>
  </w:style>
  <w:style w:type="character" w:customStyle="1" w:styleId="85">
    <w:name w:val="标题 字符"/>
    <w:link w:val="43"/>
    <w:qFormat/>
    <w:uiPriority w:val="10"/>
    <w:rPr>
      <w:b/>
      <w:kern w:val="2"/>
      <w:sz w:val="32"/>
    </w:rPr>
  </w:style>
  <w:style w:type="character" w:customStyle="1" w:styleId="86">
    <w:name w:val="批注主题 字符"/>
    <w:basedOn w:val="87"/>
    <w:link w:val="44"/>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正文文本首行缩进 2 字符"/>
    <w:basedOn w:val="77"/>
    <w:link w:val="46"/>
    <w:qFormat/>
    <w:uiPriority w:val="0"/>
    <w:rPr>
      <w:rFonts w:eastAsia="宋体"/>
      <w:kern w:val="2"/>
      <w:sz w:val="24"/>
      <w:szCs w:val="24"/>
      <w:lang w:val="en-US" w:eastAsia="zh-CN" w:bidi="ar-SA"/>
    </w:rPr>
  </w:style>
  <w:style w:type="character" w:customStyle="1" w:styleId="89">
    <w:name w:val="c21"/>
    <w:qFormat/>
    <w:uiPriority w:val="0"/>
    <w:rPr>
      <w:rFonts w:hint="default" w:ascii="ˎ̥" w:hAnsi="ˎ̥"/>
      <w:color w:val="000000"/>
      <w:sz w:val="20"/>
      <w:szCs w:val="20"/>
      <w:u w:val="none"/>
    </w:rPr>
  </w:style>
  <w:style w:type="character" w:customStyle="1" w:styleId="90">
    <w:name w:val="title4"/>
    <w:qFormat/>
    <w:uiPriority w:val="0"/>
    <w:rPr>
      <w:b/>
      <w:bCs/>
      <w:color w:val="1D87B3"/>
      <w:sz w:val="15"/>
      <w:szCs w:val="15"/>
    </w:rPr>
  </w:style>
  <w:style w:type="character" w:customStyle="1" w:styleId="91">
    <w:name w:val="标题 2 Char Char"/>
    <w:qFormat/>
    <w:uiPriority w:val="0"/>
    <w:rPr>
      <w:rFonts w:ascii="Arial" w:hAnsi="Arial" w:eastAsia="黑体"/>
      <w:b/>
      <w:bCs/>
      <w:kern w:val="2"/>
      <w:sz w:val="32"/>
      <w:szCs w:val="32"/>
      <w:lang w:val="en-US" w:eastAsia="zh-CN" w:bidi="ar-SA"/>
    </w:rPr>
  </w:style>
  <w:style w:type="character" w:customStyle="1" w:styleId="92">
    <w:name w:val="black1"/>
    <w:qFormat/>
    <w:uiPriority w:val="0"/>
    <w:rPr>
      <w:color w:val="000000"/>
    </w:rPr>
  </w:style>
  <w:style w:type="character" w:customStyle="1" w:styleId="93">
    <w:name w:val="street-address"/>
    <w:basedOn w:val="50"/>
    <w:qFormat/>
    <w:uiPriority w:val="0"/>
  </w:style>
  <w:style w:type="character" w:customStyle="1" w:styleId="94">
    <w:name w:val="locality"/>
    <w:basedOn w:val="50"/>
    <w:qFormat/>
    <w:uiPriority w:val="0"/>
  </w:style>
  <w:style w:type="character" w:customStyle="1" w:styleId="95">
    <w:name w:val="正文文本缩进 Char1"/>
    <w:link w:val="96"/>
    <w:qFormat/>
    <w:uiPriority w:val="0"/>
    <w:rPr>
      <w:rFonts w:ascii="宋体" w:hAnsi="宋体" w:eastAsia="宋体"/>
      <w:sz w:val="24"/>
      <w:szCs w:val="24"/>
      <w:lang w:bidi="ar-SA"/>
    </w:rPr>
  </w:style>
  <w:style w:type="paragraph" w:customStyle="1" w:styleId="96">
    <w:name w:val="正文文本缩进1"/>
    <w:basedOn w:val="1"/>
    <w:link w:val="95"/>
    <w:qFormat/>
    <w:uiPriority w:val="0"/>
    <w:pPr>
      <w:spacing w:line="480" w:lineRule="exact"/>
      <w:ind w:firstLine="480" w:firstLineChars="200"/>
    </w:pPr>
    <w:rPr>
      <w:rFonts w:ascii="宋体" w:hAnsi="宋体"/>
      <w:kern w:val="0"/>
      <w:sz w:val="24"/>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basedOn w:val="50"/>
    <w:qFormat/>
    <w:uiPriority w:val="0"/>
  </w:style>
  <w:style w:type="character" w:customStyle="1" w:styleId="99">
    <w:name w:val="正文缩进 Char Char"/>
    <w:link w:val="100"/>
    <w:qFormat/>
    <w:uiPriority w:val="0"/>
    <w:rPr>
      <w:rFonts w:ascii="宋体" w:eastAsia="宋体"/>
      <w:snapToGrid w:val="0"/>
      <w:color w:val="000000"/>
      <w:kern w:val="28"/>
      <w:sz w:val="28"/>
      <w:lang w:bidi="ar-SA"/>
    </w:rPr>
  </w:style>
  <w:style w:type="paragraph" w:customStyle="1" w:styleId="100">
    <w:name w:val="正文缩进1"/>
    <w:basedOn w:val="1"/>
    <w:link w:val="9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出段落 字符"/>
    <w:link w:val="104"/>
    <w:qFormat/>
    <w:uiPriority w:val="34"/>
    <w:rPr>
      <w:rFonts w:ascii="Calibri" w:hAnsi="Calibri" w:eastAsia="宋体"/>
      <w:kern w:val="2"/>
      <w:sz w:val="21"/>
      <w:szCs w:val="22"/>
      <w:lang w:val="en-US" w:eastAsia="zh-CN" w:bidi="ar-SA"/>
    </w:rPr>
  </w:style>
  <w:style w:type="paragraph" w:customStyle="1" w:styleId="104">
    <w:name w:val="列表段落1"/>
    <w:basedOn w:val="1"/>
    <w:link w:val="103"/>
    <w:qFormat/>
    <w:uiPriority w:val="34"/>
    <w:pPr>
      <w:ind w:firstLine="420" w:firstLineChars="200"/>
    </w:pPr>
    <w:rPr>
      <w:rFonts w:ascii="Calibri" w:hAnsi="Calibri"/>
      <w:szCs w:val="22"/>
    </w:rPr>
  </w:style>
  <w:style w:type="character" w:customStyle="1" w:styleId="105">
    <w:name w:val="标题 3 Char Char"/>
    <w:qFormat/>
    <w:uiPriority w:val="0"/>
    <w:rPr>
      <w:rFonts w:eastAsia="宋体"/>
      <w:b/>
      <w:bCs/>
      <w:kern w:val="2"/>
      <w:sz w:val="32"/>
      <w:szCs w:val="32"/>
      <w:lang w:val="en-US" w:eastAsia="zh-CN" w:bidi="ar-SA"/>
    </w:rPr>
  </w:style>
  <w:style w:type="character" w:customStyle="1" w:styleId="106">
    <w:name w:val="段1 Char"/>
    <w:qFormat/>
    <w:uiPriority w:val="0"/>
    <w:rPr>
      <w:rFonts w:ascii="宋体" w:eastAsia="宋体"/>
      <w:sz w:val="24"/>
      <w:lang w:val="en-US" w:eastAsia="zh-CN" w:bidi="ar-SA"/>
    </w:rPr>
  </w:style>
  <w:style w:type="character" w:customStyle="1" w:styleId="107">
    <w:name w:val="chanpin拷贝"/>
    <w:basedOn w:val="50"/>
    <w:qFormat/>
    <w:uiPriority w:val="0"/>
  </w:style>
  <w:style w:type="character" w:customStyle="1" w:styleId="108">
    <w:name w:val="纯文本 Char1"/>
    <w:qFormat/>
    <w:uiPriority w:val="0"/>
    <w:rPr>
      <w:rFonts w:ascii="宋体" w:hAnsi="Courier New" w:eastAsia="宋体"/>
      <w:kern w:val="2"/>
      <w:sz w:val="21"/>
      <w:lang w:val="en-US" w:eastAsia="zh-CN" w:bidi="ar-SA"/>
    </w:rPr>
  </w:style>
  <w:style w:type="character" w:customStyle="1" w:styleId="109">
    <w:name w:val="apple-style-span"/>
    <w:qFormat/>
    <w:uiPriority w:val="0"/>
    <w:rPr>
      <w:rFonts w:cs="Times New Roman"/>
    </w:rPr>
  </w:style>
  <w:style w:type="paragraph" w:customStyle="1" w:styleId="110">
    <w:name w:val="二级条标题"/>
    <w:basedOn w:val="111"/>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qFormat/>
    <w:uiPriority w:val="0"/>
    <w:pPr>
      <w:numPr>
        <w:ilvl w:val="1"/>
      </w:numPr>
      <w:tabs>
        <w:tab w:val="left" w:pos="360"/>
        <w:tab w:val="left" w:pos="840"/>
      </w:tabs>
      <w:ind w:left="0" w:hanging="840"/>
      <w:outlineLvl w:val="1"/>
    </w:pPr>
  </w:style>
  <w:style w:type="paragraph" w:customStyle="1" w:styleId="11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qFormat/>
    <w:uiPriority w:val="0"/>
    <w:rPr>
      <w:rFonts w:ascii="Tahoma" w:hAnsi="Tahoma"/>
      <w:sz w:val="24"/>
      <w:szCs w:val="20"/>
    </w:rPr>
  </w:style>
  <w:style w:type="paragraph" w:customStyle="1" w:styleId="115">
    <w:name w:val="Char3 Char Char Char"/>
    <w:basedOn w:val="1"/>
    <w:qFormat/>
    <w:uiPriority w:val="0"/>
    <w:rPr>
      <w:rFonts w:ascii="Tahoma" w:hAnsi="Tahoma"/>
      <w:sz w:val="24"/>
      <w:szCs w:val="20"/>
    </w:rPr>
  </w:style>
  <w:style w:type="paragraph" w:customStyle="1" w:styleId="11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qFormat/>
    <w:uiPriority w:val="0"/>
    <w:pPr>
      <w:numPr>
        <w:numId w:val="2"/>
      </w:numPr>
    </w:pPr>
  </w:style>
  <w:style w:type="paragraph" w:customStyle="1" w:styleId="11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qFormat/>
    <w:uiPriority w:val="0"/>
    <w:pPr>
      <w:adjustRightInd w:val="0"/>
      <w:snapToGrid w:val="0"/>
      <w:spacing w:line="0" w:lineRule="atLeast"/>
      <w:jc w:val="center"/>
    </w:pPr>
    <w:rPr>
      <w:sz w:val="24"/>
      <w:szCs w:val="20"/>
    </w:rPr>
  </w:style>
  <w:style w:type="paragraph" w:customStyle="1" w:styleId="12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qFormat/>
    <w:uiPriority w:val="0"/>
    <w:rPr>
      <w:rFonts w:ascii="Tahoma" w:hAnsi="Tahoma"/>
      <w:sz w:val="24"/>
      <w:szCs w:val="20"/>
    </w:rPr>
  </w:style>
  <w:style w:type="paragraph" w:customStyle="1" w:styleId="12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qFormat/>
    <w:uiPriority w:val="0"/>
    <w:pPr>
      <w:widowControl/>
      <w:spacing w:before="100" w:beforeAutospacing="1" w:after="100" w:afterAutospacing="1"/>
      <w:jc w:val="left"/>
    </w:pPr>
    <w:rPr>
      <w:kern w:val="0"/>
      <w:sz w:val="36"/>
      <w:szCs w:val="36"/>
    </w:rPr>
  </w:style>
  <w:style w:type="paragraph" w:customStyle="1" w:styleId="137">
    <w:name w:val="Char"/>
    <w:basedOn w:val="1"/>
    <w:qFormat/>
    <w:uiPriority w:val="0"/>
    <w:pPr>
      <w:tabs>
        <w:tab w:val="left" w:pos="360"/>
      </w:tabs>
    </w:pPr>
    <w:rPr>
      <w:sz w:val="24"/>
    </w:rPr>
  </w:style>
  <w:style w:type="paragraph" w:customStyle="1" w:styleId="13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4"/>
    <w:qFormat/>
    <w:uiPriority w:val="0"/>
    <w:rPr>
      <w:rFonts w:ascii="Tahoma" w:hAnsi="Tahoma"/>
      <w:sz w:val="24"/>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6">
    <w:name w:val="Char1 Char Char Char1"/>
    <w:basedOn w:val="1"/>
    <w:qFormat/>
    <w:uiPriority w:val="0"/>
    <w:rPr>
      <w:rFonts w:ascii="Tahoma" w:hAnsi="Tahoma" w:cs="仿宋_GB2312"/>
      <w:sz w:val="24"/>
      <w:szCs w:val="28"/>
    </w:rPr>
  </w:style>
  <w:style w:type="paragraph" w:customStyle="1" w:styleId="147">
    <w:name w:val="四级条标题"/>
    <w:basedOn w:val="148"/>
    <w:next w:val="1"/>
    <w:qFormat/>
    <w:uiPriority w:val="0"/>
    <w:pPr>
      <w:numPr>
        <w:ilvl w:val="4"/>
      </w:numPr>
      <w:tabs>
        <w:tab w:val="left" w:pos="360"/>
        <w:tab w:val="left" w:pos="840"/>
      </w:tabs>
      <w:ind w:left="0" w:hanging="840"/>
      <w:outlineLvl w:val="4"/>
    </w:pPr>
  </w:style>
  <w:style w:type="paragraph" w:customStyle="1" w:styleId="148">
    <w:name w:val="三级条标题"/>
    <w:basedOn w:val="110"/>
    <w:next w:val="1"/>
    <w:qFormat/>
    <w:uiPriority w:val="0"/>
    <w:pPr>
      <w:numPr>
        <w:ilvl w:val="3"/>
        <w:numId w:val="1"/>
      </w:numPr>
      <w:ind w:left="0" w:hanging="840"/>
      <w:outlineLvl w:val="3"/>
    </w:pPr>
  </w:style>
  <w:style w:type="paragraph" w:customStyle="1" w:styleId="14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qFormat/>
    <w:uiPriority w:val="0"/>
    <w:pPr>
      <w:ind w:firstLine="420" w:firstLineChars="200"/>
    </w:pPr>
    <w:rPr>
      <w:rFonts w:ascii="Calibri" w:hAnsi="Calibri"/>
      <w:szCs w:val="22"/>
    </w:rPr>
  </w:style>
  <w:style w:type="paragraph" w:customStyle="1" w:styleId="152">
    <w:name w:val="项目符号1"/>
    <w:basedOn w:val="153"/>
    <w:qFormat/>
    <w:uiPriority w:val="0"/>
    <w:pPr>
      <w:ind w:left="-25" w:firstLine="0"/>
    </w:pPr>
  </w:style>
  <w:style w:type="paragraph" w:customStyle="1" w:styleId="153">
    <w:name w:val="正文文本样式"/>
    <w:basedOn w:val="1"/>
    <w:qFormat/>
    <w:uiPriority w:val="0"/>
    <w:pPr>
      <w:spacing w:line="360" w:lineRule="auto"/>
      <w:ind w:firstLine="482"/>
    </w:pPr>
    <w:rPr>
      <w:rFonts w:cs="宋体"/>
      <w:sz w:val="24"/>
      <w:szCs w:val="20"/>
    </w:rPr>
  </w:style>
  <w:style w:type="paragraph" w:customStyle="1" w:styleId="1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qFormat/>
    <w:uiPriority w:val="0"/>
    <w:pPr>
      <w:numPr>
        <w:ilvl w:val="5"/>
      </w:numPr>
      <w:ind w:left="0" w:hanging="840"/>
      <w:outlineLvl w:val="5"/>
    </w:pPr>
  </w:style>
  <w:style w:type="paragraph" w:customStyle="1" w:styleId="1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qFormat/>
    <w:uiPriority w:val="0"/>
    <w:pPr>
      <w:snapToGrid w:val="0"/>
      <w:spacing w:before="120" w:after="120" w:line="180" w:lineRule="auto"/>
    </w:pPr>
    <w:rPr>
      <w:rFonts w:ascii="Arial" w:hAnsi="Arial"/>
      <w:szCs w:val="20"/>
    </w:rPr>
  </w:style>
  <w:style w:type="paragraph" w:customStyle="1" w:styleId="15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qFormat/>
    <w:uiPriority w:val="0"/>
    <w:rPr>
      <w:rFonts w:ascii="Tahoma" w:hAnsi="Tahoma"/>
      <w:sz w:val="24"/>
      <w:szCs w:val="20"/>
    </w:rPr>
  </w:style>
  <w:style w:type="paragraph" w:customStyle="1" w:styleId="16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qFormat/>
    <w:uiPriority w:val="0"/>
    <w:pPr>
      <w:numPr>
        <w:ilvl w:val="0"/>
        <w:numId w:val="5"/>
      </w:numPr>
      <w:spacing w:before="120"/>
    </w:pPr>
    <w:rPr>
      <w:rFonts w:ascii="宋体"/>
      <w:sz w:val="28"/>
      <w:szCs w:val="20"/>
    </w:rPr>
  </w:style>
  <w:style w:type="paragraph" w:customStyle="1" w:styleId="16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qFormat/>
    <w:uiPriority w:val="0"/>
    <w:rPr>
      <w:rFonts w:ascii="Tahoma" w:hAnsi="Tahoma"/>
      <w:sz w:val="24"/>
      <w:szCs w:val="20"/>
    </w:rPr>
  </w:style>
  <w:style w:type="paragraph" w:customStyle="1" w:styleId="166">
    <w:name w:val="Char Char Char Char Char Char Char Char Char Char"/>
    <w:basedOn w:val="1"/>
    <w:qFormat/>
    <w:uiPriority w:val="0"/>
  </w:style>
  <w:style w:type="paragraph" w:customStyle="1" w:styleId="1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qFormat/>
    <w:uiPriority w:val="0"/>
    <w:pPr>
      <w:tabs>
        <w:tab w:val="left" w:pos="360"/>
      </w:tabs>
    </w:pPr>
    <w:rPr>
      <w:sz w:val="24"/>
    </w:rPr>
  </w:style>
  <w:style w:type="paragraph" w:customStyle="1" w:styleId="16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qFormat/>
    <w:uiPriority w:val="0"/>
    <w:rPr>
      <w:rFonts w:ascii="Arial" w:hAnsi="Arial" w:cs="Arial"/>
      <w:szCs w:val="21"/>
    </w:rPr>
  </w:style>
  <w:style w:type="paragraph" w:customStyle="1" w:styleId="1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qFormat/>
    <w:uiPriority w:val="0"/>
    <w:pPr>
      <w:autoSpaceDE w:val="0"/>
      <w:autoSpaceDN w:val="0"/>
      <w:adjustRightInd w:val="0"/>
      <w:jc w:val="left"/>
    </w:pPr>
    <w:rPr>
      <w:kern w:val="0"/>
      <w:sz w:val="24"/>
    </w:rPr>
  </w:style>
  <w:style w:type="paragraph" w:customStyle="1" w:styleId="179">
    <w:name w:val="Char Char Char1"/>
    <w:basedOn w:val="1"/>
    <w:qFormat/>
    <w:uiPriority w:val="0"/>
    <w:rPr>
      <w:rFonts w:ascii="Tahoma" w:hAnsi="Tahoma"/>
      <w:sz w:val="24"/>
      <w:szCs w:val="20"/>
    </w:rPr>
  </w:style>
  <w:style w:type="paragraph" w:customStyle="1" w:styleId="18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2"/>
    <w:qFormat/>
    <w:uiPriority w:val="0"/>
    <w:pPr>
      <w:spacing w:line="360" w:lineRule="auto"/>
      <w:jc w:val="center"/>
    </w:pPr>
    <w:rPr>
      <w:sz w:val="24"/>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qFormat/>
    <w:uiPriority w:val="0"/>
    <w:pPr>
      <w:widowControl/>
      <w:jc w:val="left"/>
    </w:pPr>
    <w:rPr>
      <w:rFonts w:ascii="楷体_GB2312" w:eastAsia="楷体_GB2312" w:cs="Arial"/>
      <w:kern w:val="0"/>
      <w:sz w:val="24"/>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qFormat/>
    <w:uiPriority w:val="0"/>
    <w:rPr>
      <w:rFonts w:ascii="Tahoma" w:hAnsi="Tahoma"/>
      <w:sz w:val="24"/>
      <w:szCs w:val="20"/>
    </w:rPr>
  </w:style>
  <w:style w:type="paragraph" w:customStyle="1" w:styleId="18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9">
    <w:name w:val="列出段落1"/>
    <w:basedOn w:val="1"/>
    <w:qFormat/>
    <w:uiPriority w:val="0"/>
    <w:pPr>
      <w:ind w:firstLine="420" w:firstLineChars="200"/>
    </w:pPr>
    <w:rPr>
      <w:rFonts w:ascii="Calibri" w:hAnsi="Calibri"/>
      <w:szCs w:val="22"/>
    </w:rPr>
  </w:style>
  <w:style w:type="paragraph" w:customStyle="1" w:styleId="19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字元 字元1"/>
    <w:basedOn w:val="1"/>
    <w:qFormat/>
    <w:uiPriority w:val="0"/>
    <w:rPr>
      <w:rFonts w:ascii="Tahoma" w:hAnsi="Tahoma"/>
      <w:sz w:val="24"/>
      <w:szCs w:val="20"/>
    </w:rPr>
  </w:style>
  <w:style w:type="paragraph" w:customStyle="1" w:styleId="192">
    <w:name w:val="_Style 160"/>
    <w:qFormat/>
    <w:uiPriority w:val="0"/>
    <w:rPr>
      <w:rFonts w:ascii="Times New Roman" w:hAnsi="Times New Roman" w:eastAsia="宋体" w:cs="Times New Roman"/>
      <w:kern w:val="2"/>
      <w:sz w:val="21"/>
      <w:szCs w:val="24"/>
      <w:lang w:val="en-US" w:eastAsia="zh-CN" w:bidi="ar-SA"/>
    </w:rPr>
  </w:style>
  <w:style w:type="paragraph" w:customStyle="1" w:styleId="193">
    <w:name w:val="项目编号3"/>
    <w:basedOn w:val="153"/>
    <w:qFormat/>
    <w:uiPriority w:val="0"/>
    <w:pPr>
      <w:numPr>
        <w:ilvl w:val="0"/>
        <w:numId w:val="6"/>
      </w:numPr>
    </w:pPr>
  </w:style>
  <w:style w:type="paragraph" w:customStyle="1" w:styleId="194">
    <w:name w:val="Char21"/>
    <w:basedOn w:val="1"/>
    <w:qFormat/>
    <w:uiPriority w:val="0"/>
    <w:rPr>
      <w:rFonts w:ascii="Tahoma" w:hAnsi="Tahoma"/>
      <w:sz w:val="24"/>
      <w:szCs w:val="20"/>
    </w:rPr>
  </w:style>
  <w:style w:type="paragraph" w:customStyle="1" w:styleId="195">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6">
    <w:name w:val="Char Char Char Char Char Char Char Char Char Char1"/>
    <w:basedOn w:val="1"/>
    <w:qFormat/>
    <w:uiPriority w:val="0"/>
    <w:rPr>
      <w:rFonts w:ascii="宋体" w:hAnsi="宋体" w:cs="Courier New"/>
      <w:sz w:val="32"/>
      <w:szCs w:val="32"/>
    </w:rPr>
  </w:style>
  <w:style w:type="paragraph" w:customStyle="1" w:styleId="197">
    <w:name w:val="正文文本样式 加粗"/>
    <w:basedOn w:val="153"/>
    <w:qFormat/>
    <w:uiPriority w:val="0"/>
    <w:rPr>
      <w:b/>
    </w:rPr>
  </w:style>
  <w:style w:type="paragraph" w:customStyle="1" w:styleId="198">
    <w:name w:val="Char2 Char Char Char Char Char Char"/>
    <w:basedOn w:val="1"/>
    <w:qFormat/>
    <w:uiPriority w:val="0"/>
    <w:pPr>
      <w:widowControl/>
      <w:spacing w:line="400" w:lineRule="exact"/>
      <w:jc w:val="center"/>
    </w:pPr>
  </w:style>
  <w:style w:type="paragraph" w:customStyle="1" w:styleId="199">
    <w:name w:val="Char Char4"/>
    <w:basedOn w:val="1"/>
    <w:qFormat/>
    <w:uiPriority w:val="0"/>
    <w:pPr>
      <w:widowControl/>
      <w:spacing w:line="400" w:lineRule="exact"/>
      <w:jc w:val="center"/>
    </w:pPr>
  </w:style>
  <w:style w:type="paragraph" w:customStyle="1" w:styleId="200">
    <w:name w:val="Char3 Char Char Char1"/>
    <w:basedOn w:val="1"/>
    <w:qFormat/>
    <w:uiPriority w:val="0"/>
    <w:rPr>
      <w:rFonts w:ascii="Tahoma" w:hAnsi="Tahoma"/>
      <w:sz w:val="24"/>
      <w:szCs w:val="20"/>
    </w:rPr>
  </w:style>
  <w:style w:type="paragraph" w:customStyle="1" w:styleId="20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3">
    <w:name w:val="中等深浅网格 1 - 强调文字颜色 2 Char"/>
    <w:link w:val="204"/>
    <w:qFormat/>
    <w:uiPriority w:val="0"/>
    <w:rPr>
      <w:kern w:val="2"/>
      <w:sz w:val="21"/>
      <w:szCs w:val="24"/>
      <w:lang w:val="zh-CN" w:eastAsia="zh-CN"/>
    </w:rPr>
  </w:style>
  <w:style w:type="paragraph" w:customStyle="1" w:styleId="204">
    <w:name w:val="1"/>
    <w:link w:val="203"/>
    <w:qFormat/>
    <w:uiPriority w:val="0"/>
    <w:rPr>
      <w:rFonts w:ascii="Times New Roman" w:hAnsi="Times New Roman" w:eastAsia="宋体" w:cs="Times New Roman"/>
      <w:kern w:val="2"/>
      <w:sz w:val="21"/>
      <w:szCs w:val="24"/>
      <w:lang w:val="zh-CN" w:eastAsia="zh-CN" w:bidi="ar-SA"/>
    </w:rPr>
  </w:style>
  <w:style w:type="paragraph" w:customStyle="1" w:styleId="205">
    <w:name w:val="图文"/>
    <w:basedOn w:val="1"/>
    <w:qFormat/>
    <w:uiPriority w:val="0"/>
    <w:pPr>
      <w:adjustRightInd w:val="0"/>
      <w:snapToGrid w:val="0"/>
      <w:spacing w:after="50" w:line="360" w:lineRule="auto"/>
    </w:pPr>
    <w:rPr>
      <w:sz w:val="24"/>
    </w:rPr>
  </w:style>
  <w:style w:type="paragraph" w:customStyle="1" w:styleId="20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7">
    <w:name w:val="正文表格"/>
    <w:basedOn w:val="1"/>
    <w:link w:val="208"/>
    <w:qFormat/>
    <w:uiPriority w:val="0"/>
    <w:pPr>
      <w:adjustRightInd w:val="0"/>
      <w:snapToGrid w:val="0"/>
      <w:jc w:val="left"/>
    </w:pPr>
    <w:rPr>
      <w:rFonts w:ascii="宋体" w:hAnsi="宋体"/>
      <w:color w:val="000000"/>
      <w:szCs w:val="21"/>
    </w:rPr>
  </w:style>
  <w:style w:type="character" w:customStyle="1" w:styleId="208">
    <w:name w:val="正文表格 Char"/>
    <w:link w:val="207"/>
    <w:qFormat/>
    <w:uiPriority w:val="0"/>
    <w:rPr>
      <w:rFonts w:ascii="宋体" w:hAnsi="宋体"/>
      <w:color w:val="000000"/>
      <w:kern w:val="2"/>
      <w:sz w:val="21"/>
      <w:szCs w:val="21"/>
    </w:rPr>
  </w:style>
  <w:style w:type="paragraph" w:customStyle="1" w:styleId="209">
    <w:name w:val="正文重点"/>
    <w:basedOn w:val="1"/>
    <w:link w:val="210"/>
    <w:qFormat/>
    <w:uiPriority w:val="0"/>
    <w:pPr>
      <w:adjustRightInd w:val="0"/>
      <w:spacing w:line="360" w:lineRule="auto"/>
      <w:ind w:firstLine="482" w:firstLineChars="200"/>
      <w:jc w:val="left"/>
      <w:textAlignment w:val="baseline"/>
    </w:pPr>
    <w:rPr>
      <w:b/>
      <w:kern w:val="0"/>
      <w:sz w:val="24"/>
      <w:szCs w:val="20"/>
    </w:rPr>
  </w:style>
  <w:style w:type="character" w:customStyle="1" w:styleId="210">
    <w:name w:val="正文重点 Char"/>
    <w:link w:val="209"/>
    <w:qFormat/>
    <w:uiPriority w:val="0"/>
    <w:rPr>
      <w:b/>
      <w:sz w:val="24"/>
    </w:rPr>
  </w:style>
  <w:style w:type="paragraph" w:customStyle="1" w:styleId="211">
    <w:name w:val="标题1-附件"/>
    <w:basedOn w:val="2"/>
    <w:qFormat/>
    <w:uiPriority w:val="0"/>
    <w:pPr>
      <w:jc w:val="left"/>
    </w:pPr>
    <w:rPr>
      <w:sz w:val="24"/>
      <w:szCs w:val="24"/>
    </w:rPr>
  </w:style>
  <w:style w:type="paragraph" w:customStyle="1" w:styleId="212">
    <w:name w:val="正文小标题"/>
    <w:basedOn w:val="1"/>
    <w:next w:val="12"/>
    <w:link w:val="213"/>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3">
    <w:name w:val="正文小标题 Char"/>
    <w:link w:val="212"/>
    <w:qFormat/>
    <w:uiPriority w:val="0"/>
    <w:rPr>
      <w:rFonts w:ascii="宋体" w:hAnsi="宋体"/>
      <w:b/>
      <w:i/>
      <w:color w:val="FF0000"/>
      <w:kern w:val="2"/>
      <w:sz w:val="24"/>
    </w:rPr>
  </w:style>
  <w:style w:type="paragraph" w:customStyle="1" w:styleId="214">
    <w:name w:val="正文大标题"/>
    <w:basedOn w:val="212"/>
    <w:next w:val="12"/>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b/>
      <w:color w:val="000000"/>
      <w:kern w:val="2"/>
      <w:sz w:val="28"/>
      <w:szCs w:val="21"/>
    </w:rPr>
  </w:style>
  <w:style w:type="paragraph" w:customStyle="1" w:styleId="216">
    <w:name w:val="注释"/>
    <w:basedOn w:val="1"/>
    <w:link w:val="217"/>
    <w:qFormat/>
    <w:uiPriority w:val="0"/>
    <w:pPr>
      <w:adjustRightInd w:val="0"/>
      <w:snapToGrid w:val="0"/>
      <w:ind w:left="420" w:hanging="420" w:hangingChars="200"/>
      <w:jc w:val="left"/>
    </w:pPr>
    <w:rPr>
      <w:rFonts w:ascii="宋体" w:hAnsi="宋体"/>
      <w:szCs w:val="21"/>
    </w:rPr>
  </w:style>
  <w:style w:type="character" w:customStyle="1" w:styleId="217">
    <w:name w:val="注释 Char"/>
    <w:link w:val="216"/>
    <w:qFormat/>
    <w:uiPriority w:val="0"/>
    <w:rPr>
      <w:rFonts w:ascii="宋体" w:hAnsi="宋体"/>
      <w:kern w:val="2"/>
      <w:sz w:val="21"/>
      <w:szCs w:val="21"/>
    </w:rPr>
  </w:style>
  <w:style w:type="paragraph" w:customStyle="1" w:styleId="21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1">
    <w:name w:val="纯文本 字符"/>
    <w:qFormat/>
    <w:uiPriority w:val="99"/>
    <w:rPr>
      <w:rFonts w:ascii="宋体" w:hAnsi="Courier New" w:eastAsia="宋体" w:cs="Times New Roman"/>
      <w:kern w:val="2"/>
      <w:sz w:val="21"/>
      <w:szCs w:val="21"/>
      <w:lang w:val="en-US" w:eastAsia="zh-CN" w:bidi="ar-SA"/>
    </w:rPr>
  </w:style>
  <w:style w:type="paragraph" w:customStyle="1" w:styleId="222">
    <w:name w:val="表格1"/>
    <w:basedOn w:val="1"/>
    <w:qFormat/>
    <w:uiPriority w:val="0"/>
    <w:pPr>
      <w:ind w:firstLine="480" w:firstLineChars="200"/>
      <w:jc w:val="center"/>
    </w:pPr>
    <w:rPr>
      <w:sz w:val="24"/>
      <w:szCs w:val="20"/>
    </w:rPr>
  </w:style>
  <w:style w:type="character" w:customStyle="1" w:styleId="223">
    <w:name w:val="纯文本 字符1"/>
    <w:qFormat/>
    <w:uiPriority w:val="0"/>
    <w:rPr>
      <w:rFonts w:ascii="宋体" w:hAnsi="Courier New"/>
    </w:rPr>
  </w:style>
  <w:style w:type="character" w:customStyle="1" w:styleId="224">
    <w:name w:val="bjh-p"/>
    <w:qFormat/>
    <w:uiPriority w:val="0"/>
  </w:style>
  <w:style w:type="paragraph" w:customStyle="1" w:styleId="22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6">
    <w:name w:val="正文格式 Char"/>
    <w:link w:val="227"/>
    <w:qFormat/>
    <w:locked/>
    <w:uiPriority w:val="0"/>
    <w:rPr>
      <w:rFonts w:ascii="宋体" w:hAnsi="宋体"/>
      <w:sz w:val="24"/>
      <w:szCs w:val="24"/>
      <w:lang w:val="en-GB"/>
    </w:rPr>
  </w:style>
  <w:style w:type="paragraph" w:customStyle="1" w:styleId="227">
    <w:name w:val="正文格式"/>
    <w:basedOn w:val="1"/>
    <w:link w:val="226"/>
    <w:qFormat/>
    <w:uiPriority w:val="0"/>
    <w:pPr>
      <w:spacing w:beforeLines="50" w:line="360" w:lineRule="auto"/>
      <w:ind w:firstLine="480" w:firstLineChars="200"/>
    </w:pPr>
    <w:rPr>
      <w:rFonts w:ascii="宋体" w:hAnsi="宋体"/>
      <w:kern w:val="0"/>
      <w:sz w:val="24"/>
      <w:lang w:val="en-GB"/>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rPr>
      <w:rFonts w:ascii="Tahoma" w:hAnsi="Tahoma"/>
      <w:sz w:val="24"/>
      <w:szCs w:val="20"/>
    </w:rPr>
  </w:style>
  <w:style w:type="paragraph" w:customStyle="1" w:styleId="236">
    <w:name w:val="Char3 Char Char Char2"/>
    <w:basedOn w:val="1"/>
    <w:qFormat/>
    <w:uiPriority w:val="0"/>
    <w:rPr>
      <w:rFonts w:ascii="Tahoma" w:hAnsi="Tahoma"/>
      <w:sz w:val="24"/>
      <w:szCs w:val="20"/>
    </w:rPr>
  </w:style>
  <w:style w:type="paragraph" w:customStyle="1" w:styleId="23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8">
    <w:name w:val="Char3"/>
    <w:basedOn w:val="1"/>
    <w:qFormat/>
    <w:uiPriority w:val="0"/>
    <w:pPr>
      <w:tabs>
        <w:tab w:val="left" w:pos="360"/>
      </w:tabs>
    </w:pPr>
    <w:rPr>
      <w:sz w:val="24"/>
    </w:rPr>
  </w:style>
  <w:style w:type="paragraph" w:customStyle="1" w:styleId="23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列出段落2"/>
    <w:basedOn w:val="1"/>
    <w:qFormat/>
    <w:uiPriority w:val="0"/>
    <w:pPr>
      <w:ind w:firstLine="420" w:firstLineChars="200"/>
    </w:pPr>
    <w:rPr>
      <w:rFonts w:ascii="Calibri" w:hAnsi="Calibri"/>
      <w:szCs w:val="22"/>
    </w:rPr>
  </w:style>
  <w:style w:type="paragraph" w:customStyle="1" w:styleId="242">
    <w:name w:val="Char Char Char1 Char2"/>
    <w:basedOn w:val="1"/>
    <w:qFormat/>
    <w:uiPriority w:val="0"/>
    <w:rPr>
      <w:rFonts w:ascii="Tahoma" w:hAnsi="Tahoma"/>
      <w:sz w:val="24"/>
      <w:szCs w:val="20"/>
    </w:rPr>
  </w:style>
  <w:style w:type="paragraph" w:customStyle="1" w:styleId="243">
    <w:name w:val="Char Char Char2"/>
    <w:basedOn w:val="1"/>
    <w:qFormat/>
    <w:uiPriority w:val="0"/>
    <w:rPr>
      <w:rFonts w:ascii="Tahoma" w:hAnsi="Tahoma"/>
      <w:sz w:val="24"/>
      <w:szCs w:val="20"/>
    </w:rPr>
  </w:style>
  <w:style w:type="paragraph" w:customStyle="1" w:styleId="2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rPr>
      <w:rFonts w:ascii="Tahoma" w:hAnsi="Tahoma"/>
      <w:sz w:val="24"/>
      <w:szCs w:val="20"/>
    </w:rPr>
  </w:style>
  <w:style w:type="paragraph" w:customStyle="1" w:styleId="248">
    <w:name w:val="Char Char Char Char Char Char Char Char Char Char2"/>
    <w:basedOn w:val="1"/>
    <w:qFormat/>
    <w:uiPriority w:val="0"/>
    <w:rPr>
      <w:rFonts w:ascii="宋体" w:hAnsi="宋体" w:cs="Courier New"/>
      <w:sz w:val="32"/>
      <w:szCs w:val="32"/>
    </w:rPr>
  </w:style>
  <w:style w:type="paragraph" w:customStyle="1" w:styleId="249">
    <w:name w:val="Char2 Char Char Char Char Char Char1"/>
    <w:basedOn w:val="1"/>
    <w:qFormat/>
    <w:uiPriority w:val="0"/>
    <w:pPr>
      <w:widowControl/>
      <w:spacing w:line="400" w:lineRule="exact"/>
      <w:jc w:val="center"/>
    </w:p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spacing w:line="400" w:lineRule="exact"/>
      <w:jc w:val="center"/>
    </w:p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spacing w:before="120" w:after="120" w:line="360" w:lineRule="auto"/>
      <w:jc w:val="center"/>
    </w:pPr>
    <w:rPr>
      <w:rFonts w:eastAsia="仿宋_GB2312"/>
      <w:b/>
      <w:sz w:val="24"/>
      <w:szCs w:val="20"/>
    </w:rPr>
  </w:style>
  <w:style w:type="table" w:customStyle="1" w:styleId="25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7">
    <w:name w:val="WPSOffice手动目录 1"/>
    <w:qFormat/>
    <w:uiPriority w:val="0"/>
    <w:rPr>
      <w:rFonts w:ascii="Times New Roman" w:hAnsi="Times New Roman" w:eastAsia="宋体" w:cs="Times New Roman"/>
      <w:lang w:val="en-US" w:eastAsia="zh-CN" w:bidi="ar-SA"/>
    </w:rPr>
  </w:style>
  <w:style w:type="paragraph" w:customStyle="1" w:styleId="258">
    <w:name w:val="SOW正文"/>
    <w:basedOn w:val="1"/>
    <w:qFormat/>
    <w:uiPriority w:val="0"/>
    <w:pPr>
      <w:snapToGrid w:val="0"/>
      <w:spacing w:before="120" w:line="400" w:lineRule="exact"/>
      <w:ind w:firstLine="425"/>
    </w:pPr>
    <w:rPr>
      <w:sz w:val="24"/>
      <w:szCs w:val="20"/>
    </w:rPr>
  </w:style>
  <w:style w:type="character" w:customStyle="1" w:styleId="259">
    <w:name w:val="font21"/>
    <w:basedOn w:val="50"/>
    <w:qFormat/>
    <w:uiPriority w:val="0"/>
    <w:rPr>
      <w:rFonts w:ascii="Calibri" w:hAnsi="Calibri" w:cs="Calibri"/>
      <w:color w:val="000000"/>
      <w:sz w:val="21"/>
      <w:szCs w:val="21"/>
      <w:u w:val="none"/>
    </w:rPr>
  </w:style>
  <w:style w:type="character" w:customStyle="1" w:styleId="260">
    <w:name w:val="font11"/>
    <w:basedOn w:val="50"/>
    <w:qFormat/>
    <w:uiPriority w:val="0"/>
    <w:rPr>
      <w:rFonts w:hint="eastAsia" w:ascii="宋体" w:hAnsi="宋体" w:eastAsia="宋体" w:cs="宋体"/>
      <w:color w:val="000000"/>
      <w:sz w:val="21"/>
      <w:szCs w:val="21"/>
      <w:u w:val="none"/>
    </w:rPr>
  </w:style>
  <w:style w:type="character" w:customStyle="1" w:styleId="261">
    <w:name w:val="font31"/>
    <w:basedOn w:val="50"/>
    <w:qFormat/>
    <w:uiPriority w:val="0"/>
    <w:rPr>
      <w:rFonts w:ascii="Calibri" w:hAnsi="Calibri" w:cs="Calibri"/>
      <w:color w:val="000000"/>
      <w:sz w:val="21"/>
      <w:szCs w:val="21"/>
      <w:u w:val="none"/>
    </w:rPr>
  </w:style>
  <w:style w:type="character" w:customStyle="1" w:styleId="262">
    <w:name w:val="font01"/>
    <w:basedOn w:val="50"/>
    <w:qFormat/>
    <w:uiPriority w:val="0"/>
    <w:rPr>
      <w:rFonts w:hint="eastAsia" w:ascii="宋体" w:hAnsi="宋体" w:eastAsia="宋体" w:cs="宋体"/>
      <w:color w:val="000000"/>
      <w:sz w:val="24"/>
      <w:szCs w:val="24"/>
      <w:u w:val="none"/>
    </w:rPr>
  </w:style>
  <w:style w:type="character" w:customStyle="1" w:styleId="263">
    <w:name w:val="font41"/>
    <w:basedOn w:val="50"/>
    <w:qFormat/>
    <w:uiPriority w:val="0"/>
    <w:rPr>
      <w:rFonts w:hint="eastAsia" w:ascii="宋体" w:hAnsi="宋体" w:eastAsia="宋体" w:cs="宋体"/>
      <w:color w:val="000000"/>
      <w:sz w:val="24"/>
      <w:szCs w:val="24"/>
      <w:u w:val="none"/>
    </w:rPr>
  </w:style>
  <w:style w:type="character" w:customStyle="1" w:styleId="264">
    <w:name w:val="font51"/>
    <w:basedOn w:val="50"/>
    <w:qFormat/>
    <w:uiPriority w:val="0"/>
    <w:rPr>
      <w:rFonts w:hint="eastAsia" w:ascii="微软雅黑" w:hAnsi="微软雅黑" w:eastAsia="微软雅黑" w:cs="微软雅黑"/>
      <w:color w:val="333333"/>
      <w:sz w:val="24"/>
      <w:szCs w:val="24"/>
      <w:u w:val="none"/>
    </w:rPr>
  </w:style>
  <w:style w:type="character" w:customStyle="1" w:styleId="265">
    <w:name w:val="font71"/>
    <w:basedOn w:val="50"/>
    <w:qFormat/>
    <w:uiPriority w:val="0"/>
    <w:rPr>
      <w:rFonts w:ascii="微软雅黑" w:hAnsi="微软雅黑" w:eastAsia="微软雅黑" w:cs="微软雅黑"/>
      <w:b/>
      <w:bCs/>
      <w:color w:val="000000"/>
      <w:sz w:val="28"/>
      <w:szCs w:val="28"/>
      <w:u w:val="none"/>
    </w:rPr>
  </w:style>
  <w:style w:type="character" w:customStyle="1" w:styleId="266">
    <w:name w:val="font81"/>
    <w:basedOn w:val="50"/>
    <w:qFormat/>
    <w:uiPriority w:val="0"/>
    <w:rPr>
      <w:rFonts w:hint="eastAsia" w:ascii="Malgun Gothic" w:hAnsi="Malgun Gothic" w:eastAsia="Malgun Gothic" w:cs="Malgun Gothic"/>
      <w:color w:val="000000"/>
      <w:sz w:val="20"/>
      <w:szCs w:val="20"/>
      <w:u w:val="none"/>
    </w:rPr>
  </w:style>
  <w:style w:type="character" w:customStyle="1" w:styleId="267">
    <w:name w:val="font91"/>
    <w:basedOn w:val="50"/>
    <w:qFormat/>
    <w:uiPriority w:val="0"/>
    <w:rPr>
      <w:rFonts w:hint="eastAsia" w:ascii="微软雅黑" w:hAnsi="微软雅黑" w:eastAsia="微软雅黑" w:cs="微软雅黑"/>
      <w:color w:val="000000"/>
      <w:sz w:val="20"/>
      <w:szCs w:val="20"/>
      <w:u w:val="none"/>
    </w:rPr>
  </w:style>
  <w:style w:type="character" w:customStyle="1" w:styleId="268">
    <w:name w:val="font101"/>
    <w:basedOn w:val="50"/>
    <w:qFormat/>
    <w:uiPriority w:val="0"/>
    <w:rPr>
      <w:rFonts w:hint="eastAsia" w:ascii="宋体" w:hAnsi="宋体" w:eastAsia="宋体" w:cs="宋体"/>
      <w:color w:val="000000"/>
      <w:sz w:val="20"/>
      <w:szCs w:val="20"/>
      <w:u w:val="none"/>
    </w:rPr>
  </w:style>
  <w:style w:type="character" w:customStyle="1" w:styleId="269">
    <w:name w:val="font61"/>
    <w:basedOn w:val="50"/>
    <w:qFormat/>
    <w:uiPriority w:val="0"/>
    <w:rPr>
      <w:rFonts w:hint="eastAsia" w:ascii="宋体" w:hAnsi="宋体" w:eastAsia="宋体" w:cs="宋体"/>
      <w:color w:val="333333"/>
      <w:sz w:val="20"/>
      <w:szCs w:val="20"/>
      <w:u w:val="none"/>
    </w:rPr>
  </w:style>
  <w:style w:type="paragraph" w:customStyle="1" w:styleId="270">
    <w:name w:val="Table Text"/>
    <w:basedOn w:val="1"/>
    <w:semiHidden/>
    <w:qFormat/>
    <w:uiPriority w:val="0"/>
    <w:rPr>
      <w:rFonts w:ascii="宋体" w:hAnsi="宋体" w:cs="宋体"/>
      <w:sz w:val="24"/>
      <w:lang w:eastAsia="en-US"/>
    </w:rPr>
  </w:style>
  <w:style w:type="character" w:customStyle="1" w:styleId="271">
    <w:name w:val="样式 粉红"/>
    <w:qFormat/>
    <w:uiPriority w:val="0"/>
    <w:rPr>
      <w:color w:val="auto"/>
      <w:u w:val="none"/>
    </w:rPr>
  </w:style>
  <w:style w:type="paragraph" w:customStyle="1" w:styleId="272">
    <w:name w:val="_Style 36"/>
    <w:basedOn w:val="1"/>
    <w:next w:val="104"/>
    <w:qFormat/>
    <w:uiPriority w:val="34"/>
    <w:pPr>
      <w:ind w:firstLine="420" w:firstLineChars="200"/>
    </w:pPr>
    <w:rPr>
      <w:rFonts w:ascii="Calibri" w:hAnsi="Calibri"/>
      <w:szCs w:val="22"/>
    </w:rPr>
  </w:style>
  <w:style w:type="paragraph" w:customStyle="1" w:styleId="273">
    <w:name w:val="~正文"/>
    <w:basedOn w:val="1"/>
    <w:next w:val="18"/>
    <w:qFormat/>
    <w:uiPriority w:val="0"/>
    <w:pPr>
      <w:widowControl/>
      <w:spacing w:line="360" w:lineRule="auto"/>
      <w:ind w:firstLine="200" w:firstLineChars="200"/>
      <w:jc w:val="left"/>
    </w:pPr>
    <w:rPr>
      <w:kern w:val="0"/>
      <w:sz w:val="24"/>
      <w:szCs w:val="28"/>
      <w:lang w:val="zh-CN"/>
    </w:rPr>
  </w:style>
  <w:style w:type="character" w:customStyle="1" w:styleId="274">
    <w:name w:val="not([class*=suffix])"/>
    <w:basedOn w:val="50"/>
    <w:qFormat/>
    <w:uiPriority w:val="0"/>
  </w:style>
  <w:style w:type="character" w:customStyle="1" w:styleId="275">
    <w:name w:val="not([class*=suffix])1"/>
    <w:basedOn w:val="50"/>
    <w:qFormat/>
    <w:uiPriority w:val="0"/>
    <w:rPr>
      <w:sz w:val="19"/>
      <w:szCs w:val="19"/>
    </w:rPr>
  </w:style>
  <w:style w:type="paragraph" w:customStyle="1" w:styleId="276">
    <w:name w:val="样式 标题 2 + Times New Roman 四号 非加粗 段前: 5 磅 段后: 0 磅 行距: 固定值 20..."/>
    <w:basedOn w:val="3"/>
    <w:qFormat/>
    <w:uiPriority w:val="99"/>
    <w:pPr>
      <w:spacing w:beforeLines="50" w:afterLines="50" w:line="360" w:lineRule="auto"/>
    </w:pPr>
    <w:rPr>
      <w:rFonts w:ascii="宋体" w:hAnsi="宋体" w:cs="宋体"/>
      <w:b w:val="0"/>
      <w:sz w:val="28"/>
    </w:rPr>
  </w:style>
  <w:style w:type="paragraph" w:customStyle="1" w:styleId="277">
    <w:name w:val="样式 标题 3 + (中文) 黑体 小四 非加粗 段前: 7.8 磅 段后: 0 磅 行距: 固定值 20 磅"/>
    <w:basedOn w:val="4"/>
    <w:qFormat/>
    <w:uiPriority w:val="0"/>
    <w:pPr>
      <w:spacing w:beforeLines="50" w:afterLines="50" w:line="360" w:lineRule="auto"/>
    </w:pPr>
    <w:rPr>
      <w:rFonts w:hAnsi="宋体"/>
      <w:b w:val="0"/>
    </w:rPr>
  </w:style>
  <w:style w:type="paragraph" w:customStyle="1" w:styleId="27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79">
    <w:name w:val="p0"/>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280">
    <w:name w:val="副标题 字符"/>
    <w:basedOn w:val="50"/>
    <w:link w:val="33"/>
    <w:qFormat/>
    <w:uiPriority w:val="11"/>
    <w:rPr>
      <w:rFonts w:ascii="Calibri" w:hAnsi="Calibri"/>
      <w:i/>
      <w:iCs/>
      <w:sz w:val="24"/>
      <w:szCs w:val="24"/>
      <w:lang w:eastAsia="en-US"/>
    </w:rPr>
  </w:style>
  <w:style w:type="paragraph" w:customStyle="1" w:styleId="281">
    <w:name w:val="作者"/>
    <w:basedOn w:val="1"/>
    <w:qFormat/>
    <w:uiPriority w:val="0"/>
    <w:pPr>
      <w:widowControl/>
      <w:autoSpaceDE w:val="0"/>
      <w:autoSpaceDN w:val="0"/>
      <w:adjustRightInd w:val="0"/>
      <w:ind w:firstLine="360"/>
      <w:jc w:val="center"/>
    </w:pPr>
    <w:rPr>
      <w:rFonts w:ascii="方正楷体简体" w:hAnsi="Calibri" w:eastAsia="方正楷体简体"/>
      <w:kern w:val="0"/>
      <w:sz w:val="22"/>
      <w:szCs w:val="21"/>
      <w:lang w:val="zh-CN" w:eastAsia="en-US" w:bidi="en-US"/>
    </w:rPr>
  </w:style>
  <w:style w:type="paragraph" w:customStyle="1" w:styleId="282">
    <w:name w:val="BT3"/>
    <w:basedOn w:val="1"/>
    <w:qFormat/>
    <w:uiPriority w:val="0"/>
    <w:pPr>
      <w:widowControl/>
      <w:autoSpaceDE w:val="0"/>
      <w:autoSpaceDN w:val="0"/>
      <w:adjustRightInd w:val="0"/>
      <w:spacing w:before="156" w:beforeLines="50" w:after="156" w:afterLines="50" w:line="310" w:lineRule="atLeast"/>
      <w:ind w:firstLine="360"/>
      <w:jc w:val="left"/>
    </w:pPr>
    <w:rPr>
      <w:rFonts w:ascii="Arial" w:hAnsi="Arial" w:eastAsia="黑体"/>
      <w:kern w:val="0"/>
      <w:sz w:val="22"/>
      <w:szCs w:val="21"/>
      <w:lang w:val="zh-CN" w:eastAsia="en-US" w:bidi="en-US"/>
    </w:rPr>
  </w:style>
  <w:style w:type="paragraph" w:styleId="283">
    <w:name w:val="No Spacing"/>
    <w:basedOn w:val="1"/>
    <w:link w:val="284"/>
    <w:qFormat/>
    <w:uiPriority w:val="1"/>
    <w:pPr>
      <w:widowControl/>
      <w:jc w:val="left"/>
    </w:pPr>
    <w:rPr>
      <w:rFonts w:ascii="Calibri" w:hAnsi="Calibri"/>
      <w:kern w:val="0"/>
      <w:sz w:val="22"/>
      <w:szCs w:val="22"/>
      <w:lang w:eastAsia="en-US" w:bidi="en-US"/>
    </w:rPr>
  </w:style>
  <w:style w:type="character" w:customStyle="1" w:styleId="284">
    <w:name w:val="无间隔 字符"/>
    <w:link w:val="283"/>
    <w:qFormat/>
    <w:uiPriority w:val="1"/>
    <w:rPr>
      <w:rFonts w:ascii="Calibri" w:hAnsi="Calibri"/>
      <w:sz w:val="22"/>
      <w:szCs w:val="22"/>
      <w:lang w:eastAsia="en-US" w:bidi="en-US"/>
    </w:rPr>
  </w:style>
  <w:style w:type="paragraph" w:styleId="285">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styleId="286">
    <w:name w:val="Quote"/>
    <w:basedOn w:val="1"/>
    <w:next w:val="1"/>
    <w:link w:val="287"/>
    <w:qFormat/>
    <w:uiPriority w:val="29"/>
    <w:pPr>
      <w:widowControl/>
      <w:ind w:firstLine="360"/>
      <w:jc w:val="left"/>
    </w:pPr>
    <w:rPr>
      <w:rFonts w:ascii="Cambria" w:hAnsi="Cambria"/>
      <w:i/>
      <w:iCs/>
      <w:color w:val="5A5A5A"/>
      <w:kern w:val="0"/>
      <w:sz w:val="20"/>
      <w:szCs w:val="20"/>
      <w:lang w:eastAsia="en-US"/>
    </w:rPr>
  </w:style>
  <w:style w:type="character" w:customStyle="1" w:styleId="287">
    <w:name w:val="引用 字符"/>
    <w:basedOn w:val="50"/>
    <w:link w:val="286"/>
    <w:qFormat/>
    <w:uiPriority w:val="29"/>
    <w:rPr>
      <w:rFonts w:ascii="Cambria" w:hAnsi="Cambria"/>
      <w:i/>
      <w:iCs/>
      <w:color w:val="5A5A5A"/>
      <w:lang w:eastAsia="en-US"/>
    </w:rPr>
  </w:style>
  <w:style w:type="paragraph" w:styleId="288">
    <w:name w:val="Intense Quote"/>
    <w:basedOn w:val="1"/>
    <w:next w:val="1"/>
    <w:link w:val="28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lang w:eastAsia="en-US"/>
    </w:rPr>
  </w:style>
  <w:style w:type="character" w:customStyle="1" w:styleId="289">
    <w:name w:val="明显引用 字符"/>
    <w:basedOn w:val="50"/>
    <w:link w:val="288"/>
    <w:qFormat/>
    <w:uiPriority w:val="30"/>
    <w:rPr>
      <w:rFonts w:ascii="Cambria" w:hAnsi="Cambria"/>
      <w:i/>
      <w:iCs/>
      <w:color w:val="FFFFFF"/>
      <w:sz w:val="24"/>
      <w:szCs w:val="24"/>
      <w:shd w:val="clear" w:color="auto" w:fill="4F81BD"/>
      <w:lang w:eastAsia="en-US"/>
    </w:rPr>
  </w:style>
  <w:style w:type="character" w:customStyle="1" w:styleId="290">
    <w:name w:val="不明显强调1"/>
    <w:qFormat/>
    <w:uiPriority w:val="19"/>
    <w:rPr>
      <w:i/>
      <w:iCs/>
      <w:color w:val="5A5A5A"/>
    </w:rPr>
  </w:style>
  <w:style w:type="character" w:customStyle="1" w:styleId="291">
    <w:name w:val="明显强调1"/>
    <w:qFormat/>
    <w:uiPriority w:val="21"/>
    <w:rPr>
      <w:b/>
      <w:bCs/>
      <w:i/>
      <w:iCs/>
      <w:color w:val="4F81BD"/>
      <w:sz w:val="22"/>
      <w:szCs w:val="22"/>
    </w:rPr>
  </w:style>
  <w:style w:type="character" w:customStyle="1" w:styleId="292">
    <w:name w:val="不明显参考1"/>
    <w:qFormat/>
    <w:uiPriority w:val="31"/>
    <w:rPr>
      <w:color w:val="auto"/>
      <w:u w:val="single" w:color="9BBB59"/>
    </w:rPr>
  </w:style>
  <w:style w:type="character" w:customStyle="1" w:styleId="293">
    <w:name w:val="明显参考1"/>
    <w:qFormat/>
    <w:uiPriority w:val="32"/>
    <w:rPr>
      <w:b/>
      <w:bCs/>
      <w:color w:val="76923C"/>
      <w:u w:val="single" w:color="9BBB59"/>
    </w:rPr>
  </w:style>
  <w:style w:type="character" w:customStyle="1" w:styleId="294">
    <w:name w:val="书籍标题1"/>
    <w:qFormat/>
    <w:uiPriority w:val="33"/>
    <w:rPr>
      <w:rFonts w:ascii="Cambria" w:hAnsi="Cambria" w:eastAsia="宋体" w:cs="Times New Roman"/>
      <w:b/>
      <w:bCs/>
      <w:i/>
      <w:iCs/>
      <w:color w:val="auto"/>
    </w:rPr>
  </w:style>
  <w:style w:type="paragraph" w:customStyle="1" w:styleId="295">
    <w:name w:val="TOC 标题1"/>
    <w:basedOn w:val="2"/>
    <w:next w:val="1"/>
    <w:qFormat/>
    <w:uiPriority w:val="39"/>
    <w:pPr>
      <w:keepNext w:val="0"/>
      <w:keepLines w:val="0"/>
      <w:widowControl/>
      <w:pBdr>
        <w:bottom w:val="single" w:color="365F91" w:sz="12" w:space="1"/>
      </w:pBdr>
      <w:autoSpaceDE/>
      <w:autoSpaceDN/>
      <w:adjustRightInd/>
      <w:spacing w:before="600" w:after="80" w:line="240" w:lineRule="auto"/>
      <w:jc w:val="left"/>
      <w:outlineLvl w:val="9"/>
    </w:pPr>
    <w:rPr>
      <w:rFonts w:ascii="Cambria" w:hAnsi="Cambria"/>
      <w:bCs/>
      <w:color w:val="365F91"/>
      <w:kern w:val="0"/>
      <w:sz w:val="24"/>
      <w:szCs w:val="24"/>
      <w:lang w:eastAsia="en-US"/>
    </w:rPr>
  </w:style>
  <w:style w:type="paragraph" w:customStyle="1" w:styleId="296">
    <w:name w:val="修订3"/>
    <w:semiHidden/>
    <w:qFormat/>
    <w:uiPriority w:val="99"/>
    <w:rPr>
      <w:rFonts w:ascii="Calibri" w:hAnsi="Calibri" w:eastAsia="宋体" w:cs="Times New Roman"/>
      <w:sz w:val="22"/>
      <w:szCs w:val="22"/>
      <w:lang w:val="en-US" w:eastAsia="en-US" w:bidi="en-US"/>
    </w:rPr>
  </w:style>
  <w:style w:type="character" w:customStyle="1" w:styleId="297">
    <w:name w:val="未处理的提及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33.xml"/><Relationship Id="rId54" Type="http://schemas.openxmlformats.org/officeDocument/2006/relationships/header" Target="header20.xml"/><Relationship Id="rId53" Type="http://schemas.openxmlformats.org/officeDocument/2006/relationships/footer" Target="footer32.xml"/><Relationship Id="rId52" Type="http://schemas.openxmlformats.org/officeDocument/2006/relationships/header" Target="header19.xml"/><Relationship Id="rId51" Type="http://schemas.openxmlformats.org/officeDocument/2006/relationships/footer" Target="footer31.xml"/><Relationship Id="rId50" Type="http://schemas.openxmlformats.org/officeDocument/2006/relationships/header" Target="header18.xml"/><Relationship Id="rId5" Type="http://schemas.openxmlformats.org/officeDocument/2006/relationships/header" Target="header3.xml"/><Relationship Id="rId49" Type="http://schemas.openxmlformats.org/officeDocument/2006/relationships/footer" Target="footer30.xml"/><Relationship Id="rId48" Type="http://schemas.openxmlformats.org/officeDocument/2006/relationships/header" Target="header17.xml"/><Relationship Id="rId47" Type="http://schemas.openxmlformats.org/officeDocument/2006/relationships/footer" Target="footer29.xml"/><Relationship Id="rId46" Type="http://schemas.openxmlformats.org/officeDocument/2006/relationships/header" Target="header16.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header" Target="header15.xml"/><Relationship Id="rId41" Type="http://schemas.openxmlformats.org/officeDocument/2006/relationships/footer" Target="footer25.xml"/><Relationship Id="rId40" Type="http://schemas.openxmlformats.org/officeDocument/2006/relationships/header" Target="header14.xml"/><Relationship Id="rId4" Type="http://schemas.openxmlformats.org/officeDocument/2006/relationships/header" Target="header2.xml"/><Relationship Id="rId39" Type="http://schemas.openxmlformats.org/officeDocument/2006/relationships/footer" Target="footer24.xml"/><Relationship Id="rId38" Type="http://schemas.openxmlformats.org/officeDocument/2006/relationships/header" Target="header13.xml"/><Relationship Id="rId37" Type="http://schemas.openxmlformats.org/officeDocument/2006/relationships/footer" Target="footer23.xml"/><Relationship Id="rId36" Type="http://schemas.openxmlformats.org/officeDocument/2006/relationships/header" Target="header12.xml"/><Relationship Id="rId35" Type="http://schemas.openxmlformats.org/officeDocument/2006/relationships/footer" Target="footer22.xml"/><Relationship Id="rId34" Type="http://schemas.openxmlformats.org/officeDocument/2006/relationships/header" Target="header11.xml"/><Relationship Id="rId33" Type="http://schemas.openxmlformats.org/officeDocument/2006/relationships/footer" Target="footer21.xml"/><Relationship Id="rId32" Type="http://schemas.openxmlformats.org/officeDocument/2006/relationships/header" Target="header10.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F93C4-CDA7-43FD-8566-85B497BB2C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85</Pages>
  <Words>17881</Words>
  <Characters>19180</Characters>
  <Lines>297</Lines>
  <Paragraphs>83</Paragraphs>
  <TotalTime>8</TotalTime>
  <ScaleCrop>false</ScaleCrop>
  <LinksUpToDate>false</LinksUpToDate>
  <CharactersWithSpaces>19859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2024-09-23T01:47:00Z</dcterms:created>
  <dc:creator>尹皓</dc:creator>
  <cp:lastModifiedBy>WPS_1693193111</cp:lastModifiedBy>
  <cp:lastPrinted>2024-10-16T07:29:00Z</cp:lastPrinted>
  <dcterms:modified xsi:type="dcterms:W3CDTF">2025-07-17T08:10:47Z</dcterms:modified>
  <dc:title>02年杜范本稿</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3C7B7C4905CA480388D8CF2D96C01CD2_13</vt:lpwstr>
  </property>
  <property fmtid="{D5CDD505-2E9C-101B-9397-08002B2CF9AE}" pid="4" name="KSOTemplateDocerSaveRecord">
    <vt:lpwstr>eyJoZGlkIjoiNWM0ZWVhMGE2ODc2N2YwYjc1M2ZkZWJhOGMzOTE4MTkiLCJ1c2VySWQiOiIxNTI0NzUwODYzIn0=</vt:lpwstr>
  </property>
</Properties>
</file>