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65873D">
      <w:pPr>
        <w:spacing w:before="195" w:line="218" w:lineRule="auto"/>
        <w:ind w:left="1775"/>
        <w:rPr>
          <w:rFonts w:hint="eastAsia" w:ascii="宋体" w:hAnsi="宋体" w:cs="宋体"/>
          <w:spacing w:val="-2"/>
          <w:sz w:val="60"/>
          <w:szCs w:val="60"/>
          <w:highlight w:val="none"/>
        </w:rPr>
      </w:pPr>
    </w:p>
    <w:p w14:paraId="672174F7">
      <w:pPr>
        <w:spacing w:before="195" w:line="218" w:lineRule="auto"/>
        <w:ind w:left="1775"/>
        <w:rPr>
          <w:rFonts w:ascii="宋体" w:hAnsi="宋体" w:cs="宋体"/>
          <w:spacing w:val="-2"/>
          <w:sz w:val="60"/>
          <w:szCs w:val="60"/>
          <w:highlight w:val="none"/>
        </w:rPr>
      </w:pPr>
    </w:p>
    <w:p w14:paraId="68F4B2AE">
      <w:pPr>
        <w:spacing w:before="195" w:line="219" w:lineRule="auto"/>
        <w:ind w:left="1775"/>
        <w:outlineLvl w:val="0"/>
        <w:rPr>
          <w:rFonts w:ascii="宋体" w:hAnsi="宋体" w:cs="宋体"/>
          <w:sz w:val="60"/>
          <w:szCs w:val="60"/>
          <w:highlight w:val="none"/>
        </w:rPr>
      </w:pPr>
      <w:bookmarkStart w:id="0" w:name="_Toc24280"/>
      <w:bookmarkStart w:id="1" w:name="_Toc29486"/>
      <w:r>
        <w:rPr>
          <w:rFonts w:ascii="宋体" w:hAnsi="宋体" w:cs="宋体"/>
          <w:spacing w:val="-2"/>
          <w:sz w:val="60"/>
          <w:szCs w:val="60"/>
          <w:highlight w:val="none"/>
        </w:rPr>
        <w:t>北京市政府采购项目</w:t>
      </w:r>
      <w:bookmarkEnd w:id="0"/>
      <w:bookmarkEnd w:id="1"/>
    </w:p>
    <w:p w14:paraId="5377986D">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183EDADD">
      <w:pPr>
        <w:spacing w:line="248" w:lineRule="auto"/>
        <w:rPr>
          <w:rFonts w:ascii="Arial"/>
          <w:highlight w:val="none"/>
        </w:rPr>
      </w:pPr>
    </w:p>
    <w:p w14:paraId="637CE9B4">
      <w:pPr>
        <w:spacing w:line="248" w:lineRule="auto"/>
        <w:rPr>
          <w:rFonts w:ascii="Arial"/>
          <w:highlight w:val="none"/>
        </w:rPr>
      </w:pPr>
    </w:p>
    <w:p w14:paraId="65A43721">
      <w:pPr>
        <w:spacing w:line="248" w:lineRule="auto"/>
        <w:rPr>
          <w:rFonts w:ascii="Arial"/>
          <w:highlight w:val="none"/>
        </w:rPr>
      </w:pPr>
    </w:p>
    <w:p w14:paraId="7BC1FF7C">
      <w:pPr>
        <w:spacing w:line="249" w:lineRule="auto"/>
        <w:rPr>
          <w:rFonts w:ascii="Arial"/>
          <w:highlight w:val="none"/>
        </w:rPr>
      </w:pPr>
    </w:p>
    <w:p w14:paraId="53495707">
      <w:pPr>
        <w:spacing w:line="249" w:lineRule="auto"/>
        <w:rPr>
          <w:rFonts w:ascii="Arial"/>
          <w:highlight w:val="none"/>
        </w:rPr>
      </w:pPr>
    </w:p>
    <w:p w14:paraId="3D4A940C">
      <w:pPr>
        <w:spacing w:line="249" w:lineRule="auto"/>
        <w:rPr>
          <w:rFonts w:ascii="Arial"/>
          <w:highlight w:val="none"/>
        </w:rPr>
      </w:pPr>
    </w:p>
    <w:p w14:paraId="12B1D488">
      <w:pPr>
        <w:spacing w:line="249" w:lineRule="auto"/>
        <w:jc w:val="center"/>
        <w:rPr>
          <w:rFonts w:hint="eastAsia" w:ascii="Arial"/>
          <w:highlight w:val="none"/>
        </w:rPr>
      </w:pPr>
      <w:r>
        <w:rPr>
          <w:rFonts w:ascii="宋体" w:hAnsi="宋体"/>
          <w:b/>
          <w:sz w:val="52"/>
          <w:highlight w:val="none"/>
        </w:rPr>
        <w:drawing>
          <wp:inline distT="0" distB="0" distL="114300" distR="114300">
            <wp:extent cx="3316605" cy="2325370"/>
            <wp:effectExtent l="0" t="0" r="10795" b="11430"/>
            <wp:docPr id="1" name="图片 5"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明德致信-LOGO-1"/>
                    <pic:cNvPicPr>
                      <a:picLocks noChangeAspect="1"/>
                    </pic:cNvPicPr>
                  </pic:nvPicPr>
                  <pic:blipFill>
                    <a:blip r:embed="rId40"/>
                    <a:stretch>
                      <a:fillRect/>
                    </a:stretch>
                  </pic:blipFill>
                  <pic:spPr>
                    <a:xfrm>
                      <a:off x="0" y="0"/>
                      <a:ext cx="3316605" cy="2325370"/>
                    </a:xfrm>
                    <a:prstGeom prst="rect">
                      <a:avLst/>
                    </a:prstGeom>
                    <a:noFill/>
                    <a:ln>
                      <a:noFill/>
                    </a:ln>
                  </pic:spPr>
                </pic:pic>
              </a:graphicData>
            </a:graphic>
          </wp:inline>
        </w:drawing>
      </w:r>
    </w:p>
    <w:p w14:paraId="411F6AAD">
      <w:pPr>
        <w:spacing w:line="249" w:lineRule="auto"/>
        <w:rPr>
          <w:rFonts w:ascii="Arial"/>
          <w:highlight w:val="none"/>
        </w:rPr>
      </w:pPr>
    </w:p>
    <w:p w14:paraId="0CA1C6A3">
      <w:pPr>
        <w:spacing w:line="249" w:lineRule="auto"/>
        <w:rPr>
          <w:rFonts w:ascii="Arial"/>
          <w:highlight w:val="none"/>
        </w:rPr>
      </w:pPr>
    </w:p>
    <w:p w14:paraId="04019895">
      <w:pPr>
        <w:spacing w:before="117" w:line="360" w:lineRule="auto"/>
        <w:ind w:left="424" w:leftChars="202"/>
        <w:rPr>
          <w:rFonts w:ascii="宋体" w:hAnsi="宋体" w:cs="宋体"/>
          <w:spacing w:val="-17"/>
          <w:sz w:val="36"/>
          <w:szCs w:val="36"/>
          <w:highlight w:val="none"/>
        </w:rPr>
      </w:pPr>
      <w:r>
        <w:rPr>
          <w:rFonts w:ascii="宋体" w:hAnsi="宋体" w:cs="宋体"/>
          <w:spacing w:val="-17"/>
          <w:sz w:val="36"/>
          <w:szCs w:val="36"/>
          <w:highlight w:val="none"/>
        </w:rPr>
        <w:t>项目名称：</w:t>
      </w:r>
      <w:r>
        <w:rPr>
          <w:rFonts w:hint="eastAsia" w:ascii="宋体" w:hAnsi="宋体" w:cs="宋体"/>
          <w:spacing w:val="-17"/>
          <w:sz w:val="36"/>
          <w:szCs w:val="36"/>
          <w:highlight w:val="none"/>
        </w:rPr>
        <w:t>首都师范大学附属育新学校房山实验幼儿园二次装修及文化建设项目</w:t>
      </w:r>
    </w:p>
    <w:p w14:paraId="35CE8488">
      <w:pPr>
        <w:spacing w:before="117" w:line="360" w:lineRule="auto"/>
        <w:ind w:left="424" w:leftChars="202"/>
        <w:rPr>
          <w:rFonts w:ascii="宋体" w:hAnsi="宋体" w:cs="宋体"/>
          <w:spacing w:val="-17"/>
          <w:sz w:val="36"/>
          <w:szCs w:val="36"/>
          <w:highlight w:val="none"/>
        </w:rPr>
      </w:pPr>
      <w:r>
        <w:rPr>
          <w:rFonts w:ascii="宋体" w:hAnsi="宋体" w:cs="宋体"/>
          <w:spacing w:val="-17"/>
          <w:sz w:val="36"/>
          <w:szCs w:val="36"/>
          <w:highlight w:val="none"/>
        </w:rPr>
        <w:t>项目编号/包号：BMCC-GC25-0055</w:t>
      </w:r>
    </w:p>
    <w:p w14:paraId="59138930">
      <w:pPr>
        <w:spacing w:before="117" w:line="360" w:lineRule="auto"/>
        <w:ind w:left="424" w:leftChars="202"/>
        <w:rPr>
          <w:rFonts w:ascii="宋体" w:hAnsi="宋体" w:cs="宋体"/>
          <w:spacing w:val="-17"/>
          <w:sz w:val="36"/>
          <w:szCs w:val="36"/>
          <w:highlight w:val="none"/>
        </w:rPr>
      </w:pPr>
      <w:r>
        <w:rPr>
          <w:rFonts w:ascii="宋体" w:hAnsi="宋体" w:cs="宋体"/>
          <w:spacing w:val="-17"/>
          <w:sz w:val="36"/>
          <w:szCs w:val="36"/>
          <w:highlight w:val="none"/>
        </w:rPr>
        <w:t>采 购 人：</w:t>
      </w:r>
      <w:r>
        <w:rPr>
          <w:rFonts w:hint="eastAsia" w:ascii="宋体" w:hAnsi="宋体" w:cs="宋体"/>
          <w:spacing w:val="-17"/>
          <w:sz w:val="36"/>
          <w:szCs w:val="36"/>
          <w:highlight w:val="none"/>
        </w:rPr>
        <w:t>首都师范大学附属育新学校房山分校</w:t>
      </w:r>
    </w:p>
    <w:p w14:paraId="60E2E8D2">
      <w:pPr>
        <w:spacing w:before="117" w:line="360" w:lineRule="auto"/>
        <w:ind w:left="424" w:leftChars="202"/>
        <w:rPr>
          <w:rFonts w:ascii="宋体" w:hAnsi="宋体" w:cs="宋体"/>
          <w:spacing w:val="-17"/>
          <w:sz w:val="36"/>
          <w:szCs w:val="36"/>
          <w:highlight w:val="none"/>
        </w:rPr>
      </w:pPr>
      <w:r>
        <w:rPr>
          <w:rFonts w:ascii="宋体" w:hAnsi="宋体" w:cs="宋体"/>
          <w:spacing w:val="-17"/>
          <w:sz w:val="36"/>
          <w:szCs w:val="36"/>
          <w:highlight w:val="none"/>
        </w:rPr>
        <w:t>采购代理机构：</w:t>
      </w:r>
      <w:r>
        <w:rPr>
          <w:rFonts w:hint="eastAsia" w:ascii="宋体" w:hAnsi="宋体" w:cs="宋体"/>
          <w:spacing w:val="-17"/>
          <w:sz w:val="36"/>
          <w:szCs w:val="36"/>
          <w:highlight w:val="none"/>
        </w:rPr>
        <w:t>北京明德致信咨询有限公司</w:t>
      </w:r>
    </w:p>
    <w:p w14:paraId="58CAE3B8">
      <w:pPr>
        <w:spacing w:before="117" w:line="360" w:lineRule="auto"/>
        <w:ind w:left="424" w:leftChars="202"/>
        <w:rPr>
          <w:rFonts w:ascii="宋体" w:hAnsi="宋体" w:cs="宋体"/>
          <w:spacing w:val="-17"/>
          <w:sz w:val="36"/>
          <w:szCs w:val="36"/>
          <w:highlight w:val="none"/>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18" w:right="1134" w:bottom="1418" w:left="1701" w:header="851" w:footer="851" w:gutter="0"/>
          <w:pgNumType w:start="1"/>
          <w:cols w:space="720" w:num="1"/>
          <w:titlePg/>
          <w:docGrid w:linePitch="462" w:charSpace="0"/>
        </w:sectPr>
      </w:pPr>
    </w:p>
    <w:p w14:paraId="3432B64A">
      <w:pPr>
        <w:widowControl/>
        <w:jc w:val="left"/>
        <w:rPr>
          <w:kern w:val="0"/>
          <w:sz w:val="24"/>
          <w:highlight w:val="none"/>
        </w:rPr>
      </w:pPr>
    </w:p>
    <w:p w14:paraId="1FE06A78">
      <w:pPr>
        <w:pStyle w:val="205"/>
        <w:spacing w:line="360" w:lineRule="auto"/>
        <w:rPr>
          <w:rFonts w:ascii="Times New Roman" w:hAnsi="Times New Roman" w:cs="Times New Roman"/>
          <w:color w:val="auto"/>
          <w:highlight w:val="none"/>
        </w:rPr>
      </w:pPr>
    </w:p>
    <w:p w14:paraId="707D6DB3">
      <w:pPr>
        <w:spacing w:line="360" w:lineRule="auto"/>
        <w:jc w:val="center"/>
        <w:outlineLvl w:val="0"/>
        <w:rPr>
          <w:b/>
          <w:sz w:val="36"/>
          <w:szCs w:val="36"/>
          <w:highlight w:val="none"/>
        </w:rPr>
      </w:pPr>
      <w:bookmarkStart w:id="2" w:name="_Toc24441"/>
      <w:bookmarkStart w:id="3" w:name="_Toc21679"/>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2"/>
      <w:bookmarkEnd w:id="3"/>
    </w:p>
    <w:p w14:paraId="426FD5D7">
      <w:pPr>
        <w:spacing w:before="0" w:beforeLines="0" w:after="0" w:afterLines="0" w:line="240" w:lineRule="auto"/>
        <w:ind w:left="0" w:leftChars="0" w:right="0" w:rightChars="0" w:firstLine="0" w:firstLineChars="0"/>
        <w:jc w:val="center"/>
      </w:pPr>
    </w:p>
    <w:p w14:paraId="1C98A933">
      <w:pPr>
        <w:pStyle w:val="39"/>
        <w:tabs>
          <w:tab w:val="right" w:leader="dot" w:pos="9072"/>
          <w:tab w:val="clear" w:pos="1050"/>
          <w:tab w:val="clear" w:pos="8937"/>
        </w:tabs>
      </w:pPr>
      <w:r>
        <w:rPr>
          <w:rFonts w:ascii="Times New Roman" w:hAnsi="Times New Roman"/>
          <w:b w:val="0"/>
          <w:highlight w:val="none"/>
        </w:rPr>
        <w:fldChar w:fldCharType="begin"/>
      </w:r>
      <w:r>
        <w:rPr>
          <w:rFonts w:ascii="Times New Roman" w:hAnsi="Times New Roman"/>
          <w:b w:val="0"/>
          <w:highlight w:val="none"/>
        </w:rPr>
        <w:instrText xml:space="preserve">TOC \o "1-1" \h \u </w:instrText>
      </w:r>
      <w:r>
        <w:rPr>
          <w:rFonts w:ascii="Times New Roman" w:hAnsi="Times New Roman"/>
          <w:b w:val="0"/>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_Toc140 </w:instrText>
      </w:r>
      <w:r>
        <w:rPr>
          <w:rFonts w:ascii="Times New Roman" w:hAnsi="Times New Roman"/>
          <w:highlight w:val="none"/>
        </w:rPr>
        <w:fldChar w:fldCharType="separate"/>
      </w:r>
      <w:r>
        <w:rPr>
          <w:szCs w:val="36"/>
          <w:highlight w:val="none"/>
        </w:rPr>
        <w:t>第一章   采购邀请</w:t>
      </w:r>
      <w:r>
        <w:tab/>
      </w:r>
      <w:r>
        <w:fldChar w:fldCharType="begin"/>
      </w:r>
      <w:r>
        <w:instrText xml:space="preserve"> PAGEREF _Toc140 \h </w:instrText>
      </w:r>
      <w:r>
        <w:fldChar w:fldCharType="separate"/>
      </w:r>
      <w:r>
        <w:t>1</w:t>
      </w:r>
      <w:r>
        <w:fldChar w:fldCharType="end"/>
      </w:r>
      <w:r>
        <w:rPr>
          <w:rFonts w:ascii="Times New Roman" w:hAnsi="Times New Roman"/>
          <w:highlight w:val="none"/>
        </w:rPr>
        <w:fldChar w:fldCharType="end"/>
      </w:r>
    </w:p>
    <w:p w14:paraId="3B003C87">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_Toc19722 </w:instrText>
      </w:r>
      <w:r>
        <w:rPr>
          <w:rFonts w:ascii="Times New Roman" w:hAnsi="Times New Roman"/>
          <w:highlight w:val="none"/>
        </w:rPr>
        <w:fldChar w:fldCharType="separate"/>
      </w:r>
      <w:r>
        <w:rPr>
          <w:szCs w:val="36"/>
          <w:highlight w:val="none"/>
        </w:rPr>
        <w:t>第二章   供应商须知</w:t>
      </w:r>
      <w:r>
        <w:tab/>
      </w:r>
      <w:r>
        <w:fldChar w:fldCharType="begin"/>
      </w:r>
      <w:r>
        <w:instrText xml:space="preserve"> PAGEREF _Toc19722 \h </w:instrText>
      </w:r>
      <w:r>
        <w:fldChar w:fldCharType="separate"/>
      </w:r>
      <w:r>
        <w:t>6</w:t>
      </w:r>
      <w:r>
        <w:fldChar w:fldCharType="end"/>
      </w:r>
      <w:r>
        <w:rPr>
          <w:rFonts w:ascii="Times New Roman" w:hAnsi="Times New Roman"/>
          <w:highlight w:val="none"/>
        </w:rPr>
        <w:fldChar w:fldCharType="end"/>
      </w:r>
    </w:p>
    <w:p w14:paraId="3C6E8946">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_Toc29635 </w:instrText>
      </w:r>
      <w:r>
        <w:rPr>
          <w:rFonts w:ascii="Times New Roman" w:hAnsi="Times New Roman"/>
          <w:highlight w:val="none"/>
        </w:rPr>
        <w:fldChar w:fldCharType="separate"/>
      </w:r>
      <w:r>
        <w:rPr>
          <w:szCs w:val="36"/>
          <w:highlight w:val="none"/>
        </w:rPr>
        <w:t>第三章   评审方法和评审标准</w:t>
      </w:r>
      <w:r>
        <w:tab/>
      </w:r>
      <w:r>
        <w:fldChar w:fldCharType="begin"/>
      </w:r>
      <w:r>
        <w:instrText xml:space="preserve"> PAGEREF _Toc29635 \h </w:instrText>
      </w:r>
      <w:r>
        <w:fldChar w:fldCharType="separate"/>
      </w:r>
      <w:r>
        <w:t>21</w:t>
      </w:r>
      <w:r>
        <w:fldChar w:fldCharType="end"/>
      </w:r>
      <w:r>
        <w:rPr>
          <w:rFonts w:ascii="Times New Roman" w:hAnsi="Times New Roman"/>
          <w:highlight w:val="none"/>
        </w:rPr>
        <w:fldChar w:fldCharType="end"/>
      </w:r>
    </w:p>
    <w:p w14:paraId="2E3363AC">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_Toc9645 </w:instrText>
      </w:r>
      <w:r>
        <w:rPr>
          <w:rFonts w:ascii="Times New Roman" w:hAnsi="Times New Roman"/>
          <w:highlight w:val="none"/>
        </w:rPr>
        <w:fldChar w:fldCharType="separate"/>
      </w:r>
      <w:r>
        <w:rPr>
          <w:szCs w:val="36"/>
          <w:highlight w:val="none"/>
        </w:rPr>
        <w:t>第四章   采购需求</w:t>
      </w:r>
      <w:r>
        <w:tab/>
      </w:r>
      <w:r>
        <w:fldChar w:fldCharType="begin"/>
      </w:r>
      <w:r>
        <w:instrText xml:space="preserve"> PAGEREF _Toc9645 \h </w:instrText>
      </w:r>
      <w:r>
        <w:fldChar w:fldCharType="separate"/>
      </w:r>
      <w:r>
        <w:t>35</w:t>
      </w:r>
      <w:r>
        <w:fldChar w:fldCharType="end"/>
      </w:r>
      <w:r>
        <w:rPr>
          <w:rFonts w:ascii="Times New Roman" w:hAnsi="Times New Roman"/>
          <w:highlight w:val="none"/>
        </w:rPr>
        <w:fldChar w:fldCharType="end"/>
      </w:r>
    </w:p>
    <w:p w14:paraId="51C598EA">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_Toc32154 </w:instrText>
      </w:r>
      <w:r>
        <w:rPr>
          <w:rFonts w:ascii="Times New Roman" w:hAnsi="Times New Roman"/>
          <w:highlight w:val="none"/>
        </w:rPr>
        <w:fldChar w:fldCharType="separate"/>
      </w:r>
      <w:r>
        <w:rPr>
          <w:szCs w:val="36"/>
          <w:highlight w:val="none"/>
        </w:rPr>
        <w:t>第五章   合同</w:t>
      </w:r>
      <w:r>
        <w:rPr>
          <w:rFonts w:hint="eastAsia"/>
          <w:szCs w:val="36"/>
          <w:highlight w:val="none"/>
        </w:rPr>
        <w:t>草案条款</w:t>
      </w:r>
      <w:r>
        <w:tab/>
      </w:r>
      <w:r>
        <w:fldChar w:fldCharType="begin"/>
      </w:r>
      <w:r>
        <w:instrText xml:space="preserve"> PAGEREF _Toc32154 \h </w:instrText>
      </w:r>
      <w:r>
        <w:fldChar w:fldCharType="separate"/>
      </w:r>
      <w:r>
        <w:t>65</w:t>
      </w:r>
      <w:r>
        <w:fldChar w:fldCharType="end"/>
      </w:r>
      <w:r>
        <w:rPr>
          <w:rFonts w:ascii="Times New Roman" w:hAnsi="Times New Roman"/>
          <w:highlight w:val="none"/>
        </w:rPr>
        <w:fldChar w:fldCharType="end"/>
      </w:r>
    </w:p>
    <w:p w14:paraId="1C6A507E">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_Toc19717 </w:instrText>
      </w:r>
      <w:r>
        <w:rPr>
          <w:rFonts w:ascii="Times New Roman" w:hAnsi="Times New Roman"/>
          <w:highlight w:val="none"/>
        </w:rPr>
        <w:fldChar w:fldCharType="separate"/>
      </w:r>
      <w:r>
        <w:rPr>
          <w:rFonts w:hint="eastAsia"/>
          <w:szCs w:val="36"/>
          <w:highlight w:val="none"/>
        </w:rPr>
        <w:t>施工合同文件</w:t>
      </w:r>
      <w:r>
        <w:tab/>
      </w:r>
      <w:r>
        <w:fldChar w:fldCharType="begin"/>
      </w:r>
      <w:r>
        <w:instrText xml:space="preserve"> PAGEREF _Toc19717 \h </w:instrText>
      </w:r>
      <w:r>
        <w:fldChar w:fldCharType="separate"/>
      </w:r>
      <w:r>
        <w:t>65</w:t>
      </w:r>
      <w:r>
        <w:fldChar w:fldCharType="end"/>
      </w:r>
      <w:r>
        <w:rPr>
          <w:rFonts w:ascii="Times New Roman" w:hAnsi="Times New Roman"/>
          <w:highlight w:val="none"/>
        </w:rPr>
        <w:fldChar w:fldCharType="end"/>
      </w:r>
    </w:p>
    <w:p w14:paraId="086FB521">
      <w:pPr>
        <w:pStyle w:val="39"/>
        <w:tabs>
          <w:tab w:val="right" w:leader="dot" w:pos="9072"/>
          <w:tab w:val="clear" w:pos="1050"/>
          <w:tab w:val="clear" w:pos="8937"/>
        </w:tabs>
      </w:pPr>
      <w:r>
        <w:rPr>
          <w:rFonts w:ascii="Times New Roman" w:hAnsi="Times New Roman"/>
          <w:highlight w:val="none"/>
        </w:rPr>
        <w:fldChar w:fldCharType="begin"/>
      </w:r>
      <w:r>
        <w:rPr>
          <w:rFonts w:ascii="Times New Roman" w:hAnsi="Times New Roman"/>
          <w:highlight w:val="none"/>
        </w:rPr>
        <w:instrText xml:space="preserve"> HYPERLINK \l _Toc14495 </w:instrText>
      </w:r>
      <w:r>
        <w:rPr>
          <w:rFonts w:ascii="Times New Roman" w:hAnsi="Times New Roman"/>
          <w:highlight w:val="none"/>
        </w:rPr>
        <w:fldChar w:fldCharType="separate"/>
      </w:r>
      <w:r>
        <w:rPr>
          <w:szCs w:val="36"/>
          <w:highlight w:val="none"/>
        </w:rPr>
        <w:t>第六章   响应文件格式</w:t>
      </w:r>
      <w:r>
        <w:tab/>
      </w:r>
      <w:r>
        <w:fldChar w:fldCharType="begin"/>
      </w:r>
      <w:r>
        <w:instrText xml:space="preserve"> PAGEREF _Toc14495 \h </w:instrText>
      </w:r>
      <w:r>
        <w:fldChar w:fldCharType="separate"/>
      </w:r>
      <w:r>
        <w:t>143</w:t>
      </w:r>
      <w:r>
        <w:fldChar w:fldCharType="end"/>
      </w:r>
      <w:r>
        <w:rPr>
          <w:rFonts w:ascii="Times New Roman" w:hAnsi="Times New Roman"/>
          <w:highlight w:val="none"/>
        </w:rPr>
        <w:fldChar w:fldCharType="end"/>
      </w:r>
    </w:p>
    <w:p w14:paraId="166B036F">
      <w:pPr>
        <w:pStyle w:val="39"/>
        <w:spacing w:line="360" w:lineRule="auto"/>
        <w:rPr>
          <w:rFonts w:ascii="Times New Roman" w:hAnsi="Times New Roman"/>
          <w:highlight w:val="none"/>
        </w:rPr>
      </w:pPr>
      <w:r>
        <w:rPr>
          <w:rFonts w:ascii="Times New Roman" w:hAnsi="Times New Roman"/>
          <w:highlight w:val="none"/>
        </w:rPr>
        <w:fldChar w:fldCharType="end"/>
      </w:r>
    </w:p>
    <w:p w14:paraId="5E41C902"/>
    <w:p w14:paraId="5CD5C5A3">
      <w:pPr>
        <w:pStyle w:val="39"/>
        <w:spacing w:line="360" w:lineRule="auto"/>
        <w:rPr>
          <w:b w:val="0"/>
          <w:sz w:val="36"/>
          <w:szCs w:val="36"/>
          <w:highlight w:val="none"/>
        </w:rPr>
      </w:pPr>
    </w:p>
    <w:p w14:paraId="209F664B">
      <w:pPr>
        <w:spacing w:line="360" w:lineRule="auto"/>
        <w:jc w:val="center"/>
        <w:outlineLvl w:val="0"/>
        <w:rPr>
          <w:b/>
          <w:sz w:val="36"/>
          <w:szCs w:val="36"/>
          <w:highlight w:val="none"/>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5A823041">
      <w:pPr>
        <w:spacing w:line="360" w:lineRule="auto"/>
        <w:jc w:val="center"/>
        <w:outlineLvl w:val="0"/>
        <w:rPr>
          <w:b/>
          <w:sz w:val="36"/>
          <w:szCs w:val="36"/>
          <w:highlight w:val="none"/>
        </w:rPr>
      </w:pPr>
      <w:bookmarkStart w:id="4" w:name="_Toc140"/>
      <w:bookmarkStart w:id="5" w:name="_Toc11178"/>
      <w:r>
        <w:rPr>
          <w:b/>
          <w:sz w:val="36"/>
          <w:szCs w:val="36"/>
          <w:highlight w:val="none"/>
        </w:rPr>
        <w:t>第一章   采购邀请</w:t>
      </w:r>
      <w:bookmarkEnd w:id="4"/>
      <w:bookmarkEnd w:id="5"/>
      <w:bookmarkStart w:id="6" w:name="_Toc35393621"/>
      <w:bookmarkStart w:id="7" w:name="_Toc28359079"/>
      <w:bookmarkStart w:id="8" w:name="_Toc35393790"/>
      <w:bookmarkStart w:id="9" w:name="_Toc28359002"/>
      <w:bookmarkStart w:id="10" w:name="_Hlk24379207"/>
    </w:p>
    <w:p w14:paraId="42CF7094">
      <w:pPr>
        <w:spacing w:line="360" w:lineRule="auto"/>
        <w:ind w:firstLine="480" w:firstLineChars="200"/>
        <w:rPr>
          <w:sz w:val="24"/>
          <w:highlight w:val="none"/>
        </w:rPr>
      </w:pPr>
    </w:p>
    <w:p w14:paraId="65294AEE">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6"/>
      <w:bookmarkEnd w:id="7"/>
      <w:bookmarkEnd w:id="8"/>
      <w:bookmarkEnd w:id="9"/>
    </w:p>
    <w:p w14:paraId="3CE97E6E">
      <w:pPr>
        <w:spacing w:line="360" w:lineRule="auto"/>
        <w:ind w:firstLine="480" w:firstLineChars="200"/>
        <w:rPr>
          <w:sz w:val="24"/>
          <w:highlight w:val="none"/>
          <w:u w:val="single"/>
        </w:rPr>
      </w:pPr>
      <w:r>
        <w:rPr>
          <w:sz w:val="24"/>
          <w:highlight w:val="none"/>
        </w:rPr>
        <w:t>1.项目编号：</w:t>
      </w:r>
      <w:r>
        <w:rPr>
          <w:sz w:val="24"/>
          <w:highlight w:val="none"/>
          <w:u w:val="single"/>
        </w:rPr>
        <w:t>BMCC-GC25-0055</w:t>
      </w:r>
    </w:p>
    <w:p w14:paraId="30056308">
      <w:pPr>
        <w:pStyle w:val="2"/>
        <w:ind w:left="0" w:leftChars="0" w:firstLine="638" w:firstLineChars="266"/>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立项编号：</w:t>
      </w:r>
      <w:r>
        <w:rPr>
          <w:rFonts w:hint="eastAsia" w:ascii="Calibri" w:hAnsi="Calibri" w:eastAsia="宋体" w:cs="Times New Roman"/>
          <w:kern w:val="2"/>
          <w:sz w:val="24"/>
          <w:szCs w:val="24"/>
          <w:u w:val="single"/>
          <w:lang w:val="en-US" w:eastAsia="zh-CN" w:bidi="ar-SA"/>
        </w:rPr>
        <w:t>11011125210200024669-XM001</w:t>
      </w:r>
    </w:p>
    <w:p w14:paraId="3182CA83">
      <w:pPr>
        <w:spacing w:line="360" w:lineRule="auto"/>
        <w:ind w:firstLine="480" w:firstLineChars="200"/>
        <w:rPr>
          <w:sz w:val="24"/>
          <w:highlight w:val="none"/>
          <w:u w:val="single"/>
        </w:rPr>
      </w:pPr>
      <w:r>
        <w:rPr>
          <w:sz w:val="24"/>
          <w:highlight w:val="none"/>
        </w:rPr>
        <w:t>2.项目名称：</w:t>
      </w:r>
      <w:r>
        <w:rPr>
          <w:rFonts w:hint="eastAsia"/>
          <w:sz w:val="24"/>
          <w:highlight w:val="none"/>
          <w:u w:val="single"/>
        </w:rPr>
        <w:t>首都师范大学附属育新学校房山实验幼儿园二次装修及文化建设项目</w:t>
      </w:r>
    </w:p>
    <w:p w14:paraId="5C853745">
      <w:pPr>
        <w:spacing w:line="360" w:lineRule="auto"/>
        <w:ind w:firstLine="480" w:firstLineChars="200"/>
        <w:rPr>
          <w:sz w:val="24"/>
          <w:highlight w:val="none"/>
        </w:rPr>
      </w:pPr>
      <w:r>
        <w:rPr>
          <w:sz w:val="24"/>
          <w:highlight w:val="none"/>
        </w:rPr>
        <w:t>3.采购方式：</w:t>
      </w:r>
      <w:r>
        <w:rPr>
          <w:sz w:val="24"/>
          <w:highlight w:val="none"/>
          <w:u w:val="single"/>
        </w:rPr>
        <w:t>竞争性磋商</w:t>
      </w:r>
    </w:p>
    <w:bookmarkEnd w:id="10"/>
    <w:p w14:paraId="287DE89A">
      <w:pPr>
        <w:spacing w:line="360" w:lineRule="auto"/>
        <w:ind w:firstLine="480" w:firstLineChars="200"/>
        <w:rPr>
          <w:sz w:val="24"/>
          <w:highlight w:val="none"/>
        </w:rPr>
      </w:pPr>
      <w:r>
        <w:rPr>
          <w:sz w:val="24"/>
          <w:highlight w:val="none"/>
        </w:rPr>
        <w:t>4.项目预算金额：</w:t>
      </w:r>
      <w:r>
        <w:rPr>
          <w:sz w:val="24"/>
          <w:highlight w:val="none"/>
          <w:u w:val="single"/>
        </w:rPr>
        <w:t>300</w:t>
      </w:r>
      <w:r>
        <w:rPr>
          <w:rFonts w:hint="eastAsia"/>
          <w:sz w:val="24"/>
          <w:highlight w:val="none"/>
          <w:u w:val="single"/>
        </w:rPr>
        <w:t>.</w:t>
      </w:r>
      <w:r>
        <w:rPr>
          <w:sz w:val="24"/>
          <w:highlight w:val="none"/>
          <w:u w:val="single"/>
        </w:rPr>
        <w:t>36</w:t>
      </w:r>
      <w:r>
        <w:rPr>
          <w:sz w:val="24"/>
          <w:highlight w:val="none"/>
        </w:rPr>
        <w:t>万元、项目最高限价（如有）：</w:t>
      </w:r>
      <w:r>
        <w:rPr>
          <w:sz w:val="24"/>
          <w:highlight w:val="none"/>
          <w:u w:val="single"/>
        </w:rPr>
        <w:t>300</w:t>
      </w:r>
      <w:r>
        <w:rPr>
          <w:rFonts w:hint="eastAsia"/>
          <w:sz w:val="24"/>
          <w:highlight w:val="none"/>
          <w:u w:val="single"/>
        </w:rPr>
        <w:t>.</w:t>
      </w:r>
      <w:r>
        <w:rPr>
          <w:sz w:val="24"/>
          <w:highlight w:val="none"/>
          <w:u w:val="single"/>
        </w:rPr>
        <w:t>36</w:t>
      </w:r>
      <w:r>
        <w:rPr>
          <w:sz w:val="24"/>
          <w:highlight w:val="none"/>
        </w:rPr>
        <w:t>万元</w:t>
      </w:r>
    </w:p>
    <w:p w14:paraId="6B350031">
      <w:pPr>
        <w:spacing w:line="360" w:lineRule="auto"/>
        <w:ind w:firstLine="480" w:firstLineChars="200"/>
        <w:rPr>
          <w:sz w:val="24"/>
          <w:highlight w:val="none"/>
        </w:rPr>
      </w:pPr>
      <w:r>
        <w:rPr>
          <w:sz w:val="24"/>
          <w:highlight w:val="none"/>
        </w:rPr>
        <w:t>5.采购需求：</w:t>
      </w:r>
    </w:p>
    <w:tbl>
      <w:tblPr>
        <w:tblStyle w:val="6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57"/>
        <w:gridCol w:w="1701"/>
        <w:gridCol w:w="997"/>
        <w:gridCol w:w="4275"/>
      </w:tblGrid>
      <w:tr w14:paraId="4F69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rPr>
        <w:tc>
          <w:tcPr>
            <w:tcW w:w="382" w:type="pct"/>
            <w:noWrap w:val="0"/>
            <w:vAlign w:val="center"/>
          </w:tcPr>
          <w:p w14:paraId="46EE6009">
            <w:pPr>
              <w:jc w:val="center"/>
              <w:rPr>
                <w:bCs/>
                <w:sz w:val="24"/>
                <w:highlight w:val="none"/>
              </w:rPr>
            </w:pPr>
            <w:r>
              <w:rPr>
                <w:bCs/>
                <w:sz w:val="24"/>
                <w:highlight w:val="none"/>
              </w:rPr>
              <w:t>包号</w:t>
            </w:r>
          </w:p>
        </w:tc>
        <w:tc>
          <w:tcPr>
            <w:tcW w:w="843" w:type="pct"/>
            <w:noWrap w:val="0"/>
            <w:vAlign w:val="center"/>
          </w:tcPr>
          <w:p w14:paraId="4C85BDC8">
            <w:pPr>
              <w:jc w:val="center"/>
              <w:rPr>
                <w:bCs/>
                <w:sz w:val="24"/>
                <w:highlight w:val="none"/>
              </w:rPr>
            </w:pPr>
            <w:r>
              <w:rPr>
                <w:bCs/>
                <w:sz w:val="24"/>
                <w:highlight w:val="none"/>
              </w:rPr>
              <w:t>标的名称</w:t>
            </w:r>
          </w:p>
        </w:tc>
        <w:tc>
          <w:tcPr>
            <w:tcW w:w="921" w:type="pct"/>
            <w:noWrap w:val="0"/>
            <w:vAlign w:val="center"/>
          </w:tcPr>
          <w:p w14:paraId="38D5786B">
            <w:pPr>
              <w:jc w:val="center"/>
              <w:rPr>
                <w:bCs/>
                <w:sz w:val="24"/>
                <w:highlight w:val="none"/>
              </w:rPr>
            </w:pPr>
            <w:r>
              <w:rPr>
                <w:bCs/>
                <w:sz w:val="24"/>
                <w:highlight w:val="none"/>
              </w:rPr>
              <w:t>采购包预算金额</w:t>
            </w:r>
          </w:p>
          <w:p w14:paraId="255842E5">
            <w:pPr>
              <w:jc w:val="center"/>
              <w:rPr>
                <w:bCs/>
                <w:sz w:val="24"/>
                <w:highlight w:val="none"/>
              </w:rPr>
            </w:pPr>
            <w:r>
              <w:rPr>
                <w:bCs/>
                <w:sz w:val="24"/>
                <w:highlight w:val="none"/>
              </w:rPr>
              <w:t>（万元）</w:t>
            </w:r>
          </w:p>
        </w:tc>
        <w:tc>
          <w:tcPr>
            <w:tcW w:w="540" w:type="pct"/>
            <w:noWrap w:val="0"/>
            <w:vAlign w:val="center"/>
          </w:tcPr>
          <w:p w14:paraId="6EFDC174">
            <w:pPr>
              <w:jc w:val="center"/>
              <w:rPr>
                <w:bCs/>
                <w:sz w:val="24"/>
                <w:highlight w:val="none"/>
              </w:rPr>
            </w:pPr>
            <w:r>
              <w:rPr>
                <w:bCs/>
                <w:sz w:val="24"/>
                <w:highlight w:val="none"/>
              </w:rPr>
              <w:t>数量</w:t>
            </w:r>
          </w:p>
        </w:tc>
        <w:tc>
          <w:tcPr>
            <w:tcW w:w="2314" w:type="pct"/>
            <w:noWrap w:val="0"/>
            <w:vAlign w:val="center"/>
          </w:tcPr>
          <w:p w14:paraId="468BC37A">
            <w:pPr>
              <w:jc w:val="center"/>
              <w:rPr>
                <w:sz w:val="24"/>
                <w:highlight w:val="none"/>
              </w:rPr>
            </w:pPr>
            <w:r>
              <w:rPr>
                <w:sz w:val="24"/>
                <w:highlight w:val="none"/>
              </w:rPr>
              <w:t>简要技术需求或服务要求</w:t>
            </w:r>
          </w:p>
        </w:tc>
      </w:tr>
      <w:tr w14:paraId="520C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82" w:type="pct"/>
            <w:noWrap w:val="0"/>
            <w:vAlign w:val="center"/>
          </w:tcPr>
          <w:p w14:paraId="66050206">
            <w:pPr>
              <w:jc w:val="center"/>
              <w:rPr>
                <w:bCs/>
                <w:sz w:val="24"/>
                <w:highlight w:val="none"/>
              </w:rPr>
            </w:pPr>
            <w:r>
              <w:rPr>
                <w:bCs/>
                <w:sz w:val="24"/>
                <w:highlight w:val="none"/>
              </w:rPr>
              <w:t>01</w:t>
            </w:r>
          </w:p>
        </w:tc>
        <w:tc>
          <w:tcPr>
            <w:tcW w:w="843" w:type="pct"/>
            <w:noWrap w:val="0"/>
            <w:vAlign w:val="center"/>
          </w:tcPr>
          <w:p w14:paraId="34D66EBF">
            <w:pPr>
              <w:jc w:val="center"/>
              <w:rPr>
                <w:bCs/>
                <w:sz w:val="24"/>
                <w:highlight w:val="none"/>
              </w:rPr>
            </w:pPr>
            <w:r>
              <w:rPr>
                <w:rFonts w:hint="eastAsia" w:ascii="宋体" w:hAnsi="宋体"/>
                <w:sz w:val="24"/>
                <w:highlight w:val="none"/>
              </w:rPr>
              <w:t>首都师范大学附属育新学校房山实验幼儿园二次装修及文化建设项目</w:t>
            </w:r>
          </w:p>
        </w:tc>
        <w:tc>
          <w:tcPr>
            <w:tcW w:w="921" w:type="pct"/>
            <w:noWrap w:val="0"/>
            <w:vAlign w:val="center"/>
          </w:tcPr>
          <w:p w14:paraId="5730DF46">
            <w:pPr>
              <w:jc w:val="center"/>
              <w:rPr>
                <w:bCs/>
                <w:sz w:val="24"/>
                <w:highlight w:val="none"/>
              </w:rPr>
            </w:pPr>
            <w:r>
              <w:rPr>
                <w:sz w:val="24"/>
                <w:highlight w:val="none"/>
              </w:rPr>
              <w:t>300</w:t>
            </w:r>
            <w:r>
              <w:rPr>
                <w:rFonts w:hint="eastAsia"/>
                <w:sz w:val="24"/>
                <w:highlight w:val="none"/>
              </w:rPr>
              <w:t>.</w:t>
            </w:r>
            <w:r>
              <w:rPr>
                <w:sz w:val="24"/>
                <w:highlight w:val="none"/>
              </w:rPr>
              <w:t>36</w:t>
            </w:r>
          </w:p>
        </w:tc>
        <w:tc>
          <w:tcPr>
            <w:tcW w:w="540" w:type="pct"/>
            <w:noWrap w:val="0"/>
            <w:vAlign w:val="center"/>
          </w:tcPr>
          <w:p w14:paraId="156CC350">
            <w:pPr>
              <w:jc w:val="center"/>
              <w:rPr>
                <w:bCs/>
                <w:sz w:val="24"/>
                <w:highlight w:val="none"/>
              </w:rPr>
            </w:pPr>
            <w:r>
              <w:rPr>
                <w:rFonts w:hint="eastAsia"/>
                <w:bCs/>
                <w:sz w:val="24"/>
                <w:highlight w:val="none"/>
              </w:rPr>
              <w:t>1项</w:t>
            </w:r>
          </w:p>
        </w:tc>
        <w:tc>
          <w:tcPr>
            <w:tcW w:w="2314" w:type="pct"/>
            <w:noWrap w:val="0"/>
            <w:vAlign w:val="center"/>
          </w:tcPr>
          <w:p w14:paraId="5D68E9E6">
            <w:pPr>
              <w:jc w:val="center"/>
              <w:rPr>
                <w:bCs/>
                <w:sz w:val="24"/>
                <w:highlight w:val="none"/>
              </w:rPr>
            </w:pPr>
            <w:r>
              <w:rPr>
                <w:rFonts w:hint="eastAsia" w:ascii="宋体" w:hAnsi="宋体"/>
                <w:sz w:val="24"/>
                <w:highlight w:val="none"/>
              </w:rPr>
              <w:t>首都师范大学附属育新学校房山实验幼儿园的拆除工程、装饰装修工程、土建工程、给排水工程、采暖工程、电气工程等内容，具体详见“第四章 采购需求”</w:t>
            </w:r>
          </w:p>
        </w:tc>
      </w:tr>
    </w:tbl>
    <w:p w14:paraId="7C2ECB8D">
      <w:pPr>
        <w:spacing w:line="360" w:lineRule="auto"/>
        <w:ind w:firstLine="480" w:firstLineChars="200"/>
        <w:rPr>
          <w:rFonts w:hint="default" w:eastAsia="宋体"/>
          <w:sz w:val="24"/>
          <w:highlight w:val="none"/>
          <w:u w:val="single"/>
          <w:lang w:val="en-US" w:eastAsia="zh-CN"/>
        </w:rPr>
      </w:pPr>
      <w:r>
        <w:rPr>
          <w:sz w:val="24"/>
          <w:highlight w:val="none"/>
        </w:rPr>
        <w:t>6.</w:t>
      </w:r>
      <w:r>
        <w:rPr>
          <w:rFonts w:hint="eastAsia"/>
          <w:sz w:val="24"/>
          <w:highlight w:val="none"/>
        </w:rPr>
        <w:t>工期：</w:t>
      </w:r>
      <w:r>
        <w:rPr>
          <w:rFonts w:hint="eastAsia"/>
          <w:sz w:val="24"/>
          <w:highlight w:val="none"/>
          <w:lang w:val="en-US" w:eastAsia="zh-CN"/>
        </w:rPr>
        <w:t>本项目2025年8月31日前必须全部完工并移交给发包人。</w:t>
      </w:r>
    </w:p>
    <w:p w14:paraId="3960A436">
      <w:pPr>
        <w:spacing w:line="360" w:lineRule="auto"/>
        <w:ind w:firstLine="480" w:firstLineChars="200"/>
        <w:rPr>
          <w:sz w:val="24"/>
          <w:highlight w:val="none"/>
        </w:rPr>
      </w:pPr>
      <w:r>
        <w:rPr>
          <w:sz w:val="24"/>
          <w:highlight w:val="none"/>
        </w:rPr>
        <w:t xml:space="preserve">7.本项目是否接受联合体：□是  </w:t>
      </w:r>
      <w:r>
        <w:rPr>
          <w:b/>
          <w:sz w:val="24"/>
          <w:highlight w:val="none"/>
        </w:rPr>
        <w:t>■</w:t>
      </w:r>
      <w:r>
        <w:rPr>
          <w:sz w:val="24"/>
          <w:highlight w:val="none"/>
        </w:rPr>
        <w:t>否。</w:t>
      </w:r>
    </w:p>
    <w:p w14:paraId="09E0C259">
      <w:pPr>
        <w:spacing w:line="360" w:lineRule="auto"/>
        <w:ind w:firstLine="480" w:firstLineChars="200"/>
        <w:rPr>
          <w:sz w:val="24"/>
          <w:highlight w:val="none"/>
        </w:rPr>
      </w:pPr>
    </w:p>
    <w:p w14:paraId="4CCE5930">
      <w:pPr>
        <w:pStyle w:val="5"/>
        <w:spacing w:before="0" w:line="360" w:lineRule="auto"/>
        <w:jc w:val="left"/>
        <w:rPr>
          <w:rFonts w:ascii="Times New Roman" w:hAnsi="Times New Roman" w:eastAsia="宋体"/>
          <w:sz w:val="24"/>
          <w:szCs w:val="24"/>
          <w:highlight w:val="none"/>
        </w:rPr>
      </w:pPr>
      <w:bookmarkStart w:id="11" w:name="_Toc35393791"/>
      <w:bookmarkStart w:id="12" w:name="_Toc28359003"/>
      <w:bookmarkStart w:id="13" w:name="_Toc35393622"/>
      <w:bookmarkStart w:id="14" w:name="_Toc28359080"/>
      <w:r>
        <w:rPr>
          <w:rFonts w:ascii="Times New Roman" w:hAnsi="Times New Roman" w:eastAsia="宋体"/>
          <w:sz w:val="24"/>
          <w:szCs w:val="24"/>
          <w:highlight w:val="none"/>
        </w:rPr>
        <w:t>二、申请人的资格要求（须同时满足）</w:t>
      </w:r>
      <w:bookmarkEnd w:id="11"/>
      <w:bookmarkEnd w:id="12"/>
      <w:bookmarkEnd w:id="13"/>
      <w:bookmarkEnd w:id="14"/>
    </w:p>
    <w:p w14:paraId="6A446E1F">
      <w:pPr>
        <w:spacing w:line="360" w:lineRule="auto"/>
        <w:ind w:firstLine="480" w:firstLineChars="200"/>
        <w:rPr>
          <w:sz w:val="24"/>
          <w:highlight w:val="none"/>
        </w:rPr>
      </w:pPr>
      <w:r>
        <w:rPr>
          <w:sz w:val="24"/>
          <w:highlight w:val="none"/>
        </w:rPr>
        <w:t>1.满足《中华人民共和国政府采购法》第二十二条规定；</w:t>
      </w:r>
    </w:p>
    <w:p w14:paraId="0E022CC4">
      <w:pPr>
        <w:spacing w:line="360" w:lineRule="auto"/>
        <w:ind w:firstLine="480" w:firstLineChars="200"/>
        <w:rPr>
          <w:sz w:val="24"/>
          <w:highlight w:val="none"/>
        </w:rPr>
      </w:pPr>
      <w:bookmarkStart w:id="15" w:name="_Toc28359081"/>
      <w:bookmarkStart w:id="16" w:name="_Toc28359004"/>
      <w:r>
        <w:rPr>
          <w:sz w:val="24"/>
          <w:highlight w:val="none"/>
        </w:rPr>
        <w:t>2.落实政府采购政策需满足的资格要求：</w:t>
      </w:r>
    </w:p>
    <w:p w14:paraId="615C3518">
      <w:pPr>
        <w:spacing w:line="360" w:lineRule="auto"/>
        <w:ind w:firstLine="480" w:firstLineChars="200"/>
        <w:rPr>
          <w:sz w:val="24"/>
          <w:highlight w:val="none"/>
        </w:rPr>
      </w:pPr>
      <w:r>
        <w:rPr>
          <w:sz w:val="24"/>
          <w:highlight w:val="none"/>
        </w:rPr>
        <w:t>2.1 中小企业政策</w:t>
      </w:r>
    </w:p>
    <w:p w14:paraId="37648954">
      <w:pPr>
        <w:spacing w:line="360" w:lineRule="auto"/>
        <w:ind w:firstLine="480" w:firstLineChars="200"/>
        <w:rPr>
          <w:sz w:val="24"/>
          <w:highlight w:val="none"/>
        </w:rPr>
      </w:pPr>
      <w:r>
        <w:rPr>
          <w:sz w:val="24"/>
          <w:highlight w:val="none"/>
        </w:rPr>
        <w:t>□本项目不专门面向中小企业预留采购份额。</w:t>
      </w:r>
    </w:p>
    <w:p w14:paraId="15E086CE">
      <w:pPr>
        <w:spacing w:line="360" w:lineRule="auto"/>
        <w:ind w:firstLine="482" w:firstLineChars="200"/>
        <w:rPr>
          <w:sz w:val="24"/>
          <w:highlight w:val="none"/>
        </w:rPr>
      </w:pPr>
      <w:r>
        <w:rPr>
          <w:b/>
          <w:sz w:val="24"/>
          <w:highlight w:val="none"/>
        </w:rPr>
        <w:t>■</w:t>
      </w:r>
      <w:r>
        <w:rPr>
          <w:sz w:val="24"/>
          <w:highlight w:val="none"/>
        </w:rPr>
        <w:t>本项目专门面向  □中小</w:t>
      </w:r>
      <w:r>
        <w:rPr>
          <w:rFonts w:hint="eastAsia"/>
          <w:sz w:val="24"/>
          <w:highlight w:val="none"/>
        </w:rPr>
        <w:t xml:space="preserve"> </w:t>
      </w:r>
      <w:r>
        <w:rPr>
          <w:b/>
          <w:sz w:val="24"/>
          <w:highlight w:val="none"/>
        </w:rPr>
        <w:t>■</w:t>
      </w:r>
      <w:r>
        <w:rPr>
          <w:sz w:val="24"/>
          <w:highlight w:val="none"/>
        </w:rPr>
        <w:t>小微企业  采购。即：提供的货物全部由符合政策要求的中小/小微企业制造、服务全部由符合政策要求的中小/小微企业承接。</w:t>
      </w:r>
    </w:p>
    <w:p w14:paraId="53211BBF">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Cs w:val="21"/>
          <w:highlight w:val="none"/>
          <w:u w:val="single"/>
        </w:rPr>
        <w:t xml:space="preserve">    /   </w:t>
      </w:r>
      <w:r>
        <w:rPr>
          <w:rFonts w:hint="eastAsia"/>
          <w:sz w:val="24"/>
          <w:highlight w:val="none"/>
        </w:rPr>
        <w:t>。</w:t>
      </w:r>
    </w:p>
    <w:p w14:paraId="011271E6">
      <w:pPr>
        <w:spacing w:line="360" w:lineRule="auto"/>
        <w:ind w:firstLine="480" w:firstLineChars="200"/>
        <w:rPr>
          <w:sz w:val="24"/>
          <w:highlight w:val="none"/>
        </w:rPr>
      </w:pPr>
      <w:r>
        <w:rPr>
          <w:sz w:val="24"/>
          <w:highlight w:val="none"/>
        </w:rPr>
        <w:t>2.2 其它落实政府采购政策的资格要求（如有）：</w:t>
      </w:r>
      <w:r>
        <w:rPr>
          <w:rFonts w:hint="eastAsia" w:ascii="宋体" w:hAnsi="宋体"/>
          <w:szCs w:val="21"/>
          <w:highlight w:val="none"/>
          <w:u w:val="single"/>
        </w:rPr>
        <w:t xml:space="preserve">    /   </w:t>
      </w:r>
      <w:r>
        <w:rPr>
          <w:rFonts w:hint="eastAsia"/>
          <w:sz w:val="24"/>
          <w:highlight w:val="none"/>
        </w:rPr>
        <w:t>。</w:t>
      </w:r>
    </w:p>
    <w:p w14:paraId="5C1A4684">
      <w:pPr>
        <w:spacing w:line="360" w:lineRule="auto"/>
        <w:ind w:firstLine="480" w:firstLineChars="200"/>
        <w:rPr>
          <w:i/>
          <w:iCs/>
          <w:sz w:val="24"/>
          <w:highlight w:val="none"/>
          <w:u w:val="single"/>
        </w:rPr>
      </w:pPr>
      <w:r>
        <w:rPr>
          <w:sz w:val="24"/>
          <w:highlight w:val="none"/>
        </w:rPr>
        <w:t>3.本项目的特定资格要求：</w:t>
      </w:r>
    </w:p>
    <w:p w14:paraId="7FBD5207">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62BB9245">
      <w:pPr>
        <w:tabs>
          <w:tab w:val="left" w:pos="900"/>
          <w:tab w:val="left" w:pos="1134"/>
          <w:tab w:val="left" w:pos="1589"/>
          <w:tab w:val="left" w:pos="5521"/>
        </w:tabs>
        <w:snapToGrid w:val="0"/>
        <w:spacing w:line="360" w:lineRule="auto"/>
        <w:ind w:left="991" w:leftChars="472" w:firstLine="2"/>
        <w:rPr>
          <w:sz w:val="24"/>
          <w:highlight w:val="none"/>
        </w:rPr>
      </w:pPr>
      <w:r>
        <w:rPr>
          <w:b/>
          <w:sz w:val="24"/>
          <w:highlight w:val="none"/>
        </w:rPr>
        <w:t>■</w:t>
      </w:r>
      <w:r>
        <w:rPr>
          <w:sz w:val="24"/>
          <w:highlight w:val="none"/>
        </w:rPr>
        <w:t>否</w:t>
      </w:r>
    </w:p>
    <w:p w14:paraId="0CB937B3">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□是，公益一类事业单位、使用事业编制且由财政拨款保障的群团组织，不得作为承接主体；</w:t>
      </w:r>
    </w:p>
    <w:p w14:paraId="3A5356BA">
      <w:pPr>
        <w:tabs>
          <w:tab w:val="left" w:pos="900"/>
          <w:tab w:val="left" w:pos="1134"/>
          <w:tab w:val="left" w:pos="1589"/>
          <w:tab w:val="left" w:pos="5521"/>
        </w:tabs>
        <w:snapToGrid w:val="0"/>
        <w:spacing w:line="360" w:lineRule="auto"/>
        <w:ind w:firstLine="480" w:firstLineChars="200"/>
        <w:rPr>
          <w:rFonts w:ascii="宋体" w:hAnsi="宋体"/>
          <w:sz w:val="24"/>
          <w:szCs w:val="28"/>
          <w:highlight w:val="none"/>
        </w:rPr>
      </w:pPr>
      <w:r>
        <w:rPr>
          <w:sz w:val="24"/>
          <w:highlight w:val="none"/>
        </w:rPr>
        <w:t>3.</w:t>
      </w:r>
      <w:r>
        <w:rPr>
          <w:rFonts w:hint="eastAsia"/>
          <w:sz w:val="24"/>
          <w:highlight w:val="none"/>
        </w:rPr>
        <w:t>2</w:t>
      </w:r>
      <w:r>
        <w:rPr>
          <w:sz w:val="24"/>
          <w:highlight w:val="none"/>
        </w:rPr>
        <w:t>其他特定资格要求：</w:t>
      </w:r>
      <w:r>
        <w:rPr>
          <w:rFonts w:hint="eastAsia"/>
          <w:sz w:val="24"/>
          <w:highlight w:val="none"/>
        </w:rPr>
        <w:t>（1）</w:t>
      </w:r>
      <w:r>
        <w:rPr>
          <w:rFonts w:hint="eastAsia" w:ascii="宋体" w:hAnsi="宋体"/>
          <w:sz w:val="24"/>
          <w:szCs w:val="28"/>
          <w:highlight w:val="none"/>
        </w:rPr>
        <w:t>供应商须具备建设行政主管部门核发的</w:t>
      </w:r>
      <w:r>
        <w:rPr>
          <w:rFonts w:hint="eastAsia" w:ascii="宋体" w:hAnsi="宋体"/>
          <w:sz w:val="24"/>
          <w:highlight w:val="none"/>
          <w:u w:val="single"/>
        </w:rPr>
        <w:t>建筑装修装饰工程专业承包二级（含）</w:t>
      </w:r>
      <w:r>
        <w:rPr>
          <w:rFonts w:hint="eastAsia" w:ascii="宋体" w:hAnsi="宋体"/>
          <w:sz w:val="24"/>
          <w:highlight w:val="none"/>
        </w:rPr>
        <w:t>以上资质，具有有效的安全生产许可证；</w:t>
      </w:r>
      <w:r>
        <w:rPr>
          <w:rFonts w:hint="eastAsia" w:ascii="宋体" w:hAnsi="宋体"/>
          <w:sz w:val="24"/>
          <w:szCs w:val="28"/>
          <w:highlight w:val="none"/>
        </w:rPr>
        <w:t>外地企业须具备《外地企业进京施工备案许可证》，并在人员、设备、资金等方面具有相应的施工能力；</w:t>
      </w:r>
    </w:p>
    <w:p w14:paraId="076C3C6A">
      <w:pPr>
        <w:tabs>
          <w:tab w:val="left" w:pos="900"/>
          <w:tab w:val="left" w:pos="1134"/>
          <w:tab w:val="left" w:pos="1589"/>
          <w:tab w:val="left" w:pos="5521"/>
        </w:tabs>
        <w:snapToGrid w:val="0"/>
        <w:spacing w:line="360" w:lineRule="auto"/>
        <w:ind w:firstLine="480" w:firstLineChars="200"/>
        <w:rPr>
          <w:sz w:val="24"/>
          <w:highlight w:val="none"/>
          <w:u w:val="single"/>
        </w:rPr>
      </w:pPr>
      <w:r>
        <w:rPr>
          <w:rFonts w:hint="eastAsia" w:ascii="宋体" w:hAnsi="宋体"/>
          <w:sz w:val="24"/>
          <w:szCs w:val="28"/>
          <w:highlight w:val="none"/>
        </w:rPr>
        <w:t>（2）供应商拟派项目经理须具备</w:t>
      </w:r>
      <w:r>
        <w:rPr>
          <w:rFonts w:hint="eastAsia" w:ascii="宋体" w:hAnsi="宋体"/>
          <w:sz w:val="24"/>
          <w:szCs w:val="28"/>
          <w:highlight w:val="none"/>
          <w:u w:val="single"/>
        </w:rPr>
        <w:t>建筑工程专业二级（含）</w:t>
      </w:r>
      <w:r>
        <w:rPr>
          <w:rFonts w:hint="eastAsia" w:ascii="宋体" w:hAnsi="宋体"/>
          <w:sz w:val="24"/>
          <w:szCs w:val="28"/>
          <w:highlight w:val="none"/>
        </w:rPr>
        <w:t xml:space="preserve">以上注册建造师执业资格，具备有效的安全生产考核合格证书（B本），且未担任其他在施建设工程的项目经理。 </w:t>
      </w:r>
    </w:p>
    <w:p w14:paraId="37DEDFEC">
      <w:pPr>
        <w:spacing w:line="360" w:lineRule="auto"/>
        <w:ind w:firstLine="480" w:firstLineChars="200"/>
        <w:rPr>
          <w:i/>
          <w:iCs/>
          <w:sz w:val="24"/>
          <w:highlight w:val="none"/>
          <w:u w:val="single"/>
        </w:rPr>
      </w:pPr>
    </w:p>
    <w:bookmarkEnd w:id="15"/>
    <w:bookmarkEnd w:id="16"/>
    <w:p w14:paraId="15C3D85F">
      <w:pPr>
        <w:pStyle w:val="5"/>
        <w:widowControl/>
        <w:spacing w:before="0" w:line="360" w:lineRule="auto"/>
        <w:jc w:val="left"/>
        <w:rPr>
          <w:rFonts w:ascii="Times New Roman" w:hAnsi="Times New Roman" w:eastAsia="宋体"/>
          <w:sz w:val="24"/>
          <w:szCs w:val="24"/>
          <w:highlight w:val="none"/>
        </w:rPr>
      </w:pPr>
      <w:bookmarkStart w:id="17" w:name="_Toc35393623"/>
      <w:bookmarkStart w:id="18" w:name="_Toc35393792"/>
      <w:r>
        <w:rPr>
          <w:rFonts w:ascii="Times New Roman" w:hAnsi="Times New Roman" w:eastAsia="宋体"/>
          <w:sz w:val="24"/>
          <w:szCs w:val="24"/>
          <w:highlight w:val="none"/>
        </w:rPr>
        <w:t>三、获取采购文件</w:t>
      </w:r>
      <w:bookmarkEnd w:id="17"/>
      <w:bookmarkEnd w:id="18"/>
    </w:p>
    <w:p w14:paraId="5F37D9A6">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2025</w:t>
      </w:r>
      <w:r>
        <w:rPr>
          <w:sz w:val="24"/>
          <w:highlight w:val="none"/>
          <w:lang w:bidi="ar"/>
        </w:rPr>
        <w:t>年</w:t>
      </w:r>
      <w:r>
        <w:rPr>
          <w:rFonts w:hint="eastAsia"/>
          <w:sz w:val="24"/>
          <w:highlight w:val="none"/>
          <w:lang w:bidi="ar"/>
        </w:rPr>
        <w:t>8</w:t>
      </w:r>
      <w:r>
        <w:rPr>
          <w:sz w:val="24"/>
          <w:highlight w:val="none"/>
          <w:lang w:bidi="ar"/>
        </w:rPr>
        <w:t>月</w:t>
      </w:r>
      <w:r>
        <w:rPr>
          <w:rFonts w:hint="eastAsia"/>
          <w:sz w:val="24"/>
          <w:highlight w:val="none"/>
          <w:lang w:val="en-US" w:eastAsia="zh-CN" w:bidi="ar"/>
        </w:rPr>
        <w:t>7</w:t>
      </w:r>
      <w:r>
        <w:rPr>
          <w:sz w:val="24"/>
          <w:highlight w:val="none"/>
          <w:lang w:bidi="ar"/>
        </w:rPr>
        <w:t>日至</w:t>
      </w:r>
      <w:r>
        <w:rPr>
          <w:rFonts w:hint="eastAsia"/>
          <w:sz w:val="24"/>
          <w:highlight w:val="none"/>
          <w:lang w:bidi="ar"/>
        </w:rPr>
        <w:t>2025</w:t>
      </w:r>
      <w:r>
        <w:rPr>
          <w:sz w:val="24"/>
          <w:highlight w:val="none"/>
          <w:lang w:bidi="ar"/>
        </w:rPr>
        <w:t>年</w:t>
      </w:r>
      <w:r>
        <w:rPr>
          <w:rFonts w:hint="eastAsia"/>
          <w:sz w:val="24"/>
          <w:highlight w:val="none"/>
          <w:lang w:bidi="ar"/>
        </w:rPr>
        <w:t>8</w:t>
      </w:r>
      <w:r>
        <w:rPr>
          <w:sz w:val="24"/>
          <w:highlight w:val="none"/>
          <w:lang w:bidi="ar"/>
        </w:rPr>
        <w:t>月</w:t>
      </w:r>
      <w:r>
        <w:rPr>
          <w:rFonts w:hint="eastAsia"/>
          <w:sz w:val="24"/>
          <w:highlight w:val="none"/>
          <w:lang w:val="en-US" w:eastAsia="zh-CN" w:bidi="ar"/>
        </w:rPr>
        <w:t>14</w:t>
      </w:r>
      <w:r>
        <w:rPr>
          <w:sz w:val="24"/>
          <w:highlight w:val="none"/>
          <w:lang w:bidi="ar"/>
        </w:rPr>
        <w:t>日，</w:t>
      </w:r>
      <w:r>
        <w:rPr>
          <w:rFonts w:hint="eastAsia"/>
          <w:sz w:val="24"/>
          <w:highlight w:val="none"/>
          <w:lang w:bidi="ar"/>
        </w:rPr>
        <w:t>每天上午9:00至下午17:00（北京时间，法定节假日除外）</w:t>
      </w:r>
      <w:r>
        <w:rPr>
          <w:sz w:val="24"/>
          <w:highlight w:val="none"/>
          <w:lang w:bidi="ar"/>
        </w:rPr>
        <w:t>。</w:t>
      </w:r>
    </w:p>
    <w:p w14:paraId="543C7E1C">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305D76CB">
      <w:pPr>
        <w:widowControl/>
        <w:adjustRightInd w:val="0"/>
        <w:snapToGrid w:val="0"/>
        <w:spacing w:line="360" w:lineRule="auto"/>
        <w:ind w:firstLine="480" w:firstLineChars="200"/>
        <w:jc w:val="left"/>
        <w:rPr>
          <w:sz w:val="24"/>
          <w:highlight w:val="none"/>
          <w:lang w:bidi="ar"/>
        </w:rPr>
      </w:pPr>
      <w:r>
        <w:rPr>
          <w:sz w:val="24"/>
          <w:highlight w:val="none"/>
          <w:lang w:bidi="ar"/>
        </w:rPr>
        <w:t>3.方式：</w:t>
      </w:r>
      <w:r>
        <w:rPr>
          <w:rFonts w:hint="eastAsia"/>
          <w:sz w:val="24"/>
          <w:highlight w:val="none"/>
          <w:lang w:bidi="ar"/>
        </w:rPr>
        <w:t>供应商使用 CA 数字证书或电子营业执照登录北京市政府采购电子交易平 台（</w:t>
      </w:r>
      <w:r>
        <w:rPr>
          <w:sz w:val="24"/>
          <w:highlight w:val="none"/>
          <w:lang w:bidi="ar"/>
        </w:rPr>
        <w:t>http://zbcg-bjzc.zhongcy.com/bjczj-portal-site/index.html#/home</w:t>
      </w:r>
      <w:r>
        <w:rPr>
          <w:rFonts w:hint="eastAsia"/>
          <w:sz w:val="24"/>
          <w:highlight w:val="none"/>
          <w:lang w:bidi="ar"/>
        </w:rPr>
        <w:t>）</w:t>
      </w:r>
      <w:r>
        <w:rPr>
          <w:sz w:val="24"/>
          <w:highlight w:val="none"/>
          <w:lang w:bidi="ar"/>
        </w:rPr>
        <w:t>获取电子版竞争性磋商文件。</w:t>
      </w:r>
    </w:p>
    <w:p w14:paraId="16CFEBD9">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423EB4BE">
      <w:pPr>
        <w:tabs>
          <w:tab w:val="left" w:pos="900"/>
          <w:tab w:val="left" w:pos="1980"/>
        </w:tabs>
        <w:snapToGrid w:val="0"/>
        <w:spacing w:line="360" w:lineRule="auto"/>
        <w:ind w:left="840"/>
        <w:rPr>
          <w:sz w:val="24"/>
          <w:highlight w:val="none"/>
        </w:rPr>
      </w:pPr>
    </w:p>
    <w:p w14:paraId="620FC297">
      <w:pPr>
        <w:pStyle w:val="5"/>
        <w:widowControl/>
        <w:spacing w:before="0" w:line="360" w:lineRule="auto"/>
        <w:jc w:val="left"/>
        <w:rPr>
          <w:rFonts w:ascii="Times New Roman" w:hAnsi="Times New Roman" w:eastAsia="宋体"/>
          <w:sz w:val="24"/>
          <w:szCs w:val="24"/>
          <w:highlight w:val="none"/>
        </w:rPr>
      </w:pPr>
      <w:bookmarkStart w:id="19" w:name="_Toc35393793"/>
      <w:bookmarkStart w:id="20" w:name="_Toc35393624"/>
      <w:bookmarkStart w:id="21" w:name="_Toc28359005"/>
      <w:bookmarkStart w:id="22" w:name="_Toc28359082"/>
      <w:r>
        <w:rPr>
          <w:rFonts w:ascii="Times New Roman" w:hAnsi="Times New Roman" w:eastAsia="宋体"/>
          <w:sz w:val="24"/>
          <w:szCs w:val="24"/>
          <w:highlight w:val="none"/>
        </w:rPr>
        <w:t>四、</w:t>
      </w:r>
      <w:bookmarkEnd w:id="19"/>
      <w:bookmarkEnd w:id="20"/>
      <w:bookmarkEnd w:id="21"/>
      <w:bookmarkEnd w:id="22"/>
      <w:r>
        <w:rPr>
          <w:rFonts w:ascii="Times New Roman" w:hAnsi="Times New Roman" w:eastAsia="宋体"/>
          <w:sz w:val="24"/>
          <w:szCs w:val="24"/>
          <w:highlight w:val="none"/>
        </w:rPr>
        <w:t>响应文件提交</w:t>
      </w:r>
    </w:p>
    <w:p w14:paraId="587DD6A4">
      <w:pPr>
        <w:spacing w:line="360" w:lineRule="auto"/>
        <w:ind w:firstLine="420" w:firstLineChars="175"/>
        <w:rPr>
          <w:bCs/>
          <w:sz w:val="24"/>
          <w:highlight w:val="none"/>
          <w:u w:val="single"/>
        </w:rPr>
      </w:pPr>
      <w:r>
        <w:rPr>
          <w:sz w:val="24"/>
          <w:highlight w:val="none"/>
          <w:lang w:bidi="ar"/>
        </w:rPr>
        <w:t>截止时间：</w:t>
      </w:r>
      <w:r>
        <w:rPr>
          <w:rFonts w:hint="eastAsia"/>
          <w:sz w:val="24"/>
          <w:highlight w:val="none"/>
          <w:lang w:bidi="ar"/>
        </w:rPr>
        <w:t>2025</w:t>
      </w:r>
      <w:r>
        <w:rPr>
          <w:sz w:val="24"/>
          <w:highlight w:val="none"/>
          <w:lang w:bidi="ar"/>
        </w:rPr>
        <w:t>年</w:t>
      </w:r>
      <w:r>
        <w:rPr>
          <w:rFonts w:hint="eastAsia"/>
          <w:sz w:val="24"/>
          <w:highlight w:val="none"/>
          <w:lang w:bidi="ar"/>
        </w:rPr>
        <w:t>8</w:t>
      </w:r>
      <w:r>
        <w:rPr>
          <w:sz w:val="24"/>
          <w:highlight w:val="none"/>
          <w:lang w:bidi="ar"/>
        </w:rPr>
        <w:t>月</w:t>
      </w:r>
      <w:r>
        <w:rPr>
          <w:rFonts w:hint="eastAsia"/>
          <w:sz w:val="24"/>
          <w:highlight w:val="none"/>
          <w:lang w:val="en-US" w:eastAsia="zh-CN" w:bidi="ar"/>
        </w:rPr>
        <w:t>18</w:t>
      </w:r>
      <w:r>
        <w:rPr>
          <w:sz w:val="24"/>
          <w:highlight w:val="none"/>
          <w:lang w:bidi="ar"/>
        </w:rPr>
        <w:t>日上午</w:t>
      </w:r>
      <w:r>
        <w:rPr>
          <w:rFonts w:hint="eastAsia"/>
          <w:sz w:val="24"/>
          <w:highlight w:val="none"/>
        </w:rPr>
        <w:t>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4BDF8E49">
      <w:pPr>
        <w:spacing w:line="360" w:lineRule="auto"/>
        <w:ind w:firstLine="420" w:firstLineChars="175"/>
        <w:rPr>
          <w:sz w:val="24"/>
          <w:highlight w:val="none"/>
        </w:rPr>
      </w:pPr>
      <w:r>
        <w:rPr>
          <w:sz w:val="24"/>
          <w:highlight w:val="none"/>
          <w:lang w:bidi="ar"/>
        </w:rPr>
        <w:t>地点：</w:t>
      </w:r>
      <w:r>
        <w:rPr>
          <w:rFonts w:hint="eastAsia"/>
          <w:sz w:val="24"/>
          <w:highlight w:val="none"/>
        </w:rPr>
        <w:t>北京市政府采购电子交易平台(http://zbcg-bjzc.zhongcy.com/bjczj-portal-site/index.html#/home)递交电子响应文件。采用远程电子磋商方式，供应商无需到现场。供应商登录北京市政府采购电子交易平台参与电子磋商。供应商自行对电子响应文件进行解密，解密时间为</w:t>
      </w:r>
      <w:r>
        <w:rPr>
          <w:rFonts w:hint="eastAsia"/>
          <w:sz w:val="24"/>
          <w:highlight w:val="none"/>
          <w:lang w:bidi="ar"/>
        </w:rPr>
        <w:t>2025</w:t>
      </w:r>
      <w:r>
        <w:rPr>
          <w:sz w:val="24"/>
          <w:highlight w:val="none"/>
          <w:lang w:bidi="ar"/>
        </w:rPr>
        <w:t>年</w:t>
      </w:r>
      <w:r>
        <w:rPr>
          <w:rFonts w:hint="eastAsia"/>
          <w:sz w:val="24"/>
          <w:highlight w:val="none"/>
          <w:lang w:bidi="ar"/>
        </w:rPr>
        <w:t>8</w:t>
      </w:r>
      <w:r>
        <w:rPr>
          <w:sz w:val="24"/>
          <w:highlight w:val="none"/>
          <w:lang w:bidi="ar"/>
        </w:rPr>
        <w:t>月</w:t>
      </w:r>
      <w:r>
        <w:rPr>
          <w:rFonts w:hint="eastAsia"/>
          <w:sz w:val="24"/>
          <w:highlight w:val="none"/>
          <w:lang w:val="en-US" w:eastAsia="zh-CN" w:bidi="ar"/>
        </w:rPr>
        <w:t>18</w:t>
      </w:r>
      <w:r>
        <w:rPr>
          <w:sz w:val="24"/>
          <w:highlight w:val="none"/>
          <w:lang w:bidi="ar"/>
        </w:rPr>
        <w:t>日当日自</w:t>
      </w:r>
      <w:r>
        <w:rPr>
          <w:sz w:val="24"/>
          <w:highlight w:val="none"/>
        </w:rPr>
        <w:t>发起解密指令起</w:t>
      </w:r>
      <w:r>
        <w:rPr>
          <w:rFonts w:hint="eastAsia"/>
          <w:sz w:val="24"/>
          <w:highlight w:val="none"/>
        </w:rPr>
        <w:t>30分钟，如未在规定的时间内进行文件解密，将视为无效响应。</w:t>
      </w:r>
      <w:r>
        <w:rPr>
          <w:sz w:val="24"/>
          <w:highlight w:val="none"/>
        </w:rPr>
        <w:t>磋商当天请供应商</w:t>
      </w:r>
      <w:r>
        <w:rPr>
          <w:rFonts w:hint="eastAsia"/>
          <w:sz w:val="24"/>
          <w:highlight w:val="none"/>
        </w:rPr>
        <w:t>在响应文件提交截止时间后，</w:t>
      </w:r>
      <w:r>
        <w:rPr>
          <w:sz w:val="24"/>
          <w:highlight w:val="none"/>
        </w:rPr>
        <w:t>关注</w:t>
      </w:r>
      <w:r>
        <w:rPr>
          <w:rFonts w:hint="eastAsia"/>
          <w:sz w:val="24"/>
          <w:highlight w:val="none"/>
        </w:rPr>
        <w:t>北京市政府采购电子交易平台，对响应文件进行解密、参与二次报价及相关问询。</w:t>
      </w:r>
    </w:p>
    <w:p w14:paraId="299045B3">
      <w:pPr>
        <w:spacing w:line="360" w:lineRule="auto"/>
        <w:ind w:firstLine="480" w:firstLineChars="200"/>
        <w:rPr>
          <w:sz w:val="24"/>
          <w:highlight w:val="none"/>
          <w:lang w:val="zh-TW" w:bidi="ar"/>
        </w:rPr>
      </w:pPr>
    </w:p>
    <w:p w14:paraId="774F9748">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3E7A4C4C">
      <w:pPr>
        <w:spacing w:line="360" w:lineRule="auto"/>
        <w:ind w:firstLine="480" w:firstLineChars="200"/>
        <w:rPr>
          <w:sz w:val="24"/>
          <w:highlight w:val="none"/>
          <w:lang w:bidi="ar"/>
        </w:rPr>
      </w:pPr>
      <w:r>
        <w:rPr>
          <w:sz w:val="24"/>
          <w:highlight w:val="none"/>
          <w:lang w:bidi="ar"/>
        </w:rPr>
        <w:t>时间：</w:t>
      </w:r>
      <w:r>
        <w:rPr>
          <w:rFonts w:hint="eastAsia"/>
          <w:sz w:val="24"/>
          <w:highlight w:val="none"/>
          <w:lang w:bidi="ar"/>
        </w:rPr>
        <w:t>2025</w:t>
      </w:r>
      <w:r>
        <w:rPr>
          <w:sz w:val="24"/>
          <w:highlight w:val="none"/>
          <w:lang w:bidi="ar"/>
        </w:rPr>
        <w:t>年</w:t>
      </w:r>
      <w:r>
        <w:rPr>
          <w:rFonts w:hint="eastAsia"/>
          <w:sz w:val="24"/>
          <w:highlight w:val="none"/>
          <w:lang w:bidi="ar"/>
        </w:rPr>
        <w:t>8</w:t>
      </w:r>
      <w:r>
        <w:rPr>
          <w:sz w:val="24"/>
          <w:highlight w:val="none"/>
          <w:lang w:bidi="ar"/>
        </w:rPr>
        <w:t>月</w:t>
      </w:r>
      <w:r>
        <w:rPr>
          <w:rFonts w:hint="eastAsia"/>
          <w:sz w:val="24"/>
          <w:highlight w:val="none"/>
          <w:lang w:val="en-US" w:eastAsia="zh-CN" w:bidi="ar"/>
        </w:rPr>
        <w:t>18</w:t>
      </w:r>
      <w:r>
        <w:rPr>
          <w:sz w:val="24"/>
          <w:highlight w:val="none"/>
          <w:lang w:bidi="ar"/>
        </w:rPr>
        <w:t>日上午</w:t>
      </w:r>
      <w:r>
        <w:rPr>
          <w:rFonts w:hint="eastAsia"/>
          <w:sz w:val="24"/>
          <w:highlight w:val="none"/>
        </w:rPr>
        <w:t>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6475A3CE">
      <w:pPr>
        <w:spacing w:line="360" w:lineRule="auto"/>
        <w:ind w:firstLine="480" w:firstLineChars="200"/>
        <w:rPr>
          <w:sz w:val="24"/>
          <w:highlight w:val="none"/>
          <w:lang w:bidi="ar"/>
        </w:rPr>
      </w:pPr>
      <w:r>
        <w:rPr>
          <w:sz w:val="24"/>
          <w:highlight w:val="none"/>
          <w:lang w:bidi="ar"/>
        </w:rPr>
        <w:t>地点：</w:t>
      </w:r>
      <w:r>
        <w:rPr>
          <w:rFonts w:hint="eastAsia"/>
          <w:sz w:val="24"/>
          <w:highlight w:val="none"/>
          <w:lang w:bidi="ar"/>
        </w:rPr>
        <w:t>同</w:t>
      </w:r>
      <w:r>
        <w:rPr>
          <w:sz w:val="24"/>
          <w:highlight w:val="none"/>
          <w:lang w:bidi="ar"/>
        </w:rPr>
        <w:t>响应文件提交地点。</w:t>
      </w:r>
    </w:p>
    <w:p w14:paraId="2C3DBAA1">
      <w:pPr>
        <w:spacing w:line="360" w:lineRule="auto"/>
        <w:ind w:firstLine="480" w:firstLineChars="200"/>
        <w:rPr>
          <w:bCs/>
          <w:sz w:val="24"/>
          <w:highlight w:val="none"/>
          <w:u w:val="single"/>
        </w:rPr>
      </w:pPr>
    </w:p>
    <w:p w14:paraId="52BF229E">
      <w:pPr>
        <w:pStyle w:val="5"/>
        <w:spacing w:before="0" w:line="360" w:lineRule="auto"/>
        <w:jc w:val="left"/>
        <w:rPr>
          <w:rFonts w:ascii="Times New Roman" w:hAnsi="Times New Roman" w:eastAsia="宋体"/>
          <w:sz w:val="24"/>
          <w:szCs w:val="24"/>
          <w:highlight w:val="none"/>
        </w:rPr>
      </w:pPr>
      <w:bookmarkStart w:id="23" w:name="_Toc35393794"/>
      <w:bookmarkStart w:id="24" w:name="_Toc28359084"/>
      <w:bookmarkStart w:id="25" w:name="_Toc35393625"/>
      <w:bookmarkStart w:id="26" w:name="_Toc28359007"/>
      <w:r>
        <w:rPr>
          <w:rFonts w:ascii="Times New Roman" w:hAnsi="Times New Roman" w:eastAsia="宋体"/>
          <w:sz w:val="24"/>
          <w:szCs w:val="24"/>
          <w:highlight w:val="none"/>
        </w:rPr>
        <w:t>六、公告期限</w:t>
      </w:r>
      <w:bookmarkEnd w:id="23"/>
      <w:bookmarkEnd w:id="24"/>
      <w:bookmarkEnd w:id="25"/>
      <w:bookmarkEnd w:id="26"/>
    </w:p>
    <w:p w14:paraId="2F1B4187">
      <w:pPr>
        <w:spacing w:line="360" w:lineRule="auto"/>
        <w:ind w:firstLine="480" w:firstLineChars="200"/>
        <w:rPr>
          <w:kern w:val="0"/>
          <w:sz w:val="24"/>
          <w:highlight w:val="none"/>
        </w:rPr>
      </w:pPr>
      <w:r>
        <w:rPr>
          <w:kern w:val="0"/>
          <w:sz w:val="24"/>
          <w:highlight w:val="none"/>
        </w:rPr>
        <w:t>自本公告发布之日起3个工作日。</w:t>
      </w:r>
    </w:p>
    <w:p w14:paraId="1D6B2477">
      <w:pPr>
        <w:spacing w:line="360" w:lineRule="auto"/>
        <w:ind w:firstLine="480" w:firstLineChars="200"/>
        <w:rPr>
          <w:kern w:val="0"/>
          <w:sz w:val="24"/>
          <w:highlight w:val="none"/>
        </w:rPr>
      </w:pPr>
    </w:p>
    <w:p w14:paraId="058E9A7E">
      <w:pPr>
        <w:pStyle w:val="5"/>
        <w:spacing w:before="0" w:line="360" w:lineRule="auto"/>
        <w:jc w:val="left"/>
        <w:rPr>
          <w:rFonts w:ascii="Times New Roman" w:hAnsi="Times New Roman" w:eastAsia="宋体"/>
          <w:sz w:val="24"/>
          <w:szCs w:val="24"/>
          <w:highlight w:val="none"/>
        </w:rPr>
      </w:pPr>
      <w:bookmarkStart w:id="27" w:name="_Toc35393626"/>
      <w:bookmarkStart w:id="28" w:name="_Toc35393795"/>
      <w:r>
        <w:rPr>
          <w:rFonts w:ascii="Times New Roman" w:hAnsi="Times New Roman" w:eastAsia="宋体"/>
          <w:sz w:val="24"/>
          <w:szCs w:val="24"/>
          <w:highlight w:val="none"/>
        </w:rPr>
        <w:t>七、其他补充事宜</w:t>
      </w:r>
      <w:bookmarkEnd w:id="27"/>
      <w:bookmarkEnd w:id="28"/>
    </w:p>
    <w:p w14:paraId="2E3E0B16">
      <w:pPr>
        <w:spacing w:line="360" w:lineRule="auto"/>
        <w:ind w:firstLine="480" w:firstLineChars="200"/>
        <w:rPr>
          <w:sz w:val="24"/>
          <w:highlight w:val="none"/>
        </w:rPr>
      </w:pPr>
      <w:r>
        <w:rPr>
          <w:sz w:val="24"/>
          <w:highlight w:val="none"/>
        </w:rPr>
        <w:t>1.本项目需要落实的政府采购政策：</w:t>
      </w:r>
      <w:r>
        <w:rPr>
          <w:rFonts w:hint="eastAsia"/>
          <w:sz w:val="24"/>
          <w:highlight w:val="none"/>
          <w:u w:val="single"/>
        </w:rPr>
        <w:t>促进中小企业、监狱企业、残疾人福利性单位发展</w:t>
      </w:r>
      <w:r>
        <w:rPr>
          <w:sz w:val="24"/>
          <w:highlight w:val="none"/>
          <w:u w:val="single"/>
        </w:rPr>
        <w:t>。</w:t>
      </w:r>
    </w:p>
    <w:p w14:paraId="02A2E6E4">
      <w:pPr>
        <w:adjustRightInd w:val="0"/>
        <w:snapToGrid w:val="0"/>
        <w:spacing w:line="360" w:lineRule="auto"/>
        <w:ind w:firstLine="480" w:firstLineChars="200"/>
        <w:rPr>
          <w:rFonts w:hint="eastAsia"/>
          <w:sz w:val="24"/>
          <w:highlight w:val="none"/>
          <w:lang w:bidi="ar"/>
        </w:rPr>
      </w:pPr>
      <w:r>
        <w:rPr>
          <w:rFonts w:hint="eastAsia"/>
          <w:sz w:val="24"/>
          <w:highlight w:val="none"/>
          <w:lang w:bidi="ar"/>
        </w:rPr>
        <w:t>2</w:t>
      </w:r>
      <w:r>
        <w:rPr>
          <w:sz w:val="24"/>
          <w:highlight w:val="none"/>
          <w:lang w:bidi="ar"/>
        </w:rPr>
        <w:t>.</w:t>
      </w:r>
      <w:r>
        <w:rPr>
          <w:rFonts w:hint="eastAsia"/>
          <w:sz w:val="24"/>
          <w:highlight w:val="none"/>
          <w:lang w:bidi="ar"/>
        </w:rPr>
        <w:t>本项目采用全流程电子化采购方式， 请供应商认真学习北京市政府采购电子交易 平台发布的相关操作手册（供应商可在交易平台下载相关手册），办理 CA 数字证书或  电子营业执照、进行北京市政府采购电子交易平台注册绑定，并认真核实 CA 数字证书或电子营业执照情况确认是否符合本项目电子化采购流程要求。</w:t>
      </w:r>
    </w:p>
    <w:p w14:paraId="778E82BC">
      <w:pPr>
        <w:adjustRightInd w:val="0"/>
        <w:snapToGrid w:val="0"/>
        <w:spacing w:line="360" w:lineRule="auto"/>
        <w:ind w:firstLine="480" w:firstLineChars="200"/>
        <w:rPr>
          <w:rFonts w:hint="eastAsia"/>
          <w:sz w:val="24"/>
          <w:highlight w:val="none"/>
          <w:lang w:bidi="ar"/>
        </w:rPr>
      </w:pPr>
      <w:r>
        <w:rPr>
          <w:rFonts w:hint="eastAsia"/>
          <w:sz w:val="24"/>
          <w:highlight w:val="none"/>
          <w:lang w:bidi="ar"/>
        </w:rPr>
        <w:t>CA 数字证书服务热线 010-58511086</w:t>
      </w:r>
    </w:p>
    <w:p w14:paraId="359D7AF3">
      <w:pPr>
        <w:adjustRightInd w:val="0"/>
        <w:snapToGrid w:val="0"/>
        <w:spacing w:line="360" w:lineRule="auto"/>
        <w:ind w:firstLine="480" w:firstLineChars="200"/>
        <w:rPr>
          <w:rFonts w:hint="eastAsia"/>
          <w:sz w:val="24"/>
          <w:highlight w:val="none"/>
          <w:lang w:bidi="ar"/>
        </w:rPr>
      </w:pPr>
      <w:r>
        <w:rPr>
          <w:rFonts w:hint="eastAsia"/>
          <w:sz w:val="24"/>
          <w:highlight w:val="none"/>
          <w:lang w:bidi="ar"/>
        </w:rPr>
        <w:t>电子营业执照服务热线 400-699-7000</w:t>
      </w:r>
    </w:p>
    <w:p w14:paraId="511D69B0">
      <w:pPr>
        <w:adjustRightInd w:val="0"/>
        <w:snapToGrid w:val="0"/>
        <w:spacing w:line="360" w:lineRule="auto"/>
        <w:ind w:firstLine="480" w:firstLineChars="200"/>
        <w:rPr>
          <w:sz w:val="24"/>
          <w:highlight w:val="none"/>
        </w:rPr>
      </w:pPr>
      <w:r>
        <w:rPr>
          <w:rFonts w:hint="eastAsia"/>
          <w:sz w:val="24"/>
          <w:highlight w:val="none"/>
          <w:lang w:bidi="ar"/>
        </w:rPr>
        <w:t>技术支持服务热线    010-86483801</w:t>
      </w:r>
      <w:r>
        <w:rPr>
          <w:sz w:val="24"/>
          <w:highlight w:val="none"/>
          <w:lang w:bidi="ar"/>
        </w:rPr>
        <w:t xml:space="preserve">   </w:t>
      </w:r>
    </w:p>
    <w:p w14:paraId="41E785A6">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.1</w:t>
      </w:r>
      <w:r>
        <w:rPr>
          <w:rFonts w:hint="eastAsia"/>
          <w:sz w:val="24"/>
          <w:highlight w:val="none"/>
          <w:lang w:bidi="ar"/>
        </w:rPr>
        <w:t>办理 CA 数字证书或电子营业执照</w:t>
      </w:r>
    </w:p>
    <w:p w14:paraId="17138EA1">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w:t>
      </w:r>
      <w:r>
        <w:rPr>
          <w:rFonts w:hint="eastAsia"/>
          <w:sz w:val="24"/>
          <w:highlight w:val="none"/>
          <w:lang w:bidi="ar"/>
        </w:rPr>
        <w:t>/</w:t>
      </w:r>
      <w:r>
        <w:rPr>
          <w:sz w:val="24"/>
          <w:highlight w:val="none"/>
          <w:lang w:bidi="ar"/>
        </w:rPr>
        <w:t>“</w:t>
      </w:r>
      <w:r>
        <w:rPr>
          <w:rFonts w:hint="eastAsia"/>
          <w:sz w:val="24"/>
          <w:highlight w:val="none"/>
          <w:lang w:bidi="ar"/>
        </w:rPr>
        <w:t>电子营业执照使用指南</w:t>
      </w:r>
      <w:r>
        <w:rPr>
          <w:sz w:val="24"/>
          <w:highlight w:val="none"/>
          <w:lang w:bidi="ar"/>
        </w:rPr>
        <w:t>”，按照程序要求办理。</w:t>
      </w:r>
    </w:p>
    <w:p w14:paraId="4CF2A066">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.2注册</w:t>
      </w:r>
    </w:p>
    <w:p w14:paraId="74F4B2E6">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3C638001">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.3驱动、客户端下载</w:t>
      </w:r>
    </w:p>
    <w:p w14:paraId="4594C4CD">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7A6E44BA">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0AEF5ECD">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.4 获取电子竞争性磋商文件</w:t>
      </w:r>
    </w:p>
    <w:p w14:paraId="7265DD12">
      <w:pPr>
        <w:adjustRightInd w:val="0"/>
        <w:snapToGrid w:val="0"/>
        <w:spacing w:line="360" w:lineRule="auto"/>
        <w:ind w:firstLine="480" w:firstLineChars="200"/>
        <w:rPr>
          <w:rFonts w:hint="eastAsia"/>
          <w:sz w:val="24"/>
          <w:highlight w:val="none"/>
          <w:lang w:bidi="ar"/>
        </w:rPr>
      </w:pPr>
      <w:r>
        <w:rPr>
          <w:rFonts w:hint="eastAsia"/>
          <w:sz w:val="24"/>
          <w:highlight w:val="none"/>
          <w:lang w:bidi="ar"/>
        </w:rPr>
        <w:t>供应商使用 CA 数字证书或电子营业执照登录北京市政府采购电子交易平台获取电子竞争性磋商文件。</w:t>
      </w:r>
    </w:p>
    <w:p w14:paraId="39252576">
      <w:pPr>
        <w:adjustRightInd w:val="0"/>
        <w:snapToGrid w:val="0"/>
        <w:spacing w:line="360" w:lineRule="auto"/>
        <w:ind w:firstLine="480" w:firstLineChars="200"/>
        <w:rPr>
          <w:rFonts w:hint="eastAsia"/>
          <w:sz w:val="24"/>
          <w:highlight w:val="none"/>
          <w:lang w:bidi="ar"/>
        </w:rPr>
      </w:pPr>
      <w:r>
        <w:rPr>
          <w:rFonts w:hint="eastAsia"/>
          <w:sz w:val="24"/>
          <w:highlight w:val="none"/>
          <w:lang w:bidi="ar"/>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783AF8BD">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.5编制电子响应文件</w:t>
      </w:r>
    </w:p>
    <w:p w14:paraId="5B13FADE">
      <w:pPr>
        <w:widowControl/>
        <w:spacing w:line="360" w:lineRule="auto"/>
        <w:ind w:firstLine="480" w:firstLineChars="200"/>
        <w:jc w:val="left"/>
        <w:rPr>
          <w:rFonts w:hint="eastAsia"/>
          <w:sz w:val="24"/>
          <w:highlight w:val="none"/>
          <w:lang w:val="zh-TW" w:eastAsia="zh-TW" w:bidi="ar"/>
        </w:rPr>
      </w:pPr>
      <w:r>
        <w:rPr>
          <w:rFonts w:hint="eastAsia"/>
          <w:sz w:val="24"/>
          <w:highlight w:val="none"/>
          <w:lang w:val="zh-TW" w:eastAsia="zh-TW"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CA3BCEF">
      <w:pPr>
        <w:widowControl/>
        <w:spacing w:line="360" w:lineRule="auto"/>
        <w:ind w:firstLine="480" w:firstLineChars="200"/>
        <w:jc w:val="left"/>
        <w:rPr>
          <w:sz w:val="24"/>
          <w:highlight w:val="none"/>
          <w:lang w:val="zh-TW" w:bidi="ar"/>
        </w:rPr>
      </w:pPr>
      <w:r>
        <w:rPr>
          <w:rFonts w:hint="eastAsia"/>
          <w:sz w:val="24"/>
          <w:highlight w:val="none"/>
          <w:lang w:val="zh-TW" w:bidi="ar"/>
        </w:rPr>
        <w:t>2</w:t>
      </w:r>
      <w:r>
        <w:rPr>
          <w:sz w:val="24"/>
          <w:highlight w:val="none"/>
          <w:lang w:val="zh-TW" w:eastAsia="zh-TW" w:bidi="ar"/>
        </w:rPr>
        <w:t>.6</w:t>
      </w:r>
      <w:r>
        <w:rPr>
          <w:rFonts w:hint="eastAsia"/>
          <w:sz w:val="24"/>
          <w:highlight w:val="none"/>
          <w:lang w:bidi="ar"/>
        </w:rPr>
        <w:t>提</w:t>
      </w:r>
      <w:r>
        <w:rPr>
          <w:sz w:val="24"/>
          <w:highlight w:val="none"/>
          <w:lang w:val="zh-TW" w:bidi="ar"/>
        </w:rPr>
        <w:t>交电子响应文件</w:t>
      </w:r>
    </w:p>
    <w:p w14:paraId="77974B54">
      <w:pPr>
        <w:widowControl/>
        <w:spacing w:line="360" w:lineRule="auto"/>
        <w:ind w:firstLine="480" w:firstLineChars="200"/>
        <w:jc w:val="left"/>
        <w:rPr>
          <w:sz w:val="24"/>
          <w:highlight w:val="none"/>
          <w:lang w:bidi="ar"/>
        </w:rPr>
      </w:pPr>
      <w:r>
        <w:rPr>
          <w:sz w:val="24"/>
          <w:highlight w:val="none"/>
          <w:lang w:bidi="ar"/>
        </w:rPr>
        <w:t>供应商应于</w:t>
      </w:r>
      <w:r>
        <w:rPr>
          <w:sz w:val="24"/>
          <w:highlight w:val="none"/>
        </w:rPr>
        <w:t>响应文件提交</w:t>
      </w:r>
      <w:r>
        <w:rPr>
          <w:sz w:val="24"/>
          <w:highlight w:val="none"/>
          <w:lang w:bidi="ar"/>
        </w:rPr>
        <w:t>截止时间前在平台提交电子响应文件，上传电子响应文件过程中请保持与互联网的连接畅通。</w:t>
      </w:r>
    </w:p>
    <w:p w14:paraId="2F97FFB5">
      <w:pPr>
        <w:spacing w:line="360" w:lineRule="auto"/>
        <w:ind w:firstLine="480" w:firstLineChars="200"/>
        <w:rPr>
          <w:sz w:val="24"/>
          <w:highlight w:val="none"/>
          <w:lang w:eastAsia="zh-TW"/>
        </w:rPr>
      </w:pPr>
      <w:r>
        <w:rPr>
          <w:rFonts w:hint="eastAsia"/>
          <w:sz w:val="24"/>
          <w:highlight w:val="none"/>
          <w:lang w:val="zh-TW" w:bidi="ar"/>
        </w:rPr>
        <w:t>2</w:t>
      </w:r>
      <w:r>
        <w:rPr>
          <w:sz w:val="24"/>
          <w:highlight w:val="none"/>
          <w:lang w:val="zh-TW" w:bidi="ar"/>
        </w:rPr>
        <w:t>.</w:t>
      </w:r>
      <w:r>
        <w:rPr>
          <w:sz w:val="24"/>
          <w:highlight w:val="none"/>
          <w:lang w:val="zh-TW" w:eastAsia="zh-TW" w:bidi="ar"/>
        </w:rPr>
        <w:t xml:space="preserve">7 </w:t>
      </w:r>
      <w:r>
        <w:rPr>
          <w:sz w:val="24"/>
          <w:highlight w:val="none"/>
          <w:lang w:val="zh-TW" w:bidi="ar"/>
        </w:rPr>
        <w:t>开启响应文件</w:t>
      </w:r>
    </w:p>
    <w:p w14:paraId="05EB26F4">
      <w:pPr>
        <w:spacing w:line="360" w:lineRule="auto"/>
        <w:ind w:firstLine="480" w:firstLineChars="200"/>
        <w:rPr>
          <w:sz w:val="24"/>
          <w:highlight w:val="none"/>
          <w:lang w:bidi="ar"/>
        </w:rPr>
      </w:pPr>
      <w:r>
        <w:rPr>
          <w:sz w:val="24"/>
          <w:highlight w:val="none"/>
        </w:rPr>
        <w:t>供应商于</w:t>
      </w:r>
      <w:r>
        <w:rPr>
          <w:sz w:val="24"/>
          <w:highlight w:val="none"/>
          <w:lang w:val="zh-TW" w:bidi="ar"/>
        </w:rPr>
        <w:t>磋商文件规定的开启时间、在开启地点使用</w:t>
      </w:r>
      <w:r>
        <w:rPr>
          <w:sz w:val="24"/>
          <w:highlight w:val="none"/>
          <w:lang w:bidi="ar"/>
        </w:rPr>
        <w:t>CA</w:t>
      </w:r>
      <w:r>
        <w:rPr>
          <w:rFonts w:hint="eastAsia"/>
          <w:sz w:val="24"/>
          <w:highlight w:val="none"/>
          <w:lang w:bidi="ar"/>
        </w:rPr>
        <w:t>数字</w:t>
      </w:r>
      <w:r>
        <w:rPr>
          <w:sz w:val="24"/>
          <w:highlight w:val="none"/>
          <w:lang w:bidi="ar"/>
        </w:rPr>
        <w:t>证书</w:t>
      </w:r>
      <w:r>
        <w:rPr>
          <w:spacing w:val="-2"/>
          <w:sz w:val="24"/>
          <w:highlight w:val="none"/>
        </w:rPr>
        <w:t>或电子营业执照</w:t>
      </w:r>
      <w:r>
        <w:rPr>
          <w:sz w:val="24"/>
          <w:highlight w:val="none"/>
          <w:lang w:val="zh-TW" w:bidi="ar"/>
        </w:rPr>
        <w:t>登录</w:t>
      </w:r>
      <w:r>
        <w:rPr>
          <w:sz w:val="24"/>
          <w:highlight w:val="none"/>
          <w:lang w:bidi="ar"/>
        </w:rPr>
        <w:t>北京市政府采购电子交易平台解密并开启响应文件。如因供应商问题，解密不成功，则</w:t>
      </w:r>
      <w:r>
        <w:rPr>
          <w:b/>
          <w:sz w:val="24"/>
          <w:highlight w:val="none"/>
          <w:lang w:bidi="ar"/>
        </w:rPr>
        <w:t>响应无效</w:t>
      </w:r>
      <w:r>
        <w:rPr>
          <w:sz w:val="24"/>
          <w:highlight w:val="none"/>
          <w:lang w:bidi="ar"/>
        </w:rPr>
        <w:t>。</w:t>
      </w:r>
    </w:p>
    <w:p w14:paraId="0B5D00EC">
      <w:pPr>
        <w:spacing w:line="360" w:lineRule="auto"/>
        <w:ind w:firstLine="480" w:firstLineChars="200"/>
        <w:rPr>
          <w:rFonts w:hint="eastAsia"/>
          <w:sz w:val="24"/>
          <w:highlight w:val="none"/>
          <w:lang w:bidi="ar"/>
        </w:rPr>
      </w:pPr>
      <w:r>
        <w:rPr>
          <w:rFonts w:hint="eastAsia"/>
          <w:sz w:val="24"/>
          <w:highlight w:val="none"/>
          <w:lang w:bidi="ar"/>
        </w:rPr>
        <w:t>3. 本项目的采购公告仅在中国政府采购网(www.ccgp.gov.cn)、北京市政府采购网(www.ccgp-beijing.gov.cn) 上发布。</w:t>
      </w:r>
    </w:p>
    <w:p w14:paraId="51A84E9B">
      <w:pPr>
        <w:spacing w:line="360" w:lineRule="auto"/>
        <w:ind w:firstLine="480" w:firstLineChars="200"/>
        <w:rPr>
          <w:rFonts w:hint="eastAsia"/>
          <w:sz w:val="24"/>
          <w:highlight w:val="none"/>
          <w:lang w:bidi="ar"/>
        </w:rPr>
      </w:pPr>
      <w:r>
        <w:rPr>
          <w:rFonts w:hint="eastAsia"/>
          <w:sz w:val="24"/>
          <w:highlight w:val="none"/>
          <w:lang w:bidi="ar"/>
        </w:rPr>
        <w:t>4.本项目评标方法和标准：综合评分法，总分100分。</w:t>
      </w:r>
    </w:p>
    <w:p w14:paraId="0734D24B">
      <w:pPr>
        <w:spacing w:line="360" w:lineRule="auto"/>
        <w:ind w:firstLine="480" w:firstLineChars="200"/>
        <w:rPr>
          <w:rFonts w:hint="eastAsia"/>
          <w:sz w:val="24"/>
          <w:highlight w:val="none"/>
          <w:lang w:bidi="ar"/>
        </w:rPr>
      </w:pPr>
      <w:r>
        <w:rPr>
          <w:rFonts w:hint="eastAsia"/>
          <w:sz w:val="24"/>
          <w:highlight w:val="none"/>
          <w:lang w:bidi="ar"/>
        </w:rPr>
        <w:t>5.如本公告内容和竞争性磋商文件内容不一致，以竞争性磋商文件为准。</w:t>
      </w:r>
    </w:p>
    <w:p w14:paraId="239A4DD7">
      <w:pPr>
        <w:spacing w:line="360" w:lineRule="auto"/>
        <w:ind w:firstLine="480" w:firstLineChars="200"/>
        <w:rPr>
          <w:rFonts w:hint="eastAsia"/>
          <w:sz w:val="24"/>
          <w:highlight w:val="none"/>
          <w:lang w:bidi="ar"/>
        </w:rPr>
      </w:pPr>
      <w:r>
        <w:rPr>
          <w:rFonts w:hint="eastAsia"/>
          <w:sz w:val="24"/>
          <w:highlight w:val="none"/>
          <w:lang w:bidi="ar"/>
        </w:rPr>
        <w:t>6.</w:t>
      </w:r>
      <w:r>
        <w:rPr>
          <w:rFonts w:hint="eastAsia" w:ascii="宋体" w:hAnsi="宋体"/>
          <w:szCs w:val="21"/>
          <w:highlight w:val="none"/>
          <w:lang w:bidi="ar"/>
        </w:rPr>
        <w:t xml:space="preserve"> </w:t>
      </w:r>
      <w:r>
        <w:rPr>
          <w:rFonts w:hint="eastAsia"/>
          <w:sz w:val="24"/>
          <w:highlight w:val="none"/>
          <w:lang w:bidi="ar"/>
        </w:rPr>
        <w:t>供应商自行对电子</w:t>
      </w:r>
      <w:r>
        <w:rPr>
          <w:sz w:val="24"/>
          <w:highlight w:val="none"/>
          <w:lang w:bidi="ar"/>
        </w:rPr>
        <w:t>响应</w:t>
      </w:r>
      <w:r>
        <w:rPr>
          <w:rFonts w:hint="eastAsia"/>
          <w:sz w:val="24"/>
          <w:highlight w:val="none"/>
          <w:lang w:bidi="ar"/>
        </w:rPr>
        <w:t>文件进行解密，解密时间为2025</w:t>
      </w:r>
      <w:r>
        <w:rPr>
          <w:sz w:val="24"/>
          <w:highlight w:val="none"/>
          <w:lang w:bidi="ar"/>
        </w:rPr>
        <w:t>年</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18</w:t>
      </w:r>
      <w:r>
        <w:rPr>
          <w:sz w:val="24"/>
          <w:highlight w:val="none"/>
          <w:lang w:bidi="ar"/>
        </w:rPr>
        <w:t>日当日自发起解密指令起</w:t>
      </w:r>
      <w:r>
        <w:rPr>
          <w:rFonts w:hint="eastAsia"/>
          <w:sz w:val="24"/>
          <w:highlight w:val="none"/>
          <w:lang w:bidi="ar"/>
        </w:rPr>
        <w:t>30分钟，如未在规定的时间内进行文件解密，将视为无效响应。</w:t>
      </w:r>
      <w:r>
        <w:rPr>
          <w:sz w:val="24"/>
          <w:highlight w:val="none"/>
          <w:lang w:bidi="ar"/>
        </w:rPr>
        <w:t>磋商当天请供应商</w:t>
      </w:r>
      <w:r>
        <w:rPr>
          <w:rFonts w:hint="eastAsia"/>
          <w:sz w:val="24"/>
          <w:highlight w:val="none"/>
          <w:lang w:bidi="ar"/>
        </w:rPr>
        <w:t>在响应文件提交截止时间后，</w:t>
      </w:r>
      <w:r>
        <w:rPr>
          <w:sz w:val="24"/>
          <w:highlight w:val="none"/>
          <w:lang w:bidi="ar"/>
        </w:rPr>
        <w:t>关注</w:t>
      </w:r>
      <w:r>
        <w:rPr>
          <w:rFonts w:hint="eastAsia"/>
          <w:sz w:val="24"/>
          <w:highlight w:val="none"/>
          <w:lang w:bidi="ar"/>
        </w:rPr>
        <w:t>北京市政府采购电子交易平台，对响应文件进行解密、参与二次报价及相关问询。</w:t>
      </w:r>
    </w:p>
    <w:p w14:paraId="303C7C77">
      <w:pPr>
        <w:spacing w:line="360" w:lineRule="auto"/>
        <w:ind w:left="-22" w:firstLine="480" w:firstLineChars="200"/>
        <w:outlineLvl w:val="1"/>
        <w:rPr>
          <w:rFonts w:hint="eastAsia" w:ascii="宋体" w:hAnsi="宋体"/>
          <w:sz w:val="24"/>
          <w:highlight w:val="none"/>
        </w:rPr>
      </w:pPr>
      <w:r>
        <w:rPr>
          <w:rFonts w:hint="eastAsia"/>
          <w:sz w:val="24"/>
          <w:highlight w:val="none"/>
          <w:lang w:bidi="ar"/>
        </w:rPr>
        <w:t xml:space="preserve">7. </w:t>
      </w:r>
      <w:r>
        <w:rPr>
          <w:rFonts w:hint="eastAsia" w:ascii="宋体" w:hAnsi="宋体"/>
          <w:sz w:val="24"/>
          <w:highlight w:val="none"/>
        </w:rPr>
        <w:t>银行账户信息，电汇购买招标（采购）文件、投标保证金及中标（成交）服务费收取的唯一账户：</w:t>
      </w:r>
    </w:p>
    <w:p w14:paraId="67B724E5">
      <w:pPr>
        <w:spacing w:line="360" w:lineRule="auto"/>
        <w:ind w:left="-22" w:firstLine="480" w:firstLineChars="200"/>
        <w:outlineLvl w:val="1"/>
        <w:rPr>
          <w:rFonts w:hint="eastAsia" w:ascii="宋体" w:hAnsi="宋体"/>
          <w:sz w:val="24"/>
          <w:highlight w:val="none"/>
        </w:rPr>
      </w:pPr>
      <w:r>
        <w:rPr>
          <w:rFonts w:hint="eastAsia" w:ascii="宋体" w:hAnsi="宋体"/>
          <w:sz w:val="24"/>
          <w:highlight w:val="none"/>
        </w:rPr>
        <w:t>汇款或转账时请务必附言“项目编号+用途”，例如：</w:t>
      </w:r>
      <w:r>
        <w:rPr>
          <w:rFonts w:ascii="宋体" w:hAnsi="宋体"/>
          <w:sz w:val="24"/>
          <w:szCs w:val="28"/>
          <w:highlight w:val="none"/>
        </w:rPr>
        <w:t>GC25-0055</w:t>
      </w:r>
      <w:r>
        <w:rPr>
          <w:rFonts w:hint="eastAsia" w:ascii="宋体" w:hAnsi="宋体"/>
          <w:sz w:val="24"/>
          <w:highlight w:val="none"/>
        </w:rPr>
        <w:t>保证金。</w:t>
      </w:r>
    </w:p>
    <w:p w14:paraId="018BF2FD">
      <w:pPr>
        <w:spacing w:line="360" w:lineRule="auto"/>
        <w:ind w:left="-22" w:firstLine="480" w:firstLineChars="200"/>
        <w:outlineLvl w:val="1"/>
        <w:rPr>
          <w:rFonts w:hint="eastAsia" w:ascii="宋体" w:hAnsi="宋体"/>
          <w:sz w:val="24"/>
          <w:highlight w:val="none"/>
        </w:rPr>
      </w:pPr>
      <w:r>
        <w:rPr>
          <w:rFonts w:hint="eastAsia" w:ascii="宋体" w:hAnsi="宋体"/>
          <w:sz w:val="24"/>
          <w:highlight w:val="none"/>
        </w:rPr>
        <w:t>公司名称：北京明德致信咨询有限公司</w:t>
      </w:r>
    </w:p>
    <w:p w14:paraId="6F4577AB">
      <w:pPr>
        <w:spacing w:line="360" w:lineRule="auto"/>
        <w:ind w:left="-22" w:firstLine="480" w:firstLineChars="200"/>
        <w:outlineLvl w:val="1"/>
        <w:rPr>
          <w:rFonts w:hint="eastAsia" w:ascii="宋体" w:hAnsi="宋体"/>
          <w:sz w:val="24"/>
          <w:highlight w:val="none"/>
        </w:rPr>
      </w:pPr>
      <w:r>
        <w:rPr>
          <w:rFonts w:hint="eastAsia" w:ascii="宋体" w:hAnsi="宋体"/>
          <w:sz w:val="24"/>
          <w:highlight w:val="none"/>
        </w:rPr>
        <w:t>开 户 行：中国工商银行股份有限公司北京东升路支行</w:t>
      </w:r>
    </w:p>
    <w:p w14:paraId="171BCDAD">
      <w:pPr>
        <w:spacing w:line="360" w:lineRule="auto"/>
        <w:ind w:firstLine="480" w:firstLineChars="200"/>
        <w:rPr>
          <w:rFonts w:hint="eastAsia" w:ascii="宋体" w:hAnsi="宋体"/>
          <w:sz w:val="24"/>
          <w:highlight w:val="none"/>
        </w:rPr>
      </w:pPr>
      <w:r>
        <w:rPr>
          <w:rFonts w:hint="eastAsia" w:ascii="宋体" w:hAnsi="宋体"/>
          <w:sz w:val="24"/>
          <w:highlight w:val="none"/>
        </w:rPr>
        <w:t>账    号：0200 0062 1920 0492 968</w:t>
      </w:r>
    </w:p>
    <w:p w14:paraId="4E6B3DCD">
      <w:pPr>
        <w:pStyle w:val="2"/>
        <w:numPr>
          <w:ilvl w:val="0"/>
          <w:numId w:val="0"/>
        </w:numPr>
        <w:ind w:left="420" w:leftChars="200" w:firstLine="0" w:firstLineChars="0"/>
        <w:rPr>
          <w:rFonts w:hint="eastAsia" w:ascii="宋体" w:hAnsi="宋体"/>
          <w:color w:val="auto"/>
          <w:highlight w:val="none"/>
        </w:rPr>
      </w:pPr>
      <w:r>
        <w:rPr>
          <w:rFonts w:hint="eastAsia" w:ascii="宋体" w:hAnsi="宋体"/>
          <w:color w:val="auto"/>
          <w:kern w:val="2"/>
          <w:sz w:val="24"/>
          <w:szCs w:val="20"/>
          <w:highlight w:val="none"/>
          <w:lang w:val="en-US" w:eastAsia="zh-CN" w:bidi="ar-SA"/>
        </w:rPr>
        <w:t>8.</w:t>
      </w:r>
      <w:r>
        <w:rPr>
          <w:rFonts w:hint="eastAsia" w:ascii="宋体" w:hAnsi="宋体"/>
          <w:color w:val="auto"/>
          <w:highlight w:val="none"/>
        </w:rPr>
        <w:t>意向公告日期：2025年0</w:t>
      </w:r>
      <w:r>
        <w:rPr>
          <w:rFonts w:hint="eastAsia" w:ascii="宋体" w:hAnsi="宋体"/>
          <w:color w:val="auto"/>
          <w:highlight w:val="none"/>
          <w:lang w:val="en-US" w:eastAsia="zh-CN"/>
        </w:rPr>
        <w:t>5</w:t>
      </w:r>
      <w:r>
        <w:rPr>
          <w:rFonts w:hint="eastAsia" w:ascii="宋体" w:hAnsi="宋体"/>
          <w:color w:val="auto"/>
          <w:highlight w:val="none"/>
        </w:rPr>
        <w:t>月2</w:t>
      </w:r>
      <w:r>
        <w:rPr>
          <w:rFonts w:hint="eastAsia" w:ascii="宋体" w:hAnsi="宋体"/>
          <w:color w:val="auto"/>
          <w:highlight w:val="none"/>
          <w:lang w:val="en-US" w:eastAsia="zh-CN"/>
        </w:rPr>
        <w:t>9</w:t>
      </w:r>
      <w:r>
        <w:rPr>
          <w:rFonts w:hint="eastAsia" w:ascii="宋体" w:hAnsi="宋体"/>
          <w:color w:val="auto"/>
          <w:highlight w:val="none"/>
        </w:rPr>
        <w:t>日</w:t>
      </w:r>
    </w:p>
    <w:p w14:paraId="0CA4664A">
      <w:pPr>
        <w:pStyle w:val="2"/>
        <w:numPr>
          <w:ilvl w:val="0"/>
          <w:numId w:val="0"/>
        </w:numPr>
        <w:ind w:left="420" w:leftChars="200" w:firstLine="0" w:firstLineChars="0"/>
        <w:rPr>
          <w:rFonts w:hint="eastAsia" w:ascii="宋体" w:hAnsi="宋体"/>
          <w:color w:val="auto"/>
          <w:highlight w:val="none"/>
        </w:rPr>
      </w:pPr>
      <w:r>
        <w:rPr>
          <w:rFonts w:hint="eastAsia" w:ascii="宋体" w:hAnsi="宋体"/>
          <w:color w:val="auto"/>
          <w:kern w:val="2"/>
          <w:sz w:val="24"/>
          <w:szCs w:val="20"/>
          <w:highlight w:val="none"/>
          <w:lang w:val="en-US" w:eastAsia="zh-CN" w:bidi="ar-SA"/>
        </w:rPr>
        <w:t>9.</w:t>
      </w:r>
      <w:r>
        <w:rPr>
          <w:rFonts w:hint="eastAsia" w:ascii="宋体" w:hAnsi="宋体"/>
          <w:color w:val="auto"/>
          <w:highlight w:val="none"/>
        </w:rPr>
        <w:t>项目批复编号：房财</w:t>
      </w:r>
      <w:r>
        <w:rPr>
          <w:rFonts w:hint="eastAsia" w:ascii="宋体" w:hAnsi="宋体"/>
          <w:color w:val="auto"/>
          <w:highlight w:val="none"/>
          <w:lang w:eastAsia="zh-CN"/>
        </w:rPr>
        <w:t>采购核</w:t>
      </w:r>
      <w:r>
        <w:rPr>
          <w:rFonts w:hint="eastAsia" w:ascii="宋体" w:hAnsi="宋体"/>
          <w:color w:val="auto"/>
          <w:highlight w:val="none"/>
        </w:rPr>
        <w:t>[20</w:t>
      </w:r>
      <w:r>
        <w:rPr>
          <w:rFonts w:hint="eastAsia" w:ascii="宋体" w:hAnsi="宋体"/>
          <w:color w:val="auto"/>
          <w:highlight w:val="none"/>
          <w:lang w:val="en-US" w:eastAsia="zh-CN"/>
        </w:rPr>
        <w:t>25</w:t>
      </w:r>
      <w:r>
        <w:rPr>
          <w:rFonts w:hint="eastAsia" w:ascii="宋体" w:hAnsi="宋体"/>
          <w:color w:val="auto"/>
          <w:highlight w:val="none"/>
        </w:rPr>
        <w:t>]</w:t>
      </w:r>
      <w:r>
        <w:rPr>
          <w:rFonts w:hint="eastAsia" w:ascii="宋体" w:hAnsi="宋体"/>
          <w:color w:val="auto"/>
          <w:highlight w:val="none"/>
          <w:lang w:val="en-US" w:eastAsia="zh-CN"/>
        </w:rPr>
        <w:t>271号</w:t>
      </w:r>
    </w:p>
    <w:p w14:paraId="409211FD">
      <w:pPr>
        <w:pStyle w:val="119"/>
        <w:widowControl/>
        <w:numPr>
          <w:ilvl w:val="0"/>
          <w:numId w:val="0"/>
        </w:numPr>
        <w:adjustRightInd w:val="0"/>
        <w:snapToGrid w:val="0"/>
        <w:spacing w:line="360" w:lineRule="auto"/>
        <w:ind w:firstLine="420" w:firstLineChars="0"/>
        <w:jc w:val="left"/>
        <w:rPr>
          <w:sz w:val="24"/>
          <w:highlight w:val="none"/>
          <w:lang w:bidi="ar"/>
        </w:rPr>
      </w:pPr>
      <w:r>
        <w:rPr>
          <w:rFonts w:ascii="Calibri" w:hAnsi="Calibri"/>
          <w:kern w:val="2"/>
          <w:sz w:val="24"/>
          <w:szCs w:val="22"/>
          <w:highlight w:val="none"/>
          <w:lang w:val="en-US" w:eastAsia="zh-CN" w:bidi="ar"/>
        </w:rPr>
        <w:t>10.</w:t>
      </w:r>
      <w:r>
        <w:rPr>
          <w:rFonts w:hint="eastAsia"/>
          <w:sz w:val="24"/>
          <w:highlight w:val="none"/>
          <w:lang w:bidi="ar"/>
        </w:rPr>
        <w:t>凡对本次采购提出询问及质疑，请与北京明德致信咨询有限公司联系（质疑函请采用政府采购供应商质疑函范本格式，以书面形式一次性提交）。</w:t>
      </w:r>
    </w:p>
    <w:p w14:paraId="7BEC01BC">
      <w:pPr>
        <w:pStyle w:val="119"/>
        <w:widowControl/>
        <w:adjustRightInd w:val="0"/>
        <w:snapToGrid w:val="0"/>
        <w:spacing w:line="360" w:lineRule="auto"/>
        <w:ind w:left="420" w:firstLine="0" w:firstLineChars="0"/>
        <w:jc w:val="left"/>
        <w:rPr>
          <w:sz w:val="24"/>
          <w:highlight w:val="none"/>
          <w:lang w:bidi="ar"/>
        </w:rPr>
      </w:pPr>
      <w:r>
        <w:rPr>
          <w:rFonts w:hint="eastAsia"/>
          <w:sz w:val="24"/>
          <w:highlight w:val="none"/>
          <w:lang w:bidi="ar"/>
        </w:rPr>
        <w:t>质疑方式联系人和联系电话：供应商认为采购文件、采购过程和中标、成交结果使自己的权益受到损害的，可以在知道或者应知其权益受到损害之日起七个工作日内，以书面形式向采购人提出质疑。</w:t>
      </w:r>
    </w:p>
    <w:p w14:paraId="1DB825B9">
      <w:pPr>
        <w:pStyle w:val="119"/>
        <w:widowControl/>
        <w:adjustRightInd w:val="0"/>
        <w:snapToGrid w:val="0"/>
        <w:spacing w:line="360" w:lineRule="auto"/>
        <w:ind w:left="420" w:firstLine="0" w:firstLineChars="0"/>
        <w:jc w:val="left"/>
        <w:rPr>
          <w:sz w:val="24"/>
          <w:highlight w:val="none"/>
          <w:lang w:bidi="ar"/>
        </w:rPr>
      </w:pPr>
      <w:r>
        <w:rPr>
          <w:rFonts w:hint="eastAsia"/>
          <w:sz w:val="24"/>
          <w:highlight w:val="none"/>
          <w:lang w:bidi="ar"/>
        </w:rPr>
        <w:t>联系人：北京明德致信咨询有限公司     联系电话：010-82370045</w:t>
      </w:r>
    </w:p>
    <w:p w14:paraId="3A93B5BE">
      <w:pPr>
        <w:pStyle w:val="119"/>
        <w:widowControl/>
        <w:adjustRightInd w:val="0"/>
        <w:snapToGrid w:val="0"/>
        <w:spacing w:line="360" w:lineRule="auto"/>
        <w:ind w:left="420" w:firstLine="0" w:firstLineChars="0"/>
        <w:jc w:val="left"/>
        <w:rPr>
          <w:sz w:val="24"/>
          <w:highlight w:val="none"/>
          <w:lang w:bidi="ar"/>
        </w:rPr>
      </w:pPr>
      <w:r>
        <w:rPr>
          <w:rFonts w:hint="eastAsia"/>
          <w:sz w:val="24"/>
          <w:highlight w:val="none"/>
          <w:lang w:bidi="ar"/>
        </w:rPr>
        <w:t>地址：北京市海淀区学院路30号科大天工大厦B座1709室</w:t>
      </w:r>
    </w:p>
    <w:p w14:paraId="0DD3EA02">
      <w:pPr>
        <w:pStyle w:val="119"/>
        <w:widowControl/>
        <w:numPr>
          <w:ilvl w:val="0"/>
          <w:numId w:val="0"/>
        </w:numPr>
        <w:adjustRightInd w:val="0"/>
        <w:snapToGrid w:val="0"/>
        <w:spacing w:line="360" w:lineRule="auto"/>
        <w:ind w:firstLine="420" w:firstLineChars="0"/>
        <w:jc w:val="left"/>
        <w:rPr>
          <w:sz w:val="24"/>
          <w:highlight w:val="none"/>
          <w:lang w:bidi="ar"/>
        </w:rPr>
      </w:pPr>
      <w:r>
        <w:rPr>
          <w:rFonts w:ascii="Calibri" w:hAnsi="Calibri"/>
          <w:kern w:val="2"/>
          <w:sz w:val="24"/>
          <w:szCs w:val="22"/>
          <w:highlight w:val="none"/>
          <w:lang w:val="en-US" w:eastAsia="zh-CN" w:bidi="ar"/>
        </w:rPr>
        <w:t>11.</w:t>
      </w:r>
      <w:r>
        <w:rPr>
          <w:rFonts w:hint="eastAsia"/>
          <w:sz w:val="24"/>
          <w:highlight w:val="none"/>
          <w:lang w:bidi="ar"/>
        </w:rPr>
        <w:t>投诉处理方式：按照中华人民共和国财政部令第94号《政府采购质疑和投诉办法》的要求可以向北京市房山区财政局政府采购办公室进行投诉。</w:t>
      </w:r>
    </w:p>
    <w:p w14:paraId="451ABCAF">
      <w:pPr>
        <w:pStyle w:val="119"/>
        <w:widowControl/>
        <w:numPr>
          <w:ilvl w:val="0"/>
          <w:numId w:val="0"/>
        </w:numPr>
        <w:adjustRightInd w:val="0"/>
        <w:snapToGrid w:val="0"/>
        <w:spacing w:line="360" w:lineRule="auto"/>
        <w:ind w:firstLine="420" w:firstLineChars="0"/>
        <w:jc w:val="left"/>
        <w:rPr>
          <w:sz w:val="24"/>
          <w:highlight w:val="none"/>
          <w:lang w:bidi="ar"/>
        </w:rPr>
      </w:pPr>
      <w:r>
        <w:rPr>
          <w:rFonts w:ascii="Calibri" w:hAnsi="Calibri"/>
          <w:kern w:val="2"/>
          <w:sz w:val="24"/>
          <w:szCs w:val="22"/>
          <w:highlight w:val="none"/>
          <w:lang w:val="en-US" w:eastAsia="zh-CN" w:bidi="ar"/>
        </w:rPr>
        <w:t>12.</w:t>
      </w:r>
      <w:r>
        <w:rPr>
          <w:rFonts w:hint="eastAsia"/>
          <w:sz w:val="24"/>
          <w:highlight w:val="none"/>
          <w:lang w:bidi="ar"/>
        </w:rPr>
        <w:t>供应商如有融资需求，请依照《北京市财政局中国人民银行营业管理部关于推进政府采购合同线上融资有关工作的通知》（京财采购〔2023〕637号）执行。</w:t>
      </w:r>
    </w:p>
    <w:p w14:paraId="32390F2E">
      <w:pPr>
        <w:pStyle w:val="119"/>
        <w:widowControl/>
        <w:numPr>
          <w:ilvl w:val="0"/>
          <w:numId w:val="0"/>
        </w:numPr>
        <w:adjustRightInd w:val="0"/>
        <w:snapToGrid w:val="0"/>
        <w:spacing w:line="360" w:lineRule="auto"/>
        <w:ind w:firstLine="420" w:firstLineChars="0"/>
        <w:jc w:val="left"/>
        <w:rPr>
          <w:highlight w:val="none"/>
        </w:rPr>
      </w:pPr>
      <w:r>
        <w:rPr>
          <w:rFonts w:hint="eastAsia" w:ascii="Calibri" w:hAnsi="Calibri"/>
          <w:kern w:val="2"/>
          <w:sz w:val="24"/>
          <w:szCs w:val="22"/>
          <w:highlight w:val="none"/>
          <w:lang w:val="en-US" w:eastAsia="zh-CN" w:bidi="ar-SA"/>
        </w:rPr>
        <w:t>13.</w:t>
      </w:r>
      <w:r>
        <w:rPr>
          <w:rFonts w:hint="eastAsia"/>
          <w:sz w:val="24"/>
          <w:highlight w:val="none"/>
          <w:lang w:bidi="ar"/>
        </w:rPr>
        <w:t>如本公告内容和竞争性磋商文件内容不一致，以竞争性磋商文件为准</w:t>
      </w:r>
      <w:r>
        <w:rPr>
          <w:sz w:val="24"/>
          <w:highlight w:val="none"/>
          <w:lang w:bidi="ar"/>
        </w:rPr>
        <w:t>。</w:t>
      </w:r>
    </w:p>
    <w:p w14:paraId="28998A85">
      <w:pPr>
        <w:pStyle w:val="5"/>
        <w:spacing w:before="0" w:line="360" w:lineRule="auto"/>
        <w:jc w:val="left"/>
        <w:rPr>
          <w:rFonts w:ascii="Times New Roman" w:hAnsi="Times New Roman" w:eastAsia="宋体"/>
          <w:sz w:val="24"/>
          <w:szCs w:val="24"/>
          <w:highlight w:val="none"/>
        </w:rPr>
      </w:pPr>
      <w:bookmarkStart w:id="29" w:name="_Toc28359008"/>
      <w:bookmarkStart w:id="30" w:name="_Toc28359085"/>
      <w:bookmarkStart w:id="31" w:name="_Toc35393627"/>
      <w:bookmarkStart w:id="32" w:name="_Toc35393796"/>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9"/>
      <w:bookmarkEnd w:id="30"/>
      <w:bookmarkEnd w:id="31"/>
      <w:bookmarkEnd w:id="32"/>
    </w:p>
    <w:p w14:paraId="5CC927E5">
      <w:pPr>
        <w:widowControl/>
        <w:spacing w:line="360" w:lineRule="auto"/>
        <w:jc w:val="left"/>
        <w:rPr>
          <w:rFonts w:hint="eastAsia"/>
          <w:b/>
          <w:sz w:val="24"/>
          <w:highlight w:val="none"/>
        </w:rPr>
      </w:pPr>
      <w:r>
        <w:rPr>
          <w:sz w:val="24"/>
          <w:highlight w:val="none"/>
        </w:rPr>
        <w:t>　　　</w:t>
      </w:r>
      <w:r>
        <w:rPr>
          <w:b/>
          <w:sz w:val="24"/>
          <w:highlight w:val="none"/>
        </w:rPr>
        <w:t>1.采购人信息</w:t>
      </w:r>
    </w:p>
    <w:p w14:paraId="6DA23987">
      <w:pPr>
        <w:spacing w:line="360" w:lineRule="auto"/>
        <w:ind w:left="1079" w:leftChars="371" w:hanging="300" w:hangingChars="125"/>
        <w:jc w:val="left"/>
        <w:rPr>
          <w:rFonts w:hint="eastAsia"/>
          <w:sz w:val="24"/>
          <w:highlight w:val="none"/>
        </w:rPr>
      </w:pPr>
      <w:bookmarkStart w:id="33" w:name="_Toc28359009"/>
      <w:bookmarkStart w:id="34" w:name="_Toc28359086"/>
      <w:r>
        <w:rPr>
          <w:rFonts w:hint="eastAsia"/>
          <w:sz w:val="24"/>
          <w:highlight w:val="none"/>
        </w:rPr>
        <w:t>名    称：首都师范大学附属育新学校房山分校</w:t>
      </w:r>
    </w:p>
    <w:p w14:paraId="575DE2F3">
      <w:pPr>
        <w:spacing w:line="360" w:lineRule="auto"/>
        <w:ind w:left="1079" w:leftChars="371" w:hanging="300" w:hangingChars="125"/>
        <w:jc w:val="left"/>
        <w:rPr>
          <w:rFonts w:hint="eastAsia"/>
          <w:sz w:val="24"/>
          <w:highlight w:val="none"/>
        </w:rPr>
      </w:pPr>
      <w:r>
        <w:rPr>
          <w:rFonts w:hint="eastAsia"/>
          <w:sz w:val="24"/>
          <w:highlight w:val="none"/>
        </w:rPr>
        <w:t>地    址： 北京市房山区长阳镇高佃村东</w:t>
      </w:r>
    </w:p>
    <w:p w14:paraId="17859D6F">
      <w:pPr>
        <w:spacing w:line="360" w:lineRule="auto"/>
        <w:ind w:left="1079" w:leftChars="371" w:hanging="300" w:hangingChars="125"/>
        <w:jc w:val="left"/>
        <w:rPr>
          <w:rFonts w:hint="eastAsia"/>
          <w:sz w:val="24"/>
          <w:highlight w:val="none"/>
        </w:rPr>
      </w:pPr>
      <w:r>
        <w:rPr>
          <w:rFonts w:hint="eastAsia"/>
          <w:sz w:val="24"/>
          <w:highlight w:val="none"/>
        </w:rPr>
        <w:t xml:space="preserve">联系方式： </w:t>
      </w:r>
      <w:r>
        <w:rPr>
          <w:rFonts w:hint="eastAsia"/>
          <w:sz w:val="24"/>
          <w:highlight w:val="none"/>
          <w:lang w:val="en-US" w:eastAsia="zh-CN"/>
        </w:rPr>
        <w:t>贾</w:t>
      </w:r>
      <w:r>
        <w:rPr>
          <w:rFonts w:hint="eastAsia"/>
          <w:sz w:val="24"/>
          <w:highlight w:val="none"/>
        </w:rPr>
        <w:t>老师,</w:t>
      </w:r>
      <w:r>
        <w:rPr>
          <w:highlight w:val="none"/>
        </w:rPr>
        <w:t xml:space="preserve"> </w:t>
      </w:r>
      <w:r>
        <w:rPr>
          <w:rFonts w:hint="eastAsia"/>
          <w:highlight w:val="none"/>
        </w:rPr>
        <w:t>010-69369535</w:t>
      </w:r>
      <w:r>
        <w:rPr>
          <w:sz w:val="24"/>
          <w:highlight w:val="none"/>
        </w:rPr>
        <w:t xml:space="preserve"> </w:t>
      </w:r>
      <w:r>
        <w:rPr>
          <w:rFonts w:hint="eastAsia"/>
          <w:sz w:val="24"/>
          <w:highlight w:val="none"/>
        </w:rPr>
        <w:t xml:space="preserve">         </w:t>
      </w:r>
    </w:p>
    <w:p w14:paraId="1EEAEE26">
      <w:pPr>
        <w:spacing w:line="360" w:lineRule="auto"/>
        <w:ind w:left="1078" w:leftChars="371" w:hanging="299" w:hangingChars="124"/>
        <w:jc w:val="left"/>
        <w:rPr>
          <w:b/>
          <w:sz w:val="24"/>
          <w:highlight w:val="none"/>
        </w:rPr>
      </w:pPr>
      <w:r>
        <w:rPr>
          <w:b/>
          <w:sz w:val="24"/>
          <w:highlight w:val="none"/>
        </w:rPr>
        <w:t>2.采购代理机构信息</w:t>
      </w:r>
      <w:bookmarkEnd w:id="33"/>
      <w:bookmarkEnd w:id="34"/>
    </w:p>
    <w:p w14:paraId="6DE3D07B">
      <w:pPr>
        <w:spacing w:line="360" w:lineRule="auto"/>
        <w:ind w:left="1076" w:leftChars="371" w:hanging="297" w:hangingChars="124"/>
        <w:rPr>
          <w:rFonts w:hint="eastAsia" w:ascii="宋体" w:hAnsi="宋体"/>
          <w:sz w:val="24"/>
          <w:highlight w:val="none"/>
        </w:rPr>
      </w:pPr>
      <w:bookmarkStart w:id="35" w:name="_Toc28359087"/>
      <w:bookmarkStart w:id="36" w:name="_Toc28359010"/>
      <w:r>
        <w:rPr>
          <w:rFonts w:hint="eastAsia" w:ascii="宋体" w:hAnsi="宋体"/>
          <w:sz w:val="24"/>
          <w:highlight w:val="none"/>
        </w:rPr>
        <w:t>名称：北京明德致信咨询有限公司</w:t>
      </w:r>
    </w:p>
    <w:p w14:paraId="6BB371BD">
      <w:pPr>
        <w:spacing w:line="360" w:lineRule="auto"/>
        <w:ind w:left="1076" w:leftChars="371" w:hanging="297" w:hangingChars="124"/>
        <w:rPr>
          <w:rFonts w:hint="eastAsia" w:ascii="宋体" w:hAnsi="宋体"/>
          <w:sz w:val="24"/>
          <w:highlight w:val="none"/>
        </w:rPr>
      </w:pPr>
      <w:r>
        <w:rPr>
          <w:rFonts w:hint="eastAsia" w:ascii="宋体" w:hAnsi="宋体"/>
          <w:sz w:val="24"/>
          <w:highlight w:val="none"/>
        </w:rPr>
        <w:t>地址：北京市海淀区学院路30号科大天工大厦B座1709室</w:t>
      </w:r>
    </w:p>
    <w:p w14:paraId="717B1E41">
      <w:pPr>
        <w:spacing w:line="360" w:lineRule="auto"/>
        <w:ind w:left="1076" w:leftChars="371" w:hanging="297" w:hangingChars="124"/>
        <w:rPr>
          <w:rFonts w:ascii="宋体" w:hAnsi="宋体"/>
          <w:sz w:val="24"/>
          <w:highlight w:val="none"/>
        </w:rPr>
      </w:pPr>
      <w:r>
        <w:rPr>
          <w:rFonts w:hint="eastAsia" w:ascii="宋体" w:hAnsi="宋体"/>
          <w:sz w:val="24"/>
          <w:highlight w:val="none"/>
        </w:rPr>
        <w:t>联系方式：010－82370045、FC@zbbmcc.com（保证金、发票等咨询）</w:t>
      </w:r>
    </w:p>
    <w:p w14:paraId="02C63560">
      <w:pPr>
        <w:spacing w:line="360" w:lineRule="auto"/>
        <w:ind w:left="1078" w:leftChars="371" w:hanging="299" w:hangingChars="124"/>
        <w:rPr>
          <w:b/>
          <w:sz w:val="24"/>
          <w:highlight w:val="none"/>
          <w:u w:val="single"/>
        </w:rPr>
      </w:pPr>
      <w:r>
        <w:rPr>
          <w:b/>
          <w:sz w:val="24"/>
          <w:highlight w:val="none"/>
        </w:rPr>
        <w:t>3.项目联系方式</w:t>
      </w:r>
      <w:bookmarkEnd w:id="35"/>
      <w:bookmarkEnd w:id="36"/>
    </w:p>
    <w:p w14:paraId="4024AABB">
      <w:pPr>
        <w:pStyle w:val="30"/>
        <w:spacing w:line="360" w:lineRule="auto"/>
        <w:ind w:left="1076" w:leftChars="371" w:hanging="297" w:hangingChars="124"/>
        <w:rPr>
          <w:rFonts w:hint="default" w:hAnsi="宋体"/>
          <w:sz w:val="24"/>
          <w:highlight w:val="none"/>
          <w:u w:val="single"/>
        </w:rPr>
      </w:pPr>
      <w:r>
        <w:rPr>
          <w:rFonts w:hAnsi="宋体"/>
          <w:sz w:val="24"/>
          <w:highlight w:val="none"/>
        </w:rPr>
        <w:t>联系方式：</w:t>
      </w:r>
      <w:r>
        <w:rPr>
          <w:rFonts w:hAnsi="宋体" w:cs="宋体"/>
          <w:sz w:val="24"/>
          <w:highlight w:val="none"/>
        </w:rPr>
        <w:t>张闻、曾甜、王渊、王希、孙恺宁、吕绍山、万雅萌、王润斯</w:t>
      </w:r>
    </w:p>
    <w:p w14:paraId="7A545FFB">
      <w:pPr>
        <w:spacing w:line="360" w:lineRule="auto"/>
        <w:ind w:left="1076" w:leftChars="371" w:hanging="297" w:hangingChars="124"/>
        <w:rPr>
          <w:rFonts w:ascii="宋体" w:hAnsi="宋体"/>
          <w:sz w:val="24"/>
          <w:highlight w:val="none"/>
          <w:lang w:bidi="ar"/>
        </w:rPr>
      </w:pPr>
      <w:r>
        <w:rPr>
          <w:rFonts w:ascii="宋体" w:hAnsi="宋体"/>
          <w:sz w:val="24"/>
          <w:highlight w:val="none"/>
        </w:rPr>
        <w:t>电      话：</w:t>
      </w:r>
      <w:r>
        <w:rPr>
          <w:rFonts w:hint="eastAsia" w:ascii="宋体" w:hAnsi="宋体"/>
          <w:sz w:val="24"/>
          <w:highlight w:val="none"/>
        </w:rPr>
        <w:t>010－61192271、15110203501（仅用于采购文件咨询）</w:t>
      </w:r>
    </w:p>
    <w:p w14:paraId="66F32845">
      <w:pPr>
        <w:pStyle w:val="30"/>
        <w:spacing w:line="360" w:lineRule="auto"/>
        <w:ind w:left="1076" w:leftChars="371" w:hanging="297" w:hangingChars="124"/>
        <w:rPr>
          <w:sz w:val="24"/>
          <w:highlight w:val="none"/>
        </w:rPr>
      </w:pPr>
      <w:r>
        <w:rPr>
          <w:rFonts w:hint="default" w:ascii="Times New Roman" w:hAnsi="Times New Roman"/>
          <w:sz w:val="24"/>
          <w:szCs w:val="24"/>
          <w:highlight w:val="none"/>
        </w:rPr>
        <w:t>邮</w:t>
      </w:r>
      <w:r>
        <w:rPr>
          <w:rFonts w:ascii="Times New Roman" w:hAnsi="Times New Roman"/>
          <w:sz w:val="24"/>
          <w:szCs w:val="24"/>
          <w:highlight w:val="none"/>
        </w:rPr>
        <w:t xml:space="preserve">      </w:t>
      </w:r>
      <w:r>
        <w:rPr>
          <w:rFonts w:hint="default" w:ascii="Times New Roman" w:hAnsi="Times New Roman"/>
          <w:sz w:val="24"/>
          <w:szCs w:val="24"/>
          <w:highlight w:val="none"/>
        </w:rPr>
        <w:t>箱：</w:t>
      </w:r>
      <w:r>
        <w:rPr>
          <w:rFonts w:hAnsi="宋体" w:cs="宋体"/>
          <w:sz w:val="24"/>
          <w:highlight w:val="none"/>
        </w:rPr>
        <w:t>zw@zbbmcc.com</w:t>
      </w:r>
    </w:p>
    <w:p w14:paraId="3559E715">
      <w:pPr>
        <w:spacing w:line="360" w:lineRule="auto"/>
        <w:jc w:val="center"/>
        <w:outlineLvl w:val="0"/>
        <w:rPr>
          <w:b/>
          <w:sz w:val="32"/>
          <w:szCs w:val="32"/>
          <w:highlight w:val="none"/>
        </w:rPr>
      </w:pPr>
      <w:bookmarkStart w:id="37" w:name="_Toc265228423"/>
      <w:bookmarkStart w:id="38" w:name="_Toc127151777"/>
      <w:bookmarkStart w:id="39" w:name="_Toc150774783"/>
      <w:bookmarkStart w:id="40" w:name="_Toc512937850"/>
      <w:bookmarkStart w:id="41" w:name="_Toc127161488"/>
      <w:bookmarkStart w:id="42" w:name="_Toc305158854"/>
      <w:bookmarkStart w:id="43" w:name="_Toc226965856"/>
      <w:bookmarkStart w:id="44" w:name="_Toc195842950"/>
      <w:bookmarkStart w:id="45" w:name="_Toc264969275"/>
      <w:bookmarkStart w:id="46" w:name="_Toc353825548"/>
      <w:bookmarkStart w:id="47" w:name="_Toc353873938"/>
      <w:bookmarkStart w:id="48" w:name="_Toc305158928"/>
      <w:bookmarkStart w:id="49" w:name="_Toc2766"/>
      <w:bookmarkStart w:id="50" w:name="_Toc19722"/>
      <w:r>
        <w:rPr>
          <w:b/>
          <w:sz w:val="36"/>
          <w:szCs w:val="36"/>
          <w:highlight w:val="none"/>
        </w:rPr>
        <w:br w:type="page"/>
      </w:r>
      <w:r>
        <w:rPr>
          <w:b/>
          <w:sz w:val="36"/>
          <w:szCs w:val="36"/>
          <w:highlight w:val="none"/>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54EBD05">
      <w:pPr>
        <w:pStyle w:val="5"/>
        <w:tabs>
          <w:tab w:val="center" w:pos="4592"/>
          <w:tab w:val="left" w:pos="7860"/>
        </w:tabs>
        <w:spacing w:before="0" w:line="360" w:lineRule="auto"/>
        <w:rPr>
          <w:rFonts w:ascii="Times New Roman" w:hAnsi="Times New Roman" w:eastAsia="宋体"/>
          <w:b w:val="0"/>
          <w:sz w:val="28"/>
          <w:highlight w:val="none"/>
        </w:rPr>
      </w:pPr>
      <w:bookmarkStart w:id="51" w:name="_Toc164229214"/>
      <w:bookmarkStart w:id="52" w:name="_Toc150509270"/>
      <w:bookmarkStart w:id="53" w:name="_Toc150480757"/>
      <w:bookmarkStart w:id="54" w:name="_Toc127151720"/>
      <w:bookmarkStart w:id="55" w:name="_Toc226309763"/>
      <w:bookmarkStart w:id="56" w:name="_Toc151193617"/>
      <w:bookmarkStart w:id="57" w:name="_Toc142311021"/>
      <w:bookmarkStart w:id="58" w:name="_Toc151193761"/>
      <w:bookmarkStart w:id="59" w:name="_Toc150774724"/>
      <w:bookmarkStart w:id="60" w:name="_Toc164229360"/>
      <w:bookmarkStart w:id="61" w:name="_Toc151190146"/>
      <w:bookmarkStart w:id="62" w:name="_Toc127161433"/>
      <w:bookmarkStart w:id="63" w:name="_Toc226965792"/>
      <w:bookmarkStart w:id="64" w:name="_Toc226337215"/>
      <w:bookmarkStart w:id="65" w:name="_Toc149720812"/>
      <w:bookmarkStart w:id="66" w:name="_Toc164351613"/>
      <w:bookmarkStart w:id="67" w:name="_Toc127151519"/>
      <w:bookmarkStart w:id="68" w:name="_Toc151193689"/>
      <w:bookmarkStart w:id="69" w:name="_Toc520356144"/>
      <w:bookmarkStart w:id="70" w:name="_Toc150774619"/>
      <w:bookmarkStart w:id="71" w:name="_Toc195842884"/>
      <w:bookmarkStart w:id="72" w:name="_Toc164608633"/>
      <w:bookmarkStart w:id="73" w:name="_Toc226965709"/>
      <w:bookmarkStart w:id="74" w:name="_Toc151193833"/>
      <w:bookmarkStart w:id="75" w:name="_Toc151193907"/>
      <w:bookmarkStart w:id="76" w:name="_Toc164608788"/>
      <w:r>
        <w:rPr>
          <w:rFonts w:ascii="Times New Roman" w:hAnsi="Times New Roman" w:eastAsia="宋体"/>
          <w:sz w:val="28"/>
          <w:highlight w:val="none"/>
        </w:rPr>
        <w:t>供应商须知资料表</w:t>
      </w:r>
    </w:p>
    <w:p w14:paraId="7077AFA4">
      <w:pPr>
        <w:jc w:val="center"/>
        <w:rPr>
          <w:b/>
          <w:sz w:val="28"/>
          <w:szCs w:val="28"/>
          <w:highlight w:val="none"/>
        </w:rPr>
      </w:pPr>
    </w:p>
    <w:p w14:paraId="3B83E4C0">
      <w:pPr>
        <w:spacing w:line="360" w:lineRule="auto"/>
        <w:ind w:firstLine="480"/>
        <w:rPr>
          <w:sz w:val="24"/>
          <w:highlight w:val="none"/>
        </w:rPr>
      </w:pPr>
      <w:r>
        <w:rPr>
          <w:sz w:val="24"/>
          <w:highlight w:val="none"/>
        </w:rPr>
        <w:t>本表是对供应商须知的具体补充和修改，如有矛盾，均以本资料表为准。标记“</w:t>
      </w:r>
      <w:r>
        <w:rPr>
          <w:b/>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6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7BDD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5F14FEA9">
            <w:pPr>
              <w:jc w:val="center"/>
              <w:rPr>
                <w:b/>
                <w:bCs/>
                <w:sz w:val="24"/>
                <w:highlight w:val="none"/>
              </w:rPr>
            </w:pPr>
            <w:r>
              <w:rPr>
                <w:b/>
                <w:sz w:val="24"/>
                <w:highlight w:val="none"/>
              </w:rPr>
              <w:t>条款号</w:t>
            </w:r>
          </w:p>
        </w:tc>
        <w:tc>
          <w:tcPr>
            <w:tcW w:w="1701" w:type="dxa"/>
            <w:noWrap w:val="0"/>
            <w:vAlign w:val="center"/>
          </w:tcPr>
          <w:p w14:paraId="52A09666">
            <w:pPr>
              <w:jc w:val="center"/>
              <w:rPr>
                <w:b/>
                <w:bCs/>
                <w:sz w:val="24"/>
                <w:highlight w:val="none"/>
              </w:rPr>
            </w:pPr>
            <w:r>
              <w:rPr>
                <w:b/>
                <w:bCs/>
                <w:sz w:val="24"/>
                <w:highlight w:val="none"/>
              </w:rPr>
              <w:t>条目</w:t>
            </w:r>
          </w:p>
        </w:tc>
        <w:tc>
          <w:tcPr>
            <w:tcW w:w="6767" w:type="dxa"/>
            <w:noWrap w:val="0"/>
            <w:vAlign w:val="center"/>
          </w:tcPr>
          <w:p w14:paraId="1043D98C">
            <w:pPr>
              <w:jc w:val="center"/>
              <w:rPr>
                <w:b/>
                <w:bCs/>
                <w:sz w:val="24"/>
                <w:highlight w:val="none"/>
              </w:rPr>
            </w:pPr>
            <w:r>
              <w:rPr>
                <w:b/>
                <w:bCs/>
                <w:sz w:val="24"/>
                <w:highlight w:val="none"/>
              </w:rPr>
              <w:t>内容</w:t>
            </w:r>
          </w:p>
        </w:tc>
      </w:tr>
      <w:tr w14:paraId="345A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16E0259">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noWrap w:val="0"/>
            <w:vAlign w:val="center"/>
          </w:tcPr>
          <w:p w14:paraId="487C17A6">
            <w:pPr>
              <w:jc w:val="center"/>
              <w:rPr>
                <w:sz w:val="24"/>
                <w:highlight w:val="none"/>
              </w:rPr>
            </w:pPr>
            <w:r>
              <w:rPr>
                <w:sz w:val="24"/>
                <w:highlight w:val="none"/>
              </w:rPr>
              <w:t>项目属性</w:t>
            </w:r>
          </w:p>
        </w:tc>
        <w:tc>
          <w:tcPr>
            <w:tcW w:w="6767" w:type="dxa"/>
            <w:noWrap w:val="0"/>
            <w:vAlign w:val="center"/>
          </w:tcPr>
          <w:p w14:paraId="608CAABD">
            <w:pPr>
              <w:jc w:val="left"/>
              <w:rPr>
                <w:sz w:val="24"/>
                <w:highlight w:val="none"/>
              </w:rPr>
            </w:pPr>
            <w:r>
              <w:rPr>
                <w:sz w:val="24"/>
                <w:highlight w:val="none"/>
              </w:rPr>
              <w:t>项目属性：</w:t>
            </w:r>
          </w:p>
          <w:p w14:paraId="13667AF6">
            <w:pPr>
              <w:jc w:val="left"/>
              <w:rPr>
                <w:sz w:val="24"/>
                <w:highlight w:val="none"/>
              </w:rPr>
            </w:pPr>
            <w:r>
              <w:rPr>
                <w:sz w:val="24"/>
                <w:highlight w:val="none"/>
              </w:rPr>
              <w:t>□服务</w:t>
            </w:r>
          </w:p>
          <w:p w14:paraId="673612EF">
            <w:pPr>
              <w:jc w:val="left"/>
              <w:rPr>
                <w:sz w:val="24"/>
                <w:highlight w:val="none"/>
              </w:rPr>
            </w:pPr>
            <w:r>
              <w:rPr>
                <w:highlight w:val="none"/>
              </w:rPr>
              <w:t>□</w:t>
            </w:r>
            <w:r>
              <w:rPr>
                <w:sz w:val="24"/>
                <w:highlight w:val="none"/>
              </w:rPr>
              <w:t>货物</w:t>
            </w:r>
          </w:p>
          <w:p w14:paraId="303AED0B">
            <w:pPr>
              <w:jc w:val="left"/>
              <w:rPr>
                <w:sz w:val="24"/>
                <w:highlight w:val="none"/>
                <w:u w:val="single"/>
              </w:rPr>
            </w:pPr>
            <w:r>
              <w:rPr>
                <w:b/>
                <w:sz w:val="24"/>
                <w:highlight w:val="none"/>
              </w:rPr>
              <w:t>■</w:t>
            </w:r>
            <w:r>
              <w:rPr>
                <w:rFonts w:hint="eastAsia"/>
                <w:sz w:val="24"/>
                <w:highlight w:val="none"/>
              </w:rPr>
              <w:t>工程</w:t>
            </w:r>
          </w:p>
        </w:tc>
      </w:tr>
      <w:tr w14:paraId="5F4E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1B89ED7">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noWrap w:val="0"/>
            <w:vAlign w:val="center"/>
          </w:tcPr>
          <w:p w14:paraId="752F27A1">
            <w:pPr>
              <w:jc w:val="center"/>
              <w:rPr>
                <w:sz w:val="24"/>
                <w:highlight w:val="none"/>
              </w:rPr>
            </w:pPr>
            <w:r>
              <w:rPr>
                <w:sz w:val="24"/>
                <w:highlight w:val="none"/>
              </w:rPr>
              <w:t>科研仪器设备</w:t>
            </w:r>
          </w:p>
        </w:tc>
        <w:tc>
          <w:tcPr>
            <w:tcW w:w="6767" w:type="dxa"/>
            <w:noWrap w:val="0"/>
            <w:vAlign w:val="center"/>
          </w:tcPr>
          <w:p w14:paraId="68570CF0">
            <w:pPr>
              <w:jc w:val="left"/>
              <w:rPr>
                <w:sz w:val="24"/>
                <w:highlight w:val="none"/>
              </w:rPr>
            </w:pPr>
            <w:r>
              <w:rPr>
                <w:sz w:val="24"/>
                <w:highlight w:val="none"/>
              </w:rPr>
              <w:t>是否属于科研仪器设备采购项目：</w:t>
            </w:r>
          </w:p>
          <w:p w14:paraId="75BA5B7A">
            <w:pPr>
              <w:jc w:val="left"/>
              <w:rPr>
                <w:sz w:val="24"/>
                <w:highlight w:val="none"/>
              </w:rPr>
            </w:pPr>
            <w:r>
              <w:rPr>
                <w:highlight w:val="none"/>
              </w:rPr>
              <w:t>□</w:t>
            </w:r>
            <w:r>
              <w:rPr>
                <w:sz w:val="24"/>
                <w:highlight w:val="none"/>
              </w:rPr>
              <w:t>是</w:t>
            </w:r>
          </w:p>
          <w:p w14:paraId="3D99043A">
            <w:pPr>
              <w:jc w:val="left"/>
              <w:rPr>
                <w:sz w:val="24"/>
                <w:highlight w:val="none"/>
              </w:rPr>
            </w:pPr>
            <w:r>
              <w:rPr>
                <w:b/>
                <w:sz w:val="24"/>
                <w:highlight w:val="none"/>
              </w:rPr>
              <w:t>■</w:t>
            </w:r>
            <w:r>
              <w:rPr>
                <w:sz w:val="24"/>
                <w:highlight w:val="none"/>
              </w:rPr>
              <w:t>否</w:t>
            </w:r>
          </w:p>
        </w:tc>
      </w:tr>
      <w:tr w14:paraId="7FEF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4B1551C4">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noWrap w:val="0"/>
            <w:vAlign w:val="center"/>
          </w:tcPr>
          <w:p w14:paraId="1CFE7408">
            <w:pPr>
              <w:jc w:val="center"/>
              <w:rPr>
                <w:sz w:val="24"/>
                <w:highlight w:val="none"/>
              </w:rPr>
            </w:pPr>
            <w:r>
              <w:rPr>
                <w:sz w:val="24"/>
                <w:highlight w:val="none"/>
              </w:rPr>
              <w:t>现场考察</w:t>
            </w:r>
          </w:p>
        </w:tc>
        <w:tc>
          <w:tcPr>
            <w:tcW w:w="6767" w:type="dxa"/>
            <w:noWrap w:val="0"/>
            <w:vAlign w:val="center"/>
          </w:tcPr>
          <w:p w14:paraId="3FFBDBBE">
            <w:pPr>
              <w:jc w:val="left"/>
              <w:rPr>
                <w:sz w:val="24"/>
                <w:highlight w:val="none"/>
              </w:rPr>
            </w:pPr>
            <w:r>
              <w:rPr>
                <w:b/>
                <w:sz w:val="24"/>
                <w:highlight w:val="none"/>
              </w:rPr>
              <w:t>■</w:t>
            </w:r>
            <w:r>
              <w:rPr>
                <w:sz w:val="24"/>
                <w:highlight w:val="none"/>
              </w:rPr>
              <w:t>不组织</w:t>
            </w:r>
          </w:p>
          <w:p w14:paraId="07202184">
            <w:pPr>
              <w:jc w:val="left"/>
              <w:rPr>
                <w:bCs/>
                <w:sz w:val="24"/>
                <w:highlight w:val="none"/>
              </w:rPr>
            </w:pPr>
            <w:r>
              <w:rPr>
                <w:highlight w:val="none"/>
              </w:rPr>
              <w:t>□</w:t>
            </w:r>
            <w:r>
              <w:rPr>
                <w:sz w:val="24"/>
                <w:highlight w:val="none"/>
              </w:rPr>
              <w:t>组织，考察时间：___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7EBF7B83">
            <w:pPr>
              <w:pStyle w:val="30"/>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w:t>
            </w:r>
            <w:r>
              <w:rPr>
                <w:rFonts w:ascii="Times New Roman" w:hAnsi="Times New Roman"/>
                <w:sz w:val="24"/>
                <w:highlight w:val="none"/>
              </w:rPr>
              <w:t>。</w:t>
            </w:r>
          </w:p>
        </w:tc>
      </w:tr>
      <w:tr w14:paraId="100C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559F7FB2">
            <w:pPr>
              <w:pStyle w:val="30"/>
              <w:adjustRightInd w:val="0"/>
              <w:snapToGrid w:val="0"/>
              <w:jc w:val="center"/>
              <w:rPr>
                <w:rFonts w:hint="default" w:ascii="Times New Roman" w:hAnsi="Times New Roman"/>
                <w:sz w:val="24"/>
                <w:szCs w:val="24"/>
                <w:highlight w:val="none"/>
              </w:rPr>
            </w:pPr>
          </w:p>
        </w:tc>
        <w:tc>
          <w:tcPr>
            <w:tcW w:w="1701" w:type="dxa"/>
            <w:noWrap w:val="0"/>
            <w:vAlign w:val="center"/>
          </w:tcPr>
          <w:p w14:paraId="3A43ED3D">
            <w:pPr>
              <w:jc w:val="center"/>
              <w:rPr>
                <w:sz w:val="24"/>
                <w:highlight w:val="none"/>
              </w:rPr>
            </w:pPr>
            <w:r>
              <w:rPr>
                <w:sz w:val="24"/>
                <w:highlight w:val="none"/>
              </w:rPr>
              <w:t>磋商前答疑会</w:t>
            </w:r>
          </w:p>
        </w:tc>
        <w:tc>
          <w:tcPr>
            <w:tcW w:w="6767" w:type="dxa"/>
            <w:noWrap w:val="0"/>
            <w:vAlign w:val="center"/>
          </w:tcPr>
          <w:p w14:paraId="329C7AAD">
            <w:pPr>
              <w:jc w:val="left"/>
              <w:rPr>
                <w:sz w:val="24"/>
                <w:highlight w:val="none"/>
              </w:rPr>
            </w:pPr>
            <w:r>
              <w:rPr>
                <w:b/>
                <w:sz w:val="24"/>
                <w:highlight w:val="none"/>
              </w:rPr>
              <w:t>■</w:t>
            </w:r>
            <w:r>
              <w:rPr>
                <w:sz w:val="24"/>
                <w:highlight w:val="none"/>
              </w:rPr>
              <w:t>不召开</w:t>
            </w:r>
          </w:p>
          <w:p w14:paraId="2133A79D">
            <w:pPr>
              <w:jc w:val="left"/>
              <w:rPr>
                <w:sz w:val="24"/>
                <w:highlight w:val="none"/>
              </w:rPr>
            </w:pPr>
            <w:r>
              <w:rPr>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73BB3F98">
            <w:pPr>
              <w:jc w:val="left"/>
              <w:rPr>
                <w:sz w:val="24"/>
                <w:highlight w:val="none"/>
              </w:rPr>
            </w:pPr>
            <w:r>
              <w:rPr>
                <w:sz w:val="24"/>
                <w:highlight w:val="none"/>
              </w:rPr>
              <w:t>召开地点：___________</w:t>
            </w:r>
            <w:r>
              <w:rPr>
                <w:rFonts w:hint="eastAsia"/>
                <w:sz w:val="24"/>
                <w:highlight w:val="none"/>
              </w:rPr>
              <w:t>。</w:t>
            </w:r>
          </w:p>
        </w:tc>
      </w:tr>
      <w:tr w14:paraId="013A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7B58BA20">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noWrap w:val="0"/>
            <w:vAlign w:val="center"/>
          </w:tcPr>
          <w:p w14:paraId="1E1E073B">
            <w:pPr>
              <w:jc w:val="center"/>
              <w:rPr>
                <w:sz w:val="24"/>
                <w:highlight w:val="none"/>
              </w:rPr>
            </w:pPr>
            <w:r>
              <w:rPr>
                <w:sz w:val="24"/>
                <w:highlight w:val="none"/>
              </w:rPr>
              <w:t>标的所属行业</w:t>
            </w:r>
          </w:p>
        </w:tc>
        <w:tc>
          <w:tcPr>
            <w:tcW w:w="6767" w:type="dxa"/>
            <w:noWrap w:val="0"/>
            <w:vAlign w:val="center"/>
          </w:tcPr>
          <w:p w14:paraId="09C405DA">
            <w:pPr>
              <w:jc w:val="left"/>
              <w:rPr>
                <w:sz w:val="24"/>
                <w:highlight w:val="none"/>
              </w:rPr>
            </w:pPr>
            <w:r>
              <w:rPr>
                <w:sz w:val="24"/>
                <w:highlight w:val="none"/>
              </w:rPr>
              <w:t>本项目采购标的对应的中小企业划分标准所属行业：</w:t>
            </w:r>
          </w:p>
          <w:tbl>
            <w:tblPr>
              <w:tblStyle w:val="61"/>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51"/>
              <w:gridCol w:w="3344"/>
            </w:tblGrid>
            <w:tr w14:paraId="462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7B91B184">
                  <w:pPr>
                    <w:jc w:val="center"/>
                    <w:rPr>
                      <w:rFonts w:hint="eastAsia"/>
                      <w:bCs/>
                      <w:sz w:val="24"/>
                      <w:highlight w:val="none"/>
                    </w:rPr>
                  </w:pPr>
                  <w:r>
                    <w:rPr>
                      <w:rFonts w:hint="eastAsia"/>
                      <w:bCs/>
                      <w:sz w:val="24"/>
                      <w:highlight w:val="none"/>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181B1496">
                  <w:pPr>
                    <w:jc w:val="center"/>
                    <w:rPr>
                      <w:bCs/>
                      <w:sz w:val="24"/>
                      <w:highlight w:val="none"/>
                    </w:rPr>
                  </w:pPr>
                  <w:r>
                    <w:rPr>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6B1033A3">
                  <w:pPr>
                    <w:jc w:val="center"/>
                    <w:rPr>
                      <w:sz w:val="24"/>
                      <w:highlight w:val="none"/>
                    </w:rPr>
                  </w:pPr>
                  <w:r>
                    <w:rPr>
                      <w:sz w:val="24"/>
                      <w:highlight w:val="none"/>
                    </w:rPr>
                    <w:t>中小企业划分标准所属行业</w:t>
                  </w:r>
                </w:p>
              </w:tc>
            </w:tr>
            <w:tr w14:paraId="4FAA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413CB7D9">
                  <w:pPr>
                    <w:jc w:val="center"/>
                    <w:rPr>
                      <w:bCs/>
                      <w:sz w:val="24"/>
                      <w:highlight w:val="none"/>
                    </w:rPr>
                  </w:pPr>
                  <w:r>
                    <w:rPr>
                      <w:rFonts w:hint="eastAsia"/>
                      <w:bCs/>
                      <w:sz w:val="24"/>
                      <w:highlight w:val="none"/>
                    </w:rPr>
                    <w:t>01</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5D4C788E">
                  <w:pPr>
                    <w:jc w:val="center"/>
                    <w:rPr>
                      <w:bCs/>
                      <w:sz w:val="24"/>
                      <w:highlight w:val="none"/>
                    </w:rPr>
                  </w:pPr>
                  <w:r>
                    <w:rPr>
                      <w:rFonts w:hint="eastAsia" w:ascii="宋体" w:hAnsi="宋体"/>
                      <w:sz w:val="24"/>
                      <w:szCs w:val="28"/>
                      <w:highlight w:val="none"/>
                    </w:rPr>
                    <w:t>首都师范大学附属育新学校房山实验幼儿园二次装修及文化建设项目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783F50FA">
                  <w:pPr>
                    <w:jc w:val="center"/>
                    <w:rPr>
                      <w:bCs/>
                      <w:sz w:val="24"/>
                      <w:highlight w:val="none"/>
                    </w:rPr>
                  </w:pPr>
                  <w:r>
                    <w:rPr>
                      <w:rFonts w:hint="eastAsia"/>
                      <w:bCs/>
                      <w:sz w:val="24"/>
                      <w:highlight w:val="none"/>
                    </w:rPr>
                    <w:t>建筑业</w:t>
                  </w:r>
                </w:p>
              </w:tc>
            </w:tr>
          </w:tbl>
          <w:p w14:paraId="60064A03">
            <w:pPr>
              <w:jc w:val="left"/>
              <w:rPr>
                <w:sz w:val="24"/>
                <w:highlight w:val="none"/>
              </w:rPr>
            </w:pPr>
          </w:p>
        </w:tc>
      </w:tr>
      <w:tr w14:paraId="4C2B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35D38EA4">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noWrap w:val="0"/>
            <w:vAlign w:val="center"/>
          </w:tcPr>
          <w:p w14:paraId="20E9E0C6">
            <w:pPr>
              <w:jc w:val="center"/>
              <w:rPr>
                <w:sz w:val="24"/>
                <w:highlight w:val="none"/>
              </w:rPr>
            </w:pPr>
            <w:r>
              <w:rPr>
                <w:sz w:val="24"/>
                <w:highlight w:val="none"/>
              </w:rPr>
              <w:t>报价</w:t>
            </w:r>
          </w:p>
        </w:tc>
        <w:tc>
          <w:tcPr>
            <w:tcW w:w="6767" w:type="dxa"/>
            <w:noWrap w:val="0"/>
            <w:vAlign w:val="center"/>
          </w:tcPr>
          <w:p w14:paraId="233F1A43">
            <w:pPr>
              <w:jc w:val="left"/>
              <w:rPr>
                <w:sz w:val="24"/>
                <w:highlight w:val="none"/>
              </w:rPr>
            </w:pPr>
            <w:r>
              <w:rPr>
                <w:sz w:val="24"/>
                <w:highlight w:val="none"/>
              </w:rPr>
              <w:t>报价的特殊规定：</w:t>
            </w:r>
          </w:p>
          <w:p w14:paraId="5AED0AF9">
            <w:pPr>
              <w:jc w:val="left"/>
              <w:rPr>
                <w:sz w:val="24"/>
                <w:highlight w:val="none"/>
              </w:rPr>
            </w:pPr>
            <w:r>
              <w:rPr>
                <w:b/>
                <w:sz w:val="24"/>
                <w:highlight w:val="none"/>
              </w:rPr>
              <w:t>■</w:t>
            </w:r>
            <w:r>
              <w:rPr>
                <w:sz w:val="24"/>
                <w:highlight w:val="none"/>
              </w:rPr>
              <w:t>无</w:t>
            </w:r>
          </w:p>
          <w:p w14:paraId="4D7122E6">
            <w:pPr>
              <w:jc w:val="left"/>
              <w:rPr>
                <w:sz w:val="24"/>
                <w:highlight w:val="none"/>
              </w:rPr>
            </w:pPr>
            <w:r>
              <w:rPr>
                <w:highlight w:val="none"/>
              </w:rPr>
              <w:t>□</w:t>
            </w:r>
            <w:r>
              <w:rPr>
                <w:sz w:val="24"/>
                <w:highlight w:val="none"/>
              </w:rPr>
              <w:t>有，具体情形：___________。</w:t>
            </w:r>
          </w:p>
        </w:tc>
      </w:tr>
      <w:tr w14:paraId="42ED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91FA691">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noWrap w:val="0"/>
            <w:vAlign w:val="center"/>
          </w:tcPr>
          <w:p w14:paraId="029A5A63">
            <w:pPr>
              <w:jc w:val="center"/>
              <w:rPr>
                <w:sz w:val="24"/>
                <w:highlight w:val="none"/>
              </w:rPr>
            </w:pPr>
            <w:r>
              <w:rPr>
                <w:sz w:val="24"/>
                <w:highlight w:val="none"/>
              </w:rPr>
              <w:t>磋商保证金</w:t>
            </w:r>
          </w:p>
        </w:tc>
        <w:tc>
          <w:tcPr>
            <w:tcW w:w="6767" w:type="dxa"/>
            <w:noWrap w:val="0"/>
            <w:vAlign w:val="center"/>
          </w:tcPr>
          <w:p w14:paraId="06E87163">
            <w:pPr>
              <w:pStyle w:val="30"/>
              <w:adjustRightInd w:val="0"/>
              <w:snapToGrid w:val="0"/>
              <w:rPr>
                <w:rFonts w:ascii="Times New Roman" w:hAnsi="Times New Roman"/>
                <w:sz w:val="24"/>
                <w:szCs w:val="24"/>
                <w:highlight w:val="none"/>
              </w:rPr>
            </w:pPr>
            <w:r>
              <w:rPr>
                <w:rFonts w:ascii="Times New Roman" w:hAnsi="Times New Roman"/>
                <w:sz w:val="24"/>
                <w:szCs w:val="24"/>
                <w:highlight w:val="none"/>
              </w:rPr>
              <w:t>磋商保证金金额：</w:t>
            </w:r>
          </w:p>
          <w:p w14:paraId="5B0FC894">
            <w:pPr>
              <w:pStyle w:val="30"/>
              <w:adjustRightInd w:val="0"/>
              <w:snapToGrid w:val="0"/>
              <w:rPr>
                <w:rFonts w:ascii="Times New Roman" w:hAnsi="Times New Roman"/>
                <w:sz w:val="24"/>
                <w:szCs w:val="24"/>
                <w:highlight w:val="none"/>
              </w:rPr>
            </w:pPr>
            <w:r>
              <w:rPr>
                <w:rFonts w:ascii="Times New Roman" w:hAnsi="Times New Roman"/>
                <w:sz w:val="24"/>
                <w:szCs w:val="24"/>
                <w:highlight w:val="none"/>
              </w:rPr>
              <w:t>01包：人民币</w:t>
            </w:r>
            <w:r>
              <w:rPr>
                <w:rFonts w:ascii="Times New Roman" w:hAnsi="Times New Roman"/>
                <w:sz w:val="24"/>
                <w:szCs w:val="24"/>
                <w:highlight w:val="none"/>
                <w:u w:val="single"/>
              </w:rPr>
              <w:t xml:space="preserve"> 55000 </w:t>
            </w:r>
            <w:r>
              <w:rPr>
                <w:rFonts w:ascii="Times New Roman" w:hAnsi="Times New Roman"/>
                <w:sz w:val="24"/>
                <w:szCs w:val="24"/>
                <w:highlight w:val="none"/>
              </w:rPr>
              <w:t>元；</w:t>
            </w:r>
          </w:p>
          <w:p w14:paraId="4746604B">
            <w:pPr>
              <w:pStyle w:val="30"/>
              <w:adjustRightInd w:val="0"/>
              <w:snapToGrid w:val="0"/>
              <w:rPr>
                <w:rFonts w:ascii="Times New Roman" w:hAnsi="Times New Roman"/>
                <w:sz w:val="24"/>
                <w:szCs w:val="24"/>
                <w:highlight w:val="none"/>
              </w:rPr>
            </w:pPr>
            <w:r>
              <w:rPr>
                <w:rFonts w:ascii="Times New Roman" w:hAnsi="Times New Roman"/>
                <w:sz w:val="24"/>
                <w:szCs w:val="24"/>
                <w:highlight w:val="none"/>
              </w:rPr>
              <w:t>磋商保证金收受人信息：</w:t>
            </w:r>
          </w:p>
          <w:p w14:paraId="637591AC">
            <w:pPr>
              <w:pStyle w:val="30"/>
              <w:adjustRightInd w:val="0"/>
              <w:snapToGrid w:val="0"/>
              <w:rPr>
                <w:rFonts w:ascii="Times New Roman" w:hAnsi="Times New Roman"/>
                <w:sz w:val="24"/>
                <w:szCs w:val="24"/>
                <w:highlight w:val="none"/>
                <w:u w:val="single"/>
              </w:rPr>
            </w:pPr>
            <w:r>
              <w:rPr>
                <w:rFonts w:ascii="Times New Roman" w:hAnsi="Times New Roman"/>
                <w:sz w:val="24"/>
                <w:szCs w:val="24"/>
                <w:highlight w:val="none"/>
                <w:u w:val="single"/>
              </w:rPr>
              <w:t>公司名称：北京明德致信咨询有限公司</w:t>
            </w:r>
          </w:p>
          <w:p w14:paraId="17C579C4">
            <w:pPr>
              <w:pStyle w:val="30"/>
              <w:adjustRightInd w:val="0"/>
              <w:snapToGrid w:val="0"/>
              <w:rPr>
                <w:rFonts w:ascii="Times New Roman" w:hAnsi="Times New Roman"/>
                <w:sz w:val="24"/>
                <w:szCs w:val="24"/>
                <w:highlight w:val="none"/>
                <w:u w:val="single"/>
              </w:rPr>
            </w:pPr>
            <w:r>
              <w:rPr>
                <w:rFonts w:ascii="Times New Roman" w:hAnsi="Times New Roman"/>
                <w:sz w:val="24"/>
                <w:szCs w:val="24"/>
                <w:highlight w:val="none"/>
                <w:u w:val="single"/>
              </w:rPr>
              <w:t>开 户 行：中国工商银行股份有限公司北京东升路支行</w:t>
            </w:r>
          </w:p>
          <w:p w14:paraId="25D736CD">
            <w:pPr>
              <w:pStyle w:val="30"/>
              <w:adjustRightInd w:val="0"/>
              <w:snapToGrid w:val="0"/>
              <w:rPr>
                <w:rFonts w:ascii="Times New Roman" w:hAnsi="Times New Roman"/>
                <w:sz w:val="24"/>
                <w:szCs w:val="24"/>
                <w:highlight w:val="none"/>
                <w:u w:val="single"/>
              </w:rPr>
            </w:pPr>
            <w:r>
              <w:rPr>
                <w:rFonts w:ascii="Times New Roman" w:hAnsi="Times New Roman"/>
                <w:sz w:val="24"/>
                <w:szCs w:val="24"/>
                <w:highlight w:val="none"/>
                <w:u w:val="single"/>
              </w:rPr>
              <w:t>账    号：0200 0062 1920 0492 968</w:t>
            </w:r>
          </w:p>
          <w:p w14:paraId="5B3ED4F0">
            <w:pPr>
              <w:jc w:val="left"/>
              <w:rPr>
                <w:sz w:val="24"/>
                <w:highlight w:val="none"/>
              </w:rPr>
            </w:pPr>
            <w:r>
              <w:rPr>
                <w:rFonts w:hint="eastAsia"/>
                <w:sz w:val="24"/>
                <w:highlight w:val="none"/>
              </w:rPr>
              <w:t>供应商若采用电汇形式缴纳保证金，请在汇款附言或备注栏中标记“项目编号和保证金”字样。</w:t>
            </w:r>
          </w:p>
        </w:tc>
      </w:tr>
      <w:tr w14:paraId="5EEE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10C71B0">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noWrap w:val="0"/>
            <w:vAlign w:val="center"/>
          </w:tcPr>
          <w:p w14:paraId="4E6C26DE">
            <w:pPr>
              <w:jc w:val="center"/>
              <w:rPr>
                <w:sz w:val="24"/>
                <w:highlight w:val="none"/>
              </w:rPr>
            </w:pPr>
          </w:p>
        </w:tc>
        <w:tc>
          <w:tcPr>
            <w:tcW w:w="6767" w:type="dxa"/>
            <w:noWrap w:val="0"/>
            <w:vAlign w:val="center"/>
          </w:tcPr>
          <w:p w14:paraId="33B292D8">
            <w:pPr>
              <w:jc w:val="left"/>
              <w:rPr>
                <w:sz w:val="24"/>
                <w:highlight w:val="none"/>
              </w:rPr>
            </w:pPr>
            <w:r>
              <w:rPr>
                <w:sz w:val="24"/>
                <w:highlight w:val="none"/>
              </w:rPr>
              <w:t>磋商保证金不予退还的其他情形：</w:t>
            </w:r>
          </w:p>
          <w:p w14:paraId="3CDDA616">
            <w:pPr>
              <w:jc w:val="left"/>
              <w:rPr>
                <w:sz w:val="24"/>
                <w:highlight w:val="none"/>
              </w:rPr>
            </w:pPr>
            <w:r>
              <w:rPr>
                <w:b/>
                <w:sz w:val="24"/>
                <w:highlight w:val="none"/>
              </w:rPr>
              <w:t>■</w:t>
            </w:r>
            <w:r>
              <w:rPr>
                <w:sz w:val="24"/>
                <w:highlight w:val="none"/>
              </w:rPr>
              <w:t>无</w:t>
            </w:r>
          </w:p>
          <w:p w14:paraId="1829F8F0">
            <w:pPr>
              <w:pStyle w:val="30"/>
              <w:adjustRightInd w:val="0"/>
              <w:snapToGrid w:val="0"/>
              <w:rPr>
                <w:rFonts w:hint="default" w:ascii="Times New Roman" w:hAnsi="Times New Roman"/>
                <w:sz w:val="24"/>
                <w:highlight w:val="none"/>
              </w:rPr>
            </w:pPr>
            <w:r>
              <w:rPr>
                <w:rFonts w:hint="default" w:ascii="Times New Roman" w:hAnsi="Times New Roman"/>
                <w:sz w:val="24"/>
                <w:highlight w:val="none"/>
              </w:rPr>
              <w:t>□有，具体情形：</w:t>
            </w:r>
          </w:p>
          <w:p w14:paraId="31E58A9B">
            <w:pPr>
              <w:pStyle w:val="30"/>
              <w:adjustRightInd w:val="0"/>
              <w:snapToGrid w:val="0"/>
              <w:rPr>
                <w:rFonts w:hint="default" w:hAnsi="宋体"/>
                <w:sz w:val="24"/>
                <w:highlight w:val="none"/>
              </w:rPr>
            </w:pPr>
            <w:r>
              <w:rPr>
                <w:rFonts w:hAnsi="宋体"/>
                <w:sz w:val="24"/>
                <w:highlight w:val="none"/>
              </w:rPr>
              <w:t>1.磋商有效期内供应商撤销投标文件的；</w:t>
            </w:r>
          </w:p>
          <w:p w14:paraId="2D93898F">
            <w:pPr>
              <w:pStyle w:val="30"/>
              <w:adjustRightInd w:val="0"/>
              <w:snapToGrid w:val="0"/>
              <w:rPr>
                <w:rFonts w:hint="default" w:hAnsi="宋体"/>
                <w:sz w:val="24"/>
                <w:highlight w:val="none"/>
              </w:rPr>
            </w:pPr>
            <w:r>
              <w:rPr>
                <w:rFonts w:hAnsi="宋体"/>
                <w:sz w:val="24"/>
                <w:highlight w:val="none"/>
              </w:rPr>
              <w:t>2.供应商在投标文件中提供任何虚假材料的；</w:t>
            </w:r>
          </w:p>
          <w:p w14:paraId="575DD3E4">
            <w:pPr>
              <w:pStyle w:val="30"/>
              <w:adjustRightInd w:val="0"/>
              <w:snapToGrid w:val="0"/>
              <w:rPr>
                <w:rFonts w:hint="default" w:hAnsi="宋体"/>
                <w:sz w:val="24"/>
                <w:highlight w:val="none"/>
              </w:rPr>
            </w:pPr>
            <w:r>
              <w:rPr>
                <w:rFonts w:hAnsi="宋体"/>
                <w:sz w:val="24"/>
                <w:highlight w:val="none"/>
              </w:rPr>
              <w:t>3.成交人不按本须知的规定与采购人签订合同的；</w:t>
            </w:r>
          </w:p>
          <w:p w14:paraId="573D8D35">
            <w:pPr>
              <w:pStyle w:val="30"/>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35F41655">
            <w:pPr>
              <w:pStyle w:val="30"/>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39DD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9B0581D">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noWrap w:val="0"/>
            <w:vAlign w:val="center"/>
          </w:tcPr>
          <w:p w14:paraId="4ADF7896">
            <w:pPr>
              <w:jc w:val="center"/>
              <w:rPr>
                <w:sz w:val="24"/>
                <w:highlight w:val="none"/>
              </w:rPr>
            </w:pPr>
            <w:r>
              <w:rPr>
                <w:sz w:val="24"/>
                <w:highlight w:val="none"/>
              </w:rPr>
              <w:t>响应有效期</w:t>
            </w:r>
          </w:p>
        </w:tc>
        <w:tc>
          <w:tcPr>
            <w:tcW w:w="6767" w:type="dxa"/>
            <w:noWrap w:val="0"/>
            <w:vAlign w:val="center"/>
          </w:tcPr>
          <w:p w14:paraId="5E47646C">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1524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4CBC2E">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noWrap w:val="0"/>
            <w:vAlign w:val="center"/>
          </w:tcPr>
          <w:p w14:paraId="1839ECCC">
            <w:pPr>
              <w:jc w:val="center"/>
              <w:rPr>
                <w:sz w:val="24"/>
                <w:highlight w:val="none"/>
              </w:rPr>
            </w:pPr>
            <w:r>
              <w:rPr>
                <w:rFonts w:hint="eastAsia" w:ascii="宋体" w:hAnsi="宋体" w:cs="宋体"/>
                <w:sz w:val="24"/>
                <w:highlight w:val="none"/>
              </w:rPr>
              <w:t>确定成交供应 商</w:t>
            </w:r>
          </w:p>
        </w:tc>
        <w:tc>
          <w:tcPr>
            <w:tcW w:w="6767" w:type="dxa"/>
            <w:noWrap w:val="0"/>
            <w:vAlign w:val="center"/>
          </w:tcPr>
          <w:p w14:paraId="3455DBD7">
            <w:pPr>
              <w:pStyle w:val="30"/>
              <w:adjustRightInd w:val="0"/>
              <w:snapToGrid w:val="0"/>
              <w:rPr>
                <w:rFonts w:hint="default" w:ascii="Times New Roman" w:hAnsi="Times New Roman"/>
                <w:sz w:val="24"/>
                <w:highlight w:val="none"/>
              </w:rPr>
            </w:pPr>
            <w:r>
              <w:rPr>
                <w:rFonts w:hint="default" w:ascii="Times New Roman" w:hAnsi="Times New Roman"/>
                <w:sz w:val="24"/>
                <w:highlight w:val="none"/>
              </w:rPr>
              <w:t>采购人是否授权磋商小组直接确定成交供应商：</w:t>
            </w:r>
          </w:p>
          <w:p w14:paraId="453C8333">
            <w:pPr>
              <w:pStyle w:val="30"/>
              <w:adjustRightInd w:val="0"/>
              <w:snapToGrid w:val="0"/>
              <w:rPr>
                <w:rFonts w:hint="default" w:ascii="Times New Roman" w:hAnsi="Times New Roman"/>
                <w:sz w:val="24"/>
                <w:highlight w:val="none"/>
              </w:rPr>
            </w:pPr>
            <w:r>
              <w:rPr>
                <w:rFonts w:hint="default" w:ascii="Times New Roman" w:hAnsi="Times New Roman"/>
                <w:sz w:val="24"/>
                <w:highlight w:val="none"/>
              </w:rPr>
              <w:t>■否</w:t>
            </w:r>
          </w:p>
          <w:p w14:paraId="41C8E602">
            <w:pPr>
              <w:jc w:val="left"/>
              <w:rPr>
                <w:sz w:val="24"/>
                <w:highlight w:val="none"/>
              </w:rPr>
            </w:pPr>
            <w:r>
              <w:rPr>
                <w:highlight w:val="none"/>
              </w:rPr>
              <w:t>□</w:t>
            </w:r>
            <w:r>
              <w:rPr>
                <w:sz w:val="24"/>
                <w:highlight w:val="none"/>
              </w:rPr>
              <w:t>是</w:t>
            </w:r>
          </w:p>
          <w:p w14:paraId="4476B9CD">
            <w:pPr>
              <w:jc w:val="left"/>
              <w:rPr>
                <w:sz w:val="24"/>
                <w:highlight w:val="none"/>
                <w:u w:val="single"/>
              </w:rPr>
            </w:pPr>
            <w:r>
              <w:rPr>
                <w:sz w:val="24"/>
                <w:highlight w:val="none"/>
              </w:rPr>
              <w:t>成交候选人并列的，按照以下方式确定成交供应商：</w:t>
            </w:r>
            <w:r>
              <w:rPr>
                <w:rFonts w:hint="eastAsia"/>
                <w:sz w:val="24"/>
                <w:highlight w:val="none"/>
                <w:u w:val="single"/>
              </w:rPr>
              <w:t>得分相同的，按评审价由低到高顺序排列，得分与评审价均相同的，按技术得分由高到低顺序排列</w:t>
            </w:r>
            <w:r>
              <w:rPr>
                <w:sz w:val="24"/>
                <w:highlight w:val="none"/>
              </w:rPr>
              <w:t>。</w:t>
            </w:r>
          </w:p>
        </w:tc>
      </w:tr>
      <w:tr w14:paraId="35D0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3EF7CA7">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noWrap w:val="0"/>
            <w:vAlign w:val="center"/>
          </w:tcPr>
          <w:p w14:paraId="77D9FE45">
            <w:pPr>
              <w:jc w:val="center"/>
              <w:rPr>
                <w:sz w:val="24"/>
                <w:highlight w:val="none"/>
              </w:rPr>
            </w:pPr>
            <w:r>
              <w:rPr>
                <w:sz w:val="24"/>
                <w:highlight w:val="none"/>
              </w:rPr>
              <w:t>分包</w:t>
            </w:r>
          </w:p>
        </w:tc>
        <w:tc>
          <w:tcPr>
            <w:tcW w:w="6767" w:type="dxa"/>
            <w:noWrap w:val="0"/>
            <w:vAlign w:val="center"/>
          </w:tcPr>
          <w:p w14:paraId="4567DE47">
            <w:pPr>
              <w:jc w:val="left"/>
              <w:rPr>
                <w:sz w:val="24"/>
                <w:highlight w:val="none"/>
              </w:rPr>
            </w:pPr>
            <w:r>
              <w:rPr>
                <w:sz w:val="24"/>
                <w:highlight w:val="none"/>
              </w:rPr>
              <w:t xml:space="preserve">本项目是否允许分包： </w:t>
            </w:r>
          </w:p>
          <w:p w14:paraId="4E1397C3">
            <w:pPr>
              <w:jc w:val="left"/>
              <w:rPr>
                <w:sz w:val="24"/>
                <w:highlight w:val="none"/>
              </w:rPr>
            </w:pPr>
            <w:r>
              <w:rPr>
                <w:b/>
                <w:sz w:val="24"/>
                <w:highlight w:val="none"/>
              </w:rPr>
              <w:t>■</w:t>
            </w:r>
            <w:r>
              <w:rPr>
                <w:sz w:val="24"/>
                <w:highlight w:val="none"/>
              </w:rPr>
              <w:t>不允许</w:t>
            </w:r>
          </w:p>
          <w:p w14:paraId="0A51E50C">
            <w:pPr>
              <w:jc w:val="left"/>
              <w:rPr>
                <w:sz w:val="24"/>
                <w:highlight w:val="none"/>
              </w:rPr>
            </w:pPr>
            <w:r>
              <w:rPr>
                <w:highlight w:val="none"/>
              </w:rPr>
              <w:t>□</w:t>
            </w:r>
            <w:r>
              <w:rPr>
                <w:sz w:val="24"/>
                <w:highlight w:val="none"/>
              </w:rPr>
              <w:t>允许，具体要求：_______。</w:t>
            </w:r>
          </w:p>
          <w:p w14:paraId="329CB3D9">
            <w:pPr>
              <w:jc w:val="left"/>
              <w:rPr>
                <w:sz w:val="24"/>
                <w:highlight w:val="none"/>
              </w:rPr>
            </w:pPr>
            <w:r>
              <w:rPr>
                <w:sz w:val="24"/>
                <w:highlight w:val="none"/>
              </w:rPr>
              <w:t>（1）可以分包履行的具体内容：_______；</w:t>
            </w:r>
          </w:p>
          <w:p w14:paraId="73C03AD0">
            <w:pPr>
              <w:jc w:val="left"/>
              <w:rPr>
                <w:sz w:val="24"/>
                <w:highlight w:val="none"/>
              </w:rPr>
            </w:pPr>
            <w:r>
              <w:rPr>
                <w:sz w:val="24"/>
                <w:highlight w:val="none"/>
              </w:rPr>
              <w:t>（2）允许分包的金额或者比例：_______；</w:t>
            </w:r>
          </w:p>
          <w:p w14:paraId="3F9CCCF3">
            <w:pPr>
              <w:jc w:val="left"/>
              <w:rPr>
                <w:sz w:val="24"/>
                <w:highlight w:val="none"/>
                <w:u w:val="single"/>
              </w:rPr>
            </w:pPr>
            <w:r>
              <w:rPr>
                <w:sz w:val="24"/>
                <w:highlight w:val="none"/>
              </w:rPr>
              <w:t>（3）其他要求：_______。</w:t>
            </w:r>
          </w:p>
        </w:tc>
      </w:tr>
      <w:tr w14:paraId="4C5E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8B6A3C7">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noWrap w:val="0"/>
            <w:vAlign w:val="center"/>
          </w:tcPr>
          <w:p w14:paraId="1DE6600D">
            <w:pPr>
              <w:jc w:val="center"/>
              <w:rPr>
                <w:sz w:val="24"/>
                <w:highlight w:val="none"/>
              </w:rPr>
            </w:pPr>
            <w:r>
              <w:rPr>
                <w:sz w:val="24"/>
                <w:highlight w:val="none"/>
              </w:rPr>
              <w:t>询问</w:t>
            </w:r>
          </w:p>
        </w:tc>
        <w:tc>
          <w:tcPr>
            <w:tcW w:w="6767" w:type="dxa"/>
            <w:noWrap w:val="0"/>
            <w:vAlign w:val="center"/>
          </w:tcPr>
          <w:p w14:paraId="3E0AED3F">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7FB9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B3C6528">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noWrap w:val="0"/>
            <w:vAlign w:val="center"/>
          </w:tcPr>
          <w:p w14:paraId="5AC1A358">
            <w:pPr>
              <w:jc w:val="center"/>
              <w:rPr>
                <w:sz w:val="24"/>
                <w:highlight w:val="none"/>
              </w:rPr>
            </w:pPr>
            <w:r>
              <w:rPr>
                <w:sz w:val="24"/>
                <w:highlight w:val="none"/>
              </w:rPr>
              <w:t>联系方式</w:t>
            </w:r>
          </w:p>
        </w:tc>
        <w:tc>
          <w:tcPr>
            <w:tcW w:w="6767" w:type="dxa"/>
            <w:noWrap w:val="0"/>
            <w:vAlign w:val="center"/>
          </w:tcPr>
          <w:p w14:paraId="15F67F67">
            <w:pPr>
              <w:jc w:val="left"/>
              <w:rPr>
                <w:sz w:val="24"/>
                <w:highlight w:val="none"/>
              </w:rPr>
            </w:pPr>
            <w:r>
              <w:rPr>
                <w:sz w:val="24"/>
                <w:highlight w:val="none"/>
              </w:rPr>
              <w:t>接收询问和质疑的联系方式</w:t>
            </w:r>
          </w:p>
          <w:p w14:paraId="45F9132A">
            <w:pPr>
              <w:jc w:val="left"/>
              <w:rPr>
                <w:rFonts w:ascii="宋体" w:hAnsi="宋体"/>
                <w:sz w:val="24"/>
                <w:highlight w:val="none"/>
              </w:rPr>
            </w:pPr>
            <w:r>
              <w:rPr>
                <w:rFonts w:ascii="宋体" w:hAnsi="宋体"/>
                <w:sz w:val="24"/>
                <w:highlight w:val="none"/>
              </w:rPr>
              <w:t>联系部门：</w:t>
            </w:r>
            <w:r>
              <w:rPr>
                <w:rFonts w:hint="eastAsia" w:ascii="宋体" w:hAnsi="宋体"/>
                <w:sz w:val="24"/>
                <w:highlight w:val="none"/>
                <w:u w:val="single"/>
              </w:rPr>
              <w:t>北京明德致信咨询有限公司</w:t>
            </w:r>
            <w:r>
              <w:rPr>
                <w:rFonts w:ascii="宋体" w:hAnsi="宋体"/>
                <w:sz w:val="24"/>
                <w:highlight w:val="none"/>
              </w:rPr>
              <w:t>；</w:t>
            </w:r>
          </w:p>
          <w:p w14:paraId="600EAFAA">
            <w:pPr>
              <w:jc w:val="left"/>
              <w:rPr>
                <w:rFonts w:ascii="宋体" w:hAnsi="宋体"/>
                <w:sz w:val="24"/>
                <w:highlight w:val="none"/>
              </w:rPr>
            </w:pPr>
            <w:r>
              <w:rPr>
                <w:rFonts w:ascii="宋体" w:hAnsi="宋体"/>
                <w:sz w:val="24"/>
                <w:highlight w:val="none"/>
              </w:rPr>
              <w:t>联系电话：</w:t>
            </w:r>
            <w:r>
              <w:rPr>
                <w:rFonts w:hint="eastAsia" w:ascii="等线" w:hAnsi="等线" w:eastAsia="等线"/>
                <w:sz w:val="24"/>
                <w:highlight w:val="none"/>
                <w:u w:val="single"/>
              </w:rPr>
              <w:t>82370045</w:t>
            </w:r>
            <w:r>
              <w:rPr>
                <w:rFonts w:ascii="宋体" w:hAnsi="宋体"/>
                <w:sz w:val="24"/>
                <w:highlight w:val="none"/>
                <w:u w:val="single"/>
              </w:rPr>
              <w:t>；</w:t>
            </w:r>
          </w:p>
          <w:p w14:paraId="4A642690">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北京市海淀区学院路30号科大天工大厦B座17层1709室</w:t>
            </w:r>
            <w:r>
              <w:rPr>
                <w:rFonts w:ascii="宋体" w:hAnsi="宋体"/>
                <w:sz w:val="24"/>
                <w:highlight w:val="none"/>
              </w:rPr>
              <w:t>。</w:t>
            </w:r>
          </w:p>
        </w:tc>
      </w:tr>
      <w:tr w14:paraId="181E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A3DD9BC">
            <w:pPr>
              <w:pStyle w:val="30"/>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noWrap w:val="0"/>
            <w:vAlign w:val="center"/>
          </w:tcPr>
          <w:p w14:paraId="7172415E">
            <w:pPr>
              <w:jc w:val="center"/>
              <w:rPr>
                <w:sz w:val="24"/>
                <w:highlight w:val="none"/>
              </w:rPr>
            </w:pPr>
            <w:r>
              <w:rPr>
                <w:sz w:val="24"/>
                <w:highlight w:val="none"/>
              </w:rPr>
              <w:t>代理费</w:t>
            </w:r>
          </w:p>
        </w:tc>
        <w:tc>
          <w:tcPr>
            <w:tcW w:w="6767" w:type="dxa"/>
            <w:noWrap w:val="0"/>
            <w:vAlign w:val="center"/>
          </w:tcPr>
          <w:p w14:paraId="12EF41F1">
            <w:pPr>
              <w:jc w:val="left"/>
              <w:rPr>
                <w:sz w:val="24"/>
                <w:highlight w:val="none"/>
              </w:rPr>
            </w:pPr>
            <w:r>
              <w:rPr>
                <w:sz w:val="24"/>
                <w:highlight w:val="none"/>
              </w:rPr>
              <w:t>收费对象：</w:t>
            </w:r>
          </w:p>
          <w:p w14:paraId="52BC7561">
            <w:pPr>
              <w:jc w:val="left"/>
              <w:rPr>
                <w:sz w:val="24"/>
                <w:highlight w:val="none"/>
              </w:rPr>
            </w:pPr>
            <w:r>
              <w:rPr>
                <w:highlight w:val="none"/>
              </w:rPr>
              <w:t>□</w:t>
            </w:r>
            <w:r>
              <w:rPr>
                <w:sz w:val="24"/>
                <w:highlight w:val="none"/>
              </w:rPr>
              <w:t>采购人</w:t>
            </w:r>
          </w:p>
          <w:p w14:paraId="11196CDE">
            <w:pPr>
              <w:jc w:val="left"/>
              <w:rPr>
                <w:sz w:val="24"/>
                <w:highlight w:val="none"/>
              </w:rPr>
            </w:pPr>
            <w:r>
              <w:rPr>
                <w:b/>
                <w:sz w:val="24"/>
                <w:highlight w:val="none"/>
              </w:rPr>
              <w:t>■</w:t>
            </w:r>
            <w:r>
              <w:rPr>
                <w:sz w:val="24"/>
                <w:highlight w:val="none"/>
              </w:rPr>
              <w:t>成交供应商</w:t>
            </w:r>
          </w:p>
          <w:p w14:paraId="2A9E5850">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按原《招标代理服务收费管理暂行办法》（计价格[2002]1980号）和《关于招标代理服务收费有关问题的通知》（发改办价格[2003]857号）执行，按中标金额差额定率累进法计算</w:t>
            </w:r>
            <w:r>
              <w:rPr>
                <w:sz w:val="24"/>
                <w:highlight w:val="none"/>
              </w:rPr>
              <w:t>；</w:t>
            </w:r>
          </w:p>
          <w:p w14:paraId="3942386F">
            <w:pPr>
              <w:jc w:val="left"/>
              <w:rPr>
                <w:sz w:val="24"/>
                <w:highlight w:val="none"/>
              </w:rPr>
            </w:pPr>
            <w:r>
              <w:rPr>
                <w:sz w:val="24"/>
                <w:highlight w:val="none"/>
              </w:rPr>
              <w:t>缴纳时间：</w:t>
            </w:r>
            <w:r>
              <w:rPr>
                <w:rFonts w:hint="eastAsia" w:ascii="宋体" w:hAnsi="宋体"/>
                <w:sz w:val="24"/>
                <w:highlight w:val="none"/>
                <w:u w:val="single"/>
              </w:rPr>
              <w:t>本项目的成交供应商应在成交通知书发出后五个工作日内一次性向招标代理机构支付招标代理服务费</w:t>
            </w:r>
            <w:r>
              <w:rPr>
                <w:sz w:val="24"/>
                <w:highlight w:val="none"/>
              </w:rPr>
              <w:t>。</w:t>
            </w:r>
          </w:p>
        </w:tc>
      </w:tr>
    </w:tbl>
    <w:p w14:paraId="696F86D6">
      <w:pPr>
        <w:tabs>
          <w:tab w:val="left" w:pos="5580"/>
        </w:tabs>
        <w:adjustRightInd w:val="0"/>
        <w:spacing w:line="360" w:lineRule="auto"/>
        <w:jc w:val="distribute"/>
        <w:rPr>
          <w:sz w:val="24"/>
          <w:highlight w:val="none"/>
        </w:rPr>
        <w:sectPr>
          <w:headerReference r:id="rId12" w:type="first"/>
          <w:footerReference r:id="rId14" w:type="first"/>
          <w:headerReference r:id="rId11" w:type="default"/>
          <w:footerReference r:id="rId13" w:type="default"/>
          <w:pgSz w:w="11907" w:h="16840"/>
          <w:pgMar w:top="1418" w:right="1134" w:bottom="1418" w:left="1701" w:header="851" w:footer="851" w:gutter="0"/>
          <w:pgNumType w:start="1"/>
          <w:cols w:space="720" w:num="1"/>
          <w:titlePg/>
          <w:docGrid w:linePitch="462" w:charSpace="0"/>
        </w:sectPr>
      </w:pPr>
    </w:p>
    <w:p w14:paraId="4C9F6549">
      <w:pPr>
        <w:spacing w:before="240" w:beforeLines="100" w:after="240" w:afterLines="100"/>
        <w:jc w:val="center"/>
        <w:rPr>
          <w:b/>
          <w:sz w:val="28"/>
          <w:szCs w:val="28"/>
          <w:highlight w:val="none"/>
        </w:rPr>
      </w:pPr>
      <w:r>
        <w:rPr>
          <w:b/>
          <w:sz w:val="28"/>
          <w:szCs w:val="28"/>
          <w:highlight w:val="none"/>
        </w:rPr>
        <w:t>供应商须知</w:t>
      </w:r>
    </w:p>
    <w:p w14:paraId="09CBF1D4">
      <w:pPr>
        <w:pStyle w:val="5"/>
        <w:tabs>
          <w:tab w:val="center" w:pos="4592"/>
          <w:tab w:val="left" w:pos="7860"/>
        </w:tabs>
        <w:spacing w:before="0" w:line="360" w:lineRule="auto"/>
        <w:jc w:val="left"/>
        <w:rPr>
          <w:rFonts w:ascii="Times New Roman" w:hAnsi="Times New Roman" w:eastAsia="宋体"/>
          <w:sz w:val="28"/>
          <w:highlight w:val="none"/>
        </w:rPr>
      </w:pPr>
      <w:bookmarkStart w:id="77" w:name="_Toc520356143"/>
      <w:bookmarkStart w:id="78" w:name="_Toc127151518"/>
      <w:r>
        <w:rPr>
          <w:rFonts w:ascii="Times New Roman" w:hAnsi="Times New Roman" w:eastAsia="宋体"/>
          <w:sz w:val="28"/>
          <w:highlight w:val="none"/>
        </w:rPr>
        <w:tab/>
      </w:r>
      <w:bookmarkStart w:id="79" w:name="_Toc305158786"/>
      <w:bookmarkStart w:id="80" w:name="_Toc226309762"/>
      <w:bookmarkStart w:id="81" w:name="_Toc226965791"/>
      <w:bookmarkStart w:id="82" w:name="_Toc150480756"/>
      <w:bookmarkStart w:id="83" w:name="_Toc226965708"/>
      <w:bookmarkStart w:id="84" w:name="_Toc150774618"/>
      <w:bookmarkStart w:id="85" w:name="_Toc151190145"/>
      <w:bookmarkStart w:id="86" w:name="_Toc265228356"/>
      <w:bookmarkStart w:id="87" w:name="_Toc151193906"/>
      <w:bookmarkStart w:id="88" w:name="_Toc151193616"/>
      <w:bookmarkStart w:id="89" w:name="_Toc226337214"/>
      <w:bookmarkStart w:id="90" w:name="_Toc150774723"/>
      <w:bookmarkStart w:id="91" w:name="_Toc195842883"/>
      <w:bookmarkStart w:id="92" w:name="_Toc150509269"/>
      <w:bookmarkStart w:id="93" w:name="_Toc151193832"/>
      <w:bookmarkStart w:id="94" w:name="_Toc264969208"/>
      <w:bookmarkStart w:id="95" w:name="_Toc151193760"/>
      <w:bookmarkStart w:id="96" w:name="_Toc142311020"/>
      <w:bookmarkStart w:id="97" w:name="_Toc305158860"/>
      <w:bookmarkStart w:id="98" w:name="_Toc151193688"/>
      <w:r>
        <w:rPr>
          <w:rFonts w:ascii="Times New Roman" w:hAnsi="Times New Roman" w:eastAsia="宋体"/>
          <w:sz w:val="28"/>
          <w:highlight w:val="none"/>
        </w:rPr>
        <w:t>一   说  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hAnsi="Times New Roman" w:eastAsia="宋体"/>
          <w:sz w:val="28"/>
          <w:highlight w:val="none"/>
        </w:rPr>
        <w:tab/>
      </w:r>
    </w:p>
    <w:p w14:paraId="477DA3F1">
      <w:pPr>
        <w:numPr>
          <w:ilvl w:val="0"/>
          <w:numId w:val="20"/>
        </w:numPr>
        <w:tabs>
          <w:tab w:val="left" w:pos="360"/>
        </w:tabs>
        <w:snapToGrid w:val="0"/>
        <w:spacing w:line="360" w:lineRule="auto"/>
        <w:ind w:left="357" w:hanging="357"/>
        <w:outlineLvl w:val="1"/>
        <w:rPr>
          <w:sz w:val="24"/>
          <w:highlight w:val="none"/>
        </w:rPr>
      </w:pPr>
      <w:bookmarkStart w:id="99" w:name="_Toc264969209"/>
      <w:bookmarkStart w:id="100" w:name="_Toc305158861"/>
      <w:bookmarkStart w:id="101" w:name="_Toc265228357"/>
      <w:bookmarkStart w:id="102" w:name="_Toc305158787"/>
      <w:r>
        <w:rPr>
          <w:sz w:val="24"/>
          <w:highlight w:val="none"/>
        </w:rPr>
        <w:t>采购人、采购代理机构、供应商</w:t>
      </w:r>
      <w:bookmarkEnd w:id="99"/>
      <w:bookmarkEnd w:id="100"/>
      <w:bookmarkEnd w:id="101"/>
      <w:bookmarkEnd w:id="102"/>
      <w:r>
        <w:rPr>
          <w:sz w:val="24"/>
          <w:highlight w:val="none"/>
        </w:rPr>
        <w:t>、联合体</w:t>
      </w:r>
    </w:p>
    <w:p w14:paraId="06E10326">
      <w:pPr>
        <w:numPr>
          <w:ilvl w:val="1"/>
          <w:numId w:val="20"/>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73C27BFC">
      <w:pPr>
        <w:numPr>
          <w:ilvl w:val="1"/>
          <w:numId w:val="20"/>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74D78E0C">
      <w:pPr>
        <w:numPr>
          <w:ilvl w:val="1"/>
          <w:numId w:val="20"/>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32A1C070">
      <w:pPr>
        <w:numPr>
          <w:ilvl w:val="0"/>
          <w:numId w:val="20"/>
        </w:numPr>
        <w:tabs>
          <w:tab w:val="left" w:pos="360"/>
        </w:tabs>
        <w:snapToGrid w:val="0"/>
        <w:spacing w:line="360" w:lineRule="auto"/>
        <w:ind w:left="357" w:hanging="357"/>
        <w:outlineLvl w:val="1"/>
        <w:rPr>
          <w:sz w:val="24"/>
          <w:highlight w:val="none"/>
        </w:rPr>
      </w:pPr>
      <w:bookmarkStart w:id="103" w:name="_Toc150774725"/>
      <w:bookmarkStart w:id="104" w:name="_Toc164351614"/>
      <w:bookmarkStart w:id="105" w:name="_Toc151193908"/>
      <w:bookmarkStart w:id="106" w:name="_Toc265228358"/>
      <w:bookmarkStart w:id="107" w:name="_Toc127151520"/>
      <w:bookmarkStart w:id="108" w:name="_Toc264969210"/>
      <w:bookmarkStart w:id="109" w:name="_Toc150480758"/>
      <w:bookmarkStart w:id="110" w:name="_Toc151193618"/>
      <w:bookmarkStart w:id="111" w:name="_Toc127161434"/>
      <w:bookmarkStart w:id="112" w:name="_Toc305158788"/>
      <w:bookmarkStart w:id="113" w:name="_Toc226337216"/>
      <w:bookmarkStart w:id="114" w:name="_Toc151193762"/>
      <w:bookmarkStart w:id="115" w:name="_Toc151193690"/>
      <w:bookmarkStart w:id="116" w:name="_Toc226309764"/>
      <w:bookmarkStart w:id="117" w:name="_Toc164608634"/>
      <w:bookmarkStart w:id="118" w:name="_Toc305158862"/>
      <w:bookmarkStart w:id="119" w:name="_Toc127151721"/>
      <w:bookmarkStart w:id="120" w:name="_Toc150509271"/>
      <w:bookmarkStart w:id="121" w:name="_Toc142311022"/>
      <w:bookmarkStart w:id="122" w:name="_Toc151190147"/>
      <w:bookmarkStart w:id="123" w:name="_Toc164229361"/>
      <w:bookmarkStart w:id="124" w:name="_Toc149720813"/>
      <w:bookmarkStart w:id="125" w:name="_Toc164229215"/>
      <w:bookmarkStart w:id="126" w:name="_Toc195842885"/>
      <w:bookmarkStart w:id="127" w:name="_Toc151193834"/>
      <w:bookmarkStart w:id="128" w:name="_Toc164608789"/>
      <w:bookmarkStart w:id="129" w:name="_Toc226965710"/>
      <w:bookmarkStart w:id="130" w:name="_Toc226965793"/>
      <w:bookmarkStart w:id="131" w:name="_Toc150774620"/>
      <w:r>
        <w:rPr>
          <w:sz w:val="24"/>
          <w:highlight w:val="none"/>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highlight w:val="none"/>
        </w:rPr>
        <w:t>、项目属性、科研仪器设备采购</w:t>
      </w:r>
    </w:p>
    <w:p w14:paraId="45FF1745">
      <w:pPr>
        <w:numPr>
          <w:ilvl w:val="1"/>
          <w:numId w:val="20"/>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0FB16457">
      <w:pPr>
        <w:numPr>
          <w:ilvl w:val="1"/>
          <w:numId w:val="20"/>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613B7930">
      <w:pPr>
        <w:numPr>
          <w:ilvl w:val="1"/>
          <w:numId w:val="20"/>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029878BC">
      <w:pPr>
        <w:numPr>
          <w:ilvl w:val="0"/>
          <w:numId w:val="20"/>
        </w:numPr>
        <w:tabs>
          <w:tab w:val="left" w:pos="360"/>
        </w:tabs>
        <w:snapToGrid w:val="0"/>
        <w:spacing w:line="360" w:lineRule="auto"/>
        <w:ind w:left="357" w:hanging="357"/>
        <w:outlineLvl w:val="1"/>
        <w:rPr>
          <w:sz w:val="24"/>
          <w:highlight w:val="none"/>
        </w:rPr>
      </w:pPr>
      <w:r>
        <w:rPr>
          <w:sz w:val="24"/>
          <w:highlight w:val="none"/>
        </w:rPr>
        <w:t>现场考察、磋商前答疑会</w:t>
      </w:r>
    </w:p>
    <w:p w14:paraId="0C7E2007">
      <w:pPr>
        <w:numPr>
          <w:ilvl w:val="1"/>
          <w:numId w:val="20"/>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32" w:name="_Toc151190149"/>
      <w:bookmarkStart w:id="133" w:name="_Toc151193692"/>
      <w:bookmarkStart w:id="134" w:name="_Toc150509273"/>
      <w:bookmarkStart w:id="135" w:name="_Toc151193620"/>
      <w:bookmarkStart w:id="136" w:name="_Toc151193836"/>
      <w:bookmarkStart w:id="137" w:name="_Toc151193910"/>
      <w:bookmarkStart w:id="138" w:name="_Toc520356146"/>
      <w:bookmarkStart w:id="139" w:name="_Toc226309766"/>
      <w:bookmarkStart w:id="140" w:name="_Toc226965795"/>
      <w:bookmarkStart w:id="141" w:name="_Toc226965712"/>
      <w:bookmarkStart w:id="142" w:name="_Toc195842887"/>
      <w:bookmarkStart w:id="143" w:name="_Toc305158864"/>
      <w:bookmarkStart w:id="144" w:name="_Toc127151522"/>
      <w:bookmarkStart w:id="145" w:name="_Toc150774622"/>
      <w:bookmarkStart w:id="146" w:name="_Toc150480760"/>
      <w:bookmarkStart w:id="147" w:name="_Toc305158790"/>
      <w:bookmarkStart w:id="148" w:name="_Toc150774727"/>
      <w:bookmarkStart w:id="149" w:name="_Toc142311024"/>
      <w:bookmarkStart w:id="150" w:name="_Toc265228360"/>
      <w:bookmarkStart w:id="151" w:name="_Toc264969212"/>
      <w:bookmarkStart w:id="152" w:name="_Toc226337218"/>
      <w:bookmarkStart w:id="153" w:name="_Toc151193764"/>
    </w:p>
    <w:p w14:paraId="05379A5E">
      <w:pPr>
        <w:numPr>
          <w:ilvl w:val="1"/>
          <w:numId w:val="20"/>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11001FBA">
      <w:pPr>
        <w:numPr>
          <w:ilvl w:val="0"/>
          <w:numId w:val="20"/>
        </w:numPr>
        <w:tabs>
          <w:tab w:val="left" w:pos="360"/>
        </w:tabs>
        <w:snapToGrid w:val="0"/>
        <w:spacing w:line="360" w:lineRule="auto"/>
        <w:ind w:left="357" w:hanging="357"/>
        <w:outlineLvl w:val="1"/>
        <w:rPr>
          <w:sz w:val="24"/>
          <w:highlight w:val="none"/>
        </w:rPr>
      </w:pPr>
      <w:r>
        <w:rPr>
          <w:sz w:val="24"/>
          <w:highlight w:val="none"/>
        </w:rPr>
        <w:t>政府采购政策（包括但不限于下列具体政策要求）</w:t>
      </w:r>
    </w:p>
    <w:p w14:paraId="4CB5A5DD">
      <w:pPr>
        <w:numPr>
          <w:ilvl w:val="1"/>
          <w:numId w:val="20"/>
        </w:numPr>
        <w:tabs>
          <w:tab w:val="left" w:pos="1260"/>
          <w:tab w:val="left" w:pos="2014"/>
        </w:tabs>
        <w:snapToGrid w:val="0"/>
        <w:spacing w:line="360" w:lineRule="auto"/>
        <w:ind w:left="1268" w:hanging="700"/>
        <w:rPr>
          <w:sz w:val="24"/>
          <w:highlight w:val="none"/>
        </w:rPr>
      </w:pPr>
      <w:r>
        <w:rPr>
          <w:rFonts w:hint="eastAsia"/>
          <w:sz w:val="24"/>
          <w:highlight w:val="none"/>
        </w:rPr>
        <w:t>采购本国货物、工程和服务</w:t>
      </w:r>
    </w:p>
    <w:p w14:paraId="4AC1D47F">
      <w:pPr>
        <w:numPr>
          <w:ilvl w:val="2"/>
          <w:numId w:val="20"/>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4665F476">
      <w:pPr>
        <w:numPr>
          <w:ilvl w:val="2"/>
          <w:numId w:val="20"/>
        </w:numPr>
        <w:tabs>
          <w:tab w:val="left" w:pos="1080"/>
          <w:tab w:val="left" w:pos="2014"/>
        </w:tabs>
        <w:snapToGrid w:val="0"/>
        <w:spacing w:line="360" w:lineRule="auto"/>
        <w:rPr>
          <w:sz w:val="24"/>
          <w:highlight w:val="none"/>
        </w:rPr>
      </w:pPr>
      <w:r>
        <w:rPr>
          <w:rFonts w:hint="eastAsia"/>
          <w:sz w:val="24"/>
          <w:highlight w:val="none"/>
        </w:rPr>
        <w:t>本项目如接受非本国货物、工程、服务参与投标，则具体要求见第四章《采购需求》。</w:t>
      </w:r>
    </w:p>
    <w:p w14:paraId="34A6F1E6">
      <w:pPr>
        <w:numPr>
          <w:ilvl w:val="2"/>
          <w:numId w:val="20"/>
        </w:numPr>
        <w:tabs>
          <w:tab w:val="left" w:pos="1080"/>
          <w:tab w:val="left" w:pos="1900"/>
        </w:tabs>
        <w:snapToGrid w:val="0"/>
        <w:spacing w:line="360" w:lineRule="auto"/>
        <w:rPr>
          <w:rFonts w:hint="eastAsia"/>
          <w:sz w:val="24"/>
          <w:highlight w:val="none"/>
        </w:rPr>
      </w:pPr>
      <w:r>
        <w:rPr>
          <w:rFonts w:hint="eastAsia"/>
          <w:sz w:val="24"/>
          <w:highlight w:val="none"/>
        </w:rPr>
        <w:t>进口产品指通过中国海关报关验放进入中国境内且产自关境外的产</w:t>
      </w:r>
    </w:p>
    <w:p w14:paraId="0B4C74A6">
      <w:pPr>
        <w:tabs>
          <w:tab w:val="left" w:pos="1080"/>
          <w:tab w:val="left" w:pos="2014"/>
        </w:tabs>
        <w:snapToGrid w:val="0"/>
        <w:spacing w:line="360" w:lineRule="auto"/>
        <w:ind w:left="1080" w:firstLine="818" w:firstLineChars="341"/>
        <w:rPr>
          <w:rFonts w:hint="eastAsia"/>
          <w:sz w:val="24"/>
          <w:highlight w:val="none"/>
        </w:rPr>
      </w:pPr>
      <w:r>
        <w:rPr>
          <w:rFonts w:hint="eastAsia"/>
          <w:sz w:val="24"/>
          <w:highlight w:val="none"/>
        </w:rPr>
        <w:t>品，包括已经进入中国境内的进口产品。关于进口产品的相关规定依</w:t>
      </w:r>
    </w:p>
    <w:p w14:paraId="5E57C384">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6F7DD0CC">
      <w:pPr>
        <w:numPr>
          <w:ilvl w:val="1"/>
          <w:numId w:val="20"/>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517289F3">
      <w:pPr>
        <w:numPr>
          <w:ilvl w:val="2"/>
          <w:numId w:val="20"/>
        </w:numPr>
        <w:snapToGrid w:val="0"/>
        <w:spacing w:line="360" w:lineRule="auto"/>
        <w:rPr>
          <w:sz w:val="24"/>
          <w:highlight w:val="none"/>
        </w:rPr>
      </w:pPr>
      <w:r>
        <w:rPr>
          <w:sz w:val="24"/>
          <w:highlight w:val="none"/>
        </w:rPr>
        <w:t>中小企业定义：</w:t>
      </w:r>
    </w:p>
    <w:p w14:paraId="7601B23B">
      <w:pPr>
        <w:pStyle w:val="119"/>
        <w:numPr>
          <w:ilvl w:val="0"/>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41DDE36A">
      <w:pPr>
        <w:pStyle w:val="119"/>
        <w:numPr>
          <w:ilvl w:val="0"/>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184A1262">
      <w:pPr>
        <w:pStyle w:val="119"/>
        <w:numPr>
          <w:ilvl w:val="0"/>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3F8A80C4">
      <w:pPr>
        <w:pStyle w:val="119"/>
        <w:numPr>
          <w:ilvl w:val="0"/>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25253481">
      <w:pPr>
        <w:pStyle w:val="119"/>
        <w:numPr>
          <w:ilvl w:val="1"/>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193CE2B4">
      <w:pPr>
        <w:pStyle w:val="119"/>
        <w:numPr>
          <w:ilvl w:val="1"/>
          <w:numId w:val="21"/>
        </w:numPr>
        <w:tabs>
          <w:tab w:val="left" w:pos="1980"/>
          <w:tab w:val="left" w:pos="2035"/>
          <w:tab w:val="left" w:pos="2977"/>
        </w:tabs>
        <w:snapToGrid w:val="0"/>
        <w:spacing w:line="360" w:lineRule="auto"/>
        <w:ind w:firstLineChars="0"/>
        <w:rPr>
          <w:rFonts w:ascii="Times New Roman" w:hAnsi="Times New Roman"/>
          <w:vanish/>
          <w:sz w:val="24"/>
          <w:szCs w:val="24"/>
          <w:highlight w:val="none"/>
        </w:rPr>
      </w:pPr>
    </w:p>
    <w:p w14:paraId="46AA81D5">
      <w:pPr>
        <w:pStyle w:val="119"/>
        <w:numPr>
          <w:ilvl w:val="2"/>
          <w:numId w:val="21"/>
        </w:numPr>
        <w:tabs>
          <w:tab w:val="left" w:pos="2035"/>
          <w:tab w:val="left" w:pos="2977"/>
        </w:tabs>
        <w:snapToGrid w:val="0"/>
        <w:spacing w:line="360" w:lineRule="auto"/>
        <w:ind w:firstLineChars="0"/>
        <w:rPr>
          <w:rFonts w:ascii="Times New Roman" w:hAnsi="Times New Roman"/>
          <w:vanish/>
          <w:sz w:val="24"/>
          <w:szCs w:val="24"/>
          <w:highlight w:val="none"/>
        </w:rPr>
      </w:pPr>
    </w:p>
    <w:p w14:paraId="2C7DD192">
      <w:pPr>
        <w:numPr>
          <w:ilvl w:val="3"/>
          <w:numId w:val="21"/>
        </w:numPr>
        <w:tabs>
          <w:tab w:val="left" w:pos="1980"/>
          <w:tab w:val="left" w:pos="2035"/>
          <w:tab w:val="left" w:pos="2885"/>
          <w:tab w:val="left" w:pos="2977"/>
          <w:tab w:val="clear" w:pos="900"/>
        </w:tabs>
        <w:snapToGrid w:val="0"/>
        <w:spacing w:line="360" w:lineRule="auto"/>
        <w:ind w:left="2885"/>
        <w:rPr>
          <w:rFonts w:hint="eastAsia"/>
          <w:sz w:val="24"/>
          <w:highlight w:val="none"/>
        </w:rPr>
      </w:pPr>
      <w:r>
        <w:rPr>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sz w:val="24"/>
          <w:highlight w:val="none"/>
        </w:rPr>
        <w:t>《关于进一 步加大政府采购支持中小企业力度的通知》（财库〔2022〕</w:t>
      </w:r>
    </w:p>
    <w:p w14:paraId="596C09B5">
      <w:pPr>
        <w:tabs>
          <w:tab w:val="left" w:pos="1980"/>
          <w:tab w:val="left" w:pos="2035"/>
          <w:tab w:val="left" w:pos="2885"/>
          <w:tab w:val="left" w:pos="2977"/>
        </w:tabs>
        <w:snapToGrid w:val="0"/>
        <w:spacing w:line="360" w:lineRule="auto"/>
        <w:ind w:left="2946" w:leftChars="1401" w:hanging="4" w:hangingChars="2"/>
        <w:rPr>
          <w:rFonts w:hint="eastAsia"/>
          <w:sz w:val="24"/>
          <w:highlight w:val="none"/>
        </w:rPr>
      </w:pPr>
      <w:r>
        <w:rPr>
          <w:rFonts w:hint="eastAsia"/>
          <w:sz w:val="24"/>
          <w:highlight w:val="none"/>
        </w:rPr>
        <w:t>19 号）、《政府采购促进中小企业发展管理办法》（财库〔2020〕46 号）、《关于印发中小企业划型标准规定的通知》</w:t>
      </w:r>
    </w:p>
    <w:p w14:paraId="672C50DE">
      <w:pPr>
        <w:tabs>
          <w:tab w:val="left" w:pos="1980"/>
          <w:tab w:val="left" w:pos="2035"/>
          <w:tab w:val="left" w:pos="2885"/>
          <w:tab w:val="left" w:pos="2977"/>
        </w:tabs>
        <w:snapToGrid w:val="0"/>
        <w:spacing w:line="360" w:lineRule="auto"/>
        <w:ind w:left="1985" w:firstLine="952" w:firstLineChars="397"/>
        <w:rPr>
          <w:sz w:val="24"/>
          <w:highlight w:val="none"/>
        </w:rPr>
      </w:pPr>
      <w:r>
        <w:rPr>
          <w:rFonts w:hint="eastAsia"/>
          <w:sz w:val="24"/>
          <w:highlight w:val="none"/>
        </w:rPr>
        <w:t>（工信部联企业〔2011〕300号）。</w:t>
      </w:r>
    </w:p>
    <w:p w14:paraId="76CD97C4">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供应商提供的货物、工程或者服务符合下列情形的，享受中小企业扶持政策：</w:t>
      </w:r>
    </w:p>
    <w:p w14:paraId="29FDC8F3">
      <w:pPr>
        <w:tabs>
          <w:tab w:val="left" w:pos="1980"/>
        </w:tabs>
        <w:snapToGrid w:val="0"/>
        <w:spacing w:line="360" w:lineRule="auto"/>
        <w:ind w:left="2835" w:leftChars="1350"/>
        <w:rPr>
          <w:sz w:val="24"/>
          <w:highlight w:val="none"/>
        </w:rPr>
      </w:pPr>
      <w:r>
        <w:rPr>
          <w:sz w:val="24"/>
          <w:highlight w:val="none"/>
        </w:rPr>
        <w:t>（1）在货物采购项目中，货物由中小企业制造，即货物由中小企业生产且使用该中小企业商号或者注册商标；</w:t>
      </w:r>
    </w:p>
    <w:p w14:paraId="05460AE6">
      <w:pPr>
        <w:tabs>
          <w:tab w:val="left" w:pos="1980"/>
        </w:tabs>
        <w:snapToGrid w:val="0"/>
        <w:spacing w:line="360" w:lineRule="auto"/>
        <w:ind w:left="2835" w:leftChars="1350"/>
        <w:rPr>
          <w:sz w:val="24"/>
          <w:highlight w:val="none"/>
        </w:rPr>
      </w:pPr>
      <w:r>
        <w:rPr>
          <w:sz w:val="24"/>
          <w:highlight w:val="none"/>
        </w:rPr>
        <w:t>（2）在工程采购项目中，工程由中小企业承建，即工程施工单位为中小企业；</w:t>
      </w:r>
    </w:p>
    <w:p w14:paraId="1C71E19F">
      <w:pPr>
        <w:tabs>
          <w:tab w:val="left" w:pos="1980"/>
        </w:tabs>
        <w:snapToGrid w:val="0"/>
        <w:spacing w:line="360" w:lineRule="auto"/>
        <w:ind w:left="2835" w:leftChars="1350"/>
        <w:rPr>
          <w:sz w:val="24"/>
          <w:highlight w:val="none"/>
        </w:rPr>
      </w:pPr>
      <w:r>
        <w:rPr>
          <w:sz w:val="24"/>
          <w:highlight w:val="none"/>
        </w:rPr>
        <w:t>（3）在服务采购项目中，服务由中小企业承接，即提供服务的人员为中小企业依照《中华人民共和国劳动合同法》订立劳动合同的从业人员。</w:t>
      </w:r>
    </w:p>
    <w:p w14:paraId="26E142FF">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2F0FC7C1">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以联合体形式参加政府采购活动，联合体各方均为中小企业的，联合体视同中小企业。其中，联合体各方均为小微企业的，联合体视同小微企业。</w:t>
      </w:r>
    </w:p>
    <w:p w14:paraId="04F3E953">
      <w:pPr>
        <w:numPr>
          <w:ilvl w:val="2"/>
          <w:numId w:val="20"/>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1E12DB">
      <w:pPr>
        <w:numPr>
          <w:ilvl w:val="2"/>
          <w:numId w:val="20"/>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3BE076F9">
      <w:pPr>
        <w:pStyle w:val="119"/>
        <w:numPr>
          <w:ilvl w:val="2"/>
          <w:numId w:val="21"/>
        </w:numPr>
        <w:tabs>
          <w:tab w:val="left" w:pos="2035"/>
          <w:tab w:val="left" w:pos="2977"/>
        </w:tabs>
        <w:snapToGrid w:val="0"/>
        <w:spacing w:line="360" w:lineRule="auto"/>
        <w:ind w:firstLineChars="0"/>
        <w:rPr>
          <w:rFonts w:ascii="Times New Roman" w:hAnsi="Times New Roman"/>
          <w:vanish/>
          <w:sz w:val="24"/>
          <w:szCs w:val="24"/>
          <w:highlight w:val="none"/>
        </w:rPr>
      </w:pPr>
    </w:p>
    <w:p w14:paraId="34F6070D">
      <w:pPr>
        <w:pStyle w:val="119"/>
        <w:numPr>
          <w:ilvl w:val="2"/>
          <w:numId w:val="21"/>
        </w:numPr>
        <w:tabs>
          <w:tab w:val="left" w:pos="2035"/>
          <w:tab w:val="left" w:pos="2977"/>
        </w:tabs>
        <w:snapToGrid w:val="0"/>
        <w:spacing w:line="360" w:lineRule="auto"/>
        <w:ind w:firstLineChars="0"/>
        <w:rPr>
          <w:rFonts w:ascii="Times New Roman" w:hAnsi="Times New Roman"/>
          <w:vanish/>
          <w:sz w:val="24"/>
          <w:szCs w:val="24"/>
          <w:highlight w:val="none"/>
        </w:rPr>
      </w:pPr>
    </w:p>
    <w:p w14:paraId="5B25A418">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安置的残疾人占本单位在职职工人数的比例不低于25%（含25%），并且安置的残疾人人数不少于10 人（含10人）；</w:t>
      </w:r>
    </w:p>
    <w:p w14:paraId="35FEFA71">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依法与安置的每位残疾人签订了一年以上（含一年）的劳动合同或服务协议；</w:t>
      </w:r>
    </w:p>
    <w:p w14:paraId="78A75182">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为安置的每位残疾人按月足额缴纳了基本养老保险、基本医疗保险、失业保险、工伤保险和生育保险等社会保险费；</w:t>
      </w:r>
    </w:p>
    <w:p w14:paraId="5191B718">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通过银行等金融机构向安置的每位残疾人，按月支付了不低于单位所在区县适用的经省级人民政府批准的月最低工资标准的工资；</w:t>
      </w:r>
    </w:p>
    <w:p w14:paraId="69A102EF">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475B49C0">
      <w:pPr>
        <w:numPr>
          <w:ilvl w:val="3"/>
          <w:numId w:val="2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前款所称残疾人是指法定劳动年龄内，持有《中华人民共和国残疾人证》或者《中华人民共和国残疾军人证（1至8 级）》的自然人，包括具有劳动条件和劳动意愿的精神残疾人。在职职工人数是指与残疾人福利性单位建立劳动关系并依法签订劳动合同或服务协议的雇员人数。</w:t>
      </w:r>
    </w:p>
    <w:p w14:paraId="205B654D">
      <w:pPr>
        <w:numPr>
          <w:ilvl w:val="2"/>
          <w:numId w:val="20"/>
        </w:numPr>
        <w:snapToGrid w:val="0"/>
        <w:spacing w:line="360" w:lineRule="auto"/>
        <w:rPr>
          <w:sz w:val="24"/>
          <w:highlight w:val="none"/>
        </w:rPr>
      </w:pPr>
      <w:r>
        <w:rPr>
          <w:sz w:val="24"/>
          <w:highlight w:val="none"/>
        </w:rPr>
        <w:t>本项目是否专门面向中小企业预留采购份额见第一章《采购邀请》。</w:t>
      </w:r>
    </w:p>
    <w:p w14:paraId="6A5C2D0A">
      <w:pPr>
        <w:numPr>
          <w:ilvl w:val="2"/>
          <w:numId w:val="20"/>
        </w:numPr>
        <w:snapToGrid w:val="0"/>
        <w:spacing w:line="360" w:lineRule="auto"/>
        <w:rPr>
          <w:sz w:val="24"/>
          <w:highlight w:val="none"/>
        </w:rPr>
      </w:pPr>
      <w:r>
        <w:rPr>
          <w:sz w:val="24"/>
          <w:highlight w:val="none"/>
        </w:rPr>
        <w:t>采购标的对应的中小企业划分标准所属行业见《供应商须知资料表》。</w:t>
      </w:r>
    </w:p>
    <w:p w14:paraId="2AD80135">
      <w:pPr>
        <w:numPr>
          <w:ilvl w:val="2"/>
          <w:numId w:val="20"/>
        </w:numPr>
        <w:snapToGrid w:val="0"/>
        <w:spacing w:line="360" w:lineRule="auto"/>
        <w:rPr>
          <w:sz w:val="24"/>
          <w:highlight w:val="none"/>
        </w:rPr>
      </w:pPr>
      <w:r>
        <w:rPr>
          <w:sz w:val="24"/>
          <w:highlight w:val="none"/>
        </w:rPr>
        <w:t>小微企业价格评审优惠的政策调整：见第三章《评审方法和评审标准》。</w:t>
      </w:r>
    </w:p>
    <w:p w14:paraId="21B2F729">
      <w:pPr>
        <w:numPr>
          <w:ilvl w:val="1"/>
          <w:numId w:val="20"/>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3BF0F809">
      <w:pPr>
        <w:numPr>
          <w:ilvl w:val="2"/>
          <w:numId w:val="20"/>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CE7AD9">
      <w:pPr>
        <w:numPr>
          <w:ilvl w:val="2"/>
          <w:numId w:val="20"/>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52F361">
      <w:pPr>
        <w:numPr>
          <w:ilvl w:val="2"/>
          <w:numId w:val="20"/>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019C5A5E">
      <w:pPr>
        <w:numPr>
          <w:ilvl w:val="2"/>
          <w:numId w:val="20"/>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7BCCED11">
      <w:pPr>
        <w:numPr>
          <w:ilvl w:val="1"/>
          <w:numId w:val="20"/>
        </w:numPr>
        <w:tabs>
          <w:tab w:val="left" w:pos="1080"/>
          <w:tab w:val="left" w:pos="2014"/>
        </w:tabs>
        <w:snapToGrid w:val="0"/>
        <w:spacing w:line="360" w:lineRule="auto"/>
        <w:ind w:left="1080" w:hanging="720"/>
        <w:rPr>
          <w:sz w:val="24"/>
          <w:highlight w:val="none"/>
        </w:rPr>
      </w:pPr>
      <w:r>
        <w:rPr>
          <w:sz w:val="24"/>
          <w:highlight w:val="none"/>
        </w:rPr>
        <w:t>正版软件</w:t>
      </w:r>
    </w:p>
    <w:p w14:paraId="4B591839">
      <w:pPr>
        <w:numPr>
          <w:ilvl w:val="2"/>
          <w:numId w:val="20"/>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BAD4048">
      <w:pPr>
        <w:numPr>
          <w:ilvl w:val="2"/>
          <w:numId w:val="20"/>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38D7D0D">
      <w:pPr>
        <w:numPr>
          <w:ilvl w:val="1"/>
          <w:numId w:val="20"/>
        </w:numPr>
        <w:tabs>
          <w:tab w:val="left" w:pos="1260"/>
        </w:tabs>
        <w:snapToGrid w:val="0"/>
        <w:spacing w:line="360" w:lineRule="auto"/>
        <w:rPr>
          <w:rFonts w:hint="eastAsia"/>
          <w:sz w:val="24"/>
          <w:highlight w:val="none"/>
        </w:rPr>
      </w:pPr>
      <w:r>
        <w:rPr>
          <w:rFonts w:hint="eastAsia"/>
          <w:sz w:val="24"/>
          <w:highlight w:val="none"/>
        </w:rPr>
        <w:t>网络安全专用产品</w:t>
      </w:r>
    </w:p>
    <w:p w14:paraId="32CE25F6">
      <w:pPr>
        <w:numPr>
          <w:ilvl w:val="2"/>
          <w:numId w:val="20"/>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498ADA8E">
      <w:pPr>
        <w:numPr>
          <w:ilvl w:val="1"/>
          <w:numId w:val="20"/>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636B67F0">
      <w:pPr>
        <w:numPr>
          <w:ilvl w:val="2"/>
          <w:numId w:val="20"/>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FF18C4F">
      <w:pPr>
        <w:numPr>
          <w:ilvl w:val="1"/>
          <w:numId w:val="20"/>
        </w:numPr>
        <w:tabs>
          <w:tab w:val="left" w:pos="1080"/>
          <w:tab w:val="left" w:pos="2014"/>
        </w:tabs>
        <w:snapToGrid w:val="0"/>
        <w:spacing w:line="360" w:lineRule="auto"/>
        <w:ind w:left="1080" w:hanging="720"/>
        <w:rPr>
          <w:rFonts w:hint="eastAsia"/>
          <w:sz w:val="24"/>
          <w:highlight w:val="none"/>
        </w:rPr>
      </w:pPr>
      <w:r>
        <w:rPr>
          <w:rFonts w:hint="eastAsia"/>
          <w:sz w:val="24"/>
          <w:highlight w:val="none"/>
        </w:rPr>
        <w:t>采购需求标准</w:t>
      </w:r>
    </w:p>
    <w:p w14:paraId="13455F9E">
      <w:pPr>
        <w:numPr>
          <w:ilvl w:val="2"/>
          <w:numId w:val="20"/>
        </w:numPr>
        <w:tabs>
          <w:tab w:val="clear" w:pos="1980"/>
        </w:tabs>
        <w:snapToGrid w:val="0"/>
        <w:spacing w:line="360" w:lineRule="auto"/>
        <w:ind w:left="2100" w:hanging="1100"/>
        <w:rPr>
          <w:rFonts w:hint="eastAsia"/>
          <w:sz w:val="24"/>
          <w:highlight w:val="none"/>
        </w:rPr>
      </w:pPr>
      <w:r>
        <w:rPr>
          <w:rFonts w:hint="eastAsia"/>
          <w:sz w:val="24"/>
          <w:highlight w:val="none"/>
        </w:rPr>
        <w:t xml:space="preserve">   商品包装、快递包装政府采购需求标准（试行）</w:t>
      </w:r>
    </w:p>
    <w:p w14:paraId="29B47731">
      <w:pPr>
        <w:tabs>
          <w:tab w:val="left" w:pos="1480"/>
        </w:tabs>
        <w:snapToGrid w:val="0"/>
        <w:spacing w:line="360" w:lineRule="auto"/>
        <w:ind w:left="2094" w:leftChars="997"/>
        <w:rPr>
          <w:rFonts w:hint="eastAsia"/>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08A3E86D">
      <w:pPr>
        <w:snapToGrid w:val="0"/>
        <w:spacing w:line="360" w:lineRule="auto"/>
        <w:ind w:left="1080"/>
        <w:rPr>
          <w:rFonts w:hint="eastAsia"/>
          <w:sz w:val="24"/>
          <w:highlight w:val="none"/>
        </w:rPr>
      </w:pPr>
      <w:r>
        <w:rPr>
          <w:rFonts w:hint="eastAsia"/>
          <w:sz w:val="24"/>
          <w:highlight w:val="none"/>
        </w:rPr>
        <w:t>4.7.2    绿色数据中心政府采购需求标准（试行）</w:t>
      </w:r>
    </w:p>
    <w:p w14:paraId="7C556E02">
      <w:pPr>
        <w:snapToGrid w:val="0"/>
        <w:spacing w:line="360" w:lineRule="auto"/>
        <w:ind w:left="1080"/>
        <w:rPr>
          <w:rFonts w:hint="eastAsia"/>
          <w:sz w:val="24"/>
          <w:highlight w:val="none"/>
        </w:rPr>
      </w:pPr>
    </w:p>
    <w:p w14:paraId="53AF0407">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621424EA">
      <w:pPr>
        <w:numPr>
          <w:ilvl w:val="0"/>
          <w:numId w:val="20"/>
        </w:numPr>
        <w:tabs>
          <w:tab w:val="left" w:pos="360"/>
        </w:tabs>
        <w:snapToGrid w:val="0"/>
        <w:spacing w:line="360" w:lineRule="auto"/>
        <w:ind w:left="357" w:hanging="357"/>
        <w:outlineLvl w:val="1"/>
        <w:rPr>
          <w:sz w:val="24"/>
          <w:highlight w:val="none"/>
        </w:rPr>
      </w:pPr>
      <w:r>
        <w:rPr>
          <w:sz w:val="24"/>
          <w:highlight w:val="none"/>
        </w:rPr>
        <w:t>响应费用</w:t>
      </w:r>
    </w:p>
    <w:p w14:paraId="4A848D57">
      <w:pPr>
        <w:numPr>
          <w:ilvl w:val="1"/>
          <w:numId w:val="20"/>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55B69C52">
      <w:pPr>
        <w:tabs>
          <w:tab w:val="left" w:pos="1080"/>
        </w:tabs>
        <w:snapToGrid w:val="0"/>
        <w:spacing w:line="360" w:lineRule="auto"/>
        <w:ind w:left="1080"/>
        <w:rPr>
          <w:sz w:val="28"/>
          <w:highlight w:val="none"/>
        </w:rPr>
      </w:pPr>
      <w:bookmarkStart w:id="154" w:name="_1.8_计量单位"/>
      <w:bookmarkEnd w:id="154"/>
    </w:p>
    <w:p w14:paraId="32AD9A94">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F7F9623">
      <w:pPr>
        <w:numPr>
          <w:ilvl w:val="0"/>
          <w:numId w:val="20"/>
        </w:numPr>
        <w:tabs>
          <w:tab w:val="left" w:pos="360"/>
        </w:tabs>
        <w:snapToGrid w:val="0"/>
        <w:spacing w:line="360" w:lineRule="auto"/>
        <w:ind w:left="357" w:hanging="357"/>
        <w:outlineLvl w:val="1"/>
        <w:rPr>
          <w:sz w:val="24"/>
          <w:highlight w:val="none"/>
        </w:rPr>
      </w:pPr>
      <w:bookmarkStart w:id="155" w:name="_Toc127151523"/>
      <w:bookmarkStart w:id="156" w:name="_Toc127161437"/>
      <w:bookmarkStart w:id="157" w:name="_Toc149720816"/>
      <w:bookmarkStart w:id="158" w:name="_Toc195842888"/>
      <w:bookmarkStart w:id="159" w:name="_Toc305158865"/>
      <w:bookmarkStart w:id="160" w:name="_Toc127151724"/>
      <w:bookmarkStart w:id="161" w:name="_Toc164229364"/>
      <w:bookmarkStart w:id="162" w:name="_Toc164608792"/>
      <w:bookmarkStart w:id="163" w:name="_Toc265228361"/>
      <w:bookmarkStart w:id="164" w:name="_Toc264969213"/>
      <w:bookmarkStart w:id="165" w:name="_Toc164608637"/>
      <w:bookmarkStart w:id="166" w:name="_Toc142311025"/>
      <w:bookmarkStart w:id="167" w:name="_Toc226337219"/>
      <w:bookmarkStart w:id="168" w:name="_Toc305158791"/>
      <w:bookmarkStart w:id="169" w:name="_Toc226309767"/>
      <w:bookmarkStart w:id="170" w:name="_Toc226965713"/>
      <w:bookmarkStart w:id="171" w:name="_Toc164229218"/>
      <w:bookmarkStart w:id="172" w:name="_Toc151193693"/>
      <w:bookmarkStart w:id="173" w:name="_Toc164351617"/>
      <w:bookmarkStart w:id="174" w:name="_Toc150480761"/>
      <w:bookmarkStart w:id="175" w:name="_Toc151193911"/>
      <w:bookmarkStart w:id="176" w:name="_Toc151190150"/>
      <w:bookmarkStart w:id="177" w:name="_Toc150774623"/>
      <w:bookmarkStart w:id="178" w:name="_Toc150509274"/>
      <w:bookmarkStart w:id="179" w:name="_Toc151193621"/>
      <w:bookmarkStart w:id="180" w:name="_Toc151193837"/>
      <w:bookmarkStart w:id="181" w:name="_Toc520356147"/>
      <w:bookmarkStart w:id="182" w:name="_Toc226965796"/>
      <w:bookmarkStart w:id="183" w:name="_Toc151193765"/>
      <w:bookmarkStart w:id="184" w:name="_Toc150774728"/>
      <w:r>
        <w:rPr>
          <w:sz w:val="24"/>
          <w:highlight w:val="none"/>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sz w:val="24"/>
          <w:highlight w:val="none"/>
        </w:rPr>
        <w:t>成</w:t>
      </w:r>
    </w:p>
    <w:p w14:paraId="2266B073">
      <w:pPr>
        <w:numPr>
          <w:ilvl w:val="1"/>
          <w:numId w:val="20"/>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2D04AFE0">
      <w:pPr>
        <w:numPr>
          <w:ilvl w:val="0"/>
          <w:numId w:val="22"/>
        </w:numPr>
        <w:tabs>
          <w:tab w:val="left" w:pos="1980"/>
          <w:tab w:val="left" w:pos="2520"/>
        </w:tabs>
        <w:snapToGrid w:val="0"/>
        <w:spacing w:line="360" w:lineRule="auto"/>
        <w:ind w:left="1440" w:firstLine="5"/>
        <w:rPr>
          <w:sz w:val="24"/>
          <w:highlight w:val="none"/>
        </w:rPr>
      </w:pPr>
      <w:r>
        <w:rPr>
          <w:sz w:val="24"/>
          <w:highlight w:val="none"/>
        </w:rPr>
        <w:t>采购邀请</w:t>
      </w:r>
    </w:p>
    <w:p w14:paraId="410AE0E9">
      <w:pPr>
        <w:numPr>
          <w:ilvl w:val="0"/>
          <w:numId w:val="22"/>
        </w:numPr>
        <w:tabs>
          <w:tab w:val="left" w:pos="1980"/>
          <w:tab w:val="left" w:pos="2520"/>
        </w:tabs>
        <w:snapToGrid w:val="0"/>
        <w:spacing w:line="360" w:lineRule="auto"/>
        <w:ind w:left="1440" w:firstLine="5"/>
        <w:rPr>
          <w:sz w:val="24"/>
          <w:highlight w:val="none"/>
        </w:rPr>
      </w:pPr>
      <w:r>
        <w:rPr>
          <w:sz w:val="24"/>
          <w:highlight w:val="none"/>
        </w:rPr>
        <w:t>供应商须知</w:t>
      </w:r>
    </w:p>
    <w:p w14:paraId="50DE08A2">
      <w:pPr>
        <w:numPr>
          <w:ilvl w:val="0"/>
          <w:numId w:val="22"/>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106EA03F">
      <w:pPr>
        <w:numPr>
          <w:ilvl w:val="0"/>
          <w:numId w:val="22"/>
        </w:numPr>
        <w:tabs>
          <w:tab w:val="left" w:pos="1980"/>
          <w:tab w:val="left" w:pos="2520"/>
        </w:tabs>
        <w:snapToGrid w:val="0"/>
        <w:spacing w:line="360" w:lineRule="auto"/>
        <w:ind w:left="1440" w:firstLine="5"/>
        <w:rPr>
          <w:sz w:val="24"/>
          <w:highlight w:val="none"/>
        </w:rPr>
      </w:pPr>
      <w:r>
        <w:rPr>
          <w:sz w:val="24"/>
          <w:highlight w:val="none"/>
        </w:rPr>
        <w:t>采购需求</w:t>
      </w:r>
    </w:p>
    <w:p w14:paraId="147AC977">
      <w:pPr>
        <w:numPr>
          <w:ilvl w:val="0"/>
          <w:numId w:val="22"/>
        </w:numPr>
        <w:tabs>
          <w:tab w:val="left" w:pos="1980"/>
          <w:tab w:val="left" w:pos="2520"/>
        </w:tabs>
        <w:snapToGrid w:val="0"/>
        <w:spacing w:line="360" w:lineRule="auto"/>
        <w:ind w:left="1440" w:firstLine="5"/>
        <w:rPr>
          <w:sz w:val="24"/>
          <w:highlight w:val="none"/>
        </w:rPr>
      </w:pPr>
      <w:r>
        <w:rPr>
          <w:sz w:val="24"/>
          <w:highlight w:val="none"/>
        </w:rPr>
        <w:t>合同草案条款</w:t>
      </w:r>
    </w:p>
    <w:p w14:paraId="598C1D3E">
      <w:pPr>
        <w:numPr>
          <w:ilvl w:val="0"/>
          <w:numId w:val="22"/>
        </w:numPr>
        <w:tabs>
          <w:tab w:val="left" w:pos="1980"/>
          <w:tab w:val="left" w:pos="2520"/>
        </w:tabs>
        <w:snapToGrid w:val="0"/>
        <w:spacing w:line="360" w:lineRule="auto"/>
        <w:ind w:left="1440" w:firstLine="5"/>
        <w:rPr>
          <w:sz w:val="24"/>
          <w:highlight w:val="none"/>
        </w:rPr>
      </w:pPr>
      <w:r>
        <w:rPr>
          <w:sz w:val="24"/>
          <w:highlight w:val="none"/>
        </w:rPr>
        <w:t>响应文件格式</w:t>
      </w:r>
    </w:p>
    <w:p w14:paraId="667D927B">
      <w:pPr>
        <w:numPr>
          <w:ilvl w:val="1"/>
          <w:numId w:val="20"/>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1E03E103">
      <w:pPr>
        <w:numPr>
          <w:ilvl w:val="0"/>
          <w:numId w:val="20"/>
        </w:numPr>
        <w:tabs>
          <w:tab w:val="left" w:pos="1080"/>
          <w:tab w:val="left" w:pos="2014"/>
        </w:tabs>
        <w:snapToGrid w:val="0"/>
        <w:spacing w:line="360" w:lineRule="auto"/>
        <w:ind w:left="357" w:hanging="357"/>
        <w:outlineLvl w:val="1"/>
        <w:rPr>
          <w:sz w:val="24"/>
          <w:highlight w:val="none"/>
        </w:rPr>
      </w:pPr>
      <w:r>
        <w:rPr>
          <w:sz w:val="24"/>
          <w:highlight w:val="none"/>
        </w:rPr>
        <w:t>对竞争性磋商文件的澄清或修改</w:t>
      </w:r>
    </w:p>
    <w:p w14:paraId="4811499A">
      <w:pPr>
        <w:numPr>
          <w:ilvl w:val="1"/>
          <w:numId w:val="20"/>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74249553">
      <w:pPr>
        <w:numPr>
          <w:ilvl w:val="1"/>
          <w:numId w:val="20"/>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6D84DE2E">
      <w:pPr>
        <w:numPr>
          <w:ilvl w:val="1"/>
          <w:numId w:val="20"/>
        </w:numPr>
        <w:tabs>
          <w:tab w:val="left" w:pos="1080"/>
          <w:tab w:val="left" w:pos="1561"/>
          <w:tab w:val="left" w:pos="2014"/>
        </w:tabs>
        <w:snapToGrid w:val="0"/>
        <w:spacing w:line="360" w:lineRule="auto"/>
        <w:ind w:left="1080" w:hanging="720"/>
        <w:rPr>
          <w:rFonts w:hint="eastAsia"/>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1AA1361A">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7EE58D5B">
      <w:pPr>
        <w:tabs>
          <w:tab w:val="left" w:pos="1080"/>
          <w:tab w:val="left" w:pos="1561"/>
        </w:tabs>
        <w:snapToGrid w:val="0"/>
        <w:spacing w:line="360" w:lineRule="auto"/>
        <w:ind w:left="1080"/>
        <w:rPr>
          <w:sz w:val="28"/>
          <w:highlight w:val="none"/>
        </w:rPr>
      </w:pPr>
      <w:bookmarkStart w:id="185" w:name="_Toc516367020"/>
      <w:bookmarkStart w:id="186" w:name="_Toc150509277"/>
      <w:bookmarkStart w:id="187" w:name="_Toc151193840"/>
      <w:bookmarkStart w:id="188" w:name="_Toc150774731"/>
      <w:bookmarkStart w:id="189" w:name="_Toc264969216"/>
      <w:bookmarkStart w:id="190" w:name="_Toc151193914"/>
      <w:bookmarkStart w:id="191" w:name="_Toc226309770"/>
      <w:bookmarkStart w:id="192" w:name="_Toc151193696"/>
      <w:bookmarkStart w:id="193" w:name="_Toc151190153"/>
      <w:bookmarkStart w:id="194" w:name="_Toc305158794"/>
      <w:bookmarkStart w:id="195" w:name="_Toc150480764"/>
      <w:bookmarkStart w:id="196" w:name="_Toc142311028"/>
      <w:bookmarkStart w:id="197" w:name="_Toc151193768"/>
      <w:bookmarkStart w:id="198" w:name="_Toc226965799"/>
      <w:bookmarkStart w:id="199" w:name="_Toc127151526"/>
      <w:bookmarkStart w:id="200" w:name="_Toc520356150"/>
      <w:bookmarkStart w:id="201" w:name="_Toc195842891"/>
      <w:bookmarkStart w:id="202" w:name="_Toc226965716"/>
      <w:bookmarkStart w:id="203" w:name="_Toc151193624"/>
      <w:bookmarkStart w:id="204" w:name="_Toc226337222"/>
      <w:bookmarkStart w:id="205" w:name="_Toc150774626"/>
      <w:bookmarkStart w:id="206" w:name="_Toc265228364"/>
      <w:bookmarkStart w:id="207" w:name="_Toc305158868"/>
    </w:p>
    <w:p w14:paraId="0407022A">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5"/>
      <w:r>
        <w:rPr>
          <w:rFonts w:ascii="Times New Roman" w:hAnsi="Times New Roman" w:eastAsia="宋体"/>
          <w:sz w:val="28"/>
          <w:highlight w:val="none"/>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4A989DC">
      <w:pPr>
        <w:numPr>
          <w:ilvl w:val="0"/>
          <w:numId w:val="20"/>
        </w:numPr>
        <w:tabs>
          <w:tab w:val="left" w:pos="360"/>
        </w:tabs>
        <w:snapToGrid w:val="0"/>
        <w:spacing w:line="360" w:lineRule="auto"/>
        <w:ind w:left="357" w:hanging="357"/>
        <w:outlineLvl w:val="1"/>
        <w:rPr>
          <w:sz w:val="24"/>
          <w:highlight w:val="none"/>
        </w:rPr>
      </w:pPr>
      <w:bookmarkStart w:id="208" w:name="_Toc520356151"/>
      <w:bookmarkStart w:id="209" w:name="_Toc164608641"/>
      <w:bookmarkStart w:id="210" w:name="_Toc226965800"/>
      <w:bookmarkStart w:id="211" w:name="_Toc164229368"/>
      <w:bookmarkStart w:id="212" w:name="_Toc150509278"/>
      <w:bookmarkStart w:id="213" w:name="_Toc164229222"/>
      <w:bookmarkStart w:id="214" w:name="_Toc127151728"/>
      <w:bookmarkStart w:id="215" w:name="_Toc151193697"/>
      <w:bookmarkStart w:id="216" w:name="_Toc150774627"/>
      <w:bookmarkStart w:id="217" w:name="_Toc264969217"/>
      <w:bookmarkStart w:id="218" w:name="_Toc226337223"/>
      <w:bookmarkStart w:id="219" w:name="_Toc151193625"/>
      <w:bookmarkStart w:id="220" w:name="_Toc127161441"/>
      <w:bookmarkStart w:id="221" w:name="_Toc151193769"/>
      <w:bookmarkStart w:id="222" w:name="_Toc305158795"/>
      <w:bookmarkStart w:id="223" w:name="_Toc305158869"/>
      <w:bookmarkStart w:id="224" w:name="_Toc151193841"/>
      <w:bookmarkStart w:id="225" w:name="_Toc150774732"/>
      <w:bookmarkStart w:id="226" w:name="_Toc151193915"/>
      <w:bookmarkStart w:id="227" w:name="_Toc195842892"/>
      <w:bookmarkStart w:id="228" w:name="_Toc150480765"/>
      <w:bookmarkStart w:id="229" w:name="_Toc149720820"/>
      <w:bookmarkStart w:id="230" w:name="_Toc226965717"/>
      <w:bookmarkStart w:id="231" w:name="_Toc151190154"/>
      <w:bookmarkStart w:id="232" w:name="_Toc164608796"/>
      <w:bookmarkStart w:id="233" w:name="_Toc226309771"/>
      <w:bookmarkStart w:id="234" w:name="_Toc265228365"/>
      <w:bookmarkStart w:id="235" w:name="_Toc164351621"/>
      <w:bookmarkStart w:id="236" w:name="_Toc127151527"/>
      <w:bookmarkStart w:id="237" w:name="_Toc142311029"/>
      <w:bookmarkStart w:id="238" w:name="_Toc516367021"/>
      <w:r>
        <w:rPr>
          <w:sz w:val="24"/>
          <w:highlight w:val="none"/>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z w:val="24"/>
          <w:highlight w:val="none"/>
        </w:rPr>
        <w:t>及磋商语言</w:t>
      </w:r>
    </w:p>
    <w:p w14:paraId="38BB5ADD">
      <w:pPr>
        <w:numPr>
          <w:ilvl w:val="1"/>
          <w:numId w:val="20"/>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28DEE138">
      <w:pPr>
        <w:numPr>
          <w:ilvl w:val="1"/>
          <w:numId w:val="20"/>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4550D546">
      <w:pPr>
        <w:numPr>
          <w:ilvl w:val="1"/>
          <w:numId w:val="20"/>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44122F7">
      <w:pPr>
        <w:numPr>
          <w:ilvl w:val="0"/>
          <w:numId w:val="20"/>
        </w:numPr>
        <w:tabs>
          <w:tab w:val="left" w:pos="360"/>
        </w:tabs>
        <w:snapToGrid w:val="0"/>
        <w:spacing w:line="360" w:lineRule="auto"/>
        <w:ind w:left="357" w:hanging="357"/>
        <w:outlineLvl w:val="1"/>
        <w:rPr>
          <w:sz w:val="24"/>
          <w:highlight w:val="none"/>
        </w:rPr>
      </w:pPr>
      <w:bookmarkStart w:id="239" w:name="_Ref467306676"/>
      <w:bookmarkStart w:id="240" w:name="_Toc516367022"/>
      <w:bookmarkStart w:id="241" w:name="_Ref467306195"/>
      <w:bookmarkStart w:id="242" w:name="_Toc164608642"/>
      <w:bookmarkStart w:id="243" w:name="_Toc226337224"/>
      <w:bookmarkStart w:id="244" w:name="_Toc151193698"/>
      <w:bookmarkStart w:id="245" w:name="_Toc151193916"/>
      <w:bookmarkStart w:id="246" w:name="_Toc195842893"/>
      <w:bookmarkStart w:id="247" w:name="_Toc151193770"/>
      <w:bookmarkStart w:id="248" w:name="_Toc520356152"/>
      <w:bookmarkStart w:id="249" w:name="_Toc226309772"/>
      <w:bookmarkStart w:id="250" w:name="_Toc151193626"/>
      <w:bookmarkStart w:id="251" w:name="_Toc127151528"/>
      <w:bookmarkStart w:id="252" w:name="_Toc151193842"/>
      <w:bookmarkStart w:id="253" w:name="_Toc264969218"/>
      <w:bookmarkStart w:id="254" w:name="_Toc127151729"/>
      <w:bookmarkStart w:id="255" w:name="_Toc127161442"/>
      <w:bookmarkStart w:id="256" w:name="_Toc265228366"/>
      <w:bookmarkStart w:id="257" w:name="_Toc149720821"/>
      <w:bookmarkStart w:id="258" w:name="_Toc150774628"/>
      <w:bookmarkStart w:id="259" w:name="_Toc150774733"/>
      <w:bookmarkStart w:id="260" w:name="_Toc164229223"/>
      <w:bookmarkStart w:id="261" w:name="_Toc150480766"/>
      <w:bookmarkStart w:id="262" w:name="_Toc305158796"/>
      <w:bookmarkStart w:id="263" w:name="_Toc226965801"/>
      <w:bookmarkStart w:id="264" w:name="_Toc305158870"/>
      <w:bookmarkStart w:id="265" w:name="_Toc164608797"/>
      <w:bookmarkStart w:id="266" w:name="_Toc151190155"/>
      <w:bookmarkStart w:id="267" w:name="_Toc142311030"/>
      <w:bookmarkStart w:id="268" w:name="_Toc226965718"/>
      <w:bookmarkStart w:id="269" w:name="_Toc164351622"/>
      <w:bookmarkStart w:id="270" w:name="_Toc150509279"/>
      <w:bookmarkStart w:id="271" w:name="_Toc164229369"/>
      <w:r>
        <w:rPr>
          <w:sz w:val="24"/>
          <w:highlight w:val="none"/>
        </w:rPr>
        <w:t>响应文件</w:t>
      </w:r>
      <w:bookmarkEnd w:id="239"/>
      <w:bookmarkEnd w:id="240"/>
      <w:bookmarkEnd w:id="241"/>
      <w:r>
        <w:rPr>
          <w:sz w:val="24"/>
          <w:highlight w:val="none"/>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058A2CC">
      <w:pPr>
        <w:numPr>
          <w:ilvl w:val="1"/>
          <w:numId w:val="20"/>
        </w:numPr>
        <w:tabs>
          <w:tab w:val="left" w:pos="1080"/>
          <w:tab w:val="left" w:pos="2014"/>
        </w:tabs>
        <w:snapToGrid w:val="0"/>
        <w:spacing w:line="360" w:lineRule="auto"/>
        <w:ind w:left="1077" w:hanging="720"/>
        <w:rPr>
          <w:sz w:val="24"/>
          <w:highlight w:val="none"/>
        </w:rPr>
      </w:pPr>
      <w:bookmarkStart w:id="272"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7536B70D">
      <w:pPr>
        <w:numPr>
          <w:ilvl w:val="1"/>
          <w:numId w:val="20"/>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4B1AD79E">
      <w:pPr>
        <w:numPr>
          <w:ilvl w:val="1"/>
          <w:numId w:val="20"/>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39E2456F">
      <w:pPr>
        <w:numPr>
          <w:ilvl w:val="1"/>
          <w:numId w:val="20"/>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8CFD7F7">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72"/>
    </w:p>
    <w:p w14:paraId="4E838F47">
      <w:pPr>
        <w:numPr>
          <w:ilvl w:val="0"/>
          <w:numId w:val="20"/>
        </w:numPr>
        <w:tabs>
          <w:tab w:val="left" w:pos="360"/>
        </w:tabs>
        <w:snapToGrid w:val="0"/>
        <w:spacing w:line="360" w:lineRule="auto"/>
        <w:ind w:left="357" w:hanging="357"/>
        <w:outlineLvl w:val="1"/>
        <w:rPr>
          <w:sz w:val="24"/>
          <w:highlight w:val="none"/>
        </w:rPr>
      </w:pPr>
      <w:bookmarkStart w:id="273" w:name="_Toc164229225"/>
      <w:bookmarkStart w:id="274" w:name="_Toc127161444"/>
      <w:bookmarkStart w:id="275" w:name="_Toc151190157"/>
      <w:bookmarkStart w:id="276" w:name="_Toc127151731"/>
      <w:bookmarkStart w:id="277" w:name="_Toc164608644"/>
      <w:bookmarkStart w:id="278" w:name="_Toc150480768"/>
      <w:bookmarkStart w:id="279" w:name="_Toc150774735"/>
      <w:bookmarkStart w:id="280" w:name="_Toc150774630"/>
      <w:bookmarkStart w:id="281" w:name="_Toc151193700"/>
      <w:bookmarkStart w:id="282" w:name="_Toc142311032"/>
      <w:bookmarkStart w:id="283" w:name="_Toc149720823"/>
      <w:bookmarkStart w:id="284" w:name="_Toc151193628"/>
      <w:bookmarkStart w:id="285" w:name="_Toc150509281"/>
      <w:bookmarkStart w:id="286" w:name="_Toc127151530"/>
      <w:bookmarkStart w:id="287" w:name="_Toc151193844"/>
      <w:bookmarkStart w:id="288" w:name="_Toc164351624"/>
      <w:bookmarkStart w:id="289" w:name="_Toc151193772"/>
      <w:bookmarkStart w:id="290" w:name="_Toc520356155"/>
      <w:bookmarkStart w:id="291" w:name="_Toc151193918"/>
      <w:bookmarkStart w:id="292" w:name="_Toc195842895"/>
      <w:bookmarkStart w:id="293" w:name="_Toc164608799"/>
      <w:bookmarkStart w:id="294" w:name="_Toc164229371"/>
      <w:r>
        <w:rPr>
          <w:sz w:val="24"/>
          <w:highlight w:val="none"/>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9426A44">
      <w:pPr>
        <w:numPr>
          <w:ilvl w:val="1"/>
          <w:numId w:val="20"/>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5484DDB8">
      <w:pPr>
        <w:numPr>
          <w:ilvl w:val="1"/>
          <w:numId w:val="20"/>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22F6B140">
      <w:pPr>
        <w:numPr>
          <w:ilvl w:val="2"/>
          <w:numId w:val="20"/>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1D856245">
      <w:pPr>
        <w:numPr>
          <w:ilvl w:val="2"/>
          <w:numId w:val="20"/>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6542D099">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189E872E">
      <w:pPr>
        <w:numPr>
          <w:ilvl w:val="1"/>
          <w:numId w:val="20"/>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1BBBEE95">
      <w:pPr>
        <w:numPr>
          <w:ilvl w:val="0"/>
          <w:numId w:val="20"/>
        </w:numPr>
        <w:tabs>
          <w:tab w:val="left" w:pos="360"/>
        </w:tabs>
        <w:snapToGrid w:val="0"/>
        <w:spacing w:line="360" w:lineRule="auto"/>
        <w:ind w:left="357" w:hanging="357"/>
        <w:outlineLvl w:val="1"/>
        <w:rPr>
          <w:sz w:val="24"/>
          <w:highlight w:val="none"/>
        </w:rPr>
      </w:pPr>
      <w:r>
        <w:rPr>
          <w:sz w:val="24"/>
          <w:highlight w:val="none"/>
        </w:rPr>
        <w:t>磋商保证金</w:t>
      </w:r>
    </w:p>
    <w:p w14:paraId="7F9F7866">
      <w:pPr>
        <w:numPr>
          <w:ilvl w:val="1"/>
          <w:numId w:val="20"/>
        </w:numPr>
        <w:tabs>
          <w:tab w:val="left" w:pos="1080"/>
          <w:tab w:val="left" w:pos="2014"/>
        </w:tabs>
        <w:snapToGrid w:val="0"/>
        <w:spacing w:line="360" w:lineRule="auto"/>
        <w:ind w:left="1077" w:hanging="720"/>
        <w:rPr>
          <w:sz w:val="24"/>
          <w:highlight w:val="none"/>
        </w:rPr>
      </w:pPr>
      <w:bookmarkStart w:id="295" w:name="_Ref467306302"/>
      <w:r>
        <w:rPr>
          <w:sz w:val="24"/>
          <w:highlight w:val="none"/>
        </w:rPr>
        <w:t>供应商应按《供应商须知资料表》中规定的金额及要求交纳磋商保证金</w:t>
      </w:r>
      <w:bookmarkEnd w:id="295"/>
      <w:r>
        <w:rPr>
          <w:sz w:val="24"/>
          <w:highlight w:val="none"/>
        </w:rPr>
        <w:t>。</w:t>
      </w:r>
    </w:p>
    <w:p w14:paraId="77702769">
      <w:pPr>
        <w:numPr>
          <w:ilvl w:val="1"/>
          <w:numId w:val="20"/>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3DD7C0E4">
      <w:pPr>
        <w:numPr>
          <w:ilvl w:val="1"/>
          <w:numId w:val="20"/>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0899E8E8">
      <w:pPr>
        <w:numPr>
          <w:ilvl w:val="1"/>
          <w:numId w:val="20"/>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5A7E753F">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517EC3E3">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18B1FD9">
      <w:pPr>
        <w:numPr>
          <w:ilvl w:val="2"/>
          <w:numId w:val="20"/>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35BB7E19">
      <w:pPr>
        <w:numPr>
          <w:ilvl w:val="2"/>
          <w:numId w:val="20"/>
        </w:numPr>
        <w:snapToGrid w:val="0"/>
        <w:spacing w:line="360" w:lineRule="auto"/>
        <w:rPr>
          <w:sz w:val="24"/>
          <w:highlight w:val="none"/>
        </w:rPr>
      </w:pPr>
      <w:r>
        <w:rPr>
          <w:sz w:val="24"/>
          <w:highlight w:val="none"/>
        </w:rPr>
        <w:t>成交供应商的磋商保证金，在采购合同签订后5个工作日内退还成交供应商；</w:t>
      </w:r>
    </w:p>
    <w:p w14:paraId="2F8C149A">
      <w:pPr>
        <w:numPr>
          <w:ilvl w:val="2"/>
          <w:numId w:val="20"/>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17A0022A">
      <w:pPr>
        <w:numPr>
          <w:ilvl w:val="1"/>
          <w:numId w:val="20"/>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5CB3C691">
      <w:pPr>
        <w:numPr>
          <w:ilvl w:val="2"/>
          <w:numId w:val="20"/>
        </w:numPr>
        <w:snapToGrid w:val="0"/>
        <w:spacing w:line="360" w:lineRule="auto"/>
        <w:rPr>
          <w:sz w:val="24"/>
          <w:highlight w:val="none"/>
        </w:rPr>
      </w:pPr>
      <w:r>
        <w:rPr>
          <w:sz w:val="24"/>
          <w:highlight w:val="none"/>
        </w:rPr>
        <w:t>供应商在提交响应文件截止时间后撤回响应文件的；</w:t>
      </w:r>
    </w:p>
    <w:p w14:paraId="4CA881F2">
      <w:pPr>
        <w:numPr>
          <w:ilvl w:val="2"/>
          <w:numId w:val="20"/>
        </w:numPr>
        <w:snapToGrid w:val="0"/>
        <w:spacing w:line="360" w:lineRule="auto"/>
        <w:rPr>
          <w:sz w:val="24"/>
          <w:highlight w:val="none"/>
        </w:rPr>
      </w:pPr>
      <w:r>
        <w:rPr>
          <w:sz w:val="24"/>
          <w:highlight w:val="none"/>
        </w:rPr>
        <w:t>供应商在响应文件中提供虚假材料的；</w:t>
      </w:r>
    </w:p>
    <w:p w14:paraId="383F6FC7">
      <w:pPr>
        <w:numPr>
          <w:ilvl w:val="2"/>
          <w:numId w:val="20"/>
        </w:numPr>
        <w:snapToGrid w:val="0"/>
        <w:spacing w:line="360" w:lineRule="auto"/>
        <w:rPr>
          <w:sz w:val="24"/>
          <w:highlight w:val="none"/>
        </w:rPr>
      </w:pPr>
      <w:r>
        <w:rPr>
          <w:sz w:val="24"/>
          <w:highlight w:val="none"/>
        </w:rPr>
        <w:t>除因不可抗力或磋商文件认可的情形以外，成交供应商不与采购人签订合同的；</w:t>
      </w:r>
    </w:p>
    <w:p w14:paraId="36CDBC3A">
      <w:pPr>
        <w:numPr>
          <w:ilvl w:val="2"/>
          <w:numId w:val="20"/>
        </w:numPr>
        <w:snapToGrid w:val="0"/>
        <w:spacing w:line="360" w:lineRule="auto"/>
        <w:rPr>
          <w:sz w:val="24"/>
          <w:highlight w:val="none"/>
        </w:rPr>
      </w:pPr>
      <w:r>
        <w:rPr>
          <w:sz w:val="24"/>
          <w:highlight w:val="none"/>
        </w:rPr>
        <w:t>供应商与采购人、其他供应商或者采购代理机构恶意串通的；</w:t>
      </w:r>
    </w:p>
    <w:p w14:paraId="6F3C00E6">
      <w:pPr>
        <w:numPr>
          <w:ilvl w:val="2"/>
          <w:numId w:val="20"/>
        </w:numPr>
        <w:snapToGrid w:val="0"/>
        <w:spacing w:line="360" w:lineRule="auto"/>
        <w:rPr>
          <w:sz w:val="24"/>
          <w:highlight w:val="none"/>
        </w:rPr>
      </w:pPr>
      <w:r>
        <w:rPr>
          <w:sz w:val="24"/>
          <w:highlight w:val="none"/>
        </w:rPr>
        <w:t>《供应商须知资料表》规定的其他情形。</w:t>
      </w:r>
    </w:p>
    <w:p w14:paraId="416D4661">
      <w:pPr>
        <w:numPr>
          <w:ilvl w:val="0"/>
          <w:numId w:val="20"/>
        </w:numPr>
        <w:tabs>
          <w:tab w:val="left" w:pos="360"/>
        </w:tabs>
        <w:snapToGrid w:val="0"/>
        <w:spacing w:line="360" w:lineRule="auto"/>
        <w:ind w:left="357" w:hanging="357"/>
        <w:outlineLvl w:val="1"/>
        <w:rPr>
          <w:sz w:val="24"/>
          <w:highlight w:val="none"/>
        </w:rPr>
      </w:pPr>
      <w:r>
        <w:rPr>
          <w:sz w:val="24"/>
          <w:highlight w:val="none"/>
        </w:rPr>
        <w:t>响应有效期</w:t>
      </w:r>
    </w:p>
    <w:p w14:paraId="4D311FF5">
      <w:pPr>
        <w:numPr>
          <w:ilvl w:val="1"/>
          <w:numId w:val="20"/>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58EEEBED">
      <w:pPr>
        <w:numPr>
          <w:ilvl w:val="0"/>
          <w:numId w:val="20"/>
        </w:numPr>
        <w:tabs>
          <w:tab w:val="left" w:pos="360"/>
        </w:tabs>
        <w:snapToGrid w:val="0"/>
        <w:spacing w:line="360" w:lineRule="auto"/>
        <w:ind w:left="357" w:hanging="357"/>
        <w:outlineLvl w:val="1"/>
        <w:rPr>
          <w:sz w:val="24"/>
          <w:highlight w:val="none"/>
        </w:rPr>
      </w:pPr>
      <w:bookmarkStart w:id="296" w:name="_Toc142311035"/>
      <w:bookmarkStart w:id="297" w:name="_Toc151190160"/>
      <w:bookmarkStart w:id="298" w:name="_Toc226309777"/>
      <w:bookmarkStart w:id="299" w:name="_Toc164229374"/>
      <w:bookmarkStart w:id="300" w:name="_Toc150480771"/>
      <w:bookmarkStart w:id="301" w:name="_Toc264969223"/>
      <w:bookmarkStart w:id="302" w:name="_Toc151193631"/>
      <w:bookmarkStart w:id="303" w:name="_Toc226337229"/>
      <w:bookmarkStart w:id="304" w:name="_Toc149720826"/>
      <w:bookmarkStart w:id="305" w:name="_Toc195842898"/>
      <w:bookmarkStart w:id="306" w:name="_Toc226965806"/>
      <w:bookmarkStart w:id="307" w:name="_Toc150509284"/>
      <w:bookmarkStart w:id="308" w:name="_Toc151193775"/>
      <w:bookmarkStart w:id="309" w:name="_Toc265228371"/>
      <w:bookmarkStart w:id="310" w:name="_Toc127161447"/>
      <w:bookmarkStart w:id="311" w:name="_Toc164229228"/>
      <w:bookmarkStart w:id="312" w:name="_Toc305158801"/>
      <w:bookmarkStart w:id="313" w:name="_Toc151193847"/>
      <w:bookmarkStart w:id="314" w:name="_Toc164351627"/>
      <w:bookmarkStart w:id="315" w:name="_Toc164608802"/>
      <w:bookmarkStart w:id="316" w:name="_Toc305158875"/>
      <w:bookmarkStart w:id="317" w:name="_Toc164608647"/>
      <w:bookmarkStart w:id="318" w:name="_Toc127151734"/>
      <w:bookmarkStart w:id="319" w:name="_Toc150774633"/>
      <w:bookmarkStart w:id="320" w:name="_Toc151193921"/>
      <w:bookmarkStart w:id="321" w:name="_Toc520356158"/>
      <w:bookmarkStart w:id="322" w:name="_Toc226965723"/>
      <w:bookmarkStart w:id="323" w:name="_Toc127151533"/>
      <w:bookmarkStart w:id="324" w:name="_Toc150774738"/>
      <w:bookmarkStart w:id="325" w:name="_Toc151193703"/>
      <w:r>
        <w:rPr>
          <w:sz w:val="24"/>
          <w:highlight w:val="none"/>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highlight w:val="none"/>
        </w:rPr>
        <w:t>、盖章</w:t>
      </w:r>
    </w:p>
    <w:p w14:paraId="53648A30">
      <w:pPr>
        <w:numPr>
          <w:ilvl w:val="1"/>
          <w:numId w:val="20"/>
        </w:numPr>
        <w:tabs>
          <w:tab w:val="left" w:pos="1080"/>
        </w:tabs>
        <w:snapToGrid w:val="0"/>
        <w:spacing w:line="360" w:lineRule="auto"/>
        <w:rPr>
          <w:sz w:val="24"/>
          <w:highlight w:val="none"/>
        </w:rPr>
      </w:pPr>
      <w:bookmarkStart w:id="326" w:name="_Toc150774634"/>
      <w:bookmarkStart w:id="327" w:name="_Toc305158802"/>
      <w:bookmarkStart w:id="328" w:name="_Toc127151534"/>
      <w:bookmarkStart w:id="329" w:name="_Toc265228372"/>
      <w:bookmarkStart w:id="330" w:name="_Toc226965724"/>
      <w:bookmarkStart w:id="331" w:name="_Toc151193632"/>
      <w:bookmarkStart w:id="332" w:name="_Toc151193704"/>
      <w:bookmarkStart w:id="333" w:name="_Toc150480772"/>
      <w:bookmarkStart w:id="334" w:name="_Toc151193848"/>
      <w:bookmarkStart w:id="335" w:name="_Toc151193776"/>
      <w:bookmarkStart w:id="336" w:name="_Toc520356159"/>
      <w:bookmarkStart w:id="337" w:name="_Toc150509285"/>
      <w:bookmarkStart w:id="338" w:name="_Toc151193922"/>
      <w:bookmarkStart w:id="339" w:name="_Toc226965807"/>
      <w:bookmarkStart w:id="340" w:name="_Toc195842899"/>
      <w:bookmarkStart w:id="341" w:name="_Toc151190161"/>
      <w:bookmarkStart w:id="342" w:name="_Toc264969224"/>
      <w:bookmarkStart w:id="343" w:name="_Toc305158876"/>
      <w:bookmarkStart w:id="344" w:name="_Toc150774739"/>
      <w:bookmarkStart w:id="345" w:name="_Toc226337230"/>
      <w:bookmarkStart w:id="346" w:name="_Toc226309778"/>
      <w:bookmarkStart w:id="347" w:name="_Toc142311036"/>
      <w:r>
        <w:rPr>
          <w:sz w:val="24"/>
          <w:highlight w:val="none"/>
        </w:rPr>
        <w:t>竞争性磋商文件要求签字的内容（如授权委托书等），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第三方出具的盖章件原件（如联合协议、分包意向协议、制造商授权书原件等），响应文件中应使用原件的电子件。</w:t>
      </w:r>
    </w:p>
    <w:p w14:paraId="71A30C5E">
      <w:pPr>
        <w:numPr>
          <w:ilvl w:val="1"/>
          <w:numId w:val="20"/>
        </w:numPr>
        <w:tabs>
          <w:tab w:val="left" w:pos="1080"/>
          <w:tab w:val="left" w:pos="2014"/>
        </w:tabs>
        <w:snapToGrid w:val="0"/>
        <w:spacing w:line="360" w:lineRule="auto"/>
        <w:ind w:left="1077" w:hanging="720"/>
        <w:rPr>
          <w:sz w:val="24"/>
          <w:highlight w:val="none"/>
        </w:rPr>
      </w:pPr>
      <w:r>
        <w:rPr>
          <w:sz w:val="24"/>
          <w:highlight w:val="none"/>
        </w:rPr>
        <w:t>竞争性磋商文件要求盖章的内容，</w:t>
      </w:r>
      <w:r>
        <w:rPr>
          <w:rFonts w:hint="eastAsia"/>
          <w:sz w:val="24"/>
          <w:highlight w:val="none"/>
        </w:rPr>
        <w:t>一般</w:t>
      </w:r>
      <w:r>
        <w:rPr>
          <w:sz w:val="24"/>
          <w:highlight w:val="none"/>
        </w:rPr>
        <w:t>通过投标文件编制工具加盖电子签章。</w:t>
      </w:r>
    </w:p>
    <w:p w14:paraId="20C175BF">
      <w:pPr>
        <w:tabs>
          <w:tab w:val="left" w:pos="900"/>
          <w:tab w:val="left" w:pos="1080"/>
        </w:tabs>
        <w:snapToGrid w:val="0"/>
        <w:spacing w:line="360" w:lineRule="auto"/>
        <w:ind w:left="357"/>
        <w:rPr>
          <w:highlight w:val="none"/>
        </w:rPr>
      </w:pPr>
    </w:p>
    <w:p w14:paraId="7BFEC6E3">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032FEDE">
      <w:pPr>
        <w:numPr>
          <w:ilvl w:val="0"/>
          <w:numId w:val="20"/>
        </w:numPr>
        <w:tabs>
          <w:tab w:val="left" w:pos="360"/>
        </w:tabs>
        <w:snapToGrid w:val="0"/>
        <w:spacing w:line="360" w:lineRule="auto"/>
        <w:ind w:left="357" w:hanging="357"/>
        <w:outlineLvl w:val="1"/>
        <w:rPr>
          <w:sz w:val="24"/>
          <w:highlight w:val="none"/>
        </w:rPr>
      </w:pPr>
      <w:bookmarkStart w:id="348" w:name="_Toc127161449"/>
      <w:bookmarkStart w:id="349" w:name="_Toc151193633"/>
      <w:bookmarkStart w:id="350" w:name="_Toc150774635"/>
      <w:bookmarkStart w:id="351" w:name="_Toc226965725"/>
      <w:bookmarkStart w:id="352" w:name="_Toc150774740"/>
      <w:bookmarkStart w:id="353" w:name="_Toc164351629"/>
      <w:bookmarkStart w:id="354" w:name="_Toc195842900"/>
      <w:bookmarkStart w:id="355" w:name="_Toc127151535"/>
      <w:bookmarkStart w:id="356" w:name="_Toc226337231"/>
      <w:bookmarkStart w:id="357" w:name="_Toc164229230"/>
      <w:bookmarkStart w:id="358" w:name="_Toc151190162"/>
      <w:bookmarkStart w:id="359" w:name="_Toc149720828"/>
      <w:bookmarkStart w:id="360" w:name="_Toc264969225"/>
      <w:bookmarkStart w:id="361" w:name="_Toc151193923"/>
      <w:bookmarkStart w:id="362" w:name="_Toc305158803"/>
      <w:bookmarkStart w:id="363" w:name="_Toc520356160"/>
      <w:bookmarkStart w:id="364" w:name="_Toc150480773"/>
      <w:bookmarkStart w:id="365" w:name="_Toc142311037"/>
      <w:bookmarkStart w:id="366" w:name="_Toc164229376"/>
      <w:bookmarkStart w:id="367" w:name="_Toc164608649"/>
      <w:bookmarkStart w:id="368" w:name="_Toc127151736"/>
      <w:bookmarkStart w:id="369" w:name="_Toc305158877"/>
      <w:bookmarkStart w:id="370" w:name="_Toc164608804"/>
      <w:bookmarkStart w:id="371" w:name="_Toc265228373"/>
      <w:bookmarkStart w:id="372" w:name="_Toc150509286"/>
      <w:bookmarkStart w:id="373" w:name="_Toc151193705"/>
      <w:bookmarkStart w:id="374" w:name="_Toc151193777"/>
      <w:bookmarkStart w:id="375" w:name="_Toc226309779"/>
      <w:bookmarkStart w:id="376" w:name="_Toc226965808"/>
      <w:bookmarkStart w:id="377" w:name="_Toc151193849"/>
      <w:r>
        <w:rPr>
          <w:sz w:val="24"/>
          <w:highlight w:val="none"/>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highlight w:val="none"/>
        </w:rPr>
        <w:t>提交</w:t>
      </w:r>
    </w:p>
    <w:p w14:paraId="44FE4967">
      <w:pPr>
        <w:numPr>
          <w:ilvl w:val="1"/>
          <w:numId w:val="20"/>
        </w:numPr>
        <w:tabs>
          <w:tab w:val="left" w:pos="1080"/>
          <w:tab w:val="left" w:pos="2014"/>
        </w:tabs>
        <w:snapToGrid w:val="0"/>
        <w:spacing w:line="360" w:lineRule="auto"/>
        <w:ind w:left="1077" w:hanging="720"/>
        <w:rPr>
          <w:sz w:val="24"/>
          <w:highlight w:val="none"/>
        </w:rPr>
      </w:pPr>
      <w:r>
        <w:rPr>
          <w:sz w:val="24"/>
          <w:highlight w:val="none"/>
        </w:rPr>
        <w:t>本项目使用北京市政府采购电子交易平台。供应商根据竞争性磋商文件及电子交易平台供应商操作手册要求编制、生成并提交电子响应文件。</w:t>
      </w:r>
    </w:p>
    <w:p w14:paraId="75773525">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采购人及采购代理机构拒绝接受通过电子交易平台以外任何形式提交的响应文件，磋商保证金除外。</w:t>
      </w:r>
    </w:p>
    <w:p w14:paraId="6F60C976">
      <w:pPr>
        <w:numPr>
          <w:ilvl w:val="0"/>
          <w:numId w:val="20"/>
        </w:numPr>
        <w:tabs>
          <w:tab w:val="left" w:pos="360"/>
        </w:tabs>
        <w:snapToGrid w:val="0"/>
        <w:spacing w:line="360" w:lineRule="auto"/>
        <w:ind w:left="357" w:hanging="357"/>
        <w:outlineLvl w:val="1"/>
        <w:rPr>
          <w:sz w:val="24"/>
          <w:highlight w:val="none"/>
        </w:rPr>
      </w:pPr>
      <w:bookmarkStart w:id="378" w:name="_Toc164608650"/>
      <w:bookmarkStart w:id="379" w:name="_Toc164608805"/>
      <w:bookmarkStart w:id="380" w:name="_Toc226965726"/>
      <w:bookmarkStart w:id="381" w:name="_Toc151190163"/>
      <w:bookmarkStart w:id="382" w:name="_Toc226965809"/>
      <w:bookmarkStart w:id="383" w:name="_Toc264969226"/>
      <w:bookmarkStart w:id="384" w:name="_Toc150509287"/>
      <w:bookmarkStart w:id="385" w:name="_Toc151193634"/>
      <w:bookmarkStart w:id="386" w:name="_Toc226309780"/>
      <w:bookmarkStart w:id="387" w:name="_Toc151193706"/>
      <w:bookmarkStart w:id="388" w:name="_Toc151193778"/>
      <w:bookmarkStart w:id="389" w:name="_Toc305158804"/>
      <w:bookmarkStart w:id="390" w:name="_Toc149720829"/>
      <w:bookmarkStart w:id="391" w:name="_Toc150774741"/>
      <w:bookmarkStart w:id="392" w:name="_Toc195842901"/>
      <w:bookmarkStart w:id="393" w:name="_Toc164229231"/>
      <w:bookmarkStart w:id="394" w:name="_Toc520356161"/>
      <w:bookmarkStart w:id="395" w:name="_Toc164351630"/>
      <w:bookmarkStart w:id="396" w:name="_Toc151193850"/>
      <w:bookmarkStart w:id="397" w:name="_Toc305158878"/>
      <w:bookmarkStart w:id="398" w:name="_Toc150774636"/>
      <w:bookmarkStart w:id="399" w:name="_Toc151193924"/>
      <w:bookmarkStart w:id="400" w:name="_Toc127161450"/>
      <w:bookmarkStart w:id="401" w:name="_Toc226337232"/>
      <w:bookmarkStart w:id="402" w:name="_Toc164229377"/>
      <w:bookmarkStart w:id="403" w:name="_Toc127151536"/>
      <w:bookmarkStart w:id="404" w:name="_Toc142311038"/>
      <w:bookmarkStart w:id="405" w:name="_Toc127151737"/>
      <w:bookmarkStart w:id="406" w:name="_Toc150480774"/>
      <w:bookmarkStart w:id="407" w:name="_Toc265228374"/>
      <w:r>
        <w:rPr>
          <w:sz w:val="24"/>
          <w:highlight w:val="none"/>
        </w:rPr>
        <w:t>响应文件</w:t>
      </w:r>
      <w:r>
        <w:rPr>
          <w:rFonts w:hint="eastAsia"/>
          <w:sz w:val="24"/>
          <w:highlight w:val="none"/>
        </w:rPr>
        <w:t>提交</w:t>
      </w:r>
      <w:r>
        <w:rPr>
          <w:sz w:val="24"/>
          <w:highlight w:val="none"/>
        </w:rPr>
        <w:t>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sz w:val="24"/>
          <w:highlight w:val="none"/>
        </w:rPr>
        <w:t>时间</w:t>
      </w:r>
    </w:p>
    <w:p w14:paraId="0441828C">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供应商应在竞争性磋商文件要求响应文件提交截止时间前，将电子响应文件提交至电子交易平台。</w:t>
      </w:r>
    </w:p>
    <w:p w14:paraId="35BB4F3E">
      <w:pPr>
        <w:numPr>
          <w:ilvl w:val="0"/>
          <w:numId w:val="20"/>
        </w:numPr>
        <w:tabs>
          <w:tab w:val="left" w:pos="360"/>
        </w:tabs>
        <w:snapToGrid w:val="0"/>
        <w:spacing w:line="360" w:lineRule="auto"/>
        <w:ind w:left="357" w:hanging="357"/>
        <w:outlineLvl w:val="1"/>
        <w:rPr>
          <w:sz w:val="24"/>
          <w:highlight w:val="none"/>
        </w:rPr>
      </w:pPr>
      <w:bookmarkStart w:id="408" w:name="_Toc127161451"/>
      <w:bookmarkStart w:id="409" w:name="_Toc150774637"/>
      <w:bookmarkStart w:id="410" w:name="_Toc164229378"/>
      <w:bookmarkStart w:id="411" w:name="_Toc305158879"/>
      <w:bookmarkStart w:id="412" w:name="_Toc164608806"/>
      <w:bookmarkStart w:id="413" w:name="_Toc142311039"/>
      <w:bookmarkStart w:id="414" w:name="_Toc265228375"/>
      <w:bookmarkStart w:id="415" w:name="_Toc150774742"/>
      <w:bookmarkStart w:id="416" w:name="_Toc151190164"/>
      <w:bookmarkStart w:id="417" w:name="_Toc151193707"/>
      <w:bookmarkStart w:id="418" w:name="_Toc151193635"/>
      <w:bookmarkStart w:id="419" w:name="_Toc226965727"/>
      <w:bookmarkStart w:id="420" w:name="_Toc151193925"/>
      <w:bookmarkStart w:id="421" w:name="_Toc150480775"/>
      <w:bookmarkStart w:id="422" w:name="_Toc264969227"/>
      <w:bookmarkStart w:id="423" w:name="_Toc164608651"/>
      <w:bookmarkStart w:id="424" w:name="_Toc149720830"/>
      <w:bookmarkStart w:id="425" w:name="_Toc226309781"/>
      <w:bookmarkStart w:id="426" w:name="_Toc127151537"/>
      <w:bookmarkStart w:id="427" w:name="_Toc164229232"/>
      <w:bookmarkStart w:id="428" w:name="_Toc305158805"/>
      <w:bookmarkStart w:id="429" w:name="_Toc151193779"/>
      <w:bookmarkStart w:id="430" w:name="_Toc150509288"/>
      <w:bookmarkStart w:id="431" w:name="_Toc164351631"/>
      <w:bookmarkStart w:id="432" w:name="_Toc520356162"/>
      <w:bookmarkStart w:id="433" w:name="_Toc226965810"/>
      <w:bookmarkStart w:id="434" w:name="_Toc195842902"/>
      <w:bookmarkStart w:id="435" w:name="_Toc127151738"/>
      <w:bookmarkStart w:id="436" w:name="_Toc226337233"/>
      <w:bookmarkStart w:id="437" w:name="_Toc151193851"/>
      <w:r>
        <w:rPr>
          <w:sz w:val="24"/>
          <w:highlight w:val="none"/>
        </w:rPr>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46EE0B3">
      <w:pPr>
        <w:numPr>
          <w:ilvl w:val="1"/>
          <w:numId w:val="20"/>
        </w:numPr>
        <w:tabs>
          <w:tab w:val="left" w:pos="1080"/>
          <w:tab w:val="left" w:pos="2014"/>
        </w:tabs>
        <w:snapToGrid w:val="0"/>
        <w:spacing w:line="360" w:lineRule="auto"/>
        <w:ind w:left="1077" w:hanging="720"/>
        <w:rPr>
          <w:sz w:val="24"/>
          <w:highlight w:val="none"/>
        </w:rPr>
      </w:pPr>
      <w:r>
        <w:rPr>
          <w:sz w:val="24"/>
          <w:highlight w:val="none"/>
        </w:rPr>
        <w:t>提交响应文件截止时间前，供应商可以通过电子交易平台对所提交的响应文件进行补充、修改或者撤回。磋商保证金</w:t>
      </w:r>
      <w:r>
        <w:rPr>
          <w:rFonts w:hint="eastAsia"/>
          <w:sz w:val="24"/>
          <w:highlight w:val="none"/>
        </w:rPr>
        <w:t>的</w:t>
      </w:r>
      <w:r>
        <w:rPr>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p>
    <w:p w14:paraId="6A371B2E">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7751FA2C">
      <w:pPr>
        <w:tabs>
          <w:tab w:val="left" w:pos="900"/>
          <w:tab w:val="left" w:pos="1080"/>
          <w:tab w:val="left" w:pos="1589"/>
        </w:tabs>
        <w:snapToGrid w:val="0"/>
        <w:spacing w:line="360" w:lineRule="auto"/>
        <w:ind w:left="357"/>
        <w:rPr>
          <w:sz w:val="24"/>
          <w:highlight w:val="none"/>
        </w:rPr>
      </w:pPr>
    </w:p>
    <w:p w14:paraId="65895522">
      <w:pPr>
        <w:pStyle w:val="5"/>
        <w:spacing w:before="0" w:line="360" w:lineRule="auto"/>
        <w:rPr>
          <w:rFonts w:ascii="Times New Roman" w:hAnsi="Times New Roman" w:eastAsia="宋体"/>
          <w:sz w:val="28"/>
          <w:highlight w:val="none"/>
        </w:rPr>
      </w:pPr>
      <w:bookmarkStart w:id="438" w:name="_Toc142311040"/>
      <w:bookmarkStart w:id="439" w:name="_Toc305158806"/>
      <w:bookmarkStart w:id="440" w:name="_Toc150774638"/>
      <w:bookmarkStart w:id="441" w:name="_Toc226337234"/>
      <w:bookmarkStart w:id="442" w:name="_Toc195842903"/>
      <w:bookmarkStart w:id="443" w:name="_Toc264969228"/>
      <w:bookmarkStart w:id="444" w:name="_Toc226309782"/>
      <w:bookmarkStart w:id="445" w:name="_Toc226965811"/>
      <w:bookmarkStart w:id="446" w:name="_Toc150480776"/>
      <w:bookmarkStart w:id="447" w:name="_Toc151190165"/>
      <w:bookmarkStart w:id="448" w:name="_Toc151193926"/>
      <w:bookmarkStart w:id="449" w:name="_Toc151193708"/>
      <w:bookmarkStart w:id="450" w:name="_Toc226965728"/>
      <w:bookmarkStart w:id="451" w:name="_Toc151193636"/>
      <w:bookmarkStart w:id="452" w:name="_Toc151193852"/>
      <w:bookmarkStart w:id="453" w:name="_Toc150774743"/>
      <w:bookmarkStart w:id="454" w:name="_Toc151193780"/>
      <w:bookmarkStart w:id="455" w:name="_Toc265228376"/>
      <w:bookmarkStart w:id="456" w:name="_Toc520356163"/>
      <w:bookmarkStart w:id="457" w:name="_Toc127151538"/>
      <w:bookmarkStart w:id="458" w:name="_Toc305158880"/>
      <w:bookmarkStart w:id="459" w:name="_Toc150509289"/>
      <w:r>
        <w:rPr>
          <w:rFonts w:ascii="Times New Roman" w:hAnsi="Times New Roman" w:eastAsia="宋体"/>
          <w:sz w:val="28"/>
          <w:highlight w:val="none"/>
        </w:rPr>
        <w:t xml:space="preserve">五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eastAsia="宋体"/>
          <w:sz w:val="28"/>
          <w:highlight w:val="none"/>
        </w:rPr>
        <w:t>评审</w:t>
      </w:r>
    </w:p>
    <w:p w14:paraId="4B061A72">
      <w:pPr>
        <w:numPr>
          <w:ilvl w:val="0"/>
          <w:numId w:val="20"/>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解密与</w:t>
      </w:r>
      <w:r>
        <w:rPr>
          <w:sz w:val="24"/>
          <w:highlight w:val="none"/>
        </w:rPr>
        <w:t>开启</w:t>
      </w:r>
    </w:p>
    <w:p w14:paraId="500682B5">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54574264">
      <w:pPr>
        <w:numPr>
          <w:ilvl w:val="1"/>
          <w:numId w:val="20"/>
        </w:numPr>
        <w:tabs>
          <w:tab w:val="left" w:pos="1080"/>
          <w:tab w:val="left" w:pos="2014"/>
        </w:tabs>
        <w:snapToGrid w:val="0"/>
        <w:spacing w:line="360" w:lineRule="auto"/>
        <w:ind w:left="1077" w:hanging="720"/>
        <w:rPr>
          <w:sz w:val="24"/>
          <w:highlight w:val="none"/>
        </w:rPr>
      </w:pPr>
      <w:r>
        <w:rPr>
          <w:sz w:val="24"/>
          <w:highlight w:val="none"/>
        </w:rPr>
        <w:t>本项目解密使用北京市政府采购电子交易平台。供应商应在规定的时间内对响应文件进行解密，因非系统原因导致的解密失败，视为</w:t>
      </w:r>
      <w:r>
        <w:rPr>
          <w:b/>
          <w:sz w:val="24"/>
          <w:highlight w:val="none"/>
        </w:rPr>
        <w:t>无效响应</w:t>
      </w:r>
      <w:r>
        <w:rPr>
          <w:sz w:val="24"/>
          <w:highlight w:val="none"/>
        </w:rPr>
        <w:t>。</w:t>
      </w:r>
    </w:p>
    <w:p w14:paraId="0AB3011F">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66DE03F">
      <w:pPr>
        <w:numPr>
          <w:ilvl w:val="1"/>
          <w:numId w:val="20"/>
        </w:numPr>
        <w:tabs>
          <w:tab w:val="left" w:pos="1080"/>
          <w:tab w:val="left" w:pos="2014"/>
        </w:tabs>
        <w:snapToGrid w:val="0"/>
        <w:spacing w:line="360" w:lineRule="auto"/>
        <w:ind w:left="1077" w:hanging="720"/>
        <w:rPr>
          <w:sz w:val="24"/>
          <w:highlight w:val="none"/>
        </w:rPr>
      </w:pPr>
      <w:r>
        <w:rPr>
          <w:sz w:val="24"/>
          <w:highlight w:val="none"/>
        </w:rPr>
        <w:t>供应商不足3家的，不予解密。</w:t>
      </w:r>
    </w:p>
    <w:p w14:paraId="3FBDFD6A">
      <w:pPr>
        <w:numPr>
          <w:ilvl w:val="1"/>
          <w:numId w:val="20"/>
        </w:numPr>
        <w:tabs>
          <w:tab w:val="left" w:pos="1080"/>
          <w:tab w:val="left" w:pos="2014"/>
        </w:tabs>
        <w:snapToGrid w:val="0"/>
        <w:spacing w:line="360" w:lineRule="auto"/>
        <w:ind w:left="1077" w:hanging="720"/>
        <w:rPr>
          <w:sz w:val="24"/>
          <w:highlight w:val="none"/>
        </w:rPr>
      </w:pPr>
      <w:bookmarkStart w:id="460" w:name="_Toc520356165"/>
      <w:r>
        <w:rPr>
          <w:sz w:val="24"/>
          <w:highlight w:val="none"/>
        </w:rPr>
        <w:t>本项目不公开报价。</w:t>
      </w:r>
    </w:p>
    <w:bookmarkEnd w:id="460"/>
    <w:p w14:paraId="3783EA92">
      <w:pPr>
        <w:numPr>
          <w:ilvl w:val="0"/>
          <w:numId w:val="20"/>
        </w:numPr>
        <w:tabs>
          <w:tab w:val="left" w:pos="360"/>
        </w:tabs>
        <w:snapToGrid w:val="0"/>
        <w:spacing w:line="360" w:lineRule="auto"/>
        <w:ind w:left="357" w:hanging="357"/>
        <w:outlineLvl w:val="1"/>
        <w:rPr>
          <w:sz w:val="24"/>
          <w:highlight w:val="none"/>
        </w:rPr>
      </w:pPr>
      <w:r>
        <w:rPr>
          <w:sz w:val="24"/>
          <w:highlight w:val="none"/>
        </w:rPr>
        <w:t>磋商小组</w:t>
      </w:r>
    </w:p>
    <w:p w14:paraId="6EDBA130">
      <w:pPr>
        <w:numPr>
          <w:ilvl w:val="1"/>
          <w:numId w:val="20"/>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61" w:name="_Toc520356166"/>
    </w:p>
    <w:p w14:paraId="6177EB2D">
      <w:pPr>
        <w:numPr>
          <w:ilvl w:val="1"/>
          <w:numId w:val="20"/>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1"/>
      <w:bookmarkStart w:id="462" w:name="_Toc520356169"/>
    </w:p>
    <w:p w14:paraId="4E4FA800">
      <w:pPr>
        <w:numPr>
          <w:ilvl w:val="0"/>
          <w:numId w:val="20"/>
        </w:numPr>
        <w:tabs>
          <w:tab w:val="left" w:pos="360"/>
        </w:tabs>
        <w:snapToGrid w:val="0"/>
        <w:spacing w:line="360" w:lineRule="auto"/>
        <w:outlineLvl w:val="1"/>
        <w:rPr>
          <w:sz w:val="24"/>
          <w:highlight w:val="none"/>
        </w:rPr>
      </w:pPr>
      <w:r>
        <w:rPr>
          <w:sz w:val="24"/>
          <w:highlight w:val="none"/>
        </w:rPr>
        <w:t>评审方法和评审标准</w:t>
      </w:r>
    </w:p>
    <w:p w14:paraId="0AB02AA5">
      <w:pPr>
        <w:numPr>
          <w:ilvl w:val="1"/>
          <w:numId w:val="20"/>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7FC75D1">
      <w:pPr>
        <w:tabs>
          <w:tab w:val="left" w:pos="360"/>
          <w:tab w:val="left" w:pos="1080"/>
        </w:tabs>
        <w:snapToGrid w:val="0"/>
        <w:spacing w:line="360" w:lineRule="auto"/>
        <w:ind w:left="1080"/>
        <w:rPr>
          <w:sz w:val="24"/>
          <w:highlight w:val="none"/>
        </w:rPr>
      </w:pPr>
    </w:p>
    <w:p w14:paraId="45CD1400">
      <w:pPr>
        <w:pStyle w:val="5"/>
        <w:spacing w:before="0" w:line="360" w:lineRule="auto"/>
        <w:rPr>
          <w:rFonts w:ascii="Times New Roman" w:hAnsi="Times New Roman" w:eastAsia="宋体"/>
          <w:sz w:val="28"/>
          <w:highlight w:val="none"/>
        </w:rPr>
      </w:pPr>
      <w:bookmarkStart w:id="463" w:name="_Toc226309789"/>
      <w:bookmarkStart w:id="464" w:name="_Toc151193933"/>
      <w:bookmarkStart w:id="465" w:name="_Toc226337241"/>
      <w:bookmarkStart w:id="466" w:name="_Toc264969235"/>
      <w:bookmarkStart w:id="467" w:name="_Toc150774645"/>
      <w:bookmarkStart w:id="468" w:name="_Toc150774750"/>
      <w:bookmarkStart w:id="469" w:name="_Toc195842910"/>
      <w:bookmarkStart w:id="470" w:name="_Toc151193787"/>
      <w:bookmarkStart w:id="471" w:name="_Toc142311047"/>
      <w:bookmarkStart w:id="472" w:name="_Toc151193643"/>
      <w:bookmarkStart w:id="473" w:name="_Toc151193859"/>
      <w:bookmarkStart w:id="474" w:name="_Toc226965818"/>
      <w:bookmarkStart w:id="475" w:name="_Toc305158813"/>
      <w:bookmarkStart w:id="476" w:name="_Toc226965735"/>
      <w:bookmarkStart w:id="477" w:name="_Toc151190172"/>
      <w:bookmarkStart w:id="478" w:name="_Toc151193715"/>
      <w:bookmarkStart w:id="479" w:name="_Toc150509296"/>
      <w:bookmarkStart w:id="480" w:name="_Toc127151545"/>
      <w:bookmarkStart w:id="481" w:name="_Toc305158887"/>
      <w:bookmarkStart w:id="482" w:name="_Toc265228383"/>
      <w:bookmarkStart w:id="483" w:name="_Toc150480783"/>
      <w:r>
        <w:rPr>
          <w:rFonts w:ascii="Times New Roman" w:hAnsi="Times New Roman" w:eastAsia="宋体"/>
          <w:sz w:val="28"/>
          <w:highlight w:val="none"/>
        </w:rPr>
        <w:t xml:space="preserve">六   </w:t>
      </w:r>
      <w:bookmarkEnd w:id="462"/>
      <w:r>
        <w:rPr>
          <w:rFonts w:ascii="Times New Roman" w:hAnsi="Times New Roman" w:eastAsia="宋体"/>
          <w:sz w:val="28"/>
          <w:highlight w:val="none"/>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hAnsi="Times New Roman" w:eastAsia="宋体"/>
          <w:sz w:val="28"/>
          <w:highlight w:val="none"/>
        </w:rPr>
        <w:t>成交</w:t>
      </w:r>
    </w:p>
    <w:p w14:paraId="271C6B23">
      <w:pPr>
        <w:numPr>
          <w:ilvl w:val="0"/>
          <w:numId w:val="20"/>
        </w:numPr>
        <w:tabs>
          <w:tab w:val="left" w:pos="360"/>
        </w:tabs>
        <w:snapToGrid w:val="0"/>
        <w:spacing w:line="360" w:lineRule="auto"/>
        <w:ind w:left="357" w:hanging="357"/>
        <w:outlineLvl w:val="1"/>
        <w:rPr>
          <w:sz w:val="24"/>
          <w:highlight w:val="none"/>
        </w:rPr>
      </w:pPr>
      <w:bookmarkStart w:id="484" w:name="_Toc226337243"/>
      <w:bookmarkStart w:id="485" w:name="_Toc150774752"/>
      <w:bookmarkStart w:id="486" w:name="_Toc127161461"/>
      <w:bookmarkStart w:id="487" w:name="_Toc151193935"/>
      <w:bookmarkStart w:id="488" w:name="_Toc151193717"/>
      <w:bookmarkStart w:id="489" w:name="_Toc164229242"/>
      <w:bookmarkStart w:id="490" w:name="_Toc226965737"/>
      <w:bookmarkStart w:id="491" w:name="_Toc265228385"/>
      <w:bookmarkStart w:id="492" w:name="_Toc150774647"/>
      <w:bookmarkStart w:id="493" w:name="_Toc264969237"/>
      <w:bookmarkStart w:id="494" w:name="_Toc226309791"/>
      <w:bookmarkStart w:id="495" w:name="_Toc142311049"/>
      <w:bookmarkStart w:id="496" w:name="_Toc127151748"/>
      <w:bookmarkStart w:id="497" w:name="_Toc149720840"/>
      <w:bookmarkStart w:id="498" w:name="_Toc150509298"/>
      <w:bookmarkStart w:id="499" w:name="_Toc150480785"/>
      <w:bookmarkStart w:id="500" w:name="_Toc151190174"/>
      <w:bookmarkStart w:id="501" w:name="_Toc164608816"/>
      <w:bookmarkStart w:id="502" w:name="_Toc164351641"/>
      <w:bookmarkStart w:id="503" w:name="_Toc226965820"/>
      <w:bookmarkStart w:id="504" w:name="_Toc164608661"/>
      <w:bookmarkStart w:id="505" w:name="_Toc305158815"/>
      <w:bookmarkStart w:id="506" w:name="_Toc151193645"/>
      <w:bookmarkStart w:id="507" w:name="_Toc151193789"/>
      <w:bookmarkStart w:id="508" w:name="_Toc164229388"/>
      <w:bookmarkStart w:id="509" w:name="_Toc127151547"/>
      <w:bookmarkStart w:id="510" w:name="_Toc305158889"/>
      <w:bookmarkStart w:id="511" w:name="_Toc151193861"/>
      <w:bookmarkStart w:id="512" w:name="_Toc195842912"/>
      <w:r>
        <w:rPr>
          <w:sz w:val="24"/>
          <w:highlight w:val="none"/>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ACF5EDE">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157CD395">
      <w:pPr>
        <w:numPr>
          <w:ilvl w:val="0"/>
          <w:numId w:val="20"/>
        </w:numPr>
        <w:tabs>
          <w:tab w:val="left" w:pos="360"/>
        </w:tabs>
        <w:snapToGrid w:val="0"/>
        <w:spacing w:line="360" w:lineRule="auto"/>
        <w:ind w:left="357" w:hanging="357"/>
        <w:outlineLvl w:val="1"/>
        <w:rPr>
          <w:sz w:val="24"/>
          <w:highlight w:val="none"/>
        </w:rPr>
      </w:pPr>
      <w:bookmarkStart w:id="513" w:name="_Toc305158891"/>
      <w:bookmarkStart w:id="514" w:name="_Toc305158817"/>
      <w:bookmarkStart w:id="515" w:name="_Toc150480787"/>
      <w:bookmarkStart w:id="516" w:name="_Toc150509300"/>
      <w:bookmarkStart w:id="517" w:name="_Toc150774754"/>
      <w:bookmarkStart w:id="518" w:name="_Toc226309793"/>
      <w:bookmarkStart w:id="519" w:name="_Toc164608818"/>
      <w:bookmarkStart w:id="520" w:name="_Toc164351643"/>
      <w:bookmarkStart w:id="521" w:name="_Toc151193647"/>
      <w:bookmarkStart w:id="522" w:name="_Toc195842914"/>
      <w:bookmarkStart w:id="523" w:name="_Toc151193719"/>
      <w:bookmarkStart w:id="524" w:name="_Toc150774649"/>
      <w:bookmarkStart w:id="525" w:name="_Toc226965739"/>
      <w:bookmarkStart w:id="526" w:name="_Toc149720842"/>
      <w:bookmarkStart w:id="527" w:name="_Toc226337245"/>
      <w:bookmarkStart w:id="528" w:name="_Toc127161463"/>
      <w:bookmarkStart w:id="529" w:name="_Toc164608663"/>
      <w:bookmarkStart w:id="530" w:name="_Toc164229244"/>
      <w:bookmarkStart w:id="531" w:name="_Toc151193863"/>
      <w:bookmarkStart w:id="532" w:name="_Toc142311051"/>
      <w:bookmarkStart w:id="533" w:name="_Toc164229390"/>
      <w:bookmarkStart w:id="534" w:name="_Toc151193937"/>
      <w:bookmarkStart w:id="535" w:name="_Toc265228387"/>
      <w:bookmarkStart w:id="536" w:name="_Toc127151549"/>
      <w:bookmarkStart w:id="537" w:name="_Toc151193791"/>
      <w:bookmarkStart w:id="538" w:name="_Toc264969239"/>
      <w:bookmarkStart w:id="539" w:name="_Toc151190176"/>
      <w:bookmarkStart w:id="540" w:name="_Toc127151750"/>
      <w:bookmarkStart w:id="541" w:name="_Toc226965822"/>
      <w:bookmarkStart w:id="542" w:name="_Toc520356176"/>
      <w:bookmarkStart w:id="543" w:name="_Ref467306425"/>
      <w:bookmarkStart w:id="544" w:name="_Ref467307090"/>
      <w:r>
        <w:rPr>
          <w:sz w:val="24"/>
          <w:highlight w:val="none"/>
        </w:rPr>
        <w:t>成交公告与成交通知书</w:t>
      </w:r>
      <w:bookmarkEnd w:id="513"/>
      <w:bookmarkEnd w:id="514"/>
    </w:p>
    <w:p w14:paraId="029144BF">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CE119FD">
      <w:pPr>
        <w:numPr>
          <w:ilvl w:val="1"/>
          <w:numId w:val="20"/>
        </w:numPr>
        <w:tabs>
          <w:tab w:val="left" w:pos="1080"/>
          <w:tab w:val="left" w:pos="2014"/>
        </w:tabs>
        <w:snapToGrid w:val="0"/>
        <w:spacing w:line="360" w:lineRule="auto"/>
        <w:ind w:left="1080" w:hanging="720"/>
        <w:rPr>
          <w:rFonts w:hint="eastAsia"/>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4FF908F9">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20C206F4">
      <w:pPr>
        <w:numPr>
          <w:ilvl w:val="0"/>
          <w:numId w:val="20"/>
        </w:numPr>
        <w:tabs>
          <w:tab w:val="left" w:pos="360"/>
        </w:tabs>
        <w:snapToGrid w:val="0"/>
        <w:spacing w:line="360" w:lineRule="auto"/>
        <w:ind w:left="357" w:hanging="357"/>
        <w:outlineLvl w:val="1"/>
        <w:rPr>
          <w:sz w:val="24"/>
          <w:highlight w:val="none"/>
        </w:rPr>
      </w:pPr>
      <w:r>
        <w:rPr>
          <w:sz w:val="24"/>
          <w:highlight w:val="none"/>
        </w:rPr>
        <w:t>终止</w:t>
      </w:r>
    </w:p>
    <w:p w14:paraId="33FC5652">
      <w:pPr>
        <w:numPr>
          <w:ilvl w:val="1"/>
          <w:numId w:val="20"/>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33D894B2">
      <w:pPr>
        <w:numPr>
          <w:ilvl w:val="2"/>
          <w:numId w:val="20"/>
        </w:numPr>
        <w:snapToGrid w:val="0"/>
        <w:spacing w:line="360" w:lineRule="auto"/>
        <w:rPr>
          <w:sz w:val="24"/>
          <w:highlight w:val="none"/>
        </w:rPr>
      </w:pPr>
      <w:r>
        <w:rPr>
          <w:sz w:val="24"/>
          <w:highlight w:val="none"/>
        </w:rPr>
        <w:t>因情况变化，不再符合规定的竞争性磋商采购方式适用情形的；</w:t>
      </w:r>
    </w:p>
    <w:p w14:paraId="5475CC90">
      <w:pPr>
        <w:numPr>
          <w:ilvl w:val="2"/>
          <w:numId w:val="20"/>
        </w:numPr>
        <w:snapToGrid w:val="0"/>
        <w:spacing w:line="360" w:lineRule="auto"/>
        <w:rPr>
          <w:sz w:val="24"/>
          <w:highlight w:val="none"/>
        </w:rPr>
      </w:pPr>
      <w:r>
        <w:rPr>
          <w:sz w:val="24"/>
          <w:highlight w:val="none"/>
        </w:rPr>
        <w:t>出现影响采购公正的违法、违规行为的；</w:t>
      </w:r>
    </w:p>
    <w:p w14:paraId="2B61030E">
      <w:pPr>
        <w:numPr>
          <w:ilvl w:val="2"/>
          <w:numId w:val="20"/>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3509132B">
      <w:pPr>
        <w:numPr>
          <w:ilvl w:val="0"/>
          <w:numId w:val="20"/>
        </w:numPr>
        <w:tabs>
          <w:tab w:val="left" w:pos="360"/>
        </w:tabs>
        <w:snapToGrid w:val="0"/>
        <w:spacing w:line="360" w:lineRule="auto"/>
        <w:ind w:left="357" w:hanging="357"/>
        <w:outlineLvl w:val="1"/>
        <w:rPr>
          <w:sz w:val="24"/>
          <w:highlight w:val="none"/>
        </w:rPr>
      </w:pPr>
      <w:bookmarkStart w:id="545" w:name="_Toc150774755"/>
      <w:bookmarkStart w:id="546" w:name="_Toc164229391"/>
      <w:bookmarkStart w:id="547" w:name="_Toc226309794"/>
      <w:bookmarkStart w:id="548" w:name="_Toc195842915"/>
      <w:bookmarkStart w:id="549" w:name="_Toc127151751"/>
      <w:bookmarkStart w:id="550" w:name="_Toc164229245"/>
      <w:bookmarkStart w:id="551" w:name="_Toc150480788"/>
      <w:bookmarkStart w:id="552" w:name="_Toc151190177"/>
      <w:bookmarkStart w:id="553" w:name="_Toc142311052"/>
      <w:bookmarkStart w:id="554" w:name="_Toc164608819"/>
      <w:bookmarkStart w:id="555" w:name="_Toc151193938"/>
      <w:bookmarkStart w:id="556" w:name="_Toc151193648"/>
      <w:bookmarkStart w:id="557" w:name="_Toc151193720"/>
      <w:bookmarkStart w:id="558" w:name="_Toc127161464"/>
      <w:bookmarkStart w:id="559" w:name="_Toc164608664"/>
      <w:bookmarkStart w:id="560" w:name="_Toc149720843"/>
      <w:bookmarkStart w:id="561" w:name="_Toc150509301"/>
      <w:bookmarkStart w:id="562" w:name="_Ref467307062"/>
      <w:bookmarkStart w:id="563" w:name="_Ref467307204"/>
      <w:bookmarkStart w:id="564" w:name="_Toc264969240"/>
      <w:bookmarkStart w:id="565" w:name="_Toc226337246"/>
      <w:bookmarkStart w:id="566" w:name="_Toc520356175"/>
      <w:bookmarkStart w:id="567" w:name="_Toc164351644"/>
      <w:bookmarkStart w:id="568" w:name="_Ref467306978"/>
      <w:bookmarkStart w:id="569" w:name="_Toc265228388"/>
      <w:bookmarkStart w:id="570" w:name="_Toc226965823"/>
      <w:bookmarkStart w:id="571" w:name="_Toc305158818"/>
      <w:bookmarkStart w:id="572" w:name="_Toc151193864"/>
      <w:bookmarkStart w:id="573" w:name="_Ref467306377"/>
      <w:bookmarkStart w:id="574" w:name="_Toc127151550"/>
      <w:bookmarkStart w:id="575" w:name="_Toc226965740"/>
      <w:bookmarkStart w:id="576" w:name="_Toc150774650"/>
      <w:bookmarkStart w:id="577" w:name="_Toc151193792"/>
      <w:bookmarkStart w:id="578" w:name="_Toc305158892"/>
      <w:r>
        <w:rPr>
          <w:sz w:val="24"/>
          <w:highlight w:val="none"/>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661C10E9">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523A34C7">
      <w:pPr>
        <w:numPr>
          <w:ilvl w:val="1"/>
          <w:numId w:val="20"/>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6FF51D3">
      <w:pPr>
        <w:numPr>
          <w:ilvl w:val="1"/>
          <w:numId w:val="20"/>
        </w:numPr>
        <w:tabs>
          <w:tab w:val="left" w:pos="1080"/>
          <w:tab w:val="left" w:pos="2014"/>
        </w:tabs>
        <w:snapToGrid w:val="0"/>
        <w:spacing w:line="360" w:lineRule="auto"/>
        <w:ind w:left="1077" w:hanging="720"/>
        <w:rPr>
          <w:rFonts w:hint="eastAsia"/>
          <w:sz w:val="24"/>
          <w:highlight w:val="none"/>
        </w:rPr>
      </w:pPr>
      <w:r>
        <w:rPr>
          <w:sz w:val="24"/>
          <w:highlight w:val="none"/>
        </w:rPr>
        <w:t>联合体成交的，联合体各方应当共同与采购人签订合同，就</w:t>
      </w:r>
      <w:r>
        <w:rPr>
          <w:rFonts w:hint="eastAsia"/>
          <w:sz w:val="24"/>
          <w:highlight w:val="none"/>
        </w:rPr>
        <w:t>采购合同约定的</w:t>
      </w:r>
    </w:p>
    <w:p w14:paraId="0A1666E7">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6C0CB454">
      <w:pPr>
        <w:numPr>
          <w:ilvl w:val="1"/>
          <w:numId w:val="20"/>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208883D1">
      <w:pPr>
        <w:numPr>
          <w:ilvl w:val="1"/>
          <w:numId w:val="20"/>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42"/>
    <w:bookmarkEnd w:id="543"/>
    <w:bookmarkEnd w:id="544"/>
    <w:p w14:paraId="59C28AFD">
      <w:pPr>
        <w:numPr>
          <w:ilvl w:val="0"/>
          <w:numId w:val="20"/>
        </w:numPr>
        <w:tabs>
          <w:tab w:val="left" w:pos="360"/>
        </w:tabs>
        <w:snapToGrid w:val="0"/>
        <w:spacing w:line="360" w:lineRule="auto"/>
        <w:ind w:left="357" w:hanging="357"/>
        <w:outlineLvl w:val="1"/>
        <w:rPr>
          <w:sz w:val="24"/>
          <w:highlight w:val="none"/>
        </w:rPr>
      </w:pPr>
      <w:r>
        <w:rPr>
          <w:sz w:val="24"/>
          <w:highlight w:val="none"/>
        </w:rPr>
        <w:t>询问与质疑</w:t>
      </w:r>
    </w:p>
    <w:p w14:paraId="63B5D575">
      <w:pPr>
        <w:numPr>
          <w:ilvl w:val="1"/>
          <w:numId w:val="20"/>
        </w:numPr>
        <w:tabs>
          <w:tab w:val="left" w:pos="1080"/>
          <w:tab w:val="left" w:pos="2014"/>
        </w:tabs>
        <w:snapToGrid w:val="0"/>
        <w:spacing w:line="360" w:lineRule="auto"/>
        <w:ind w:left="1077" w:hanging="720"/>
        <w:rPr>
          <w:sz w:val="24"/>
          <w:highlight w:val="none"/>
        </w:rPr>
      </w:pPr>
      <w:r>
        <w:rPr>
          <w:sz w:val="24"/>
          <w:highlight w:val="none"/>
        </w:rPr>
        <w:t>询问</w:t>
      </w:r>
    </w:p>
    <w:p w14:paraId="4ABE7C1F">
      <w:pPr>
        <w:numPr>
          <w:ilvl w:val="2"/>
          <w:numId w:val="20"/>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3C0BEE15">
      <w:pPr>
        <w:numPr>
          <w:ilvl w:val="2"/>
          <w:numId w:val="20"/>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7340C20A">
      <w:pPr>
        <w:numPr>
          <w:ilvl w:val="1"/>
          <w:numId w:val="20"/>
        </w:numPr>
        <w:tabs>
          <w:tab w:val="left" w:pos="1080"/>
          <w:tab w:val="left" w:pos="2014"/>
        </w:tabs>
        <w:snapToGrid w:val="0"/>
        <w:spacing w:line="360" w:lineRule="auto"/>
        <w:ind w:left="1077" w:hanging="720"/>
        <w:rPr>
          <w:sz w:val="24"/>
          <w:highlight w:val="none"/>
        </w:rPr>
      </w:pPr>
      <w:r>
        <w:rPr>
          <w:sz w:val="24"/>
          <w:highlight w:val="none"/>
        </w:rPr>
        <w:t>质疑</w:t>
      </w:r>
    </w:p>
    <w:p w14:paraId="1EA2F101">
      <w:pPr>
        <w:numPr>
          <w:ilvl w:val="2"/>
          <w:numId w:val="20"/>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48B947CF">
      <w:pPr>
        <w:numPr>
          <w:ilvl w:val="2"/>
          <w:numId w:val="20"/>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5421F3E6">
      <w:pPr>
        <w:numPr>
          <w:ilvl w:val="2"/>
          <w:numId w:val="20"/>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1E923EDA">
      <w:pPr>
        <w:numPr>
          <w:ilvl w:val="2"/>
          <w:numId w:val="20"/>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3B5BBFB4">
      <w:pPr>
        <w:numPr>
          <w:ilvl w:val="1"/>
          <w:numId w:val="20"/>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2BC07E51">
      <w:pPr>
        <w:numPr>
          <w:ilvl w:val="0"/>
          <w:numId w:val="20"/>
        </w:numPr>
        <w:tabs>
          <w:tab w:val="left" w:pos="360"/>
        </w:tabs>
        <w:snapToGrid w:val="0"/>
        <w:spacing w:line="360" w:lineRule="auto"/>
        <w:ind w:left="357" w:hanging="357"/>
        <w:outlineLvl w:val="1"/>
        <w:rPr>
          <w:sz w:val="24"/>
          <w:highlight w:val="none"/>
        </w:rPr>
      </w:pPr>
      <w:r>
        <w:rPr>
          <w:sz w:val="24"/>
          <w:highlight w:val="none"/>
        </w:rPr>
        <w:t>代理费</w:t>
      </w:r>
    </w:p>
    <w:p w14:paraId="19909CC1">
      <w:pPr>
        <w:numPr>
          <w:ilvl w:val="1"/>
          <w:numId w:val="20"/>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030BA06E">
      <w:pPr>
        <w:tabs>
          <w:tab w:val="left" w:pos="360"/>
          <w:tab w:val="left" w:pos="1080"/>
        </w:tabs>
        <w:snapToGrid w:val="0"/>
        <w:spacing w:line="360" w:lineRule="auto"/>
        <w:ind w:left="360"/>
        <w:rPr>
          <w:sz w:val="24"/>
          <w:highlight w:val="none"/>
        </w:rPr>
      </w:pPr>
    </w:p>
    <w:p w14:paraId="40B53C72">
      <w:pPr>
        <w:spacing w:line="360" w:lineRule="auto"/>
        <w:jc w:val="center"/>
        <w:outlineLvl w:val="0"/>
        <w:rPr>
          <w:b/>
          <w:sz w:val="36"/>
          <w:szCs w:val="36"/>
          <w:highlight w:val="none"/>
        </w:rPr>
      </w:pPr>
      <w:bookmarkStart w:id="579" w:name="_Toc150480792"/>
      <w:bookmarkStart w:id="580" w:name="_Toc353873664"/>
      <w:bookmarkStart w:id="581" w:name="_Toc305158822"/>
      <w:bookmarkStart w:id="582" w:name="_Toc353825544"/>
      <w:bookmarkStart w:id="583" w:name="_Toc150774759"/>
      <w:bookmarkStart w:id="584" w:name="_Toc127151554"/>
      <w:bookmarkStart w:id="585" w:name="_Toc264969244"/>
      <w:bookmarkStart w:id="586" w:name="_Toc226965827"/>
      <w:bookmarkStart w:id="587" w:name="_Toc305158896"/>
      <w:bookmarkStart w:id="588" w:name="_Toc265228392"/>
      <w:bookmarkStart w:id="589" w:name="_Toc142311056"/>
      <w:bookmarkStart w:id="590" w:name="_Toc353873934"/>
      <w:bookmarkStart w:id="591" w:name="_Toc226337250"/>
      <w:r>
        <w:rPr>
          <w:sz w:val="24"/>
          <w:highlight w:val="none"/>
        </w:rPr>
        <w:br w:type="page"/>
      </w:r>
      <w:bookmarkStart w:id="592" w:name="_Toc22633"/>
      <w:bookmarkStart w:id="593" w:name="_Toc29635"/>
      <w:r>
        <w:rPr>
          <w:b/>
          <w:sz w:val="36"/>
          <w:szCs w:val="36"/>
          <w:highlight w:val="none"/>
        </w:rPr>
        <w:t xml:space="preserve">第三章   </w:t>
      </w:r>
      <w:bookmarkEnd w:id="579"/>
      <w:bookmarkEnd w:id="580"/>
      <w:bookmarkEnd w:id="581"/>
      <w:bookmarkEnd w:id="582"/>
      <w:bookmarkEnd w:id="583"/>
      <w:bookmarkEnd w:id="584"/>
      <w:bookmarkEnd w:id="585"/>
      <w:bookmarkEnd w:id="586"/>
      <w:bookmarkEnd w:id="587"/>
      <w:bookmarkEnd w:id="588"/>
      <w:bookmarkEnd w:id="589"/>
      <w:bookmarkEnd w:id="590"/>
      <w:bookmarkEnd w:id="591"/>
      <w:r>
        <w:rPr>
          <w:b/>
          <w:sz w:val="36"/>
          <w:szCs w:val="36"/>
          <w:highlight w:val="none"/>
        </w:rPr>
        <w:t>评审方法和评审标准</w:t>
      </w:r>
      <w:bookmarkEnd w:id="592"/>
      <w:bookmarkEnd w:id="593"/>
      <w:bookmarkStart w:id="594" w:name="_Toc487900382"/>
    </w:p>
    <w:p w14:paraId="20551575">
      <w:pPr>
        <w:pStyle w:val="5"/>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5BB57EF8">
      <w:pPr>
        <w:tabs>
          <w:tab w:val="left" w:pos="1080"/>
        </w:tabs>
        <w:snapToGrid w:val="0"/>
        <w:jc w:val="left"/>
        <w:rPr>
          <w:b/>
          <w:sz w:val="24"/>
          <w:highlight w:val="none"/>
        </w:rPr>
      </w:pPr>
      <w:r>
        <w:rPr>
          <w:b/>
          <w:sz w:val="24"/>
          <w:highlight w:val="none"/>
        </w:rPr>
        <w:tab/>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94"/>
    <w:p w14:paraId="574C79C3">
      <w:pPr>
        <w:numPr>
          <w:ilvl w:val="0"/>
          <w:numId w:val="23"/>
        </w:numPr>
        <w:tabs>
          <w:tab w:val="left" w:pos="360"/>
        </w:tabs>
        <w:snapToGrid w:val="0"/>
        <w:spacing w:line="360" w:lineRule="auto"/>
        <w:rPr>
          <w:sz w:val="24"/>
          <w:highlight w:val="none"/>
        </w:rPr>
      </w:pPr>
      <w:bookmarkStart w:id="595" w:name="_Toc127161455"/>
      <w:bookmarkStart w:id="596" w:name="_Toc226337237"/>
      <w:bookmarkStart w:id="597" w:name="_Toc164229382"/>
      <w:bookmarkStart w:id="598" w:name="_Toc127151742"/>
      <w:bookmarkStart w:id="599" w:name="_Toc164229236"/>
      <w:bookmarkStart w:id="600" w:name="_Toc264969231"/>
      <w:bookmarkStart w:id="601" w:name="_Toc151190168"/>
      <w:bookmarkStart w:id="602" w:name="_Toc127151541"/>
      <w:bookmarkStart w:id="603" w:name="_Toc164351635"/>
      <w:bookmarkStart w:id="604" w:name="_Toc150774746"/>
      <w:bookmarkStart w:id="605" w:name="_Toc151193783"/>
      <w:bookmarkStart w:id="606" w:name="_Toc226965814"/>
      <w:bookmarkStart w:id="607" w:name="_Toc151193929"/>
      <w:bookmarkStart w:id="608" w:name="_Toc150480779"/>
      <w:bookmarkStart w:id="609" w:name="_Toc305158809"/>
      <w:bookmarkStart w:id="610" w:name="_Toc164608810"/>
      <w:bookmarkStart w:id="611" w:name="_Toc142311043"/>
      <w:bookmarkStart w:id="612" w:name="_Toc151193855"/>
      <w:bookmarkStart w:id="613" w:name="_Toc164608655"/>
      <w:bookmarkStart w:id="614" w:name="_Toc305158883"/>
      <w:bookmarkStart w:id="615" w:name="_Toc151193711"/>
      <w:bookmarkStart w:id="616" w:name="_Toc151193639"/>
      <w:bookmarkStart w:id="617" w:name="_Toc226965731"/>
      <w:bookmarkStart w:id="618" w:name="_Toc226309785"/>
      <w:bookmarkStart w:id="619" w:name="_Toc195842906"/>
      <w:bookmarkStart w:id="620" w:name="_Toc150509292"/>
      <w:bookmarkStart w:id="621" w:name="_Toc265228379"/>
      <w:bookmarkStart w:id="622" w:name="_Toc149720834"/>
      <w:bookmarkStart w:id="623" w:name="_Toc150774641"/>
      <w:bookmarkStart w:id="624" w:name="_Toc353825551"/>
      <w:bookmarkStart w:id="625" w:name="_Toc353873941"/>
      <w:bookmarkStart w:id="626" w:name="_Toc195842920"/>
      <w:bookmarkStart w:id="627" w:name="_Toc353873935"/>
      <w:bookmarkStart w:id="628" w:name="_Toc127151555"/>
      <w:bookmarkStart w:id="629" w:name="_Toc150480793"/>
      <w:bookmarkStart w:id="630" w:name="_Toc305158897"/>
      <w:bookmarkStart w:id="631" w:name="_Toc265228393"/>
      <w:bookmarkStart w:id="632" w:name="_Toc150774760"/>
      <w:bookmarkStart w:id="633" w:name="_Toc264969245"/>
      <w:bookmarkStart w:id="634" w:name="_Toc226965828"/>
      <w:bookmarkStart w:id="635" w:name="_Toc142311057"/>
      <w:bookmarkStart w:id="636" w:name="_Toc226337251"/>
      <w:bookmarkStart w:id="637" w:name="_Toc353825545"/>
      <w:bookmarkStart w:id="638" w:name="_Toc353873665"/>
      <w:bookmarkStart w:id="639" w:name="_Toc305158823"/>
      <w:r>
        <w:rPr>
          <w:sz w:val="24"/>
          <w:highlight w:val="none"/>
        </w:rPr>
        <w:t>响应文件的</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sz w:val="24"/>
          <w:highlight w:val="none"/>
        </w:rPr>
        <w:t>资格</w:t>
      </w:r>
      <w:r>
        <w:rPr>
          <w:rFonts w:hint="eastAsia"/>
          <w:sz w:val="24"/>
          <w:highlight w:val="none"/>
        </w:rPr>
        <w:t>审查</w:t>
      </w:r>
      <w:r>
        <w:rPr>
          <w:sz w:val="24"/>
          <w:highlight w:val="none"/>
        </w:rPr>
        <w:t>和符合性审查</w:t>
      </w:r>
    </w:p>
    <w:p w14:paraId="7604259D">
      <w:pPr>
        <w:numPr>
          <w:ilvl w:val="1"/>
          <w:numId w:val="23"/>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1B6ECF2F">
      <w:pPr>
        <w:numPr>
          <w:ilvl w:val="1"/>
          <w:numId w:val="23"/>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2D95EA22">
      <w:pPr>
        <w:numPr>
          <w:ilvl w:val="1"/>
          <w:numId w:val="23"/>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B9656EA">
      <w:pPr>
        <w:tabs>
          <w:tab w:val="left" w:pos="900"/>
          <w:tab w:val="left" w:pos="1080"/>
        </w:tabs>
        <w:snapToGrid w:val="0"/>
        <w:spacing w:line="360" w:lineRule="auto"/>
        <w:ind w:left="1077" w:firstLine="2650" w:firstLineChars="1100"/>
        <w:outlineLvl w:val="1"/>
        <w:rPr>
          <w:b/>
          <w:sz w:val="24"/>
          <w:highlight w:val="none"/>
        </w:rPr>
      </w:pPr>
      <w:r>
        <w:rPr>
          <w:rFonts w:hint="eastAsia"/>
          <w:b/>
          <w:sz w:val="24"/>
          <w:highlight w:val="none"/>
        </w:rPr>
        <w:t>资格审查</w:t>
      </w:r>
      <w:r>
        <w:rPr>
          <w:b/>
          <w:sz w:val="24"/>
          <w:highlight w:val="none"/>
        </w:rPr>
        <w:t>要求</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1"/>
        <w:gridCol w:w="4793"/>
        <w:gridCol w:w="1908"/>
      </w:tblGrid>
      <w:tr w14:paraId="1BA3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noWrap w:val="0"/>
            <w:vAlign w:val="center"/>
          </w:tcPr>
          <w:p w14:paraId="5E06AEAE">
            <w:pPr>
              <w:tabs>
                <w:tab w:val="left" w:pos="1080"/>
              </w:tabs>
              <w:snapToGrid w:val="0"/>
              <w:jc w:val="center"/>
              <w:rPr>
                <w:b/>
                <w:sz w:val="24"/>
                <w:highlight w:val="none"/>
              </w:rPr>
            </w:pPr>
            <w:bookmarkStart w:id="640" w:name="_Hlt487972895"/>
            <w:bookmarkEnd w:id="640"/>
            <w:r>
              <w:rPr>
                <w:b/>
                <w:sz w:val="24"/>
                <w:highlight w:val="none"/>
              </w:rPr>
              <w:t>序号</w:t>
            </w:r>
          </w:p>
        </w:tc>
        <w:tc>
          <w:tcPr>
            <w:tcW w:w="937" w:type="pct"/>
            <w:noWrap w:val="0"/>
            <w:vAlign w:val="center"/>
          </w:tcPr>
          <w:p w14:paraId="76396003">
            <w:pPr>
              <w:tabs>
                <w:tab w:val="left" w:pos="1080"/>
              </w:tabs>
              <w:snapToGrid w:val="0"/>
              <w:jc w:val="center"/>
              <w:rPr>
                <w:b/>
                <w:sz w:val="24"/>
                <w:highlight w:val="none"/>
              </w:rPr>
            </w:pPr>
            <w:r>
              <w:rPr>
                <w:b/>
                <w:sz w:val="24"/>
                <w:highlight w:val="none"/>
              </w:rPr>
              <w:t>检查因素</w:t>
            </w:r>
          </w:p>
        </w:tc>
        <w:tc>
          <w:tcPr>
            <w:tcW w:w="2579" w:type="pct"/>
            <w:noWrap w:val="0"/>
            <w:vAlign w:val="center"/>
          </w:tcPr>
          <w:p w14:paraId="1E588B0E">
            <w:pPr>
              <w:tabs>
                <w:tab w:val="left" w:pos="1080"/>
              </w:tabs>
              <w:snapToGrid w:val="0"/>
              <w:jc w:val="center"/>
              <w:rPr>
                <w:b/>
                <w:sz w:val="24"/>
                <w:highlight w:val="none"/>
              </w:rPr>
            </w:pPr>
            <w:r>
              <w:rPr>
                <w:b/>
                <w:sz w:val="24"/>
                <w:highlight w:val="none"/>
              </w:rPr>
              <w:t>检查内容</w:t>
            </w:r>
          </w:p>
        </w:tc>
        <w:tc>
          <w:tcPr>
            <w:tcW w:w="1027" w:type="pct"/>
            <w:noWrap w:val="0"/>
            <w:vAlign w:val="center"/>
          </w:tcPr>
          <w:p w14:paraId="2778C816">
            <w:pPr>
              <w:tabs>
                <w:tab w:val="left" w:pos="1080"/>
              </w:tabs>
              <w:snapToGrid w:val="0"/>
              <w:jc w:val="center"/>
              <w:rPr>
                <w:b/>
                <w:sz w:val="24"/>
                <w:highlight w:val="none"/>
              </w:rPr>
            </w:pPr>
            <w:r>
              <w:rPr>
                <w:b/>
                <w:sz w:val="24"/>
                <w:highlight w:val="none"/>
              </w:rPr>
              <w:t>格式要求</w:t>
            </w:r>
          </w:p>
        </w:tc>
      </w:tr>
      <w:tr w14:paraId="1BF1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D268F0D">
            <w:pPr>
              <w:tabs>
                <w:tab w:val="left" w:pos="1080"/>
              </w:tabs>
              <w:snapToGrid w:val="0"/>
              <w:jc w:val="center"/>
              <w:rPr>
                <w:sz w:val="24"/>
                <w:highlight w:val="none"/>
              </w:rPr>
            </w:pPr>
            <w:r>
              <w:rPr>
                <w:sz w:val="24"/>
                <w:highlight w:val="none"/>
              </w:rPr>
              <w:t>1</w:t>
            </w:r>
          </w:p>
        </w:tc>
        <w:tc>
          <w:tcPr>
            <w:tcW w:w="937" w:type="pct"/>
            <w:noWrap w:val="0"/>
            <w:vAlign w:val="center"/>
          </w:tcPr>
          <w:p w14:paraId="3D366F80">
            <w:pPr>
              <w:tabs>
                <w:tab w:val="left" w:pos="1080"/>
              </w:tabs>
              <w:snapToGrid w:val="0"/>
              <w:jc w:val="left"/>
              <w:rPr>
                <w:sz w:val="24"/>
                <w:highlight w:val="none"/>
              </w:rPr>
            </w:pPr>
            <w:r>
              <w:rPr>
                <w:sz w:val="24"/>
                <w:highlight w:val="none"/>
              </w:rPr>
              <w:t>满足《中华人民共和国政府采购法》第二十二条规定</w:t>
            </w:r>
          </w:p>
        </w:tc>
        <w:tc>
          <w:tcPr>
            <w:tcW w:w="2579" w:type="pct"/>
            <w:noWrap w:val="0"/>
            <w:vAlign w:val="center"/>
          </w:tcPr>
          <w:p w14:paraId="2D5FCA24">
            <w:pPr>
              <w:tabs>
                <w:tab w:val="left" w:pos="1080"/>
              </w:tabs>
              <w:snapToGrid w:val="0"/>
              <w:jc w:val="left"/>
              <w:rPr>
                <w:sz w:val="24"/>
                <w:highlight w:val="none"/>
              </w:rPr>
            </w:pPr>
            <w:r>
              <w:rPr>
                <w:sz w:val="24"/>
                <w:highlight w:val="none"/>
              </w:rPr>
              <w:t>具体规定见第一章《采购邀请》</w:t>
            </w:r>
          </w:p>
        </w:tc>
        <w:tc>
          <w:tcPr>
            <w:tcW w:w="1027" w:type="pct"/>
            <w:noWrap w:val="0"/>
            <w:vAlign w:val="center"/>
          </w:tcPr>
          <w:p w14:paraId="40C68D83">
            <w:pPr>
              <w:tabs>
                <w:tab w:val="left" w:pos="1080"/>
              </w:tabs>
              <w:snapToGrid w:val="0"/>
              <w:jc w:val="left"/>
              <w:rPr>
                <w:sz w:val="24"/>
                <w:highlight w:val="none"/>
              </w:rPr>
            </w:pPr>
          </w:p>
        </w:tc>
      </w:tr>
      <w:tr w14:paraId="4469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F298794">
            <w:pPr>
              <w:tabs>
                <w:tab w:val="left" w:pos="1080"/>
              </w:tabs>
              <w:snapToGrid w:val="0"/>
              <w:jc w:val="center"/>
              <w:rPr>
                <w:sz w:val="24"/>
                <w:highlight w:val="none"/>
              </w:rPr>
            </w:pPr>
            <w:r>
              <w:rPr>
                <w:sz w:val="24"/>
                <w:highlight w:val="none"/>
              </w:rPr>
              <w:t>1-1</w:t>
            </w:r>
          </w:p>
        </w:tc>
        <w:tc>
          <w:tcPr>
            <w:tcW w:w="937" w:type="pct"/>
            <w:noWrap w:val="0"/>
            <w:vAlign w:val="center"/>
          </w:tcPr>
          <w:p w14:paraId="7237013F">
            <w:pPr>
              <w:tabs>
                <w:tab w:val="left" w:pos="1080"/>
              </w:tabs>
              <w:snapToGrid w:val="0"/>
              <w:jc w:val="left"/>
              <w:rPr>
                <w:sz w:val="24"/>
                <w:highlight w:val="none"/>
              </w:rPr>
            </w:pPr>
            <w:r>
              <w:rPr>
                <w:sz w:val="24"/>
                <w:highlight w:val="none"/>
              </w:rPr>
              <w:t>营业执照等证明文件</w:t>
            </w:r>
          </w:p>
        </w:tc>
        <w:tc>
          <w:tcPr>
            <w:tcW w:w="2579" w:type="pct"/>
            <w:noWrap w:val="0"/>
            <w:vAlign w:val="center"/>
          </w:tcPr>
          <w:p w14:paraId="56C12F38">
            <w:pPr>
              <w:tabs>
                <w:tab w:val="left" w:pos="1080"/>
              </w:tabs>
              <w:snapToGrid w:val="0"/>
              <w:jc w:val="left"/>
              <w:rPr>
                <w:sz w:val="24"/>
                <w:highlight w:val="none"/>
              </w:rPr>
            </w:pPr>
            <w:r>
              <w:rPr>
                <w:sz w:val="24"/>
                <w:highlight w:val="none"/>
              </w:rPr>
              <w:t>供应商为企业（包括合伙企业）的，应提供有效的“营业执照”；</w:t>
            </w:r>
          </w:p>
          <w:p w14:paraId="4593E5DE">
            <w:pPr>
              <w:tabs>
                <w:tab w:val="left" w:pos="1080"/>
              </w:tabs>
              <w:snapToGrid w:val="0"/>
              <w:jc w:val="left"/>
              <w:rPr>
                <w:sz w:val="24"/>
                <w:highlight w:val="none"/>
              </w:rPr>
            </w:pPr>
            <w:r>
              <w:rPr>
                <w:sz w:val="24"/>
                <w:highlight w:val="none"/>
              </w:rPr>
              <w:t>供应商为事业单位的，应提供有效的“事业单位法人证书”；</w:t>
            </w:r>
          </w:p>
          <w:p w14:paraId="2F8B4B29">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72B9C3AD">
            <w:pPr>
              <w:tabs>
                <w:tab w:val="left" w:pos="1080"/>
              </w:tabs>
              <w:snapToGrid w:val="0"/>
              <w:jc w:val="left"/>
              <w:rPr>
                <w:sz w:val="24"/>
                <w:highlight w:val="none"/>
              </w:rPr>
            </w:pPr>
            <w:r>
              <w:rPr>
                <w:sz w:val="24"/>
                <w:highlight w:val="none"/>
              </w:rPr>
              <w:t>供应商是个体工商户的，应提供有效的“个体工商户营业执照”；</w:t>
            </w:r>
          </w:p>
          <w:p w14:paraId="17B1F59E">
            <w:pPr>
              <w:tabs>
                <w:tab w:val="left" w:pos="1080"/>
              </w:tabs>
              <w:snapToGrid w:val="0"/>
              <w:jc w:val="left"/>
              <w:rPr>
                <w:sz w:val="24"/>
                <w:highlight w:val="none"/>
              </w:rPr>
            </w:pPr>
            <w:r>
              <w:rPr>
                <w:sz w:val="24"/>
                <w:highlight w:val="none"/>
              </w:rPr>
              <w:t>供应商是自然人的，应提供有效的自然人身份证明。</w:t>
            </w:r>
          </w:p>
          <w:p w14:paraId="7BB78AF0">
            <w:pPr>
              <w:tabs>
                <w:tab w:val="left" w:pos="1080"/>
              </w:tabs>
              <w:snapToGrid w:val="0"/>
              <w:jc w:val="left"/>
              <w:rPr>
                <w:sz w:val="24"/>
                <w:highlight w:val="none"/>
              </w:rPr>
            </w:pPr>
            <w:r>
              <w:rPr>
                <w:sz w:val="24"/>
                <w:highlight w:val="none"/>
              </w:rPr>
              <w:t>分支机构参加响应的，应</w:t>
            </w:r>
            <w:r>
              <w:rPr>
                <w:rFonts w:hint="eastAsia"/>
                <w:sz w:val="24"/>
                <w:highlight w:val="none"/>
              </w:rPr>
              <w:t>提</w:t>
            </w:r>
            <w:r>
              <w:rPr>
                <w:sz w:val="24"/>
                <w:highlight w:val="none"/>
              </w:rPr>
              <w:t>供该分支机构或 其所属法人/其他组织的相应证明文件； 同时 还应</w:t>
            </w:r>
            <w:r>
              <w:rPr>
                <w:rFonts w:hint="eastAsia"/>
                <w:sz w:val="24"/>
                <w:highlight w:val="none"/>
              </w:rPr>
              <w:t>提</w:t>
            </w:r>
            <w:r>
              <w:rPr>
                <w:sz w:val="24"/>
                <w:highlight w:val="none"/>
              </w:rPr>
              <w:t>供其所属法人/其他组织出具的授权  其参与本项目的授权书（格式自拟，须加盖 其所属法人/其他组织的公章）；对于银行、 保险、石油石化、电力、电信等行业的分支机构，可以</w:t>
            </w:r>
            <w:r>
              <w:rPr>
                <w:rFonts w:hint="eastAsia"/>
                <w:sz w:val="24"/>
                <w:highlight w:val="none"/>
              </w:rPr>
              <w:t>提</w:t>
            </w:r>
            <w:r>
              <w:rPr>
                <w:sz w:val="24"/>
                <w:highlight w:val="none"/>
              </w:rPr>
              <w:t>供上述授权，也可以</w:t>
            </w:r>
            <w:r>
              <w:rPr>
                <w:rFonts w:hint="eastAsia"/>
                <w:sz w:val="24"/>
                <w:highlight w:val="none"/>
              </w:rPr>
              <w:t>提</w:t>
            </w:r>
            <w:r>
              <w:rPr>
                <w:sz w:val="24"/>
                <w:highlight w:val="none"/>
              </w:rPr>
              <w:t>供其所属法人/其他组织的有关文件或制度等能够证明授权其独立开展业务的证明材料。</w:t>
            </w:r>
          </w:p>
        </w:tc>
        <w:tc>
          <w:tcPr>
            <w:tcW w:w="1027" w:type="pct"/>
            <w:noWrap w:val="0"/>
            <w:vAlign w:val="center"/>
          </w:tcPr>
          <w:p w14:paraId="057311A5">
            <w:pPr>
              <w:tabs>
                <w:tab w:val="left" w:pos="1080"/>
              </w:tabs>
              <w:snapToGrid w:val="0"/>
              <w:jc w:val="left"/>
              <w:rPr>
                <w:sz w:val="24"/>
                <w:highlight w:val="none"/>
              </w:rPr>
            </w:pPr>
            <w:r>
              <w:rPr>
                <w:sz w:val="24"/>
                <w:highlight w:val="none"/>
              </w:rPr>
              <w:t>提供证明文件的电子件或电子证照</w:t>
            </w:r>
          </w:p>
        </w:tc>
      </w:tr>
      <w:tr w14:paraId="3F68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7B62D90D">
            <w:pPr>
              <w:tabs>
                <w:tab w:val="left" w:pos="1080"/>
              </w:tabs>
              <w:snapToGrid w:val="0"/>
              <w:jc w:val="center"/>
              <w:rPr>
                <w:sz w:val="24"/>
                <w:highlight w:val="none"/>
              </w:rPr>
            </w:pPr>
            <w:r>
              <w:rPr>
                <w:sz w:val="24"/>
                <w:highlight w:val="none"/>
              </w:rPr>
              <w:t>1-2</w:t>
            </w:r>
          </w:p>
        </w:tc>
        <w:tc>
          <w:tcPr>
            <w:tcW w:w="937" w:type="pct"/>
            <w:noWrap w:val="0"/>
            <w:vAlign w:val="center"/>
          </w:tcPr>
          <w:p w14:paraId="58EF0858">
            <w:pPr>
              <w:tabs>
                <w:tab w:val="left" w:pos="1080"/>
              </w:tabs>
              <w:snapToGrid w:val="0"/>
              <w:jc w:val="left"/>
              <w:rPr>
                <w:sz w:val="24"/>
                <w:highlight w:val="none"/>
              </w:rPr>
            </w:pPr>
            <w:r>
              <w:rPr>
                <w:sz w:val="24"/>
                <w:highlight w:val="none"/>
              </w:rPr>
              <w:t>供应商资格声明书</w:t>
            </w:r>
          </w:p>
        </w:tc>
        <w:tc>
          <w:tcPr>
            <w:tcW w:w="2579" w:type="pct"/>
            <w:noWrap w:val="0"/>
            <w:vAlign w:val="center"/>
          </w:tcPr>
          <w:p w14:paraId="731B47CF">
            <w:pPr>
              <w:tabs>
                <w:tab w:val="left" w:pos="1080"/>
              </w:tabs>
              <w:snapToGrid w:val="0"/>
              <w:jc w:val="left"/>
              <w:rPr>
                <w:sz w:val="24"/>
                <w:highlight w:val="none"/>
              </w:rPr>
            </w:pPr>
            <w:r>
              <w:rPr>
                <w:sz w:val="24"/>
                <w:highlight w:val="none"/>
              </w:rPr>
              <w:t>提供了符合竞争性磋商文件要求的《供应商资格声明书》。</w:t>
            </w:r>
          </w:p>
        </w:tc>
        <w:tc>
          <w:tcPr>
            <w:tcW w:w="1027" w:type="pct"/>
            <w:noWrap w:val="0"/>
            <w:vAlign w:val="center"/>
          </w:tcPr>
          <w:p w14:paraId="46B5700D">
            <w:pPr>
              <w:tabs>
                <w:tab w:val="left" w:pos="1080"/>
              </w:tabs>
              <w:snapToGrid w:val="0"/>
              <w:jc w:val="left"/>
              <w:rPr>
                <w:sz w:val="24"/>
                <w:highlight w:val="none"/>
              </w:rPr>
            </w:pPr>
            <w:r>
              <w:rPr>
                <w:sz w:val="24"/>
                <w:highlight w:val="none"/>
              </w:rPr>
              <w:t>格式见《响应文件格式》</w:t>
            </w:r>
          </w:p>
        </w:tc>
      </w:tr>
      <w:tr w14:paraId="1A05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1FCF63E6">
            <w:pPr>
              <w:tabs>
                <w:tab w:val="left" w:pos="1080"/>
              </w:tabs>
              <w:snapToGrid w:val="0"/>
              <w:jc w:val="center"/>
              <w:rPr>
                <w:sz w:val="24"/>
                <w:highlight w:val="none"/>
              </w:rPr>
            </w:pPr>
            <w:r>
              <w:rPr>
                <w:sz w:val="24"/>
                <w:highlight w:val="none"/>
              </w:rPr>
              <w:t>1-3</w:t>
            </w:r>
          </w:p>
        </w:tc>
        <w:tc>
          <w:tcPr>
            <w:tcW w:w="937" w:type="pct"/>
            <w:noWrap w:val="0"/>
            <w:vAlign w:val="center"/>
          </w:tcPr>
          <w:p w14:paraId="79DBF8E3">
            <w:pPr>
              <w:tabs>
                <w:tab w:val="left" w:pos="1080"/>
              </w:tabs>
              <w:snapToGrid w:val="0"/>
              <w:rPr>
                <w:sz w:val="24"/>
                <w:highlight w:val="none"/>
              </w:rPr>
            </w:pPr>
            <w:r>
              <w:rPr>
                <w:sz w:val="24"/>
                <w:highlight w:val="none"/>
              </w:rPr>
              <w:t>供应商信用记录</w:t>
            </w:r>
          </w:p>
        </w:tc>
        <w:tc>
          <w:tcPr>
            <w:tcW w:w="2579" w:type="pct"/>
            <w:noWrap w:val="0"/>
            <w:vAlign w:val="center"/>
          </w:tcPr>
          <w:p w14:paraId="6028EEE0">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73ED2D86">
            <w:pPr>
              <w:tabs>
                <w:tab w:val="left" w:pos="900"/>
                <w:tab w:val="left" w:pos="1980"/>
              </w:tabs>
              <w:snapToGrid w:val="0"/>
              <w:rPr>
                <w:sz w:val="24"/>
                <w:highlight w:val="none"/>
              </w:rPr>
            </w:pPr>
            <w:r>
              <w:rPr>
                <w:sz w:val="24"/>
                <w:highlight w:val="none"/>
              </w:rPr>
              <w:t>截止时点：</w:t>
            </w:r>
            <w:r>
              <w:rPr>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35CF1010">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45FD4CA7">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7" w:type="pct"/>
            <w:noWrap w:val="0"/>
            <w:vAlign w:val="center"/>
          </w:tcPr>
          <w:p w14:paraId="77E733D0">
            <w:pPr>
              <w:tabs>
                <w:tab w:val="left" w:pos="1080"/>
              </w:tabs>
              <w:snapToGrid w:val="0"/>
              <w:rPr>
                <w:sz w:val="24"/>
                <w:highlight w:val="none"/>
              </w:rPr>
            </w:pPr>
            <w:r>
              <w:rPr>
                <w:sz w:val="24"/>
                <w:highlight w:val="none"/>
              </w:rPr>
              <w:t>无须供应商提供，由采购人或采购代理机构查询。</w:t>
            </w:r>
          </w:p>
        </w:tc>
      </w:tr>
      <w:tr w14:paraId="3C95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06132EB9">
            <w:pPr>
              <w:tabs>
                <w:tab w:val="left" w:pos="1080"/>
              </w:tabs>
              <w:snapToGrid w:val="0"/>
              <w:jc w:val="center"/>
              <w:rPr>
                <w:sz w:val="24"/>
                <w:highlight w:val="none"/>
              </w:rPr>
            </w:pPr>
            <w:r>
              <w:rPr>
                <w:rFonts w:hint="eastAsia"/>
                <w:sz w:val="24"/>
                <w:highlight w:val="none"/>
              </w:rPr>
              <w:t>1-4</w:t>
            </w:r>
          </w:p>
        </w:tc>
        <w:tc>
          <w:tcPr>
            <w:tcW w:w="937" w:type="pct"/>
            <w:noWrap w:val="0"/>
            <w:vAlign w:val="top"/>
          </w:tcPr>
          <w:p w14:paraId="061AB7BE">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9" w:type="pct"/>
            <w:noWrap w:val="0"/>
            <w:vAlign w:val="top"/>
          </w:tcPr>
          <w:p w14:paraId="48602BFD">
            <w:pPr>
              <w:pStyle w:val="275"/>
              <w:spacing w:line="270" w:lineRule="auto"/>
              <w:rPr>
                <w:highlight w:val="none"/>
                <w:lang w:eastAsia="zh-CN"/>
              </w:rPr>
            </w:pPr>
          </w:p>
          <w:p w14:paraId="363CF098">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7" w:type="pct"/>
            <w:noWrap w:val="0"/>
            <w:vAlign w:val="top"/>
          </w:tcPr>
          <w:p w14:paraId="0E7A8710">
            <w:pPr>
              <w:pStyle w:val="275"/>
              <w:spacing w:line="302" w:lineRule="auto"/>
              <w:rPr>
                <w:highlight w:val="none"/>
                <w:lang w:eastAsia="zh-CN"/>
              </w:rPr>
            </w:pPr>
          </w:p>
          <w:p w14:paraId="3A7ADD30">
            <w:pPr>
              <w:pStyle w:val="275"/>
              <w:spacing w:before="69" w:line="215" w:lineRule="auto"/>
              <w:ind w:left="912"/>
              <w:rPr>
                <w:rFonts w:eastAsia="宋体"/>
                <w:sz w:val="24"/>
                <w:highlight w:val="none"/>
              </w:rPr>
            </w:pPr>
            <w:r>
              <w:rPr>
                <w:spacing w:val="14"/>
                <w:sz w:val="24"/>
                <w:szCs w:val="24"/>
                <w:highlight w:val="none"/>
              </w:rPr>
              <w:t>/</w:t>
            </w:r>
          </w:p>
        </w:tc>
      </w:tr>
      <w:tr w14:paraId="15F8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6E7BA0F">
            <w:pPr>
              <w:tabs>
                <w:tab w:val="left" w:pos="1080"/>
              </w:tabs>
              <w:snapToGrid w:val="0"/>
              <w:jc w:val="center"/>
              <w:rPr>
                <w:sz w:val="24"/>
                <w:highlight w:val="none"/>
              </w:rPr>
            </w:pPr>
            <w:r>
              <w:rPr>
                <w:sz w:val="24"/>
                <w:highlight w:val="none"/>
              </w:rPr>
              <w:t>2</w:t>
            </w:r>
          </w:p>
        </w:tc>
        <w:tc>
          <w:tcPr>
            <w:tcW w:w="937" w:type="pct"/>
            <w:noWrap w:val="0"/>
            <w:vAlign w:val="center"/>
          </w:tcPr>
          <w:p w14:paraId="6E71B1C0">
            <w:pPr>
              <w:tabs>
                <w:tab w:val="left" w:pos="1080"/>
              </w:tabs>
              <w:snapToGrid w:val="0"/>
              <w:jc w:val="left"/>
              <w:rPr>
                <w:sz w:val="24"/>
                <w:highlight w:val="none"/>
              </w:rPr>
            </w:pPr>
            <w:r>
              <w:rPr>
                <w:sz w:val="24"/>
                <w:highlight w:val="none"/>
              </w:rPr>
              <w:t>落实政府采购政策需满足的资格要求</w:t>
            </w:r>
          </w:p>
        </w:tc>
        <w:tc>
          <w:tcPr>
            <w:tcW w:w="2579" w:type="pct"/>
            <w:noWrap w:val="0"/>
            <w:vAlign w:val="center"/>
          </w:tcPr>
          <w:p w14:paraId="33347231">
            <w:pPr>
              <w:tabs>
                <w:tab w:val="left" w:pos="1080"/>
              </w:tabs>
              <w:snapToGrid w:val="0"/>
              <w:jc w:val="left"/>
              <w:rPr>
                <w:sz w:val="24"/>
                <w:highlight w:val="none"/>
              </w:rPr>
            </w:pPr>
            <w:r>
              <w:rPr>
                <w:sz w:val="24"/>
                <w:highlight w:val="none"/>
              </w:rPr>
              <w:t>具体要求见第一章《采购邀请》</w:t>
            </w:r>
          </w:p>
        </w:tc>
        <w:tc>
          <w:tcPr>
            <w:tcW w:w="1027" w:type="pct"/>
            <w:noWrap w:val="0"/>
            <w:vAlign w:val="center"/>
          </w:tcPr>
          <w:p w14:paraId="30106675">
            <w:pPr>
              <w:tabs>
                <w:tab w:val="left" w:pos="1080"/>
              </w:tabs>
              <w:snapToGrid w:val="0"/>
              <w:jc w:val="left"/>
              <w:rPr>
                <w:sz w:val="24"/>
                <w:highlight w:val="none"/>
              </w:rPr>
            </w:pPr>
          </w:p>
        </w:tc>
      </w:tr>
      <w:tr w14:paraId="7C21E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top"/>
          </w:tcPr>
          <w:p w14:paraId="6A0164E6">
            <w:pPr>
              <w:tabs>
                <w:tab w:val="left" w:pos="1080"/>
              </w:tabs>
              <w:snapToGrid w:val="0"/>
              <w:jc w:val="center"/>
              <w:rPr>
                <w:sz w:val="24"/>
                <w:highlight w:val="none"/>
              </w:rPr>
            </w:pPr>
            <w:r>
              <w:rPr>
                <w:rFonts w:hint="eastAsia"/>
                <w:sz w:val="24"/>
                <w:highlight w:val="none"/>
              </w:rPr>
              <w:t>2-1</w:t>
            </w:r>
          </w:p>
        </w:tc>
        <w:tc>
          <w:tcPr>
            <w:tcW w:w="937" w:type="pct"/>
            <w:noWrap w:val="0"/>
            <w:vAlign w:val="top"/>
          </w:tcPr>
          <w:p w14:paraId="7F0884A3">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9" w:type="pct"/>
            <w:noWrap w:val="0"/>
            <w:vAlign w:val="top"/>
          </w:tcPr>
          <w:p w14:paraId="7F63FE9D">
            <w:pPr>
              <w:spacing w:before="116" w:line="219" w:lineRule="auto"/>
              <w:ind w:left="118"/>
              <w:rPr>
                <w:rFonts w:ascii="宋体" w:hAnsi="宋体" w:cs="宋体"/>
                <w:sz w:val="24"/>
                <w:highlight w:val="none"/>
              </w:rPr>
            </w:pPr>
            <w:r>
              <w:rPr>
                <w:rFonts w:ascii="宋体" w:hAnsi="宋体" w:cs="宋体"/>
                <w:spacing w:val="-2"/>
                <w:sz w:val="24"/>
                <w:highlight w:val="none"/>
              </w:rPr>
              <w:t>具体要求见第一章《采购邀请》</w:t>
            </w:r>
          </w:p>
        </w:tc>
        <w:tc>
          <w:tcPr>
            <w:tcW w:w="1027" w:type="pct"/>
            <w:noWrap w:val="0"/>
            <w:vAlign w:val="center"/>
          </w:tcPr>
          <w:p w14:paraId="4A8CA4FE">
            <w:pPr>
              <w:tabs>
                <w:tab w:val="left" w:pos="1080"/>
              </w:tabs>
              <w:snapToGrid w:val="0"/>
              <w:jc w:val="left"/>
              <w:rPr>
                <w:sz w:val="24"/>
                <w:highlight w:val="none"/>
              </w:rPr>
            </w:pPr>
          </w:p>
        </w:tc>
      </w:tr>
      <w:tr w14:paraId="0F01B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0457F9C">
            <w:pPr>
              <w:tabs>
                <w:tab w:val="left" w:pos="1080"/>
              </w:tabs>
              <w:snapToGrid w:val="0"/>
              <w:jc w:val="center"/>
              <w:rPr>
                <w:sz w:val="24"/>
                <w:highlight w:val="none"/>
              </w:rPr>
            </w:pPr>
            <w:r>
              <w:rPr>
                <w:sz w:val="24"/>
                <w:highlight w:val="none"/>
              </w:rPr>
              <w:t>2-1</w:t>
            </w:r>
            <w:r>
              <w:rPr>
                <w:rFonts w:hint="eastAsia"/>
                <w:sz w:val="24"/>
                <w:highlight w:val="none"/>
              </w:rPr>
              <w:t>-1</w:t>
            </w:r>
          </w:p>
        </w:tc>
        <w:tc>
          <w:tcPr>
            <w:tcW w:w="937" w:type="pct"/>
            <w:noWrap w:val="0"/>
            <w:vAlign w:val="center"/>
          </w:tcPr>
          <w:p w14:paraId="738A1FDB">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9" w:type="pct"/>
            <w:noWrap w:val="0"/>
            <w:vAlign w:val="center"/>
          </w:tcPr>
          <w:p w14:paraId="1BB98F29">
            <w:pPr>
              <w:spacing w:before="40" w:line="204" w:lineRule="auto"/>
              <w:ind w:right="119"/>
              <w:rPr>
                <w:rFonts w:ascii="宋体" w:hAnsi="宋体" w:cs="宋体"/>
                <w:spacing w:val="-2"/>
                <w:sz w:val="24"/>
                <w:highlight w:val="none"/>
              </w:rPr>
            </w:pPr>
            <w:r>
              <w:rPr>
                <w:rFonts w:ascii="宋体" w:hAnsi="宋体" w:cs="宋体"/>
                <w:spacing w:val="-2"/>
                <w:sz w:val="24"/>
                <w:highlight w:val="none"/>
              </w:rPr>
              <w:t>当本项目（包）涉及预留份额专门面向中小企业采购，</w:t>
            </w:r>
            <w:r>
              <w:rPr>
                <w:rFonts w:hint="eastAsia" w:ascii="宋体" w:hAnsi="宋体" w:cs="宋体"/>
                <w:spacing w:val="-2"/>
                <w:sz w:val="24"/>
                <w:highlight w:val="none"/>
              </w:rPr>
              <w:t>提</w:t>
            </w:r>
            <w:r>
              <w:rPr>
                <w:rFonts w:ascii="宋体" w:hAnsi="宋体" w:cs="宋体"/>
                <w:spacing w:val="-2"/>
                <w:sz w:val="24"/>
                <w:highlight w:val="none"/>
              </w:rPr>
              <w:t>供如下资料：</w:t>
            </w:r>
          </w:p>
          <w:p w14:paraId="68A61012">
            <w:pPr>
              <w:pStyle w:val="275"/>
              <w:spacing w:before="4" w:line="220" w:lineRule="auto"/>
              <w:ind w:right="119"/>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1、供应商单独响应的，应</w:t>
            </w:r>
            <w:r>
              <w:rPr>
                <w:rFonts w:hint="eastAsia" w:ascii="宋体" w:hAnsi="宋体" w:eastAsia="宋体" w:cs="宋体"/>
                <w:spacing w:val="-2"/>
                <w:sz w:val="24"/>
                <w:szCs w:val="24"/>
                <w:highlight w:val="none"/>
                <w:lang w:eastAsia="zh-CN"/>
              </w:rPr>
              <w:t>提</w:t>
            </w:r>
            <w:r>
              <w:rPr>
                <w:rFonts w:ascii="宋体" w:hAnsi="宋体" w:eastAsia="宋体" w:cs="宋体"/>
                <w:spacing w:val="-2"/>
                <w:sz w:val="24"/>
                <w:szCs w:val="24"/>
                <w:highlight w:val="none"/>
                <w:lang w:eastAsia="zh-CN"/>
              </w:rPr>
              <w:t>供《中小企业  声明函》或《残疾人福利性单位声明函》或 由省级以上监狱管理局、戒毒管理局（含新 疆生产建设兵团）出具的属于监狱企业的证 明文件。</w:t>
            </w:r>
          </w:p>
          <w:p w14:paraId="05EC2988">
            <w:pPr>
              <w:pStyle w:val="275"/>
              <w:spacing w:before="24" w:line="235" w:lineRule="auto"/>
              <w:ind w:right="119"/>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2、如磋商文件要求以联合体形式参加或者 要求合同分包的，且供应商为联合体或拟进 行合同分包的，则联合体中的中小企业、签 订分包意向协议的中小企业具体情况须在</w:t>
            </w:r>
          </w:p>
          <w:p w14:paraId="35580328">
            <w:pPr>
              <w:tabs>
                <w:tab w:val="left" w:pos="1080"/>
              </w:tabs>
              <w:snapToGrid w:val="0"/>
              <w:jc w:val="left"/>
              <w:rPr>
                <w:sz w:val="24"/>
                <w:highlight w:val="none"/>
              </w:rPr>
            </w:pPr>
            <w:r>
              <w:rPr>
                <w:rFonts w:ascii="宋体" w:hAnsi="宋体" w:cs="宋体"/>
                <w:spacing w:val="-2"/>
                <w:sz w:val="24"/>
                <w:highlight w:val="none"/>
              </w:rPr>
              <w:t>《中小企业声明函》或《残疾人福利性单位 声明函》或由省级以上监狱管理局、戒毒管 理局（含新疆生产建设兵团）出具的属于监 狱企业的证明文件中如实填报，且满足采购 文件关于预留份额的要求。</w:t>
            </w:r>
          </w:p>
        </w:tc>
        <w:tc>
          <w:tcPr>
            <w:tcW w:w="1027" w:type="pct"/>
            <w:noWrap w:val="0"/>
            <w:vAlign w:val="center"/>
          </w:tcPr>
          <w:p w14:paraId="16AFDD6C">
            <w:pPr>
              <w:tabs>
                <w:tab w:val="left" w:pos="1080"/>
              </w:tabs>
              <w:snapToGrid w:val="0"/>
              <w:jc w:val="left"/>
              <w:rPr>
                <w:sz w:val="24"/>
                <w:highlight w:val="none"/>
              </w:rPr>
            </w:pPr>
            <w:r>
              <w:rPr>
                <w:sz w:val="24"/>
                <w:highlight w:val="none"/>
              </w:rPr>
              <w:t>格式见《响应文件格式》</w:t>
            </w:r>
          </w:p>
        </w:tc>
      </w:tr>
      <w:tr w14:paraId="0F523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9FE8975">
            <w:pPr>
              <w:tabs>
                <w:tab w:val="left" w:pos="1080"/>
              </w:tabs>
              <w:snapToGrid w:val="0"/>
              <w:jc w:val="center"/>
              <w:rPr>
                <w:rFonts w:hint="eastAsia"/>
                <w:sz w:val="24"/>
                <w:highlight w:val="none"/>
              </w:rPr>
            </w:pPr>
            <w:r>
              <w:rPr>
                <w:sz w:val="24"/>
                <w:highlight w:val="none"/>
              </w:rPr>
              <w:t>2-1-</w:t>
            </w:r>
            <w:r>
              <w:rPr>
                <w:rFonts w:hint="eastAsia"/>
                <w:sz w:val="24"/>
                <w:highlight w:val="none"/>
              </w:rPr>
              <w:t>2</w:t>
            </w:r>
          </w:p>
        </w:tc>
        <w:tc>
          <w:tcPr>
            <w:tcW w:w="937" w:type="pct"/>
            <w:noWrap w:val="0"/>
            <w:vAlign w:val="center"/>
          </w:tcPr>
          <w:p w14:paraId="285F5EA2">
            <w:pPr>
              <w:tabs>
                <w:tab w:val="left" w:pos="1080"/>
              </w:tabs>
              <w:snapToGrid w:val="0"/>
              <w:jc w:val="left"/>
              <w:rPr>
                <w:sz w:val="24"/>
                <w:highlight w:val="none"/>
              </w:rPr>
            </w:pPr>
            <w:r>
              <w:rPr>
                <w:sz w:val="24"/>
                <w:highlight w:val="none"/>
              </w:rPr>
              <w:t>拟分包情况说明及分包意向协议</w:t>
            </w:r>
          </w:p>
        </w:tc>
        <w:tc>
          <w:tcPr>
            <w:tcW w:w="2579" w:type="pct"/>
            <w:noWrap w:val="0"/>
            <w:vAlign w:val="center"/>
          </w:tcPr>
          <w:p w14:paraId="4D8D3BA5">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6489231B">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7" w:type="pct"/>
            <w:noWrap w:val="0"/>
            <w:vAlign w:val="center"/>
          </w:tcPr>
          <w:p w14:paraId="0F195A6B">
            <w:pPr>
              <w:tabs>
                <w:tab w:val="left" w:pos="1080"/>
              </w:tabs>
              <w:snapToGrid w:val="0"/>
              <w:jc w:val="left"/>
              <w:rPr>
                <w:sz w:val="24"/>
                <w:highlight w:val="none"/>
              </w:rPr>
            </w:pPr>
            <w:r>
              <w:rPr>
                <w:sz w:val="24"/>
                <w:highlight w:val="none"/>
              </w:rPr>
              <w:t>格式见《响应文件格式》</w:t>
            </w:r>
          </w:p>
        </w:tc>
      </w:tr>
      <w:tr w14:paraId="7C8D0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B30A90D">
            <w:pPr>
              <w:tabs>
                <w:tab w:val="left" w:pos="1080"/>
              </w:tabs>
              <w:snapToGrid w:val="0"/>
              <w:jc w:val="center"/>
              <w:rPr>
                <w:sz w:val="24"/>
                <w:highlight w:val="none"/>
              </w:rPr>
            </w:pPr>
            <w:r>
              <w:rPr>
                <w:sz w:val="24"/>
                <w:highlight w:val="none"/>
              </w:rPr>
              <w:t>2-2</w:t>
            </w:r>
          </w:p>
        </w:tc>
        <w:tc>
          <w:tcPr>
            <w:tcW w:w="937" w:type="pct"/>
            <w:noWrap w:val="0"/>
            <w:vAlign w:val="center"/>
          </w:tcPr>
          <w:p w14:paraId="2FE2A9ED">
            <w:pPr>
              <w:tabs>
                <w:tab w:val="left" w:pos="1080"/>
              </w:tabs>
              <w:snapToGrid w:val="0"/>
              <w:jc w:val="left"/>
              <w:rPr>
                <w:sz w:val="24"/>
                <w:highlight w:val="none"/>
              </w:rPr>
            </w:pPr>
            <w:r>
              <w:rPr>
                <w:sz w:val="24"/>
                <w:highlight w:val="none"/>
              </w:rPr>
              <w:t>其它落实政府采购政策的资格要求</w:t>
            </w:r>
          </w:p>
        </w:tc>
        <w:tc>
          <w:tcPr>
            <w:tcW w:w="2579" w:type="pct"/>
            <w:noWrap w:val="0"/>
            <w:vAlign w:val="center"/>
          </w:tcPr>
          <w:p w14:paraId="3B746F1A">
            <w:pPr>
              <w:tabs>
                <w:tab w:val="left" w:pos="1080"/>
              </w:tabs>
              <w:snapToGrid w:val="0"/>
              <w:jc w:val="left"/>
              <w:rPr>
                <w:sz w:val="24"/>
                <w:highlight w:val="none"/>
              </w:rPr>
            </w:pPr>
            <w:r>
              <w:rPr>
                <w:sz w:val="24"/>
                <w:highlight w:val="none"/>
              </w:rPr>
              <w:t>如有，见第一章《采购邀请》</w:t>
            </w:r>
          </w:p>
        </w:tc>
        <w:tc>
          <w:tcPr>
            <w:tcW w:w="1027" w:type="pct"/>
            <w:noWrap w:val="0"/>
            <w:vAlign w:val="center"/>
          </w:tcPr>
          <w:p w14:paraId="342AF3AF">
            <w:pPr>
              <w:tabs>
                <w:tab w:val="left" w:pos="1080"/>
              </w:tabs>
              <w:snapToGrid w:val="0"/>
              <w:jc w:val="left"/>
              <w:rPr>
                <w:sz w:val="24"/>
                <w:highlight w:val="none"/>
              </w:rPr>
            </w:pPr>
            <w:r>
              <w:rPr>
                <w:sz w:val="24"/>
                <w:highlight w:val="none"/>
              </w:rPr>
              <w:t>提供证明文件的电子件或电子证照</w:t>
            </w:r>
          </w:p>
        </w:tc>
      </w:tr>
      <w:tr w14:paraId="3F52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78835205">
            <w:pPr>
              <w:tabs>
                <w:tab w:val="left" w:pos="1080"/>
              </w:tabs>
              <w:snapToGrid w:val="0"/>
              <w:jc w:val="center"/>
              <w:rPr>
                <w:sz w:val="24"/>
                <w:highlight w:val="none"/>
              </w:rPr>
            </w:pPr>
            <w:r>
              <w:rPr>
                <w:sz w:val="24"/>
                <w:highlight w:val="none"/>
              </w:rPr>
              <w:t>3</w:t>
            </w:r>
          </w:p>
        </w:tc>
        <w:tc>
          <w:tcPr>
            <w:tcW w:w="937" w:type="pct"/>
            <w:noWrap w:val="0"/>
            <w:vAlign w:val="center"/>
          </w:tcPr>
          <w:p w14:paraId="25D0E790">
            <w:pPr>
              <w:tabs>
                <w:tab w:val="left" w:pos="1080"/>
              </w:tabs>
              <w:snapToGrid w:val="0"/>
              <w:jc w:val="left"/>
              <w:rPr>
                <w:sz w:val="24"/>
                <w:highlight w:val="none"/>
              </w:rPr>
            </w:pPr>
            <w:r>
              <w:rPr>
                <w:sz w:val="24"/>
                <w:highlight w:val="none"/>
              </w:rPr>
              <w:t>本项目的特定资格要求</w:t>
            </w:r>
          </w:p>
        </w:tc>
        <w:tc>
          <w:tcPr>
            <w:tcW w:w="2579" w:type="pct"/>
            <w:noWrap w:val="0"/>
            <w:vAlign w:val="center"/>
          </w:tcPr>
          <w:p w14:paraId="6C5495DA">
            <w:pPr>
              <w:tabs>
                <w:tab w:val="left" w:pos="1080"/>
              </w:tabs>
              <w:snapToGrid w:val="0"/>
              <w:jc w:val="left"/>
              <w:rPr>
                <w:sz w:val="24"/>
                <w:highlight w:val="none"/>
              </w:rPr>
            </w:pPr>
            <w:r>
              <w:rPr>
                <w:sz w:val="24"/>
                <w:highlight w:val="none"/>
              </w:rPr>
              <w:t>如有，见第一章《采购邀请》</w:t>
            </w:r>
          </w:p>
        </w:tc>
        <w:tc>
          <w:tcPr>
            <w:tcW w:w="1027" w:type="pct"/>
            <w:noWrap w:val="0"/>
            <w:vAlign w:val="center"/>
          </w:tcPr>
          <w:p w14:paraId="36966BAB">
            <w:pPr>
              <w:tabs>
                <w:tab w:val="left" w:pos="1080"/>
              </w:tabs>
              <w:snapToGrid w:val="0"/>
              <w:jc w:val="left"/>
              <w:rPr>
                <w:sz w:val="24"/>
                <w:highlight w:val="none"/>
              </w:rPr>
            </w:pPr>
          </w:p>
        </w:tc>
      </w:tr>
      <w:tr w14:paraId="2077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8323B0F">
            <w:pPr>
              <w:tabs>
                <w:tab w:val="left" w:pos="1080"/>
              </w:tabs>
              <w:snapToGrid w:val="0"/>
              <w:jc w:val="center"/>
              <w:rPr>
                <w:sz w:val="24"/>
                <w:highlight w:val="none"/>
              </w:rPr>
            </w:pPr>
            <w:r>
              <w:rPr>
                <w:sz w:val="24"/>
                <w:highlight w:val="none"/>
              </w:rPr>
              <w:t>3-1</w:t>
            </w:r>
          </w:p>
        </w:tc>
        <w:tc>
          <w:tcPr>
            <w:tcW w:w="937" w:type="pct"/>
            <w:noWrap w:val="0"/>
            <w:vAlign w:val="center"/>
          </w:tcPr>
          <w:p w14:paraId="6E2D55A3">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9" w:type="pct"/>
            <w:noWrap w:val="0"/>
            <w:vAlign w:val="center"/>
          </w:tcPr>
          <w:p w14:paraId="54DF932F">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E6387B9">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2BB28F0A">
            <w:pPr>
              <w:tabs>
                <w:tab w:val="left" w:pos="1080"/>
              </w:tabs>
              <w:snapToGrid w:val="0"/>
              <w:rPr>
                <w:rFonts w:hint="eastAsia"/>
                <w:sz w:val="24"/>
                <w:highlight w:val="none"/>
              </w:rPr>
            </w:pPr>
            <w:r>
              <w:rPr>
                <w:rFonts w:hint="eastAsia"/>
                <w:sz w:val="24"/>
                <w:highlight w:val="none"/>
              </w:rPr>
              <w:t>3、本表序号 3-3 项规定的其他特定资格要 求中的每一小项要求，联合体各方中至少应 当有一方符合本表中其他资格要求并提供证 明文件。</w:t>
            </w:r>
          </w:p>
          <w:p w14:paraId="2D269A85">
            <w:pPr>
              <w:tabs>
                <w:tab w:val="left" w:pos="1080"/>
              </w:tabs>
              <w:snapToGrid w:val="0"/>
              <w:rPr>
                <w:rFonts w:hint="eastAsia"/>
                <w:sz w:val="24"/>
                <w:highlight w:val="none"/>
              </w:rPr>
            </w:pPr>
            <w:r>
              <w:rPr>
                <w:rFonts w:hint="eastAsia"/>
                <w:sz w:val="24"/>
                <w:highlight w:val="none"/>
              </w:rPr>
              <w:t>4、联合体中有同类资质的供应商按照联合 体分工承担相同工作的， 应当按照资质等级 较低的供应商确定资质等级。</w:t>
            </w:r>
          </w:p>
          <w:p w14:paraId="037EFE78">
            <w:pPr>
              <w:tabs>
                <w:tab w:val="left" w:pos="1080"/>
              </w:tabs>
              <w:snapToGrid w:val="0"/>
              <w:rPr>
                <w:rFonts w:hint="eastAsia"/>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7383E3B6">
            <w:pPr>
              <w:tabs>
                <w:tab w:val="left" w:pos="1080"/>
              </w:tabs>
              <w:snapToGrid w:val="0"/>
              <w:rPr>
                <w:rFonts w:hint="eastAsia"/>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196CF94D">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7" w:type="pct"/>
            <w:noWrap w:val="0"/>
            <w:vAlign w:val="center"/>
          </w:tcPr>
          <w:p w14:paraId="1A96AF77">
            <w:pPr>
              <w:tabs>
                <w:tab w:val="left" w:pos="1080"/>
              </w:tabs>
              <w:snapToGrid w:val="0"/>
              <w:rPr>
                <w:sz w:val="24"/>
                <w:highlight w:val="none"/>
              </w:rPr>
            </w:pPr>
            <w:r>
              <w:rPr>
                <w:sz w:val="24"/>
                <w:highlight w:val="none"/>
              </w:rPr>
              <w:t>提供《联合协议》</w:t>
            </w:r>
            <w:r>
              <w:rPr>
                <w:rFonts w:hint="eastAsia"/>
                <w:sz w:val="24"/>
                <w:highlight w:val="none"/>
              </w:rPr>
              <w:t>原</w:t>
            </w:r>
            <w:r>
              <w:rPr>
                <w:sz w:val="24"/>
                <w:highlight w:val="none"/>
              </w:rPr>
              <w:t>件的电子件</w:t>
            </w:r>
          </w:p>
          <w:p w14:paraId="74126C0A">
            <w:pPr>
              <w:tabs>
                <w:tab w:val="left" w:pos="1080"/>
              </w:tabs>
              <w:snapToGrid w:val="0"/>
              <w:rPr>
                <w:sz w:val="24"/>
                <w:highlight w:val="none"/>
              </w:rPr>
            </w:pPr>
            <w:r>
              <w:rPr>
                <w:sz w:val="24"/>
                <w:highlight w:val="none"/>
              </w:rPr>
              <w:t>格式见《响应文件格式》</w:t>
            </w:r>
          </w:p>
        </w:tc>
      </w:tr>
      <w:tr w14:paraId="1985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2285D62">
            <w:pPr>
              <w:tabs>
                <w:tab w:val="left" w:pos="1080"/>
              </w:tabs>
              <w:snapToGrid w:val="0"/>
              <w:jc w:val="center"/>
              <w:rPr>
                <w:sz w:val="24"/>
                <w:highlight w:val="none"/>
              </w:rPr>
            </w:pPr>
            <w:r>
              <w:rPr>
                <w:rFonts w:hint="eastAsia"/>
                <w:sz w:val="24"/>
                <w:highlight w:val="none"/>
              </w:rPr>
              <w:t>3-2</w:t>
            </w:r>
          </w:p>
        </w:tc>
        <w:tc>
          <w:tcPr>
            <w:tcW w:w="937" w:type="pct"/>
            <w:noWrap w:val="0"/>
            <w:vAlign w:val="top"/>
          </w:tcPr>
          <w:p w14:paraId="5E4C9CB3">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9" w:type="pct"/>
            <w:noWrap w:val="0"/>
            <w:vAlign w:val="top"/>
          </w:tcPr>
          <w:p w14:paraId="485FFB16">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7" w:type="pct"/>
            <w:noWrap w:val="0"/>
            <w:vAlign w:val="center"/>
          </w:tcPr>
          <w:p w14:paraId="5DD3D9D4">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40AD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E0B066B">
            <w:pPr>
              <w:tabs>
                <w:tab w:val="left" w:pos="1080"/>
              </w:tabs>
              <w:snapToGrid w:val="0"/>
              <w:jc w:val="center"/>
              <w:rPr>
                <w:rFonts w:hint="eastAsia"/>
                <w:sz w:val="24"/>
                <w:highlight w:val="none"/>
              </w:rPr>
            </w:pPr>
            <w:r>
              <w:rPr>
                <w:sz w:val="24"/>
                <w:highlight w:val="none"/>
              </w:rPr>
              <w:t>3-</w:t>
            </w:r>
            <w:r>
              <w:rPr>
                <w:rFonts w:hint="eastAsia"/>
                <w:sz w:val="24"/>
                <w:highlight w:val="none"/>
              </w:rPr>
              <w:t>3</w:t>
            </w:r>
          </w:p>
        </w:tc>
        <w:tc>
          <w:tcPr>
            <w:tcW w:w="937" w:type="pct"/>
            <w:noWrap w:val="0"/>
            <w:vAlign w:val="center"/>
          </w:tcPr>
          <w:p w14:paraId="04301FB7">
            <w:pPr>
              <w:tabs>
                <w:tab w:val="left" w:pos="1080"/>
              </w:tabs>
              <w:snapToGrid w:val="0"/>
              <w:rPr>
                <w:sz w:val="24"/>
                <w:highlight w:val="none"/>
              </w:rPr>
            </w:pPr>
            <w:r>
              <w:rPr>
                <w:sz w:val="24"/>
                <w:highlight w:val="none"/>
              </w:rPr>
              <w:t>其他特定资格要求</w:t>
            </w:r>
          </w:p>
        </w:tc>
        <w:tc>
          <w:tcPr>
            <w:tcW w:w="2579" w:type="pct"/>
            <w:noWrap w:val="0"/>
            <w:vAlign w:val="center"/>
          </w:tcPr>
          <w:p w14:paraId="0293409E">
            <w:pPr>
              <w:tabs>
                <w:tab w:val="left" w:pos="1080"/>
              </w:tabs>
              <w:snapToGrid w:val="0"/>
              <w:rPr>
                <w:sz w:val="24"/>
                <w:highlight w:val="none"/>
              </w:rPr>
            </w:pPr>
            <w:r>
              <w:rPr>
                <w:sz w:val="24"/>
                <w:highlight w:val="none"/>
              </w:rPr>
              <w:t>如有，见第一章《采购邀请》</w:t>
            </w:r>
          </w:p>
        </w:tc>
        <w:tc>
          <w:tcPr>
            <w:tcW w:w="1027" w:type="pct"/>
            <w:noWrap w:val="0"/>
            <w:vAlign w:val="center"/>
          </w:tcPr>
          <w:p w14:paraId="4C33D1E6">
            <w:pPr>
              <w:tabs>
                <w:tab w:val="left" w:pos="1080"/>
              </w:tabs>
              <w:snapToGrid w:val="0"/>
              <w:rPr>
                <w:sz w:val="24"/>
                <w:highlight w:val="none"/>
              </w:rPr>
            </w:pPr>
            <w:r>
              <w:rPr>
                <w:sz w:val="24"/>
                <w:highlight w:val="none"/>
              </w:rPr>
              <w:t>提供证明文件的电子件或电子证照</w:t>
            </w:r>
          </w:p>
        </w:tc>
      </w:tr>
      <w:tr w14:paraId="47E57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8CC38EE">
            <w:pPr>
              <w:tabs>
                <w:tab w:val="left" w:pos="1080"/>
              </w:tabs>
              <w:snapToGrid w:val="0"/>
              <w:jc w:val="center"/>
              <w:rPr>
                <w:sz w:val="24"/>
                <w:highlight w:val="none"/>
              </w:rPr>
            </w:pPr>
            <w:r>
              <w:rPr>
                <w:sz w:val="24"/>
                <w:highlight w:val="none"/>
              </w:rPr>
              <w:t>4</w:t>
            </w:r>
          </w:p>
        </w:tc>
        <w:tc>
          <w:tcPr>
            <w:tcW w:w="937" w:type="pct"/>
            <w:noWrap w:val="0"/>
            <w:vAlign w:val="center"/>
          </w:tcPr>
          <w:p w14:paraId="0D35F6B2">
            <w:pPr>
              <w:tabs>
                <w:tab w:val="left" w:pos="1080"/>
              </w:tabs>
              <w:snapToGrid w:val="0"/>
              <w:rPr>
                <w:sz w:val="24"/>
                <w:highlight w:val="none"/>
              </w:rPr>
            </w:pPr>
            <w:r>
              <w:rPr>
                <w:kern w:val="0"/>
                <w:sz w:val="24"/>
                <w:highlight w:val="none"/>
              </w:rPr>
              <w:t>磋商保证金</w:t>
            </w:r>
          </w:p>
        </w:tc>
        <w:tc>
          <w:tcPr>
            <w:tcW w:w="2579" w:type="pct"/>
            <w:noWrap w:val="0"/>
            <w:vAlign w:val="center"/>
          </w:tcPr>
          <w:p w14:paraId="1B3C7276">
            <w:pPr>
              <w:tabs>
                <w:tab w:val="left" w:pos="1080"/>
              </w:tabs>
              <w:snapToGrid w:val="0"/>
              <w:rPr>
                <w:sz w:val="24"/>
                <w:highlight w:val="none"/>
              </w:rPr>
            </w:pPr>
            <w:r>
              <w:rPr>
                <w:kern w:val="0"/>
                <w:sz w:val="24"/>
                <w:highlight w:val="none"/>
              </w:rPr>
              <w:t>按照竞争性磋商文件的要求提交磋商保证金</w:t>
            </w:r>
            <w:r>
              <w:rPr>
                <w:rFonts w:hint="eastAsia"/>
                <w:kern w:val="0"/>
                <w:sz w:val="24"/>
                <w:highlight w:val="none"/>
              </w:rPr>
              <w:t>。</w:t>
            </w:r>
          </w:p>
        </w:tc>
        <w:tc>
          <w:tcPr>
            <w:tcW w:w="1027" w:type="pct"/>
            <w:noWrap w:val="0"/>
            <w:vAlign w:val="center"/>
          </w:tcPr>
          <w:p w14:paraId="330F34F8">
            <w:pPr>
              <w:tabs>
                <w:tab w:val="left" w:pos="1080"/>
              </w:tabs>
              <w:snapToGrid w:val="0"/>
              <w:rPr>
                <w:sz w:val="24"/>
                <w:highlight w:val="none"/>
              </w:rPr>
            </w:pPr>
          </w:p>
        </w:tc>
      </w:tr>
    </w:tbl>
    <w:p w14:paraId="24E55540">
      <w:pPr>
        <w:widowControl/>
        <w:jc w:val="left"/>
        <w:rPr>
          <w:sz w:val="24"/>
          <w:highlight w:val="none"/>
        </w:rPr>
      </w:pPr>
      <w:r>
        <w:rPr>
          <w:sz w:val="24"/>
          <w:highlight w:val="none"/>
        </w:rPr>
        <w:br w:type="page"/>
      </w:r>
    </w:p>
    <w:p w14:paraId="108BF247">
      <w:pPr>
        <w:numPr>
          <w:ilvl w:val="1"/>
          <w:numId w:val="23"/>
        </w:numPr>
        <w:tabs>
          <w:tab w:val="left" w:pos="1080"/>
        </w:tabs>
        <w:snapToGrid w:val="0"/>
        <w:spacing w:line="360" w:lineRule="auto"/>
        <w:ind w:left="1077" w:hanging="720"/>
        <w:rPr>
          <w:sz w:val="24"/>
          <w:highlight w:val="none"/>
        </w:rPr>
      </w:pPr>
      <w:r>
        <w:rPr>
          <w:sz w:val="24"/>
          <w:highlight w:val="none"/>
        </w:rPr>
        <w:t>《符合性审查要求》见下表：</w:t>
      </w:r>
    </w:p>
    <w:p w14:paraId="2CCFED1B">
      <w:pPr>
        <w:widowControl/>
        <w:spacing w:line="360" w:lineRule="auto"/>
        <w:jc w:val="center"/>
        <w:outlineLvl w:val="1"/>
        <w:rPr>
          <w:b/>
          <w:kern w:val="0"/>
          <w:sz w:val="24"/>
          <w:highlight w:val="none"/>
        </w:rPr>
      </w:pPr>
      <w:r>
        <w:rPr>
          <w:b/>
          <w:kern w:val="0"/>
          <w:sz w:val="24"/>
          <w:highlight w:val="none"/>
        </w:rPr>
        <w:t>符合性审查要求</w:t>
      </w:r>
    </w:p>
    <w:tbl>
      <w:tblPr>
        <w:tblStyle w:val="6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80"/>
        <w:gridCol w:w="4388"/>
        <w:gridCol w:w="1909"/>
      </w:tblGrid>
      <w:tr w14:paraId="679C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9" w:type="dxa"/>
            <w:noWrap w:val="0"/>
            <w:vAlign w:val="center"/>
          </w:tcPr>
          <w:p w14:paraId="5CE41FF7">
            <w:pPr>
              <w:widowControl/>
              <w:spacing w:line="360" w:lineRule="auto"/>
              <w:jc w:val="center"/>
              <w:rPr>
                <w:rFonts w:hint="eastAsia" w:ascii="宋体" w:hAnsi="宋体"/>
                <w:b/>
                <w:kern w:val="0"/>
                <w:sz w:val="24"/>
                <w:highlight w:val="none"/>
              </w:rPr>
            </w:pPr>
            <w:r>
              <w:rPr>
                <w:rFonts w:ascii="宋体" w:hAnsi="宋体"/>
                <w:b/>
                <w:kern w:val="0"/>
                <w:sz w:val="24"/>
                <w:highlight w:val="none"/>
              </w:rPr>
              <w:t>序号</w:t>
            </w:r>
          </w:p>
        </w:tc>
        <w:tc>
          <w:tcPr>
            <w:tcW w:w="1880" w:type="dxa"/>
            <w:noWrap w:val="0"/>
            <w:vAlign w:val="center"/>
          </w:tcPr>
          <w:p w14:paraId="5F23AC29">
            <w:pPr>
              <w:widowControl/>
              <w:spacing w:line="360" w:lineRule="auto"/>
              <w:jc w:val="center"/>
              <w:rPr>
                <w:rFonts w:hint="eastAsia" w:ascii="宋体" w:hAnsi="宋体"/>
                <w:b/>
                <w:kern w:val="0"/>
                <w:sz w:val="24"/>
                <w:highlight w:val="none"/>
              </w:rPr>
            </w:pPr>
            <w:r>
              <w:rPr>
                <w:rFonts w:ascii="宋体" w:hAnsi="宋体"/>
                <w:b/>
                <w:kern w:val="0"/>
                <w:sz w:val="24"/>
                <w:highlight w:val="none"/>
              </w:rPr>
              <w:t>审查因素</w:t>
            </w:r>
          </w:p>
        </w:tc>
        <w:tc>
          <w:tcPr>
            <w:tcW w:w="4388" w:type="dxa"/>
            <w:noWrap w:val="0"/>
            <w:vAlign w:val="center"/>
          </w:tcPr>
          <w:p w14:paraId="312E046B">
            <w:pPr>
              <w:widowControl/>
              <w:spacing w:line="360" w:lineRule="auto"/>
              <w:jc w:val="center"/>
              <w:rPr>
                <w:rFonts w:hint="eastAsia" w:ascii="宋体" w:hAnsi="宋体"/>
                <w:b/>
                <w:kern w:val="0"/>
                <w:sz w:val="24"/>
                <w:highlight w:val="none"/>
              </w:rPr>
            </w:pPr>
            <w:r>
              <w:rPr>
                <w:rFonts w:ascii="宋体" w:hAnsi="宋体"/>
                <w:b/>
                <w:kern w:val="0"/>
                <w:sz w:val="24"/>
                <w:highlight w:val="none"/>
              </w:rPr>
              <w:t>审查内容</w:t>
            </w:r>
          </w:p>
        </w:tc>
        <w:tc>
          <w:tcPr>
            <w:tcW w:w="1909" w:type="dxa"/>
            <w:noWrap w:val="0"/>
            <w:vAlign w:val="center"/>
          </w:tcPr>
          <w:p w14:paraId="6C7FD790">
            <w:pPr>
              <w:widowControl/>
              <w:spacing w:line="360" w:lineRule="auto"/>
              <w:jc w:val="center"/>
              <w:rPr>
                <w:rFonts w:hint="eastAsia" w:ascii="宋体" w:hAnsi="宋体"/>
                <w:b/>
                <w:kern w:val="0"/>
                <w:sz w:val="24"/>
                <w:highlight w:val="none"/>
              </w:rPr>
            </w:pPr>
            <w:r>
              <w:rPr>
                <w:b/>
                <w:kern w:val="0"/>
                <w:sz w:val="24"/>
                <w:highlight w:val="none"/>
              </w:rPr>
              <w:t>是否允许澄清、说明或者更正</w:t>
            </w:r>
          </w:p>
        </w:tc>
      </w:tr>
      <w:tr w14:paraId="53BA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755FDAE8">
            <w:pPr>
              <w:widowControl/>
              <w:spacing w:line="360" w:lineRule="auto"/>
              <w:jc w:val="center"/>
              <w:rPr>
                <w:rFonts w:hint="eastAsia" w:ascii="宋体" w:hAnsi="宋体"/>
                <w:kern w:val="0"/>
                <w:sz w:val="24"/>
                <w:highlight w:val="none"/>
              </w:rPr>
            </w:pPr>
            <w:r>
              <w:rPr>
                <w:rFonts w:ascii="宋体" w:hAnsi="宋体"/>
                <w:kern w:val="0"/>
                <w:sz w:val="24"/>
                <w:highlight w:val="none"/>
              </w:rPr>
              <w:t>1</w:t>
            </w:r>
          </w:p>
        </w:tc>
        <w:tc>
          <w:tcPr>
            <w:tcW w:w="1880" w:type="dxa"/>
            <w:noWrap w:val="0"/>
            <w:vAlign w:val="center"/>
          </w:tcPr>
          <w:p w14:paraId="4E7838DC">
            <w:pPr>
              <w:widowControl/>
              <w:spacing w:line="360" w:lineRule="auto"/>
              <w:jc w:val="left"/>
              <w:rPr>
                <w:rFonts w:hint="eastAsia" w:ascii="宋体" w:hAnsi="宋体"/>
                <w:kern w:val="0"/>
                <w:sz w:val="24"/>
                <w:highlight w:val="none"/>
              </w:rPr>
            </w:pPr>
            <w:r>
              <w:rPr>
                <w:rFonts w:ascii="宋体" w:hAnsi="宋体"/>
                <w:kern w:val="0"/>
                <w:sz w:val="24"/>
                <w:highlight w:val="none"/>
              </w:rPr>
              <w:t>授权委托书</w:t>
            </w:r>
          </w:p>
        </w:tc>
        <w:tc>
          <w:tcPr>
            <w:tcW w:w="4388" w:type="dxa"/>
            <w:noWrap w:val="0"/>
            <w:vAlign w:val="center"/>
          </w:tcPr>
          <w:p w14:paraId="15E9A3B4">
            <w:pPr>
              <w:widowControl/>
              <w:spacing w:line="360" w:lineRule="auto"/>
              <w:jc w:val="left"/>
              <w:rPr>
                <w:rFonts w:hint="eastAsia" w:ascii="宋体" w:hAnsi="宋体"/>
                <w:kern w:val="0"/>
                <w:sz w:val="24"/>
                <w:highlight w:val="none"/>
              </w:rPr>
            </w:pPr>
            <w:r>
              <w:rPr>
                <w:rFonts w:ascii="宋体" w:hAnsi="宋体"/>
                <w:kern w:val="0"/>
                <w:sz w:val="24"/>
                <w:highlight w:val="none"/>
              </w:rPr>
              <w:t>按</w:t>
            </w:r>
            <w:r>
              <w:rPr>
                <w:rFonts w:hint="eastAsia" w:ascii="宋体" w:hAnsi="宋体"/>
                <w:kern w:val="0"/>
                <w:sz w:val="24"/>
                <w:highlight w:val="none"/>
              </w:rPr>
              <w:t>磋商</w:t>
            </w:r>
            <w:r>
              <w:rPr>
                <w:rFonts w:ascii="宋体" w:hAnsi="宋体"/>
                <w:kern w:val="0"/>
                <w:sz w:val="24"/>
                <w:highlight w:val="none"/>
              </w:rPr>
              <w:t>文件要求提供授权委托书；</w:t>
            </w:r>
          </w:p>
        </w:tc>
        <w:tc>
          <w:tcPr>
            <w:tcW w:w="1909" w:type="dxa"/>
            <w:noWrap w:val="0"/>
            <w:vAlign w:val="center"/>
          </w:tcPr>
          <w:p w14:paraId="40ADB17E">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2642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5A62017A">
            <w:pPr>
              <w:widowControl/>
              <w:spacing w:line="360" w:lineRule="auto"/>
              <w:jc w:val="center"/>
              <w:rPr>
                <w:rFonts w:hint="eastAsia" w:ascii="宋体" w:hAnsi="宋体"/>
                <w:kern w:val="0"/>
                <w:sz w:val="24"/>
                <w:highlight w:val="none"/>
              </w:rPr>
            </w:pPr>
            <w:r>
              <w:rPr>
                <w:rFonts w:ascii="宋体" w:hAnsi="宋体"/>
                <w:kern w:val="0"/>
                <w:sz w:val="24"/>
                <w:highlight w:val="none"/>
              </w:rPr>
              <w:t>2</w:t>
            </w:r>
          </w:p>
        </w:tc>
        <w:tc>
          <w:tcPr>
            <w:tcW w:w="1880" w:type="dxa"/>
            <w:noWrap w:val="0"/>
            <w:vAlign w:val="center"/>
          </w:tcPr>
          <w:p w14:paraId="0470B40F">
            <w:pPr>
              <w:widowControl/>
              <w:spacing w:line="360" w:lineRule="auto"/>
              <w:jc w:val="left"/>
              <w:rPr>
                <w:rFonts w:hint="eastAsia" w:ascii="宋体" w:hAnsi="宋体"/>
                <w:kern w:val="0"/>
                <w:sz w:val="24"/>
                <w:highlight w:val="none"/>
              </w:rPr>
            </w:pPr>
            <w:r>
              <w:rPr>
                <w:rFonts w:hint="eastAsia" w:ascii="宋体" w:hAnsi="宋体"/>
                <w:kern w:val="0"/>
                <w:sz w:val="24"/>
                <w:highlight w:val="none"/>
              </w:rPr>
              <w:t>报价</w:t>
            </w:r>
            <w:r>
              <w:rPr>
                <w:rFonts w:ascii="宋体" w:hAnsi="宋体"/>
                <w:kern w:val="0"/>
                <w:sz w:val="24"/>
                <w:highlight w:val="none"/>
              </w:rPr>
              <w:t>完整性</w:t>
            </w:r>
          </w:p>
        </w:tc>
        <w:tc>
          <w:tcPr>
            <w:tcW w:w="4388" w:type="dxa"/>
            <w:noWrap w:val="0"/>
            <w:vAlign w:val="center"/>
          </w:tcPr>
          <w:p w14:paraId="55B5D834">
            <w:pPr>
              <w:widowControl/>
              <w:spacing w:line="360" w:lineRule="auto"/>
              <w:jc w:val="left"/>
              <w:rPr>
                <w:rFonts w:hint="eastAsia" w:ascii="宋体" w:hAnsi="宋体"/>
                <w:kern w:val="0"/>
                <w:sz w:val="24"/>
                <w:highlight w:val="none"/>
              </w:rPr>
            </w:pPr>
            <w:r>
              <w:rPr>
                <w:rFonts w:hint="eastAsia" w:ascii="宋体" w:hAnsi="宋体"/>
                <w:sz w:val="24"/>
                <w:highlight w:val="none"/>
              </w:rPr>
              <w:t>未</w:t>
            </w:r>
            <w:r>
              <w:rPr>
                <w:rFonts w:ascii="宋体" w:hAnsi="宋体"/>
                <w:sz w:val="24"/>
                <w:highlight w:val="none"/>
              </w:rPr>
              <w:t>将一个采购包中的内容拆开</w:t>
            </w:r>
            <w:r>
              <w:rPr>
                <w:rFonts w:hint="eastAsia" w:ascii="宋体" w:hAnsi="宋体"/>
                <w:sz w:val="24"/>
                <w:highlight w:val="none"/>
              </w:rPr>
              <w:t>响应</w:t>
            </w:r>
            <w:r>
              <w:rPr>
                <w:rFonts w:ascii="宋体" w:hAnsi="宋体"/>
                <w:sz w:val="24"/>
                <w:highlight w:val="none"/>
              </w:rPr>
              <w:t>；</w:t>
            </w:r>
          </w:p>
        </w:tc>
        <w:tc>
          <w:tcPr>
            <w:tcW w:w="1909" w:type="dxa"/>
            <w:noWrap w:val="0"/>
            <w:vAlign w:val="center"/>
          </w:tcPr>
          <w:p w14:paraId="4D8F0B54">
            <w:pPr>
              <w:widowControl/>
              <w:spacing w:line="360" w:lineRule="auto"/>
              <w:jc w:val="center"/>
              <w:rPr>
                <w:rFonts w:hint="eastAsia" w:ascii="宋体" w:hAnsi="宋体"/>
                <w:sz w:val="24"/>
                <w:highlight w:val="none"/>
              </w:rPr>
            </w:pPr>
            <w:r>
              <w:rPr>
                <w:rFonts w:ascii="宋体" w:hAnsi="宋体"/>
                <w:sz w:val="24"/>
                <w:highlight w:val="none"/>
              </w:rPr>
              <w:t>不允许</w:t>
            </w:r>
          </w:p>
        </w:tc>
      </w:tr>
      <w:tr w14:paraId="5FDA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25AE65FD">
            <w:pPr>
              <w:widowControl/>
              <w:spacing w:line="360" w:lineRule="auto"/>
              <w:jc w:val="center"/>
              <w:rPr>
                <w:rFonts w:hint="eastAsia" w:ascii="宋体" w:hAnsi="宋体"/>
                <w:kern w:val="0"/>
                <w:sz w:val="24"/>
                <w:highlight w:val="none"/>
              </w:rPr>
            </w:pPr>
            <w:r>
              <w:rPr>
                <w:rFonts w:ascii="宋体" w:hAnsi="宋体"/>
                <w:kern w:val="0"/>
                <w:sz w:val="24"/>
                <w:highlight w:val="none"/>
              </w:rPr>
              <w:t>3</w:t>
            </w:r>
          </w:p>
        </w:tc>
        <w:tc>
          <w:tcPr>
            <w:tcW w:w="1880" w:type="dxa"/>
            <w:noWrap w:val="0"/>
            <w:vAlign w:val="center"/>
          </w:tcPr>
          <w:p w14:paraId="11C4C02C">
            <w:pPr>
              <w:widowControl/>
              <w:spacing w:line="360" w:lineRule="auto"/>
              <w:jc w:val="left"/>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报价</w:t>
            </w:r>
          </w:p>
        </w:tc>
        <w:tc>
          <w:tcPr>
            <w:tcW w:w="4388" w:type="dxa"/>
            <w:noWrap w:val="0"/>
            <w:vAlign w:val="center"/>
          </w:tcPr>
          <w:p w14:paraId="02933DC5">
            <w:pPr>
              <w:widowControl/>
              <w:spacing w:line="360" w:lineRule="auto"/>
              <w:rPr>
                <w:rFonts w:hint="eastAsia" w:ascii="宋体" w:hAnsi="宋体"/>
                <w:kern w:val="0"/>
                <w:sz w:val="24"/>
                <w:highlight w:val="none"/>
              </w:rPr>
            </w:pPr>
            <w:r>
              <w:rPr>
                <w:rFonts w:hint="eastAsia" w:ascii="宋体" w:hAnsi="宋体"/>
                <w:kern w:val="0"/>
                <w:sz w:val="24"/>
                <w:highlight w:val="none"/>
              </w:rPr>
              <w:t>首次</w:t>
            </w:r>
            <w:r>
              <w:rPr>
                <w:rFonts w:ascii="宋体" w:hAnsi="宋体"/>
                <w:kern w:val="0"/>
                <w:sz w:val="24"/>
                <w:highlight w:val="none"/>
              </w:rPr>
              <w:t>响应报价</w:t>
            </w:r>
            <w:r>
              <w:rPr>
                <w:rFonts w:hint="eastAsia" w:ascii="宋体" w:hAnsi="宋体"/>
                <w:kern w:val="0"/>
                <w:sz w:val="24"/>
                <w:highlight w:val="none"/>
              </w:rPr>
              <w:t>未</w:t>
            </w:r>
            <w:r>
              <w:rPr>
                <w:rFonts w:ascii="宋体" w:hAnsi="宋体"/>
                <w:kern w:val="0"/>
                <w:sz w:val="24"/>
                <w:highlight w:val="none"/>
              </w:rPr>
              <w:t>超过</w:t>
            </w:r>
            <w:r>
              <w:rPr>
                <w:rFonts w:hint="eastAsia" w:ascii="宋体" w:hAnsi="宋体"/>
                <w:kern w:val="0"/>
                <w:sz w:val="24"/>
                <w:highlight w:val="none"/>
              </w:rPr>
              <w:t>磋商</w:t>
            </w:r>
            <w:r>
              <w:rPr>
                <w:rFonts w:ascii="宋体" w:hAnsi="宋体"/>
                <w:kern w:val="0"/>
                <w:sz w:val="24"/>
                <w:highlight w:val="none"/>
              </w:rPr>
              <w:t>文件中规定的项目/采购包预算金额或者项目/采购包最高限价；</w:t>
            </w:r>
          </w:p>
        </w:tc>
        <w:tc>
          <w:tcPr>
            <w:tcW w:w="1909" w:type="dxa"/>
            <w:noWrap w:val="0"/>
            <w:vAlign w:val="center"/>
          </w:tcPr>
          <w:p w14:paraId="50948BAE">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7A9B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7E014700">
            <w:pPr>
              <w:widowControl/>
              <w:spacing w:line="360" w:lineRule="auto"/>
              <w:jc w:val="center"/>
              <w:rPr>
                <w:rFonts w:hint="eastAsia" w:ascii="宋体" w:hAnsi="宋体"/>
                <w:kern w:val="0"/>
                <w:sz w:val="24"/>
                <w:highlight w:val="none"/>
              </w:rPr>
            </w:pPr>
            <w:r>
              <w:rPr>
                <w:rFonts w:ascii="宋体" w:hAnsi="宋体"/>
                <w:kern w:val="0"/>
                <w:sz w:val="24"/>
                <w:highlight w:val="none"/>
              </w:rPr>
              <w:t>4</w:t>
            </w:r>
          </w:p>
        </w:tc>
        <w:tc>
          <w:tcPr>
            <w:tcW w:w="1880" w:type="dxa"/>
            <w:noWrap w:val="0"/>
            <w:vAlign w:val="center"/>
          </w:tcPr>
          <w:p w14:paraId="05F6C937">
            <w:pPr>
              <w:widowControl/>
              <w:spacing w:line="360" w:lineRule="auto"/>
              <w:jc w:val="left"/>
              <w:rPr>
                <w:rFonts w:hint="eastAsia" w:ascii="宋体" w:hAnsi="宋体"/>
                <w:kern w:val="0"/>
                <w:sz w:val="24"/>
                <w:highlight w:val="none"/>
              </w:rPr>
            </w:pPr>
            <w:r>
              <w:rPr>
                <w:rFonts w:ascii="宋体" w:hAnsi="宋体"/>
                <w:kern w:val="0"/>
                <w:sz w:val="24"/>
                <w:highlight w:val="none"/>
              </w:rPr>
              <w:t>报价唯一性</w:t>
            </w:r>
          </w:p>
        </w:tc>
        <w:tc>
          <w:tcPr>
            <w:tcW w:w="4388" w:type="dxa"/>
            <w:noWrap w:val="0"/>
            <w:vAlign w:val="center"/>
          </w:tcPr>
          <w:p w14:paraId="6139913F">
            <w:pPr>
              <w:widowControl/>
              <w:spacing w:line="360" w:lineRule="auto"/>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文件</w:t>
            </w:r>
            <w:r>
              <w:rPr>
                <w:rFonts w:hint="eastAsia" w:ascii="宋体" w:hAnsi="宋体"/>
                <w:kern w:val="0"/>
                <w:sz w:val="24"/>
                <w:highlight w:val="none"/>
              </w:rPr>
              <w:t>未</w:t>
            </w:r>
            <w:r>
              <w:rPr>
                <w:rFonts w:hint="eastAsia" w:ascii="宋体" w:hAnsi="宋体"/>
                <w:sz w:val="24"/>
                <w:highlight w:val="none"/>
              </w:rPr>
              <w:t>出现可选择性或可调整的报价（磋商文件另有规定的除外）</w:t>
            </w:r>
            <w:r>
              <w:rPr>
                <w:rFonts w:ascii="宋体" w:hAnsi="宋体"/>
                <w:kern w:val="0"/>
                <w:sz w:val="24"/>
                <w:highlight w:val="none"/>
              </w:rPr>
              <w:t>；</w:t>
            </w:r>
          </w:p>
        </w:tc>
        <w:tc>
          <w:tcPr>
            <w:tcW w:w="1909" w:type="dxa"/>
            <w:noWrap w:val="0"/>
            <w:vAlign w:val="center"/>
          </w:tcPr>
          <w:p w14:paraId="2A70E44B">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675E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3D85B8F4">
            <w:pPr>
              <w:widowControl/>
              <w:spacing w:line="360" w:lineRule="auto"/>
              <w:jc w:val="center"/>
              <w:rPr>
                <w:rFonts w:hint="eastAsia" w:ascii="宋体" w:hAnsi="宋体"/>
                <w:kern w:val="0"/>
                <w:sz w:val="24"/>
                <w:highlight w:val="none"/>
              </w:rPr>
            </w:pPr>
            <w:r>
              <w:rPr>
                <w:rFonts w:ascii="宋体" w:hAnsi="宋体"/>
                <w:kern w:val="0"/>
                <w:sz w:val="24"/>
                <w:highlight w:val="none"/>
              </w:rPr>
              <w:t>5</w:t>
            </w:r>
          </w:p>
        </w:tc>
        <w:tc>
          <w:tcPr>
            <w:tcW w:w="1880" w:type="dxa"/>
            <w:noWrap w:val="0"/>
            <w:vAlign w:val="center"/>
          </w:tcPr>
          <w:p w14:paraId="2EA5E66E">
            <w:pPr>
              <w:widowControl/>
              <w:spacing w:line="360" w:lineRule="auto"/>
              <w:jc w:val="left"/>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有效期</w:t>
            </w:r>
          </w:p>
        </w:tc>
        <w:tc>
          <w:tcPr>
            <w:tcW w:w="4388" w:type="dxa"/>
            <w:noWrap w:val="0"/>
            <w:vAlign w:val="center"/>
          </w:tcPr>
          <w:p w14:paraId="1FB465A4">
            <w:pPr>
              <w:widowControl/>
              <w:spacing w:line="360" w:lineRule="auto"/>
              <w:jc w:val="left"/>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文件中承诺的</w:t>
            </w:r>
            <w:r>
              <w:rPr>
                <w:rFonts w:hint="eastAsia" w:ascii="宋体" w:hAnsi="宋体"/>
                <w:kern w:val="0"/>
                <w:sz w:val="24"/>
                <w:highlight w:val="none"/>
              </w:rPr>
              <w:t>响应</w:t>
            </w:r>
            <w:r>
              <w:rPr>
                <w:rFonts w:ascii="宋体" w:hAnsi="宋体"/>
                <w:kern w:val="0"/>
                <w:sz w:val="24"/>
                <w:highlight w:val="none"/>
              </w:rPr>
              <w:t>有效期</w:t>
            </w:r>
            <w:r>
              <w:rPr>
                <w:rFonts w:hint="eastAsia" w:ascii="宋体" w:hAnsi="宋体"/>
                <w:kern w:val="0"/>
                <w:sz w:val="24"/>
                <w:highlight w:val="none"/>
              </w:rPr>
              <w:t>满足磋商文件</w:t>
            </w:r>
            <w:r>
              <w:rPr>
                <w:rFonts w:ascii="宋体" w:hAnsi="宋体"/>
                <w:kern w:val="0"/>
                <w:sz w:val="24"/>
                <w:highlight w:val="none"/>
              </w:rPr>
              <w:t>中载明的</w:t>
            </w:r>
            <w:r>
              <w:rPr>
                <w:rFonts w:hint="eastAsia" w:ascii="宋体" w:hAnsi="宋体"/>
                <w:kern w:val="0"/>
                <w:sz w:val="24"/>
                <w:highlight w:val="none"/>
              </w:rPr>
              <w:t>响应</w:t>
            </w:r>
            <w:r>
              <w:rPr>
                <w:rFonts w:ascii="宋体" w:hAnsi="宋体"/>
                <w:kern w:val="0"/>
                <w:sz w:val="24"/>
                <w:highlight w:val="none"/>
              </w:rPr>
              <w:t>有效期的；</w:t>
            </w:r>
          </w:p>
        </w:tc>
        <w:tc>
          <w:tcPr>
            <w:tcW w:w="1909" w:type="dxa"/>
            <w:noWrap w:val="0"/>
            <w:vAlign w:val="center"/>
          </w:tcPr>
          <w:p w14:paraId="53878E48">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437B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42BAAB9B">
            <w:pPr>
              <w:widowControl/>
              <w:spacing w:line="360" w:lineRule="auto"/>
              <w:jc w:val="center"/>
              <w:rPr>
                <w:rFonts w:hint="eastAsia" w:ascii="宋体" w:hAnsi="宋体"/>
                <w:kern w:val="0"/>
                <w:sz w:val="24"/>
                <w:highlight w:val="none"/>
              </w:rPr>
            </w:pPr>
            <w:r>
              <w:rPr>
                <w:rFonts w:ascii="宋体" w:hAnsi="宋体"/>
                <w:kern w:val="0"/>
                <w:sz w:val="24"/>
                <w:highlight w:val="none"/>
              </w:rPr>
              <w:t>6</w:t>
            </w:r>
          </w:p>
        </w:tc>
        <w:tc>
          <w:tcPr>
            <w:tcW w:w="1880" w:type="dxa"/>
            <w:noWrap w:val="0"/>
            <w:vAlign w:val="center"/>
          </w:tcPr>
          <w:p w14:paraId="41EEDE5C">
            <w:pPr>
              <w:widowControl/>
              <w:spacing w:line="360" w:lineRule="auto"/>
              <w:jc w:val="left"/>
              <w:rPr>
                <w:rFonts w:hint="eastAsia" w:ascii="宋体" w:hAnsi="宋体"/>
                <w:kern w:val="0"/>
                <w:sz w:val="24"/>
                <w:highlight w:val="none"/>
              </w:rPr>
            </w:pPr>
            <w:r>
              <w:rPr>
                <w:rFonts w:ascii="宋体" w:hAnsi="宋体"/>
                <w:kern w:val="0"/>
                <w:sz w:val="24"/>
                <w:highlight w:val="none"/>
              </w:rPr>
              <w:t>签署、盖章</w:t>
            </w:r>
          </w:p>
        </w:tc>
        <w:tc>
          <w:tcPr>
            <w:tcW w:w="4388" w:type="dxa"/>
            <w:noWrap w:val="0"/>
            <w:vAlign w:val="center"/>
          </w:tcPr>
          <w:p w14:paraId="3704A804">
            <w:pPr>
              <w:widowControl/>
              <w:spacing w:line="360" w:lineRule="auto"/>
              <w:jc w:val="left"/>
              <w:rPr>
                <w:rFonts w:hint="eastAsia" w:ascii="宋体" w:hAnsi="宋体"/>
                <w:kern w:val="0"/>
                <w:sz w:val="24"/>
                <w:highlight w:val="none"/>
              </w:rPr>
            </w:pPr>
            <w:r>
              <w:rPr>
                <w:rFonts w:ascii="宋体" w:hAnsi="宋体"/>
                <w:kern w:val="0"/>
                <w:sz w:val="24"/>
                <w:highlight w:val="none"/>
              </w:rPr>
              <w:t>按照</w:t>
            </w:r>
            <w:r>
              <w:rPr>
                <w:rFonts w:hint="eastAsia" w:ascii="宋体" w:hAnsi="宋体"/>
                <w:kern w:val="0"/>
                <w:sz w:val="24"/>
                <w:highlight w:val="none"/>
              </w:rPr>
              <w:t>磋商文件</w:t>
            </w:r>
            <w:r>
              <w:rPr>
                <w:rFonts w:ascii="宋体" w:hAnsi="宋体"/>
                <w:kern w:val="0"/>
                <w:sz w:val="24"/>
                <w:highlight w:val="none"/>
              </w:rPr>
              <w:t>要求签署、盖章的；</w:t>
            </w:r>
          </w:p>
        </w:tc>
        <w:tc>
          <w:tcPr>
            <w:tcW w:w="1909" w:type="dxa"/>
            <w:noWrap w:val="0"/>
            <w:vAlign w:val="center"/>
          </w:tcPr>
          <w:p w14:paraId="7F15659C">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319D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6D648E30">
            <w:pPr>
              <w:widowControl/>
              <w:spacing w:line="360" w:lineRule="auto"/>
              <w:jc w:val="center"/>
              <w:rPr>
                <w:rFonts w:hint="eastAsia" w:ascii="宋体" w:hAnsi="宋体"/>
                <w:kern w:val="0"/>
                <w:sz w:val="24"/>
                <w:highlight w:val="none"/>
              </w:rPr>
            </w:pPr>
            <w:r>
              <w:rPr>
                <w:rFonts w:ascii="宋体" w:hAnsi="宋体"/>
                <w:kern w:val="0"/>
                <w:sz w:val="24"/>
                <w:highlight w:val="none"/>
              </w:rPr>
              <w:t>7</w:t>
            </w:r>
          </w:p>
        </w:tc>
        <w:tc>
          <w:tcPr>
            <w:tcW w:w="1880" w:type="dxa"/>
            <w:noWrap w:val="0"/>
            <w:vAlign w:val="center"/>
          </w:tcPr>
          <w:p w14:paraId="52488A02">
            <w:pPr>
              <w:widowControl/>
              <w:spacing w:line="360" w:lineRule="auto"/>
              <w:jc w:val="left"/>
              <w:rPr>
                <w:rFonts w:hint="eastAsia" w:ascii="宋体" w:hAnsi="宋体"/>
                <w:kern w:val="0"/>
                <w:sz w:val="24"/>
                <w:highlight w:val="none"/>
              </w:rPr>
            </w:pPr>
            <w:r>
              <w:rPr>
                <w:rFonts w:hint="eastAsia" w:ascii="宋体" w:hAnsi="宋体"/>
                <w:kern w:val="0"/>
                <w:sz w:val="24"/>
                <w:highlight w:val="none"/>
              </w:rPr>
              <w:t>实质性格式</w:t>
            </w:r>
          </w:p>
        </w:tc>
        <w:tc>
          <w:tcPr>
            <w:tcW w:w="4388" w:type="dxa"/>
            <w:noWrap w:val="0"/>
            <w:vAlign w:val="center"/>
          </w:tcPr>
          <w:p w14:paraId="40D0CF2A">
            <w:pPr>
              <w:widowControl/>
              <w:spacing w:line="360" w:lineRule="auto"/>
              <w:jc w:val="left"/>
              <w:rPr>
                <w:rFonts w:hint="eastAsia" w:ascii="宋体" w:hAnsi="宋体"/>
                <w:kern w:val="0"/>
                <w:sz w:val="24"/>
                <w:highlight w:val="none"/>
              </w:rPr>
            </w:pPr>
            <w:r>
              <w:rPr>
                <w:rFonts w:hint="eastAsia" w:ascii="宋体" w:hAnsi="宋体"/>
                <w:kern w:val="0"/>
                <w:sz w:val="24"/>
                <w:highlight w:val="none"/>
              </w:rPr>
              <w:t>标记为</w:t>
            </w:r>
            <w:r>
              <w:rPr>
                <w:rFonts w:ascii="宋体" w:hAnsi="宋体"/>
                <w:kern w:val="0"/>
                <w:sz w:val="24"/>
                <w:highlight w:val="none"/>
              </w:rPr>
              <w:t>“实质性格式”的</w:t>
            </w:r>
            <w:r>
              <w:rPr>
                <w:rFonts w:hint="eastAsia" w:ascii="宋体" w:hAnsi="宋体"/>
                <w:kern w:val="0"/>
                <w:sz w:val="24"/>
                <w:highlight w:val="none"/>
              </w:rPr>
              <w:t>文件均按磋商</w:t>
            </w:r>
            <w:r>
              <w:rPr>
                <w:rFonts w:ascii="宋体" w:hAnsi="宋体"/>
                <w:kern w:val="0"/>
                <w:sz w:val="24"/>
                <w:highlight w:val="none"/>
              </w:rPr>
              <w:t>文件</w:t>
            </w:r>
            <w:r>
              <w:rPr>
                <w:rFonts w:hint="eastAsia" w:ascii="宋体" w:hAnsi="宋体"/>
                <w:kern w:val="0"/>
                <w:sz w:val="24"/>
                <w:highlight w:val="none"/>
              </w:rPr>
              <w:t>要求提供；</w:t>
            </w:r>
          </w:p>
        </w:tc>
        <w:tc>
          <w:tcPr>
            <w:tcW w:w="1909" w:type="dxa"/>
            <w:noWrap w:val="0"/>
            <w:vAlign w:val="center"/>
          </w:tcPr>
          <w:p w14:paraId="1A3EC2AF">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4AAB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386E1D6E">
            <w:pPr>
              <w:widowControl/>
              <w:spacing w:line="360" w:lineRule="auto"/>
              <w:jc w:val="center"/>
              <w:rPr>
                <w:rFonts w:hint="eastAsia" w:ascii="宋体" w:hAnsi="宋体"/>
                <w:kern w:val="0"/>
                <w:sz w:val="24"/>
                <w:highlight w:val="none"/>
              </w:rPr>
            </w:pPr>
            <w:r>
              <w:rPr>
                <w:rFonts w:ascii="宋体" w:hAnsi="宋体"/>
                <w:kern w:val="0"/>
                <w:sz w:val="24"/>
                <w:highlight w:val="none"/>
              </w:rPr>
              <w:t>8</w:t>
            </w:r>
          </w:p>
        </w:tc>
        <w:tc>
          <w:tcPr>
            <w:tcW w:w="1880" w:type="dxa"/>
            <w:noWrap w:val="0"/>
            <w:vAlign w:val="center"/>
          </w:tcPr>
          <w:p w14:paraId="651398DC">
            <w:pPr>
              <w:widowControl/>
              <w:spacing w:line="360" w:lineRule="auto"/>
              <w:jc w:val="left"/>
              <w:rPr>
                <w:rFonts w:hint="eastAsia" w:ascii="宋体" w:hAnsi="宋体"/>
                <w:kern w:val="0"/>
                <w:sz w:val="24"/>
                <w:highlight w:val="none"/>
              </w:rPr>
            </w:pPr>
            <w:r>
              <w:rPr>
                <w:rFonts w:ascii="宋体" w:hAnsi="宋体" w:cs="Segoe UI Symbol"/>
                <w:kern w:val="0"/>
                <w:sz w:val="24"/>
                <w:highlight w:val="none"/>
              </w:rPr>
              <w:t>★</w:t>
            </w:r>
            <w:r>
              <w:rPr>
                <w:rFonts w:ascii="宋体" w:hAnsi="宋体"/>
                <w:kern w:val="0"/>
                <w:sz w:val="24"/>
                <w:highlight w:val="none"/>
              </w:rPr>
              <w:t>号条款响应</w:t>
            </w:r>
          </w:p>
        </w:tc>
        <w:tc>
          <w:tcPr>
            <w:tcW w:w="4388" w:type="dxa"/>
            <w:noWrap w:val="0"/>
            <w:vAlign w:val="center"/>
          </w:tcPr>
          <w:p w14:paraId="78279EC8">
            <w:pPr>
              <w:widowControl/>
              <w:spacing w:line="360" w:lineRule="auto"/>
              <w:jc w:val="left"/>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文件满足</w:t>
            </w:r>
            <w:r>
              <w:rPr>
                <w:rFonts w:hint="eastAsia" w:ascii="宋体" w:hAnsi="宋体"/>
                <w:kern w:val="0"/>
                <w:sz w:val="24"/>
                <w:highlight w:val="none"/>
              </w:rPr>
              <w:t>磋商</w:t>
            </w:r>
            <w:r>
              <w:rPr>
                <w:rFonts w:ascii="宋体" w:hAnsi="宋体"/>
                <w:kern w:val="0"/>
                <w:sz w:val="24"/>
                <w:highlight w:val="none"/>
              </w:rPr>
              <w:t>文件</w:t>
            </w:r>
            <w:r>
              <w:rPr>
                <w:rFonts w:ascii="宋体" w:hAnsi="宋体"/>
                <w:sz w:val="24"/>
                <w:highlight w:val="none"/>
              </w:rPr>
              <w:t>第</w:t>
            </w:r>
            <w:r>
              <w:rPr>
                <w:rFonts w:hint="eastAsia" w:ascii="宋体" w:hAnsi="宋体"/>
                <w:sz w:val="24"/>
                <w:highlight w:val="none"/>
              </w:rPr>
              <w:t>四</w:t>
            </w:r>
            <w:r>
              <w:rPr>
                <w:rFonts w:ascii="宋体" w:hAnsi="宋体"/>
                <w:sz w:val="24"/>
                <w:highlight w:val="none"/>
              </w:rPr>
              <w:t>章《采购需求》</w:t>
            </w:r>
            <w:r>
              <w:rPr>
                <w:rFonts w:ascii="宋体" w:hAnsi="宋体"/>
                <w:kern w:val="0"/>
                <w:sz w:val="24"/>
                <w:highlight w:val="none"/>
              </w:rPr>
              <w:t>中</w:t>
            </w:r>
            <w:r>
              <w:rPr>
                <w:rFonts w:ascii="宋体" w:hAnsi="宋体" w:cs="Segoe UI Symbol"/>
                <w:kern w:val="0"/>
                <w:sz w:val="24"/>
                <w:highlight w:val="none"/>
              </w:rPr>
              <w:t>★</w:t>
            </w:r>
            <w:r>
              <w:rPr>
                <w:rFonts w:ascii="宋体" w:hAnsi="宋体"/>
                <w:kern w:val="0"/>
                <w:sz w:val="24"/>
                <w:highlight w:val="none"/>
              </w:rPr>
              <w:t>号条款要求；</w:t>
            </w:r>
          </w:p>
        </w:tc>
        <w:tc>
          <w:tcPr>
            <w:tcW w:w="1909" w:type="dxa"/>
            <w:noWrap w:val="0"/>
            <w:vAlign w:val="center"/>
          </w:tcPr>
          <w:p w14:paraId="566130F5">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5F3B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10363E03">
            <w:pPr>
              <w:widowControl/>
              <w:spacing w:line="360" w:lineRule="auto"/>
              <w:jc w:val="center"/>
              <w:rPr>
                <w:rFonts w:hint="eastAsia" w:ascii="宋体" w:hAnsi="宋体"/>
                <w:kern w:val="0"/>
                <w:sz w:val="24"/>
                <w:highlight w:val="none"/>
              </w:rPr>
            </w:pPr>
            <w:r>
              <w:rPr>
                <w:rFonts w:ascii="宋体" w:hAnsi="宋体"/>
                <w:kern w:val="0"/>
                <w:sz w:val="24"/>
                <w:highlight w:val="none"/>
              </w:rPr>
              <w:t>9</w:t>
            </w:r>
          </w:p>
        </w:tc>
        <w:tc>
          <w:tcPr>
            <w:tcW w:w="1880" w:type="dxa"/>
            <w:noWrap w:val="0"/>
            <w:vAlign w:val="center"/>
          </w:tcPr>
          <w:p w14:paraId="3470B960">
            <w:pPr>
              <w:widowControl/>
              <w:spacing w:line="360" w:lineRule="auto"/>
              <w:jc w:val="left"/>
              <w:rPr>
                <w:rFonts w:hint="eastAsia" w:ascii="宋体" w:hAnsi="宋体"/>
                <w:kern w:val="0"/>
                <w:sz w:val="24"/>
                <w:highlight w:val="none"/>
              </w:rPr>
            </w:pPr>
            <w:r>
              <w:rPr>
                <w:rFonts w:ascii="宋体" w:hAnsi="宋体"/>
                <w:kern w:val="0"/>
                <w:sz w:val="24"/>
                <w:highlight w:val="none"/>
              </w:rPr>
              <w:t>报价的修正（如有）</w:t>
            </w:r>
          </w:p>
        </w:tc>
        <w:tc>
          <w:tcPr>
            <w:tcW w:w="4388" w:type="dxa"/>
            <w:noWrap w:val="0"/>
            <w:vAlign w:val="center"/>
          </w:tcPr>
          <w:p w14:paraId="1ABD408A">
            <w:pPr>
              <w:widowControl/>
              <w:spacing w:line="360" w:lineRule="auto"/>
              <w:rPr>
                <w:rFonts w:hint="eastAsia" w:ascii="宋体" w:hAnsi="宋体"/>
                <w:kern w:val="0"/>
                <w:sz w:val="24"/>
                <w:highlight w:val="none"/>
              </w:rPr>
            </w:pPr>
            <w:r>
              <w:rPr>
                <w:rFonts w:hint="eastAsia" w:ascii="宋体" w:hAnsi="宋体"/>
                <w:kern w:val="0"/>
                <w:sz w:val="24"/>
                <w:highlight w:val="none"/>
              </w:rPr>
              <w:t>不涉及报价修正</w:t>
            </w:r>
            <w:r>
              <w:rPr>
                <w:rFonts w:ascii="宋体" w:hAnsi="宋体"/>
                <w:kern w:val="0"/>
                <w:sz w:val="24"/>
                <w:highlight w:val="none"/>
              </w:rPr>
              <w:t>，或</w:t>
            </w:r>
            <w:r>
              <w:rPr>
                <w:rFonts w:hint="eastAsia" w:ascii="宋体" w:hAnsi="宋体"/>
                <w:kern w:val="0"/>
                <w:sz w:val="24"/>
                <w:highlight w:val="none"/>
              </w:rPr>
              <w:t>响应</w:t>
            </w:r>
            <w:r>
              <w:rPr>
                <w:rFonts w:ascii="宋体" w:hAnsi="宋体"/>
                <w:kern w:val="0"/>
                <w:sz w:val="24"/>
                <w:highlight w:val="none"/>
              </w:rPr>
              <w:t>文件报价出现前后不一致</w:t>
            </w:r>
            <w:r>
              <w:rPr>
                <w:rFonts w:hint="eastAsia" w:ascii="宋体" w:hAnsi="宋体"/>
                <w:kern w:val="0"/>
                <w:sz w:val="24"/>
                <w:highlight w:val="none"/>
              </w:rPr>
              <w:t>时</w:t>
            </w:r>
            <w:r>
              <w:rPr>
                <w:rFonts w:ascii="宋体" w:hAnsi="宋体"/>
                <w:kern w:val="0"/>
                <w:sz w:val="24"/>
                <w:highlight w:val="none"/>
              </w:rPr>
              <w:t>，供应商对修正后的报价予</w:t>
            </w:r>
            <w:r>
              <w:rPr>
                <w:rFonts w:hint="eastAsia" w:ascii="宋体" w:hAnsi="宋体"/>
                <w:kern w:val="0"/>
                <w:sz w:val="24"/>
                <w:highlight w:val="none"/>
              </w:rPr>
              <w:t>以</w:t>
            </w:r>
            <w:r>
              <w:rPr>
                <w:rFonts w:ascii="宋体" w:hAnsi="宋体"/>
                <w:kern w:val="0"/>
                <w:sz w:val="24"/>
                <w:highlight w:val="none"/>
              </w:rPr>
              <w:t>确认；（如有）</w:t>
            </w:r>
          </w:p>
        </w:tc>
        <w:tc>
          <w:tcPr>
            <w:tcW w:w="1909" w:type="dxa"/>
            <w:noWrap w:val="0"/>
            <w:vAlign w:val="center"/>
          </w:tcPr>
          <w:p w14:paraId="18989528">
            <w:pPr>
              <w:widowControl/>
              <w:spacing w:line="360" w:lineRule="auto"/>
              <w:jc w:val="center"/>
              <w:rPr>
                <w:rFonts w:hint="eastAsia" w:ascii="宋体" w:hAnsi="宋体"/>
                <w:kern w:val="0"/>
                <w:sz w:val="24"/>
                <w:highlight w:val="none"/>
              </w:rPr>
            </w:pPr>
            <w:r>
              <w:rPr>
                <w:rFonts w:ascii="宋体" w:hAnsi="宋体"/>
                <w:sz w:val="24"/>
                <w:highlight w:val="none"/>
              </w:rPr>
              <w:t>允许</w:t>
            </w:r>
          </w:p>
        </w:tc>
      </w:tr>
      <w:tr w14:paraId="7BFB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7FAFEF70">
            <w:pPr>
              <w:widowControl/>
              <w:spacing w:line="360" w:lineRule="auto"/>
              <w:jc w:val="center"/>
              <w:rPr>
                <w:rFonts w:hint="eastAsia" w:ascii="宋体" w:hAnsi="宋体"/>
                <w:kern w:val="0"/>
                <w:sz w:val="24"/>
                <w:highlight w:val="none"/>
              </w:rPr>
            </w:pPr>
            <w:r>
              <w:rPr>
                <w:rFonts w:hint="eastAsia" w:ascii="宋体" w:hAnsi="宋体"/>
                <w:kern w:val="0"/>
                <w:sz w:val="24"/>
                <w:highlight w:val="none"/>
              </w:rPr>
              <w:t>1</w:t>
            </w:r>
            <w:r>
              <w:rPr>
                <w:rFonts w:ascii="宋体" w:hAnsi="宋体"/>
                <w:kern w:val="0"/>
                <w:sz w:val="24"/>
                <w:highlight w:val="none"/>
              </w:rPr>
              <w:t>0</w:t>
            </w:r>
          </w:p>
        </w:tc>
        <w:tc>
          <w:tcPr>
            <w:tcW w:w="1880" w:type="dxa"/>
            <w:noWrap w:val="0"/>
            <w:vAlign w:val="center"/>
          </w:tcPr>
          <w:p w14:paraId="346E1BC2">
            <w:pPr>
              <w:widowControl/>
              <w:spacing w:line="360" w:lineRule="auto"/>
              <w:jc w:val="left"/>
              <w:rPr>
                <w:rFonts w:hint="eastAsia" w:ascii="宋体" w:hAnsi="宋体"/>
                <w:kern w:val="0"/>
                <w:sz w:val="24"/>
                <w:highlight w:val="none"/>
              </w:rPr>
            </w:pPr>
            <w:r>
              <w:rPr>
                <w:rFonts w:ascii="宋体" w:hAnsi="宋体"/>
                <w:kern w:val="0"/>
                <w:sz w:val="24"/>
                <w:highlight w:val="none"/>
              </w:rPr>
              <w:t>报价合理性</w:t>
            </w:r>
          </w:p>
        </w:tc>
        <w:tc>
          <w:tcPr>
            <w:tcW w:w="4388" w:type="dxa"/>
            <w:noWrap w:val="0"/>
            <w:vAlign w:val="center"/>
          </w:tcPr>
          <w:p w14:paraId="027355C7">
            <w:pPr>
              <w:widowControl/>
              <w:spacing w:line="360" w:lineRule="auto"/>
              <w:jc w:val="left"/>
              <w:rPr>
                <w:rFonts w:hint="eastAsia" w:ascii="宋体" w:hAnsi="宋体"/>
                <w:kern w:val="0"/>
                <w:sz w:val="24"/>
                <w:highlight w:val="none"/>
              </w:rPr>
            </w:pPr>
            <w:r>
              <w:rPr>
                <w:rFonts w:ascii="宋体" w:hAnsi="宋体"/>
                <w:kern w:val="0"/>
                <w:sz w:val="24"/>
                <w:highlight w:val="none"/>
              </w:rPr>
              <w:t>报价合理，或</w:t>
            </w:r>
            <w:r>
              <w:rPr>
                <w:rFonts w:hint="eastAsia" w:ascii="宋体" w:hAnsi="宋体"/>
                <w:sz w:val="24"/>
                <w:highlight w:val="none"/>
              </w:rPr>
              <w:t>供应商的报价明显低于其他通过符合性审查供应商的报价，</w:t>
            </w:r>
            <w:r>
              <w:rPr>
                <w:rFonts w:ascii="宋体" w:hAnsi="宋体"/>
                <w:sz w:val="24"/>
                <w:highlight w:val="none"/>
              </w:rPr>
              <w:t>有可能影响产品质量或者不能诚信履约的</w:t>
            </w:r>
            <w:r>
              <w:rPr>
                <w:rFonts w:hint="eastAsia" w:ascii="宋体" w:hAnsi="宋体"/>
                <w:sz w:val="24"/>
                <w:highlight w:val="none"/>
              </w:rPr>
              <w:t>，能够应磋商小组要求在规定时间内证明其报价合理性的</w:t>
            </w:r>
            <w:r>
              <w:rPr>
                <w:rFonts w:ascii="宋体" w:hAnsi="宋体"/>
                <w:kern w:val="0"/>
                <w:sz w:val="24"/>
                <w:highlight w:val="none"/>
              </w:rPr>
              <w:t>；</w:t>
            </w:r>
          </w:p>
        </w:tc>
        <w:tc>
          <w:tcPr>
            <w:tcW w:w="1909" w:type="dxa"/>
            <w:noWrap w:val="0"/>
            <w:vAlign w:val="center"/>
          </w:tcPr>
          <w:p w14:paraId="3C17C0F6">
            <w:pPr>
              <w:widowControl/>
              <w:spacing w:line="360" w:lineRule="auto"/>
              <w:jc w:val="center"/>
              <w:rPr>
                <w:rFonts w:hint="eastAsia" w:ascii="宋体" w:hAnsi="宋体"/>
                <w:kern w:val="0"/>
                <w:sz w:val="24"/>
                <w:highlight w:val="none"/>
              </w:rPr>
            </w:pPr>
            <w:r>
              <w:rPr>
                <w:rFonts w:ascii="宋体" w:hAnsi="宋体"/>
                <w:sz w:val="24"/>
                <w:highlight w:val="none"/>
              </w:rPr>
              <w:t>允许</w:t>
            </w:r>
          </w:p>
        </w:tc>
      </w:tr>
      <w:tr w14:paraId="722B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72476737">
            <w:pPr>
              <w:widowControl/>
              <w:spacing w:line="360" w:lineRule="auto"/>
              <w:jc w:val="center"/>
              <w:rPr>
                <w:rFonts w:hint="eastAsia" w:ascii="宋体" w:hAnsi="宋体"/>
                <w:kern w:val="0"/>
                <w:sz w:val="24"/>
                <w:highlight w:val="none"/>
              </w:rPr>
            </w:pPr>
            <w:r>
              <w:rPr>
                <w:rFonts w:ascii="宋体" w:hAnsi="宋体"/>
                <w:kern w:val="0"/>
                <w:sz w:val="24"/>
                <w:highlight w:val="none"/>
              </w:rPr>
              <w:t>11</w:t>
            </w:r>
          </w:p>
        </w:tc>
        <w:tc>
          <w:tcPr>
            <w:tcW w:w="1880" w:type="dxa"/>
            <w:noWrap w:val="0"/>
            <w:vAlign w:val="center"/>
          </w:tcPr>
          <w:p w14:paraId="48D70E08">
            <w:pPr>
              <w:widowControl/>
              <w:spacing w:line="360" w:lineRule="auto"/>
              <w:jc w:val="left"/>
              <w:rPr>
                <w:rFonts w:hint="eastAsia" w:ascii="宋体" w:hAnsi="宋体"/>
                <w:kern w:val="0"/>
                <w:sz w:val="24"/>
                <w:highlight w:val="none"/>
              </w:rPr>
            </w:pPr>
            <w:r>
              <w:rPr>
                <w:rFonts w:ascii="宋体" w:hAnsi="宋体"/>
                <w:sz w:val="24"/>
                <w:highlight w:val="none"/>
              </w:rPr>
              <w:t>已标价工程量清单</w:t>
            </w:r>
          </w:p>
        </w:tc>
        <w:tc>
          <w:tcPr>
            <w:tcW w:w="4388" w:type="dxa"/>
            <w:noWrap w:val="0"/>
            <w:vAlign w:val="center"/>
          </w:tcPr>
          <w:p w14:paraId="15C27EF5">
            <w:pPr>
              <w:widowControl/>
              <w:spacing w:line="360" w:lineRule="auto"/>
              <w:jc w:val="left"/>
              <w:rPr>
                <w:rFonts w:hint="eastAsia" w:ascii="宋体" w:hAnsi="宋体"/>
                <w:kern w:val="0"/>
                <w:sz w:val="24"/>
                <w:highlight w:val="none"/>
              </w:rPr>
            </w:pPr>
            <w:r>
              <w:rPr>
                <w:rFonts w:hint="eastAsia" w:ascii="宋体" w:hAnsi="宋体"/>
                <w:sz w:val="24"/>
                <w:highlight w:val="none"/>
              </w:rPr>
              <w:t>供应商提供的报价文件按工程量清单计价规范相关内容及格式的规定并经有注册执业资格的造价工程师签字并加盖执业专用章的；</w:t>
            </w:r>
          </w:p>
        </w:tc>
        <w:tc>
          <w:tcPr>
            <w:tcW w:w="1909" w:type="dxa"/>
            <w:noWrap w:val="0"/>
            <w:vAlign w:val="center"/>
          </w:tcPr>
          <w:p w14:paraId="62245865">
            <w:pPr>
              <w:widowControl/>
              <w:spacing w:line="360" w:lineRule="auto"/>
              <w:jc w:val="center"/>
              <w:rPr>
                <w:rFonts w:hint="eastAsia" w:ascii="宋体" w:hAnsi="宋体"/>
                <w:sz w:val="24"/>
                <w:highlight w:val="none"/>
              </w:rPr>
            </w:pPr>
            <w:r>
              <w:rPr>
                <w:rFonts w:ascii="宋体" w:hAnsi="宋体"/>
                <w:sz w:val="24"/>
                <w:highlight w:val="none"/>
              </w:rPr>
              <w:t>不允许</w:t>
            </w:r>
          </w:p>
        </w:tc>
      </w:tr>
      <w:tr w14:paraId="706D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6A4FAF6D">
            <w:pPr>
              <w:widowControl/>
              <w:spacing w:line="360" w:lineRule="auto"/>
              <w:jc w:val="center"/>
              <w:rPr>
                <w:rFonts w:hint="eastAsia" w:ascii="宋体" w:hAnsi="宋体"/>
                <w:kern w:val="0"/>
                <w:sz w:val="24"/>
                <w:highlight w:val="none"/>
              </w:rPr>
            </w:pPr>
            <w:r>
              <w:rPr>
                <w:rFonts w:ascii="宋体" w:hAnsi="宋体"/>
                <w:kern w:val="0"/>
                <w:sz w:val="24"/>
                <w:highlight w:val="none"/>
              </w:rPr>
              <w:t>12</w:t>
            </w:r>
          </w:p>
        </w:tc>
        <w:tc>
          <w:tcPr>
            <w:tcW w:w="1880" w:type="dxa"/>
            <w:noWrap w:val="0"/>
            <w:vAlign w:val="center"/>
          </w:tcPr>
          <w:p w14:paraId="4AA37AD4">
            <w:pPr>
              <w:widowControl/>
              <w:spacing w:line="360" w:lineRule="auto"/>
              <w:jc w:val="left"/>
              <w:rPr>
                <w:rFonts w:hint="eastAsia" w:ascii="宋体" w:hAnsi="宋体"/>
                <w:kern w:val="0"/>
                <w:sz w:val="24"/>
                <w:highlight w:val="none"/>
              </w:rPr>
            </w:pPr>
            <w:r>
              <w:rPr>
                <w:rFonts w:ascii="宋体" w:hAnsi="宋体"/>
                <w:kern w:val="0"/>
                <w:sz w:val="24"/>
                <w:highlight w:val="none"/>
              </w:rPr>
              <w:t>国家有关部门对</w:t>
            </w:r>
            <w:r>
              <w:rPr>
                <w:rFonts w:hint="eastAsia" w:ascii="宋体" w:hAnsi="宋体"/>
                <w:kern w:val="0"/>
                <w:sz w:val="24"/>
                <w:highlight w:val="none"/>
              </w:rPr>
              <w:t>供应商</w:t>
            </w:r>
            <w:r>
              <w:rPr>
                <w:rFonts w:ascii="宋体" w:hAnsi="宋体"/>
                <w:kern w:val="0"/>
                <w:sz w:val="24"/>
                <w:highlight w:val="none"/>
              </w:rPr>
              <w:t>的</w:t>
            </w:r>
            <w:r>
              <w:rPr>
                <w:rFonts w:hint="eastAsia" w:ascii="宋体" w:hAnsi="宋体"/>
                <w:kern w:val="0"/>
                <w:sz w:val="24"/>
                <w:highlight w:val="none"/>
              </w:rPr>
              <w:t>报价</w:t>
            </w:r>
            <w:r>
              <w:rPr>
                <w:rFonts w:ascii="宋体" w:hAnsi="宋体"/>
                <w:kern w:val="0"/>
                <w:sz w:val="24"/>
                <w:highlight w:val="none"/>
              </w:rPr>
              <w:t>产品有强制性规定或要求的</w:t>
            </w:r>
          </w:p>
        </w:tc>
        <w:tc>
          <w:tcPr>
            <w:tcW w:w="4388" w:type="dxa"/>
            <w:noWrap w:val="0"/>
            <w:vAlign w:val="center"/>
          </w:tcPr>
          <w:p w14:paraId="28D436C6">
            <w:pPr>
              <w:widowControl/>
              <w:spacing w:line="360" w:lineRule="auto"/>
              <w:jc w:val="left"/>
              <w:rPr>
                <w:rFonts w:hint="eastAsia" w:ascii="宋体" w:hAnsi="宋体"/>
                <w:kern w:val="0"/>
                <w:sz w:val="24"/>
                <w:highlight w:val="none"/>
              </w:rPr>
            </w:pPr>
            <w:r>
              <w:rPr>
                <w:rFonts w:ascii="宋体" w:hAnsi="宋体"/>
                <w:kern w:val="0"/>
                <w:sz w:val="24"/>
                <w:highlight w:val="none"/>
              </w:rPr>
              <w:t>国家有关部门对</w:t>
            </w:r>
            <w:r>
              <w:rPr>
                <w:rFonts w:hint="eastAsia" w:ascii="宋体" w:hAnsi="宋体"/>
                <w:kern w:val="0"/>
                <w:sz w:val="24"/>
                <w:highlight w:val="none"/>
              </w:rPr>
              <w:t>供应商</w:t>
            </w:r>
            <w:r>
              <w:rPr>
                <w:rFonts w:ascii="宋体" w:hAnsi="宋体"/>
                <w:kern w:val="0"/>
                <w:sz w:val="24"/>
                <w:highlight w:val="none"/>
              </w:rPr>
              <w:t>的</w:t>
            </w:r>
            <w:r>
              <w:rPr>
                <w:rFonts w:hint="eastAsia" w:ascii="宋体" w:hAnsi="宋体"/>
                <w:kern w:val="0"/>
                <w:sz w:val="24"/>
                <w:highlight w:val="none"/>
              </w:rPr>
              <w:t>报价</w:t>
            </w:r>
            <w:r>
              <w:rPr>
                <w:rFonts w:ascii="宋体" w:hAnsi="宋体"/>
                <w:kern w:val="0"/>
                <w:sz w:val="24"/>
                <w:highlight w:val="none"/>
              </w:rPr>
              <w:t>产品有强制性规定或要求的（如相应技术、安全、节能和环保等），</w:t>
            </w:r>
            <w:r>
              <w:rPr>
                <w:rFonts w:hint="eastAsia" w:ascii="宋体" w:hAnsi="宋体"/>
                <w:kern w:val="0"/>
                <w:sz w:val="24"/>
                <w:highlight w:val="none"/>
              </w:rPr>
              <w:t>供应商</w:t>
            </w:r>
            <w:r>
              <w:rPr>
                <w:rFonts w:ascii="宋体" w:hAnsi="宋体"/>
                <w:kern w:val="0"/>
                <w:sz w:val="24"/>
                <w:highlight w:val="none"/>
              </w:rPr>
              <w:t>的</w:t>
            </w:r>
            <w:r>
              <w:rPr>
                <w:rFonts w:hint="eastAsia" w:ascii="宋体" w:hAnsi="宋体"/>
                <w:kern w:val="0"/>
                <w:sz w:val="24"/>
                <w:highlight w:val="none"/>
              </w:rPr>
              <w:t>报价</w:t>
            </w:r>
            <w:r>
              <w:rPr>
                <w:rFonts w:ascii="宋体" w:hAnsi="宋体"/>
                <w:kern w:val="0"/>
                <w:sz w:val="24"/>
                <w:highlight w:val="none"/>
              </w:rPr>
              <w:t>产品</w:t>
            </w:r>
            <w:r>
              <w:rPr>
                <w:rFonts w:hint="eastAsia" w:ascii="宋体" w:hAnsi="宋体"/>
                <w:kern w:val="0"/>
                <w:sz w:val="24"/>
                <w:highlight w:val="none"/>
              </w:rPr>
              <w:t>应</w:t>
            </w:r>
            <w:r>
              <w:rPr>
                <w:rFonts w:ascii="宋体" w:hAnsi="宋体"/>
                <w:kern w:val="0"/>
                <w:sz w:val="24"/>
                <w:highlight w:val="none"/>
              </w:rPr>
              <w:t>符合相应规定或要求</w:t>
            </w:r>
            <w:r>
              <w:rPr>
                <w:rFonts w:hint="eastAsia" w:ascii="宋体" w:hAnsi="宋体"/>
                <w:kern w:val="0"/>
                <w:sz w:val="24"/>
                <w:highlight w:val="none"/>
              </w:rPr>
              <w:t>，并提供证明文件复印件：</w:t>
            </w:r>
          </w:p>
          <w:p w14:paraId="46F3D3D9">
            <w:pPr>
              <w:widowControl/>
              <w:spacing w:line="360" w:lineRule="auto"/>
              <w:jc w:val="left"/>
              <w:rPr>
                <w:rFonts w:hint="eastAsia" w:ascii="宋体" w:hAnsi="宋体"/>
                <w:kern w:val="0"/>
                <w:sz w:val="24"/>
                <w:highlight w:val="none"/>
              </w:rPr>
            </w:pPr>
            <w:r>
              <w:rPr>
                <w:rFonts w:hint="eastAsia" w:ascii="宋体" w:hAnsi="宋体"/>
                <w:kern w:val="0"/>
                <w:sz w:val="24"/>
                <w:highlight w:val="none"/>
              </w:rPr>
              <w:t>1）</w:t>
            </w:r>
            <w:bookmarkStart w:id="641" w:name="OLE_LINK1"/>
            <w:r>
              <w:rPr>
                <w:rFonts w:ascii="宋体" w:hAnsi="宋体"/>
                <w:kern w:val="0"/>
                <w:sz w:val="24"/>
                <w:highlight w:val="none"/>
              </w:rPr>
              <w:t>采购的产品若属于《节能产品政府采购品目清单》范围中政府强制采购产品，则</w:t>
            </w:r>
            <w:r>
              <w:rPr>
                <w:rFonts w:hint="eastAsia" w:ascii="宋体" w:hAnsi="宋体"/>
                <w:kern w:val="0"/>
                <w:sz w:val="24"/>
                <w:highlight w:val="none"/>
              </w:rPr>
              <w:t>供应商</w:t>
            </w:r>
            <w:r>
              <w:rPr>
                <w:rFonts w:ascii="宋体" w:hAnsi="宋体"/>
                <w:kern w:val="0"/>
                <w:sz w:val="24"/>
                <w:highlight w:val="none"/>
              </w:rPr>
              <w:t>所报产品必须获得国家确定的认证机构出具的、处于有效期之内的节能产品认证证书；</w:t>
            </w:r>
            <w:bookmarkEnd w:id="641"/>
          </w:p>
        </w:tc>
        <w:tc>
          <w:tcPr>
            <w:tcW w:w="1909" w:type="dxa"/>
            <w:noWrap w:val="0"/>
            <w:vAlign w:val="center"/>
          </w:tcPr>
          <w:p w14:paraId="5C00431B">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3E54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7D336449">
            <w:pPr>
              <w:widowControl/>
              <w:spacing w:line="360" w:lineRule="auto"/>
              <w:jc w:val="center"/>
              <w:rPr>
                <w:rFonts w:hint="eastAsia" w:ascii="宋体" w:hAnsi="宋体"/>
                <w:kern w:val="0"/>
                <w:sz w:val="24"/>
                <w:highlight w:val="none"/>
              </w:rPr>
            </w:pPr>
            <w:r>
              <w:rPr>
                <w:rFonts w:ascii="宋体" w:hAnsi="宋体"/>
                <w:kern w:val="0"/>
                <w:sz w:val="24"/>
                <w:highlight w:val="none"/>
              </w:rPr>
              <w:t>13</w:t>
            </w:r>
          </w:p>
        </w:tc>
        <w:tc>
          <w:tcPr>
            <w:tcW w:w="1880" w:type="dxa"/>
            <w:noWrap w:val="0"/>
            <w:vAlign w:val="center"/>
          </w:tcPr>
          <w:p w14:paraId="4FCDB0A3">
            <w:pPr>
              <w:widowControl/>
              <w:spacing w:line="360" w:lineRule="auto"/>
              <w:jc w:val="left"/>
              <w:rPr>
                <w:rFonts w:hint="eastAsia" w:ascii="宋体" w:hAnsi="宋体"/>
                <w:kern w:val="0"/>
                <w:sz w:val="24"/>
                <w:highlight w:val="none"/>
              </w:rPr>
            </w:pPr>
            <w:r>
              <w:rPr>
                <w:rFonts w:ascii="宋体" w:hAnsi="宋体"/>
                <w:kern w:val="0"/>
                <w:sz w:val="24"/>
                <w:highlight w:val="none"/>
              </w:rPr>
              <w:t>公平竞争</w:t>
            </w:r>
          </w:p>
        </w:tc>
        <w:tc>
          <w:tcPr>
            <w:tcW w:w="4388" w:type="dxa"/>
            <w:noWrap w:val="0"/>
            <w:vAlign w:val="center"/>
          </w:tcPr>
          <w:p w14:paraId="437E7658">
            <w:pPr>
              <w:widowControl/>
              <w:spacing w:line="360" w:lineRule="auto"/>
              <w:jc w:val="left"/>
              <w:rPr>
                <w:rFonts w:hint="eastAsia" w:ascii="宋体" w:hAnsi="宋体"/>
                <w:kern w:val="0"/>
                <w:sz w:val="24"/>
                <w:highlight w:val="none"/>
              </w:rPr>
            </w:pPr>
            <w:r>
              <w:rPr>
                <w:rFonts w:hint="eastAsia" w:ascii="宋体" w:hAnsi="宋体"/>
                <w:sz w:val="24"/>
                <w:highlight w:val="none"/>
              </w:rPr>
              <w:t>供应商</w:t>
            </w:r>
            <w:r>
              <w:rPr>
                <w:rFonts w:ascii="宋体" w:hAnsi="宋体"/>
                <w:sz w:val="24"/>
                <w:highlight w:val="none"/>
              </w:rPr>
              <w:t>遵循公平竞争的原则，不存在恶意串通，妨碍其他</w:t>
            </w:r>
            <w:r>
              <w:rPr>
                <w:rFonts w:hint="eastAsia" w:ascii="宋体" w:hAnsi="宋体"/>
                <w:sz w:val="24"/>
                <w:highlight w:val="none"/>
              </w:rPr>
              <w:t>供应商</w:t>
            </w:r>
            <w:r>
              <w:rPr>
                <w:rFonts w:ascii="宋体" w:hAnsi="宋体"/>
                <w:sz w:val="24"/>
                <w:highlight w:val="none"/>
              </w:rPr>
              <w:t>的竞争行为，不存在损害采购人或者其他</w:t>
            </w:r>
            <w:r>
              <w:rPr>
                <w:rFonts w:hint="eastAsia" w:ascii="宋体" w:hAnsi="宋体"/>
                <w:sz w:val="24"/>
                <w:highlight w:val="none"/>
              </w:rPr>
              <w:t>供应商</w:t>
            </w:r>
            <w:r>
              <w:rPr>
                <w:rFonts w:ascii="宋体" w:hAnsi="宋体"/>
                <w:sz w:val="24"/>
                <w:highlight w:val="none"/>
              </w:rPr>
              <w:t>的合法权益情形的；</w:t>
            </w:r>
          </w:p>
        </w:tc>
        <w:tc>
          <w:tcPr>
            <w:tcW w:w="1909" w:type="dxa"/>
            <w:noWrap w:val="0"/>
            <w:vAlign w:val="center"/>
          </w:tcPr>
          <w:p w14:paraId="241E30E2">
            <w:pPr>
              <w:widowControl/>
              <w:spacing w:line="360" w:lineRule="auto"/>
              <w:jc w:val="center"/>
              <w:rPr>
                <w:rFonts w:hint="eastAsia" w:ascii="宋体" w:hAnsi="宋体"/>
                <w:sz w:val="24"/>
                <w:highlight w:val="none"/>
              </w:rPr>
            </w:pPr>
            <w:r>
              <w:rPr>
                <w:rFonts w:ascii="宋体" w:hAnsi="宋体"/>
                <w:sz w:val="24"/>
                <w:highlight w:val="none"/>
              </w:rPr>
              <w:t>不允许</w:t>
            </w:r>
          </w:p>
        </w:tc>
      </w:tr>
      <w:tr w14:paraId="11D8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08318108">
            <w:pPr>
              <w:widowControl/>
              <w:spacing w:line="360" w:lineRule="auto"/>
              <w:jc w:val="center"/>
              <w:rPr>
                <w:rFonts w:hint="eastAsia" w:ascii="宋体" w:hAnsi="宋体"/>
                <w:kern w:val="0"/>
                <w:sz w:val="24"/>
                <w:highlight w:val="none"/>
              </w:rPr>
            </w:pPr>
            <w:r>
              <w:rPr>
                <w:rFonts w:ascii="宋体" w:hAnsi="宋体"/>
                <w:kern w:val="0"/>
                <w:sz w:val="24"/>
                <w:highlight w:val="none"/>
              </w:rPr>
              <w:t>14</w:t>
            </w:r>
          </w:p>
        </w:tc>
        <w:tc>
          <w:tcPr>
            <w:tcW w:w="1880" w:type="dxa"/>
            <w:noWrap w:val="0"/>
            <w:vAlign w:val="center"/>
          </w:tcPr>
          <w:p w14:paraId="5B855A96">
            <w:pPr>
              <w:widowControl/>
              <w:spacing w:line="360" w:lineRule="auto"/>
              <w:jc w:val="left"/>
              <w:rPr>
                <w:rFonts w:hint="eastAsia" w:ascii="宋体" w:hAnsi="宋体"/>
                <w:kern w:val="0"/>
                <w:sz w:val="24"/>
                <w:highlight w:val="none"/>
              </w:rPr>
            </w:pPr>
            <w:r>
              <w:rPr>
                <w:rFonts w:ascii="宋体" w:hAnsi="宋体"/>
                <w:kern w:val="0"/>
                <w:sz w:val="24"/>
                <w:highlight w:val="none"/>
              </w:rPr>
              <w:t>串通投标</w:t>
            </w:r>
          </w:p>
        </w:tc>
        <w:tc>
          <w:tcPr>
            <w:tcW w:w="4388" w:type="dxa"/>
            <w:noWrap w:val="0"/>
            <w:vAlign w:val="center"/>
          </w:tcPr>
          <w:p w14:paraId="551565D0">
            <w:pPr>
              <w:widowControl/>
              <w:spacing w:line="360" w:lineRule="auto"/>
              <w:jc w:val="left"/>
              <w:rPr>
                <w:rFonts w:hint="eastAsia" w:ascii="宋体" w:hAnsi="宋体"/>
                <w:sz w:val="24"/>
                <w:highlight w:val="none"/>
              </w:rPr>
            </w:pPr>
            <w:r>
              <w:rPr>
                <w:rFonts w:hint="eastAsia" w:ascii="宋体" w:hAnsi="宋体"/>
                <w:sz w:val="24"/>
                <w:highlight w:val="none"/>
              </w:rPr>
              <w:t>（一）不同供应商的响应文件由同一单位或者个人编制；</w:t>
            </w:r>
          </w:p>
          <w:p w14:paraId="6B62AA7B">
            <w:pPr>
              <w:widowControl/>
              <w:spacing w:line="360" w:lineRule="auto"/>
              <w:jc w:val="left"/>
              <w:rPr>
                <w:rFonts w:hint="eastAsia" w:ascii="宋体" w:hAnsi="宋体"/>
                <w:sz w:val="24"/>
                <w:highlight w:val="none"/>
              </w:rPr>
            </w:pPr>
            <w:r>
              <w:rPr>
                <w:rFonts w:hint="eastAsia" w:ascii="宋体" w:hAnsi="宋体"/>
                <w:sz w:val="24"/>
                <w:highlight w:val="none"/>
              </w:rPr>
              <w:t>（二）不同供应商委托同一单位或者个人办理磋商事宜；</w:t>
            </w:r>
          </w:p>
          <w:p w14:paraId="632CFD2F">
            <w:pPr>
              <w:widowControl/>
              <w:spacing w:line="360" w:lineRule="auto"/>
              <w:jc w:val="left"/>
              <w:rPr>
                <w:rFonts w:hint="eastAsia" w:ascii="宋体" w:hAnsi="宋体"/>
                <w:sz w:val="24"/>
                <w:highlight w:val="none"/>
              </w:rPr>
            </w:pPr>
            <w:r>
              <w:rPr>
                <w:rFonts w:hint="eastAsia" w:ascii="宋体" w:hAnsi="宋体"/>
                <w:sz w:val="24"/>
                <w:highlight w:val="none"/>
              </w:rPr>
              <w:t>（三）不同供应商的响应文件载明的项目管理成员或者联系人员为同一人；</w:t>
            </w:r>
          </w:p>
          <w:p w14:paraId="6A302098">
            <w:pPr>
              <w:widowControl/>
              <w:spacing w:line="360" w:lineRule="auto"/>
              <w:jc w:val="left"/>
              <w:rPr>
                <w:rFonts w:hint="eastAsia" w:ascii="宋体" w:hAnsi="宋体"/>
                <w:sz w:val="24"/>
                <w:highlight w:val="none"/>
              </w:rPr>
            </w:pPr>
            <w:r>
              <w:rPr>
                <w:rFonts w:hint="eastAsia" w:ascii="宋体" w:hAnsi="宋体"/>
                <w:sz w:val="24"/>
                <w:highlight w:val="none"/>
              </w:rPr>
              <w:t>（四）不同供应商的响应文件异常一致或者报价呈规律性差异；</w:t>
            </w:r>
          </w:p>
          <w:p w14:paraId="1D1996D0">
            <w:pPr>
              <w:widowControl/>
              <w:spacing w:line="360" w:lineRule="auto"/>
              <w:jc w:val="left"/>
              <w:rPr>
                <w:rFonts w:hint="eastAsia" w:ascii="宋体" w:hAnsi="宋体"/>
                <w:sz w:val="24"/>
                <w:highlight w:val="none"/>
              </w:rPr>
            </w:pPr>
            <w:r>
              <w:rPr>
                <w:rFonts w:hint="eastAsia" w:ascii="宋体" w:hAnsi="宋体"/>
                <w:sz w:val="24"/>
                <w:highlight w:val="none"/>
              </w:rPr>
              <w:t>（五）不同供应商的响应文件相互混装；</w:t>
            </w:r>
          </w:p>
          <w:p w14:paraId="461FC9AE">
            <w:pPr>
              <w:widowControl/>
              <w:spacing w:line="360" w:lineRule="auto"/>
              <w:jc w:val="left"/>
              <w:rPr>
                <w:rFonts w:hint="eastAsia" w:ascii="宋体" w:hAnsi="宋体"/>
                <w:kern w:val="0"/>
                <w:sz w:val="24"/>
                <w:highlight w:val="none"/>
              </w:rPr>
            </w:pPr>
            <w:r>
              <w:rPr>
                <w:rFonts w:hint="eastAsia" w:ascii="宋体" w:hAnsi="宋体"/>
                <w:sz w:val="24"/>
                <w:highlight w:val="none"/>
              </w:rPr>
              <w:t>（六）不同供应商的磋商保证金从同一单位或者个人的账户转出</w:t>
            </w:r>
            <w:r>
              <w:rPr>
                <w:rFonts w:ascii="宋体" w:hAnsi="宋体"/>
                <w:sz w:val="24"/>
                <w:highlight w:val="none"/>
              </w:rPr>
              <w:t>；</w:t>
            </w:r>
          </w:p>
        </w:tc>
        <w:tc>
          <w:tcPr>
            <w:tcW w:w="1909" w:type="dxa"/>
            <w:noWrap w:val="0"/>
            <w:vAlign w:val="center"/>
          </w:tcPr>
          <w:p w14:paraId="52CA9B7F">
            <w:pPr>
              <w:widowControl/>
              <w:spacing w:line="360" w:lineRule="auto"/>
              <w:jc w:val="center"/>
              <w:rPr>
                <w:rFonts w:hint="eastAsia" w:ascii="宋体" w:hAnsi="宋体"/>
                <w:sz w:val="24"/>
                <w:highlight w:val="none"/>
              </w:rPr>
            </w:pPr>
            <w:r>
              <w:rPr>
                <w:rFonts w:ascii="宋体" w:hAnsi="宋体"/>
                <w:sz w:val="24"/>
                <w:highlight w:val="none"/>
              </w:rPr>
              <w:t>不允许</w:t>
            </w:r>
          </w:p>
        </w:tc>
      </w:tr>
      <w:tr w14:paraId="3B5B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65B13CD5">
            <w:pPr>
              <w:widowControl/>
              <w:spacing w:line="360" w:lineRule="auto"/>
              <w:jc w:val="center"/>
              <w:rPr>
                <w:rFonts w:hint="eastAsia" w:ascii="宋体" w:hAnsi="宋体"/>
                <w:kern w:val="0"/>
                <w:sz w:val="24"/>
                <w:highlight w:val="none"/>
              </w:rPr>
            </w:pPr>
            <w:r>
              <w:rPr>
                <w:rFonts w:ascii="宋体" w:hAnsi="宋体"/>
                <w:kern w:val="0"/>
                <w:sz w:val="24"/>
                <w:highlight w:val="none"/>
              </w:rPr>
              <w:t>15</w:t>
            </w:r>
          </w:p>
        </w:tc>
        <w:tc>
          <w:tcPr>
            <w:tcW w:w="1880" w:type="dxa"/>
            <w:noWrap w:val="0"/>
            <w:vAlign w:val="center"/>
          </w:tcPr>
          <w:p w14:paraId="18E7AC6E">
            <w:pPr>
              <w:widowControl/>
              <w:spacing w:line="360" w:lineRule="auto"/>
              <w:jc w:val="left"/>
              <w:rPr>
                <w:rFonts w:hint="eastAsia" w:ascii="宋体" w:hAnsi="宋体"/>
                <w:kern w:val="0"/>
                <w:sz w:val="24"/>
                <w:highlight w:val="none"/>
              </w:rPr>
            </w:pPr>
            <w:r>
              <w:rPr>
                <w:rFonts w:ascii="宋体" w:hAnsi="宋体"/>
                <w:kern w:val="0"/>
                <w:sz w:val="24"/>
                <w:highlight w:val="none"/>
              </w:rPr>
              <w:t>附加条件</w:t>
            </w:r>
          </w:p>
        </w:tc>
        <w:tc>
          <w:tcPr>
            <w:tcW w:w="4388" w:type="dxa"/>
            <w:noWrap w:val="0"/>
            <w:vAlign w:val="center"/>
          </w:tcPr>
          <w:p w14:paraId="55BF4939">
            <w:pPr>
              <w:widowControl/>
              <w:spacing w:line="360" w:lineRule="auto"/>
              <w:jc w:val="left"/>
              <w:rPr>
                <w:rFonts w:hint="eastAsia" w:ascii="宋体" w:hAnsi="宋体"/>
                <w:kern w:val="0"/>
                <w:sz w:val="24"/>
                <w:highlight w:val="none"/>
              </w:rPr>
            </w:pPr>
            <w:r>
              <w:rPr>
                <w:rFonts w:hint="eastAsia" w:ascii="宋体" w:hAnsi="宋体"/>
                <w:kern w:val="0"/>
                <w:sz w:val="24"/>
                <w:highlight w:val="none"/>
              </w:rPr>
              <w:t>响应</w:t>
            </w:r>
            <w:r>
              <w:rPr>
                <w:rFonts w:ascii="宋体" w:hAnsi="宋体"/>
                <w:kern w:val="0"/>
                <w:sz w:val="24"/>
                <w:highlight w:val="none"/>
              </w:rPr>
              <w:t>文件</w:t>
            </w:r>
            <w:r>
              <w:rPr>
                <w:rFonts w:hint="eastAsia" w:ascii="宋体" w:hAnsi="宋体"/>
                <w:kern w:val="0"/>
                <w:sz w:val="24"/>
                <w:highlight w:val="none"/>
              </w:rPr>
              <w:t>未</w:t>
            </w:r>
            <w:r>
              <w:rPr>
                <w:rFonts w:ascii="宋体" w:hAnsi="宋体"/>
                <w:kern w:val="0"/>
                <w:sz w:val="24"/>
                <w:highlight w:val="none"/>
              </w:rPr>
              <w:t>含有采购人不能接受的附加条件的；</w:t>
            </w:r>
          </w:p>
        </w:tc>
        <w:tc>
          <w:tcPr>
            <w:tcW w:w="1909" w:type="dxa"/>
            <w:noWrap w:val="0"/>
            <w:vAlign w:val="center"/>
          </w:tcPr>
          <w:p w14:paraId="4D1BDF40">
            <w:pPr>
              <w:widowControl/>
              <w:spacing w:line="360" w:lineRule="auto"/>
              <w:jc w:val="center"/>
              <w:rPr>
                <w:rFonts w:hint="eastAsia" w:ascii="宋体" w:hAnsi="宋体"/>
                <w:kern w:val="0"/>
                <w:sz w:val="24"/>
                <w:highlight w:val="none"/>
              </w:rPr>
            </w:pPr>
            <w:r>
              <w:rPr>
                <w:rFonts w:ascii="宋体" w:hAnsi="宋体"/>
                <w:sz w:val="24"/>
                <w:highlight w:val="none"/>
              </w:rPr>
              <w:t>不允许</w:t>
            </w:r>
          </w:p>
        </w:tc>
      </w:tr>
      <w:tr w14:paraId="00B5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14:paraId="646A489B">
            <w:pPr>
              <w:widowControl/>
              <w:spacing w:line="360" w:lineRule="auto"/>
              <w:jc w:val="center"/>
              <w:rPr>
                <w:rFonts w:hint="eastAsia" w:ascii="宋体" w:hAnsi="宋体"/>
                <w:kern w:val="0"/>
                <w:sz w:val="24"/>
                <w:highlight w:val="none"/>
              </w:rPr>
            </w:pPr>
            <w:r>
              <w:rPr>
                <w:rFonts w:ascii="宋体" w:hAnsi="宋体"/>
                <w:kern w:val="0"/>
                <w:sz w:val="24"/>
                <w:highlight w:val="none"/>
              </w:rPr>
              <w:t>16</w:t>
            </w:r>
          </w:p>
        </w:tc>
        <w:tc>
          <w:tcPr>
            <w:tcW w:w="1880" w:type="dxa"/>
            <w:noWrap w:val="0"/>
            <w:vAlign w:val="center"/>
          </w:tcPr>
          <w:p w14:paraId="062FC014">
            <w:pPr>
              <w:widowControl/>
              <w:spacing w:line="360" w:lineRule="auto"/>
              <w:jc w:val="left"/>
              <w:rPr>
                <w:rFonts w:hint="eastAsia" w:ascii="宋体" w:hAnsi="宋体"/>
                <w:kern w:val="0"/>
                <w:sz w:val="24"/>
                <w:highlight w:val="none"/>
              </w:rPr>
            </w:pPr>
            <w:r>
              <w:rPr>
                <w:rFonts w:ascii="宋体" w:hAnsi="宋体"/>
                <w:kern w:val="0"/>
                <w:sz w:val="24"/>
                <w:highlight w:val="none"/>
              </w:rPr>
              <w:t>其他无效情形</w:t>
            </w:r>
          </w:p>
        </w:tc>
        <w:tc>
          <w:tcPr>
            <w:tcW w:w="4388" w:type="dxa"/>
            <w:noWrap w:val="0"/>
            <w:vAlign w:val="center"/>
          </w:tcPr>
          <w:p w14:paraId="48E832DD">
            <w:pPr>
              <w:widowControl/>
              <w:spacing w:line="360" w:lineRule="auto"/>
              <w:jc w:val="left"/>
              <w:rPr>
                <w:rFonts w:hint="eastAsia" w:ascii="宋体" w:hAnsi="宋体"/>
                <w:kern w:val="0"/>
                <w:sz w:val="24"/>
                <w:highlight w:val="none"/>
              </w:rPr>
            </w:pPr>
            <w:r>
              <w:rPr>
                <w:rFonts w:hint="eastAsia" w:ascii="宋体" w:hAnsi="宋体"/>
                <w:sz w:val="24"/>
                <w:highlight w:val="none"/>
              </w:rPr>
              <w:t>供应商</w:t>
            </w:r>
            <w:r>
              <w:rPr>
                <w:rFonts w:ascii="宋体" w:hAnsi="宋体"/>
                <w:sz w:val="24"/>
                <w:highlight w:val="none"/>
              </w:rPr>
              <w:t>、</w:t>
            </w:r>
            <w:r>
              <w:rPr>
                <w:rFonts w:hint="eastAsia" w:ascii="宋体" w:hAnsi="宋体"/>
                <w:sz w:val="24"/>
                <w:highlight w:val="none"/>
              </w:rPr>
              <w:t>响应</w:t>
            </w:r>
            <w:r>
              <w:rPr>
                <w:rFonts w:ascii="宋体" w:hAnsi="宋体"/>
                <w:sz w:val="24"/>
                <w:highlight w:val="none"/>
              </w:rPr>
              <w:t>文件</w:t>
            </w:r>
            <w:r>
              <w:rPr>
                <w:rFonts w:hint="eastAsia" w:ascii="宋体" w:hAnsi="宋体"/>
                <w:sz w:val="24"/>
                <w:highlight w:val="none"/>
              </w:rPr>
              <w:t>不存在</w:t>
            </w:r>
            <w:r>
              <w:rPr>
                <w:rFonts w:ascii="宋体" w:hAnsi="宋体"/>
                <w:sz w:val="24"/>
                <w:highlight w:val="none"/>
              </w:rPr>
              <w:t>不符合法律、法规和</w:t>
            </w:r>
            <w:r>
              <w:rPr>
                <w:rFonts w:hint="eastAsia" w:ascii="宋体" w:hAnsi="宋体"/>
                <w:sz w:val="24"/>
                <w:highlight w:val="none"/>
              </w:rPr>
              <w:t>磋商文件</w:t>
            </w:r>
            <w:r>
              <w:rPr>
                <w:rFonts w:ascii="宋体" w:hAnsi="宋体"/>
                <w:sz w:val="24"/>
                <w:highlight w:val="none"/>
              </w:rPr>
              <w:t>规定的其他无效情形。</w:t>
            </w:r>
          </w:p>
        </w:tc>
        <w:tc>
          <w:tcPr>
            <w:tcW w:w="1909" w:type="dxa"/>
            <w:noWrap w:val="0"/>
            <w:vAlign w:val="center"/>
          </w:tcPr>
          <w:p w14:paraId="1B1318FE">
            <w:pPr>
              <w:widowControl/>
              <w:spacing w:line="360" w:lineRule="auto"/>
              <w:jc w:val="center"/>
              <w:rPr>
                <w:rFonts w:hint="eastAsia" w:ascii="宋体" w:hAnsi="宋体"/>
                <w:sz w:val="24"/>
                <w:highlight w:val="none"/>
              </w:rPr>
            </w:pPr>
            <w:r>
              <w:rPr>
                <w:rFonts w:ascii="宋体" w:hAnsi="宋体"/>
                <w:sz w:val="24"/>
                <w:highlight w:val="none"/>
              </w:rPr>
              <w:t>不允许</w:t>
            </w:r>
          </w:p>
        </w:tc>
      </w:tr>
    </w:tbl>
    <w:p w14:paraId="3980A1C2">
      <w:pPr>
        <w:tabs>
          <w:tab w:val="left" w:pos="900"/>
          <w:tab w:val="left" w:pos="1080"/>
          <w:tab w:val="left" w:pos="1589"/>
        </w:tabs>
        <w:snapToGrid w:val="0"/>
        <w:spacing w:line="360" w:lineRule="auto"/>
        <w:rPr>
          <w:sz w:val="24"/>
          <w:highlight w:val="none"/>
        </w:rPr>
      </w:pPr>
    </w:p>
    <w:p w14:paraId="20402D10">
      <w:pPr>
        <w:numPr>
          <w:ilvl w:val="0"/>
          <w:numId w:val="23"/>
        </w:numPr>
        <w:tabs>
          <w:tab w:val="left" w:pos="360"/>
        </w:tabs>
        <w:snapToGrid w:val="0"/>
        <w:spacing w:line="360" w:lineRule="auto"/>
        <w:rPr>
          <w:sz w:val="24"/>
          <w:highlight w:val="none"/>
        </w:rPr>
      </w:pPr>
      <w:r>
        <w:rPr>
          <w:sz w:val="24"/>
          <w:highlight w:val="none"/>
        </w:rPr>
        <w:t>磋商、响应文件有关事项的澄清、说明或者更正和最后报价</w:t>
      </w:r>
    </w:p>
    <w:p w14:paraId="669988E7">
      <w:pPr>
        <w:numPr>
          <w:ilvl w:val="1"/>
          <w:numId w:val="23"/>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6E974BA8">
      <w:pPr>
        <w:numPr>
          <w:ilvl w:val="1"/>
          <w:numId w:val="23"/>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01A1126">
      <w:pPr>
        <w:numPr>
          <w:ilvl w:val="1"/>
          <w:numId w:val="23"/>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49F3F62E">
      <w:pPr>
        <w:numPr>
          <w:ilvl w:val="1"/>
          <w:numId w:val="23"/>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7E6014FF">
      <w:pPr>
        <w:numPr>
          <w:ilvl w:val="1"/>
          <w:numId w:val="23"/>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3B06DA89">
      <w:pPr>
        <w:numPr>
          <w:ilvl w:val="2"/>
          <w:numId w:val="23"/>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531EBE54">
      <w:pPr>
        <w:numPr>
          <w:ilvl w:val="2"/>
          <w:numId w:val="23"/>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highlight w:val="none"/>
        </w:rPr>
        <w:t>无效处理</w:t>
      </w:r>
      <w:r>
        <w:rPr>
          <w:sz w:val="24"/>
          <w:highlight w:val="none"/>
        </w:rPr>
        <w:t>。</w:t>
      </w:r>
    </w:p>
    <w:p w14:paraId="14CF1157">
      <w:pPr>
        <w:numPr>
          <w:ilvl w:val="2"/>
          <w:numId w:val="23"/>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57CCFF8C">
      <w:pPr>
        <w:numPr>
          <w:ilvl w:val="1"/>
          <w:numId w:val="23"/>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22B8F6C9">
      <w:pPr>
        <w:numPr>
          <w:ilvl w:val="1"/>
          <w:numId w:val="23"/>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1AC6BBE">
      <w:pPr>
        <w:numPr>
          <w:ilvl w:val="1"/>
          <w:numId w:val="23"/>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085EC37A">
      <w:pPr>
        <w:numPr>
          <w:ilvl w:val="1"/>
          <w:numId w:val="23"/>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667F3EE7">
      <w:pPr>
        <w:numPr>
          <w:ilvl w:val="0"/>
          <w:numId w:val="23"/>
        </w:numPr>
        <w:tabs>
          <w:tab w:val="left" w:pos="360"/>
        </w:tabs>
        <w:snapToGrid w:val="0"/>
        <w:spacing w:line="360" w:lineRule="auto"/>
        <w:rPr>
          <w:sz w:val="24"/>
          <w:highlight w:val="none"/>
        </w:rPr>
      </w:pPr>
      <w:r>
        <w:rPr>
          <w:sz w:val="24"/>
          <w:highlight w:val="none"/>
        </w:rPr>
        <w:t>最后报价的算术修正及政策调整</w:t>
      </w:r>
    </w:p>
    <w:p w14:paraId="1FC68894">
      <w:pPr>
        <w:numPr>
          <w:ilvl w:val="1"/>
          <w:numId w:val="23"/>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46C71B10">
      <w:pPr>
        <w:numPr>
          <w:ilvl w:val="1"/>
          <w:numId w:val="23"/>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6F877B77">
      <w:pPr>
        <w:numPr>
          <w:ilvl w:val="2"/>
          <w:numId w:val="23"/>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385848B4">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05F3BE34">
      <w:pPr>
        <w:tabs>
          <w:tab w:val="left" w:pos="1080"/>
          <w:tab w:val="left" w:pos="1589"/>
          <w:tab w:val="left" w:pos="2035"/>
          <w:tab w:val="left" w:pos="2114"/>
        </w:tabs>
        <w:snapToGrid w:val="0"/>
        <w:spacing w:line="360" w:lineRule="auto"/>
        <w:ind w:left="2035"/>
        <w:rPr>
          <w:sz w:val="24"/>
          <w:highlight w:val="none"/>
        </w:rPr>
      </w:pPr>
      <w:r>
        <w:rPr>
          <w:b/>
          <w:sz w:val="22"/>
          <w:highlight w:val="none"/>
        </w:rPr>
        <w:t>■</w:t>
      </w:r>
      <w:r>
        <w:rPr>
          <w:sz w:val="24"/>
          <w:highlight w:val="none"/>
        </w:rPr>
        <w:t>无，按下述3.2.2-3.2.5项规定修正。</w:t>
      </w:r>
    </w:p>
    <w:p w14:paraId="6912B72E">
      <w:pPr>
        <w:numPr>
          <w:ilvl w:val="2"/>
          <w:numId w:val="23"/>
        </w:numPr>
        <w:tabs>
          <w:tab w:val="left" w:pos="2035"/>
          <w:tab w:val="left" w:pos="2114"/>
          <w:tab w:val="left" w:pos="2977"/>
        </w:tabs>
        <w:snapToGrid w:val="0"/>
        <w:spacing w:line="360" w:lineRule="auto"/>
        <w:ind w:left="2035"/>
        <w:rPr>
          <w:sz w:val="24"/>
          <w:highlight w:val="none"/>
        </w:rPr>
      </w:pPr>
      <w:r>
        <w:rPr>
          <w:sz w:val="24"/>
          <w:highlight w:val="none"/>
        </w:rPr>
        <w:t>大写金额和小写金额不一致的，以大写金额为准；</w:t>
      </w:r>
    </w:p>
    <w:p w14:paraId="4E57B7F1">
      <w:pPr>
        <w:numPr>
          <w:ilvl w:val="2"/>
          <w:numId w:val="23"/>
        </w:numPr>
        <w:tabs>
          <w:tab w:val="left" w:pos="2035"/>
          <w:tab w:val="left" w:pos="2114"/>
          <w:tab w:val="left" w:pos="2977"/>
        </w:tabs>
        <w:snapToGrid w:val="0"/>
        <w:spacing w:line="360" w:lineRule="auto"/>
        <w:ind w:left="2035"/>
        <w:rPr>
          <w:sz w:val="24"/>
          <w:highlight w:val="none"/>
        </w:rPr>
      </w:pPr>
      <w:r>
        <w:rPr>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sz w:val="24"/>
          <w:highlight w:val="none"/>
        </w:rPr>
        <w:t>；</w:t>
      </w:r>
    </w:p>
    <w:p w14:paraId="601325E7">
      <w:pPr>
        <w:numPr>
          <w:ilvl w:val="2"/>
          <w:numId w:val="23"/>
        </w:numPr>
        <w:tabs>
          <w:tab w:val="left" w:pos="2035"/>
          <w:tab w:val="left" w:pos="2114"/>
          <w:tab w:val="left" w:pos="2977"/>
        </w:tabs>
        <w:snapToGrid w:val="0"/>
        <w:spacing w:line="360" w:lineRule="auto"/>
        <w:ind w:left="2035"/>
        <w:rPr>
          <w:sz w:val="24"/>
          <w:highlight w:val="none"/>
        </w:rPr>
      </w:pPr>
      <w:r>
        <w:rPr>
          <w:sz w:val="24"/>
          <w:highlight w:val="none"/>
        </w:rPr>
        <w:t>总价金额与按单价汇总金额不一致的，以单价金额计算结果为准。</w:t>
      </w:r>
    </w:p>
    <w:p w14:paraId="01E7A6AF">
      <w:pPr>
        <w:numPr>
          <w:ilvl w:val="2"/>
          <w:numId w:val="23"/>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75580447">
      <w:pPr>
        <w:numPr>
          <w:ilvl w:val="1"/>
          <w:numId w:val="23"/>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3F54F193">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w:t>
      </w:r>
      <w:r>
        <w:rPr>
          <w:sz w:val="24"/>
          <w:highlight w:val="none"/>
          <w:u w:val="single"/>
        </w:rPr>
        <w:t>%</w:t>
      </w:r>
      <w:r>
        <w:rPr>
          <w:sz w:val="24"/>
          <w:highlight w:val="none"/>
        </w:rPr>
        <w:t>的扣除，用扣除后的价格参加评审。</w:t>
      </w:r>
    </w:p>
    <w:p w14:paraId="3FF2CDD1">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3</w:t>
      </w:r>
      <w:r>
        <w:rPr>
          <w:sz w:val="24"/>
          <w:highlight w:val="none"/>
          <w:u w:val="single"/>
        </w:rPr>
        <w:t>%</w:t>
      </w:r>
      <w:r>
        <w:rPr>
          <w:sz w:val="24"/>
          <w:highlight w:val="none"/>
        </w:rPr>
        <w:t>的扣除，用扣除后的价格参加评审。</w:t>
      </w:r>
    </w:p>
    <w:p w14:paraId="04751457">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6529F8A2">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07FBF441">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中小企业参加政府采购活动，应当按照竞争性磋商文件给定的格式出具《中小企业声明函》，否则不得享受相关中小企业扶持政策。</w:t>
      </w:r>
    </w:p>
    <w:p w14:paraId="55D06050">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13259917">
      <w:pPr>
        <w:numPr>
          <w:ilvl w:val="2"/>
          <w:numId w:val="23"/>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5F521CCE">
      <w:pPr>
        <w:numPr>
          <w:ilvl w:val="2"/>
          <w:numId w:val="23"/>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0976A3CA">
      <w:pPr>
        <w:numPr>
          <w:ilvl w:val="2"/>
          <w:numId w:val="23"/>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rFonts w:hint="eastAsia"/>
          <w:sz w:val="24"/>
          <w:highlight w:val="none"/>
          <w:u w:val="single"/>
        </w:rPr>
        <w:t xml:space="preserve">  /  </w:t>
      </w:r>
      <w:r>
        <w:rPr>
          <w:sz w:val="24"/>
          <w:highlight w:val="none"/>
        </w:rPr>
        <w:t>。</w:t>
      </w:r>
    </w:p>
    <w:p w14:paraId="1CFACAA2">
      <w:pPr>
        <w:numPr>
          <w:ilvl w:val="0"/>
          <w:numId w:val="23"/>
        </w:numPr>
        <w:tabs>
          <w:tab w:val="left" w:pos="360"/>
        </w:tabs>
        <w:snapToGrid w:val="0"/>
        <w:spacing w:line="360" w:lineRule="auto"/>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47AEB2D3">
      <w:pPr>
        <w:numPr>
          <w:ilvl w:val="1"/>
          <w:numId w:val="23"/>
        </w:numPr>
        <w:tabs>
          <w:tab w:val="left" w:pos="1080"/>
        </w:tabs>
        <w:snapToGrid w:val="0"/>
        <w:spacing w:line="360" w:lineRule="auto"/>
        <w:ind w:left="1077" w:hanging="720"/>
        <w:rPr>
          <w:sz w:val="24"/>
          <w:highlight w:val="none"/>
        </w:rPr>
      </w:pPr>
      <w:r>
        <w:rPr>
          <w:sz w:val="24"/>
          <w:highlight w:val="none"/>
        </w:rPr>
        <w:t>供应商对实质性变动不予确认的；</w:t>
      </w:r>
    </w:p>
    <w:p w14:paraId="0B65D4BC">
      <w:pPr>
        <w:numPr>
          <w:ilvl w:val="1"/>
          <w:numId w:val="23"/>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4C27B9C2">
      <w:pPr>
        <w:numPr>
          <w:ilvl w:val="1"/>
          <w:numId w:val="23"/>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12D0656F">
      <w:pPr>
        <w:numPr>
          <w:ilvl w:val="1"/>
          <w:numId w:val="23"/>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7C512C2E">
      <w:pPr>
        <w:numPr>
          <w:ilvl w:val="1"/>
          <w:numId w:val="23"/>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24FB5136">
      <w:pPr>
        <w:numPr>
          <w:ilvl w:val="1"/>
          <w:numId w:val="23"/>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0F02A447">
      <w:pPr>
        <w:numPr>
          <w:ilvl w:val="1"/>
          <w:numId w:val="23"/>
        </w:numPr>
        <w:tabs>
          <w:tab w:val="left" w:pos="1080"/>
        </w:tabs>
        <w:snapToGrid w:val="0"/>
        <w:spacing w:line="360" w:lineRule="auto"/>
        <w:ind w:left="1077" w:hanging="720"/>
        <w:rPr>
          <w:sz w:val="24"/>
          <w:highlight w:val="none"/>
        </w:rPr>
      </w:pPr>
      <w:r>
        <w:rPr>
          <w:sz w:val="24"/>
          <w:highlight w:val="none"/>
        </w:rPr>
        <w:t>其他：</w:t>
      </w:r>
      <w:r>
        <w:rPr>
          <w:rFonts w:hint="eastAsia"/>
          <w:sz w:val="24"/>
          <w:highlight w:val="none"/>
          <w:u w:val="single"/>
        </w:rPr>
        <w:t>未按照按磋商小组的要求签署、盖章的</w:t>
      </w:r>
      <w:r>
        <w:rPr>
          <w:rFonts w:hint="eastAsia"/>
          <w:sz w:val="24"/>
          <w:highlight w:val="none"/>
        </w:rPr>
        <w:t>；</w:t>
      </w:r>
    </w:p>
    <w:p w14:paraId="5FD7EA4E">
      <w:pPr>
        <w:tabs>
          <w:tab w:val="left" w:pos="1080"/>
          <w:tab w:val="left" w:pos="1589"/>
        </w:tabs>
        <w:snapToGrid w:val="0"/>
        <w:spacing w:line="360" w:lineRule="auto"/>
        <w:ind w:left="1077" w:leftChars="513" w:firstLine="720" w:firstLineChars="300"/>
        <w:rPr>
          <w:sz w:val="24"/>
          <w:highlight w:val="none"/>
        </w:rPr>
      </w:pPr>
      <w:r>
        <w:rPr>
          <w:sz w:val="24"/>
          <w:highlight w:val="none"/>
          <w:u w:val="single"/>
        </w:rPr>
        <w:t>不符合法律、法规和磋商文件中规定的其他实质性要求的</w:t>
      </w:r>
      <w:r>
        <w:rPr>
          <w:sz w:val="24"/>
          <w:highlight w:val="none"/>
        </w:rPr>
        <w:t>。</w:t>
      </w:r>
    </w:p>
    <w:bookmarkEnd w:id="624"/>
    <w:bookmarkEnd w:id="625"/>
    <w:p w14:paraId="093B56E1">
      <w:pPr>
        <w:numPr>
          <w:ilvl w:val="0"/>
          <w:numId w:val="23"/>
        </w:numPr>
        <w:tabs>
          <w:tab w:val="left" w:pos="360"/>
        </w:tabs>
        <w:snapToGrid w:val="0"/>
        <w:spacing w:line="360" w:lineRule="auto"/>
        <w:rPr>
          <w:sz w:val="24"/>
          <w:highlight w:val="none"/>
        </w:rPr>
      </w:pPr>
      <w:r>
        <w:rPr>
          <w:sz w:val="24"/>
          <w:highlight w:val="none"/>
        </w:rPr>
        <w:t>评审方法和评审标准</w:t>
      </w:r>
    </w:p>
    <w:p w14:paraId="31C3CEE6">
      <w:pPr>
        <w:numPr>
          <w:ilvl w:val="1"/>
          <w:numId w:val="23"/>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6398036">
      <w:pPr>
        <w:numPr>
          <w:ilvl w:val="1"/>
          <w:numId w:val="23"/>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76ECBA81">
      <w:pPr>
        <w:numPr>
          <w:ilvl w:val="1"/>
          <w:numId w:val="23"/>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u w:val="single"/>
        </w:rPr>
        <w:t xml:space="preserve">  /  </w:t>
      </w:r>
      <w:r>
        <w:rPr>
          <w:sz w:val="24"/>
          <w:highlight w:val="none"/>
        </w:rPr>
        <w:t>。</w:t>
      </w:r>
    </w:p>
    <w:p w14:paraId="799244C0">
      <w:pPr>
        <w:numPr>
          <w:ilvl w:val="1"/>
          <w:numId w:val="23"/>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rFonts w:hint="eastAsia"/>
          <w:sz w:val="24"/>
          <w:highlight w:val="none"/>
          <w:u w:val="single"/>
        </w:rPr>
        <w:t xml:space="preserve">  /  </w:t>
      </w:r>
      <w:r>
        <w:rPr>
          <w:sz w:val="24"/>
          <w:highlight w:val="none"/>
        </w:rPr>
        <w:t>。</w:t>
      </w:r>
    </w:p>
    <w:p w14:paraId="32611ADD">
      <w:pPr>
        <w:numPr>
          <w:ilvl w:val="0"/>
          <w:numId w:val="23"/>
        </w:numPr>
        <w:tabs>
          <w:tab w:val="left" w:pos="360"/>
        </w:tabs>
        <w:snapToGrid w:val="0"/>
        <w:spacing w:line="360" w:lineRule="auto"/>
        <w:rPr>
          <w:sz w:val="24"/>
          <w:highlight w:val="none"/>
        </w:rPr>
      </w:pPr>
      <w:r>
        <w:rPr>
          <w:sz w:val="24"/>
          <w:highlight w:val="none"/>
        </w:rPr>
        <w:t>确定</w:t>
      </w:r>
      <w:bookmarkStart w:id="642" w:name="_Ref467307010"/>
      <w:bookmarkStart w:id="643" w:name="_Toc164351640"/>
      <w:bookmarkStart w:id="644" w:name="_Toc149720839"/>
      <w:bookmarkStart w:id="645" w:name="_Toc226337242"/>
      <w:bookmarkStart w:id="646" w:name="_Toc127161460"/>
      <w:bookmarkStart w:id="647" w:name="_Toc305158888"/>
      <w:bookmarkStart w:id="648" w:name="_Toc151190173"/>
      <w:bookmarkStart w:id="649" w:name="_Toc164229387"/>
      <w:bookmarkStart w:id="650" w:name="_Toc305158814"/>
      <w:bookmarkStart w:id="651" w:name="_Toc150774646"/>
      <w:bookmarkStart w:id="652" w:name="_Toc195842911"/>
      <w:bookmarkStart w:id="653" w:name="_Toc226965736"/>
      <w:bookmarkStart w:id="654" w:name="_Toc151193788"/>
      <w:bookmarkStart w:id="655" w:name="_Toc150480784"/>
      <w:bookmarkStart w:id="656" w:name="_Toc520356170"/>
      <w:bookmarkStart w:id="657" w:name="_Toc164608660"/>
      <w:bookmarkStart w:id="658" w:name="_Toc151193644"/>
      <w:bookmarkStart w:id="659" w:name="_Toc164229241"/>
      <w:bookmarkStart w:id="660" w:name="_Toc127151546"/>
      <w:bookmarkStart w:id="661" w:name="_Toc127151747"/>
      <w:bookmarkStart w:id="662" w:name="_Toc150774751"/>
      <w:bookmarkStart w:id="663" w:name="_Toc151193860"/>
      <w:bookmarkStart w:id="664" w:name="_Toc226965819"/>
      <w:bookmarkStart w:id="665" w:name="_Toc151193934"/>
      <w:bookmarkStart w:id="666" w:name="_Toc265228384"/>
      <w:bookmarkStart w:id="667" w:name="_Toc150509297"/>
      <w:bookmarkStart w:id="668" w:name="_Toc151193716"/>
      <w:bookmarkStart w:id="669" w:name="_Toc142311048"/>
      <w:bookmarkStart w:id="670" w:name="_Toc264969236"/>
      <w:bookmarkStart w:id="671" w:name="_Toc226309790"/>
      <w:bookmarkStart w:id="672" w:name="_Toc164608815"/>
      <w:r>
        <w:rPr>
          <w:sz w:val="24"/>
          <w:highlight w:val="none"/>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435900C">
      <w:pPr>
        <w:numPr>
          <w:ilvl w:val="1"/>
          <w:numId w:val="23"/>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F6DA672">
      <w:pPr>
        <w:numPr>
          <w:ilvl w:val="1"/>
          <w:numId w:val="23"/>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eastAsia"/>
          <w:kern w:val="0"/>
          <w:sz w:val="24"/>
          <w:szCs w:val="20"/>
          <w:highlight w:val="none"/>
          <w:u w:val="single"/>
        </w:rPr>
        <w:t xml:space="preserve">  </w:t>
      </w:r>
      <w:r>
        <w:rPr>
          <w:rFonts w:hint="eastAsia"/>
          <w:sz w:val="24"/>
          <w:highlight w:val="none"/>
          <w:u w:val="single"/>
        </w:rPr>
        <w:t xml:space="preserve">3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61B0933E">
      <w:pPr>
        <w:numPr>
          <w:ilvl w:val="1"/>
          <w:numId w:val="23"/>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6A073263">
      <w:pPr>
        <w:numPr>
          <w:ilvl w:val="0"/>
          <w:numId w:val="23"/>
        </w:numPr>
        <w:tabs>
          <w:tab w:val="left" w:pos="360"/>
        </w:tabs>
        <w:snapToGrid w:val="0"/>
        <w:spacing w:line="360" w:lineRule="auto"/>
        <w:rPr>
          <w:sz w:val="24"/>
          <w:highlight w:val="none"/>
        </w:rPr>
      </w:pPr>
      <w:r>
        <w:rPr>
          <w:sz w:val="24"/>
          <w:highlight w:val="none"/>
        </w:rPr>
        <w:t>报告违法行为</w:t>
      </w:r>
    </w:p>
    <w:p w14:paraId="09B4E262">
      <w:pPr>
        <w:widowControl/>
        <w:numPr>
          <w:ilvl w:val="1"/>
          <w:numId w:val="23"/>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62266D7B">
      <w:pPr>
        <w:pStyle w:val="5"/>
        <w:spacing w:before="0" w:line="360" w:lineRule="auto"/>
        <w:rPr>
          <w:rFonts w:hint="eastAsia" w:ascii="Times New Roman" w:hAnsi="Times New Roman" w:eastAsia="宋体"/>
          <w:sz w:val="24"/>
          <w:szCs w:val="24"/>
          <w:highlight w:val="none"/>
        </w:rPr>
      </w:pPr>
      <w:r>
        <w:rPr>
          <w:rFonts w:ascii="Times New Roman" w:hAnsi="Times New Roman" w:eastAsia="宋体"/>
          <w:sz w:val="24"/>
          <w:szCs w:val="24"/>
          <w:highlight w:val="none"/>
        </w:rPr>
        <w:t>二、评</w:t>
      </w:r>
      <w:r>
        <w:rPr>
          <w:rFonts w:hint="eastAsia" w:ascii="Times New Roman" w:hAnsi="Times New Roman" w:eastAsia="宋体"/>
          <w:sz w:val="24"/>
          <w:szCs w:val="24"/>
          <w:highlight w:val="none"/>
        </w:rPr>
        <w:t>审</w:t>
      </w:r>
      <w:r>
        <w:rPr>
          <w:rFonts w:ascii="Times New Roman" w:hAnsi="Times New Roman" w:eastAsia="宋体"/>
          <w:sz w:val="24"/>
          <w:szCs w:val="24"/>
          <w:highlight w:val="none"/>
        </w:rPr>
        <w:t>标准</w:t>
      </w:r>
    </w:p>
    <w:p w14:paraId="1D46EE1A">
      <w:pPr>
        <w:pStyle w:val="6"/>
        <w:rPr>
          <w:highlight w:val="none"/>
        </w:rPr>
      </w:pP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98"/>
        <w:gridCol w:w="5670"/>
        <w:gridCol w:w="1045"/>
      </w:tblGrid>
      <w:tr w14:paraId="6079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7" w:type="dxa"/>
            <w:noWrap w:val="0"/>
            <w:vAlign w:val="center"/>
          </w:tcPr>
          <w:p w14:paraId="79B67BA7">
            <w:pPr>
              <w:jc w:val="center"/>
              <w:rPr>
                <w:rFonts w:hint="eastAsia" w:ascii="宋体" w:hAnsi="宋体"/>
                <w:b/>
                <w:sz w:val="24"/>
                <w:highlight w:val="none"/>
              </w:rPr>
            </w:pPr>
            <w:r>
              <w:rPr>
                <w:rFonts w:hint="eastAsia" w:ascii="宋体" w:hAnsi="宋体"/>
                <w:b/>
                <w:sz w:val="24"/>
                <w:highlight w:val="none"/>
              </w:rPr>
              <w:t>一</w:t>
            </w:r>
          </w:p>
        </w:tc>
        <w:tc>
          <w:tcPr>
            <w:tcW w:w="8413" w:type="dxa"/>
            <w:gridSpan w:val="3"/>
            <w:noWrap w:val="0"/>
            <w:vAlign w:val="center"/>
          </w:tcPr>
          <w:p w14:paraId="1A85D5B1">
            <w:pPr>
              <w:rPr>
                <w:rFonts w:hint="eastAsia" w:ascii="宋体" w:hAnsi="宋体"/>
                <w:b/>
                <w:sz w:val="24"/>
                <w:highlight w:val="none"/>
              </w:rPr>
            </w:pPr>
            <w:r>
              <w:rPr>
                <w:rFonts w:hint="eastAsia" w:ascii="宋体" w:hAnsi="宋体"/>
                <w:b/>
                <w:sz w:val="24"/>
                <w:highlight w:val="none"/>
              </w:rPr>
              <w:t>价格评分（</w:t>
            </w:r>
            <w:r>
              <w:rPr>
                <w:rFonts w:ascii="宋体" w:hAnsi="宋体"/>
                <w:b/>
                <w:sz w:val="24"/>
                <w:highlight w:val="none"/>
              </w:rPr>
              <w:t>10</w:t>
            </w:r>
            <w:r>
              <w:rPr>
                <w:rFonts w:hint="eastAsia" w:ascii="宋体" w:hAnsi="宋体"/>
                <w:b/>
                <w:sz w:val="24"/>
                <w:highlight w:val="none"/>
              </w:rPr>
              <w:t>分）</w:t>
            </w:r>
          </w:p>
        </w:tc>
      </w:tr>
      <w:tr w14:paraId="70D7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67" w:type="dxa"/>
            <w:noWrap w:val="0"/>
            <w:vAlign w:val="center"/>
          </w:tcPr>
          <w:p w14:paraId="76BD08B6">
            <w:pPr>
              <w:jc w:val="center"/>
              <w:rPr>
                <w:rFonts w:hint="eastAsia" w:ascii="宋体" w:hAnsi="宋体"/>
                <w:b/>
                <w:sz w:val="24"/>
                <w:highlight w:val="none"/>
              </w:rPr>
            </w:pPr>
            <w:r>
              <w:rPr>
                <w:rFonts w:hint="eastAsia" w:ascii="宋体" w:hAnsi="宋体"/>
                <w:b/>
                <w:sz w:val="24"/>
                <w:highlight w:val="none"/>
              </w:rPr>
              <w:t>1</w:t>
            </w:r>
          </w:p>
        </w:tc>
        <w:tc>
          <w:tcPr>
            <w:tcW w:w="1698" w:type="dxa"/>
            <w:noWrap w:val="0"/>
            <w:vAlign w:val="center"/>
          </w:tcPr>
          <w:p w14:paraId="4AA3C6CF">
            <w:pPr>
              <w:jc w:val="center"/>
              <w:rPr>
                <w:rFonts w:hint="eastAsia" w:ascii="宋体" w:hAnsi="宋体"/>
                <w:b/>
                <w:sz w:val="24"/>
                <w:highlight w:val="none"/>
              </w:rPr>
            </w:pPr>
            <w:r>
              <w:rPr>
                <w:rFonts w:hint="eastAsia" w:ascii="宋体" w:hAnsi="宋体"/>
                <w:b/>
                <w:sz w:val="24"/>
                <w:highlight w:val="none"/>
              </w:rPr>
              <w:t>报价</w:t>
            </w:r>
          </w:p>
        </w:tc>
        <w:tc>
          <w:tcPr>
            <w:tcW w:w="5670" w:type="dxa"/>
            <w:noWrap w:val="0"/>
            <w:vAlign w:val="center"/>
          </w:tcPr>
          <w:p w14:paraId="153C1EDC">
            <w:pPr>
              <w:spacing w:line="360" w:lineRule="auto"/>
              <w:rPr>
                <w:rFonts w:hint="eastAsia" w:ascii="宋体" w:hAnsi="宋体"/>
                <w:sz w:val="24"/>
                <w:highlight w:val="none"/>
              </w:rPr>
            </w:pPr>
            <w:r>
              <w:rPr>
                <w:rFonts w:hint="eastAsia" w:ascii="宋体" w:hAnsi="宋体"/>
                <w:sz w:val="24"/>
                <w:highlight w:val="none"/>
              </w:rPr>
              <w:t>综合评分法中的价格分统一采用低价优先法计算，即满足磋商文件要求且最后报价最低的供应商的价格为磋商基准价，其报价分为满分</w:t>
            </w:r>
            <w:r>
              <w:rPr>
                <w:rFonts w:ascii="宋体" w:hAnsi="宋体"/>
                <w:sz w:val="24"/>
                <w:highlight w:val="none"/>
              </w:rPr>
              <w:t>10</w:t>
            </w:r>
            <w:r>
              <w:rPr>
                <w:rFonts w:hint="eastAsia" w:ascii="宋体" w:hAnsi="宋体"/>
                <w:sz w:val="24"/>
                <w:highlight w:val="none"/>
              </w:rPr>
              <w:t>分。其他供应商的得分统一按照下列公式计算：</w:t>
            </w:r>
          </w:p>
          <w:p w14:paraId="1972A942">
            <w:pPr>
              <w:spacing w:line="360" w:lineRule="auto"/>
              <w:rPr>
                <w:rFonts w:hint="eastAsia" w:hAnsi="宋体"/>
                <w:sz w:val="24"/>
                <w:highlight w:val="none"/>
              </w:rPr>
            </w:pPr>
            <w:r>
              <w:rPr>
                <w:rFonts w:hint="eastAsia" w:ascii="宋体" w:hAnsi="宋体"/>
                <w:sz w:val="24"/>
                <w:highlight w:val="none"/>
              </w:rPr>
              <w:t>磋商报价得分=(磋商基准价／供应商最终磋商报价)×</w:t>
            </w:r>
            <w:r>
              <w:rPr>
                <w:rFonts w:ascii="宋体" w:hAnsi="宋体"/>
                <w:sz w:val="24"/>
                <w:highlight w:val="none"/>
              </w:rPr>
              <w:t>10</w:t>
            </w:r>
          </w:p>
        </w:tc>
        <w:tc>
          <w:tcPr>
            <w:tcW w:w="1045" w:type="dxa"/>
            <w:noWrap w:val="0"/>
            <w:vAlign w:val="center"/>
          </w:tcPr>
          <w:p w14:paraId="5CCD9BBB">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10</w:t>
            </w:r>
          </w:p>
        </w:tc>
      </w:tr>
      <w:tr w14:paraId="21C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noWrap w:val="0"/>
            <w:vAlign w:val="center"/>
          </w:tcPr>
          <w:p w14:paraId="59D7B371">
            <w:pPr>
              <w:jc w:val="center"/>
              <w:rPr>
                <w:rFonts w:hint="eastAsia" w:ascii="宋体" w:hAnsi="宋体"/>
                <w:b/>
                <w:sz w:val="24"/>
                <w:highlight w:val="none"/>
              </w:rPr>
            </w:pPr>
            <w:r>
              <w:rPr>
                <w:rFonts w:hint="eastAsia" w:ascii="宋体" w:hAnsi="宋体"/>
                <w:b/>
                <w:sz w:val="24"/>
                <w:highlight w:val="none"/>
              </w:rPr>
              <w:t>二</w:t>
            </w:r>
          </w:p>
        </w:tc>
        <w:tc>
          <w:tcPr>
            <w:tcW w:w="8413" w:type="dxa"/>
            <w:gridSpan w:val="3"/>
            <w:noWrap w:val="0"/>
            <w:vAlign w:val="center"/>
          </w:tcPr>
          <w:p w14:paraId="78E2FCD6">
            <w:pPr>
              <w:rPr>
                <w:rFonts w:hint="eastAsia" w:ascii="宋体" w:hAnsi="宋体"/>
                <w:b/>
                <w:sz w:val="24"/>
                <w:highlight w:val="none"/>
              </w:rPr>
            </w:pPr>
            <w:r>
              <w:rPr>
                <w:rFonts w:hint="eastAsia" w:ascii="宋体" w:hAnsi="宋体"/>
                <w:b/>
                <w:sz w:val="24"/>
                <w:highlight w:val="none"/>
              </w:rPr>
              <w:t>施工组织（60分）</w:t>
            </w:r>
          </w:p>
        </w:tc>
      </w:tr>
      <w:tr w14:paraId="09D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7" w:type="dxa"/>
            <w:vMerge w:val="restart"/>
            <w:noWrap w:val="0"/>
            <w:vAlign w:val="center"/>
          </w:tcPr>
          <w:p w14:paraId="62D242E5">
            <w:pPr>
              <w:jc w:val="center"/>
              <w:rPr>
                <w:rFonts w:hint="eastAsia" w:ascii="宋体" w:hAnsi="宋体"/>
                <w:b/>
                <w:sz w:val="24"/>
                <w:highlight w:val="none"/>
              </w:rPr>
            </w:pPr>
            <w:r>
              <w:rPr>
                <w:rFonts w:hint="eastAsia" w:ascii="宋体" w:hAnsi="宋体"/>
                <w:b/>
                <w:sz w:val="24"/>
                <w:highlight w:val="none"/>
              </w:rPr>
              <w:t>1</w:t>
            </w:r>
          </w:p>
        </w:tc>
        <w:tc>
          <w:tcPr>
            <w:tcW w:w="1698" w:type="dxa"/>
            <w:vMerge w:val="restart"/>
            <w:noWrap w:val="0"/>
            <w:vAlign w:val="center"/>
          </w:tcPr>
          <w:p w14:paraId="016E19B0">
            <w:pPr>
              <w:rPr>
                <w:rFonts w:hint="eastAsia" w:ascii="宋体" w:hAnsi="宋体"/>
                <w:b/>
                <w:sz w:val="24"/>
                <w:highlight w:val="none"/>
              </w:rPr>
            </w:pPr>
            <w:r>
              <w:rPr>
                <w:rFonts w:hint="eastAsia" w:ascii="宋体" w:hAnsi="宋体"/>
                <w:b/>
                <w:sz w:val="24"/>
                <w:highlight w:val="none"/>
              </w:rPr>
              <w:t>施工总进度计划及保障措施</w:t>
            </w:r>
          </w:p>
        </w:tc>
        <w:tc>
          <w:tcPr>
            <w:tcW w:w="5670" w:type="dxa"/>
            <w:noWrap w:val="0"/>
            <w:vAlign w:val="center"/>
          </w:tcPr>
          <w:p w14:paraId="2E0954C2">
            <w:pPr>
              <w:rPr>
                <w:rFonts w:hint="eastAsia" w:ascii="宋体" w:hAnsi="宋体"/>
                <w:sz w:val="24"/>
                <w:highlight w:val="none"/>
              </w:rPr>
            </w:pPr>
            <w:r>
              <w:rPr>
                <w:rFonts w:hint="eastAsia" w:ascii="宋体" w:hAnsi="宋体"/>
                <w:sz w:val="24"/>
                <w:highlight w:val="none"/>
              </w:rPr>
              <w:t>计划合理、措施有力，根据项目特点最大限度满足建设要求，得8分；</w:t>
            </w:r>
          </w:p>
        </w:tc>
        <w:tc>
          <w:tcPr>
            <w:tcW w:w="1045" w:type="dxa"/>
            <w:vMerge w:val="restart"/>
            <w:noWrap w:val="0"/>
            <w:vAlign w:val="center"/>
          </w:tcPr>
          <w:p w14:paraId="14FE6850">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8</w:t>
            </w:r>
          </w:p>
        </w:tc>
      </w:tr>
      <w:tr w14:paraId="3450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75AA5082">
            <w:pPr>
              <w:jc w:val="center"/>
              <w:rPr>
                <w:rFonts w:hint="eastAsia" w:ascii="宋体" w:hAnsi="宋体"/>
                <w:b/>
                <w:sz w:val="24"/>
                <w:highlight w:val="none"/>
              </w:rPr>
            </w:pPr>
          </w:p>
        </w:tc>
        <w:tc>
          <w:tcPr>
            <w:tcW w:w="1698" w:type="dxa"/>
            <w:vMerge w:val="continue"/>
            <w:noWrap w:val="0"/>
            <w:vAlign w:val="center"/>
          </w:tcPr>
          <w:p w14:paraId="576DD415">
            <w:pPr>
              <w:rPr>
                <w:rFonts w:hint="eastAsia" w:ascii="宋体" w:hAnsi="宋体"/>
                <w:b/>
                <w:sz w:val="24"/>
                <w:highlight w:val="none"/>
              </w:rPr>
            </w:pPr>
          </w:p>
        </w:tc>
        <w:tc>
          <w:tcPr>
            <w:tcW w:w="5670" w:type="dxa"/>
            <w:noWrap w:val="0"/>
            <w:vAlign w:val="center"/>
          </w:tcPr>
          <w:p w14:paraId="21A271B7">
            <w:pPr>
              <w:rPr>
                <w:rFonts w:hint="eastAsia" w:ascii="宋体" w:hAnsi="宋体"/>
                <w:sz w:val="24"/>
                <w:highlight w:val="none"/>
              </w:rPr>
            </w:pPr>
            <w:r>
              <w:rPr>
                <w:rFonts w:hint="eastAsia" w:ascii="宋体" w:hAnsi="宋体"/>
                <w:sz w:val="24"/>
                <w:highlight w:val="none"/>
              </w:rPr>
              <w:t>计划、措施较合理，得6分；</w:t>
            </w:r>
          </w:p>
        </w:tc>
        <w:tc>
          <w:tcPr>
            <w:tcW w:w="1045" w:type="dxa"/>
            <w:vMerge w:val="continue"/>
            <w:noWrap w:val="0"/>
            <w:vAlign w:val="center"/>
          </w:tcPr>
          <w:p w14:paraId="70CB120F">
            <w:pPr>
              <w:jc w:val="center"/>
              <w:rPr>
                <w:rFonts w:hint="eastAsia" w:ascii="宋体" w:hAnsi="宋体"/>
                <w:sz w:val="24"/>
                <w:highlight w:val="none"/>
              </w:rPr>
            </w:pPr>
          </w:p>
        </w:tc>
      </w:tr>
      <w:tr w14:paraId="5B14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46EF3C19">
            <w:pPr>
              <w:jc w:val="center"/>
              <w:rPr>
                <w:rFonts w:hint="eastAsia" w:ascii="宋体" w:hAnsi="宋体"/>
                <w:b/>
                <w:sz w:val="24"/>
                <w:highlight w:val="none"/>
              </w:rPr>
            </w:pPr>
          </w:p>
        </w:tc>
        <w:tc>
          <w:tcPr>
            <w:tcW w:w="1698" w:type="dxa"/>
            <w:vMerge w:val="continue"/>
            <w:noWrap w:val="0"/>
            <w:vAlign w:val="center"/>
          </w:tcPr>
          <w:p w14:paraId="2EEDB44F">
            <w:pPr>
              <w:rPr>
                <w:rFonts w:hint="eastAsia" w:ascii="宋体" w:hAnsi="宋体"/>
                <w:b/>
                <w:sz w:val="24"/>
                <w:highlight w:val="none"/>
              </w:rPr>
            </w:pPr>
          </w:p>
        </w:tc>
        <w:tc>
          <w:tcPr>
            <w:tcW w:w="5670" w:type="dxa"/>
            <w:noWrap w:val="0"/>
            <w:vAlign w:val="center"/>
          </w:tcPr>
          <w:p w14:paraId="5293156A">
            <w:pPr>
              <w:rPr>
                <w:rFonts w:hint="eastAsia" w:ascii="宋体" w:hAnsi="宋体"/>
                <w:sz w:val="24"/>
                <w:highlight w:val="none"/>
              </w:rPr>
            </w:pPr>
            <w:r>
              <w:rPr>
                <w:rFonts w:hint="eastAsia" w:ascii="宋体" w:hAnsi="宋体"/>
                <w:sz w:val="24"/>
                <w:highlight w:val="none"/>
              </w:rPr>
              <w:t>计划、措施基本合理，得4分；</w:t>
            </w:r>
          </w:p>
        </w:tc>
        <w:tc>
          <w:tcPr>
            <w:tcW w:w="1045" w:type="dxa"/>
            <w:vMerge w:val="continue"/>
            <w:noWrap w:val="0"/>
            <w:vAlign w:val="center"/>
          </w:tcPr>
          <w:p w14:paraId="7D646206">
            <w:pPr>
              <w:jc w:val="center"/>
              <w:rPr>
                <w:rFonts w:hint="eastAsia" w:ascii="宋体" w:hAnsi="宋体"/>
                <w:sz w:val="24"/>
                <w:highlight w:val="none"/>
              </w:rPr>
            </w:pPr>
          </w:p>
        </w:tc>
      </w:tr>
      <w:tr w14:paraId="602F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2EC63771">
            <w:pPr>
              <w:jc w:val="center"/>
              <w:rPr>
                <w:rFonts w:hint="eastAsia" w:ascii="宋体" w:hAnsi="宋体"/>
                <w:b/>
                <w:sz w:val="24"/>
                <w:highlight w:val="none"/>
              </w:rPr>
            </w:pPr>
          </w:p>
        </w:tc>
        <w:tc>
          <w:tcPr>
            <w:tcW w:w="1698" w:type="dxa"/>
            <w:vMerge w:val="continue"/>
            <w:noWrap w:val="0"/>
            <w:vAlign w:val="center"/>
          </w:tcPr>
          <w:p w14:paraId="22C5334D">
            <w:pPr>
              <w:rPr>
                <w:rFonts w:hint="eastAsia" w:ascii="宋体" w:hAnsi="宋体"/>
                <w:b/>
                <w:sz w:val="24"/>
                <w:highlight w:val="none"/>
              </w:rPr>
            </w:pPr>
          </w:p>
        </w:tc>
        <w:tc>
          <w:tcPr>
            <w:tcW w:w="5670" w:type="dxa"/>
            <w:noWrap w:val="0"/>
            <w:vAlign w:val="center"/>
          </w:tcPr>
          <w:p w14:paraId="7225D2BA">
            <w:pPr>
              <w:rPr>
                <w:rFonts w:hint="eastAsia" w:ascii="宋体" w:hAnsi="宋体"/>
                <w:sz w:val="24"/>
                <w:highlight w:val="none"/>
              </w:rPr>
            </w:pPr>
            <w:r>
              <w:rPr>
                <w:rFonts w:hint="eastAsia" w:ascii="宋体" w:hAnsi="宋体"/>
                <w:sz w:val="24"/>
                <w:highlight w:val="none"/>
              </w:rPr>
              <w:t>计划措施欠合理，得2分。</w:t>
            </w:r>
          </w:p>
        </w:tc>
        <w:tc>
          <w:tcPr>
            <w:tcW w:w="1045" w:type="dxa"/>
            <w:vMerge w:val="continue"/>
            <w:noWrap w:val="0"/>
            <w:vAlign w:val="center"/>
          </w:tcPr>
          <w:p w14:paraId="3B60389A">
            <w:pPr>
              <w:jc w:val="center"/>
              <w:rPr>
                <w:rFonts w:hint="eastAsia" w:ascii="宋体" w:hAnsi="宋体"/>
                <w:sz w:val="24"/>
                <w:highlight w:val="none"/>
              </w:rPr>
            </w:pPr>
          </w:p>
        </w:tc>
      </w:tr>
      <w:tr w14:paraId="284D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0921758D">
            <w:pPr>
              <w:jc w:val="center"/>
              <w:rPr>
                <w:rFonts w:hint="eastAsia" w:ascii="宋体" w:hAnsi="宋体"/>
                <w:b/>
                <w:sz w:val="24"/>
                <w:highlight w:val="none"/>
              </w:rPr>
            </w:pPr>
          </w:p>
        </w:tc>
        <w:tc>
          <w:tcPr>
            <w:tcW w:w="1698" w:type="dxa"/>
            <w:vMerge w:val="continue"/>
            <w:noWrap w:val="0"/>
            <w:vAlign w:val="center"/>
          </w:tcPr>
          <w:p w14:paraId="74C10284">
            <w:pPr>
              <w:rPr>
                <w:rFonts w:hint="eastAsia" w:ascii="宋体" w:hAnsi="宋体"/>
                <w:b/>
                <w:sz w:val="24"/>
                <w:highlight w:val="none"/>
              </w:rPr>
            </w:pPr>
          </w:p>
        </w:tc>
        <w:tc>
          <w:tcPr>
            <w:tcW w:w="5670" w:type="dxa"/>
            <w:noWrap w:val="0"/>
            <w:vAlign w:val="center"/>
          </w:tcPr>
          <w:p w14:paraId="1B933688">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1DB663FC">
            <w:pPr>
              <w:jc w:val="center"/>
              <w:rPr>
                <w:rFonts w:hint="eastAsia" w:ascii="宋体" w:hAnsi="宋体"/>
                <w:sz w:val="24"/>
                <w:highlight w:val="none"/>
              </w:rPr>
            </w:pPr>
          </w:p>
        </w:tc>
      </w:tr>
      <w:tr w14:paraId="5344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7" w:type="dxa"/>
            <w:vMerge w:val="restart"/>
            <w:noWrap w:val="0"/>
            <w:vAlign w:val="center"/>
          </w:tcPr>
          <w:p w14:paraId="76ACCFA9">
            <w:pPr>
              <w:jc w:val="center"/>
              <w:rPr>
                <w:rFonts w:hint="eastAsia" w:ascii="宋体" w:hAnsi="宋体"/>
                <w:b/>
                <w:sz w:val="24"/>
                <w:highlight w:val="none"/>
              </w:rPr>
            </w:pPr>
            <w:r>
              <w:rPr>
                <w:rFonts w:hint="eastAsia" w:ascii="宋体" w:hAnsi="宋体"/>
                <w:b/>
                <w:sz w:val="24"/>
                <w:highlight w:val="none"/>
              </w:rPr>
              <w:t>2</w:t>
            </w:r>
          </w:p>
        </w:tc>
        <w:tc>
          <w:tcPr>
            <w:tcW w:w="1698" w:type="dxa"/>
            <w:vMerge w:val="restart"/>
            <w:noWrap w:val="0"/>
            <w:vAlign w:val="center"/>
          </w:tcPr>
          <w:p w14:paraId="0F956203">
            <w:pPr>
              <w:rPr>
                <w:rFonts w:hint="eastAsia" w:ascii="宋体" w:hAnsi="宋体"/>
                <w:b/>
                <w:sz w:val="24"/>
                <w:highlight w:val="none"/>
              </w:rPr>
            </w:pPr>
            <w:r>
              <w:rPr>
                <w:rFonts w:hint="eastAsia" w:ascii="宋体" w:hAnsi="宋体"/>
                <w:b/>
                <w:sz w:val="24"/>
                <w:highlight w:val="none"/>
              </w:rPr>
              <w:t>施工方案与技术措施</w:t>
            </w:r>
          </w:p>
        </w:tc>
        <w:tc>
          <w:tcPr>
            <w:tcW w:w="5670" w:type="dxa"/>
            <w:noWrap w:val="0"/>
            <w:vAlign w:val="center"/>
          </w:tcPr>
          <w:p w14:paraId="61D2A707">
            <w:pPr>
              <w:rPr>
                <w:rFonts w:hint="eastAsia" w:ascii="宋体" w:hAnsi="宋体"/>
                <w:sz w:val="24"/>
                <w:highlight w:val="none"/>
              </w:rPr>
            </w:pPr>
            <w:r>
              <w:rPr>
                <w:rFonts w:hint="eastAsia" w:ascii="宋体" w:hAnsi="宋体"/>
                <w:sz w:val="24"/>
                <w:highlight w:val="none"/>
              </w:rPr>
              <w:t>施工方案科学合理，技术措施有力，针对性强，细节完善，得13分；</w:t>
            </w:r>
          </w:p>
        </w:tc>
        <w:tc>
          <w:tcPr>
            <w:tcW w:w="1045" w:type="dxa"/>
            <w:vMerge w:val="restart"/>
            <w:noWrap w:val="0"/>
            <w:vAlign w:val="center"/>
          </w:tcPr>
          <w:p w14:paraId="43E8340D">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13</w:t>
            </w:r>
          </w:p>
        </w:tc>
      </w:tr>
      <w:tr w14:paraId="0747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14:paraId="1F357AB5">
            <w:pPr>
              <w:jc w:val="center"/>
              <w:rPr>
                <w:rFonts w:hint="eastAsia" w:ascii="宋体" w:hAnsi="宋体"/>
                <w:b/>
                <w:sz w:val="24"/>
                <w:highlight w:val="none"/>
              </w:rPr>
            </w:pPr>
          </w:p>
        </w:tc>
        <w:tc>
          <w:tcPr>
            <w:tcW w:w="1698" w:type="dxa"/>
            <w:vMerge w:val="continue"/>
            <w:noWrap w:val="0"/>
            <w:vAlign w:val="center"/>
          </w:tcPr>
          <w:p w14:paraId="03A9005F">
            <w:pPr>
              <w:rPr>
                <w:rFonts w:hint="eastAsia" w:ascii="宋体" w:hAnsi="宋体"/>
                <w:b/>
                <w:sz w:val="24"/>
                <w:highlight w:val="none"/>
              </w:rPr>
            </w:pPr>
          </w:p>
        </w:tc>
        <w:tc>
          <w:tcPr>
            <w:tcW w:w="5670" w:type="dxa"/>
            <w:noWrap w:val="0"/>
            <w:vAlign w:val="center"/>
          </w:tcPr>
          <w:p w14:paraId="5FC6AE4C">
            <w:pPr>
              <w:rPr>
                <w:rFonts w:hint="eastAsia" w:ascii="宋体" w:hAnsi="宋体"/>
                <w:sz w:val="24"/>
                <w:highlight w:val="none"/>
              </w:rPr>
            </w:pPr>
            <w:r>
              <w:rPr>
                <w:rFonts w:hint="eastAsia" w:ascii="宋体" w:hAnsi="宋体"/>
                <w:sz w:val="24"/>
                <w:highlight w:val="none"/>
              </w:rPr>
              <w:t>施工方案合理，技术措施基本得当，有针对性，细节待完善，得9分；</w:t>
            </w:r>
          </w:p>
        </w:tc>
        <w:tc>
          <w:tcPr>
            <w:tcW w:w="1045" w:type="dxa"/>
            <w:vMerge w:val="continue"/>
            <w:noWrap w:val="0"/>
            <w:vAlign w:val="center"/>
          </w:tcPr>
          <w:p w14:paraId="16558806">
            <w:pPr>
              <w:jc w:val="center"/>
              <w:rPr>
                <w:rFonts w:hint="eastAsia" w:ascii="宋体" w:hAnsi="宋体"/>
                <w:sz w:val="24"/>
                <w:highlight w:val="none"/>
              </w:rPr>
            </w:pPr>
          </w:p>
        </w:tc>
      </w:tr>
      <w:tr w14:paraId="3675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14:paraId="225E053F">
            <w:pPr>
              <w:jc w:val="center"/>
              <w:rPr>
                <w:rFonts w:hint="eastAsia" w:ascii="宋体" w:hAnsi="宋体"/>
                <w:b/>
                <w:sz w:val="24"/>
                <w:highlight w:val="none"/>
              </w:rPr>
            </w:pPr>
          </w:p>
        </w:tc>
        <w:tc>
          <w:tcPr>
            <w:tcW w:w="1698" w:type="dxa"/>
            <w:vMerge w:val="continue"/>
            <w:noWrap w:val="0"/>
            <w:vAlign w:val="center"/>
          </w:tcPr>
          <w:p w14:paraId="4BD83381">
            <w:pPr>
              <w:rPr>
                <w:rFonts w:hint="eastAsia" w:ascii="宋体" w:hAnsi="宋体"/>
                <w:b/>
                <w:sz w:val="24"/>
                <w:highlight w:val="none"/>
              </w:rPr>
            </w:pPr>
          </w:p>
        </w:tc>
        <w:tc>
          <w:tcPr>
            <w:tcW w:w="5670" w:type="dxa"/>
            <w:noWrap w:val="0"/>
            <w:vAlign w:val="center"/>
          </w:tcPr>
          <w:p w14:paraId="2FD78875">
            <w:pPr>
              <w:rPr>
                <w:rFonts w:hint="eastAsia" w:ascii="宋体" w:hAnsi="宋体"/>
                <w:sz w:val="24"/>
                <w:highlight w:val="none"/>
              </w:rPr>
            </w:pPr>
            <w:r>
              <w:rPr>
                <w:rFonts w:hint="eastAsia" w:ascii="宋体" w:hAnsi="宋体"/>
                <w:sz w:val="24"/>
                <w:highlight w:val="none"/>
              </w:rPr>
              <w:t>施工方案合理，技术措施基本得当，部分有针对性，细节待完善，得7分；</w:t>
            </w:r>
          </w:p>
        </w:tc>
        <w:tc>
          <w:tcPr>
            <w:tcW w:w="1045" w:type="dxa"/>
            <w:vMerge w:val="continue"/>
            <w:noWrap w:val="0"/>
            <w:vAlign w:val="center"/>
          </w:tcPr>
          <w:p w14:paraId="4B46CB34">
            <w:pPr>
              <w:jc w:val="center"/>
              <w:rPr>
                <w:rFonts w:hint="eastAsia" w:ascii="宋体" w:hAnsi="宋体"/>
                <w:sz w:val="24"/>
                <w:highlight w:val="none"/>
              </w:rPr>
            </w:pPr>
          </w:p>
        </w:tc>
      </w:tr>
      <w:tr w14:paraId="34EB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14:paraId="4F2601FD">
            <w:pPr>
              <w:jc w:val="center"/>
              <w:rPr>
                <w:rFonts w:hint="eastAsia" w:ascii="宋体" w:hAnsi="宋体"/>
                <w:b/>
                <w:sz w:val="24"/>
                <w:highlight w:val="none"/>
              </w:rPr>
            </w:pPr>
          </w:p>
        </w:tc>
        <w:tc>
          <w:tcPr>
            <w:tcW w:w="1698" w:type="dxa"/>
            <w:vMerge w:val="continue"/>
            <w:noWrap w:val="0"/>
            <w:vAlign w:val="center"/>
          </w:tcPr>
          <w:p w14:paraId="7A7D7E01">
            <w:pPr>
              <w:rPr>
                <w:rFonts w:hint="eastAsia" w:ascii="宋体" w:hAnsi="宋体"/>
                <w:b/>
                <w:sz w:val="24"/>
                <w:highlight w:val="none"/>
              </w:rPr>
            </w:pPr>
          </w:p>
        </w:tc>
        <w:tc>
          <w:tcPr>
            <w:tcW w:w="5670" w:type="dxa"/>
            <w:noWrap w:val="0"/>
            <w:vAlign w:val="center"/>
          </w:tcPr>
          <w:p w14:paraId="183E8B7D">
            <w:pPr>
              <w:rPr>
                <w:rFonts w:hint="eastAsia" w:ascii="宋体" w:hAnsi="宋体"/>
                <w:sz w:val="24"/>
                <w:highlight w:val="none"/>
              </w:rPr>
            </w:pPr>
            <w:r>
              <w:rPr>
                <w:rFonts w:hint="eastAsia" w:ascii="宋体" w:hAnsi="宋体"/>
                <w:sz w:val="24"/>
                <w:highlight w:val="none"/>
              </w:rPr>
              <w:t>施工方案基本合理，技术措施基本可行，针对性较差，得5分；</w:t>
            </w:r>
          </w:p>
        </w:tc>
        <w:tc>
          <w:tcPr>
            <w:tcW w:w="1045" w:type="dxa"/>
            <w:vMerge w:val="continue"/>
            <w:noWrap w:val="0"/>
            <w:vAlign w:val="center"/>
          </w:tcPr>
          <w:p w14:paraId="55DA8006">
            <w:pPr>
              <w:jc w:val="center"/>
              <w:rPr>
                <w:rFonts w:hint="eastAsia" w:ascii="宋体" w:hAnsi="宋体"/>
                <w:sz w:val="24"/>
                <w:highlight w:val="none"/>
              </w:rPr>
            </w:pPr>
          </w:p>
        </w:tc>
      </w:tr>
      <w:tr w14:paraId="187F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14:paraId="0D3286E1">
            <w:pPr>
              <w:jc w:val="center"/>
              <w:rPr>
                <w:rFonts w:hint="eastAsia" w:ascii="宋体" w:hAnsi="宋体"/>
                <w:b/>
                <w:sz w:val="24"/>
                <w:highlight w:val="none"/>
              </w:rPr>
            </w:pPr>
          </w:p>
        </w:tc>
        <w:tc>
          <w:tcPr>
            <w:tcW w:w="1698" w:type="dxa"/>
            <w:vMerge w:val="continue"/>
            <w:noWrap w:val="0"/>
            <w:vAlign w:val="center"/>
          </w:tcPr>
          <w:p w14:paraId="6E46357D">
            <w:pPr>
              <w:rPr>
                <w:rFonts w:hint="eastAsia" w:ascii="宋体" w:hAnsi="宋体"/>
                <w:b/>
                <w:sz w:val="24"/>
                <w:highlight w:val="none"/>
              </w:rPr>
            </w:pPr>
          </w:p>
        </w:tc>
        <w:tc>
          <w:tcPr>
            <w:tcW w:w="5670" w:type="dxa"/>
            <w:noWrap w:val="0"/>
            <w:vAlign w:val="center"/>
          </w:tcPr>
          <w:p w14:paraId="486118CD">
            <w:pPr>
              <w:rPr>
                <w:rFonts w:hint="eastAsia" w:ascii="宋体" w:hAnsi="宋体"/>
                <w:sz w:val="24"/>
                <w:highlight w:val="none"/>
              </w:rPr>
            </w:pPr>
            <w:r>
              <w:rPr>
                <w:rFonts w:hint="eastAsia" w:ascii="宋体" w:hAnsi="宋体"/>
                <w:sz w:val="24"/>
                <w:highlight w:val="none"/>
              </w:rPr>
              <w:t>施工方案基本合理，技术措施基本可行，欠缺针对性，得3分；</w:t>
            </w:r>
          </w:p>
        </w:tc>
        <w:tc>
          <w:tcPr>
            <w:tcW w:w="1045" w:type="dxa"/>
            <w:vMerge w:val="continue"/>
            <w:noWrap w:val="0"/>
            <w:vAlign w:val="center"/>
          </w:tcPr>
          <w:p w14:paraId="4C83D696">
            <w:pPr>
              <w:jc w:val="center"/>
              <w:rPr>
                <w:rFonts w:hint="eastAsia" w:ascii="宋体" w:hAnsi="宋体"/>
                <w:sz w:val="24"/>
                <w:highlight w:val="none"/>
              </w:rPr>
            </w:pPr>
          </w:p>
        </w:tc>
      </w:tr>
      <w:tr w14:paraId="7EF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2E5E0CE4">
            <w:pPr>
              <w:jc w:val="center"/>
              <w:rPr>
                <w:rFonts w:hint="eastAsia" w:ascii="宋体" w:hAnsi="宋体"/>
                <w:b/>
                <w:sz w:val="24"/>
                <w:highlight w:val="none"/>
              </w:rPr>
            </w:pPr>
          </w:p>
        </w:tc>
        <w:tc>
          <w:tcPr>
            <w:tcW w:w="1698" w:type="dxa"/>
            <w:vMerge w:val="continue"/>
            <w:noWrap w:val="0"/>
            <w:vAlign w:val="center"/>
          </w:tcPr>
          <w:p w14:paraId="7A9B47B9">
            <w:pPr>
              <w:rPr>
                <w:rFonts w:hint="eastAsia" w:ascii="宋体" w:hAnsi="宋体"/>
                <w:b/>
                <w:sz w:val="24"/>
                <w:highlight w:val="none"/>
              </w:rPr>
            </w:pPr>
          </w:p>
        </w:tc>
        <w:tc>
          <w:tcPr>
            <w:tcW w:w="5670" w:type="dxa"/>
            <w:noWrap w:val="0"/>
            <w:vAlign w:val="center"/>
          </w:tcPr>
          <w:p w14:paraId="043630AD">
            <w:pPr>
              <w:rPr>
                <w:rFonts w:hint="eastAsia" w:ascii="宋体" w:hAnsi="宋体"/>
                <w:sz w:val="24"/>
                <w:highlight w:val="none"/>
              </w:rPr>
            </w:pPr>
            <w:r>
              <w:rPr>
                <w:rFonts w:hint="eastAsia" w:ascii="宋体" w:hAnsi="宋体"/>
                <w:sz w:val="24"/>
                <w:highlight w:val="none"/>
              </w:rPr>
              <w:t>施工方案欠合理，技术措施不完备，得1分。</w:t>
            </w:r>
          </w:p>
        </w:tc>
        <w:tc>
          <w:tcPr>
            <w:tcW w:w="1045" w:type="dxa"/>
            <w:vMerge w:val="continue"/>
            <w:noWrap w:val="0"/>
            <w:vAlign w:val="center"/>
          </w:tcPr>
          <w:p w14:paraId="21D056A7">
            <w:pPr>
              <w:jc w:val="center"/>
              <w:rPr>
                <w:rFonts w:hint="eastAsia" w:ascii="宋体" w:hAnsi="宋体"/>
                <w:sz w:val="24"/>
                <w:highlight w:val="none"/>
              </w:rPr>
            </w:pPr>
          </w:p>
        </w:tc>
      </w:tr>
      <w:tr w14:paraId="68EB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1737F885">
            <w:pPr>
              <w:jc w:val="center"/>
              <w:rPr>
                <w:rFonts w:hint="eastAsia" w:ascii="宋体" w:hAnsi="宋体"/>
                <w:b/>
                <w:sz w:val="24"/>
                <w:highlight w:val="none"/>
              </w:rPr>
            </w:pPr>
          </w:p>
        </w:tc>
        <w:tc>
          <w:tcPr>
            <w:tcW w:w="1698" w:type="dxa"/>
            <w:vMerge w:val="continue"/>
            <w:noWrap w:val="0"/>
            <w:vAlign w:val="center"/>
          </w:tcPr>
          <w:p w14:paraId="700600BA">
            <w:pPr>
              <w:rPr>
                <w:rFonts w:hint="eastAsia" w:ascii="宋体" w:hAnsi="宋体"/>
                <w:b/>
                <w:sz w:val="24"/>
                <w:highlight w:val="none"/>
              </w:rPr>
            </w:pPr>
          </w:p>
        </w:tc>
        <w:tc>
          <w:tcPr>
            <w:tcW w:w="5670" w:type="dxa"/>
            <w:noWrap w:val="0"/>
            <w:vAlign w:val="center"/>
          </w:tcPr>
          <w:p w14:paraId="6BC89E38">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4B2AEA8E">
            <w:pPr>
              <w:jc w:val="center"/>
              <w:rPr>
                <w:rFonts w:hint="eastAsia" w:ascii="宋体" w:hAnsi="宋体"/>
                <w:sz w:val="24"/>
                <w:highlight w:val="none"/>
              </w:rPr>
            </w:pPr>
          </w:p>
        </w:tc>
      </w:tr>
      <w:tr w14:paraId="0EBB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14:paraId="59F66DBF">
            <w:pPr>
              <w:jc w:val="center"/>
              <w:rPr>
                <w:rFonts w:hint="eastAsia" w:ascii="宋体" w:hAnsi="宋体"/>
                <w:b/>
                <w:sz w:val="24"/>
                <w:highlight w:val="none"/>
              </w:rPr>
            </w:pPr>
            <w:r>
              <w:rPr>
                <w:rFonts w:hint="eastAsia" w:ascii="宋体" w:hAnsi="宋体"/>
                <w:b/>
                <w:sz w:val="24"/>
                <w:highlight w:val="none"/>
              </w:rPr>
              <w:t>3</w:t>
            </w:r>
          </w:p>
        </w:tc>
        <w:tc>
          <w:tcPr>
            <w:tcW w:w="1698" w:type="dxa"/>
            <w:vMerge w:val="restart"/>
            <w:noWrap w:val="0"/>
            <w:vAlign w:val="center"/>
          </w:tcPr>
          <w:p w14:paraId="3253C28F">
            <w:pPr>
              <w:rPr>
                <w:rFonts w:hint="eastAsia" w:ascii="宋体" w:hAnsi="宋体"/>
                <w:b/>
                <w:sz w:val="24"/>
                <w:highlight w:val="none"/>
              </w:rPr>
            </w:pPr>
            <w:r>
              <w:rPr>
                <w:rFonts w:hint="eastAsia" w:ascii="宋体" w:hAnsi="宋体"/>
                <w:b/>
                <w:sz w:val="24"/>
                <w:highlight w:val="none"/>
              </w:rPr>
              <w:t>安全和绿色施工保障措施</w:t>
            </w:r>
          </w:p>
        </w:tc>
        <w:tc>
          <w:tcPr>
            <w:tcW w:w="5670" w:type="dxa"/>
            <w:noWrap w:val="0"/>
            <w:vAlign w:val="center"/>
          </w:tcPr>
          <w:p w14:paraId="7E487778">
            <w:pPr>
              <w:rPr>
                <w:rFonts w:hint="eastAsia" w:ascii="宋体" w:hAnsi="宋体"/>
                <w:sz w:val="24"/>
                <w:highlight w:val="none"/>
              </w:rPr>
            </w:pPr>
            <w:r>
              <w:rPr>
                <w:rFonts w:hint="eastAsia" w:ascii="宋体" w:hAnsi="宋体"/>
                <w:sz w:val="24"/>
                <w:highlight w:val="none"/>
              </w:rPr>
              <w:t>措施科学、合理、方案可行性强，得8分；</w:t>
            </w:r>
          </w:p>
        </w:tc>
        <w:tc>
          <w:tcPr>
            <w:tcW w:w="1045" w:type="dxa"/>
            <w:vMerge w:val="restart"/>
            <w:noWrap w:val="0"/>
            <w:vAlign w:val="center"/>
          </w:tcPr>
          <w:p w14:paraId="277E00C7">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8</w:t>
            </w:r>
          </w:p>
        </w:tc>
      </w:tr>
      <w:tr w14:paraId="44D1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6D42FD19">
            <w:pPr>
              <w:jc w:val="center"/>
              <w:rPr>
                <w:rFonts w:hint="eastAsia" w:ascii="宋体" w:hAnsi="宋体"/>
                <w:b/>
                <w:sz w:val="24"/>
                <w:highlight w:val="none"/>
              </w:rPr>
            </w:pPr>
          </w:p>
        </w:tc>
        <w:tc>
          <w:tcPr>
            <w:tcW w:w="1698" w:type="dxa"/>
            <w:vMerge w:val="continue"/>
            <w:noWrap w:val="0"/>
            <w:vAlign w:val="center"/>
          </w:tcPr>
          <w:p w14:paraId="45548978">
            <w:pPr>
              <w:rPr>
                <w:rFonts w:hint="eastAsia" w:ascii="宋体" w:hAnsi="宋体"/>
                <w:b/>
                <w:sz w:val="24"/>
                <w:highlight w:val="none"/>
              </w:rPr>
            </w:pPr>
          </w:p>
        </w:tc>
        <w:tc>
          <w:tcPr>
            <w:tcW w:w="5670" w:type="dxa"/>
            <w:noWrap w:val="0"/>
            <w:vAlign w:val="center"/>
          </w:tcPr>
          <w:p w14:paraId="535C80BC">
            <w:pPr>
              <w:rPr>
                <w:rFonts w:hint="eastAsia" w:ascii="宋体" w:hAnsi="宋体"/>
                <w:sz w:val="24"/>
                <w:highlight w:val="none"/>
              </w:rPr>
            </w:pPr>
            <w:r>
              <w:rPr>
                <w:rFonts w:hint="eastAsia" w:ascii="宋体" w:hAnsi="宋体"/>
                <w:sz w:val="24"/>
                <w:highlight w:val="none"/>
              </w:rPr>
              <w:t>措施科学、合理、方案可行性较好，得6分；</w:t>
            </w:r>
          </w:p>
        </w:tc>
        <w:tc>
          <w:tcPr>
            <w:tcW w:w="1045" w:type="dxa"/>
            <w:vMerge w:val="continue"/>
            <w:noWrap w:val="0"/>
            <w:vAlign w:val="center"/>
          </w:tcPr>
          <w:p w14:paraId="45B313D4">
            <w:pPr>
              <w:jc w:val="center"/>
              <w:rPr>
                <w:rFonts w:hint="eastAsia" w:ascii="宋体" w:hAnsi="宋体"/>
                <w:sz w:val="24"/>
                <w:highlight w:val="none"/>
              </w:rPr>
            </w:pPr>
          </w:p>
        </w:tc>
      </w:tr>
      <w:tr w14:paraId="7956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463980CF">
            <w:pPr>
              <w:jc w:val="center"/>
              <w:rPr>
                <w:rFonts w:hint="eastAsia" w:ascii="宋体" w:hAnsi="宋体"/>
                <w:b/>
                <w:sz w:val="24"/>
                <w:highlight w:val="none"/>
              </w:rPr>
            </w:pPr>
          </w:p>
        </w:tc>
        <w:tc>
          <w:tcPr>
            <w:tcW w:w="1698" w:type="dxa"/>
            <w:vMerge w:val="continue"/>
            <w:noWrap w:val="0"/>
            <w:vAlign w:val="center"/>
          </w:tcPr>
          <w:p w14:paraId="1165A6C8">
            <w:pPr>
              <w:rPr>
                <w:rFonts w:hint="eastAsia" w:ascii="宋体" w:hAnsi="宋体"/>
                <w:b/>
                <w:sz w:val="24"/>
                <w:highlight w:val="none"/>
              </w:rPr>
            </w:pPr>
          </w:p>
        </w:tc>
        <w:tc>
          <w:tcPr>
            <w:tcW w:w="5670" w:type="dxa"/>
            <w:noWrap w:val="0"/>
            <w:vAlign w:val="center"/>
          </w:tcPr>
          <w:p w14:paraId="302F460C">
            <w:pPr>
              <w:rPr>
                <w:rFonts w:hint="eastAsia" w:ascii="宋体" w:hAnsi="宋体"/>
                <w:sz w:val="24"/>
                <w:highlight w:val="none"/>
              </w:rPr>
            </w:pPr>
            <w:r>
              <w:rPr>
                <w:rFonts w:hint="eastAsia" w:ascii="宋体" w:hAnsi="宋体"/>
                <w:sz w:val="24"/>
                <w:highlight w:val="none"/>
              </w:rPr>
              <w:t>措施科学、合理、方案可行性一般，得4分；</w:t>
            </w:r>
          </w:p>
        </w:tc>
        <w:tc>
          <w:tcPr>
            <w:tcW w:w="1045" w:type="dxa"/>
            <w:vMerge w:val="continue"/>
            <w:noWrap w:val="0"/>
            <w:vAlign w:val="center"/>
          </w:tcPr>
          <w:p w14:paraId="7BA234AC">
            <w:pPr>
              <w:jc w:val="center"/>
              <w:rPr>
                <w:rFonts w:hint="eastAsia" w:ascii="宋体" w:hAnsi="宋体"/>
                <w:sz w:val="24"/>
                <w:highlight w:val="none"/>
              </w:rPr>
            </w:pPr>
          </w:p>
        </w:tc>
      </w:tr>
      <w:tr w14:paraId="53B5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28E3C980">
            <w:pPr>
              <w:jc w:val="center"/>
              <w:rPr>
                <w:rFonts w:hint="eastAsia" w:ascii="宋体" w:hAnsi="宋体"/>
                <w:b/>
                <w:sz w:val="24"/>
                <w:highlight w:val="none"/>
              </w:rPr>
            </w:pPr>
          </w:p>
        </w:tc>
        <w:tc>
          <w:tcPr>
            <w:tcW w:w="1698" w:type="dxa"/>
            <w:vMerge w:val="continue"/>
            <w:noWrap w:val="0"/>
            <w:vAlign w:val="center"/>
          </w:tcPr>
          <w:p w14:paraId="748869C5">
            <w:pPr>
              <w:rPr>
                <w:rFonts w:hint="eastAsia" w:ascii="宋体" w:hAnsi="宋体"/>
                <w:b/>
                <w:sz w:val="24"/>
                <w:highlight w:val="none"/>
              </w:rPr>
            </w:pPr>
          </w:p>
        </w:tc>
        <w:tc>
          <w:tcPr>
            <w:tcW w:w="5670" w:type="dxa"/>
            <w:noWrap w:val="0"/>
            <w:vAlign w:val="center"/>
          </w:tcPr>
          <w:p w14:paraId="150119F1">
            <w:pPr>
              <w:rPr>
                <w:rFonts w:hint="eastAsia" w:ascii="宋体" w:hAnsi="宋体"/>
                <w:sz w:val="24"/>
                <w:highlight w:val="none"/>
              </w:rPr>
            </w:pPr>
            <w:r>
              <w:rPr>
                <w:rFonts w:hint="eastAsia" w:ascii="宋体" w:hAnsi="宋体"/>
                <w:sz w:val="24"/>
                <w:highlight w:val="none"/>
              </w:rPr>
              <w:t>措施欠科学、合理、方案可行性略差，得2分。</w:t>
            </w:r>
          </w:p>
        </w:tc>
        <w:tc>
          <w:tcPr>
            <w:tcW w:w="1045" w:type="dxa"/>
            <w:vMerge w:val="continue"/>
            <w:noWrap w:val="0"/>
            <w:vAlign w:val="center"/>
          </w:tcPr>
          <w:p w14:paraId="68FF2615">
            <w:pPr>
              <w:jc w:val="center"/>
              <w:rPr>
                <w:rFonts w:hint="eastAsia" w:ascii="宋体" w:hAnsi="宋体"/>
                <w:sz w:val="24"/>
                <w:highlight w:val="none"/>
              </w:rPr>
            </w:pPr>
          </w:p>
        </w:tc>
      </w:tr>
      <w:tr w14:paraId="6012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2212CCDF">
            <w:pPr>
              <w:jc w:val="center"/>
              <w:rPr>
                <w:rFonts w:hint="eastAsia" w:ascii="宋体" w:hAnsi="宋体"/>
                <w:b/>
                <w:sz w:val="24"/>
                <w:highlight w:val="none"/>
              </w:rPr>
            </w:pPr>
          </w:p>
        </w:tc>
        <w:tc>
          <w:tcPr>
            <w:tcW w:w="1698" w:type="dxa"/>
            <w:vMerge w:val="continue"/>
            <w:noWrap w:val="0"/>
            <w:vAlign w:val="center"/>
          </w:tcPr>
          <w:p w14:paraId="5555C1BE">
            <w:pPr>
              <w:rPr>
                <w:rFonts w:hint="eastAsia" w:ascii="宋体" w:hAnsi="宋体"/>
                <w:b/>
                <w:sz w:val="24"/>
                <w:highlight w:val="none"/>
              </w:rPr>
            </w:pPr>
          </w:p>
        </w:tc>
        <w:tc>
          <w:tcPr>
            <w:tcW w:w="5670" w:type="dxa"/>
            <w:noWrap w:val="0"/>
            <w:vAlign w:val="center"/>
          </w:tcPr>
          <w:p w14:paraId="748AAB9D">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225AEC21">
            <w:pPr>
              <w:jc w:val="center"/>
              <w:rPr>
                <w:rFonts w:hint="eastAsia" w:ascii="宋体" w:hAnsi="宋体"/>
                <w:sz w:val="24"/>
                <w:highlight w:val="none"/>
              </w:rPr>
            </w:pPr>
          </w:p>
        </w:tc>
      </w:tr>
      <w:tr w14:paraId="6F66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14:paraId="257F212F">
            <w:pPr>
              <w:jc w:val="center"/>
              <w:rPr>
                <w:rFonts w:hint="eastAsia" w:ascii="宋体" w:hAnsi="宋体"/>
                <w:b/>
                <w:sz w:val="24"/>
                <w:highlight w:val="none"/>
              </w:rPr>
            </w:pPr>
            <w:r>
              <w:rPr>
                <w:rFonts w:hint="eastAsia" w:ascii="宋体" w:hAnsi="宋体"/>
                <w:b/>
                <w:sz w:val="24"/>
                <w:highlight w:val="none"/>
              </w:rPr>
              <w:t>4</w:t>
            </w:r>
          </w:p>
        </w:tc>
        <w:tc>
          <w:tcPr>
            <w:tcW w:w="1698" w:type="dxa"/>
            <w:vMerge w:val="restart"/>
            <w:noWrap w:val="0"/>
            <w:vAlign w:val="center"/>
          </w:tcPr>
          <w:p w14:paraId="3F538B75">
            <w:pPr>
              <w:rPr>
                <w:rFonts w:hint="eastAsia" w:ascii="宋体" w:hAnsi="宋体"/>
                <w:b/>
                <w:sz w:val="24"/>
                <w:highlight w:val="none"/>
              </w:rPr>
            </w:pPr>
            <w:r>
              <w:rPr>
                <w:rFonts w:hint="eastAsia" w:ascii="宋体" w:hAnsi="宋体"/>
                <w:b/>
                <w:sz w:val="24"/>
                <w:highlight w:val="none"/>
              </w:rPr>
              <w:t>质量保证体系</w:t>
            </w:r>
          </w:p>
          <w:p w14:paraId="3DBDAEE7">
            <w:pPr>
              <w:rPr>
                <w:rFonts w:hint="eastAsia" w:ascii="宋体" w:hAnsi="宋体"/>
                <w:b/>
                <w:sz w:val="24"/>
                <w:highlight w:val="none"/>
              </w:rPr>
            </w:pPr>
            <w:r>
              <w:rPr>
                <w:rFonts w:hint="eastAsia" w:ascii="宋体" w:hAnsi="宋体"/>
                <w:b/>
                <w:sz w:val="24"/>
                <w:highlight w:val="none"/>
              </w:rPr>
              <w:t>及保证措施</w:t>
            </w:r>
          </w:p>
        </w:tc>
        <w:tc>
          <w:tcPr>
            <w:tcW w:w="5670" w:type="dxa"/>
            <w:noWrap w:val="0"/>
            <w:vAlign w:val="center"/>
          </w:tcPr>
          <w:p w14:paraId="3E1EFE39">
            <w:pPr>
              <w:rPr>
                <w:rFonts w:hint="eastAsia" w:ascii="宋体" w:hAnsi="宋体"/>
                <w:sz w:val="24"/>
                <w:highlight w:val="none"/>
              </w:rPr>
            </w:pPr>
            <w:r>
              <w:rPr>
                <w:rFonts w:hint="eastAsia" w:ascii="宋体" w:hAnsi="宋体"/>
                <w:sz w:val="24"/>
                <w:highlight w:val="none"/>
              </w:rPr>
              <w:t>保证体系完整、措施有力，得8分；</w:t>
            </w:r>
          </w:p>
        </w:tc>
        <w:tc>
          <w:tcPr>
            <w:tcW w:w="1045" w:type="dxa"/>
            <w:vMerge w:val="restart"/>
            <w:noWrap w:val="0"/>
            <w:vAlign w:val="center"/>
          </w:tcPr>
          <w:p w14:paraId="4992F039">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8</w:t>
            </w:r>
          </w:p>
        </w:tc>
      </w:tr>
      <w:tr w14:paraId="26F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24032987">
            <w:pPr>
              <w:jc w:val="center"/>
              <w:rPr>
                <w:rFonts w:hint="eastAsia" w:ascii="宋体" w:hAnsi="宋体"/>
                <w:b/>
                <w:sz w:val="24"/>
                <w:highlight w:val="none"/>
              </w:rPr>
            </w:pPr>
          </w:p>
        </w:tc>
        <w:tc>
          <w:tcPr>
            <w:tcW w:w="1698" w:type="dxa"/>
            <w:vMerge w:val="continue"/>
            <w:noWrap w:val="0"/>
            <w:vAlign w:val="center"/>
          </w:tcPr>
          <w:p w14:paraId="401DDF01">
            <w:pPr>
              <w:rPr>
                <w:rFonts w:hint="eastAsia" w:ascii="宋体" w:hAnsi="宋体"/>
                <w:b/>
                <w:sz w:val="24"/>
                <w:highlight w:val="none"/>
              </w:rPr>
            </w:pPr>
          </w:p>
        </w:tc>
        <w:tc>
          <w:tcPr>
            <w:tcW w:w="5670" w:type="dxa"/>
            <w:noWrap w:val="0"/>
            <w:vAlign w:val="center"/>
          </w:tcPr>
          <w:p w14:paraId="2D705AEC">
            <w:pPr>
              <w:rPr>
                <w:rFonts w:hint="eastAsia" w:ascii="宋体" w:hAnsi="宋体"/>
                <w:sz w:val="24"/>
                <w:highlight w:val="none"/>
              </w:rPr>
            </w:pPr>
            <w:r>
              <w:rPr>
                <w:rFonts w:hint="eastAsia" w:ascii="宋体" w:hAnsi="宋体"/>
                <w:sz w:val="24"/>
                <w:highlight w:val="none"/>
              </w:rPr>
              <w:t>保证体系完整、措施较好，得6分；</w:t>
            </w:r>
          </w:p>
        </w:tc>
        <w:tc>
          <w:tcPr>
            <w:tcW w:w="1045" w:type="dxa"/>
            <w:vMerge w:val="continue"/>
            <w:noWrap w:val="0"/>
            <w:vAlign w:val="center"/>
          </w:tcPr>
          <w:p w14:paraId="7A4E70C9">
            <w:pPr>
              <w:jc w:val="center"/>
              <w:rPr>
                <w:rFonts w:hint="eastAsia" w:ascii="宋体" w:hAnsi="宋体"/>
                <w:sz w:val="24"/>
                <w:highlight w:val="none"/>
              </w:rPr>
            </w:pPr>
          </w:p>
        </w:tc>
      </w:tr>
      <w:tr w14:paraId="29E8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7C8EC1C9">
            <w:pPr>
              <w:jc w:val="center"/>
              <w:rPr>
                <w:rFonts w:hint="eastAsia" w:ascii="宋体" w:hAnsi="宋体"/>
                <w:b/>
                <w:sz w:val="24"/>
                <w:highlight w:val="none"/>
              </w:rPr>
            </w:pPr>
          </w:p>
        </w:tc>
        <w:tc>
          <w:tcPr>
            <w:tcW w:w="1698" w:type="dxa"/>
            <w:vMerge w:val="continue"/>
            <w:noWrap w:val="0"/>
            <w:vAlign w:val="center"/>
          </w:tcPr>
          <w:p w14:paraId="49D8BE60">
            <w:pPr>
              <w:rPr>
                <w:rFonts w:hint="eastAsia" w:ascii="宋体" w:hAnsi="宋体"/>
                <w:b/>
                <w:sz w:val="24"/>
                <w:highlight w:val="none"/>
              </w:rPr>
            </w:pPr>
          </w:p>
        </w:tc>
        <w:tc>
          <w:tcPr>
            <w:tcW w:w="5670" w:type="dxa"/>
            <w:noWrap w:val="0"/>
            <w:vAlign w:val="center"/>
          </w:tcPr>
          <w:p w14:paraId="32E0303C">
            <w:pPr>
              <w:rPr>
                <w:rFonts w:hint="eastAsia" w:ascii="宋体" w:hAnsi="宋体"/>
                <w:sz w:val="24"/>
                <w:highlight w:val="none"/>
              </w:rPr>
            </w:pPr>
            <w:r>
              <w:rPr>
                <w:rFonts w:hint="eastAsia" w:ascii="宋体" w:hAnsi="宋体"/>
                <w:sz w:val="24"/>
                <w:highlight w:val="none"/>
              </w:rPr>
              <w:t>保证体系完整、措施一般，得4分；</w:t>
            </w:r>
          </w:p>
        </w:tc>
        <w:tc>
          <w:tcPr>
            <w:tcW w:w="1045" w:type="dxa"/>
            <w:vMerge w:val="continue"/>
            <w:noWrap w:val="0"/>
            <w:vAlign w:val="center"/>
          </w:tcPr>
          <w:p w14:paraId="271B450F">
            <w:pPr>
              <w:jc w:val="center"/>
              <w:rPr>
                <w:rFonts w:hint="eastAsia" w:ascii="宋体" w:hAnsi="宋体"/>
                <w:sz w:val="24"/>
                <w:highlight w:val="none"/>
              </w:rPr>
            </w:pPr>
          </w:p>
        </w:tc>
      </w:tr>
      <w:tr w14:paraId="3F52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445DBAC8">
            <w:pPr>
              <w:jc w:val="center"/>
              <w:rPr>
                <w:rFonts w:hint="eastAsia" w:ascii="宋体" w:hAnsi="宋体"/>
                <w:b/>
                <w:sz w:val="24"/>
                <w:highlight w:val="none"/>
              </w:rPr>
            </w:pPr>
          </w:p>
        </w:tc>
        <w:tc>
          <w:tcPr>
            <w:tcW w:w="1698" w:type="dxa"/>
            <w:vMerge w:val="continue"/>
            <w:noWrap w:val="0"/>
            <w:vAlign w:val="center"/>
          </w:tcPr>
          <w:p w14:paraId="58C45CD2">
            <w:pPr>
              <w:rPr>
                <w:rFonts w:hint="eastAsia" w:ascii="宋体" w:hAnsi="宋体"/>
                <w:b/>
                <w:sz w:val="24"/>
                <w:highlight w:val="none"/>
              </w:rPr>
            </w:pPr>
          </w:p>
        </w:tc>
        <w:tc>
          <w:tcPr>
            <w:tcW w:w="5670" w:type="dxa"/>
            <w:noWrap w:val="0"/>
            <w:vAlign w:val="center"/>
          </w:tcPr>
          <w:p w14:paraId="38515180">
            <w:pPr>
              <w:rPr>
                <w:rFonts w:hint="eastAsia" w:ascii="宋体" w:hAnsi="宋体"/>
                <w:sz w:val="24"/>
                <w:highlight w:val="none"/>
              </w:rPr>
            </w:pPr>
            <w:r>
              <w:rPr>
                <w:rFonts w:hint="eastAsia" w:ascii="宋体" w:hAnsi="宋体"/>
                <w:sz w:val="24"/>
                <w:highlight w:val="none"/>
              </w:rPr>
              <w:t>保证体系、措施均欠完整，得2分。</w:t>
            </w:r>
          </w:p>
        </w:tc>
        <w:tc>
          <w:tcPr>
            <w:tcW w:w="1045" w:type="dxa"/>
            <w:vMerge w:val="continue"/>
            <w:noWrap w:val="0"/>
            <w:vAlign w:val="center"/>
          </w:tcPr>
          <w:p w14:paraId="574A78AA">
            <w:pPr>
              <w:jc w:val="center"/>
              <w:rPr>
                <w:rFonts w:hint="eastAsia" w:ascii="宋体" w:hAnsi="宋体"/>
                <w:sz w:val="24"/>
                <w:highlight w:val="none"/>
              </w:rPr>
            </w:pPr>
          </w:p>
        </w:tc>
      </w:tr>
      <w:tr w14:paraId="039E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4929A0B9">
            <w:pPr>
              <w:jc w:val="center"/>
              <w:rPr>
                <w:rFonts w:hint="eastAsia" w:ascii="宋体" w:hAnsi="宋体"/>
                <w:b/>
                <w:sz w:val="24"/>
                <w:highlight w:val="none"/>
              </w:rPr>
            </w:pPr>
          </w:p>
        </w:tc>
        <w:tc>
          <w:tcPr>
            <w:tcW w:w="1698" w:type="dxa"/>
            <w:vMerge w:val="continue"/>
            <w:noWrap w:val="0"/>
            <w:vAlign w:val="center"/>
          </w:tcPr>
          <w:p w14:paraId="295903F4">
            <w:pPr>
              <w:rPr>
                <w:rFonts w:hint="eastAsia" w:ascii="宋体" w:hAnsi="宋体"/>
                <w:b/>
                <w:sz w:val="24"/>
                <w:highlight w:val="none"/>
              </w:rPr>
            </w:pPr>
          </w:p>
        </w:tc>
        <w:tc>
          <w:tcPr>
            <w:tcW w:w="5670" w:type="dxa"/>
            <w:noWrap w:val="0"/>
            <w:vAlign w:val="center"/>
          </w:tcPr>
          <w:p w14:paraId="73861549">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464E1FAE">
            <w:pPr>
              <w:jc w:val="center"/>
              <w:rPr>
                <w:rFonts w:hint="eastAsia" w:ascii="宋体" w:hAnsi="宋体"/>
                <w:sz w:val="24"/>
                <w:highlight w:val="none"/>
              </w:rPr>
            </w:pPr>
          </w:p>
        </w:tc>
      </w:tr>
      <w:tr w14:paraId="62A8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Merge w:val="restart"/>
            <w:noWrap w:val="0"/>
            <w:vAlign w:val="center"/>
          </w:tcPr>
          <w:p w14:paraId="71F5871A">
            <w:pPr>
              <w:jc w:val="center"/>
              <w:rPr>
                <w:rFonts w:hint="eastAsia" w:ascii="宋体" w:hAnsi="宋体"/>
                <w:b/>
                <w:sz w:val="24"/>
                <w:highlight w:val="none"/>
              </w:rPr>
            </w:pPr>
            <w:r>
              <w:rPr>
                <w:rFonts w:hint="eastAsia" w:ascii="宋体" w:hAnsi="宋体"/>
                <w:b/>
                <w:sz w:val="24"/>
                <w:highlight w:val="none"/>
              </w:rPr>
              <w:t>5</w:t>
            </w:r>
          </w:p>
        </w:tc>
        <w:tc>
          <w:tcPr>
            <w:tcW w:w="1698" w:type="dxa"/>
            <w:vMerge w:val="restart"/>
            <w:noWrap w:val="0"/>
            <w:vAlign w:val="center"/>
          </w:tcPr>
          <w:p w14:paraId="1273EAE7">
            <w:pPr>
              <w:rPr>
                <w:rFonts w:hint="eastAsia" w:ascii="宋体" w:hAnsi="宋体"/>
                <w:b/>
                <w:sz w:val="24"/>
                <w:highlight w:val="none"/>
              </w:rPr>
            </w:pPr>
            <w:r>
              <w:rPr>
                <w:rFonts w:hint="eastAsia" w:ascii="宋体" w:hAnsi="宋体"/>
                <w:b/>
                <w:sz w:val="24"/>
                <w:highlight w:val="none"/>
              </w:rPr>
              <w:t>对本工程的重点、难点分析及对策</w:t>
            </w:r>
          </w:p>
        </w:tc>
        <w:tc>
          <w:tcPr>
            <w:tcW w:w="5670" w:type="dxa"/>
            <w:noWrap w:val="0"/>
            <w:vAlign w:val="center"/>
          </w:tcPr>
          <w:p w14:paraId="78D13868">
            <w:pPr>
              <w:rPr>
                <w:rFonts w:hint="eastAsia" w:ascii="宋体" w:hAnsi="宋体"/>
                <w:sz w:val="24"/>
                <w:highlight w:val="none"/>
              </w:rPr>
            </w:pPr>
            <w:r>
              <w:rPr>
                <w:rFonts w:hint="eastAsia" w:ascii="宋体" w:hAnsi="宋体"/>
                <w:sz w:val="24"/>
                <w:highlight w:val="none"/>
              </w:rPr>
              <w:t>针对项目特点和具体情况重点、难点分析准确、对策针对性强，得8分；</w:t>
            </w:r>
          </w:p>
        </w:tc>
        <w:tc>
          <w:tcPr>
            <w:tcW w:w="1045" w:type="dxa"/>
            <w:vMerge w:val="restart"/>
            <w:noWrap w:val="0"/>
            <w:vAlign w:val="center"/>
          </w:tcPr>
          <w:p w14:paraId="2DB12E85">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8</w:t>
            </w:r>
          </w:p>
        </w:tc>
      </w:tr>
      <w:tr w14:paraId="4793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1D26A7A8">
            <w:pPr>
              <w:jc w:val="center"/>
              <w:rPr>
                <w:rFonts w:hint="eastAsia" w:ascii="宋体" w:hAnsi="宋体"/>
                <w:b/>
                <w:sz w:val="24"/>
                <w:highlight w:val="none"/>
              </w:rPr>
            </w:pPr>
          </w:p>
        </w:tc>
        <w:tc>
          <w:tcPr>
            <w:tcW w:w="1698" w:type="dxa"/>
            <w:vMerge w:val="continue"/>
            <w:noWrap w:val="0"/>
            <w:vAlign w:val="center"/>
          </w:tcPr>
          <w:p w14:paraId="01550693">
            <w:pPr>
              <w:rPr>
                <w:rFonts w:hint="eastAsia" w:ascii="宋体" w:hAnsi="宋体"/>
                <w:b/>
                <w:sz w:val="24"/>
                <w:highlight w:val="none"/>
              </w:rPr>
            </w:pPr>
          </w:p>
        </w:tc>
        <w:tc>
          <w:tcPr>
            <w:tcW w:w="5670" w:type="dxa"/>
            <w:noWrap w:val="0"/>
            <w:vAlign w:val="center"/>
          </w:tcPr>
          <w:p w14:paraId="26BDF999">
            <w:pPr>
              <w:rPr>
                <w:rFonts w:hint="eastAsia" w:ascii="宋体" w:hAnsi="宋体"/>
                <w:sz w:val="24"/>
                <w:highlight w:val="none"/>
              </w:rPr>
            </w:pPr>
            <w:r>
              <w:rPr>
                <w:rFonts w:hint="eastAsia" w:ascii="宋体" w:hAnsi="宋体"/>
                <w:sz w:val="24"/>
                <w:highlight w:val="none"/>
              </w:rPr>
              <w:t>重点、难点分析较准确、对策有针对性，得6分；</w:t>
            </w:r>
          </w:p>
        </w:tc>
        <w:tc>
          <w:tcPr>
            <w:tcW w:w="1045" w:type="dxa"/>
            <w:vMerge w:val="continue"/>
            <w:noWrap w:val="0"/>
            <w:vAlign w:val="center"/>
          </w:tcPr>
          <w:p w14:paraId="0C46F1AC">
            <w:pPr>
              <w:jc w:val="center"/>
              <w:rPr>
                <w:rFonts w:hint="eastAsia" w:ascii="宋体" w:hAnsi="宋体"/>
                <w:sz w:val="24"/>
                <w:highlight w:val="none"/>
              </w:rPr>
            </w:pPr>
          </w:p>
        </w:tc>
      </w:tr>
      <w:tr w14:paraId="095B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1CE3AAD6">
            <w:pPr>
              <w:jc w:val="center"/>
              <w:rPr>
                <w:rFonts w:hint="eastAsia" w:ascii="宋体" w:hAnsi="宋体"/>
                <w:b/>
                <w:sz w:val="24"/>
                <w:highlight w:val="none"/>
              </w:rPr>
            </w:pPr>
          </w:p>
        </w:tc>
        <w:tc>
          <w:tcPr>
            <w:tcW w:w="1698" w:type="dxa"/>
            <w:vMerge w:val="continue"/>
            <w:noWrap w:val="0"/>
            <w:vAlign w:val="center"/>
          </w:tcPr>
          <w:p w14:paraId="5AA520B8">
            <w:pPr>
              <w:rPr>
                <w:rFonts w:hint="eastAsia" w:ascii="宋体" w:hAnsi="宋体"/>
                <w:b/>
                <w:sz w:val="24"/>
                <w:highlight w:val="none"/>
              </w:rPr>
            </w:pPr>
          </w:p>
        </w:tc>
        <w:tc>
          <w:tcPr>
            <w:tcW w:w="5670" w:type="dxa"/>
            <w:noWrap w:val="0"/>
            <w:vAlign w:val="center"/>
          </w:tcPr>
          <w:p w14:paraId="6D35158F">
            <w:pPr>
              <w:rPr>
                <w:rFonts w:hint="eastAsia" w:ascii="宋体" w:hAnsi="宋体"/>
                <w:sz w:val="24"/>
                <w:highlight w:val="none"/>
              </w:rPr>
            </w:pPr>
            <w:r>
              <w:rPr>
                <w:rFonts w:hint="eastAsia" w:ascii="宋体" w:hAnsi="宋体"/>
                <w:sz w:val="24"/>
                <w:highlight w:val="none"/>
              </w:rPr>
              <w:t>重点、难点分析基本准确、对策基本有针对性，得4分；</w:t>
            </w:r>
          </w:p>
        </w:tc>
        <w:tc>
          <w:tcPr>
            <w:tcW w:w="1045" w:type="dxa"/>
            <w:vMerge w:val="continue"/>
            <w:noWrap w:val="0"/>
            <w:vAlign w:val="center"/>
          </w:tcPr>
          <w:p w14:paraId="1EBF0D41">
            <w:pPr>
              <w:jc w:val="center"/>
              <w:rPr>
                <w:rFonts w:hint="eastAsia" w:ascii="宋体" w:hAnsi="宋体"/>
                <w:sz w:val="24"/>
                <w:highlight w:val="none"/>
              </w:rPr>
            </w:pPr>
          </w:p>
        </w:tc>
      </w:tr>
      <w:tr w14:paraId="4A70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69B9B396">
            <w:pPr>
              <w:jc w:val="center"/>
              <w:rPr>
                <w:rFonts w:hint="eastAsia" w:ascii="宋体" w:hAnsi="宋体"/>
                <w:b/>
                <w:sz w:val="24"/>
                <w:highlight w:val="none"/>
              </w:rPr>
            </w:pPr>
          </w:p>
        </w:tc>
        <w:tc>
          <w:tcPr>
            <w:tcW w:w="1698" w:type="dxa"/>
            <w:vMerge w:val="continue"/>
            <w:noWrap w:val="0"/>
            <w:vAlign w:val="center"/>
          </w:tcPr>
          <w:p w14:paraId="0D5CCA2A">
            <w:pPr>
              <w:rPr>
                <w:rFonts w:hint="eastAsia" w:ascii="宋体" w:hAnsi="宋体"/>
                <w:b/>
                <w:sz w:val="24"/>
                <w:highlight w:val="none"/>
              </w:rPr>
            </w:pPr>
          </w:p>
        </w:tc>
        <w:tc>
          <w:tcPr>
            <w:tcW w:w="5670" w:type="dxa"/>
            <w:noWrap w:val="0"/>
            <w:vAlign w:val="center"/>
          </w:tcPr>
          <w:p w14:paraId="20841B08">
            <w:pPr>
              <w:rPr>
                <w:rFonts w:hint="eastAsia" w:ascii="宋体" w:hAnsi="宋体"/>
                <w:sz w:val="24"/>
                <w:highlight w:val="none"/>
              </w:rPr>
            </w:pPr>
            <w:r>
              <w:rPr>
                <w:rFonts w:hint="eastAsia" w:ascii="宋体" w:hAnsi="宋体"/>
                <w:sz w:val="24"/>
                <w:highlight w:val="none"/>
              </w:rPr>
              <w:t>重点、难点分析不准确、对策缺乏针对性，得2分。</w:t>
            </w:r>
          </w:p>
        </w:tc>
        <w:tc>
          <w:tcPr>
            <w:tcW w:w="1045" w:type="dxa"/>
            <w:vMerge w:val="continue"/>
            <w:noWrap w:val="0"/>
            <w:vAlign w:val="center"/>
          </w:tcPr>
          <w:p w14:paraId="3C2E9017">
            <w:pPr>
              <w:jc w:val="center"/>
              <w:rPr>
                <w:rFonts w:hint="eastAsia" w:ascii="宋体" w:hAnsi="宋体"/>
                <w:sz w:val="24"/>
                <w:highlight w:val="none"/>
              </w:rPr>
            </w:pPr>
          </w:p>
        </w:tc>
      </w:tr>
      <w:tr w14:paraId="05A0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3039E7E9">
            <w:pPr>
              <w:jc w:val="center"/>
              <w:rPr>
                <w:rFonts w:hint="eastAsia" w:ascii="宋体" w:hAnsi="宋体"/>
                <w:b/>
                <w:sz w:val="24"/>
                <w:highlight w:val="none"/>
              </w:rPr>
            </w:pPr>
          </w:p>
        </w:tc>
        <w:tc>
          <w:tcPr>
            <w:tcW w:w="1698" w:type="dxa"/>
            <w:vMerge w:val="continue"/>
            <w:noWrap w:val="0"/>
            <w:vAlign w:val="center"/>
          </w:tcPr>
          <w:p w14:paraId="169371CA">
            <w:pPr>
              <w:rPr>
                <w:rFonts w:hint="eastAsia" w:ascii="宋体" w:hAnsi="宋体"/>
                <w:b/>
                <w:sz w:val="24"/>
                <w:highlight w:val="none"/>
              </w:rPr>
            </w:pPr>
          </w:p>
        </w:tc>
        <w:tc>
          <w:tcPr>
            <w:tcW w:w="5670" w:type="dxa"/>
            <w:noWrap w:val="0"/>
            <w:vAlign w:val="center"/>
          </w:tcPr>
          <w:p w14:paraId="301633AE">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1A778090">
            <w:pPr>
              <w:jc w:val="center"/>
              <w:rPr>
                <w:rFonts w:hint="eastAsia" w:ascii="宋体" w:hAnsi="宋体"/>
                <w:sz w:val="24"/>
                <w:highlight w:val="none"/>
              </w:rPr>
            </w:pPr>
          </w:p>
        </w:tc>
      </w:tr>
      <w:tr w14:paraId="262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14:paraId="77CD4B1A">
            <w:pPr>
              <w:jc w:val="center"/>
              <w:rPr>
                <w:rFonts w:hint="eastAsia" w:ascii="宋体" w:hAnsi="宋体"/>
                <w:b/>
                <w:sz w:val="24"/>
                <w:highlight w:val="none"/>
              </w:rPr>
            </w:pPr>
            <w:r>
              <w:rPr>
                <w:rFonts w:hint="eastAsia" w:ascii="宋体" w:hAnsi="宋体"/>
                <w:b/>
                <w:sz w:val="24"/>
                <w:highlight w:val="none"/>
              </w:rPr>
              <w:t>6</w:t>
            </w:r>
          </w:p>
        </w:tc>
        <w:tc>
          <w:tcPr>
            <w:tcW w:w="1698" w:type="dxa"/>
            <w:vMerge w:val="restart"/>
            <w:noWrap w:val="0"/>
            <w:vAlign w:val="center"/>
          </w:tcPr>
          <w:p w14:paraId="7A7726B0">
            <w:pPr>
              <w:rPr>
                <w:rFonts w:hint="eastAsia" w:ascii="宋体" w:hAnsi="宋体"/>
                <w:b/>
                <w:sz w:val="24"/>
                <w:highlight w:val="none"/>
              </w:rPr>
            </w:pPr>
            <w:r>
              <w:rPr>
                <w:rFonts w:hint="eastAsia" w:ascii="宋体" w:hAnsi="宋体"/>
                <w:b/>
                <w:sz w:val="24"/>
                <w:highlight w:val="none"/>
              </w:rPr>
              <w:t>劳动力计划</w:t>
            </w:r>
          </w:p>
          <w:p w14:paraId="776C23EA">
            <w:pPr>
              <w:rPr>
                <w:rFonts w:hint="eastAsia" w:ascii="宋体" w:hAnsi="宋体"/>
                <w:b/>
                <w:sz w:val="24"/>
                <w:highlight w:val="none"/>
              </w:rPr>
            </w:pPr>
            <w:r>
              <w:rPr>
                <w:rFonts w:hint="eastAsia" w:ascii="宋体" w:hAnsi="宋体"/>
                <w:b/>
                <w:sz w:val="24"/>
                <w:highlight w:val="none"/>
              </w:rPr>
              <w:t>及主要设备计划</w:t>
            </w:r>
          </w:p>
        </w:tc>
        <w:tc>
          <w:tcPr>
            <w:tcW w:w="5670" w:type="dxa"/>
            <w:noWrap w:val="0"/>
            <w:vAlign w:val="center"/>
          </w:tcPr>
          <w:p w14:paraId="33D33353">
            <w:pPr>
              <w:rPr>
                <w:rFonts w:hint="eastAsia" w:ascii="宋体" w:hAnsi="宋体"/>
                <w:sz w:val="24"/>
                <w:highlight w:val="none"/>
              </w:rPr>
            </w:pPr>
            <w:r>
              <w:rPr>
                <w:rFonts w:hint="eastAsia" w:ascii="宋体" w:hAnsi="宋体"/>
                <w:sz w:val="24"/>
                <w:highlight w:val="none"/>
              </w:rPr>
              <w:t>计划合理、科学，具有针对性，得8分；</w:t>
            </w:r>
          </w:p>
        </w:tc>
        <w:tc>
          <w:tcPr>
            <w:tcW w:w="1045" w:type="dxa"/>
            <w:vMerge w:val="restart"/>
            <w:noWrap w:val="0"/>
            <w:vAlign w:val="center"/>
          </w:tcPr>
          <w:p w14:paraId="604E1CDF">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8</w:t>
            </w:r>
          </w:p>
        </w:tc>
      </w:tr>
      <w:tr w14:paraId="2250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0021BAFC">
            <w:pPr>
              <w:jc w:val="center"/>
              <w:rPr>
                <w:rFonts w:hint="eastAsia" w:ascii="宋体" w:hAnsi="宋体"/>
                <w:b/>
                <w:sz w:val="24"/>
                <w:highlight w:val="none"/>
              </w:rPr>
            </w:pPr>
          </w:p>
        </w:tc>
        <w:tc>
          <w:tcPr>
            <w:tcW w:w="1698" w:type="dxa"/>
            <w:vMerge w:val="continue"/>
            <w:noWrap w:val="0"/>
            <w:vAlign w:val="center"/>
          </w:tcPr>
          <w:p w14:paraId="2C0189DF">
            <w:pPr>
              <w:rPr>
                <w:rFonts w:hint="eastAsia" w:ascii="宋体" w:hAnsi="宋体"/>
                <w:b/>
                <w:sz w:val="24"/>
                <w:highlight w:val="none"/>
              </w:rPr>
            </w:pPr>
          </w:p>
        </w:tc>
        <w:tc>
          <w:tcPr>
            <w:tcW w:w="5670" w:type="dxa"/>
            <w:noWrap w:val="0"/>
            <w:vAlign w:val="center"/>
          </w:tcPr>
          <w:p w14:paraId="4F165DC3">
            <w:pPr>
              <w:rPr>
                <w:rFonts w:hint="eastAsia" w:ascii="宋体" w:hAnsi="宋体"/>
                <w:sz w:val="24"/>
                <w:highlight w:val="none"/>
              </w:rPr>
            </w:pPr>
            <w:r>
              <w:rPr>
                <w:rFonts w:hint="eastAsia" w:ascii="宋体" w:hAnsi="宋体"/>
                <w:sz w:val="24"/>
                <w:highlight w:val="none"/>
              </w:rPr>
              <w:t>计划较合理，针对性一般，得6分；</w:t>
            </w:r>
          </w:p>
        </w:tc>
        <w:tc>
          <w:tcPr>
            <w:tcW w:w="1045" w:type="dxa"/>
            <w:vMerge w:val="continue"/>
            <w:noWrap w:val="0"/>
            <w:vAlign w:val="center"/>
          </w:tcPr>
          <w:p w14:paraId="6068BA46">
            <w:pPr>
              <w:jc w:val="center"/>
              <w:rPr>
                <w:rFonts w:hint="eastAsia" w:ascii="宋体" w:hAnsi="宋体"/>
                <w:sz w:val="24"/>
                <w:highlight w:val="none"/>
              </w:rPr>
            </w:pPr>
          </w:p>
        </w:tc>
      </w:tr>
      <w:tr w14:paraId="70FB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359696AB">
            <w:pPr>
              <w:jc w:val="center"/>
              <w:rPr>
                <w:rFonts w:hint="eastAsia" w:ascii="宋体" w:hAnsi="宋体"/>
                <w:b/>
                <w:sz w:val="24"/>
                <w:highlight w:val="none"/>
              </w:rPr>
            </w:pPr>
          </w:p>
        </w:tc>
        <w:tc>
          <w:tcPr>
            <w:tcW w:w="1698" w:type="dxa"/>
            <w:vMerge w:val="continue"/>
            <w:noWrap w:val="0"/>
            <w:vAlign w:val="center"/>
          </w:tcPr>
          <w:p w14:paraId="5D04A7EB">
            <w:pPr>
              <w:rPr>
                <w:rFonts w:hint="eastAsia" w:ascii="宋体" w:hAnsi="宋体"/>
                <w:b/>
                <w:sz w:val="24"/>
                <w:highlight w:val="none"/>
              </w:rPr>
            </w:pPr>
          </w:p>
        </w:tc>
        <w:tc>
          <w:tcPr>
            <w:tcW w:w="5670" w:type="dxa"/>
            <w:noWrap w:val="0"/>
            <w:vAlign w:val="center"/>
          </w:tcPr>
          <w:p w14:paraId="01A182D8">
            <w:pPr>
              <w:rPr>
                <w:rFonts w:hint="eastAsia" w:ascii="宋体" w:hAnsi="宋体"/>
                <w:sz w:val="24"/>
                <w:highlight w:val="none"/>
              </w:rPr>
            </w:pPr>
            <w:r>
              <w:rPr>
                <w:rFonts w:hint="eastAsia" w:ascii="宋体" w:hAnsi="宋体"/>
                <w:sz w:val="24"/>
                <w:highlight w:val="none"/>
              </w:rPr>
              <w:t>计划一般，缺乏针对性，得4分；</w:t>
            </w:r>
          </w:p>
        </w:tc>
        <w:tc>
          <w:tcPr>
            <w:tcW w:w="1045" w:type="dxa"/>
            <w:vMerge w:val="continue"/>
            <w:noWrap w:val="0"/>
            <w:vAlign w:val="center"/>
          </w:tcPr>
          <w:p w14:paraId="2E1FD3A7">
            <w:pPr>
              <w:jc w:val="center"/>
              <w:rPr>
                <w:rFonts w:hint="eastAsia" w:ascii="宋体" w:hAnsi="宋体"/>
                <w:sz w:val="24"/>
                <w:highlight w:val="none"/>
              </w:rPr>
            </w:pPr>
          </w:p>
        </w:tc>
      </w:tr>
      <w:tr w14:paraId="438F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63A8A945">
            <w:pPr>
              <w:jc w:val="center"/>
              <w:rPr>
                <w:rFonts w:hint="eastAsia" w:ascii="宋体" w:hAnsi="宋体"/>
                <w:b/>
                <w:sz w:val="24"/>
                <w:highlight w:val="none"/>
              </w:rPr>
            </w:pPr>
          </w:p>
        </w:tc>
        <w:tc>
          <w:tcPr>
            <w:tcW w:w="1698" w:type="dxa"/>
            <w:vMerge w:val="continue"/>
            <w:noWrap w:val="0"/>
            <w:vAlign w:val="center"/>
          </w:tcPr>
          <w:p w14:paraId="52568A03">
            <w:pPr>
              <w:rPr>
                <w:rFonts w:hint="eastAsia" w:ascii="宋体" w:hAnsi="宋体"/>
                <w:b/>
                <w:sz w:val="24"/>
                <w:highlight w:val="none"/>
              </w:rPr>
            </w:pPr>
          </w:p>
        </w:tc>
        <w:tc>
          <w:tcPr>
            <w:tcW w:w="5670" w:type="dxa"/>
            <w:noWrap w:val="0"/>
            <w:vAlign w:val="center"/>
          </w:tcPr>
          <w:p w14:paraId="20D76BEF">
            <w:pPr>
              <w:rPr>
                <w:rFonts w:hint="eastAsia" w:ascii="宋体" w:hAnsi="宋体"/>
                <w:sz w:val="24"/>
                <w:highlight w:val="none"/>
              </w:rPr>
            </w:pPr>
            <w:r>
              <w:rPr>
                <w:rFonts w:hint="eastAsia" w:ascii="宋体" w:hAnsi="宋体"/>
                <w:sz w:val="24"/>
                <w:highlight w:val="none"/>
              </w:rPr>
              <w:t>计划欠合理，得2分。</w:t>
            </w:r>
          </w:p>
        </w:tc>
        <w:tc>
          <w:tcPr>
            <w:tcW w:w="1045" w:type="dxa"/>
            <w:vMerge w:val="continue"/>
            <w:noWrap w:val="0"/>
            <w:vAlign w:val="center"/>
          </w:tcPr>
          <w:p w14:paraId="4F09B0BC">
            <w:pPr>
              <w:jc w:val="center"/>
              <w:rPr>
                <w:rFonts w:hint="eastAsia" w:ascii="宋体" w:hAnsi="宋体"/>
                <w:sz w:val="24"/>
                <w:highlight w:val="none"/>
              </w:rPr>
            </w:pPr>
          </w:p>
        </w:tc>
      </w:tr>
      <w:tr w14:paraId="46E4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14:paraId="05ED6B00">
            <w:pPr>
              <w:jc w:val="center"/>
              <w:rPr>
                <w:rFonts w:hint="eastAsia" w:ascii="宋体" w:hAnsi="宋体"/>
                <w:b/>
                <w:sz w:val="24"/>
                <w:highlight w:val="none"/>
              </w:rPr>
            </w:pPr>
          </w:p>
        </w:tc>
        <w:tc>
          <w:tcPr>
            <w:tcW w:w="1698" w:type="dxa"/>
            <w:vMerge w:val="continue"/>
            <w:noWrap w:val="0"/>
            <w:vAlign w:val="center"/>
          </w:tcPr>
          <w:p w14:paraId="2611E214">
            <w:pPr>
              <w:rPr>
                <w:rFonts w:hint="eastAsia" w:ascii="宋体" w:hAnsi="宋体"/>
                <w:b/>
                <w:sz w:val="24"/>
                <w:highlight w:val="none"/>
              </w:rPr>
            </w:pPr>
          </w:p>
        </w:tc>
        <w:tc>
          <w:tcPr>
            <w:tcW w:w="5670" w:type="dxa"/>
            <w:noWrap w:val="0"/>
            <w:vAlign w:val="center"/>
          </w:tcPr>
          <w:p w14:paraId="2AB0D12A">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5E9C5874">
            <w:pPr>
              <w:jc w:val="center"/>
              <w:rPr>
                <w:rFonts w:hint="eastAsia" w:ascii="宋体" w:hAnsi="宋体"/>
                <w:sz w:val="24"/>
                <w:highlight w:val="none"/>
              </w:rPr>
            </w:pPr>
          </w:p>
        </w:tc>
      </w:tr>
      <w:tr w14:paraId="6F78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67" w:type="dxa"/>
            <w:vMerge w:val="restart"/>
            <w:noWrap w:val="0"/>
            <w:vAlign w:val="center"/>
          </w:tcPr>
          <w:p w14:paraId="3180B66A">
            <w:pPr>
              <w:jc w:val="center"/>
              <w:rPr>
                <w:rFonts w:hint="eastAsia" w:ascii="宋体" w:hAnsi="宋体"/>
                <w:b/>
                <w:sz w:val="24"/>
                <w:highlight w:val="none"/>
              </w:rPr>
            </w:pPr>
            <w:r>
              <w:rPr>
                <w:rFonts w:ascii="宋体" w:hAnsi="宋体"/>
                <w:b/>
                <w:sz w:val="24"/>
                <w:highlight w:val="none"/>
              </w:rPr>
              <w:t>7</w:t>
            </w:r>
          </w:p>
        </w:tc>
        <w:tc>
          <w:tcPr>
            <w:tcW w:w="1698" w:type="dxa"/>
            <w:vMerge w:val="restart"/>
            <w:noWrap w:val="0"/>
            <w:vAlign w:val="center"/>
          </w:tcPr>
          <w:p w14:paraId="52F3BDEA">
            <w:pPr>
              <w:rPr>
                <w:rFonts w:hint="eastAsia" w:ascii="宋体" w:hAnsi="宋体"/>
                <w:b/>
                <w:sz w:val="24"/>
                <w:highlight w:val="none"/>
              </w:rPr>
            </w:pPr>
            <w:r>
              <w:rPr>
                <w:rFonts w:hint="eastAsia" w:ascii="宋体" w:hAnsi="宋体"/>
                <w:b/>
                <w:sz w:val="24"/>
                <w:highlight w:val="none"/>
              </w:rPr>
              <w:t>成品保护和工程保修工作的管理措施和承诺</w:t>
            </w:r>
          </w:p>
        </w:tc>
        <w:tc>
          <w:tcPr>
            <w:tcW w:w="5670" w:type="dxa"/>
            <w:noWrap w:val="0"/>
            <w:vAlign w:val="center"/>
          </w:tcPr>
          <w:p w14:paraId="287D46C6">
            <w:pPr>
              <w:rPr>
                <w:rFonts w:hint="eastAsia" w:ascii="宋体" w:hAnsi="宋体"/>
                <w:sz w:val="24"/>
                <w:highlight w:val="none"/>
              </w:rPr>
            </w:pPr>
            <w:r>
              <w:rPr>
                <w:rFonts w:hint="eastAsia" w:ascii="宋体" w:hAnsi="宋体"/>
                <w:sz w:val="24"/>
                <w:highlight w:val="none"/>
              </w:rPr>
              <w:t>管理措施合理、有力，针对性强，承诺内容可行性强，得</w:t>
            </w:r>
            <w:r>
              <w:rPr>
                <w:rFonts w:ascii="宋体" w:hAnsi="宋体"/>
                <w:sz w:val="24"/>
                <w:highlight w:val="none"/>
              </w:rPr>
              <w:t>7</w:t>
            </w:r>
            <w:r>
              <w:rPr>
                <w:rFonts w:hint="eastAsia" w:ascii="宋体" w:hAnsi="宋体"/>
                <w:sz w:val="24"/>
                <w:highlight w:val="none"/>
              </w:rPr>
              <w:t>分；</w:t>
            </w:r>
          </w:p>
        </w:tc>
        <w:tc>
          <w:tcPr>
            <w:tcW w:w="1045" w:type="dxa"/>
            <w:vMerge w:val="restart"/>
            <w:noWrap w:val="0"/>
            <w:vAlign w:val="center"/>
          </w:tcPr>
          <w:p w14:paraId="1F49AF52">
            <w:pPr>
              <w:jc w:val="center"/>
              <w:rPr>
                <w:rFonts w:hint="eastAsia" w:ascii="宋体" w:hAnsi="宋体"/>
                <w:sz w:val="24"/>
                <w:highlight w:val="none"/>
              </w:rPr>
            </w:pPr>
            <w:r>
              <w:rPr>
                <w:rFonts w:hint="eastAsia" w:ascii="宋体" w:hAnsi="宋体"/>
                <w:sz w:val="24"/>
                <w:highlight w:val="none"/>
              </w:rPr>
              <w:t>0</w:t>
            </w:r>
            <w:r>
              <w:rPr>
                <w:rFonts w:ascii="宋体" w:hAnsi="宋体"/>
                <w:sz w:val="24"/>
                <w:highlight w:val="none"/>
              </w:rPr>
              <w:t>-7</w:t>
            </w:r>
          </w:p>
        </w:tc>
      </w:tr>
      <w:tr w14:paraId="34CF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7" w:type="dxa"/>
            <w:vMerge w:val="continue"/>
            <w:noWrap w:val="0"/>
            <w:vAlign w:val="center"/>
          </w:tcPr>
          <w:p w14:paraId="7DF194EC">
            <w:pPr>
              <w:jc w:val="center"/>
              <w:rPr>
                <w:rFonts w:hint="eastAsia" w:ascii="宋体" w:hAnsi="宋体"/>
                <w:b/>
                <w:sz w:val="24"/>
                <w:highlight w:val="none"/>
              </w:rPr>
            </w:pPr>
          </w:p>
        </w:tc>
        <w:tc>
          <w:tcPr>
            <w:tcW w:w="1698" w:type="dxa"/>
            <w:vMerge w:val="continue"/>
            <w:noWrap w:val="0"/>
            <w:vAlign w:val="center"/>
          </w:tcPr>
          <w:p w14:paraId="2FC341F5">
            <w:pPr>
              <w:rPr>
                <w:rFonts w:hint="eastAsia" w:ascii="宋体" w:hAnsi="宋体"/>
                <w:b/>
                <w:sz w:val="24"/>
                <w:highlight w:val="none"/>
              </w:rPr>
            </w:pPr>
          </w:p>
        </w:tc>
        <w:tc>
          <w:tcPr>
            <w:tcW w:w="5670" w:type="dxa"/>
            <w:noWrap w:val="0"/>
            <w:vAlign w:val="center"/>
          </w:tcPr>
          <w:p w14:paraId="1A46FBF1">
            <w:pPr>
              <w:rPr>
                <w:rFonts w:hint="eastAsia" w:ascii="宋体" w:hAnsi="宋体"/>
                <w:sz w:val="24"/>
                <w:highlight w:val="none"/>
              </w:rPr>
            </w:pPr>
            <w:r>
              <w:rPr>
                <w:rFonts w:hint="eastAsia" w:ascii="宋体" w:hAnsi="宋体"/>
                <w:sz w:val="24"/>
                <w:highlight w:val="none"/>
              </w:rPr>
              <w:t>管理措施较合理，但针对性一般，承诺内容可行性一般，得5分；</w:t>
            </w:r>
          </w:p>
        </w:tc>
        <w:tc>
          <w:tcPr>
            <w:tcW w:w="1045" w:type="dxa"/>
            <w:vMerge w:val="continue"/>
            <w:noWrap w:val="0"/>
            <w:vAlign w:val="center"/>
          </w:tcPr>
          <w:p w14:paraId="51222471">
            <w:pPr>
              <w:jc w:val="center"/>
              <w:rPr>
                <w:rFonts w:hint="eastAsia" w:ascii="宋体" w:hAnsi="宋体"/>
                <w:sz w:val="24"/>
                <w:highlight w:val="none"/>
              </w:rPr>
            </w:pPr>
          </w:p>
        </w:tc>
      </w:tr>
      <w:tr w14:paraId="65BA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7" w:type="dxa"/>
            <w:vMerge w:val="continue"/>
            <w:noWrap w:val="0"/>
            <w:vAlign w:val="center"/>
          </w:tcPr>
          <w:p w14:paraId="3086CA9E">
            <w:pPr>
              <w:jc w:val="center"/>
              <w:rPr>
                <w:rFonts w:hint="eastAsia" w:ascii="宋体" w:hAnsi="宋体"/>
                <w:b/>
                <w:sz w:val="24"/>
                <w:highlight w:val="none"/>
              </w:rPr>
            </w:pPr>
          </w:p>
        </w:tc>
        <w:tc>
          <w:tcPr>
            <w:tcW w:w="1698" w:type="dxa"/>
            <w:vMerge w:val="continue"/>
            <w:noWrap w:val="0"/>
            <w:vAlign w:val="center"/>
          </w:tcPr>
          <w:p w14:paraId="33ED8A72">
            <w:pPr>
              <w:rPr>
                <w:rFonts w:hint="eastAsia" w:ascii="宋体" w:hAnsi="宋体"/>
                <w:b/>
                <w:sz w:val="24"/>
                <w:highlight w:val="none"/>
              </w:rPr>
            </w:pPr>
          </w:p>
        </w:tc>
        <w:tc>
          <w:tcPr>
            <w:tcW w:w="5670" w:type="dxa"/>
            <w:noWrap w:val="0"/>
            <w:vAlign w:val="center"/>
          </w:tcPr>
          <w:p w14:paraId="3753D041">
            <w:pPr>
              <w:rPr>
                <w:rFonts w:hint="eastAsia" w:ascii="宋体" w:hAnsi="宋体"/>
                <w:sz w:val="24"/>
                <w:highlight w:val="none"/>
              </w:rPr>
            </w:pPr>
            <w:r>
              <w:rPr>
                <w:rFonts w:hint="eastAsia" w:ascii="宋体" w:hAnsi="宋体"/>
                <w:sz w:val="24"/>
                <w:highlight w:val="none"/>
              </w:rPr>
              <w:t>管理措施合理，但缺乏针对性，承诺内容勉强可行，得3分；</w:t>
            </w:r>
          </w:p>
        </w:tc>
        <w:tc>
          <w:tcPr>
            <w:tcW w:w="1045" w:type="dxa"/>
            <w:vMerge w:val="continue"/>
            <w:noWrap w:val="0"/>
            <w:vAlign w:val="center"/>
          </w:tcPr>
          <w:p w14:paraId="24FC34E8">
            <w:pPr>
              <w:jc w:val="center"/>
              <w:rPr>
                <w:rFonts w:hint="eastAsia" w:ascii="宋体" w:hAnsi="宋体"/>
                <w:sz w:val="24"/>
                <w:highlight w:val="none"/>
              </w:rPr>
            </w:pPr>
          </w:p>
        </w:tc>
      </w:tr>
      <w:tr w14:paraId="7036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7" w:type="dxa"/>
            <w:vMerge w:val="continue"/>
            <w:noWrap w:val="0"/>
            <w:vAlign w:val="center"/>
          </w:tcPr>
          <w:p w14:paraId="419985F6">
            <w:pPr>
              <w:jc w:val="center"/>
              <w:rPr>
                <w:rFonts w:hint="eastAsia" w:ascii="宋体" w:hAnsi="宋体"/>
                <w:b/>
                <w:sz w:val="24"/>
                <w:highlight w:val="none"/>
              </w:rPr>
            </w:pPr>
          </w:p>
        </w:tc>
        <w:tc>
          <w:tcPr>
            <w:tcW w:w="1698" w:type="dxa"/>
            <w:vMerge w:val="continue"/>
            <w:noWrap w:val="0"/>
            <w:vAlign w:val="center"/>
          </w:tcPr>
          <w:p w14:paraId="652F30E9">
            <w:pPr>
              <w:rPr>
                <w:rFonts w:hint="eastAsia" w:ascii="宋体" w:hAnsi="宋体"/>
                <w:b/>
                <w:sz w:val="24"/>
                <w:highlight w:val="none"/>
              </w:rPr>
            </w:pPr>
          </w:p>
        </w:tc>
        <w:tc>
          <w:tcPr>
            <w:tcW w:w="5670" w:type="dxa"/>
            <w:noWrap w:val="0"/>
            <w:vAlign w:val="center"/>
          </w:tcPr>
          <w:p w14:paraId="1039EB18">
            <w:pPr>
              <w:rPr>
                <w:rFonts w:hint="eastAsia" w:ascii="宋体" w:hAnsi="宋体"/>
                <w:sz w:val="24"/>
                <w:highlight w:val="none"/>
              </w:rPr>
            </w:pPr>
            <w:r>
              <w:rPr>
                <w:rFonts w:hint="eastAsia" w:ascii="宋体" w:hAnsi="宋体"/>
                <w:sz w:val="24"/>
                <w:highlight w:val="none"/>
              </w:rPr>
              <w:t>管理措施欠合理，针对性欠佳，承诺内容可行性不符项目特点，得</w:t>
            </w:r>
            <w:r>
              <w:rPr>
                <w:rFonts w:ascii="宋体" w:hAnsi="宋体"/>
                <w:sz w:val="24"/>
                <w:highlight w:val="none"/>
              </w:rPr>
              <w:t>1</w:t>
            </w:r>
            <w:r>
              <w:rPr>
                <w:rFonts w:hint="eastAsia" w:ascii="宋体" w:hAnsi="宋体"/>
                <w:sz w:val="24"/>
                <w:highlight w:val="none"/>
              </w:rPr>
              <w:t>分。</w:t>
            </w:r>
          </w:p>
        </w:tc>
        <w:tc>
          <w:tcPr>
            <w:tcW w:w="1045" w:type="dxa"/>
            <w:vMerge w:val="continue"/>
            <w:noWrap w:val="0"/>
            <w:vAlign w:val="center"/>
          </w:tcPr>
          <w:p w14:paraId="55C247CB">
            <w:pPr>
              <w:jc w:val="center"/>
              <w:rPr>
                <w:rFonts w:hint="eastAsia" w:ascii="宋体" w:hAnsi="宋体"/>
                <w:sz w:val="24"/>
                <w:highlight w:val="none"/>
              </w:rPr>
            </w:pPr>
          </w:p>
        </w:tc>
      </w:tr>
      <w:tr w14:paraId="5CC6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7" w:type="dxa"/>
            <w:vMerge w:val="continue"/>
            <w:noWrap w:val="0"/>
            <w:vAlign w:val="center"/>
          </w:tcPr>
          <w:p w14:paraId="44D43144">
            <w:pPr>
              <w:jc w:val="center"/>
              <w:rPr>
                <w:rFonts w:hint="eastAsia" w:ascii="宋体" w:hAnsi="宋体"/>
                <w:b/>
                <w:sz w:val="24"/>
                <w:highlight w:val="none"/>
              </w:rPr>
            </w:pPr>
          </w:p>
        </w:tc>
        <w:tc>
          <w:tcPr>
            <w:tcW w:w="1698" w:type="dxa"/>
            <w:vMerge w:val="continue"/>
            <w:noWrap w:val="0"/>
            <w:vAlign w:val="center"/>
          </w:tcPr>
          <w:p w14:paraId="6CED7E85">
            <w:pPr>
              <w:rPr>
                <w:rFonts w:hint="eastAsia" w:ascii="宋体" w:hAnsi="宋体"/>
                <w:b/>
                <w:sz w:val="24"/>
                <w:highlight w:val="none"/>
              </w:rPr>
            </w:pPr>
          </w:p>
        </w:tc>
        <w:tc>
          <w:tcPr>
            <w:tcW w:w="5670" w:type="dxa"/>
            <w:noWrap w:val="0"/>
            <w:vAlign w:val="center"/>
          </w:tcPr>
          <w:p w14:paraId="6E9DB7A0">
            <w:pPr>
              <w:rPr>
                <w:rFonts w:hint="eastAsia" w:ascii="宋体" w:hAnsi="宋体"/>
                <w:sz w:val="24"/>
                <w:highlight w:val="none"/>
              </w:rPr>
            </w:pPr>
            <w:r>
              <w:rPr>
                <w:rFonts w:hint="eastAsia" w:ascii="宋体" w:hAnsi="宋体"/>
                <w:sz w:val="24"/>
                <w:highlight w:val="none"/>
              </w:rPr>
              <w:t>未提供得0分。</w:t>
            </w:r>
          </w:p>
        </w:tc>
        <w:tc>
          <w:tcPr>
            <w:tcW w:w="1045" w:type="dxa"/>
            <w:vMerge w:val="continue"/>
            <w:noWrap w:val="0"/>
            <w:vAlign w:val="center"/>
          </w:tcPr>
          <w:p w14:paraId="7D376F20">
            <w:pPr>
              <w:jc w:val="center"/>
              <w:rPr>
                <w:rFonts w:hint="eastAsia" w:ascii="宋体" w:hAnsi="宋体"/>
                <w:sz w:val="24"/>
                <w:highlight w:val="none"/>
              </w:rPr>
            </w:pPr>
          </w:p>
        </w:tc>
      </w:tr>
      <w:tr w14:paraId="33E3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noWrap w:val="0"/>
            <w:vAlign w:val="center"/>
          </w:tcPr>
          <w:p w14:paraId="29FB9A31">
            <w:pPr>
              <w:jc w:val="center"/>
              <w:rPr>
                <w:rFonts w:hint="eastAsia" w:ascii="宋体" w:hAnsi="宋体"/>
                <w:b/>
                <w:sz w:val="24"/>
                <w:highlight w:val="none"/>
              </w:rPr>
            </w:pPr>
            <w:r>
              <w:rPr>
                <w:rFonts w:hint="eastAsia" w:ascii="宋体" w:hAnsi="宋体"/>
                <w:b/>
                <w:sz w:val="24"/>
                <w:highlight w:val="none"/>
              </w:rPr>
              <w:t>三</w:t>
            </w:r>
          </w:p>
        </w:tc>
        <w:tc>
          <w:tcPr>
            <w:tcW w:w="8413" w:type="dxa"/>
            <w:gridSpan w:val="3"/>
            <w:noWrap w:val="0"/>
            <w:vAlign w:val="center"/>
          </w:tcPr>
          <w:p w14:paraId="10EB3D78">
            <w:pPr>
              <w:rPr>
                <w:rFonts w:hint="eastAsia" w:ascii="宋体" w:hAnsi="宋体"/>
                <w:b/>
                <w:sz w:val="24"/>
                <w:highlight w:val="none"/>
              </w:rPr>
            </w:pPr>
            <w:r>
              <w:rPr>
                <w:rFonts w:hint="eastAsia" w:ascii="宋体" w:hAnsi="宋体"/>
                <w:b/>
                <w:sz w:val="24"/>
                <w:highlight w:val="none"/>
              </w:rPr>
              <w:t>综合商务（30分）</w:t>
            </w:r>
          </w:p>
        </w:tc>
      </w:tr>
      <w:tr w14:paraId="2556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7" w:type="dxa"/>
            <w:noWrap w:val="0"/>
            <w:vAlign w:val="center"/>
          </w:tcPr>
          <w:p w14:paraId="26EDB1FD">
            <w:pPr>
              <w:jc w:val="center"/>
              <w:rPr>
                <w:rFonts w:hint="eastAsia" w:ascii="宋体" w:hAnsi="宋体"/>
                <w:b/>
                <w:sz w:val="24"/>
                <w:highlight w:val="none"/>
              </w:rPr>
            </w:pPr>
            <w:r>
              <w:rPr>
                <w:rFonts w:hint="eastAsia" w:ascii="宋体" w:hAnsi="宋体"/>
                <w:b/>
                <w:sz w:val="24"/>
                <w:highlight w:val="none"/>
              </w:rPr>
              <w:t>1</w:t>
            </w:r>
          </w:p>
        </w:tc>
        <w:tc>
          <w:tcPr>
            <w:tcW w:w="1698" w:type="dxa"/>
            <w:noWrap w:val="0"/>
            <w:vAlign w:val="center"/>
          </w:tcPr>
          <w:p w14:paraId="21A5E6A8">
            <w:pPr>
              <w:spacing w:line="360" w:lineRule="auto"/>
              <w:jc w:val="center"/>
              <w:rPr>
                <w:rFonts w:hint="eastAsia" w:ascii="宋体" w:hAnsi="宋体"/>
                <w:b/>
                <w:bCs/>
                <w:sz w:val="24"/>
                <w:highlight w:val="none"/>
              </w:rPr>
            </w:pPr>
            <w:r>
              <w:rPr>
                <w:rFonts w:hint="eastAsia" w:ascii="宋体" w:hAnsi="宋体"/>
                <w:b/>
                <w:bCs/>
                <w:sz w:val="24"/>
                <w:highlight w:val="none"/>
              </w:rPr>
              <w:t>项目管理机构评分标准</w:t>
            </w:r>
          </w:p>
        </w:tc>
        <w:tc>
          <w:tcPr>
            <w:tcW w:w="5670" w:type="dxa"/>
            <w:noWrap w:val="0"/>
            <w:vAlign w:val="center"/>
          </w:tcPr>
          <w:p w14:paraId="1594CB1B">
            <w:pPr>
              <w:adjustRightInd w:val="0"/>
              <w:snapToGrid w:val="0"/>
              <w:spacing w:line="360" w:lineRule="auto"/>
              <w:rPr>
                <w:rFonts w:hint="eastAsia" w:ascii="宋体" w:hAnsi="宋体"/>
                <w:sz w:val="24"/>
                <w:highlight w:val="none"/>
              </w:rPr>
            </w:pPr>
            <w:r>
              <w:rPr>
                <w:rFonts w:hint="eastAsia" w:ascii="宋体" w:hAnsi="宋体"/>
                <w:sz w:val="24"/>
                <w:highlight w:val="none"/>
              </w:rPr>
              <w:t>管理机构配备充分合理，人员</w:t>
            </w:r>
            <w:r>
              <w:rPr>
                <w:rFonts w:ascii="宋体" w:hAnsi="宋体"/>
                <w:sz w:val="24"/>
                <w:highlight w:val="none"/>
              </w:rPr>
              <w:t>配备齐全</w:t>
            </w:r>
            <w:r>
              <w:rPr>
                <w:rFonts w:hint="eastAsia" w:ascii="宋体" w:hAnsi="宋体"/>
                <w:sz w:val="24"/>
                <w:highlight w:val="none"/>
              </w:rPr>
              <w:t>，得9分；</w:t>
            </w:r>
          </w:p>
          <w:p w14:paraId="010C1EE0">
            <w:pPr>
              <w:adjustRightInd w:val="0"/>
              <w:snapToGrid w:val="0"/>
              <w:spacing w:line="360" w:lineRule="auto"/>
              <w:rPr>
                <w:rFonts w:hint="eastAsia" w:ascii="宋体" w:hAnsi="宋体"/>
                <w:sz w:val="24"/>
                <w:highlight w:val="none"/>
              </w:rPr>
            </w:pPr>
            <w:r>
              <w:rPr>
                <w:rFonts w:hint="eastAsia" w:ascii="宋体" w:hAnsi="宋体"/>
                <w:sz w:val="24"/>
                <w:highlight w:val="none"/>
              </w:rPr>
              <w:t>管理机构配备略有欠缺，人员</w:t>
            </w:r>
            <w:r>
              <w:rPr>
                <w:rFonts w:ascii="宋体" w:hAnsi="宋体"/>
                <w:sz w:val="24"/>
                <w:highlight w:val="none"/>
              </w:rPr>
              <w:t>配备</w:t>
            </w:r>
            <w:r>
              <w:rPr>
                <w:rFonts w:hint="eastAsia" w:ascii="宋体" w:hAnsi="宋体"/>
                <w:sz w:val="24"/>
                <w:highlight w:val="none"/>
              </w:rPr>
              <w:t>略有欠缺，得6分；</w:t>
            </w:r>
          </w:p>
          <w:p w14:paraId="4C161973">
            <w:pPr>
              <w:adjustRightInd w:val="0"/>
              <w:snapToGrid w:val="0"/>
              <w:spacing w:line="360" w:lineRule="auto"/>
              <w:rPr>
                <w:rFonts w:hint="eastAsia" w:ascii="宋体" w:hAnsi="宋体"/>
                <w:sz w:val="24"/>
                <w:highlight w:val="none"/>
              </w:rPr>
            </w:pPr>
            <w:r>
              <w:rPr>
                <w:rFonts w:hint="eastAsia" w:ascii="宋体" w:hAnsi="宋体"/>
                <w:sz w:val="24"/>
                <w:highlight w:val="none"/>
              </w:rPr>
              <w:t>管理机构配备一般，人员</w:t>
            </w:r>
            <w:r>
              <w:rPr>
                <w:rFonts w:ascii="宋体" w:hAnsi="宋体"/>
                <w:sz w:val="24"/>
                <w:highlight w:val="none"/>
              </w:rPr>
              <w:t>配备</w:t>
            </w:r>
            <w:r>
              <w:rPr>
                <w:rFonts w:hint="eastAsia" w:ascii="宋体" w:hAnsi="宋体"/>
                <w:sz w:val="24"/>
                <w:highlight w:val="none"/>
              </w:rPr>
              <w:t>基本</w:t>
            </w:r>
            <w:r>
              <w:rPr>
                <w:rFonts w:ascii="宋体" w:hAnsi="宋体"/>
                <w:sz w:val="24"/>
                <w:highlight w:val="none"/>
              </w:rPr>
              <w:t>齐全</w:t>
            </w:r>
            <w:r>
              <w:rPr>
                <w:rFonts w:hint="eastAsia" w:ascii="宋体" w:hAnsi="宋体"/>
                <w:sz w:val="24"/>
                <w:highlight w:val="none"/>
              </w:rPr>
              <w:t>，得3分；</w:t>
            </w:r>
          </w:p>
          <w:p w14:paraId="5BE843FC">
            <w:pPr>
              <w:adjustRightInd w:val="0"/>
              <w:snapToGrid w:val="0"/>
              <w:spacing w:line="360" w:lineRule="auto"/>
              <w:rPr>
                <w:rFonts w:hint="eastAsia" w:ascii="宋体" w:hAnsi="宋体"/>
                <w:sz w:val="24"/>
                <w:highlight w:val="none"/>
              </w:rPr>
            </w:pPr>
            <w:r>
              <w:rPr>
                <w:rFonts w:hint="eastAsia" w:ascii="宋体" w:hAnsi="宋体"/>
                <w:sz w:val="24"/>
                <w:highlight w:val="none"/>
              </w:rPr>
              <w:t>管理机构配备基本合理，</w:t>
            </w:r>
            <w:r>
              <w:rPr>
                <w:rFonts w:ascii="宋体" w:hAnsi="宋体"/>
                <w:sz w:val="24"/>
                <w:highlight w:val="none"/>
              </w:rPr>
              <w:t>人员</w:t>
            </w:r>
            <w:r>
              <w:rPr>
                <w:rFonts w:hint="eastAsia" w:ascii="宋体" w:hAnsi="宋体"/>
                <w:sz w:val="24"/>
                <w:highlight w:val="none"/>
              </w:rPr>
              <w:t>配备基本能满足工程需要，得</w:t>
            </w:r>
            <w:r>
              <w:rPr>
                <w:rFonts w:ascii="宋体" w:hAnsi="宋体"/>
                <w:sz w:val="24"/>
                <w:highlight w:val="none"/>
              </w:rPr>
              <w:t>1</w:t>
            </w:r>
            <w:r>
              <w:rPr>
                <w:rFonts w:hint="eastAsia" w:ascii="宋体" w:hAnsi="宋体"/>
                <w:sz w:val="24"/>
                <w:highlight w:val="none"/>
              </w:rPr>
              <w:t>分；</w:t>
            </w:r>
          </w:p>
          <w:p w14:paraId="6499A155">
            <w:pPr>
              <w:spacing w:line="360" w:lineRule="auto"/>
              <w:rPr>
                <w:rFonts w:hint="eastAsia" w:ascii="宋体" w:hAnsi="宋体"/>
                <w:sz w:val="24"/>
                <w:highlight w:val="none"/>
              </w:rPr>
            </w:pPr>
            <w:r>
              <w:rPr>
                <w:rFonts w:hint="eastAsia" w:ascii="宋体" w:hAnsi="宋体"/>
                <w:sz w:val="24"/>
                <w:highlight w:val="none"/>
              </w:rPr>
              <w:t>未提供</w:t>
            </w:r>
            <w:r>
              <w:rPr>
                <w:rFonts w:ascii="宋体" w:hAnsi="宋体"/>
                <w:sz w:val="24"/>
                <w:highlight w:val="none"/>
              </w:rPr>
              <w:t>得</w:t>
            </w:r>
            <w:r>
              <w:rPr>
                <w:rFonts w:hint="eastAsia" w:ascii="宋体" w:hAnsi="宋体"/>
                <w:sz w:val="24"/>
                <w:highlight w:val="none"/>
              </w:rPr>
              <w:t>0分。</w:t>
            </w:r>
          </w:p>
        </w:tc>
        <w:tc>
          <w:tcPr>
            <w:tcW w:w="1045" w:type="dxa"/>
            <w:noWrap w:val="0"/>
            <w:vAlign w:val="center"/>
          </w:tcPr>
          <w:p w14:paraId="587BA325">
            <w:pPr>
              <w:spacing w:line="360" w:lineRule="auto"/>
              <w:jc w:val="center"/>
              <w:rPr>
                <w:rFonts w:hint="eastAsia" w:ascii="宋体" w:hAnsi="宋体"/>
                <w:sz w:val="24"/>
                <w:highlight w:val="none"/>
              </w:rPr>
            </w:pPr>
            <w:r>
              <w:rPr>
                <w:rFonts w:hint="eastAsia" w:ascii="宋体" w:hAnsi="宋体"/>
                <w:sz w:val="24"/>
                <w:highlight w:val="none"/>
              </w:rPr>
              <w:t>9</w:t>
            </w:r>
          </w:p>
        </w:tc>
      </w:tr>
      <w:tr w14:paraId="40E4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67" w:type="dxa"/>
            <w:noWrap w:val="0"/>
            <w:vAlign w:val="center"/>
          </w:tcPr>
          <w:p w14:paraId="6C22E7D9">
            <w:pPr>
              <w:jc w:val="center"/>
              <w:rPr>
                <w:rFonts w:hint="eastAsia" w:ascii="宋体" w:hAnsi="宋体"/>
                <w:b/>
                <w:sz w:val="24"/>
                <w:highlight w:val="none"/>
              </w:rPr>
            </w:pPr>
            <w:r>
              <w:rPr>
                <w:rFonts w:hint="eastAsia" w:ascii="宋体" w:hAnsi="宋体"/>
                <w:b/>
                <w:sz w:val="24"/>
                <w:highlight w:val="none"/>
              </w:rPr>
              <w:t>2</w:t>
            </w:r>
          </w:p>
        </w:tc>
        <w:tc>
          <w:tcPr>
            <w:tcW w:w="1698" w:type="dxa"/>
            <w:noWrap w:val="0"/>
            <w:vAlign w:val="center"/>
          </w:tcPr>
          <w:p w14:paraId="55662941">
            <w:pPr>
              <w:spacing w:line="360" w:lineRule="auto"/>
              <w:jc w:val="center"/>
              <w:rPr>
                <w:rFonts w:hint="eastAsia" w:ascii="宋体" w:hAnsi="宋体"/>
                <w:b/>
                <w:bCs/>
                <w:sz w:val="24"/>
                <w:highlight w:val="none"/>
              </w:rPr>
            </w:pPr>
            <w:r>
              <w:rPr>
                <w:rFonts w:hint="eastAsia" w:ascii="宋体" w:hAnsi="宋体"/>
                <w:b/>
                <w:bCs/>
                <w:sz w:val="24"/>
                <w:highlight w:val="none"/>
              </w:rPr>
              <w:t>业绩</w:t>
            </w:r>
          </w:p>
        </w:tc>
        <w:tc>
          <w:tcPr>
            <w:tcW w:w="5670" w:type="dxa"/>
            <w:noWrap w:val="0"/>
            <w:vAlign w:val="center"/>
          </w:tcPr>
          <w:p w14:paraId="079775FD">
            <w:pPr>
              <w:adjustRightInd w:val="0"/>
              <w:snapToGrid w:val="0"/>
              <w:spacing w:line="360" w:lineRule="auto"/>
              <w:rPr>
                <w:rFonts w:hint="eastAsia" w:ascii="宋体" w:hAnsi="宋体"/>
                <w:sz w:val="24"/>
                <w:highlight w:val="none"/>
              </w:rPr>
            </w:pPr>
            <w:r>
              <w:rPr>
                <w:rFonts w:hint="eastAsia" w:ascii="宋体" w:hAnsi="宋体"/>
                <w:sz w:val="24"/>
                <w:highlight w:val="none"/>
              </w:rPr>
              <w:t>近三年（</w:t>
            </w:r>
            <w:bookmarkStart w:id="673" w:name="_Hlk176266837"/>
            <w:r>
              <w:rPr>
                <w:rFonts w:hint="eastAsia" w:ascii="宋体" w:hAnsi="宋体"/>
                <w:sz w:val="24"/>
                <w:highlight w:val="none"/>
              </w:rPr>
              <w:t>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日至响应文件递交截止之日</w:t>
            </w:r>
            <w:bookmarkEnd w:id="673"/>
            <w:r>
              <w:rPr>
                <w:rFonts w:hint="eastAsia" w:ascii="宋体" w:hAnsi="宋体"/>
                <w:sz w:val="24"/>
                <w:highlight w:val="none"/>
              </w:rPr>
              <w:t>）具有已完成的类项目业绩，每有1项类似业绩得5分，直至本项满分。</w:t>
            </w:r>
          </w:p>
          <w:p w14:paraId="2C44862F">
            <w:pPr>
              <w:spacing w:line="360" w:lineRule="auto"/>
              <w:rPr>
                <w:rFonts w:hint="eastAsia" w:ascii="宋体" w:hAnsi="宋体"/>
                <w:sz w:val="24"/>
                <w:highlight w:val="none"/>
              </w:rPr>
            </w:pPr>
            <w:r>
              <w:rPr>
                <w:rFonts w:hint="eastAsia" w:ascii="宋体" w:hAnsi="宋体"/>
                <w:sz w:val="24"/>
                <w:highlight w:val="none"/>
              </w:rPr>
              <w:t>须提供中标通知书或竣工验收证明材料复印件，应可从业绩证明材料中明确辨识出采购内容、金额明细、日期等(复印件需加盖公章)。</w:t>
            </w:r>
          </w:p>
        </w:tc>
        <w:tc>
          <w:tcPr>
            <w:tcW w:w="1045" w:type="dxa"/>
            <w:noWrap w:val="0"/>
            <w:vAlign w:val="center"/>
          </w:tcPr>
          <w:p w14:paraId="35224747">
            <w:pPr>
              <w:spacing w:line="360" w:lineRule="auto"/>
              <w:jc w:val="center"/>
              <w:rPr>
                <w:rFonts w:hint="eastAsia" w:ascii="宋体" w:hAnsi="宋体"/>
                <w:sz w:val="24"/>
                <w:highlight w:val="none"/>
              </w:rPr>
            </w:pPr>
            <w:r>
              <w:rPr>
                <w:rFonts w:hint="eastAsia" w:ascii="宋体" w:hAnsi="宋体"/>
                <w:sz w:val="24"/>
                <w:highlight w:val="none"/>
              </w:rPr>
              <w:t>20</w:t>
            </w:r>
          </w:p>
        </w:tc>
      </w:tr>
      <w:tr w14:paraId="2D9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767" w:type="dxa"/>
            <w:noWrap w:val="0"/>
            <w:vAlign w:val="center"/>
          </w:tcPr>
          <w:p w14:paraId="5D11CAD1">
            <w:pPr>
              <w:jc w:val="center"/>
              <w:rPr>
                <w:rFonts w:hint="eastAsia" w:ascii="宋体" w:hAnsi="宋体" w:eastAsia="宋体"/>
                <w:b/>
                <w:sz w:val="24"/>
                <w:highlight w:val="none"/>
                <w:lang w:eastAsia="zh-CN"/>
              </w:rPr>
            </w:pPr>
            <w:r>
              <w:rPr>
                <w:rFonts w:hint="eastAsia" w:ascii="宋体" w:hAnsi="宋体"/>
                <w:b/>
                <w:sz w:val="24"/>
                <w:highlight w:val="none"/>
                <w:lang w:val="en-US" w:eastAsia="zh-CN"/>
              </w:rPr>
              <w:t>3</w:t>
            </w:r>
          </w:p>
        </w:tc>
        <w:tc>
          <w:tcPr>
            <w:tcW w:w="1698" w:type="dxa"/>
            <w:noWrap w:val="0"/>
            <w:vAlign w:val="center"/>
          </w:tcPr>
          <w:p w14:paraId="765C09D0">
            <w:pPr>
              <w:jc w:val="center"/>
              <w:rPr>
                <w:rFonts w:hint="eastAsia" w:ascii="宋体" w:hAnsi="宋体"/>
                <w:b/>
                <w:sz w:val="24"/>
                <w:highlight w:val="none"/>
              </w:rPr>
            </w:pPr>
            <w:r>
              <w:rPr>
                <w:rFonts w:hint="eastAsia" w:ascii="宋体" w:hAnsi="宋体"/>
                <w:b/>
                <w:sz w:val="24"/>
                <w:highlight w:val="none"/>
              </w:rPr>
              <w:t>环保节能</w:t>
            </w:r>
          </w:p>
        </w:tc>
        <w:tc>
          <w:tcPr>
            <w:tcW w:w="5670" w:type="dxa"/>
            <w:noWrap w:val="0"/>
            <w:vAlign w:val="center"/>
          </w:tcPr>
          <w:p w14:paraId="72E8531F">
            <w:pPr>
              <w:spacing w:line="360" w:lineRule="auto"/>
              <w:rPr>
                <w:rFonts w:hint="eastAsia" w:ascii="宋体" w:hAnsi="宋体"/>
                <w:sz w:val="24"/>
                <w:highlight w:val="none"/>
              </w:rPr>
            </w:pPr>
            <w:r>
              <w:rPr>
                <w:rFonts w:hint="eastAsia" w:ascii="宋体" w:hAnsi="宋体"/>
                <w:sz w:val="24"/>
                <w:highlight w:val="none"/>
              </w:rPr>
              <w:t>所投产品每有1项属于节能产品的得0.5分，属于环境标志产品的得0.5分，否则得0分（属于政府采购品目清单的内容，须提供依据国家确定的认证机构出具的、处于有效期之内的节能产品、环境标志产品认证证书。）最高可得1分。</w:t>
            </w:r>
          </w:p>
          <w:p w14:paraId="3031FEE9">
            <w:pPr>
              <w:spacing w:line="276" w:lineRule="auto"/>
              <w:rPr>
                <w:rFonts w:hint="eastAsia" w:ascii="宋体" w:hAnsi="宋体"/>
                <w:sz w:val="24"/>
                <w:highlight w:val="none"/>
              </w:rPr>
            </w:pPr>
            <w:r>
              <w:rPr>
                <w:rFonts w:hint="eastAsia" w:ascii="宋体" w:hAnsi="宋体"/>
                <w:sz w:val="24"/>
                <w:highlight w:val="none"/>
              </w:rPr>
              <w:t>备注：1、提供证书复印件并加盖公章。</w:t>
            </w:r>
          </w:p>
          <w:p w14:paraId="2EE3AF36">
            <w:pPr>
              <w:spacing w:line="276" w:lineRule="auto"/>
              <w:ind w:firstLine="720" w:firstLineChars="300"/>
              <w:rPr>
                <w:rFonts w:hint="eastAsia" w:ascii="宋体" w:hAnsi="宋体"/>
                <w:sz w:val="24"/>
                <w:highlight w:val="none"/>
              </w:rPr>
            </w:pPr>
            <w:r>
              <w:rPr>
                <w:rFonts w:hint="eastAsia" w:ascii="宋体" w:hAnsi="宋体"/>
                <w:sz w:val="24"/>
                <w:highlight w:val="none"/>
              </w:rPr>
              <w:t>2、属于政府强制采购节能产品的不得分。</w:t>
            </w:r>
          </w:p>
          <w:p w14:paraId="54DF51CB">
            <w:pPr>
              <w:spacing w:line="276" w:lineRule="auto"/>
              <w:ind w:firstLine="720" w:firstLineChars="300"/>
              <w:rPr>
                <w:rFonts w:hint="eastAsia" w:hAnsi="宋体"/>
                <w:snapToGrid w:val="0"/>
                <w:sz w:val="24"/>
                <w:highlight w:val="none"/>
              </w:rPr>
            </w:pPr>
            <w:r>
              <w:rPr>
                <w:rFonts w:hint="eastAsia" w:hAnsi="宋体"/>
                <w:snapToGrid w:val="0"/>
                <w:sz w:val="24"/>
                <w:highlight w:val="none"/>
              </w:rPr>
              <w:t>3、</w:t>
            </w:r>
            <w:r>
              <w:rPr>
                <w:rFonts w:hint="eastAsia" w:ascii="宋体" w:hAnsi="宋体"/>
                <w:snapToGrid w:val="0"/>
                <w:sz w:val="24"/>
                <w:highlight w:val="none"/>
              </w:rPr>
              <w:t>未按照要求提供证明材料的不得分。</w:t>
            </w:r>
          </w:p>
        </w:tc>
        <w:tc>
          <w:tcPr>
            <w:tcW w:w="1045" w:type="dxa"/>
            <w:noWrap w:val="0"/>
            <w:vAlign w:val="center"/>
          </w:tcPr>
          <w:p w14:paraId="75640D67">
            <w:pPr>
              <w:jc w:val="center"/>
              <w:rPr>
                <w:rFonts w:hint="eastAsia" w:ascii="宋体" w:hAnsi="宋体"/>
                <w:sz w:val="24"/>
                <w:highlight w:val="none"/>
              </w:rPr>
            </w:pPr>
            <w:r>
              <w:rPr>
                <w:rFonts w:hint="eastAsia" w:ascii="宋体" w:hAnsi="宋体"/>
                <w:sz w:val="24"/>
                <w:highlight w:val="none"/>
              </w:rPr>
              <w:t>1</w:t>
            </w:r>
          </w:p>
        </w:tc>
      </w:tr>
    </w:tbl>
    <w:p w14:paraId="198865F7">
      <w:pPr>
        <w:spacing w:line="360" w:lineRule="auto"/>
        <w:jc w:val="center"/>
        <w:rPr>
          <w:b/>
          <w:sz w:val="36"/>
          <w:szCs w:val="36"/>
          <w:highlight w:val="none"/>
        </w:rPr>
      </w:pPr>
    </w:p>
    <w:p w14:paraId="2E9649F0">
      <w:pPr>
        <w:spacing w:line="360" w:lineRule="auto"/>
        <w:jc w:val="center"/>
        <w:outlineLvl w:val="0"/>
        <w:rPr>
          <w:b/>
          <w:sz w:val="36"/>
          <w:szCs w:val="36"/>
          <w:highlight w:val="none"/>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cols w:space="720" w:num="1"/>
          <w:docGrid w:linePitch="462" w:charSpace="0"/>
        </w:sectPr>
      </w:pPr>
    </w:p>
    <w:p w14:paraId="55F3FBB0">
      <w:pPr>
        <w:spacing w:line="360" w:lineRule="auto"/>
        <w:jc w:val="center"/>
        <w:outlineLvl w:val="0"/>
        <w:rPr>
          <w:b/>
          <w:sz w:val="36"/>
          <w:szCs w:val="36"/>
          <w:highlight w:val="none"/>
        </w:rPr>
      </w:pPr>
      <w:bookmarkStart w:id="674" w:name="_Toc9645"/>
      <w:bookmarkStart w:id="675" w:name="_Toc19439"/>
      <w:r>
        <w:rPr>
          <w:b/>
          <w:sz w:val="36"/>
          <w:szCs w:val="36"/>
          <w:highlight w:val="none"/>
        </w:rPr>
        <w:t>第四章   采购需求</w:t>
      </w:r>
      <w:bookmarkEnd w:id="674"/>
      <w:bookmarkEnd w:id="675"/>
    </w:p>
    <w:p w14:paraId="3ED5BE49">
      <w:pPr>
        <w:ind w:left="-22" w:firstLine="495" w:firstLineChars="236"/>
        <w:rPr>
          <w:highlight w:val="none"/>
        </w:rPr>
      </w:pPr>
    </w:p>
    <w:tbl>
      <w:tblPr>
        <w:tblStyle w:val="61"/>
        <w:tblW w:w="8846" w:type="dxa"/>
        <w:tblInd w:w="0" w:type="dxa"/>
        <w:tblLayout w:type="fixed"/>
        <w:tblCellMar>
          <w:top w:w="0" w:type="dxa"/>
          <w:left w:w="108" w:type="dxa"/>
          <w:bottom w:w="0" w:type="dxa"/>
          <w:right w:w="108" w:type="dxa"/>
        </w:tblCellMar>
      </w:tblPr>
      <w:tblGrid>
        <w:gridCol w:w="1398"/>
        <w:gridCol w:w="7391"/>
        <w:gridCol w:w="57"/>
      </w:tblGrid>
      <w:tr w14:paraId="05D9DD20">
        <w:tblPrEx>
          <w:tblCellMar>
            <w:top w:w="0" w:type="dxa"/>
            <w:left w:w="108" w:type="dxa"/>
            <w:bottom w:w="0" w:type="dxa"/>
            <w:right w:w="108" w:type="dxa"/>
          </w:tblCellMar>
        </w:tblPrEx>
        <w:trPr>
          <w:gridAfter w:val="1"/>
          <w:wAfter w:w="57" w:type="dxa"/>
        </w:trPr>
        <w:tc>
          <w:tcPr>
            <w:tcW w:w="1398" w:type="dxa"/>
            <w:noWrap w:val="0"/>
            <w:vAlign w:val="top"/>
          </w:tcPr>
          <w:p w14:paraId="7FBB6A3E">
            <w:pPr>
              <w:spacing w:line="360" w:lineRule="auto"/>
              <w:rPr>
                <w:rFonts w:hint="eastAsia" w:ascii="宋体" w:hAnsi="宋体"/>
                <w:sz w:val="24"/>
                <w:highlight w:val="none"/>
              </w:rPr>
            </w:pPr>
            <w:r>
              <w:rPr>
                <w:rFonts w:hint="eastAsia" w:ascii="宋体" w:hAnsi="宋体"/>
                <w:b/>
                <w:bCs/>
                <w:sz w:val="24"/>
                <w:highlight w:val="none"/>
              </w:rPr>
              <w:t>1.1</w:t>
            </w:r>
          </w:p>
        </w:tc>
        <w:tc>
          <w:tcPr>
            <w:tcW w:w="7391" w:type="dxa"/>
            <w:noWrap w:val="0"/>
            <w:vAlign w:val="top"/>
          </w:tcPr>
          <w:p w14:paraId="47B38054">
            <w:pPr>
              <w:spacing w:line="360" w:lineRule="auto"/>
              <w:rPr>
                <w:rFonts w:hint="eastAsia" w:ascii="宋体" w:hAnsi="宋体"/>
                <w:sz w:val="24"/>
                <w:highlight w:val="none"/>
              </w:rPr>
            </w:pPr>
            <w:r>
              <w:rPr>
                <w:rFonts w:hint="eastAsia" w:ascii="宋体" w:hAnsi="宋体"/>
                <w:b/>
                <w:bCs/>
                <w:sz w:val="24"/>
                <w:highlight w:val="none"/>
              </w:rPr>
              <w:t>工程概况</w:t>
            </w:r>
          </w:p>
        </w:tc>
      </w:tr>
      <w:tr w14:paraId="27D2959C">
        <w:tblPrEx>
          <w:tblCellMar>
            <w:top w:w="0" w:type="dxa"/>
            <w:left w:w="108" w:type="dxa"/>
            <w:bottom w:w="0" w:type="dxa"/>
            <w:right w:w="108" w:type="dxa"/>
          </w:tblCellMar>
        </w:tblPrEx>
        <w:trPr>
          <w:gridAfter w:val="1"/>
          <w:wAfter w:w="57" w:type="dxa"/>
        </w:trPr>
        <w:tc>
          <w:tcPr>
            <w:tcW w:w="1398" w:type="dxa"/>
            <w:noWrap w:val="0"/>
            <w:vAlign w:val="top"/>
          </w:tcPr>
          <w:p w14:paraId="358009AF">
            <w:pPr>
              <w:spacing w:line="360" w:lineRule="auto"/>
              <w:rPr>
                <w:rFonts w:hint="eastAsia" w:ascii="宋体" w:hAnsi="宋体" w:cs="宋体"/>
                <w:spacing w:val="-1"/>
                <w:sz w:val="24"/>
                <w:highlight w:val="none"/>
              </w:rPr>
            </w:pPr>
            <w:r>
              <w:rPr>
                <w:rFonts w:hint="eastAsia" w:ascii="宋体" w:hAnsi="宋体" w:cs="宋体"/>
                <w:spacing w:val="-1"/>
                <w:sz w:val="24"/>
                <w:highlight w:val="none"/>
              </w:rPr>
              <w:t>1.1.1</w:t>
            </w:r>
          </w:p>
        </w:tc>
        <w:tc>
          <w:tcPr>
            <w:tcW w:w="7391" w:type="dxa"/>
            <w:noWrap w:val="0"/>
            <w:vAlign w:val="top"/>
          </w:tcPr>
          <w:p w14:paraId="2DD8BE23">
            <w:pPr>
              <w:spacing w:line="360" w:lineRule="auto"/>
              <w:rPr>
                <w:rFonts w:hint="eastAsia" w:ascii="宋体" w:hAnsi="宋体" w:cs="宋体"/>
                <w:spacing w:val="-1"/>
                <w:sz w:val="24"/>
                <w:highlight w:val="none"/>
              </w:rPr>
            </w:pPr>
            <w:r>
              <w:rPr>
                <w:rFonts w:hint="eastAsia" w:ascii="宋体" w:hAnsi="宋体" w:cs="宋体"/>
                <w:spacing w:val="-1"/>
                <w:sz w:val="24"/>
                <w:highlight w:val="none"/>
              </w:rPr>
              <w:t>本工程基本情况如下：</w:t>
            </w:r>
          </w:p>
          <w:p w14:paraId="00690048">
            <w:pPr>
              <w:spacing w:line="360" w:lineRule="auto"/>
              <w:rPr>
                <w:rFonts w:hint="eastAsia" w:ascii="宋体" w:hAnsi="宋体" w:cs="宋体"/>
                <w:spacing w:val="-1"/>
                <w:sz w:val="24"/>
                <w:highlight w:val="none"/>
              </w:rPr>
            </w:pPr>
            <w:r>
              <w:rPr>
                <w:rFonts w:hint="eastAsia" w:ascii="宋体" w:hAnsi="宋体" w:cs="宋体"/>
                <w:spacing w:val="-1"/>
                <w:sz w:val="24"/>
                <w:highlight w:val="none"/>
              </w:rPr>
              <w:t>本项目</w:t>
            </w:r>
            <w:r>
              <w:rPr>
                <w:rFonts w:ascii="宋体" w:hAnsi="宋体" w:cs="宋体"/>
                <w:spacing w:val="-1"/>
                <w:sz w:val="24"/>
                <w:highlight w:val="none"/>
              </w:rPr>
              <w:t>为</w:t>
            </w:r>
            <w:bookmarkStart w:id="3337" w:name="_GoBack"/>
            <w:bookmarkEnd w:id="3337"/>
            <w:r>
              <w:rPr>
                <w:rFonts w:hint="eastAsia" w:ascii="宋体" w:hAnsi="宋体" w:cs="宋体"/>
                <w:spacing w:val="-1"/>
                <w:sz w:val="24"/>
                <w:highlight w:val="none"/>
              </w:rPr>
              <w:t>首都师范大学附属育新学校房山实验幼儿园二次装修及文化建设项目，位于</w:t>
            </w:r>
            <w:r>
              <w:rPr>
                <w:rFonts w:hint="eastAsia"/>
                <w:sz w:val="24"/>
                <w:highlight w:val="none"/>
              </w:rPr>
              <w:t>北京市房山区长阳镇大宁山庄</w:t>
            </w:r>
            <w:r>
              <w:rPr>
                <w:rFonts w:hint="eastAsia" w:ascii="宋体" w:hAnsi="宋体" w:cs="宋体"/>
                <w:spacing w:val="-1"/>
                <w:sz w:val="24"/>
                <w:highlight w:val="none"/>
              </w:rPr>
              <w:t>；</w:t>
            </w:r>
          </w:p>
          <w:p w14:paraId="3388BF28">
            <w:pPr>
              <w:spacing w:line="360" w:lineRule="auto"/>
              <w:rPr>
                <w:rFonts w:hint="eastAsia" w:ascii="宋体" w:hAnsi="宋体" w:cs="宋体"/>
                <w:spacing w:val="-1"/>
                <w:sz w:val="24"/>
                <w:highlight w:val="none"/>
              </w:rPr>
            </w:pPr>
            <w:r>
              <w:rPr>
                <w:rFonts w:hint="eastAsia" w:ascii="宋体" w:hAnsi="宋体" w:cs="宋体"/>
                <w:spacing w:val="-1"/>
                <w:sz w:val="24"/>
                <w:highlight w:val="none"/>
              </w:rPr>
              <w:t>项目控制价为人民币</w:t>
            </w:r>
            <w:r>
              <w:rPr>
                <w:rFonts w:ascii="宋体" w:hAnsi="宋体" w:cs="宋体"/>
                <w:spacing w:val="-1"/>
                <w:sz w:val="24"/>
                <w:highlight w:val="none"/>
              </w:rPr>
              <w:t>300</w:t>
            </w:r>
            <w:r>
              <w:rPr>
                <w:rFonts w:hint="eastAsia" w:ascii="宋体" w:hAnsi="宋体" w:cs="宋体"/>
                <w:spacing w:val="-1"/>
                <w:sz w:val="24"/>
                <w:highlight w:val="none"/>
              </w:rPr>
              <w:t>.</w:t>
            </w:r>
            <w:r>
              <w:rPr>
                <w:rFonts w:ascii="宋体" w:hAnsi="宋体" w:cs="宋体"/>
                <w:spacing w:val="-1"/>
                <w:sz w:val="24"/>
                <w:highlight w:val="none"/>
              </w:rPr>
              <w:t>36</w:t>
            </w:r>
            <w:r>
              <w:rPr>
                <w:rFonts w:hint="eastAsia" w:ascii="宋体" w:hAnsi="宋体" w:cs="宋体"/>
                <w:spacing w:val="-1"/>
                <w:sz w:val="24"/>
                <w:highlight w:val="none"/>
              </w:rPr>
              <w:t>万元。</w:t>
            </w:r>
          </w:p>
          <w:p w14:paraId="063E8C05">
            <w:pPr>
              <w:spacing w:line="360" w:lineRule="auto"/>
              <w:rPr>
                <w:rFonts w:hint="default" w:ascii="宋体" w:hAnsi="宋体" w:cs="宋体"/>
                <w:spacing w:val="-1"/>
                <w:sz w:val="24"/>
                <w:highlight w:val="none"/>
                <w:lang w:val="en-US"/>
              </w:rPr>
            </w:pPr>
            <w:r>
              <w:rPr>
                <w:rFonts w:hint="eastAsia" w:ascii="宋体" w:hAnsi="宋体" w:cs="宋体"/>
                <w:spacing w:val="-1"/>
                <w:sz w:val="24"/>
                <w:highlight w:val="none"/>
              </w:rPr>
              <w:t>工期：</w:t>
            </w:r>
            <w:r>
              <w:rPr>
                <w:rFonts w:hint="eastAsia"/>
                <w:sz w:val="24"/>
                <w:highlight w:val="none"/>
                <w:lang w:val="en-US" w:eastAsia="zh-CN"/>
              </w:rPr>
              <w:t>本项目2025年8月31日前必须全部完工并移交给发包人。</w:t>
            </w:r>
          </w:p>
          <w:p w14:paraId="6A25025C">
            <w:pPr>
              <w:spacing w:line="360" w:lineRule="auto"/>
              <w:rPr>
                <w:rFonts w:hint="eastAsia" w:ascii="宋体" w:hAnsi="宋体" w:cs="宋体"/>
                <w:spacing w:val="-1"/>
                <w:sz w:val="24"/>
                <w:highlight w:val="none"/>
              </w:rPr>
            </w:pPr>
            <w:r>
              <w:rPr>
                <w:rFonts w:hint="eastAsia" w:ascii="宋体" w:hAnsi="宋体" w:cs="宋体"/>
                <w:spacing w:val="-1"/>
                <w:sz w:val="24"/>
                <w:highlight w:val="none"/>
              </w:rPr>
              <w:t>质量标准：</w:t>
            </w:r>
            <w:r>
              <w:rPr>
                <w:rFonts w:hint="eastAsia" w:ascii="宋体" w:hAnsi="宋体" w:cs="宋体"/>
                <w:spacing w:val="-1"/>
                <w:sz w:val="24"/>
                <w:highlight w:val="none"/>
                <w:u w:val="single"/>
              </w:rPr>
              <w:t>合格</w:t>
            </w:r>
          </w:p>
          <w:p w14:paraId="44F49C64">
            <w:pPr>
              <w:spacing w:line="360" w:lineRule="auto"/>
              <w:rPr>
                <w:rFonts w:hint="eastAsia" w:ascii="宋体" w:hAnsi="宋体" w:cs="宋体"/>
                <w:spacing w:val="-1"/>
                <w:sz w:val="24"/>
                <w:highlight w:val="none"/>
              </w:rPr>
            </w:pPr>
            <w:r>
              <w:rPr>
                <w:rFonts w:ascii="宋体" w:hAnsi="宋体" w:cs="宋体"/>
                <w:spacing w:val="-1"/>
                <w:sz w:val="24"/>
                <w:highlight w:val="none"/>
              </w:rPr>
              <w:t>施工现场安全生产标准化管理目标等级</w:t>
            </w:r>
            <w:r>
              <w:rPr>
                <w:rFonts w:hint="eastAsia" w:ascii="宋体" w:hAnsi="宋体" w:cs="宋体"/>
                <w:spacing w:val="-1"/>
                <w:sz w:val="24"/>
                <w:highlight w:val="none"/>
              </w:rPr>
              <w:t>：</w:t>
            </w:r>
            <w:r>
              <w:rPr>
                <w:rFonts w:hint="eastAsia" w:ascii="宋体" w:hAnsi="宋体" w:cs="宋体"/>
                <w:spacing w:val="-1"/>
                <w:sz w:val="24"/>
                <w:highlight w:val="none"/>
                <w:u w:val="single"/>
              </w:rPr>
              <w:t>达标</w:t>
            </w:r>
          </w:p>
          <w:p w14:paraId="63050F99">
            <w:pPr>
              <w:spacing w:before="120" w:beforeLines="50" w:line="360" w:lineRule="auto"/>
              <w:rPr>
                <w:rFonts w:hint="eastAsia" w:ascii="宋体" w:hAnsi="宋体" w:cs="宋体"/>
                <w:spacing w:val="-1"/>
                <w:sz w:val="24"/>
                <w:highlight w:val="none"/>
              </w:rPr>
            </w:pPr>
            <w:r>
              <w:rPr>
                <w:rFonts w:hint="eastAsia" w:ascii="宋体" w:hAnsi="宋体" w:cs="宋体"/>
                <w:spacing w:val="-1"/>
                <w:sz w:val="24"/>
                <w:highlight w:val="none"/>
              </w:rPr>
              <w:t>施工范围及内容</w:t>
            </w:r>
          </w:p>
          <w:p w14:paraId="194FA38E">
            <w:pPr>
              <w:spacing w:line="360" w:lineRule="auto"/>
              <w:rPr>
                <w:rFonts w:hint="eastAsia" w:ascii="宋体" w:hAnsi="宋体" w:cs="宋体"/>
                <w:spacing w:val="-1"/>
                <w:sz w:val="24"/>
                <w:highlight w:val="none"/>
              </w:rPr>
            </w:pPr>
            <w:r>
              <w:rPr>
                <w:rFonts w:hint="eastAsia" w:ascii="宋体" w:hAnsi="宋体" w:cs="宋体"/>
                <w:spacing w:val="-1"/>
                <w:sz w:val="24"/>
                <w:highlight w:val="none"/>
              </w:rPr>
              <w:t>1.主要施工内容</w:t>
            </w:r>
          </w:p>
          <w:p w14:paraId="1918C850">
            <w:pPr>
              <w:spacing w:line="360" w:lineRule="auto"/>
              <w:rPr>
                <w:rFonts w:hint="eastAsia" w:ascii="宋体" w:hAnsi="宋体" w:cs="宋体"/>
                <w:spacing w:val="-1"/>
                <w:sz w:val="24"/>
                <w:highlight w:val="none"/>
              </w:rPr>
            </w:pPr>
            <w:r>
              <w:rPr>
                <w:rFonts w:hint="eastAsia" w:ascii="宋体" w:hAnsi="宋体"/>
                <w:sz w:val="24"/>
                <w:highlight w:val="none"/>
              </w:rPr>
              <w:t>首都师范大学附属育新学校房山实验幼儿园的拆除工程、装饰装修工程、土建工程、给排水工程、采暖工程、电气工程</w:t>
            </w:r>
            <w:r>
              <w:rPr>
                <w:rFonts w:hint="eastAsia" w:ascii="宋体" w:hAnsi="宋体" w:cs="宋体"/>
                <w:spacing w:val="-1"/>
                <w:sz w:val="24"/>
                <w:highlight w:val="none"/>
              </w:rPr>
              <w:t>等工程量清单内所示的全部内容。</w:t>
            </w:r>
          </w:p>
          <w:p w14:paraId="5812A8FA">
            <w:pPr>
              <w:spacing w:line="360" w:lineRule="auto"/>
              <w:rPr>
                <w:rFonts w:hint="eastAsia" w:ascii="宋体" w:hAnsi="宋体" w:cs="宋体"/>
                <w:spacing w:val="-1"/>
                <w:sz w:val="24"/>
                <w:highlight w:val="none"/>
              </w:rPr>
            </w:pPr>
            <w:r>
              <w:rPr>
                <w:rFonts w:hint="eastAsia" w:ascii="宋体" w:hAnsi="宋体" w:cs="宋体"/>
                <w:spacing w:val="-1"/>
                <w:sz w:val="24"/>
                <w:highlight w:val="none"/>
              </w:rPr>
              <w:t>2.施工范围</w:t>
            </w:r>
          </w:p>
          <w:p w14:paraId="5E4C78FD">
            <w:pPr>
              <w:spacing w:line="360" w:lineRule="auto"/>
              <w:rPr>
                <w:rFonts w:hint="eastAsia" w:ascii="宋体" w:hAnsi="宋体" w:cs="宋体"/>
                <w:spacing w:val="-1"/>
                <w:sz w:val="24"/>
                <w:highlight w:val="none"/>
              </w:rPr>
            </w:pPr>
            <w:r>
              <w:rPr>
                <w:rFonts w:hint="eastAsia" w:ascii="宋体" w:hAnsi="宋体" w:cs="宋体"/>
                <w:spacing w:val="-1"/>
                <w:sz w:val="24"/>
                <w:highlight w:val="none"/>
              </w:rPr>
              <w:t>本项目施工范围包含采购文件、图纸、清单所示范围内的所有施工内容。</w:t>
            </w:r>
          </w:p>
          <w:p w14:paraId="5EE365B6">
            <w:pPr>
              <w:spacing w:before="120" w:beforeLines="50" w:line="360" w:lineRule="auto"/>
              <w:rPr>
                <w:rFonts w:hint="eastAsia" w:ascii="宋体" w:hAnsi="宋体" w:cs="宋体"/>
                <w:spacing w:val="-1"/>
                <w:sz w:val="24"/>
                <w:highlight w:val="none"/>
              </w:rPr>
            </w:pPr>
            <w:r>
              <w:rPr>
                <w:rFonts w:hint="eastAsia" w:ascii="宋体" w:hAnsi="宋体" w:cs="宋体"/>
                <w:spacing w:val="-1"/>
                <w:sz w:val="24"/>
                <w:highlight w:val="none"/>
              </w:rPr>
              <w:t>技术需求</w:t>
            </w:r>
          </w:p>
          <w:p w14:paraId="166C2A49">
            <w:pPr>
              <w:spacing w:line="360" w:lineRule="auto"/>
              <w:rPr>
                <w:rFonts w:hint="eastAsia" w:ascii="宋体" w:hAnsi="宋体" w:cs="宋体"/>
                <w:spacing w:val="-1"/>
                <w:sz w:val="24"/>
                <w:highlight w:val="none"/>
              </w:rPr>
            </w:pPr>
            <w:r>
              <w:rPr>
                <w:rFonts w:hint="eastAsia" w:ascii="宋体" w:hAnsi="宋体" w:cs="宋体"/>
                <w:spacing w:val="-1"/>
                <w:sz w:val="24"/>
                <w:highlight w:val="none"/>
              </w:rPr>
              <w:t>1.设备要求：用于本项目的所有设备、材料必须符合设计要求和国家相关质量标准，并有产品合格证书，需要由消防部门检测和认证的，必须取得相应的检测合格报告和认证证书。设备必须为在产产品且是生产厂商直接提供的出厂日期为一年内的合格产品。</w:t>
            </w:r>
          </w:p>
          <w:p w14:paraId="332AAABE">
            <w:pPr>
              <w:spacing w:line="360" w:lineRule="auto"/>
              <w:ind w:left="238" w:hanging="238" w:hangingChars="100"/>
              <w:rPr>
                <w:rFonts w:hint="eastAsia" w:ascii="宋体" w:hAnsi="宋体" w:cs="宋体"/>
                <w:spacing w:val="-1"/>
                <w:sz w:val="24"/>
                <w:highlight w:val="none"/>
              </w:rPr>
            </w:pPr>
            <w:r>
              <w:rPr>
                <w:rFonts w:ascii="宋体" w:hAnsi="宋体" w:cs="宋体"/>
                <w:spacing w:val="-1"/>
                <w:sz w:val="24"/>
                <w:highlight w:val="none"/>
              </w:rPr>
              <w:t>2</w:t>
            </w:r>
            <w:r>
              <w:rPr>
                <w:rFonts w:hint="eastAsia" w:ascii="宋体" w:hAnsi="宋体" w:cs="宋体"/>
                <w:spacing w:val="-1"/>
                <w:sz w:val="24"/>
                <w:highlight w:val="none"/>
              </w:rPr>
              <w:t>.质量保证期：自项目通过最终验收之日起不少于两年。</w:t>
            </w:r>
          </w:p>
          <w:p w14:paraId="43A6FB64">
            <w:pPr>
              <w:spacing w:line="360" w:lineRule="auto"/>
              <w:rPr>
                <w:rFonts w:hint="eastAsia" w:ascii="宋体" w:hAnsi="宋体" w:cs="宋体"/>
                <w:spacing w:val="-1"/>
                <w:sz w:val="24"/>
                <w:highlight w:val="none"/>
              </w:rPr>
            </w:pPr>
            <w:r>
              <w:rPr>
                <w:rFonts w:ascii="宋体" w:hAnsi="宋体" w:cs="宋体"/>
                <w:spacing w:val="-1"/>
                <w:sz w:val="24"/>
                <w:highlight w:val="none"/>
              </w:rPr>
              <w:t>3</w:t>
            </w:r>
            <w:r>
              <w:rPr>
                <w:rFonts w:hint="eastAsia" w:ascii="宋体" w:hAnsi="宋体" w:cs="宋体"/>
                <w:spacing w:val="-1"/>
                <w:sz w:val="24"/>
                <w:highlight w:val="none"/>
              </w:rPr>
              <w:t>.免费提供个性化服务（如需）。</w:t>
            </w:r>
          </w:p>
        </w:tc>
      </w:tr>
      <w:tr w14:paraId="72145BBA">
        <w:tblPrEx>
          <w:tblCellMar>
            <w:top w:w="0" w:type="dxa"/>
            <w:left w:w="108" w:type="dxa"/>
            <w:bottom w:w="0" w:type="dxa"/>
            <w:right w:w="108" w:type="dxa"/>
          </w:tblCellMar>
        </w:tblPrEx>
        <w:trPr>
          <w:gridAfter w:val="1"/>
          <w:wAfter w:w="57" w:type="dxa"/>
        </w:trPr>
        <w:tc>
          <w:tcPr>
            <w:tcW w:w="1398" w:type="dxa"/>
            <w:noWrap w:val="0"/>
            <w:vAlign w:val="top"/>
          </w:tcPr>
          <w:p w14:paraId="6F74C336">
            <w:pPr>
              <w:spacing w:line="360" w:lineRule="auto"/>
              <w:rPr>
                <w:rFonts w:hint="eastAsia" w:ascii="宋体" w:hAnsi="宋体"/>
                <w:sz w:val="24"/>
                <w:highlight w:val="none"/>
              </w:rPr>
            </w:pPr>
            <w:r>
              <w:rPr>
                <w:rFonts w:hint="eastAsia" w:ascii="宋体" w:hAnsi="宋体"/>
                <w:sz w:val="24"/>
                <w:highlight w:val="none"/>
              </w:rPr>
              <w:t>1.1.2</w:t>
            </w:r>
          </w:p>
        </w:tc>
        <w:tc>
          <w:tcPr>
            <w:tcW w:w="7391" w:type="dxa"/>
            <w:noWrap w:val="0"/>
            <w:vAlign w:val="top"/>
          </w:tcPr>
          <w:p w14:paraId="09458C9D">
            <w:pPr>
              <w:spacing w:line="360" w:lineRule="auto"/>
              <w:rPr>
                <w:rFonts w:hint="eastAsia" w:ascii="宋体" w:hAnsi="宋体"/>
                <w:bCs/>
                <w:sz w:val="24"/>
                <w:highlight w:val="none"/>
              </w:rPr>
            </w:pPr>
            <w:r>
              <w:rPr>
                <w:rFonts w:hint="eastAsia" w:ascii="宋体" w:hAnsi="宋体"/>
                <w:bCs/>
                <w:sz w:val="24"/>
                <w:highlight w:val="none"/>
              </w:rPr>
              <w:t>本工程施工场地（现场）具体地理位置如下：</w:t>
            </w:r>
          </w:p>
          <w:p w14:paraId="7FFFFE40">
            <w:pPr>
              <w:spacing w:line="360" w:lineRule="auto"/>
              <w:rPr>
                <w:rFonts w:hint="eastAsia" w:ascii="宋体" w:hAnsi="宋体"/>
                <w:sz w:val="24"/>
                <w:highlight w:val="none"/>
              </w:rPr>
            </w:pPr>
            <w:r>
              <w:rPr>
                <w:rFonts w:hint="eastAsia" w:ascii="宋体" w:hAnsi="宋体"/>
                <w:sz w:val="24"/>
                <w:highlight w:val="none"/>
              </w:rPr>
              <w:t>详见采购文件</w:t>
            </w:r>
          </w:p>
        </w:tc>
      </w:tr>
      <w:tr w14:paraId="05C895EC">
        <w:tblPrEx>
          <w:tblCellMar>
            <w:top w:w="0" w:type="dxa"/>
            <w:left w:w="108" w:type="dxa"/>
            <w:bottom w:w="0" w:type="dxa"/>
            <w:right w:w="108" w:type="dxa"/>
          </w:tblCellMar>
        </w:tblPrEx>
        <w:trPr>
          <w:gridAfter w:val="1"/>
          <w:wAfter w:w="57" w:type="dxa"/>
        </w:trPr>
        <w:tc>
          <w:tcPr>
            <w:tcW w:w="1398" w:type="dxa"/>
            <w:noWrap w:val="0"/>
            <w:vAlign w:val="top"/>
          </w:tcPr>
          <w:p w14:paraId="45FAA9EE">
            <w:pPr>
              <w:spacing w:line="360" w:lineRule="auto"/>
              <w:rPr>
                <w:rFonts w:hint="eastAsia" w:ascii="宋体" w:hAnsi="宋体"/>
                <w:sz w:val="24"/>
                <w:highlight w:val="none"/>
              </w:rPr>
            </w:pPr>
            <w:r>
              <w:rPr>
                <w:rFonts w:ascii="宋体" w:hAnsi="宋体"/>
                <w:b/>
                <w:bCs/>
                <w:sz w:val="24"/>
                <w:highlight w:val="none"/>
              </w:rPr>
              <w:t>1.</w:t>
            </w:r>
            <w:r>
              <w:rPr>
                <w:rFonts w:hint="eastAsia" w:ascii="宋体" w:hAnsi="宋体"/>
                <w:b/>
                <w:bCs/>
                <w:sz w:val="24"/>
                <w:highlight w:val="none"/>
              </w:rPr>
              <w:t>2</w:t>
            </w:r>
          </w:p>
        </w:tc>
        <w:tc>
          <w:tcPr>
            <w:tcW w:w="7391" w:type="dxa"/>
            <w:noWrap w:val="0"/>
            <w:vAlign w:val="top"/>
          </w:tcPr>
          <w:p w14:paraId="253E4253">
            <w:pPr>
              <w:spacing w:line="360" w:lineRule="auto"/>
              <w:rPr>
                <w:rFonts w:hint="eastAsia" w:ascii="宋体" w:hAnsi="宋体"/>
                <w:bCs/>
                <w:sz w:val="24"/>
                <w:highlight w:val="none"/>
              </w:rPr>
            </w:pPr>
            <w:r>
              <w:rPr>
                <w:rFonts w:ascii="宋体" w:hAnsi="宋体"/>
                <w:b/>
                <w:bCs/>
                <w:sz w:val="24"/>
                <w:highlight w:val="none"/>
              </w:rPr>
              <w:t>现场条件和周围环境</w:t>
            </w:r>
          </w:p>
        </w:tc>
      </w:tr>
      <w:tr w14:paraId="38BE364A">
        <w:tblPrEx>
          <w:tblCellMar>
            <w:top w:w="0" w:type="dxa"/>
            <w:left w:w="108" w:type="dxa"/>
            <w:bottom w:w="0" w:type="dxa"/>
            <w:right w:w="108" w:type="dxa"/>
          </w:tblCellMar>
        </w:tblPrEx>
        <w:trPr>
          <w:gridAfter w:val="1"/>
          <w:wAfter w:w="57" w:type="dxa"/>
        </w:trPr>
        <w:tc>
          <w:tcPr>
            <w:tcW w:w="1398" w:type="dxa"/>
            <w:noWrap w:val="0"/>
            <w:vAlign w:val="top"/>
          </w:tcPr>
          <w:p w14:paraId="59D0B7C9">
            <w:pPr>
              <w:spacing w:line="360" w:lineRule="auto"/>
              <w:rPr>
                <w:rFonts w:hint="eastAsia" w:ascii="宋体" w:hAnsi="宋体"/>
                <w:sz w:val="24"/>
                <w:highlight w:val="none"/>
              </w:rPr>
            </w:pPr>
            <w:r>
              <w:rPr>
                <w:rFonts w:hint="eastAsia" w:ascii="宋体" w:hAnsi="宋体"/>
                <w:sz w:val="24"/>
                <w:highlight w:val="none"/>
              </w:rPr>
              <w:t>1.2.1</w:t>
            </w:r>
          </w:p>
        </w:tc>
        <w:tc>
          <w:tcPr>
            <w:tcW w:w="7391" w:type="dxa"/>
            <w:noWrap w:val="0"/>
            <w:vAlign w:val="top"/>
          </w:tcPr>
          <w:p w14:paraId="77BC44AA">
            <w:pPr>
              <w:spacing w:line="360" w:lineRule="auto"/>
              <w:rPr>
                <w:rFonts w:hint="eastAsia" w:ascii="宋体" w:hAnsi="宋体"/>
                <w:bCs/>
                <w:sz w:val="24"/>
                <w:highlight w:val="none"/>
              </w:rPr>
            </w:pPr>
            <w:r>
              <w:rPr>
                <w:rFonts w:hint="eastAsia" w:ascii="宋体" w:hAnsi="宋体"/>
                <w:bCs/>
                <w:sz w:val="24"/>
                <w:highlight w:val="none"/>
              </w:rPr>
              <w:t>本工程施工场地（现场）已经具备施工条件。施工场地（现场）临时水源接口位置、临时电源接口位置、临时排污口位置、建筑红线位置、道路交通和出入口、以及施工场地（现场）和周围环境等情况，以踏勘现场及图纸为准。</w:t>
            </w:r>
          </w:p>
        </w:tc>
      </w:tr>
      <w:tr w14:paraId="2E88F50B">
        <w:tblPrEx>
          <w:tblCellMar>
            <w:top w:w="0" w:type="dxa"/>
            <w:left w:w="108" w:type="dxa"/>
            <w:bottom w:w="0" w:type="dxa"/>
            <w:right w:w="108" w:type="dxa"/>
          </w:tblCellMar>
        </w:tblPrEx>
        <w:trPr>
          <w:gridAfter w:val="1"/>
          <w:wAfter w:w="57" w:type="dxa"/>
        </w:trPr>
        <w:tc>
          <w:tcPr>
            <w:tcW w:w="1398" w:type="dxa"/>
            <w:noWrap w:val="0"/>
            <w:vAlign w:val="top"/>
          </w:tcPr>
          <w:p w14:paraId="6E7D9750">
            <w:pPr>
              <w:spacing w:line="360" w:lineRule="auto"/>
              <w:rPr>
                <w:rFonts w:hint="eastAsia" w:ascii="宋体" w:hAnsi="宋体"/>
                <w:sz w:val="24"/>
                <w:highlight w:val="none"/>
              </w:rPr>
            </w:pPr>
            <w:r>
              <w:rPr>
                <w:rFonts w:hint="eastAsia" w:ascii="宋体" w:hAnsi="宋体"/>
                <w:sz w:val="24"/>
                <w:highlight w:val="none"/>
              </w:rPr>
              <w:t>1.2.2</w:t>
            </w:r>
          </w:p>
        </w:tc>
        <w:tc>
          <w:tcPr>
            <w:tcW w:w="7391" w:type="dxa"/>
            <w:noWrap w:val="0"/>
            <w:vAlign w:val="top"/>
          </w:tcPr>
          <w:p w14:paraId="533CD99B">
            <w:pPr>
              <w:spacing w:line="360" w:lineRule="auto"/>
              <w:rPr>
                <w:rFonts w:hint="eastAsia" w:ascii="宋体" w:hAnsi="宋体"/>
                <w:bCs/>
                <w:sz w:val="24"/>
                <w:highlight w:val="none"/>
              </w:rPr>
            </w:pPr>
            <w:r>
              <w:rPr>
                <w:rFonts w:hint="eastAsia" w:ascii="宋体" w:hAnsi="宋体"/>
                <w:bCs/>
                <w:sz w:val="24"/>
                <w:highlight w:val="none"/>
              </w:rPr>
              <w:t>施工场地（现场）临时供水管径</w:t>
            </w:r>
            <w:r>
              <w:rPr>
                <w:rFonts w:hint="eastAsia" w:ascii="宋体" w:hAnsi="宋体"/>
                <w:bCs/>
                <w:sz w:val="24"/>
                <w:highlight w:val="none"/>
                <w:u w:val="single"/>
              </w:rPr>
              <w:t>/</w:t>
            </w:r>
            <w:r>
              <w:rPr>
                <w:rFonts w:hint="eastAsia" w:ascii="宋体" w:hAnsi="宋体"/>
                <w:bCs/>
                <w:sz w:val="24"/>
                <w:highlight w:val="none"/>
              </w:rPr>
              <w:t>。</w:t>
            </w:r>
          </w:p>
          <w:p w14:paraId="33E05077">
            <w:pPr>
              <w:spacing w:line="360" w:lineRule="auto"/>
              <w:rPr>
                <w:rFonts w:hint="eastAsia" w:ascii="宋体" w:hAnsi="宋体"/>
                <w:bCs/>
                <w:sz w:val="24"/>
                <w:highlight w:val="none"/>
              </w:rPr>
            </w:pPr>
            <w:r>
              <w:rPr>
                <w:rFonts w:hint="eastAsia" w:ascii="宋体" w:hAnsi="宋体"/>
                <w:bCs/>
                <w:sz w:val="24"/>
                <w:highlight w:val="none"/>
              </w:rPr>
              <w:t>施工场地（现场）临时排污管径</w:t>
            </w:r>
            <w:r>
              <w:rPr>
                <w:rFonts w:hint="eastAsia" w:ascii="宋体" w:hAnsi="宋体"/>
                <w:bCs/>
                <w:sz w:val="24"/>
                <w:highlight w:val="none"/>
                <w:u w:val="single"/>
              </w:rPr>
              <w:t>/</w:t>
            </w:r>
            <w:r>
              <w:rPr>
                <w:rFonts w:hint="eastAsia" w:ascii="宋体" w:hAnsi="宋体"/>
                <w:bCs/>
                <w:sz w:val="24"/>
                <w:highlight w:val="none"/>
              </w:rPr>
              <w:t>。</w:t>
            </w:r>
          </w:p>
          <w:p w14:paraId="491DD1E0">
            <w:pPr>
              <w:spacing w:line="360" w:lineRule="auto"/>
              <w:rPr>
                <w:rFonts w:hint="eastAsia" w:ascii="宋体" w:hAnsi="宋体"/>
                <w:bCs/>
                <w:sz w:val="24"/>
                <w:highlight w:val="none"/>
              </w:rPr>
            </w:pPr>
            <w:r>
              <w:rPr>
                <w:rFonts w:hint="eastAsia" w:ascii="宋体" w:hAnsi="宋体"/>
                <w:bCs/>
                <w:sz w:val="24"/>
                <w:highlight w:val="none"/>
              </w:rPr>
              <w:t>施工场地（现场）临时雨水管径</w:t>
            </w:r>
            <w:r>
              <w:rPr>
                <w:rFonts w:hint="eastAsia" w:ascii="宋体" w:hAnsi="宋体"/>
                <w:bCs/>
                <w:sz w:val="24"/>
                <w:highlight w:val="none"/>
                <w:u w:val="single"/>
              </w:rPr>
              <w:t>/</w:t>
            </w:r>
            <w:r>
              <w:rPr>
                <w:rFonts w:hint="eastAsia" w:ascii="宋体" w:hAnsi="宋体"/>
                <w:bCs/>
                <w:sz w:val="24"/>
                <w:highlight w:val="none"/>
              </w:rPr>
              <w:t>。</w:t>
            </w:r>
          </w:p>
          <w:p w14:paraId="606A0258">
            <w:pPr>
              <w:spacing w:line="360" w:lineRule="auto"/>
              <w:rPr>
                <w:rFonts w:hint="eastAsia" w:ascii="宋体" w:hAnsi="宋体"/>
                <w:bCs/>
                <w:sz w:val="24"/>
                <w:highlight w:val="none"/>
              </w:rPr>
            </w:pPr>
            <w:r>
              <w:rPr>
                <w:rFonts w:hint="eastAsia" w:ascii="宋体" w:hAnsi="宋体"/>
                <w:bCs/>
                <w:sz w:val="24"/>
                <w:highlight w:val="none"/>
              </w:rPr>
              <w:t>施工现场临时供电容量（变压器输出功率）</w:t>
            </w:r>
            <w:r>
              <w:rPr>
                <w:rFonts w:hint="eastAsia" w:ascii="宋体" w:hAnsi="宋体"/>
                <w:bCs/>
                <w:sz w:val="24"/>
                <w:highlight w:val="none"/>
                <w:u w:val="single"/>
              </w:rPr>
              <w:t>/</w:t>
            </w:r>
            <w:r>
              <w:rPr>
                <w:rFonts w:hint="eastAsia" w:ascii="宋体" w:hAnsi="宋体"/>
                <w:bCs/>
                <w:sz w:val="24"/>
                <w:highlight w:val="none"/>
              </w:rPr>
              <w:t>。</w:t>
            </w:r>
          </w:p>
        </w:tc>
      </w:tr>
      <w:tr w14:paraId="2516386E">
        <w:tblPrEx>
          <w:tblCellMar>
            <w:top w:w="0" w:type="dxa"/>
            <w:left w:w="108" w:type="dxa"/>
            <w:bottom w:w="0" w:type="dxa"/>
            <w:right w:w="108" w:type="dxa"/>
          </w:tblCellMar>
        </w:tblPrEx>
        <w:trPr>
          <w:gridAfter w:val="1"/>
          <w:wAfter w:w="57" w:type="dxa"/>
        </w:trPr>
        <w:tc>
          <w:tcPr>
            <w:tcW w:w="1398" w:type="dxa"/>
            <w:noWrap w:val="0"/>
            <w:vAlign w:val="top"/>
          </w:tcPr>
          <w:p w14:paraId="65338E5B">
            <w:pPr>
              <w:spacing w:line="360" w:lineRule="auto"/>
              <w:rPr>
                <w:rFonts w:hint="eastAsia" w:ascii="宋体" w:hAnsi="宋体"/>
                <w:sz w:val="24"/>
                <w:highlight w:val="none"/>
              </w:rPr>
            </w:pPr>
            <w:r>
              <w:rPr>
                <w:rFonts w:hint="eastAsia" w:ascii="宋体" w:hAnsi="宋体"/>
                <w:sz w:val="24"/>
                <w:highlight w:val="none"/>
              </w:rPr>
              <w:t>1.2.3</w:t>
            </w:r>
          </w:p>
        </w:tc>
        <w:tc>
          <w:tcPr>
            <w:tcW w:w="7391" w:type="dxa"/>
            <w:noWrap w:val="0"/>
            <w:vAlign w:val="top"/>
          </w:tcPr>
          <w:p w14:paraId="08148F7C">
            <w:pPr>
              <w:spacing w:line="360" w:lineRule="auto"/>
              <w:rPr>
                <w:rFonts w:hint="eastAsia" w:ascii="宋体" w:hAnsi="宋体"/>
                <w:sz w:val="24"/>
                <w:highlight w:val="none"/>
              </w:rPr>
            </w:pPr>
            <w:r>
              <w:rPr>
                <w:rFonts w:hint="eastAsia" w:ascii="宋体" w:hAnsi="宋体"/>
                <w:sz w:val="24"/>
                <w:highlight w:val="none"/>
              </w:rPr>
              <w:t>现场条件和周围环境的其他资料和信息数据如下：</w:t>
            </w:r>
          </w:p>
          <w:p w14:paraId="6224A59F">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70EA8C56">
        <w:tblPrEx>
          <w:tblCellMar>
            <w:top w:w="0" w:type="dxa"/>
            <w:left w:w="108" w:type="dxa"/>
            <w:bottom w:w="0" w:type="dxa"/>
            <w:right w:w="108" w:type="dxa"/>
          </w:tblCellMar>
        </w:tblPrEx>
        <w:trPr>
          <w:gridAfter w:val="1"/>
          <w:wAfter w:w="57" w:type="dxa"/>
        </w:trPr>
        <w:tc>
          <w:tcPr>
            <w:tcW w:w="1398" w:type="dxa"/>
            <w:noWrap w:val="0"/>
            <w:vAlign w:val="top"/>
          </w:tcPr>
          <w:p w14:paraId="74C257C0">
            <w:pPr>
              <w:spacing w:line="360" w:lineRule="auto"/>
              <w:rPr>
                <w:rFonts w:hint="eastAsia" w:ascii="宋体" w:hAnsi="宋体"/>
                <w:sz w:val="24"/>
                <w:highlight w:val="none"/>
              </w:rPr>
            </w:pPr>
            <w:r>
              <w:rPr>
                <w:rFonts w:hint="eastAsia" w:ascii="宋体" w:hAnsi="宋体"/>
                <w:sz w:val="24"/>
                <w:highlight w:val="none"/>
              </w:rPr>
              <w:t>1.2.4</w:t>
            </w:r>
          </w:p>
        </w:tc>
        <w:tc>
          <w:tcPr>
            <w:tcW w:w="7391" w:type="dxa"/>
            <w:noWrap w:val="0"/>
            <w:vAlign w:val="top"/>
          </w:tcPr>
          <w:p w14:paraId="42B401F9">
            <w:pPr>
              <w:spacing w:line="360" w:lineRule="auto"/>
              <w:rPr>
                <w:rFonts w:hint="eastAsia" w:ascii="宋体" w:hAnsi="宋体"/>
                <w:sz w:val="24"/>
                <w:highlight w:val="none"/>
              </w:rPr>
            </w:pPr>
            <w:r>
              <w:rPr>
                <w:rFonts w:hint="eastAsia" w:ascii="宋体" w:hAnsi="宋体"/>
                <w:bCs/>
                <w:sz w:val="24"/>
                <w:highlight w:val="none"/>
              </w:rPr>
              <w:t>承包人被认为已在本工程磋商阶段对现场时充分了解本工程现场条件和周围环境，并已在其磋商时就此给予了充分的考虑。</w:t>
            </w:r>
          </w:p>
        </w:tc>
      </w:tr>
      <w:tr w14:paraId="18CF1423">
        <w:tblPrEx>
          <w:tblCellMar>
            <w:top w:w="0" w:type="dxa"/>
            <w:left w:w="108" w:type="dxa"/>
            <w:bottom w:w="0" w:type="dxa"/>
            <w:right w:w="108" w:type="dxa"/>
          </w:tblCellMar>
        </w:tblPrEx>
        <w:trPr>
          <w:gridAfter w:val="1"/>
          <w:wAfter w:w="57" w:type="dxa"/>
        </w:trPr>
        <w:tc>
          <w:tcPr>
            <w:tcW w:w="1398" w:type="dxa"/>
            <w:noWrap w:val="0"/>
            <w:vAlign w:val="top"/>
          </w:tcPr>
          <w:p w14:paraId="292AA944">
            <w:pPr>
              <w:spacing w:line="360" w:lineRule="auto"/>
              <w:rPr>
                <w:rFonts w:hint="eastAsia" w:ascii="宋体" w:hAnsi="宋体"/>
                <w:sz w:val="24"/>
                <w:highlight w:val="none"/>
              </w:rPr>
            </w:pPr>
            <w:r>
              <w:rPr>
                <w:rFonts w:ascii="宋体" w:hAnsi="宋体"/>
                <w:b/>
                <w:bCs/>
                <w:sz w:val="24"/>
                <w:highlight w:val="none"/>
              </w:rPr>
              <w:t>1.</w:t>
            </w:r>
            <w:r>
              <w:rPr>
                <w:rFonts w:hint="eastAsia" w:ascii="宋体" w:hAnsi="宋体"/>
                <w:b/>
                <w:bCs/>
                <w:sz w:val="24"/>
                <w:highlight w:val="none"/>
              </w:rPr>
              <w:t>3</w:t>
            </w:r>
          </w:p>
        </w:tc>
        <w:tc>
          <w:tcPr>
            <w:tcW w:w="7391" w:type="dxa"/>
            <w:noWrap w:val="0"/>
            <w:vAlign w:val="top"/>
          </w:tcPr>
          <w:p w14:paraId="55CF3C9F">
            <w:pPr>
              <w:spacing w:line="360" w:lineRule="auto"/>
              <w:rPr>
                <w:rFonts w:hint="eastAsia" w:ascii="宋体" w:hAnsi="宋体"/>
                <w:bCs/>
                <w:sz w:val="24"/>
                <w:highlight w:val="none"/>
              </w:rPr>
            </w:pPr>
            <w:r>
              <w:rPr>
                <w:rFonts w:ascii="宋体" w:hAnsi="宋体"/>
                <w:b/>
                <w:bCs/>
                <w:sz w:val="24"/>
                <w:highlight w:val="none"/>
              </w:rPr>
              <w:t>地质及水文资料</w:t>
            </w:r>
          </w:p>
        </w:tc>
      </w:tr>
      <w:tr w14:paraId="51BE9A4E">
        <w:tblPrEx>
          <w:tblCellMar>
            <w:top w:w="0" w:type="dxa"/>
            <w:left w:w="108" w:type="dxa"/>
            <w:bottom w:w="0" w:type="dxa"/>
            <w:right w:w="108" w:type="dxa"/>
          </w:tblCellMar>
        </w:tblPrEx>
        <w:trPr>
          <w:gridAfter w:val="1"/>
          <w:wAfter w:w="57" w:type="dxa"/>
        </w:trPr>
        <w:tc>
          <w:tcPr>
            <w:tcW w:w="1398" w:type="dxa"/>
            <w:noWrap w:val="0"/>
            <w:vAlign w:val="top"/>
          </w:tcPr>
          <w:p w14:paraId="21CE70A1">
            <w:pPr>
              <w:spacing w:line="360" w:lineRule="auto"/>
              <w:rPr>
                <w:rFonts w:hint="eastAsia" w:ascii="宋体" w:hAnsi="宋体"/>
                <w:sz w:val="24"/>
                <w:highlight w:val="none"/>
              </w:rPr>
            </w:pPr>
            <w:r>
              <w:rPr>
                <w:rFonts w:hint="eastAsia" w:ascii="宋体" w:hAnsi="宋体"/>
                <w:sz w:val="24"/>
                <w:highlight w:val="none"/>
              </w:rPr>
              <w:t>1.3.1</w:t>
            </w:r>
          </w:p>
        </w:tc>
        <w:tc>
          <w:tcPr>
            <w:tcW w:w="7391" w:type="dxa"/>
            <w:noWrap w:val="0"/>
            <w:vAlign w:val="top"/>
          </w:tcPr>
          <w:p w14:paraId="4C321CE1">
            <w:pPr>
              <w:spacing w:line="360" w:lineRule="auto"/>
              <w:rPr>
                <w:rFonts w:hint="eastAsia" w:ascii="宋体" w:hAnsi="宋体"/>
                <w:sz w:val="24"/>
                <w:highlight w:val="none"/>
              </w:rPr>
            </w:pPr>
            <w:r>
              <w:rPr>
                <w:rFonts w:hint="eastAsia" w:ascii="宋体" w:hAnsi="宋体"/>
                <w:sz w:val="24"/>
                <w:highlight w:val="none"/>
              </w:rPr>
              <w:t>现场地质及水文资料和信息数据如下：</w:t>
            </w:r>
          </w:p>
          <w:p w14:paraId="433A38F2">
            <w:pPr>
              <w:spacing w:line="360" w:lineRule="auto"/>
              <w:rPr>
                <w:rFonts w:hint="eastAsia" w:ascii="宋体" w:hAnsi="宋体"/>
                <w:bCs/>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5C7463C7">
        <w:tblPrEx>
          <w:tblCellMar>
            <w:top w:w="0" w:type="dxa"/>
            <w:left w:w="108" w:type="dxa"/>
            <w:bottom w:w="0" w:type="dxa"/>
            <w:right w:w="108" w:type="dxa"/>
          </w:tblCellMar>
        </w:tblPrEx>
        <w:trPr>
          <w:gridAfter w:val="1"/>
          <w:wAfter w:w="57" w:type="dxa"/>
        </w:trPr>
        <w:tc>
          <w:tcPr>
            <w:tcW w:w="1398" w:type="dxa"/>
            <w:noWrap w:val="0"/>
            <w:vAlign w:val="top"/>
          </w:tcPr>
          <w:p w14:paraId="7E639618">
            <w:pPr>
              <w:spacing w:line="360" w:lineRule="auto"/>
              <w:rPr>
                <w:rFonts w:hint="eastAsia" w:ascii="宋体" w:hAnsi="宋体"/>
                <w:sz w:val="24"/>
                <w:highlight w:val="none"/>
              </w:rPr>
            </w:pPr>
            <w:r>
              <w:rPr>
                <w:rFonts w:ascii="宋体" w:hAnsi="宋体"/>
                <w:b/>
                <w:bCs/>
                <w:sz w:val="24"/>
                <w:highlight w:val="none"/>
              </w:rPr>
              <w:t>1.</w:t>
            </w:r>
            <w:r>
              <w:rPr>
                <w:rFonts w:hint="eastAsia" w:ascii="宋体" w:hAnsi="宋体"/>
                <w:b/>
                <w:bCs/>
                <w:sz w:val="24"/>
                <w:highlight w:val="none"/>
              </w:rPr>
              <w:t>4</w:t>
            </w:r>
          </w:p>
        </w:tc>
        <w:tc>
          <w:tcPr>
            <w:tcW w:w="7391" w:type="dxa"/>
            <w:noWrap w:val="0"/>
            <w:vAlign w:val="top"/>
          </w:tcPr>
          <w:p w14:paraId="02A0E8AF">
            <w:pPr>
              <w:spacing w:line="360" w:lineRule="auto"/>
              <w:rPr>
                <w:rFonts w:hint="eastAsia" w:ascii="宋体" w:hAnsi="宋体"/>
                <w:sz w:val="24"/>
                <w:highlight w:val="none"/>
              </w:rPr>
            </w:pPr>
            <w:r>
              <w:rPr>
                <w:rFonts w:hint="eastAsia" w:ascii="宋体" w:hAnsi="宋体"/>
                <w:b/>
                <w:bCs/>
                <w:sz w:val="24"/>
                <w:highlight w:val="none"/>
              </w:rPr>
              <w:t>资料和信息的使用</w:t>
            </w:r>
          </w:p>
        </w:tc>
      </w:tr>
      <w:tr w14:paraId="373FC476">
        <w:tblPrEx>
          <w:tblCellMar>
            <w:top w:w="0" w:type="dxa"/>
            <w:left w:w="108" w:type="dxa"/>
            <w:bottom w:w="0" w:type="dxa"/>
            <w:right w:w="108" w:type="dxa"/>
          </w:tblCellMar>
        </w:tblPrEx>
        <w:trPr>
          <w:gridAfter w:val="1"/>
          <w:wAfter w:w="57" w:type="dxa"/>
        </w:trPr>
        <w:tc>
          <w:tcPr>
            <w:tcW w:w="1398" w:type="dxa"/>
            <w:noWrap w:val="0"/>
            <w:vAlign w:val="top"/>
          </w:tcPr>
          <w:p w14:paraId="2077840D">
            <w:pPr>
              <w:spacing w:line="360" w:lineRule="auto"/>
              <w:rPr>
                <w:rFonts w:hint="eastAsia" w:ascii="宋体" w:hAnsi="宋体"/>
                <w:sz w:val="24"/>
                <w:highlight w:val="none"/>
              </w:rPr>
            </w:pPr>
            <w:r>
              <w:rPr>
                <w:rFonts w:hint="eastAsia" w:ascii="宋体" w:hAnsi="宋体"/>
                <w:sz w:val="24"/>
                <w:highlight w:val="none"/>
              </w:rPr>
              <w:t>1.4.1</w:t>
            </w:r>
          </w:p>
        </w:tc>
        <w:tc>
          <w:tcPr>
            <w:tcW w:w="7391" w:type="dxa"/>
            <w:noWrap w:val="0"/>
            <w:vAlign w:val="top"/>
          </w:tcPr>
          <w:p w14:paraId="3C822618">
            <w:pPr>
              <w:spacing w:line="360" w:lineRule="auto"/>
              <w:rPr>
                <w:rFonts w:hint="eastAsia" w:ascii="宋体" w:hAnsi="宋体"/>
                <w:bCs/>
                <w:sz w:val="24"/>
                <w:highlight w:val="none"/>
              </w:rPr>
            </w:pPr>
            <w:r>
              <w:rPr>
                <w:rFonts w:hint="eastAsia" w:ascii="宋体" w:hAnsi="宋体"/>
                <w:sz w:val="24"/>
                <w:highlight w:val="none"/>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tc>
      </w:tr>
      <w:tr w14:paraId="6150C011">
        <w:tblPrEx>
          <w:tblCellMar>
            <w:top w:w="0" w:type="dxa"/>
            <w:left w:w="108" w:type="dxa"/>
            <w:bottom w:w="0" w:type="dxa"/>
            <w:right w:w="108" w:type="dxa"/>
          </w:tblCellMar>
        </w:tblPrEx>
        <w:trPr>
          <w:gridAfter w:val="1"/>
          <w:wAfter w:w="57" w:type="dxa"/>
        </w:trPr>
        <w:tc>
          <w:tcPr>
            <w:tcW w:w="8789" w:type="dxa"/>
            <w:gridSpan w:val="2"/>
            <w:noWrap w:val="0"/>
            <w:vAlign w:val="top"/>
          </w:tcPr>
          <w:p w14:paraId="344FDDC7">
            <w:pPr>
              <w:spacing w:line="360" w:lineRule="auto"/>
              <w:rPr>
                <w:rFonts w:hint="eastAsia" w:ascii="宋体" w:hAnsi="宋体"/>
                <w:b/>
                <w:bCs/>
                <w:sz w:val="24"/>
                <w:highlight w:val="none"/>
              </w:rPr>
            </w:pPr>
            <w:bookmarkStart w:id="676" w:name="_Toc241459791"/>
            <w:bookmarkStart w:id="677" w:name="_Toc448915678"/>
            <w:bookmarkStart w:id="678" w:name="_Toc342296548"/>
            <w:r>
              <w:rPr>
                <w:rFonts w:hint="eastAsia" w:ascii="宋体" w:hAnsi="宋体"/>
                <w:b/>
                <w:bCs/>
                <w:sz w:val="24"/>
                <w:highlight w:val="none"/>
              </w:rPr>
              <w:t>2.</w:t>
            </w:r>
            <w:r>
              <w:rPr>
                <w:rFonts w:ascii="宋体" w:hAnsi="宋体"/>
                <w:b/>
                <w:bCs/>
                <w:sz w:val="24"/>
                <w:highlight w:val="none"/>
              </w:rPr>
              <w:t>承包范围</w:t>
            </w:r>
            <w:bookmarkEnd w:id="676"/>
            <w:bookmarkEnd w:id="677"/>
            <w:bookmarkEnd w:id="678"/>
          </w:p>
        </w:tc>
      </w:tr>
      <w:tr w14:paraId="6817E565">
        <w:tblPrEx>
          <w:tblCellMar>
            <w:top w:w="0" w:type="dxa"/>
            <w:left w:w="108" w:type="dxa"/>
            <w:bottom w:w="0" w:type="dxa"/>
            <w:right w:w="108" w:type="dxa"/>
          </w:tblCellMar>
        </w:tblPrEx>
        <w:trPr>
          <w:gridAfter w:val="1"/>
          <w:wAfter w:w="57" w:type="dxa"/>
        </w:trPr>
        <w:tc>
          <w:tcPr>
            <w:tcW w:w="1398" w:type="dxa"/>
            <w:noWrap w:val="0"/>
            <w:vAlign w:val="top"/>
          </w:tcPr>
          <w:p w14:paraId="67CB3908">
            <w:pPr>
              <w:spacing w:line="360" w:lineRule="auto"/>
              <w:rPr>
                <w:rFonts w:hint="eastAsia" w:ascii="宋体" w:hAnsi="宋体"/>
                <w:b/>
                <w:bCs/>
                <w:sz w:val="24"/>
                <w:highlight w:val="none"/>
              </w:rPr>
            </w:pPr>
            <w:bookmarkStart w:id="679" w:name="_Toc263259782"/>
            <w:r>
              <w:rPr>
                <w:rFonts w:ascii="宋体" w:hAnsi="宋体"/>
                <w:b/>
                <w:bCs/>
                <w:sz w:val="24"/>
                <w:highlight w:val="none"/>
              </w:rPr>
              <w:t>2.1</w:t>
            </w:r>
            <w:bookmarkEnd w:id="679"/>
          </w:p>
        </w:tc>
        <w:tc>
          <w:tcPr>
            <w:tcW w:w="7391" w:type="dxa"/>
            <w:noWrap w:val="0"/>
            <w:vAlign w:val="top"/>
          </w:tcPr>
          <w:p w14:paraId="3AA04D9E">
            <w:pPr>
              <w:spacing w:line="360" w:lineRule="auto"/>
              <w:rPr>
                <w:rFonts w:hint="eastAsia" w:ascii="宋体" w:hAnsi="宋体"/>
                <w:b/>
                <w:bCs/>
                <w:sz w:val="24"/>
                <w:highlight w:val="none"/>
              </w:rPr>
            </w:pPr>
            <w:bookmarkStart w:id="680" w:name="_Toc263259783"/>
            <w:r>
              <w:rPr>
                <w:rFonts w:ascii="宋体" w:hAnsi="宋体"/>
                <w:b/>
                <w:bCs/>
                <w:sz w:val="24"/>
                <w:highlight w:val="none"/>
              </w:rPr>
              <w:t>承包范围</w:t>
            </w:r>
            <w:bookmarkEnd w:id="680"/>
          </w:p>
        </w:tc>
      </w:tr>
      <w:tr w14:paraId="00D2D2F5">
        <w:tblPrEx>
          <w:tblCellMar>
            <w:top w:w="0" w:type="dxa"/>
            <w:left w:w="108" w:type="dxa"/>
            <w:bottom w:w="0" w:type="dxa"/>
            <w:right w:w="108" w:type="dxa"/>
          </w:tblCellMar>
        </w:tblPrEx>
        <w:trPr>
          <w:gridAfter w:val="1"/>
          <w:wAfter w:w="57" w:type="dxa"/>
        </w:trPr>
        <w:tc>
          <w:tcPr>
            <w:tcW w:w="1398" w:type="dxa"/>
            <w:noWrap w:val="0"/>
            <w:vAlign w:val="top"/>
          </w:tcPr>
          <w:p w14:paraId="011FB4FA">
            <w:pPr>
              <w:spacing w:line="360" w:lineRule="auto"/>
              <w:rPr>
                <w:rFonts w:hint="eastAsia" w:ascii="宋体" w:hAnsi="宋体"/>
                <w:b/>
                <w:bCs/>
                <w:sz w:val="24"/>
                <w:highlight w:val="none"/>
              </w:rPr>
            </w:pPr>
            <w:bookmarkStart w:id="681" w:name="_Toc263259784"/>
            <w:r>
              <w:rPr>
                <w:rFonts w:ascii="宋体" w:hAnsi="宋体"/>
                <w:b/>
                <w:sz w:val="24"/>
                <w:highlight w:val="none"/>
              </w:rPr>
              <w:t>2.1.1</w:t>
            </w:r>
            <w:bookmarkEnd w:id="681"/>
          </w:p>
        </w:tc>
        <w:tc>
          <w:tcPr>
            <w:tcW w:w="7391" w:type="dxa"/>
            <w:noWrap w:val="0"/>
            <w:vAlign w:val="top"/>
          </w:tcPr>
          <w:p w14:paraId="49B35649">
            <w:pPr>
              <w:spacing w:line="360" w:lineRule="auto"/>
              <w:rPr>
                <w:rFonts w:hint="eastAsia" w:ascii="宋体" w:hAnsi="宋体"/>
                <w:b/>
                <w:bCs/>
                <w:sz w:val="24"/>
                <w:highlight w:val="none"/>
              </w:rPr>
            </w:pPr>
            <w:bookmarkStart w:id="682" w:name="_Toc263259785"/>
            <w:r>
              <w:rPr>
                <w:rFonts w:hint="eastAsia" w:ascii="宋体" w:hAnsi="宋体"/>
                <w:b/>
                <w:bCs/>
                <w:sz w:val="24"/>
                <w:highlight w:val="none"/>
              </w:rPr>
              <w:t>承包人自行施工范围</w:t>
            </w:r>
            <w:bookmarkEnd w:id="682"/>
          </w:p>
        </w:tc>
      </w:tr>
      <w:tr w14:paraId="66BB4A15">
        <w:tblPrEx>
          <w:tblCellMar>
            <w:top w:w="0" w:type="dxa"/>
            <w:left w:w="108" w:type="dxa"/>
            <w:bottom w:w="0" w:type="dxa"/>
            <w:right w:w="108" w:type="dxa"/>
          </w:tblCellMar>
        </w:tblPrEx>
        <w:trPr>
          <w:gridAfter w:val="1"/>
          <w:wAfter w:w="57" w:type="dxa"/>
        </w:trPr>
        <w:tc>
          <w:tcPr>
            <w:tcW w:w="1398" w:type="dxa"/>
            <w:noWrap w:val="0"/>
            <w:vAlign w:val="top"/>
          </w:tcPr>
          <w:p w14:paraId="47F88A3C">
            <w:pPr>
              <w:spacing w:line="360" w:lineRule="auto"/>
              <w:rPr>
                <w:rFonts w:hint="eastAsia" w:ascii="宋体" w:hAnsi="宋体"/>
                <w:sz w:val="24"/>
                <w:highlight w:val="none"/>
              </w:rPr>
            </w:pPr>
          </w:p>
        </w:tc>
        <w:tc>
          <w:tcPr>
            <w:tcW w:w="7391" w:type="dxa"/>
            <w:noWrap w:val="0"/>
            <w:vAlign w:val="top"/>
          </w:tcPr>
          <w:p w14:paraId="24A875C7">
            <w:pPr>
              <w:spacing w:line="360" w:lineRule="auto"/>
              <w:rPr>
                <w:rFonts w:hint="eastAsia" w:ascii="宋体" w:hAnsi="宋体"/>
                <w:sz w:val="24"/>
                <w:highlight w:val="none"/>
              </w:rPr>
            </w:pPr>
            <w:r>
              <w:rPr>
                <w:rFonts w:hint="eastAsia" w:ascii="宋体" w:hAnsi="宋体"/>
                <w:sz w:val="24"/>
                <w:highlight w:val="none"/>
              </w:rPr>
              <w:t>本工程承包人自行施工的工程范围如下：采购文件</w:t>
            </w:r>
            <w:r>
              <w:rPr>
                <w:rFonts w:ascii="宋体" w:hAnsi="宋体"/>
                <w:sz w:val="24"/>
                <w:highlight w:val="none"/>
              </w:rPr>
              <w:t>第一章</w:t>
            </w:r>
            <w:r>
              <w:rPr>
                <w:rFonts w:hint="eastAsia" w:ascii="宋体" w:hAnsi="宋体" w:cs="宋体"/>
                <w:bCs/>
                <w:sz w:val="24"/>
                <w:highlight w:val="none"/>
              </w:rPr>
              <w:t>。</w:t>
            </w:r>
          </w:p>
        </w:tc>
      </w:tr>
      <w:tr w14:paraId="48607F98">
        <w:tblPrEx>
          <w:tblCellMar>
            <w:top w:w="0" w:type="dxa"/>
            <w:left w:w="108" w:type="dxa"/>
            <w:bottom w:w="0" w:type="dxa"/>
            <w:right w:w="108" w:type="dxa"/>
          </w:tblCellMar>
        </w:tblPrEx>
        <w:trPr>
          <w:gridAfter w:val="1"/>
          <w:wAfter w:w="57" w:type="dxa"/>
        </w:trPr>
        <w:tc>
          <w:tcPr>
            <w:tcW w:w="1398" w:type="dxa"/>
            <w:noWrap w:val="0"/>
            <w:vAlign w:val="top"/>
          </w:tcPr>
          <w:p w14:paraId="7DBE2C0B">
            <w:pPr>
              <w:spacing w:line="360" w:lineRule="auto"/>
              <w:rPr>
                <w:rFonts w:hint="eastAsia" w:ascii="宋体" w:hAnsi="宋体"/>
                <w:sz w:val="24"/>
                <w:highlight w:val="none"/>
              </w:rPr>
            </w:pPr>
            <w:r>
              <w:rPr>
                <w:rFonts w:ascii="宋体" w:hAnsi="宋体"/>
                <w:b/>
                <w:sz w:val="24"/>
                <w:highlight w:val="none"/>
              </w:rPr>
              <w:t>2.</w:t>
            </w:r>
            <w:r>
              <w:rPr>
                <w:rFonts w:hint="eastAsia" w:ascii="宋体" w:hAnsi="宋体"/>
                <w:b/>
                <w:sz w:val="24"/>
                <w:highlight w:val="none"/>
              </w:rPr>
              <w:t>1.2</w:t>
            </w:r>
          </w:p>
        </w:tc>
        <w:tc>
          <w:tcPr>
            <w:tcW w:w="7391" w:type="dxa"/>
            <w:noWrap w:val="0"/>
            <w:vAlign w:val="top"/>
          </w:tcPr>
          <w:p w14:paraId="08557D67">
            <w:pPr>
              <w:spacing w:line="360" w:lineRule="auto"/>
              <w:rPr>
                <w:rFonts w:hint="eastAsia" w:ascii="宋体" w:hAnsi="宋体"/>
                <w:sz w:val="24"/>
                <w:highlight w:val="none"/>
              </w:rPr>
            </w:pPr>
            <w:r>
              <w:rPr>
                <w:rFonts w:hint="eastAsia" w:ascii="宋体" w:hAnsi="宋体"/>
                <w:b/>
                <w:sz w:val="24"/>
                <w:highlight w:val="none"/>
              </w:rPr>
              <w:t>承包范围内的暂估价项目（如有）</w:t>
            </w:r>
          </w:p>
        </w:tc>
      </w:tr>
      <w:tr w14:paraId="1C82A58A">
        <w:tblPrEx>
          <w:tblCellMar>
            <w:top w:w="0" w:type="dxa"/>
            <w:left w:w="108" w:type="dxa"/>
            <w:bottom w:w="0" w:type="dxa"/>
            <w:right w:w="108" w:type="dxa"/>
          </w:tblCellMar>
        </w:tblPrEx>
        <w:trPr>
          <w:gridAfter w:val="1"/>
          <w:wAfter w:w="57" w:type="dxa"/>
        </w:trPr>
        <w:tc>
          <w:tcPr>
            <w:tcW w:w="1398" w:type="dxa"/>
            <w:noWrap w:val="0"/>
            <w:vAlign w:val="top"/>
          </w:tcPr>
          <w:p w14:paraId="3E92722C">
            <w:pPr>
              <w:spacing w:line="360" w:lineRule="auto"/>
              <w:rPr>
                <w:rFonts w:hint="eastAsia" w:ascii="宋体" w:hAnsi="宋体"/>
                <w:sz w:val="24"/>
                <w:highlight w:val="none"/>
              </w:rPr>
            </w:pPr>
            <w:r>
              <w:rPr>
                <w:rFonts w:hint="eastAsia" w:ascii="宋体" w:hAnsi="宋体"/>
                <w:sz w:val="24"/>
                <w:highlight w:val="none"/>
              </w:rPr>
              <w:t>2.1.2.1</w:t>
            </w:r>
          </w:p>
        </w:tc>
        <w:tc>
          <w:tcPr>
            <w:tcW w:w="7391" w:type="dxa"/>
            <w:noWrap w:val="0"/>
            <w:vAlign w:val="top"/>
          </w:tcPr>
          <w:p w14:paraId="660030A8">
            <w:pPr>
              <w:spacing w:line="360" w:lineRule="auto"/>
              <w:rPr>
                <w:rFonts w:hint="eastAsia" w:ascii="宋体" w:hAnsi="宋体"/>
                <w:sz w:val="24"/>
                <w:highlight w:val="none"/>
              </w:rPr>
            </w:pPr>
            <w:r>
              <w:rPr>
                <w:rFonts w:hint="eastAsia" w:ascii="宋体" w:hAnsi="宋体"/>
                <w:sz w:val="24"/>
                <w:highlight w:val="none"/>
              </w:rPr>
              <w:t>承包范围内以暂估价形式实施的专业工程见“工程量清单”表4.10-3“专业工程暂估价表”。</w:t>
            </w:r>
          </w:p>
        </w:tc>
      </w:tr>
      <w:tr w14:paraId="4856668F">
        <w:tblPrEx>
          <w:tblCellMar>
            <w:top w:w="0" w:type="dxa"/>
            <w:left w:w="108" w:type="dxa"/>
            <w:bottom w:w="0" w:type="dxa"/>
            <w:right w:w="108" w:type="dxa"/>
          </w:tblCellMar>
        </w:tblPrEx>
        <w:trPr>
          <w:gridAfter w:val="1"/>
          <w:wAfter w:w="57" w:type="dxa"/>
        </w:trPr>
        <w:tc>
          <w:tcPr>
            <w:tcW w:w="1398" w:type="dxa"/>
            <w:noWrap w:val="0"/>
            <w:vAlign w:val="top"/>
          </w:tcPr>
          <w:p w14:paraId="18848ABF">
            <w:pPr>
              <w:spacing w:line="360" w:lineRule="auto"/>
              <w:rPr>
                <w:rFonts w:hint="eastAsia" w:ascii="宋体" w:hAnsi="宋体"/>
                <w:sz w:val="24"/>
                <w:highlight w:val="none"/>
              </w:rPr>
            </w:pPr>
            <w:r>
              <w:rPr>
                <w:rFonts w:hint="eastAsia" w:ascii="宋体" w:hAnsi="宋体"/>
                <w:sz w:val="24"/>
                <w:highlight w:val="none"/>
              </w:rPr>
              <w:t>2.1.2.2</w:t>
            </w:r>
          </w:p>
        </w:tc>
        <w:tc>
          <w:tcPr>
            <w:tcW w:w="7391" w:type="dxa"/>
            <w:noWrap w:val="0"/>
            <w:vAlign w:val="top"/>
          </w:tcPr>
          <w:p w14:paraId="7DB86A31">
            <w:pPr>
              <w:spacing w:line="360" w:lineRule="auto"/>
              <w:rPr>
                <w:rFonts w:hint="eastAsia" w:ascii="宋体" w:hAnsi="宋体"/>
                <w:sz w:val="24"/>
                <w:highlight w:val="none"/>
              </w:rPr>
            </w:pPr>
            <w:r>
              <w:rPr>
                <w:rFonts w:hint="eastAsia" w:ascii="宋体" w:hAnsi="宋体"/>
                <w:sz w:val="24"/>
                <w:highlight w:val="none"/>
              </w:rPr>
              <w:t>承包范围内以暂估价形式实施的材料和工程设备见”工程量清单”表4.10-2“材料和工程设备暂估表”。</w:t>
            </w:r>
          </w:p>
        </w:tc>
      </w:tr>
      <w:tr w14:paraId="0903FF98">
        <w:tblPrEx>
          <w:tblCellMar>
            <w:top w:w="0" w:type="dxa"/>
            <w:left w:w="108" w:type="dxa"/>
            <w:bottom w:w="0" w:type="dxa"/>
            <w:right w:w="108" w:type="dxa"/>
          </w:tblCellMar>
        </w:tblPrEx>
        <w:trPr>
          <w:gridAfter w:val="1"/>
          <w:wAfter w:w="57" w:type="dxa"/>
        </w:trPr>
        <w:tc>
          <w:tcPr>
            <w:tcW w:w="1398" w:type="dxa"/>
            <w:noWrap w:val="0"/>
            <w:vAlign w:val="top"/>
          </w:tcPr>
          <w:p w14:paraId="0A17F326">
            <w:pPr>
              <w:spacing w:line="360" w:lineRule="auto"/>
              <w:rPr>
                <w:rFonts w:hint="eastAsia" w:ascii="宋体" w:hAnsi="宋体"/>
                <w:sz w:val="24"/>
                <w:highlight w:val="none"/>
              </w:rPr>
            </w:pPr>
            <w:r>
              <w:rPr>
                <w:rFonts w:hint="eastAsia" w:ascii="宋体" w:hAnsi="宋体"/>
                <w:sz w:val="24"/>
                <w:highlight w:val="none"/>
              </w:rPr>
              <w:t>2.1.2.3</w:t>
            </w:r>
          </w:p>
        </w:tc>
        <w:tc>
          <w:tcPr>
            <w:tcW w:w="7391" w:type="dxa"/>
            <w:noWrap w:val="0"/>
            <w:vAlign w:val="top"/>
          </w:tcPr>
          <w:p w14:paraId="042C36FA">
            <w:pPr>
              <w:spacing w:line="360" w:lineRule="auto"/>
              <w:rPr>
                <w:rFonts w:hint="eastAsia" w:ascii="宋体" w:hAnsi="宋体"/>
                <w:sz w:val="24"/>
                <w:highlight w:val="none"/>
              </w:rPr>
            </w:pPr>
            <w:r>
              <w:rPr>
                <w:rFonts w:hint="eastAsia" w:ascii="宋体" w:hAnsi="宋体"/>
                <w:sz w:val="24"/>
                <w:highlight w:val="none"/>
              </w:rPr>
              <w:t>上述暂估价项目与本节第2.1.1项承包人自行施工范围的工作界面划分如下：</w:t>
            </w:r>
          </w:p>
          <w:p w14:paraId="67C92A97">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0E0D7566">
        <w:tblPrEx>
          <w:tblCellMar>
            <w:top w:w="0" w:type="dxa"/>
            <w:left w:w="108" w:type="dxa"/>
            <w:bottom w:w="0" w:type="dxa"/>
            <w:right w:w="108" w:type="dxa"/>
          </w:tblCellMar>
        </w:tblPrEx>
        <w:trPr>
          <w:gridAfter w:val="1"/>
          <w:wAfter w:w="57" w:type="dxa"/>
        </w:trPr>
        <w:tc>
          <w:tcPr>
            <w:tcW w:w="1398" w:type="dxa"/>
            <w:noWrap w:val="0"/>
            <w:vAlign w:val="top"/>
          </w:tcPr>
          <w:p w14:paraId="75E03BF3">
            <w:pPr>
              <w:spacing w:line="360" w:lineRule="auto"/>
              <w:rPr>
                <w:rFonts w:hint="eastAsia" w:ascii="宋体" w:hAnsi="宋体"/>
                <w:sz w:val="24"/>
                <w:highlight w:val="none"/>
              </w:rPr>
            </w:pPr>
            <w:r>
              <w:rPr>
                <w:rFonts w:ascii="宋体" w:hAnsi="宋体"/>
                <w:b/>
                <w:sz w:val="24"/>
                <w:highlight w:val="none"/>
              </w:rPr>
              <w:t>2.</w:t>
            </w:r>
            <w:r>
              <w:rPr>
                <w:rFonts w:hint="eastAsia" w:ascii="宋体" w:hAnsi="宋体"/>
                <w:b/>
                <w:sz w:val="24"/>
                <w:highlight w:val="none"/>
              </w:rPr>
              <w:t>1.3</w:t>
            </w:r>
          </w:p>
        </w:tc>
        <w:tc>
          <w:tcPr>
            <w:tcW w:w="7391" w:type="dxa"/>
            <w:noWrap w:val="0"/>
            <w:vAlign w:val="top"/>
          </w:tcPr>
          <w:p w14:paraId="0BCB2460">
            <w:pPr>
              <w:spacing w:line="360" w:lineRule="auto"/>
              <w:rPr>
                <w:rFonts w:hint="eastAsia" w:ascii="宋体" w:hAnsi="宋体"/>
                <w:sz w:val="24"/>
                <w:highlight w:val="none"/>
              </w:rPr>
            </w:pPr>
            <w:r>
              <w:rPr>
                <w:rFonts w:hint="eastAsia" w:ascii="宋体" w:hAnsi="宋体"/>
                <w:b/>
                <w:sz w:val="24"/>
                <w:highlight w:val="none"/>
              </w:rPr>
              <w:t>承包范围内的暂列金额项目</w:t>
            </w:r>
          </w:p>
        </w:tc>
      </w:tr>
      <w:tr w14:paraId="5DF1E7A2">
        <w:tblPrEx>
          <w:tblCellMar>
            <w:top w:w="0" w:type="dxa"/>
            <w:left w:w="108" w:type="dxa"/>
            <w:bottom w:w="0" w:type="dxa"/>
            <w:right w:w="108" w:type="dxa"/>
          </w:tblCellMar>
        </w:tblPrEx>
        <w:trPr>
          <w:gridAfter w:val="1"/>
          <w:wAfter w:w="57" w:type="dxa"/>
        </w:trPr>
        <w:tc>
          <w:tcPr>
            <w:tcW w:w="1398" w:type="dxa"/>
            <w:noWrap w:val="0"/>
            <w:vAlign w:val="top"/>
          </w:tcPr>
          <w:p w14:paraId="707AA7F9">
            <w:pPr>
              <w:spacing w:line="360" w:lineRule="auto"/>
              <w:rPr>
                <w:rFonts w:hint="eastAsia" w:ascii="宋体" w:hAnsi="宋体"/>
                <w:sz w:val="24"/>
                <w:highlight w:val="none"/>
              </w:rPr>
            </w:pPr>
            <w:r>
              <w:rPr>
                <w:rFonts w:hint="eastAsia" w:ascii="宋体" w:hAnsi="宋体"/>
                <w:sz w:val="24"/>
                <w:highlight w:val="none"/>
              </w:rPr>
              <w:t>2.1.3.1</w:t>
            </w:r>
          </w:p>
        </w:tc>
        <w:tc>
          <w:tcPr>
            <w:tcW w:w="7391" w:type="dxa"/>
            <w:noWrap w:val="0"/>
            <w:vAlign w:val="top"/>
          </w:tcPr>
          <w:p w14:paraId="4DF5579B">
            <w:pPr>
              <w:spacing w:line="360" w:lineRule="auto"/>
              <w:rPr>
                <w:rFonts w:hint="eastAsia" w:ascii="宋体" w:hAnsi="宋体"/>
                <w:sz w:val="24"/>
                <w:highlight w:val="none"/>
              </w:rPr>
            </w:pPr>
            <w:r>
              <w:rPr>
                <w:rFonts w:hint="eastAsia" w:ascii="宋体" w:hAnsi="宋体"/>
                <w:sz w:val="24"/>
                <w:highlight w:val="none"/>
              </w:rPr>
              <w:t>以暂列金额（包括计日工）方式实施的项目见”工程量清单”表4.10-1“暂列金额明细表”（不包括计日工）和表4.10-4“计日工表”，其中计日工金额为承包人在其投标报价中按表4.10-4“计日工表”所列计日工子目、数量和相应规定填报的金额。</w:t>
            </w:r>
          </w:p>
        </w:tc>
      </w:tr>
      <w:tr w14:paraId="5B5476EF">
        <w:tblPrEx>
          <w:tblCellMar>
            <w:top w:w="0" w:type="dxa"/>
            <w:left w:w="108" w:type="dxa"/>
            <w:bottom w:w="0" w:type="dxa"/>
            <w:right w:w="108" w:type="dxa"/>
          </w:tblCellMar>
        </w:tblPrEx>
        <w:trPr>
          <w:gridAfter w:val="1"/>
          <w:wAfter w:w="57" w:type="dxa"/>
        </w:trPr>
        <w:tc>
          <w:tcPr>
            <w:tcW w:w="1398" w:type="dxa"/>
            <w:noWrap w:val="0"/>
            <w:vAlign w:val="top"/>
          </w:tcPr>
          <w:p w14:paraId="4472C188">
            <w:pPr>
              <w:spacing w:line="360" w:lineRule="auto"/>
              <w:rPr>
                <w:rFonts w:hint="eastAsia" w:ascii="宋体" w:hAnsi="宋体"/>
                <w:sz w:val="24"/>
                <w:highlight w:val="none"/>
              </w:rPr>
            </w:pPr>
            <w:r>
              <w:rPr>
                <w:rFonts w:hint="eastAsia" w:ascii="宋体" w:hAnsi="宋体"/>
                <w:sz w:val="24"/>
                <w:highlight w:val="none"/>
              </w:rPr>
              <w:t>2.1.3.2</w:t>
            </w:r>
          </w:p>
        </w:tc>
        <w:tc>
          <w:tcPr>
            <w:tcW w:w="7391" w:type="dxa"/>
            <w:noWrap w:val="0"/>
            <w:vAlign w:val="top"/>
          </w:tcPr>
          <w:p w14:paraId="28E48C44">
            <w:pPr>
              <w:spacing w:line="360" w:lineRule="auto"/>
              <w:rPr>
                <w:rFonts w:hint="eastAsia" w:ascii="宋体" w:hAnsi="宋体"/>
                <w:sz w:val="24"/>
                <w:highlight w:val="none"/>
              </w:rPr>
            </w:pPr>
            <w:r>
              <w:rPr>
                <w:rFonts w:hint="eastAsia" w:ascii="宋体" w:hAnsi="宋体"/>
                <w:sz w:val="24"/>
                <w:highlight w:val="none"/>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tc>
      </w:tr>
      <w:tr w14:paraId="0E2F7736">
        <w:tblPrEx>
          <w:tblCellMar>
            <w:top w:w="0" w:type="dxa"/>
            <w:left w:w="108" w:type="dxa"/>
            <w:bottom w:w="0" w:type="dxa"/>
            <w:right w:w="108" w:type="dxa"/>
          </w:tblCellMar>
        </w:tblPrEx>
        <w:trPr>
          <w:gridAfter w:val="1"/>
          <w:wAfter w:w="57" w:type="dxa"/>
        </w:trPr>
        <w:tc>
          <w:tcPr>
            <w:tcW w:w="1398" w:type="dxa"/>
            <w:noWrap w:val="0"/>
            <w:vAlign w:val="top"/>
          </w:tcPr>
          <w:p w14:paraId="45FDFC84">
            <w:pPr>
              <w:spacing w:line="360" w:lineRule="auto"/>
              <w:rPr>
                <w:rFonts w:hint="eastAsia" w:ascii="宋体" w:hAnsi="宋体"/>
                <w:sz w:val="24"/>
                <w:highlight w:val="none"/>
              </w:rPr>
            </w:pPr>
            <w:r>
              <w:rPr>
                <w:rFonts w:hint="eastAsia" w:ascii="宋体" w:hAnsi="宋体"/>
                <w:sz w:val="24"/>
                <w:highlight w:val="none"/>
              </w:rPr>
              <w:t>2.1.3.3</w:t>
            </w:r>
          </w:p>
        </w:tc>
        <w:tc>
          <w:tcPr>
            <w:tcW w:w="7391" w:type="dxa"/>
            <w:noWrap w:val="0"/>
            <w:vAlign w:val="top"/>
          </w:tcPr>
          <w:p w14:paraId="049B6CF8">
            <w:pPr>
              <w:spacing w:line="360" w:lineRule="auto"/>
              <w:rPr>
                <w:rFonts w:hint="eastAsia" w:ascii="宋体" w:hAnsi="宋体"/>
                <w:sz w:val="24"/>
                <w:highlight w:val="none"/>
              </w:rPr>
            </w:pPr>
            <w:r>
              <w:rPr>
                <w:rFonts w:hint="eastAsia" w:ascii="宋体" w:hAnsi="宋体"/>
                <w:sz w:val="24"/>
                <w:highlight w:val="none"/>
              </w:rPr>
              <w:t>暂列金额是否实际发生、其再分和合并等均不应成为承包人要求任何追加费用和(或)延长工期的理由。</w:t>
            </w:r>
          </w:p>
        </w:tc>
      </w:tr>
      <w:tr w14:paraId="03CD4BDF">
        <w:tblPrEx>
          <w:tblCellMar>
            <w:top w:w="0" w:type="dxa"/>
            <w:left w:w="108" w:type="dxa"/>
            <w:bottom w:w="0" w:type="dxa"/>
            <w:right w:w="108" w:type="dxa"/>
          </w:tblCellMar>
        </w:tblPrEx>
        <w:trPr>
          <w:gridAfter w:val="1"/>
          <w:wAfter w:w="57" w:type="dxa"/>
        </w:trPr>
        <w:tc>
          <w:tcPr>
            <w:tcW w:w="1398" w:type="dxa"/>
            <w:noWrap w:val="0"/>
            <w:vAlign w:val="top"/>
          </w:tcPr>
          <w:p w14:paraId="44AC2BE3">
            <w:pPr>
              <w:spacing w:line="360" w:lineRule="auto"/>
              <w:rPr>
                <w:rFonts w:hint="eastAsia" w:ascii="宋体" w:hAnsi="宋体"/>
                <w:sz w:val="24"/>
                <w:highlight w:val="none"/>
              </w:rPr>
            </w:pPr>
            <w:r>
              <w:rPr>
                <w:rFonts w:hint="eastAsia" w:ascii="宋体" w:hAnsi="宋体"/>
                <w:sz w:val="24"/>
                <w:highlight w:val="none"/>
              </w:rPr>
              <w:t>2.1.3.4</w:t>
            </w:r>
          </w:p>
        </w:tc>
        <w:tc>
          <w:tcPr>
            <w:tcW w:w="7391" w:type="dxa"/>
            <w:noWrap w:val="0"/>
            <w:vAlign w:val="top"/>
          </w:tcPr>
          <w:p w14:paraId="53581658">
            <w:pPr>
              <w:spacing w:line="360" w:lineRule="auto"/>
              <w:rPr>
                <w:rFonts w:hint="eastAsia" w:ascii="宋体" w:hAnsi="宋体"/>
                <w:sz w:val="24"/>
                <w:highlight w:val="none"/>
              </w:rPr>
            </w:pPr>
            <w:r>
              <w:rPr>
                <w:rFonts w:hint="eastAsia" w:ascii="宋体" w:hAnsi="宋体"/>
                <w:sz w:val="24"/>
                <w:highlight w:val="none"/>
              </w:rPr>
              <w:t>关于暂列金额的其他说明：</w:t>
            </w:r>
          </w:p>
          <w:p w14:paraId="091D75EE">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1F120C0C">
        <w:tblPrEx>
          <w:tblCellMar>
            <w:top w:w="0" w:type="dxa"/>
            <w:left w:w="108" w:type="dxa"/>
            <w:bottom w:w="0" w:type="dxa"/>
            <w:right w:w="108" w:type="dxa"/>
          </w:tblCellMar>
        </w:tblPrEx>
        <w:trPr>
          <w:gridAfter w:val="1"/>
          <w:wAfter w:w="57" w:type="dxa"/>
        </w:trPr>
        <w:tc>
          <w:tcPr>
            <w:tcW w:w="1398" w:type="dxa"/>
            <w:noWrap w:val="0"/>
            <w:vAlign w:val="top"/>
          </w:tcPr>
          <w:p w14:paraId="668E5D31">
            <w:pPr>
              <w:spacing w:line="360" w:lineRule="auto"/>
              <w:rPr>
                <w:rFonts w:hint="eastAsia" w:ascii="宋体" w:hAnsi="宋体"/>
                <w:sz w:val="24"/>
                <w:highlight w:val="none"/>
              </w:rPr>
            </w:pPr>
            <w:r>
              <w:rPr>
                <w:rFonts w:ascii="宋体" w:hAnsi="宋体"/>
                <w:b/>
                <w:bCs/>
                <w:sz w:val="24"/>
                <w:highlight w:val="none"/>
              </w:rPr>
              <w:t>2.</w:t>
            </w:r>
            <w:r>
              <w:rPr>
                <w:rFonts w:hint="eastAsia" w:ascii="宋体" w:hAnsi="宋体"/>
                <w:b/>
                <w:bCs/>
                <w:sz w:val="24"/>
                <w:highlight w:val="none"/>
              </w:rPr>
              <w:t>2</w:t>
            </w:r>
          </w:p>
        </w:tc>
        <w:tc>
          <w:tcPr>
            <w:tcW w:w="7391" w:type="dxa"/>
            <w:noWrap w:val="0"/>
            <w:vAlign w:val="top"/>
          </w:tcPr>
          <w:p w14:paraId="547B5BE4">
            <w:pPr>
              <w:spacing w:line="360" w:lineRule="auto"/>
              <w:rPr>
                <w:rFonts w:hint="eastAsia" w:ascii="宋体" w:hAnsi="宋体"/>
                <w:sz w:val="24"/>
                <w:highlight w:val="none"/>
              </w:rPr>
            </w:pPr>
            <w:r>
              <w:rPr>
                <w:rFonts w:hint="eastAsia" w:ascii="宋体" w:hAnsi="宋体"/>
                <w:b/>
                <w:bCs/>
                <w:sz w:val="24"/>
                <w:highlight w:val="none"/>
              </w:rPr>
              <w:t>发包人发包专业工程和发包人供应的材料和工程设备</w:t>
            </w:r>
          </w:p>
        </w:tc>
      </w:tr>
      <w:tr w14:paraId="3B173647">
        <w:tblPrEx>
          <w:tblCellMar>
            <w:top w:w="0" w:type="dxa"/>
            <w:left w:w="108" w:type="dxa"/>
            <w:bottom w:w="0" w:type="dxa"/>
            <w:right w:w="108" w:type="dxa"/>
          </w:tblCellMar>
        </w:tblPrEx>
        <w:trPr>
          <w:gridAfter w:val="1"/>
          <w:wAfter w:w="57" w:type="dxa"/>
        </w:trPr>
        <w:tc>
          <w:tcPr>
            <w:tcW w:w="1398" w:type="dxa"/>
            <w:noWrap w:val="0"/>
            <w:vAlign w:val="top"/>
          </w:tcPr>
          <w:p w14:paraId="506EAC22">
            <w:pPr>
              <w:spacing w:line="360" w:lineRule="auto"/>
              <w:rPr>
                <w:rFonts w:hint="eastAsia" w:ascii="宋体" w:hAnsi="宋体"/>
                <w:sz w:val="24"/>
                <w:highlight w:val="none"/>
              </w:rPr>
            </w:pPr>
            <w:r>
              <w:rPr>
                <w:rFonts w:hint="eastAsia" w:ascii="宋体" w:hAnsi="宋体"/>
                <w:sz w:val="24"/>
                <w:highlight w:val="none"/>
              </w:rPr>
              <w:t>2.2.1</w:t>
            </w:r>
          </w:p>
        </w:tc>
        <w:tc>
          <w:tcPr>
            <w:tcW w:w="7391" w:type="dxa"/>
            <w:noWrap w:val="0"/>
            <w:vAlign w:val="top"/>
          </w:tcPr>
          <w:p w14:paraId="2E66024A">
            <w:pPr>
              <w:spacing w:line="360" w:lineRule="auto"/>
              <w:rPr>
                <w:rFonts w:hint="eastAsia" w:ascii="宋体" w:hAnsi="宋体"/>
                <w:sz w:val="24"/>
                <w:highlight w:val="none"/>
              </w:rPr>
            </w:pPr>
            <w:r>
              <w:rPr>
                <w:rFonts w:hint="eastAsia" w:ascii="宋体" w:hAnsi="宋体"/>
                <w:sz w:val="24"/>
                <w:highlight w:val="none"/>
              </w:rPr>
              <w:t>由发包人发包的专业工程属于与本工程有关的其他工程，不属于承包人的承包范围。发包人发包的专业工程如下：</w:t>
            </w:r>
          </w:p>
          <w:p w14:paraId="3108422F">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417C3399">
        <w:tblPrEx>
          <w:tblCellMar>
            <w:top w:w="0" w:type="dxa"/>
            <w:left w:w="108" w:type="dxa"/>
            <w:bottom w:w="0" w:type="dxa"/>
            <w:right w:w="108" w:type="dxa"/>
          </w:tblCellMar>
        </w:tblPrEx>
        <w:trPr>
          <w:gridAfter w:val="1"/>
          <w:wAfter w:w="57" w:type="dxa"/>
        </w:trPr>
        <w:tc>
          <w:tcPr>
            <w:tcW w:w="1398" w:type="dxa"/>
            <w:noWrap w:val="0"/>
            <w:vAlign w:val="top"/>
          </w:tcPr>
          <w:p w14:paraId="053E6081">
            <w:pPr>
              <w:spacing w:line="360" w:lineRule="auto"/>
              <w:rPr>
                <w:rFonts w:hint="eastAsia" w:ascii="宋体" w:hAnsi="宋体"/>
                <w:sz w:val="24"/>
                <w:highlight w:val="none"/>
              </w:rPr>
            </w:pPr>
            <w:r>
              <w:rPr>
                <w:rFonts w:hint="eastAsia" w:ascii="宋体" w:hAnsi="宋体"/>
                <w:sz w:val="24"/>
                <w:highlight w:val="none"/>
              </w:rPr>
              <w:t>2.2.2</w:t>
            </w:r>
          </w:p>
        </w:tc>
        <w:tc>
          <w:tcPr>
            <w:tcW w:w="7391" w:type="dxa"/>
            <w:noWrap w:val="0"/>
            <w:vAlign w:val="top"/>
          </w:tcPr>
          <w:p w14:paraId="70AE2DF8">
            <w:pPr>
              <w:spacing w:line="360" w:lineRule="auto"/>
              <w:rPr>
                <w:rFonts w:hint="eastAsia" w:ascii="宋体" w:hAnsi="宋体"/>
                <w:sz w:val="24"/>
                <w:highlight w:val="none"/>
              </w:rPr>
            </w:pPr>
            <w:r>
              <w:rPr>
                <w:rFonts w:hint="eastAsia" w:ascii="宋体" w:hAnsi="宋体"/>
                <w:sz w:val="24"/>
                <w:highlight w:val="none"/>
              </w:rPr>
              <w:t>由发包人供应的材料和工程设备不属于承包人的承包范围。发包人供应的材料和工程设备见合同附件二“发包人供应的材料和工程设备一览表”。</w:t>
            </w:r>
          </w:p>
        </w:tc>
      </w:tr>
      <w:tr w14:paraId="78548540">
        <w:tblPrEx>
          <w:tblCellMar>
            <w:top w:w="0" w:type="dxa"/>
            <w:left w:w="108" w:type="dxa"/>
            <w:bottom w:w="0" w:type="dxa"/>
            <w:right w:w="108" w:type="dxa"/>
          </w:tblCellMar>
        </w:tblPrEx>
        <w:trPr>
          <w:gridAfter w:val="1"/>
          <w:wAfter w:w="57" w:type="dxa"/>
        </w:trPr>
        <w:tc>
          <w:tcPr>
            <w:tcW w:w="1398" w:type="dxa"/>
            <w:noWrap w:val="0"/>
            <w:vAlign w:val="top"/>
          </w:tcPr>
          <w:p w14:paraId="773BC2A2">
            <w:pPr>
              <w:spacing w:line="360" w:lineRule="auto"/>
              <w:rPr>
                <w:rFonts w:hint="eastAsia" w:ascii="宋体" w:hAnsi="宋体"/>
                <w:sz w:val="24"/>
                <w:highlight w:val="none"/>
              </w:rPr>
            </w:pPr>
            <w:r>
              <w:rPr>
                <w:rFonts w:ascii="宋体" w:hAnsi="宋体"/>
                <w:b/>
                <w:bCs/>
                <w:sz w:val="24"/>
                <w:highlight w:val="none"/>
              </w:rPr>
              <w:t>2.</w:t>
            </w:r>
            <w:r>
              <w:rPr>
                <w:rFonts w:hint="eastAsia" w:ascii="宋体" w:hAnsi="宋体"/>
                <w:b/>
                <w:bCs/>
                <w:sz w:val="24"/>
                <w:highlight w:val="none"/>
              </w:rPr>
              <w:t>3</w:t>
            </w:r>
          </w:p>
        </w:tc>
        <w:tc>
          <w:tcPr>
            <w:tcW w:w="7391" w:type="dxa"/>
            <w:noWrap w:val="0"/>
            <w:vAlign w:val="top"/>
          </w:tcPr>
          <w:p w14:paraId="0A2FD3E0">
            <w:pPr>
              <w:spacing w:line="360" w:lineRule="auto"/>
              <w:rPr>
                <w:rFonts w:hint="eastAsia" w:ascii="宋体" w:hAnsi="宋体"/>
                <w:b/>
                <w:sz w:val="24"/>
                <w:highlight w:val="none"/>
              </w:rPr>
            </w:pPr>
            <w:r>
              <w:rPr>
                <w:rFonts w:hint="eastAsia" w:ascii="宋体" w:hAnsi="宋体"/>
                <w:b/>
                <w:bCs/>
                <w:sz w:val="24"/>
                <w:highlight w:val="none"/>
              </w:rPr>
              <w:t>承包人与</w:t>
            </w:r>
            <w:r>
              <w:rPr>
                <w:rFonts w:hint="eastAsia" w:ascii="宋体" w:hAnsi="宋体"/>
                <w:b/>
                <w:sz w:val="24"/>
                <w:highlight w:val="none"/>
              </w:rPr>
              <w:t>发包人发包专业工程承包人</w:t>
            </w:r>
            <w:r>
              <w:rPr>
                <w:rFonts w:hint="eastAsia" w:ascii="宋体" w:hAnsi="宋体"/>
                <w:b/>
                <w:bCs/>
                <w:sz w:val="24"/>
                <w:highlight w:val="none"/>
              </w:rPr>
              <w:t>的工作界面</w:t>
            </w:r>
          </w:p>
        </w:tc>
      </w:tr>
      <w:tr w14:paraId="2BAB0362">
        <w:tblPrEx>
          <w:tblCellMar>
            <w:top w:w="0" w:type="dxa"/>
            <w:left w:w="108" w:type="dxa"/>
            <w:bottom w:w="0" w:type="dxa"/>
            <w:right w:w="108" w:type="dxa"/>
          </w:tblCellMar>
        </w:tblPrEx>
        <w:trPr>
          <w:gridAfter w:val="1"/>
          <w:wAfter w:w="57" w:type="dxa"/>
        </w:trPr>
        <w:tc>
          <w:tcPr>
            <w:tcW w:w="1398" w:type="dxa"/>
            <w:noWrap w:val="0"/>
            <w:vAlign w:val="top"/>
          </w:tcPr>
          <w:p w14:paraId="116DDE11">
            <w:pPr>
              <w:spacing w:line="360" w:lineRule="auto"/>
              <w:rPr>
                <w:rFonts w:hint="eastAsia" w:ascii="宋体" w:hAnsi="宋体"/>
                <w:sz w:val="24"/>
                <w:highlight w:val="none"/>
              </w:rPr>
            </w:pPr>
            <w:r>
              <w:rPr>
                <w:rFonts w:hint="eastAsia" w:ascii="宋体" w:hAnsi="宋体"/>
                <w:sz w:val="24"/>
                <w:highlight w:val="none"/>
              </w:rPr>
              <w:t>2.3.1</w:t>
            </w:r>
          </w:p>
        </w:tc>
        <w:tc>
          <w:tcPr>
            <w:tcW w:w="7391" w:type="dxa"/>
            <w:noWrap w:val="0"/>
            <w:vAlign w:val="top"/>
          </w:tcPr>
          <w:p w14:paraId="44198BBF">
            <w:pPr>
              <w:spacing w:line="360" w:lineRule="auto"/>
              <w:rPr>
                <w:rFonts w:hint="eastAsia" w:ascii="宋体" w:hAnsi="宋体"/>
                <w:sz w:val="24"/>
                <w:highlight w:val="none"/>
              </w:rPr>
            </w:pPr>
            <w:r>
              <w:rPr>
                <w:rFonts w:hint="eastAsia" w:ascii="宋体" w:hAnsi="宋体"/>
                <w:sz w:val="24"/>
                <w:highlight w:val="none"/>
              </w:rPr>
              <w:t>承包人与发包人发包专业工程承包人以及与发包人供应的材料和设备的供应商之间的工作界面划分如下：</w:t>
            </w:r>
          </w:p>
          <w:p w14:paraId="2D18233B">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7C77F6D5">
        <w:tblPrEx>
          <w:tblCellMar>
            <w:top w:w="0" w:type="dxa"/>
            <w:left w:w="108" w:type="dxa"/>
            <w:bottom w:w="0" w:type="dxa"/>
            <w:right w:w="108" w:type="dxa"/>
          </w:tblCellMar>
        </w:tblPrEx>
        <w:trPr>
          <w:gridAfter w:val="1"/>
          <w:wAfter w:w="57" w:type="dxa"/>
        </w:trPr>
        <w:tc>
          <w:tcPr>
            <w:tcW w:w="1398" w:type="dxa"/>
            <w:noWrap w:val="0"/>
            <w:vAlign w:val="top"/>
          </w:tcPr>
          <w:p w14:paraId="4E64E3C9">
            <w:pPr>
              <w:spacing w:line="360" w:lineRule="auto"/>
              <w:rPr>
                <w:rFonts w:hint="eastAsia" w:ascii="宋体" w:hAnsi="宋体"/>
                <w:sz w:val="24"/>
                <w:highlight w:val="none"/>
              </w:rPr>
            </w:pPr>
            <w:r>
              <w:rPr>
                <w:rFonts w:hint="eastAsia" w:ascii="宋体" w:hAnsi="宋体"/>
                <w:b/>
                <w:bCs/>
                <w:sz w:val="24"/>
                <w:highlight w:val="none"/>
              </w:rPr>
              <w:t>2.4</w:t>
            </w:r>
          </w:p>
        </w:tc>
        <w:tc>
          <w:tcPr>
            <w:tcW w:w="7391" w:type="dxa"/>
            <w:noWrap w:val="0"/>
            <w:vAlign w:val="top"/>
          </w:tcPr>
          <w:p w14:paraId="317AFEA8">
            <w:pPr>
              <w:spacing w:line="360" w:lineRule="auto"/>
              <w:rPr>
                <w:rFonts w:hint="eastAsia" w:ascii="宋体" w:hAnsi="宋体"/>
                <w:sz w:val="24"/>
                <w:highlight w:val="none"/>
              </w:rPr>
            </w:pPr>
            <w:r>
              <w:rPr>
                <w:rFonts w:hint="eastAsia" w:ascii="宋体" w:hAnsi="宋体"/>
                <w:b/>
                <w:bCs/>
                <w:sz w:val="24"/>
                <w:highlight w:val="none"/>
              </w:rPr>
              <w:t>承包人需要为发包人和监理人提供的现场办公条件和设施</w:t>
            </w:r>
          </w:p>
        </w:tc>
      </w:tr>
      <w:tr w14:paraId="76216229">
        <w:tblPrEx>
          <w:tblCellMar>
            <w:top w:w="0" w:type="dxa"/>
            <w:left w:w="108" w:type="dxa"/>
            <w:bottom w:w="0" w:type="dxa"/>
            <w:right w:w="108" w:type="dxa"/>
          </w:tblCellMar>
        </w:tblPrEx>
        <w:trPr>
          <w:gridAfter w:val="1"/>
          <w:wAfter w:w="57" w:type="dxa"/>
        </w:trPr>
        <w:tc>
          <w:tcPr>
            <w:tcW w:w="1398" w:type="dxa"/>
            <w:noWrap w:val="0"/>
            <w:vAlign w:val="top"/>
          </w:tcPr>
          <w:p w14:paraId="1E21AA12">
            <w:pPr>
              <w:spacing w:line="360" w:lineRule="auto"/>
              <w:rPr>
                <w:rFonts w:hint="eastAsia" w:ascii="宋体" w:hAnsi="宋体"/>
                <w:sz w:val="24"/>
                <w:highlight w:val="none"/>
              </w:rPr>
            </w:pPr>
            <w:r>
              <w:rPr>
                <w:rFonts w:hint="eastAsia" w:ascii="宋体" w:hAnsi="宋体"/>
                <w:sz w:val="24"/>
                <w:highlight w:val="none"/>
              </w:rPr>
              <w:t>2.4.1</w:t>
            </w:r>
          </w:p>
        </w:tc>
        <w:tc>
          <w:tcPr>
            <w:tcW w:w="7391" w:type="dxa"/>
            <w:noWrap w:val="0"/>
            <w:vAlign w:val="top"/>
          </w:tcPr>
          <w:p w14:paraId="368CD1D2">
            <w:pPr>
              <w:spacing w:line="360" w:lineRule="auto"/>
              <w:rPr>
                <w:rFonts w:hint="eastAsia" w:ascii="宋体" w:hAnsi="宋体"/>
                <w:sz w:val="24"/>
                <w:highlight w:val="none"/>
              </w:rPr>
            </w:pPr>
            <w:r>
              <w:rPr>
                <w:rFonts w:hint="eastAsia" w:ascii="宋体" w:hAnsi="宋体"/>
                <w:sz w:val="24"/>
                <w:highlight w:val="none"/>
              </w:rPr>
              <w:t>承包人需要为发包人和监理人提供的现场办公条件和设施及其详细要求如下：</w:t>
            </w:r>
          </w:p>
          <w:p w14:paraId="0921C885">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745B3F7F">
        <w:tblPrEx>
          <w:tblCellMar>
            <w:top w:w="0" w:type="dxa"/>
            <w:left w:w="108" w:type="dxa"/>
            <w:bottom w:w="0" w:type="dxa"/>
            <w:right w:w="108" w:type="dxa"/>
          </w:tblCellMar>
        </w:tblPrEx>
        <w:trPr>
          <w:gridAfter w:val="1"/>
          <w:wAfter w:w="57" w:type="dxa"/>
        </w:trPr>
        <w:tc>
          <w:tcPr>
            <w:tcW w:w="8789" w:type="dxa"/>
            <w:gridSpan w:val="2"/>
            <w:noWrap w:val="0"/>
            <w:vAlign w:val="top"/>
          </w:tcPr>
          <w:p w14:paraId="2D34EF34">
            <w:pPr>
              <w:spacing w:line="360" w:lineRule="auto"/>
              <w:rPr>
                <w:rFonts w:hint="eastAsia" w:ascii="宋体" w:hAnsi="宋体"/>
                <w:b/>
                <w:bCs/>
                <w:sz w:val="24"/>
                <w:highlight w:val="none"/>
              </w:rPr>
            </w:pPr>
            <w:bookmarkStart w:id="683" w:name="_Toc342296549"/>
            <w:bookmarkStart w:id="684" w:name="_Toc448915679"/>
            <w:bookmarkStart w:id="685" w:name="_Toc241459792"/>
            <w:r>
              <w:rPr>
                <w:rFonts w:hint="eastAsia" w:ascii="宋体" w:hAnsi="宋体"/>
                <w:b/>
                <w:bCs/>
                <w:sz w:val="24"/>
                <w:highlight w:val="none"/>
              </w:rPr>
              <w:t>3.</w:t>
            </w:r>
            <w:r>
              <w:rPr>
                <w:rFonts w:ascii="宋体" w:hAnsi="宋体"/>
                <w:b/>
                <w:bCs/>
                <w:sz w:val="24"/>
                <w:highlight w:val="none"/>
              </w:rPr>
              <w:t>工期要求</w:t>
            </w:r>
            <w:bookmarkEnd w:id="683"/>
            <w:bookmarkEnd w:id="684"/>
            <w:bookmarkEnd w:id="685"/>
          </w:p>
        </w:tc>
      </w:tr>
      <w:tr w14:paraId="7374A80C">
        <w:tblPrEx>
          <w:tblCellMar>
            <w:top w:w="0" w:type="dxa"/>
            <w:left w:w="108" w:type="dxa"/>
            <w:bottom w:w="0" w:type="dxa"/>
            <w:right w:w="108" w:type="dxa"/>
          </w:tblCellMar>
        </w:tblPrEx>
        <w:trPr>
          <w:gridAfter w:val="1"/>
          <w:wAfter w:w="57" w:type="dxa"/>
        </w:trPr>
        <w:tc>
          <w:tcPr>
            <w:tcW w:w="1398" w:type="dxa"/>
            <w:noWrap w:val="0"/>
            <w:vAlign w:val="top"/>
          </w:tcPr>
          <w:p w14:paraId="6C2A41A7">
            <w:pPr>
              <w:spacing w:line="360" w:lineRule="auto"/>
              <w:rPr>
                <w:rFonts w:hint="eastAsia" w:ascii="宋体" w:hAnsi="宋体"/>
                <w:sz w:val="24"/>
                <w:highlight w:val="none"/>
              </w:rPr>
            </w:pPr>
            <w:r>
              <w:rPr>
                <w:rFonts w:hint="eastAsia" w:ascii="宋体" w:hAnsi="宋体"/>
                <w:b/>
                <w:bCs/>
                <w:sz w:val="24"/>
                <w:highlight w:val="none"/>
              </w:rPr>
              <w:t>3</w:t>
            </w:r>
            <w:r>
              <w:rPr>
                <w:rFonts w:ascii="宋体" w:hAnsi="宋体"/>
                <w:b/>
                <w:bCs/>
                <w:sz w:val="24"/>
                <w:highlight w:val="none"/>
              </w:rPr>
              <w:t>.</w:t>
            </w:r>
            <w:r>
              <w:rPr>
                <w:rFonts w:hint="eastAsia" w:ascii="宋体" w:hAnsi="宋体"/>
                <w:b/>
                <w:bCs/>
                <w:sz w:val="24"/>
                <w:highlight w:val="none"/>
              </w:rPr>
              <w:t>1</w:t>
            </w:r>
          </w:p>
        </w:tc>
        <w:tc>
          <w:tcPr>
            <w:tcW w:w="7391" w:type="dxa"/>
            <w:noWrap w:val="0"/>
            <w:vAlign w:val="top"/>
          </w:tcPr>
          <w:p w14:paraId="65848ACC">
            <w:pPr>
              <w:spacing w:line="360" w:lineRule="auto"/>
              <w:rPr>
                <w:rFonts w:hint="eastAsia" w:ascii="宋体" w:hAnsi="宋体"/>
                <w:sz w:val="24"/>
                <w:highlight w:val="none"/>
              </w:rPr>
            </w:pPr>
            <w:r>
              <w:rPr>
                <w:rFonts w:hint="eastAsia" w:ascii="宋体" w:hAnsi="宋体"/>
                <w:b/>
                <w:bCs/>
                <w:sz w:val="24"/>
                <w:highlight w:val="none"/>
              </w:rPr>
              <w:t>合同工期</w:t>
            </w:r>
          </w:p>
        </w:tc>
      </w:tr>
      <w:tr w14:paraId="20945253">
        <w:tblPrEx>
          <w:tblCellMar>
            <w:top w:w="0" w:type="dxa"/>
            <w:left w:w="108" w:type="dxa"/>
            <w:bottom w:w="0" w:type="dxa"/>
            <w:right w:w="108" w:type="dxa"/>
          </w:tblCellMar>
        </w:tblPrEx>
        <w:trPr>
          <w:gridAfter w:val="1"/>
          <w:wAfter w:w="57" w:type="dxa"/>
        </w:trPr>
        <w:tc>
          <w:tcPr>
            <w:tcW w:w="1398" w:type="dxa"/>
            <w:noWrap w:val="0"/>
            <w:vAlign w:val="top"/>
          </w:tcPr>
          <w:p w14:paraId="498EC2FB">
            <w:pPr>
              <w:spacing w:line="360" w:lineRule="auto"/>
              <w:rPr>
                <w:rFonts w:hint="eastAsia" w:ascii="宋体" w:hAnsi="宋体"/>
                <w:sz w:val="24"/>
                <w:highlight w:val="none"/>
              </w:rPr>
            </w:pPr>
          </w:p>
        </w:tc>
        <w:tc>
          <w:tcPr>
            <w:tcW w:w="7391" w:type="dxa"/>
            <w:noWrap w:val="0"/>
            <w:vAlign w:val="top"/>
          </w:tcPr>
          <w:p w14:paraId="1C45D0C6">
            <w:pPr>
              <w:spacing w:line="360" w:lineRule="auto"/>
              <w:rPr>
                <w:rFonts w:hint="eastAsia" w:ascii="宋体" w:hAnsi="宋体"/>
                <w:sz w:val="24"/>
                <w:highlight w:val="none"/>
              </w:rPr>
            </w:pPr>
            <w:r>
              <w:rPr>
                <w:rFonts w:hint="eastAsia" w:ascii="宋体" w:hAnsi="宋体"/>
                <w:sz w:val="24"/>
                <w:highlight w:val="none"/>
              </w:rPr>
              <w:tab/>
            </w:r>
            <w:r>
              <w:rPr>
                <w:rFonts w:hint="eastAsia" w:ascii="宋体" w:hAnsi="宋体"/>
                <w:sz w:val="24"/>
                <w:highlight w:val="none"/>
              </w:rPr>
              <w:t>本工程合同工期和计划开、竣工日期为承包人在投标函附录中承诺的工期和计划开、竣工日期，并在合同协议书中载明。</w:t>
            </w:r>
          </w:p>
          <w:p w14:paraId="7E753CE8">
            <w:pPr>
              <w:spacing w:line="360" w:lineRule="auto"/>
              <w:rPr>
                <w:rFonts w:hint="eastAsia" w:ascii="宋体" w:hAnsi="宋体"/>
                <w:sz w:val="24"/>
                <w:highlight w:val="none"/>
              </w:rPr>
            </w:pPr>
            <w:r>
              <w:rPr>
                <w:rFonts w:hint="eastAsia" w:ascii="宋体" w:hAnsi="宋体"/>
                <w:sz w:val="24"/>
                <w:highlight w:val="none"/>
              </w:rPr>
              <w:t>3.2</w:t>
            </w:r>
            <w:r>
              <w:rPr>
                <w:rFonts w:hint="eastAsia" w:ascii="宋体" w:hAnsi="宋体"/>
                <w:sz w:val="24"/>
                <w:highlight w:val="none"/>
              </w:rPr>
              <w:tab/>
            </w:r>
            <w:r>
              <w:rPr>
                <w:rFonts w:hint="eastAsia" w:ascii="宋体" w:hAnsi="宋体"/>
                <w:sz w:val="24"/>
                <w:highlight w:val="none"/>
              </w:rPr>
              <w:t>关于工期的一般规定</w:t>
            </w:r>
          </w:p>
          <w:p w14:paraId="1D233A6A">
            <w:pPr>
              <w:spacing w:line="360" w:lineRule="auto"/>
              <w:rPr>
                <w:rFonts w:hint="eastAsia" w:ascii="宋体" w:hAnsi="宋体"/>
                <w:sz w:val="24"/>
                <w:highlight w:val="none"/>
              </w:rPr>
            </w:pPr>
            <w:r>
              <w:rPr>
                <w:rFonts w:hint="eastAsia" w:ascii="宋体" w:hAnsi="宋体"/>
                <w:sz w:val="24"/>
                <w:highlight w:val="none"/>
              </w:rPr>
              <w:t>3.2.1</w:t>
            </w:r>
            <w:r>
              <w:rPr>
                <w:rFonts w:hint="eastAsia" w:ascii="宋体" w:hAnsi="宋体"/>
                <w:sz w:val="24"/>
                <w:highlight w:val="none"/>
              </w:rPr>
              <w:tab/>
            </w:r>
            <w:r>
              <w:rPr>
                <w:rFonts w:hint="eastAsia" w:ascii="宋体" w:hAnsi="宋体"/>
                <w:sz w:val="24"/>
                <w:highlight w:val="none"/>
              </w:rPr>
              <w:t>承包人在投标函中承诺的工期和计划开、竣工日期之间发生矛盾或者不一致时，以承包人承诺的工期为准。实际开工日期以通用合同条款约定的监理人发出的开工通知中载明的开工日期为准。</w:t>
            </w:r>
          </w:p>
          <w:p w14:paraId="7273945D">
            <w:pPr>
              <w:spacing w:line="360" w:lineRule="auto"/>
              <w:rPr>
                <w:rFonts w:hint="eastAsia" w:ascii="宋体" w:hAnsi="宋体"/>
                <w:sz w:val="24"/>
                <w:highlight w:val="none"/>
              </w:rPr>
            </w:pPr>
            <w:r>
              <w:rPr>
                <w:rFonts w:hint="eastAsia" w:ascii="宋体" w:hAnsi="宋体"/>
                <w:sz w:val="24"/>
                <w:highlight w:val="none"/>
              </w:rPr>
              <w:t>3.2.2</w:t>
            </w:r>
            <w:r>
              <w:rPr>
                <w:rFonts w:hint="eastAsia" w:ascii="宋体" w:hAnsi="宋体"/>
                <w:sz w:val="24"/>
                <w:highlight w:val="none"/>
              </w:rPr>
              <w:tab/>
            </w:r>
            <w:r>
              <w:rPr>
                <w:rFonts w:hint="eastAsia" w:ascii="宋体" w:hAnsi="宋体"/>
                <w:sz w:val="24"/>
                <w:highlight w:val="none"/>
              </w:rPr>
              <w:t>如果承包人在投标函附录中承诺的工期提前于发包人在本工程磋商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026FFF2F">
            <w:pPr>
              <w:spacing w:line="360" w:lineRule="auto"/>
              <w:rPr>
                <w:rFonts w:hint="eastAsia" w:ascii="宋体" w:hAnsi="宋体"/>
                <w:sz w:val="24"/>
                <w:highlight w:val="none"/>
              </w:rPr>
            </w:pPr>
            <w:r>
              <w:rPr>
                <w:rFonts w:hint="eastAsia" w:ascii="宋体" w:hAnsi="宋体"/>
                <w:sz w:val="24"/>
                <w:highlight w:val="none"/>
              </w:rPr>
              <w:t>3.3对工期的响应</w:t>
            </w:r>
          </w:p>
          <w:p w14:paraId="6B25CAA1">
            <w:pPr>
              <w:spacing w:line="360" w:lineRule="auto"/>
              <w:rPr>
                <w:rFonts w:hint="eastAsia" w:ascii="宋体" w:hAnsi="宋体"/>
                <w:sz w:val="24"/>
                <w:highlight w:val="none"/>
              </w:rPr>
            </w:pPr>
            <w:r>
              <w:rPr>
                <w:rFonts w:hint="eastAsia" w:ascii="宋体" w:hAnsi="宋体"/>
                <w:sz w:val="24"/>
                <w:highlight w:val="none"/>
              </w:rPr>
              <w:t>3.3.1对于发包人要求的工期，承包人必须完全响应，承包人可优化总工期和工期节点完成时间。优化后的总工期及节点工期一旦被发包人接受，即成为合同工期。总承包人在施工组织设计中必须考虑保证工期的措施、加班、加人的费用，除非合同文件另有约定，发包人不再向承包人支付任何性质的措施费用及赶工费用。</w:t>
            </w:r>
          </w:p>
          <w:p w14:paraId="1E7C99EF">
            <w:pPr>
              <w:spacing w:line="360" w:lineRule="auto"/>
              <w:rPr>
                <w:rFonts w:hint="eastAsia" w:ascii="宋体" w:hAnsi="宋体"/>
                <w:sz w:val="24"/>
                <w:highlight w:val="none"/>
              </w:rPr>
            </w:pPr>
            <w:r>
              <w:rPr>
                <w:rFonts w:hint="eastAsia" w:ascii="宋体" w:hAnsi="宋体"/>
                <w:sz w:val="24"/>
                <w:highlight w:val="none"/>
              </w:rPr>
              <w:t>3.3.2总承包人已经详细勘察现场，需遵守一切与该区域相关的管理规定和交通限制等相关因素对工期产生的影响，特别是确保文明施工要求。在工程实施期间，承包人除需协调承包范围内的各专业分包人和专项供应商外，还需为发包人发包的独立承包工程提供统一协调和管理，并制定切实可行的工期保证措施，且已将相关费用计入了签约合同价中。</w:t>
            </w:r>
          </w:p>
          <w:p w14:paraId="0DB9F422">
            <w:pPr>
              <w:spacing w:line="360" w:lineRule="auto"/>
              <w:rPr>
                <w:rFonts w:hint="eastAsia" w:ascii="宋体" w:hAnsi="宋体"/>
                <w:sz w:val="24"/>
                <w:highlight w:val="none"/>
              </w:rPr>
            </w:pPr>
            <w:r>
              <w:rPr>
                <w:rFonts w:hint="eastAsia" w:ascii="宋体" w:hAnsi="宋体"/>
                <w:sz w:val="24"/>
                <w:highlight w:val="none"/>
              </w:rPr>
              <w:t>3.3.3若发现本工程不能在规定的工期或节点工期前完工，发包人可发出指令，要求承包人更改其施工程序或采取其它措施确保本工程能如期完成。承包人须无条件地执行有关的指令。</w:t>
            </w:r>
          </w:p>
          <w:p w14:paraId="0171D257">
            <w:pPr>
              <w:spacing w:line="360" w:lineRule="auto"/>
              <w:rPr>
                <w:rFonts w:hint="eastAsia" w:ascii="宋体" w:hAnsi="宋体"/>
                <w:sz w:val="24"/>
                <w:highlight w:val="none"/>
              </w:rPr>
            </w:pPr>
            <w:r>
              <w:rPr>
                <w:rFonts w:hint="eastAsia" w:ascii="宋体" w:hAnsi="宋体"/>
                <w:sz w:val="24"/>
                <w:highlight w:val="none"/>
              </w:rPr>
              <w:t>3.3.4若承包人未能按合同工期及上述各个节点工期或按合同条款延长后的节点工期完成相应节点工程或本工程，而使其他独立承包人施工任务、施工条件遇到各种禁止和限制，承包人须承担一切后果和损失。</w:t>
            </w:r>
          </w:p>
          <w:p w14:paraId="408A7FA7">
            <w:pPr>
              <w:spacing w:line="360" w:lineRule="auto"/>
              <w:rPr>
                <w:rFonts w:hint="eastAsia" w:ascii="宋体" w:hAnsi="宋体"/>
                <w:sz w:val="24"/>
                <w:highlight w:val="none"/>
              </w:rPr>
            </w:pPr>
            <w:r>
              <w:rPr>
                <w:rFonts w:hint="eastAsia" w:ascii="宋体" w:hAnsi="宋体"/>
                <w:sz w:val="24"/>
                <w:highlight w:val="none"/>
              </w:rPr>
              <w:t>3.3.5合同工期天数：详见《</w:t>
            </w:r>
            <w:r>
              <w:rPr>
                <w:rFonts w:ascii="宋体" w:hAnsi="宋体"/>
                <w:sz w:val="24"/>
                <w:highlight w:val="none"/>
              </w:rPr>
              <w:t>第二章供应商须知前附表</w:t>
            </w:r>
            <w:r>
              <w:rPr>
                <w:rFonts w:hint="eastAsia" w:ascii="宋体" w:hAnsi="宋体"/>
                <w:sz w:val="24"/>
                <w:highlight w:val="none"/>
              </w:rPr>
              <w:t>》。</w:t>
            </w:r>
          </w:p>
        </w:tc>
      </w:tr>
      <w:tr w14:paraId="54A6790F">
        <w:tblPrEx>
          <w:tblCellMar>
            <w:top w:w="0" w:type="dxa"/>
            <w:left w:w="108" w:type="dxa"/>
            <w:bottom w:w="0" w:type="dxa"/>
            <w:right w:w="108" w:type="dxa"/>
          </w:tblCellMar>
        </w:tblPrEx>
        <w:trPr>
          <w:gridAfter w:val="1"/>
          <w:wAfter w:w="57" w:type="dxa"/>
        </w:trPr>
        <w:tc>
          <w:tcPr>
            <w:tcW w:w="8789" w:type="dxa"/>
            <w:gridSpan w:val="2"/>
            <w:noWrap w:val="0"/>
            <w:vAlign w:val="top"/>
          </w:tcPr>
          <w:p w14:paraId="33E4C8AB">
            <w:pPr>
              <w:spacing w:line="360" w:lineRule="auto"/>
              <w:rPr>
                <w:rFonts w:hint="eastAsia" w:ascii="宋体" w:hAnsi="宋体"/>
                <w:sz w:val="24"/>
                <w:highlight w:val="none"/>
              </w:rPr>
            </w:pPr>
            <w:bookmarkStart w:id="686" w:name="_Toc342296550"/>
            <w:bookmarkStart w:id="687" w:name="_Toc448915680"/>
            <w:bookmarkStart w:id="688" w:name="_Toc241459793"/>
            <w:r>
              <w:rPr>
                <w:rFonts w:hint="eastAsia" w:ascii="宋体" w:hAnsi="宋体"/>
                <w:b/>
                <w:bCs/>
                <w:sz w:val="24"/>
                <w:highlight w:val="none"/>
              </w:rPr>
              <w:t>4.</w:t>
            </w:r>
            <w:r>
              <w:rPr>
                <w:rFonts w:ascii="宋体" w:hAnsi="宋体"/>
                <w:b/>
                <w:bCs/>
                <w:sz w:val="24"/>
                <w:highlight w:val="none"/>
              </w:rPr>
              <w:t>质量</w:t>
            </w:r>
            <w:r>
              <w:rPr>
                <w:rFonts w:hint="eastAsia" w:ascii="宋体" w:hAnsi="宋体"/>
                <w:b/>
                <w:bCs/>
                <w:sz w:val="24"/>
                <w:highlight w:val="none"/>
              </w:rPr>
              <w:t>要求</w:t>
            </w:r>
            <w:bookmarkEnd w:id="686"/>
            <w:bookmarkEnd w:id="687"/>
            <w:bookmarkEnd w:id="688"/>
          </w:p>
        </w:tc>
      </w:tr>
      <w:tr w14:paraId="43D89003">
        <w:tblPrEx>
          <w:tblCellMar>
            <w:top w:w="0" w:type="dxa"/>
            <w:left w:w="108" w:type="dxa"/>
            <w:bottom w:w="0" w:type="dxa"/>
            <w:right w:w="108" w:type="dxa"/>
          </w:tblCellMar>
        </w:tblPrEx>
        <w:trPr>
          <w:gridAfter w:val="1"/>
          <w:wAfter w:w="57" w:type="dxa"/>
        </w:trPr>
        <w:tc>
          <w:tcPr>
            <w:tcW w:w="1398" w:type="dxa"/>
            <w:noWrap w:val="0"/>
            <w:vAlign w:val="top"/>
          </w:tcPr>
          <w:p w14:paraId="0CABA716">
            <w:pPr>
              <w:spacing w:line="360" w:lineRule="auto"/>
              <w:rPr>
                <w:rFonts w:hint="eastAsia" w:ascii="宋体" w:hAnsi="宋体"/>
                <w:sz w:val="24"/>
                <w:highlight w:val="none"/>
              </w:rPr>
            </w:pPr>
            <w:r>
              <w:rPr>
                <w:rFonts w:hint="eastAsia" w:ascii="宋体" w:hAnsi="宋体"/>
                <w:b/>
                <w:bCs/>
                <w:sz w:val="24"/>
                <w:highlight w:val="none"/>
              </w:rPr>
              <w:t>4</w:t>
            </w:r>
            <w:r>
              <w:rPr>
                <w:rFonts w:ascii="宋体" w:hAnsi="宋体"/>
                <w:b/>
                <w:bCs/>
                <w:sz w:val="24"/>
                <w:highlight w:val="none"/>
              </w:rPr>
              <w:t>.1</w:t>
            </w:r>
          </w:p>
        </w:tc>
        <w:tc>
          <w:tcPr>
            <w:tcW w:w="7391" w:type="dxa"/>
            <w:noWrap w:val="0"/>
            <w:vAlign w:val="top"/>
          </w:tcPr>
          <w:p w14:paraId="55B81EF1">
            <w:pPr>
              <w:spacing w:line="360" w:lineRule="auto"/>
              <w:rPr>
                <w:rFonts w:hint="eastAsia" w:ascii="宋体" w:hAnsi="宋体"/>
                <w:sz w:val="24"/>
                <w:highlight w:val="none"/>
              </w:rPr>
            </w:pPr>
            <w:r>
              <w:rPr>
                <w:rFonts w:ascii="宋体" w:hAnsi="宋体"/>
                <w:b/>
                <w:bCs/>
                <w:sz w:val="24"/>
                <w:highlight w:val="none"/>
              </w:rPr>
              <w:t>质量</w:t>
            </w:r>
            <w:r>
              <w:rPr>
                <w:rFonts w:hint="eastAsia" w:ascii="宋体" w:hAnsi="宋体"/>
                <w:b/>
                <w:bCs/>
                <w:sz w:val="24"/>
                <w:highlight w:val="none"/>
              </w:rPr>
              <w:t>标准</w:t>
            </w:r>
          </w:p>
        </w:tc>
      </w:tr>
      <w:tr w14:paraId="5393B406">
        <w:tblPrEx>
          <w:tblCellMar>
            <w:top w:w="0" w:type="dxa"/>
            <w:left w:w="108" w:type="dxa"/>
            <w:bottom w:w="0" w:type="dxa"/>
            <w:right w:w="108" w:type="dxa"/>
          </w:tblCellMar>
        </w:tblPrEx>
        <w:trPr>
          <w:gridAfter w:val="1"/>
          <w:wAfter w:w="57" w:type="dxa"/>
        </w:trPr>
        <w:tc>
          <w:tcPr>
            <w:tcW w:w="1398" w:type="dxa"/>
            <w:noWrap w:val="0"/>
            <w:vAlign w:val="top"/>
          </w:tcPr>
          <w:p w14:paraId="75F60B44">
            <w:pPr>
              <w:spacing w:line="360" w:lineRule="auto"/>
              <w:rPr>
                <w:rFonts w:hint="eastAsia" w:ascii="宋体" w:hAnsi="宋体"/>
                <w:sz w:val="24"/>
                <w:highlight w:val="none"/>
              </w:rPr>
            </w:pPr>
            <w:r>
              <w:rPr>
                <w:rFonts w:hint="eastAsia" w:ascii="宋体" w:hAnsi="宋体"/>
                <w:sz w:val="24"/>
                <w:highlight w:val="none"/>
              </w:rPr>
              <w:t>4.1.1</w:t>
            </w:r>
          </w:p>
        </w:tc>
        <w:tc>
          <w:tcPr>
            <w:tcW w:w="7391" w:type="dxa"/>
            <w:noWrap w:val="0"/>
            <w:vAlign w:val="top"/>
          </w:tcPr>
          <w:p w14:paraId="72A5D546">
            <w:pPr>
              <w:spacing w:line="360" w:lineRule="auto"/>
              <w:rPr>
                <w:rFonts w:hint="eastAsia" w:ascii="宋体" w:hAnsi="宋体"/>
                <w:sz w:val="24"/>
                <w:highlight w:val="none"/>
              </w:rPr>
            </w:pPr>
            <w:r>
              <w:rPr>
                <w:rFonts w:hint="eastAsia" w:ascii="宋体" w:hAnsi="宋体"/>
                <w:sz w:val="24"/>
                <w:highlight w:val="none"/>
              </w:rPr>
              <w:t>本工程要求的质量标准为</w:t>
            </w:r>
            <w:r>
              <w:rPr>
                <w:rFonts w:hint="eastAsia" w:ascii="宋体" w:hAnsi="宋体"/>
                <w:sz w:val="24"/>
                <w:highlight w:val="none"/>
                <w:u w:val="single"/>
              </w:rPr>
              <w:t>符合现行国家有关工程施工验收规范和标准的要求（合格）</w:t>
            </w:r>
            <w:r>
              <w:rPr>
                <w:rFonts w:hint="eastAsia" w:ascii="宋体" w:hAnsi="宋体"/>
                <w:sz w:val="24"/>
                <w:highlight w:val="none"/>
              </w:rPr>
              <w:t>。</w:t>
            </w:r>
          </w:p>
        </w:tc>
      </w:tr>
      <w:tr w14:paraId="2EDE1E77">
        <w:tblPrEx>
          <w:tblCellMar>
            <w:top w:w="0" w:type="dxa"/>
            <w:left w:w="108" w:type="dxa"/>
            <w:bottom w:w="0" w:type="dxa"/>
            <w:right w:w="108" w:type="dxa"/>
          </w:tblCellMar>
        </w:tblPrEx>
        <w:trPr>
          <w:gridAfter w:val="1"/>
          <w:wAfter w:w="57" w:type="dxa"/>
        </w:trPr>
        <w:tc>
          <w:tcPr>
            <w:tcW w:w="1398" w:type="dxa"/>
            <w:noWrap w:val="0"/>
            <w:vAlign w:val="top"/>
          </w:tcPr>
          <w:p w14:paraId="2A0A435F">
            <w:pPr>
              <w:spacing w:line="360" w:lineRule="auto"/>
              <w:rPr>
                <w:rFonts w:hint="eastAsia" w:ascii="宋体" w:hAnsi="宋体"/>
                <w:sz w:val="24"/>
                <w:highlight w:val="none"/>
              </w:rPr>
            </w:pPr>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2</w:t>
            </w:r>
          </w:p>
        </w:tc>
        <w:tc>
          <w:tcPr>
            <w:tcW w:w="7391" w:type="dxa"/>
            <w:noWrap w:val="0"/>
            <w:vAlign w:val="top"/>
          </w:tcPr>
          <w:p w14:paraId="5699D94D">
            <w:pPr>
              <w:spacing w:line="360" w:lineRule="auto"/>
              <w:rPr>
                <w:rFonts w:hint="eastAsia" w:ascii="宋体" w:hAnsi="宋体"/>
                <w:sz w:val="24"/>
                <w:highlight w:val="none"/>
              </w:rPr>
            </w:pPr>
            <w:r>
              <w:rPr>
                <w:rFonts w:ascii="宋体" w:hAnsi="宋体"/>
                <w:b/>
                <w:bCs/>
                <w:sz w:val="24"/>
                <w:highlight w:val="none"/>
              </w:rPr>
              <w:t>特殊</w:t>
            </w:r>
            <w:r>
              <w:rPr>
                <w:rFonts w:hint="eastAsia" w:ascii="宋体" w:hAnsi="宋体"/>
                <w:b/>
                <w:bCs/>
                <w:sz w:val="24"/>
                <w:highlight w:val="none"/>
              </w:rPr>
              <w:t>质量</w:t>
            </w:r>
            <w:r>
              <w:rPr>
                <w:rFonts w:ascii="宋体" w:hAnsi="宋体"/>
                <w:b/>
                <w:bCs/>
                <w:sz w:val="24"/>
                <w:highlight w:val="none"/>
              </w:rPr>
              <w:t>要求</w:t>
            </w:r>
          </w:p>
        </w:tc>
      </w:tr>
      <w:tr w14:paraId="7EFB8952">
        <w:tblPrEx>
          <w:tblCellMar>
            <w:top w:w="0" w:type="dxa"/>
            <w:left w:w="108" w:type="dxa"/>
            <w:bottom w:w="0" w:type="dxa"/>
            <w:right w:w="108" w:type="dxa"/>
          </w:tblCellMar>
        </w:tblPrEx>
        <w:trPr>
          <w:gridAfter w:val="1"/>
          <w:wAfter w:w="57" w:type="dxa"/>
        </w:trPr>
        <w:tc>
          <w:tcPr>
            <w:tcW w:w="1398" w:type="dxa"/>
            <w:noWrap w:val="0"/>
            <w:vAlign w:val="top"/>
          </w:tcPr>
          <w:p w14:paraId="63496DCA">
            <w:pPr>
              <w:spacing w:line="360" w:lineRule="auto"/>
              <w:rPr>
                <w:rFonts w:hint="eastAsia" w:ascii="宋体" w:hAnsi="宋体"/>
                <w:sz w:val="24"/>
                <w:highlight w:val="none"/>
              </w:rPr>
            </w:pPr>
            <w:r>
              <w:rPr>
                <w:rFonts w:hint="eastAsia" w:ascii="宋体" w:hAnsi="宋体"/>
                <w:sz w:val="24"/>
                <w:highlight w:val="none"/>
              </w:rPr>
              <w:t>4.2.1</w:t>
            </w:r>
          </w:p>
        </w:tc>
        <w:tc>
          <w:tcPr>
            <w:tcW w:w="7391" w:type="dxa"/>
            <w:noWrap w:val="0"/>
            <w:vAlign w:val="top"/>
          </w:tcPr>
          <w:p w14:paraId="4F09B9CE">
            <w:pPr>
              <w:spacing w:line="360" w:lineRule="auto"/>
              <w:rPr>
                <w:rFonts w:hint="eastAsia" w:ascii="宋体" w:hAnsi="宋体"/>
                <w:sz w:val="24"/>
                <w:highlight w:val="none"/>
              </w:rPr>
            </w:pPr>
            <w:r>
              <w:rPr>
                <w:rFonts w:hint="eastAsia" w:ascii="宋体" w:hAnsi="宋体"/>
                <w:sz w:val="24"/>
                <w:highlight w:val="none"/>
              </w:rPr>
              <w:t>有关本工程质量方面的特殊要求如下：</w:t>
            </w:r>
          </w:p>
          <w:p w14:paraId="7E64F616">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067CB035">
        <w:tblPrEx>
          <w:tblCellMar>
            <w:top w:w="0" w:type="dxa"/>
            <w:left w:w="108" w:type="dxa"/>
            <w:bottom w:w="0" w:type="dxa"/>
            <w:right w:w="108" w:type="dxa"/>
          </w:tblCellMar>
        </w:tblPrEx>
        <w:trPr>
          <w:gridAfter w:val="1"/>
          <w:wAfter w:w="57" w:type="dxa"/>
        </w:trPr>
        <w:tc>
          <w:tcPr>
            <w:tcW w:w="8789" w:type="dxa"/>
            <w:gridSpan w:val="2"/>
            <w:noWrap w:val="0"/>
            <w:vAlign w:val="top"/>
          </w:tcPr>
          <w:p w14:paraId="1F46D770">
            <w:pPr>
              <w:spacing w:line="360" w:lineRule="auto"/>
              <w:rPr>
                <w:rFonts w:hint="eastAsia" w:ascii="宋体" w:hAnsi="宋体"/>
                <w:b/>
                <w:bCs/>
                <w:sz w:val="24"/>
                <w:highlight w:val="none"/>
              </w:rPr>
            </w:pPr>
            <w:bookmarkStart w:id="689" w:name="_Toc448915681"/>
            <w:bookmarkStart w:id="690" w:name="_Toc342296551"/>
            <w:bookmarkStart w:id="691" w:name="_Toc241459794"/>
            <w:r>
              <w:rPr>
                <w:rFonts w:hint="eastAsia" w:ascii="宋体" w:hAnsi="宋体"/>
                <w:b/>
                <w:bCs/>
                <w:sz w:val="24"/>
                <w:highlight w:val="none"/>
              </w:rPr>
              <w:t>5.</w:t>
            </w:r>
            <w:r>
              <w:rPr>
                <w:rFonts w:ascii="宋体" w:hAnsi="宋体"/>
                <w:b/>
                <w:bCs/>
                <w:sz w:val="24"/>
                <w:highlight w:val="none"/>
              </w:rPr>
              <w:t>适用规范</w:t>
            </w:r>
            <w:r>
              <w:rPr>
                <w:rFonts w:hint="eastAsia" w:ascii="宋体" w:hAnsi="宋体"/>
                <w:b/>
                <w:bCs/>
                <w:sz w:val="24"/>
                <w:highlight w:val="none"/>
              </w:rPr>
              <w:t>和标准</w:t>
            </w:r>
            <w:bookmarkEnd w:id="689"/>
            <w:bookmarkEnd w:id="690"/>
            <w:bookmarkEnd w:id="691"/>
          </w:p>
        </w:tc>
      </w:tr>
      <w:tr w14:paraId="0C541F73">
        <w:tblPrEx>
          <w:tblCellMar>
            <w:top w:w="0" w:type="dxa"/>
            <w:left w:w="108" w:type="dxa"/>
            <w:bottom w:w="0" w:type="dxa"/>
            <w:right w:w="108" w:type="dxa"/>
          </w:tblCellMar>
        </w:tblPrEx>
        <w:trPr>
          <w:gridAfter w:val="1"/>
          <w:wAfter w:w="57" w:type="dxa"/>
        </w:trPr>
        <w:tc>
          <w:tcPr>
            <w:tcW w:w="1398" w:type="dxa"/>
            <w:noWrap w:val="0"/>
            <w:vAlign w:val="top"/>
          </w:tcPr>
          <w:p w14:paraId="06DFB9F8">
            <w:pPr>
              <w:spacing w:line="360" w:lineRule="auto"/>
              <w:rPr>
                <w:rFonts w:hint="eastAsia" w:ascii="宋体" w:hAnsi="宋体"/>
                <w:sz w:val="24"/>
                <w:highlight w:val="none"/>
              </w:rPr>
            </w:pPr>
            <w:r>
              <w:rPr>
                <w:rFonts w:ascii="宋体" w:hAnsi="宋体"/>
                <w:sz w:val="24"/>
                <w:highlight w:val="none"/>
              </w:rPr>
              <w:t>5.1</w:t>
            </w:r>
          </w:p>
        </w:tc>
        <w:tc>
          <w:tcPr>
            <w:tcW w:w="7391" w:type="dxa"/>
            <w:noWrap w:val="0"/>
            <w:vAlign w:val="top"/>
          </w:tcPr>
          <w:p w14:paraId="41681124">
            <w:pPr>
              <w:spacing w:line="360" w:lineRule="auto"/>
              <w:rPr>
                <w:rFonts w:hint="eastAsia" w:ascii="宋体" w:hAnsi="宋体"/>
                <w:sz w:val="24"/>
                <w:highlight w:val="none"/>
              </w:rPr>
            </w:pPr>
            <w:r>
              <w:rPr>
                <w:rFonts w:hint="eastAsia" w:ascii="宋体" w:hAnsi="宋体"/>
                <w:sz w:val="24"/>
                <w:highlight w:val="none"/>
              </w:rPr>
              <w:t>适用的规范、标准和规程</w:t>
            </w:r>
          </w:p>
          <w:p w14:paraId="6F1F07D9">
            <w:pPr>
              <w:spacing w:line="360" w:lineRule="auto"/>
              <w:rPr>
                <w:rFonts w:hint="eastAsia" w:ascii="宋体" w:hAnsi="宋体"/>
                <w:sz w:val="24"/>
                <w:highlight w:val="none"/>
              </w:rPr>
            </w:pPr>
            <w:r>
              <w:rPr>
                <w:rFonts w:hint="eastAsia" w:ascii="宋体" w:hAnsi="宋体"/>
                <w:sz w:val="24"/>
                <w:highlight w:val="none"/>
              </w:rPr>
              <w:t>5.1.1除合同另有约定外，本工程适用现行国家、行业和地方规范、标准和规程。构成合同文件的任何内容与适用的规范、标准和规程之间出现矛盾，承包人应书面要求监理人予以澄清，除监理人有特别指示外，承包人应按照其中要求最严格的标准执行。</w:t>
            </w:r>
          </w:p>
          <w:p w14:paraId="28A5B536">
            <w:pPr>
              <w:spacing w:line="360" w:lineRule="auto"/>
              <w:rPr>
                <w:rFonts w:hint="eastAsia" w:ascii="宋体" w:hAnsi="宋体"/>
                <w:sz w:val="24"/>
                <w:highlight w:val="none"/>
              </w:rPr>
            </w:pPr>
            <w:r>
              <w:rPr>
                <w:rFonts w:hint="eastAsia" w:ascii="宋体" w:hAnsi="宋体"/>
                <w:sz w:val="24"/>
                <w:highlight w:val="none"/>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2F822EE1">
            <w:pPr>
              <w:spacing w:line="360" w:lineRule="auto"/>
              <w:rPr>
                <w:rFonts w:hint="eastAsia" w:ascii="宋体" w:hAnsi="宋体"/>
                <w:sz w:val="24"/>
                <w:highlight w:val="none"/>
              </w:rPr>
            </w:pPr>
            <w:r>
              <w:rPr>
                <w:rFonts w:hint="eastAsia" w:ascii="宋体" w:hAnsi="宋体"/>
                <w:sz w:val="24"/>
                <w:highlight w:val="none"/>
              </w:rPr>
              <w:t>5.2</w:t>
            </w:r>
            <w:r>
              <w:rPr>
                <w:rFonts w:hint="eastAsia" w:ascii="宋体" w:hAnsi="宋体"/>
                <w:bCs/>
                <w:highlight w:val="none"/>
              </w:rPr>
              <w:t>施</w:t>
            </w:r>
            <w:r>
              <w:rPr>
                <w:rFonts w:hint="eastAsia" w:ascii="宋体" w:hAnsi="宋体"/>
                <w:sz w:val="24"/>
                <w:highlight w:val="none"/>
              </w:rPr>
              <w:t>工质量应符合国家、行业现行规范标准，达到合格标准。</w:t>
            </w:r>
          </w:p>
          <w:p w14:paraId="31618A25">
            <w:pPr>
              <w:spacing w:line="360" w:lineRule="auto"/>
              <w:rPr>
                <w:rFonts w:hint="eastAsia" w:ascii="宋体" w:hAnsi="宋体"/>
                <w:sz w:val="24"/>
                <w:highlight w:val="none"/>
              </w:rPr>
            </w:pPr>
            <w:r>
              <w:rPr>
                <w:rFonts w:hint="eastAsia" w:ascii="宋体" w:hAnsi="宋体"/>
                <w:sz w:val="24"/>
                <w:highlight w:val="none"/>
              </w:rPr>
              <w:t>施工应用规范：</w:t>
            </w:r>
          </w:p>
          <w:p w14:paraId="42D4FF70">
            <w:pPr>
              <w:spacing w:line="360" w:lineRule="auto"/>
              <w:rPr>
                <w:rFonts w:hint="eastAsia" w:ascii="宋体" w:hAnsi="宋体"/>
                <w:sz w:val="24"/>
                <w:highlight w:val="none"/>
              </w:rPr>
            </w:pPr>
            <w:r>
              <w:rPr>
                <w:rFonts w:hint="eastAsia" w:ascii="宋体" w:hAnsi="宋体"/>
                <w:sz w:val="24"/>
                <w:highlight w:val="none"/>
              </w:rPr>
              <w:t>1）《建筑设计防火规范》GB50016-2014（2018年版）</w:t>
            </w:r>
          </w:p>
          <w:p w14:paraId="05165C12">
            <w:pPr>
              <w:spacing w:line="360" w:lineRule="auto"/>
              <w:rPr>
                <w:rFonts w:hint="eastAsia" w:ascii="宋体" w:hAnsi="宋体"/>
                <w:sz w:val="24"/>
                <w:highlight w:val="none"/>
              </w:rPr>
            </w:pPr>
            <w:r>
              <w:rPr>
                <w:rFonts w:hint="eastAsia" w:ascii="宋体" w:hAnsi="宋体"/>
                <w:sz w:val="24"/>
                <w:highlight w:val="none"/>
              </w:rPr>
              <w:t>2）《既有居住建筑节能改造技术规程》DB11/381-2016</w:t>
            </w:r>
          </w:p>
          <w:p w14:paraId="580AE4BB">
            <w:pPr>
              <w:spacing w:line="360" w:lineRule="auto"/>
              <w:rPr>
                <w:rFonts w:hint="eastAsia" w:ascii="宋体" w:hAnsi="宋体"/>
                <w:sz w:val="24"/>
                <w:highlight w:val="none"/>
              </w:rPr>
            </w:pPr>
            <w:r>
              <w:rPr>
                <w:rFonts w:hint="eastAsia" w:ascii="宋体" w:hAnsi="宋体"/>
                <w:sz w:val="24"/>
                <w:highlight w:val="none"/>
              </w:rPr>
              <w:t>3）《严寒和寒冷地区居住建筑节能设计标准》JGJ26-2018</w:t>
            </w:r>
          </w:p>
          <w:p w14:paraId="5FF1DC3B">
            <w:pPr>
              <w:spacing w:line="360" w:lineRule="auto"/>
              <w:rPr>
                <w:rFonts w:hint="eastAsia" w:ascii="宋体" w:hAnsi="宋体"/>
                <w:sz w:val="24"/>
                <w:highlight w:val="none"/>
              </w:rPr>
            </w:pPr>
            <w:r>
              <w:rPr>
                <w:rFonts w:hint="eastAsia" w:ascii="宋体" w:hAnsi="宋体"/>
                <w:sz w:val="24"/>
                <w:highlight w:val="none"/>
              </w:rPr>
              <w:t>4）《既有公共建筑节能绿色化改造技术规程》DB11/T1998-2022</w:t>
            </w:r>
          </w:p>
          <w:p w14:paraId="3FCEBBE7">
            <w:pPr>
              <w:spacing w:line="360" w:lineRule="auto"/>
              <w:rPr>
                <w:rFonts w:hint="eastAsia" w:ascii="宋体" w:hAnsi="宋体"/>
                <w:sz w:val="24"/>
                <w:highlight w:val="none"/>
              </w:rPr>
            </w:pPr>
            <w:r>
              <w:rPr>
                <w:rFonts w:hint="eastAsia" w:ascii="宋体" w:hAnsi="宋体"/>
                <w:sz w:val="24"/>
                <w:highlight w:val="none"/>
              </w:rPr>
              <w:t>5）《公共建筑节能设计标准》DB11/687-2015</w:t>
            </w:r>
          </w:p>
          <w:p w14:paraId="6C068E01">
            <w:pPr>
              <w:spacing w:line="360" w:lineRule="auto"/>
              <w:rPr>
                <w:rFonts w:hint="eastAsia" w:ascii="宋体" w:hAnsi="宋体"/>
                <w:sz w:val="24"/>
                <w:highlight w:val="none"/>
              </w:rPr>
            </w:pPr>
            <w:bookmarkStart w:id="692" w:name="_Toc452301567"/>
            <w:bookmarkStart w:id="693" w:name="_Toc462650809"/>
            <w:bookmarkStart w:id="694" w:name="_Toc415647449"/>
            <w:bookmarkStart w:id="695" w:name="_Toc452302975"/>
            <w:r>
              <w:rPr>
                <w:rFonts w:hint="eastAsia" w:ascii="宋体" w:hAnsi="宋体"/>
                <w:sz w:val="24"/>
                <w:highlight w:val="none"/>
              </w:rPr>
              <w:t>6）我国现行的安全生产、文明施工、环保及消防等有关规定</w:t>
            </w:r>
            <w:bookmarkEnd w:id="692"/>
            <w:bookmarkEnd w:id="693"/>
            <w:bookmarkEnd w:id="694"/>
            <w:bookmarkEnd w:id="695"/>
            <w:r>
              <w:rPr>
                <w:rFonts w:hint="eastAsia" w:ascii="宋体" w:hAnsi="宋体"/>
                <w:sz w:val="24"/>
                <w:highlight w:val="none"/>
              </w:rPr>
              <w:t xml:space="preserve">   </w:t>
            </w:r>
          </w:p>
          <w:p w14:paraId="7EB85533">
            <w:pPr>
              <w:spacing w:line="360" w:lineRule="auto"/>
              <w:rPr>
                <w:rFonts w:hint="eastAsia" w:ascii="宋体" w:hAnsi="宋体"/>
                <w:sz w:val="24"/>
                <w:highlight w:val="none"/>
              </w:rPr>
            </w:pPr>
            <w:r>
              <w:rPr>
                <w:rFonts w:hint="eastAsia" w:ascii="宋体" w:hAnsi="宋体"/>
                <w:sz w:val="24"/>
                <w:highlight w:val="none"/>
              </w:rPr>
              <w:t>7）《建筑工程施工现场供用电安全规范》GB50194-94</w:t>
            </w:r>
          </w:p>
          <w:p w14:paraId="52666EA7">
            <w:pPr>
              <w:spacing w:line="360" w:lineRule="auto"/>
              <w:rPr>
                <w:rFonts w:hint="eastAsia" w:ascii="宋体" w:hAnsi="宋体"/>
                <w:sz w:val="24"/>
                <w:highlight w:val="none"/>
              </w:rPr>
            </w:pPr>
            <w:r>
              <w:rPr>
                <w:rFonts w:hint="eastAsia" w:ascii="宋体" w:hAnsi="宋体"/>
                <w:sz w:val="24"/>
                <w:highlight w:val="none"/>
              </w:rPr>
              <w:t>8）《建筑施工安全检查标准》</w:t>
            </w:r>
            <w:r>
              <w:rPr>
                <w:rFonts w:ascii="宋体" w:hAnsi="宋体"/>
                <w:sz w:val="24"/>
                <w:highlight w:val="none"/>
              </w:rPr>
              <w:t>JGJ59-2011</w:t>
            </w:r>
          </w:p>
          <w:p w14:paraId="40F3CC07">
            <w:pPr>
              <w:spacing w:line="360" w:lineRule="auto"/>
              <w:rPr>
                <w:rFonts w:hint="eastAsia" w:ascii="宋体" w:hAnsi="宋体"/>
                <w:sz w:val="24"/>
                <w:highlight w:val="none"/>
              </w:rPr>
            </w:pPr>
            <w:r>
              <w:rPr>
                <w:rFonts w:hint="eastAsia" w:ascii="宋体" w:hAnsi="宋体"/>
                <w:sz w:val="24"/>
                <w:highlight w:val="none"/>
              </w:rPr>
              <w:t>9）《建筑施工高处作业安全技术规程》JGJ80-91</w:t>
            </w:r>
          </w:p>
          <w:p w14:paraId="53FDA9BE">
            <w:pPr>
              <w:spacing w:line="360" w:lineRule="auto"/>
              <w:ind w:left="-88"/>
              <w:rPr>
                <w:rFonts w:hint="eastAsia" w:ascii="宋体" w:hAnsi="宋体"/>
                <w:sz w:val="24"/>
                <w:highlight w:val="none"/>
              </w:rPr>
            </w:pPr>
            <w:r>
              <w:rPr>
                <w:rFonts w:hint="eastAsia" w:ascii="宋体" w:hAnsi="宋体"/>
                <w:sz w:val="24"/>
                <w:highlight w:val="none"/>
              </w:rPr>
              <w:t>10）《施工现场临时用电安全技术规范》</w:t>
            </w:r>
            <w:r>
              <w:rPr>
                <w:rFonts w:ascii="宋体" w:hAnsi="宋体"/>
                <w:sz w:val="24"/>
                <w:highlight w:val="none"/>
              </w:rPr>
              <w:t>JGJ46-2005</w:t>
            </w:r>
          </w:p>
          <w:p w14:paraId="72250280">
            <w:pPr>
              <w:spacing w:line="360" w:lineRule="auto"/>
              <w:ind w:left="-88"/>
              <w:rPr>
                <w:rFonts w:hint="eastAsia" w:ascii="宋体" w:hAnsi="宋体"/>
                <w:sz w:val="24"/>
                <w:highlight w:val="none"/>
              </w:rPr>
            </w:pPr>
            <w:r>
              <w:rPr>
                <w:rFonts w:hint="eastAsia" w:ascii="宋体" w:hAnsi="宋体"/>
                <w:sz w:val="24"/>
                <w:highlight w:val="none"/>
              </w:rPr>
              <w:t>11）《建筑安装工程资料管理规程》DB11／T695-2009</w:t>
            </w:r>
          </w:p>
          <w:p w14:paraId="006709B2">
            <w:pPr>
              <w:spacing w:line="360" w:lineRule="auto"/>
              <w:ind w:left="-88"/>
              <w:rPr>
                <w:rFonts w:hint="eastAsia" w:ascii="宋体" w:hAnsi="宋体"/>
                <w:sz w:val="24"/>
                <w:highlight w:val="none"/>
              </w:rPr>
            </w:pPr>
            <w:r>
              <w:rPr>
                <w:rFonts w:hint="eastAsia" w:ascii="宋体" w:hAnsi="宋体"/>
                <w:sz w:val="24"/>
                <w:highlight w:val="none"/>
              </w:rPr>
              <w:t>12）《北京市建筑工程施工安全操作规程》DBJ01-62-2002</w:t>
            </w:r>
          </w:p>
        </w:tc>
      </w:tr>
      <w:tr w14:paraId="266344C6">
        <w:tblPrEx>
          <w:tblCellMar>
            <w:top w:w="0" w:type="dxa"/>
            <w:left w:w="108" w:type="dxa"/>
            <w:bottom w:w="0" w:type="dxa"/>
            <w:right w:w="108" w:type="dxa"/>
          </w:tblCellMar>
        </w:tblPrEx>
        <w:trPr>
          <w:gridAfter w:val="1"/>
          <w:wAfter w:w="57" w:type="dxa"/>
        </w:trPr>
        <w:tc>
          <w:tcPr>
            <w:tcW w:w="1398" w:type="dxa"/>
            <w:noWrap w:val="0"/>
            <w:vAlign w:val="top"/>
          </w:tcPr>
          <w:p w14:paraId="5E71AEE2">
            <w:pPr>
              <w:spacing w:line="360" w:lineRule="auto"/>
              <w:rPr>
                <w:rFonts w:hint="eastAsia" w:ascii="宋体" w:hAnsi="宋体"/>
                <w:b/>
                <w:bCs/>
                <w:sz w:val="24"/>
                <w:highlight w:val="none"/>
              </w:rPr>
            </w:pPr>
            <w:bookmarkStart w:id="696" w:name="_Toc263259791"/>
            <w:r>
              <w:rPr>
                <w:rFonts w:hint="eastAsia" w:ascii="宋体" w:hAnsi="宋体"/>
                <w:b/>
                <w:bCs/>
                <w:sz w:val="24"/>
                <w:highlight w:val="none"/>
              </w:rPr>
              <w:t>5</w:t>
            </w:r>
            <w:r>
              <w:rPr>
                <w:rFonts w:ascii="宋体" w:hAnsi="宋体"/>
                <w:b/>
                <w:bCs/>
                <w:sz w:val="24"/>
                <w:highlight w:val="none"/>
              </w:rPr>
              <w:t>.2</w:t>
            </w:r>
            <w:bookmarkEnd w:id="696"/>
          </w:p>
        </w:tc>
        <w:tc>
          <w:tcPr>
            <w:tcW w:w="7391" w:type="dxa"/>
            <w:noWrap w:val="0"/>
            <w:vAlign w:val="top"/>
          </w:tcPr>
          <w:p w14:paraId="0168096F">
            <w:pPr>
              <w:spacing w:line="360" w:lineRule="auto"/>
              <w:rPr>
                <w:rFonts w:hint="eastAsia" w:ascii="宋体" w:hAnsi="宋体"/>
                <w:b/>
                <w:bCs/>
                <w:sz w:val="24"/>
                <w:highlight w:val="none"/>
              </w:rPr>
            </w:pPr>
            <w:bookmarkStart w:id="697" w:name="_Toc263259792"/>
            <w:r>
              <w:rPr>
                <w:rFonts w:ascii="宋体" w:hAnsi="宋体"/>
                <w:b/>
                <w:bCs/>
                <w:sz w:val="24"/>
                <w:highlight w:val="none"/>
              </w:rPr>
              <w:t>特殊技术</w:t>
            </w:r>
            <w:r>
              <w:rPr>
                <w:rFonts w:hint="eastAsia" w:ascii="宋体" w:hAnsi="宋体"/>
                <w:b/>
                <w:bCs/>
                <w:sz w:val="24"/>
                <w:highlight w:val="none"/>
              </w:rPr>
              <w:t>标准和要求</w:t>
            </w:r>
            <w:bookmarkEnd w:id="697"/>
          </w:p>
        </w:tc>
      </w:tr>
      <w:tr w14:paraId="69A3E77A">
        <w:tblPrEx>
          <w:tblCellMar>
            <w:top w:w="0" w:type="dxa"/>
            <w:left w:w="108" w:type="dxa"/>
            <w:bottom w:w="0" w:type="dxa"/>
            <w:right w:w="108" w:type="dxa"/>
          </w:tblCellMar>
        </w:tblPrEx>
        <w:trPr>
          <w:gridAfter w:val="1"/>
          <w:wAfter w:w="57" w:type="dxa"/>
          <w:trHeight w:val="243" w:hRule="atLeast"/>
        </w:trPr>
        <w:tc>
          <w:tcPr>
            <w:tcW w:w="1398" w:type="dxa"/>
            <w:noWrap w:val="0"/>
            <w:vAlign w:val="top"/>
          </w:tcPr>
          <w:p w14:paraId="483F4E0F">
            <w:pPr>
              <w:spacing w:line="360" w:lineRule="auto"/>
              <w:rPr>
                <w:rFonts w:hint="eastAsia" w:ascii="宋体" w:hAnsi="宋体"/>
                <w:sz w:val="24"/>
                <w:highlight w:val="none"/>
              </w:rPr>
            </w:pPr>
            <w:r>
              <w:rPr>
                <w:rFonts w:hint="eastAsia" w:ascii="宋体" w:hAnsi="宋体"/>
                <w:sz w:val="24"/>
                <w:highlight w:val="none"/>
              </w:rPr>
              <w:t>5.2.1</w:t>
            </w:r>
          </w:p>
        </w:tc>
        <w:tc>
          <w:tcPr>
            <w:tcW w:w="7391" w:type="dxa"/>
            <w:noWrap w:val="0"/>
            <w:vAlign w:val="top"/>
          </w:tcPr>
          <w:p w14:paraId="24978462">
            <w:pPr>
              <w:spacing w:line="360" w:lineRule="auto"/>
              <w:rPr>
                <w:rFonts w:hint="eastAsia" w:ascii="宋体" w:hAnsi="宋体"/>
                <w:sz w:val="24"/>
                <w:highlight w:val="none"/>
              </w:rPr>
            </w:pPr>
            <w:r>
              <w:rPr>
                <w:rFonts w:hint="eastAsia" w:ascii="宋体" w:hAnsi="宋体"/>
                <w:sz w:val="24"/>
                <w:highlight w:val="none"/>
              </w:rPr>
              <w:t>适用本工程的特殊技术标准和要求见本章第二节。</w:t>
            </w:r>
          </w:p>
        </w:tc>
      </w:tr>
      <w:tr w14:paraId="613AB5D8">
        <w:tblPrEx>
          <w:tblCellMar>
            <w:top w:w="0" w:type="dxa"/>
            <w:left w:w="108" w:type="dxa"/>
            <w:bottom w:w="0" w:type="dxa"/>
            <w:right w:w="108" w:type="dxa"/>
          </w:tblCellMar>
        </w:tblPrEx>
        <w:trPr>
          <w:gridAfter w:val="1"/>
          <w:wAfter w:w="57" w:type="dxa"/>
        </w:trPr>
        <w:tc>
          <w:tcPr>
            <w:tcW w:w="1398" w:type="dxa"/>
            <w:noWrap w:val="0"/>
            <w:vAlign w:val="top"/>
          </w:tcPr>
          <w:p w14:paraId="19A61E37">
            <w:pPr>
              <w:spacing w:line="360" w:lineRule="auto"/>
              <w:rPr>
                <w:rFonts w:hint="eastAsia" w:ascii="宋体" w:hAnsi="宋体"/>
                <w:sz w:val="24"/>
                <w:highlight w:val="none"/>
              </w:rPr>
            </w:pPr>
            <w:r>
              <w:rPr>
                <w:rFonts w:hint="eastAsia" w:ascii="宋体" w:hAnsi="宋体"/>
                <w:sz w:val="24"/>
                <w:highlight w:val="none"/>
              </w:rPr>
              <w:t>5</w:t>
            </w:r>
            <w:r>
              <w:rPr>
                <w:rFonts w:ascii="宋体" w:hAnsi="宋体"/>
                <w:sz w:val="24"/>
                <w:highlight w:val="none"/>
              </w:rPr>
              <w:t>.2.2</w:t>
            </w:r>
          </w:p>
        </w:tc>
        <w:tc>
          <w:tcPr>
            <w:tcW w:w="7391" w:type="dxa"/>
            <w:noWrap w:val="0"/>
            <w:vAlign w:val="top"/>
          </w:tcPr>
          <w:p w14:paraId="6E6F25B0">
            <w:pPr>
              <w:spacing w:line="360" w:lineRule="auto"/>
              <w:rPr>
                <w:rFonts w:hint="eastAsia" w:ascii="宋体" w:hAnsi="宋体"/>
                <w:sz w:val="24"/>
                <w:highlight w:val="none"/>
              </w:rPr>
            </w:pPr>
            <w:r>
              <w:rPr>
                <w:rFonts w:hint="eastAsia" w:ascii="宋体" w:hAnsi="宋体"/>
                <w:sz w:val="24"/>
                <w:highlight w:val="none"/>
              </w:rPr>
              <w:t>有合同约束力的</w:t>
            </w:r>
            <w:r>
              <w:rPr>
                <w:rFonts w:ascii="宋体" w:hAnsi="宋体"/>
                <w:sz w:val="24"/>
                <w:highlight w:val="none"/>
              </w:rPr>
              <w:t>图纸和其他设计文件中的有关</w:t>
            </w:r>
            <w:r>
              <w:rPr>
                <w:rFonts w:hint="eastAsia" w:ascii="宋体" w:hAnsi="宋体"/>
                <w:sz w:val="24"/>
                <w:highlight w:val="none"/>
              </w:rPr>
              <w:t>文字说明是本节的组成内容。</w:t>
            </w:r>
          </w:p>
        </w:tc>
      </w:tr>
      <w:tr w14:paraId="4C8A49B7">
        <w:tblPrEx>
          <w:tblCellMar>
            <w:top w:w="0" w:type="dxa"/>
            <w:left w:w="108" w:type="dxa"/>
            <w:bottom w:w="0" w:type="dxa"/>
            <w:right w:w="108" w:type="dxa"/>
          </w:tblCellMar>
        </w:tblPrEx>
        <w:trPr>
          <w:gridAfter w:val="1"/>
          <w:wAfter w:w="57" w:type="dxa"/>
        </w:trPr>
        <w:tc>
          <w:tcPr>
            <w:tcW w:w="8789" w:type="dxa"/>
            <w:gridSpan w:val="2"/>
            <w:noWrap w:val="0"/>
            <w:vAlign w:val="top"/>
          </w:tcPr>
          <w:p w14:paraId="05757610">
            <w:pPr>
              <w:spacing w:line="360" w:lineRule="auto"/>
              <w:rPr>
                <w:rFonts w:hint="eastAsia" w:ascii="宋体" w:hAnsi="宋体"/>
                <w:sz w:val="24"/>
                <w:highlight w:val="none"/>
              </w:rPr>
            </w:pPr>
            <w:bookmarkStart w:id="698" w:name="_Toc448915682"/>
            <w:bookmarkStart w:id="699" w:name="_Toc342296552"/>
            <w:r>
              <w:rPr>
                <w:rFonts w:hint="eastAsia" w:ascii="宋体" w:hAnsi="宋体"/>
                <w:b/>
                <w:bCs/>
                <w:sz w:val="24"/>
                <w:highlight w:val="none"/>
              </w:rPr>
              <w:t>6.</w:t>
            </w:r>
            <w:bookmarkStart w:id="700" w:name="_Toc241459795"/>
            <w:r>
              <w:rPr>
                <w:rFonts w:ascii="宋体" w:hAnsi="宋体"/>
                <w:b/>
                <w:bCs/>
                <w:sz w:val="24"/>
                <w:highlight w:val="none"/>
              </w:rPr>
              <w:t>安全文明施工</w:t>
            </w:r>
            <w:bookmarkEnd w:id="698"/>
            <w:bookmarkEnd w:id="699"/>
            <w:bookmarkEnd w:id="700"/>
          </w:p>
        </w:tc>
      </w:tr>
      <w:tr w14:paraId="5A4FC2E3">
        <w:tblPrEx>
          <w:tblCellMar>
            <w:top w:w="0" w:type="dxa"/>
            <w:left w:w="108" w:type="dxa"/>
            <w:bottom w:w="0" w:type="dxa"/>
            <w:right w:w="108" w:type="dxa"/>
          </w:tblCellMar>
        </w:tblPrEx>
        <w:trPr>
          <w:gridAfter w:val="1"/>
          <w:wAfter w:w="57" w:type="dxa"/>
        </w:trPr>
        <w:tc>
          <w:tcPr>
            <w:tcW w:w="1398" w:type="dxa"/>
            <w:noWrap w:val="0"/>
            <w:vAlign w:val="top"/>
          </w:tcPr>
          <w:p w14:paraId="6F6F17E9">
            <w:pPr>
              <w:spacing w:line="360" w:lineRule="auto"/>
              <w:rPr>
                <w:rFonts w:hint="eastAsia" w:ascii="宋体" w:hAnsi="宋体"/>
                <w:b/>
                <w:bCs/>
                <w:sz w:val="24"/>
                <w:highlight w:val="none"/>
              </w:rPr>
            </w:pPr>
            <w:bookmarkStart w:id="701" w:name="_Toc263259794"/>
            <w:r>
              <w:rPr>
                <w:rFonts w:hint="eastAsia" w:ascii="宋体" w:hAnsi="宋体"/>
                <w:b/>
                <w:bCs/>
                <w:sz w:val="24"/>
                <w:highlight w:val="none"/>
              </w:rPr>
              <w:t>6</w:t>
            </w:r>
            <w:r>
              <w:rPr>
                <w:rFonts w:ascii="宋体" w:hAnsi="宋体"/>
                <w:b/>
                <w:bCs/>
                <w:sz w:val="24"/>
                <w:highlight w:val="none"/>
              </w:rPr>
              <w:t>.1</w:t>
            </w:r>
            <w:bookmarkEnd w:id="701"/>
          </w:p>
        </w:tc>
        <w:tc>
          <w:tcPr>
            <w:tcW w:w="7391" w:type="dxa"/>
            <w:noWrap w:val="0"/>
            <w:vAlign w:val="top"/>
          </w:tcPr>
          <w:p w14:paraId="140286AF">
            <w:pPr>
              <w:spacing w:line="360" w:lineRule="auto"/>
              <w:rPr>
                <w:rFonts w:hint="eastAsia" w:ascii="宋体" w:hAnsi="宋体"/>
                <w:b/>
                <w:bCs/>
                <w:sz w:val="24"/>
                <w:highlight w:val="none"/>
              </w:rPr>
            </w:pPr>
            <w:bookmarkStart w:id="702" w:name="_Toc263259795"/>
            <w:r>
              <w:rPr>
                <w:rFonts w:hint="eastAsia" w:ascii="宋体" w:hAnsi="宋体"/>
                <w:b/>
                <w:bCs/>
                <w:sz w:val="24"/>
                <w:highlight w:val="none"/>
              </w:rPr>
              <w:t>安全防护</w:t>
            </w:r>
            <w:bookmarkEnd w:id="702"/>
          </w:p>
        </w:tc>
      </w:tr>
      <w:tr w14:paraId="6B08A618">
        <w:tblPrEx>
          <w:tblCellMar>
            <w:top w:w="0" w:type="dxa"/>
            <w:left w:w="108" w:type="dxa"/>
            <w:bottom w:w="0" w:type="dxa"/>
            <w:right w:w="108" w:type="dxa"/>
          </w:tblCellMar>
        </w:tblPrEx>
        <w:trPr>
          <w:gridAfter w:val="1"/>
          <w:wAfter w:w="57" w:type="dxa"/>
        </w:trPr>
        <w:tc>
          <w:tcPr>
            <w:tcW w:w="1398" w:type="dxa"/>
            <w:noWrap w:val="0"/>
            <w:vAlign w:val="top"/>
          </w:tcPr>
          <w:p w14:paraId="1AE058E7">
            <w:pPr>
              <w:spacing w:line="360" w:lineRule="auto"/>
              <w:rPr>
                <w:rFonts w:hint="eastAsia" w:ascii="宋体" w:hAnsi="宋体"/>
                <w:sz w:val="24"/>
                <w:highlight w:val="none"/>
              </w:rPr>
            </w:pPr>
            <w:r>
              <w:rPr>
                <w:rFonts w:hint="eastAsia" w:ascii="宋体" w:hAnsi="宋体"/>
                <w:sz w:val="24"/>
                <w:highlight w:val="none"/>
              </w:rPr>
              <w:t>6.1.1</w:t>
            </w:r>
          </w:p>
        </w:tc>
        <w:tc>
          <w:tcPr>
            <w:tcW w:w="7391" w:type="dxa"/>
            <w:noWrap w:val="0"/>
            <w:vAlign w:val="top"/>
          </w:tcPr>
          <w:p w14:paraId="0580E7E9">
            <w:pPr>
              <w:spacing w:line="360" w:lineRule="auto"/>
              <w:rPr>
                <w:rFonts w:hint="eastAsia" w:ascii="宋体" w:hAnsi="宋体"/>
                <w:sz w:val="24"/>
                <w:highlight w:val="none"/>
              </w:rPr>
            </w:pPr>
            <w:r>
              <w:rPr>
                <w:rFonts w:hint="eastAsia" w:ascii="宋体" w:hAnsi="宋体"/>
                <w:sz w:val="24"/>
                <w:highlight w:val="none"/>
              </w:rPr>
              <w:t>在工程施工、竣工、交付及修补任何缺陷的过程中，承包人应当始终遵守国家和地方有关安全生产的法律、法规、规范、标准和规程等，按照通用合同条款第</w:t>
            </w:r>
            <w:r>
              <w:rPr>
                <w:rFonts w:hint="eastAsia" w:ascii="宋体" w:hAnsi="宋体"/>
                <w:bCs/>
                <w:sz w:val="24"/>
                <w:highlight w:val="none"/>
              </w:rPr>
              <w:t>9.2</w:t>
            </w:r>
            <w:r>
              <w:rPr>
                <w:rFonts w:hint="eastAsia" w:ascii="宋体" w:hAnsi="宋体"/>
                <w:sz w:val="24"/>
                <w:highlight w:val="none"/>
              </w:rPr>
              <w:t>款的约定履行其安全施工职责。</w:t>
            </w:r>
          </w:p>
        </w:tc>
      </w:tr>
      <w:tr w14:paraId="278975FA">
        <w:tblPrEx>
          <w:tblCellMar>
            <w:top w:w="0" w:type="dxa"/>
            <w:left w:w="108" w:type="dxa"/>
            <w:bottom w:w="0" w:type="dxa"/>
            <w:right w:w="108" w:type="dxa"/>
          </w:tblCellMar>
        </w:tblPrEx>
        <w:trPr>
          <w:gridAfter w:val="1"/>
          <w:wAfter w:w="57" w:type="dxa"/>
        </w:trPr>
        <w:tc>
          <w:tcPr>
            <w:tcW w:w="1398" w:type="dxa"/>
            <w:noWrap w:val="0"/>
            <w:vAlign w:val="top"/>
          </w:tcPr>
          <w:p w14:paraId="6F70F650">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.2</w:t>
            </w:r>
          </w:p>
        </w:tc>
        <w:tc>
          <w:tcPr>
            <w:tcW w:w="7391" w:type="dxa"/>
            <w:noWrap w:val="0"/>
            <w:vAlign w:val="top"/>
          </w:tcPr>
          <w:p w14:paraId="169D1B35">
            <w:pPr>
              <w:spacing w:line="360" w:lineRule="auto"/>
              <w:rPr>
                <w:rFonts w:hint="eastAsia" w:ascii="宋体" w:hAnsi="宋体"/>
                <w:sz w:val="24"/>
                <w:highlight w:val="none"/>
              </w:rPr>
            </w:pPr>
            <w:r>
              <w:rPr>
                <w:rFonts w:hint="eastAsia" w:ascii="宋体" w:hAnsi="宋体"/>
                <w:sz w:val="24"/>
                <w:highlight w:val="none"/>
              </w:rPr>
              <w:t>承包人应坚持“安全第一，预防为主”的方针，建立、健全安全生产责任制度和安全生产教育培训制度。在整个工程施工期间，承包人应在施工场地（现场）设立、提供和维护并在有关工作完成或竣工后撤除：</w:t>
            </w:r>
          </w:p>
          <w:p w14:paraId="66054251">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设立在现场入口显著位置的现场施工总平面图、总平面管理、安全生产、文明施工、环境保护、质量控制、材料管理等的规章制度和主要参建单位名称和工程概况等说明的图板；</w:t>
            </w:r>
          </w:p>
          <w:p w14:paraId="38934B23">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为确保工程安全施工须设立的足够的标志、宣传画、标语、指示牌、警告牌、火警、匪警和急救电话提示牌等等；</w:t>
            </w:r>
          </w:p>
          <w:p w14:paraId="372B77BA">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洞口和临边位置的安全防护设施，包括护身栏杆、脚手架、洞口盖板和加筋、竖井防护栏杆、防护棚、防护网、坡道等等；</w:t>
            </w:r>
          </w:p>
          <w:p w14:paraId="38B0CA37">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安全带、安全绳、安全帽、安全网、绝缘鞋、绝缘手套、防护口罩和防护衣等安全生产用品；</w:t>
            </w:r>
          </w:p>
          <w:p w14:paraId="2561136D">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所有机械设备包括各类电动工具的安全保护和接地装置和操作说明；</w:t>
            </w:r>
          </w:p>
          <w:p w14:paraId="22FE59B5">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装备良好的临时急救站和配备称职的医护人员；</w:t>
            </w:r>
          </w:p>
          <w:p w14:paraId="729B917F">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主要作业场所和临时安全疏散通道24小时36伏安全照明和必要的警示等以防止各种可能的事故；</w:t>
            </w:r>
          </w:p>
          <w:p w14:paraId="602A62D1">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足够数量的和合格的手提灭火器；</w:t>
            </w:r>
          </w:p>
          <w:p w14:paraId="6BE4E64D">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装备良好的易燃易爆物品仓库和相应的使用管理制度；</w:t>
            </w:r>
          </w:p>
          <w:p w14:paraId="16D2D158">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对涉及明火施工的工作制定诸如用火证等的管理制度；</w:t>
            </w:r>
          </w:p>
          <w:p w14:paraId="22FF15C7">
            <w:pPr>
              <w:numPr>
                <w:ilvl w:val="0"/>
                <w:numId w:val="1"/>
              </w:numPr>
              <w:tabs>
                <w:tab w:val="left" w:pos="720"/>
              </w:tabs>
              <w:spacing w:line="360" w:lineRule="auto"/>
              <w:ind w:left="720" w:hanging="720"/>
              <w:rPr>
                <w:rFonts w:hint="eastAsia" w:ascii="宋体" w:hAnsi="宋体"/>
                <w:sz w:val="24"/>
                <w:highlight w:val="none"/>
              </w:rPr>
            </w:pPr>
            <w:r>
              <w:rPr>
                <w:rFonts w:hint="eastAsia" w:ascii="宋体" w:hAnsi="宋体"/>
                <w:sz w:val="24"/>
                <w:highlight w:val="none"/>
              </w:rPr>
              <w:t>其他：</w:t>
            </w:r>
            <w:r>
              <w:rPr>
                <w:rFonts w:hint="eastAsia" w:ascii="宋体" w:hAnsi="宋体"/>
                <w:sz w:val="24"/>
                <w:highlight w:val="none"/>
                <w:u w:val="single"/>
              </w:rPr>
              <w:t>/</w:t>
            </w:r>
            <w:r>
              <w:rPr>
                <w:rFonts w:hint="eastAsia" w:ascii="宋体" w:hAnsi="宋体"/>
                <w:sz w:val="24"/>
                <w:highlight w:val="none"/>
              </w:rPr>
              <w:t>。</w:t>
            </w:r>
          </w:p>
        </w:tc>
      </w:tr>
      <w:tr w14:paraId="1D5E2215">
        <w:tblPrEx>
          <w:tblCellMar>
            <w:top w:w="0" w:type="dxa"/>
            <w:left w:w="108" w:type="dxa"/>
            <w:bottom w:w="0" w:type="dxa"/>
            <w:right w:w="108" w:type="dxa"/>
          </w:tblCellMar>
        </w:tblPrEx>
        <w:trPr>
          <w:gridAfter w:val="1"/>
          <w:wAfter w:w="57" w:type="dxa"/>
        </w:trPr>
        <w:tc>
          <w:tcPr>
            <w:tcW w:w="1398" w:type="dxa"/>
            <w:noWrap w:val="0"/>
            <w:vAlign w:val="top"/>
          </w:tcPr>
          <w:p w14:paraId="50D2CC30">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.3</w:t>
            </w:r>
          </w:p>
        </w:tc>
        <w:tc>
          <w:tcPr>
            <w:tcW w:w="7391" w:type="dxa"/>
            <w:noWrap w:val="0"/>
            <w:vAlign w:val="top"/>
          </w:tcPr>
          <w:p w14:paraId="589820EE">
            <w:pPr>
              <w:spacing w:line="360" w:lineRule="auto"/>
              <w:rPr>
                <w:rFonts w:hint="eastAsia" w:ascii="宋体" w:hAnsi="宋体"/>
                <w:sz w:val="24"/>
                <w:highlight w:val="none"/>
              </w:rPr>
            </w:pPr>
            <w:r>
              <w:rPr>
                <w:rFonts w:hint="eastAsia" w:ascii="宋体" w:hAnsi="宋体"/>
                <w:sz w:val="24"/>
                <w:highlight w:val="none"/>
              </w:rPr>
              <w:t>安全文明施工费用必须专款专用，承包人应对其由于安全文明施工费用和施工安全措施不到位而发生的安全事故承担全部责任。</w:t>
            </w:r>
          </w:p>
        </w:tc>
      </w:tr>
      <w:tr w14:paraId="20511735">
        <w:tblPrEx>
          <w:tblCellMar>
            <w:top w:w="0" w:type="dxa"/>
            <w:left w:w="108" w:type="dxa"/>
            <w:bottom w:w="0" w:type="dxa"/>
            <w:right w:w="108" w:type="dxa"/>
          </w:tblCellMar>
        </w:tblPrEx>
        <w:trPr>
          <w:gridAfter w:val="1"/>
          <w:wAfter w:w="57" w:type="dxa"/>
        </w:trPr>
        <w:tc>
          <w:tcPr>
            <w:tcW w:w="1398" w:type="dxa"/>
            <w:noWrap w:val="0"/>
            <w:vAlign w:val="top"/>
          </w:tcPr>
          <w:p w14:paraId="61F4F8B5">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.4</w:t>
            </w:r>
          </w:p>
        </w:tc>
        <w:tc>
          <w:tcPr>
            <w:tcW w:w="7391" w:type="dxa"/>
            <w:noWrap w:val="0"/>
            <w:vAlign w:val="top"/>
          </w:tcPr>
          <w:p w14:paraId="0248E971">
            <w:pPr>
              <w:spacing w:line="360" w:lineRule="auto"/>
              <w:rPr>
                <w:rFonts w:hint="eastAsia" w:ascii="宋体" w:hAnsi="宋体"/>
                <w:sz w:val="24"/>
                <w:highlight w:val="none"/>
              </w:rPr>
            </w:pPr>
            <w:r>
              <w:rPr>
                <w:rFonts w:hint="eastAsia" w:ascii="宋体" w:hAnsi="宋体"/>
                <w:sz w:val="24"/>
                <w:highlight w:val="none"/>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tc>
      </w:tr>
      <w:tr w14:paraId="2BF9AF93">
        <w:tblPrEx>
          <w:tblCellMar>
            <w:top w:w="0" w:type="dxa"/>
            <w:left w:w="108" w:type="dxa"/>
            <w:bottom w:w="0" w:type="dxa"/>
            <w:right w:w="108" w:type="dxa"/>
          </w:tblCellMar>
        </w:tblPrEx>
        <w:trPr>
          <w:gridAfter w:val="1"/>
          <w:wAfter w:w="57" w:type="dxa"/>
        </w:trPr>
        <w:tc>
          <w:tcPr>
            <w:tcW w:w="1398" w:type="dxa"/>
            <w:noWrap w:val="0"/>
            <w:vAlign w:val="top"/>
          </w:tcPr>
          <w:p w14:paraId="4D607B65">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.5</w:t>
            </w:r>
          </w:p>
        </w:tc>
        <w:tc>
          <w:tcPr>
            <w:tcW w:w="7391" w:type="dxa"/>
            <w:noWrap w:val="0"/>
            <w:vAlign w:val="top"/>
          </w:tcPr>
          <w:p w14:paraId="2C53D733">
            <w:pPr>
              <w:spacing w:line="360" w:lineRule="auto"/>
              <w:rPr>
                <w:rFonts w:hint="eastAsia" w:ascii="宋体" w:hAnsi="宋体"/>
                <w:sz w:val="24"/>
                <w:highlight w:val="none"/>
              </w:rPr>
            </w:pPr>
            <w:r>
              <w:rPr>
                <w:rFonts w:ascii="宋体" w:hAnsi="宋体"/>
                <w:sz w:val="24"/>
                <w:highlight w:val="none"/>
              </w:rPr>
              <w:t>承包人应</w:t>
            </w:r>
            <w:r>
              <w:rPr>
                <w:rFonts w:hint="eastAsia" w:ascii="宋体" w:hAnsi="宋体"/>
                <w:sz w:val="24"/>
                <w:highlight w:val="none"/>
              </w:rPr>
              <w:t>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w:t>
            </w:r>
            <w:r>
              <w:rPr>
                <w:rFonts w:ascii="宋体" w:hAnsi="宋体"/>
                <w:sz w:val="24"/>
                <w:highlight w:val="none"/>
              </w:rPr>
              <w:t>在</w:t>
            </w:r>
            <w:r>
              <w:rPr>
                <w:rFonts w:hint="eastAsia" w:ascii="宋体" w:hAnsi="宋体"/>
                <w:sz w:val="24"/>
                <w:highlight w:val="none"/>
              </w:rPr>
              <w:t>任何分部分项工程开始</w:t>
            </w:r>
            <w:r>
              <w:rPr>
                <w:rFonts w:ascii="宋体" w:hAnsi="宋体"/>
                <w:sz w:val="24"/>
                <w:highlight w:val="none"/>
              </w:rPr>
              <w:t>施工前</w:t>
            </w:r>
            <w:r>
              <w:rPr>
                <w:rFonts w:hint="eastAsia" w:ascii="宋体" w:hAnsi="宋体"/>
                <w:sz w:val="24"/>
                <w:highlight w:val="none"/>
              </w:rPr>
              <w:t>，承包人应当就</w:t>
            </w:r>
            <w:r>
              <w:rPr>
                <w:rFonts w:ascii="宋体" w:hAnsi="宋体"/>
                <w:sz w:val="24"/>
                <w:highlight w:val="none"/>
              </w:rPr>
              <w:t>有关安全施工的技术要求向施工作业班组</w:t>
            </w:r>
            <w:r>
              <w:rPr>
                <w:rFonts w:hint="eastAsia" w:ascii="宋体" w:hAnsi="宋体"/>
                <w:sz w:val="24"/>
                <w:highlight w:val="none"/>
              </w:rPr>
              <w:t>和</w:t>
            </w:r>
            <w:r>
              <w:rPr>
                <w:rFonts w:ascii="宋体" w:hAnsi="宋体"/>
                <w:sz w:val="24"/>
                <w:highlight w:val="none"/>
              </w:rPr>
              <w:t>作业人员</w:t>
            </w:r>
            <w:r>
              <w:rPr>
                <w:rFonts w:hint="eastAsia" w:ascii="宋体" w:hAnsi="宋体"/>
                <w:sz w:val="24"/>
                <w:highlight w:val="none"/>
              </w:rPr>
              <w:t>等进行安全交底，并由双方签字确认。</w:t>
            </w:r>
          </w:p>
        </w:tc>
      </w:tr>
      <w:tr w14:paraId="03856B0B">
        <w:tblPrEx>
          <w:tblCellMar>
            <w:top w:w="0" w:type="dxa"/>
            <w:left w:w="108" w:type="dxa"/>
            <w:bottom w:w="0" w:type="dxa"/>
            <w:right w:w="108" w:type="dxa"/>
          </w:tblCellMar>
        </w:tblPrEx>
        <w:trPr>
          <w:gridAfter w:val="1"/>
          <w:wAfter w:w="57" w:type="dxa"/>
        </w:trPr>
        <w:tc>
          <w:tcPr>
            <w:tcW w:w="1398" w:type="dxa"/>
            <w:noWrap w:val="0"/>
            <w:vAlign w:val="top"/>
          </w:tcPr>
          <w:p w14:paraId="1E2FAC05">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.6</w:t>
            </w:r>
          </w:p>
        </w:tc>
        <w:tc>
          <w:tcPr>
            <w:tcW w:w="7391" w:type="dxa"/>
            <w:noWrap w:val="0"/>
            <w:vAlign w:val="top"/>
          </w:tcPr>
          <w:p w14:paraId="2C0964CB">
            <w:pPr>
              <w:spacing w:line="360" w:lineRule="auto"/>
              <w:rPr>
                <w:rFonts w:hint="eastAsia" w:ascii="宋体" w:hAnsi="宋体"/>
                <w:sz w:val="24"/>
                <w:highlight w:val="none"/>
              </w:rPr>
            </w:pPr>
            <w:r>
              <w:rPr>
                <w:rFonts w:hint="eastAsia" w:ascii="宋体" w:hAnsi="宋体"/>
                <w:sz w:val="24"/>
                <w:highlight w:val="none"/>
              </w:rPr>
              <w:t>承包人应为其进场施工人员配备必需的安全防护设施和设备，承包人还应</w:t>
            </w:r>
            <w:r>
              <w:rPr>
                <w:rFonts w:ascii="宋体" w:hAnsi="宋体"/>
                <w:sz w:val="24"/>
                <w:highlight w:val="none"/>
              </w:rPr>
              <w:t>为</w:t>
            </w:r>
            <w:r>
              <w:rPr>
                <w:rFonts w:hint="eastAsia" w:ascii="宋体" w:hAnsi="宋体"/>
                <w:sz w:val="24"/>
                <w:highlight w:val="none"/>
              </w:rPr>
              <w:t>施工场地（现场）</w:t>
            </w:r>
            <w:r>
              <w:rPr>
                <w:rFonts w:ascii="宋体" w:hAnsi="宋体"/>
                <w:sz w:val="24"/>
                <w:highlight w:val="none"/>
              </w:rPr>
              <w:t>邻近地区的所有者和占有者、公众和其他人员，提供</w:t>
            </w:r>
            <w:r>
              <w:rPr>
                <w:rFonts w:hint="eastAsia" w:ascii="宋体" w:hAnsi="宋体"/>
                <w:sz w:val="24"/>
                <w:highlight w:val="none"/>
              </w:rPr>
              <w:t>一切必要</w:t>
            </w:r>
            <w:r>
              <w:rPr>
                <w:rFonts w:ascii="宋体" w:hAnsi="宋体"/>
                <w:sz w:val="24"/>
                <w:highlight w:val="none"/>
              </w:rPr>
              <w:t>的临时道路、人行道、防护棚</w:t>
            </w:r>
            <w:r>
              <w:rPr>
                <w:rFonts w:hint="eastAsia" w:ascii="宋体" w:hAnsi="宋体"/>
                <w:sz w:val="24"/>
                <w:highlight w:val="none"/>
              </w:rPr>
              <w:t>、</w:t>
            </w:r>
            <w:r>
              <w:rPr>
                <w:rFonts w:ascii="宋体" w:hAnsi="宋体"/>
                <w:sz w:val="24"/>
                <w:highlight w:val="none"/>
              </w:rPr>
              <w:t>围栏</w:t>
            </w:r>
            <w:r>
              <w:rPr>
                <w:rFonts w:hint="eastAsia" w:ascii="宋体" w:hAnsi="宋体"/>
                <w:sz w:val="24"/>
                <w:highlight w:val="none"/>
              </w:rPr>
              <w:t>及警告</w:t>
            </w:r>
            <w:r>
              <w:rPr>
                <w:rFonts w:ascii="宋体" w:hAnsi="宋体"/>
                <w:sz w:val="24"/>
                <w:highlight w:val="none"/>
              </w:rPr>
              <w:t>等</w:t>
            </w:r>
            <w:r>
              <w:rPr>
                <w:rFonts w:hint="eastAsia" w:ascii="宋体" w:hAnsi="宋体"/>
                <w:sz w:val="24"/>
                <w:highlight w:val="none"/>
              </w:rPr>
              <w:t>，以确保财产和人身安全以及最大程度地降低施工可能造成的不便</w:t>
            </w:r>
            <w:r>
              <w:rPr>
                <w:rFonts w:ascii="宋体" w:hAnsi="宋体"/>
                <w:sz w:val="24"/>
                <w:highlight w:val="none"/>
              </w:rPr>
              <w:t>。</w:t>
            </w:r>
          </w:p>
        </w:tc>
      </w:tr>
      <w:tr w14:paraId="526212B7">
        <w:tblPrEx>
          <w:tblCellMar>
            <w:top w:w="0" w:type="dxa"/>
            <w:left w:w="108" w:type="dxa"/>
            <w:bottom w:w="0" w:type="dxa"/>
            <w:right w:w="108" w:type="dxa"/>
          </w:tblCellMar>
        </w:tblPrEx>
        <w:trPr>
          <w:gridAfter w:val="1"/>
          <w:wAfter w:w="57" w:type="dxa"/>
        </w:trPr>
        <w:tc>
          <w:tcPr>
            <w:tcW w:w="1398" w:type="dxa"/>
            <w:noWrap w:val="0"/>
            <w:vAlign w:val="top"/>
          </w:tcPr>
          <w:p w14:paraId="71DB11DE">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.7</w:t>
            </w:r>
          </w:p>
        </w:tc>
        <w:tc>
          <w:tcPr>
            <w:tcW w:w="7391" w:type="dxa"/>
            <w:noWrap w:val="0"/>
            <w:vAlign w:val="top"/>
          </w:tcPr>
          <w:p w14:paraId="001E1EE4">
            <w:pPr>
              <w:spacing w:line="360" w:lineRule="auto"/>
              <w:rPr>
                <w:rFonts w:hint="eastAsia" w:ascii="宋体" w:hAnsi="宋体"/>
                <w:sz w:val="24"/>
                <w:highlight w:val="none"/>
              </w:rPr>
            </w:pPr>
            <w:r>
              <w:rPr>
                <w:rFonts w:hint="eastAsia" w:ascii="宋体" w:hAnsi="宋体"/>
                <w:sz w:val="24"/>
                <w:highlight w:val="none"/>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w:t>
            </w:r>
            <w:r>
              <w:rPr>
                <w:rFonts w:ascii="宋体" w:hAnsi="宋体"/>
                <w:sz w:val="24"/>
                <w:highlight w:val="none"/>
              </w:rPr>
              <w:t>警告</w:t>
            </w:r>
            <w:r>
              <w:rPr>
                <w:rFonts w:hint="eastAsia" w:ascii="宋体" w:hAnsi="宋体"/>
                <w:sz w:val="24"/>
                <w:highlight w:val="none"/>
              </w:rPr>
              <w:t>标志等，并配备必要的</w:t>
            </w:r>
            <w:r>
              <w:rPr>
                <w:rFonts w:ascii="宋体" w:hAnsi="宋体"/>
                <w:sz w:val="24"/>
                <w:highlight w:val="none"/>
              </w:rPr>
              <w:t>照明</w:t>
            </w:r>
            <w:r>
              <w:rPr>
                <w:rFonts w:hint="eastAsia" w:ascii="宋体" w:hAnsi="宋体"/>
                <w:sz w:val="24"/>
                <w:highlight w:val="none"/>
              </w:rPr>
              <w:t>、</w:t>
            </w:r>
            <w:r>
              <w:rPr>
                <w:rFonts w:ascii="宋体" w:hAnsi="宋体"/>
                <w:sz w:val="24"/>
                <w:highlight w:val="none"/>
              </w:rPr>
              <w:t>防护</w:t>
            </w:r>
            <w:r>
              <w:rPr>
                <w:rFonts w:hint="eastAsia" w:ascii="宋体" w:hAnsi="宋体"/>
                <w:sz w:val="24"/>
                <w:highlight w:val="none"/>
              </w:rPr>
              <w:t>和</w:t>
            </w:r>
            <w:r>
              <w:rPr>
                <w:rFonts w:ascii="宋体" w:hAnsi="宋体"/>
                <w:sz w:val="24"/>
                <w:highlight w:val="none"/>
              </w:rPr>
              <w:t>看守</w:t>
            </w:r>
            <w:r>
              <w:rPr>
                <w:rFonts w:hint="eastAsia" w:ascii="宋体" w:hAnsi="宋体"/>
                <w:sz w:val="24"/>
                <w:highlight w:val="none"/>
              </w:rPr>
              <w:t>。承包人应当按监理人的指示，经常补充或更换失效的警示和标志。</w:t>
            </w:r>
          </w:p>
        </w:tc>
      </w:tr>
      <w:tr w14:paraId="330DB295">
        <w:tblPrEx>
          <w:tblCellMar>
            <w:top w:w="0" w:type="dxa"/>
            <w:left w:w="108" w:type="dxa"/>
            <w:bottom w:w="0" w:type="dxa"/>
            <w:right w:w="108" w:type="dxa"/>
          </w:tblCellMar>
        </w:tblPrEx>
        <w:trPr>
          <w:gridAfter w:val="1"/>
          <w:wAfter w:w="57" w:type="dxa"/>
        </w:trPr>
        <w:tc>
          <w:tcPr>
            <w:tcW w:w="1398" w:type="dxa"/>
            <w:noWrap w:val="0"/>
            <w:vAlign w:val="top"/>
          </w:tcPr>
          <w:p w14:paraId="377A7688">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.8</w:t>
            </w:r>
          </w:p>
        </w:tc>
        <w:tc>
          <w:tcPr>
            <w:tcW w:w="7391" w:type="dxa"/>
            <w:noWrap w:val="0"/>
            <w:vAlign w:val="top"/>
          </w:tcPr>
          <w:p w14:paraId="581DE584">
            <w:pPr>
              <w:spacing w:line="360" w:lineRule="auto"/>
              <w:rPr>
                <w:rFonts w:hint="eastAsia" w:ascii="宋体" w:hAnsi="宋体"/>
                <w:sz w:val="24"/>
                <w:highlight w:val="none"/>
              </w:rPr>
            </w:pPr>
            <w:r>
              <w:rPr>
                <w:rFonts w:hint="eastAsia" w:ascii="宋体" w:hAnsi="宋体"/>
                <w:sz w:val="24"/>
                <w:highlight w:val="none"/>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tc>
      </w:tr>
      <w:tr w14:paraId="0B07DD95">
        <w:tblPrEx>
          <w:tblCellMar>
            <w:top w:w="0" w:type="dxa"/>
            <w:left w:w="108" w:type="dxa"/>
            <w:bottom w:w="0" w:type="dxa"/>
            <w:right w:w="108" w:type="dxa"/>
          </w:tblCellMar>
        </w:tblPrEx>
        <w:trPr>
          <w:gridAfter w:val="1"/>
          <w:wAfter w:w="57" w:type="dxa"/>
        </w:trPr>
        <w:tc>
          <w:tcPr>
            <w:tcW w:w="1398" w:type="dxa"/>
            <w:noWrap w:val="0"/>
            <w:vAlign w:val="top"/>
          </w:tcPr>
          <w:p w14:paraId="1D566EBB">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.9</w:t>
            </w:r>
          </w:p>
        </w:tc>
        <w:tc>
          <w:tcPr>
            <w:tcW w:w="7391" w:type="dxa"/>
            <w:noWrap w:val="0"/>
            <w:vAlign w:val="top"/>
          </w:tcPr>
          <w:p w14:paraId="0A82C165">
            <w:pPr>
              <w:spacing w:line="360" w:lineRule="auto"/>
              <w:rPr>
                <w:rFonts w:hint="eastAsia" w:ascii="宋体" w:hAnsi="宋体"/>
                <w:sz w:val="24"/>
                <w:highlight w:val="none"/>
              </w:rPr>
            </w:pPr>
            <w:r>
              <w:rPr>
                <w:rFonts w:hint="eastAsia" w:ascii="宋体" w:hAnsi="宋体"/>
                <w:sz w:val="24"/>
                <w:highlight w:val="none"/>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tc>
      </w:tr>
      <w:tr w14:paraId="13EAA96D">
        <w:tblPrEx>
          <w:tblCellMar>
            <w:top w:w="0" w:type="dxa"/>
            <w:left w:w="108" w:type="dxa"/>
            <w:bottom w:w="0" w:type="dxa"/>
            <w:right w:w="108" w:type="dxa"/>
          </w:tblCellMar>
        </w:tblPrEx>
        <w:trPr>
          <w:gridAfter w:val="1"/>
          <w:wAfter w:w="57" w:type="dxa"/>
        </w:trPr>
        <w:tc>
          <w:tcPr>
            <w:tcW w:w="1398" w:type="dxa"/>
            <w:noWrap w:val="0"/>
            <w:vAlign w:val="top"/>
          </w:tcPr>
          <w:p w14:paraId="1B394DEA">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.10</w:t>
            </w:r>
          </w:p>
        </w:tc>
        <w:tc>
          <w:tcPr>
            <w:tcW w:w="7391" w:type="dxa"/>
            <w:noWrap w:val="0"/>
            <w:vAlign w:val="top"/>
          </w:tcPr>
          <w:p w14:paraId="1D0AA230">
            <w:pPr>
              <w:spacing w:line="360" w:lineRule="auto"/>
              <w:rPr>
                <w:rFonts w:hint="eastAsia" w:ascii="宋体" w:hAnsi="宋体"/>
                <w:sz w:val="24"/>
                <w:highlight w:val="none"/>
              </w:rPr>
            </w:pPr>
            <w:r>
              <w:rPr>
                <w:rFonts w:hint="eastAsia" w:ascii="宋体" w:hAnsi="宋体"/>
                <w:sz w:val="24"/>
                <w:highlight w:val="none"/>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tc>
      </w:tr>
      <w:tr w14:paraId="78DAC496">
        <w:tblPrEx>
          <w:tblCellMar>
            <w:top w:w="0" w:type="dxa"/>
            <w:left w:w="108" w:type="dxa"/>
            <w:bottom w:w="0" w:type="dxa"/>
            <w:right w:w="108" w:type="dxa"/>
          </w:tblCellMar>
        </w:tblPrEx>
        <w:trPr>
          <w:gridAfter w:val="1"/>
          <w:wAfter w:w="57" w:type="dxa"/>
        </w:trPr>
        <w:tc>
          <w:tcPr>
            <w:tcW w:w="1398" w:type="dxa"/>
            <w:noWrap w:val="0"/>
            <w:vAlign w:val="top"/>
          </w:tcPr>
          <w:p w14:paraId="4A0375F4">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.11</w:t>
            </w:r>
          </w:p>
        </w:tc>
        <w:tc>
          <w:tcPr>
            <w:tcW w:w="7391" w:type="dxa"/>
            <w:noWrap w:val="0"/>
            <w:vAlign w:val="top"/>
          </w:tcPr>
          <w:p w14:paraId="5495C2C6">
            <w:pPr>
              <w:spacing w:line="360" w:lineRule="auto"/>
              <w:rPr>
                <w:rFonts w:hint="eastAsia" w:ascii="宋体" w:hAnsi="宋体"/>
                <w:sz w:val="24"/>
                <w:highlight w:val="none"/>
              </w:rPr>
            </w:pPr>
            <w:r>
              <w:rPr>
                <w:rFonts w:hint="eastAsia" w:ascii="宋体" w:hAnsi="宋体"/>
                <w:sz w:val="24"/>
                <w:highlight w:val="none"/>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tc>
      </w:tr>
      <w:tr w14:paraId="1290BC1A">
        <w:tblPrEx>
          <w:tblCellMar>
            <w:top w:w="0" w:type="dxa"/>
            <w:left w:w="108" w:type="dxa"/>
            <w:bottom w:w="0" w:type="dxa"/>
            <w:right w:w="108" w:type="dxa"/>
          </w:tblCellMar>
        </w:tblPrEx>
        <w:trPr>
          <w:gridAfter w:val="1"/>
          <w:wAfter w:w="57" w:type="dxa"/>
        </w:trPr>
        <w:tc>
          <w:tcPr>
            <w:tcW w:w="1398" w:type="dxa"/>
            <w:noWrap w:val="0"/>
            <w:vAlign w:val="top"/>
          </w:tcPr>
          <w:p w14:paraId="3C39195E">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.12</w:t>
            </w:r>
          </w:p>
        </w:tc>
        <w:tc>
          <w:tcPr>
            <w:tcW w:w="7391" w:type="dxa"/>
            <w:noWrap w:val="0"/>
            <w:vAlign w:val="top"/>
          </w:tcPr>
          <w:p w14:paraId="54250C04">
            <w:pPr>
              <w:spacing w:line="360" w:lineRule="auto"/>
              <w:rPr>
                <w:rFonts w:hint="eastAsia" w:ascii="宋体" w:hAnsi="宋体"/>
                <w:sz w:val="24"/>
                <w:highlight w:val="none"/>
              </w:rPr>
            </w:pPr>
            <w:r>
              <w:rPr>
                <w:rFonts w:hint="eastAsia" w:ascii="宋体" w:hAnsi="宋体"/>
                <w:sz w:val="24"/>
                <w:highlight w:val="none"/>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tc>
      </w:tr>
      <w:tr w14:paraId="41353627">
        <w:tblPrEx>
          <w:tblCellMar>
            <w:top w:w="0" w:type="dxa"/>
            <w:left w:w="108" w:type="dxa"/>
            <w:bottom w:w="0" w:type="dxa"/>
            <w:right w:w="108" w:type="dxa"/>
          </w:tblCellMar>
        </w:tblPrEx>
        <w:trPr>
          <w:gridAfter w:val="1"/>
          <w:wAfter w:w="57" w:type="dxa"/>
        </w:trPr>
        <w:tc>
          <w:tcPr>
            <w:tcW w:w="1398" w:type="dxa"/>
            <w:noWrap w:val="0"/>
            <w:vAlign w:val="top"/>
          </w:tcPr>
          <w:p w14:paraId="51DD58BD">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.13</w:t>
            </w:r>
          </w:p>
        </w:tc>
        <w:tc>
          <w:tcPr>
            <w:tcW w:w="7391" w:type="dxa"/>
            <w:noWrap w:val="0"/>
            <w:vAlign w:val="top"/>
          </w:tcPr>
          <w:p w14:paraId="04CD7500">
            <w:pPr>
              <w:spacing w:line="360" w:lineRule="auto"/>
              <w:rPr>
                <w:rFonts w:hint="eastAsia" w:ascii="宋体" w:hAnsi="宋体"/>
                <w:sz w:val="24"/>
                <w:highlight w:val="none"/>
              </w:rPr>
            </w:pPr>
            <w:r>
              <w:rPr>
                <w:rFonts w:hint="eastAsia" w:ascii="宋体" w:hAnsi="宋体"/>
                <w:sz w:val="24"/>
                <w:highlight w:val="none"/>
              </w:rPr>
              <w:t>承包人应成立应急救援小组，配备必要的应急救援器材和设备，制定灾害和生产安全事故的应急救援预案，并将应急救援预案报送监理人。应急救援预案应能随时组织应救专职人员、并定期组织演练。</w:t>
            </w:r>
          </w:p>
        </w:tc>
      </w:tr>
      <w:tr w14:paraId="5D5CADA6">
        <w:tblPrEx>
          <w:tblCellMar>
            <w:top w:w="0" w:type="dxa"/>
            <w:left w:w="108" w:type="dxa"/>
            <w:bottom w:w="0" w:type="dxa"/>
            <w:right w:w="108" w:type="dxa"/>
          </w:tblCellMar>
        </w:tblPrEx>
        <w:trPr>
          <w:gridAfter w:val="1"/>
          <w:wAfter w:w="57" w:type="dxa"/>
        </w:trPr>
        <w:tc>
          <w:tcPr>
            <w:tcW w:w="1398" w:type="dxa"/>
            <w:noWrap w:val="0"/>
            <w:vAlign w:val="top"/>
          </w:tcPr>
          <w:p w14:paraId="748484D1">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.14</w:t>
            </w:r>
          </w:p>
        </w:tc>
        <w:tc>
          <w:tcPr>
            <w:tcW w:w="7391" w:type="dxa"/>
            <w:noWrap w:val="0"/>
            <w:vAlign w:val="top"/>
          </w:tcPr>
          <w:p w14:paraId="77A338CD">
            <w:pPr>
              <w:spacing w:line="360" w:lineRule="auto"/>
              <w:rPr>
                <w:rFonts w:hint="eastAsia" w:ascii="宋体" w:hAnsi="宋体"/>
                <w:sz w:val="24"/>
                <w:highlight w:val="none"/>
              </w:rPr>
            </w:pPr>
            <w:r>
              <w:rPr>
                <w:rFonts w:hint="eastAsia" w:ascii="宋体" w:hAnsi="宋体"/>
                <w:sz w:val="24"/>
                <w:highlight w:val="none"/>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tc>
      </w:tr>
      <w:tr w14:paraId="4D4B6693">
        <w:tblPrEx>
          <w:tblCellMar>
            <w:top w:w="0" w:type="dxa"/>
            <w:left w:w="108" w:type="dxa"/>
            <w:bottom w:w="0" w:type="dxa"/>
            <w:right w:w="108" w:type="dxa"/>
          </w:tblCellMar>
        </w:tblPrEx>
        <w:trPr>
          <w:gridAfter w:val="1"/>
          <w:wAfter w:w="57" w:type="dxa"/>
        </w:trPr>
        <w:tc>
          <w:tcPr>
            <w:tcW w:w="1398" w:type="dxa"/>
            <w:noWrap w:val="0"/>
            <w:vAlign w:val="top"/>
          </w:tcPr>
          <w:p w14:paraId="2131B9F7">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5</w:t>
            </w:r>
          </w:p>
        </w:tc>
        <w:tc>
          <w:tcPr>
            <w:tcW w:w="7391" w:type="dxa"/>
            <w:noWrap w:val="0"/>
            <w:vAlign w:val="top"/>
          </w:tcPr>
          <w:p w14:paraId="455E6179">
            <w:pPr>
              <w:spacing w:line="360" w:lineRule="auto"/>
              <w:rPr>
                <w:rFonts w:hint="eastAsia" w:ascii="宋体" w:hAnsi="宋体"/>
                <w:sz w:val="24"/>
                <w:highlight w:val="none"/>
              </w:rPr>
            </w:pPr>
            <w:r>
              <w:rPr>
                <w:rFonts w:hint="eastAsia" w:ascii="宋体" w:hAnsi="宋体"/>
                <w:sz w:val="24"/>
                <w:highlight w:val="none"/>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tc>
      </w:tr>
      <w:tr w14:paraId="7A16C4AA">
        <w:tblPrEx>
          <w:tblCellMar>
            <w:top w:w="0" w:type="dxa"/>
            <w:left w:w="108" w:type="dxa"/>
            <w:bottom w:w="0" w:type="dxa"/>
            <w:right w:w="108" w:type="dxa"/>
          </w:tblCellMar>
        </w:tblPrEx>
        <w:trPr>
          <w:gridAfter w:val="1"/>
          <w:wAfter w:w="57" w:type="dxa"/>
        </w:trPr>
        <w:tc>
          <w:tcPr>
            <w:tcW w:w="1398" w:type="dxa"/>
            <w:noWrap w:val="0"/>
            <w:vAlign w:val="top"/>
          </w:tcPr>
          <w:p w14:paraId="5998EDCB">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6</w:t>
            </w:r>
          </w:p>
        </w:tc>
        <w:tc>
          <w:tcPr>
            <w:tcW w:w="7391" w:type="dxa"/>
            <w:noWrap w:val="0"/>
            <w:vAlign w:val="top"/>
          </w:tcPr>
          <w:p w14:paraId="17B275FF">
            <w:pPr>
              <w:spacing w:line="360" w:lineRule="auto"/>
              <w:rPr>
                <w:rFonts w:hint="eastAsia" w:ascii="宋体" w:hAnsi="宋体"/>
                <w:sz w:val="24"/>
                <w:highlight w:val="none"/>
              </w:rPr>
            </w:pPr>
            <w:r>
              <w:rPr>
                <w:rFonts w:hint="eastAsia" w:ascii="宋体" w:hAnsi="宋体"/>
                <w:sz w:val="24"/>
                <w:highlight w:val="none"/>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w:t>
            </w:r>
            <w:r>
              <w:rPr>
                <w:rFonts w:ascii="宋体" w:hAnsi="宋体"/>
                <w:sz w:val="24"/>
                <w:highlight w:val="none"/>
              </w:rPr>
              <w:t>地县级以上</w:t>
            </w:r>
            <w:r>
              <w:rPr>
                <w:rFonts w:hint="eastAsia" w:ascii="宋体" w:hAnsi="宋体"/>
                <w:sz w:val="24"/>
                <w:highlight w:val="none"/>
              </w:rPr>
              <w:t>地方</w:t>
            </w:r>
            <w:r>
              <w:rPr>
                <w:rFonts w:ascii="宋体" w:hAnsi="宋体"/>
                <w:sz w:val="24"/>
                <w:highlight w:val="none"/>
              </w:rPr>
              <w:t>人民政府安全生产监督管理部门和</w:t>
            </w:r>
            <w:r>
              <w:rPr>
                <w:rFonts w:hint="eastAsia" w:ascii="宋体" w:hAnsi="宋体"/>
                <w:sz w:val="24"/>
                <w:highlight w:val="none"/>
              </w:rPr>
              <w:t>建设行政主管部门</w:t>
            </w:r>
            <w:r>
              <w:rPr>
                <w:rFonts w:ascii="宋体" w:hAnsi="宋体"/>
                <w:sz w:val="24"/>
                <w:highlight w:val="none"/>
              </w:rPr>
              <w:t>报告</w:t>
            </w:r>
            <w:r>
              <w:rPr>
                <w:rFonts w:hint="eastAsia" w:ascii="宋体" w:hAnsi="宋体"/>
                <w:sz w:val="24"/>
                <w:highlight w:val="none"/>
              </w:rPr>
              <w:t>。情况紧急时，事故现场有关人员可以直接向工程所在</w:t>
            </w:r>
            <w:r>
              <w:rPr>
                <w:rFonts w:ascii="宋体" w:hAnsi="宋体"/>
                <w:sz w:val="24"/>
                <w:highlight w:val="none"/>
              </w:rPr>
              <w:t>地县级以上</w:t>
            </w:r>
            <w:r>
              <w:rPr>
                <w:rFonts w:hint="eastAsia" w:ascii="宋体" w:hAnsi="宋体"/>
                <w:sz w:val="24"/>
                <w:highlight w:val="none"/>
              </w:rPr>
              <w:t>地方</w:t>
            </w:r>
            <w:r>
              <w:rPr>
                <w:rFonts w:ascii="宋体" w:hAnsi="宋体"/>
                <w:sz w:val="24"/>
                <w:highlight w:val="none"/>
              </w:rPr>
              <w:t>人民政府安全生产监督管理部门和</w:t>
            </w:r>
            <w:r>
              <w:rPr>
                <w:rFonts w:hint="eastAsia" w:ascii="宋体" w:hAnsi="宋体"/>
                <w:sz w:val="24"/>
                <w:highlight w:val="none"/>
              </w:rPr>
              <w:t>建设行政主管部门</w:t>
            </w:r>
            <w:r>
              <w:rPr>
                <w:rFonts w:ascii="宋体" w:hAnsi="宋体"/>
                <w:sz w:val="24"/>
                <w:highlight w:val="none"/>
              </w:rPr>
              <w:t>报告</w:t>
            </w:r>
            <w:r>
              <w:rPr>
                <w:rFonts w:hint="eastAsia" w:ascii="宋体" w:hAnsi="宋体"/>
                <w:sz w:val="24"/>
                <w:highlight w:val="none"/>
              </w:rPr>
              <w:t>。</w:t>
            </w:r>
          </w:p>
        </w:tc>
      </w:tr>
      <w:tr w14:paraId="3B51B154">
        <w:tblPrEx>
          <w:tblCellMar>
            <w:top w:w="0" w:type="dxa"/>
            <w:left w:w="108" w:type="dxa"/>
            <w:bottom w:w="0" w:type="dxa"/>
            <w:right w:w="108" w:type="dxa"/>
          </w:tblCellMar>
        </w:tblPrEx>
        <w:trPr>
          <w:gridAfter w:val="1"/>
          <w:wAfter w:w="57" w:type="dxa"/>
        </w:trPr>
        <w:tc>
          <w:tcPr>
            <w:tcW w:w="1398" w:type="dxa"/>
            <w:noWrap w:val="0"/>
            <w:vAlign w:val="top"/>
          </w:tcPr>
          <w:p w14:paraId="504012BB">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7</w:t>
            </w:r>
          </w:p>
        </w:tc>
        <w:tc>
          <w:tcPr>
            <w:tcW w:w="7391" w:type="dxa"/>
            <w:noWrap w:val="0"/>
            <w:vAlign w:val="top"/>
          </w:tcPr>
          <w:p w14:paraId="6E08C9B7">
            <w:pPr>
              <w:spacing w:line="360" w:lineRule="auto"/>
              <w:rPr>
                <w:rFonts w:hint="eastAsia" w:ascii="宋体" w:hAnsi="宋体"/>
                <w:sz w:val="24"/>
                <w:highlight w:val="none"/>
              </w:rPr>
            </w:pPr>
            <w:r>
              <w:rPr>
                <w:rFonts w:hint="eastAsia" w:ascii="宋体" w:hAnsi="宋体"/>
                <w:sz w:val="24"/>
                <w:highlight w:val="none"/>
              </w:rPr>
              <w:t>承包人还应根据有关法律、法规、规定和条例等的要求，制定一套安全生产应急措施和程序，保证一旦出现任何安全事故，能立即保护好现场，抢救伤员和财产，保证施工生产的正常进行，防止损失扩大。</w:t>
            </w:r>
          </w:p>
        </w:tc>
      </w:tr>
      <w:tr w14:paraId="2F607A66">
        <w:tblPrEx>
          <w:tblCellMar>
            <w:top w:w="0" w:type="dxa"/>
            <w:left w:w="108" w:type="dxa"/>
            <w:bottom w:w="0" w:type="dxa"/>
            <w:right w:w="108" w:type="dxa"/>
          </w:tblCellMar>
        </w:tblPrEx>
        <w:trPr>
          <w:gridAfter w:val="1"/>
          <w:wAfter w:w="57" w:type="dxa"/>
        </w:trPr>
        <w:tc>
          <w:tcPr>
            <w:tcW w:w="1398" w:type="dxa"/>
            <w:noWrap w:val="0"/>
            <w:vAlign w:val="top"/>
          </w:tcPr>
          <w:p w14:paraId="31406401">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18</w:t>
            </w:r>
          </w:p>
        </w:tc>
        <w:tc>
          <w:tcPr>
            <w:tcW w:w="7391" w:type="dxa"/>
            <w:noWrap w:val="0"/>
            <w:vAlign w:val="top"/>
          </w:tcPr>
          <w:p w14:paraId="4C895AC9">
            <w:pPr>
              <w:spacing w:line="360" w:lineRule="auto"/>
              <w:rPr>
                <w:rFonts w:hint="eastAsia" w:ascii="宋体" w:hAnsi="宋体"/>
                <w:sz w:val="24"/>
                <w:highlight w:val="none"/>
              </w:rPr>
            </w:pPr>
            <w:r>
              <w:rPr>
                <w:rFonts w:hint="eastAsia" w:ascii="宋体" w:hAnsi="宋体"/>
                <w:sz w:val="24"/>
                <w:highlight w:val="none"/>
              </w:rPr>
              <w:t>安全防护方面的其他</w:t>
            </w:r>
            <w:r>
              <w:rPr>
                <w:rFonts w:ascii="宋体" w:hAnsi="宋体"/>
                <w:sz w:val="24"/>
                <w:highlight w:val="none"/>
              </w:rPr>
              <w:t>要求</w:t>
            </w:r>
            <w:r>
              <w:rPr>
                <w:rFonts w:hint="eastAsia" w:ascii="宋体" w:hAnsi="宋体"/>
                <w:sz w:val="24"/>
                <w:highlight w:val="none"/>
              </w:rPr>
              <w:t>如下：</w:t>
            </w:r>
          </w:p>
          <w:p w14:paraId="7410F978">
            <w:pPr>
              <w:spacing w:line="360" w:lineRule="auto"/>
              <w:rPr>
                <w:rFonts w:hint="eastAsia" w:ascii="宋体" w:hAnsi="宋体"/>
                <w:sz w:val="24"/>
                <w:highlight w:val="none"/>
              </w:rPr>
            </w:pPr>
            <w:r>
              <w:rPr>
                <w:rFonts w:hint="eastAsia" w:ascii="宋体" w:hAnsi="宋体"/>
                <w:sz w:val="24"/>
                <w:highlight w:val="none"/>
              </w:rPr>
              <w:t>施工现场不允许住宿，食宿由承包人自行解决。因施工场地狭小，承包人须充分考虑施工场地的合理布置及外租生活区。承包人还应自行了解北京市房山区关于施工临时占地的管理要求及租用费用标准等相关规定。以上问题承包人在投标阶段应充分考虑，相关费用已包含在投标报价中，承包人在中标后不得以施工场地狭小或施工临时占地等问题为由，向发包人提出费用索赔或工期延长的要求。</w:t>
            </w:r>
          </w:p>
          <w:p w14:paraId="18A50B2B">
            <w:pPr>
              <w:spacing w:line="360" w:lineRule="auto"/>
              <w:rPr>
                <w:rFonts w:hint="eastAsia" w:ascii="宋体" w:hAnsi="宋体"/>
                <w:sz w:val="24"/>
                <w:highlight w:val="none"/>
              </w:rPr>
            </w:pPr>
            <w:r>
              <w:rPr>
                <w:rFonts w:hint="eastAsia" w:ascii="宋体" w:hAnsi="宋体"/>
                <w:sz w:val="24"/>
                <w:highlight w:val="none"/>
              </w:rPr>
              <w:t>本工程场地周边环境复杂，对交通、市容环卫、消防、文明安全施工、社会舆论监督等要求很高，现场施工组织须考虑减少扰民的影响，工程周边环境对施工组织的不利影响，应由承包人充分预测，由此产生的相关费用及工期不做调整。承包单位应承担施工区域及周边环境的精细保洁工作，竣工验收前承建单位对所施工区域进行精开荒保洁。</w:t>
            </w:r>
          </w:p>
        </w:tc>
      </w:tr>
      <w:tr w14:paraId="6CED07CD">
        <w:tblPrEx>
          <w:tblCellMar>
            <w:top w:w="0" w:type="dxa"/>
            <w:left w:w="108" w:type="dxa"/>
            <w:bottom w:w="0" w:type="dxa"/>
            <w:right w:w="108" w:type="dxa"/>
          </w:tblCellMar>
        </w:tblPrEx>
        <w:trPr>
          <w:gridAfter w:val="1"/>
          <w:wAfter w:w="57" w:type="dxa"/>
        </w:trPr>
        <w:tc>
          <w:tcPr>
            <w:tcW w:w="1398" w:type="dxa"/>
            <w:noWrap w:val="0"/>
            <w:vAlign w:val="top"/>
          </w:tcPr>
          <w:p w14:paraId="742BFB72">
            <w:pPr>
              <w:spacing w:line="360" w:lineRule="auto"/>
              <w:rPr>
                <w:rFonts w:hint="eastAsia" w:ascii="宋体" w:hAnsi="宋体"/>
                <w:b/>
                <w:bCs/>
                <w:sz w:val="24"/>
                <w:highlight w:val="none"/>
              </w:rPr>
            </w:pPr>
            <w:bookmarkStart w:id="703" w:name="_Toc263259796"/>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2</w:t>
            </w:r>
            <w:bookmarkEnd w:id="703"/>
          </w:p>
        </w:tc>
        <w:tc>
          <w:tcPr>
            <w:tcW w:w="7391" w:type="dxa"/>
            <w:noWrap w:val="0"/>
            <w:vAlign w:val="top"/>
          </w:tcPr>
          <w:p w14:paraId="6B3D1B41">
            <w:pPr>
              <w:spacing w:line="360" w:lineRule="auto"/>
              <w:rPr>
                <w:rFonts w:hint="eastAsia" w:ascii="宋体" w:hAnsi="宋体"/>
                <w:b/>
                <w:bCs/>
                <w:sz w:val="24"/>
                <w:highlight w:val="none"/>
              </w:rPr>
            </w:pPr>
            <w:bookmarkStart w:id="704" w:name="_Toc263259797"/>
            <w:r>
              <w:rPr>
                <w:rFonts w:hint="eastAsia" w:ascii="宋体" w:hAnsi="宋体"/>
                <w:b/>
                <w:bCs/>
                <w:sz w:val="24"/>
                <w:highlight w:val="none"/>
              </w:rPr>
              <w:t>临时消防</w:t>
            </w:r>
            <w:bookmarkEnd w:id="704"/>
          </w:p>
        </w:tc>
      </w:tr>
      <w:tr w14:paraId="7BAA98CB">
        <w:tblPrEx>
          <w:tblCellMar>
            <w:top w:w="0" w:type="dxa"/>
            <w:left w:w="108" w:type="dxa"/>
            <w:bottom w:w="0" w:type="dxa"/>
            <w:right w:w="108" w:type="dxa"/>
          </w:tblCellMar>
        </w:tblPrEx>
        <w:trPr>
          <w:gridAfter w:val="1"/>
          <w:wAfter w:w="57" w:type="dxa"/>
        </w:trPr>
        <w:tc>
          <w:tcPr>
            <w:tcW w:w="1398" w:type="dxa"/>
            <w:noWrap w:val="0"/>
            <w:vAlign w:val="top"/>
          </w:tcPr>
          <w:p w14:paraId="53AA73FB">
            <w:pPr>
              <w:spacing w:line="360" w:lineRule="auto"/>
              <w:rPr>
                <w:rFonts w:hint="eastAsia" w:ascii="宋体" w:hAnsi="宋体"/>
                <w:sz w:val="24"/>
                <w:highlight w:val="none"/>
              </w:rPr>
            </w:pPr>
            <w:r>
              <w:rPr>
                <w:rFonts w:hint="eastAsia" w:ascii="宋体" w:hAnsi="宋体"/>
                <w:sz w:val="24"/>
                <w:highlight w:val="none"/>
              </w:rPr>
              <w:t>6.2.1</w:t>
            </w:r>
          </w:p>
        </w:tc>
        <w:tc>
          <w:tcPr>
            <w:tcW w:w="7391" w:type="dxa"/>
            <w:noWrap w:val="0"/>
            <w:vAlign w:val="top"/>
          </w:tcPr>
          <w:p w14:paraId="17D6F53C">
            <w:pPr>
              <w:spacing w:line="360" w:lineRule="auto"/>
              <w:rPr>
                <w:rFonts w:hint="eastAsia" w:ascii="宋体" w:hAnsi="宋体"/>
                <w:sz w:val="24"/>
                <w:highlight w:val="none"/>
              </w:rPr>
            </w:pPr>
            <w:r>
              <w:rPr>
                <w:rFonts w:hint="eastAsia" w:ascii="宋体" w:hAnsi="宋体"/>
                <w:sz w:val="24"/>
                <w:highlight w:val="none"/>
              </w:rPr>
              <w:t>承包人应建立消防安全责任制度，制定用火、用电和使用易燃易爆等危险品的消防安全管理制度和操作规程。各项制度和规程等应满足相关法律法规和政府消防管理机构的要求。</w:t>
            </w:r>
          </w:p>
        </w:tc>
      </w:tr>
      <w:tr w14:paraId="6432D671">
        <w:tblPrEx>
          <w:tblCellMar>
            <w:top w:w="0" w:type="dxa"/>
            <w:left w:w="108" w:type="dxa"/>
            <w:bottom w:w="0" w:type="dxa"/>
            <w:right w:w="108" w:type="dxa"/>
          </w:tblCellMar>
        </w:tblPrEx>
        <w:trPr>
          <w:gridAfter w:val="1"/>
          <w:wAfter w:w="57" w:type="dxa"/>
        </w:trPr>
        <w:tc>
          <w:tcPr>
            <w:tcW w:w="1398" w:type="dxa"/>
            <w:noWrap w:val="0"/>
            <w:vAlign w:val="top"/>
          </w:tcPr>
          <w:p w14:paraId="2431C11D">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ascii="宋体" w:hAnsi="宋体"/>
                <w:sz w:val="24"/>
                <w:highlight w:val="none"/>
              </w:rPr>
              <w:t>.2</w:t>
            </w:r>
          </w:p>
        </w:tc>
        <w:tc>
          <w:tcPr>
            <w:tcW w:w="7391" w:type="dxa"/>
            <w:noWrap w:val="0"/>
            <w:vAlign w:val="top"/>
          </w:tcPr>
          <w:p w14:paraId="2B05213F">
            <w:pPr>
              <w:spacing w:line="360" w:lineRule="auto"/>
              <w:rPr>
                <w:rFonts w:hint="eastAsia" w:ascii="宋体" w:hAnsi="宋体"/>
                <w:sz w:val="24"/>
                <w:highlight w:val="none"/>
              </w:rPr>
            </w:pPr>
            <w:r>
              <w:rPr>
                <w:rFonts w:ascii="宋体" w:hAnsi="宋体"/>
                <w:sz w:val="24"/>
                <w:highlight w:val="none"/>
              </w:rPr>
              <w:t>承包人应根据相关法律法规和消防管理</w:t>
            </w:r>
            <w:r>
              <w:rPr>
                <w:rFonts w:hint="eastAsia" w:ascii="宋体" w:hAnsi="宋体"/>
                <w:sz w:val="24"/>
                <w:highlight w:val="none"/>
              </w:rPr>
              <w:t>部门</w:t>
            </w:r>
            <w:r>
              <w:rPr>
                <w:rFonts w:ascii="宋体" w:hAnsi="宋体"/>
                <w:sz w:val="24"/>
                <w:highlight w:val="none"/>
              </w:rPr>
              <w:t>的要求，为施工中的永久工程和所有临时工程提供必要的临时消防和紧急疏散设施，包括提供</w:t>
            </w:r>
            <w:r>
              <w:rPr>
                <w:rFonts w:hint="eastAsia" w:ascii="宋体" w:hAnsi="宋体"/>
                <w:sz w:val="24"/>
                <w:highlight w:val="none"/>
              </w:rPr>
              <w:t>并维持畅通的消防通道、</w:t>
            </w:r>
            <w:r>
              <w:rPr>
                <w:rFonts w:ascii="宋体" w:hAnsi="宋体"/>
                <w:sz w:val="24"/>
                <w:highlight w:val="none"/>
              </w:rPr>
              <w:t>临时消火栓、灭火器、水龙带、灭火桶、灭火铲、灭火斧、消防水管、阀门、检查井、临时消防水箱、泵房和紧随工作面的临时疏散楼梯</w:t>
            </w:r>
            <w:r>
              <w:rPr>
                <w:rFonts w:hint="eastAsia" w:ascii="宋体" w:hAnsi="宋体"/>
                <w:sz w:val="24"/>
                <w:highlight w:val="none"/>
              </w:rPr>
              <w:t>或疏散设施，消防设施的设立和消防设备的型号和功率应满足消防任务的需要，始终保持能够随时投入正常使用的状态，并设立明显标志。</w:t>
            </w:r>
            <w:r>
              <w:rPr>
                <w:rFonts w:ascii="宋体" w:hAnsi="宋体"/>
                <w:sz w:val="24"/>
                <w:highlight w:val="none"/>
              </w:rPr>
              <w:t>承包人的临时消防系统和配置应分别经过监理人和消防管理</w:t>
            </w:r>
            <w:r>
              <w:rPr>
                <w:rFonts w:hint="eastAsia" w:ascii="宋体" w:hAnsi="宋体"/>
                <w:sz w:val="24"/>
                <w:highlight w:val="none"/>
              </w:rPr>
              <w:t>部门</w:t>
            </w:r>
            <w:r>
              <w:rPr>
                <w:rFonts w:ascii="宋体" w:hAnsi="宋体"/>
                <w:sz w:val="24"/>
                <w:highlight w:val="none"/>
              </w:rPr>
              <w:t>的审批和验收；承包人还应自费获得消防管理</w:t>
            </w:r>
            <w:r>
              <w:rPr>
                <w:rFonts w:hint="eastAsia" w:ascii="宋体" w:hAnsi="宋体"/>
                <w:sz w:val="24"/>
                <w:highlight w:val="none"/>
              </w:rPr>
              <w:t>部门</w:t>
            </w:r>
            <w:r>
              <w:rPr>
                <w:rFonts w:ascii="宋体" w:hAnsi="宋体"/>
                <w:sz w:val="24"/>
                <w:highlight w:val="none"/>
              </w:rPr>
              <w:t>的临时消防证书。所有的临时消防设施属于承包人所有，</w:t>
            </w:r>
            <w:r>
              <w:rPr>
                <w:rFonts w:hint="eastAsia" w:ascii="宋体" w:hAnsi="宋体"/>
                <w:sz w:val="24"/>
                <w:highlight w:val="none"/>
              </w:rPr>
              <w:t>至</w:t>
            </w:r>
            <w:r>
              <w:rPr>
                <w:rFonts w:ascii="宋体" w:hAnsi="宋体"/>
                <w:sz w:val="24"/>
                <w:highlight w:val="none"/>
              </w:rPr>
              <w:t>工程实际</w:t>
            </w:r>
            <w:r>
              <w:rPr>
                <w:rFonts w:hint="eastAsia" w:ascii="宋体" w:hAnsi="宋体"/>
                <w:sz w:val="24"/>
                <w:highlight w:val="none"/>
              </w:rPr>
              <w:t>竣</w:t>
            </w:r>
            <w:r>
              <w:rPr>
                <w:rFonts w:ascii="宋体" w:hAnsi="宋体"/>
                <w:sz w:val="24"/>
                <w:highlight w:val="none"/>
              </w:rPr>
              <w:t>工时</w:t>
            </w:r>
            <w:r>
              <w:rPr>
                <w:rFonts w:hint="eastAsia" w:ascii="宋体" w:hAnsi="宋体"/>
                <w:sz w:val="24"/>
                <w:highlight w:val="none"/>
              </w:rPr>
              <w:t>且</w:t>
            </w:r>
            <w:r>
              <w:rPr>
                <w:rFonts w:ascii="宋体" w:hAnsi="宋体"/>
                <w:sz w:val="24"/>
                <w:highlight w:val="none"/>
              </w:rPr>
              <w:t>永久性消防系统投入使用后从现场拆除。</w:t>
            </w:r>
          </w:p>
        </w:tc>
      </w:tr>
      <w:tr w14:paraId="2E4FBFDD">
        <w:tblPrEx>
          <w:tblCellMar>
            <w:top w:w="0" w:type="dxa"/>
            <w:left w:w="108" w:type="dxa"/>
            <w:bottom w:w="0" w:type="dxa"/>
            <w:right w:w="108" w:type="dxa"/>
          </w:tblCellMar>
        </w:tblPrEx>
        <w:trPr>
          <w:gridAfter w:val="1"/>
          <w:wAfter w:w="57" w:type="dxa"/>
        </w:trPr>
        <w:tc>
          <w:tcPr>
            <w:tcW w:w="1398" w:type="dxa"/>
            <w:noWrap w:val="0"/>
            <w:vAlign w:val="top"/>
          </w:tcPr>
          <w:p w14:paraId="6AD22648">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ascii="宋体" w:hAnsi="宋体"/>
                <w:sz w:val="24"/>
                <w:highlight w:val="none"/>
              </w:rPr>
              <w:t>.3</w:t>
            </w:r>
          </w:p>
        </w:tc>
        <w:tc>
          <w:tcPr>
            <w:tcW w:w="7391" w:type="dxa"/>
            <w:noWrap w:val="0"/>
            <w:vAlign w:val="top"/>
          </w:tcPr>
          <w:p w14:paraId="550F845C">
            <w:pPr>
              <w:spacing w:line="360" w:lineRule="auto"/>
              <w:rPr>
                <w:rFonts w:hint="eastAsia" w:ascii="宋体" w:hAnsi="宋体"/>
                <w:sz w:val="24"/>
                <w:highlight w:val="none"/>
              </w:rPr>
            </w:pPr>
            <w:r>
              <w:rPr>
                <w:rFonts w:hint="eastAsia" w:ascii="宋体" w:hAnsi="宋体"/>
                <w:sz w:val="24"/>
                <w:highlight w:val="none"/>
              </w:rPr>
              <w:t>承包人应当</w:t>
            </w:r>
            <w:r>
              <w:rPr>
                <w:rFonts w:ascii="宋体" w:hAnsi="宋体"/>
                <w:sz w:val="24"/>
                <w:highlight w:val="none"/>
              </w:rPr>
              <w:t>成立由项目主要负责人担任组长的临时消防组或消防队，宣传消防基本知识和基本操作培训</w:t>
            </w:r>
            <w:r>
              <w:rPr>
                <w:rFonts w:hint="eastAsia" w:ascii="宋体" w:hAnsi="宋体"/>
                <w:sz w:val="24"/>
                <w:highlight w:val="none"/>
              </w:rPr>
              <w:t>，组织消防演练，保证一旦发生火灾，能够组织有效的自救，保护生命和财产安全。</w:t>
            </w:r>
          </w:p>
        </w:tc>
      </w:tr>
      <w:tr w14:paraId="495E31DB">
        <w:tblPrEx>
          <w:tblCellMar>
            <w:top w:w="0" w:type="dxa"/>
            <w:left w:w="108" w:type="dxa"/>
            <w:bottom w:w="0" w:type="dxa"/>
            <w:right w:w="108" w:type="dxa"/>
          </w:tblCellMar>
        </w:tblPrEx>
        <w:trPr>
          <w:gridAfter w:val="1"/>
          <w:wAfter w:w="57" w:type="dxa"/>
        </w:trPr>
        <w:tc>
          <w:tcPr>
            <w:tcW w:w="1398" w:type="dxa"/>
            <w:noWrap w:val="0"/>
            <w:vAlign w:val="top"/>
          </w:tcPr>
          <w:p w14:paraId="4957791F">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4</w:t>
            </w:r>
          </w:p>
        </w:tc>
        <w:tc>
          <w:tcPr>
            <w:tcW w:w="7391" w:type="dxa"/>
            <w:noWrap w:val="0"/>
            <w:vAlign w:val="top"/>
          </w:tcPr>
          <w:p w14:paraId="3AA49191">
            <w:pPr>
              <w:spacing w:line="360" w:lineRule="auto"/>
              <w:rPr>
                <w:rFonts w:hint="eastAsia" w:ascii="宋体" w:hAnsi="宋体"/>
                <w:sz w:val="24"/>
                <w:highlight w:val="none"/>
              </w:rPr>
            </w:pPr>
            <w:r>
              <w:rPr>
                <w:rFonts w:hint="eastAsia" w:ascii="宋体" w:hAnsi="宋体"/>
                <w:sz w:val="24"/>
                <w:highlight w:val="none"/>
              </w:rPr>
              <w:t>施工场地（现场）内的</w:t>
            </w:r>
            <w:r>
              <w:rPr>
                <w:rFonts w:ascii="宋体" w:hAnsi="宋体"/>
                <w:sz w:val="24"/>
                <w:highlight w:val="none"/>
              </w:rPr>
              <w:t>易燃</w:t>
            </w:r>
            <w:r>
              <w:rPr>
                <w:rFonts w:hint="eastAsia" w:ascii="宋体" w:hAnsi="宋体"/>
                <w:sz w:val="24"/>
                <w:highlight w:val="none"/>
              </w:rPr>
              <w:t>、易爆物品应单独和安全地存放，设专人进行存放和领用管理。施工场地（现场）</w:t>
            </w:r>
            <w:r>
              <w:rPr>
                <w:rFonts w:ascii="宋体" w:hAnsi="宋体"/>
                <w:sz w:val="24"/>
                <w:highlight w:val="none"/>
              </w:rPr>
              <w:t>储有或正在使用易燃</w:t>
            </w:r>
            <w:r>
              <w:rPr>
                <w:rFonts w:hint="eastAsia" w:ascii="宋体" w:hAnsi="宋体"/>
                <w:sz w:val="24"/>
                <w:highlight w:val="none"/>
              </w:rPr>
              <w:t>、易爆</w:t>
            </w:r>
            <w:r>
              <w:rPr>
                <w:rFonts w:ascii="宋体" w:hAnsi="宋体"/>
                <w:sz w:val="24"/>
                <w:highlight w:val="none"/>
              </w:rPr>
              <w:t>或可燃材料时或有明火施工的工序</w:t>
            </w:r>
            <w:r>
              <w:rPr>
                <w:rFonts w:hint="eastAsia" w:ascii="宋体" w:hAnsi="宋体"/>
                <w:sz w:val="24"/>
                <w:highlight w:val="none"/>
              </w:rPr>
              <w:t>，应当</w:t>
            </w:r>
            <w:r>
              <w:rPr>
                <w:rFonts w:ascii="宋体" w:hAnsi="宋体"/>
                <w:sz w:val="24"/>
                <w:highlight w:val="none"/>
              </w:rPr>
              <w:t>实行严格的</w:t>
            </w:r>
            <w:r>
              <w:rPr>
                <w:rFonts w:hint="eastAsia" w:ascii="宋体" w:hAnsi="宋体"/>
                <w:sz w:val="24"/>
                <w:highlight w:val="none"/>
              </w:rPr>
              <w:t>“</w:t>
            </w:r>
            <w:r>
              <w:rPr>
                <w:rFonts w:ascii="宋体" w:hAnsi="宋体"/>
                <w:sz w:val="24"/>
                <w:highlight w:val="none"/>
              </w:rPr>
              <w:t>用火证</w:t>
            </w:r>
            <w:r>
              <w:rPr>
                <w:rFonts w:hint="eastAsia" w:ascii="宋体" w:hAnsi="宋体"/>
                <w:sz w:val="24"/>
                <w:highlight w:val="none"/>
              </w:rPr>
              <w:t>”</w:t>
            </w:r>
            <w:r>
              <w:rPr>
                <w:rFonts w:ascii="宋体" w:hAnsi="宋体"/>
                <w:sz w:val="24"/>
                <w:highlight w:val="none"/>
              </w:rPr>
              <w:t>管理</w:t>
            </w:r>
            <w:r>
              <w:rPr>
                <w:rFonts w:hint="eastAsia" w:ascii="宋体" w:hAnsi="宋体"/>
                <w:sz w:val="24"/>
                <w:highlight w:val="none"/>
              </w:rPr>
              <w:t>制度。</w:t>
            </w:r>
          </w:p>
        </w:tc>
      </w:tr>
      <w:tr w14:paraId="3CAF840A">
        <w:tblPrEx>
          <w:tblCellMar>
            <w:top w:w="0" w:type="dxa"/>
            <w:left w:w="108" w:type="dxa"/>
            <w:bottom w:w="0" w:type="dxa"/>
            <w:right w:w="108" w:type="dxa"/>
          </w:tblCellMar>
        </w:tblPrEx>
        <w:trPr>
          <w:gridAfter w:val="1"/>
          <w:wAfter w:w="57" w:type="dxa"/>
        </w:trPr>
        <w:tc>
          <w:tcPr>
            <w:tcW w:w="1398" w:type="dxa"/>
            <w:noWrap w:val="0"/>
            <w:vAlign w:val="top"/>
          </w:tcPr>
          <w:p w14:paraId="16703534">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5</w:t>
            </w:r>
          </w:p>
        </w:tc>
        <w:tc>
          <w:tcPr>
            <w:tcW w:w="7391" w:type="dxa"/>
            <w:noWrap w:val="0"/>
            <w:vAlign w:val="top"/>
          </w:tcPr>
          <w:p w14:paraId="05D5FC84">
            <w:pPr>
              <w:spacing w:line="360" w:lineRule="auto"/>
              <w:rPr>
                <w:rFonts w:hint="eastAsia" w:ascii="宋体" w:hAnsi="宋体"/>
                <w:sz w:val="24"/>
                <w:highlight w:val="none"/>
              </w:rPr>
            </w:pPr>
            <w:r>
              <w:rPr>
                <w:rFonts w:hint="eastAsia" w:ascii="宋体" w:hAnsi="宋体"/>
                <w:sz w:val="24"/>
                <w:highlight w:val="none"/>
              </w:rPr>
              <w:t>临时消防方面的其他</w:t>
            </w:r>
            <w:r>
              <w:rPr>
                <w:rFonts w:ascii="宋体" w:hAnsi="宋体"/>
                <w:sz w:val="24"/>
                <w:highlight w:val="none"/>
              </w:rPr>
              <w:t>要求</w:t>
            </w:r>
            <w:r>
              <w:rPr>
                <w:rFonts w:hint="eastAsia" w:ascii="宋体" w:hAnsi="宋体"/>
                <w:sz w:val="24"/>
                <w:highlight w:val="none"/>
              </w:rPr>
              <w:t>如下：</w:t>
            </w:r>
          </w:p>
          <w:p w14:paraId="26B72863">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1FB4E827">
        <w:tblPrEx>
          <w:tblCellMar>
            <w:top w:w="0" w:type="dxa"/>
            <w:left w:w="108" w:type="dxa"/>
            <w:bottom w:w="0" w:type="dxa"/>
            <w:right w:w="108" w:type="dxa"/>
          </w:tblCellMar>
        </w:tblPrEx>
        <w:trPr>
          <w:gridAfter w:val="1"/>
          <w:wAfter w:w="57" w:type="dxa"/>
        </w:trPr>
        <w:tc>
          <w:tcPr>
            <w:tcW w:w="1398" w:type="dxa"/>
            <w:noWrap w:val="0"/>
            <w:vAlign w:val="top"/>
          </w:tcPr>
          <w:p w14:paraId="7D2E8A19">
            <w:pPr>
              <w:spacing w:line="360" w:lineRule="auto"/>
              <w:rPr>
                <w:rFonts w:hint="eastAsia" w:ascii="宋体" w:hAnsi="宋体"/>
                <w:b/>
                <w:bCs/>
                <w:sz w:val="24"/>
                <w:highlight w:val="none"/>
              </w:rPr>
            </w:pPr>
            <w:bookmarkStart w:id="705" w:name="_Toc263259798"/>
            <w:r>
              <w:rPr>
                <w:rFonts w:hint="eastAsia" w:ascii="宋体" w:hAnsi="宋体"/>
                <w:b/>
                <w:bCs/>
                <w:sz w:val="24"/>
                <w:highlight w:val="none"/>
              </w:rPr>
              <w:t>6.3</w:t>
            </w:r>
            <w:bookmarkEnd w:id="705"/>
          </w:p>
        </w:tc>
        <w:tc>
          <w:tcPr>
            <w:tcW w:w="7391" w:type="dxa"/>
            <w:noWrap w:val="0"/>
            <w:vAlign w:val="top"/>
          </w:tcPr>
          <w:p w14:paraId="1CE5A042">
            <w:pPr>
              <w:spacing w:line="360" w:lineRule="auto"/>
              <w:rPr>
                <w:rFonts w:hint="eastAsia" w:ascii="宋体" w:hAnsi="宋体"/>
                <w:b/>
                <w:bCs/>
                <w:sz w:val="24"/>
                <w:highlight w:val="none"/>
              </w:rPr>
            </w:pPr>
            <w:bookmarkStart w:id="706" w:name="_Toc263259799"/>
            <w:r>
              <w:rPr>
                <w:rFonts w:hint="eastAsia" w:ascii="宋体" w:hAnsi="宋体"/>
                <w:b/>
                <w:bCs/>
                <w:sz w:val="24"/>
                <w:highlight w:val="none"/>
              </w:rPr>
              <w:t>临时供电</w:t>
            </w:r>
            <w:bookmarkEnd w:id="706"/>
          </w:p>
        </w:tc>
      </w:tr>
      <w:tr w14:paraId="6FFE55AB">
        <w:tblPrEx>
          <w:tblCellMar>
            <w:top w:w="0" w:type="dxa"/>
            <w:left w:w="108" w:type="dxa"/>
            <w:bottom w:w="0" w:type="dxa"/>
            <w:right w:w="108" w:type="dxa"/>
          </w:tblCellMar>
        </w:tblPrEx>
        <w:trPr>
          <w:gridAfter w:val="1"/>
          <w:wAfter w:w="57" w:type="dxa"/>
        </w:trPr>
        <w:tc>
          <w:tcPr>
            <w:tcW w:w="1398" w:type="dxa"/>
            <w:noWrap w:val="0"/>
            <w:vAlign w:val="top"/>
          </w:tcPr>
          <w:p w14:paraId="714E14EA">
            <w:pPr>
              <w:spacing w:line="360" w:lineRule="auto"/>
              <w:rPr>
                <w:rFonts w:hint="eastAsia" w:ascii="宋体" w:hAnsi="宋体"/>
                <w:sz w:val="24"/>
                <w:highlight w:val="none"/>
              </w:rPr>
            </w:pPr>
            <w:r>
              <w:rPr>
                <w:rFonts w:hint="eastAsia" w:ascii="宋体" w:hAnsi="宋体"/>
                <w:sz w:val="24"/>
                <w:highlight w:val="none"/>
              </w:rPr>
              <w:t>6.3.1</w:t>
            </w:r>
          </w:p>
        </w:tc>
        <w:tc>
          <w:tcPr>
            <w:tcW w:w="7391" w:type="dxa"/>
            <w:noWrap w:val="0"/>
            <w:vAlign w:val="top"/>
          </w:tcPr>
          <w:p w14:paraId="5CB866C4">
            <w:pPr>
              <w:spacing w:line="360" w:lineRule="auto"/>
              <w:rPr>
                <w:rFonts w:hint="eastAsia" w:ascii="宋体" w:hAnsi="宋体"/>
                <w:b/>
                <w:bCs/>
                <w:sz w:val="24"/>
                <w:highlight w:val="none"/>
              </w:rPr>
            </w:pPr>
            <w:r>
              <w:rPr>
                <w:rFonts w:hint="eastAsia" w:ascii="宋体" w:hAnsi="宋体"/>
                <w:sz w:val="24"/>
                <w:highlight w:val="none"/>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tc>
      </w:tr>
      <w:tr w14:paraId="3FA3575A">
        <w:tblPrEx>
          <w:tblCellMar>
            <w:top w:w="0" w:type="dxa"/>
            <w:left w:w="108" w:type="dxa"/>
            <w:bottom w:w="0" w:type="dxa"/>
            <w:right w:w="108" w:type="dxa"/>
          </w:tblCellMar>
        </w:tblPrEx>
        <w:trPr>
          <w:gridAfter w:val="1"/>
          <w:wAfter w:w="57" w:type="dxa"/>
        </w:trPr>
        <w:tc>
          <w:tcPr>
            <w:tcW w:w="1398" w:type="dxa"/>
            <w:noWrap w:val="0"/>
            <w:vAlign w:val="top"/>
          </w:tcPr>
          <w:p w14:paraId="4AD7EEAB">
            <w:pPr>
              <w:spacing w:line="360" w:lineRule="auto"/>
              <w:rPr>
                <w:rFonts w:hint="eastAsia" w:ascii="宋体" w:hAnsi="宋体"/>
                <w:sz w:val="24"/>
                <w:highlight w:val="none"/>
              </w:rPr>
            </w:pPr>
            <w:r>
              <w:rPr>
                <w:rFonts w:hint="eastAsia" w:ascii="宋体" w:hAnsi="宋体"/>
                <w:sz w:val="24"/>
                <w:highlight w:val="none"/>
              </w:rPr>
              <w:t>6.3.2</w:t>
            </w:r>
          </w:p>
        </w:tc>
        <w:tc>
          <w:tcPr>
            <w:tcW w:w="7391" w:type="dxa"/>
            <w:noWrap w:val="0"/>
            <w:vAlign w:val="top"/>
          </w:tcPr>
          <w:p w14:paraId="5B0D58CA">
            <w:pPr>
              <w:spacing w:line="360" w:lineRule="auto"/>
              <w:rPr>
                <w:rFonts w:hint="eastAsia" w:ascii="宋体" w:hAnsi="宋体"/>
                <w:sz w:val="24"/>
                <w:highlight w:val="none"/>
              </w:rPr>
            </w:pPr>
            <w:r>
              <w:rPr>
                <w:rFonts w:hint="eastAsia" w:ascii="宋体" w:hAnsi="宋体"/>
                <w:sz w:val="24"/>
                <w:highlight w:val="none"/>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tc>
      </w:tr>
      <w:tr w14:paraId="0F13A1F3">
        <w:tblPrEx>
          <w:tblCellMar>
            <w:top w:w="0" w:type="dxa"/>
            <w:left w:w="108" w:type="dxa"/>
            <w:bottom w:w="0" w:type="dxa"/>
            <w:right w:w="108" w:type="dxa"/>
          </w:tblCellMar>
        </w:tblPrEx>
        <w:trPr>
          <w:gridAfter w:val="1"/>
          <w:wAfter w:w="57" w:type="dxa"/>
        </w:trPr>
        <w:tc>
          <w:tcPr>
            <w:tcW w:w="1398" w:type="dxa"/>
            <w:noWrap w:val="0"/>
            <w:vAlign w:val="top"/>
          </w:tcPr>
          <w:p w14:paraId="6E0548DE">
            <w:pPr>
              <w:spacing w:line="360" w:lineRule="auto"/>
              <w:rPr>
                <w:rFonts w:hint="eastAsia" w:ascii="宋体" w:hAnsi="宋体"/>
                <w:sz w:val="24"/>
                <w:highlight w:val="none"/>
              </w:rPr>
            </w:pPr>
            <w:r>
              <w:rPr>
                <w:rFonts w:hint="eastAsia" w:ascii="宋体" w:hAnsi="宋体"/>
                <w:sz w:val="24"/>
                <w:highlight w:val="none"/>
              </w:rPr>
              <w:t>6.3.3</w:t>
            </w:r>
          </w:p>
        </w:tc>
        <w:tc>
          <w:tcPr>
            <w:tcW w:w="7391" w:type="dxa"/>
            <w:noWrap w:val="0"/>
            <w:vAlign w:val="top"/>
          </w:tcPr>
          <w:p w14:paraId="56B69F41">
            <w:pPr>
              <w:spacing w:line="360" w:lineRule="auto"/>
              <w:rPr>
                <w:rFonts w:hint="eastAsia" w:ascii="宋体" w:hAnsi="宋体"/>
                <w:sz w:val="24"/>
                <w:highlight w:val="none"/>
              </w:rPr>
            </w:pPr>
            <w:r>
              <w:rPr>
                <w:rFonts w:hint="eastAsia" w:ascii="宋体" w:hAnsi="宋体"/>
                <w:sz w:val="24"/>
                <w:highlight w:val="none"/>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w:t>
            </w:r>
            <w:r>
              <w:rPr>
                <w:rFonts w:ascii="宋体" w:hAnsi="宋体"/>
                <w:sz w:val="24"/>
                <w:highlight w:val="none"/>
              </w:rPr>
              <w:t>线</w:t>
            </w:r>
            <w:r>
              <w:rPr>
                <w:rFonts w:hint="eastAsia" w:ascii="宋体" w:hAnsi="宋体"/>
                <w:sz w:val="24"/>
                <w:highlight w:val="none"/>
              </w:rPr>
              <w:t>和接地</w:t>
            </w:r>
            <w:r>
              <w:rPr>
                <w:rFonts w:ascii="宋体" w:hAnsi="宋体"/>
                <w:sz w:val="24"/>
                <w:highlight w:val="none"/>
              </w:rPr>
              <w:t>线</w:t>
            </w:r>
            <w:r>
              <w:rPr>
                <w:rFonts w:hint="eastAsia" w:ascii="宋体" w:hAnsi="宋体"/>
                <w:sz w:val="24"/>
                <w:highlight w:val="none"/>
              </w:rPr>
              <w:t>。电缆和电线的铺设要符合安全用电标准要求，电缆线路应采用埋地或架空敷设，严禁严地面明设，并应避免机械损伤和介质腐蚀。埋地电缆路径应设方位标志。各种配电设备均设有防止漏电和防雨防水设施。</w:t>
            </w:r>
          </w:p>
        </w:tc>
      </w:tr>
      <w:tr w14:paraId="2FBA271C">
        <w:tblPrEx>
          <w:tblCellMar>
            <w:top w:w="0" w:type="dxa"/>
            <w:left w:w="108" w:type="dxa"/>
            <w:bottom w:w="0" w:type="dxa"/>
            <w:right w:w="108" w:type="dxa"/>
          </w:tblCellMar>
        </w:tblPrEx>
        <w:trPr>
          <w:gridAfter w:val="1"/>
          <w:wAfter w:w="57" w:type="dxa"/>
        </w:trPr>
        <w:tc>
          <w:tcPr>
            <w:tcW w:w="1398" w:type="dxa"/>
            <w:noWrap w:val="0"/>
            <w:vAlign w:val="top"/>
          </w:tcPr>
          <w:p w14:paraId="576A4804">
            <w:pPr>
              <w:spacing w:line="360" w:lineRule="auto"/>
              <w:rPr>
                <w:rFonts w:hint="eastAsia" w:ascii="宋体" w:hAnsi="宋体"/>
                <w:sz w:val="24"/>
                <w:highlight w:val="none"/>
              </w:rPr>
            </w:pPr>
            <w:r>
              <w:rPr>
                <w:rFonts w:hint="eastAsia" w:ascii="宋体" w:hAnsi="宋体"/>
                <w:sz w:val="24"/>
                <w:highlight w:val="none"/>
              </w:rPr>
              <w:t>6.3.4</w:t>
            </w:r>
          </w:p>
        </w:tc>
        <w:tc>
          <w:tcPr>
            <w:tcW w:w="7391" w:type="dxa"/>
            <w:noWrap w:val="0"/>
            <w:vAlign w:val="top"/>
          </w:tcPr>
          <w:p w14:paraId="315FEA56">
            <w:pPr>
              <w:spacing w:line="360" w:lineRule="auto"/>
              <w:rPr>
                <w:rFonts w:hint="eastAsia" w:ascii="宋体" w:hAnsi="宋体"/>
                <w:sz w:val="24"/>
                <w:highlight w:val="none"/>
              </w:rPr>
            </w:pPr>
            <w:r>
              <w:rPr>
                <w:rFonts w:hint="eastAsia" w:ascii="宋体" w:hAnsi="宋体"/>
                <w:sz w:val="24"/>
                <w:highlight w:val="none"/>
              </w:rPr>
              <w:t>承包人应在施工作业区、施工道路、临时设施、办公区和生活区设置足够的照明，地下工程照明系统的电压不得高于</w:t>
            </w:r>
            <w:r>
              <w:rPr>
                <w:rFonts w:ascii="宋体" w:hAnsi="宋体"/>
                <w:bCs/>
                <w:sz w:val="24"/>
                <w:highlight w:val="none"/>
              </w:rPr>
              <w:t>36V</w:t>
            </w:r>
            <w:r>
              <w:rPr>
                <w:rFonts w:hint="eastAsia" w:ascii="宋体" w:hAnsi="宋体"/>
                <w:sz w:val="24"/>
                <w:highlight w:val="none"/>
              </w:rPr>
              <w:t>，在潮湿和易触及带电体场所的照明供电电压不应大于</w:t>
            </w:r>
            <w:r>
              <w:rPr>
                <w:rFonts w:ascii="宋体" w:hAnsi="宋体"/>
                <w:bCs/>
                <w:sz w:val="24"/>
                <w:highlight w:val="none"/>
              </w:rPr>
              <w:t>24V</w:t>
            </w:r>
            <w:r>
              <w:rPr>
                <w:rFonts w:hint="eastAsia" w:ascii="宋体" w:hAnsi="宋体"/>
                <w:sz w:val="24"/>
                <w:highlight w:val="none"/>
              </w:rPr>
              <w:t>。不便于使用电器照明的工作面应采用特殊照明设施。</w:t>
            </w:r>
          </w:p>
        </w:tc>
      </w:tr>
      <w:tr w14:paraId="0711FA73">
        <w:tblPrEx>
          <w:tblCellMar>
            <w:top w:w="0" w:type="dxa"/>
            <w:left w:w="108" w:type="dxa"/>
            <w:bottom w:w="0" w:type="dxa"/>
            <w:right w:w="108" w:type="dxa"/>
          </w:tblCellMar>
        </w:tblPrEx>
        <w:trPr>
          <w:gridAfter w:val="1"/>
          <w:wAfter w:w="57" w:type="dxa"/>
        </w:trPr>
        <w:tc>
          <w:tcPr>
            <w:tcW w:w="1398" w:type="dxa"/>
            <w:noWrap w:val="0"/>
            <w:vAlign w:val="top"/>
          </w:tcPr>
          <w:p w14:paraId="1052AA23">
            <w:pPr>
              <w:spacing w:line="360" w:lineRule="auto"/>
              <w:rPr>
                <w:rFonts w:hint="eastAsia" w:ascii="宋体" w:hAnsi="宋体"/>
                <w:sz w:val="24"/>
                <w:highlight w:val="none"/>
              </w:rPr>
            </w:pPr>
            <w:r>
              <w:rPr>
                <w:rFonts w:hint="eastAsia" w:ascii="宋体" w:hAnsi="宋体"/>
                <w:sz w:val="24"/>
                <w:highlight w:val="none"/>
              </w:rPr>
              <w:t>6.3.5</w:t>
            </w:r>
          </w:p>
        </w:tc>
        <w:tc>
          <w:tcPr>
            <w:tcW w:w="7391" w:type="dxa"/>
            <w:noWrap w:val="0"/>
            <w:vAlign w:val="top"/>
          </w:tcPr>
          <w:p w14:paraId="485F4C2C">
            <w:pPr>
              <w:spacing w:line="360" w:lineRule="auto"/>
              <w:rPr>
                <w:rFonts w:hint="eastAsia" w:ascii="宋体" w:hAnsi="宋体"/>
                <w:sz w:val="24"/>
                <w:highlight w:val="none"/>
              </w:rPr>
            </w:pPr>
            <w:r>
              <w:rPr>
                <w:rFonts w:hint="eastAsia" w:ascii="宋体" w:hAnsi="宋体"/>
                <w:sz w:val="24"/>
                <w:highlight w:val="none"/>
              </w:rPr>
              <w:t>凡可能漏电伤人或易受雷击的电器及建筑物均应设置接地和避雷装置。承包人应负责避雷装置的采购、安装、管理和维修，并建立定期检查制度。</w:t>
            </w:r>
          </w:p>
        </w:tc>
      </w:tr>
      <w:tr w14:paraId="4CD32A2A">
        <w:tblPrEx>
          <w:tblCellMar>
            <w:top w:w="0" w:type="dxa"/>
            <w:left w:w="108" w:type="dxa"/>
            <w:bottom w:w="0" w:type="dxa"/>
            <w:right w:w="108" w:type="dxa"/>
          </w:tblCellMar>
        </w:tblPrEx>
        <w:trPr>
          <w:gridAfter w:val="1"/>
          <w:wAfter w:w="57" w:type="dxa"/>
        </w:trPr>
        <w:tc>
          <w:tcPr>
            <w:tcW w:w="1398" w:type="dxa"/>
            <w:noWrap w:val="0"/>
            <w:vAlign w:val="top"/>
          </w:tcPr>
          <w:p w14:paraId="77319ADB">
            <w:pPr>
              <w:spacing w:line="360" w:lineRule="auto"/>
              <w:rPr>
                <w:rFonts w:hint="eastAsia" w:ascii="宋体" w:hAnsi="宋体"/>
                <w:sz w:val="24"/>
                <w:highlight w:val="none"/>
              </w:rPr>
            </w:pPr>
            <w:r>
              <w:rPr>
                <w:rFonts w:hint="eastAsia" w:ascii="宋体" w:hAnsi="宋体"/>
                <w:sz w:val="24"/>
                <w:highlight w:val="none"/>
              </w:rPr>
              <w:t>6.3.6</w:t>
            </w:r>
          </w:p>
          <w:p w14:paraId="50FD46AE">
            <w:pPr>
              <w:spacing w:line="360" w:lineRule="auto"/>
              <w:rPr>
                <w:rFonts w:hint="eastAsia" w:ascii="宋体" w:hAnsi="宋体"/>
                <w:sz w:val="24"/>
                <w:highlight w:val="none"/>
              </w:rPr>
            </w:pPr>
          </w:p>
        </w:tc>
        <w:tc>
          <w:tcPr>
            <w:tcW w:w="7391" w:type="dxa"/>
            <w:noWrap w:val="0"/>
            <w:vAlign w:val="top"/>
          </w:tcPr>
          <w:p w14:paraId="5E9F115C">
            <w:pPr>
              <w:spacing w:line="360" w:lineRule="auto"/>
              <w:rPr>
                <w:rFonts w:hint="eastAsia" w:ascii="宋体" w:hAnsi="宋体"/>
                <w:sz w:val="24"/>
                <w:highlight w:val="none"/>
              </w:rPr>
            </w:pPr>
            <w:r>
              <w:rPr>
                <w:rFonts w:hint="eastAsia" w:ascii="宋体" w:hAnsi="宋体"/>
                <w:sz w:val="24"/>
                <w:highlight w:val="none"/>
              </w:rPr>
              <w:t>临时用电方面的其他</w:t>
            </w:r>
            <w:r>
              <w:rPr>
                <w:rFonts w:ascii="宋体" w:hAnsi="宋体"/>
                <w:sz w:val="24"/>
                <w:highlight w:val="none"/>
              </w:rPr>
              <w:t>要求</w:t>
            </w:r>
            <w:r>
              <w:rPr>
                <w:rFonts w:hint="eastAsia" w:ascii="宋体" w:hAnsi="宋体"/>
                <w:sz w:val="24"/>
                <w:highlight w:val="none"/>
              </w:rPr>
              <w:t>如下：</w:t>
            </w:r>
          </w:p>
          <w:p w14:paraId="0CCE444B">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06977BB9">
        <w:tblPrEx>
          <w:tblCellMar>
            <w:top w:w="0" w:type="dxa"/>
            <w:left w:w="108" w:type="dxa"/>
            <w:bottom w:w="0" w:type="dxa"/>
            <w:right w:w="108" w:type="dxa"/>
          </w:tblCellMar>
        </w:tblPrEx>
        <w:trPr>
          <w:gridAfter w:val="1"/>
          <w:wAfter w:w="57" w:type="dxa"/>
        </w:trPr>
        <w:tc>
          <w:tcPr>
            <w:tcW w:w="1398" w:type="dxa"/>
            <w:noWrap w:val="0"/>
            <w:vAlign w:val="top"/>
          </w:tcPr>
          <w:p w14:paraId="24A3D264">
            <w:pPr>
              <w:spacing w:line="360" w:lineRule="auto"/>
              <w:rPr>
                <w:rFonts w:hint="eastAsia" w:ascii="宋体" w:hAnsi="宋体"/>
                <w:b/>
                <w:bCs/>
                <w:sz w:val="24"/>
                <w:highlight w:val="none"/>
              </w:rPr>
            </w:pPr>
            <w:bookmarkStart w:id="707" w:name="_Toc263259800"/>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4</w:t>
            </w:r>
            <w:bookmarkEnd w:id="707"/>
          </w:p>
        </w:tc>
        <w:tc>
          <w:tcPr>
            <w:tcW w:w="7391" w:type="dxa"/>
            <w:noWrap w:val="0"/>
            <w:vAlign w:val="top"/>
          </w:tcPr>
          <w:p w14:paraId="2C6AA824">
            <w:pPr>
              <w:spacing w:line="360" w:lineRule="auto"/>
              <w:rPr>
                <w:rFonts w:hint="eastAsia" w:ascii="宋体" w:hAnsi="宋体"/>
                <w:b/>
                <w:bCs/>
                <w:sz w:val="24"/>
                <w:highlight w:val="none"/>
              </w:rPr>
            </w:pPr>
            <w:bookmarkStart w:id="708" w:name="_Toc263259801"/>
            <w:r>
              <w:rPr>
                <w:rFonts w:hint="eastAsia" w:ascii="宋体" w:hAnsi="宋体"/>
                <w:b/>
                <w:bCs/>
                <w:sz w:val="24"/>
                <w:highlight w:val="none"/>
              </w:rPr>
              <w:t>劳动保护</w:t>
            </w:r>
            <w:bookmarkEnd w:id="708"/>
          </w:p>
        </w:tc>
      </w:tr>
      <w:tr w14:paraId="47FF7ACF">
        <w:tblPrEx>
          <w:tblCellMar>
            <w:top w:w="0" w:type="dxa"/>
            <w:left w:w="108" w:type="dxa"/>
            <w:bottom w:w="0" w:type="dxa"/>
            <w:right w:w="108" w:type="dxa"/>
          </w:tblCellMar>
        </w:tblPrEx>
        <w:trPr>
          <w:gridAfter w:val="1"/>
          <w:wAfter w:w="57" w:type="dxa"/>
        </w:trPr>
        <w:tc>
          <w:tcPr>
            <w:tcW w:w="1398" w:type="dxa"/>
            <w:noWrap w:val="0"/>
            <w:vAlign w:val="top"/>
          </w:tcPr>
          <w:p w14:paraId="0E6F20F0">
            <w:pPr>
              <w:spacing w:line="360" w:lineRule="auto"/>
              <w:rPr>
                <w:rFonts w:hint="eastAsia" w:ascii="宋体" w:hAnsi="宋体"/>
                <w:sz w:val="24"/>
                <w:highlight w:val="none"/>
              </w:rPr>
            </w:pPr>
            <w:r>
              <w:rPr>
                <w:rFonts w:hint="eastAsia" w:ascii="宋体" w:hAnsi="宋体"/>
                <w:sz w:val="24"/>
                <w:highlight w:val="none"/>
              </w:rPr>
              <w:t>6.4.1</w:t>
            </w:r>
          </w:p>
        </w:tc>
        <w:tc>
          <w:tcPr>
            <w:tcW w:w="7391" w:type="dxa"/>
            <w:noWrap w:val="0"/>
            <w:vAlign w:val="top"/>
          </w:tcPr>
          <w:p w14:paraId="5B3224A4">
            <w:pPr>
              <w:spacing w:line="360" w:lineRule="auto"/>
              <w:rPr>
                <w:rFonts w:hint="eastAsia" w:ascii="宋体" w:hAnsi="宋体"/>
                <w:sz w:val="24"/>
                <w:highlight w:val="none"/>
              </w:rPr>
            </w:pPr>
            <w:r>
              <w:rPr>
                <w:rFonts w:hint="eastAsia" w:ascii="宋体" w:hAnsi="宋体"/>
                <w:sz w:val="24"/>
                <w:highlight w:val="none"/>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tc>
      </w:tr>
      <w:tr w14:paraId="207971BF">
        <w:tblPrEx>
          <w:tblCellMar>
            <w:top w:w="0" w:type="dxa"/>
            <w:left w:w="108" w:type="dxa"/>
            <w:bottom w:w="0" w:type="dxa"/>
            <w:right w:w="108" w:type="dxa"/>
          </w:tblCellMar>
        </w:tblPrEx>
        <w:trPr>
          <w:gridAfter w:val="1"/>
          <w:wAfter w:w="57" w:type="dxa"/>
        </w:trPr>
        <w:tc>
          <w:tcPr>
            <w:tcW w:w="1398" w:type="dxa"/>
            <w:noWrap w:val="0"/>
            <w:vAlign w:val="top"/>
          </w:tcPr>
          <w:p w14:paraId="7979EE3C">
            <w:pPr>
              <w:spacing w:line="360" w:lineRule="auto"/>
              <w:rPr>
                <w:rFonts w:hint="eastAsia" w:ascii="宋体" w:hAnsi="宋体"/>
                <w:sz w:val="24"/>
                <w:highlight w:val="none"/>
              </w:rPr>
            </w:pPr>
            <w:r>
              <w:rPr>
                <w:rFonts w:hint="eastAsia" w:ascii="宋体" w:hAnsi="宋体"/>
                <w:sz w:val="24"/>
                <w:highlight w:val="none"/>
              </w:rPr>
              <w:t>6.4.2</w:t>
            </w:r>
          </w:p>
        </w:tc>
        <w:tc>
          <w:tcPr>
            <w:tcW w:w="7391" w:type="dxa"/>
            <w:noWrap w:val="0"/>
            <w:vAlign w:val="top"/>
          </w:tcPr>
          <w:p w14:paraId="13C69ADD">
            <w:pPr>
              <w:spacing w:line="360" w:lineRule="auto"/>
              <w:rPr>
                <w:rFonts w:hint="eastAsia" w:ascii="宋体" w:hAnsi="宋体"/>
                <w:sz w:val="24"/>
                <w:highlight w:val="none"/>
              </w:rPr>
            </w:pPr>
            <w:r>
              <w:rPr>
                <w:rFonts w:hint="eastAsia" w:ascii="宋体" w:hAnsi="宋体"/>
                <w:sz w:val="24"/>
                <w:highlight w:val="none"/>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tc>
      </w:tr>
      <w:tr w14:paraId="00AF4DAB">
        <w:tblPrEx>
          <w:tblCellMar>
            <w:top w:w="0" w:type="dxa"/>
            <w:left w:w="108" w:type="dxa"/>
            <w:bottom w:w="0" w:type="dxa"/>
            <w:right w:w="108" w:type="dxa"/>
          </w:tblCellMar>
        </w:tblPrEx>
        <w:trPr>
          <w:gridAfter w:val="1"/>
          <w:wAfter w:w="57" w:type="dxa"/>
        </w:trPr>
        <w:tc>
          <w:tcPr>
            <w:tcW w:w="1398" w:type="dxa"/>
            <w:noWrap w:val="0"/>
            <w:vAlign w:val="top"/>
          </w:tcPr>
          <w:p w14:paraId="14976D79">
            <w:pPr>
              <w:spacing w:line="360" w:lineRule="auto"/>
              <w:rPr>
                <w:rFonts w:hint="eastAsia" w:ascii="宋体" w:hAnsi="宋体"/>
                <w:sz w:val="24"/>
                <w:highlight w:val="none"/>
              </w:rPr>
            </w:pPr>
            <w:r>
              <w:rPr>
                <w:rFonts w:hint="eastAsia" w:ascii="宋体" w:hAnsi="宋体"/>
                <w:sz w:val="24"/>
                <w:highlight w:val="none"/>
              </w:rPr>
              <w:t>6.4.3</w:t>
            </w:r>
          </w:p>
        </w:tc>
        <w:tc>
          <w:tcPr>
            <w:tcW w:w="7391" w:type="dxa"/>
            <w:noWrap w:val="0"/>
            <w:vAlign w:val="top"/>
          </w:tcPr>
          <w:p w14:paraId="7CE0D01F">
            <w:pPr>
              <w:spacing w:line="360" w:lineRule="auto"/>
              <w:rPr>
                <w:rFonts w:hint="eastAsia" w:ascii="宋体" w:hAnsi="宋体"/>
                <w:sz w:val="24"/>
                <w:highlight w:val="none"/>
              </w:rPr>
            </w:pPr>
            <w:r>
              <w:rPr>
                <w:rFonts w:hint="eastAsia" w:ascii="宋体" w:hAnsi="宋体"/>
                <w:sz w:val="24"/>
                <w:highlight w:val="none"/>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tc>
      </w:tr>
      <w:tr w14:paraId="2E98678E">
        <w:tblPrEx>
          <w:tblCellMar>
            <w:top w:w="0" w:type="dxa"/>
            <w:left w:w="108" w:type="dxa"/>
            <w:bottom w:w="0" w:type="dxa"/>
            <w:right w:w="108" w:type="dxa"/>
          </w:tblCellMar>
        </w:tblPrEx>
        <w:trPr>
          <w:gridAfter w:val="1"/>
          <w:wAfter w:w="57" w:type="dxa"/>
        </w:trPr>
        <w:tc>
          <w:tcPr>
            <w:tcW w:w="1398" w:type="dxa"/>
            <w:noWrap w:val="0"/>
            <w:vAlign w:val="top"/>
          </w:tcPr>
          <w:p w14:paraId="5BE67593">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4</w:t>
            </w:r>
          </w:p>
        </w:tc>
        <w:tc>
          <w:tcPr>
            <w:tcW w:w="7391" w:type="dxa"/>
            <w:noWrap w:val="0"/>
            <w:vAlign w:val="top"/>
          </w:tcPr>
          <w:p w14:paraId="2572B3D2">
            <w:pPr>
              <w:spacing w:line="360" w:lineRule="auto"/>
              <w:rPr>
                <w:rFonts w:hint="eastAsia" w:ascii="宋体" w:hAnsi="宋体"/>
                <w:sz w:val="24"/>
                <w:highlight w:val="none"/>
              </w:rPr>
            </w:pPr>
            <w:r>
              <w:rPr>
                <w:rFonts w:hint="eastAsia" w:ascii="宋体" w:hAnsi="宋体"/>
                <w:sz w:val="24"/>
                <w:highlight w:val="none"/>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tc>
      </w:tr>
      <w:tr w14:paraId="4399E0E5">
        <w:tblPrEx>
          <w:tblCellMar>
            <w:top w:w="0" w:type="dxa"/>
            <w:left w:w="108" w:type="dxa"/>
            <w:bottom w:w="0" w:type="dxa"/>
            <w:right w:w="108" w:type="dxa"/>
          </w:tblCellMar>
        </w:tblPrEx>
        <w:trPr>
          <w:gridAfter w:val="1"/>
          <w:wAfter w:w="57" w:type="dxa"/>
        </w:trPr>
        <w:tc>
          <w:tcPr>
            <w:tcW w:w="1398" w:type="dxa"/>
            <w:noWrap w:val="0"/>
            <w:vAlign w:val="top"/>
          </w:tcPr>
          <w:p w14:paraId="4F9C07E4">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5</w:t>
            </w:r>
          </w:p>
        </w:tc>
        <w:tc>
          <w:tcPr>
            <w:tcW w:w="7391" w:type="dxa"/>
            <w:noWrap w:val="0"/>
            <w:vAlign w:val="top"/>
          </w:tcPr>
          <w:p w14:paraId="039848BB">
            <w:pPr>
              <w:spacing w:line="360" w:lineRule="auto"/>
              <w:rPr>
                <w:rFonts w:hint="eastAsia" w:ascii="宋体" w:hAnsi="宋体"/>
                <w:sz w:val="24"/>
                <w:highlight w:val="none"/>
              </w:rPr>
            </w:pPr>
            <w:r>
              <w:rPr>
                <w:rFonts w:hint="eastAsia" w:ascii="宋体" w:hAnsi="宋体"/>
                <w:sz w:val="24"/>
                <w:highlight w:val="none"/>
              </w:rPr>
              <w:t>承包人应在现场设立专门的临时医疗站，配备足够的设施、药物和称职的医务人员，承包人还应准备急救担架，用于一旦发生安全事故时对受伤人员的急救。</w:t>
            </w:r>
          </w:p>
        </w:tc>
      </w:tr>
      <w:tr w14:paraId="5C5B9020">
        <w:tblPrEx>
          <w:tblCellMar>
            <w:top w:w="0" w:type="dxa"/>
            <w:left w:w="108" w:type="dxa"/>
            <w:bottom w:w="0" w:type="dxa"/>
            <w:right w:w="108" w:type="dxa"/>
          </w:tblCellMar>
        </w:tblPrEx>
        <w:trPr>
          <w:gridAfter w:val="1"/>
          <w:wAfter w:w="57" w:type="dxa"/>
        </w:trPr>
        <w:tc>
          <w:tcPr>
            <w:tcW w:w="1398" w:type="dxa"/>
            <w:noWrap w:val="0"/>
            <w:vAlign w:val="top"/>
          </w:tcPr>
          <w:p w14:paraId="69434936">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6</w:t>
            </w:r>
          </w:p>
        </w:tc>
        <w:tc>
          <w:tcPr>
            <w:tcW w:w="7391" w:type="dxa"/>
            <w:noWrap w:val="0"/>
            <w:vAlign w:val="top"/>
          </w:tcPr>
          <w:p w14:paraId="36297F89">
            <w:pPr>
              <w:spacing w:line="360" w:lineRule="auto"/>
              <w:rPr>
                <w:rFonts w:hint="eastAsia" w:ascii="宋体" w:hAnsi="宋体"/>
                <w:sz w:val="24"/>
                <w:highlight w:val="none"/>
              </w:rPr>
            </w:pPr>
            <w:r>
              <w:rPr>
                <w:rFonts w:hint="eastAsia" w:ascii="宋体" w:hAnsi="宋体"/>
                <w:sz w:val="24"/>
                <w:highlight w:val="none"/>
              </w:rPr>
              <w:t>劳动保护方面的其他</w:t>
            </w:r>
            <w:r>
              <w:rPr>
                <w:rFonts w:ascii="宋体" w:hAnsi="宋体"/>
                <w:sz w:val="24"/>
                <w:highlight w:val="none"/>
              </w:rPr>
              <w:t>要求</w:t>
            </w:r>
            <w:r>
              <w:rPr>
                <w:rFonts w:hint="eastAsia" w:ascii="宋体" w:hAnsi="宋体"/>
                <w:sz w:val="24"/>
                <w:highlight w:val="none"/>
              </w:rPr>
              <w:t>如下：</w:t>
            </w:r>
          </w:p>
          <w:p w14:paraId="63855C48">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62262B23">
        <w:tblPrEx>
          <w:tblCellMar>
            <w:top w:w="0" w:type="dxa"/>
            <w:left w:w="108" w:type="dxa"/>
            <w:bottom w:w="0" w:type="dxa"/>
            <w:right w:w="108" w:type="dxa"/>
          </w:tblCellMar>
        </w:tblPrEx>
        <w:trPr>
          <w:gridAfter w:val="1"/>
          <w:wAfter w:w="57" w:type="dxa"/>
        </w:trPr>
        <w:tc>
          <w:tcPr>
            <w:tcW w:w="1398" w:type="dxa"/>
            <w:noWrap w:val="0"/>
            <w:vAlign w:val="top"/>
          </w:tcPr>
          <w:p w14:paraId="699F9FAA">
            <w:pPr>
              <w:spacing w:line="360" w:lineRule="auto"/>
              <w:rPr>
                <w:rFonts w:hint="eastAsia" w:ascii="宋体" w:hAnsi="宋体"/>
                <w:b/>
                <w:bCs/>
                <w:sz w:val="24"/>
                <w:highlight w:val="none"/>
              </w:rPr>
            </w:pPr>
            <w:bookmarkStart w:id="709" w:name="_Toc263259802"/>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5</w:t>
            </w:r>
            <w:bookmarkEnd w:id="709"/>
          </w:p>
        </w:tc>
        <w:tc>
          <w:tcPr>
            <w:tcW w:w="7391" w:type="dxa"/>
            <w:noWrap w:val="0"/>
            <w:vAlign w:val="top"/>
          </w:tcPr>
          <w:p w14:paraId="146BB1F4">
            <w:pPr>
              <w:spacing w:line="360" w:lineRule="auto"/>
              <w:rPr>
                <w:rFonts w:hint="eastAsia" w:ascii="宋体" w:hAnsi="宋体"/>
                <w:b/>
                <w:bCs/>
                <w:sz w:val="24"/>
                <w:highlight w:val="none"/>
              </w:rPr>
            </w:pPr>
            <w:bookmarkStart w:id="710" w:name="_Toc263259803"/>
            <w:r>
              <w:rPr>
                <w:rFonts w:hint="eastAsia" w:ascii="宋体" w:hAnsi="宋体"/>
                <w:b/>
                <w:bCs/>
                <w:sz w:val="24"/>
                <w:highlight w:val="none"/>
              </w:rPr>
              <w:t>脚手架</w:t>
            </w:r>
            <w:bookmarkEnd w:id="710"/>
          </w:p>
        </w:tc>
      </w:tr>
      <w:tr w14:paraId="6BA8DF9E">
        <w:tblPrEx>
          <w:tblCellMar>
            <w:top w:w="0" w:type="dxa"/>
            <w:left w:w="108" w:type="dxa"/>
            <w:bottom w:w="0" w:type="dxa"/>
            <w:right w:w="108" w:type="dxa"/>
          </w:tblCellMar>
        </w:tblPrEx>
        <w:trPr>
          <w:gridAfter w:val="1"/>
          <w:wAfter w:w="57" w:type="dxa"/>
        </w:trPr>
        <w:tc>
          <w:tcPr>
            <w:tcW w:w="1398" w:type="dxa"/>
            <w:noWrap w:val="0"/>
            <w:vAlign w:val="top"/>
          </w:tcPr>
          <w:p w14:paraId="76EC9592">
            <w:pPr>
              <w:spacing w:line="360" w:lineRule="auto"/>
              <w:rPr>
                <w:rFonts w:hint="eastAsia" w:ascii="宋体" w:hAnsi="宋体"/>
                <w:sz w:val="24"/>
                <w:highlight w:val="none"/>
              </w:rPr>
            </w:pPr>
            <w:r>
              <w:rPr>
                <w:rFonts w:hint="eastAsia" w:ascii="宋体" w:hAnsi="宋体"/>
                <w:sz w:val="24"/>
                <w:highlight w:val="none"/>
              </w:rPr>
              <w:t>6.5.1</w:t>
            </w:r>
          </w:p>
        </w:tc>
        <w:tc>
          <w:tcPr>
            <w:tcW w:w="7391" w:type="dxa"/>
            <w:noWrap w:val="0"/>
            <w:vAlign w:val="top"/>
          </w:tcPr>
          <w:p w14:paraId="0C624442">
            <w:pPr>
              <w:spacing w:line="360" w:lineRule="auto"/>
              <w:rPr>
                <w:rFonts w:hint="eastAsia" w:ascii="宋体" w:hAnsi="宋体"/>
                <w:sz w:val="24"/>
                <w:highlight w:val="none"/>
              </w:rPr>
            </w:pPr>
            <w:r>
              <w:rPr>
                <w:rFonts w:hint="eastAsia" w:ascii="宋体" w:hAnsi="宋体"/>
                <w:sz w:val="24"/>
                <w:highlight w:val="none"/>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tc>
      </w:tr>
      <w:tr w14:paraId="295BCC88">
        <w:tblPrEx>
          <w:tblCellMar>
            <w:top w:w="0" w:type="dxa"/>
            <w:left w:w="108" w:type="dxa"/>
            <w:bottom w:w="0" w:type="dxa"/>
            <w:right w:w="108" w:type="dxa"/>
          </w:tblCellMar>
        </w:tblPrEx>
        <w:trPr>
          <w:gridAfter w:val="1"/>
          <w:wAfter w:w="57" w:type="dxa"/>
        </w:trPr>
        <w:tc>
          <w:tcPr>
            <w:tcW w:w="1398" w:type="dxa"/>
            <w:noWrap w:val="0"/>
            <w:vAlign w:val="top"/>
          </w:tcPr>
          <w:p w14:paraId="549114A4">
            <w:pPr>
              <w:spacing w:line="360" w:lineRule="auto"/>
              <w:rPr>
                <w:rFonts w:hint="eastAsia" w:ascii="宋体" w:hAnsi="宋体"/>
                <w:sz w:val="24"/>
                <w:highlight w:val="none"/>
              </w:rPr>
            </w:pPr>
            <w:r>
              <w:rPr>
                <w:rFonts w:hint="eastAsia" w:ascii="宋体" w:hAnsi="宋体"/>
                <w:sz w:val="24"/>
                <w:highlight w:val="none"/>
              </w:rPr>
              <w:t>6.5.2</w:t>
            </w:r>
          </w:p>
        </w:tc>
        <w:tc>
          <w:tcPr>
            <w:tcW w:w="7391" w:type="dxa"/>
            <w:noWrap w:val="0"/>
            <w:vAlign w:val="top"/>
          </w:tcPr>
          <w:p w14:paraId="61355FD3">
            <w:pPr>
              <w:spacing w:line="360" w:lineRule="auto"/>
              <w:rPr>
                <w:rFonts w:hint="eastAsia" w:ascii="宋体" w:hAnsi="宋体"/>
                <w:sz w:val="24"/>
                <w:highlight w:val="none"/>
              </w:rPr>
            </w:pPr>
            <w:r>
              <w:rPr>
                <w:rFonts w:hint="eastAsia" w:ascii="宋体" w:hAnsi="宋体"/>
                <w:sz w:val="24"/>
                <w:highlight w:val="none"/>
              </w:rPr>
              <w:t>所有脚手架，尤其是大型、复杂、高耸和非常规脚手架，要编制专项施工方案，还应当经过安全验算，脚手架安全验算结果必须报送监理人核查后方可实施。</w:t>
            </w:r>
          </w:p>
        </w:tc>
      </w:tr>
      <w:tr w14:paraId="08839792">
        <w:tblPrEx>
          <w:tblCellMar>
            <w:top w:w="0" w:type="dxa"/>
            <w:left w:w="108" w:type="dxa"/>
            <w:bottom w:w="0" w:type="dxa"/>
            <w:right w:w="108" w:type="dxa"/>
          </w:tblCellMar>
        </w:tblPrEx>
        <w:trPr>
          <w:gridAfter w:val="1"/>
          <w:wAfter w:w="57" w:type="dxa"/>
        </w:trPr>
        <w:tc>
          <w:tcPr>
            <w:tcW w:w="1398" w:type="dxa"/>
            <w:noWrap w:val="0"/>
            <w:vAlign w:val="top"/>
          </w:tcPr>
          <w:p w14:paraId="1149C85B">
            <w:pPr>
              <w:spacing w:line="360" w:lineRule="auto"/>
              <w:rPr>
                <w:rFonts w:hint="eastAsia" w:ascii="宋体" w:hAnsi="宋体"/>
                <w:sz w:val="24"/>
                <w:highlight w:val="none"/>
              </w:rPr>
            </w:pPr>
            <w:r>
              <w:rPr>
                <w:rFonts w:hint="eastAsia" w:ascii="宋体" w:hAnsi="宋体"/>
                <w:sz w:val="24"/>
                <w:highlight w:val="none"/>
              </w:rPr>
              <w:t>6.5.3</w:t>
            </w:r>
          </w:p>
        </w:tc>
        <w:tc>
          <w:tcPr>
            <w:tcW w:w="7391" w:type="dxa"/>
            <w:noWrap w:val="0"/>
            <w:vAlign w:val="top"/>
          </w:tcPr>
          <w:p w14:paraId="7353A619">
            <w:pPr>
              <w:spacing w:line="360" w:lineRule="auto"/>
              <w:rPr>
                <w:rFonts w:hint="eastAsia" w:ascii="宋体" w:hAnsi="宋体"/>
                <w:sz w:val="24"/>
                <w:highlight w:val="none"/>
              </w:rPr>
            </w:pPr>
            <w:r>
              <w:rPr>
                <w:rFonts w:hint="eastAsia" w:ascii="宋体" w:hAnsi="宋体"/>
                <w:sz w:val="24"/>
                <w:highlight w:val="none"/>
              </w:rPr>
              <w:t>搭设爬架、挂架、超高脚手架等特种或新型脚手架时，承包人应确保此类脚手架的安全性和保证此类脚手架已经过有关行政管理部门允许使用的批准，并承担与此有关的一切费用。</w:t>
            </w:r>
          </w:p>
        </w:tc>
      </w:tr>
      <w:tr w14:paraId="601F13F4">
        <w:tblPrEx>
          <w:tblCellMar>
            <w:top w:w="0" w:type="dxa"/>
            <w:left w:w="108" w:type="dxa"/>
            <w:bottom w:w="0" w:type="dxa"/>
            <w:right w:w="108" w:type="dxa"/>
          </w:tblCellMar>
        </w:tblPrEx>
        <w:trPr>
          <w:gridAfter w:val="1"/>
          <w:wAfter w:w="57" w:type="dxa"/>
        </w:trPr>
        <w:tc>
          <w:tcPr>
            <w:tcW w:w="1398" w:type="dxa"/>
            <w:noWrap w:val="0"/>
            <w:vAlign w:val="top"/>
          </w:tcPr>
          <w:p w14:paraId="0B104479">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p>
        </w:tc>
        <w:tc>
          <w:tcPr>
            <w:tcW w:w="7391" w:type="dxa"/>
            <w:noWrap w:val="0"/>
            <w:vAlign w:val="top"/>
          </w:tcPr>
          <w:p w14:paraId="1EB23763">
            <w:pPr>
              <w:spacing w:line="360" w:lineRule="auto"/>
              <w:rPr>
                <w:rFonts w:hint="eastAsia" w:ascii="宋体" w:hAnsi="宋体"/>
                <w:sz w:val="24"/>
                <w:highlight w:val="none"/>
              </w:rPr>
            </w:pPr>
            <w:r>
              <w:rPr>
                <w:rFonts w:hint="eastAsia" w:ascii="宋体" w:hAnsi="宋体"/>
                <w:sz w:val="24"/>
                <w:highlight w:val="none"/>
              </w:rPr>
              <w:t>承包人应当加强脚手架的日常安全巡查，及时对其中的安全隐患进行整改，确保脚手架使用安全。雨、雪、雾、霜和大风等天气后，承包人必须对脚手架进行安全巡查，并及时消除安全隐患。</w:t>
            </w:r>
          </w:p>
        </w:tc>
      </w:tr>
      <w:tr w14:paraId="08ABBED1">
        <w:tblPrEx>
          <w:tblCellMar>
            <w:top w:w="0" w:type="dxa"/>
            <w:left w:w="108" w:type="dxa"/>
            <w:bottom w:w="0" w:type="dxa"/>
            <w:right w:w="108" w:type="dxa"/>
          </w:tblCellMar>
        </w:tblPrEx>
        <w:trPr>
          <w:gridAfter w:val="1"/>
          <w:wAfter w:w="57" w:type="dxa"/>
        </w:trPr>
        <w:tc>
          <w:tcPr>
            <w:tcW w:w="1398" w:type="dxa"/>
            <w:noWrap w:val="0"/>
            <w:vAlign w:val="top"/>
          </w:tcPr>
          <w:p w14:paraId="4B280C59">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5</w:t>
            </w:r>
          </w:p>
        </w:tc>
        <w:tc>
          <w:tcPr>
            <w:tcW w:w="7391" w:type="dxa"/>
            <w:noWrap w:val="0"/>
            <w:vAlign w:val="top"/>
          </w:tcPr>
          <w:p w14:paraId="3FC785C4">
            <w:pPr>
              <w:spacing w:line="360" w:lineRule="auto"/>
              <w:rPr>
                <w:rFonts w:hint="eastAsia" w:ascii="宋体" w:hAnsi="宋体"/>
                <w:sz w:val="24"/>
                <w:highlight w:val="none"/>
              </w:rPr>
            </w:pPr>
            <w:r>
              <w:rPr>
                <w:rFonts w:hint="eastAsia" w:ascii="宋体" w:hAnsi="宋体"/>
                <w:sz w:val="24"/>
                <w:highlight w:val="none"/>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tc>
      </w:tr>
      <w:tr w14:paraId="4B553124">
        <w:tblPrEx>
          <w:tblCellMar>
            <w:top w:w="0" w:type="dxa"/>
            <w:left w:w="108" w:type="dxa"/>
            <w:bottom w:w="0" w:type="dxa"/>
            <w:right w:w="108" w:type="dxa"/>
          </w:tblCellMar>
        </w:tblPrEx>
        <w:trPr>
          <w:gridAfter w:val="1"/>
          <w:wAfter w:w="57" w:type="dxa"/>
        </w:trPr>
        <w:tc>
          <w:tcPr>
            <w:tcW w:w="1398" w:type="dxa"/>
            <w:noWrap w:val="0"/>
            <w:vAlign w:val="top"/>
          </w:tcPr>
          <w:p w14:paraId="6FF2B7B3">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6</w:t>
            </w:r>
          </w:p>
        </w:tc>
        <w:tc>
          <w:tcPr>
            <w:tcW w:w="7391" w:type="dxa"/>
            <w:noWrap w:val="0"/>
            <w:vAlign w:val="top"/>
          </w:tcPr>
          <w:p w14:paraId="3A093EAD">
            <w:pPr>
              <w:spacing w:line="360" w:lineRule="auto"/>
              <w:rPr>
                <w:rFonts w:hint="eastAsia" w:ascii="宋体" w:hAnsi="宋体"/>
                <w:sz w:val="24"/>
                <w:highlight w:val="none"/>
              </w:rPr>
            </w:pPr>
            <w:r>
              <w:rPr>
                <w:rFonts w:hint="eastAsia" w:ascii="宋体" w:hAnsi="宋体"/>
                <w:sz w:val="24"/>
                <w:highlight w:val="none"/>
              </w:rPr>
              <w:t>脚手架的其他</w:t>
            </w:r>
            <w:r>
              <w:rPr>
                <w:rFonts w:ascii="宋体" w:hAnsi="宋体"/>
                <w:sz w:val="24"/>
                <w:highlight w:val="none"/>
              </w:rPr>
              <w:t>要求</w:t>
            </w:r>
            <w:r>
              <w:rPr>
                <w:rFonts w:hint="eastAsia" w:ascii="宋体" w:hAnsi="宋体"/>
                <w:sz w:val="24"/>
                <w:highlight w:val="none"/>
              </w:rPr>
              <w:t>如下：</w:t>
            </w:r>
          </w:p>
          <w:p w14:paraId="2790EBA1">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7B1BBF7B">
        <w:tblPrEx>
          <w:tblCellMar>
            <w:top w:w="0" w:type="dxa"/>
            <w:left w:w="108" w:type="dxa"/>
            <w:bottom w:w="0" w:type="dxa"/>
            <w:right w:w="108" w:type="dxa"/>
          </w:tblCellMar>
        </w:tblPrEx>
        <w:trPr>
          <w:gridAfter w:val="1"/>
          <w:wAfter w:w="57" w:type="dxa"/>
        </w:trPr>
        <w:tc>
          <w:tcPr>
            <w:tcW w:w="1398" w:type="dxa"/>
            <w:noWrap w:val="0"/>
            <w:vAlign w:val="top"/>
          </w:tcPr>
          <w:p w14:paraId="1E168864">
            <w:pPr>
              <w:spacing w:line="360" w:lineRule="auto"/>
              <w:rPr>
                <w:rFonts w:hint="eastAsia" w:ascii="宋体" w:hAnsi="宋体"/>
                <w:b/>
                <w:bCs/>
                <w:sz w:val="24"/>
                <w:highlight w:val="none"/>
              </w:rPr>
            </w:pPr>
            <w:bookmarkStart w:id="711" w:name="_Toc263259804"/>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6</w:t>
            </w:r>
            <w:bookmarkEnd w:id="711"/>
          </w:p>
        </w:tc>
        <w:tc>
          <w:tcPr>
            <w:tcW w:w="7391" w:type="dxa"/>
            <w:noWrap w:val="0"/>
            <w:vAlign w:val="top"/>
          </w:tcPr>
          <w:p w14:paraId="4FD0D6F8">
            <w:pPr>
              <w:spacing w:line="360" w:lineRule="auto"/>
              <w:rPr>
                <w:rFonts w:hint="eastAsia" w:ascii="宋体" w:hAnsi="宋体"/>
                <w:b/>
                <w:bCs/>
                <w:sz w:val="24"/>
                <w:highlight w:val="none"/>
              </w:rPr>
            </w:pPr>
            <w:bookmarkStart w:id="712" w:name="_Toc263259805"/>
            <w:r>
              <w:rPr>
                <w:rFonts w:hint="eastAsia" w:ascii="宋体" w:hAnsi="宋体"/>
                <w:b/>
                <w:bCs/>
                <w:sz w:val="24"/>
                <w:highlight w:val="none"/>
              </w:rPr>
              <w:t>施工安全措施计划</w:t>
            </w:r>
            <w:bookmarkEnd w:id="712"/>
          </w:p>
        </w:tc>
      </w:tr>
      <w:tr w14:paraId="4F2979DE">
        <w:tblPrEx>
          <w:tblCellMar>
            <w:top w:w="0" w:type="dxa"/>
            <w:left w:w="108" w:type="dxa"/>
            <w:bottom w:w="0" w:type="dxa"/>
            <w:right w:w="108" w:type="dxa"/>
          </w:tblCellMar>
        </w:tblPrEx>
        <w:trPr>
          <w:gridAfter w:val="1"/>
          <w:wAfter w:w="57" w:type="dxa"/>
        </w:trPr>
        <w:tc>
          <w:tcPr>
            <w:tcW w:w="1398" w:type="dxa"/>
            <w:noWrap w:val="0"/>
            <w:vAlign w:val="top"/>
          </w:tcPr>
          <w:p w14:paraId="7CC56FEC">
            <w:pPr>
              <w:spacing w:line="360" w:lineRule="auto"/>
              <w:rPr>
                <w:rFonts w:hint="eastAsia" w:ascii="宋体" w:hAnsi="宋体"/>
                <w:sz w:val="24"/>
                <w:highlight w:val="none"/>
              </w:rPr>
            </w:pPr>
            <w:r>
              <w:rPr>
                <w:rFonts w:hint="eastAsia" w:ascii="宋体" w:hAnsi="宋体"/>
                <w:sz w:val="24"/>
                <w:highlight w:val="none"/>
              </w:rPr>
              <w:t>6.6.1</w:t>
            </w:r>
          </w:p>
        </w:tc>
        <w:tc>
          <w:tcPr>
            <w:tcW w:w="7391" w:type="dxa"/>
            <w:noWrap w:val="0"/>
            <w:vAlign w:val="top"/>
          </w:tcPr>
          <w:p w14:paraId="652D5D6C">
            <w:pPr>
              <w:spacing w:line="360" w:lineRule="auto"/>
              <w:rPr>
                <w:rFonts w:hint="eastAsia" w:ascii="宋体" w:hAnsi="宋体"/>
                <w:sz w:val="24"/>
                <w:highlight w:val="none"/>
              </w:rPr>
            </w:pPr>
            <w:r>
              <w:rPr>
                <w:rFonts w:hint="eastAsia" w:ascii="宋体" w:hAnsi="宋体"/>
                <w:sz w:val="24"/>
                <w:highlight w:val="none"/>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tc>
      </w:tr>
      <w:tr w14:paraId="78461C7B">
        <w:tblPrEx>
          <w:tblCellMar>
            <w:top w:w="0" w:type="dxa"/>
            <w:left w:w="108" w:type="dxa"/>
            <w:bottom w:w="0" w:type="dxa"/>
            <w:right w:w="108" w:type="dxa"/>
          </w:tblCellMar>
        </w:tblPrEx>
        <w:trPr>
          <w:gridAfter w:val="1"/>
          <w:wAfter w:w="57" w:type="dxa"/>
        </w:trPr>
        <w:tc>
          <w:tcPr>
            <w:tcW w:w="1398" w:type="dxa"/>
            <w:noWrap w:val="0"/>
            <w:vAlign w:val="top"/>
          </w:tcPr>
          <w:p w14:paraId="305DE2CA">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p>
        </w:tc>
        <w:tc>
          <w:tcPr>
            <w:tcW w:w="7391" w:type="dxa"/>
            <w:noWrap w:val="0"/>
            <w:vAlign w:val="top"/>
          </w:tcPr>
          <w:p w14:paraId="52BE160C">
            <w:pPr>
              <w:spacing w:line="360" w:lineRule="auto"/>
              <w:rPr>
                <w:rFonts w:hint="eastAsia" w:ascii="宋体" w:hAnsi="宋体"/>
                <w:sz w:val="24"/>
                <w:highlight w:val="none"/>
              </w:rPr>
            </w:pPr>
            <w:r>
              <w:rPr>
                <w:rFonts w:hint="eastAsia" w:ascii="宋体" w:hAnsi="宋体"/>
                <w:sz w:val="24"/>
                <w:highlight w:val="none"/>
              </w:rPr>
              <w:t>施工安全措施计划是承包人阐明其安全管理方针、管理体系、安全制度和安全措施等的文件，其内容应当反映现行法律法规规定的和合同条款约定的以及本条上述约定的承包人安全职责，包括但不限于：</w:t>
            </w:r>
          </w:p>
          <w:p w14:paraId="5F7E357E">
            <w:pPr>
              <w:spacing w:line="360" w:lineRule="auto"/>
              <w:rPr>
                <w:rFonts w:hint="eastAsia" w:ascii="宋体" w:hAnsi="宋体"/>
                <w:sz w:val="24"/>
                <w:highlight w:val="none"/>
              </w:rPr>
            </w:pPr>
            <w:r>
              <w:rPr>
                <w:rFonts w:hint="eastAsia" w:ascii="宋体" w:hAnsi="宋体"/>
                <w:sz w:val="24"/>
                <w:highlight w:val="none"/>
              </w:rPr>
              <w:t>（1）施工安全管理机构的设置；</w:t>
            </w:r>
          </w:p>
          <w:p w14:paraId="37570FCF">
            <w:pPr>
              <w:spacing w:line="360" w:lineRule="auto"/>
              <w:rPr>
                <w:rFonts w:hint="eastAsia" w:ascii="宋体" w:hAnsi="宋体"/>
                <w:sz w:val="24"/>
                <w:highlight w:val="none"/>
              </w:rPr>
            </w:pPr>
            <w:r>
              <w:rPr>
                <w:rFonts w:hint="eastAsia" w:ascii="宋体" w:hAnsi="宋体"/>
                <w:sz w:val="24"/>
                <w:highlight w:val="none"/>
              </w:rPr>
              <w:t>（2）专职安全管理人员的配备；</w:t>
            </w:r>
          </w:p>
          <w:p w14:paraId="08BA9110">
            <w:pPr>
              <w:spacing w:line="360" w:lineRule="auto"/>
              <w:rPr>
                <w:rFonts w:hint="eastAsia" w:ascii="宋体" w:hAnsi="宋体"/>
                <w:sz w:val="24"/>
                <w:highlight w:val="none"/>
              </w:rPr>
            </w:pPr>
            <w:r>
              <w:rPr>
                <w:rFonts w:hint="eastAsia" w:ascii="宋体" w:hAnsi="宋体"/>
                <w:sz w:val="24"/>
                <w:highlight w:val="none"/>
              </w:rPr>
              <w:t>（3）安全责任制度和管理措施；</w:t>
            </w:r>
          </w:p>
          <w:p w14:paraId="7A9791A6">
            <w:pPr>
              <w:spacing w:line="360" w:lineRule="auto"/>
              <w:rPr>
                <w:rFonts w:hint="eastAsia" w:ascii="宋体" w:hAnsi="宋体"/>
                <w:sz w:val="24"/>
                <w:highlight w:val="none"/>
              </w:rPr>
            </w:pPr>
            <w:r>
              <w:rPr>
                <w:rFonts w:hint="eastAsia" w:ascii="宋体" w:hAnsi="宋体"/>
                <w:sz w:val="24"/>
                <w:highlight w:val="none"/>
              </w:rPr>
              <w:t>（4）安全教育和培训制度及管理措施；</w:t>
            </w:r>
          </w:p>
          <w:p w14:paraId="4FF25B1F">
            <w:pPr>
              <w:spacing w:line="360" w:lineRule="auto"/>
              <w:rPr>
                <w:rFonts w:hint="eastAsia" w:ascii="宋体" w:hAnsi="宋体"/>
                <w:sz w:val="24"/>
                <w:highlight w:val="none"/>
              </w:rPr>
            </w:pPr>
            <w:r>
              <w:rPr>
                <w:rFonts w:hint="eastAsia" w:ascii="宋体" w:hAnsi="宋体"/>
                <w:sz w:val="24"/>
                <w:highlight w:val="none"/>
              </w:rPr>
              <w:t>（5）各项安全生产规章制度和操作规程；</w:t>
            </w:r>
          </w:p>
          <w:p w14:paraId="3EDAE831">
            <w:pPr>
              <w:spacing w:line="360" w:lineRule="auto"/>
              <w:rPr>
                <w:rFonts w:hint="eastAsia" w:ascii="宋体" w:hAnsi="宋体"/>
                <w:sz w:val="24"/>
                <w:highlight w:val="none"/>
              </w:rPr>
            </w:pPr>
            <w:r>
              <w:rPr>
                <w:rFonts w:hint="eastAsia" w:ascii="宋体" w:hAnsi="宋体"/>
                <w:sz w:val="24"/>
                <w:highlight w:val="none"/>
              </w:rPr>
              <w:t>（6）各项施工安全措施和防护措施；</w:t>
            </w:r>
          </w:p>
          <w:p w14:paraId="6A7DF780">
            <w:pPr>
              <w:spacing w:line="360" w:lineRule="auto"/>
              <w:rPr>
                <w:rFonts w:hint="eastAsia" w:ascii="宋体" w:hAnsi="宋体"/>
                <w:sz w:val="24"/>
                <w:highlight w:val="none"/>
              </w:rPr>
            </w:pPr>
            <w:r>
              <w:rPr>
                <w:rFonts w:hint="eastAsia" w:ascii="宋体" w:hAnsi="宋体"/>
                <w:sz w:val="24"/>
                <w:highlight w:val="none"/>
              </w:rPr>
              <w:t>（7）危险品管理和使用制度；</w:t>
            </w:r>
          </w:p>
          <w:p w14:paraId="16FB6356">
            <w:pPr>
              <w:spacing w:line="360" w:lineRule="auto"/>
              <w:rPr>
                <w:rFonts w:hint="eastAsia" w:ascii="宋体" w:hAnsi="宋体"/>
                <w:sz w:val="24"/>
                <w:highlight w:val="none"/>
              </w:rPr>
            </w:pPr>
            <w:r>
              <w:rPr>
                <w:rFonts w:hint="eastAsia" w:ascii="宋体" w:hAnsi="宋体"/>
                <w:sz w:val="24"/>
                <w:highlight w:val="none"/>
              </w:rPr>
              <w:t>（8）安全设施、设备、器材和劳动保护用品的配置；</w:t>
            </w:r>
          </w:p>
          <w:p w14:paraId="686042F7">
            <w:pPr>
              <w:spacing w:line="360" w:lineRule="auto"/>
              <w:rPr>
                <w:rFonts w:hint="eastAsia" w:ascii="宋体" w:hAnsi="宋体"/>
                <w:sz w:val="24"/>
                <w:highlight w:val="none"/>
              </w:rPr>
            </w:pPr>
            <w:r>
              <w:rPr>
                <w:rFonts w:hint="eastAsia" w:ascii="宋体" w:hAnsi="宋体"/>
                <w:sz w:val="24"/>
                <w:highlight w:val="none"/>
              </w:rPr>
              <w:t>（9）其他：</w:t>
            </w:r>
            <w:r>
              <w:rPr>
                <w:rFonts w:hint="eastAsia" w:ascii="宋体" w:hAnsi="宋体"/>
                <w:sz w:val="24"/>
                <w:highlight w:val="none"/>
                <w:u w:val="single"/>
              </w:rPr>
              <w:t>/</w:t>
            </w:r>
            <w:r>
              <w:rPr>
                <w:rFonts w:hint="eastAsia" w:ascii="宋体" w:hAnsi="宋体"/>
                <w:sz w:val="24"/>
                <w:highlight w:val="none"/>
              </w:rPr>
              <w:t>。</w:t>
            </w:r>
          </w:p>
          <w:p w14:paraId="42A064AD">
            <w:pPr>
              <w:spacing w:line="360" w:lineRule="auto"/>
              <w:rPr>
                <w:rFonts w:hint="eastAsia" w:ascii="宋体" w:hAnsi="宋体"/>
                <w:sz w:val="24"/>
                <w:highlight w:val="none"/>
              </w:rPr>
            </w:pPr>
            <w:r>
              <w:rPr>
                <w:rFonts w:hint="eastAsia" w:ascii="宋体" w:hAnsi="宋体"/>
                <w:sz w:val="24"/>
                <w:highlight w:val="none"/>
              </w:rPr>
              <w:t>施工安全措施的项目和范围，应符合国家颁发的《安全技术措施计划的项目总名称表》及其附录</w:t>
            </w:r>
            <w:r>
              <w:rPr>
                <w:rFonts w:ascii="宋体" w:hAnsi="宋体"/>
                <w:sz w:val="24"/>
                <w:highlight w:val="none"/>
              </w:rPr>
              <w:t>H</w:t>
            </w:r>
            <w:r>
              <w:rPr>
                <w:rFonts w:hint="eastAsia" w:ascii="宋体" w:hAnsi="宋体"/>
                <w:sz w:val="24"/>
                <w:highlight w:val="none"/>
              </w:rPr>
              <w:t>、</w:t>
            </w:r>
            <w:r>
              <w:rPr>
                <w:rFonts w:ascii="宋体" w:hAnsi="宋体"/>
                <w:sz w:val="24"/>
                <w:highlight w:val="none"/>
              </w:rPr>
              <w:t>I</w:t>
            </w:r>
            <w:r>
              <w:rPr>
                <w:rFonts w:hint="eastAsia" w:ascii="宋体" w:hAnsi="宋体"/>
                <w:sz w:val="24"/>
                <w:highlight w:val="none"/>
              </w:rPr>
              <w:t>、</w:t>
            </w:r>
            <w:r>
              <w:rPr>
                <w:rFonts w:ascii="宋体" w:hAnsi="宋体"/>
                <w:sz w:val="24"/>
                <w:highlight w:val="none"/>
              </w:rPr>
              <w:t>J</w:t>
            </w:r>
            <w:r>
              <w:rPr>
                <w:rFonts w:hint="eastAsia" w:ascii="宋体" w:hAnsi="宋体"/>
                <w:sz w:val="24"/>
                <w:highlight w:val="none"/>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tc>
      </w:tr>
      <w:tr w14:paraId="0AFDD896">
        <w:tblPrEx>
          <w:tblCellMar>
            <w:top w:w="0" w:type="dxa"/>
            <w:left w:w="108" w:type="dxa"/>
            <w:bottom w:w="0" w:type="dxa"/>
            <w:right w:w="108" w:type="dxa"/>
          </w:tblCellMar>
        </w:tblPrEx>
        <w:trPr>
          <w:gridAfter w:val="1"/>
          <w:wAfter w:w="57" w:type="dxa"/>
        </w:trPr>
        <w:tc>
          <w:tcPr>
            <w:tcW w:w="1398" w:type="dxa"/>
            <w:noWrap w:val="0"/>
            <w:vAlign w:val="top"/>
          </w:tcPr>
          <w:p w14:paraId="671DB587">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3</w:t>
            </w:r>
          </w:p>
        </w:tc>
        <w:tc>
          <w:tcPr>
            <w:tcW w:w="7391" w:type="dxa"/>
            <w:noWrap w:val="0"/>
            <w:vAlign w:val="top"/>
          </w:tcPr>
          <w:p w14:paraId="7ED55726">
            <w:pPr>
              <w:spacing w:line="360" w:lineRule="auto"/>
              <w:rPr>
                <w:rFonts w:hint="eastAsia" w:ascii="宋体" w:hAnsi="宋体"/>
                <w:sz w:val="24"/>
                <w:highlight w:val="none"/>
              </w:rPr>
            </w:pPr>
            <w:r>
              <w:rPr>
                <w:rFonts w:hint="eastAsia" w:ascii="宋体" w:hAnsi="宋体"/>
                <w:sz w:val="24"/>
                <w:highlight w:val="none"/>
              </w:rPr>
              <w:t>施工安全措施计划应当在专用合同条款第9.2.1项约定的期限内报送监理人。承包人应当严格执行经监理人批准的施工安全措施计划，并及时补充、修订和完善施工安全措施计划，确保安全生产。</w:t>
            </w:r>
          </w:p>
        </w:tc>
      </w:tr>
      <w:tr w14:paraId="5A194283">
        <w:tblPrEx>
          <w:tblCellMar>
            <w:top w:w="0" w:type="dxa"/>
            <w:left w:w="108" w:type="dxa"/>
            <w:bottom w:w="0" w:type="dxa"/>
            <w:right w:w="108" w:type="dxa"/>
          </w:tblCellMar>
        </w:tblPrEx>
        <w:trPr>
          <w:gridAfter w:val="1"/>
          <w:wAfter w:w="57" w:type="dxa"/>
        </w:trPr>
        <w:tc>
          <w:tcPr>
            <w:tcW w:w="1398" w:type="dxa"/>
            <w:noWrap w:val="0"/>
            <w:vAlign w:val="top"/>
          </w:tcPr>
          <w:p w14:paraId="1D9BE2DC">
            <w:pPr>
              <w:spacing w:line="360" w:lineRule="auto"/>
              <w:rPr>
                <w:rFonts w:hint="eastAsia" w:ascii="宋体" w:hAnsi="宋体"/>
                <w:b/>
                <w:bCs/>
                <w:sz w:val="24"/>
                <w:highlight w:val="none"/>
              </w:rPr>
            </w:pPr>
            <w:bookmarkStart w:id="713" w:name="_Toc263259806"/>
            <w:r>
              <w:rPr>
                <w:rFonts w:hint="eastAsia" w:ascii="宋体" w:hAnsi="宋体"/>
                <w:b/>
                <w:bCs/>
                <w:sz w:val="24"/>
                <w:highlight w:val="none"/>
              </w:rPr>
              <w:t>6</w:t>
            </w:r>
            <w:r>
              <w:rPr>
                <w:rFonts w:ascii="宋体" w:hAnsi="宋体"/>
                <w:b/>
                <w:bCs/>
                <w:sz w:val="24"/>
                <w:highlight w:val="none"/>
              </w:rPr>
              <w:t>.</w:t>
            </w:r>
            <w:r>
              <w:rPr>
                <w:rFonts w:hint="eastAsia" w:ascii="宋体" w:hAnsi="宋体"/>
                <w:b/>
                <w:bCs/>
                <w:sz w:val="24"/>
                <w:highlight w:val="none"/>
              </w:rPr>
              <w:t>7</w:t>
            </w:r>
            <w:bookmarkEnd w:id="713"/>
          </w:p>
        </w:tc>
        <w:tc>
          <w:tcPr>
            <w:tcW w:w="7391" w:type="dxa"/>
            <w:noWrap w:val="0"/>
            <w:vAlign w:val="top"/>
          </w:tcPr>
          <w:p w14:paraId="62FAAF95">
            <w:pPr>
              <w:spacing w:line="360" w:lineRule="auto"/>
              <w:rPr>
                <w:rFonts w:hint="eastAsia" w:ascii="宋体" w:hAnsi="宋体"/>
                <w:b/>
                <w:bCs/>
                <w:sz w:val="24"/>
                <w:highlight w:val="none"/>
              </w:rPr>
            </w:pPr>
            <w:bookmarkStart w:id="714" w:name="_Toc263259807"/>
            <w:r>
              <w:rPr>
                <w:rFonts w:hint="eastAsia" w:ascii="宋体" w:hAnsi="宋体"/>
                <w:b/>
                <w:bCs/>
                <w:sz w:val="24"/>
                <w:highlight w:val="none"/>
              </w:rPr>
              <w:t>文明施工</w:t>
            </w:r>
            <w:bookmarkEnd w:id="714"/>
          </w:p>
        </w:tc>
      </w:tr>
      <w:tr w14:paraId="3416EBA9">
        <w:tblPrEx>
          <w:tblCellMar>
            <w:top w:w="0" w:type="dxa"/>
            <w:left w:w="108" w:type="dxa"/>
            <w:bottom w:w="0" w:type="dxa"/>
            <w:right w:w="108" w:type="dxa"/>
          </w:tblCellMar>
        </w:tblPrEx>
        <w:trPr>
          <w:gridAfter w:val="1"/>
          <w:wAfter w:w="57" w:type="dxa"/>
        </w:trPr>
        <w:tc>
          <w:tcPr>
            <w:tcW w:w="1398" w:type="dxa"/>
            <w:noWrap w:val="0"/>
            <w:vAlign w:val="top"/>
          </w:tcPr>
          <w:p w14:paraId="57C2B63F">
            <w:pPr>
              <w:spacing w:line="360" w:lineRule="auto"/>
              <w:rPr>
                <w:rFonts w:hint="eastAsia" w:ascii="宋体" w:hAnsi="宋体"/>
                <w:sz w:val="24"/>
                <w:highlight w:val="none"/>
              </w:rPr>
            </w:pPr>
            <w:r>
              <w:rPr>
                <w:rFonts w:hint="eastAsia" w:ascii="宋体" w:hAnsi="宋体"/>
                <w:sz w:val="24"/>
                <w:highlight w:val="none"/>
              </w:rPr>
              <w:t>6.7.1</w:t>
            </w:r>
          </w:p>
        </w:tc>
        <w:tc>
          <w:tcPr>
            <w:tcW w:w="7391" w:type="dxa"/>
            <w:noWrap w:val="0"/>
            <w:vAlign w:val="top"/>
          </w:tcPr>
          <w:p w14:paraId="1922A733">
            <w:pPr>
              <w:spacing w:line="360" w:lineRule="auto"/>
              <w:rPr>
                <w:rFonts w:hint="eastAsia" w:ascii="宋体" w:hAnsi="宋体"/>
                <w:sz w:val="24"/>
                <w:highlight w:val="none"/>
              </w:rPr>
            </w:pPr>
            <w:r>
              <w:rPr>
                <w:rFonts w:hint="eastAsia" w:ascii="宋体" w:hAnsi="宋体"/>
                <w:sz w:val="24"/>
                <w:highlight w:val="none"/>
              </w:rPr>
              <w:t>承包人应遵守国家和工程所在地有关法规、规范、规程和标准的规定，履行文明施工义务，确保文明施工专项费用专款专用。</w:t>
            </w:r>
          </w:p>
        </w:tc>
      </w:tr>
      <w:tr w14:paraId="114829FC">
        <w:tblPrEx>
          <w:tblCellMar>
            <w:top w:w="0" w:type="dxa"/>
            <w:left w:w="108" w:type="dxa"/>
            <w:bottom w:w="0" w:type="dxa"/>
            <w:right w:w="108" w:type="dxa"/>
          </w:tblCellMar>
        </w:tblPrEx>
        <w:trPr>
          <w:gridAfter w:val="1"/>
          <w:wAfter w:w="57" w:type="dxa"/>
        </w:trPr>
        <w:tc>
          <w:tcPr>
            <w:tcW w:w="1398" w:type="dxa"/>
            <w:noWrap w:val="0"/>
            <w:vAlign w:val="top"/>
          </w:tcPr>
          <w:p w14:paraId="4EC683DE">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2</w:t>
            </w:r>
          </w:p>
        </w:tc>
        <w:tc>
          <w:tcPr>
            <w:tcW w:w="7391" w:type="dxa"/>
            <w:noWrap w:val="0"/>
            <w:vAlign w:val="top"/>
          </w:tcPr>
          <w:p w14:paraId="5A5BAFFD">
            <w:pPr>
              <w:spacing w:line="360" w:lineRule="auto"/>
              <w:rPr>
                <w:rFonts w:hint="eastAsia" w:ascii="宋体" w:hAnsi="宋体"/>
                <w:sz w:val="24"/>
                <w:highlight w:val="none"/>
              </w:rPr>
            </w:pPr>
            <w:r>
              <w:rPr>
                <w:rFonts w:hint="eastAsia" w:ascii="宋体" w:hAnsi="宋体"/>
                <w:sz w:val="24"/>
                <w:highlight w:val="none"/>
              </w:rPr>
              <w:t>承包人应当规范现场施工秩序，实行标准化管理：</w:t>
            </w:r>
          </w:p>
          <w:p w14:paraId="7CBC42A5">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承包人的施工场地（现场）必须干净整洁、做到无积水、无淤泥、无杂物，材料堆放整齐；</w:t>
            </w:r>
          </w:p>
          <w:p w14:paraId="62FC18FD">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施工现场土方应当集中堆放，裸露的场地和集中堆放的土方应当采取覆盖、固化或绿化等措施；</w:t>
            </w:r>
          </w:p>
          <w:p w14:paraId="4DBFB55B">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施工场地（现场）应进行硬化处理，定期定时洒水，做好防治扬尘和大气污染工作；</w:t>
            </w:r>
          </w:p>
          <w:p w14:paraId="0AAF105F">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严格遵守“工完、料尽、场地净”的原则，不留垃圾、不留剩余施工材料和施工机具，各种设备运转正常；</w:t>
            </w:r>
          </w:p>
          <w:p w14:paraId="1EF364C0">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承包人修建的施工临时设施应符合监理人批准的施工规划要求，并应满足本节规定的各项安全要求；</w:t>
            </w:r>
          </w:p>
          <w:p w14:paraId="6331AA23">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监理人可要求承包人在施工场地（现场）设置各级承包人的安全文明施工责任牌等文明施工警示牌；</w:t>
            </w:r>
          </w:p>
          <w:p w14:paraId="3F70B056">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材料进入现场应按指定位置堆放整齐，不得影响现场施工和堵塞施工、消防通道。材料堆放场地应有专职的管理人员；</w:t>
            </w:r>
          </w:p>
          <w:p w14:paraId="703F9566">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施工和安装用的各种扣件、紧固件、绳索具、小型配件、镙钉等应在专设的仓库内装箱放置；</w:t>
            </w:r>
          </w:p>
          <w:p w14:paraId="10C44B08">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rPr>
              <w:t>现场风、水管及照明电线的布置应安全、合理、规范、有序，做到整齐美观。不得随意架设和造成隐患或影响施工；</w:t>
            </w:r>
          </w:p>
          <w:p w14:paraId="3921BA78">
            <w:pPr>
              <w:numPr>
                <w:ilvl w:val="0"/>
                <w:numId w:val="4"/>
              </w:numPr>
              <w:tabs>
                <w:tab w:val="left" w:pos="720"/>
                <w:tab w:val="clear" w:pos="768"/>
              </w:tabs>
              <w:spacing w:line="360" w:lineRule="auto"/>
              <w:ind w:left="720" w:hanging="720"/>
              <w:rPr>
                <w:rFonts w:hint="eastAsia" w:ascii="宋体" w:hAnsi="宋体"/>
                <w:sz w:val="24"/>
                <w:highlight w:val="none"/>
              </w:rPr>
            </w:pPr>
            <w:r>
              <w:rPr>
                <w:rFonts w:hint="eastAsia" w:ascii="宋体" w:hAnsi="宋体"/>
                <w:sz w:val="24"/>
                <w:highlight w:val="none"/>
                <w:u w:val="single"/>
              </w:rPr>
              <w:t>建筑拆除工程施工时应采取有效的降尘措施</w:t>
            </w:r>
            <w:r>
              <w:rPr>
                <w:rFonts w:hint="eastAsia" w:ascii="宋体" w:hAnsi="宋体"/>
                <w:sz w:val="24"/>
                <w:highlight w:val="none"/>
              </w:rPr>
              <w:t>。</w:t>
            </w:r>
          </w:p>
        </w:tc>
      </w:tr>
      <w:tr w14:paraId="37FACD70">
        <w:tblPrEx>
          <w:tblCellMar>
            <w:top w:w="0" w:type="dxa"/>
            <w:left w:w="108" w:type="dxa"/>
            <w:bottom w:w="0" w:type="dxa"/>
            <w:right w:w="108" w:type="dxa"/>
          </w:tblCellMar>
        </w:tblPrEx>
        <w:trPr>
          <w:gridAfter w:val="1"/>
          <w:wAfter w:w="57" w:type="dxa"/>
        </w:trPr>
        <w:tc>
          <w:tcPr>
            <w:tcW w:w="1398" w:type="dxa"/>
            <w:noWrap w:val="0"/>
            <w:vAlign w:val="top"/>
          </w:tcPr>
          <w:p w14:paraId="3B9DC2FB">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3</w:t>
            </w:r>
          </w:p>
        </w:tc>
        <w:tc>
          <w:tcPr>
            <w:tcW w:w="7391" w:type="dxa"/>
            <w:noWrap w:val="0"/>
            <w:vAlign w:val="top"/>
          </w:tcPr>
          <w:p w14:paraId="31A36BD9">
            <w:pPr>
              <w:spacing w:line="360" w:lineRule="auto"/>
              <w:rPr>
                <w:rFonts w:hint="eastAsia" w:ascii="宋体" w:hAnsi="宋体"/>
                <w:sz w:val="24"/>
                <w:highlight w:val="none"/>
              </w:rPr>
            </w:pPr>
            <w:r>
              <w:rPr>
                <w:rFonts w:hint="eastAsia" w:ascii="宋体" w:hAnsi="宋体"/>
                <w:sz w:val="24"/>
                <w:highlight w:val="none"/>
              </w:rPr>
              <w:t>承包人应为其雇佣的施工工人建立并维护相应的生活宿舍、食堂、浴室、厕所和文化活动室等，其标准应满足政府有关机构的生活标准和卫生标准等的要求。</w:t>
            </w:r>
          </w:p>
        </w:tc>
      </w:tr>
      <w:tr w14:paraId="5B9AA1EB">
        <w:tblPrEx>
          <w:tblCellMar>
            <w:top w:w="0" w:type="dxa"/>
            <w:left w:w="108" w:type="dxa"/>
            <w:bottom w:w="0" w:type="dxa"/>
            <w:right w:w="108" w:type="dxa"/>
          </w:tblCellMar>
        </w:tblPrEx>
        <w:trPr>
          <w:gridAfter w:val="1"/>
          <w:wAfter w:w="57" w:type="dxa"/>
          <w:trHeight w:val="1815" w:hRule="atLeast"/>
        </w:trPr>
        <w:tc>
          <w:tcPr>
            <w:tcW w:w="1398" w:type="dxa"/>
            <w:noWrap w:val="0"/>
            <w:vAlign w:val="top"/>
          </w:tcPr>
          <w:p w14:paraId="01E8BB92">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4</w:t>
            </w:r>
          </w:p>
        </w:tc>
        <w:tc>
          <w:tcPr>
            <w:tcW w:w="7391" w:type="dxa"/>
            <w:noWrap w:val="0"/>
            <w:vAlign w:val="top"/>
          </w:tcPr>
          <w:p w14:paraId="795B1CB0">
            <w:pPr>
              <w:spacing w:line="360" w:lineRule="auto"/>
              <w:rPr>
                <w:rFonts w:hint="eastAsia" w:ascii="宋体" w:hAnsi="宋体"/>
                <w:sz w:val="24"/>
                <w:highlight w:val="none"/>
              </w:rPr>
            </w:pPr>
            <w:r>
              <w:rPr>
                <w:rFonts w:hint="eastAsia" w:ascii="宋体" w:hAnsi="宋体"/>
                <w:sz w:val="24"/>
                <w:highlight w:val="none"/>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tc>
      </w:tr>
      <w:tr w14:paraId="28FCD962">
        <w:tblPrEx>
          <w:tblCellMar>
            <w:top w:w="0" w:type="dxa"/>
            <w:left w:w="108" w:type="dxa"/>
            <w:bottom w:w="0" w:type="dxa"/>
            <w:right w:w="108" w:type="dxa"/>
          </w:tblCellMar>
        </w:tblPrEx>
        <w:trPr>
          <w:gridAfter w:val="1"/>
          <w:wAfter w:w="57" w:type="dxa"/>
        </w:trPr>
        <w:tc>
          <w:tcPr>
            <w:tcW w:w="1398" w:type="dxa"/>
            <w:noWrap w:val="0"/>
            <w:vAlign w:val="top"/>
          </w:tcPr>
          <w:p w14:paraId="74C0C2AC">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5</w:t>
            </w:r>
          </w:p>
        </w:tc>
        <w:tc>
          <w:tcPr>
            <w:tcW w:w="7391" w:type="dxa"/>
            <w:noWrap w:val="0"/>
            <w:vAlign w:val="top"/>
          </w:tcPr>
          <w:p w14:paraId="588C3F66">
            <w:pPr>
              <w:spacing w:line="360" w:lineRule="auto"/>
              <w:rPr>
                <w:rFonts w:hint="eastAsia" w:ascii="宋体" w:hAnsi="宋体"/>
                <w:sz w:val="24"/>
                <w:highlight w:val="none"/>
              </w:rPr>
            </w:pPr>
            <w:r>
              <w:rPr>
                <w:rFonts w:ascii="宋体" w:hAnsi="宋体"/>
                <w:sz w:val="24"/>
                <w:highlight w:val="none"/>
              </w:rPr>
              <w:t>在工程施工期间，</w:t>
            </w:r>
            <w:r>
              <w:rPr>
                <w:rFonts w:hint="eastAsia" w:ascii="宋体" w:hAnsi="宋体"/>
                <w:sz w:val="24"/>
                <w:highlight w:val="none"/>
              </w:rPr>
              <w:t>承包人</w:t>
            </w:r>
            <w:r>
              <w:rPr>
                <w:rFonts w:ascii="宋体" w:hAnsi="宋体"/>
                <w:sz w:val="24"/>
                <w:highlight w:val="none"/>
              </w:rPr>
              <w:t>应始终</w:t>
            </w:r>
            <w:r>
              <w:rPr>
                <w:rFonts w:hint="eastAsia" w:ascii="宋体" w:hAnsi="宋体"/>
                <w:sz w:val="24"/>
                <w:highlight w:val="none"/>
              </w:rPr>
              <w:t>避免</w:t>
            </w:r>
            <w:r>
              <w:rPr>
                <w:rFonts w:ascii="宋体" w:hAnsi="宋体"/>
                <w:sz w:val="24"/>
                <w:highlight w:val="none"/>
              </w:rPr>
              <w:t>现场出现不必要的障碍物，妥当存放并处置</w:t>
            </w:r>
            <w:r>
              <w:rPr>
                <w:rFonts w:hint="eastAsia" w:ascii="宋体" w:hAnsi="宋体"/>
                <w:sz w:val="24"/>
                <w:highlight w:val="none"/>
              </w:rPr>
              <w:t>施工</w:t>
            </w:r>
            <w:r>
              <w:rPr>
                <w:rFonts w:ascii="宋体" w:hAnsi="宋体"/>
                <w:sz w:val="24"/>
                <w:highlight w:val="none"/>
              </w:rPr>
              <w:t>设备和多余的材料</w:t>
            </w:r>
            <w:r>
              <w:rPr>
                <w:rFonts w:hint="eastAsia" w:ascii="宋体" w:hAnsi="宋体"/>
                <w:sz w:val="24"/>
                <w:highlight w:val="none"/>
              </w:rPr>
              <w:t>，及时</w:t>
            </w:r>
            <w:r>
              <w:rPr>
                <w:rFonts w:ascii="宋体" w:hAnsi="宋体"/>
                <w:sz w:val="24"/>
                <w:highlight w:val="none"/>
              </w:rPr>
              <w:t>从现场清除运走任何废料、垃圾或不再需要的临时工程</w:t>
            </w:r>
            <w:r>
              <w:rPr>
                <w:rFonts w:hint="eastAsia" w:ascii="宋体" w:hAnsi="宋体"/>
                <w:sz w:val="24"/>
                <w:highlight w:val="none"/>
              </w:rPr>
              <w:t>和设施</w:t>
            </w:r>
            <w:r>
              <w:rPr>
                <w:rFonts w:ascii="宋体" w:hAnsi="宋体"/>
                <w:sz w:val="24"/>
                <w:highlight w:val="none"/>
              </w:rPr>
              <w:t>。</w:t>
            </w:r>
          </w:p>
        </w:tc>
      </w:tr>
      <w:tr w14:paraId="46BFA928">
        <w:tblPrEx>
          <w:tblCellMar>
            <w:top w:w="0" w:type="dxa"/>
            <w:left w:w="108" w:type="dxa"/>
            <w:bottom w:w="0" w:type="dxa"/>
            <w:right w:w="108" w:type="dxa"/>
          </w:tblCellMar>
        </w:tblPrEx>
        <w:trPr>
          <w:gridAfter w:val="1"/>
          <w:wAfter w:w="57" w:type="dxa"/>
        </w:trPr>
        <w:tc>
          <w:tcPr>
            <w:tcW w:w="1398" w:type="dxa"/>
            <w:noWrap w:val="0"/>
            <w:vAlign w:val="top"/>
          </w:tcPr>
          <w:p w14:paraId="7F103948">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6</w:t>
            </w:r>
          </w:p>
        </w:tc>
        <w:tc>
          <w:tcPr>
            <w:tcW w:w="7391" w:type="dxa"/>
            <w:noWrap w:val="0"/>
            <w:vAlign w:val="top"/>
          </w:tcPr>
          <w:p w14:paraId="495581BE">
            <w:pPr>
              <w:spacing w:line="360" w:lineRule="auto"/>
              <w:rPr>
                <w:rFonts w:hint="eastAsia" w:ascii="宋体" w:hAnsi="宋体"/>
                <w:sz w:val="24"/>
                <w:highlight w:val="none"/>
              </w:rPr>
            </w:pPr>
            <w:r>
              <w:rPr>
                <w:rFonts w:hint="eastAsia" w:ascii="宋体" w:hAnsi="宋体"/>
                <w:sz w:val="24"/>
                <w:highlight w:val="none"/>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tc>
      </w:tr>
      <w:tr w14:paraId="5FF49D08">
        <w:tblPrEx>
          <w:tblCellMar>
            <w:top w:w="0" w:type="dxa"/>
            <w:left w:w="108" w:type="dxa"/>
            <w:bottom w:w="0" w:type="dxa"/>
            <w:right w:w="108" w:type="dxa"/>
          </w:tblCellMar>
        </w:tblPrEx>
        <w:trPr>
          <w:gridAfter w:val="1"/>
          <w:wAfter w:w="57" w:type="dxa"/>
        </w:trPr>
        <w:tc>
          <w:tcPr>
            <w:tcW w:w="1398" w:type="dxa"/>
            <w:noWrap w:val="0"/>
            <w:vAlign w:val="top"/>
          </w:tcPr>
          <w:p w14:paraId="0D596727">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7</w:t>
            </w:r>
          </w:p>
        </w:tc>
        <w:tc>
          <w:tcPr>
            <w:tcW w:w="7391" w:type="dxa"/>
            <w:noWrap w:val="0"/>
            <w:vAlign w:val="top"/>
          </w:tcPr>
          <w:p w14:paraId="6AF16246">
            <w:pPr>
              <w:spacing w:line="360" w:lineRule="auto"/>
              <w:rPr>
                <w:rFonts w:hint="eastAsia" w:ascii="宋体" w:hAnsi="宋体"/>
                <w:sz w:val="24"/>
                <w:highlight w:val="none"/>
              </w:rPr>
            </w:pPr>
            <w:r>
              <w:rPr>
                <w:rFonts w:hint="eastAsia" w:ascii="宋体" w:hAnsi="宋体"/>
                <w:sz w:val="24"/>
                <w:highlight w:val="none"/>
              </w:rPr>
              <w:t>承包人应在现场设立固定的垃圾临时存放点并在各楼层或区域设立必要的垃圾箱；</w:t>
            </w:r>
            <w:r>
              <w:rPr>
                <w:rFonts w:hint="eastAsia" w:ascii="宋体" w:hAnsi="宋体"/>
                <w:sz w:val="24"/>
                <w:highlight w:val="none"/>
                <w:u w:val="single"/>
              </w:rPr>
              <w:t>施工现场应当建立</w:t>
            </w:r>
            <w:r>
              <w:rPr>
                <w:rFonts w:hint="eastAsia" w:ascii="宋体" w:hAnsi="宋体"/>
                <w:sz w:val="24"/>
                <w:highlight w:val="none"/>
              </w:rPr>
              <w:t>封闭式垃圾站。建筑物内施工垃圾的清运，必须采用相应容器或管道运输，严禁凌空抛掷；所有垃圾必须在当天清除出现场，并按有关行政管理部门的规定，运送到指定的垃圾消纳场。</w:t>
            </w:r>
          </w:p>
        </w:tc>
      </w:tr>
      <w:tr w14:paraId="2949534C">
        <w:tblPrEx>
          <w:tblCellMar>
            <w:top w:w="0" w:type="dxa"/>
            <w:left w:w="108" w:type="dxa"/>
            <w:bottom w:w="0" w:type="dxa"/>
            <w:right w:w="108" w:type="dxa"/>
          </w:tblCellMar>
        </w:tblPrEx>
        <w:trPr>
          <w:gridAfter w:val="1"/>
          <w:wAfter w:w="57" w:type="dxa"/>
        </w:trPr>
        <w:tc>
          <w:tcPr>
            <w:tcW w:w="1398" w:type="dxa"/>
            <w:noWrap w:val="0"/>
            <w:vAlign w:val="top"/>
          </w:tcPr>
          <w:p w14:paraId="365796A7">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8</w:t>
            </w:r>
          </w:p>
        </w:tc>
        <w:tc>
          <w:tcPr>
            <w:tcW w:w="7391" w:type="dxa"/>
            <w:noWrap w:val="0"/>
            <w:vAlign w:val="top"/>
          </w:tcPr>
          <w:p w14:paraId="7763685F">
            <w:pPr>
              <w:spacing w:line="360" w:lineRule="auto"/>
              <w:rPr>
                <w:rFonts w:hint="eastAsia" w:ascii="宋体" w:hAnsi="宋体"/>
                <w:sz w:val="24"/>
                <w:highlight w:val="none"/>
              </w:rPr>
            </w:pPr>
            <w:r>
              <w:rPr>
                <w:rFonts w:hint="eastAsia" w:ascii="宋体" w:hAnsi="宋体"/>
                <w:sz w:val="24"/>
                <w:highlight w:val="none"/>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tc>
      </w:tr>
      <w:tr w14:paraId="73EB2B5D">
        <w:tblPrEx>
          <w:tblCellMar>
            <w:top w:w="0" w:type="dxa"/>
            <w:left w:w="108" w:type="dxa"/>
            <w:bottom w:w="0" w:type="dxa"/>
            <w:right w:w="108" w:type="dxa"/>
          </w:tblCellMar>
        </w:tblPrEx>
        <w:trPr>
          <w:gridAfter w:val="1"/>
          <w:wAfter w:w="57" w:type="dxa"/>
        </w:trPr>
        <w:tc>
          <w:tcPr>
            <w:tcW w:w="1398" w:type="dxa"/>
            <w:noWrap w:val="0"/>
            <w:vAlign w:val="top"/>
          </w:tcPr>
          <w:p w14:paraId="5E10FEBF">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9</w:t>
            </w:r>
          </w:p>
        </w:tc>
        <w:tc>
          <w:tcPr>
            <w:tcW w:w="7391" w:type="dxa"/>
            <w:noWrap w:val="0"/>
            <w:vAlign w:val="top"/>
          </w:tcPr>
          <w:p w14:paraId="410DDDAD">
            <w:pPr>
              <w:spacing w:line="360" w:lineRule="auto"/>
              <w:rPr>
                <w:rFonts w:hint="eastAsia" w:ascii="宋体" w:hAnsi="宋体"/>
                <w:sz w:val="24"/>
                <w:highlight w:val="none"/>
              </w:rPr>
            </w:pPr>
            <w:r>
              <w:rPr>
                <w:rFonts w:hint="eastAsia" w:ascii="宋体" w:hAnsi="宋体"/>
                <w:sz w:val="24"/>
                <w:highlight w:val="none"/>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tc>
      </w:tr>
      <w:tr w14:paraId="0713D04B">
        <w:tblPrEx>
          <w:tblCellMar>
            <w:top w:w="0" w:type="dxa"/>
            <w:left w:w="108" w:type="dxa"/>
            <w:bottom w:w="0" w:type="dxa"/>
            <w:right w:w="108" w:type="dxa"/>
          </w:tblCellMar>
        </w:tblPrEx>
        <w:trPr>
          <w:gridAfter w:val="1"/>
          <w:wAfter w:w="57" w:type="dxa"/>
        </w:trPr>
        <w:tc>
          <w:tcPr>
            <w:tcW w:w="1398" w:type="dxa"/>
            <w:noWrap w:val="0"/>
            <w:vAlign w:val="top"/>
          </w:tcPr>
          <w:p w14:paraId="72BBBBA7">
            <w:pPr>
              <w:spacing w:line="360" w:lineRule="auto"/>
              <w:rPr>
                <w:rFonts w:hint="eastAsia"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10</w:t>
            </w:r>
          </w:p>
        </w:tc>
        <w:tc>
          <w:tcPr>
            <w:tcW w:w="7391" w:type="dxa"/>
            <w:noWrap w:val="0"/>
            <w:vAlign w:val="top"/>
          </w:tcPr>
          <w:p w14:paraId="09AFD650">
            <w:pPr>
              <w:spacing w:line="360" w:lineRule="auto"/>
              <w:rPr>
                <w:rFonts w:hint="eastAsia" w:ascii="宋体" w:hAnsi="宋体"/>
                <w:sz w:val="24"/>
                <w:highlight w:val="none"/>
              </w:rPr>
            </w:pPr>
            <w:r>
              <w:rPr>
                <w:rFonts w:hint="eastAsia" w:ascii="宋体" w:hAnsi="宋体"/>
                <w:sz w:val="24"/>
                <w:highlight w:val="none"/>
              </w:rPr>
              <w:t>文明施工方面的其他</w:t>
            </w:r>
            <w:r>
              <w:rPr>
                <w:rFonts w:ascii="宋体" w:hAnsi="宋体"/>
                <w:sz w:val="24"/>
                <w:highlight w:val="none"/>
              </w:rPr>
              <w:t>要求</w:t>
            </w:r>
            <w:r>
              <w:rPr>
                <w:rFonts w:hint="eastAsia" w:ascii="宋体" w:hAnsi="宋体"/>
                <w:sz w:val="24"/>
                <w:highlight w:val="none"/>
              </w:rPr>
              <w:t>如下：</w:t>
            </w:r>
          </w:p>
          <w:p w14:paraId="3D5B4223">
            <w:pPr>
              <w:spacing w:line="360" w:lineRule="auto"/>
              <w:rPr>
                <w:rFonts w:hint="eastAsia" w:ascii="宋体" w:hAnsi="宋体"/>
                <w:sz w:val="24"/>
                <w:highlight w:val="none"/>
              </w:rPr>
            </w:pPr>
            <w:r>
              <w:rPr>
                <w:rFonts w:hint="eastAsia" w:ascii="宋体" w:hAnsi="宋体"/>
                <w:sz w:val="24"/>
                <w:highlight w:val="none"/>
              </w:rPr>
              <w:t>在本工程移交之前，承包人应当从本工程现场清除并运出承包人的全部工程设备、多余材料、垃圾和各种临时工程，并保持该部分现场清洁整齐。在发包人同意的前提下承包人可在发包人指定的现场地点保留为完成承包人在保修期内的各项义务所需要的材料、工程设备和临时工程。</w:t>
            </w:r>
          </w:p>
        </w:tc>
      </w:tr>
      <w:tr w14:paraId="05195109">
        <w:tblPrEx>
          <w:tblCellMar>
            <w:top w:w="0" w:type="dxa"/>
            <w:left w:w="108" w:type="dxa"/>
            <w:bottom w:w="0" w:type="dxa"/>
            <w:right w:w="108" w:type="dxa"/>
          </w:tblCellMar>
        </w:tblPrEx>
        <w:trPr>
          <w:gridAfter w:val="1"/>
          <w:wAfter w:w="57" w:type="dxa"/>
        </w:trPr>
        <w:tc>
          <w:tcPr>
            <w:tcW w:w="1398" w:type="dxa"/>
            <w:noWrap w:val="0"/>
            <w:vAlign w:val="top"/>
          </w:tcPr>
          <w:p w14:paraId="3E607FFA">
            <w:pPr>
              <w:spacing w:line="360" w:lineRule="auto"/>
              <w:rPr>
                <w:rFonts w:hint="eastAsia" w:ascii="宋体" w:hAnsi="宋体"/>
                <w:b/>
                <w:bCs/>
                <w:sz w:val="24"/>
                <w:highlight w:val="none"/>
              </w:rPr>
            </w:pPr>
            <w:bookmarkStart w:id="715" w:name="_Toc263259808"/>
            <w:r>
              <w:rPr>
                <w:rFonts w:hint="eastAsia" w:ascii="宋体" w:hAnsi="宋体"/>
                <w:b/>
                <w:bCs/>
                <w:sz w:val="24"/>
                <w:highlight w:val="none"/>
              </w:rPr>
              <w:t>6.8</w:t>
            </w:r>
            <w:bookmarkEnd w:id="715"/>
          </w:p>
        </w:tc>
        <w:tc>
          <w:tcPr>
            <w:tcW w:w="7391" w:type="dxa"/>
            <w:noWrap w:val="0"/>
            <w:vAlign w:val="top"/>
          </w:tcPr>
          <w:p w14:paraId="0DEF7E58">
            <w:pPr>
              <w:spacing w:line="360" w:lineRule="auto"/>
              <w:rPr>
                <w:rFonts w:hint="eastAsia" w:ascii="宋体" w:hAnsi="宋体"/>
                <w:b/>
                <w:bCs/>
                <w:sz w:val="24"/>
                <w:highlight w:val="none"/>
              </w:rPr>
            </w:pPr>
            <w:bookmarkStart w:id="716" w:name="_Toc263259809"/>
            <w:r>
              <w:rPr>
                <w:rFonts w:hint="eastAsia" w:ascii="宋体" w:hAnsi="宋体"/>
                <w:b/>
                <w:bCs/>
                <w:sz w:val="24"/>
                <w:highlight w:val="none"/>
              </w:rPr>
              <w:t>环境保护</w:t>
            </w:r>
            <w:bookmarkEnd w:id="716"/>
          </w:p>
        </w:tc>
      </w:tr>
      <w:tr w14:paraId="6EBE9A23">
        <w:tblPrEx>
          <w:tblCellMar>
            <w:top w:w="0" w:type="dxa"/>
            <w:left w:w="108" w:type="dxa"/>
            <w:bottom w:w="0" w:type="dxa"/>
            <w:right w:w="108" w:type="dxa"/>
          </w:tblCellMar>
        </w:tblPrEx>
        <w:trPr>
          <w:gridAfter w:val="1"/>
          <w:wAfter w:w="57" w:type="dxa"/>
        </w:trPr>
        <w:tc>
          <w:tcPr>
            <w:tcW w:w="1398" w:type="dxa"/>
            <w:noWrap w:val="0"/>
            <w:vAlign w:val="top"/>
          </w:tcPr>
          <w:p w14:paraId="0F462306">
            <w:pPr>
              <w:spacing w:line="360" w:lineRule="auto"/>
              <w:rPr>
                <w:rFonts w:hint="eastAsia" w:ascii="宋体" w:hAnsi="宋体"/>
                <w:sz w:val="24"/>
                <w:highlight w:val="none"/>
              </w:rPr>
            </w:pPr>
            <w:r>
              <w:rPr>
                <w:rFonts w:hint="eastAsia" w:ascii="宋体" w:hAnsi="宋体"/>
                <w:sz w:val="24"/>
                <w:highlight w:val="none"/>
              </w:rPr>
              <w:t>6.8.1</w:t>
            </w:r>
          </w:p>
        </w:tc>
        <w:tc>
          <w:tcPr>
            <w:tcW w:w="7391" w:type="dxa"/>
            <w:noWrap w:val="0"/>
            <w:vAlign w:val="top"/>
          </w:tcPr>
          <w:p w14:paraId="3AF21180">
            <w:pPr>
              <w:spacing w:line="360" w:lineRule="auto"/>
              <w:rPr>
                <w:rFonts w:hint="eastAsia" w:ascii="宋体" w:hAnsi="宋体"/>
                <w:sz w:val="24"/>
                <w:highlight w:val="none"/>
              </w:rPr>
            </w:pPr>
            <w:r>
              <w:rPr>
                <w:rFonts w:hint="eastAsia" w:ascii="宋体" w:hAnsi="宋体"/>
                <w:sz w:val="24"/>
                <w:highlight w:val="none"/>
              </w:rPr>
              <w:t>在工程施工、完工及修补任何缺陷的过程中，承包人应当始终遵守国家和工程所在地有关环境保护、水土保护和污染防治的法律、法规、规章、规范、标准和规程等，按照通用合同条款第4.1.6项和第</w:t>
            </w:r>
            <w:r>
              <w:rPr>
                <w:rFonts w:hint="eastAsia" w:ascii="宋体" w:hAnsi="宋体"/>
                <w:bCs/>
                <w:sz w:val="24"/>
                <w:highlight w:val="none"/>
              </w:rPr>
              <w:t>9.4</w:t>
            </w:r>
            <w:r>
              <w:rPr>
                <w:rFonts w:hint="eastAsia" w:ascii="宋体" w:hAnsi="宋体"/>
                <w:sz w:val="24"/>
                <w:highlight w:val="none"/>
              </w:rPr>
              <w:t>款的约定履行其环境与生态保护职责。</w:t>
            </w:r>
          </w:p>
        </w:tc>
      </w:tr>
      <w:tr w14:paraId="3AA281DA">
        <w:tblPrEx>
          <w:tblCellMar>
            <w:top w:w="0" w:type="dxa"/>
            <w:left w:w="108" w:type="dxa"/>
            <w:bottom w:w="0" w:type="dxa"/>
            <w:right w:w="108" w:type="dxa"/>
          </w:tblCellMar>
        </w:tblPrEx>
        <w:trPr>
          <w:gridAfter w:val="1"/>
          <w:wAfter w:w="57" w:type="dxa"/>
        </w:trPr>
        <w:tc>
          <w:tcPr>
            <w:tcW w:w="1398" w:type="dxa"/>
            <w:noWrap w:val="0"/>
            <w:vAlign w:val="top"/>
          </w:tcPr>
          <w:p w14:paraId="4E8EA5CF">
            <w:pPr>
              <w:spacing w:line="360" w:lineRule="auto"/>
              <w:rPr>
                <w:rFonts w:hint="eastAsia" w:ascii="宋体" w:hAnsi="宋体"/>
                <w:sz w:val="24"/>
                <w:highlight w:val="none"/>
              </w:rPr>
            </w:pPr>
            <w:r>
              <w:rPr>
                <w:rFonts w:hint="eastAsia" w:ascii="宋体" w:hAnsi="宋体"/>
                <w:sz w:val="24"/>
                <w:highlight w:val="none"/>
              </w:rPr>
              <w:t>6.8.2</w:t>
            </w:r>
          </w:p>
        </w:tc>
        <w:tc>
          <w:tcPr>
            <w:tcW w:w="7391" w:type="dxa"/>
            <w:noWrap w:val="0"/>
            <w:vAlign w:val="top"/>
          </w:tcPr>
          <w:p w14:paraId="63C2014D">
            <w:pPr>
              <w:spacing w:line="360" w:lineRule="auto"/>
              <w:rPr>
                <w:rFonts w:hint="eastAsia" w:ascii="宋体" w:hAnsi="宋体"/>
                <w:sz w:val="24"/>
                <w:highlight w:val="none"/>
              </w:rPr>
            </w:pPr>
            <w:r>
              <w:rPr>
                <w:rFonts w:hint="eastAsia" w:ascii="宋体" w:hAnsi="宋体"/>
                <w:sz w:val="24"/>
                <w:highlight w:val="none"/>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tc>
      </w:tr>
      <w:tr w14:paraId="43597DF4">
        <w:tblPrEx>
          <w:tblCellMar>
            <w:top w:w="0" w:type="dxa"/>
            <w:left w:w="108" w:type="dxa"/>
            <w:bottom w:w="0" w:type="dxa"/>
            <w:right w:w="108" w:type="dxa"/>
          </w:tblCellMar>
        </w:tblPrEx>
        <w:trPr>
          <w:gridAfter w:val="1"/>
          <w:wAfter w:w="57" w:type="dxa"/>
        </w:trPr>
        <w:tc>
          <w:tcPr>
            <w:tcW w:w="1398" w:type="dxa"/>
            <w:noWrap w:val="0"/>
            <w:vAlign w:val="top"/>
          </w:tcPr>
          <w:p w14:paraId="1DD69990">
            <w:pPr>
              <w:spacing w:line="360" w:lineRule="auto"/>
              <w:rPr>
                <w:rFonts w:hint="eastAsia" w:ascii="宋体" w:hAnsi="宋体"/>
                <w:sz w:val="24"/>
                <w:highlight w:val="none"/>
              </w:rPr>
            </w:pPr>
            <w:r>
              <w:rPr>
                <w:rFonts w:hint="eastAsia" w:ascii="宋体" w:hAnsi="宋体"/>
                <w:sz w:val="24"/>
                <w:highlight w:val="none"/>
              </w:rPr>
              <w:t>6.8.3</w:t>
            </w:r>
          </w:p>
        </w:tc>
        <w:tc>
          <w:tcPr>
            <w:tcW w:w="7391" w:type="dxa"/>
            <w:noWrap w:val="0"/>
            <w:vAlign w:val="top"/>
          </w:tcPr>
          <w:p w14:paraId="1910ACC7">
            <w:pPr>
              <w:spacing w:line="360" w:lineRule="auto"/>
              <w:rPr>
                <w:rFonts w:hint="eastAsia" w:ascii="宋体" w:hAnsi="宋体"/>
                <w:sz w:val="24"/>
                <w:highlight w:val="none"/>
              </w:rPr>
            </w:pPr>
            <w:r>
              <w:rPr>
                <w:rFonts w:hint="eastAsia" w:ascii="宋体" w:hAnsi="宋体"/>
                <w:sz w:val="24"/>
                <w:highlight w:val="none"/>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tc>
      </w:tr>
      <w:tr w14:paraId="2A21CA62">
        <w:tblPrEx>
          <w:tblCellMar>
            <w:top w:w="0" w:type="dxa"/>
            <w:left w:w="108" w:type="dxa"/>
            <w:bottom w:w="0" w:type="dxa"/>
            <w:right w:w="108" w:type="dxa"/>
          </w:tblCellMar>
        </w:tblPrEx>
        <w:trPr>
          <w:gridAfter w:val="1"/>
          <w:wAfter w:w="57" w:type="dxa"/>
        </w:trPr>
        <w:tc>
          <w:tcPr>
            <w:tcW w:w="1398" w:type="dxa"/>
            <w:noWrap w:val="0"/>
            <w:vAlign w:val="top"/>
          </w:tcPr>
          <w:p w14:paraId="5948E378">
            <w:pPr>
              <w:spacing w:line="360" w:lineRule="auto"/>
              <w:rPr>
                <w:rFonts w:hint="eastAsia" w:ascii="宋体" w:hAnsi="宋体"/>
                <w:sz w:val="24"/>
                <w:highlight w:val="none"/>
              </w:rPr>
            </w:pPr>
            <w:r>
              <w:rPr>
                <w:rFonts w:hint="eastAsia" w:ascii="宋体" w:hAnsi="宋体"/>
                <w:sz w:val="24"/>
                <w:highlight w:val="none"/>
              </w:rPr>
              <w:t>6.8.4</w:t>
            </w:r>
          </w:p>
        </w:tc>
        <w:tc>
          <w:tcPr>
            <w:tcW w:w="7391" w:type="dxa"/>
            <w:noWrap w:val="0"/>
            <w:vAlign w:val="top"/>
          </w:tcPr>
          <w:p w14:paraId="2B40A781">
            <w:pPr>
              <w:spacing w:line="360" w:lineRule="auto"/>
              <w:rPr>
                <w:rFonts w:hint="eastAsia" w:ascii="宋体" w:hAnsi="宋体"/>
                <w:sz w:val="24"/>
                <w:highlight w:val="none"/>
              </w:rPr>
            </w:pPr>
            <w:r>
              <w:rPr>
                <w:rFonts w:hint="eastAsia" w:ascii="宋体" w:hAnsi="宋体"/>
                <w:sz w:val="24"/>
                <w:highlight w:val="none"/>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tc>
      </w:tr>
      <w:tr w14:paraId="0D62EC23">
        <w:tblPrEx>
          <w:tblCellMar>
            <w:top w:w="0" w:type="dxa"/>
            <w:left w:w="108" w:type="dxa"/>
            <w:bottom w:w="0" w:type="dxa"/>
            <w:right w:w="108" w:type="dxa"/>
          </w:tblCellMar>
        </w:tblPrEx>
        <w:trPr>
          <w:gridAfter w:val="1"/>
          <w:wAfter w:w="57" w:type="dxa"/>
        </w:trPr>
        <w:tc>
          <w:tcPr>
            <w:tcW w:w="1398" w:type="dxa"/>
            <w:noWrap w:val="0"/>
            <w:vAlign w:val="top"/>
          </w:tcPr>
          <w:p w14:paraId="412DEEBC">
            <w:pPr>
              <w:spacing w:line="360" w:lineRule="auto"/>
              <w:rPr>
                <w:rFonts w:hint="eastAsia" w:ascii="宋体" w:hAnsi="宋体"/>
                <w:sz w:val="24"/>
                <w:highlight w:val="none"/>
              </w:rPr>
            </w:pPr>
            <w:r>
              <w:rPr>
                <w:rFonts w:hint="eastAsia" w:ascii="宋体" w:hAnsi="宋体"/>
                <w:sz w:val="24"/>
                <w:highlight w:val="none"/>
              </w:rPr>
              <w:t>6.8.5</w:t>
            </w:r>
          </w:p>
        </w:tc>
        <w:tc>
          <w:tcPr>
            <w:tcW w:w="7391" w:type="dxa"/>
            <w:noWrap w:val="0"/>
            <w:vAlign w:val="top"/>
          </w:tcPr>
          <w:p w14:paraId="02EE27EB">
            <w:pPr>
              <w:spacing w:line="360" w:lineRule="auto"/>
              <w:rPr>
                <w:rFonts w:hint="eastAsia" w:ascii="宋体" w:hAnsi="宋体"/>
                <w:sz w:val="24"/>
                <w:highlight w:val="none"/>
              </w:rPr>
            </w:pPr>
            <w:r>
              <w:rPr>
                <w:rFonts w:hint="eastAsia" w:ascii="宋体" w:hAnsi="宋体"/>
                <w:sz w:val="24"/>
                <w:highlight w:val="none"/>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tc>
      </w:tr>
      <w:tr w14:paraId="02543666">
        <w:tblPrEx>
          <w:tblCellMar>
            <w:top w:w="0" w:type="dxa"/>
            <w:left w:w="108" w:type="dxa"/>
            <w:bottom w:w="0" w:type="dxa"/>
            <w:right w:w="108" w:type="dxa"/>
          </w:tblCellMar>
        </w:tblPrEx>
        <w:trPr>
          <w:gridAfter w:val="1"/>
          <w:wAfter w:w="57" w:type="dxa"/>
        </w:trPr>
        <w:tc>
          <w:tcPr>
            <w:tcW w:w="1398" w:type="dxa"/>
            <w:noWrap w:val="0"/>
            <w:vAlign w:val="top"/>
          </w:tcPr>
          <w:p w14:paraId="70CBB922">
            <w:pPr>
              <w:spacing w:line="360" w:lineRule="auto"/>
              <w:rPr>
                <w:rFonts w:hint="eastAsia" w:ascii="宋体" w:hAnsi="宋体"/>
                <w:sz w:val="24"/>
                <w:highlight w:val="none"/>
              </w:rPr>
            </w:pPr>
            <w:r>
              <w:rPr>
                <w:rFonts w:hint="eastAsia" w:ascii="宋体" w:hAnsi="宋体"/>
                <w:sz w:val="24"/>
                <w:highlight w:val="none"/>
              </w:rPr>
              <w:t>6.8.6</w:t>
            </w:r>
          </w:p>
        </w:tc>
        <w:tc>
          <w:tcPr>
            <w:tcW w:w="7391" w:type="dxa"/>
            <w:noWrap w:val="0"/>
            <w:vAlign w:val="top"/>
          </w:tcPr>
          <w:p w14:paraId="242E12CD">
            <w:pPr>
              <w:spacing w:line="360" w:lineRule="auto"/>
              <w:rPr>
                <w:rFonts w:hint="eastAsia" w:ascii="宋体" w:hAnsi="宋体"/>
                <w:sz w:val="24"/>
                <w:highlight w:val="none"/>
              </w:rPr>
            </w:pPr>
            <w:r>
              <w:rPr>
                <w:rFonts w:hint="eastAsia" w:ascii="宋体" w:hAnsi="宋体"/>
                <w:sz w:val="24"/>
                <w:highlight w:val="none"/>
              </w:rPr>
              <w:t>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tc>
      </w:tr>
      <w:tr w14:paraId="084400F2">
        <w:tblPrEx>
          <w:tblCellMar>
            <w:top w:w="0" w:type="dxa"/>
            <w:left w:w="108" w:type="dxa"/>
            <w:bottom w:w="0" w:type="dxa"/>
            <w:right w:w="108" w:type="dxa"/>
          </w:tblCellMar>
        </w:tblPrEx>
        <w:trPr>
          <w:gridAfter w:val="1"/>
          <w:wAfter w:w="57" w:type="dxa"/>
        </w:trPr>
        <w:tc>
          <w:tcPr>
            <w:tcW w:w="1398" w:type="dxa"/>
            <w:noWrap w:val="0"/>
            <w:vAlign w:val="top"/>
          </w:tcPr>
          <w:p w14:paraId="11081B4C">
            <w:pPr>
              <w:spacing w:line="360" w:lineRule="auto"/>
              <w:rPr>
                <w:rFonts w:hint="eastAsia" w:ascii="宋体" w:hAnsi="宋体"/>
                <w:sz w:val="24"/>
                <w:highlight w:val="none"/>
              </w:rPr>
            </w:pPr>
            <w:r>
              <w:rPr>
                <w:rFonts w:hint="eastAsia" w:ascii="宋体" w:hAnsi="宋体"/>
                <w:sz w:val="24"/>
                <w:highlight w:val="none"/>
              </w:rPr>
              <w:t>6.8</w:t>
            </w:r>
            <w:r>
              <w:rPr>
                <w:rFonts w:ascii="宋体" w:hAnsi="宋体"/>
                <w:sz w:val="24"/>
                <w:highlight w:val="none"/>
              </w:rPr>
              <w:t>.</w:t>
            </w:r>
            <w:r>
              <w:rPr>
                <w:rFonts w:hint="eastAsia" w:ascii="宋体" w:hAnsi="宋体"/>
                <w:sz w:val="24"/>
                <w:highlight w:val="none"/>
              </w:rPr>
              <w:t>7</w:t>
            </w:r>
          </w:p>
        </w:tc>
        <w:tc>
          <w:tcPr>
            <w:tcW w:w="7391" w:type="dxa"/>
            <w:noWrap w:val="0"/>
            <w:vAlign w:val="top"/>
          </w:tcPr>
          <w:p w14:paraId="16BC1954">
            <w:pPr>
              <w:spacing w:line="360" w:lineRule="auto"/>
              <w:rPr>
                <w:rFonts w:hint="eastAsia" w:ascii="宋体" w:hAnsi="宋体"/>
                <w:sz w:val="24"/>
                <w:highlight w:val="none"/>
              </w:rPr>
            </w:pPr>
            <w:r>
              <w:rPr>
                <w:rFonts w:hint="eastAsia" w:ascii="宋体" w:hAnsi="宋体"/>
                <w:sz w:val="24"/>
                <w:highlight w:val="none"/>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tc>
      </w:tr>
      <w:tr w14:paraId="05190553">
        <w:tblPrEx>
          <w:tblCellMar>
            <w:top w:w="0" w:type="dxa"/>
            <w:left w:w="108" w:type="dxa"/>
            <w:bottom w:w="0" w:type="dxa"/>
            <w:right w:w="108" w:type="dxa"/>
          </w:tblCellMar>
        </w:tblPrEx>
        <w:trPr>
          <w:gridAfter w:val="1"/>
          <w:wAfter w:w="57" w:type="dxa"/>
        </w:trPr>
        <w:tc>
          <w:tcPr>
            <w:tcW w:w="1398" w:type="dxa"/>
            <w:noWrap w:val="0"/>
            <w:vAlign w:val="top"/>
          </w:tcPr>
          <w:p w14:paraId="17BF1716">
            <w:pPr>
              <w:spacing w:line="360" w:lineRule="auto"/>
              <w:rPr>
                <w:rFonts w:hint="eastAsia" w:ascii="宋体" w:hAnsi="宋体"/>
                <w:sz w:val="24"/>
                <w:highlight w:val="none"/>
              </w:rPr>
            </w:pPr>
            <w:r>
              <w:rPr>
                <w:rFonts w:hint="eastAsia" w:ascii="宋体" w:hAnsi="宋体"/>
                <w:sz w:val="24"/>
                <w:highlight w:val="none"/>
              </w:rPr>
              <w:t>6.8.8</w:t>
            </w:r>
          </w:p>
        </w:tc>
        <w:tc>
          <w:tcPr>
            <w:tcW w:w="7391" w:type="dxa"/>
            <w:noWrap w:val="0"/>
            <w:vAlign w:val="top"/>
          </w:tcPr>
          <w:p w14:paraId="648A0680">
            <w:pPr>
              <w:spacing w:line="360" w:lineRule="auto"/>
              <w:rPr>
                <w:rFonts w:hint="eastAsia" w:ascii="宋体" w:hAnsi="宋体"/>
                <w:sz w:val="24"/>
                <w:highlight w:val="none"/>
              </w:rPr>
            </w:pPr>
            <w:r>
              <w:rPr>
                <w:rFonts w:hint="eastAsia" w:ascii="宋体" w:hAnsi="宋体"/>
                <w:sz w:val="24"/>
                <w:highlight w:val="none"/>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tc>
      </w:tr>
      <w:tr w14:paraId="070ECF4E">
        <w:tblPrEx>
          <w:tblCellMar>
            <w:top w:w="0" w:type="dxa"/>
            <w:left w:w="108" w:type="dxa"/>
            <w:bottom w:w="0" w:type="dxa"/>
            <w:right w:w="108" w:type="dxa"/>
          </w:tblCellMar>
        </w:tblPrEx>
        <w:trPr>
          <w:gridAfter w:val="1"/>
          <w:wAfter w:w="57" w:type="dxa"/>
        </w:trPr>
        <w:tc>
          <w:tcPr>
            <w:tcW w:w="1398" w:type="dxa"/>
            <w:noWrap w:val="0"/>
            <w:vAlign w:val="top"/>
          </w:tcPr>
          <w:p w14:paraId="7A2418C8">
            <w:pPr>
              <w:spacing w:line="360" w:lineRule="auto"/>
              <w:rPr>
                <w:rFonts w:hint="eastAsia" w:ascii="宋体" w:hAnsi="宋体"/>
                <w:sz w:val="24"/>
                <w:highlight w:val="none"/>
              </w:rPr>
            </w:pPr>
            <w:r>
              <w:rPr>
                <w:rFonts w:hint="eastAsia" w:ascii="宋体" w:hAnsi="宋体"/>
                <w:sz w:val="24"/>
                <w:highlight w:val="none"/>
              </w:rPr>
              <w:t>6.8.9</w:t>
            </w:r>
          </w:p>
        </w:tc>
        <w:tc>
          <w:tcPr>
            <w:tcW w:w="7391" w:type="dxa"/>
            <w:noWrap w:val="0"/>
            <w:vAlign w:val="top"/>
          </w:tcPr>
          <w:p w14:paraId="7BD5C69A">
            <w:pPr>
              <w:spacing w:line="360" w:lineRule="auto"/>
              <w:rPr>
                <w:rFonts w:hint="eastAsia" w:ascii="宋体" w:hAnsi="宋体"/>
                <w:sz w:val="24"/>
                <w:highlight w:val="none"/>
              </w:rPr>
            </w:pPr>
            <w:r>
              <w:rPr>
                <w:rFonts w:hint="eastAsia" w:ascii="宋体" w:hAnsi="宋体"/>
                <w:sz w:val="24"/>
                <w:highlight w:val="none"/>
              </w:rPr>
              <w:t>环境保护方面的其他</w:t>
            </w:r>
            <w:r>
              <w:rPr>
                <w:rFonts w:ascii="宋体" w:hAnsi="宋体"/>
                <w:sz w:val="24"/>
                <w:highlight w:val="none"/>
              </w:rPr>
              <w:t>要求</w:t>
            </w:r>
            <w:r>
              <w:rPr>
                <w:rFonts w:hint="eastAsia" w:ascii="宋体" w:hAnsi="宋体"/>
                <w:sz w:val="24"/>
                <w:highlight w:val="none"/>
              </w:rPr>
              <w:t>如下：</w:t>
            </w:r>
          </w:p>
          <w:p w14:paraId="23E5C8C0">
            <w:pPr>
              <w:spacing w:line="360" w:lineRule="auto"/>
              <w:rPr>
                <w:rFonts w:hint="eastAsia" w:ascii="宋体" w:hAnsi="宋体"/>
                <w:sz w:val="24"/>
                <w:highlight w:val="none"/>
              </w:rPr>
            </w:pPr>
            <w:r>
              <w:rPr>
                <w:rFonts w:hint="eastAsia" w:ascii="宋体" w:hAnsi="宋体"/>
                <w:sz w:val="24"/>
                <w:highlight w:val="none"/>
              </w:rPr>
              <w:t>本工程场地周边环境复杂，对交通、市容环卫、消防、文明安全施工、社会舆论监督等要求很高，现场施工组织须考虑减少扰民的影响，工程周边环境对施工组织的不利影响，应由承包人充分预测，由此产生的相关费用及工期不做调整。承包单位应承担施工区域及周边环境的精细保洁工作，竣工验收前承建单位对所施工区域进行精开荒保洁。</w:t>
            </w:r>
          </w:p>
        </w:tc>
      </w:tr>
      <w:tr w14:paraId="70983FB2">
        <w:tblPrEx>
          <w:tblCellMar>
            <w:top w:w="0" w:type="dxa"/>
            <w:left w:w="108" w:type="dxa"/>
            <w:bottom w:w="0" w:type="dxa"/>
            <w:right w:w="108" w:type="dxa"/>
          </w:tblCellMar>
        </w:tblPrEx>
        <w:trPr>
          <w:gridAfter w:val="1"/>
          <w:wAfter w:w="57" w:type="dxa"/>
        </w:trPr>
        <w:tc>
          <w:tcPr>
            <w:tcW w:w="1398" w:type="dxa"/>
            <w:noWrap w:val="0"/>
            <w:vAlign w:val="top"/>
          </w:tcPr>
          <w:p w14:paraId="610DBA91">
            <w:pPr>
              <w:spacing w:line="360" w:lineRule="auto"/>
              <w:rPr>
                <w:rFonts w:hint="eastAsia" w:ascii="宋体" w:hAnsi="宋体"/>
                <w:b/>
                <w:bCs/>
                <w:sz w:val="24"/>
                <w:highlight w:val="none"/>
              </w:rPr>
            </w:pPr>
            <w:bookmarkStart w:id="717" w:name="_Toc263259810"/>
            <w:r>
              <w:rPr>
                <w:rFonts w:hint="eastAsia" w:ascii="宋体" w:hAnsi="宋体"/>
                <w:b/>
                <w:bCs/>
                <w:sz w:val="24"/>
                <w:highlight w:val="none"/>
              </w:rPr>
              <w:t>6.9</w:t>
            </w:r>
            <w:bookmarkEnd w:id="717"/>
          </w:p>
        </w:tc>
        <w:tc>
          <w:tcPr>
            <w:tcW w:w="7391" w:type="dxa"/>
            <w:noWrap w:val="0"/>
            <w:vAlign w:val="top"/>
          </w:tcPr>
          <w:p w14:paraId="5D76B5AF">
            <w:pPr>
              <w:spacing w:line="360" w:lineRule="auto"/>
              <w:rPr>
                <w:rFonts w:hint="eastAsia" w:ascii="宋体" w:hAnsi="宋体"/>
                <w:b/>
                <w:bCs/>
                <w:sz w:val="24"/>
                <w:highlight w:val="none"/>
              </w:rPr>
            </w:pPr>
            <w:bookmarkStart w:id="718" w:name="_Toc263259811"/>
            <w:r>
              <w:rPr>
                <w:rFonts w:hint="eastAsia" w:ascii="宋体" w:hAnsi="宋体"/>
                <w:b/>
                <w:bCs/>
                <w:sz w:val="24"/>
                <w:highlight w:val="none"/>
              </w:rPr>
              <w:t>施工环保措施计划</w:t>
            </w:r>
            <w:bookmarkEnd w:id="718"/>
          </w:p>
        </w:tc>
      </w:tr>
      <w:tr w14:paraId="4826D2CE">
        <w:tblPrEx>
          <w:tblCellMar>
            <w:top w:w="0" w:type="dxa"/>
            <w:left w:w="108" w:type="dxa"/>
            <w:bottom w:w="0" w:type="dxa"/>
            <w:right w:w="108" w:type="dxa"/>
          </w:tblCellMar>
        </w:tblPrEx>
        <w:trPr>
          <w:gridAfter w:val="1"/>
          <w:wAfter w:w="57" w:type="dxa"/>
        </w:trPr>
        <w:tc>
          <w:tcPr>
            <w:tcW w:w="1398" w:type="dxa"/>
            <w:noWrap w:val="0"/>
            <w:vAlign w:val="top"/>
          </w:tcPr>
          <w:p w14:paraId="5110480F">
            <w:pPr>
              <w:spacing w:line="360" w:lineRule="auto"/>
              <w:rPr>
                <w:rFonts w:hint="eastAsia" w:ascii="宋体" w:hAnsi="宋体"/>
                <w:sz w:val="24"/>
                <w:highlight w:val="none"/>
              </w:rPr>
            </w:pPr>
            <w:r>
              <w:rPr>
                <w:rFonts w:hint="eastAsia" w:ascii="宋体" w:hAnsi="宋体"/>
                <w:sz w:val="24"/>
                <w:highlight w:val="none"/>
              </w:rPr>
              <w:t>6.9.1</w:t>
            </w:r>
          </w:p>
        </w:tc>
        <w:tc>
          <w:tcPr>
            <w:tcW w:w="7391" w:type="dxa"/>
            <w:noWrap w:val="0"/>
            <w:vAlign w:val="top"/>
          </w:tcPr>
          <w:p w14:paraId="0CE13B67">
            <w:pPr>
              <w:spacing w:line="360" w:lineRule="auto"/>
              <w:rPr>
                <w:rFonts w:hint="eastAsia" w:ascii="宋体" w:hAnsi="宋体"/>
                <w:sz w:val="24"/>
                <w:highlight w:val="none"/>
              </w:rPr>
            </w:pPr>
            <w:r>
              <w:rPr>
                <w:rFonts w:hint="eastAsia" w:ascii="宋体" w:hAnsi="宋体"/>
                <w:sz w:val="24"/>
                <w:highlight w:val="none"/>
              </w:rPr>
              <w:t>通用合同条款第9.4.2项约定的施工环保措施计划是承包人阐明环保方针和拟采用的环保措施及方法等的文件，其内容应包括但不限于：</w:t>
            </w:r>
          </w:p>
          <w:p w14:paraId="1AEB8B88">
            <w:pPr>
              <w:numPr>
                <w:ilvl w:val="0"/>
                <w:numId w:val="24"/>
              </w:numPr>
              <w:spacing w:line="360" w:lineRule="auto"/>
              <w:rPr>
                <w:rFonts w:hint="eastAsia" w:ascii="宋体" w:hAnsi="宋体"/>
                <w:sz w:val="24"/>
                <w:highlight w:val="none"/>
              </w:rPr>
            </w:pPr>
            <w:r>
              <w:rPr>
                <w:rFonts w:hint="eastAsia" w:ascii="宋体" w:hAnsi="宋体"/>
                <w:sz w:val="24"/>
                <w:highlight w:val="none"/>
              </w:rPr>
              <w:t>承包人生活区（如果有）的生活用水和生活污水处理措施；</w:t>
            </w:r>
          </w:p>
          <w:p w14:paraId="462A365D">
            <w:pPr>
              <w:numPr>
                <w:ilvl w:val="0"/>
                <w:numId w:val="24"/>
              </w:numPr>
              <w:spacing w:line="360" w:lineRule="auto"/>
              <w:rPr>
                <w:rFonts w:hint="eastAsia" w:ascii="宋体" w:hAnsi="宋体"/>
                <w:sz w:val="24"/>
                <w:highlight w:val="none"/>
              </w:rPr>
            </w:pPr>
            <w:r>
              <w:rPr>
                <w:rFonts w:hint="eastAsia" w:ascii="宋体" w:hAnsi="宋体"/>
                <w:sz w:val="24"/>
                <w:highlight w:val="none"/>
              </w:rPr>
              <w:t>施工生产废水处理措施；</w:t>
            </w:r>
          </w:p>
          <w:p w14:paraId="10B1B40D">
            <w:pPr>
              <w:numPr>
                <w:ilvl w:val="0"/>
                <w:numId w:val="24"/>
              </w:numPr>
              <w:spacing w:line="360" w:lineRule="auto"/>
              <w:rPr>
                <w:rFonts w:hint="eastAsia" w:ascii="宋体" w:hAnsi="宋体"/>
                <w:sz w:val="24"/>
                <w:highlight w:val="none"/>
              </w:rPr>
            </w:pPr>
            <w:r>
              <w:rPr>
                <w:rFonts w:hint="eastAsia" w:ascii="宋体" w:hAnsi="宋体"/>
                <w:sz w:val="24"/>
                <w:highlight w:val="none"/>
              </w:rPr>
              <w:t>施工扬尘和废气的处理措施；</w:t>
            </w:r>
          </w:p>
          <w:p w14:paraId="5B22D72C">
            <w:pPr>
              <w:numPr>
                <w:ilvl w:val="0"/>
                <w:numId w:val="24"/>
              </w:numPr>
              <w:spacing w:line="360" w:lineRule="auto"/>
              <w:rPr>
                <w:rFonts w:hint="eastAsia" w:ascii="宋体" w:hAnsi="宋体"/>
                <w:sz w:val="24"/>
                <w:highlight w:val="none"/>
              </w:rPr>
            </w:pPr>
            <w:r>
              <w:rPr>
                <w:rFonts w:hint="eastAsia" w:ascii="宋体" w:hAnsi="宋体"/>
                <w:sz w:val="24"/>
                <w:highlight w:val="none"/>
              </w:rPr>
              <w:t>施工噪声和光污染控制措施；</w:t>
            </w:r>
          </w:p>
          <w:p w14:paraId="4CA2C710">
            <w:pPr>
              <w:numPr>
                <w:ilvl w:val="0"/>
                <w:numId w:val="24"/>
              </w:numPr>
              <w:spacing w:line="360" w:lineRule="auto"/>
              <w:rPr>
                <w:rFonts w:hint="eastAsia" w:ascii="宋体" w:hAnsi="宋体"/>
                <w:sz w:val="24"/>
                <w:highlight w:val="none"/>
              </w:rPr>
            </w:pPr>
            <w:r>
              <w:rPr>
                <w:rFonts w:hint="eastAsia" w:ascii="宋体" w:hAnsi="宋体"/>
                <w:sz w:val="24"/>
                <w:highlight w:val="none"/>
              </w:rPr>
              <w:t>节能减排措施；</w:t>
            </w:r>
          </w:p>
          <w:p w14:paraId="2A29E1DF">
            <w:pPr>
              <w:numPr>
                <w:ilvl w:val="0"/>
                <w:numId w:val="24"/>
              </w:numPr>
              <w:spacing w:line="360" w:lineRule="auto"/>
              <w:rPr>
                <w:rFonts w:hint="eastAsia" w:ascii="宋体" w:hAnsi="宋体"/>
                <w:sz w:val="24"/>
                <w:highlight w:val="none"/>
              </w:rPr>
            </w:pPr>
            <w:r>
              <w:rPr>
                <w:rFonts w:hint="eastAsia" w:ascii="宋体" w:hAnsi="宋体"/>
                <w:sz w:val="24"/>
                <w:highlight w:val="none"/>
              </w:rPr>
              <w:t>不可再生资源循环利用措施；</w:t>
            </w:r>
          </w:p>
          <w:p w14:paraId="6DFE59E2">
            <w:pPr>
              <w:numPr>
                <w:ilvl w:val="0"/>
                <w:numId w:val="24"/>
              </w:numPr>
              <w:spacing w:line="360" w:lineRule="auto"/>
              <w:rPr>
                <w:rFonts w:hint="eastAsia" w:ascii="宋体" w:hAnsi="宋体"/>
                <w:sz w:val="24"/>
                <w:highlight w:val="none"/>
              </w:rPr>
            </w:pPr>
            <w:r>
              <w:rPr>
                <w:rFonts w:hint="eastAsia" w:ascii="宋体" w:hAnsi="宋体"/>
                <w:sz w:val="24"/>
                <w:highlight w:val="none"/>
              </w:rPr>
              <w:t>固体废弃物处理措施；</w:t>
            </w:r>
          </w:p>
          <w:p w14:paraId="59A9641A">
            <w:pPr>
              <w:numPr>
                <w:ilvl w:val="0"/>
                <w:numId w:val="24"/>
              </w:numPr>
              <w:spacing w:line="360" w:lineRule="auto"/>
              <w:rPr>
                <w:rFonts w:hint="eastAsia" w:ascii="宋体" w:hAnsi="宋体"/>
                <w:sz w:val="24"/>
                <w:highlight w:val="none"/>
              </w:rPr>
            </w:pPr>
            <w:r>
              <w:rPr>
                <w:rFonts w:hint="eastAsia" w:ascii="宋体" w:hAnsi="宋体"/>
                <w:sz w:val="24"/>
                <w:highlight w:val="none"/>
              </w:rPr>
              <w:t>人群健康保护和卫生防疫措施；</w:t>
            </w:r>
          </w:p>
          <w:p w14:paraId="36B30932">
            <w:pPr>
              <w:numPr>
                <w:ilvl w:val="0"/>
                <w:numId w:val="24"/>
              </w:numPr>
              <w:spacing w:line="360" w:lineRule="auto"/>
              <w:rPr>
                <w:rFonts w:hint="eastAsia" w:ascii="宋体" w:hAnsi="宋体"/>
                <w:sz w:val="24"/>
                <w:highlight w:val="none"/>
              </w:rPr>
            </w:pPr>
            <w:r>
              <w:rPr>
                <w:rFonts w:hint="eastAsia" w:ascii="宋体" w:hAnsi="宋体"/>
                <w:sz w:val="24"/>
                <w:highlight w:val="none"/>
              </w:rPr>
              <w:t>防止误用有害材料的保证措施；</w:t>
            </w:r>
          </w:p>
          <w:p w14:paraId="635F6E44">
            <w:pPr>
              <w:numPr>
                <w:ilvl w:val="0"/>
                <w:numId w:val="24"/>
              </w:numPr>
              <w:spacing w:line="360" w:lineRule="auto"/>
              <w:rPr>
                <w:rFonts w:hint="eastAsia" w:ascii="宋体" w:hAnsi="宋体"/>
                <w:sz w:val="24"/>
                <w:highlight w:val="none"/>
              </w:rPr>
            </w:pPr>
            <w:r>
              <w:rPr>
                <w:rFonts w:hint="eastAsia" w:ascii="宋体" w:hAnsi="宋体"/>
                <w:sz w:val="24"/>
                <w:highlight w:val="none"/>
              </w:rPr>
              <w:t>施工边坡工程的水土流失保护措施；</w:t>
            </w:r>
          </w:p>
          <w:p w14:paraId="30B9EF80">
            <w:pPr>
              <w:numPr>
                <w:ilvl w:val="0"/>
                <w:numId w:val="24"/>
              </w:numPr>
              <w:spacing w:line="360" w:lineRule="auto"/>
              <w:rPr>
                <w:rFonts w:hint="eastAsia" w:ascii="宋体" w:hAnsi="宋体"/>
                <w:sz w:val="24"/>
                <w:highlight w:val="none"/>
              </w:rPr>
            </w:pPr>
            <w:r>
              <w:rPr>
                <w:rFonts w:hint="eastAsia" w:ascii="宋体" w:hAnsi="宋体"/>
                <w:sz w:val="24"/>
                <w:highlight w:val="none"/>
              </w:rPr>
              <w:t>道路污染防治措施；</w:t>
            </w:r>
          </w:p>
          <w:p w14:paraId="48235742">
            <w:pPr>
              <w:numPr>
                <w:ilvl w:val="0"/>
                <w:numId w:val="24"/>
              </w:numPr>
              <w:spacing w:line="360" w:lineRule="auto"/>
              <w:rPr>
                <w:rFonts w:hint="eastAsia" w:ascii="宋体" w:hAnsi="宋体"/>
                <w:sz w:val="24"/>
                <w:highlight w:val="none"/>
              </w:rPr>
            </w:pPr>
            <w:r>
              <w:rPr>
                <w:rFonts w:hint="eastAsia" w:ascii="宋体" w:hAnsi="宋体"/>
                <w:sz w:val="24"/>
                <w:highlight w:val="none"/>
              </w:rPr>
              <w:t>完工后场地清理及其植被（如果有）恢复的规划和措施；</w:t>
            </w:r>
          </w:p>
          <w:p w14:paraId="6D8E11EC">
            <w:pPr>
              <w:numPr>
                <w:ilvl w:val="0"/>
                <w:numId w:val="24"/>
              </w:numPr>
              <w:spacing w:line="360" w:lineRule="auto"/>
              <w:rPr>
                <w:rFonts w:hint="eastAsia" w:ascii="宋体" w:hAnsi="宋体"/>
                <w:sz w:val="24"/>
                <w:highlight w:val="none"/>
              </w:rPr>
            </w:pPr>
            <w:r>
              <w:rPr>
                <w:rFonts w:hint="eastAsia" w:ascii="宋体" w:hAnsi="宋体"/>
                <w:sz w:val="24"/>
                <w:highlight w:val="none"/>
              </w:rPr>
              <w:t>其他：</w:t>
            </w:r>
            <w:r>
              <w:rPr>
                <w:rFonts w:hint="eastAsia" w:ascii="宋体" w:hAnsi="宋体"/>
                <w:sz w:val="24"/>
                <w:highlight w:val="none"/>
                <w:u w:val="single"/>
              </w:rPr>
              <w:t>/</w:t>
            </w:r>
            <w:r>
              <w:rPr>
                <w:rFonts w:hint="eastAsia" w:ascii="宋体" w:hAnsi="宋体"/>
                <w:sz w:val="24"/>
                <w:highlight w:val="none"/>
              </w:rPr>
              <w:t>。</w:t>
            </w:r>
          </w:p>
        </w:tc>
      </w:tr>
      <w:tr w14:paraId="778B6461">
        <w:tblPrEx>
          <w:tblCellMar>
            <w:top w:w="0" w:type="dxa"/>
            <w:left w:w="108" w:type="dxa"/>
            <w:bottom w:w="0" w:type="dxa"/>
            <w:right w:w="108" w:type="dxa"/>
          </w:tblCellMar>
        </w:tblPrEx>
        <w:trPr>
          <w:gridAfter w:val="1"/>
          <w:wAfter w:w="57" w:type="dxa"/>
        </w:trPr>
        <w:tc>
          <w:tcPr>
            <w:tcW w:w="1398" w:type="dxa"/>
            <w:noWrap w:val="0"/>
            <w:vAlign w:val="top"/>
          </w:tcPr>
          <w:p w14:paraId="6AE9F986">
            <w:pPr>
              <w:spacing w:line="360" w:lineRule="auto"/>
              <w:rPr>
                <w:rFonts w:hint="eastAsia" w:ascii="宋体" w:hAnsi="宋体"/>
                <w:sz w:val="24"/>
                <w:highlight w:val="none"/>
              </w:rPr>
            </w:pPr>
            <w:r>
              <w:rPr>
                <w:rFonts w:hint="eastAsia" w:ascii="宋体" w:hAnsi="宋体"/>
                <w:sz w:val="24"/>
                <w:highlight w:val="none"/>
              </w:rPr>
              <w:t>6.9.2</w:t>
            </w:r>
          </w:p>
        </w:tc>
        <w:tc>
          <w:tcPr>
            <w:tcW w:w="7391" w:type="dxa"/>
            <w:noWrap w:val="0"/>
            <w:vAlign w:val="top"/>
          </w:tcPr>
          <w:p w14:paraId="582D08D8">
            <w:pPr>
              <w:spacing w:line="360" w:lineRule="auto"/>
              <w:rPr>
                <w:rFonts w:hint="eastAsia" w:ascii="宋体" w:hAnsi="宋体"/>
                <w:sz w:val="24"/>
                <w:highlight w:val="none"/>
              </w:rPr>
            </w:pPr>
            <w:r>
              <w:rPr>
                <w:rFonts w:hint="eastAsia" w:ascii="宋体" w:hAnsi="宋体"/>
                <w:sz w:val="24"/>
                <w:highlight w:val="none"/>
              </w:rPr>
              <w:t>施工环保措施计划应当在专用合同条款第9.4款约定的期限内报送监理人。承包人应当严格执行经监理人批准的施工环保措施计划，并及时补充、修订和完善施工环保措施计划。</w:t>
            </w:r>
          </w:p>
        </w:tc>
      </w:tr>
      <w:tr w14:paraId="02AAEAEE">
        <w:tblPrEx>
          <w:tblCellMar>
            <w:top w:w="0" w:type="dxa"/>
            <w:left w:w="108" w:type="dxa"/>
            <w:bottom w:w="0" w:type="dxa"/>
            <w:right w:w="108" w:type="dxa"/>
          </w:tblCellMar>
        </w:tblPrEx>
        <w:trPr>
          <w:gridAfter w:val="1"/>
          <w:wAfter w:w="57" w:type="dxa"/>
        </w:trPr>
        <w:tc>
          <w:tcPr>
            <w:tcW w:w="8789" w:type="dxa"/>
            <w:gridSpan w:val="2"/>
            <w:noWrap w:val="0"/>
            <w:vAlign w:val="top"/>
          </w:tcPr>
          <w:p w14:paraId="66FED2C8">
            <w:pPr>
              <w:spacing w:line="360" w:lineRule="auto"/>
              <w:rPr>
                <w:rFonts w:hint="eastAsia" w:ascii="宋体" w:hAnsi="宋体"/>
                <w:b/>
                <w:bCs/>
                <w:sz w:val="24"/>
                <w:highlight w:val="none"/>
              </w:rPr>
            </w:pPr>
            <w:bookmarkStart w:id="719" w:name="_Toc342296553"/>
            <w:bookmarkStart w:id="720" w:name="_Toc448915683"/>
            <w:bookmarkStart w:id="721" w:name="_Toc241459796"/>
            <w:r>
              <w:rPr>
                <w:rFonts w:hint="eastAsia" w:ascii="宋体" w:hAnsi="宋体"/>
                <w:b/>
                <w:bCs/>
                <w:sz w:val="24"/>
                <w:highlight w:val="none"/>
              </w:rPr>
              <w:t>7.治安保卫</w:t>
            </w:r>
            <w:bookmarkEnd w:id="719"/>
            <w:bookmarkEnd w:id="720"/>
            <w:bookmarkEnd w:id="721"/>
          </w:p>
        </w:tc>
      </w:tr>
      <w:tr w14:paraId="76A5DDEC">
        <w:tblPrEx>
          <w:tblCellMar>
            <w:top w:w="0" w:type="dxa"/>
            <w:left w:w="108" w:type="dxa"/>
            <w:bottom w:w="0" w:type="dxa"/>
            <w:right w:w="108" w:type="dxa"/>
          </w:tblCellMar>
        </w:tblPrEx>
        <w:trPr>
          <w:gridAfter w:val="1"/>
          <w:wAfter w:w="57" w:type="dxa"/>
        </w:trPr>
        <w:tc>
          <w:tcPr>
            <w:tcW w:w="1398" w:type="dxa"/>
            <w:noWrap w:val="0"/>
            <w:vAlign w:val="top"/>
          </w:tcPr>
          <w:p w14:paraId="3DEAE9DF">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1</w:t>
            </w:r>
          </w:p>
        </w:tc>
        <w:tc>
          <w:tcPr>
            <w:tcW w:w="7391" w:type="dxa"/>
            <w:noWrap w:val="0"/>
            <w:vAlign w:val="top"/>
          </w:tcPr>
          <w:p w14:paraId="53802A72">
            <w:pPr>
              <w:spacing w:line="360" w:lineRule="auto"/>
              <w:rPr>
                <w:rFonts w:hint="eastAsia" w:ascii="宋体" w:hAnsi="宋体"/>
                <w:sz w:val="24"/>
                <w:highlight w:val="none"/>
              </w:rPr>
            </w:pPr>
            <w:r>
              <w:rPr>
                <w:rFonts w:hint="eastAsia" w:ascii="宋体" w:hAnsi="宋体"/>
                <w:sz w:val="24"/>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tc>
      </w:tr>
      <w:tr w14:paraId="272243C7">
        <w:tblPrEx>
          <w:tblCellMar>
            <w:top w:w="0" w:type="dxa"/>
            <w:left w:w="108" w:type="dxa"/>
            <w:bottom w:w="0" w:type="dxa"/>
            <w:right w:w="108" w:type="dxa"/>
          </w:tblCellMar>
        </w:tblPrEx>
        <w:trPr>
          <w:gridAfter w:val="1"/>
          <w:wAfter w:w="57" w:type="dxa"/>
        </w:trPr>
        <w:tc>
          <w:tcPr>
            <w:tcW w:w="1398" w:type="dxa"/>
            <w:noWrap w:val="0"/>
            <w:vAlign w:val="top"/>
          </w:tcPr>
          <w:p w14:paraId="7BCDFF57">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2</w:t>
            </w:r>
          </w:p>
        </w:tc>
        <w:tc>
          <w:tcPr>
            <w:tcW w:w="7391" w:type="dxa"/>
            <w:noWrap w:val="0"/>
            <w:vAlign w:val="top"/>
          </w:tcPr>
          <w:p w14:paraId="4BF5C0A5">
            <w:pPr>
              <w:spacing w:line="360" w:lineRule="auto"/>
              <w:rPr>
                <w:rFonts w:hint="eastAsia" w:ascii="宋体" w:hAnsi="宋体"/>
                <w:sz w:val="24"/>
                <w:highlight w:val="none"/>
              </w:rPr>
            </w:pPr>
            <w:r>
              <w:rPr>
                <w:rFonts w:hint="eastAsia" w:ascii="宋体" w:hAnsi="宋体"/>
                <w:sz w:val="24"/>
                <w:highlight w:val="none"/>
              </w:rPr>
              <w:t>承包人的保安人员应是训练有素的专业保安人员，承包人可以雇佣专业保安公司负责现场保安和保卫；保安保卫制度除规范现场出入大门控制外，还应规定定时和不定时的施工场地(现场)周边和全现场的保安巡逻。</w:t>
            </w:r>
          </w:p>
        </w:tc>
      </w:tr>
      <w:tr w14:paraId="1C2323B4">
        <w:tblPrEx>
          <w:tblCellMar>
            <w:top w:w="0" w:type="dxa"/>
            <w:left w:w="108" w:type="dxa"/>
            <w:bottom w:w="0" w:type="dxa"/>
            <w:right w:w="108" w:type="dxa"/>
          </w:tblCellMar>
        </w:tblPrEx>
        <w:trPr>
          <w:gridAfter w:val="1"/>
          <w:wAfter w:w="57" w:type="dxa"/>
        </w:trPr>
        <w:tc>
          <w:tcPr>
            <w:tcW w:w="1398" w:type="dxa"/>
            <w:noWrap w:val="0"/>
            <w:vAlign w:val="top"/>
          </w:tcPr>
          <w:p w14:paraId="40D9D5A9">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3</w:t>
            </w:r>
          </w:p>
        </w:tc>
        <w:tc>
          <w:tcPr>
            <w:tcW w:w="7391" w:type="dxa"/>
            <w:noWrap w:val="0"/>
            <w:vAlign w:val="top"/>
          </w:tcPr>
          <w:p w14:paraId="6943ACA6">
            <w:pPr>
              <w:spacing w:line="360" w:lineRule="auto"/>
              <w:rPr>
                <w:rFonts w:hint="eastAsia" w:ascii="宋体" w:hAnsi="宋体"/>
                <w:sz w:val="24"/>
                <w:highlight w:val="none"/>
              </w:rPr>
            </w:pPr>
            <w:r>
              <w:rPr>
                <w:rFonts w:hint="eastAsia" w:ascii="宋体" w:hAnsi="宋体"/>
                <w:sz w:val="24"/>
                <w:highlight w:val="none"/>
              </w:rPr>
              <w:t>承包人应制定并实施严格的施工场地（现场）出入制度并报监理人审批；车辆的出入须有出入审批制度，并有指定的专人负责管理；人员进出现场应有出入证，出入证须以经过监理人批准的格式印制。</w:t>
            </w:r>
          </w:p>
        </w:tc>
      </w:tr>
      <w:tr w14:paraId="6FCE43FE">
        <w:tblPrEx>
          <w:tblCellMar>
            <w:top w:w="0" w:type="dxa"/>
            <w:left w:w="108" w:type="dxa"/>
            <w:bottom w:w="0" w:type="dxa"/>
            <w:right w:w="108" w:type="dxa"/>
          </w:tblCellMar>
        </w:tblPrEx>
        <w:trPr>
          <w:gridAfter w:val="1"/>
          <w:wAfter w:w="57" w:type="dxa"/>
        </w:trPr>
        <w:tc>
          <w:tcPr>
            <w:tcW w:w="1398" w:type="dxa"/>
            <w:noWrap w:val="0"/>
            <w:vAlign w:val="top"/>
          </w:tcPr>
          <w:p w14:paraId="0EEB4E5B">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4</w:t>
            </w:r>
          </w:p>
        </w:tc>
        <w:tc>
          <w:tcPr>
            <w:tcW w:w="7391" w:type="dxa"/>
            <w:noWrap w:val="0"/>
            <w:vAlign w:val="top"/>
          </w:tcPr>
          <w:p w14:paraId="1E080C07">
            <w:pPr>
              <w:spacing w:line="360" w:lineRule="auto"/>
              <w:rPr>
                <w:rFonts w:hint="eastAsia" w:ascii="宋体" w:hAnsi="宋体"/>
                <w:sz w:val="24"/>
                <w:highlight w:val="none"/>
              </w:rPr>
            </w:pPr>
            <w:r>
              <w:rPr>
                <w:rFonts w:hint="eastAsia" w:ascii="宋体" w:hAnsi="宋体"/>
                <w:sz w:val="24"/>
                <w:highlight w:val="none"/>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tc>
      </w:tr>
      <w:tr w14:paraId="58319F52">
        <w:tblPrEx>
          <w:tblCellMar>
            <w:top w:w="0" w:type="dxa"/>
            <w:left w:w="108" w:type="dxa"/>
            <w:bottom w:w="0" w:type="dxa"/>
            <w:right w:w="108" w:type="dxa"/>
          </w:tblCellMar>
        </w:tblPrEx>
        <w:trPr>
          <w:gridAfter w:val="1"/>
          <w:wAfter w:w="57" w:type="dxa"/>
        </w:trPr>
        <w:tc>
          <w:tcPr>
            <w:tcW w:w="1398" w:type="dxa"/>
            <w:noWrap w:val="0"/>
            <w:vAlign w:val="top"/>
          </w:tcPr>
          <w:p w14:paraId="575A95AD">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5</w:t>
            </w:r>
          </w:p>
        </w:tc>
        <w:tc>
          <w:tcPr>
            <w:tcW w:w="7391" w:type="dxa"/>
            <w:noWrap w:val="0"/>
            <w:vAlign w:val="top"/>
          </w:tcPr>
          <w:p w14:paraId="4AE84B5F">
            <w:pPr>
              <w:spacing w:line="360" w:lineRule="auto"/>
              <w:rPr>
                <w:rFonts w:hint="eastAsia" w:ascii="宋体" w:hAnsi="宋体"/>
                <w:sz w:val="24"/>
                <w:highlight w:val="none"/>
              </w:rPr>
            </w:pPr>
            <w:r>
              <w:rPr>
                <w:rFonts w:hint="eastAsia" w:ascii="宋体" w:hAnsi="宋体"/>
                <w:sz w:val="24"/>
                <w:highlight w:val="none"/>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tc>
      </w:tr>
      <w:tr w14:paraId="4D8B19DE">
        <w:tblPrEx>
          <w:tblCellMar>
            <w:top w:w="0" w:type="dxa"/>
            <w:left w:w="108" w:type="dxa"/>
            <w:bottom w:w="0" w:type="dxa"/>
            <w:right w:w="108" w:type="dxa"/>
          </w:tblCellMar>
        </w:tblPrEx>
        <w:trPr>
          <w:gridAfter w:val="1"/>
          <w:wAfter w:w="57" w:type="dxa"/>
        </w:trPr>
        <w:tc>
          <w:tcPr>
            <w:tcW w:w="1398" w:type="dxa"/>
            <w:noWrap w:val="0"/>
            <w:vAlign w:val="top"/>
          </w:tcPr>
          <w:p w14:paraId="43F2B6FB">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6</w:t>
            </w:r>
          </w:p>
        </w:tc>
        <w:tc>
          <w:tcPr>
            <w:tcW w:w="7391" w:type="dxa"/>
            <w:noWrap w:val="0"/>
            <w:vAlign w:val="top"/>
          </w:tcPr>
          <w:p w14:paraId="01D842CB">
            <w:pPr>
              <w:spacing w:line="360" w:lineRule="auto"/>
              <w:rPr>
                <w:rFonts w:hint="eastAsia" w:ascii="宋体" w:hAnsi="宋体"/>
                <w:sz w:val="24"/>
                <w:highlight w:val="none"/>
              </w:rPr>
            </w:pPr>
            <w:r>
              <w:rPr>
                <w:rFonts w:hint="eastAsia" w:ascii="宋体" w:hAnsi="宋体"/>
                <w:sz w:val="24"/>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Pr>
                <w:rFonts w:ascii="宋体" w:hAnsi="宋体"/>
                <w:sz w:val="24"/>
                <w:highlight w:val="none"/>
              </w:rPr>
              <w:t>任何处罚、索赔、损失和损害等。</w:t>
            </w:r>
          </w:p>
        </w:tc>
      </w:tr>
      <w:tr w14:paraId="58E91985">
        <w:tblPrEx>
          <w:tblCellMar>
            <w:top w:w="0" w:type="dxa"/>
            <w:left w:w="108" w:type="dxa"/>
            <w:bottom w:w="0" w:type="dxa"/>
            <w:right w:w="108" w:type="dxa"/>
          </w:tblCellMar>
        </w:tblPrEx>
        <w:trPr>
          <w:gridAfter w:val="1"/>
          <w:wAfter w:w="57" w:type="dxa"/>
        </w:trPr>
        <w:tc>
          <w:tcPr>
            <w:tcW w:w="1398" w:type="dxa"/>
            <w:noWrap w:val="0"/>
            <w:vAlign w:val="top"/>
          </w:tcPr>
          <w:p w14:paraId="37A893CC">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7</w:t>
            </w:r>
          </w:p>
        </w:tc>
        <w:tc>
          <w:tcPr>
            <w:tcW w:w="7391" w:type="dxa"/>
            <w:noWrap w:val="0"/>
            <w:vAlign w:val="top"/>
          </w:tcPr>
          <w:p w14:paraId="3B4E5E56">
            <w:pPr>
              <w:spacing w:line="360" w:lineRule="auto"/>
              <w:rPr>
                <w:rFonts w:hint="eastAsia" w:ascii="宋体" w:hAnsi="宋体"/>
                <w:sz w:val="24"/>
                <w:highlight w:val="none"/>
              </w:rPr>
            </w:pPr>
            <w:r>
              <w:rPr>
                <w:rFonts w:hint="eastAsia" w:ascii="宋体" w:hAnsi="宋体"/>
                <w:sz w:val="24"/>
                <w:highlight w:val="none"/>
              </w:rPr>
              <w:t>施工场地（现场）治安管理计划的要求：</w:t>
            </w:r>
          </w:p>
          <w:p w14:paraId="4CBE0B5D">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06708212">
        <w:tblPrEx>
          <w:tblCellMar>
            <w:top w:w="0" w:type="dxa"/>
            <w:left w:w="108" w:type="dxa"/>
            <w:bottom w:w="0" w:type="dxa"/>
            <w:right w:w="108" w:type="dxa"/>
          </w:tblCellMar>
        </w:tblPrEx>
        <w:trPr>
          <w:gridAfter w:val="1"/>
          <w:wAfter w:w="57" w:type="dxa"/>
        </w:trPr>
        <w:tc>
          <w:tcPr>
            <w:tcW w:w="1398" w:type="dxa"/>
            <w:noWrap w:val="0"/>
            <w:vAlign w:val="top"/>
          </w:tcPr>
          <w:p w14:paraId="1C70ACB8">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8</w:t>
            </w:r>
          </w:p>
        </w:tc>
        <w:tc>
          <w:tcPr>
            <w:tcW w:w="7391" w:type="dxa"/>
            <w:noWrap w:val="0"/>
            <w:vAlign w:val="top"/>
          </w:tcPr>
          <w:p w14:paraId="468174A4">
            <w:pPr>
              <w:spacing w:line="360" w:lineRule="auto"/>
              <w:rPr>
                <w:rFonts w:hint="eastAsia" w:ascii="宋体" w:hAnsi="宋体"/>
                <w:sz w:val="24"/>
                <w:highlight w:val="none"/>
              </w:rPr>
            </w:pPr>
            <w:r>
              <w:rPr>
                <w:rFonts w:hint="eastAsia" w:ascii="宋体" w:hAnsi="宋体"/>
                <w:sz w:val="24"/>
                <w:highlight w:val="none"/>
              </w:rPr>
              <w:t>突发治安事件紧急预案的要求：</w:t>
            </w:r>
          </w:p>
          <w:p w14:paraId="1F12C0C7">
            <w:pPr>
              <w:spacing w:line="360" w:lineRule="auto"/>
              <w:rPr>
                <w:rFonts w:hint="eastAsia" w:ascii="宋体" w:hAnsi="宋体"/>
                <w:sz w:val="24"/>
                <w:highlight w:val="none"/>
              </w:rPr>
            </w:pPr>
            <w:r>
              <w:rPr>
                <w:rFonts w:hint="eastAsia" w:ascii="宋体" w:hAnsi="宋体"/>
                <w:sz w:val="24"/>
                <w:highlight w:val="none"/>
              </w:rPr>
              <w:t>应当制定应对灾害的紧急预案，报送监理人审查。承包人还应当按照预案做好安全检查，配置必要的救助物资和器材，切实保护好现场人员的人身和财产安全。</w:t>
            </w:r>
          </w:p>
          <w:p w14:paraId="622BC33F">
            <w:pPr>
              <w:spacing w:line="360" w:lineRule="auto"/>
              <w:rPr>
                <w:rFonts w:hint="eastAsia" w:ascii="宋体" w:hAnsi="宋体"/>
                <w:sz w:val="24"/>
                <w:highlight w:val="none"/>
              </w:rPr>
            </w:pPr>
            <w:r>
              <w:rPr>
                <w:rFonts w:hint="eastAsia" w:ascii="宋体" w:hAnsi="宋体"/>
                <w:sz w:val="24"/>
                <w:highlight w:val="none"/>
              </w:rPr>
              <w:t>承包人应当根据施工特点和范围，对重大事故易发部位和环节进行实时监控，制定安全事故应急救援预案，配备应急救援人员和救援器材，并定期组织演练。</w:t>
            </w:r>
          </w:p>
          <w:p w14:paraId="21E04FBD">
            <w:pPr>
              <w:spacing w:line="360" w:lineRule="auto"/>
              <w:rPr>
                <w:rFonts w:hint="eastAsia" w:ascii="宋体" w:hAnsi="宋体"/>
                <w:sz w:val="24"/>
                <w:highlight w:val="none"/>
              </w:rPr>
            </w:pPr>
            <w:r>
              <w:rPr>
                <w:rFonts w:hint="eastAsia" w:ascii="宋体" w:hAnsi="宋体"/>
                <w:sz w:val="24"/>
                <w:highlight w:val="none"/>
              </w:rPr>
              <w:t>发生安全事故后，承包人应当按照国家有关伤亡事故报告和调查处理的规定，及时如实地报告监理人、发包人和建设行政主管部门及安全监督管理部门；特种设备发生事故的，还应当同时报告特种设备安全监督管理部门。</w:t>
            </w:r>
          </w:p>
          <w:p w14:paraId="7A0C46C6">
            <w:pPr>
              <w:spacing w:line="360" w:lineRule="auto"/>
              <w:rPr>
                <w:rFonts w:hint="eastAsia" w:ascii="宋体" w:hAnsi="宋体"/>
                <w:sz w:val="24"/>
                <w:highlight w:val="none"/>
              </w:rPr>
            </w:pPr>
            <w:r>
              <w:rPr>
                <w:rFonts w:hint="eastAsia" w:ascii="宋体" w:hAnsi="宋体"/>
                <w:sz w:val="24"/>
                <w:highlight w:val="none"/>
              </w:rPr>
              <w:t>发生安全事故后，承包人应当积极采取措施，防止事故扩大，保护事故现场。需要移动现场物品时，应当做出标记和书面记录，妥善保管有关证物。</w:t>
            </w:r>
          </w:p>
          <w:p w14:paraId="5C443535">
            <w:pPr>
              <w:spacing w:line="360" w:lineRule="auto"/>
              <w:rPr>
                <w:rFonts w:hint="eastAsia" w:ascii="宋体" w:hAnsi="宋体"/>
                <w:sz w:val="24"/>
                <w:highlight w:val="none"/>
              </w:rPr>
            </w:pPr>
            <w:r>
              <w:rPr>
                <w:rFonts w:hint="eastAsia" w:ascii="宋体" w:hAnsi="宋体"/>
                <w:sz w:val="24"/>
                <w:highlight w:val="none"/>
              </w:rPr>
              <w:t>供应商须服从采购人文明施工之日常管理，落实文明施工管理各项管理制度。</w:t>
            </w:r>
          </w:p>
          <w:p w14:paraId="487FDDB6">
            <w:pPr>
              <w:spacing w:line="360" w:lineRule="auto"/>
              <w:rPr>
                <w:rFonts w:hint="eastAsia" w:ascii="宋体" w:hAnsi="宋体"/>
                <w:sz w:val="24"/>
                <w:highlight w:val="none"/>
              </w:rPr>
            </w:pPr>
          </w:p>
        </w:tc>
      </w:tr>
      <w:tr w14:paraId="67755B9F">
        <w:tblPrEx>
          <w:tblCellMar>
            <w:top w:w="0" w:type="dxa"/>
            <w:left w:w="108" w:type="dxa"/>
            <w:bottom w:w="0" w:type="dxa"/>
            <w:right w:w="108" w:type="dxa"/>
          </w:tblCellMar>
        </w:tblPrEx>
        <w:trPr>
          <w:gridAfter w:val="1"/>
          <w:wAfter w:w="57" w:type="dxa"/>
        </w:trPr>
        <w:tc>
          <w:tcPr>
            <w:tcW w:w="1398" w:type="dxa"/>
            <w:noWrap w:val="0"/>
            <w:vAlign w:val="top"/>
          </w:tcPr>
          <w:p w14:paraId="50D530CF">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9</w:t>
            </w:r>
          </w:p>
        </w:tc>
        <w:tc>
          <w:tcPr>
            <w:tcW w:w="7391" w:type="dxa"/>
            <w:noWrap w:val="0"/>
            <w:vAlign w:val="top"/>
          </w:tcPr>
          <w:p w14:paraId="6BE13E34">
            <w:pPr>
              <w:spacing w:line="360" w:lineRule="auto"/>
              <w:rPr>
                <w:rFonts w:hint="eastAsia" w:ascii="宋体" w:hAnsi="宋体"/>
                <w:sz w:val="24"/>
                <w:highlight w:val="none"/>
              </w:rPr>
            </w:pPr>
            <w:r>
              <w:rPr>
                <w:rFonts w:hint="eastAsia" w:ascii="宋体" w:hAnsi="宋体"/>
                <w:sz w:val="24"/>
                <w:highlight w:val="none"/>
              </w:rPr>
              <w:t>治安保卫方面的其他</w:t>
            </w:r>
            <w:r>
              <w:rPr>
                <w:rFonts w:ascii="宋体" w:hAnsi="宋体"/>
                <w:sz w:val="24"/>
                <w:highlight w:val="none"/>
              </w:rPr>
              <w:t>要求</w:t>
            </w:r>
            <w:r>
              <w:rPr>
                <w:rFonts w:hint="eastAsia" w:ascii="宋体" w:hAnsi="宋体"/>
                <w:sz w:val="24"/>
                <w:highlight w:val="none"/>
              </w:rPr>
              <w:t>如下：</w:t>
            </w:r>
          </w:p>
          <w:p w14:paraId="6232CB8E">
            <w:pPr>
              <w:spacing w:line="360" w:lineRule="auto"/>
              <w:rPr>
                <w:rFonts w:hint="eastAsia" w:ascii="宋体" w:hAnsi="宋体"/>
                <w:sz w:val="24"/>
                <w:highlight w:val="none"/>
                <w:u w:val="single"/>
              </w:rPr>
            </w:pPr>
            <w:r>
              <w:rPr>
                <w:rFonts w:hint="eastAsia" w:ascii="宋体" w:hAnsi="宋体"/>
                <w:sz w:val="24"/>
                <w:highlight w:val="none"/>
                <w:u w:val="single"/>
              </w:rPr>
              <w:t>/</w:t>
            </w:r>
            <w:r>
              <w:rPr>
                <w:rFonts w:hint="eastAsia" w:ascii="宋体" w:hAnsi="宋体"/>
                <w:sz w:val="24"/>
                <w:highlight w:val="none"/>
              </w:rPr>
              <w:t>。</w:t>
            </w:r>
          </w:p>
        </w:tc>
      </w:tr>
      <w:tr w14:paraId="28156E48">
        <w:tblPrEx>
          <w:tblCellMar>
            <w:top w:w="0" w:type="dxa"/>
            <w:left w:w="108" w:type="dxa"/>
            <w:bottom w:w="0" w:type="dxa"/>
            <w:right w:w="108" w:type="dxa"/>
          </w:tblCellMar>
        </w:tblPrEx>
        <w:trPr>
          <w:gridAfter w:val="1"/>
          <w:wAfter w:w="57" w:type="dxa"/>
        </w:trPr>
        <w:tc>
          <w:tcPr>
            <w:tcW w:w="8789" w:type="dxa"/>
            <w:gridSpan w:val="2"/>
            <w:noWrap w:val="0"/>
            <w:vAlign w:val="top"/>
          </w:tcPr>
          <w:p w14:paraId="7170BD7F">
            <w:pPr>
              <w:spacing w:line="360" w:lineRule="auto"/>
              <w:rPr>
                <w:rFonts w:hint="eastAsia" w:ascii="宋体" w:hAnsi="宋体"/>
                <w:b/>
                <w:bCs/>
                <w:sz w:val="24"/>
                <w:highlight w:val="none"/>
              </w:rPr>
            </w:pPr>
            <w:bookmarkStart w:id="722" w:name="_Toc448915684"/>
            <w:bookmarkStart w:id="723" w:name="_Toc241459797"/>
            <w:bookmarkStart w:id="724" w:name="_Toc342296554"/>
            <w:r>
              <w:rPr>
                <w:rFonts w:hint="eastAsia" w:ascii="宋体" w:hAnsi="宋体"/>
                <w:b/>
                <w:bCs/>
                <w:sz w:val="24"/>
                <w:highlight w:val="none"/>
              </w:rPr>
              <w:t>8.地上、地下设施和周边建筑物的临时保护</w:t>
            </w:r>
            <w:bookmarkEnd w:id="722"/>
            <w:bookmarkEnd w:id="723"/>
            <w:bookmarkEnd w:id="724"/>
          </w:p>
        </w:tc>
      </w:tr>
      <w:tr w14:paraId="6BF369BB">
        <w:tblPrEx>
          <w:tblCellMar>
            <w:top w:w="0" w:type="dxa"/>
            <w:left w:w="108" w:type="dxa"/>
            <w:bottom w:w="0" w:type="dxa"/>
            <w:right w:w="108" w:type="dxa"/>
          </w:tblCellMar>
        </w:tblPrEx>
        <w:trPr>
          <w:gridAfter w:val="1"/>
          <w:wAfter w:w="57" w:type="dxa"/>
        </w:trPr>
        <w:tc>
          <w:tcPr>
            <w:tcW w:w="1398" w:type="dxa"/>
            <w:noWrap w:val="0"/>
            <w:vAlign w:val="top"/>
          </w:tcPr>
          <w:p w14:paraId="7F059B9E">
            <w:pPr>
              <w:spacing w:line="360" w:lineRule="auto"/>
              <w:rPr>
                <w:rFonts w:hint="eastAsia" w:ascii="宋体" w:hAnsi="宋体"/>
                <w:sz w:val="24"/>
                <w:highlight w:val="none"/>
              </w:rPr>
            </w:pPr>
            <w:r>
              <w:rPr>
                <w:rFonts w:hint="eastAsia" w:ascii="宋体" w:hAnsi="宋体"/>
                <w:sz w:val="24"/>
                <w:highlight w:val="none"/>
              </w:rPr>
              <w:t>8.1</w:t>
            </w:r>
          </w:p>
        </w:tc>
        <w:tc>
          <w:tcPr>
            <w:tcW w:w="7391" w:type="dxa"/>
            <w:noWrap w:val="0"/>
            <w:vAlign w:val="top"/>
          </w:tcPr>
          <w:p w14:paraId="40B77401">
            <w:pPr>
              <w:spacing w:line="360" w:lineRule="auto"/>
              <w:rPr>
                <w:rFonts w:hint="eastAsia" w:ascii="宋体" w:hAnsi="宋体"/>
                <w:sz w:val="24"/>
                <w:highlight w:val="none"/>
              </w:rPr>
            </w:pPr>
            <w:r>
              <w:rPr>
                <w:rFonts w:hint="eastAsia" w:ascii="宋体" w:hAnsi="宋体"/>
                <w:sz w:val="24"/>
                <w:highlight w:val="none"/>
              </w:rPr>
              <w:t>承包人应为施工场地及其周边现有的地上、地下设施和建筑物提供足够的临时保护设施，确保施工过程中这些设施和建筑物不会受到干扰和破坏。</w:t>
            </w:r>
          </w:p>
        </w:tc>
      </w:tr>
      <w:tr w14:paraId="67BC7DF9">
        <w:tblPrEx>
          <w:tblCellMar>
            <w:top w:w="0" w:type="dxa"/>
            <w:left w:w="108" w:type="dxa"/>
            <w:bottom w:w="0" w:type="dxa"/>
            <w:right w:w="108" w:type="dxa"/>
          </w:tblCellMar>
        </w:tblPrEx>
        <w:trPr>
          <w:gridAfter w:val="1"/>
          <w:wAfter w:w="57" w:type="dxa"/>
        </w:trPr>
        <w:tc>
          <w:tcPr>
            <w:tcW w:w="1398" w:type="dxa"/>
            <w:noWrap w:val="0"/>
            <w:vAlign w:val="top"/>
          </w:tcPr>
          <w:p w14:paraId="377BCC81">
            <w:pPr>
              <w:spacing w:line="360" w:lineRule="auto"/>
              <w:rPr>
                <w:rFonts w:hint="eastAsia" w:ascii="宋体" w:hAnsi="宋体"/>
                <w:sz w:val="24"/>
                <w:highlight w:val="none"/>
              </w:rPr>
            </w:pPr>
            <w:r>
              <w:rPr>
                <w:rFonts w:hint="eastAsia" w:ascii="宋体" w:hAnsi="宋体"/>
                <w:sz w:val="24"/>
                <w:highlight w:val="none"/>
              </w:rPr>
              <w:t>8.2</w:t>
            </w:r>
          </w:p>
        </w:tc>
        <w:tc>
          <w:tcPr>
            <w:tcW w:w="7391" w:type="dxa"/>
            <w:noWrap w:val="0"/>
            <w:vAlign w:val="top"/>
          </w:tcPr>
          <w:p w14:paraId="3FDDF26E">
            <w:pPr>
              <w:spacing w:line="360" w:lineRule="auto"/>
              <w:rPr>
                <w:rFonts w:hint="eastAsia" w:ascii="宋体" w:hAnsi="宋体"/>
                <w:sz w:val="24"/>
                <w:highlight w:val="none"/>
                <w:u w:val="single"/>
              </w:rPr>
            </w:pPr>
            <w:r>
              <w:rPr>
                <w:rFonts w:hint="eastAsia" w:ascii="宋体" w:hAnsi="宋体"/>
                <w:sz w:val="24"/>
                <w:highlight w:val="none"/>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tc>
      </w:tr>
      <w:tr w14:paraId="615236E9">
        <w:tblPrEx>
          <w:tblCellMar>
            <w:top w:w="0" w:type="dxa"/>
            <w:left w:w="108" w:type="dxa"/>
            <w:bottom w:w="0" w:type="dxa"/>
            <w:right w:w="108" w:type="dxa"/>
          </w:tblCellMar>
        </w:tblPrEx>
        <w:trPr>
          <w:gridAfter w:val="1"/>
          <w:wAfter w:w="57" w:type="dxa"/>
        </w:trPr>
        <w:tc>
          <w:tcPr>
            <w:tcW w:w="1398" w:type="dxa"/>
            <w:noWrap w:val="0"/>
            <w:vAlign w:val="top"/>
          </w:tcPr>
          <w:p w14:paraId="66AD31DE">
            <w:pPr>
              <w:spacing w:line="360" w:lineRule="auto"/>
              <w:rPr>
                <w:rFonts w:hint="eastAsia" w:ascii="宋体" w:hAnsi="宋体"/>
                <w:sz w:val="24"/>
                <w:highlight w:val="none"/>
              </w:rPr>
            </w:pPr>
            <w:r>
              <w:rPr>
                <w:rFonts w:hint="eastAsia" w:ascii="宋体" w:hAnsi="宋体"/>
                <w:sz w:val="24"/>
                <w:highlight w:val="none"/>
              </w:rPr>
              <w:t>8.3</w:t>
            </w:r>
          </w:p>
        </w:tc>
        <w:tc>
          <w:tcPr>
            <w:tcW w:w="7391" w:type="dxa"/>
            <w:noWrap w:val="0"/>
            <w:vAlign w:val="top"/>
          </w:tcPr>
          <w:p w14:paraId="09FF3577">
            <w:pPr>
              <w:spacing w:line="360" w:lineRule="auto"/>
              <w:rPr>
                <w:rFonts w:hint="eastAsia" w:ascii="宋体" w:hAnsi="宋体"/>
                <w:sz w:val="24"/>
                <w:highlight w:val="none"/>
              </w:rPr>
            </w:pPr>
            <w:r>
              <w:rPr>
                <w:rFonts w:hint="eastAsia" w:ascii="宋体" w:hAnsi="宋体"/>
                <w:sz w:val="24"/>
                <w:highlight w:val="none"/>
              </w:rPr>
              <w:t>发包人特别提醒承包人注意以下地上、地下设施和周边建筑物的保护：</w:t>
            </w:r>
          </w:p>
          <w:p w14:paraId="6AD1B9CE">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1ADAB5CD">
        <w:tblPrEx>
          <w:tblCellMar>
            <w:top w:w="0" w:type="dxa"/>
            <w:left w:w="108" w:type="dxa"/>
            <w:bottom w:w="0" w:type="dxa"/>
            <w:right w:w="108" w:type="dxa"/>
          </w:tblCellMar>
        </w:tblPrEx>
        <w:trPr>
          <w:gridAfter w:val="1"/>
          <w:wAfter w:w="57" w:type="dxa"/>
        </w:trPr>
        <w:tc>
          <w:tcPr>
            <w:tcW w:w="1398" w:type="dxa"/>
            <w:noWrap w:val="0"/>
            <w:vAlign w:val="top"/>
          </w:tcPr>
          <w:p w14:paraId="36B9AF77">
            <w:pPr>
              <w:spacing w:line="360" w:lineRule="auto"/>
              <w:rPr>
                <w:rFonts w:hint="eastAsia" w:ascii="宋体" w:hAnsi="宋体"/>
                <w:sz w:val="24"/>
                <w:highlight w:val="none"/>
              </w:rPr>
            </w:pPr>
            <w:r>
              <w:rPr>
                <w:rFonts w:hint="eastAsia" w:ascii="宋体" w:hAnsi="宋体"/>
                <w:sz w:val="24"/>
                <w:highlight w:val="none"/>
              </w:rPr>
              <w:t>8.4</w:t>
            </w:r>
          </w:p>
        </w:tc>
        <w:tc>
          <w:tcPr>
            <w:tcW w:w="7391" w:type="dxa"/>
            <w:noWrap w:val="0"/>
            <w:vAlign w:val="top"/>
          </w:tcPr>
          <w:p w14:paraId="5DDC8948">
            <w:pPr>
              <w:spacing w:line="360" w:lineRule="auto"/>
              <w:rPr>
                <w:rFonts w:hint="eastAsia" w:ascii="宋体" w:hAnsi="宋体"/>
                <w:sz w:val="24"/>
                <w:highlight w:val="none"/>
              </w:rPr>
            </w:pPr>
            <w:r>
              <w:rPr>
                <w:rFonts w:hint="eastAsia" w:ascii="宋体" w:hAnsi="宋体"/>
                <w:sz w:val="24"/>
                <w:highlight w:val="none"/>
              </w:rPr>
              <w:t>地上、地下设施和周边建筑物的临时保护的其他要求如下:</w:t>
            </w:r>
          </w:p>
          <w:p w14:paraId="41B68022">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2DCDB04B">
        <w:tblPrEx>
          <w:tblCellMar>
            <w:top w:w="0" w:type="dxa"/>
            <w:left w:w="108" w:type="dxa"/>
            <w:bottom w:w="0" w:type="dxa"/>
            <w:right w:w="108" w:type="dxa"/>
          </w:tblCellMar>
        </w:tblPrEx>
        <w:trPr>
          <w:gridAfter w:val="1"/>
          <w:wAfter w:w="57" w:type="dxa"/>
        </w:trPr>
        <w:tc>
          <w:tcPr>
            <w:tcW w:w="8789" w:type="dxa"/>
            <w:gridSpan w:val="2"/>
            <w:noWrap w:val="0"/>
            <w:vAlign w:val="top"/>
          </w:tcPr>
          <w:p w14:paraId="730216F3">
            <w:pPr>
              <w:spacing w:line="360" w:lineRule="auto"/>
              <w:rPr>
                <w:rFonts w:hint="eastAsia" w:ascii="宋体" w:hAnsi="宋体"/>
                <w:sz w:val="24"/>
                <w:highlight w:val="none"/>
              </w:rPr>
            </w:pPr>
            <w:bookmarkStart w:id="725" w:name="_Toc342296555"/>
            <w:bookmarkStart w:id="726" w:name="_Toc241459798"/>
            <w:bookmarkStart w:id="727" w:name="_Toc448915685"/>
            <w:r>
              <w:rPr>
                <w:rFonts w:hint="eastAsia" w:ascii="宋体" w:hAnsi="宋体"/>
                <w:b/>
                <w:bCs/>
                <w:sz w:val="24"/>
                <w:highlight w:val="none"/>
              </w:rPr>
              <w:t>9.样品和材料代换</w:t>
            </w:r>
            <w:bookmarkEnd w:id="725"/>
            <w:bookmarkEnd w:id="726"/>
            <w:bookmarkEnd w:id="727"/>
          </w:p>
        </w:tc>
      </w:tr>
      <w:tr w14:paraId="5723E13E">
        <w:tblPrEx>
          <w:tblCellMar>
            <w:top w:w="0" w:type="dxa"/>
            <w:left w:w="108" w:type="dxa"/>
            <w:bottom w:w="0" w:type="dxa"/>
            <w:right w:w="108" w:type="dxa"/>
          </w:tblCellMar>
        </w:tblPrEx>
        <w:trPr>
          <w:gridAfter w:val="1"/>
          <w:wAfter w:w="57" w:type="dxa"/>
        </w:trPr>
        <w:tc>
          <w:tcPr>
            <w:tcW w:w="1398" w:type="dxa"/>
            <w:noWrap w:val="0"/>
            <w:vAlign w:val="top"/>
          </w:tcPr>
          <w:p w14:paraId="7DAC95DF">
            <w:pPr>
              <w:spacing w:line="360" w:lineRule="auto"/>
              <w:rPr>
                <w:rFonts w:hint="eastAsia" w:ascii="宋体" w:hAnsi="宋体"/>
                <w:b/>
                <w:bCs/>
                <w:sz w:val="24"/>
                <w:highlight w:val="none"/>
              </w:rPr>
            </w:pPr>
            <w:bookmarkStart w:id="728" w:name="_Toc263259815"/>
            <w:r>
              <w:rPr>
                <w:rFonts w:hint="eastAsia" w:ascii="宋体" w:hAnsi="宋体"/>
                <w:b/>
                <w:bCs/>
                <w:sz w:val="24"/>
                <w:highlight w:val="none"/>
              </w:rPr>
              <w:t>9</w:t>
            </w:r>
            <w:r>
              <w:rPr>
                <w:rFonts w:ascii="宋体" w:hAnsi="宋体"/>
                <w:b/>
                <w:bCs/>
                <w:sz w:val="24"/>
                <w:highlight w:val="none"/>
              </w:rPr>
              <w:t>.</w:t>
            </w:r>
            <w:r>
              <w:rPr>
                <w:rFonts w:hint="eastAsia" w:ascii="宋体" w:hAnsi="宋体"/>
                <w:b/>
                <w:bCs/>
                <w:sz w:val="24"/>
                <w:highlight w:val="none"/>
              </w:rPr>
              <w:t>1</w:t>
            </w:r>
            <w:bookmarkEnd w:id="728"/>
          </w:p>
        </w:tc>
        <w:tc>
          <w:tcPr>
            <w:tcW w:w="7391" w:type="dxa"/>
            <w:noWrap w:val="0"/>
            <w:vAlign w:val="top"/>
          </w:tcPr>
          <w:p w14:paraId="076DB349">
            <w:pPr>
              <w:spacing w:line="360" w:lineRule="auto"/>
              <w:rPr>
                <w:rFonts w:hint="eastAsia" w:ascii="宋体" w:hAnsi="宋体"/>
                <w:b/>
                <w:bCs/>
                <w:sz w:val="24"/>
                <w:highlight w:val="none"/>
              </w:rPr>
            </w:pPr>
            <w:bookmarkStart w:id="729" w:name="_Toc263259816"/>
            <w:r>
              <w:rPr>
                <w:rFonts w:hint="eastAsia" w:ascii="宋体" w:hAnsi="宋体"/>
                <w:b/>
                <w:bCs/>
                <w:sz w:val="24"/>
                <w:highlight w:val="none"/>
              </w:rPr>
              <w:t>样品</w:t>
            </w:r>
            <w:bookmarkEnd w:id="729"/>
          </w:p>
        </w:tc>
      </w:tr>
      <w:tr w14:paraId="0A319705">
        <w:tblPrEx>
          <w:tblCellMar>
            <w:top w:w="0" w:type="dxa"/>
            <w:left w:w="108" w:type="dxa"/>
            <w:bottom w:w="0" w:type="dxa"/>
            <w:right w:w="108" w:type="dxa"/>
          </w:tblCellMar>
        </w:tblPrEx>
        <w:trPr>
          <w:gridAfter w:val="1"/>
          <w:wAfter w:w="57" w:type="dxa"/>
        </w:trPr>
        <w:tc>
          <w:tcPr>
            <w:tcW w:w="1398" w:type="dxa"/>
            <w:noWrap w:val="0"/>
            <w:vAlign w:val="top"/>
          </w:tcPr>
          <w:p w14:paraId="76BE2EE8">
            <w:pPr>
              <w:spacing w:line="360" w:lineRule="auto"/>
              <w:rPr>
                <w:rFonts w:hint="eastAsia" w:ascii="宋体" w:hAnsi="宋体"/>
                <w:sz w:val="24"/>
                <w:highlight w:val="none"/>
              </w:rPr>
            </w:pPr>
            <w:r>
              <w:rPr>
                <w:rFonts w:hint="eastAsia" w:ascii="宋体" w:hAnsi="宋体"/>
                <w:sz w:val="24"/>
                <w:highlight w:val="none"/>
              </w:rPr>
              <w:t>9.1.1</w:t>
            </w:r>
          </w:p>
        </w:tc>
        <w:tc>
          <w:tcPr>
            <w:tcW w:w="7391" w:type="dxa"/>
            <w:noWrap w:val="0"/>
            <w:vAlign w:val="top"/>
          </w:tcPr>
          <w:p w14:paraId="09710D59">
            <w:pPr>
              <w:spacing w:line="360" w:lineRule="auto"/>
              <w:rPr>
                <w:rFonts w:hint="eastAsia" w:ascii="宋体" w:hAnsi="宋体"/>
                <w:sz w:val="24"/>
                <w:highlight w:val="none"/>
              </w:rPr>
            </w:pPr>
            <w:r>
              <w:rPr>
                <w:rFonts w:hint="eastAsia" w:ascii="宋体" w:hAnsi="宋体"/>
                <w:sz w:val="24"/>
                <w:highlight w:val="none"/>
              </w:rPr>
              <w:t>本工程需要承包人提供样品的材料和工程设备如下：</w:t>
            </w:r>
          </w:p>
          <w:p w14:paraId="66C05F42">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6B61221E">
        <w:tblPrEx>
          <w:tblCellMar>
            <w:top w:w="0" w:type="dxa"/>
            <w:left w:w="108" w:type="dxa"/>
            <w:bottom w:w="0" w:type="dxa"/>
            <w:right w:w="108" w:type="dxa"/>
          </w:tblCellMar>
        </w:tblPrEx>
        <w:trPr>
          <w:gridAfter w:val="1"/>
          <w:wAfter w:w="57" w:type="dxa"/>
        </w:trPr>
        <w:tc>
          <w:tcPr>
            <w:tcW w:w="1398" w:type="dxa"/>
            <w:noWrap w:val="0"/>
            <w:vAlign w:val="top"/>
          </w:tcPr>
          <w:p w14:paraId="23F46DE4">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p>
        </w:tc>
        <w:tc>
          <w:tcPr>
            <w:tcW w:w="7391" w:type="dxa"/>
            <w:noWrap w:val="0"/>
            <w:vAlign w:val="top"/>
          </w:tcPr>
          <w:p w14:paraId="1F2FC1CF">
            <w:pPr>
              <w:spacing w:line="360" w:lineRule="auto"/>
              <w:rPr>
                <w:rFonts w:hint="eastAsia" w:ascii="宋体" w:hAnsi="宋体"/>
                <w:sz w:val="24"/>
                <w:highlight w:val="none"/>
              </w:rPr>
            </w:pPr>
            <w:r>
              <w:rPr>
                <w:rFonts w:hint="eastAsia" w:ascii="宋体" w:hAnsi="宋体"/>
                <w:sz w:val="24"/>
                <w:highlight w:val="none"/>
              </w:rPr>
              <w:t>对于本款第9.1.1项</w:t>
            </w:r>
            <w:r>
              <w:rPr>
                <w:rFonts w:ascii="宋体" w:hAnsi="宋体"/>
                <w:sz w:val="24"/>
                <w:highlight w:val="none"/>
              </w:rPr>
              <w:t>约定的材料</w:t>
            </w:r>
            <w:r>
              <w:rPr>
                <w:rFonts w:hint="eastAsia" w:ascii="宋体" w:hAnsi="宋体"/>
                <w:sz w:val="24"/>
                <w:highlight w:val="none"/>
              </w:rPr>
              <w:t>和</w:t>
            </w:r>
            <w:r>
              <w:rPr>
                <w:rFonts w:ascii="宋体" w:hAnsi="宋体"/>
                <w:sz w:val="24"/>
                <w:highlight w:val="none"/>
              </w:rPr>
              <w:t>工程设备，承包人应</w:t>
            </w:r>
            <w:r>
              <w:rPr>
                <w:rFonts w:hint="eastAsia" w:ascii="宋体" w:hAnsi="宋体"/>
                <w:sz w:val="24"/>
                <w:highlight w:val="none"/>
              </w:rPr>
              <w:t>按照专用合同条款第5.1.2项约定的期限</w:t>
            </w:r>
            <w:r>
              <w:rPr>
                <w:rFonts w:ascii="宋体" w:hAnsi="宋体"/>
                <w:sz w:val="24"/>
                <w:highlight w:val="none"/>
              </w:rPr>
              <w:t>，向监理人提交样品并附上任何必要的说明书、</w:t>
            </w:r>
            <w:r>
              <w:rPr>
                <w:rFonts w:hint="eastAsia" w:ascii="宋体" w:hAnsi="宋体"/>
                <w:sz w:val="24"/>
                <w:highlight w:val="none"/>
              </w:rPr>
              <w:t>生产（制造）许可</w:t>
            </w:r>
            <w:r>
              <w:rPr>
                <w:rFonts w:ascii="宋体" w:hAnsi="宋体"/>
                <w:sz w:val="24"/>
                <w:highlight w:val="none"/>
              </w:rPr>
              <w:t>证书、出厂</w:t>
            </w:r>
            <w:r>
              <w:rPr>
                <w:rFonts w:hint="eastAsia" w:ascii="宋体" w:hAnsi="宋体"/>
                <w:sz w:val="24"/>
                <w:highlight w:val="none"/>
              </w:rPr>
              <w:t>合格证明或者证书、出厂检测</w:t>
            </w:r>
            <w:r>
              <w:rPr>
                <w:rFonts w:ascii="宋体" w:hAnsi="宋体"/>
                <w:sz w:val="24"/>
                <w:highlight w:val="none"/>
              </w:rPr>
              <w:t>报告、性能介绍、使用说明等相关资料，</w:t>
            </w:r>
            <w:r>
              <w:rPr>
                <w:rFonts w:hint="eastAsia" w:ascii="宋体" w:hAnsi="宋体"/>
                <w:sz w:val="24"/>
                <w:highlight w:val="none"/>
              </w:rPr>
              <w:t>同时注明材料和工程设备的供货人及品种、规格、数量和供货时间等，</w:t>
            </w:r>
            <w:r>
              <w:rPr>
                <w:rFonts w:ascii="宋体" w:hAnsi="宋体"/>
                <w:sz w:val="24"/>
                <w:highlight w:val="none"/>
              </w:rPr>
              <w:t>以供检验和审批。样品送达的地点和样品的数量或尺寸应符合监理人</w:t>
            </w:r>
            <w:r>
              <w:rPr>
                <w:rFonts w:hint="eastAsia" w:ascii="宋体" w:hAnsi="宋体"/>
                <w:sz w:val="24"/>
                <w:highlight w:val="none"/>
              </w:rPr>
              <w:t>和</w:t>
            </w:r>
            <w:r>
              <w:rPr>
                <w:rFonts w:ascii="宋体" w:hAnsi="宋体"/>
                <w:sz w:val="24"/>
                <w:highlight w:val="none"/>
              </w:rPr>
              <w:t>发包人的要求。除合同另有约定</w:t>
            </w:r>
            <w:r>
              <w:rPr>
                <w:rFonts w:hint="eastAsia" w:ascii="宋体" w:hAnsi="宋体"/>
                <w:sz w:val="24"/>
                <w:highlight w:val="none"/>
              </w:rPr>
              <w:t>外</w:t>
            </w:r>
            <w:r>
              <w:rPr>
                <w:rFonts w:ascii="宋体" w:hAnsi="宋体"/>
                <w:sz w:val="24"/>
                <w:highlight w:val="none"/>
              </w:rPr>
              <w:t>，承包人在报送任何样品时应按监理人同意的格式填写并递交样品报送单。监理人应及时签收样品。</w:t>
            </w:r>
          </w:p>
        </w:tc>
      </w:tr>
      <w:tr w14:paraId="4A67F131">
        <w:tblPrEx>
          <w:tblCellMar>
            <w:top w:w="0" w:type="dxa"/>
            <w:left w:w="108" w:type="dxa"/>
            <w:bottom w:w="0" w:type="dxa"/>
            <w:right w:w="108" w:type="dxa"/>
          </w:tblCellMar>
        </w:tblPrEx>
        <w:trPr>
          <w:gridAfter w:val="1"/>
          <w:wAfter w:w="57" w:type="dxa"/>
        </w:trPr>
        <w:tc>
          <w:tcPr>
            <w:tcW w:w="1398" w:type="dxa"/>
            <w:noWrap w:val="0"/>
            <w:vAlign w:val="top"/>
          </w:tcPr>
          <w:p w14:paraId="0851752D">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3</w:t>
            </w:r>
          </w:p>
        </w:tc>
        <w:tc>
          <w:tcPr>
            <w:tcW w:w="7391" w:type="dxa"/>
            <w:noWrap w:val="0"/>
            <w:vAlign w:val="top"/>
          </w:tcPr>
          <w:p w14:paraId="7A9B26EE">
            <w:pPr>
              <w:spacing w:line="360" w:lineRule="auto"/>
              <w:rPr>
                <w:rFonts w:hint="eastAsia" w:ascii="宋体" w:hAnsi="宋体"/>
                <w:sz w:val="24"/>
                <w:highlight w:val="none"/>
              </w:rPr>
            </w:pPr>
            <w:r>
              <w:rPr>
                <w:rFonts w:hint="eastAsia" w:ascii="宋体" w:hAnsi="宋体"/>
                <w:sz w:val="24"/>
                <w:highlight w:val="none"/>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tc>
      </w:tr>
      <w:tr w14:paraId="6F87BFFA">
        <w:tblPrEx>
          <w:tblCellMar>
            <w:top w:w="0" w:type="dxa"/>
            <w:left w:w="108" w:type="dxa"/>
            <w:bottom w:w="0" w:type="dxa"/>
            <w:right w:w="108" w:type="dxa"/>
          </w:tblCellMar>
        </w:tblPrEx>
        <w:trPr>
          <w:gridAfter w:val="1"/>
          <w:wAfter w:w="57" w:type="dxa"/>
        </w:trPr>
        <w:tc>
          <w:tcPr>
            <w:tcW w:w="1398" w:type="dxa"/>
            <w:noWrap w:val="0"/>
            <w:vAlign w:val="top"/>
          </w:tcPr>
          <w:p w14:paraId="75860F7E">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4</w:t>
            </w:r>
          </w:p>
        </w:tc>
        <w:tc>
          <w:tcPr>
            <w:tcW w:w="7391" w:type="dxa"/>
            <w:noWrap w:val="0"/>
            <w:vAlign w:val="top"/>
          </w:tcPr>
          <w:p w14:paraId="1AEE5829">
            <w:pPr>
              <w:spacing w:line="360" w:lineRule="auto"/>
              <w:rPr>
                <w:rFonts w:hint="eastAsia" w:ascii="宋体" w:hAnsi="宋体"/>
                <w:sz w:val="24"/>
                <w:highlight w:val="none"/>
              </w:rPr>
            </w:pPr>
            <w:r>
              <w:rPr>
                <w:rFonts w:ascii="宋体" w:hAnsi="宋体"/>
                <w:sz w:val="24"/>
                <w:highlight w:val="none"/>
              </w:rPr>
              <w:t>监理人应在收到承包人报送的样品后</w:t>
            </w:r>
            <w:r>
              <w:rPr>
                <w:rFonts w:hint="eastAsia" w:ascii="宋体" w:hAnsi="宋体"/>
                <w:sz w:val="24"/>
                <w:highlight w:val="none"/>
              </w:rPr>
              <w:t>7天内转呈发包人并附上监理人的书面审批意见。发包人在收到通过监理人转交的样品以及监理人的审批意见后7</w:t>
            </w:r>
            <w:r>
              <w:rPr>
                <w:rFonts w:ascii="宋体" w:hAnsi="宋体"/>
                <w:sz w:val="24"/>
                <w:highlight w:val="none"/>
              </w:rPr>
              <w:t>天内就此样品给出书面批复</w:t>
            </w:r>
            <w:r>
              <w:rPr>
                <w:rFonts w:hint="eastAsia" w:ascii="宋体" w:hAnsi="宋体"/>
                <w:sz w:val="24"/>
                <w:highlight w:val="none"/>
              </w:rPr>
              <w:t>。监理人应在收到样品后21天内</w:t>
            </w:r>
            <w:r>
              <w:rPr>
                <w:rFonts w:ascii="宋体" w:hAnsi="宋体"/>
                <w:sz w:val="24"/>
                <w:highlight w:val="none"/>
              </w:rPr>
              <w:t>通知承包人他</w:t>
            </w:r>
            <w:r>
              <w:rPr>
                <w:rFonts w:hint="eastAsia" w:ascii="宋体" w:hAnsi="宋体"/>
                <w:sz w:val="24"/>
                <w:highlight w:val="none"/>
              </w:rPr>
              <w:t>相关</w:t>
            </w:r>
            <w:r>
              <w:rPr>
                <w:rFonts w:ascii="宋体" w:hAnsi="宋体"/>
                <w:sz w:val="24"/>
                <w:highlight w:val="none"/>
              </w:rPr>
              <w:t>样品所做出的决定或指示</w:t>
            </w:r>
            <w:r>
              <w:rPr>
                <w:rFonts w:hint="eastAsia" w:ascii="宋体" w:hAnsi="宋体"/>
                <w:sz w:val="24"/>
                <w:highlight w:val="none"/>
              </w:rPr>
              <w:t>（同时抄送一份给发包人）</w:t>
            </w:r>
            <w:r>
              <w:rPr>
                <w:rFonts w:ascii="宋体" w:hAnsi="宋体"/>
                <w:sz w:val="24"/>
                <w:highlight w:val="none"/>
              </w:rPr>
              <w:t>。承包人应根据</w:t>
            </w:r>
            <w:r>
              <w:rPr>
                <w:rFonts w:hint="eastAsia" w:ascii="宋体" w:hAnsi="宋体"/>
                <w:sz w:val="24"/>
                <w:highlight w:val="none"/>
              </w:rPr>
              <w:t>监理</w:t>
            </w:r>
            <w:r>
              <w:rPr>
                <w:rFonts w:ascii="宋体" w:hAnsi="宋体"/>
                <w:sz w:val="24"/>
                <w:highlight w:val="none"/>
              </w:rPr>
              <w:t>人的书面批复和指示相应地进行下一步工作。如果</w:t>
            </w:r>
            <w:r>
              <w:rPr>
                <w:rFonts w:hint="eastAsia" w:ascii="宋体" w:hAnsi="宋体"/>
                <w:sz w:val="24"/>
                <w:highlight w:val="none"/>
              </w:rPr>
              <w:t>监理人</w:t>
            </w:r>
            <w:r>
              <w:rPr>
                <w:rFonts w:ascii="宋体" w:hAnsi="宋体"/>
                <w:sz w:val="24"/>
                <w:highlight w:val="none"/>
              </w:rPr>
              <w:t>未能在</w:t>
            </w:r>
            <w:r>
              <w:rPr>
                <w:rFonts w:hint="eastAsia" w:ascii="宋体" w:hAnsi="宋体"/>
                <w:sz w:val="24"/>
                <w:highlight w:val="none"/>
              </w:rPr>
              <w:t>承包人报送</w:t>
            </w:r>
            <w:r>
              <w:rPr>
                <w:rFonts w:ascii="宋体" w:hAnsi="宋体"/>
                <w:sz w:val="24"/>
                <w:highlight w:val="none"/>
              </w:rPr>
              <w:t>样品后</w:t>
            </w:r>
            <w:r>
              <w:rPr>
                <w:rFonts w:hint="eastAsia" w:ascii="宋体" w:hAnsi="宋体"/>
                <w:sz w:val="24"/>
                <w:highlight w:val="none"/>
              </w:rPr>
              <w:t>21</w:t>
            </w:r>
            <w:r>
              <w:rPr>
                <w:rFonts w:ascii="宋体" w:hAnsi="宋体"/>
                <w:sz w:val="24"/>
                <w:highlight w:val="none"/>
              </w:rPr>
              <w:t>天内给出书面批复，承包人应就此通知监理人</w:t>
            </w:r>
            <w:r>
              <w:rPr>
                <w:rFonts w:hint="eastAsia" w:ascii="宋体" w:hAnsi="宋体"/>
                <w:sz w:val="24"/>
                <w:highlight w:val="none"/>
              </w:rPr>
              <w:t>，要求</w:t>
            </w:r>
            <w:r>
              <w:rPr>
                <w:rFonts w:ascii="宋体" w:hAnsi="宋体"/>
                <w:sz w:val="24"/>
                <w:highlight w:val="none"/>
              </w:rPr>
              <w:t>尽快批复。如果发包人在收到此类通知后7天内仍未对样品进行批复，则视为</w:t>
            </w:r>
            <w:r>
              <w:rPr>
                <w:rFonts w:hint="eastAsia" w:ascii="宋体" w:hAnsi="宋体"/>
                <w:sz w:val="24"/>
                <w:highlight w:val="none"/>
              </w:rPr>
              <w:t>监理</w:t>
            </w:r>
            <w:r>
              <w:rPr>
                <w:rFonts w:ascii="宋体" w:hAnsi="宋体"/>
                <w:sz w:val="24"/>
                <w:highlight w:val="none"/>
              </w:rPr>
              <w:t>人</w:t>
            </w:r>
            <w:r>
              <w:rPr>
                <w:rFonts w:hint="eastAsia" w:ascii="宋体" w:hAnsi="宋体"/>
                <w:sz w:val="24"/>
                <w:highlight w:val="none"/>
              </w:rPr>
              <w:t>和发包人</w:t>
            </w:r>
            <w:r>
              <w:rPr>
                <w:rFonts w:ascii="宋体" w:hAnsi="宋体"/>
                <w:sz w:val="24"/>
                <w:highlight w:val="none"/>
              </w:rPr>
              <w:t>已经批准。</w:t>
            </w:r>
          </w:p>
        </w:tc>
      </w:tr>
      <w:tr w14:paraId="539A3564">
        <w:tblPrEx>
          <w:tblCellMar>
            <w:top w:w="0" w:type="dxa"/>
            <w:left w:w="108" w:type="dxa"/>
            <w:bottom w:w="0" w:type="dxa"/>
            <w:right w:w="108" w:type="dxa"/>
          </w:tblCellMar>
        </w:tblPrEx>
        <w:trPr>
          <w:gridAfter w:val="1"/>
          <w:wAfter w:w="57" w:type="dxa"/>
        </w:trPr>
        <w:tc>
          <w:tcPr>
            <w:tcW w:w="1398" w:type="dxa"/>
            <w:noWrap w:val="0"/>
            <w:vAlign w:val="top"/>
          </w:tcPr>
          <w:p w14:paraId="386D7AF1">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w:t>
            </w:r>
          </w:p>
        </w:tc>
        <w:tc>
          <w:tcPr>
            <w:tcW w:w="7391" w:type="dxa"/>
            <w:noWrap w:val="0"/>
            <w:vAlign w:val="top"/>
          </w:tcPr>
          <w:p w14:paraId="26A819E6">
            <w:pPr>
              <w:spacing w:line="360" w:lineRule="auto"/>
              <w:rPr>
                <w:rFonts w:hint="eastAsia" w:ascii="宋体" w:hAnsi="宋体"/>
                <w:sz w:val="24"/>
                <w:highlight w:val="none"/>
              </w:rPr>
            </w:pPr>
            <w:r>
              <w:rPr>
                <w:rFonts w:ascii="宋体" w:hAnsi="宋体"/>
                <w:sz w:val="24"/>
                <w:highlight w:val="none"/>
              </w:rPr>
              <w:t>得到批准后的样品由</w:t>
            </w:r>
            <w:r>
              <w:rPr>
                <w:rFonts w:hint="eastAsia" w:ascii="宋体" w:hAnsi="宋体"/>
                <w:sz w:val="24"/>
                <w:highlight w:val="none"/>
              </w:rPr>
              <w:t>监理</w:t>
            </w:r>
            <w:r>
              <w:rPr>
                <w:rFonts w:ascii="宋体" w:hAnsi="宋体"/>
                <w:sz w:val="24"/>
                <w:highlight w:val="none"/>
              </w:rPr>
              <w:t>人负责存放。但承包人应为保存样品提供适当和固定的场所并保持适当和良好的环境条件。</w:t>
            </w:r>
          </w:p>
        </w:tc>
      </w:tr>
      <w:tr w14:paraId="49977F09">
        <w:tblPrEx>
          <w:tblCellMar>
            <w:top w:w="0" w:type="dxa"/>
            <w:left w:w="108" w:type="dxa"/>
            <w:bottom w:w="0" w:type="dxa"/>
            <w:right w:w="108" w:type="dxa"/>
          </w:tblCellMar>
        </w:tblPrEx>
        <w:trPr>
          <w:gridAfter w:val="1"/>
          <w:wAfter w:w="57" w:type="dxa"/>
        </w:trPr>
        <w:tc>
          <w:tcPr>
            <w:tcW w:w="1398" w:type="dxa"/>
            <w:noWrap w:val="0"/>
            <w:vAlign w:val="top"/>
          </w:tcPr>
          <w:p w14:paraId="39528A75">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6</w:t>
            </w:r>
          </w:p>
        </w:tc>
        <w:tc>
          <w:tcPr>
            <w:tcW w:w="7391" w:type="dxa"/>
            <w:noWrap w:val="0"/>
            <w:vAlign w:val="top"/>
          </w:tcPr>
          <w:p w14:paraId="75FAFE59">
            <w:pPr>
              <w:spacing w:line="360" w:lineRule="auto"/>
              <w:rPr>
                <w:rFonts w:hint="eastAsia" w:ascii="宋体" w:hAnsi="宋体"/>
                <w:sz w:val="24"/>
                <w:highlight w:val="none"/>
              </w:rPr>
            </w:pPr>
            <w:r>
              <w:rPr>
                <w:rFonts w:ascii="宋体" w:hAnsi="宋体"/>
                <w:sz w:val="24"/>
                <w:highlight w:val="none"/>
              </w:rPr>
              <w:t>提供样品和提供存放样品场所的费用由承包人承担。</w:t>
            </w:r>
          </w:p>
        </w:tc>
      </w:tr>
      <w:tr w14:paraId="29612B37">
        <w:tblPrEx>
          <w:tblCellMar>
            <w:top w:w="0" w:type="dxa"/>
            <w:left w:w="108" w:type="dxa"/>
            <w:bottom w:w="0" w:type="dxa"/>
            <w:right w:w="108" w:type="dxa"/>
          </w:tblCellMar>
        </w:tblPrEx>
        <w:trPr>
          <w:gridAfter w:val="1"/>
          <w:wAfter w:w="57" w:type="dxa"/>
        </w:trPr>
        <w:tc>
          <w:tcPr>
            <w:tcW w:w="1398" w:type="dxa"/>
            <w:noWrap w:val="0"/>
            <w:vAlign w:val="top"/>
          </w:tcPr>
          <w:p w14:paraId="5BCCEF8F">
            <w:pPr>
              <w:spacing w:line="360" w:lineRule="auto"/>
              <w:rPr>
                <w:rFonts w:hint="eastAsia" w:ascii="宋体" w:hAnsi="宋体"/>
                <w:b/>
                <w:bCs/>
                <w:sz w:val="24"/>
                <w:highlight w:val="none"/>
              </w:rPr>
            </w:pPr>
            <w:bookmarkStart w:id="730" w:name="_Toc263259817"/>
            <w:r>
              <w:rPr>
                <w:rFonts w:hint="eastAsia" w:ascii="宋体" w:hAnsi="宋体"/>
                <w:b/>
                <w:bCs/>
                <w:sz w:val="24"/>
                <w:highlight w:val="none"/>
              </w:rPr>
              <w:t>9</w:t>
            </w:r>
            <w:r>
              <w:rPr>
                <w:rFonts w:ascii="宋体" w:hAnsi="宋体"/>
                <w:b/>
                <w:bCs/>
                <w:sz w:val="24"/>
                <w:highlight w:val="none"/>
              </w:rPr>
              <w:t>.</w:t>
            </w:r>
            <w:r>
              <w:rPr>
                <w:rFonts w:hint="eastAsia" w:ascii="宋体" w:hAnsi="宋体"/>
                <w:b/>
                <w:bCs/>
                <w:sz w:val="24"/>
                <w:highlight w:val="none"/>
              </w:rPr>
              <w:t>2</w:t>
            </w:r>
            <w:bookmarkEnd w:id="730"/>
          </w:p>
        </w:tc>
        <w:tc>
          <w:tcPr>
            <w:tcW w:w="7391" w:type="dxa"/>
            <w:noWrap w:val="0"/>
            <w:vAlign w:val="top"/>
          </w:tcPr>
          <w:p w14:paraId="3166709F">
            <w:pPr>
              <w:spacing w:line="360" w:lineRule="auto"/>
              <w:rPr>
                <w:rFonts w:hint="eastAsia" w:ascii="宋体" w:hAnsi="宋体"/>
                <w:b/>
                <w:bCs/>
                <w:sz w:val="24"/>
                <w:highlight w:val="none"/>
              </w:rPr>
            </w:pPr>
            <w:bookmarkStart w:id="731" w:name="_Toc263259818"/>
            <w:r>
              <w:rPr>
                <w:rFonts w:hint="eastAsia" w:ascii="宋体" w:hAnsi="宋体"/>
                <w:b/>
                <w:bCs/>
                <w:sz w:val="24"/>
                <w:highlight w:val="none"/>
              </w:rPr>
              <w:t>材料代换</w:t>
            </w:r>
            <w:bookmarkEnd w:id="731"/>
          </w:p>
        </w:tc>
      </w:tr>
      <w:tr w14:paraId="2A886B44">
        <w:tblPrEx>
          <w:tblCellMar>
            <w:top w:w="0" w:type="dxa"/>
            <w:left w:w="108" w:type="dxa"/>
            <w:bottom w:w="0" w:type="dxa"/>
            <w:right w:w="108" w:type="dxa"/>
          </w:tblCellMar>
        </w:tblPrEx>
        <w:trPr>
          <w:gridAfter w:val="1"/>
          <w:wAfter w:w="57" w:type="dxa"/>
        </w:trPr>
        <w:tc>
          <w:tcPr>
            <w:tcW w:w="1398" w:type="dxa"/>
            <w:noWrap w:val="0"/>
            <w:vAlign w:val="top"/>
          </w:tcPr>
          <w:p w14:paraId="3BB8C54D">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1</w:t>
            </w:r>
          </w:p>
        </w:tc>
        <w:tc>
          <w:tcPr>
            <w:tcW w:w="7391" w:type="dxa"/>
            <w:noWrap w:val="0"/>
            <w:vAlign w:val="top"/>
          </w:tcPr>
          <w:p w14:paraId="3B86ABFB">
            <w:pPr>
              <w:spacing w:line="360" w:lineRule="auto"/>
              <w:rPr>
                <w:rFonts w:hint="eastAsia" w:ascii="宋体" w:hAnsi="宋体"/>
                <w:sz w:val="24"/>
                <w:highlight w:val="none"/>
              </w:rPr>
            </w:pPr>
            <w:r>
              <w:rPr>
                <w:rFonts w:hint="eastAsia" w:ascii="宋体" w:hAnsi="宋体"/>
                <w:sz w:val="24"/>
                <w:highlight w:val="none"/>
              </w:rPr>
              <w:t>如果任</w:t>
            </w:r>
            <w:r>
              <w:rPr>
                <w:rFonts w:ascii="宋体" w:hAnsi="宋体"/>
                <w:sz w:val="24"/>
                <w:highlight w:val="none"/>
              </w:rPr>
              <w:t>何后继</w:t>
            </w:r>
            <w:r>
              <w:rPr>
                <w:rFonts w:hint="eastAsia" w:ascii="宋体" w:hAnsi="宋体"/>
                <w:sz w:val="24"/>
                <w:highlight w:val="none"/>
              </w:rPr>
              <w:t>法律、法规、</w:t>
            </w:r>
            <w:r>
              <w:rPr>
                <w:rFonts w:ascii="宋体" w:hAnsi="宋体"/>
                <w:sz w:val="24"/>
                <w:highlight w:val="none"/>
              </w:rPr>
              <w:t>规章、</w:t>
            </w:r>
            <w:r>
              <w:rPr>
                <w:rFonts w:hint="eastAsia" w:ascii="宋体" w:hAnsi="宋体"/>
                <w:sz w:val="24"/>
                <w:highlight w:val="none"/>
              </w:rPr>
              <w:t>规范、标准和规程等等</w:t>
            </w:r>
            <w:r>
              <w:rPr>
                <w:rFonts w:ascii="宋体" w:hAnsi="宋体"/>
                <w:sz w:val="24"/>
                <w:highlight w:val="none"/>
              </w:rPr>
              <w:t>禁止使用合同中约定的材料和工程设备，承包人</w:t>
            </w:r>
            <w:r>
              <w:rPr>
                <w:rFonts w:hint="eastAsia" w:ascii="宋体" w:hAnsi="宋体"/>
                <w:sz w:val="24"/>
                <w:highlight w:val="none"/>
              </w:rPr>
              <w:t>应当</w:t>
            </w:r>
            <w:r>
              <w:rPr>
                <w:rFonts w:ascii="宋体" w:hAnsi="宋体"/>
                <w:sz w:val="24"/>
                <w:highlight w:val="none"/>
              </w:rPr>
              <w:t>按</w:t>
            </w:r>
            <w:r>
              <w:rPr>
                <w:rFonts w:hint="eastAsia" w:ascii="宋体" w:hAnsi="宋体"/>
                <w:sz w:val="24"/>
                <w:highlight w:val="none"/>
              </w:rPr>
              <w:t>本款</w:t>
            </w:r>
            <w:r>
              <w:rPr>
                <w:rFonts w:ascii="宋体" w:hAnsi="宋体"/>
                <w:sz w:val="24"/>
                <w:highlight w:val="none"/>
              </w:rPr>
              <w:t>约定的程序使用其他替代品来实施工程或修补缺陷。监理人对使用替代品的批准以及承包人据此使用替代品不应</w:t>
            </w:r>
            <w:r>
              <w:rPr>
                <w:rFonts w:hint="eastAsia" w:ascii="宋体" w:hAnsi="宋体"/>
                <w:sz w:val="24"/>
                <w:highlight w:val="none"/>
              </w:rPr>
              <w:t>减免</w:t>
            </w:r>
            <w:r>
              <w:rPr>
                <w:rFonts w:ascii="宋体" w:hAnsi="宋体"/>
                <w:sz w:val="24"/>
                <w:highlight w:val="none"/>
              </w:rPr>
              <w:t>合同约定的承包人</w:t>
            </w:r>
            <w:r>
              <w:rPr>
                <w:rFonts w:hint="eastAsia" w:ascii="宋体" w:hAnsi="宋体"/>
                <w:sz w:val="24"/>
                <w:highlight w:val="none"/>
              </w:rPr>
              <w:t>的</w:t>
            </w:r>
            <w:r>
              <w:rPr>
                <w:rFonts w:ascii="宋体" w:hAnsi="宋体"/>
                <w:sz w:val="24"/>
                <w:highlight w:val="none"/>
              </w:rPr>
              <w:t>任何</w:t>
            </w:r>
            <w:r>
              <w:rPr>
                <w:rFonts w:hint="eastAsia" w:ascii="宋体" w:hAnsi="宋体"/>
                <w:sz w:val="24"/>
                <w:highlight w:val="none"/>
              </w:rPr>
              <w:t>责任</w:t>
            </w:r>
            <w:r>
              <w:rPr>
                <w:rFonts w:ascii="宋体" w:hAnsi="宋体"/>
                <w:sz w:val="24"/>
                <w:highlight w:val="none"/>
              </w:rPr>
              <w:t>和义务。</w:t>
            </w:r>
          </w:p>
        </w:tc>
      </w:tr>
      <w:tr w14:paraId="65324176">
        <w:tblPrEx>
          <w:tblCellMar>
            <w:top w:w="0" w:type="dxa"/>
            <w:left w:w="108" w:type="dxa"/>
            <w:bottom w:w="0" w:type="dxa"/>
            <w:right w:w="108" w:type="dxa"/>
          </w:tblCellMar>
        </w:tblPrEx>
        <w:trPr>
          <w:gridAfter w:val="1"/>
          <w:wAfter w:w="57" w:type="dxa"/>
          <w:trHeight w:val="677" w:hRule="atLeast"/>
        </w:trPr>
        <w:tc>
          <w:tcPr>
            <w:tcW w:w="1398" w:type="dxa"/>
            <w:noWrap w:val="0"/>
            <w:vAlign w:val="top"/>
          </w:tcPr>
          <w:p w14:paraId="56F7A111">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2</w:t>
            </w:r>
          </w:p>
        </w:tc>
        <w:tc>
          <w:tcPr>
            <w:tcW w:w="7391" w:type="dxa"/>
            <w:noWrap w:val="0"/>
            <w:vAlign w:val="top"/>
          </w:tcPr>
          <w:p w14:paraId="43D373FB">
            <w:pPr>
              <w:spacing w:line="360" w:lineRule="auto"/>
              <w:rPr>
                <w:rFonts w:hint="eastAsia" w:ascii="宋体" w:hAnsi="宋体"/>
                <w:sz w:val="24"/>
                <w:highlight w:val="none"/>
              </w:rPr>
            </w:pPr>
            <w:r>
              <w:rPr>
                <w:rFonts w:ascii="宋体" w:hAnsi="宋体"/>
                <w:sz w:val="24"/>
                <w:highlight w:val="none"/>
              </w:rPr>
              <w:t>如果使用替代品，承包人应至少在被</w:t>
            </w:r>
            <w:r>
              <w:rPr>
                <w:rFonts w:hint="eastAsia" w:ascii="宋体" w:hAnsi="宋体"/>
                <w:sz w:val="24"/>
                <w:highlight w:val="none"/>
              </w:rPr>
              <w:t>替</w:t>
            </w:r>
            <w:r>
              <w:rPr>
                <w:rFonts w:ascii="宋体" w:hAnsi="宋体"/>
                <w:sz w:val="24"/>
                <w:highlight w:val="none"/>
              </w:rPr>
              <w:t>代品按批准的进度计划用于永久工程前56天以书面形式通知监理人并随此通知提交下列文件：</w:t>
            </w:r>
          </w:p>
          <w:p w14:paraId="5BF05147">
            <w:pPr>
              <w:numPr>
                <w:ilvl w:val="0"/>
                <w:numId w:val="25"/>
              </w:numPr>
              <w:spacing w:line="360" w:lineRule="auto"/>
              <w:rPr>
                <w:rFonts w:hint="eastAsia" w:ascii="宋体" w:hAnsi="宋体"/>
                <w:sz w:val="24"/>
                <w:highlight w:val="none"/>
              </w:rPr>
            </w:pPr>
            <w:r>
              <w:rPr>
                <w:rFonts w:ascii="宋体" w:hAnsi="宋体"/>
                <w:sz w:val="24"/>
                <w:highlight w:val="none"/>
              </w:rPr>
              <w:t>拟被替代的合同约定的材料和工程设备的名称、数量、规格、型号、品牌、性能、价格及其他任何详细资料；</w:t>
            </w:r>
          </w:p>
          <w:p w14:paraId="371F5C67">
            <w:pPr>
              <w:numPr>
                <w:ilvl w:val="0"/>
                <w:numId w:val="25"/>
              </w:numPr>
              <w:spacing w:line="360" w:lineRule="auto"/>
              <w:rPr>
                <w:rFonts w:hint="eastAsia" w:ascii="宋体" w:hAnsi="宋体"/>
                <w:sz w:val="24"/>
                <w:highlight w:val="none"/>
              </w:rPr>
            </w:pPr>
            <w:r>
              <w:rPr>
                <w:rFonts w:ascii="宋体" w:hAnsi="宋体"/>
                <w:sz w:val="24"/>
                <w:highlight w:val="none"/>
              </w:rPr>
              <w:t>拟采用的替代品的名称、数量、规格、型号、品牌、性能、价格及其他任何必要的详细资料；</w:t>
            </w:r>
          </w:p>
          <w:p w14:paraId="7C1A7614">
            <w:pPr>
              <w:numPr>
                <w:ilvl w:val="0"/>
                <w:numId w:val="25"/>
              </w:numPr>
              <w:spacing w:line="360" w:lineRule="auto"/>
              <w:rPr>
                <w:rFonts w:hint="eastAsia" w:ascii="宋体" w:hAnsi="宋体"/>
                <w:sz w:val="24"/>
                <w:highlight w:val="none"/>
              </w:rPr>
            </w:pPr>
            <w:r>
              <w:rPr>
                <w:rFonts w:ascii="宋体" w:hAnsi="宋体"/>
                <w:sz w:val="24"/>
                <w:highlight w:val="none"/>
              </w:rPr>
              <w:t>替代品使用的工程部位；</w:t>
            </w:r>
          </w:p>
          <w:p w14:paraId="3177F995">
            <w:pPr>
              <w:numPr>
                <w:ilvl w:val="0"/>
                <w:numId w:val="25"/>
              </w:numPr>
              <w:spacing w:line="360" w:lineRule="auto"/>
              <w:rPr>
                <w:rFonts w:hint="eastAsia" w:ascii="宋体" w:hAnsi="宋体"/>
                <w:sz w:val="24"/>
                <w:highlight w:val="none"/>
              </w:rPr>
            </w:pPr>
            <w:r>
              <w:rPr>
                <w:rFonts w:ascii="宋体" w:hAnsi="宋体"/>
                <w:sz w:val="24"/>
                <w:highlight w:val="none"/>
              </w:rPr>
              <w:t>采用替代品的理由和原因</w:t>
            </w:r>
            <w:r>
              <w:rPr>
                <w:rFonts w:hint="eastAsia" w:ascii="宋体" w:hAnsi="宋体"/>
                <w:sz w:val="24"/>
                <w:highlight w:val="none"/>
              </w:rPr>
              <w:t>说明</w:t>
            </w:r>
            <w:r>
              <w:rPr>
                <w:rFonts w:ascii="宋体" w:hAnsi="宋体"/>
                <w:sz w:val="24"/>
                <w:highlight w:val="none"/>
              </w:rPr>
              <w:t>；</w:t>
            </w:r>
          </w:p>
          <w:p w14:paraId="41319465">
            <w:pPr>
              <w:numPr>
                <w:ilvl w:val="0"/>
                <w:numId w:val="25"/>
              </w:numPr>
              <w:spacing w:line="360" w:lineRule="auto"/>
              <w:rPr>
                <w:rFonts w:hint="eastAsia" w:ascii="宋体" w:hAnsi="宋体"/>
                <w:sz w:val="24"/>
                <w:highlight w:val="none"/>
              </w:rPr>
            </w:pPr>
            <w:r>
              <w:rPr>
                <w:rFonts w:ascii="宋体" w:hAnsi="宋体"/>
                <w:sz w:val="24"/>
                <w:highlight w:val="none"/>
              </w:rPr>
              <w:t>替代品与合同中约定的产品之间的差异以及使用替代品后可能对工程产生的任何影响；</w:t>
            </w:r>
          </w:p>
          <w:p w14:paraId="68B93964">
            <w:pPr>
              <w:numPr>
                <w:ilvl w:val="0"/>
                <w:numId w:val="25"/>
              </w:numPr>
              <w:spacing w:line="360" w:lineRule="auto"/>
              <w:rPr>
                <w:rFonts w:hint="eastAsia" w:ascii="宋体" w:hAnsi="宋体"/>
                <w:sz w:val="24"/>
                <w:highlight w:val="none"/>
              </w:rPr>
            </w:pPr>
            <w:r>
              <w:rPr>
                <w:rFonts w:ascii="宋体" w:hAnsi="宋体"/>
                <w:sz w:val="24"/>
                <w:highlight w:val="none"/>
              </w:rPr>
              <w:t>价格上</w:t>
            </w:r>
            <w:r>
              <w:rPr>
                <w:rFonts w:hint="eastAsia" w:ascii="宋体" w:hAnsi="宋体"/>
                <w:sz w:val="24"/>
                <w:highlight w:val="none"/>
              </w:rPr>
              <w:t>的</w:t>
            </w:r>
            <w:r>
              <w:rPr>
                <w:rFonts w:ascii="宋体" w:hAnsi="宋体"/>
                <w:sz w:val="24"/>
                <w:highlight w:val="none"/>
              </w:rPr>
              <w:t>差异；</w:t>
            </w:r>
          </w:p>
          <w:p w14:paraId="4B537AE7">
            <w:pPr>
              <w:numPr>
                <w:ilvl w:val="0"/>
                <w:numId w:val="25"/>
              </w:numPr>
              <w:spacing w:line="360" w:lineRule="auto"/>
              <w:rPr>
                <w:rFonts w:hint="eastAsia" w:ascii="宋体" w:hAnsi="宋体"/>
                <w:sz w:val="24"/>
                <w:highlight w:val="none"/>
              </w:rPr>
            </w:pPr>
            <w:r>
              <w:rPr>
                <w:rFonts w:ascii="宋体" w:hAnsi="宋体"/>
                <w:sz w:val="24"/>
                <w:highlight w:val="none"/>
              </w:rPr>
              <w:t>监理人为做出适当的决定而随时要求承包人提供的任何其他文件。</w:t>
            </w:r>
          </w:p>
          <w:p w14:paraId="640133E3">
            <w:pPr>
              <w:spacing w:line="360" w:lineRule="auto"/>
              <w:rPr>
                <w:rFonts w:hint="eastAsia" w:ascii="宋体" w:hAnsi="宋体"/>
                <w:sz w:val="24"/>
                <w:highlight w:val="none"/>
              </w:rPr>
            </w:pPr>
            <w:r>
              <w:rPr>
                <w:rFonts w:ascii="宋体" w:hAnsi="宋体"/>
                <w:sz w:val="24"/>
                <w:highlight w:val="none"/>
              </w:rPr>
              <w:t>监理人在收到此类通知及上述文件后，应在28天内向承包人给出书面指示。如果28天内监理人未给出书面指示，应视为监理人和发包人已经批准使用上述替代品，承包人可以据此使用替代品。</w:t>
            </w:r>
          </w:p>
        </w:tc>
      </w:tr>
      <w:tr w14:paraId="1D5F1E15">
        <w:tblPrEx>
          <w:tblCellMar>
            <w:top w:w="0" w:type="dxa"/>
            <w:left w:w="108" w:type="dxa"/>
            <w:bottom w:w="0" w:type="dxa"/>
            <w:right w:w="108" w:type="dxa"/>
          </w:tblCellMar>
        </w:tblPrEx>
        <w:trPr>
          <w:gridAfter w:val="1"/>
          <w:wAfter w:w="57" w:type="dxa"/>
          <w:trHeight w:val="269" w:hRule="atLeast"/>
        </w:trPr>
        <w:tc>
          <w:tcPr>
            <w:tcW w:w="1398" w:type="dxa"/>
            <w:noWrap w:val="0"/>
            <w:vAlign w:val="top"/>
          </w:tcPr>
          <w:p w14:paraId="78012F68">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3</w:t>
            </w:r>
          </w:p>
        </w:tc>
        <w:tc>
          <w:tcPr>
            <w:tcW w:w="7391" w:type="dxa"/>
            <w:noWrap w:val="0"/>
            <w:vAlign w:val="top"/>
          </w:tcPr>
          <w:p w14:paraId="5C0D4D12">
            <w:pPr>
              <w:spacing w:line="360" w:lineRule="auto"/>
              <w:rPr>
                <w:rFonts w:hint="eastAsia" w:ascii="宋体" w:hAnsi="宋体"/>
                <w:sz w:val="24"/>
                <w:highlight w:val="none"/>
              </w:rPr>
            </w:pPr>
            <w:r>
              <w:rPr>
                <w:rFonts w:ascii="宋体" w:hAnsi="宋体"/>
                <w:sz w:val="24"/>
                <w:highlight w:val="none"/>
              </w:rPr>
              <w:t>任何情况下，替代品都应遵守本合同中对</w:t>
            </w:r>
            <w:r>
              <w:rPr>
                <w:rFonts w:hint="eastAsia" w:ascii="宋体" w:hAnsi="宋体"/>
                <w:sz w:val="24"/>
                <w:highlight w:val="none"/>
              </w:rPr>
              <w:t>相关</w:t>
            </w:r>
            <w:r>
              <w:rPr>
                <w:rFonts w:ascii="宋体" w:hAnsi="宋体"/>
                <w:sz w:val="24"/>
                <w:highlight w:val="none"/>
              </w:rPr>
              <w:t>材料和工程设备的</w:t>
            </w:r>
            <w:r>
              <w:rPr>
                <w:rFonts w:hint="eastAsia" w:ascii="宋体" w:hAnsi="宋体"/>
                <w:sz w:val="24"/>
                <w:highlight w:val="none"/>
              </w:rPr>
              <w:t>要求</w:t>
            </w:r>
            <w:r>
              <w:rPr>
                <w:rFonts w:ascii="宋体" w:hAnsi="宋体"/>
                <w:sz w:val="24"/>
                <w:highlight w:val="none"/>
              </w:rPr>
              <w:t>。</w:t>
            </w:r>
          </w:p>
        </w:tc>
      </w:tr>
      <w:tr w14:paraId="11F55902">
        <w:tblPrEx>
          <w:tblCellMar>
            <w:top w:w="0" w:type="dxa"/>
            <w:left w:w="108" w:type="dxa"/>
            <w:bottom w:w="0" w:type="dxa"/>
            <w:right w:w="108" w:type="dxa"/>
          </w:tblCellMar>
        </w:tblPrEx>
        <w:trPr>
          <w:gridAfter w:val="1"/>
          <w:wAfter w:w="57" w:type="dxa"/>
        </w:trPr>
        <w:tc>
          <w:tcPr>
            <w:tcW w:w="1398" w:type="dxa"/>
            <w:noWrap w:val="0"/>
            <w:vAlign w:val="top"/>
          </w:tcPr>
          <w:p w14:paraId="66C8E0F1">
            <w:pPr>
              <w:spacing w:line="360" w:lineRule="auto"/>
              <w:rPr>
                <w:rFonts w:hint="eastAsia"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4</w:t>
            </w:r>
          </w:p>
        </w:tc>
        <w:tc>
          <w:tcPr>
            <w:tcW w:w="7391" w:type="dxa"/>
            <w:noWrap w:val="0"/>
            <w:vAlign w:val="top"/>
          </w:tcPr>
          <w:p w14:paraId="1A41682B">
            <w:pPr>
              <w:spacing w:line="360" w:lineRule="auto"/>
              <w:rPr>
                <w:rFonts w:hint="eastAsia" w:ascii="宋体" w:hAnsi="宋体"/>
                <w:sz w:val="24"/>
                <w:highlight w:val="none"/>
              </w:rPr>
            </w:pPr>
            <w:r>
              <w:rPr>
                <w:rFonts w:ascii="宋体" w:hAnsi="宋体"/>
                <w:sz w:val="24"/>
                <w:highlight w:val="none"/>
              </w:rPr>
              <w:t>如果承包人根据</w:t>
            </w:r>
            <w:r>
              <w:rPr>
                <w:rFonts w:hint="eastAsia" w:ascii="宋体" w:hAnsi="宋体"/>
                <w:sz w:val="24"/>
                <w:highlight w:val="none"/>
              </w:rPr>
              <w:t>本条约定</w:t>
            </w:r>
            <w:r>
              <w:rPr>
                <w:rFonts w:ascii="宋体" w:hAnsi="宋体"/>
                <w:sz w:val="24"/>
                <w:highlight w:val="none"/>
              </w:rPr>
              <w:t>使用了替代品，</w:t>
            </w:r>
            <w:r>
              <w:rPr>
                <w:rFonts w:hint="eastAsia" w:ascii="宋体" w:hAnsi="宋体"/>
                <w:sz w:val="24"/>
                <w:highlight w:val="none"/>
              </w:rPr>
              <w:t>监理人应与承包人适当协商之后并</w:t>
            </w:r>
            <w:r>
              <w:rPr>
                <w:rFonts w:ascii="宋体" w:hAnsi="宋体"/>
                <w:sz w:val="24"/>
                <w:highlight w:val="none"/>
              </w:rPr>
              <w:t>在合理的期限内确定替代材料和工程设备与合同中约定的材料和工程设备之间的价值差值，并决定：</w:t>
            </w:r>
          </w:p>
          <w:p w14:paraId="455DBEA9">
            <w:pPr>
              <w:numPr>
                <w:ilvl w:val="0"/>
                <w:numId w:val="26"/>
              </w:numPr>
              <w:spacing w:line="360" w:lineRule="auto"/>
              <w:rPr>
                <w:rFonts w:hint="eastAsia" w:ascii="宋体" w:hAnsi="宋体"/>
                <w:sz w:val="24"/>
                <w:highlight w:val="none"/>
              </w:rPr>
            </w:pPr>
            <w:r>
              <w:rPr>
                <w:rFonts w:ascii="宋体" w:hAnsi="宋体"/>
                <w:sz w:val="24"/>
                <w:highlight w:val="none"/>
              </w:rPr>
              <w:t>如果替代材料和工程设备的价值高于合同中约定的材料和工程设备的价值，则将高出部分的价值追加到合同价格中并相应地通知承包人；</w:t>
            </w:r>
          </w:p>
          <w:p w14:paraId="016D8F7C">
            <w:pPr>
              <w:numPr>
                <w:ilvl w:val="0"/>
                <w:numId w:val="26"/>
              </w:numPr>
              <w:spacing w:line="360" w:lineRule="auto"/>
              <w:rPr>
                <w:rFonts w:hint="eastAsia" w:ascii="宋体" w:hAnsi="宋体"/>
                <w:sz w:val="24"/>
                <w:highlight w:val="none"/>
              </w:rPr>
            </w:pPr>
            <w:r>
              <w:rPr>
                <w:rFonts w:ascii="宋体" w:hAnsi="宋体"/>
                <w:sz w:val="24"/>
                <w:highlight w:val="none"/>
              </w:rPr>
              <w:t>如果替代材料和工程设备的价值低于合同中约定的材料和工程设备的价值，则将节余部分的价值从合同价格中扣除并相应地通知承包人。</w:t>
            </w:r>
          </w:p>
        </w:tc>
      </w:tr>
      <w:tr w14:paraId="408A0BBE">
        <w:tblPrEx>
          <w:tblCellMar>
            <w:top w:w="0" w:type="dxa"/>
            <w:left w:w="108" w:type="dxa"/>
            <w:bottom w:w="0" w:type="dxa"/>
            <w:right w:w="108" w:type="dxa"/>
          </w:tblCellMar>
        </w:tblPrEx>
        <w:trPr>
          <w:gridAfter w:val="1"/>
          <w:wAfter w:w="57" w:type="dxa"/>
        </w:trPr>
        <w:tc>
          <w:tcPr>
            <w:tcW w:w="8789" w:type="dxa"/>
            <w:gridSpan w:val="2"/>
            <w:noWrap w:val="0"/>
            <w:vAlign w:val="top"/>
          </w:tcPr>
          <w:p w14:paraId="7E422B6B">
            <w:pPr>
              <w:spacing w:line="360" w:lineRule="auto"/>
              <w:rPr>
                <w:rFonts w:hint="eastAsia" w:ascii="宋体" w:hAnsi="宋体"/>
                <w:b/>
                <w:bCs/>
                <w:sz w:val="24"/>
                <w:highlight w:val="none"/>
              </w:rPr>
            </w:pPr>
            <w:bookmarkStart w:id="732" w:name="_Toc342296556"/>
            <w:bookmarkStart w:id="733" w:name="_Toc448915686"/>
            <w:bookmarkStart w:id="734" w:name="_Toc241459799"/>
            <w:r>
              <w:rPr>
                <w:rFonts w:hint="eastAsia" w:ascii="宋体" w:hAnsi="宋体"/>
                <w:b/>
                <w:bCs/>
                <w:sz w:val="24"/>
                <w:highlight w:val="none"/>
              </w:rPr>
              <w:t>10.进口材料和工程设备</w:t>
            </w:r>
            <w:bookmarkEnd w:id="732"/>
            <w:bookmarkEnd w:id="733"/>
            <w:bookmarkEnd w:id="734"/>
          </w:p>
        </w:tc>
      </w:tr>
      <w:tr w14:paraId="04F88EAE">
        <w:tblPrEx>
          <w:tblCellMar>
            <w:top w:w="0" w:type="dxa"/>
            <w:left w:w="108" w:type="dxa"/>
            <w:bottom w:w="0" w:type="dxa"/>
            <w:right w:w="108" w:type="dxa"/>
          </w:tblCellMar>
        </w:tblPrEx>
        <w:trPr>
          <w:gridAfter w:val="1"/>
          <w:wAfter w:w="57" w:type="dxa"/>
        </w:trPr>
        <w:tc>
          <w:tcPr>
            <w:tcW w:w="1398" w:type="dxa"/>
            <w:noWrap w:val="0"/>
            <w:vAlign w:val="top"/>
          </w:tcPr>
          <w:p w14:paraId="0559EF16">
            <w:pPr>
              <w:spacing w:line="360" w:lineRule="auto"/>
              <w:rPr>
                <w:rFonts w:hint="eastAsia" w:ascii="宋体" w:hAnsi="宋体"/>
                <w:sz w:val="24"/>
                <w:highlight w:val="none"/>
              </w:rPr>
            </w:pP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1</w:t>
            </w:r>
          </w:p>
        </w:tc>
        <w:tc>
          <w:tcPr>
            <w:tcW w:w="7391" w:type="dxa"/>
            <w:noWrap w:val="0"/>
            <w:vAlign w:val="top"/>
          </w:tcPr>
          <w:p w14:paraId="2C081D93">
            <w:pPr>
              <w:spacing w:line="360" w:lineRule="auto"/>
              <w:rPr>
                <w:rFonts w:hint="eastAsia" w:ascii="宋体" w:hAnsi="宋体"/>
                <w:sz w:val="24"/>
                <w:highlight w:val="none"/>
              </w:rPr>
            </w:pPr>
            <w:r>
              <w:rPr>
                <w:rFonts w:hint="eastAsia" w:ascii="宋体" w:hAnsi="宋体"/>
                <w:sz w:val="24"/>
                <w:highlight w:val="none"/>
              </w:rPr>
              <w:t>本工程需要进口的材料和工程设备如下：</w:t>
            </w:r>
          </w:p>
          <w:p w14:paraId="4F3F5173">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5F8ED056">
        <w:tblPrEx>
          <w:tblCellMar>
            <w:top w:w="0" w:type="dxa"/>
            <w:left w:w="108" w:type="dxa"/>
            <w:bottom w:w="0" w:type="dxa"/>
            <w:right w:w="108" w:type="dxa"/>
          </w:tblCellMar>
        </w:tblPrEx>
        <w:trPr>
          <w:gridAfter w:val="1"/>
          <w:wAfter w:w="57" w:type="dxa"/>
        </w:trPr>
        <w:tc>
          <w:tcPr>
            <w:tcW w:w="1398" w:type="dxa"/>
            <w:noWrap w:val="0"/>
            <w:vAlign w:val="top"/>
          </w:tcPr>
          <w:p w14:paraId="04002CD2">
            <w:pPr>
              <w:spacing w:line="360" w:lineRule="auto"/>
              <w:rPr>
                <w:rFonts w:hint="eastAsia" w:ascii="宋体" w:hAnsi="宋体"/>
                <w:sz w:val="24"/>
                <w:highlight w:val="none"/>
              </w:rPr>
            </w:pP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2</w:t>
            </w:r>
          </w:p>
        </w:tc>
        <w:tc>
          <w:tcPr>
            <w:tcW w:w="7391" w:type="dxa"/>
            <w:noWrap w:val="0"/>
            <w:vAlign w:val="top"/>
          </w:tcPr>
          <w:p w14:paraId="06E4ACD5">
            <w:pPr>
              <w:spacing w:line="360" w:lineRule="auto"/>
              <w:rPr>
                <w:rFonts w:hint="eastAsia" w:ascii="宋体" w:hAnsi="宋体"/>
                <w:sz w:val="24"/>
                <w:highlight w:val="none"/>
              </w:rPr>
            </w:pPr>
            <w:r>
              <w:rPr>
                <w:rFonts w:hint="eastAsia" w:ascii="宋体" w:hAnsi="宋体"/>
                <w:sz w:val="24"/>
                <w:highlight w:val="none"/>
              </w:rPr>
              <w:t>上述进口材料和工程设备</w:t>
            </w:r>
            <w:r>
              <w:rPr>
                <w:rFonts w:ascii="宋体" w:hAnsi="宋体"/>
                <w:sz w:val="24"/>
                <w:highlight w:val="none"/>
              </w:rPr>
              <w:t>采购、进口、报关</w:t>
            </w:r>
            <w:r>
              <w:rPr>
                <w:rFonts w:hint="eastAsia" w:ascii="宋体" w:hAnsi="宋体"/>
                <w:sz w:val="24"/>
                <w:highlight w:val="none"/>
              </w:rPr>
              <w:t>、</w:t>
            </w:r>
            <w:r>
              <w:rPr>
                <w:rFonts w:ascii="宋体" w:hAnsi="宋体"/>
                <w:sz w:val="24"/>
                <w:highlight w:val="none"/>
              </w:rPr>
              <w:t>清关</w:t>
            </w:r>
            <w:r>
              <w:rPr>
                <w:rFonts w:hint="eastAsia" w:ascii="宋体" w:hAnsi="宋体"/>
                <w:sz w:val="24"/>
                <w:highlight w:val="none"/>
              </w:rPr>
              <w:t>、商检、境内运输（包括保险）、保管</w:t>
            </w:r>
            <w:r>
              <w:rPr>
                <w:rFonts w:ascii="宋体" w:hAnsi="宋体"/>
                <w:sz w:val="24"/>
                <w:highlight w:val="none"/>
              </w:rPr>
              <w:t>的责任</w:t>
            </w:r>
            <w:r>
              <w:rPr>
                <w:rFonts w:hint="eastAsia" w:ascii="宋体" w:hAnsi="宋体"/>
                <w:sz w:val="24"/>
                <w:highlight w:val="none"/>
              </w:rPr>
              <w:t>以及费用承担方式</w:t>
            </w:r>
            <w:r>
              <w:rPr>
                <w:rFonts w:ascii="宋体" w:hAnsi="宋体"/>
                <w:sz w:val="24"/>
                <w:highlight w:val="none"/>
              </w:rPr>
              <w:t>划分</w:t>
            </w:r>
            <w:r>
              <w:rPr>
                <w:rFonts w:hint="eastAsia" w:ascii="宋体" w:hAnsi="宋体"/>
                <w:sz w:val="24"/>
                <w:highlight w:val="none"/>
              </w:rPr>
              <w:t>如下：</w:t>
            </w:r>
          </w:p>
          <w:p w14:paraId="18CB210F">
            <w:pPr>
              <w:spacing w:line="36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7268DE8A">
        <w:tblPrEx>
          <w:tblCellMar>
            <w:top w:w="0" w:type="dxa"/>
            <w:left w:w="108" w:type="dxa"/>
            <w:bottom w:w="0" w:type="dxa"/>
            <w:right w:w="108" w:type="dxa"/>
          </w:tblCellMar>
        </w:tblPrEx>
        <w:trPr>
          <w:gridAfter w:val="1"/>
          <w:wAfter w:w="57" w:type="dxa"/>
        </w:trPr>
        <w:tc>
          <w:tcPr>
            <w:tcW w:w="8789" w:type="dxa"/>
            <w:gridSpan w:val="2"/>
            <w:noWrap w:val="0"/>
            <w:vAlign w:val="top"/>
          </w:tcPr>
          <w:p w14:paraId="628A8D15">
            <w:pPr>
              <w:spacing w:line="360" w:lineRule="auto"/>
              <w:rPr>
                <w:rFonts w:hint="eastAsia" w:ascii="宋体" w:hAnsi="宋体"/>
                <w:b/>
                <w:bCs/>
                <w:sz w:val="24"/>
                <w:highlight w:val="none"/>
              </w:rPr>
            </w:pPr>
            <w:bookmarkStart w:id="735" w:name="_Toc448915687"/>
            <w:bookmarkStart w:id="736" w:name="_Toc241459800"/>
            <w:bookmarkStart w:id="737" w:name="_Toc342296557"/>
            <w:r>
              <w:rPr>
                <w:rFonts w:hint="eastAsia" w:ascii="宋体" w:hAnsi="宋体"/>
                <w:b/>
                <w:bCs/>
                <w:sz w:val="24"/>
                <w:highlight w:val="none"/>
              </w:rPr>
              <w:t>11.进度报告和进度例会</w:t>
            </w:r>
            <w:bookmarkEnd w:id="735"/>
            <w:bookmarkEnd w:id="736"/>
            <w:bookmarkEnd w:id="737"/>
          </w:p>
        </w:tc>
      </w:tr>
      <w:tr w14:paraId="4376C0A0">
        <w:tblPrEx>
          <w:tblCellMar>
            <w:top w:w="0" w:type="dxa"/>
            <w:left w:w="108" w:type="dxa"/>
            <w:bottom w:w="0" w:type="dxa"/>
            <w:right w:w="108" w:type="dxa"/>
          </w:tblCellMar>
        </w:tblPrEx>
        <w:trPr>
          <w:gridAfter w:val="1"/>
          <w:wAfter w:w="57" w:type="dxa"/>
        </w:trPr>
        <w:tc>
          <w:tcPr>
            <w:tcW w:w="1398" w:type="dxa"/>
            <w:noWrap w:val="0"/>
            <w:vAlign w:val="top"/>
          </w:tcPr>
          <w:p w14:paraId="0DAAA1B0">
            <w:pPr>
              <w:spacing w:line="360" w:lineRule="auto"/>
              <w:rPr>
                <w:rFonts w:hint="eastAsia" w:ascii="宋体" w:hAnsi="宋体"/>
                <w:b/>
                <w:bCs/>
                <w:sz w:val="24"/>
                <w:highlight w:val="none"/>
              </w:rPr>
            </w:pPr>
            <w:bookmarkStart w:id="738" w:name="_Toc263259821"/>
            <w:r>
              <w:rPr>
                <w:rFonts w:hint="eastAsia" w:ascii="宋体" w:hAnsi="宋体"/>
                <w:b/>
                <w:bCs/>
                <w:sz w:val="24"/>
                <w:highlight w:val="none"/>
              </w:rPr>
              <w:t>11</w:t>
            </w:r>
            <w:r>
              <w:rPr>
                <w:rFonts w:ascii="宋体" w:hAnsi="宋体"/>
                <w:b/>
                <w:bCs/>
                <w:sz w:val="24"/>
                <w:highlight w:val="none"/>
              </w:rPr>
              <w:t>.1</w:t>
            </w:r>
            <w:bookmarkEnd w:id="738"/>
          </w:p>
        </w:tc>
        <w:tc>
          <w:tcPr>
            <w:tcW w:w="7391" w:type="dxa"/>
            <w:noWrap w:val="0"/>
            <w:vAlign w:val="top"/>
          </w:tcPr>
          <w:p w14:paraId="53384511">
            <w:pPr>
              <w:spacing w:line="360" w:lineRule="auto"/>
              <w:rPr>
                <w:rFonts w:hint="eastAsia" w:ascii="宋体" w:hAnsi="宋体"/>
                <w:b/>
                <w:bCs/>
                <w:sz w:val="24"/>
                <w:highlight w:val="none"/>
              </w:rPr>
            </w:pPr>
            <w:bookmarkStart w:id="739" w:name="_Toc263259822"/>
            <w:r>
              <w:rPr>
                <w:rFonts w:hint="eastAsia" w:ascii="宋体" w:hAnsi="宋体"/>
                <w:b/>
                <w:bCs/>
                <w:sz w:val="24"/>
                <w:highlight w:val="none"/>
              </w:rPr>
              <w:t>进度报告</w:t>
            </w:r>
            <w:bookmarkEnd w:id="739"/>
          </w:p>
        </w:tc>
      </w:tr>
      <w:tr w14:paraId="0D7E58D0">
        <w:tblPrEx>
          <w:tblCellMar>
            <w:top w:w="0" w:type="dxa"/>
            <w:left w:w="108" w:type="dxa"/>
            <w:bottom w:w="0" w:type="dxa"/>
            <w:right w:w="108" w:type="dxa"/>
          </w:tblCellMar>
        </w:tblPrEx>
        <w:trPr>
          <w:gridAfter w:val="1"/>
          <w:wAfter w:w="57" w:type="dxa"/>
        </w:trPr>
        <w:tc>
          <w:tcPr>
            <w:tcW w:w="1398" w:type="dxa"/>
            <w:noWrap w:val="0"/>
            <w:vAlign w:val="top"/>
          </w:tcPr>
          <w:p w14:paraId="5B055193">
            <w:pPr>
              <w:spacing w:line="360" w:lineRule="auto"/>
              <w:rPr>
                <w:rFonts w:hint="eastAsia" w:ascii="宋体" w:hAnsi="宋体"/>
                <w:sz w:val="24"/>
                <w:highlight w:val="none"/>
              </w:rPr>
            </w:pPr>
            <w:r>
              <w:rPr>
                <w:rFonts w:hint="eastAsia" w:ascii="宋体" w:hAnsi="宋体"/>
                <w:sz w:val="24"/>
                <w:highlight w:val="none"/>
              </w:rPr>
              <w:t>11</w:t>
            </w:r>
            <w:r>
              <w:rPr>
                <w:rFonts w:ascii="宋体" w:hAnsi="宋体"/>
                <w:sz w:val="24"/>
                <w:highlight w:val="none"/>
              </w:rPr>
              <w:t>.1</w:t>
            </w:r>
            <w:r>
              <w:rPr>
                <w:rFonts w:hint="eastAsia" w:ascii="宋体" w:hAnsi="宋体"/>
                <w:sz w:val="24"/>
                <w:highlight w:val="none"/>
              </w:rPr>
              <w:t>.1</w:t>
            </w:r>
          </w:p>
        </w:tc>
        <w:tc>
          <w:tcPr>
            <w:tcW w:w="7391" w:type="dxa"/>
            <w:noWrap w:val="0"/>
            <w:vAlign w:val="top"/>
          </w:tcPr>
          <w:p w14:paraId="3870CC4B">
            <w:pPr>
              <w:spacing w:line="360" w:lineRule="auto"/>
              <w:rPr>
                <w:rFonts w:hint="eastAsia" w:ascii="宋体" w:hAnsi="宋体"/>
                <w:sz w:val="24"/>
                <w:highlight w:val="none"/>
              </w:rPr>
            </w:pPr>
            <w:r>
              <w:rPr>
                <w:rFonts w:hint="eastAsia" w:ascii="宋体" w:hAnsi="宋体"/>
                <w:sz w:val="24"/>
                <w:highlight w:val="none"/>
              </w:rPr>
              <w:t>施工过程中，</w:t>
            </w:r>
            <w:r>
              <w:rPr>
                <w:rFonts w:ascii="宋体" w:hAnsi="宋体"/>
                <w:sz w:val="24"/>
                <w:highlight w:val="none"/>
              </w:rPr>
              <w:t>承包人应向监理人指定的代表呈递一份每日的日进度报表</w:t>
            </w:r>
            <w:r>
              <w:rPr>
                <w:rFonts w:hint="eastAsia" w:ascii="宋体" w:hAnsi="宋体"/>
                <w:sz w:val="24"/>
                <w:highlight w:val="none"/>
              </w:rPr>
              <w:t>、</w:t>
            </w:r>
            <w:r>
              <w:rPr>
                <w:rFonts w:ascii="宋体" w:hAnsi="宋体"/>
                <w:sz w:val="24"/>
                <w:highlight w:val="none"/>
              </w:rPr>
              <w:t>每周的周进度报表</w:t>
            </w:r>
            <w:r>
              <w:rPr>
                <w:rFonts w:hint="eastAsia" w:ascii="宋体" w:hAnsi="宋体"/>
                <w:sz w:val="24"/>
                <w:highlight w:val="none"/>
              </w:rPr>
              <w:t>和每月的月进度报表。</w:t>
            </w:r>
            <w:r>
              <w:rPr>
                <w:rFonts w:ascii="宋体" w:hAnsi="宋体"/>
                <w:sz w:val="24"/>
                <w:highlight w:val="none"/>
              </w:rPr>
              <w:t>除非监理人同意，日进度报表应在次日上午九点前递交，周进度报表应在次周的周一上午九时前递交</w:t>
            </w:r>
            <w:r>
              <w:rPr>
                <w:rFonts w:hint="eastAsia" w:ascii="宋体" w:hAnsi="宋体"/>
                <w:sz w:val="24"/>
                <w:highlight w:val="none"/>
              </w:rPr>
              <w:t>，月进度报表应随合同条款第17.3.2项约定的进度付款申请单一并递交</w:t>
            </w:r>
            <w:r>
              <w:rPr>
                <w:rFonts w:ascii="宋体" w:hAnsi="宋体"/>
                <w:sz w:val="24"/>
                <w:highlight w:val="none"/>
              </w:rPr>
              <w:t>。</w:t>
            </w:r>
          </w:p>
        </w:tc>
      </w:tr>
      <w:tr w14:paraId="692A477D">
        <w:tblPrEx>
          <w:tblCellMar>
            <w:top w:w="0" w:type="dxa"/>
            <w:left w:w="108" w:type="dxa"/>
            <w:bottom w:w="0" w:type="dxa"/>
            <w:right w:w="108" w:type="dxa"/>
          </w:tblCellMar>
        </w:tblPrEx>
        <w:trPr>
          <w:gridAfter w:val="1"/>
          <w:wAfter w:w="57" w:type="dxa"/>
        </w:trPr>
        <w:tc>
          <w:tcPr>
            <w:tcW w:w="1398" w:type="dxa"/>
            <w:noWrap w:val="0"/>
            <w:vAlign w:val="top"/>
          </w:tcPr>
          <w:p w14:paraId="107F68F7">
            <w:pPr>
              <w:spacing w:line="36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w:t>
            </w:r>
            <w:r>
              <w:rPr>
                <w:rFonts w:ascii="宋体" w:hAnsi="宋体"/>
                <w:sz w:val="24"/>
                <w:highlight w:val="none"/>
              </w:rPr>
              <w:t>2</w:t>
            </w:r>
          </w:p>
        </w:tc>
        <w:tc>
          <w:tcPr>
            <w:tcW w:w="7391" w:type="dxa"/>
            <w:noWrap w:val="0"/>
            <w:vAlign w:val="top"/>
          </w:tcPr>
          <w:p w14:paraId="572FB405">
            <w:pPr>
              <w:spacing w:line="360" w:lineRule="auto"/>
              <w:rPr>
                <w:rFonts w:hint="eastAsia" w:ascii="宋体" w:hAnsi="宋体"/>
                <w:sz w:val="24"/>
                <w:highlight w:val="none"/>
              </w:rPr>
            </w:pPr>
            <w:r>
              <w:rPr>
                <w:rFonts w:ascii="宋体" w:hAnsi="宋体"/>
                <w:sz w:val="24"/>
                <w:highlight w:val="none"/>
              </w:rPr>
              <w:t>日</w:t>
            </w:r>
            <w:r>
              <w:rPr>
                <w:rFonts w:hint="eastAsia" w:ascii="宋体" w:hAnsi="宋体"/>
                <w:sz w:val="24"/>
                <w:highlight w:val="none"/>
              </w:rPr>
              <w:t>和</w:t>
            </w:r>
            <w:r>
              <w:rPr>
                <w:rFonts w:ascii="宋体" w:hAnsi="宋体"/>
                <w:sz w:val="24"/>
                <w:highlight w:val="none"/>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Pr>
                <w:rFonts w:hint="eastAsia" w:ascii="宋体" w:hAnsi="宋体"/>
                <w:sz w:val="24"/>
                <w:highlight w:val="none"/>
              </w:rPr>
              <w:t>以及</w:t>
            </w:r>
            <w:r>
              <w:rPr>
                <w:rFonts w:ascii="宋体" w:hAnsi="宋体"/>
                <w:sz w:val="24"/>
                <w:highlight w:val="none"/>
              </w:rPr>
              <w:t>工程进度情况、天气情况记录、停工、</w:t>
            </w:r>
            <w:r>
              <w:rPr>
                <w:rFonts w:hint="eastAsia" w:ascii="宋体" w:hAnsi="宋体"/>
                <w:sz w:val="24"/>
                <w:highlight w:val="none"/>
              </w:rPr>
              <w:t>质量和安全</w:t>
            </w:r>
            <w:r>
              <w:rPr>
                <w:rFonts w:ascii="宋体" w:hAnsi="宋体"/>
                <w:sz w:val="24"/>
                <w:highlight w:val="none"/>
              </w:rPr>
              <w:t>事故等特别事项说明；此外，应附上每日进场材料、物品或设备的分类汇总表、用于次日</w:t>
            </w:r>
            <w:r>
              <w:rPr>
                <w:rFonts w:hint="eastAsia" w:ascii="宋体" w:hAnsi="宋体"/>
                <w:sz w:val="24"/>
                <w:highlight w:val="none"/>
              </w:rPr>
              <w:t>或</w:t>
            </w:r>
            <w:r>
              <w:rPr>
                <w:rFonts w:ascii="宋体" w:hAnsi="宋体"/>
                <w:sz w:val="24"/>
                <w:highlight w:val="none"/>
              </w:rPr>
              <w:t>次周的工程进度计划等。</w:t>
            </w:r>
          </w:p>
        </w:tc>
      </w:tr>
      <w:tr w14:paraId="05E47DFE">
        <w:tblPrEx>
          <w:tblCellMar>
            <w:top w:w="0" w:type="dxa"/>
            <w:left w:w="108" w:type="dxa"/>
            <w:bottom w:w="0" w:type="dxa"/>
            <w:right w:w="108" w:type="dxa"/>
          </w:tblCellMar>
        </w:tblPrEx>
        <w:trPr>
          <w:gridAfter w:val="1"/>
          <w:wAfter w:w="57" w:type="dxa"/>
        </w:trPr>
        <w:tc>
          <w:tcPr>
            <w:tcW w:w="1398" w:type="dxa"/>
            <w:noWrap w:val="0"/>
            <w:vAlign w:val="top"/>
          </w:tcPr>
          <w:p w14:paraId="06D56CF0">
            <w:pPr>
              <w:spacing w:line="36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w:t>
            </w:r>
            <w:r>
              <w:rPr>
                <w:rFonts w:ascii="宋体" w:hAnsi="宋体"/>
                <w:sz w:val="24"/>
                <w:highlight w:val="none"/>
              </w:rPr>
              <w:t>3</w:t>
            </w:r>
          </w:p>
        </w:tc>
        <w:tc>
          <w:tcPr>
            <w:tcW w:w="7391" w:type="dxa"/>
            <w:noWrap w:val="0"/>
            <w:vAlign w:val="top"/>
          </w:tcPr>
          <w:p w14:paraId="340A3850">
            <w:pPr>
              <w:spacing w:line="360" w:lineRule="auto"/>
              <w:rPr>
                <w:rFonts w:hint="eastAsia" w:ascii="宋体" w:hAnsi="宋体"/>
                <w:sz w:val="24"/>
                <w:highlight w:val="none"/>
              </w:rPr>
            </w:pPr>
            <w:r>
              <w:rPr>
                <w:rFonts w:hint="eastAsia" w:ascii="宋体" w:hAnsi="宋体"/>
                <w:sz w:val="24"/>
                <w:highlight w:val="none"/>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tc>
      </w:tr>
      <w:tr w14:paraId="62BBA211">
        <w:tblPrEx>
          <w:tblCellMar>
            <w:top w:w="0" w:type="dxa"/>
            <w:left w:w="108" w:type="dxa"/>
            <w:bottom w:w="0" w:type="dxa"/>
            <w:right w:w="108" w:type="dxa"/>
          </w:tblCellMar>
        </w:tblPrEx>
        <w:trPr>
          <w:gridAfter w:val="1"/>
          <w:wAfter w:w="57" w:type="dxa"/>
        </w:trPr>
        <w:tc>
          <w:tcPr>
            <w:tcW w:w="1398" w:type="dxa"/>
            <w:noWrap w:val="0"/>
            <w:vAlign w:val="top"/>
          </w:tcPr>
          <w:p w14:paraId="3B821BD8">
            <w:pPr>
              <w:spacing w:line="360" w:lineRule="auto"/>
              <w:rPr>
                <w:rFonts w:hint="eastAsia" w:ascii="宋体" w:hAnsi="宋体"/>
                <w:sz w:val="24"/>
                <w:highlight w:val="none"/>
              </w:rPr>
            </w:pPr>
            <w:r>
              <w:rPr>
                <w:rFonts w:hint="eastAsia" w:ascii="宋体" w:hAnsi="宋体"/>
                <w:sz w:val="24"/>
                <w:highlight w:val="none"/>
              </w:rPr>
              <w:t>11.1.4</w:t>
            </w:r>
          </w:p>
        </w:tc>
        <w:tc>
          <w:tcPr>
            <w:tcW w:w="7391" w:type="dxa"/>
            <w:noWrap w:val="0"/>
            <w:vAlign w:val="top"/>
          </w:tcPr>
          <w:p w14:paraId="730C19A8">
            <w:pPr>
              <w:spacing w:line="360" w:lineRule="auto"/>
              <w:rPr>
                <w:rFonts w:hint="eastAsia" w:ascii="宋体" w:hAnsi="宋体"/>
                <w:sz w:val="24"/>
                <w:highlight w:val="none"/>
              </w:rPr>
            </w:pPr>
            <w:r>
              <w:rPr>
                <w:rFonts w:hint="eastAsia" w:ascii="宋体" w:hAnsi="宋体"/>
                <w:sz w:val="24"/>
                <w:highlight w:val="none"/>
              </w:rPr>
              <w:t>月进度报告还应附有一组充分显示工程形象进度的定点摄影照片。照片应当</w:t>
            </w:r>
            <w:r>
              <w:rPr>
                <w:rFonts w:ascii="宋体" w:hAnsi="宋体"/>
                <w:sz w:val="24"/>
                <w:highlight w:val="none"/>
              </w:rPr>
              <w:t>在经监理人批准的不同位置定期拍摄，每张照片都应标上相应的拍摄日期和简要文字说明</w:t>
            </w:r>
            <w:r>
              <w:rPr>
                <w:rFonts w:hint="eastAsia" w:ascii="宋体" w:hAnsi="宋体"/>
                <w:sz w:val="24"/>
                <w:highlight w:val="none"/>
              </w:rPr>
              <w:t>，</w:t>
            </w:r>
            <w:r>
              <w:rPr>
                <w:rFonts w:ascii="宋体" w:hAnsi="宋体"/>
                <w:sz w:val="24"/>
                <w:highlight w:val="none"/>
              </w:rPr>
              <w:t>且应用经发包人和监理人批准的标准或格式装裱后呈交。</w:t>
            </w:r>
          </w:p>
        </w:tc>
      </w:tr>
      <w:tr w14:paraId="08D1CA41">
        <w:tblPrEx>
          <w:tblCellMar>
            <w:top w:w="0" w:type="dxa"/>
            <w:left w:w="108" w:type="dxa"/>
            <w:bottom w:w="0" w:type="dxa"/>
            <w:right w:w="108" w:type="dxa"/>
          </w:tblCellMar>
        </w:tblPrEx>
        <w:trPr>
          <w:gridAfter w:val="1"/>
          <w:wAfter w:w="57" w:type="dxa"/>
        </w:trPr>
        <w:tc>
          <w:tcPr>
            <w:tcW w:w="1398" w:type="dxa"/>
            <w:noWrap w:val="0"/>
            <w:vAlign w:val="top"/>
          </w:tcPr>
          <w:p w14:paraId="2DDBDF10">
            <w:pPr>
              <w:spacing w:line="36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w:t>
            </w:r>
            <w:r>
              <w:rPr>
                <w:rFonts w:ascii="宋体" w:hAnsi="宋体"/>
                <w:sz w:val="24"/>
                <w:highlight w:val="none"/>
              </w:rPr>
              <w:t>5</w:t>
            </w:r>
          </w:p>
        </w:tc>
        <w:tc>
          <w:tcPr>
            <w:tcW w:w="7391" w:type="dxa"/>
            <w:noWrap w:val="0"/>
            <w:vAlign w:val="top"/>
          </w:tcPr>
          <w:p w14:paraId="2EB31027">
            <w:pPr>
              <w:spacing w:line="360" w:lineRule="auto"/>
              <w:rPr>
                <w:rFonts w:hint="eastAsia" w:ascii="宋体" w:hAnsi="宋体"/>
                <w:sz w:val="24"/>
                <w:highlight w:val="none"/>
              </w:rPr>
            </w:pPr>
            <w:r>
              <w:rPr>
                <w:rFonts w:hint="eastAsia" w:ascii="宋体" w:hAnsi="宋体"/>
                <w:sz w:val="24"/>
                <w:highlight w:val="none"/>
              </w:rPr>
              <w:t>各个</w:t>
            </w:r>
            <w:r>
              <w:rPr>
                <w:rFonts w:ascii="宋体" w:hAnsi="宋体"/>
                <w:sz w:val="24"/>
                <w:highlight w:val="none"/>
              </w:rPr>
              <w:t>进度报表的格式和内容应经过监理人的审批。进度报表应如实填写，由承包人授权代表签名，并报监理人的指定代表签名确认后再行分发。</w:t>
            </w:r>
          </w:p>
        </w:tc>
      </w:tr>
      <w:tr w14:paraId="52D5C377">
        <w:tblPrEx>
          <w:tblCellMar>
            <w:top w:w="0" w:type="dxa"/>
            <w:left w:w="108" w:type="dxa"/>
            <w:bottom w:w="0" w:type="dxa"/>
            <w:right w:w="108" w:type="dxa"/>
          </w:tblCellMar>
        </w:tblPrEx>
        <w:trPr>
          <w:trHeight w:val="7797" w:hRule="atLeast"/>
        </w:trPr>
        <w:tc>
          <w:tcPr>
            <w:tcW w:w="8846" w:type="dxa"/>
            <w:gridSpan w:val="3"/>
            <w:noWrap w:val="0"/>
            <w:vAlign w:val="top"/>
          </w:tcPr>
          <w:p w14:paraId="684DEED0">
            <w:pPr>
              <w:rPr>
                <w:rFonts w:hint="eastAsia" w:ascii="宋体" w:hAnsi="宋体"/>
                <w:sz w:val="24"/>
                <w:highlight w:val="none"/>
              </w:rPr>
            </w:pPr>
          </w:p>
          <w:tbl>
            <w:tblPr>
              <w:tblStyle w:val="61"/>
              <w:tblW w:w="0" w:type="auto"/>
              <w:tblInd w:w="108" w:type="dxa"/>
              <w:tblLayout w:type="fixed"/>
              <w:tblCellMar>
                <w:top w:w="0" w:type="dxa"/>
                <w:left w:w="108" w:type="dxa"/>
                <w:bottom w:w="0" w:type="dxa"/>
                <w:right w:w="108" w:type="dxa"/>
              </w:tblCellMar>
            </w:tblPr>
            <w:tblGrid>
              <w:gridCol w:w="993"/>
              <w:gridCol w:w="7580"/>
            </w:tblGrid>
            <w:tr w14:paraId="47A206AC">
              <w:tblPrEx>
                <w:tblCellMar>
                  <w:top w:w="0" w:type="dxa"/>
                  <w:left w:w="108" w:type="dxa"/>
                  <w:bottom w:w="0" w:type="dxa"/>
                  <w:right w:w="108" w:type="dxa"/>
                </w:tblCellMar>
              </w:tblPrEx>
              <w:tc>
                <w:tcPr>
                  <w:tcW w:w="993" w:type="dxa"/>
                  <w:noWrap w:val="0"/>
                  <w:vAlign w:val="top"/>
                </w:tcPr>
                <w:p w14:paraId="6711B18F">
                  <w:pPr>
                    <w:spacing w:after="120" w:afterLines="50" w:line="300" w:lineRule="auto"/>
                    <w:rPr>
                      <w:rFonts w:hint="eastAsia" w:ascii="宋体" w:hAnsi="宋体"/>
                      <w:sz w:val="24"/>
                      <w:highlight w:val="none"/>
                    </w:rPr>
                  </w:pPr>
                  <w:bookmarkStart w:id="740" w:name="_Toc241459805"/>
                  <w:bookmarkStart w:id="741" w:name="_Toc342296562"/>
                  <w:bookmarkStart w:id="742" w:name="_Toc448915694"/>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w:t>
                  </w:r>
                  <w:r>
                    <w:rPr>
                      <w:rFonts w:ascii="宋体" w:hAnsi="宋体"/>
                      <w:sz w:val="24"/>
                      <w:highlight w:val="none"/>
                    </w:rPr>
                    <w:t>6</w:t>
                  </w:r>
                </w:p>
              </w:tc>
              <w:tc>
                <w:tcPr>
                  <w:tcW w:w="7580" w:type="dxa"/>
                  <w:noWrap w:val="0"/>
                  <w:vAlign w:val="top"/>
                </w:tcPr>
                <w:p w14:paraId="765DAE2C">
                  <w:pPr>
                    <w:spacing w:after="120" w:afterLines="50" w:line="300" w:lineRule="auto"/>
                    <w:rPr>
                      <w:rFonts w:hint="eastAsia" w:ascii="宋体" w:hAnsi="宋体"/>
                      <w:sz w:val="24"/>
                      <w:highlight w:val="none"/>
                    </w:rPr>
                  </w:pPr>
                  <w:r>
                    <w:rPr>
                      <w:rFonts w:hint="eastAsia" w:ascii="宋体" w:hAnsi="宋体"/>
                      <w:sz w:val="24"/>
                      <w:highlight w:val="none"/>
                    </w:rPr>
                    <w:t>如果监理人认为必要，</w:t>
                  </w:r>
                  <w:r>
                    <w:rPr>
                      <w:rFonts w:ascii="宋体" w:hAnsi="宋体"/>
                      <w:sz w:val="24"/>
                      <w:highlight w:val="none"/>
                    </w:rPr>
                    <w:t>进度报告和进度照片应同时以存储在磁盘或光盘中的数据文件的形式递交给发包人和监理人。数据文件采用的应用软件及其版本应经过监理人的审批。</w:t>
                  </w:r>
                </w:p>
              </w:tc>
            </w:tr>
            <w:tr w14:paraId="7CDAFCA8">
              <w:tblPrEx>
                <w:tblCellMar>
                  <w:top w:w="0" w:type="dxa"/>
                  <w:left w:w="108" w:type="dxa"/>
                  <w:bottom w:w="0" w:type="dxa"/>
                  <w:right w:w="108" w:type="dxa"/>
                </w:tblCellMar>
              </w:tblPrEx>
              <w:tc>
                <w:tcPr>
                  <w:tcW w:w="993" w:type="dxa"/>
                  <w:noWrap w:val="0"/>
                  <w:vAlign w:val="top"/>
                </w:tcPr>
                <w:p w14:paraId="7D995973">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w:t>
                  </w:r>
                  <w:r>
                    <w:rPr>
                      <w:rFonts w:ascii="宋体" w:hAnsi="宋体"/>
                      <w:sz w:val="24"/>
                      <w:highlight w:val="none"/>
                    </w:rPr>
                    <w:t>7</w:t>
                  </w:r>
                </w:p>
              </w:tc>
              <w:tc>
                <w:tcPr>
                  <w:tcW w:w="7580" w:type="dxa"/>
                  <w:noWrap w:val="0"/>
                  <w:vAlign w:val="top"/>
                </w:tcPr>
                <w:p w14:paraId="0C83A560">
                  <w:pPr>
                    <w:spacing w:after="120" w:afterLines="50" w:line="300" w:lineRule="auto"/>
                    <w:rPr>
                      <w:rFonts w:hint="eastAsia" w:ascii="宋体" w:hAnsi="宋体"/>
                      <w:sz w:val="24"/>
                      <w:highlight w:val="none"/>
                    </w:rPr>
                  </w:pPr>
                  <w:bookmarkStart w:id="743" w:name="_Toc448915688"/>
                  <w:bookmarkStart w:id="744" w:name="_Toc448914596"/>
                  <w:r>
                    <w:rPr>
                      <w:rFonts w:hint="eastAsia" w:ascii="宋体" w:hAnsi="宋体"/>
                      <w:sz w:val="24"/>
                      <w:highlight w:val="none"/>
                    </w:rPr>
                    <w:t>有关进度报告的其他要求：</w:t>
                  </w:r>
                  <w:bookmarkEnd w:id="743"/>
                  <w:bookmarkEnd w:id="744"/>
                </w:p>
                <w:p w14:paraId="1EA6101A">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1EAB1F80">
              <w:tblPrEx>
                <w:tblCellMar>
                  <w:top w:w="0" w:type="dxa"/>
                  <w:left w:w="108" w:type="dxa"/>
                  <w:bottom w:w="0" w:type="dxa"/>
                  <w:right w:w="108" w:type="dxa"/>
                </w:tblCellMar>
              </w:tblPrEx>
              <w:tc>
                <w:tcPr>
                  <w:tcW w:w="993" w:type="dxa"/>
                  <w:noWrap w:val="0"/>
                  <w:vAlign w:val="top"/>
                </w:tcPr>
                <w:p w14:paraId="30469E7F">
                  <w:pPr>
                    <w:spacing w:after="120" w:afterLines="50" w:line="300" w:lineRule="auto"/>
                    <w:outlineLvl w:val="3"/>
                    <w:rPr>
                      <w:rFonts w:hint="eastAsia" w:ascii="宋体" w:hAnsi="宋体"/>
                      <w:b/>
                      <w:bCs/>
                      <w:sz w:val="24"/>
                      <w:highlight w:val="none"/>
                    </w:rPr>
                  </w:pPr>
                  <w:bookmarkStart w:id="745" w:name="_Toc263259823"/>
                  <w:r>
                    <w:rPr>
                      <w:rFonts w:ascii="宋体" w:hAnsi="宋体"/>
                      <w:b/>
                      <w:bCs/>
                      <w:sz w:val="24"/>
                      <w:highlight w:val="none"/>
                    </w:rPr>
                    <w:t>1</w:t>
                  </w:r>
                  <w:r>
                    <w:rPr>
                      <w:rFonts w:hint="eastAsia" w:ascii="宋体" w:hAnsi="宋体"/>
                      <w:b/>
                      <w:bCs/>
                      <w:sz w:val="24"/>
                      <w:highlight w:val="none"/>
                    </w:rPr>
                    <w:t>1</w:t>
                  </w:r>
                  <w:r>
                    <w:rPr>
                      <w:rFonts w:ascii="宋体" w:hAnsi="宋体"/>
                      <w:b/>
                      <w:bCs/>
                      <w:sz w:val="24"/>
                      <w:highlight w:val="none"/>
                    </w:rPr>
                    <w:t>.</w:t>
                  </w:r>
                  <w:r>
                    <w:rPr>
                      <w:rFonts w:hint="eastAsia" w:ascii="宋体" w:hAnsi="宋体"/>
                      <w:b/>
                      <w:bCs/>
                      <w:sz w:val="24"/>
                      <w:highlight w:val="none"/>
                    </w:rPr>
                    <w:t>2</w:t>
                  </w:r>
                  <w:bookmarkEnd w:id="745"/>
                </w:p>
              </w:tc>
              <w:tc>
                <w:tcPr>
                  <w:tcW w:w="7580" w:type="dxa"/>
                  <w:noWrap w:val="0"/>
                  <w:vAlign w:val="top"/>
                </w:tcPr>
                <w:p w14:paraId="53E9FFAE">
                  <w:pPr>
                    <w:spacing w:after="120" w:afterLines="50" w:line="300" w:lineRule="auto"/>
                    <w:outlineLvl w:val="3"/>
                    <w:rPr>
                      <w:rFonts w:hint="eastAsia" w:ascii="宋体" w:hAnsi="宋体"/>
                      <w:b/>
                      <w:bCs/>
                      <w:sz w:val="24"/>
                      <w:highlight w:val="none"/>
                    </w:rPr>
                  </w:pPr>
                  <w:bookmarkStart w:id="746" w:name="_Toc263259824"/>
                  <w:r>
                    <w:rPr>
                      <w:rFonts w:hint="eastAsia" w:ascii="宋体" w:hAnsi="宋体"/>
                      <w:b/>
                      <w:bCs/>
                      <w:sz w:val="24"/>
                      <w:highlight w:val="none"/>
                    </w:rPr>
                    <w:t>进度例会</w:t>
                  </w:r>
                  <w:bookmarkEnd w:id="746"/>
                </w:p>
              </w:tc>
            </w:tr>
            <w:tr w14:paraId="66A46893">
              <w:tblPrEx>
                <w:tblCellMar>
                  <w:top w:w="0" w:type="dxa"/>
                  <w:left w:w="108" w:type="dxa"/>
                  <w:bottom w:w="0" w:type="dxa"/>
                  <w:right w:w="108" w:type="dxa"/>
                </w:tblCellMar>
              </w:tblPrEx>
              <w:tc>
                <w:tcPr>
                  <w:tcW w:w="993" w:type="dxa"/>
                  <w:noWrap w:val="0"/>
                  <w:vAlign w:val="top"/>
                </w:tcPr>
                <w:p w14:paraId="61E860A7">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r>
                    <w:rPr>
                      <w:rFonts w:ascii="宋体" w:hAnsi="宋体"/>
                      <w:sz w:val="24"/>
                      <w:highlight w:val="none"/>
                    </w:rPr>
                    <w:t>1</w:t>
                  </w:r>
                </w:p>
              </w:tc>
              <w:tc>
                <w:tcPr>
                  <w:tcW w:w="7580" w:type="dxa"/>
                  <w:noWrap w:val="0"/>
                  <w:vAlign w:val="top"/>
                </w:tcPr>
                <w:p w14:paraId="67CD1726">
                  <w:pPr>
                    <w:spacing w:after="120" w:afterLines="50" w:line="300" w:lineRule="auto"/>
                    <w:rPr>
                      <w:rFonts w:hint="eastAsia" w:ascii="宋体" w:hAnsi="宋体"/>
                      <w:sz w:val="24"/>
                      <w:highlight w:val="none"/>
                    </w:rPr>
                  </w:pPr>
                  <w:r>
                    <w:rPr>
                      <w:rFonts w:hint="eastAsia" w:ascii="宋体" w:hAnsi="宋体"/>
                      <w:sz w:val="24"/>
                      <w:highlight w:val="none"/>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tc>
            </w:tr>
            <w:tr w14:paraId="747734C0">
              <w:tblPrEx>
                <w:tblCellMar>
                  <w:top w:w="0" w:type="dxa"/>
                  <w:left w:w="108" w:type="dxa"/>
                  <w:bottom w:w="0" w:type="dxa"/>
                  <w:right w:w="108" w:type="dxa"/>
                </w:tblCellMar>
              </w:tblPrEx>
              <w:tc>
                <w:tcPr>
                  <w:tcW w:w="993" w:type="dxa"/>
                  <w:noWrap w:val="0"/>
                  <w:vAlign w:val="top"/>
                </w:tcPr>
                <w:p w14:paraId="56047DB8">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p>
              </w:tc>
              <w:tc>
                <w:tcPr>
                  <w:tcW w:w="7580" w:type="dxa"/>
                  <w:noWrap w:val="0"/>
                  <w:vAlign w:val="top"/>
                </w:tcPr>
                <w:p w14:paraId="4B0680F1">
                  <w:pPr>
                    <w:spacing w:after="120" w:afterLines="50" w:line="300" w:lineRule="auto"/>
                    <w:rPr>
                      <w:rFonts w:hint="eastAsia" w:ascii="宋体" w:hAnsi="宋体"/>
                      <w:sz w:val="24"/>
                      <w:highlight w:val="none"/>
                    </w:rPr>
                  </w:pPr>
                  <w:r>
                    <w:rPr>
                      <w:rFonts w:hint="eastAsia" w:ascii="宋体" w:hAnsi="宋体"/>
                      <w:sz w:val="24"/>
                      <w:highlight w:val="none"/>
                    </w:rPr>
                    <w:t>进度例会的内容将涉及合同管理、进度协调和工程管理的各个方面，由监理人准备的会议议题将随会议通知在会议召开前至少24小时发给各参会方</w:t>
                  </w:r>
                </w:p>
              </w:tc>
            </w:tr>
            <w:tr w14:paraId="001A49BE">
              <w:tblPrEx>
                <w:tblCellMar>
                  <w:top w:w="0" w:type="dxa"/>
                  <w:left w:w="108" w:type="dxa"/>
                  <w:bottom w:w="0" w:type="dxa"/>
                  <w:right w:w="108" w:type="dxa"/>
                </w:tblCellMar>
              </w:tblPrEx>
              <w:tc>
                <w:tcPr>
                  <w:tcW w:w="993" w:type="dxa"/>
                  <w:noWrap w:val="0"/>
                  <w:vAlign w:val="top"/>
                </w:tcPr>
                <w:p w14:paraId="3644B96E">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r>
                    <w:rPr>
                      <w:rFonts w:ascii="宋体" w:hAnsi="宋体"/>
                      <w:sz w:val="24"/>
                      <w:highlight w:val="none"/>
                    </w:rPr>
                    <w:t>3</w:t>
                  </w:r>
                </w:p>
              </w:tc>
              <w:tc>
                <w:tcPr>
                  <w:tcW w:w="7580" w:type="dxa"/>
                  <w:noWrap w:val="0"/>
                  <w:vAlign w:val="top"/>
                </w:tcPr>
                <w:p w14:paraId="1C5CB24B">
                  <w:pPr>
                    <w:spacing w:after="120" w:afterLines="50" w:line="300" w:lineRule="auto"/>
                    <w:rPr>
                      <w:rFonts w:hint="eastAsia" w:ascii="宋体" w:hAnsi="宋体"/>
                      <w:sz w:val="24"/>
                      <w:highlight w:val="none"/>
                    </w:rPr>
                  </w:pPr>
                  <w:r>
                    <w:rPr>
                      <w:rFonts w:hint="eastAsia" w:ascii="宋体" w:hAnsi="宋体"/>
                      <w:sz w:val="24"/>
                      <w:highlight w:val="none"/>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tc>
            </w:tr>
            <w:tr w14:paraId="090640F8">
              <w:tblPrEx>
                <w:tblCellMar>
                  <w:top w:w="0" w:type="dxa"/>
                  <w:left w:w="108" w:type="dxa"/>
                  <w:bottom w:w="0" w:type="dxa"/>
                  <w:right w:w="108" w:type="dxa"/>
                </w:tblCellMar>
              </w:tblPrEx>
              <w:tc>
                <w:tcPr>
                  <w:tcW w:w="993" w:type="dxa"/>
                  <w:noWrap w:val="0"/>
                  <w:vAlign w:val="top"/>
                </w:tcPr>
                <w:p w14:paraId="409F8E68">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2.</w:t>
                  </w:r>
                  <w:r>
                    <w:rPr>
                      <w:rFonts w:ascii="宋体" w:hAnsi="宋体"/>
                      <w:sz w:val="24"/>
                      <w:highlight w:val="none"/>
                    </w:rPr>
                    <w:t>4</w:t>
                  </w:r>
                </w:p>
              </w:tc>
              <w:tc>
                <w:tcPr>
                  <w:tcW w:w="7580" w:type="dxa"/>
                  <w:noWrap w:val="0"/>
                  <w:vAlign w:val="top"/>
                </w:tcPr>
                <w:p w14:paraId="07E64879">
                  <w:pPr>
                    <w:spacing w:after="120" w:afterLines="50" w:line="300" w:lineRule="auto"/>
                    <w:rPr>
                      <w:rFonts w:hint="eastAsia" w:ascii="宋体" w:hAnsi="宋体"/>
                      <w:sz w:val="24"/>
                      <w:highlight w:val="none"/>
                    </w:rPr>
                  </w:pPr>
                  <w:bookmarkStart w:id="747" w:name="_Toc448914597"/>
                  <w:bookmarkStart w:id="748" w:name="_Toc448915689"/>
                  <w:r>
                    <w:rPr>
                      <w:rFonts w:hint="eastAsia" w:ascii="宋体" w:hAnsi="宋体"/>
                      <w:sz w:val="24"/>
                      <w:highlight w:val="none"/>
                    </w:rPr>
                    <w:t>有关进度例会的其他要求：</w:t>
                  </w:r>
                  <w:bookmarkEnd w:id="747"/>
                  <w:bookmarkEnd w:id="748"/>
                </w:p>
                <w:p w14:paraId="642DBCCA">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6D0E0D8F">
              <w:tblPrEx>
                <w:tblCellMar>
                  <w:top w:w="0" w:type="dxa"/>
                  <w:left w:w="108" w:type="dxa"/>
                  <w:bottom w:w="0" w:type="dxa"/>
                  <w:right w:w="108" w:type="dxa"/>
                </w:tblCellMar>
              </w:tblPrEx>
              <w:tc>
                <w:tcPr>
                  <w:tcW w:w="8573" w:type="dxa"/>
                  <w:gridSpan w:val="2"/>
                  <w:noWrap w:val="0"/>
                  <w:vAlign w:val="top"/>
                </w:tcPr>
                <w:p w14:paraId="610C5409">
                  <w:pPr>
                    <w:keepNext/>
                    <w:keepLines/>
                    <w:spacing w:before="260" w:after="260" w:line="416" w:lineRule="auto"/>
                    <w:outlineLvl w:val="2"/>
                    <w:rPr>
                      <w:rFonts w:hint="eastAsia" w:ascii="宋体" w:hAnsi="宋体"/>
                      <w:b/>
                      <w:bCs/>
                      <w:sz w:val="24"/>
                      <w:highlight w:val="none"/>
                    </w:rPr>
                  </w:pPr>
                  <w:bookmarkStart w:id="749" w:name="_Toc448915690"/>
                  <w:bookmarkStart w:id="750" w:name="_Toc97744708"/>
                  <w:bookmarkStart w:id="751" w:name="_Toc26471960"/>
                  <w:bookmarkStart w:id="752" w:name="_Toc241459801"/>
                  <w:bookmarkStart w:id="753" w:name="_Toc27414234"/>
                  <w:bookmarkStart w:id="754" w:name="_Toc342296558"/>
                  <w:r>
                    <w:rPr>
                      <w:rFonts w:hint="eastAsia" w:ascii="宋体" w:hAnsi="宋体"/>
                      <w:b/>
                      <w:bCs/>
                      <w:sz w:val="24"/>
                      <w:highlight w:val="none"/>
                    </w:rPr>
                    <w:t>12.试验和检验</w:t>
                  </w:r>
                  <w:bookmarkEnd w:id="749"/>
                  <w:bookmarkEnd w:id="750"/>
                  <w:bookmarkEnd w:id="751"/>
                  <w:bookmarkEnd w:id="752"/>
                  <w:bookmarkEnd w:id="753"/>
                  <w:bookmarkEnd w:id="754"/>
                </w:p>
              </w:tc>
            </w:tr>
            <w:tr w14:paraId="4460D227">
              <w:tblPrEx>
                <w:tblCellMar>
                  <w:top w:w="0" w:type="dxa"/>
                  <w:left w:w="108" w:type="dxa"/>
                  <w:bottom w:w="0" w:type="dxa"/>
                  <w:right w:w="108" w:type="dxa"/>
                </w:tblCellMar>
              </w:tblPrEx>
              <w:tc>
                <w:tcPr>
                  <w:tcW w:w="993" w:type="dxa"/>
                  <w:noWrap w:val="0"/>
                  <w:vAlign w:val="top"/>
                </w:tcPr>
                <w:p w14:paraId="004B3816">
                  <w:pPr>
                    <w:spacing w:after="120" w:afterLines="50" w:line="300" w:lineRule="auto"/>
                    <w:rPr>
                      <w:rFonts w:hint="eastAsia" w:ascii="宋体" w:hAnsi="宋体"/>
                      <w:b/>
                      <w:bCs/>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.1</w:t>
                  </w:r>
                </w:p>
              </w:tc>
              <w:tc>
                <w:tcPr>
                  <w:tcW w:w="7580" w:type="dxa"/>
                  <w:noWrap w:val="0"/>
                  <w:vAlign w:val="top"/>
                </w:tcPr>
                <w:p w14:paraId="18776F4E">
                  <w:pPr>
                    <w:spacing w:after="120" w:afterLines="50" w:line="300" w:lineRule="auto"/>
                    <w:rPr>
                      <w:rFonts w:hint="eastAsia" w:ascii="宋体" w:hAnsi="宋体"/>
                      <w:sz w:val="24"/>
                      <w:highlight w:val="none"/>
                    </w:rPr>
                  </w:pPr>
                  <w:r>
                    <w:rPr>
                      <w:rFonts w:hint="eastAsia" w:ascii="宋体" w:hAnsi="宋体"/>
                      <w:sz w:val="24"/>
                      <w:highlight w:val="none"/>
                    </w:rPr>
                    <w:t>承包人应当按照工程施工验收规范和标准的规定和通用合同条款第14条的约定，对用于永久工程的主要材料、半成品、成品、建筑构配件、工程设备等进行试验和检验。</w:t>
                  </w:r>
                </w:p>
              </w:tc>
            </w:tr>
            <w:tr w14:paraId="1C315E81">
              <w:tblPrEx>
                <w:tblCellMar>
                  <w:top w:w="0" w:type="dxa"/>
                  <w:left w:w="108" w:type="dxa"/>
                  <w:bottom w:w="0" w:type="dxa"/>
                  <w:right w:w="108" w:type="dxa"/>
                </w:tblCellMar>
              </w:tblPrEx>
              <w:tc>
                <w:tcPr>
                  <w:tcW w:w="993" w:type="dxa"/>
                  <w:noWrap w:val="0"/>
                  <w:vAlign w:val="top"/>
                </w:tcPr>
                <w:p w14:paraId="4E30C7D1">
                  <w:pPr>
                    <w:spacing w:after="120" w:afterLines="50" w:line="300" w:lineRule="auto"/>
                    <w:rPr>
                      <w:rFonts w:hint="eastAsia" w:ascii="宋体" w:hAnsi="宋体"/>
                      <w:sz w:val="24"/>
                      <w:highlight w:val="none"/>
                    </w:rPr>
                  </w:pPr>
                  <w:r>
                    <w:rPr>
                      <w:rFonts w:hint="eastAsia" w:ascii="宋体" w:hAnsi="宋体"/>
                      <w:sz w:val="24"/>
                      <w:highlight w:val="none"/>
                    </w:rPr>
                    <w:t>12.2</w:t>
                  </w:r>
                </w:p>
              </w:tc>
              <w:tc>
                <w:tcPr>
                  <w:tcW w:w="7580" w:type="dxa"/>
                  <w:noWrap w:val="0"/>
                  <w:vAlign w:val="top"/>
                </w:tcPr>
                <w:p w14:paraId="7CF7FC82">
                  <w:pPr>
                    <w:spacing w:after="120" w:afterLines="50" w:line="300" w:lineRule="auto"/>
                    <w:rPr>
                      <w:rFonts w:hint="eastAsia" w:ascii="宋体" w:hAnsi="宋体"/>
                      <w:sz w:val="24"/>
                      <w:highlight w:val="none"/>
                    </w:rPr>
                  </w:pPr>
                  <w:r>
                    <w:rPr>
                      <w:rFonts w:hint="eastAsia" w:ascii="宋体" w:hAnsi="宋体"/>
                      <w:sz w:val="24"/>
                      <w:highlight w:val="none"/>
                    </w:rPr>
                    <w:t>本工程需要承包人进行试验和检验的材料、工程设备和工艺如下：</w:t>
                  </w:r>
                </w:p>
                <w:p w14:paraId="73607D45">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p w14:paraId="5B7219B7">
                  <w:pPr>
                    <w:rPr>
                      <w:rFonts w:hint="eastAsia" w:ascii="宋体" w:hAnsi="宋体"/>
                      <w:sz w:val="24"/>
                      <w:highlight w:val="none"/>
                    </w:rPr>
                  </w:pPr>
                  <w:r>
                    <w:rPr>
                      <w:rFonts w:hint="eastAsia" w:ascii="宋体" w:hAnsi="宋体"/>
                      <w:sz w:val="24"/>
                      <w:highlight w:val="none"/>
                    </w:rPr>
                    <w:t>监理人可以根据工程需要，指示承包人进行其他现场材料和工艺的试验和检验。</w:t>
                  </w:r>
                </w:p>
              </w:tc>
            </w:tr>
            <w:tr w14:paraId="025845D3">
              <w:tblPrEx>
                <w:tblCellMar>
                  <w:top w:w="0" w:type="dxa"/>
                  <w:left w:w="108" w:type="dxa"/>
                  <w:bottom w:w="0" w:type="dxa"/>
                  <w:right w:w="108" w:type="dxa"/>
                </w:tblCellMar>
              </w:tblPrEx>
              <w:tc>
                <w:tcPr>
                  <w:tcW w:w="993" w:type="dxa"/>
                  <w:noWrap w:val="0"/>
                  <w:vAlign w:val="top"/>
                </w:tcPr>
                <w:p w14:paraId="01D00E77">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.3</w:t>
                  </w:r>
                </w:p>
              </w:tc>
              <w:tc>
                <w:tcPr>
                  <w:tcW w:w="7580" w:type="dxa"/>
                  <w:noWrap w:val="0"/>
                  <w:vAlign w:val="top"/>
                </w:tcPr>
                <w:p w14:paraId="6E0C03FE">
                  <w:pPr>
                    <w:spacing w:after="120" w:afterLines="50" w:line="300" w:lineRule="auto"/>
                    <w:rPr>
                      <w:rFonts w:hint="eastAsia" w:ascii="宋体" w:hAnsi="宋体"/>
                      <w:sz w:val="24"/>
                      <w:highlight w:val="none"/>
                    </w:rPr>
                  </w:pPr>
                  <w:r>
                    <w:rPr>
                      <w:rFonts w:hint="eastAsia" w:ascii="宋体" w:hAnsi="宋体"/>
                      <w:sz w:val="24"/>
                      <w:highlight w:val="none"/>
                    </w:rPr>
                    <w:t>本工程需要由监理人和承包人共同进行试验和检验的材料、工程设备和工艺如下：</w:t>
                  </w:r>
                </w:p>
                <w:p w14:paraId="5BCF5369">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5AF2583B">
              <w:tblPrEx>
                <w:tblCellMar>
                  <w:top w:w="0" w:type="dxa"/>
                  <w:left w:w="108" w:type="dxa"/>
                  <w:bottom w:w="0" w:type="dxa"/>
                  <w:right w:w="108" w:type="dxa"/>
                </w:tblCellMar>
              </w:tblPrEx>
              <w:tc>
                <w:tcPr>
                  <w:tcW w:w="993" w:type="dxa"/>
                  <w:noWrap w:val="0"/>
                  <w:vAlign w:val="top"/>
                </w:tcPr>
                <w:p w14:paraId="45D1CBB0">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.4</w:t>
                  </w:r>
                </w:p>
              </w:tc>
              <w:tc>
                <w:tcPr>
                  <w:tcW w:w="7580" w:type="dxa"/>
                  <w:noWrap w:val="0"/>
                  <w:vAlign w:val="top"/>
                </w:tcPr>
                <w:p w14:paraId="273E8821">
                  <w:pPr>
                    <w:spacing w:after="120" w:afterLines="50" w:line="300" w:lineRule="auto"/>
                    <w:rPr>
                      <w:rFonts w:hint="eastAsia" w:ascii="宋体" w:hAnsi="宋体"/>
                      <w:sz w:val="24"/>
                      <w:highlight w:val="none"/>
                    </w:rPr>
                  </w:pPr>
                  <w:r>
                    <w:rPr>
                      <w:rFonts w:hint="eastAsia" w:ascii="宋体" w:hAnsi="宋体"/>
                      <w:sz w:val="24"/>
                      <w:highlight w:val="none"/>
                    </w:rPr>
                    <w:t>本条上述</w:t>
                  </w:r>
                  <w:r>
                    <w:rPr>
                      <w:rFonts w:ascii="宋体" w:hAnsi="宋体"/>
                      <w:sz w:val="24"/>
                      <w:highlight w:val="none"/>
                    </w:rPr>
                    <w:t>约定</w:t>
                  </w:r>
                  <w:r>
                    <w:rPr>
                      <w:rFonts w:hint="eastAsia" w:ascii="宋体" w:hAnsi="宋体"/>
                      <w:sz w:val="24"/>
                      <w:highlight w:val="none"/>
                    </w:rPr>
                    <w:t>需要</w:t>
                  </w:r>
                  <w:r>
                    <w:rPr>
                      <w:rFonts w:ascii="宋体" w:hAnsi="宋体"/>
                      <w:sz w:val="24"/>
                      <w:highlight w:val="none"/>
                    </w:rPr>
                    <w:t>进行检验的材料</w:t>
                  </w:r>
                  <w:r>
                    <w:rPr>
                      <w:rFonts w:hint="eastAsia" w:ascii="宋体" w:hAnsi="宋体"/>
                      <w:sz w:val="24"/>
                      <w:highlight w:val="none"/>
                    </w:rPr>
                    <w:t>、</w:t>
                  </w:r>
                  <w:r>
                    <w:rPr>
                      <w:rFonts w:ascii="宋体" w:hAnsi="宋体"/>
                      <w:sz w:val="24"/>
                      <w:highlight w:val="none"/>
                    </w:rPr>
                    <w:t>工程设备</w:t>
                  </w:r>
                  <w:r>
                    <w:rPr>
                      <w:rFonts w:hint="eastAsia" w:ascii="宋体" w:hAnsi="宋体"/>
                      <w:sz w:val="24"/>
                      <w:highlight w:val="none"/>
                    </w:rPr>
                    <w:t>和工艺</w:t>
                  </w:r>
                  <w:r>
                    <w:rPr>
                      <w:rFonts w:ascii="宋体" w:hAnsi="宋体"/>
                      <w:sz w:val="24"/>
                      <w:highlight w:val="none"/>
                    </w:rPr>
                    <w:t>在经过检验并获得监理人批准以前，不得用于任何永久工程。</w:t>
                  </w:r>
                </w:p>
              </w:tc>
            </w:tr>
            <w:tr w14:paraId="6B094187">
              <w:tblPrEx>
                <w:tblCellMar>
                  <w:top w:w="0" w:type="dxa"/>
                  <w:left w:w="108" w:type="dxa"/>
                  <w:bottom w:w="0" w:type="dxa"/>
                  <w:right w:w="108" w:type="dxa"/>
                </w:tblCellMar>
              </w:tblPrEx>
              <w:tc>
                <w:tcPr>
                  <w:tcW w:w="993" w:type="dxa"/>
                  <w:noWrap w:val="0"/>
                  <w:vAlign w:val="top"/>
                </w:tcPr>
                <w:p w14:paraId="6288CA16">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5</w:t>
                  </w:r>
                </w:p>
              </w:tc>
              <w:tc>
                <w:tcPr>
                  <w:tcW w:w="7580" w:type="dxa"/>
                  <w:noWrap w:val="0"/>
                  <w:vAlign w:val="top"/>
                </w:tcPr>
                <w:p w14:paraId="7000B7EB">
                  <w:pPr>
                    <w:spacing w:after="120" w:afterLines="50" w:line="300" w:lineRule="auto"/>
                    <w:rPr>
                      <w:rFonts w:hint="eastAsia" w:ascii="宋体" w:hAnsi="宋体"/>
                      <w:sz w:val="24"/>
                      <w:highlight w:val="none"/>
                    </w:rPr>
                  </w:pPr>
                  <w:r>
                    <w:rPr>
                      <w:rFonts w:ascii="宋体" w:hAnsi="宋体"/>
                      <w:sz w:val="24"/>
                      <w:highlight w:val="none"/>
                    </w:rPr>
                    <w:t>承包人应为任何材料</w:t>
                  </w:r>
                  <w:r>
                    <w:rPr>
                      <w:rFonts w:hint="eastAsia" w:ascii="宋体" w:hAnsi="宋体"/>
                      <w:sz w:val="24"/>
                      <w:highlight w:val="none"/>
                    </w:rPr>
                    <w:t>、</w:t>
                  </w:r>
                  <w:r>
                    <w:rPr>
                      <w:rFonts w:ascii="宋体" w:hAnsi="宋体"/>
                      <w:sz w:val="24"/>
                      <w:highlight w:val="none"/>
                    </w:rPr>
                    <w:t>工程设备</w:t>
                  </w:r>
                  <w:r>
                    <w:rPr>
                      <w:rFonts w:hint="eastAsia" w:ascii="宋体" w:hAnsi="宋体"/>
                      <w:sz w:val="24"/>
                      <w:highlight w:val="none"/>
                    </w:rPr>
                    <w:t>和工艺</w:t>
                  </w:r>
                  <w:r>
                    <w:rPr>
                      <w:rFonts w:ascii="宋体" w:hAnsi="宋体"/>
                      <w:sz w:val="24"/>
                      <w:highlight w:val="none"/>
                    </w:rPr>
                    <w:t>的检查、检测和检验提供劳务、电力、燃料、备用品、</w:t>
                  </w:r>
                  <w:r>
                    <w:rPr>
                      <w:rFonts w:hint="eastAsia" w:ascii="宋体" w:hAnsi="宋体"/>
                      <w:sz w:val="24"/>
                      <w:highlight w:val="none"/>
                    </w:rPr>
                    <w:t>设备和</w:t>
                  </w:r>
                  <w:r>
                    <w:rPr>
                      <w:rFonts w:ascii="宋体" w:hAnsi="宋体"/>
                      <w:sz w:val="24"/>
                      <w:highlight w:val="none"/>
                    </w:rPr>
                    <w:t>仪器</w:t>
                  </w:r>
                  <w:r>
                    <w:rPr>
                      <w:rFonts w:hint="eastAsia" w:ascii="宋体" w:hAnsi="宋体"/>
                      <w:sz w:val="24"/>
                      <w:highlight w:val="none"/>
                    </w:rPr>
                    <w:t>以</w:t>
                  </w:r>
                  <w:r>
                    <w:rPr>
                      <w:rFonts w:ascii="宋体" w:hAnsi="宋体"/>
                      <w:sz w:val="24"/>
                      <w:highlight w:val="none"/>
                    </w:rPr>
                    <w:t>及必要的协助。监理人及</w:t>
                  </w:r>
                  <w:r>
                    <w:rPr>
                      <w:rFonts w:hint="eastAsia" w:ascii="宋体" w:hAnsi="宋体"/>
                      <w:sz w:val="24"/>
                      <w:highlight w:val="none"/>
                    </w:rPr>
                    <w:t>其</w:t>
                  </w:r>
                  <w:r>
                    <w:rPr>
                      <w:rFonts w:ascii="宋体" w:hAnsi="宋体"/>
                      <w:sz w:val="24"/>
                      <w:highlight w:val="none"/>
                    </w:rPr>
                    <w:t>任何授权人员应能够在任何时候进入现场及正在为工程制造、装配、准备材料</w:t>
                  </w:r>
                  <w:r>
                    <w:rPr>
                      <w:rFonts w:hint="eastAsia" w:ascii="宋体" w:hAnsi="宋体"/>
                      <w:sz w:val="24"/>
                      <w:highlight w:val="none"/>
                    </w:rPr>
                    <w:t>和（</w:t>
                  </w:r>
                  <w:r>
                    <w:rPr>
                      <w:rFonts w:ascii="宋体" w:hAnsi="宋体"/>
                      <w:sz w:val="24"/>
                      <w:highlight w:val="none"/>
                    </w:rPr>
                    <w:t>或</w:t>
                  </w:r>
                  <w:r>
                    <w:rPr>
                      <w:rFonts w:hint="eastAsia" w:ascii="宋体" w:hAnsi="宋体"/>
                      <w:sz w:val="24"/>
                      <w:highlight w:val="none"/>
                    </w:rPr>
                    <w:t>）</w:t>
                  </w:r>
                  <w:r>
                    <w:rPr>
                      <w:rFonts w:ascii="宋体" w:hAnsi="宋体"/>
                      <w:sz w:val="24"/>
                      <w:highlight w:val="none"/>
                    </w:rPr>
                    <w:t>工程设备的车间和场所进行任何必要的检查。无论这些车间和场所是否属于承包人，承包人都应提供一切便利，并协助其取得相应的权力</w:t>
                  </w:r>
                  <w:r>
                    <w:rPr>
                      <w:rFonts w:hint="eastAsia" w:ascii="宋体" w:hAnsi="宋体"/>
                      <w:sz w:val="24"/>
                      <w:highlight w:val="none"/>
                    </w:rPr>
                    <w:t>和（</w:t>
                  </w:r>
                  <w:r>
                    <w:rPr>
                      <w:rFonts w:ascii="宋体" w:hAnsi="宋体"/>
                      <w:sz w:val="24"/>
                      <w:highlight w:val="none"/>
                    </w:rPr>
                    <w:t>或</w:t>
                  </w:r>
                  <w:r>
                    <w:rPr>
                      <w:rFonts w:hint="eastAsia" w:ascii="宋体" w:hAnsi="宋体"/>
                      <w:sz w:val="24"/>
                      <w:highlight w:val="none"/>
                    </w:rPr>
                    <w:t>）</w:t>
                  </w:r>
                  <w:r>
                    <w:rPr>
                      <w:rFonts w:ascii="宋体" w:hAnsi="宋体"/>
                      <w:sz w:val="24"/>
                      <w:highlight w:val="none"/>
                    </w:rPr>
                    <w:t>许可。</w:t>
                  </w:r>
                </w:p>
              </w:tc>
            </w:tr>
            <w:tr w14:paraId="6EDF47EE">
              <w:tblPrEx>
                <w:tblCellMar>
                  <w:top w:w="0" w:type="dxa"/>
                  <w:left w:w="108" w:type="dxa"/>
                  <w:bottom w:w="0" w:type="dxa"/>
                  <w:right w:w="108" w:type="dxa"/>
                </w:tblCellMar>
              </w:tblPrEx>
              <w:tc>
                <w:tcPr>
                  <w:tcW w:w="993" w:type="dxa"/>
                  <w:noWrap w:val="0"/>
                  <w:vAlign w:val="top"/>
                </w:tcPr>
                <w:p w14:paraId="20FDD7AE">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6</w:t>
                  </w:r>
                </w:p>
              </w:tc>
              <w:tc>
                <w:tcPr>
                  <w:tcW w:w="7580" w:type="dxa"/>
                  <w:noWrap w:val="0"/>
                  <w:vAlign w:val="top"/>
                </w:tcPr>
                <w:p w14:paraId="01245758">
                  <w:pPr>
                    <w:spacing w:after="120" w:afterLines="50" w:line="300" w:lineRule="auto"/>
                    <w:rPr>
                      <w:rFonts w:hint="eastAsia" w:ascii="宋体" w:hAnsi="宋体"/>
                      <w:sz w:val="24"/>
                      <w:highlight w:val="none"/>
                    </w:rPr>
                  </w:pPr>
                  <w:r>
                    <w:rPr>
                      <w:rFonts w:ascii="宋体" w:hAnsi="宋体"/>
                      <w:sz w:val="24"/>
                      <w:highlight w:val="none"/>
                    </w:rPr>
                    <w:t>如果检查、检测、检验或试验的结果表明，材料</w:t>
                  </w:r>
                  <w:r>
                    <w:rPr>
                      <w:rFonts w:hint="eastAsia" w:ascii="宋体" w:hAnsi="宋体"/>
                      <w:sz w:val="24"/>
                      <w:highlight w:val="none"/>
                    </w:rPr>
                    <w:t>、</w:t>
                  </w:r>
                  <w:r>
                    <w:rPr>
                      <w:rFonts w:ascii="宋体" w:hAnsi="宋体"/>
                      <w:sz w:val="24"/>
                      <w:highlight w:val="none"/>
                    </w:rPr>
                    <w:t>工程设备</w:t>
                  </w:r>
                  <w:r>
                    <w:rPr>
                      <w:rFonts w:hint="eastAsia" w:ascii="宋体" w:hAnsi="宋体"/>
                      <w:sz w:val="24"/>
                      <w:highlight w:val="none"/>
                    </w:rPr>
                    <w:t>和工艺</w:t>
                  </w:r>
                  <w:r>
                    <w:rPr>
                      <w:rFonts w:ascii="宋体" w:hAnsi="宋体"/>
                      <w:sz w:val="24"/>
                      <w:highlight w:val="none"/>
                    </w:rPr>
                    <w:t>有缺陷或不符合合同约定，监理人</w:t>
                  </w:r>
                  <w:r>
                    <w:rPr>
                      <w:rFonts w:hint="eastAsia" w:ascii="宋体" w:hAnsi="宋体"/>
                      <w:sz w:val="24"/>
                      <w:highlight w:val="none"/>
                    </w:rPr>
                    <w:t>和</w:t>
                  </w:r>
                  <w:r>
                    <w:rPr>
                      <w:rFonts w:ascii="宋体" w:hAnsi="宋体"/>
                      <w:sz w:val="24"/>
                      <w:highlight w:val="none"/>
                    </w:rPr>
                    <w:t>发包人可拒收此类材料</w:t>
                  </w:r>
                  <w:r>
                    <w:rPr>
                      <w:rFonts w:hint="eastAsia" w:ascii="宋体" w:hAnsi="宋体"/>
                      <w:sz w:val="24"/>
                      <w:highlight w:val="none"/>
                    </w:rPr>
                    <w:t>、</w:t>
                  </w:r>
                  <w:r>
                    <w:rPr>
                      <w:rFonts w:ascii="宋体" w:hAnsi="宋体"/>
                      <w:sz w:val="24"/>
                      <w:highlight w:val="none"/>
                    </w:rPr>
                    <w:t>工程设备</w:t>
                  </w:r>
                  <w:r>
                    <w:rPr>
                      <w:rFonts w:hint="eastAsia" w:ascii="宋体" w:hAnsi="宋体"/>
                      <w:sz w:val="24"/>
                      <w:highlight w:val="none"/>
                    </w:rPr>
                    <w:t>和工艺</w:t>
                  </w:r>
                  <w:r>
                    <w:rPr>
                      <w:rFonts w:ascii="宋体" w:hAnsi="宋体"/>
                      <w:sz w:val="24"/>
                      <w:highlight w:val="none"/>
                    </w:rPr>
                    <w:t>，并应立即通知承包人同时说明理由。承包人应立即修复上述缺陷并保证其符合合同约定。若监理人或发包人要求对此类工程设备、材料、设计或工艺</w:t>
                  </w:r>
                  <w:r>
                    <w:rPr>
                      <w:rFonts w:hint="eastAsia" w:ascii="宋体" w:hAnsi="宋体"/>
                      <w:sz w:val="24"/>
                      <w:highlight w:val="none"/>
                    </w:rPr>
                    <w:t>重新</w:t>
                  </w:r>
                  <w:r>
                    <w:rPr>
                      <w:rFonts w:ascii="宋体" w:hAnsi="宋体"/>
                      <w:sz w:val="24"/>
                      <w:highlight w:val="none"/>
                    </w:rPr>
                    <w:t>进行检验，则此类检验应按相同条款和条件重新进行。如果此类拒收和</w:t>
                  </w:r>
                  <w:r>
                    <w:rPr>
                      <w:rFonts w:hint="eastAsia" w:ascii="宋体" w:hAnsi="宋体"/>
                      <w:sz w:val="24"/>
                      <w:highlight w:val="none"/>
                    </w:rPr>
                    <w:t>重新</w:t>
                  </w:r>
                  <w:r>
                    <w:rPr>
                      <w:rFonts w:ascii="宋体" w:hAnsi="宋体"/>
                      <w:sz w:val="24"/>
                      <w:highlight w:val="none"/>
                    </w:rPr>
                    <w:t>检验致使发包人产生了</w:t>
                  </w:r>
                  <w:r>
                    <w:rPr>
                      <w:rFonts w:hint="eastAsia" w:ascii="宋体" w:hAnsi="宋体"/>
                      <w:sz w:val="24"/>
                      <w:highlight w:val="none"/>
                    </w:rPr>
                    <w:t>额外</w:t>
                  </w:r>
                  <w:r>
                    <w:rPr>
                      <w:rFonts w:ascii="宋体" w:hAnsi="宋体"/>
                      <w:sz w:val="24"/>
                      <w:highlight w:val="none"/>
                    </w:rPr>
                    <w:t>费用，则此类费用应由承包人支付给发包人，或从</w:t>
                  </w:r>
                  <w:r>
                    <w:rPr>
                      <w:rFonts w:hint="eastAsia" w:ascii="宋体" w:hAnsi="宋体"/>
                      <w:sz w:val="24"/>
                      <w:highlight w:val="none"/>
                    </w:rPr>
                    <w:t>发包人应支付给</w:t>
                  </w:r>
                  <w:r>
                    <w:rPr>
                      <w:rFonts w:ascii="宋体" w:hAnsi="宋体"/>
                      <w:sz w:val="24"/>
                      <w:highlight w:val="none"/>
                    </w:rPr>
                    <w:t>承包人的款项中扣除。</w:t>
                  </w:r>
                </w:p>
              </w:tc>
            </w:tr>
            <w:tr w14:paraId="46530F9B">
              <w:tblPrEx>
                <w:tblCellMar>
                  <w:top w:w="0" w:type="dxa"/>
                  <w:left w:w="108" w:type="dxa"/>
                  <w:bottom w:w="0" w:type="dxa"/>
                  <w:right w:w="108" w:type="dxa"/>
                </w:tblCellMar>
              </w:tblPrEx>
              <w:tc>
                <w:tcPr>
                  <w:tcW w:w="993" w:type="dxa"/>
                  <w:noWrap w:val="0"/>
                  <w:vAlign w:val="top"/>
                </w:tcPr>
                <w:p w14:paraId="2C531EF0">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7</w:t>
                  </w:r>
                </w:p>
              </w:tc>
              <w:tc>
                <w:tcPr>
                  <w:tcW w:w="7580" w:type="dxa"/>
                  <w:noWrap w:val="0"/>
                  <w:vAlign w:val="top"/>
                </w:tcPr>
                <w:p w14:paraId="00FA626E">
                  <w:pPr>
                    <w:spacing w:after="120" w:afterLines="50" w:line="300" w:lineRule="auto"/>
                    <w:rPr>
                      <w:rFonts w:hint="eastAsia" w:ascii="宋体" w:hAnsi="宋体"/>
                      <w:sz w:val="24"/>
                      <w:highlight w:val="none"/>
                    </w:rPr>
                  </w:pPr>
                  <w:r>
                    <w:rPr>
                      <w:rFonts w:hint="eastAsia" w:ascii="宋体" w:hAnsi="宋体"/>
                      <w:sz w:val="24"/>
                      <w:highlight w:val="none"/>
                    </w:rPr>
                    <w:t>承包人应在监理人的监督下，对涉及结构安全的试块、试件以及有关材料进行现场取样，并送</w:t>
                  </w:r>
                  <w:r>
                    <w:rPr>
                      <w:rFonts w:hint="eastAsia" w:ascii="宋体" w:hAnsi="宋体"/>
                      <w:sz w:val="24"/>
                      <w:highlight w:val="none"/>
                      <w:u w:val="single"/>
                    </w:rPr>
                    <w:t>/</w:t>
                  </w:r>
                  <w:r>
                    <w:rPr>
                      <w:rFonts w:hint="eastAsia" w:ascii="宋体" w:hAnsi="宋体"/>
                      <w:sz w:val="24"/>
                      <w:highlight w:val="none"/>
                    </w:rPr>
                    <w:t>质量检测单位进行检测。</w:t>
                  </w:r>
                </w:p>
              </w:tc>
            </w:tr>
            <w:tr w14:paraId="407EAE1C">
              <w:tblPrEx>
                <w:tblCellMar>
                  <w:top w:w="0" w:type="dxa"/>
                  <w:left w:w="108" w:type="dxa"/>
                  <w:bottom w:w="0" w:type="dxa"/>
                  <w:right w:w="108" w:type="dxa"/>
                </w:tblCellMar>
              </w:tblPrEx>
              <w:tc>
                <w:tcPr>
                  <w:tcW w:w="993" w:type="dxa"/>
                  <w:noWrap w:val="0"/>
                  <w:vAlign w:val="top"/>
                </w:tcPr>
                <w:p w14:paraId="32950450">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8</w:t>
                  </w:r>
                </w:p>
              </w:tc>
              <w:tc>
                <w:tcPr>
                  <w:tcW w:w="7580" w:type="dxa"/>
                  <w:noWrap w:val="0"/>
                  <w:vAlign w:val="top"/>
                </w:tcPr>
                <w:p w14:paraId="3E1996DF">
                  <w:pPr>
                    <w:spacing w:after="120" w:afterLines="50" w:line="300" w:lineRule="auto"/>
                    <w:rPr>
                      <w:rFonts w:hint="eastAsia" w:ascii="宋体" w:hAnsi="宋体"/>
                      <w:sz w:val="24"/>
                      <w:highlight w:val="none"/>
                    </w:rPr>
                  </w:pPr>
                  <w:r>
                    <w:rPr>
                      <w:rFonts w:hint="eastAsia" w:ascii="宋体" w:hAnsi="宋体"/>
                      <w:sz w:val="24"/>
                      <w:highlight w:val="none"/>
                    </w:rPr>
                    <w:t>除合同另有约定外，</w:t>
                  </w:r>
                  <w:r>
                    <w:rPr>
                      <w:rFonts w:ascii="宋体" w:hAnsi="宋体"/>
                      <w:sz w:val="24"/>
                      <w:highlight w:val="none"/>
                    </w:rPr>
                    <w:t>承包人应负担本合同项下的所有材料</w:t>
                  </w:r>
                  <w:r>
                    <w:rPr>
                      <w:rFonts w:hint="eastAsia" w:ascii="宋体" w:hAnsi="宋体"/>
                      <w:sz w:val="24"/>
                      <w:highlight w:val="none"/>
                    </w:rPr>
                    <w:t>、</w:t>
                  </w:r>
                  <w:r>
                    <w:rPr>
                      <w:rFonts w:ascii="宋体" w:hAnsi="宋体"/>
                      <w:sz w:val="24"/>
                      <w:highlight w:val="none"/>
                    </w:rPr>
                    <w:t>工程设备</w:t>
                  </w:r>
                  <w:r>
                    <w:rPr>
                      <w:rFonts w:hint="eastAsia" w:ascii="宋体" w:hAnsi="宋体"/>
                      <w:sz w:val="24"/>
                      <w:highlight w:val="none"/>
                    </w:rPr>
                    <w:t>和工艺</w:t>
                  </w:r>
                  <w:r>
                    <w:rPr>
                      <w:rFonts w:ascii="宋体" w:hAnsi="宋体"/>
                      <w:sz w:val="24"/>
                      <w:highlight w:val="none"/>
                    </w:rPr>
                    <w:t>检验的费用。</w:t>
                  </w:r>
                </w:p>
              </w:tc>
            </w:tr>
            <w:tr w14:paraId="41554318">
              <w:tblPrEx>
                <w:tblCellMar>
                  <w:top w:w="0" w:type="dxa"/>
                  <w:left w:w="108" w:type="dxa"/>
                  <w:bottom w:w="0" w:type="dxa"/>
                  <w:right w:w="108" w:type="dxa"/>
                </w:tblCellMar>
              </w:tblPrEx>
              <w:tc>
                <w:tcPr>
                  <w:tcW w:w="8573" w:type="dxa"/>
                  <w:gridSpan w:val="2"/>
                  <w:noWrap w:val="0"/>
                  <w:vAlign w:val="top"/>
                </w:tcPr>
                <w:p w14:paraId="20A391E0">
                  <w:pPr>
                    <w:keepNext/>
                    <w:keepLines/>
                    <w:spacing w:before="260" w:after="260" w:line="416" w:lineRule="auto"/>
                    <w:outlineLvl w:val="2"/>
                    <w:rPr>
                      <w:rFonts w:hint="eastAsia" w:ascii="宋体" w:hAnsi="宋体"/>
                      <w:b/>
                      <w:bCs/>
                      <w:sz w:val="24"/>
                      <w:highlight w:val="none"/>
                    </w:rPr>
                  </w:pPr>
                  <w:bookmarkStart w:id="755" w:name="_Toc241459802"/>
                  <w:bookmarkStart w:id="756" w:name="_Toc342296559"/>
                  <w:bookmarkStart w:id="757" w:name="_Toc27414235"/>
                  <w:bookmarkStart w:id="758" w:name="_Toc448915691"/>
                  <w:bookmarkStart w:id="759" w:name="_Toc26471961"/>
                  <w:bookmarkStart w:id="760" w:name="_Toc97744709"/>
                  <w:r>
                    <w:rPr>
                      <w:rFonts w:hint="eastAsia" w:ascii="宋体" w:hAnsi="宋体"/>
                      <w:b/>
                      <w:bCs/>
                      <w:sz w:val="24"/>
                      <w:highlight w:val="none"/>
                    </w:rPr>
                    <w:t>13.计日工</w:t>
                  </w:r>
                  <w:bookmarkEnd w:id="755"/>
                  <w:bookmarkEnd w:id="756"/>
                  <w:bookmarkEnd w:id="757"/>
                  <w:bookmarkEnd w:id="758"/>
                  <w:bookmarkEnd w:id="759"/>
                  <w:bookmarkEnd w:id="760"/>
                </w:p>
              </w:tc>
            </w:tr>
            <w:tr w14:paraId="14546815">
              <w:tblPrEx>
                <w:tblCellMar>
                  <w:top w:w="0" w:type="dxa"/>
                  <w:left w:w="108" w:type="dxa"/>
                  <w:bottom w:w="0" w:type="dxa"/>
                  <w:right w:w="108" w:type="dxa"/>
                </w:tblCellMar>
              </w:tblPrEx>
              <w:tc>
                <w:tcPr>
                  <w:tcW w:w="993" w:type="dxa"/>
                  <w:noWrap w:val="0"/>
                  <w:vAlign w:val="top"/>
                </w:tcPr>
                <w:p w14:paraId="3D8EA650">
                  <w:pPr>
                    <w:spacing w:after="120" w:afterLines="50" w:line="300" w:lineRule="auto"/>
                    <w:rPr>
                      <w:rFonts w:hint="eastAsia" w:ascii="宋体" w:hAnsi="宋体"/>
                      <w:sz w:val="24"/>
                      <w:highlight w:val="none"/>
                    </w:rPr>
                  </w:pPr>
                  <w:r>
                    <w:rPr>
                      <w:rFonts w:hint="eastAsia" w:ascii="宋体" w:hAnsi="宋体"/>
                      <w:sz w:val="24"/>
                      <w:highlight w:val="none"/>
                    </w:rPr>
                    <w:t>13.1</w:t>
                  </w:r>
                </w:p>
              </w:tc>
              <w:tc>
                <w:tcPr>
                  <w:tcW w:w="7580" w:type="dxa"/>
                  <w:noWrap w:val="0"/>
                  <w:vAlign w:val="top"/>
                </w:tcPr>
                <w:p w14:paraId="13CC1227">
                  <w:pPr>
                    <w:spacing w:after="120" w:afterLines="50" w:line="300" w:lineRule="auto"/>
                    <w:rPr>
                      <w:rFonts w:hint="eastAsia" w:ascii="宋体" w:hAnsi="宋体"/>
                      <w:sz w:val="24"/>
                      <w:highlight w:val="none"/>
                    </w:rPr>
                  </w:pPr>
                  <w:r>
                    <w:rPr>
                      <w:rFonts w:hint="eastAsia" w:ascii="宋体" w:hAnsi="宋体"/>
                      <w:sz w:val="24"/>
                      <w:highlight w:val="none"/>
                    </w:rPr>
                    <w:t>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tc>
            </w:tr>
            <w:tr w14:paraId="30664071">
              <w:tblPrEx>
                <w:tblCellMar>
                  <w:top w:w="0" w:type="dxa"/>
                  <w:left w:w="108" w:type="dxa"/>
                  <w:bottom w:w="0" w:type="dxa"/>
                  <w:right w:w="108" w:type="dxa"/>
                </w:tblCellMar>
              </w:tblPrEx>
              <w:tc>
                <w:tcPr>
                  <w:tcW w:w="993" w:type="dxa"/>
                  <w:noWrap w:val="0"/>
                  <w:vAlign w:val="top"/>
                </w:tcPr>
                <w:p w14:paraId="0D5896E2">
                  <w:pPr>
                    <w:spacing w:after="120" w:afterLines="50" w:line="300" w:lineRule="auto"/>
                    <w:rPr>
                      <w:rFonts w:hint="eastAsia" w:ascii="宋体" w:hAnsi="宋体"/>
                      <w:sz w:val="24"/>
                      <w:highlight w:val="none"/>
                    </w:rPr>
                  </w:pPr>
                  <w:r>
                    <w:rPr>
                      <w:rFonts w:hint="eastAsia" w:ascii="宋体" w:hAnsi="宋体"/>
                      <w:sz w:val="24"/>
                      <w:highlight w:val="none"/>
                    </w:rPr>
                    <w:t>13.2</w:t>
                  </w:r>
                </w:p>
              </w:tc>
              <w:tc>
                <w:tcPr>
                  <w:tcW w:w="7580" w:type="dxa"/>
                  <w:noWrap w:val="0"/>
                  <w:vAlign w:val="top"/>
                </w:tcPr>
                <w:p w14:paraId="4FCB5955">
                  <w:pPr>
                    <w:spacing w:after="120" w:afterLines="50" w:line="300" w:lineRule="auto"/>
                    <w:rPr>
                      <w:rFonts w:hint="eastAsia" w:ascii="宋体" w:hAnsi="宋体"/>
                      <w:sz w:val="24"/>
                      <w:highlight w:val="none"/>
                    </w:rPr>
                  </w:pPr>
                  <w:r>
                    <w:rPr>
                      <w:rFonts w:hint="eastAsia" w:ascii="宋体" w:hAnsi="宋体"/>
                      <w:sz w:val="24"/>
                      <w:highlight w:val="none"/>
                    </w:rPr>
                    <w:t>在工程实际开工后14天内，承包人应当按通用合同条款第15.7.2项约定的计日工报表内容，准备一份计日工日报表的格式，报送监理人审批，监理人应当在收到之日后7天内给予批复或提出修改意见。</w:t>
                  </w:r>
                </w:p>
              </w:tc>
            </w:tr>
            <w:tr w14:paraId="362BBD8B">
              <w:tblPrEx>
                <w:tblCellMar>
                  <w:top w:w="0" w:type="dxa"/>
                  <w:left w:w="108" w:type="dxa"/>
                  <w:bottom w:w="0" w:type="dxa"/>
                  <w:right w:w="108" w:type="dxa"/>
                </w:tblCellMar>
              </w:tblPrEx>
              <w:tc>
                <w:tcPr>
                  <w:tcW w:w="993" w:type="dxa"/>
                  <w:noWrap w:val="0"/>
                  <w:vAlign w:val="top"/>
                </w:tcPr>
                <w:p w14:paraId="5CCD8D25">
                  <w:pPr>
                    <w:spacing w:after="120" w:afterLines="50" w:line="300" w:lineRule="auto"/>
                    <w:rPr>
                      <w:rFonts w:hint="eastAsia" w:ascii="宋体" w:hAnsi="宋体"/>
                      <w:sz w:val="24"/>
                      <w:highlight w:val="none"/>
                    </w:rPr>
                  </w:pPr>
                  <w:r>
                    <w:rPr>
                      <w:rFonts w:hint="eastAsia" w:ascii="宋体" w:hAnsi="宋体"/>
                      <w:sz w:val="24"/>
                      <w:highlight w:val="none"/>
                    </w:rPr>
                    <w:t>13.3</w:t>
                  </w:r>
                </w:p>
              </w:tc>
              <w:tc>
                <w:tcPr>
                  <w:tcW w:w="7580" w:type="dxa"/>
                  <w:noWrap w:val="0"/>
                  <w:vAlign w:val="top"/>
                </w:tcPr>
                <w:p w14:paraId="0CE040A2">
                  <w:pPr>
                    <w:spacing w:after="120" w:afterLines="50" w:line="300" w:lineRule="auto"/>
                    <w:rPr>
                      <w:rFonts w:hint="eastAsia" w:ascii="宋体" w:hAnsi="宋体"/>
                      <w:sz w:val="24"/>
                      <w:highlight w:val="none"/>
                    </w:rPr>
                  </w:pPr>
                  <w:r>
                    <w:rPr>
                      <w:rFonts w:hint="eastAsia" w:ascii="宋体" w:hAnsi="宋体"/>
                      <w:sz w:val="24"/>
                      <w:highlight w:val="none"/>
                    </w:rPr>
                    <w:t>按计日工实施相关变更的过程中，承包人应当按经监理人批准的计日工日报表格式，每天提交计日工报表和有关凭证，报送监理人审批，监理人应当在收到相关报表和凭证后24小时内给予批复。</w:t>
                  </w:r>
                </w:p>
              </w:tc>
            </w:tr>
            <w:tr w14:paraId="148A9D46">
              <w:tblPrEx>
                <w:tblCellMar>
                  <w:top w:w="0" w:type="dxa"/>
                  <w:left w:w="108" w:type="dxa"/>
                  <w:bottom w:w="0" w:type="dxa"/>
                  <w:right w:w="108" w:type="dxa"/>
                </w:tblCellMar>
              </w:tblPrEx>
              <w:tc>
                <w:tcPr>
                  <w:tcW w:w="993" w:type="dxa"/>
                  <w:noWrap w:val="0"/>
                  <w:vAlign w:val="top"/>
                </w:tcPr>
                <w:p w14:paraId="30A301E7">
                  <w:pPr>
                    <w:spacing w:after="120" w:afterLines="50" w:line="300" w:lineRule="auto"/>
                    <w:rPr>
                      <w:rFonts w:hint="eastAsia" w:ascii="宋体" w:hAnsi="宋体"/>
                      <w:sz w:val="24"/>
                      <w:highlight w:val="none"/>
                    </w:rPr>
                  </w:pPr>
                  <w:r>
                    <w:rPr>
                      <w:rFonts w:hint="eastAsia" w:ascii="宋体" w:hAnsi="宋体"/>
                      <w:sz w:val="24"/>
                      <w:highlight w:val="none"/>
                    </w:rPr>
                    <w:t>13.4</w:t>
                  </w:r>
                </w:p>
              </w:tc>
              <w:tc>
                <w:tcPr>
                  <w:tcW w:w="7580" w:type="dxa"/>
                  <w:noWrap w:val="0"/>
                  <w:vAlign w:val="top"/>
                </w:tcPr>
                <w:p w14:paraId="6ABB7C9B">
                  <w:pPr>
                    <w:spacing w:after="120" w:afterLines="50" w:line="300" w:lineRule="auto"/>
                    <w:rPr>
                      <w:rFonts w:hint="eastAsia" w:ascii="宋体" w:hAnsi="宋体"/>
                      <w:sz w:val="24"/>
                      <w:highlight w:val="none"/>
                    </w:rPr>
                  </w:pPr>
                  <w:r>
                    <w:rPr>
                      <w:rFonts w:hint="eastAsia" w:ascii="宋体" w:hAnsi="宋体"/>
                      <w:sz w:val="24"/>
                      <w:highlight w:val="none"/>
                    </w:rPr>
                    <w:t>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tc>
            </w:tr>
            <w:tr w14:paraId="4B985B0E">
              <w:tblPrEx>
                <w:tblCellMar>
                  <w:top w:w="0" w:type="dxa"/>
                  <w:left w:w="108" w:type="dxa"/>
                  <w:bottom w:w="0" w:type="dxa"/>
                  <w:right w:w="108" w:type="dxa"/>
                </w:tblCellMar>
              </w:tblPrEx>
              <w:tc>
                <w:tcPr>
                  <w:tcW w:w="993" w:type="dxa"/>
                  <w:noWrap w:val="0"/>
                  <w:vAlign w:val="top"/>
                </w:tcPr>
                <w:p w14:paraId="6940D939">
                  <w:pPr>
                    <w:spacing w:after="120" w:afterLines="50" w:line="300" w:lineRule="auto"/>
                    <w:rPr>
                      <w:rFonts w:hint="eastAsia" w:ascii="宋体" w:hAnsi="宋体"/>
                      <w:sz w:val="24"/>
                      <w:highlight w:val="none"/>
                    </w:rPr>
                  </w:pPr>
                  <w:r>
                    <w:rPr>
                      <w:rFonts w:hint="eastAsia" w:ascii="宋体" w:hAnsi="宋体"/>
                      <w:sz w:val="24"/>
                      <w:highlight w:val="none"/>
                    </w:rPr>
                    <w:t>13.5</w:t>
                  </w:r>
                </w:p>
              </w:tc>
              <w:tc>
                <w:tcPr>
                  <w:tcW w:w="7580" w:type="dxa"/>
                  <w:noWrap w:val="0"/>
                  <w:vAlign w:val="top"/>
                </w:tcPr>
                <w:p w14:paraId="135C7C9B">
                  <w:pPr>
                    <w:spacing w:after="120" w:afterLines="50" w:line="300" w:lineRule="auto"/>
                    <w:rPr>
                      <w:rFonts w:hint="eastAsia" w:ascii="宋体" w:hAnsi="宋体"/>
                      <w:sz w:val="24"/>
                      <w:highlight w:val="none"/>
                    </w:rPr>
                  </w:pPr>
                  <w:r>
                    <w:rPr>
                      <w:rFonts w:hint="eastAsia" w:ascii="宋体" w:hAnsi="宋体"/>
                      <w:sz w:val="24"/>
                      <w:highlight w:val="none"/>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tc>
            </w:tr>
            <w:tr w14:paraId="5B09C959">
              <w:tblPrEx>
                <w:tblCellMar>
                  <w:top w:w="0" w:type="dxa"/>
                  <w:left w:w="108" w:type="dxa"/>
                  <w:bottom w:w="0" w:type="dxa"/>
                  <w:right w:w="108" w:type="dxa"/>
                </w:tblCellMar>
              </w:tblPrEx>
              <w:tc>
                <w:tcPr>
                  <w:tcW w:w="993" w:type="dxa"/>
                  <w:noWrap w:val="0"/>
                  <w:vAlign w:val="top"/>
                </w:tcPr>
                <w:p w14:paraId="232E45B8">
                  <w:pPr>
                    <w:spacing w:after="120" w:afterLines="50" w:line="300" w:lineRule="auto"/>
                    <w:rPr>
                      <w:rFonts w:hint="eastAsia" w:ascii="宋体" w:hAnsi="宋体"/>
                      <w:sz w:val="24"/>
                      <w:highlight w:val="none"/>
                    </w:rPr>
                  </w:pPr>
                  <w:r>
                    <w:rPr>
                      <w:rFonts w:hint="eastAsia" w:ascii="宋体" w:hAnsi="宋体"/>
                      <w:sz w:val="24"/>
                      <w:highlight w:val="none"/>
                    </w:rPr>
                    <w:t>13.6</w:t>
                  </w:r>
                </w:p>
              </w:tc>
              <w:tc>
                <w:tcPr>
                  <w:tcW w:w="7580" w:type="dxa"/>
                  <w:noWrap w:val="0"/>
                  <w:vAlign w:val="top"/>
                </w:tcPr>
                <w:p w14:paraId="02AF081C">
                  <w:pPr>
                    <w:spacing w:after="120" w:afterLines="50" w:line="300" w:lineRule="auto"/>
                    <w:rPr>
                      <w:rFonts w:hint="eastAsia" w:ascii="宋体" w:hAnsi="宋体"/>
                      <w:sz w:val="24"/>
                      <w:highlight w:val="none"/>
                    </w:rPr>
                  </w:pPr>
                  <w:r>
                    <w:rPr>
                      <w:rFonts w:hint="eastAsia" w:ascii="宋体" w:hAnsi="宋体"/>
                      <w:sz w:val="24"/>
                      <w:highlight w:val="none"/>
                    </w:rPr>
                    <w:t>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tc>
            </w:tr>
            <w:tr w14:paraId="04E489C1">
              <w:tblPrEx>
                <w:tblCellMar>
                  <w:top w:w="0" w:type="dxa"/>
                  <w:left w:w="108" w:type="dxa"/>
                  <w:bottom w:w="0" w:type="dxa"/>
                  <w:right w:w="108" w:type="dxa"/>
                </w:tblCellMar>
              </w:tblPrEx>
              <w:tc>
                <w:tcPr>
                  <w:tcW w:w="993" w:type="dxa"/>
                  <w:noWrap w:val="0"/>
                  <w:vAlign w:val="top"/>
                </w:tcPr>
                <w:p w14:paraId="614E56DA">
                  <w:pPr>
                    <w:spacing w:after="120" w:afterLines="50" w:line="300" w:lineRule="auto"/>
                    <w:rPr>
                      <w:rFonts w:hint="eastAsia" w:ascii="宋体" w:hAnsi="宋体"/>
                      <w:sz w:val="24"/>
                      <w:highlight w:val="none"/>
                    </w:rPr>
                  </w:pPr>
                  <w:r>
                    <w:rPr>
                      <w:rFonts w:hint="eastAsia" w:ascii="宋体" w:hAnsi="宋体"/>
                      <w:sz w:val="24"/>
                      <w:highlight w:val="none"/>
                    </w:rPr>
                    <w:t>13.7</w:t>
                  </w:r>
                </w:p>
              </w:tc>
              <w:tc>
                <w:tcPr>
                  <w:tcW w:w="7580" w:type="dxa"/>
                  <w:noWrap w:val="0"/>
                  <w:vAlign w:val="top"/>
                </w:tcPr>
                <w:p w14:paraId="278D3F19">
                  <w:pPr>
                    <w:spacing w:after="120" w:afterLines="50" w:line="300" w:lineRule="auto"/>
                    <w:rPr>
                      <w:rFonts w:hint="eastAsia" w:ascii="宋体" w:hAnsi="宋体"/>
                      <w:sz w:val="24"/>
                      <w:highlight w:val="none"/>
                    </w:rPr>
                  </w:pPr>
                  <w:r>
                    <w:rPr>
                      <w:rFonts w:hint="eastAsia" w:ascii="宋体" w:hAnsi="宋体"/>
                      <w:sz w:val="24"/>
                      <w:highlight w:val="none"/>
                    </w:rPr>
                    <w:t>关于计日工的其他约定：</w:t>
                  </w:r>
                </w:p>
                <w:p w14:paraId="2FD86FD9">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68053218">
              <w:tblPrEx>
                <w:tblCellMar>
                  <w:top w:w="0" w:type="dxa"/>
                  <w:left w:w="108" w:type="dxa"/>
                  <w:bottom w:w="0" w:type="dxa"/>
                  <w:right w:w="108" w:type="dxa"/>
                </w:tblCellMar>
              </w:tblPrEx>
              <w:tc>
                <w:tcPr>
                  <w:tcW w:w="8573" w:type="dxa"/>
                  <w:gridSpan w:val="2"/>
                  <w:noWrap w:val="0"/>
                  <w:vAlign w:val="top"/>
                </w:tcPr>
                <w:p w14:paraId="6C462D3B">
                  <w:pPr>
                    <w:keepNext/>
                    <w:keepLines/>
                    <w:spacing w:before="260" w:after="260" w:line="416" w:lineRule="auto"/>
                    <w:outlineLvl w:val="2"/>
                    <w:rPr>
                      <w:rFonts w:hint="eastAsia" w:ascii="宋体" w:hAnsi="宋体"/>
                      <w:b/>
                      <w:bCs/>
                      <w:sz w:val="24"/>
                      <w:highlight w:val="none"/>
                    </w:rPr>
                  </w:pPr>
                  <w:bookmarkStart w:id="761" w:name="_Toc241459803"/>
                  <w:bookmarkStart w:id="762" w:name="_Toc342296560"/>
                  <w:bookmarkStart w:id="763" w:name="_Toc448915692"/>
                  <w:bookmarkStart w:id="764" w:name="_Toc26471962"/>
                  <w:bookmarkStart w:id="765" w:name="_Toc97744710"/>
                  <w:bookmarkStart w:id="766" w:name="_Toc27414236"/>
                  <w:r>
                    <w:rPr>
                      <w:rFonts w:hint="eastAsia" w:ascii="宋体" w:hAnsi="宋体"/>
                      <w:b/>
                      <w:bCs/>
                      <w:sz w:val="24"/>
                      <w:highlight w:val="none"/>
                    </w:rPr>
                    <w:t>14.计量与支付</w:t>
                  </w:r>
                  <w:bookmarkEnd w:id="761"/>
                  <w:bookmarkEnd w:id="762"/>
                  <w:bookmarkEnd w:id="763"/>
                  <w:bookmarkEnd w:id="764"/>
                  <w:bookmarkEnd w:id="765"/>
                  <w:bookmarkEnd w:id="766"/>
                </w:p>
              </w:tc>
            </w:tr>
            <w:tr w14:paraId="7A72EC77">
              <w:tblPrEx>
                <w:tblCellMar>
                  <w:top w:w="0" w:type="dxa"/>
                  <w:left w:w="108" w:type="dxa"/>
                  <w:bottom w:w="0" w:type="dxa"/>
                  <w:right w:w="108" w:type="dxa"/>
                </w:tblCellMar>
              </w:tblPrEx>
              <w:tc>
                <w:tcPr>
                  <w:tcW w:w="993" w:type="dxa"/>
                  <w:noWrap w:val="0"/>
                  <w:vAlign w:val="top"/>
                </w:tcPr>
                <w:p w14:paraId="4FB959F2">
                  <w:pPr>
                    <w:spacing w:after="120" w:afterLines="50" w:line="300" w:lineRule="auto"/>
                    <w:outlineLvl w:val="3"/>
                    <w:rPr>
                      <w:rFonts w:hint="eastAsia" w:ascii="宋体" w:hAnsi="宋体"/>
                      <w:b/>
                      <w:bCs/>
                      <w:sz w:val="24"/>
                      <w:highlight w:val="none"/>
                    </w:rPr>
                  </w:pPr>
                  <w:bookmarkStart w:id="767" w:name="_Toc263259828"/>
                  <w:r>
                    <w:rPr>
                      <w:rFonts w:ascii="宋体" w:hAnsi="宋体"/>
                      <w:b/>
                      <w:bCs/>
                      <w:sz w:val="24"/>
                      <w:highlight w:val="none"/>
                    </w:rPr>
                    <w:t>1</w:t>
                  </w:r>
                  <w:r>
                    <w:rPr>
                      <w:rFonts w:hint="eastAsia" w:ascii="宋体" w:hAnsi="宋体"/>
                      <w:b/>
                      <w:bCs/>
                      <w:sz w:val="24"/>
                      <w:highlight w:val="none"/>
                    </w:rPr>
                    <w:t>4</w:t>
                  </w:r>
                  <w:r>
                    <w:rPr>
                      <w:rFonts w:ascii="宋体" w:hAnsi="宋体"/>
                      <w:b/>
                      <w:bCs/>
                      <w:sz w:val="24"/>
                      <w:highlight w:val="none"/>
                    </w:rPr>
                    <w:t>.</w:t>
                  </w:r>
                  <w:r>
                    <w:rPr>
                      <w:rFonts w:hint="eastAsia" w:ascii="宋体" w:hAnsi="宋体"/>
                      <w:b/>
                      <w:bCs/>
                      <w:sz w:val="24"/>
                      <w:highlight w:val="none"/>
                    </w:rPr>
                    <w:t>1</w:t>
                  </w:r>
                  <w:bookmarkEnd w:id="767"/>
                </w:p>
              </w:tc>
              <w:tc>
                <w:tcPr>
                  <w:tcW w:w="7580" w:type="dxa"/>
                  <w:noWrap w:val="0"/>
                  <w:vAlign w:val="top"/>
                </w:tcPr>
                <w:p w14:paraId="225D4EA9">
                  <w:pPr>
                    <w:spacing w:after="120" w:afterLines="50" w:line="300" w:lineRule="auto"/>
                    <w:outlineLvl w:val="3"/>
                    <w:rPr>
                      <w:rFonts w:hint="eastAsia" w:ascii="宋体" w:hAnsi="宋体"/>
                      <w:b/>
                      <w:bCs/>
                      <w:sz w:val="24"/>
                      <w:highlight w:val="none"/>
                    </w:rPr>
                  </w:pPr>
                  <w:bookmarkStart w:id="768" w:name="_Toc263259829"/>
                  <w:r>
                    <w:rPr>
                      <w:rFonts w:hint="eastAsia" w:ascii="宋体" w:hAnsi="宋体"/>
                      <w:b/>
                      <w:bCs/>
                      <w:sz w:val="24"/>
                      <w:highlight w:val="none"/>
                    </w:rPr>
                    <w:t>付款申请单</w:t>
                  </w:r>
                  <w:bookmarkEnd w:id="768"/>
                </w:p>
              </w:tc>
            </w:tr>
            <w:tr w14:paraId="0DC2DA6C">
              <w:tblPrEx>
                <w:tblCellMar>
                  <w:top w:w="0" w:type="dxa"/>
                  <w:left w:w="108" w:type="dxa"/>
                  <w:bottom w:w="0" w:type="dxa"/>
                  <w:right w:w="108" w:type="dxa"/>
                </w:tblCellMar>
              </w:tblPrEx>
              <w:tc>
                <w:tcPr>
                  <w:tcW w:w="993" w:type="dxa"/>
                  <w:noWrap w:val="0"/>
                  <w:vAlign w:val="top"/>
                </w:tcPr>
                <w:p w14:paraId="75CBE828">
                  <w:pPr>
                    <w:spacing w:after="120" w:afterLines="50" w:line="300" w:lineRule="auto"/>
                    <w:rPr>
                      <w:rFonts w:hint="eastAsia" w:ascii="宋体" w:hAnsi="宋体"/>
                      <w:sz w:val="24"/>
                      <w:highlight w:val="none"/>
                    </w:rPr>
                  </w:pPr>
                  <w:r>
                    <w:rPr>
                      <w:rFonts w:hint="eastAsia" w:ascii="宋体" w:hAnsi="宋体"/>
                      <w:sz w:val="24"/>
                      <w:highlight w:val="none"/>
                    </w:rPr>
                    <w:t>14.1.1</w:t>
                  </w:r>
                </w:p>
              </w:tc>
              <w:tc>
                <w:tcPr>
                  <w:tcW w:w="7580" w:type="dxa"/>
                  <w:noWrap w:val="0"/>
                  <w:vAlign w:val="top"/>
                </w:tcPr>
                <w:p w14:paraId="1D005169">
                  <w:pPr>
                    <w:spacing w:after="120" w:afterLines="50" w:line="300" w:lineRule="auto"/>
                    <w:rPr>
                      <w:rFonts w:hint="eastAsia" w:ascii="宋体" w:hAnsi="宋体"/>
                      <w:sz w:val="24"/>
                      <w:highlight w:val="none"/>
                    </w:rPr>
                  </w:pPr>
                  <w:r>
                    <w:rPr>
                      <w:rFonts w:hint="eastAsia" w:ascii="宋体" w:hAnsi="宋体"/>
                      <w:sz w:val="24"/>
                      <w:highlight w:val="none"/>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tc>
            </w:tr>
            <w:tr w14:paraId="0A8C3A9F">
              <w:tblPrEx>
                <w:tblCellMar>
                  <w:top w:w="0" w:type="dxa"/>
                  <w:left w:w="108" w:type="dxa"/>
                  <w:bottom w:w="0" w:type="dxa"/>
                  <w:right w:w="108" w:type="dxa"/>
                </w:tblCellMar>
              </w:tblPrEx>
              <w:tc>
                <w:tcPr>
                  <w:tcW w:w="993" w:type="dxa"/>
                  <w:noWrap w:val="0"/>
                  <w:vAlign w:val="top"/>
                </w:tcPr>
                <w:p w14:paraId="4ECA6949">
                  <w:pPr>
                    <w:spacing w:after="120" w:afterLines="50" w:line="300" w:lineRule="auto"/>
                    <w:rPr>
                      <w:rFonts w:hint="eastAsia" w:ascii="宋体" w:hAnsi="宋体"/>
                      <w:sz w:val="24"/>
                      <w:highlight w:val="none"/>
                    </w:rPr>
                  </w:pPr>
                  <w:r>
                    <w:rPr>
                      <w:rFonts w:hint="eastAsia" w:ascii="宋体" w:hAnsi="宋体"/>
                      <w:sz w:val="24"/>
                      <w:highlight w:val="none"/>
                    </w:rPr>
                    <w:t>14.1.2</w:t>
                  </w:r>
                </w:p>
              </w:tc>
              <w:tc>
                <w:tcPr>
                  <w:tcW w:w="7580" w:type="dxa"/>
                  <w:noWrap w:val="0"/>
                  <w:vAlign w:val="top"/>
                </w:tcPr>
                <w:p w14:paraId="4BE24321">
                  <w:pPr>
                    <w:spacing w:after="120" w:afterLines="50" w:line="300" w:lineRule="auto"/>
                    <w:rPr>
                      <w:rFonts w:hint="eastAsia" w:ascii="宋体" w:hAnsi="宋体"/>
                      <w:sz w:val="24"/>
                      <w:highlight w:val="none"/>
                    </w:rPr>
                  </w:pPr>
                  <w:r>
                    <w:rPr>
                      <w:rFonts w:hint="eastAsia" w:ascii="宋体" w:hAnsi="宋体"/>
                      <w:sz w:val="24"/>
                      <w:highlight w:val="none"/>
                    </w:rPr>
                    <w:t>根据合同条款第17.1款和第17.3款，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tc>
            </w:tr>
            <w:tr w14:paraId="28561B2C">
              <w:tblPrEx>
                <w:tblCellMar>
                  <w:top w:w="0" w:type="dxa"/>
                  <w:left w:w="108" w:type="dxa"/>
                  <w:bottom w:w="0" w:type="dxa"/>
                  <w:right w:w="108" w:type="dxa"/>
                </w:tblCellMar>
              </w:tblPrEx>
              <w:tc>
                <w:tcPr>
                  <w:tcW w:w="993" w:type="dxa"/>
                  <w:noWrap w:val="0"/>
                  <w:vAlign w:val="top"/>
                </w:tcPr>
                <w:p w14:paraId="70A537A8">
                  <w:pPr>
                    <w:spacing w:after="120" w:afterLines="50" w:line="300" w:lineRule="auto"/>
                    <w:rPr>
                      <w:rFonts w:hint="eastAsia" w:ascii="宋体" w:hAnsi="宋体"/>
                      <w:sz w:val="24"/>
                      <w:highlight w:val="none"/>
                    </w:rPr>
                  </w:pPr>
                  <w:r>
                    <w:rPr>
                      <w:rFonts w:hint="eastAsia" w:ascii="宋体" w:hAnsi="宋体"/>
                      <w:sz w:val="24"/>
                      <w:highlight w:val="none"/>
                    </w:rPr>
                    <w:t>14.1.3</w:t>
                  </w:r>
                </w:p>
              </w:tc>
              <w:tc>
                <w:tcPr>
                  <w:tcW w:w="7580" w:type="dxa"/>
                  <w:noWrap w:val="0"/>
                  <w:vAlign w:val="top"/>
                </w:tcPr>
                <w:p w14:paraId="56225591">
                  <w:pPr>
                    <w:spacing w:after="120" w:afterLines="50" w:line="300" w:lineRule="auto"/>
                    <w:rPr>
                      <w:rFonts w:hint="eastAsia" w:ascii="宋体" w:hAnsi="宋体"/>
                      <w:sz w:val="24"/>
                      <w:highlight w:val="none"/>
                    </w:rPr>
                  </w:pPr>
                  <w:r>
                    <w:rPr>
                      <w:rFonts w:hint="eastAsia" w:ascii="宋体" w:hAnsi="宋体"/>
                      <w:sz w:val="24"/>
                      <w:highlight w:val="none"/>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tc>
            </w:tr>
            <w:tr w14:paraId="38658FFA">
              <w:tblPrEx>
                <w:tblCellMar>
                  <w:top w:w="0" w:type="dxa"/>
                  <w:left w:w="108" w:type="dxa"/>
                  <w:bottom w:w="0" w:type="dxa"/>
                  <w:right w:w="108" w:type="dxa"/>
                </w:tblCellMar>
              </w:tblPrEx>
              <w:tc>
                <w:tcPr>
                  <w:tcW w:w="993" w:type="dxa"/>
                  <w:noWrap w:val="0"/>
                  <w:vAlign w:val="top"/>
                </w:tcPr>
                <w:p w14:paraId="5F1CA4BD">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1.4</w:t>
                  </w:r>
                </w:p>
              </w:tc>
              <w:tc>
                <w:tcPr>
                  <w:tcW w:w="7580" w:type="dxa"/>
                  <w:noWrap w:val="0"/>
                  <w:vAlign w:val="top"/>
                </w:tcPr>
                <w:p w14:paraId="479E50CB">
                  <w:pPr>
                    <w:spacing w:after="120" w:afterLines="50" w:line="300" w:lineRule="auto"/>
                    <w:rPr>
                      <w:rFonts w:hint="eastAsia" w:ascii="宋体" w:hAnsi="宋体"/>
                      <w:sz w:val="24"/>
                      <w:highlight w:val="none"/>
                    </w:rPr>
                  </w:pPr>
                  <w:r>
                    <w:rPr>
                      <w:rFonts w:hint="eastAsia" w:ascii="宋体" w:hAnsi="宋体"/>
                      <w:sz w:val="24"/>
                      <w:highlight w:val="none"/>
                    </w:rPr>
                    <w:t>竣工结算总价（合同价格）应当按以下内容梳理：</w:t>
                  </w:r>
                </w:p>
                <w:p w14:paraId="165AB174">
                  <w:pPr>
                    <w:numPr>
                      <w:ilvl w:val="0"/>
                      <w:numId w:val="27"/>
                    </w:numPr>
                    <w:spacing w:after="120" w:afterLines="50" w:line="300" w:lineRule="auto"/>
                    <w:rPr>
                      <w:rFonts w:hint="eastAsia" w:ascii="宋体" w:hAnsi="宋体"/>
                      <w:sz w:val="24"/>
                      <w:highlight w:val="none"/>
                    </w:rPr>
                  </w:pPr>
                  <w:r>
                    <w:rPr>
                      <w:rFonts w:hint="eastAsia" w:ascii="宋体" w:hAnsi="宋体"/>
                      <w:sz w:val="24"/>
                      <w:highlight w:val="none"/>
                    </w:rPr>
                    <w:t>签约合同价；</w:t>
                  </w:r>
                </w:p>
                <w:p w14:paraId="2157EA9D">
                  <w:pPr>
                    <w:numPr>
                      <w:ilvl w:val="0"/>
                      <w:numId w:val="27"/>
                    </w:numPr>
                    <w:spacing w:after="120" w:afterLines="50" w:line="300" w:lineRule="auto"/>
                    <w:rPr>
                      <w:rFonts w:hint="eastAsia" w:ascii="宋体" w:hAnsi="宋体"/>
                      <w:sz w:val="24"/>
                      <w:highlight w:val="none"/>
                    </w:rPr>
                  </w:pPr>
                  <w:r>
                    <w:rPr>
                      <w:rFonts w:hint="eastAsia" w:ascii="宋体" w:hAnsi="宋体"/>
                      <w:sz w:val="24"/>
                      <w:highlight w:val="none"/>
                    </w:rPr>
                    <w:t>应当扣减的项目：</w:t>
                  </w:r>
                </w:p>
                <w:p w14:paraId="26C39D89">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所有暂列金额；</w:t>
                  </w:r>
                </w:p>
                <w:p w14:paraId="46253964">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所有暂估价；</w:t>
                  </w:r>
                </w:p>
                <w:p w14:paraId="18214277">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根据合同条款第15条应扣减的变更金额；</w:t>
                  </w:r>
                </w:p>
                <w:p w14:paraId="388F54EB">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根据合同条款第16条应扣减的价格调整（下调部分）；</w:t>
                  </w:r>
                </w:p>
                <w:p w14:paraId="6B9F9452">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根据合同条款第23.4款应扣减的发包人索赔金额；</w:t>
                  </w:r>
                </w:p>
                <w:p w14:paraId="485FB83A">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甩项工程的合同价值（如果有）；</w:t>
                  </w:r>
                </w:p>
                <w:p w14:paraId="3134F559">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根据合同约定发包人应扣减的其他金额。</w:t>
                  </w:r>
                </w:p>
                <w:p w14:paraId="143A27CC">
                  <w:pPr>
                    <w:numPr>
                      <w:ilvl w:val="0"/>
                      <w:numId w:val="27"/>
                    </w:numPr>
                    <w:spacing w:after="120" w:afterLines="50" w:line="300" w:lineRule="auto"/>
                    <w:rPr>
                      <w:rFonts w:hint="eastAsia" w:ascii="宋体" w:hAnsi="宋体"/>
                      <w:sz w:val="24"/>
                      <w:highlight w:val="none"/>
                    </w:rPr>
                  </w:pPr>
                  <w:r>
                    <w:rPr>
                      <w:rFonts w:hint="eastAsia" w:ascii="宋体" w:hAnsi="宋体"/>
                      <w:sz w:val="24"/>
                      <w:highlight w:val="none"/>
                    </w:rPr>
                    <w:t>应当增加的项目：</w:t>
                  </w:r>
                </w:p>
              </w:tc>
            </w:tr>
            <w:tr w14:paraId="0163F011">
              <w:tblPrEx>
                <w:tblCellMar>
                  <w:top w:w="0" w:type="dxa"/>
                  <w:left w:w="108" w:type="dxa"/>
                  <w:bottom w:w="0" w:type="dxa"/>
                  <w:right w:w="108" w:type="dxa"/>
                </w:tblCellMar>
              </w:tblPrEx>
              <w:tc>
                <w:tcPr>
                  <w:tcW w:w="993" w:type="dxa"/>
                  <w:noWrap w:val="0"/>
                  <w:vAlign w:val="top"/>
                </w:tcPr>
                <w:p w14:paraId="71AE1898">
                  <w:pPr>
                    <w:spacing w:after="120" w:afterLines="50" w:line="300" w:lineRule="auto"/>
                    <w:rPr>
                      <w:rFonts w:hint="eastAsia" w:ascii="宋体" w:hAnsi="宋体"/>
                      <w:sz w:val="24"/>
                      <w:highlight w:val="none"/>
                    </w:rPr>
                  </w:pPr>
                </w:p>
              </w:tc>
              <w:tc>
                <w:tcPr>
                  <w:tcW w:w="7580" w:type="dxa"/>
                  <w:noWrap w:val="0"/>
                  <w:vAlign w:val="top"/>
                </w:tcPr>
                <w:p w14:paraId="26EC72EC">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实际发生的暂列金额（包括计日工）；</w:t>
                  </w:r>
                </w:p>
                <w:p w14:paraId="281347F3">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实际发生的暂估价；</w:t>
                  </w:r>
                </w:p>
                <w:p w14:paraId="301DB265">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根据合同条款第15条应增加的变更金额；</w:t>
                  </w:r>
                </w:p>
                <w:p w14:paraId="6DC7E82C">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根据合同条款第16条应增加的价格调整（上调部分）；</w:t>
                  </w:r>
                </w:p>
                <w:p w14:paraId="36BBE5EB">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根据合同条款第23.2款应增加的承包人索赔金额；</w:t>
                  </w:r>
                </w:p>
                <w:p w14:paraId="0C9A8CF5">
                  <w:pPr>
                    <w:numPr>
                      <w:ilvl w:val="1"/>
                      <w:numId w:val="27"/>
                    </w:numPr>
                    <w:spacing w:after="120" w:afterLines="50" w:line="300" w:lineRule="auto"/>
                    <w:rPr>
                      <w:rFonts w:hint="eastAsia" w:ascii="宋体" w:hAnsi="宋体"/>
                      <w:sz w:val="24"/>
                      <w:highlight w:val="none"/>
                    </w:rPr>
                  </w:pPr>
                  <w:r>
                    <w:rPr>
                      <w:rFonts w:hint="eastAsia" w:ascii="宋体" w:hAnsi="宋体"/>
                      <w:sz w:val="24"/>
                      <w:highlight w:val="none"/>
                    </w:rPr>
                    <w:t>根据合同约定承包人应当得到的其他金额。</w:t>
                  </w:r>
                </w:p>
                <w:p w14:paraId="37754489">
                  <w:pPr>
                    <w:spacing w:after="120" w:afterLines="50" w:line="300" w:lineRule="auto"/>
                    <w:rPr>
                      <w:rFonts w:hint="eastAsia" w:ascii="宋体" w:hAnsi="宋体"/>
                      <w:sz w:val="24"/>
                      <w:highlight w:val="none"/>
                    </w:rPr>
                  </w:pPr>
                  <w:r>
                    <w:rPr>
                      <w:rFonts w:hint="eastAsia" w:ascii="宋体" w:hAnsi="宋体"/>
                      <w:sz w:val="24"/>
                      <w:highlight w:val="none"/>
                    </w:rPr>
                    <w:t>（4）规费和税金差额部分。</w:t>
                  </w:r>
                </w:p>
              </w:tc>
            </w:tr>
            <w:tr w14:paraId="75113E95">
              <w:tblPrEx>
                <w:tblCellMar>
                  <w:top w:w="0" w:type="dxa"/>
                  <w:left w:w="108" w:type="dxa"/>
                  <w:bottom w:w="0" w:type="dxa"/>
                  <w:right w:w="108" w:type="dxa"/>
                </w:tblCellMar>
              </w:tblPrEx>
              <w:tc>
                <w:tcPr>
                  <w:tcW w:w="993" w:type="dxa"/>
                  <w:noWrap w:val="0"/>
                  <w:vAlign w:val="top"/>
                </w:tcPr>
                <w:p w14:paraId="35A127DE">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1.5</w:t>
                  </w:r>
                </w:p>
              </w:tc>
              <w:tc>
                <w:tcPr>
                  <w:tcW w:w="7580" w:type="dxa"/>
                  <w:noWrap w:val="0"/>
                  <w:vAlign w:val="top"/>
                </w:tcPr>
                <w:p w14:paraId="33BD4DE2">
                  <w:pPr>
                    <w:spacing w:after="120" w:afterLines="50" w:line="300" w:lineRule="auto"/>
                    <w:rPr>
                      <w:rFonts w:hint="eastAsia" w:ascii="宋体" w:hAnsi="宋体"/>
                      <w:sz w:val="24"/>
                      <w:highlight w:val="none"/>
                    </w:rPr>
                  </w:pPr>
                  <w:r>
                    <w:rPr>
                      <w:rFonts w:hint="eastAsia" w:ascii="宋体" w:hAnsi="宋体"/>
                      <w:sz w:val="24"/>
                      <w:highlight w:val="none"/>
                    </w:rPr>
                    <w:t>最终结清申请单的应付金额应当按下列内容梳理：</w:t>
                  </w:r>
                </w:p>
                <w:p w14:paraId="05CFC670">
                  <w:pPr>
                    <w:numPr>
                      <w:ilvl w:val="0"/>
                      <w:numId w:val="28"/>
                    </w:numPr>
                    <w:spacing w:after="120" w:afterLines="50" w:line="300" w:lineRule="auto"/>
                    <w:rPr>
                      <w:rFonts w:hint="eastAsia" w:ascii="宋体" w:hAnsi="宋体"/>
                      <w:sz w:val="24"/>
                      <w:highlight w:val="none"/>
                    </w:rPr>
                  </w:pPr>
                  <w:r>
                    <w:rPr>
                      <w:rFonts w:hint="eastAsia" w:ascii="宋体" w:hAnsi="宋体"/>
                      <w:sz w:val="24"/>
                      <w:highlight w:val="none"/>
                    </w:rPr>
                    <w:t>按合同约定扣留的质量保证金</w:t>
                  </w:r>
                </w:p>
                <w:p w14:paraId="01052291">
                  <w:pPr>
                    <w:numPr>
                      <w:ilvl w:val="0"/>
                      <w:numId w:val="28"/>
                    </w:numPr>
                    <w:spacing w:after="120" w:afterLines="50" w:line="300" w:lineRule="auto"/>
                    <w:rPr>
                      <w:rFonts w:hint="eastAsia" w:ascii="宋体" w:hAnsi="宋体"/>
                      <w:sz w:val="24"/>
                      <w:highlight w:val="none"/>
                    </w:rPr>
                  </w:pPr>
                  <w:r>
                    <w:rPr>
                      <w:rFonts w:hint="eastAsia" w:ascii="宋体" w:hAnsi="宋体"/>
                      <w:sz w:val="24"/>
                      <w:highlight w:val="none"/>
                    </w:rPr>
                    <w:t>应当扣除的金额：</w:t>
                  </w:r>
                </w:p>
                <w:p w14:paraId="712B93B2">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按通用合同条款17.4.3项约定扣留的质量保证金；</w:t>
                  </w:r>
                </w:p>
                <w:p w14:paraId="2AB85E41">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按通用合同条款19.2.4项约定扣除的质量保证金；</w:t>
                  </w:r>
                </w:p>
                <w:p w14:paraId="075E9EB2">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根据合同条款第23.4款应扣减的缺陷责任期内发生的发包人索赔金额；</w:t>
                  </w:r>
                </w:p>
                <w:p w14:paraId="2A3BF09A">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根据合同约定应扣减的其他金额。</w:t>
                  </w:r>
                </w:p>
                <w:p w14:paraId="51072802">
                  <w:pPr>
                    <w:numPr>
                      <w:ilvl w:val="0"/>
                      <w:numId w:val="28"/>
                    </w:numPr>
                    <w:spacing w:after="120" w:afterLines="50" w:line="300" w:lineRule="auto"/>
                    <w:rPr>
                      <w:rFonts w:hint="eastAsia" w:ascii="宋体" w:hAnsi="宋体"/>
                      <w:sz w:val="24"/>
                      <w:highlight w:val="none"/>
                    </w:rPr>
                  </w:pPr>
                  <w:r>
                    <w:rPr>
                      <w:rFonts w:hint="eastAsia" w:ascii="宋体" w:hAnsi="宋体"/>
                      <w:sz w:val="24"/>
                      <w:highlight w:val="none"/>
                    </w:rPr>
                    <w:t>应当增加的金额：</w:t>
                  </w:r>
                </w:p>
                <w:p w14:paraId="4CF158C2">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已完且符合合同约定的甩项工程的价值；</w:t>
                  </w:r>
                </w:p>
                <w:p w14:paraId="092BE691">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按通用合同条款19.2.3项约定由承包人修复的发包人原因造成的缺陷的价值；</w:t>
                  </w:r>
                </w:p>
                <w:p w14:paraId="3C92945A">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根据合同条款第23.2款应增加的缺陷责任期内发生的承包人索赔金额；</w:t>
                  </w:r>
                </w:p>
                <w:p w14:paraId="6391EEB0">
                  <w:pPr>
                    <w:numPr>
                      <w:ilvl w:val="1"/>
                      <w:numId w:val="28"/>
                    </w:numPr>
                    <w:spacing w:after="120" w:afterLines="50" w:line="300" w:lineRule="auto"/>
                    <w:rPr>
                      <w:rFonts w:hint="eastAsia" w:ascii="宋体" w:hAnsi="宋体"/>
                      <w:sz w:val="24"/>
                      <w:highlight w:val="none"/>
                    </w:rPr>
                  </w:pPr>
                  <w:r>
                    <w:rPr>
                      <w:rFonts w:hint="eastAsia" w:ascii="宋体" w:hAnsi="宋体"/>
                      <w:sz w:val="24"/>
                      <w:highlight w:val="none"/>
                    </w:rPr>
                    <w:t>根据合同约定承包人应当得到的其他金额。</w:t>
                  </w:r>
                </w:p>
                <w:p w14:paraId="15945E5E">
                  <w:pPr>
                    <w:spacing w:after="120" w:afterLines="50" w:line="300" w:lineRule="auto"/>
                    <w:rPr>
                      <w:rFonts w:hint="eastAsia" w:ascii="宋体" w:hAnsi="宋体"/>
                      <w:sz w:val="24"/>
                      <w:highlight w:val="none"/>
                    </w:rPr>
                  </w:pPr>
                  <w:r>
                    <w:rPr>
                      <w:rFonts w:hint="eastAsia" w:ascii="宋体" w:hAnsi="宋体"/>
                      <w:sz w:val="24"/>
                      <w:highlight w:val="none"/>
                    </w:rPr>
                    <w:t>最终结清应当由发包人和承包人按照“多退少补”的原则办理。</w:t>
                  </w:r>
                </w:p>
              </w:tc>
            </w:tr>
            <w:tr w14:paraId="785EB0A6">
              <w:tblPrEx>
                <w:tblCellMar>
                  <w:top w:w="0" w:type="dxa"/>
                  <w:left w:w="108" w:type="dxa"/>
                  <w:bottom w:w="0" w:type="dxa"/>
                  <w:right w:w="108" w:type="dxa"/>
                </w:tblCellMar>
              </w:tblPrEx>
              <w:tc>
                <w:tcPr>
                  <w:tcW w:w="993" w:type="dxa"/>
                  <w:noWrap w:val="0"/>
                  <w:vAlign w:val="top"/>
                </w:tcPr>
                <w:p w14:paraId="759CE6A1">
                  <w:pPr>
                    <w:spacing w:after="120" w:afterLines="50" w:line="300" w:lineRule="auto"/>
                    <w:rPr>
                      <w:rFonts w:hint="eastAsia"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1.6</w:t>
                  </w:r>
                </w:p>
              </w:tc>
              <w:tc>
                <w:tcPr>
                  <w:tcW w:w="7580" w:type="dxa"/>
                  <w:noWrap w:val="0"/>
                  <w:vAlign w:val="top"/>
                </w:tcPr>
                <w:p w14:paraId="166282E2">
                  <w:pPr>
                    <w:spacing w:after="120" w:afterLines="50" w:line="300" w:lineRule="auto"/>
                    <w:rPr>
                      <w:rFonts w:hint="eastAsia" w:ascii="宋体" w:hAnsi="宋体"/>
                      <w:sz w:val="24"/>
                      <w:highlight w:val="none"/>
                    </w:rPr>
                  </w:pPr>
                  <w:r>
                    <w:rPr>
                      <w:rFonts w:hint="eastAsia" w:ascii="宋体" w:hAnsi="宋体"/>
                      <w:sz w:val="24"/>
                      <w:highlight w:val="none"/>
                    </w:rPr>
                    <w:t>竣工付款申请单和最终结清申请单应当比照进度付款申请单的格式准备，并提供相关证明材料。</w:t>
                  </w:r>
                </w:p>
              </w:tc>
            </w:tr>
            <w:tr w14:paraId="25722ADE">
              <w:tblPrEx>
                <w:tblCellMar>
                  <w:top w:w="0" w:type="dxa"/>
                  <w:left w:w="108" w:type="dxa"/>
                  <w:bottom w:w="0" w:type="dxa"/>
                  <w:right w:w="108" w:type="dxa"/>
                </w:tblCellMar>
              </w:tblPrEx>
              <w:tc>
                <w:tcPr>
                  <w:tcW w:w="993" w:type="dxa"/>
                  <w:noWrap w:val="0"/>
                  <w:vAlign w:val="top"/>
                </w:tcPr>
                <w:p w14:paraId="5B273B11">
                  <w:pPr>
                    <w:spacing w:after="120" w:afterLines="50" w:line="300" w:lineRule="auto"/>
                    <w:outlineLvl w:val="3"/>
                    <w:rPr>
                      <w:rFonts w:hint="eastAsia" w:ascii="宋体" w:hAnsi="宋体"/>
                      <w:b/>
                      <w:bCs/>
                      <w:sz w:val="24"/>
                      <w:highlight w:val="none"/>
                    </w:rPr>
                  </w:pPr>
                  <w:bookmarkStart w:id="769" w:name="_Toc263259830"/>
                  <w:r>
                    <w:rPr>
                      <w:rFonts w:hint="eastAsia" w:ascii="宋体" w:hAnsi="宋体"/>
                      <w:b/>
                      <w:bCs/>
                      <w:sz w:val="24"/>
                      <w:highlight w:val="none"/>
                    </w:rPr>
                    <w:t>14.2</w:t>
                  </w:r>
                  <w:bookmarkEnd w:id="769"/>
                </w:p>
              </w:tc>
              <w:tc>
                <w:tcPr>
                  <w:tcW w:w="7580" w:type="dxa"/>
                  <w:noWrap w:val="0"/>
                  <w:vAlign w:val="top"/>
                </w:tcPr>
                <w:p w14:paraId="6CA48EC3">
                  <w:pPr>
                    <w:spacing w:after="120" w:afterLines="50" w:line="300" w:lineRule="auto"/>
                    <w:outlineLvl w:val="3"/>
                    <w:rPr>
                      <w:rFonts w:hint="eastAsia" w:ascii="宋体" w:hAnsi="宋体"/>
                      <w:b/>
                      <w:bCs/>
                      <w:sz w:val="24"/>
                      <w:highlight w:val="none"/>
                    </w:rPr>
                  </w:pPr>
                  <w:bookmarkStart w:id="770" w:name="_Toc263259831"/>
                  <w:r>
                    <w:rPr>
                      <w:rFonts w:hint="eastAsia" w:ascii="宋体" w:hAnsi="宋体"/>
                      <w:b/>
                      <w:bCs/>
                      <w:sz w:val="24"/>
                      <w:highlight w:val="none"/>
                    </w:rPr>
                    <w:t>其他约定</w:t>
                  </w:r>
                  <w:bookmarkEnd w:id="770"/>
                </w:p>
              </w:tc>
            </w:tr>
            <w:tr w14:paraId="439AAF3A">
              <w:tblPrEx>
                <w:tblCellMar>
                  <w:top w:w="0" w:type="dxa"/>
                  <w:left w:w="108" w:type="dxa"/>
                  <w:bottom w:w="0" w:type="dxa"/>
                  <w:right w:w="108" w:type="dxa"/>
                </w:tblCellMar>
              </w:tblPrEx>
              <w:tc>
                <w:tcPr>
                  <w:tcW w:w="993" w:type="dxa"/>
                  <w:noWrap w:val="0"/>
                  <w:vAlign w:val="top"/>
                </w:tcPr>
                <w:p w14:paraId="2B36A6FF">
                  <w:pPr>
                    <w:spacing w:after="120" w:afterLines="50" w:line="300" w:lineRule="auto"/>
                    <w:rPr>
                      <w:rFonts w:hint="eastAsia" w:ascii="宋体" w:hAnsi="宋体"/>
                      <w:sz w:val="24"/>
                      <w:highlight w:val="none"/>
                    </w:rPr>
                  </w:pPr>
                </w:p>
              </w:tc>
              <w:tc>
                <w:tcPr>
                  <w:tcW w:w="7580" w:type="dxa"/>
                  <w:noWrap w:val="0"/>
                  <w:vAlign w:val="top"/>
                </w:tcPr>
                <w:p w14:paraId="65AEBCC0">
                  <w:pPr>
                    <w:spacing w:after="120" w:afterLines="50" w:line="300" w:lineRule="auto"/>
                    <w:rPr>
                      <w:rFonts w:hint="eastAsia" w:ascii="宋体" w:hAnsi="宋体"/>
                      <w:sz w:val="24"/>
                      <w:highlight w:val="none"/>
                    </w:rPr>
                  </w:pPr>
                  <w:r>
                    <w:rPr>
                      <w:rFonts w:hint="eastAsia" w:ascii="宋体" w:hAnsi="宋体"/>
                      <w:sz w:val="24"/>
                      <w:highlight w:val="none"/>
                    </w:rPr>
                    <w:t>其他约定内容：</w:t>
                  </w:r>
                </w:p>
                <w:p w14:paraId="7D8FF60D">
                  <w:pPr>
                    <w:spacing w:after="120" w:afterLines="50" w:line="300" w:lineRule="auto"/>
                    <w:rPr>
                      <w:rFonts w:hint="eastAsia" w:ascii="宋体" w:hAnsi="宋体"/>
                      <w:sz w:val="24"/>
                      <w:highlight w:val="none"/>
                    </w:rPr>
                  </w:pPr>
                  <w:r>
                    <w:rPr>
                      <w:rFonts w:hint="eastAsia" w:ascii="宋体" w:hAnsi="宋体"/>
                      <w:sz w:val="24"/>
                      <w:highlight w:val="none"/>
                      <w:u w:val="single"/>
                    </w:rPr>
                    <w:t>/</w:t>
                  </w:r>
                  <w:r>
                    <w:rPr>
                      <w:rFonts w:hint="eastAsia" w:ascii="宋体" w:hAnsi="宋体"/>
                      <w:sz w:val="24"/>
                      <w:highlight w:val="none"/>
                    </w:rPr>
                    <w:t>。</w:t>
                  </w:r>
                </w:p>
              </w:tc>
            </w:tr>
            <w:tr w14:paraId="0466CCDE">
              <w:tblPrEx>
                <w:tblCellMar>
                  <w:top w:w="0" w:type="dxa"/>
                  <w:left w:w="108" w:type="dxa"/>
                  <w:bottom w:w="0" w:type="dxa"/>
                  <w:right w:w="108" w:type="dxa"/>
                </w:tblCellMar>
              </w:tblPrEx>
              <w:tc>
                <w:tcPr>
                  <w:tcW w:w="8573" w:type="dxa"/>
                  <w:gridSpan w:val="2"/>
                  <w:noWrap w:val="0"/>
                  <w:vAlign w:val="top"/>
                </w:tcPr>
                <w:p w14:paraId="404F44DB">
                  <w:pPr>
                    <w:keepNext/>
                    <w:keepLines/>
                    <w:spacing w:before="260" w:after="260" w:line="416" w:lineRule="auto"/>
                    <w:outlineLvl w:val="2"/>
                    <w:rPr>
                      <w:rFonts w:hint="eastAsia" w:ascii="宋体" w:hAnsi="宋体"/>
                      <w:b/>
                      <w:bCs/>
                      <w:sz w:val="24"/>
                      <w:highlight w:val="none"/>
                    </w:rPr>
                  </w:pPr>
                  <w:bookmarkStart w:id="771" w:name="_Toc241459804"/>
                  <w:bookmarkStart w:id="772" w:name="_Toc27414237"/>
                  <w:bookmarkStart w:id="773" w:name="_Toc448915693"/>
                  <w:bookmarkStart w:id="774" w:name="_Toc26471963"/>
                  <w:bookmarkStart w:id="775" w:name="_Toc342296561"/>
                  <w:bookmarkStart w:id="776" w:name="_Toc97744711"/>
                  <w:r>
                    <w:rPr>
                      <w:rFonts w:hint="eastAsia" w:ascii="宋体" w:hAnsi="宋体"/>
                      <w:b/>
                      <w:bCs/>
                      <w:sz w:val="24"/>
                      <w:highlight w:val="none"/>
                    </w:rPr>
                    <w:t>15.竣工验收和工程移交</w:t>
                  </w:r>
                  <w:bookmarkEnd w:id="771"/>
                  <w:bookmarkEnd w:id="772"/>
                  <w:bookmarkEnd w:id="773"/>
                  <w:bookmarkEnd w:id="774"/>
                  <w:bookmarkEnd w:id="775"/>
                  <w:bookmarkEnd w:id="776"/>
                </w:p>
              </w:tc>
            </w:tr>
            <w:tr w14:paraId="6A9058D5">
              <w:tblPrEx>
                <w:tblCellMar>
                  <w:top w:w="0" w:type="dxa"/>
                  <w:left w:w="108" w:type="dxa"/>
                  <w:bottom w:w="0" w:type="dxa"/>
                  <w:right w:w="108" w:type="dxa"/>
                </w:tblCellMar>
              </w:tblPrEx>
              <w:tc>
                <w:tcPr>
                  <w:tcW w:w="993" w:type="dxa"/>
                  <w:noWrap w:val="0"/>
                  <w:vAlign w:val="top"/>
                </w:tcPr>
                <w:p w14:paraId="24A15D4B">
                  <w:pPr>
                    <w:spacing w:after="120" w:afterLines="50" w:line="300" w:lineRule="auto"/>
                    <w:outlineLvl w:val="3"/>
                    <w:rPr>
                      <w:rFonts w:hint="eastAsia" w:ascii="宋体" w:hAnsi="宋体"/>
                      <w:b/>
                      <w:bCs/>
                      <w:sz w:val="24"/>
                      <w:highlight w:val="none"/>
                    </w:rPr>
                  </w:pPr>
                  <w:bookmarkStart w:id="777" w:name="_Toc263259833"/>
                  <w:r>
                    <w:rPr>
                      <w:rFonts w:hint="eastAsia" w:ascii="宋体" w:hAnsi="宋体"/>
                      <w:b/>
                      <w:bCs/>
                      <w:sz w:val="24"/>
                      <w:highlight w:val="none"/>
                    </w:rPr>
                    <w:t>15.1</w:t>
                  </w:r>
                  <w:bookmarkEnd w:id="777"/>
                </w:p>
              </w:tc>
              <w:tc>
                <w:tcPr>
                  <w:tcW w:w="7580" w:type="dxa"/>
                  <w:noWrap w:val="0"/>
                  <w:vAlign w:val="top"/>
                </w:tcPr>
                <w:p w14:paraId="7C82BBF7">
                  <w:pPr>
                    <w:spacing w:after="120" w:afterLines="50" w:line="300" w:lineRule="auto"/>
                    <w:outlineLvl w:val="3"/>
                    <w:rPr>
                      <w:rFonts w:hint="eastAsia" w:ascii="宋体" w:hAnsi="宋体"/>
                      <w:b/>
                      <w:bCs/>
                      <w:sz w:val="24"/>
                      <w:highlight w:val="none"/>
                    </w:rPr>
                  </w:pPr>
                  <w:bookmarkStart w:id="778" w:name="_Toc263259834"/>
                  <w:r>
                    <w:rPr>
                      <w:rFonts w:hint="eastAsia" w:ascii="宋体" w:hAnsi="宋体"/>
                      <w:b/>
                      <w:bCs/>
                      <w:sz w:val="24"/>
                      <w:highlight w:val="none"/>
                    </w:rPr>
                    <w:t>竣工验收前的清理</w:t>
                  </w:r>
                  <w:bookmarkEnd w:id="778"/>
                </w:p>
              </w:tc>
            </w:tr>
            <w:tr w14:paraId="283DA6DD">
              <w:tblPrEx>
                <w:tblCellMar>
                  <w:top w:w="0" w:type="dxa"/>
                  <w:left w:w="108" w:type="dxa"/>
                  <w:bottom w:w="0" w:type="dxa"/>
                  <w:right w:w="108" w:type="dxa"/>
                </w:tblCellMar>
              </w:tblPrEx>
              <w:tc>
                <w:tcPr>
                  <w:tcW w:w="993" w:type="dxa"/>
                  <w:noWrap w:val="0"/>
                  <w:vAlign w:val="top"/>
                </w:tcPr>
                <w:p w14:paraId="6D3E3EC6">
                  <w:pPr>
                    <w:spacing w:after="120" w:afterLines="50" w:line="300" w:lineRule="auto"/>
                    <w:rPr>
                      <w:rFonts w:hint="eastAsia" w:ascii="宋体" w:hAnsi="宋体"/>
                      <w:sz w:val="24"/>
                      <w:highlight w:val="none"/>
                    </w:rPr>
                  </w:pPr>
                  <w:r>
                    <w:rPr>
                      <w:rFonts w:hint="eastAsia" w:ascii="宋体" w:hAnsi="宋体"/>
                      <w:sz w:val="24"/>
                      <w:highlight w:val="none"/>
                    </w:rPr>
                    <w:t>15.1.1</w:t>
                  </w:r>
                </w:p>
              </w:tc>
              <w:tc>
                <w:tcPr>
                  <w:tcW w:w="7580" w:type="dxa"/>
                  <w:noWrap w:val="0"/>
                  <w:vAlign w:val="top"/>
                </w:tcPr>
                <w:p w14:paraId="1C7F8106">
                  <w:pPr>
                    <w:spacing w:after="120" w:afterLines="50" w:line="300" w:lineRule="auto"/>
                    <w:rPr>
                      <w:rFonts w:hint="eastAsia" w:ascii="宋体" w:hAnsi="宋体"/>
                      <w:sz w:val="24"/>
                      <w:highlight w:val="none"/>
                    </w:rPr>
                  </w:pPr>
                  <w:r>
                    <w:rPr>
                      <w:rFonts w:hint="eastAsia" w:ascii="宋体" w:hAnsi="宋体"/>
                      <w:sz w:val="24"/>
                      <w:highlight w:val="none"/>
                    </w:rPr>
                    <w:t>在向监理人提交竣工验收申请报告前，承包人应当完成竣工验收前的清理工作，包括但不限于：</w:t>
                  </w:r>
                </w:p>
              </w:tc>
            </w:tr>
            <w:tr w14:paraId="6A1199B3">
              <w:tblPrEx>
                <w:tblCellMar>
                  <w:top w:w="0" w:type="dxa"/>
                  <w:left w:w="108" w:type="dxa"/>
                  <w:bottom w:w="0" w:type="dxa"/>
                  <w:right w:w="108" w:type="dxa"/>
                </w:tblCellMar>
              </w:tblPrEx>
              <w:tc>
                <w:tcPr>
                  <w:tcW w:w="993" w:type="dxa"/>
                  <w:noWrap w:val="0"/>
                  <w:vAlign w:val="top"/>
                </w:tcPr>
                <w:p w14:paraId="1F69D7BB">
                  <w:pPr>
                    <w:spacing w:after="120" w:afterLines="50" w:line="300" w:lineRule="auto"/>
                    <w:rPr>
                      <w:rFonts w:hint="eastAsia" w:ascii="宋体" w:hAnsi="宋体"/>
                      <w:sz w:val="24"/>
                      <w:highlight w:val="none"/>
                    </w:rPr>
                  </w:pPr>
                </w:p>
              </w:tc>
              <w:tc>
                <w:tcPr>
                  <w:tcW w:w="7580" w:type="dxa"/>
                  <w:noWrap w:val="0"/>
                  <w:vAlign w:val="top"/>
                </w:tcPr>
                <w:p w14:paraId="1CA51834">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从永久工程内清除所有剩余材料、杂物、垃圾等等；</w:t>
                  </w:r>
                </w:p>
                <w:p w14:paraId="29364C58">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清洗工程的所有地面、墙面、楼面、路面等表面；</w:t>
                  </w:r>
                </w:p>
                <w:p w14:paraId="64C95E8F">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清洗和擦洗所有玻璃、磁砖、石材和所有金属面；</w:t>
                  </w:r>
                </w:p>
                <w:p w14:paraId="2AD39897">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修缮所有损坏、清除所有污迹、替换所有需更换的材料；</w:t>
                  </w:r>
                </w:p>
                <w:p w14:paraId="7B1540F9">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所有表面完成约定的装修和装饰；</w:t>
                  </w:r>
                </w:p>
                <w:p w14:paraId="4E10AB6C">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检查和调试所有的门、窗、抽屉等以确保他们开启的顺畅；</w:t>
                  </w:r>
                </w:p>
                <w:p w14:paraId="366B4587">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检查和调试所有的五金件并上油；</w:t>
                  </w:r>
                </w:p>
                <w:p w14:paraId="02C5F14F">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检查、测试和确保所有服务系统、设施和设备达到良好的运行状态和效果；</w:t>
                  </w:r>
                </w:p>
                <w:p w14:paraId="46C42460">
                  <w:pPr>
                    <w:numPr>
                      <w:ilvl w:val="0"/>
                      <w:numId w:val="22"/>
                    </w:numPr>
                    <w:tabs>
                      <w:tab w:val="left" w:pos="720"/>
                      <w:tab w:val="clear" w:pos="4941"/>
                    </w:tabs>
                    <w:spacing w:after="120" w:afterLines="50" w:line="300" w:lineRule="auto"/>
                    <w:ind w:left="720" w:hanging="720"/>
                    <w:rPr>
                      <w:rFonts w:hint="eastAsia" w:ascii="宋体" w:hAnsi="宋体"/>
                      <w:sz w:val="24"/>
                      <w:highlight w:val="none"/>
                    </w:rPr>
                  </w:pPr>
                  <w:r>
                    <w:rPr>
                      <w:rFonts w:hint="eastAsia" w:ascii="宋体" w:hAnsi="宋体"/>
                      <w:sz w:val="24"/>
                      <w:highlight w:val="none"/>
                    </w:rPr>
                    <w:t>所有钥匙（如果有）贴上标签并固定到钥匙排上随时可以交给监理人。</w:t>
                  </w:r>
                </w:p>
              </w:tc>
            </w:tr>
            <w:tr w14:paraId="027B46E1">
              <w:tblPrEx>
                <w:tblCellMar>
                  <w:top w:w="0" w:type="dxa"/>
                  <w:left w:w="108" w:type="dxa"/>
                  <w:bottom w:w="0" w:type="dxa"/>
                  <w:right w:w="108" w:type="dxa"/>
                </w:tblCellMar>
              </w:tblPrEx>
              <w:tc>
                <w:tcPr>
                  <w:tcW w:w="993" w:type="dxa"/>
                  <w:noWrap w:val="0"/>
                  <w:vAlign w:val="top"/>
                </w:tcPr>
                <w:p w14:paraId="58E93F42">
                  <w:pPr>
                    <w:spacing w:after="120" w:afterLines="50" w:line="300" w:lineRule="auto"/>
                    <w:rPr>
                      <w:rFonts w:hint="eastAsia" w:ascii="宋体" w:hAnsi="宋体"/>
                      <w:sz w:val="24"/>
                      <w:highlight w:val="none"/>
                    </w:rPr>
                  </w:pPr>
                  <w:r>
                    <w:rPr>
                      <w:rFonts w:hint="eastAsia" w:ascii="宋体" w:hAnsi="宋体"/>
                      <w:sz w:val="24"/>
                      <w:highlight w:val="none"/>
                    </w:rPr>
                    <w:t>15.1.2</w:t>
                  </w:r>
                </w:p>
              </w:tc>
              <w:tc>
                <w:tcPr>
                  <w:tcW w:w="7580" w:type="dxa"/>
                  <w:noWrap w:val="0"/>
                  <w:vAlign w:val="top"/>
                </w:tcPr>
                <w:p w14:paraId="409C1ADA">
                  <w:pPr>
                    <w:spacing w:after="120" w:afterLines="50" w:line="300" w:lineRule="auto"/>
                    <w:rPr>
                      <w:rFonts w:hint="eastAsia" w:ascii="宋体" w:hAnsi="宋体"/>
                      <w:sz w:val="24"/>
                      <w:highlight w:val="none"/>
                    </w:rPr>
                  </w:pPr>
                  <w:r>
                    <w:rPr>
                      <w:rFonts w:hint="eastAsia" w:ascii="宋体" w:hAnsi="宋体"/>
                      <w:sz w:val="24"/>
                      <w:highlight w:val="none"/>
                    </w:rPr>
                    <w:t>清理工作所需费用由承包人承担。</w:t>
                  </w:r>
                </w:p>
              </w:tc>
            </w:tr>
            <w:tr w14:paraId="7A26ED03">
              <w:tblPrEx>
                <w:tblCellMar>
                  <w:top w:w="0" w:type="dxa"/>
                  <w:left w:w="108" w:type="dxa"/>
                  <w:bottom w:w="0" w:type="dxa"/>
                  <w:right w:w="108" w:type="dxa"/>
                </w:tblCellMar>
              </w:tblPrEx>
              <w:tc>
                <w:tcPr>
                  <w:tcW w:w="993" w:type="dxa"/>
                  <w:noWrap w:val="0"/>
                  <w:vAlign w:val="top"/>
                </w:tcPr>
                <w:p w14:paraId="6F24A9B5">
                  <w:pPr>
                    <w:spacing w:after="120" w:afterLines="50" w:line="300" w:lineRule="auto"/>
                    <w:outlineLvl w:val="3"/>
                    <w:rPr>
                      <w:rFonts w:hint="eastAsia" w:ascii="宋体" w:hAnsi="宋体"/>
                      <w:b/>
                      <w:bCs/>
                      <w:sz w:val="24"/>
                      <w:highlight w:val="none"/>
                    </w:rPr>
                  </w:pPr>
                  <w:bookmarkStart w:id="779" w:name="_Toc263259835"/>
                  <w:r>
                    <w:rPr>
                      <w:rFonts w:hint="eastAsia" w:ascii="宋体" w:hAnsi="宋体"/>
                      <w:b/>
                      <w:bCs/>
                      <w:sz w:val="24"/>
                      <w:highlight w:val="none"/>
                    </w:rPr>
                    <w:t>15.2</w:t>
                  </w:r>
                  <w:bookmarkEnd w:id="779"/>
                </w:p>
              </w:tc>
              <w:tc>
                <w:tcPr>
                  <w:tcW w:w="7580" w:type="dxa"/>
                  <w:noWrap w:val="0"/>
                  <w:vAlign w:val="top"/>
                </w:tcPr>
                <w:p w14:paraId="6145B946">
                  <w:pPr>
                    <w:spacing w:after="120" w:afterLines="50" w:line="300" w:lineRule="auto"/>
                    <w:outlineLvl w:val="3"/>
                    <w:rPr>
                      <w:rFonts w:hint="eastAsia" w:ascii="宋体" w:hAnsi="宋体"/>
                      <w:b/>
                      <w:bCs/>
                      <w:sz w:val="24"/>
                      <w:highlight w:val="none"/>
                    </w:rPr>
                  </w:pPr>
                  <w:bookmarkStart w:id="780" w:name="_Toc263259836"/>
                  <w:r>
                    <w:rPr>
                      <w:rFonts w:hint="eastAsia" w:ascii="宋体" w:hAnsi="宋体"/>
                      <w:b/>
                      <w:bCs/>
                      <w:sz w:val="24"/>
                      <w:highlight w:val="none"/>
                    </w:rPr>
                    <w:t>竣工验收申请报告</w:t>
                  </w:r>
                  <w:bookmarkEnd w:id="780"/>
                </w:p>
              </w:tc>
            </w:tr>
            <w:tr w14:paraId="3E43F718">
              <w:tblPrEx>
                <w:tblCellMar>
                  <w:top w:w="0" w:type="dxa"/>
                  <w:left w:w="108" w:type="dxa"/>
                  <w:bottom w:w="0" w:type="dxa"/>
                  <w:right w:w="108" w:type="dxa"/>
                </w:tblCellMar>
              </w:tblPrEx>
              <w:tc>
                <w:tcPr>
                  <w:tcW w:w="993" w:type="dxa"/>
                  <w:noWrap w:val="0"/>
                  <w:vAlign w:val="top"/>
                </w:tcPr>
                <w:p w14:paraId="3435941D">
                  <w:pPr>
                    <w:spacing w:after="120" w:afterLines="50" w:line="300" w:lineRule="auto"/>
                    <w:rPr>
                      <w:rFonts w:hint="eastAsia" w:ascii="宋体" w:hAnsi="宋体"/>
                      <w:sz w:val="24"/>
                      <w:highlight w:val="none"/>
                    </w:rPr>
                  </w:pPr>
                  <w:r>
                    <w:rPr>
                      <w:rFonts w:hint="eastAsia" w:ascii="宋体" w:hAnsi="宋体"/>
                      <w:sz w:val="24"/>
                      <w:highlight w:val="none"/>
                    </w:rPr>
                    <w:t>15.2.1</w:t>
                  </w:r>
                </w:p>
              </w:tc>
              <w:tc>
                <w:tcPr>
                  <w:tcW w:w="7580" w:type="dxa"/>
                  <w:noWrap w:val="0"/>
                  <w:vAlign w:val="top"/>
                </w:tcPr>
                <w:p w14:paraId="0E3365B6">
                  <w:pPr>
                    <w:spacing w:after="120" w:afterLines="50" w:line="300" w:lineRule="auto"/>
                    <w:rPr>
                      <w:rFonts w:hint="eastAsia" w:ascii="宋体" w:hAnsi="宋体"/>
                      <w:sz w:val="24"/>
                      <w:highlight w:val="none"/>
                    </w:rPr>
                  </w:pPr>
                  <w:r>
                    <w:rPr>
                      <w:rFonts w:hint="eastAsia" w:ascii="宋体" w:hAnsi="宋体"/>
                      <w:sz w:val="24"/>
                      <w:highlight w:val="none"/>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tc>
            </w:tr>
            <w:tr w14:paraId="281CDB75">
              <w:tblPrEx>
                <w:tblCellMar>
                  <w:top w:w="0" w:type="dxa"/>
                  <w:left w:w="108" w:type="dxa"/>
                  <w:bottom w:w="0" w:type="dxa"/>
                  <w:right w:w="108" w:type="dxa"/>
                </w:tblCellMar>
              </w:tblPrEx>
              <w:tc>
                <w:tcPr>
                  <w:tcW w:w="993" w:type="dxa"/>
                  <w:noWrap w:val="0"/>
                  <w:vAlign w:val="top"/>
                </w:tcPr>
                <w:p w14:paraId="10B5B466">
                  <w:pPr>
                    <w:spacing w:after="120" w:afterLines="50" w:line="300" w:lineRule="auto"/>
                    <w:rPr>
                      <w:rFonts w:hint="eastAsia" w:ascii="宋体" w:hAnsi="宋体"/>
                      <w:sz w:val="24"/>
                      <w:highlight w:val="none"/>
                    </w:rPr>
                  </w:pPr>
                  <w:r>
                    <w:rPr>
                      <w:rFonts w:hint="eastAsia" w:ascii="宋体" w:hAnsi="宋体"/>
                      <w:sz w:val="24"/>
                      <w:highlight w:val="none"/>
                    </w:rPr>
                    <w:t>15.2.2</w:t>
                  </w:r>
                </w:p>
              </w:tc>
              <w:tc>
                <w:tcPr>
                  <w:tcW w:w="7580" w:type="dxa"/>
                  <w:noWrap w:val="0"/>
                  <w:vAlign w:val="top"/>
                </w:tcPr>
                <w:p w14:paraId="4A6D7C3D">
                  <w:pPr>
                    <w:spacing w:after="120" w:afterLines="50" w:line="300" w:lineRule="auto"/>
                    <w:rPr>
                      <w:rFonts w:hint="eastAsia" w:ascii="宋体" w:hAnsi="宋体"/>
                      <w:sz w:val="24"/>
                      <w:highlight w:val="none"/>
                    </w:rPr>
                  </w:pPr>
                  <w:r>
                    <w:rPr>
                      <w:rFonts w:hint="eastAsia" w:ascii="宋体" w:hAnsi="宋体"/>
                      <w:sz w:val="24"/>
                      <w:highlight w:val="none"/>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tc>
            </w:tr>
            <w:tr w14:paraId="323F28CA">
              <w:tblPrEx>
                <w:tblCellMar>
                  <w:top w:w="0" w:type="dxa"/>
                  <w:left w:w="108" w:type="dxa"/>
                  <w:bottom w:w="0" w:type="dxa"/>
                  <w:right w:w="108" w:type="dxa"/>
                </w:tblCellMar>
              </w:tblPrEx>
              <w:tc>
                <w:tcPr>
                  <w:tcW w:w="993" w:type="dxa"/>
                  <w:noWrap w:val="0"/>
                  <w:vAlign w:val="top"/>
                </w:tcPr>
                <w:p w14:paraId="1A741BAE">
                  <w:pPr>
                    <w:spacing w:after="120" w:afterLines="50" w:line="300" w:lineRule="auto"/>
                    <w:rPr>
                      <w:rFonts w:hint="eastAsia" w:ascii="宋体" w:hAnsi="宋体"/>
                      <w:sz w:val="24"/>
                      <w:highlight w:val="none"/>
                    </w:rPr>
                  </w:pPr>
                  <w:r>
                    <w:rPr>
                      <w:rFonts w:hint="eastAsia" w:ascii="宋体" w:hAnsi="宋体"/>
                      <w:sz w:val="24"/>
                      <w:highlight w:val="none"/>
                    </w:rPr>
                    <w:t>15.2.3</w:t>
                  </w:r>
                </w:p>
              </w:tc>
              <w:tc>
                <w:tcPr>
                  <w:tcW w:w="7580" w:type="dxa"/>
                  <w:noWrap w:val="0"/>
                  <w:vAlign w:val="top"/>
                </w:tcPr>
                <w:p w14:paraId="3EA956FD">
                  <w:pPr>
                    <w:spacing w:after="120" w:afterLines="50" w:line="300" w:lineRule="auto"/>
                    <w:rPr>
                      <w:rFonts w:hint="eastAsia" w:ascii="宋体" w:hAnsi="宋体"/>
                      <w:sz w:val="24"/>
                      <w:highlight w:val="none"/>
                    </w:rPr>
                  </w:pPr>
                  <w:r>
                    <w:rPr>
                      <w:rFonts w:hint="eastAsia" w:ascii="宋体" w:hAnsi="宋体"/>
                      <w:sz w:val="24"/>
                      <w:highlight w:val="none"/>
                    </w:rPr>
                    <w:t>竣工验收申请报告应当按通用合同条款第18.2款附上下列内容：</w:t>
                  </w:r>
                </w:p>
                <w:p w14:paraId="5FC98262">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71E12F07">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按专用合同条款第18.2（2）目约定的内容和份数整理的符合要求的竣工资料；</w:t>
                  </w:r>
                </w:p>
                <w:p w14:paraId="03CC4332">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按监理人的要求编制了在缺陷责任期内完成的尾工（甩项）工程和缺陷修补工作清单以及相应施工计划；</w:t>
                  </w:r>
                </w:p>
                <w:p w14:paraId="59CACD77">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监理人要求在竣工验收前应完成的其他工作的证明材料；</w:t>
                  </w:r>
                </w:p>
                <w:p w14:paraId="5581C149">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监理人要求提交的竣工验收资料清单；</w:t>
                  </w:r>
                </w:p>
                <w:p w14:paraId="22811783">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通用合同条款第18.4.1项约定的单位工程竣工验收成果和结论文件（如果有）；</w:t>
                  </w:r>
                </w:p>
                <w:p w14:paraId="247C4BA8">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专用合同条款第19.7款约定的质量保修书（此前已经提交的不再提交）；</w:t>
                  </w:r>
                </w:p>
                <w:p w14:paraId="0E1E9741">
                  <w:pPr>
                    <w:numPr>
                      <w:ilvl w:val="0"/>
                      <w:numId w:val="29"/>
                    </w:numPr>
                    <w:spacing w:after="120" w:afterLines="50" w:line="300" w:lineRule="auto"/>
                    <w:rPr>
                      <w:rFonts w:hint="eastAsia" w:ascii="宋体" w:hAnsi="宋体"/>
                      <w:sz w:val="24"/>
                      <w:highlight w:val="none"/>
                    </w:rPr>
                  </w:pPr>
                  <w:r>
                    <w:rPr>
                      <w:rFonts w:hint="eastAsia" w:ascii="宋体" w:hAnsi="宋体"/>
                      <w:sz w:val="24"/>
                      <w:highlight w:val="none"/>
                    </w:rPr>
                    <w:t>其他：</w:t>
                  </w:r>
                  <w:r>
                    <w:rPr>
                      <w:rFonts w:hint="eastAsia" w:ascii="宋体" w:hAnsi="宋体"/>
                      <w:sz w:val="24"/>
                      <w:highlight w:val="none"/>
                      <w:u w:val="single"/>
                    </w:rPr>
                    <w:t>/</w:t>
                  </w:r>
                  <w:r>
                    <w:rPr>
                      <w:rFonts w:hint="eastAsia" w:ascii="宋体" w:hAnsi="宋体"/>
                      <w:sz w:val="24"/>
                      <w:highlight w:val="none"/>
                    </w:rPr>
                    <w:t>。</w:t>
                  </w:r>
                </w:p>
              </w:tc>
            </w:tr>
          </w:tbl>
          <w:p w14:paraId="384E0E14">
            <w:pPr>
              <w:pStyle w:val="7"/>
              <w:rPr>
                <w:rFonts w:hint="eastAsia" w:hAnsi="宋体" w:cs="Arial"/>
                <w:szCs w:val="24"/>
                <w:highlight w:val="none"/>
              </w:rPr>
            </w:pPr>
            <w:bookmarkStart w:id="781" w:name="_Toc27414238"/>
            <w:bookmarkStart w:id="782" w:name="_Toc26471964"/>
            <w:bookmarkStart w:id="783" w:name="_Toc97744712"/>
            <w:r>
              <w:rPr>
                <w:rFonts w:hAnsi="宋体" w:cs="Arial"/>
                <w:szCs w:val="24"/>
                <w:highlight w:val="none"/>
                <w:u w:val="none"/>
              </w:rPr>
              <w:t>1</w:t>
            </w:r>
            <w:r>
              <w:rPr>
                <w:rFonts w:hint="eastAsia" w:hAnsi="宋体" w:cs="Arial"/>
                <w:szCs w:val="24"/>
                <w:highlight w:val="none"/>
                <w:u w:val="none"/>
              </w:rPr>
              <w:t>6</w:t>
            </w:r>
            <w:r>
              <w:rPr>
                <w:rFonts w:hAnsi="宋体" w:cs="Arial"/>
                <w:szCs w:val="24"/>
                <w:highlight w:val="none"/>
                <w:u w:val="none"/>
              </w:rPr>
              <w:t>.</w:t>
            </w:r>
            <w:r>
              <w:rPr>
                <w:rFonts w:hint="eastAsia" w:hAnsi="宋体" w:cs="Arial"/>
                <w:szCs w:val="24"/>
                <w:highlight w:val="none"/>
                <w:u w:val="none"/>
              </w:rPr>
              <w:t>其他要求</w:t>
            </w:r>
            <w:bookmarkEnd w:id="740"/>
            <w:bookmarkEnd w:id="741"/>
            <w:bookmarkEnd w:id="742"/>
            <w:bookmarkEnd w:id="781"/>
            <w:bookmarkEnd w:id="782"/>
            <w:bookmarkEnd w:id="783"/>
          </w:p>
          <w:p w14:paraId="5633E021">
            <w:pPr>
              <w:spacing w:line="360" w:lineRule="auto"/>
              <w:ind w:firstLine="283" w:firstLineChars="118"/>
              <w:rPr>
                <w:rFonts w:hint="eastAsia" w:ascii="宋体" w:hAnsi="宋体" w:cs="宋体"/>
                <w:spacing w:val="-1"/>
                <w:sz w:val="24"/>
                <w:highlight w:val="none"/>
              </w:rPr>
            </w:pPr>
            <w:bookmarkStart w:id="784" w:name="_Hlk203062260"/>
            <w:r>
              <w:rPr>
                <w:rFonts w:hint="eastAsia" w:ascii="宋体" w:hAnsi="宋体" w:cs="Segoe UI Symbol"/>
                <w:kern w:val="0"/>
                <w:sz w:val="24"/>
                <w:highlight w:val="none"/>
              </w:rPr>
              <w:t>16.1</w:t>
            </w:r>
            <w:r>
              <w:rPr>
                <w:rFonts w:ascii="宋体" w:hAnsi="宋体" w:cs="Segoe UI Symbol"/>
                <w:kern w:val="0"/>
                <w:sz w:val="24"/>
                <w:highlight w:val="none"/>
              </w:rPr>
              <w:t>★</w:t>
            </w:r>
            <w:r>
              <w:rPr>
                <w:rFonts w:hint="eastAsia" w:ascii="宋体" w:hAnsi="宋体" w:cs="Segoe UI Symbol"/>
                <w:kern w:val="0"/>
                <w:sz w:val="24"/>
                <w:highlight w:val="none"/>
              </w:rPr>
              <w:t>应承诺</w:t>
            </w:r>
            <w:r>
              <w:rPr>
                <w:rFonts w:hint="eastAsia" w:ascii="宋体" w:hAnsi="宋体" w:cs="宋体"/>
                <w:spacing w:val="-1"/>
                <w:sz w:val="24"/>
                <w:highlight w:val="none"/>
              </w:rPr>
              <w:t>本项目于</w:t>
            </w:r>
            <w:r>
              <w:rPr>
                <w:rFonts w:hint="eastAsia" w:ascii="宋体" w:hAnsi="宋体" w:cs="宋体"/>
                <w:spacing w:val="-1"/>
                <w:sz w:val="24"/>
                <w:highlight w:val="none"/>
                <w:u w:val="single"/>
              </w:rPr>
              <w:t>2025年8月</w:t>
            </w:r>
            <w:r>
              <w:rPr>
                <w:rFonts w:hint="eastAsia" w:ascii="宋体" w:hAnsi="宋体" w:cs="宋体"/>
                <w:spacing w:val="-1"/>
                <w:sz w:val="24"/>
                <w:highlight w:val="none"/>
                <w:u w:val="single"/>
                <w:lang w:val="en-US" w:eastAsia="zh-CN"/>
              </w:rPr>
              <w:t>31</w:t>
            </w:r>
            <w:r>
              <w:rPr>
                <w:rFonts w:hint="eastAsia" w:ascii="宋体" w:hAnsi="宋体" w:cs="宋体"/>
                <w:spacing w:val="-1"/>
                <w:sz w:val="24"/>
                <w:highlight w:val="none"/>
                <w:u w:val="single"/>
              </w:rPr>
              <w:t>日</w:t>
            </w:r>
            <w:r>
              <w:rPr>
                <w:rFonts w:hint="eastAsia" w:ascii="宋体" w:hAnsi="宋体" w:cs="宋体"/>
                <w:spacing w:val="-1"/>
                <w:sz w:val="24"/>
                <w:highlight w:val="none"/>
              </w:rPr>
              <w:t>前全部完工并移交给发包人</w:t>
            </w:r>
            <w:bookmarkEnd w:id="784"/>
            <w:r>
              <w:rPr>
                <w:rFonts w:hint="eastAsia" w:ascii="宋体" w:hAnsi="宋体" w:cs="宋体"/>
                <w:spacing w:val="-1"/>
                <w:sz w:val="24"/>
                <w:highlight w:val="none"/>
              </w:rPr>
              <w:t xml:space="preserve">。 </w:t>
            </w:r>
          </w:p>
          <w:p w14:paraId="41DAF369">
            <w:pPr>
              <w:spacing w:line="360" w:lineRule="auto"/>
              <w:ind w:firstLine="360" w:firstLineChars="150"/>
              <w:rPr>
                <w:rFonts w:hint="eastAsia" w:ascii="宋体" w:hAnsi="宋体"/>
                <w:sz w:val="24"/>
                <w:highlight w:val="none"/>
              </w:rPr>
            </w:pPr>
            <w:r>
              <w:rPr>
                <w:rFonts w:hint="eastAsia" w:ascii="宋体" w:hAnsi="宋体"/>
                <w:sz w:val="24"/>
                <w:highlight w:val="none"/>
              </w:rPr>
              <w:t>16.2负责阻止与本工程无关的任何未经授权的人员进入现场；</w:t>
            </w:r>
          </w:p>
          <w:p w14:paraId="51E71850">
            <w:pPr>
              <w:spacing w:line="360" w:lineRule="auto"/>
              <w:ind w:firstLine="360" w:firstLineChars="150"/>
              <w:rPr>
                <w:rFonts w:hint="eastAsia" w:ascii="宋体" w:hAnsi="宋体"/>
                <w:sz w:val="24"/>
                <w:highlight w:val="none"/>
              </w:rPr>
            </w:pPr>
            <w:r>
              <w:rPr>
                <w:rFonts w:hint="eastAsia" w:ascii="宋体" w:hAnsi="宋体"/>
                <w:sz w:val="24"/>
                <w:highlight w:val="none"/>
              </w:rPr>
              <w:t>16.3采取合理的预防措施，防止现场内发生任何违法暴乱或妨害治安的行为，并保护工程周围公众和其他人员及其财产不受现场内上述行为的危害。</w:t>
            </w:r>
          </w:p>
          <w:p w14:paraId="69A4F177">
            <w:pPr>
              <w:pStyle w:val="7"/>
              <w:rPr>
                <w:rFonts w:hint="eastAsia" w:hAnsi="宋体" w:cs="Arial"/>
                <w:sz w:val="28"/>
                <w:szCs w:val="28"/>
                <w:highlight w:val="none"/>
              </w:rPr>
            </w:pPr>
            <w:r>
              <w:rPr>
                <w:rFonts w:hint="eastAsia" w:hAnsi="宋体" w:cs="Arial"/>
                <w:sz w:val="28"/>
                <w:szCs w:val="28"/>
                <w:highlight w:val="none"/>
                <w:u w:val="none"/>
              </w:rPr>
              <w:t>17.图纸和工程量清单（另附）</w:t>
            </w:r>
          </w:p>
          <w:p w14:paraId="06EDB0C6">
            <w:pPr>
              <w:pStyle w:val="6"/>
              <w:ind w:firstLine="480"/>
              <w:rPr>
                <w:rFonts w:hint="eastAsia"/>
                <w:highlight w:val="none"/>
              </w:rPr>
            </w:pPr>
          </w:p>
          <w:p w14:paraId="0B85710B">
            <w:pPr>
              <w:pStyle w:val="6"/>
              <w:ind w:firstLine="480"/>
              <w:rPr>
                <w:rFonts w:hint="eastAsia"/>
                <w:highlight w:val="none"/>
              </w:rPr>
            </w:pPr>
          </w:p>
          <w:p w14:paraId="3FE2940A">
            <w:pPr>
              <w:pStyle w:val="6"/>
              <w:ind w:firstLine="480"/>
              <w:rPr>
                <w:rFonts w:hint="eastAsia"/>
                <w:highlight w:val="none"/>
              </w:rPr>
            </w:pPr>
          </w:p>
          <w:p w14:paraId="50AF600C">
            <w:pPr>
              <w:pStyle w:val="6"/>
              <w:ind w:firstLine="480"/>
              <w:rPr>
                <w:rFonts w:hint="eastAsia"/>
                <w:highlight w:val="none"/>
              </w:rPr>
            </w:pPr>
          </w:p>
        </w:tc>
      </w:tr>
    </w:tbl>
    <w:p w14:paraId="3120661D">
      <w:pPr>
        <w:spacing w:line="360" w:lineRule="auto"/>
        <w:jc w:val="center"/>
        <w:outlineLvl w:val="0"/>
        <w:rPr>
          <w:b/>
          <w:sz w:val="36"/>
          <w:szCs w:val="36"/>
          <w:highlight w:val="none"/>
        </w:rPr>
        <w:sectPr>
          <w:pgSz w:w="11907" w:h="16839"/>
          <w:pgMar w:top="1418" w:right="1134" w:bottom="1134" w:left="1418" w:header="720" w:footer="720" w:gutter="0"/>
          <w:cols w:space="720" w:num="1"/>
        </w:sectPr>
      </w:pPr>
    </w:p>
    <w:p w14:paraId="18EA9EF0">
      <w:pPr>
        <w:spacing w:line="360" w:lineRule="auto"/>
        <w:jc w:val="center"/>
        <w:outlineLvl w:val="0"/>
        <w:rPr>
          <w:b/>
          <w:sz w:val="36"/>
          <w:szCs w:val="36"/>
          <w:highlight w:val="none"/>
        </w:rPr>
      </w:pPr>
      <w:bookmarkStart w:id="785" w:name="_Toc32154"/>
      <w:bookmarkStart w:id="786" w:name="_Toc17420"/>
      <w:r>
        <w:rPr>
          <w:b/>
          <w:sz w:val="36"/>
          <w:szCs w:val="36"/>
          <w:highlight w:val="none"/>
        </w:rPr>
        <w:t>第五章   合同</w:t>
      </w:r>
      <w:r>
        <w:rPr>
          <w:rFonts w:hint="eastAsia"/>
          <w:b/>
          <w:sz w:val="36"/>
          <w:szCs w:val="36"/>
          <w:highlight w:val="none"/>
        </w:rPr>
        <w:t>草案条款</w:t>
      </w:r>
      <w:bookmarkEnd w:id="785"/>
      <w:bookmarkEnd w:id="786"/>
    </w:p>
    <w:p w14:paraId="44930164">
      <w:pPr>
        <w:jc w:val="center"/>
        <w:rPr>
          <w:rFonts w:hint="eastAsia" w:ascii="Calibri" w:hAnsi="Calibri" w:eastAsia="黑体"/>
          <w:sz w:val="32"/>
          <w:szCs w:val="32"/>
          <w:highlight w:val="none"/>
        </w:rPr>
      </w:pPr>
    </w:p>
    <w:p w14:paraId="0AB8B16E">
      <w:pPr>
        <w:spacing w:line="360" w:lineRule="auto"/>
        <w:jc w:val="center"/>
        <w:outlineLvl w:val="0"/>
        <w:rPr>
          <w:b/>
          <w:sz w:val="36"/>
          <w:szCs w:val="36"/>
          <w:highlight w:val="none"/>
        </w:rPr>
      </w:pPr>
      <w:r>
        <w:rPr>
          <w:rFonts w:hint="eastAsia" w:ascii="楷体_GB2312" w:eastAsia="楷体_GB2312"/>
          <w:b/>
          <w:sz w:val="24"/>
          <w:highlight w:val="none"/>
        </w:rPr>
        <w:t xml:space="preserve"> </w:t>
      </w:r>
      <w:bookmarkStart w:id="787" w:name="_Toc27804"/>
      <w:bookmarkStart w:id="788" w:name="_Toc19717"/>
      <w:r>
        <w:rPr>
          <w:rFonts w:hint="eastAsia"/>
          <w:b/>
          <w:sz w:val="36"/>
          <w:szCs w:val="36"/>
          <w:highlight w:val="none"/>
        </w:rPr>
        <w:t>施工合同文件</w:t>
      </w:r>
      <w:bookmarkEnd w:id="787"/>
      <w:bookmarkEnd w:id="788"/>
    </w:p>
    <w:p w14:paraId="1F885655">
      <w:pPr>
        <w:spacing w:after="160" w:line="278" w:lineRule="auto"/>
        <w:rPr>
          <w:highlight w:val="none"/>
        </w:rPr>
      </w:pPr>
    </w:p>
    <w:p w14:paraId="17CC21E1">
      <w:pPr>
        <w:spacing w:after="160" w:line="278" w:lineRule="auto"/>
        <w:rPr>
          <w:highlight w:val="none"/>
        </w:rPr>
      </w:pPr>
    </w:p>
    <w:p w14:paraId="2C65CDEB">
      <w:pPr>
        <w:spacing w:after="160" w:line="278" w:lineRule="auto"/>
        <w:rPr>
          <w:highlight w:val="none"/>
        </w:rPr>
      </w:pPr>
    </w:p>
    <w:p w14:paraId="7C934858">
      <w:pPr>
        <w:spacing w:after="160" w:line="278" w:lineRule="auto"/>
        <w:rPr>
          <w:highlight w:val="none"/>
        </w:rPr>
      </w:pPr>
    </w:p>
    <w:p w14:paraId="42E0F9B0">
      <w:pPr>
        <w:spacing w:after="160" w:line="278" w:lineRule="auto"/>
        <w:rPr>
          <w:highlight w:val="none"/>
        </w:rPr>
      </w:pPr>
    </w:p>
    <w:p w14:paraId="2C877270">
      <w:pPr>
        <w:spacing w:after="160" w:line="278" w:lineRule="auto"/>
        <w:rPr>
          <w:highlight w:val="none"/>
        </w:rPr>
      </w:pPr>
    </w:p>
    <w:p w14:paraId="7439B5C4">
      <w:pPr>
        <w:spacing w:after="160" w:line="278" w:lineRule="auto"/>
        <w:rPr>
          <w:highlight w:val="none"/>
        </w:rPr>
      </w:pPr>
    </w:p>
    <w:p w14:paraId="76754485">
      <w:pPr>
        <w:spacing w:after="160" w:line="278" w:lineRule="auto"/>
        <w:rPr>
          <w:highlight w:val="none"/>
        </w:rPr>
      </w:pPr>
    </w:p>
    <w:p w14:paraId="5860918B">
      <w:pPr>
        <w:spacing w:after="160" w:line="278" w:lineRule="auto"/>
        <w:rPr>
          <w:highlight w:val="none"/>
        </w:rPr>
      </w:pPr>
    </w:p>
    <w:p w14:paraId="55F14AF2">
      <w:pPr>
        <w:spacing w:after="160" w:line="278" w:lineRule="auto"/>
        <w:rPr>
          <w:highlight w:val="none"/>
        </w:rPr>
      </w:pPr>
    </w:p>
    <w:p w14:paraId="470B0D32">
      <w:pPr>
        <w:spacing w:after="160" w:line="278" w:lineRule="auto"/>
        <w:rPr>
          <w:highlight w:val="none"/>
        </w:rPr>
      </w:pPr>
    </w:p>
    <w:p w14:paraId="34D52947">
      <w:pPr>
        <w:spacing w:after="160" w:line="278" w:lineRule="auto"/>
        <w:rPr>
          <w:highlight w:val="none"/>
        </w:rPr>
      </w:pPr>
    </w:p>
    <w:p w14:paraId="34A3750C">
      <w:pPr>
        <w:spacing w:after="160" w:line="278" w:lineRule="auto"/>
        <w:rPr>
          <w:sz w:val="28"/>
          <w:szCs w:val="36"/>
          <w:highlight w:val="none"/>
        </w:rPr>
      </w:pPr>
      <w:r>
        <w:rPr>
          <w:rFonts w:hint="eastAsia"/>
          <w:sz w:val="28"/>
          <w:szCs w:val="36"/>
          <w:highlight w:val="none"/>
        </w:rPr>
        <w:t>发包人：</w:t>
      </w:r>
    </w:p>
    <w:p w14:paraId="0DE734AE">
      <w:pPr>
        <w:spacing w:after="160" w:line="278" w:lineRule="auto"/>
        <w:rPr>
          <w:sz w:val="28"/>
          <w:szCs w:val="36"/>
          <w:highlight w:val="none"/>
        </w:rPr>
      </w:pPr>
    </w:p>
    <w:p w14:paraId="0FB53488">
      <w:pPr>
        <w:spacing w:after="160" w:line="278" w:lineRule="auto"/>
        <w:rPr>
          <w:sz w:val="28"/>
          <w:szCs w:val="36"/>
          <w:highlight w:val="none"/>
        </w:rPr>
      </w:pPr>
      <w:r>
        <w:rPr>
          <w:rFonts w:hint="eastAsia"/>
          <w:sz w:val="28"/>
          <w:szCs w:val="36"/>
          <w:highlight w:val="none"/>
        </w:rPr>
        <w:t>承包人：</w:t>
      </w:r>
    </w:p>
    <w:p w14:paraId="79568D3F">
      <w:pPr>
        <w:spacing w:after="160" w:line="278" w:lineRule="auto"/>
        <w:rPr>
          <w:sz w:val="28"/>
          <w:szCs w:val="36"/>
          <w:highlight w:val="none"/>
        </w:rPr>
      </w:pPr>
    </w:p>
    <w:p w14:paraId="76AB2D9F">
      <w:pPr>
        <w:spacing w:after="160" w:line="278" w:lineRule="auto"/>
        <w:rPr>
          <w:sz w:val="28"/>
          <w:szCs w:val="36"/>
          <w:highlight w:val="none"/>
        </w:rPr>
      </w:pPr>
    </w:p>
    <w:p w14:paraId="6043D9BC">
      <w:pPr>
        <w:spacing w:after="160" w:line="278" w:lineRule="auto"/>
        <w:jc w:val="center"/>
        <w:rPr>
          <w:sz w:val="28"/>
          <w:szCs w:val="36"/>
          <w:highlight w:val="none"/>
        </w:rPr>
      </w:pPr>
      <w:r>
        <w:rPr>
          <w:rFonts w:hint="eastAsia"/>
          <w:sz w:val="28"/>
          <w:szCs w:val="36"/>
          <w:highlight w:val="none"/>
        </w:rPr>
        <w:t>2025年  月</w:t>
      </w:r>
    </w:p>
    <w:p w14:paraId="2936BF01">
      <w:pPr>
        <w:spacing w:after="160" w:line="278" w:lineRule="auto"/>
        <w:rPr>
          <w:highlight w:val="none"/>
        </w:rPr>
      </w:pPr>
      <w:r>
        <w:rPr>
          <w:highlight w:val="none"/>
        </w:rPr>
        <w:br w:type="page"/>
      </w:r>
    </w:p>
    <w:p w14:paraId="41943C82">
      <w:pPr>
        <w:spacing w:after="160" w:line="278" w:lineRule="auto"/>
        <w:rPr>
          <w:highlight w:val="none"/>
        </w:rPr>
      </w:pPr>
    </w:p>
    <w:p w14:paraId="300EC7F1">
      <w:pPr>
        <w:spacing w:after="160" w:line="278" w:lineRule="auto"/>
        <w:jc w:val="center"/>
        <w:rPr>
          <w:b/>
          <w:bCs/>
          <w:sz w:val="28"/>
          <w:szCs w:val="36"/>
          <w:highlight w:val="none"/>
        </w:rPr>
      </w:pPr>
      <w:r>
        <w:rPr>
          <w:rFonts w:hint="eastAsia"/>
          <w:b/>
          <w:bCs/>
          <w:sz w:val="28"/>
          <w:szCs w:val="36"/>
          <w:highlight w:val="none"/>
        </w:rPr>
        <w:t>目    录</w:t>
      </w:r>
    </w:p>
    <w:p w14:paraId="3C114572">
      <w:pPr>
        <w:spacing w:after="160" w:line="278" w:lineRule="auto"/>
        <w:rPr>
          <w:b/>
          <w:bCs/>
          <w:highlight w:val="none"/>
        </w:rPr>
      </w:pPr>
      <w:r>
        <w:rPr>
          <w:b/>
          <w:bCs/>
          <w:highlight w:val="none"/>
        </w:rPr>
        <w:t>第一</w:t>
      </w:r>
      <w:r>
        <w:rPr>
          <w:rFonts w:hint="eastAsia"/>
          <w:b/>
          <w:bCs/>
          <w:highlight w:val="none"/>
        </w:rPr>
        <w:t xml:space="preserve">节 </w:t>
      </w:r>
      <w:r>
        <w:rPr>
          <w:b/>
          <w:bCs/>
          <w:highlight w:val="none"/>
        </w:rPr>
        <w:t>合同协议书</w:t>
      </w:r>
    </w:p>
    <w:p w14:paraId="01163596">
      <w:pPr>
        <w:spacing w:after="160" w:line="278" w:lineRule="auto"/>
        <w:rPr>
          <w:b/>
          <w:bCs/>
          <w:highlight w:val="none"/>
        </w:rPr>
      </w:pPr>
      <w:r>
        <w:rPr>
          <w:rFonts w:hint="eastAsia"/>
          <w:b/>
          <w:bCs/>
          <w:highlight w:val="none"/>
        </w:rPr>
        <w:t>第二节 合同条款通用部分</w:t>
      </w:r>
    </w:p>
    <w:p w14:paraId="38F66E61">
      <w:pPr>
        <w:spacing w:after="160" w:line="278" w:lineRule="auto"/>
        <w:rPr>
          <w:b/>
          <w:bCs/>
          <w:highlight w:val="none"/>
        </w:rPr>
      </w:pPr>
      <w:r>
        <w:rPr>
          <w:rFonts w:hint="eastAsia"/>
          <w:b/>
          <w:bCs/>
          <w:highlight w:val="none"/>
        </w:rPr>
        <w:t>第三节 合同条款专用部分</w:t>
      </w:r>
    </w:p>
    <w:p w14:paraId="54324D6F">
      <w:pPr>
        <w:spacing w:after="160" w:line="278" w:lineRule="auto"/>
        <w:rPr>
          <w:b/>
          <w:bCs/>
          <w:highlight w:val="none"/>
        </w:rPr>
      </w:pPr>
      <w:r>
        <w:rPr>
          <w:rFonts w:hint="eastAsia"/>
          <w:b/>
          <w:bCs/>
          <w:highlight w:val="none"/>
        </w:rPr>
        <w:t>第四节 工程质量保证书</w:t>
      </w:r>
    </w:p>
    <w:p w14:paraId="42C6E17A">
      <w:pPr>
        <w:spacing w:after="160" w:line="278" w:lineRule="auto"/>
        <w:rPr>
          <w:b/>
          <w:bCs/>
          <w:highlight w:val="none"/>
        </w:rPr>
      </w:pPr>
      <w:r>
        <w:rPr>
          <w:rFonts w:hint="eastAsia"/>
          <w:b/>
          <w:bCs/>
          <w:highlight w:val="none"/>
        </w:rPr>
        <w:t>第五节 工程廉政责任书</w:t>
      </w:r>
    </w:p>
    <w:p w14:paraId="015180BA">
      <w:pPr>
        <w:spacing w:after="160" w:line="278" w:lineRule="auto"/>
        <w:rPr>
          <w:b/>
          <w:bCs/>
          <w:highlight w:val="none"/>
        </w:rPr>
      </w:pPr>
      <w:r>
        <w:rPr>
          <w:rFonts w:hint="eastAsia"/>
          <w:b/>
          <w:bCs/>
          <w:highlight w:val="none"/>
        </w:rPr>
        <w:t>第六节 中标通知书</w:t>
      </w:r>
    </w:p>
    <w:p w14:paraId="0702AD23">
      <w:pPr>
        <w:spacing w:after="160" w:line="278" w:lineRule="auto"/>
        <w:rPr>
          <w:b/>
          <w:bCs/>
          <w:highlight w:val="none"/>
        </w:rPr>
      </w:pPr>
      <w:r>
        <w:rPr>
          <w:rFonts w:hint="eastAsia"/>
          <w:b/>
          <w:bCs/>
          <w:highlight w:val="none"/>
        </w:rPr>
        <w:t>第七节 施工安全协议书</w:t>
      </w:r>
    </w:p>
    <w:p w14:paraId="6D1BBF99">
      <w:pPr>
        <w:spacing w:after="160" w:line="278" w:lineRule="auto"/>
        <w:rPr>
          <w:b/>
          <w:bCs/>
          <w:highlight w:val="none"/>
        </w:rPr>
      </w:pPr>
      <w:r>
        <w:rPr>
          <w:rFonts w:hint="eastAsia"/>
          <w:b/>
          <w:bCs/>
          <w:highlight w:val="none"/>
        </w:rPr>
        <w:t>第八节 合同附件</w:t>
      </w:r>
    </w:p>
    <w:p w14:paraId="3F26DEC6">
      <w:pPr>
        <w:spacing w:after="160" w:line="278" w:lineRule="auto"/>
        <w:rPr>
          <w:highlight w:val="none"/>
        </w:rPr>
      </w:pPr>
      <w:r>
        <w:rPr>
          <w:highlight w:val="none"/>
        </w:rPr>
        <w:br w:type="page"/>
      </w:r>
    </w:p>
    <w:p w14:paraId="0BADBA2C">
      <w:pPr>
        <w:spacing w:after="160" w:line="278" w:lineRule="auto"/>
        <w:outlineLvl w:val="1"/>
        <w:rPr>
          <w:b/>
          <w:bCs/>
          <w:sz w:val="24"/>
          <w:szCs w:val="32"/>
          <w:highlight w:val="none"/>
        </w:rPr>
      </w:pPr>
      <w:r>
        <w:rPr>
          <w:b/>
          <w:bCs/>
          <w:sz w:val="24"/>
          <w:szCs w:val="32"/>
          <w:highlight w:val="none"/>
        </w:rPr>
        <w:t>第一</w:t>
      </w:r>
      <w:r>
        <w:rPr>
          <w:rFonts w:hint="eastAsia"/>
          <w:b/>
          <w:bCs/>
          <w:sz w:val="24"/>
          <w:szCs w:val="32"/>
          <w:highlight w:val="none"/>
        </w:rPr>
        <w:t xml:space="preserve">节 </w:t>
      </w:r>
      <w:r>
        <w:rPr>
          <w:b/>
          <w:bCs/>
          <w:sz w:val="24"/>
          <w:szCs w:val="32"/>
          <w:highlight w:val="none"/>
        </w:rPr>
        <w:t>合同协议书</w:t>
      </w:r>
    </w:p>
    <w:p w14:paraId="07AAD6E7">
      <w:pPr>
        <w:spacing w:after="160" w:line="278" w:lineRule="auto"/>
        <w:rPr>
          <w:b/>
          <w:bCs/>
          <w:sz w:val="24"/>
          <w:szCs w:val="32"/>
          <w:highlight w:val="none"/>
        </w:rPr>
      </w:pPr>
    </w:p>
    <w:p w14:paraId="5BFFCB4A">
      <w:pPr>
        <w:spacing w:after="160" w:line="278" w:lineRule="auto"/>
        <w:jc w:val="center"/>
        <w:rPr>
          <w:b/>
          <w:bCs/>
          <w:sz w:val="24"/>
          <w:szCs w:val="32"/>
          <w:highlight w:val="none"/>
        </w:rPr>
      </w:pPr>
      <w:bookmarkStart w:id="789" w:name="_Toc142385525"/>
      <w:r>
        <w:rPr>
          <w:rFonts w:hint="eastAsia"/>
          <w:b/>
          <w:bCs/>
          <w:sz w:val="24"/>
          <w:szCs w:val="32"/>
          <w:highlight w:val="none"/>
        </w:rPr>
        <w:t>合同协议书</w:t>
      </w:r>
      <w:bookmarkEnd w:id="789"/>
    </w:p>
    <w:p w14:paraId="03113D5E">
      <w:pPr>
        <w:spacing w:after="160" w:line="278" w:lineRule="auto"/>
        <w:rPr>
          <w:highlight w:val="none"/>
        </w:rPr>
      </w:pPr>
      <w:r>
        <w:rPr>
          <w:highlight w:val="none"/>
        </w:rPr>
        <w:t xml:space="preserve">                                                    </w:t>
      </w:r>
    </w:p>
    <w:p w14:paraId="04FCC779">
      <w:pPr>
        <w:spacing w:after="160" w:line="278" w:lineRule="auto"/>
        <w:rPr>
          <w:sz w:val="22"/>
          <w:szCs w:val="28"/>
          <w:highlight w:val="none"/>
        </w:rPr>
      </w:pPr>
      <w:r>
        <w:rPr>
          <w:sz w:val="22"/>
          <w:szCs w:val="28"/>
          <w:highlight w:val="none"/>
        </w:rPr>
        <w:t>发包人</w:t>
      </w:r>
      <w:r>
        <w:rPr>
          <w:rFonts w:hint="eastAsia"/>
          <w:sz w:val="22"/>
          <w:szCs w:val="28"/>
          <w:highlight w:val="none"/>
        </w:rPr>
        <w:t>（甲方）</w:t>
      </w:r>
      <w:r>
        <w:rPr>
          <w:sz w:val="22"/>
          <w:szCs w:val="28"/>
          <w:highlight w:val="none"/>
        </w:rPr>
        <w:t>（全称）：</w:t>
      </w:r>
      <w:r>
        <w:rPr>
          <w:rFonts w:hint="eastAsia"/>
          <w:sz w:val="22"/>
          <w:szCs w:val="28"/>
          <w:highlight w:val="none"/>
        </w:rPr>
        <w:t xml:space="preserve">  </w:t>
      </w:r>
      <w:r>
        <w:rPr>
          <w:sz w:val="22"/>
          <w:szCs w:val="28"/>
          <w:highlight w:val="none"/>
        </w:rPr>
        <w:t xml:space="preserve"> </w:t>
      </w:r>
    </w:p>
    <w:p w14:paraId="0B29CFA2">
      <w:pPr>
        <w:spacing w:after="160" w:line="278" w:lineRule="auto"/>
        <w:rPr>
          <w:sz w:val="22"/>
          <w:szCs w:val="28"/>
          <w:highlight w:val="none"/>
        </w:rPr>
      </w:pPr>
      <w:r>
        <w:rPr>
          <w:sz w:val="22"/>
          <w:szCs w:val="28"/>
          <w:highlight w:val="none"/>
        </w:rPr>
        <w:t>承包人</w:t>
      </w:r>
      <w:r>
        <w:rPr>
          <w:rFonts w:hint="eastAsia"/>
          <w:sz w:val="22"/>
          <w:szCs w:val="28"/>
          <w:highlight w:val="none"/>
        </w:rPr>
        <w:t>（乙方）</w:t>
      </w:r>
      <w:r>
        <w:rPr>
          <w:sz w:val="22"/>
          <w:szCs w:val="28"/>
          <w:highlight w:val="none"/>
        </w:rPr>
        <w:t xml:space="preserve">（全称）： </w:t>
      </w:r>
      <w:r>
        <w:rPr>
          <w:rFonts w:hint="eastAsia"/>
          <w:sz w:val="22"/>
          <w:szCs w:val="28"/>
          <w:highlight w:val="none"/>
        </w:rPr>
        <w:t xml:space="preserve">            </w:t>
      </w:r>
    </w:p>
    <w:p w14:paraId="34247E1D">
      <w:pPr>
        <w:spacing w:after="160" w:line="278" w:lineRule="auto"/>
        <w:rPr>
          <w:sz w:val="22"/>
          <w:szCs w:val="28"/>
          <w:highlight w:val="none"/>
        </w:rPr>
      </w:pPr>
    </w:p>
    <w:p w14:paraId="036B0903">
      <w:pPr>
        <w:spacing w:after="160" w:line="278" w:lineRule="auto"/>
        <w:rPr>
          <w:sz w:val="22"/>
          <w:szCs w:val="28"/>
          <w:highlight w:val="none"/>
        </w:rPr>
      </w:pPr>
      <w:r>
        <w:rPr>
          <w:sz w:val="22"/>
          <w:szCs w:val="28"/>
          <w:highlight w:val="none"/>
        </w:rPr>
        <w:t>发包人为建设</w:t>
      </w:r>
      <w:r>
        <w:rPr>
          <w:rFonts w:hint="eastAsia"/>
          <w:sz w:val="22"/>
          <w:szCs w:val="28"/>
          <w:highlight w:val="none"/>
        </w:rPr>
        <w:t xml:space="preserve"> </w:t>
      </w:r>
      <w:r>
        <w:rPr>
          <w:rFonts w:hint="eastAsia"/>
          <w:sz w:val="22"/>
          <w:szCs w:val="28"/>
          <w:highlight w:val="none"/>
          <w:u w:val="single"/>
        </w:rPr>
        <w:t xml:space="preserve">                       </w:t>
      </w:r>
      <w:r>
        <w:rPr>
          <w:rFonts w:hint="eastAsia"/>
          <w:sz w:val="22"/>
          <w:szCs w:val="28"/>
          <w:highlight w:val="none"/>
        </w:rPr>
        <w:t>（</w:t>
      </w:r>
      <w:r>
        <w:rPr>
          <w:sz w:val="22"/>
          <w:szCs w:val="28"/>
          <w:highlight w:val="none"/>
        </w:rPr>
        <w:t>以下简称“本工程”）。依照《中华人民共和国招标投标法》、《中华人民共和国</w:t>
      </w:r>
      <w:r>
        <w:rPr>
          <w:rFonts w:hint="eastAsia"/>
          <w:sz w:val="22"/>
          <w:szCs w:val="28"/>
          <w:highlight w:val="none"/>
        </w:rPr>
        <w:t>民法典</w:t>
      </w:r>
      <w:r>
        <w:rPr>
          <w:sz w:val="22"/>
          <w:szCs w:val="28"/>
          <w:highlight w:val="none"/>
        </w:rPr>
        <w:t>》、《中华人民共和国建筑法》、及其他有关法律、行政法规，遵循平等、自愿、公平和诚实信用的原则，双方共同达成并订立如下协议。</w:t>
      </w:r>
    </w:p>
    <w:p w14:paraId="1BD83782">
      <w:pPr>
        <w:spacing w:after="160" w:line="278" w:lineRule="auto"/>
        <w:rPr>
          <w:sz w:val="22"/>
          <w:szCs w:val="28"/>
          <w:highlight w:val="none"/>
        </w:rPr>
      </w:pPr>
      <w:r>
        <w:rPr>
          <w:rFonts w:hint="eastAsia"/>
          <w:sz w:val="22"/>
          <w:szCs w:val="28"/>
          <w:highlight w:val="none"/>
        </w:rPr>
        <w:t>一、工程概况</w:t>
      </w:r>
    </w:p>
    <w:p w14:paraId="45AC01A6">
      <w:pPr>
        <w:spacing w:after="160" w:line="278" w:lineRule="auto"/>
        <w:rPr>
          <w:sz w:val="22"/>
          <w:szCs w:val="28"/>
          <w:highlight w:val="none"/>
        </w:rPr>
      </w:pPr>
      <w:r>
        <w:rPr>
          <w:sz w:val="22"/>
          <w:szCs w:val="28"/>
          <w:highlight w:val="none"/>
        </w:rPr>
        <w:t>工程名称：</w:t>
      </w:r>
      <w:r>
        <w:rPr>
          <w:rFonts w:hint="eastAsia"/>
          <w:sz w:val="22"/>
          <w:szCs w:val="28"/>
          <w:highlight w:val="none"/>
          <w:u w:val="single"/>
        </w:rPr>
        <w:t xml:space="preserve">              </w:t>
      </w:r>
      <w:r>
        <w:rPr>
          <w:sz w:val="22"/>
          <w:szCs w:val="28"/>
          <w:highlight w:val="none"/>
        </w:rPr>
        <w:t xml:space="preserve"> </w:t>
      </w:r>
    </w:p>
    <w:p w14:paraId="26E9809B">
      <w:pPr>
        <w:spacing w:after="160" w:line="278" w:lineRule="auto"/>
        <w:rPr>
          <w:sz w:val="22"/>
          <w:szCs w:val="28"/>
          <w:highlight w:val="none"/>
        </w:rPr>
      </w:pPr>
      <w:r>
        <w:rPr>
          <w:sz w:val="22"/>
          <w:szCs w:val="28"/>
          <w:highlight w:val="none"/>
        </w:rPr>
        <w:t>工程地点：</w:t>
      </w:r>
      <w:r>
        <w:rPr>
          <w:rFonts w:hint="eastAsia"/>
          <w:sz w:val="22"/>
          <w:szCs w:val="28"/>
          <w:highlight w:val="none"/>
          <w:u w:val="single"/>
        </w:rPr>
        <w:t xml:space="preserve">              </w:t>
      </w:r>
    </w:p>
    <w:p w14:paraId="1640088B">
      <w:pPr>
        <w:spacing w:after="160" w:line="278" w:lineRule="auto"/>
        <w:rPr>
          <w:sz w:val="22"/>
          <w:szCs w:val="28"/>
          <w:highlight w:val="none"/>
        </w:rPr>
      </w:pPr>
      <w:r>
        <w:rPr>
          <w:sz w:val="22"/>
          <w:szCs w:val="28"/>
          <w:highlight w:val="none"/>
        </w:rPr>
        <w:t>工程内容：</w:t>
      </w:r>
      <w:r>
        <w:rPr>
          <w:rFonts w:hint="eastAsia"/>
          <w:sz w:val="22"/>
          <w:szCs w:val="28"/>
          <w:highlight w:val="none"/>
        </w:rPr>
        <w:t>包括但不限于首都师范大学附属育新学校房山实验幼儿园的拆除工程、装饰装修工程、土建工程、给排水工程、采暖工程、电气工程等工程量清单及图纸所示范围内的全部工作内容。</w:t>
      </w:r>
    </w:p>
    <w:p w14:paraId="63AFAF90">
      <w:pPr>
        <w:spacing w:after="160" w:line="278" w:lineRule="auto"/>
        <w:rPr>
          <w:sz w:val="22"/>
          <w:szCs w:val="28"/>
          <w:highlight w:val="none"/>
        </w:rPr>
      </w:pPr>
      <w:r>
        <w:rPr>
          <w:sz w:val="22"/>
          <w:szCs w:val="28"/>
          <w:highlight w:val="none"/>
        </w:rPr>
        <w:t>工程立项批准文号：</w:t>
      </w:r>
      <w:r>
        <w:rPr>
          <w:sz w:val="22"/>
          <w:szCs w:val="28"/>
          <w:highlight w:val="none"/>
          <w:u w:val="single"/>
        </w:rPr>
        <w:t xml:space="preserve">             /             </w:t>
      </w:r>
      <w:r>
        <w:rPr>
          <w:rFonts w:hint="eastAsia"/>
          <w:sz w:val="22"/>
          <w:szCs w:val="28"/>
          <w:highlight w:val="none"/>
        </w:rPr>
        <w:t xml:space="preserve"> </w:t>
      </w:r>
      <w:r>
        <w:rPr>
          <w:sz w:val="22"/>
          <w:szCs w:val="28"/>
          <w:highlight w:val="none"/>
        </w:rPr>
        <w:t xml:space="preserve">     </w:t>
      </w:r>
    </w:p>
    <w:p w14:paraId="0F41FFDC">
      <w:pPr>
        <w:spacing w:after="160" w:line="278" w:lineRule="auto"/>
        <w:rPr>
          <w:sz w:val="22"/>
          <w:szCs w:val="28"/>
          <w:highlight w:val="none"/>
        </w:rPr>
      </w:pPr>
      <w:r>
        <w:rPr>
          <w:sz w:val="22"/>
          <w:szCs w:val="28"/>
          <w:highlight w:val="none"/>
        </w:rPr>
        <w:t>资金来源：</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 xml:space="preserve"> </w:t>
      </w:r>
    </w:p>
    <w:p w14:paraId="3E292AF1">
      <w:pPr>
        <w:spacing w:after="160" w:line="278" w:lineRule="auto"/>
        <w:rPr>
          <w:sz w:val="22"/>
          <w:szCs w:val="28"/>
          <w:highlight w:val="none"/>
        </w:rPr>
      </w:pPr>
      <w:r>
        <w:rPr>
          <w:rFonts w:hint="eastAsia"/>
          <w:sz w:val="22"/>
          <w:szCs w:val="28"/>
          <w:highlight w:val="none"/>
        </w:rPr>
        <w:t>二、工程承包范围</w:t>
      </w:r>
    </w:p>
    <w:p w14:paraId="003CE04F">
      <w:pPr>
        <w:spacing w:after="160" w:line="278" w:lineRule="auto"/>
        <w:rPr>
          <w:sz w:val="22"/>
          <w:szCs w:val="28"/>
          <w:highlight w:val="none"/>
        </w:rPr>
      </w:pPr>
      <w:r>
        <w:rPr>
          <w:sz w:val="22"/>
          <w:szCs w:val="28"/>
          <w:highlight w:val="none"/>
        </w:rPr>
        <w:t>承包范围：完成工程量清单所列内容。</w:t>
      </w:r>
      <w:r>
        <w:rPr>
          <w:rFonts w:hint="eastAsia"/>
          <w:sz w:val="22"/>
          <w:szCs w:val="28"/>
          <w:highlight w:val="none"/>
        </w:rPr>
        <w:t xml:space="preserve"> </w:t>
      </w:r>
    </w:p>
    <w:p w14:paraId="4B62C5FD">
      <w:pPr>
        <w:spacing w:after="160" w:line="278" w:lineRule="auto"/>
        <w:rPr>
          <w:sz w:val="22"/>
          <w:szCs w:val="28"/>
          <w:highlight w:val="none"/>
        </w:rPr>
      </w:pPr>
      <w:r>
        <w:rPr>
          <w:sz w:val="22"/>
          <w:szCs w:val="28"/>
          <w:highlight w:val="none"/>
        </w:rPr>
        <w:t>详细承包范围见“技术标准和要求”。</w:t>
      </w:r>
    </w:p>
    <w:p w14:paraId="2DB72F4D">
      <w:pPr>
        <w:spacing w:after="160" w:line="278" w:lineRule="auto"/>
        <w:rPr>
          <w:sz w:val="22"/>
          <w:szCs w:val="28"/>
          <w:highlight w:val="none"/>
        </w:rPr>
      </w:pPr>
      <w:r>
        <w:rPr>
          <w:rFonts w:hint="eastAsia"/>
          <w:sz w:val="22"/>
          <w:szCs w:val="28"/>
          <w:highlight w:val="none"/>
        </w:rPr>
        <w:t>三、合同工期</w:t>
      </w:r>
    </w:p>
    <w:p w14:paraId="2E560A7E">
      <w:pPr>
        <w:spacing w:after="160" w:line="278" w:lineRule="auto"/>
        <w:rPr>
          <w:sz w:val="22"/>
          <w:szCs w:val="28"/>
          <w:highlight w:val="none"/>
        </w:rPr>
      </w:pPr>
      <w:r>
        <w:rPr>
          <w:sz w:val="22"/>
          <w:szCs w:val="28"/>
          <w:highlight w:val="none"/>
        </w:rPr>
        <w:t xml:space="preserve">计划开工日期： </w:t>
      </w:r>
      <w:r>
        <w:rPr>
          <w:sz w:val="22"/>
          <w:szCs w:val="28"/>
          <w:highlight w:val="none"/>
          <w:u w:val="single"/>
        </w:rPr>
        <w:t xml:space="preserve"> </w:t>
      </w:r>
      <w:r>
        <w:rPr>
          <w:rFonts w:hint="eastAsia"/>
          <w:sz w:val="22"/>
          <w:szCs w:val="28"/>
          <w:highlight w:val="none"/>
          <w:u w:val="single"/>
        </w:rPr>
        <w:t>2025</w:t>
      </w:r>
      <w:r>
        <w:rPr>
          <w:sz w:val="22"/>
          <w:szCs w:val="28"/>
          <w:highlight w:val="none"/>
          <w:u w:val="single"/>
        </w:rPr>
        <w:t xml:space="preserve"> </w:t>
      </w:r>
      <w:r>
        <w:rPr>
          <w:rFonts w:hint="eastAsia"/>
          <w:sz w:val="22"/>
          <w:szCs w:val="28"/>
          <w:highlight w:val="none"/>
          <w:u w:val="single"/>
        </w:rPr>
        <w:t xml:space="preserve"> </w:t>
      </w:r>
      <w:r>
        <w:rPr>
          <w:sz w:val="22"/>
          <w:szCs w:val="28"/>
          <w:highlight w:val="none"/>
        </w:rPr>
        <w:t>年</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月</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w:t>
      </w:r>
      <w:r>
        <w:rPr>
          <w:sz w:val="22"/>
          <w:szCs w:val="28"/>
          <w:highlight w:val="none"/>
        </w:rPr>
        <w:t>日</w:t>
      </w:r>
    </w:p>
    <w:p w14:paraId="2717B4D8">
      <w:pPr>
        <w:spacing w:after="160" w:line="278" w:lineRule="auto"/>
        <w:rPr>
          <w:sz w:val="22"/>
          <w:szCs w:val="28"/>
          <w:highlight w:val="none"/>
        </w:rPr>
      </w:pPr>
      <w:r>
        <w:rPr>
          <w:sz w:val="22"/>
          <w:szCs w:val="28"/>
          <w:highlight w:val="none"/>
        </w:rPr>
        <w:t>计划竣工日期：</w:t>
      </w:r>
      <w:r>
        <w:rPr>
          <w:sz w:val="22"/>
          <w:szCs w:val="28"/>
          <w:highlight w:val="none"/>
          <w:u w:val="single"/>
        </w:rPr>
        <w:t xml:space="preserve">  </w:t>
      </w:r>
      <w:r>
        <w:rPr>
          <w:rFonts w:hint="eastAsia"/>
          <w:sz w:val="22"/>
          <w:szCs w:val="28"/>
          <w:highlight w:val="none"/>
          <w:u w:val="single"/>
        </w:rPr>
        <w:t>2025</w:t>
      </w:r>
      <w:r>
        <w:rPr>
          <w:sz w:val="22"/>
          <w:szCs w:val="28"/>
          <w:highlight w:val="none"/>
          <w:u w:val="single"/>
        </w:rPr>
        <w:t xml:space="preserve"> </w:t>
      </w:r>
      <w:r>
        <w:rPr>
          <w:rFonts w:hint="eastAsia"/>
          <w:sz w:val="22"/>
          <w:szCs w:val="28"/>
          <w:highlight w:val="none"/>
          <w:u w:val="single"/>
        </w:rPr>
        <w:t xml:space="preserve"> </w:t>
      </w:r>
      <w:r>
        <w:rPr>
          <w:sz w:val="22"/>
          <w:szCs w:val="28"/>
          <w:highlight w:val="none"/>
        </w:rPr>
        <w:t>年</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月</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日</w:t>
      </w:r>
    </w:p>
    <w:p w14:paraId="0E9F2C71">
      <w:pPr>
        <w:spacing w:after="160" w:line="278" w:lineRule="auto"/>
        <w:rPr>
          <w:sz w:val="22"/>
          <w:szCs w:val="28"/>
          <w:highlight w:val="none"/>
        </w:rPr>
      </w:pPr>
      <w:r>
        <w:rPr>
          <w:sz w:val="22"/>
          <w:szCs w:val="28"/>
          <w:highlight w:val="none"/>
        </w:rPr>
        <w:t>工期总日历天数</w:t>
      </w:r>
      <w:r>
        <w:rPr>
          <w:sz w:val="22"/>
          <w:szCs w:val="28"/>
          <w:highlight w:val="none"/>
          <w:u w:val="single"/>
        </w:rPr>
        <w:t xml:space="preserve">    </w:t>
      </w:r>
      <w:r>
        <w:rPr>
          <w:sz w:val="22"/>
          <w:szCs w:val="28"/>
          <w:highlight w:val="none"/>
        </w:rPr>
        <w:t>天，自监理人发出的开工通知中载明的开工日期起算。</w:t>
      </w:r>
    </w:p>
    <w:p w14:paraId="0A414372">
      <w:pPr>
        <w:spacing w:after="160" w:line="278" w:lineRule="auto"/>
        <w:rPr>
          <w:sz w:val="22"/>
          <w:szCs w:val="28"/>
          <w:highlight w:val="none"/>
        </w:rPr>
      </w:pPr>
      <w:r>
        <w:rPr>
          <w:rFonts w:hint="eastAsia"/>
          <w:sz w:val="22"/>
          <w:szCs w:val="28"/>
          <w:highlight w:val="none"/>
        </w:rPr>
        <w:t>四、质量标准</w:t>
      </w:r>
    </w:p>
    <w:p w14:paraId="45AE11D6">
      <w:pPr>
        <w:spacing w:after="160" w:line="278" w:lineRule="auto"/>
        <w:rPr>
          <w:sz w:val="22"/>
          <w:szCs w:val="28"/>
          <w:highlight w:val="none"/>
        </w:rPr>
      </w:pPr>
      <w:r>
        <w:rPr>
          <w:sz w:val="22"/>
          <w:szCs w:val="28"/>
          <w:highlight w:val="none"/>
        </w:rPr>
        <w:t>工程质量标准：</w:t>
      </w:r>
      <w:r>
        <w:rPr>
          <w:sz w:val="22"/>
          <w:szCs w:val="28"/>
          <w:highlight w:val="none"/>
          <w:u w:val="single"/>
        </w:rPr>
        <w:t xml:space="preserve">    合格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 xml:space="preserve"> </w:t>
      </w:r>
    </w:p>
    <w:p w14:paraId="7C03CEAE">
      <w:pPr>
        <w:spacing w:after="160" w:line="278" w:lineRule="auto"/>
        <w:rPr>
          <w:sz w:val="22"/>
          <w:szCs w:val="28"/>
          <w:highlight w:val="none"/>
        </w:rPr>
      </w:pPr>
      <w:r>
        <w:rPr>
          <w:rFonts w:hint="eastAsia"/>
          <w:sz w:val="22"/>
          <w:szCs w:val="28"/>
          <w:highlight w:val="none"/>
        </w:rPr>
        <w:t>五、合同形式</w:t>
      </w:r>
    </w:p>
    <w:p w14:paraId="54C6E716">
      <w:pPr>
        <w:spacing w:after="160" w:line="278" w:lineRule="auto"/>
        <w:rPr>
          <w:sz w:val="22"/>
          <w:szCs w:val="28"/>
          <w:highlight w:val="none"/>
        </w:rPr>
      </w:pPr>
      <w:r>
        <w:rPr>
          <w:sz w:val="22"/>
          <w:szCs w:val="28"/>
          <w:highlight w:val="none"/>
        </w:rPr>
        <w:t>本合同采用</w:t>
      </w:r>
      <w:r>
        <w:rPr>
          <w:sz w:val="22"/>
          <w:szCs w:val="28"/>
          <w:highlight w:val="none"/>
          <w:u w:val="single"/>
        </w:rPr>
        <w:t xml:space="preserve">    </w:t>
      </w:r>
      <w:r>
        <w:rPr>
          <w:rFonts w:hint="eastAsia"/>
          <w:sz w:val="22"/>
          <w:szCs w:val="28"/>
          <w:highlight w:val="none"/>
          <w:u w:val="single"/>
        </w:rPr>
        <w:t>固定单价合同</w:t>
      </w:r>
      <w:r>
        <w:rPr>
          <w:sz w:val="22"/>
          <w:szCs w:val="28"/>
          <w:highlight w:val="none"/>
          <w:u w:val="single"/>
        </w:rPr>
        <w:t xml:space="preserve">   </w:t>
      </w:r>
      <w:r>
        <w:rPr>
          <w:sz w:val="22"/>
          <w:szCs w:val="28"/>
          <w:highlight w:val="none"/>
        </w:rPr>
        <w:t>合同形式。</w:t>
      </w:r>
    </w:p>
    <w:p w14:paraId="11C5EE6E">
      <w:pPr>
        <w:spacing w:after="160" w:line="278" w:lineRule="auto"/>
        <w:rPr>
          <w:sz w:val="22"/>
          <w:szCs w:val="28"/>
          <w:highlight w:val="none"/>
        </w:rPr>
      </w:pPr>
      <w:r>
        <w:rPr>
          <w:rFonts w:hint="eastAsia"/>
          <w:sz w:val="22"/>
          <w:szCs w:val="28"/>
          <w:highlight w:val="none"/>
        </w:rPr>
        <w:t>六、签约合同价</w:t>
      </w:r>
    </w:p>
    <w:p w14:paraId="72042E67">
      <w:pPr>
        <w:spacing w:after="160" w:line="278" w:lineRule="auto"/>
        <w:rPr>
          <w:sz w:val="22"/>
          <w:szCs w:val="28"/>
          <w:highlight w:val="none"/>
        </w:rPr>
      </w:pPr>
      <w:r>
        <w:rPr>
          <w:sz w:val="22"/>
          <w:szCs w:val="28"/>
          <w:highlight w:val="none"/>
        </w:rPr>
        <w:t>1.签约合同价为：</w:t>
      </w:r>
    </w:p>
    <w:p w14:paraId="56319982">
      <w:pPr>
        <w:spacing w:after="160" w:line="278" w:lineRule="auto"/>
        <w:rPr>
          <w:sz w:val="22"/>
          <w:szCs w:val="28"/>
          <w:highlight w:val="none"/>
        </w:rPr>
      </w:pPr>
      <w:r>
        <w:rPr>
          <w:rFonts w:hint="eastAsia"/>
          <w:sz w:val="22"/>
          <w:szCs w:val="28"/>
          <w:highlight w:val="none"/>
        </w:rPr>
        <w:t>人民币（大写）</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xml:space="preserve">¥ </w:t>
      </w:r>
      <w:r>
        <w:rPr>
          <w:rFonts w:hint="eastAsia"/>
          <w:sz w:val="22"/>
          <w:szCs w:val="28"/>
          <w:highlight w:val="none"/>
          <w:u w:val="single"/>
        </w:rPr>
        <w:t xml:space="preserve">           </w:t>
      </w:r>
      <w:r>
        <w:rPr>
          <w:rFonts w:hint="eastAsia"/>
          <w:sz w:val="22"/>
          <w:szCs w:val="28"/>
          <w:highlight w:val="none"/>
        </w:rPr>
        <w:t>元)；</w:t>
      </w:r>
    </w:p>
    <w:p w14:paraId="34C6BC8E">
      <w:pPr>
        <w:spacing w:after="160" w:line="278" w:lineRule="auto"/>
        <w:rPr>
          <w:sz w:val="22"/>
          <w:szCs w:val="28"/>
          <w:highlight w:val="none"/>
        </w:rPr>
      </w:pPr>
      <w:r>
        <w:rPr>
          <w:rFonts w:hint="eastAsia"/>
          <w:sz w:val="22"/>
          <w:szCs w:val="28"/>
          <w:highlight w:val="none"/>
        </w:rPr>
        <w:t>其中：</w:t>
      </w:r>
    </w:p>
    <w:p w14:paraId="30B7AEA3">
      <w:pPr>
        <w:spacing w:after="160" w:line="278" w:lineRule="auto"/>
        <w:rPr>
          <w:sz w:val="22"/>
          <w:szCs w:val="28"/>
          <w:highlight w:val="none"/>
        </w:rPr>
      </w:pPr>
      <w:r>
        <w:rPr>
          <w:rFonts w:hint="eastAsia"/>
          <w:sz w:val="22"/>
          <w:szCs w:val="28"/>
          <w:highlight w:val="none"/>
        </w:rPr>
        <w:t>（</w:t>
      </w:r>
      <w:r>
        <w:rPr>
          <w:sz w:val="22"/>
          <w:szCs w:val="28"/>
          <w:highlight w:val="none"/>
        </w:rPr>
        <w:t>1）安全文明施工费：</w:t>
      </w:r>
    </w:p>
    <w:p w14:paraId="05B2891C">
      <w:pPr>
        <w:spacing w:after="160" w:line="278" w:lineRule="auto"/>
        <w:rPr>
          <w:sz w:val="22"/>
          <w:szCs w:val="28"/>
          <w:highlight w:val="none"/>
        </w:rPr>
      </w:pPr>
      <w:r>
        <w:rPr>
          <w:rFonts w:hint="eastAsia"/>
          <w:sz w:val="22"/>
          <w:szCs w:val="28"/>
          <w:highlight w:val="none"/>
        </w:rPr>
        <w:t>人民币（大写）</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xml:space="preserve">¥ </w:t>
      </w:r>
      <w:r>
        <w:rPr>
          <w:rFonts w:hint="eastAsia"/>
          <w:sz w:val="22"/>
          <w:szCs w:val="28"/>
          <w:highlight w:val="none"/>
          <w:u w:val="single"/>
        </w:rPr>
        <w:t xml:space="preserve">           </w:t>
      </w:r>
      <w:r>
        <w:rPr>
          <w:rFonts w:hint="eastAsia"/>
          <w:sz w:val="22"/>
          <w:szCs w:val="28"/>
          <w:highlight w:val="none"/>
        </w:rPr>
        <w:t>元，含税)；</w:t>
      </w:r>
    </w:p>
    <w:p w14:paraId="47405CD0">
      <w:pPr>
        <w:spacing w:after="160" w:line="278" w:lineRule="auto"/>
        <w:rPr>
          <w:sz w:val="22"/>
          <w:szCs w:val="28"/>
          <w:highlight w:val="none"/>
        </w:rPr>
      </w:pPr>
      <w:r>
        <w:rPr>
          <w:rFonts w:hint="eastAsia"/>
          <w:sz w:val="22"/>
          <w:szCs w:val="28"/>
          <w:highlight w:val="none"/>
        </w:rPr>
        <w:t>七、承包人项目经理：</w:t>
      </w:r>
    </w:p>
    <w:p w14:paraId="0BB065BA">
      <w:pPr>
        <w:spacing w:after="160" w:line="278" w:lineRule="auto"/>
        <w:rPr>
          <w:sz w:val="22"/>
          <w:szCs w:val="28"/>
          <w:highlight w:val="none"/>
        </w:rPr>
      </w:pPr>
      <w:r>
        <w:rPr>
          <w:sz w:val="22"/>
          <w:szCs w:val="28"/>
          <w:highlight w:val="none"/>
        </w:rPr>
        <w:t>姓名：</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职称：</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7E9CC2FC">
      <w:pPr>
        <w:spacing w:after="160" w:line="278" w:lineRule="auto"/>
        <w:rPr>
          <w:sz w:val="22"/>
          <w:szCs w:val="28"/>
          <w:highlight w:val="none"/>
        </w:rPr>
      </w:pPr>
      <w:r>
        <w:rPr>
          <w:sz w:val="22"/>
          <w:szCs w:val="28"/>
          <w:highlight w:val="none"/>
        </w:rPr>
        <w:t xml:space="preserve">身份证号： </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建造师执业资格证书号：</w:t>
      </w:r>
      <w:r>
        <w:rPr>
          <w:rFonts w:hint="eastAsia"/>
          <w:sz w:val="22"/>
          <w:szCs w:val="28"/>
          <w:highlight w:val="none"/>
          <w:u w:val="single"/>
        </w:rPr>
        <w:t xml:space="preserve">           </w:t>
      </w:r>
      <w:r>
        <w:rPr>
          <w:rFonts w:hint="eastAsia"/>
          <w:sz w:val="22"/>
          <w:szCs w:val="28"/>
          <w:highlight w:val="none"/>
        </w:rPr>
        <w:t xml:space="preserve"> </w:t>
      </w:r>
    </w:p>
    <w:p w14:paraId="0A7ED0D5">
      <w:pPr>
        <w:spacing w:after="160" w:line="278" w:lineRule="auto"/>
        <w:rPr>
          <w:sz w:val="22"/>
          <w:szCs w:val="28"/>
          <w:highlight w:val="none"/>
        </w:rPr>
      </w:pPr>
      <w:r>
        <w:rPr>
          <w:sz w:val="22"/>
          <w:szCs w:val="28"/>
          <w:highlight w:val="none"/>
        </w:rPr>
        <w:t>建造师注册证书号:</w:t>
      </w:r>
      <w:r>
        <w:rPr>
          <w:rFonts w:hint="eastAsia"/>
          <w:sz w:val="22"/>
          <w:szCs w:val="28"/>
          <w:highlight w:val="none"/>
        </w:rPr>
        <w:t xml:space="preserve"> </w:t>
      </w:r>
      <w:r>
        <w:rPr>
          <w:rFonts w:hint="eastAsia"/>
          <w:sz w:val="22"/>
          <w:szCs w:val="28"/>
          <w:highlight w:val="none"/>
          <w:u w:val="single"/>
        </w:rPr>
        <w:t xml:space="preserve">           </w:t>
      </w:r>
      <w:r>
        <w:rPr>
          <w:rFonts w:hint="eastAsia"/>
          <w:sz w:val="22"/>
          <w:szCs w:val="28"/>
          <w:highlight w:val="none"/>
        </w:rPr>
        <w:t xml:space="preserve"> </w:t>
      </w:r>
    </w:p>
    <w:p w14:paraId="0D7A2D1D">
      <w:pPr>
        <w:spacing w:after="160" w:line="278" w:lineRule="auto"/>
        <w:rPr>
          <w:sz w:val="22"/>
          <w:szCs w:val="28"/>
          <w:highlight w:val="none"/>
        </w:rPr>
      </w:pPr>
      <w:r>
        <w:rPr>
          <w:sz w:val="22"/>
          <w:szCs w:val="28"/>
          <w:highlight w:val="none"/>
        </w:rPr>
        <w:t>安全生产考核合格证书号：</w:t>
      </w:r>
      <w:bookmarkStart w:id="790" w:name="OLE_LINK3"/>
      <w:r>
        <w:rPr>
          <w:rFonts w:hint="eastAsia"/>
          <w:sz w:val="22"/>
          <w:szCs w:val="28"/>
          <w:highlight w:val="none"/>
          <w:u w:val="single"/>
        </w:rPr>
        <w:t xml:space="preserve">           </w:t>
      </w:r>
      <w:bookmarkEnd w:id="790"/>
      <w:r>
        <w:rPr>
          <w:sz w:val="22"/>
          <w:szCs w:val="28"/>
          <w:highlight w:val="none"/>
        </w:rPr>
        <w:t xml:space="preserve">  。</w:t>
      </w:r>
    </w:p>
    <w:p w14:paraId="672EA320">
      <w:pPr>
        <w:spacing w:after="160" w:line="278" w:lineRule="auto"/>
        <w:rPr>
          <w:sz w:val="22"/>
          <w:szCs w:val="28"/>
          <w:highlight w:val="none"/>
        </w:rPr>
      </w:pPr>
      <w:r>
        <w:rPr>
          <w:rFonts w:hint="eastAsia"/>
          <w:sz w:val="22"/>
          <w:szCs w:val="28"/>
          <w:highlight w:val="none"/>
        </w:rPr>
        <w:t>八、合同文件的组成</w:t>
      </w:r>
    </w:p>
    <w:p w14:paraId="2A523484">
      <w:pPr>
        <w:spacing w:after="160" w:line="278" w:lineRule="auto"/>
        <w:rPr>
          <w:sz w:val="22"/>
          <w:szCs w:val="28"/>
          <w:highlight w:val="none"/>
        </w:rPr>
      </w:pPr>
      <w:r>
        <w:rPr>
          <w:sz w:val="22"/>
          <w:szCs w:val="28"/>
          <w:highlight w:val="none"/>
        </w:rPr>
        <w:t xml:space="preserve"> 下列文件共同构成合同文件：</w:t>
      </w:r>
    </w:p>
    <w:p w14:paraId="4D685F2A">
      <w:pPr>
        <w:spacing w:after="160" w:line="278" w:lineRule="auto"/>
        <w:rPr>
          <w:sz w:val="22"/>
          <w:szCs w:val="28"/>
          <w:highlight w:val="none"/>
        </w:rPr>
      </w:pPr>
      <w:r>
        <w:rPr>
          <w:sz w:val="22"/>
          <w:szCs w:val="28"/>
          <w:highlight w:val="none"/>
        </w:rPr>
        <w:t>1、中标通知书；</w:t>
      </w:r>
    </w:p>
    <w:p w14:paraId="6016FED0">
      <w:pPr>
        <w:spacing w:after="160" w:line="278" w:lineRule="auto"/>
        <w:rPr>
          <w:sz w:val="22"/>
          <w:szCs w:val="28"/>
          <w:highlight w:val="none"/>
        </w:rPr>
      </w:pPr>
      <w:r>
        <w:rPr>
          <w:sz w:val="22"/>
          <w:szCs w:val="28"/>
          <w:highlight w:val="none"/>
        </w:rPr>
        <w:t>2、投标函及投标函附录；</w:t>
      </w:r>
    </w:p>
    <w:p w14:paraId="271045F6">
      <w:pPr>
        <w:spacing w:after="160" w:line="278" w:lineRule="auto"/>
        <w:rPr>
          <w:sz w:val="22"/>
          <w:szCs w:val="28"/>
          <w:highlight w:val="none"/>
        </w:rPr>
      </w:pPr>
      <w:r>
        <w:rPr>
          <w:sz w:val="22"/>
          <w:szCs w:val="28"/>
          <w:highlight w:val="none"/>
        </w:rPr>
        <w:t>3、专用合同条款；</w:t>
      </w:r>
    </w:p>
    <w:p w14:paraId="1B6F337E">
      <w:pPr>
        <w:spacing w:after="160" w:line="278" w:lineRule="auto"/>
        <w:rPr>
          <w:sz w:val="22"/>
          <w:szCs w:val="28"/>
          <w:highlight w:val="none"/>
        </w:rPr>
      </w:pPr>
      <w:r>
        <w:rPr>
          <w:sz w:val="22"/>
          <w:szCs w:val="28"/>
          <w:highlight w:val="none"/>
        </w:rPr>
        <w:t>4、通用合同条款；</w:t>
      </w:r>
    </w:p>
    <w:p w14:paraId="16E59E3D">
      <w:pPr>
        <w:spacing w:after="160" w:line="278" w:lineRule="auto"/>
        <w:rPr>
          <w:sz w:val="22"/>
          <w:szCs w:val="28"/>
          <w:highlight w:val="none"/>
        </w:rPr>
      </w:pPr>
      <w:r>
        <w:rPr>
          <w:sz w:val="22"/>
          <w:szCs w:val="28"/>
          <w:highlight w:val="none"/>
        </w:rPr>
        <w:t>5、技术标准和要求；</w:t>
      </w:r>
    </w:p>
    <w:p w14:paraId="37B3F1E5">
      <w:pPr>
        <w:spacing w:after="160" w:line="278" w:lineRule="auto"/>
        <w:rPr>
          <w:sz w:val="22"/>
          <w:szCs w:val="28"/>
          <w:highlight w:val="none"/>
        </w:rPr>
      </w:pPr>
      <w:r>
        <w:rPr>
          <w:sz w:val="22"/>
          <w:szCs w:val="28"/>
          <w:highlight w:val="none"/>
        </w:rPr>
        <w:t>6、图纸；</w:t>
      </w:r>
    </w:p>
    <w:p w14:paraId="0D70986B">
      <w:pPr>
        <w:spacing w:after="160" w:line="278" w:lineRule="auto"/>
        <w:rPr>
          <w:sz w:val="22"/>
          <w:szCs w:val="28"/>
          <w:highlight w:val="none"/>
        </w:rPr>
      </w:pPr>
      <w:r>
        <w:rPr>
          <w:sz w:val="22"/>
          <w:szCs w:val="28"/>
          <w:highlight w:val="none"/>
        </w:rPr>
        <w:t>7、已标价工程量清单；</w:t>
      </w:r>
    </w:p>
    <w:p w14:paraId="444CD17E">
      <w:pPr>
        <w:spacing w:after="160" w:line="278" w:lineRule="auto"/>
        <w:rPr>
          <w:sz w:val="22"/>
          <w:szCs w:val="28"/>
          <w:highlight w:val="none"/>
        </w:rPr>
      </w:pPr>
      <w:r>
        <w:rPr>
          <w:sz w:val="22"/>
          <w:szCs w:val="28"/>
          <w:highlight w:val="none"/>
        </w:rPr>
        <w:t>8、其他合同文件。</w:t>
      </w:r>
    </w:p>
    <w:p w14:paraId="6083D081">
      <w:pPr>
        <w:spacing w:after="160" w:line="278" w:lineRule="auto"/>
        <w:rPr>
          <w:sz w:val="22"/>
          <w:szCs w:val="28"/>
          <w:highlight w:val="none"/>
        </w:rPr>
      </w:pPr>
      <w:r>
        <w:rPr>
          <w:sz w:val="22"/>
          <w:szCs w:val="28"/>
          <w:highlight w:val="none"/>
        </w:rPr>
        <w:t>上述文件互相补充和解释，如有不明确或不一致之处，以合同约定次序在先者为准。</w:t>
      </w:r>
    </w:p>
    <w:p w14:paraId="34F088AE">
      <w:pPr>
        <w:spacing w:after="160" w:line="278" w:lineRule="auto"/>
        <w:rPr>
          <w:sz w:val="22"/>
          <w:szCs w:val="28"/>
          <w:highlight w:val="none"/>
        </w:rPr>
      </w:pPr>
      <w:r>
        <w:rPr>
          <w:sz w:val="22"/>
          <w:szCs w:val="28"/>
          <w:highlight w:val="none"/>
        </w:rPr>
        <w:t>九、本协议书中有关词语定义与合同条款中的定义相同。</w:t>
      </w:r>
    </w:p>
    <w:p w14:paraId="24A2AA2C">
      <w:pPr>
        <w:spacing w:after="160" w:line="278" w:lineRule="auto"/>
        <w:rPr>
          <w:sz w:val="22"/>
          <w:szCs w:val="28"/>
          <w:highlight w:val="none"/>
        </w:rPr>
      </w:pPr>
      <w:r>
        <w:rPr>
          <w:sz w:val="22"/>
          <w:szCs w:val="28"/>
          <w:highlight w:val="none"/>
        </w:rPr>
        <w:t>十、承包人承诺按照合同约定进行施工、竣工、交付并承担质量缺陷保修责任。</w:t>
      </w:r>
    </w:p>
    <w:p w14:paraId="3EA24C33">
      <w:pPr>
        <w:spacing w:after="160" w:line="278" w:lineRule="auto"/>
        <w:rPr>
          <w:sz w:val="22"/>
          <w:szCs w:val="28"/>
          <w:highlight w:val="none"/>
        </w:rPr>
      </w:pPr>
      <w:r>
        <w:rPr>
          <w:sz w:val="22"/>
          <w:szCs w:val="28"/>
          <w:highlight w:val="none"/>
        </w:rPr>
        <w:t>十一、发包人承诺按照合同约定的条件、期限和方式向承包人支付合同价款。</w:t>
      </w:r>
    </w:p>
    <w:p w14:paraId="57DAA169">
      <w:pPr>
        <w:spacing w:after="160" w:line="278" w:lineRule="auto"/>
        <w:rPr>
          <w:sz w:val="22"/>
          <w:szCs w:val="28"/>
          <w:highlight w:val="none"/>
        </w:rPr>
      </w:pPr>
      <w:r>
        <w:rPr>
          <w:sz w:val="22"/>
          <w:szCs w:val="28"/>
          <w:highlight w:val="none"/>
        </w:rPr>
        <w:t>十二、本协议书连同其他合同文件正本一式</w:t>
      </w:r>
      <w:r>
        <w:rPr>
          <w:rFonts w:hint="eastAsia"/>
          <w:sz w:val="22"/>
          <w:szCs w:val="28"/>
          <w:highlight w:val="none"/>
        </w:rPr>
        <w:t xml:space="preserve"> </w:t>
      </w:r>
      <w:r>
        <w:rPr>
          <w:sz w:val="22"/>
          <w:szCs w:val="28"/>
          <w:highlight w:val="none"/>
        </w:rPr>
        <w:t>两份</w:t>
      </w:r>
      <w:r>
        <w:rPr>
          <w:rFonts w:hint="eastAsia"/>
          <w:sz w:val="22"/>
          <w:szCs w:val="28"/>
          <w:highlight w:val="none"/>
        </w:rPr>
        <w:t xml:space="preserve"> </w:t>
      </w:r>
      <w:r>
        <w:rPr>
          <w:sz w:val="22"/>
          <w:szCs w:val="28"/>
          <w:highlight w:val="none"/>
        </w:rPr>
        <w:t xml:space="preserve">，合同双方各执一份；副本一式 </w:t>
      </w:r>
      <w:r>
        <w:rPr>
          <w:rFonts w:hint="eastAsia"/>
          <w:sz w:val="22"/>
          <w:szCs w:val="28"/>
          <w:highlight w:val="none"/>
        </w:rPr>
        <w:t>四份</w:t>
      </w:r>
      <w:r>
        <w:rPr>
          <w:sz w:val="22"/>
          <w:szCs w:val="28"/>
          <w:highlight w:val="none"/>
        </w:rPr>
        <w:t xml:space="preserve"> </w:t>
      </w:r>
      <w:r>
        <w:rPr>
          <w:rFonts w:hint="eastAsia"/>
          <w:sz w:val="22"/>
          <w:szCs w:val="28"/>
          <w:highlight w:val="none"/>
        </w:rPr>
        <w:t>，甲乙合同</w:t>
      </w:r>
      <w:r>
        <w:rPr>
          <w:sz w:val="22"/>
          <w:szCs w:val="28"/>
          <w:highlight w:val="none"/>
        </w:rPr>
        <w:t>双方各执</w:t>
      </w:r>
      <w:r>
        <w:rPr>
          <w:rFonts w:hint="eastAsia"/>
          <w:sz w:val="22"/>
          <w:szCs w:val="28"/>
          <w:highlight w:val="none"/>
        </w:rPr>
        <w:t>两</w:t>
      </w:r>
      <w:r>
        <w:rPr>
          <w:sz w:val="22"/>
          <w:szCs w:val="28"/>
          <w:highlight w:val="none"/>
        </w:rPr>
        <w:t>份。</w:t>
      </w:r>
    </w:p>
    <w:p w14:paraId="64B62098">
      <w:pPr>
        <w:spacing w:after="160" w:line="278" w:lineRule="auto"/>
        <w:rPr>
          <w:sz w:val="22"/>
          <w:szCs w:val="28"/>
          <w:highlight w:val="none"/>
        </w:rPr>
      </w:pPr>
      <w:r>
        <w:rPr>
          <w:sz w:val="22"/>
          <w:szCs w:val="28"/>
          <w:highlight w:val="none"/>
        </w:rPr>
        <w:t>十三、合同未尽事宜，双方另行签订补充协议，但不得背离本协议第八条所约定的合同文件的实质性内容。补充协议是合同文件的组成部分。</w:t>
      </w:r>
    </w:p>
    <w:p w14:paraId="1CACBB54">
      <w:pPr>
        <w:spacing w:after="160" w:line="278" w:lineRule="auto"/>
        <w:rPr>
          <w:sz w:val="22"/>
          <w:szCs w:val="28"/>
          <w:highlight w:val="none"/>
        </w:rPr>
      </w:pPr>
      <w:r>
        <w:rPr>
          <w:rFonts w:hint="eastAsia"/>
          <w:sz w:val="22"/>
          <w:szCs w:val="28"/>
          <w:highlight w:val="none"/>
        </w:rPr>
        <w:t>十四、本合同由双方法定代表人或授权委托人签字并盖章后生效。</w:t>
      </w:r>
    </w:p>
    <w:p w14:paraId="02379C18">
      <w:pPr>
        <w:spacing w:after="160" w:line="278" w:lineRule="auto"/>
        <w:rPr>
          <w:sz w:val="22"/>
          <w:szCs w:val="28"/>
          <w:highlight w:val="none"/>
        </w:rPr>
      </w:pPr>
    </w:p>
    <w:p w14:paraId="4B25AE30">
      <w:pPr>
        <w:spacing w:after="160" w:line="278" w:lineRule="auto"/>
        <w:rPr>
          <w:sz w:val="22"/>
          <w:szCs w:val="28"/>
          <w:highlight w:val="none"/>
        </w:rPr>
      </w:pPr>
    </w:p>
    <w:p w14:paraId="532DD66F">
      <w:pPr>
        <w:spacing w:after="160" w:line="278" w:lineRule="auto"/>
        <w:rPr>
          <w:sz w:val="22"/>
          <w:szCs w:val="28"/>
          <w:highlight w:val="none"/>
        </w:rPr>
      </w:pPr>
    </w:p>
    <w:p w14:paraId="525A58C0">
      <w:pPr>
        <w:spacing w:after="160" w:line="278" w:lineRule="auto"/>
        <w:rPr>
          <w:sz w:val="22"/>
          <w:szCs w:val="28"/>
          <w:highlight w:val="none"/>
        </w:rPr>
      </w:pPr>
      <w:r>
        <w:rPr>
          <w:sz w:val="22"/>
          <w:szCs w:val="28"/>
          <w:highlight w:val="none"/>
        </w:rPr>
        <w:t>发包人：（公章）</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 xml:space="preserve"> 承包人：（公章）</w:t>
      </w:r>
      <w:r>
        <w:rPr>
          <w:rFonts w:hint="eastAsia"/>
          <w:sz w:val="22"/>
          <w:szCs w:val="28"/>
          <w:highlight w:val="none"/>
        </w:rPr>
        <w:t xml:space="preserve"> </w:t>
      </w:r>
      <w:r>
        <w:rPr>
          <w:sz w:val="22"/>
          <w:szCs w:val="28"/>
          <w:highlight w:val="none"/>
        </w:rPr>
        <w:t xml:space="preserve">            </w:t>
      </w:r>
    </w:p>
    <w:p w14:paraId="46A55E6C">
      <w:pPr>
        <w:spacing w:after="160" w:line="278" w:lineRule="auto"/>
        <w:rPr>
          <w:sz w:val="22"/>
          <w:szCs w:val="28"/>
          <w:highlight w:val="none"/>
        </w:rPr>
      </w:pPr>
      <w:r>
        <w:rPr>
          <w:sz w:val="22"/>
          <w:szCs w:val="28"/>
          <w:highlight w:val="none"/>
        </w:rPr>
        <w:t>住所：</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住所：</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p>
    <w:p w14:paraId="3D26C7CA">
      <w:pPr>
        <w:spacing w:after="160" w:line="278" w:lineRule="auto"/>
        <w:rPr>
          <w:sz w:val="22"/>
          <w:szCs w:val="28"/>
          <w:highlight w:val="none"/>
        </w:rPr>
      </w:pPr>
      <w:r>
        <w:rPr>
          <w:sz w:val="22"/>
          <w:szCs w:val="28"/>
          <w:highlight w:val="none"/>
        </w:rPr>
        <w:t>法定代表人：</w:t>
      </w:r>
      <w:r>
        <w:rPr>
          <w:rFonts w:hint="eastAsia"/>
          <w:sz w:val="22"/>
          <w:szCs w:val="28"/>
          <w:highlight w:val="none"/>
        </w:rPr>
        <w:t xml:space="preserve">                         </w:t>
      </w:r>
      <w:r>
        <w:rPr>
          <w:sz w:val="22"/>
          <w:szCs w:val="28"/>
          <w:highlight w:val="none"/>
        </w:rPr>
        <w:t>法定代表人：</w:t>
      </w:r>
      <w:r>
        <w:rPr>
          <w:rFonts w:hint="eastAsia"/>
          <w:sz w:val="22"/>
          <w:szCs w:val="28"/>
          <w:highlight w:val="none"/>
        </w:rPr>
        <w:t xml:space="preserve">                  </w:t>
      </w:r>
    </w:p>
    <w:p w14:paraId="3F49911D">
      <w:pPr>
        <w:spacing w:after="160" w:line="278" w:lineRule="auto"/>
        <w:rPr>
          <w:sz w:val="22"/>
          <w:szCs w:val="28"/>
          <w:highlight w:val="none"/>
        </w:rPr>
      </w:pPr>
      <w:r>
        <w:rPr>
          <w:sz w:val="22"/>
          <w:szCs w:val="28"/>
          <w:highlight w:val="none"/>
        </w:rPr>
        <w:t>或委托代表人：</w:t>
      </w:r>
      <w:r>
        <w:rPr>
          <w:rFonts w:hint="eastAsia"/>
          <w:sz w:val="22"/>
          <w:szCs w:val="28"/>
          <w:highlight w:val="none"/>
        </w:rPr>
        <w:t xml:space="preserve">                     </w:t>
      </w:r>
      <w:r>
        <w:rPr>
          <w:sz w:val="22"/>
          <w:szCs w:val="28"/>
          <w:highlight w:val="none"/>
        </w:rPr>
        <w:t xml:space="preserve">  或委托代表人：</w:t>
      </w:r>
      <w:r>
        <w:rPr>
          <w:rFonts w:hint="eastAsia"/>
          <w:sz w:val="22"/>
          <w:szCs w:val="28"/>
          <w:highlight w:val="none"/>
        </w:rPr>
        <w:t xml:space="preserve">                     </w:t>
      </w:r>
    </w:p>
    <w:p w14:paraId="652A0EC4">
      <w:pPr>
        <w:spacing w:after="160" w:line="278" w:lineRule="auto"/>
        <w:rPr>
          <w:sz w:val="22"/>
          <w:szCs w:val="28"/>
          <w:highlight w:val="none"/>
        </w:rPr>
      </w:pPr>
      <w:r>
        <w:rPr>
          <w:sz w:val="22"/>
          <w:szCs w:val="28"/>
          <w:highlight w:val="none"/>
        </w:rPr>
        <w:t xml:space="preserve">电话：        </w:t>
      </w:r>
      <w:r>
        <w:rPr>
          <w:rFonts w:hint="eastAsia"/>
          <w:sz w:val="22"/>
          <w:szCs w:val="28"/>
          <w:highlight w:val="none"/>
        </w:rPr>
        <w:t xml:space="preserve">                           </w:t>
      </w:r>
      <w:r>
        <w:rPr>
          <w:sz w:val="22"/>
          <w:szCs w:val="28"/>
          <w:highlight w:val="none"/>
        </w:rPr>
        <w:t xml:space="preserve"> 电话：                </w:t>
      </w:r>
    </w:p>
    <w:p w14:paraId="16C58EE2">
      <w:pPr>
        <w:spacing w:after="160" w:line="278" w:lineRule="auto"/>
        <w:rPr>
          <w:sz w:val="22"/>
          <w:szCs w:val="28"/>
          <w:highlight w:val="none"/>
        </w:rPr>
      </w:pPr>
      <w:r>
        <w:rPr>
          <w:sz w:val="22"/>
          <w:szCs w:val="28"/>
          <w:highlight w:val="none"/>
        </w:rPr>
        <w:t xml:space="preserve">传真：                         </w:t>
      </w:r>
      <w:r>
        <w:rPr>
          <w:rFonts w:hint="eastAsia"/>
          <w:sz w:val="22"/>
          <w:szCs w:val="28"/>
          <w:highlight w:val="none"/>
        </w:rPr>
        <w:t xml:space="preserve">          </w:t>
      </w:r>
      <w:r>
        <w:rPr>
          <w:sz w:val="22"/>
          <w:szCs w:val="28"/>
          <w:highlight w:val="none"/>
        </w:rPr>
        <w:t xml:space="preserve"> 传真：</w:t>
      </w:r>
      <w:r>
        <w:rPr>
          <w:rFonts w:hint="eastAsia"/>
          <w:sz w:val="22"/>
          <w:szCs w:val="28"/>
          <w:highlight w:val="none"/>
        </w:rPr>
        <w:t xml:space="preserve"> </w:t>
      </w:r>
      <w:r>
        <w:rPr>
          <w:sz w:val="22"/>
          <w:szCs w:val="28"/>
          <w:highlight w:val="none"/>
        </w:rPr>
        <w:t xml:space="preserve">               </w:t>
      </w:r>
    </w:p>
    <w:p w14:paraId="4EDA5DD7">
      <w:pPr>
        <w:spacing w:after="160" w:line="278" w:lineRule="auto"/>
        <w:rPr>
          <w:sz w:val="22"/>
          <w:szCs w:val="28"/>
          <w:highlight w:val="none"/>
        </w:rPr>
      </w:pPr>
      <w:r>
        <w:rPr>
          <w:sz w:val="22"/>
          <w:szCs w:val="28"/>
          <w:highlight w:val="none"/>
        </w:rPr>
        <w:t>开户银行：</w:t>
      </w:r>
      <w:r>
        <w:rPr>
          <w:rFonts w:hint="eastAsia"/>
          <w:sz w:val="22"/>
          <w:szCs w:val="28"/>
          <w:highlight w:val="none"/>
        </w:rPr>
        <w:t xml:space="preserve">             </w:t>
      </w:r>
      <w:r>
        <w:rPr>
          <w:sz w:val="22"/>
          <w:szCs w:val="28"/>
          <w:highlight w:val="none"/>
        </w:rPr>
        <w:t xml:space="preserve">                  开户银行：</w:t>
      </w:r>
      <w:r>
        <w:rPr>
          <w:rFonts w:hint="eastAsia"/>
          <w:sz w:val="22"/>
          <w:szCs w:val="28"/>
          <w:highlight w:val="none"/>
        </w:rPr>
        <w:t xml:space="preserve">                </w:t>
      </w:r>
      <w:r>
        <w:rPr>
          <w:sz w:val="22"/>
          <w:szCs w:val="28"/>
          <w:highlight w:val="none"/>
        </w:rPr>
        <w:t xml:space="preserve"> </w:t>
      </w:r>
    </w:p>
    <w:p w14:paraId="3D348F6F">
      <w:pPr>
        <w:spacing w:after="160" w:line="278" w:lineRule="auto"/>
        <w:rPr>
          <w:sz w:val="22"/>
          <w:szCs w:val="28"/>
          <w:highlight w:val="none"/>
        </w:rPr>
      </w:pPr>
      <w:r>
        <w:rPr>
          <w:sz w:val="22"/>
          <w:szCs w:val="28"/>
          <w:highlight w:val="none"/>
        </w:rPr>
        <w:t>账号：</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 xml:space="preserve">      账号：</w:t>
      </w:r>
      <w:r>
        <w:rPr>
          <w:rFonts w:hint="eastAsia"/>
          <w:sz w:val="22"/>
          <w:szCs w:val="28"/>
          <w:highlight w:val="none"/>
        </w:rPr>
        <w:t xml:space="preserve"> </w:t>
      </w:r>
      <w:r>
        <w:rPr>
          <w:sz w:val="22"/>
          <w:szCs w:val="28"/>
          <w:highlight w:val="none"/>
        </w:rPr>
        <w:t xml:space="preserve">                </w:t>
      </w:r>
    </w:p>
    <w:p w14:paraId="221735FF">
      <w:pPr>
        <w:spacing w:after="160" w:line="278" w:lineRule="auto"/>
        <w:rPr>
          <w:sz w:val="22"/>
          <w:szCs w:val="28"/>
          <w:highlight w:val="none"/>
        </w:rPr>
      </w:pPr>
      <w:r>
        <w:rPr>
          <w:sz w:val="22"/>
          <w:szCs w:val="28"/>
          <w:highlight w:val="none"/>
        </w:rPr>
        <w:t xml:space="preserve">邮政编码：          </w:t>
      </w:r>
      <w:r>
        <w:rPr>
          <w:rFonts w:hint="eastAsia"/>
          <w:sz w:val="22"/>
          <w:szCs w:val="28"/>
          <w:highlight w:val="none"/>
        </w:rPr>
        <w:t xml:space="preserve">                     </w:t>
      </w:r>
      <w:r>
        <w:rPr>
          <w:sz w:val="22"/>
          <w:szCs w:val="28"/>
          <w:highlight w:val="none"/>
        </w:rPr>
        <w:t xml:space="preserve">邮政编码：         </w:t>
      </w:r>
    </w:p>
    <w:p w14:paraId="4B5D71D4">
      <w:pPr>
        <w:spacing w:after="160" w:line="278" w:lineRule="auto"/>
        <w:rPr>
          <w:sz w:val="22"/>
          <w:szCs w:val="28"/>
          <w:highlight w:val="none"/>
        </w:rPr>
      </w:pPr>
    </w:p>
    <w:p w14:paraId="678C7580">
      <w:pPr>
        <w:spacing w:after="160" w:line="278" w:lineRule="auto"/>
        <w:rPr>
          <w:sz w:val="22"/>
          <w:szCs w:val="28"/>
          <w:highlight w:val="none"/>
        </w:rPr>
      </w:pPr>
    </w:p>
    <w:p w14:paraId="0ED6A49E">
      <w:pPr>
        <w:spacing w:after="160" w:line="278" w:lineRule="auto"/>
        <w:rPr>
          <w:sz w:val="22"/>
          <w:szCs w:val="28"/>
          <w:highlight w:val="none"/>
        </w:rPr>
        <w:sectPr>
          <w:pgSz w:w="11906" w:h="16838"/>
          <w:pgMar w:top="1440" w:right="1797" w:bottom="1440" w:left="1797" w:header="851" w:footer="992" w:gutter="0"/>
          <w:cols w:space="720" w:num="1"/>
          <w:docGrid w:linePitch="312" w:charSpace="0"/>
        </w:sectPr>
      </w:pPr>
      <w:r>
        <w:rPr>
          <w:rFonts w:hint="eastAsia"/>
          <w:sz w:val="22"/>
          <w:szCs w:val="28"/>
          <w:highlight w:val="none"/>
        </w:rPr>
        <w:t>合同签订日期：  2025</w:t>
      </w:r>
      <w:r>
        <w:rPr>
          <w:sz w:val="22"/>
          <w:szCs w:val="28"/>
          <w:highlight w:val="none"/>
        </w:rPr>
        <w:t xml:space="preserve">    </w:t>
      </w:r>
      <w:r>
        <w:rPr>
          <w:rFonts w:hint="eastAsia"/>
          <w:sz w:val="22"/>
          <w:szCs w:val="28"/>
          <w:highlight w:val="none"/>
        </w:rPr>
        <w:t xml:space="preserve">年  </w:t>
      </w:r>
      <w:r>
        <w:rPr>
          <w:sz w:val="22"/>
          <w:szCs w:val="28"/>
          <w:highlight w:val="none"/>
        </w:rPr>
        <w:t xml:space="preserve">    </w:t>
      </w:r>
      <w:r>
        <w:rPr>
          <w:rFonts w:hint="eastAsia"/>
          <w:sz w:val="22"/>
          <w:szCs w:val="28"/>
          <w:highlight w:val="none"/>
        </w:rPr>
        <w:t>月      日</w:t>
      </w:r>
    </w:p>
    <w:p w14:paraId="613CF3CC">
      <w:pPr>
        <w:spacing w:after="160" w:line="278" w:lineRule="auto"/>
        <w:outlineLvl w:val="1"/>
        <w:rPr>
          <w:b/>
          <w:bCs/>
          <w:sz w:val="28"/>
          <w:szCs w:val="36"/>
          <w:highlight w:val="none"/>
        </w:rPr>
      </w:pPr>
      <w:r>
        <w:rPr>
          <w:b/>
          <w:bCs/>
          <w:sz w:val="28"/>
          <w:szCs w:val="36"/>
          <w:highlight w:val="none"/>
        </w:rPr>
        <w:t>第</w:t>
      </w:r>
      <w:r>
        <w:rPr>
          <w:rFonts w:hint="eastAsia"/>
          <w:b/>
          <w:bCs/>
          <w:sz w:val="28"/>
          <w:szCs w:val="36"/>
          <w:highlight w:val="none"/>
        </w:rPr>
        <w:t>二节 合同条款通用部分</w:t>
      </w:r>
    </w:p>
    <w:p w14:paraId="1B06A454">
      <w:pPr>
        <w:spacing w:after="160" w:line="278" w:lineRule="auto"/>
        <w:jc w:val="center"/>
        <w:rPr>
          <w:b/>
          <w:bCs/>
          <w:sz w:val="28"/>
          <w:szCs w:val="36"/>
          <w:highlight w:val="none"/>
        </w:rPr>
      </w:pPr>
      <w:bookmarkStart w:id="791" w:name="_Toc142385526"/>
      <w:r>
        <w:rPr>
          <w:rFonts w:hint="eastAsia"/>
          <w:b/>
          <w:bCs/>
          <w:sz w:val="28"/>
          <w:szCs w:val="36"/>
          <w:highlight w:val="none"/>
        </w:rPr>
        <w:t>通用合同条款</w:t>
      </w:r>
      <w:bookmarkEnd w:id="791"/>
    </w:p>
    <w:p w14:paraId="428A665B">
      <w:pPr>
        <w:spacing w:after="160" w:line="278" w:lineRule="auto"/>
        <w:rPr>
          <w:sz w:val="22"/>
          <w:szCs w:val="28"/>
          <w:highlight w:val="none"/>
        </w:rPr>
      </w:pPr>
    </w:p>
    <w:p w14:paraId="0387381A">
      <w:pPr>
        <w:spacing w:after="160" w:line="278" w:lineRule="auto"/>
        <w:rPr>
          <w:sz w:val="22"/>
          <w:szCs w:val="28"/>
          <w:highlight w:val="none"/>
        </w:rPr>
      </w:pPr>
      <w:bookmarkStart w:id="792" w:name="_Toc469660017"/>
      <w:bookmarkStart w:id="793" w:name="_Toc109914305"/>
      <w:bookmarkStart w:id="794" w:name="_Toc132618598"/>
      <w:bookmarkStart w:id="795" w:name="_Toc448758522"/>
      <w:bookmarkStart w:id="796" w:name="_Toc448758422"/>
      <w:bookmarkStart w:id="797" w:name="_Toc132618989"/>
      <w:bookmarkStart w:id="798" w:name="_Toc342296262"/>
      <w:bookmarkStart w:id="799" w:name="_Toc338944704"/>
      <w:bookmarkStart w:id="800" w:name="_Toc129798240"/>
      <w:bookmarkStart w:id="801" w:name="_Toc142385527"/>
      <w:bookmarkStart w:id="802" w:name="_Toc442365614"/>
      <w:r>
        <w:rPr>
          <w:sz w:val="22"/>
          <w:szCs w:val="28"/>
          <w:highlight w:val="none"/>
        </w:rPr>
        <w:t>1. 一般约定</w:t>
      </w:r>
      <w:bookmarkEnd w:id="792"/>
      <w:bookmarkEnd w:id="793"/>
      <w:bookmarkEnd w:id="794"/>
      <w:bookmarkEnd w:id="795"/>
      <w:bookmarkEnd w:id="796"/>
      <w:bookmarkEnd w:id="797"/>
      <w:bookmarkEnd w:id="798"/>
      <w:bookmarkEnd w:id="799"/>
      <w:bookmarkEnd w:id="800"/>
      <w:bookmarkEnd w:id="801"/>
      <w:bookmarkEnd w:id="802"/>
    </w:p>
    <w:p w14:paraId="718A6DD3">
      <w:pPr>
        <w:spacing w:after="160" w:line="278" w:lineRule="auto"/>
        <w:rPr>
          <w:sz w:val="22"/>
          <w:szCs w:val="28"/>
          <w:highlight w:val="none"/>
        </w:rPr>
      </w:pPr>
      <w:bookmarkStart w:id="803" w:name="_Toc132618990"/>
      <w:bookmarkStart w:id="804" w:name="_Toc142385528"/>
      <w:bookmarkStart w:id="805" w:name="_Toc129798241"/>
      <w:bookmarkStart w:id="806" w:name="_Toc109914306"/>
      <w:bookmarkStart w:id="807" w:name="_Toc342296263"/>
      <w:bookmarkStart w:id="808" w:name="_Toc338944705"/>
      <w:bookmarkStart w:id="809" w:name="_Toc132618599"/>
      <w:r>
        <w:rPr>
          <w:sz w:val="22"/>
          <w:szCs w:val="28"/>
          <w:highlight w:val="none"/>
        </w:rPr>
        <w:t>1.1 词语定义</w:t>
      </w:r>
      <w:bookmarkEnd w:id="803"/>
      <w:bookmarkEnd w:id="804"/>
      <w:bookmarkEnd w:id="805"/>
      <w:bookmarkEnd w:id="806"/>
      <w:bookmarkEnd w:id="807"/>
      <w:bookmarkEnd w:id="808"/>
      <w:bookmarkEnd w:id="809"/>
    </w:p>
    <w:p w14:paraId="452A40E4">
      <w:pPr>
        <w:spacing w:after="160" w:line="278" w:lineRule="auto"/>
        <w:rPr>
          <w:sz w:val="22"/>
          <w:szCs w:val="28"/>
          <w:highlight w:val="none"/>
        </w:rPr>
      </w:pPr>
      <w:r>
        <w:rPr>
          <w:sz w:val="22"/>
          <w:szCs w:val="28"/>
          <w:highlight w:val="none"/>
        </w:rPr>
        <w:t>通用合同条款、专用合同条款中的下列词语应具有本款所赋予的含义。</w:t>
      </w:r>
    </w:p>
    <w:p w14:paraId="118AC5D5">
      <w:pPr>
        <w:spacing w:after="160" w:line="278" w:lineRule="auto"/>
        <w:rPr>
          <w:sz w:val="22"/>
          <w:szCs w:val="28"/>
          <w:highlight w:val="none"/>
        </w:rPr>
      </w:pPr>
      <w:r>
        <w:rPr>
          <w:sz w:val="22"/>
          <w:szCs w:val="28"/>
          <w:highlight w:val="none"/>
        </w:rPr>
        <w:t xml:space="preserve">1.1.1 </w:t>
      </w:r>
      <w:r>
        <w:rPr>
          <w:rFonts w:hint="eastAsia"/>
          <w:sz w:val="22"/>
          <w:szCs w:val="28"/>
          <w:highlight w:val="none"/>
        </w:rPr>
        <w:t>合同</w:t>
      </w:r>
    </w:p>
    <w:p w14:paraId="117543C4">
      <w:pPr>
        <w:spacing w:after="160" w:line="278" w:lineRule="auto"/>
        <w:rPr>
          <w:sz w:val="22"/>
          <w:szCs w:val="28"/>
          <w:highlight w:val="none"/>
        </w:rPr>
      </w:pPr>
      <w:r>
        <w:rPr>
          <w:sz w:val="22"/>
          <w:szCs w:val="28"/>
          <w:highlight w:val="none"/>
        </w:rPr>
        <w:t>1.1.1.1 合同文件（或称合同）：指合同协议书、中标通知书、投标函及投标函附录、专用合同条款、通用合同条款、技术标准和要求、图纸、已标价工程量清单，以及其他合同文件。</w:t>
      </w:r>
    </w:p>
    <w:p w14:paraId="118AF5E3">
      <w:pPr>
        <w:spacing w:after="160" w:line="278" w:lineRule="auto"/>
        <w:rPr>
          <w:sz w:val="22"/>
          <w:szCs w:val="28"/>
          <w:highlight w:val="none"/>
        </w:rPr>
      </w:pPr>
      <w:r>
        <w:rPr>
          <w:sz w:val="22"/>
          <w:szCs w:val="28"/>
          <w:highlight w:val="none"/>
        </w:rPr>
        <w:t>1.1.1.2 合同协议书：指第1.5款所指的合同协议书。</w:t>
      </w:r>
    </w:p>
    <w:p w14:paraId="2F3ABCF1">
      <w:pPr>
        <w:spacing w:after="160" w:line="278" w:lineRule="auto"/>
        <w:rPr>
          <w:sz w:val="22"/>
          <w:szCs w:val="28"/>
          <w:highlight w:val="none"/>
        </w:rPr>
      </w:pPr>
      <w:r>
        <w:rPr>
          <w:sz w:val="22"/>
          <w:szCs w:val="28"/>
          <w:highlight w:val="none"/>
        </w:rPr>
        <w:t>1.1.1.3 中标通知书：指发包人通知承包人中标的函件。</w:t>
      </w:r>
    </w:p>
    <w:p w14:paraId="403AD6DF">
      <w:pPr>
        <w:spacing w:after="160" w:line="278" w:lineRule="auto"/>
        <w:rPr>
          <w:sz w:val="22"/>
          <w:szCs w:val="28"/>
          <w:highlight w:val="none"/>
        </w:rPr>
      </w:pPr>
      <w:r>
        <w:rPr>
          <w:sz w:val="22"/>
          <w:szCs w:val="28"/>
          <w:highlight w:val="none"/>
        </w:rPr>
        <w:t>1.1.1.4 投标函：指构成合同文件组成部分的由承包人填写并签署的投标函。</w:t>
      </w:r>
    </w:p>
    <w:p w14:paraId="57C59541">
      <w:pPr>
        <w:spacing w:after="160" w:line="278" w:lineRule="auto"/>
        <w:rPr>
          <w:sz w:val="22"/>
          <w:szCs w:val="28"/>
          <w:highlight w:val="none"/>
        </w:rPr>
      </w:pPr>
      <w:r>
        <w:rPr>
          <w:sz w:val="22"/>
          <w:szCs w:val="28"/>
          <w:highlight w:val="none"/>
        </w:rPr>
        <w:t>1.1.1.5 投标函附录：指附在投标函后构成合同文件的投标函附录。</w:t>
      </w:r>
    </w:p>
    <w:p w14:paraId="3D44F08D">
      <w:pPr>
        <w:spacing w:after="160" w:line="278" w:lineRule="auto"/>
        <w:rPr>
          <w:sz w:val="22"/>
          <w:szCs w:val="28"/>
          <w:highlight w:val="none"/>
        </w:rPr>
      </w:pPr>
      <w:r>
        <w:rPr>
          <w:sz w:val="22"/>
          <w:szCs w:val="28"/>
          <w:highlight w:val="none"/>
        </w:rPr>
        <w:t>1.1.1.6 技术标准和要求：指构成合同文件组成部分的名为技术标准和要求的文件，包括合同双方当事人约定对其所作的修改或补充。</w:t>
      </w:r>
    </w:p>
    <w:p w14:paraId="7C65C57A">
      <w:pPr>
        <w:spacing w:after="160" w:line="278" w:lineRule="auto"/>
        <w:rPr>
          <w:sz w:val="22"/>
          <w:szCs w:val="28"/>
          <w:highlight w:val="none"/>
        </w:rPr>
      </w:pPr>
      <w:r>
        <w:rPr>
          <w:sz w:val="22"/>
          <w:szCs w:val="28"/>
          <w:highlight w:val="none"/>
        </w:rPr>
        <w:t>1.1.1.7图纸：指包含在合同中的工程图纸，以及由发包人按合同约定提供的任何补充和修改的图纸，包括配套的说明。</w:t>
      </w:r>
    </w:p>
    <w:p w14:paraId="3C67F194">
      <w:pPr>
        <w:spacing w:after="160" w:line="278" w:lineRule="auto"/>
        <w:rPr>
          <w:sz w:val="22"/>
          <w:szCs w:val="28"/>
          <w:highlight w:val="none"/>
        </w:rPr>
      </w:pPr>
      <w:r>
        <w:rPr>
          <w:sz w:val="22"/>
          <w:szCs w:val="28"/>
          <w:highlight w:val="none"/>
        </w:rPr>
        <w:t>1.1.1.8 已标价工程量清单：指构成合同文件组成部分的由承包人按照规定的格式和要求填写并标明价格的工程量清单。</w:t>
      </w:r>
    </w:p>
    <w:p w14:paraId="728C9CDD">
      <w:pPr>
        <w:spacing w:after="160" w:line="278" w:lineRule="auto"/>
        <w:rPr>
          <w:sz w:val="22"/>
          <w:szCs w:val="28"/>
          <w:highlight w:val="none"/>
        </w:rPr>
      </w:pPr>
      <w:r>
        <w:rPr>
          <w:sz w:val="22"/>
          <w:szCs w:val="28"/>
          <w:highlight w:val="none"/>
        </w:rPr>
        <w:t>1.1.1.9 其他合同文件：指经合同双方当事人确认构成合同文件的其他文件。</w:t>
      </w:r>
    </w:p>
    <w:p w14:paraId="30DBEF0F">
      <w:pPr>
        <w:spacing w:after="160" w:line="278" w:lineRule="auto"/>
        <w:rPr>
          <w:sz w:val="22"/>
          <w:szCs w:val="28"/>
          <w:highlight w:val="none"/>
        </w:rPr>
      </w:pPr>
      <w:r>
        <w:rPr>
          <w:sz w:val="22"/>
          <w:szCs w:val="28"/>
          <w:highlight w:val="none"/>
        </w:rPr>
        <w:t xml:space="preserve">1.1.2 </w:t>
      </w:r>
      <w:r>
        <w:rPr>
          <w:rFonts w:hint="eastAsia"/>
          <w:sz w:val="22"/>
          <w:szCs w:val="28"/>
          <w:highlight w:val="none"/>
        </w:rPr>
        <w:t>合同当事人和人员</w:t>
      </w:r>
    </w:p>
    <w:p w14:paraId="3BB99E98">
      <w:pPr>
        <w:spacing w:after="160" w:line="278" w:lineRule="auto"/>
        <w:rPr>
          <w:sz w:val="22"/>
          <w:szCs w:val="28"/>
          <w:highlight w:val="none"/>
        </w:rPr>
      </w:pPr>
      <w:r>
        <w:rPr>
          <w:sz w:val="22"/>
          <w:szCs w:val="28"/>
          <w:highlight w:val="none"/>
        </w:rPr>
        <w:t>1.1.2.1 合同当事人:指发包人和（或）承包人。</w:t>
      </w:r>
    </w:p>
    <w:p w14:paraId="6AF09C67">
      <w:pPr>
        <w:spacing w:after="160" w:line="278" w:lineRule="auto"/>
        <w:rPr>
          <w:sz w:val="22"/>
          <w:szCs w:val="28"/>
          <w:highlight w:val="none"/>
        </w:rPr>
      </w:pPr>
      <w:r>
        <w:rPr>
          <w:sz w:val="22"/>
          <w:szCs w:val="28"/>
          <w:highlight w:val="none"/>
        </w:rPr>
        <w:t>1.1.2.2 发包人：指专用合同条款中指明并与承包人在合同协议书中签字的当事人。</w:t>
      </w:r>
    </w:p>
    <w:p w14:paraId="52BA613E">
      <w:pPr>
        <w:spacing w:after="160" w:line="278" w:lineRule="auto"/>
        <w:rPr>
          <w:sz w:val="22"/>
          <w:szCs w:val="28"/>
          <w:highlight w:val="none"/>
        </w:rPr>
      </w:pPr>
      <w:r>
        <w:rPr>
          <w:sz w:val="22"/>
          <w:szCs w:val="28"/>
          <w:highlight w:val="none"/>
        </w:rPr>
        <w:t>1.1.2.3 承包人：指与发包人签订合同协议书的当事人。</w:t>
      </w:r>
    </w:p>
    <w:p w14:paraId="79D63247">
      <w:pPr>
        <w:spacing w:after="160" w:line="278" w:lineRule="auto"/>
        <w:rPr>
          <w:sz w:val="22"/>
          <w:szCs w:val="28"/>
          <w:highlight w:val="none"/>
        </w:rPr>
      </w:pPr>
      <w:r>
        <w:rPr>
          <w:sz w:val="22"/>
          <w:szCs w:val="28"/>
          <w:highlight w:val="none"/>
        </w:rPr>
        <w:t>1.1.2.4 承包人项目经理：指承包人派驻施工场地的全权负责人。</w:t>
      </w:r>
    </w:p>
    <w:p w14:paraId="018417DF">
      <w:pPr>
        <w:spacing w:after="160" w:line="278" w:lineRule="auto"/>
        <w:rPr>
          <w:sz w:val="22"/>
          <w:szCs w:val="28"/>
          <w:highlight w:val="none"/>
        </w:rPr>
      </w:pPr>
      <w:r>
        <w:rPr>
          <w:sz w:val="22"/>
          <w:szCs w:val="28"/>
          <w:highlight w:val="none"/>
        </w:rPr>
        <w:t>1.1.2.5 分包人：指从承包人处分包合同中某一部分工程，并与其签订分包合同的分包人。</w:t>
      </w:r>
    </w:p>
    <w:p w14:paraId="31E4E30E">
      <w:pPr>
        <w:spacing w:after="160" w:line="278" w:lineRule="auto"/>
        <w:rPr>
          <w:sz w:val="22"/>
          <w:szCs w:val="28"/>
          <w:highlight w:val="none"/>
        </w:rPr>
      </w:pPr>
      <w:r>
        <w:rPr>
          <w:sz w:val="22"/>
          <w:szCs w:val="28"/>
          <w:highlight w:val="none"/>
        </w:rPr>
        <w:t>1.1.2.6 监理人：指在专用合同条款中指明的，受发包人委托对合同履行实施管理的法人或其他组织。</w:t>
      </w:r>
    </w:p>
    <w:p w14:paraId="054FB5C6">
      <w:pPr>
        <w:spacing w:after="160" w:line="278" w:lineRule="auto"/>
        <w:rPr>
          <w:sz w:val="22"/>
          <w:szCs w:val="28"/>
          <w:highlight w:val="none"/>
        </w:rPr>
      </w:pPr>
      <w:r>
        <w:rPr>
          <w:sz w:val="22"/>
          <w:szCs w:val="28"/>
          <w:highlight w:val="none"/>
        </w:rPr>
        <w:t>1.1.2.7 总监理工程师（总监）：指由监理人委派常驻施工场地对合同履行实施管理的全权负责人。</w:t>
      </w:r>
    </w:p>
    <w:p w14:paraId="0C9576F5">
      <w:pPr>
        <w:spacing w:after="160" w:line="278" w:lineRule="auto"/>
        <w:rPr>
          <w:sz w:val="22"/>
          <w:szCs w:val="28"/>
          <w:highlight w:val="none"/>
        </w:rPr>
      </w:pPr>
      <w:r>
        <w:rPr>
          <w:sz w:val="22"/>
          <w:szCs w:val="28"/>
          <w:highlight w:val="none"/>
        </w:rPr>
        <w:t xml:space="preserve">1.1.3 </w:t>
      </w:r>
      <w:r>
        <w:rPr>
          <w:rFonts w:hint="eastAsia"/>
          <w:sz w:val="22"/>
          <w:szCs w:val="28"/>
          <w:highlight w:val="none"/>
        </w:rPr>
        <w:t>工程和设备</w:t>
      </w:r>
    </w:p>
    <w:p w14:paraId="632DAD3F">
      <w:pPr>
        <w:spacing w:after="160" w:line="278" w:lineRule="auto"/>
        <w:rPr>
          <w:sz w:val="22"/>
          <w:szCs w:val="28"/>
          <w:highlight w:val="none"/>
        </w:rPr>
      </w:pPr>
      <w:r>
        <w:rPr>
          <w:sz w:val="22"/>
          <w:szCs w:val="28"/>
          <w:highlight w:val="none"/>
        </w:rPr>
        <w:t>1.1.3.1 工程：指永久工程和（或）临时工程。</w:t>
      </w:r>
    </w:p>
    <w:p w14:paraId="3E074B9F">
      <w:pPr>
        <w:spacing w:after="160" w:line="278" w:lineRule="auto"/>
        <w:rPr>
          <w:sz w:val="22"/>
          <w:szCs w:val="28"/>
          <w:highlight w:val="none"/>
        </w:rPr>
      </w:pPr>
      <w:r>
        <w:rPr>
          <w:sz w:val="22"/>
          <w:szCs w:val="28"/>
          <w:highlight w:val="none"/>
        </w:rPr>
        <w:t>1.1.3.2 永久工程：指按合同约定建造并移交给发包人的工程，包括工程设备。</w:t>
      </w:r>
    </w:p>
    <w:p w14:paraId="0BDB81AE">
      <w:pPr>
        <w:spacing w:after="160" w:line="278" w:lineRule="auto"/>
        <w:rPr>
          <w:sz w:val="22"/>
          <w:szCs w:val="28"/>
          <w:highlight w:val="none"/>
        </w:rPr>
      </w:pPr>
      <w:r>
        <w:rPr>
          <w:sz w:val="22"/>
          <w:szCs w:val="28"/>
          <w:highlight w:val="none"/>
        </w:rPr>
        <w:t>1.1.3.3 临时工程：指为完成合同约定的永久工程所修建的各类临时性工程，不包括施工设备。</w:t>
      </w:r>
    </w:p>
    <w:p w14:paraId="15EB7B3E">
      <w:pPr>
        <w:spacing w:after="160" w:line="278" w:lineRule="auto"/>
        <w:rPr>
          <w:sz w:val="22"/>
          <w:szCs w:val="28"/>
          <w:highlight w:val="none"/>
        </w:rPr>
      </w:pPr>
      <w:r>
        <w:rPr>
          <w:sz w:val="22"/>
          <w:szCs w:val="28"/>
          <w:highlight w:val="none"/>
        </w:rPr>
        <w:t>1.1.3.4 单位工程：指专用合同条款中指明特定范围的永久工程。</w:t>
      </w:r>
    </w:p>
    <w:p w14:paraId="0C7F633A">
      <w:pPr>
        <w:spacing w:after="160" w:line="278" w:lineRule="auto"/>
        <w:rPr>
          <w:sz w:val="22"/>
          <w:szCs w:val="28"/>
          <w:highlight w:val="none"/>
        </w:rPr>
      </w:pPr>
      <w:r>
        <w:rPr>
          <w:sz w:val="22"/>
          <w:szCs w:val="28"/>
          <w:highlight w:val="none"/>
        </w:rPr>
        <w:t>1.1.3.5 工程设备：指构成或计划构成永久工程一部分的机电设备、金属结构设备、仪器装置及其他类似的设备和装置。</w:t>
      </w:r>
    </w:p>
    <w:p w14:paraId="1E666DEA">
      <w:pPr>
        <w:spacing w:after="160" w:line="278" w:lineRule="auto"/>
        <w:rPr>
          <w:sz w:val="22"/>
          <w:szCs w:val="28"/>
          <w:highlight w:val="none"/>
        </w:rPr>
      </w:pPr>
      <w:r>
        <w:rPr>
          <w:sz w:val="22"/>
          <w:szCs w:val="28"/>
          <w:highlight w:val="none"/>
        </w:rPr>
        <w:t>1.1.3.6 施工设备：指为完成合同约定的各项工作所需的设备、器具和其他物品，不包括临时工程和材料。</w:t>
      </w:r>
    </w:p>
    <w:p w14:paraId="31A54F2F">
      <w:pPr>
        <w:spacing w:after="160" w:line="278" w:lineRule="auto"/>
        <w:rPr>
          <w:sz w:val="22"/>
          <w:szCs w:val="28"/>
          <w:highlight w:val="none"/>
        </w:rPr>
      </w:pPr>
      <w:r>
        <w:rPr>
          <w:sz w:val="22"/>
          <w:szCs w:val="28"/>
          <w:highlight w:val="none"/>
        </w:rPr>
        <w:t>1.1.3.7 临时设施：指为完成合同约定的各项工作所服务的临时性生产和生活设施。</w:t>
      </w:r>
    </w:p>
    <w:p w14:paraId="7A5D308E">
      <w:pPr>
        <w:spacing w:after="160" w:line="278" w:lineRule="auto"/>
        <w:rPr>
          <w:sz w:val="22"/>
          <w:szCs w:val="28"/>
          <w:highlight w:val="none"/>
        </w:rPr>
      </w:pPr>
      <w:r>
        <w:rPr>
          <w:sz w:val="22"/>
          <w:szCs w:val="28"/>
          <w:highlight w:val="none"/>
        </w:rPr>
        <w:t>1.1.3.8 承包人设备：指承包人自带的施工设备。</w:t>
      </w:r>
    </w:p>
    <w:p w14:paraId="1E62B5A1">
      <w:pPr>
        <w:spacing w:after="160" w:line="278" w:lineRule="auto"/>
        <w:rPr>
          <w:sz w:val="22"/>
          <w:szCs w:val="28"/>
          <w:highlight w:val="none"/>
        </w:rPr>
      </w:pPr>
      <w:r>
        <w:rPr>
          <w:sz w:val="22"/>
          <w:szCs w:val="28"/>
          <w:highlight w:val="none"/>
        </w:rPr>
        <w:t>1.1.3.9 施工场地（或称工地、现场）：指用于合同工程施工的场所，以及在合同中指定作为施工场地组成部分的其他场所，包括永久占地和临时占地。</w:t>
      </w:r>
    </w:p>
    <w:p w14:paraId="47866AF8">
      <w:pPr>
        <w:spacing w:after="160" w:line="278" w:lineRule="auto"/>
        <w:rPr>
          <w:sz w:val="22"/>
          <w:szCs w:val="28"/>
          <w:highlight w:val="none"/>
        </w:rPr>
      </w:pPr>
      <w:r>
        <w:rPr>
          <w:sz w:val="22"/>
          <w:szCs w:val="28"/>
          <w:highlight w:val="none"/>
        </w:rPr>
        <w:t>1.1.3.10 永久占地：指专用合同条款中指明为实施合同工程需永久占用的土地。</w:t>
      </w:r>
    </w:p>
    <w:p w14:paraId="6591B4E4">
      <w:pPr>
        <w:spacing w:after="160" w:line="278" w:lineRule="auto"/>
        <w:rPr>
          <w:sz w:val="22"/>
          <w:szCs w:val="28"/>
          <w:highlight w:val="none"/>
        </w:rPr>
      </w:pPr>
      <w:r>
        <w:rPr>
          <w:sz w:val="22"/>
          <w:szCs w:val="28"/>
          <w:highlight w:val="none"/>
        </w:rPr>
        <w:t>1.1.3.11 临时占地：指专用合同条款中指明为实施合同工程需临时占用的土地。</w:t>
      </w:r>
    </w:p>
    <w:p w14:paraId="293617F6">
      <w:pPr>
        <w:spacing w:after="160" w:line="278" w:lineRule="auto"/>
        <w:rPr>
          <w:sz w:val="22"/>
          <w:szCs w:val="28"/>
          <w:highlight w:val="none"/>
        </w:rPr>
      </w:pPr>
      <w:r>
        <w:rPr>
          <w:sz w:val="22"/>
          <w:szCs w:val="28"/>
          <w:highlight w:val="none"/>
        </w:rPr>
        <w:t xml:space="preserve">1.1.4 </w:t>
      </w:r>
      <w:r>
        <w:rPr>
          <w:rFonts w:hint="eastAsia"/>
          <w:sz w:val="22"/>
          <w:szCs w:val="28"/>
          <w:highlight w:val="none"/>
        </w:rPr>
        <w:t>日期</w:t>
      </w:r>
    </w:p>
    <w:p w14:paraId="07B0A190">
      <w:pPr>
        <w:spacing w:after="160" w:line="278" w:lineRule="auto"/>
        <w:rPr>
          <w:sz w:val="22"/>
          <w:szCs w:val="28"/>
          <w:highlight w:val="none"/>
        </w:rPr>
      </w:pPr>
      <w:r>
        <w:rPr>
          <w:sz w:val="22"/>
          <w:szCs w:val="28"/>
          <w:highlight w:val="none"/>
        </w:rPr>
        <w:t>1.1.4.1 开工通知：指监理人按第11.1款通知承包人开工的函件。</w:t>
      </w:r>
    </w:p>
    <w:p w14:paraId="4759148F">
      <w:pPr>
        <w:spacing w:after="160" w:line="278" w:lineRule="auto"/>
        <w:rPr>
          <w:sz w:val="22"/>
          <w:szCs w:val="28"/>
          <w:highlight w:val="none"/>
        </w:rPr>
      </w:pPr>
      <w:r>
        <w:rPr>
          <w:sz w:val="22"/>
          <w:szCs w:val="28"/>
          <w:highlight w:val="none"/>
        </w:rPr>
        <w:t>1.1.4.2 开工日期：指监理人按第11.1款发出的开工通知中写明的开工日期。</w:t>
      </w:r>
    </w:p>
    <w:p w14:paraId="1924CD1E">
      <w:pPr>
        <w:spacing w:after="160" w:line="278" w:lineRule="auto"/>
        <w:rPr>
          <w:sz w:val="22"/>
          <w:szCs w:val="28"/>
          <w:highlight w:val="none"/>
        </w:rPr>
      </w:pPr>
      <w:r>
        <w:rPr>
          <w:sz w:val="22"/>
          <w:szCs w:val="28"/>
          <w:highlight w:val="none"/>
        </w:rPr>
        <w:t>1.1.4.3工期：指承包人在投标函中承诺的完成合同工程所需的期限，包括按第11.3款、第11.4款和第11.6款约定所作的变更。</w:t>
      </w:r>
    </w:p>
    <w:p w14:paraId="5820C437">
      <w:pPr>
        <w:spacing w:after="160" w:line="278" w:lineRule="auto"/>
        <w:rPr>
          <w:sz w:val="22"/>
          <w:szCs w:val="28"/>
          <w:highlight w:val="none"/>
        </w:rPr>
      </w:pPr>
      <w:r>
        <w:rPr>
          <w:sz w:val="22"/>
          <w:szCs w:val="28"/>
          <w:highlight w:val="none"/>
        </w:rPr>
        <w:t>1.1.4.4 竣工日期：指第1.1.4.3目约定工期届满时的日期。实际竣工日期以工程接收证书中写明的日期为准。</w:t>
      </w:r>
    </w:p>
    <w:p w14:paraId="1A823380">
      <w:pPr>
        <w:spacing w:after="160" w:line="278" w:lineRule="auto"/>
        <w:rPr>
          <w:sz w:val="22"/>
          <w:szCs w:val="28"/>
          <w:highlight w:val="none"/>
        </w:rPr>
      </w:pPr>
      <w:r>
        <w:rPr>
          <w:sz w:val="22"/>
          <w:szCs w:val="28"/>
          <w:highlight w:val="none"/>
        </w:rPr>
        <w:t>1.1.4.5 缺陷责任期：指履行第19.2款约定的缺陷责任的期限，具体期限由专用合同条款约定，包括根据第19.3款约定所作的延长。</w:t>
      </w:r>
    </w:p>
    <w:p w14:paraId="52A2E447">
      <w:pPr>
        <w:spacing w:after="160" w:line="278" w:lineRule="auto"/>
        <w:rPr>
          <w:sz w:val="22"/>
          <w:szCs w:val="28"/>
          <w:highlight w:val="none"/>
        </w:rPr>
      </w:pPr>
      <w:r>
        <w:rPr>
          <w:sz w:val="22"/>
          <w:szCs w:val="28"/>
          <w:highlight w:val="none"/>
        </w:rPr>
        <w:t>1.1.4.6 基准日期：指投标截止时间前28天的日期。</w:t>
      </w:r>
    </w:p>
    <w:p w14:paraId="3F24B8ED">
      <w:pPr>
        <w:spacing w:after="160" w:line="278" w:lineRule="auto"/>
        <w:rPr>
          <w:sz w:val="22"/>
          <w:szCs w:val="28"/>
          <w:highlight w:val="none"/>
        </w:rPr>
      </w:pPr>
      <w:r>
        <w:rPr>
          <w:sz w:val="22"/>
          <w:szCs w:val="28"/>
          <w:highlight w:val="none"/>
        </w:rPr>
        <w:t>1.1.4.7 天：除特别指明外，指日历天。合同中按天计算时间的，开始当天不计入，从次日开始计算。期限最后一天的截止时间为当天24:00。</w:t>
      </w:r>
    </w:p>
    <w:p w14:paraId="7D366BA0">
      <w:pPr>
        <w:spacing w:after="160" w:line="278" w:lineRule="auto"/>
        <w:rPr>
          <w:sz w:val="22"/>
          <w:szCs w:val="28"/>
          <w:highlight w:val="none"/>
        </w:rPr>
      </w:pPr>
      <w:r>
        <w:rPr>
          <w:sz w:val="22"/>
          <w:szCs w:val="28"/>
          <w:highlight w:val="none"/>
        </w:rPr>
        <w:t xml:space="preserve">1.1.5 </w:t>
      </w:r>
      <w:r>
        <w:rPr>
          <w:rFonts w:hint="eastAsia"/>
          <w:sz w:val="22"/>
          <w:szCs w:val="28"/>
          <w:highlight w:val="none"/>
        </w:rPr>
        <w:t>合同价格和费用</w:t>
      </w:r>
    </w:p>
    <w:p w14:paraId="32491A78">
      <w:pPr>
        <w:spacing w:after="160" w:line="278" w:lineRule="auto"/>
        <w:rPr>
          <w:sz w:val="22"/>
          <w:szCs w:val="28"/>
          <w:highlight w:val="none"/>
        </w:rPr>
      </w:pPr>
      <w:r>
        <w:rPr>
          <w:sz w:val="22"/>
          <w:szCs w:val="28"/>
          <w:highlight w:val="none"/>
        </w:rPr>
        <w:t>1.1.5.1 签约合同价：指签定合同时合同协议书中写明的，包括了暂列金额、暂估价的合同总金额。</w:t>
      </w:r>
    </w:p>
    <w:p w14:paraId="48072BEF">
      <w:pPr>
        <w:spacing w:after="160" w:line="278" w:lineRule="auto"/>
        <w:rPr>
          <w:sz w:val="22"/>
          <w:szCs w:val="28"/>
          <w:highlight w:val="none"/>
        </w:rPr>
      </w:pPr>
      <w:r>
        <w:rPr>
          <w:sz w:val="22"/>
          <w:szCs w:val="28"/>
          <w:highlight w:val="none"/>
        </w:rPr>
        <w:t>1.1.5.2 合同价格：指承包人按合同约定完成了包括缺陷责任期内的全部承包工作后，发包人应付给承包人的金额，包括在履行合同过程中按合同约定进行的变更和调整。</w:t>
      </w:r>
    </w:p>
    <w:p w14:paraId="41A147DE">
      <w:pPr>
        <w:spacing w:after="160" w:line="278" w:lineRule="auto"/>
        <w:rPr>
          <w:sz w:val="22"/>
          <w:szCs w:val="28"/>
          <w:highlight w:val="none"/>
        </w:rPr>
      </w:pPr>
      <w:r>
        <w:rPr>
          <w:sz w:val="22"/>
          <w:szCs w:val="28"/>
          <w:highlight w:val="none"/>
        </w:rPr>
        <w:t>1.1.5.3 费用：指为履行合同所发生的或将要发生的所有合理开支，包括管理费和应分摊的其他费用，但不包括利润。</w:t>
      </w:r>
    </w:p>
    <w:p w14:paraId="1F5CA2C2">
      <w:pPr>
        <w:spacing w:after="160" w:line="278" w:lineRule="auto"/>
        <w:rPr>
          <w:sz w:val="22"/>
          <w:szCs w:val="28"/>
          <w:highlight w:val="none"/>
        </w:rPr>
      </w:pPr>
      <w:r>
        <w:rPr>
          <w:sz w:val="22"/>
          <w:szCs w:val="28"/>
          <w:highlight w:val="none"/>
        </w:rPr>
        <w:t>1.1.5.4 暂列金额：指已标价工程量清单中所列的暂列金额，用于在签订协议书时尚未确定或不可预见变更的施工及其所需材料、工程设备、服务等的金额，包括以计日工方式支付的金额。</w:t>
      </w:r>
    </w:p>
    <w:p w14:paraId="502046B8">
      <w:pPr>
        <w:spacing w:after="160" w:line="278" w:lineRule="auto"/>
        <w:rPr>
          <w:sz w:val="22"/>
          <w:szCs w:val="28"/>
          <w:highlight w:val="none"/>
        </w:rPr>
      </w:pPr>
      <w:r>
        <w:rPr>
          <w:sz w:val="22"/>
          <w:szCs w:val="28"/>
          <w:highlight w:val="none"/>
        </w:rPr>
        <w:t>1.1.5.5暂估价：指发包人在工程量清单中给定的用于支付必然发生但暂时不能确定价格的材料、设备以及专业工程的金额。</w:t>
      </w:r>
    </w:p>
    <w:p w14:paraId="74363C4B">
      <w:pPr>
        <w:spacing w:after="160" w:line="278" w:lineRule="auto"/>
        <w:rPr>
          <w:sz w:val="22"/>
          <w:szCs w:val="28"/>
          <w:highlight w:val="none"/>
        </w:rPr>
      </w:pPr>
      <w:r>
        <w:rPr>
          <w:sz w:val="22"/>
          <w:szCs w:val="28"/>
          <w:highlight w:val="none"/>
        </w:rPr>
        <w:t>1.1.5.6 计日工：指对零星工作采取的一种计价方式，按合同中的计日工子目及其单价计价付款。</w:t>
      </w:r>
    </w:p>
    <w:p w14:paraId="6927E95A">
      <w:pPr>
        <w:spacing w:after="160" w:line="278" w:lineRule="auto"/>
        <w:rPr>
          <w:sz w:val="22"/>
          <w:szCs w:val="28"/>
          <w:highlight w:val="none"/>
        </w:rPr>
      </w:pPr>
      <w:r>
        <w:rPr>
          <w:sz w:val="22"/>
          <w:szCs w:val="28"/>
          <w:highlight w:val="none"/>
        </w:rPr>
        <w:t>1.1.5.7 质量保证金（或称保留金）：指按第17.4.1项约定用于保证在缺陷责任期内履行缺陷修复义务的金额。</w:t>
      </w:r>
    </w:p>
    <w:p w14:paraId="075A23D2">
      <w:pPr>
        <w:spacing w:after="160" w:line="278" w:lineRule="auto"/>
        <w:rPr>
          <w:sz w:val="22"/>
          <w:szCs w:val="28"/>
          <w:highlight w:val="none"/>
        </w:rPr>
      </w:pPr>
      <w:r>
        <w:rPr>
          <w:sz w:val="22"/>
          <w:szCs w:val="28"/>
          <w:highlight w:val="none"/>
        </w:rPr>
        <w:t xml:space="preserve">1.1.6 </w:t>
      </w:r>
      <w:r>
        <w:rPr>
          <w:rFonts w:hint="eastAsia"/>
          <w:sz w:val="22"/>
          <w:szCs w:val="28"/>
          <w:highlight w:val="none"/>
        </w:rPr>
        <w:t>其他</w:t>
      </w:r>
    </w:p>
    <w:p w14:paraId="5C987F2C">
      <w:pPr>
        <w:spacing w:after="160" w:line="278" w:lineRule="auto"/>
        <w:rPr>
          <w:sz w:val="22"/>
          <w:szCs w:val="28"/>
          <w:highlight w:val="none"/>
        </w:rPr>
      </w:pPr>
      <w:r>
        <w:rPr>
          <w:sz w:val="22"/>
          <w:szCs w:val="28"/>
          <w:highlight w:val="none"/>
        </w:rPr>
        <w:t>1.1.6.1 书面形式：指合同文件、信函、电报、传真等可以有形地表现所载内容的形式。</w:t>
      </w:r>
    </w:p>
    <w:p w14:paraId="25755912">
      <w:pPr>
        <w:spacing w:after="160" w:line="278" w:lineRule="auto"/>
        <w:rPr>
          <w:sz w:val="22"/>
          <w:szCs w:val="28"/>
          <w:highlight w:val="none"/>
        </w:rPr>
      </w:pPr>
      <w:bookmarkStart w:id="810" w:name="_Toc132618600"/>
      <w:bookmarkStart w:id="811" w:name="_Toc144974581"/>
      <w:bookmarkStart w:id="812" w:name="_Toc129798242"/>
      <w:bookmarkStart w:id="813" w:name="_Toc152045613"/>
      <w:bookmarkStart w:id="814" w:name="_Toc132618991"/>
      <w:bookmarkStart w:id="815" w:name="_Toc179632631"/>
      <w:bookmarkStart w:id="816" w:name="_Toc152042391"/>
      <w:bookmarkStart w:id="817" w:name="_Toc338944706"/>
      <w:bookmarkStart w:id="818" w:name="_Toc342296264"/>
      <w:bookmarkStart w:id="819" w:name="_Toc142385529"/>
      <w:bookmarkStart w:id="820" w:name="_Toc109914307"/>
      <w:r>
        <w:rPr>
          <w:sz w:val="22"/>
          <w:szCs w:val="28"/>
          <w:highlight w:val="none"/>
        </w:rPr>
        <w:t>1.2 语言文字</w:t>
      </w:r>
      <w:bookmarkEnd w:id="810"/>
      <w:bookmarkEnd w:id="811"/>
      <w:bookmarkEnd w:id="812"/>
      <w:bookmarkEnd w:id="813"/>
      <w:bookmarkEnd w:id="814"/>
      <w:bookmarkEnd w:id="815"/>
      <w:bookmarkEnd w:id="816"/>
      <w:bookmarkEnd w:id="817"/>
      <w:bookmarkEnd w:id="818"/>
      <w:bookmarkEnd w:id="819"/>
      <w:bookmarkEnd w:id="820"/>
    </w:p>
    <w:p w14:paraId="024ABFC6">
      <w:pPr>
        <w:spacing w:after="160" w:line="278" w:lineRule="auto"/>
        <w:rPr>
          <w:sz w:val="22"/>
          <w:szCs w:val="28"/>
          <w:highlight w:val="none"/>
        </w:rPr>
      </w:pPr>
      <w:r>
        <w:rPr>
          <w:sz w:val="22"/>
          <w:szCs w:val="28"/>
          <w:highlight w:val="none"/>
        </w:rPr>
        <w:t>除专用术语外，合同使用的语言文字为中文。必要时专用术语应附有中文注释。</w:t>
      </w:r>
    </w:p>
    <w:p w14:paraId="735F50D7">
      <w:pPr>
        <w:spacing w:after="160" w:line="278" w:lineRule="auto"/>
        <w:rPr>
          <w:sz w:val="22"/>
          <w:szCs w:val="28"/>
          <w:highlight w:val="none"/>
        </w:rPr>
      </w:pPr>
      <w:bookmarkStart w:id="821" w:name="_Toc109914308"/>
      <w:bookmarkStart w:id="822" w:name="_Toc342296265"/>
      <w:bookmarkStart w:id="823" w:name="_Toc142385530"/>
      <w:bookmarkStart w:id="824" w:name="_Toc179632632"/>
      <w:bookmarkStart w:id="825" w:name="_Toc132618992"/>
      <w:bookmarkStart w:id="826" w:name="_Toc152045614"/>
      <w:bookmarkStart w:id="827" w:name="_Toc152042392"/>
      <w:bookmarkStart w:id="828" w:name="_Toc129798243"/>
      <w:bookmarkStart w:id="829" w:name="_Toc132618601"/>
      <w:bookmarkStart w:id="830" w:name="_Toc144974582"/>
      <w:bookmarkStart w:id="831" w:name="_Toc338944707"/>
      <w:r>
        <w:rPr>
          <w:sz w:val="22"/>
          <w:szCs w:val="28"/>
          <w:highlight w:val="none"/>
        </w:rPr>
        <w:t>1.3 法律</w:t>
      </w:r>
      <w:bookmarkEnd w:id="821"/>
      <w:bookmarkEnd w:id="822"/>
      <w:bookmarkEnd w:id="823"/>
      <w:bookmarkEnd w:id="824"/>
      <w:bookmarkEnd w:id="825"/>
      <w:bookmarkEnd w:id="826"/>
      <w:bookmarkEnd w:id="827"/>
      <w:bookmarkEnd w:id="828"/>
      <w:bookmarkEnd w:id="829"/>
      <w:bookmarkEnd w:id="830"/>
      <w:bookmarkEnd w:id="831"/>
    </w:p>
    <w:p w14:paraId="42184686">
      <w:pPr>
        <w:spacing w:after="160" w:line="278" w:lineRule="auto"/>
        <w:rPr>
          <w:sz w:val="22"/>
          <w:szCs w:val="28"/>
          <w:highlight w:val="none"/>
        </w:rPr>
      </w:pPr>
      <w:r>
        <w:rPr>
          <w:sz w:val="22"/>
          <w:szCs w:val="28"/>
          <w:highlight w:val="none"/>
        </w:rPr>
        <w:t>适用于合同的法律包括中华人民共和国法律、行政法规、部门规章，以及工程所在地的地方法规、自治条例、单行条例和地方政府规章。</w:t>
      </w:r>
    </w:p>
    <w:p w14:paraId="0D8995C7">
      <w:pPr>
        <w:spacing w:after="160" w:line="278" w:lineRule="auto"/>
        <w:rPr>
          <w:sz w:val="22"/>
          <w:szCs w:val="28"/>
          <w:highlight w:val="none"/>
        </w:rPr>
      </w:pPr>
      <w:bookmarkStart w:id="832" w:name="_Toc338944708"/>
      <w:bookmarkStart w:id="833" w:name="_Toc342296266"/>
      <w:bookmarkStart w:id="834" w:name="_Toc129798244"/>
      <w:bookmarkStart w:id="835" w:name="_Toc132618993"/>
      <w:bookmarkStart w:id="836" w:name="_Toc132618602"/>
      <w:bookmarkStart w:id="837" w:name="_Toc142385531"/>
      <w:bookmarkStart w:id="838" w:name="_Toc109914309"/>
      <w:r>
        <w:rPr>
          <w:sz w:val="22"/>
          <w:szCs w:val="28"/>
          <w:highlight w:val="none"/>
        </w:rPr>
        <w:t>1.4 合同文件的优先顺序</w:t>
      </w:r>
      <w:bookmarkEnd w:id="832"/>
      <w:bookmarkEnd w:id="833"/>
      <w:bookmarkEnd w:id="834"/>
      <w:bookmarkEnd w:id="835"/>
      <w:bookmarkEnd w:id="836"/>
      <w:bookmarkEnd w:id="837"/>
      <w:bookmarkEnd w:id="838"/>
    </w:p>
    <w:p w14:paraId="70D657CC">
      <w:pPr>
        <w:spacing w:after="160" w:line="278" w:lineRule="auto"/>
        <w:rPr>
          <w:sz w:val="22"/>
          <w:szCs w:val="28"/>
          <w:highlight w:val="none"/>
        </w:rPr>
      </w:pPr>
      <w:r>
        <w:rPr>
          <w:sz w:val="22"/>
          <w:szCs w:val="28"/>
          <w:highlight w:val="none"/>
        </w:rPr>
        <w:t>组成合同的各项文件应互相解释，互为说明。除专用合同条款另有约定外，解释合同文件的优先顺序如下：</w:t>
      </w:r>
    </w:p>
    <w:p w14:paraId="1243AC02">
      <w:pPr>
        <w:spacing w:after="160" w:line="278" w:lineRule="auto"/>
        <w:rPr>
          <w:sz w:val="22"/>
          <w:szCs w:val="28"/>
          <w:highlight w:val="none"/>
        </w:rPr>
      </w:pPr>
      <w:r>
        <w:rPr>
          <w:sz w:val="22"/>
          <w:szCs w:val="28"/>
          <w:highlight w:val="none"/>
        </w:rPr>
        <w:t>（1）合同协议书；</w:t>
      </w:r>
    </w:p>
    <w:p w14:paraId="1972A27E">
      <w:pPr>
        <w:spacing w:after="160" w:line="278" w:lineRule="auto"/>
        <w:rPr>
          <w:sz w:val="22"/>
          <w:szCs w:val="28"/>
          <w:highlight w:val="none"/>
        </w:rPr>
      </w:pPr>
      <w:r>
        <w:rPr>
          <w:sz w:val="22"/>
          <w:szCs w:val="28"/>
          <w:highlight w:val="none"/>
        </w:rPr>
        <w:t>（2）中标通知书；</w:t>
      </w:r>
    </w:p>
    <w:p w14:paraId="67B11CAC">
      <w:pPr>
        <w:spacing w:after="160" w:line="278" w:lineRule="auto"/>
        <w:rPr>
          <w:sz w:val="22"/>
          <w:szCs w:val="28"/>
          <w:highlight w:val="none"/>
        </w:rPr>
      </w:pPr>
      <w:r>
        <w:rPr>
          <w:sz w:val="22"/>
          <w:szCs w:val="28"/>
          <w:highlight w:val="none"/>
        </w:rPr>
        <w:t>（3）投标函及投标函附录；</w:t>
      </w:r>
    </w:p>
    <w:p w14:paraId="7387C48A">
      <w:pPr>
        <w:spacing w:after="160" w:line="278" w:lineRule="auto"/>
        <w:rPr>
          <w:sz w:val="22"/>
          <w:szCs w:val="28"/>
          <w:highlight w:val="none"/>
        </w:rPr>
      </w:pPr>
      <w:r>
        <w:rPr>
          <w:sz w:val="22"/>
          <w:szCs w:val="28"/>
          <w:highlight w:val="none"/>
        </w:rPr>
        <w:t>（4）专用合同条款；</w:t>
      </w:r>
    </w:p>
    <w:p w14:paraId="2739E2D0">
      <w:pPr>
        <w:spacing w:after="160" w:line="278" w:lineRule="auto"/>
        <w:rPr>
          <w:sz w:val="22"/>
          <w:szCs w:val="28"/>
          <w:highlight w:val="none"/>
        </w:rPr>
      </w:pPr>
      <w:r>
        <w:rPr>
          <w:sz w:val="22"/>
          <w:szCs w:val="28"/>
          <w:highlight w:val="none"/>
        </w:rPr>
        <w:t>（5）通用合同条款；</w:t>
      </w:r>
    </w:p>
    <w:p w14:paraId="2E6F37EA">
      <w:pPr>
        <w:spacing w:after="160" w:line="278" w:lineRule="auto"/>
        <w:rPr>
          <w:sz w:val="22"/>
          <w:szCs w:val="28"/>
          <w:highlight w:val="none"/>
        </w:rPr>
      </w:pPr>
      <w:r>
        <w:rPr>
          <w:sz w:val="22"/>
          <w:szCs w:val="28"/>
          <w:highlight w:val="none"/>
        </w:rPr>
        <w:t>（6）技术标准和要求；</w:t>
      </w:r>
    </w:p>
    <w:p w14:paraId="5FE91671">
      <w:pPr>
        <w:spacing w:after="160" w:line="278" w:lineRule="auto"/>
        <w:rPr>
          <w:sz w:val="22"/>
          <w:szCs w:val="28"/>
          <w:highlight w:val="none"/>
        </w:rPr>
      </w:pPr>
      <w:r>
        <w:rPr>
          <w:sz w:val="22"/>
          <w:szCs w:val="28"/>
          <w:highlight w:val="none"/>
        </w:rPr>
        <w:t>（7）图纸；</w:t>
      </w:r>
    </w:p>
    <w:p w14:paraId="69352A7B">
      <w:pPr>
        <w:spacing w:after="160" w:line="278" w:lineRule="auto"/>
        <w:rPr>
          <w:sz w:val="22"/>
          <w:szCs w:val="28"/>
          <w:highlight w:val="none"/>
        </w:rPr>
      </w:pPr>
      <w:r>
        <w:rPr>
          <w:sz w:val="22"/>
          <w:szCs w:val="28"/>
          <w:highlight w:val="none"/>
        </w:rPr>
        <w:t>（8）已标价工程量清单；</w:t>
      </w:r>
    </w:p>
    <w:p w14:paraId="0D1E45E1">
      <w:pPr>
        <w:spacing w:after="160" w:line="278" w:lineRule="auto"/>
        <w:rPr>
          <w:sz w:val="22"/>
          <w:szCs w:val="28"/>
          <w:highlight w:val="none"/>
        </w:rPr>
      </w:pPr>
      <w:r>
        <w:rPr>
          <w:sz w:val="22"/>
          <w:szCs w:val="28"/>
          <w:highlight w:val="none"/>
        </w:rPr>
        <w:t>（9）其他合同文件。</w:t>
      </w:r>
    </w:p>
    <w:p w14:paraId="016E7551">
      <w:pPr>
        <w:spacing w:after="160" w:line="278" w:lineRule="auto"/>
        <w:rPr>
          <w:sz w:val="22"/>
          <w:szCs w:val="28"/>
          <w:highlight w:val="none"/>
        </w:rPr>
      </w:pPr>
      <w:bookmarkStart w:id="839" w:name="_Toc338944709"/>
      <w:bookmarkStart w:id="840" w:name="_Toc109914310"/>
      <w:bookmarkStart w:id="841" w:name="_Toc142385532"/>
      <w:bookmarkStart w:id="842" w:name="_Toc129798245"/>
      <w:bookmarkStart w:id="843" w:name="_Toc342296267"/>
      <w:bookmarkStart w:id="844" w:name="_Toc132618603"/>
      <w:bookmarkStart w:id="845" w:name="_Toc132618994"/>
      <w:r>
        <w:rPr>
          <w:sz w:val="22"/>
          <w:szCs w:val="28"/>
          <w:highlight w:val="none"/>
        </w:rPr>
        <w:t>1.5 合同协议书</w:t>
      </w:r>
      <w:bookmarkEnd w:id="839"/>
      <w:bookmarkEnd w:id="840"/>
      <w:bookmarkEnd w:id="841"/>
      <w:bookmarkEnd w:id="842"/>
      <w:bookmarkEnd w:id="843"/>
      <w:bookmarkEnd w:id="844"/>
      <w:bookmarkEnd w:id="845"/>
    </w:p>
    <w:p w14:paraId="1E43A34C">
      <w:pPr>
        <w:spacing w:after="160" w:line="278" w:lineRule="auto"/>
        <w:rPr>
          <w:sz w:val="22"/>
          <w:szCs w:val="28"/>
          <w:highlight w:val="none"/>
        </w:rPr>
      </w:pPr>
      <w:r>
        <w:rPr>
          <w:sz w:val="22"/>
          <w:szCs w:val="28"/>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112D4531">
      <w:pPr>
        <w:spacing w:after="160" w:line="278" w:lineRule="auto"/>
        <w:rPr>
          <w:sz w:val="22"/>
          <w:szCs w:val="28"/>
          <w:highlight w:val="none"/>
        </w:rPr>
      </w:pPr>
      <w:bookmarkStart w:id="846" w:name="_Toc129798246"/>
      <w:bookmarkStart w:id="847" w:name="_Toc109914311"/>
      <w:bookmarkStart w:id="848" w:name="_Toc338944710"/>
      <w:bookmarkStart w:id="849" w:name="_Toc132618604"/>
      <w:bookmarkStart w:id="850" w:name="_Toc142385533"/>
      <w:bookmarkStart w:id="851" w:name="_Toc342296268"/>
      <w:bookmarkStart w:id="852" w:name="_Toc132618995"/>
      <w:r>
        <w:rPr>
          <w:sz w:val="22"/>
          <w:szCs w:val="28"/>
          <w:highlight w:val="none"/>
        </w:rPr>
        <w:t>1.6 图纸和承包人文件</w:t>
      </w:r>
      <w:bookmarkEnd w:id="846"/>
      <w:bookmarkEnd w:id="847"/>
      <w:bookmarkEnd w:id="848"/>
      <w:bookmarkEnd w:id="849"/>
      <w:bookmarkEnd w:id="850"/>
      <w:bookmarkEnd w:id="851"/>
      <w:bookmarkEnd w:id="852"/>
    </w:p>
    <w:p w14:paraId="071AF804">
      <w:pPr>
        <w:spacing w:after="160" w:line="278" w:lineRule="auto"/>
        <w:rPr>
          <w:sz w:val="22"/>
          <w:szCs w:val="28"/>
          <w:highlight w:val="none"/>
        </w:rPr>
      </w:pPr>
      <w:r>
        <w:rPr>
          <w:sz w:val="22"/>
          <w:szCs w:val="28"/>
          <w:highlight w:val="none"/>
        </w:rPr>
        <w:t>1.6.1</w:t>
      </w:r>
      <w:r>
        <w:rPr>
          <w:rFonts w:hint="eastAsia"/>
          <w:sz w:val="22"/>
          <w:szCs w:val="28"/>
          <w:highlight w:val="none"/>
        </w:rPr>
        <w:t>图纸的提供和交底</w:t>
      </w:r>
    </w:p>
    <w:p w14:paraId="130C1ADB">
      <w:pPr>
        <w:spacing w:after="160" w:line="278" w:lineRule="auto"/>
        <w:rPr>
          <w:sz w:val="22"/>
          <w:szCs w:val="28"/>
          <w:highlight w:val="none"/>
        </w:rPr>
      </w:pPr>
      <w:r>
        <w:rPr>
          <w:rFonts w:hint="eastAsia"/>
          <w:sz w:val="22"/>
          <w:szCs w:val="28"/>
          <w:highlight w:val="none"/>
        </w:rPr>
        <w:t>发包人应按照专用合同条款约定的期限、数量和内容向承包人免费提供图纸，并组织承包人、监理人和设计人进行图纸会审和设计交底。</w:t>
      </w:r>
      <w:r>
        <w:rPr>
          <w:sz w:val="22"/>
          <w:szCs w:val="28"/>
          <w:highlight w:val="none"/>
        </w:rPr>
        <w:t xml:space="preserve">。由于发包人未按时提供图纸造成工期延误的，按第11.3款的约定办理。1.6.2 </w:t>
      </w:r>
      <w:r>
        <w:rPr>
          <w:rFonts w:hint="eastAsia"/>
          <w:sz w:val="22"/>
          <w:szCs w:val="28"/>
          <w:highlight w:val="none"/>
        </w:rPr>
        <w:t>承包人提供的文件</w:t>
      </w:r>
    </w:p>
    <w:p w14:paraId="3940B96E">
      <w:pPr>
        <w:spacing w:after="160" w:line="278" w:lineRule="auto"/>
        <w:rPr>
          <w:sz w:val="22"/>
          <w:szCs w:val="28"/>
          <w:highlight w:val="none"/>
        </w:rPr>
      </w:pPr>
      <w:r>
        <w:rPr>
          <w:sz w:val="22"/>
          <w:szCs w:val="28"/>
          <w:highlight w:val="none"/>
        </w:rPr>
        <w:t>　　</w:t>
      </w:r>
      <w:r>
        <w:rPr>
          <w:rFonts w:hint="eastAsia"/>
          <w:sz w:val="22"/>
          <w:szCs w:val="28"/>
          <w:highlight w:val="none"/>
        </w:rPr>
        <w:t>承包人应按照专用合同条款的约定提供应当由其编制的与工程施工有关的文件，其中应</w:t>
      </w:r>
      <w:r>
        <w:rPr>
          <w:sz w:val="22"/>
          <w:szCs w:val="28"/>
          <w:highlight w:val="none"/>
        </w:rPr>
        <w:t>包括部分工程的大样图、加工图等</w:t>
      </w:r>
      <w:r>
        <w:rPr>
          <w:rFonts w:hint="eastAsia"/>
          <w:sz w:val="22"/>
          <w:szCs w:val="28"/>
          <w:highlight w:val="none"/>
        </w:rPr>
        <w:t>。同时按照专用合同条款约定的期限、数量和形式提交监理人，由监理人报送发包人。除专用合同条款另有约定外，监理人应在收到承包人文件后</w:t>
      </w:r>
      <w:r>
        <w:rPr>
          <w:sz w:val="22"/>
          <w:szCs w:val="28"/>
          <w:highlight w:val="none"/>
        </w:rPr>
        <w:t>7天内审查完毕，监理人对承包人文件有异议的，承包人应予以修改，并重新报送监理人</w:t>
      </w:r>
      <w:r>
        <w:rPr>
          <w:rFonts w:hint="eastAsia"/>
          <w:sz w:val="22"/>
          <w:szCs w:val="28"/>
          <w:highlight w:val="none"/>
        </w:rPr>
        <w:t>。</w:t>
      </w:r>
    </w:p>
    <w:p w14:paraId="0A622FE4">
      <w:pPr>
        <w:spacing w:after="160" w:line="278" w:lineRule="auto"/>
        <w:rPr>
          <w:sz w:val="22"/>
          <w:szCs w:val="28"/>
          <w:highlight w:val="none"/>
        </w:rPr>
      </w:pPr>
      <w:r>
        <w:rPr>
          <w:sz w:val="22"/>
          <w:szCs w:val="28"/>
          <w:highlight w:val="none"/>
        </w:rPr>
        <w:t xml:space="preserve">1.6.3 </w:t>
      </w:r>
      <w:r>
        <w:rPr>
          <w:rFonts w:hint="eastAsia"/>
          <w:sz w:val="22"/>
          <w:szCs w:val="28"/>
          <w:highlight w:val="none"/>
        </w:rPr>
        <w:t>图纸的修改</w:t>
      </w:r>
    </w:p>
    <w:p w14:paraId="0373EA25">
      <w:pPr>
        <w:spacing w:after="160" w:line="278" w:lineRule="auto"/>
        <w:rPr>
          <w:sz w:val="22"/>
          <w:szCs w:val="28"/>
          <w:highlight w:val="none"/>
        </w:rPr>
      </w:pPr>
      <w:r>
        <w:rPr>
          <w:sz w:val="22"/>
          <w:szCs w:val="28"/>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E6324C7">
      <w:pPr>
        <w:spacing w:after="160" w:line="278" w:lineRule="auto"/>
        <w:rPr>
          <w:sz w:val="22"/>
          <w:szCs w:val="28"/>
          <w:highlight w:val="none"/>
        </w:rPr>
      </w:pPr>
      <w:r>
        <w:rPr>
          <w:sz w:val="22"/>
          <w:szCs w:val="28"/>
          <w:highlight w:val="none"/>
        </w:rPr>
        <w:t xml:space="preserve">1.6.4 </w:t>
      </w:r>
      <w:r>
        <w:rPr>
          <w:rFonts w:hint="eastAsia"/>
          <w:sz w:val="22"/>
          <w:szCs w:val="28"/>
          <w:highlight w:val="none"/>
        </w:rPr>
        <w:t>图纸的错误</w:t>
      </w:r>
    </w:p>
    <w:p w14:paraId="06E08AE7">
      <w:pPr>
        <w:spacing w:after="160" w:line="278" w:lineRule="auto"/>
        <w:rPr>
          <w:sz w:val="22"/>
          <w:szCs w:val="28"/>
          <w:highlight w:val="none"/>
        </w:rPr>
      </w:pPr>
      <w:r>
        <w:rPr>
          <w:rFonts w:hint="eastAsia"/>
          <w:sz w:val="22"/>
          <w:szCs w:val="28"/>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r>
        <w:rPr>
          <w:sz w:val="22"/>
          <w:szCs w:val="28"/>
          <w:highlight w:val="none"/>
        </w:rPr>
        <w:t xml:space="preserve">1.6.5 </w:t>
      </w:r>
      <w:r>
        <w:rPr>
          <w:rFonts w:hint="eastAsia"/>
          <w:sz w:val="22"/>
          <w:szCs w:val="28"/>
          <w:highlight w:val="none"/>
        </w:rPr>
        <w:t>图纸和承包人文件的保管</w:t>
      </w:r>
    </w:p>
    <w:p w14:paraId="178A9FE8">
      <w:pPr>
        <w:spacing w:after="160" w:line="278" w:lineRule="auto"/>
        <w:rPr>
          <w:sz w:val="22"/>
          <w:szCs w:val="28"/>
          <w:highlight w:val="none"/>
        </w:rPr>
      </w:pPr>
      <w:r>
        <w:rPr>
          <w:sz w:val="22"/>
          <w:szCs w:val="28"/>
          <w:highlight w:val="none"/>
        </w:rPr>
        <w:t>监理人和承包人均应在施工场地各保存一套完整的包含第1.6.1项、第1.6.2项、第1.6.3项约定内容的图纸和承包人文件</w:t>
      </w:r>
      <w:r>
        <w:rPr>
          <w:rFonts w:hint="eastAsia"/>
          <w:sz w:val="22"/>
          <w:szCs w:val="28"/>
          <w:highlight w:val="none"/>
        </w:rPr>
        <w:t>，，供发包人、监理人及有关人员进行工程检查时使用。</w:t>
      </w:r>
    </w:p>
    <w:p w14:paraId="0C7B94C6">
      <w:pPr>
        <w:spacing w:after="160" w:line="278" w:lineRule="auto"/>
        <w:rPr>
          <w:sz w:val="22"/>
          <w:szCs w:val="28"/>
          <w:highlight w:val="none"/>
        </w:rPr>
      </w:pPr>
      <w:bookmarkStart w:id="853" w:name="_Toc109914312"/>
      <w:bookmarkStart w:id="854" w:name="_Toc129798247"/>
      <w:bookmarkStart w:id="855" w:name="_Toc342296269"/>
      <w:bookmarkStart w:id="856" w:name="_Toc142385534"/>
      <w:bookmarkStart w:id="857" w:name="_Toc338944711"/>
      <w:bookmarkStart w:id="858" w:name="_Toc132618605"/>
      <w:bookmarkStart w:id="859" w:name="_Toc132618996"/>
      <w:r>
        <w:rPr>
          <w:sz w:val="22"/>
          <w:szCs w:val="28"/>
          <w:highlight w:val="none"/>
        </w:rPr>
        <w:t>1.7 联络</w:t>
      </w:r>
      <w:bookmarkEnd w:id="853"/>
      <w:bookmarkEnd w:id="854"/>
      <w:bookmarkEnd w:id="855"/>
      <w:bookmarkEnd w:id="856"/>
      <w:bookmarkEnd w:id="857"/>
      <w:bookmarkEnd w:id="858"/>
      <w:bookmarkEnd w:id="859"/>
    </w:p>
    <w:p w14:paraId="102B3089">
      <w:pPr>
        <w:spacing w:after="160" w:line="278" w:lineRule="auto"/>
        <w:rPr>
          <w:sz w:val="22"/>
          <w:szCs w:val="28"/>
          <w:highlight w:val="none"/>
        </w:rPr>
      </w:pPr>
      <w:r>
        <w:rPr>
          <w:sz w:val="22"/>
          <w:szCs w:val="28"/>
          <w:highlight w:val="none"/>
        </w:rPr>
        <w:t>1.7.1 与合同有关的通知、批准、证明、证书、指示、要求、请求、同意、意见、确定和决定等，均应采用书面形式。</w:t>
      </w:r>
    </w:p>
    <w:p w14:paraId="5262ED74">
      <w:pPr>
        <w:spacing w:after="160" w:line="278" w:lineRule="auto"/>
        <w:rPr>
          <w:sz w:val="22"/>
          <w:szCs w:val="28"/>
          <w:highlight w:val="none"/>
        </w:rPr>
      </w:pPr>
      <w:r>
        <w:rPr>
          <w:sz w:val="22"/>
          <w:szCs w:val="28"/>
          <w:highlight w:val="none"/>
        </w:rPr>
        <w:t>1.7.2 第1.7.1项中的通知、批准、证明、证书、指示、要求、请求、同意、意见、确定和决定等来往函件，均应在合同约定的期限内送达指定地点和接收人，并办理签收手续。</w:t>
      </w:r>
    </w:p>
    <w:p w14:paraId="6994C286">
      <w:pPr>
        <w:spacing w:after="160" w:line="278" w:lineRule="auto"/>
        <w:rPr>
          <w:sz w:val="22"/>
          <w:szCs w:val="28"/>
          <w:highlight w:val="none"/>
        </w:rPr>
      </w:pPr>
      <w:bookmarkStart w:id="860" w:name="_Toc109914313"/>
      <w:bookmarkStart w:id="861" w:name="_Toc142385535"/>
      <w:bookmarkStart w:id="862" w:name="_Toc132618606"/>
      <w:bookmarkStart w:id="863" w:name="_Toc132618997"/>
      <w:bookmarkStart w:id="864" w:name="_Toc342296270"/>
      <w:bookmarkStart w:id="865" w:name="_Toc179632637"/>
      <w:bookmarkStart w:id="866" w:name="_Toc152045619"/>
      <w:bookmarkStart w:id="867" w:name="_Toc338944712"/>
      <w:bookmarkStart w:id="868" w:name="_Toc144974587"/>
      <w:bookmarkStart w:id="869" w:name="_Toc152042397"/>
      <w:bookmarkStart w:id="870" w:name="_Toc129798248"/>
      <w:r>
        <w:rPr>
          <w:sz w:val="22"/>
          <w:szCs w:val="28"/>
          <w:highlight w:val="none"/>
        </w:rPr>
        <w:t>1.8 转让</w:t>
      </w:r>
      <w:bookmarkEnd w:id="860"/>
      <w:bookmarkEnd w:id="861"/>
      <w:bookmarkEnd w:id="862"/>
      <w:bookmarkEnd w:id="863"/>
      <w:bookmarkEnd w:id="864"/>
      <w:bookmarkEnd w:id="865"/>
      <w:bookmarkEnd w:id="866"/>
      <w:bookmarkEnd w:id="867"/>
      <w:bookmarkEnd w:id="868"/>
      <w:bookmarkEnd w:id="869"/>
      <w:bookmarkEnd w:id="870"/>
    </w:p>
    <w:p w14:paraId="14D60463">
      <w:pPr>
        <w:spacing w:after="160" w:line="278" w:lineRule="auto"/>
        <w:rPr>
          <w:sz w:val="22"/>
          <w:szCs w:val="28"/>
          <w:highlight w:val="none"/>
        </w:rPr>
      </w:pPr>
      <w:r>
        <w:rPr>
          <w:sz w:val="22"/>
          <w:szCs w:val="28"/>
          <w:highlight w:val="none"/>
        </w:rPr>
        <w:t>除合同另有约定外，未经对方当事人同意，一方当事人不得将合同权利全部或部分转让给第三人，也不得全部或部分转移合同义务。</w:t>
      </w:r>
    </w:p>
    <w:p w14:paraId="411406C4">
      <w:pPr>
        <w:spacing w:after="160" w:line="278" w:lineRule="auto"/>
        <w:rPr>
          <w:sz w:val="22"/>
          <w:szCs w:val="28"/>
          <w:highlight w:val="none"/>
        </w:rPr>
      </w:pPr>
      <w:bookmarkStart w:id="871" w:name="_Toc342296271"/>
      <w:bookmarkStart w:id="872" w:name="_Toc132618607"/>
      <w:bookmarkStart w:id="873" w:name="_Toc109914314"/>
      <w:bookmarkStart w:id="874" w:name="_Toc152045620"/>
      <w:bookmarkStart w:id="875" w:name="_Toc132618998"/>
      <w:bookmarkStart w:id="876" w:name="_Toc152042398"/>
      <w:bookmarkStart w:id="877" w:name="_Toc142385536"/>
      <w:bookmarkStart w:id="878" w:name="_Toc129798249"/>
      <w:bookmarkStart w:id="879" w:name="_Toc144974588"/>
      <w:bookmarkStart w:id="880" w:name="_Toc338944713"/>
      <w:bookmarkStart w:id="881" w:name="_Toc179632638"/>
      <w:r>
        <w:rPr>
          <w:sz w:val="22"/>
          <w:szCs w:val="28"/>
          <w:highlight w:val="none"/>
        </w:rPr>
        <w:t>1.9 严禁贿赂</w:t>
      </w:r>
      <w:bookmarkEnd w:id="871"/>
      <w:bookmarkEnd w:id="872"/>
      <w:bookmarkEnd w:id="873"/>
      <w:bookmarkEnd w:id="874"/>
      <w:bookmarkEnd w:id="875"/>
      <w:bookmarkEnd w:id="876"/>
      <w:bookmarkEnd w:id="877"/>
      <w:bookmarkEnd w:id="878"/>
      <w:bookmarkEnd w:id="879"/>
      <w:bookmarkEnd w:id="880"/>
      <w:bookmarkEnd w:id="881"/>
    </w:p>
    <w:p w14:paraId="3636987D">
      <w:pPr>
        <w:spacing w:after="160" w:line="278" w:lineRule="auto"/>
        <w:rPr>
          <w:sz w:val="22"/>
          <w:szCs w:val="28"/>
          <w:highlight w:val="none"/>
        </w:rPr>
      </w:pPr>
      <w:r>
        <w:rPr>
          <w:sz w:val="22"/>
          <w:szCs w:val="28"/>
          <w:highlight w:val="none"/>
        </w:rPr>
        <w:t>合同双方当事人不得以贿赂或变相贿赂的方式，谋取不当利益或损害对方权益。因贿赂造成对方损失的，行为人应赔偿损失，并承担相应的法律责任。</w:t>
      </w:r>
    </w:p>
    <w:p w14:paraId="4D3E35B6">
      <w:pPr>
        <w:spacing w:after="160" w:line="278" w:lineRule="auto"/>
        <w:rPr>
          <w:sz w:val="22"/>
          <w:szCs w:val="28"/>
          <w:highlight w:val="none"/>
        </w:rPr>
      </w:pPr>
      <w:r>
        <w:rPr>
          <w:rFonts w:hint="eastAsia"/>
          <w:sz w:val="22"/>
          <w:szCs w:val="28"/>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5B4E34E">
      <w:pPr>
        <w:spacing w:after="160" w:line="278" w:lineRule="auto"/>
        <w:rPr>
          <w:sz w:val="22"/>
          <w:szCs w:val="28"/>
          <w:highlight w:val="none"/>
        </w:rPr>
      </w:pPr>
      <w:bookmarkStart w:id="882" w:name="_Toc132618608"/>
      <w:bookmarkStart w:id="883" w:name="_Toc129798250"/>
      <w:bookmarkStart w:id="884" w:name="_Toc342296272"/>
      <w:bookmarkStart w:id="885" w:name="_Toc338944714"/>
      <w:bookmarkStart w:id="886" w:name="_Toc179632639"/>
      <w:bookmarkStart w:id="887" w:name="_Toc109914315"/>
      <w:bookmarkStart w:id="888" w:name="_Toc152045621"/>
      <w:bookmarkStart w:id="889" w:name="_Toc132618999"/>
      <w:bookmarkStart w:id="890" w:name="_Toc152042399"/>
      <w:bookmarkStart w:id="891" w:name="_Toc142385537"/>
      <w:bookmarkStart w:id="892" w:name="_Toc144974589"/>
      <w:r>
        <w:rPr>
          <w:sz w:val="22"/>
          <w:szCs w:val="28"/>
          <w:highlight w:val="none"/>
        </w:rPr>
        <w:t>1.10 化石、文物</w:t>
      </w:r>
      <w:bookmarkEnd w:id="882"/>
      <w:bookmarkEnd w:id="883"/>
      <w:bookmarkEnd w:id="884"/>
      <w:bookmarkEnd w:id="885"/>
      <w:bookmarkEnd w:id="886"/>
      <w:bookmarkEnd w:id="887"/>
      <w:bookmarkEnd w:id="888"/>
      <w:bookmarkEnd w:id="889"/>
      <w:bookmarkEnd w:id="890"/>
      <w:bookmarkEnd w:id="891"/>
      <w:bookmarkEnd w:id="892"/>
    </w:p>
    <w:p w14:paraId="35D8F75F">
      <w:pPr>
        <w:spacing w:after="160" w:line="278" w:lineRule="auto"/>
        <w:rPr>
          <w:sz w:val="22"/>
          <w:szCs w:val="28"/>
          <w:highlight w:val="none"/>
        </w:rPr>
      </w:pPr>
      <w:r>
        <w:rPr>
          <w:sz w:val="22"/>
          <w:szCs w:val="28"/>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30E596A">
      <w:pPr>
        <w:spacing w:after="160" w:line="278" w:lineRule="auto"/>
        <w:rPr>
          <w:sz w:val="22"/>
          <w:szCs w:val="28"/>
          <w:highlight w:val="none"/>
        </w:rPr>
      </w:pPr>
      <w:r>
        <w:rPr>
          <w:sz w:val="22"/>
          <w:szCs w:val="28"/>
          <w:highlight w:val="none"/>
        </w:rPr>
        <w:t>1.10.2 承包人发现文物后不及时报告或隐瞒不报，致使文物丢失或损坏的，应赔偿损失，并承担相应的法律责任。</w:t>
      </w:r>
    </w:p>
    <w:p w14:paraId="73E82454">
      <w:pPr>
        <w:spacing w:after="160" w:line="278" w:lineRule="auto"/>
        <w:rPr>
          <w:sz w:val="22"/>
          <w:szCs w:val="28"/>
          <w:highlight w:val="none"/>
        </w:rPr>
      </w:pPr>
      <w:bookmarkStart w:id="893" w:name="_Toc142385538"/>
      <w:bookmarkStart w:id="894" w:name="_Toc338944715"/>
      <w:bookmarkStart w:id="895" w:name="_Toc342296273"/>
      <w:bookmarkStart w:id="896" w:name="_Toc144974590"/>
      <w:bookmarkStart w:id="897" w:name="_Toc152042400"/>
      <w:bookmarkStart w:id="898" w:name="_Toc132619000"/>
      <w:bookmarkStart w:id="899" w:name="_Toc179632640"/>
      <w:bookmarkStart w:id="900" w:name="_Toc109914316"/>
      <w:bookmarkStart w:id="901" w:name="_Toc129798251"/>
      <w:bookmarkStart w:id="902" w:name="_Toc152045622"/>
      <w:r>
        <w:rPr>
          <w:sz w:val="22"/>
          <w:szCs w:val="28"/>
          <w:highlight w:val="none"/>
        </w:rPr>
        <w:t>1.11 专利技术</w:t>
      </w:r>
      <w:bookmarkEnd w:id="893"/>
      <w:bookmarkEnd w:id="894"/>
      <w:bookmarkEnd w:id="895"/>
      <w:bookmarkEnd w:id="896"/>
      <w:bookmarkEnd w:id="897"/>
      <w:bookmarkEnd w:id="898"/>
      <w:bookmarkEnd w:id="899"/>
      <w:bookmarkEnd w:id="900"/>
      <w:bookmarkEnd w:id="901"/>
      <w:bookmarkEnd w:id="902"/>
    </w:p>
    <w:p w14:paraId="39366C0A">
      <w:pPr>
        <w:spacing w:after="160" w:line="278" w:lineRule="auto"/>
        <w:rPr>
          <w:sz w:val="22"/>
          <w:szCs w:val="28"/>
          <w:highlight w:val="none"/>
        </w:rPr>
      </w:pPr>
      <w:r>
        <w:rPr>
          <w:sz w:val="22"/>
          <w:szCs w:val="28"/>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6C3D1554">
      <w:pPr>
        <w:spacing w:after="160" w:line="278" w:lineRule="auto"/>
        <w:rPr>
          <w:sz w:val="22"/>
          <w:szCs w:val="28"/>
          <w:highlight w:val="none"/>
        </w:rPr>
      </w:pPr>
      <w:r>
        <w:rPr>
          <w:sz w:val="22"/>
          <w:szCs w:val="28"/>
          <w:highlight w:val="none"/>
        </w:rPr>
        <w:t>1.11.2 承包人在投标文件中采用专利技术的，专利技术的使用费包含在投标报价内。</w:t>
      </w:r>
    </w:p>
    <w:p w14:paraId="204DE563">
      <w:pPr>
        <w:spacing w:after="160" w:line="278" w:lineRule="auto"/>
        <w:rPr>
          <w:sz w:val="22"/>
          <w:szCs w:val="28"/>
          <w:highlight w:val="none"/>
        </w:rPr>
      </w:pPr>
      <w:r>
        <w:rPr>
          <w:sz w:val="22"/>
          <w:szCs w:val="28"/>
          <w:highlight w:val="none"/>
        </w:rPr>
        <w:t>1.11.3 承包人的技术秘密和声明需要保密的资料和信息，发包人和监理人不得为合同以外的目的泄露给他人。</w:t>
      </w:r>
    </w:p>
    <w:p w14:paraId="0E4FA94D">
      <w:pPr>
        <w:spacing w:after="160" w:line="278" w:lineRule="auto"/>
        <w:rPr>
          <w:sz w:val="22"/>
          <w:szCs w:val="28"/>
          <w:highlight w:val="none"/>
        </w:rPr>
      </w:pPr>
      <w:bookmarkStart w:id="903" w:name="_Toc144974591"/>
      <w:bookmarkStart w:id="904" w:name="_Toc109914317"/>
      <w:bookmarkStart w:id="905" w:name="_Toc152042401"/>
      <w:bookmarkStart w:id="906" w:name="_Toc142385539"/>
      <w:bookmarkStart w:id="907" w:name="_Toc132619001"/>
      <w:bookmarkStart w:id="908" w:name="_Toc129798252"/>
      <w:bookmarkStart w:id="909" w:name="_Toc179632641"/>
      <w:bookmarkStart w:id="910" w:name="_Toc338944716"/>
      <w:bookmarkStart w:id="911" w:name="_Toc342296274"/>
      <w:bookmarkStart w:id="912" w:name="_Toc152045623"/>
      <w:r>
        <w:rPr>
          <w:sz w:val="22"/>
          <w:szCs w:val="28"/>
          <w:highlight w:val="none"/>
        </w:rPr>
        <w:t>1.12 图纸和文件的保密</w:t>
      </w:r>
      <w:bookmarkEnd w:id="903"/>
      <w:bookmarkEnd w:id="904"/>
      <w:bookmarkEnd w:id="905"/>
      <w:bookmarkEnd w:id="906"/>
      <w:bookmarkEnd w:id="907"/>
      <w:bookmarkEnd w:id="908"/>
      <w:bookmarkEnd w:id="909"/>
      <w:bookmarkEnd w:id="910"/>
      <w:bookmarkEnd w:id="911"/>
      <w:bookmarkEnd w:id="912"/>
    </w:p>
    <w:p w14:paraId="63BC3C88">
      <w:pPr>
        <w:spacing w:after="160" w:line="278" w:lineRule="auto"/>
        <w:rPr>
          <w:sz w:val="22"/>
          <w:szCs w:val="28"/>
          <w:highlight w:val="none"/>
        </w:rPr>
      </w:pPr>
      <w:r>
        <w:rPr>
          <w:sz w:val="22"/>
          <w:szCs w:val="28"/>
          <w:highlight w:val="none"/>
        </w:rPr>
        <w:t>1.12.1 发包人提供的图纸和文件，未经发包人同意，承包人不得为合同以外的目的泄露给他人或公开发表与引用。</w:t>
      </w:r>
    </w:p>
    <w:p w14:paraId="2331D986">
      <w:pPr>
        <w:spacing w:after="160" w:line="278" w:lineRule="auto"/>
        <w:rPr>
          <w:sz w:val="22"/>
          <w:szCs w:val="28"/>
          <w:highlight w:val="none"/>
        </w:rPr>
      </w:pPr>
      <w:r>
        <w:rPr>
          <w:sz w:val="22"/>
          <w:szCs w:val="28"/>
          <w:highlight w:val="none"/>
        </w:rPr>
        <w:t>1.12.2 承包人提供的文件，未经承包人同意，发包人和监理人不得为合同以外的目的泄露给他人或公开发表与引用。</w:t>
      </w:r>
    </w:p>
    <w:p w14:paraId="05824FE7">
      <w:pPr>
        <w:spacing w:after="160" w:line="278" w:lineRule="auto"/>
        <w:rPr>
          <w:sz w:val="22"/>
          <w:szCs w:val="28"/>
          <w:highlight w:val="none"/>
        </w:rPr>
      </w:pPr>
      <w:bookmarkStart w:id="913" w:name="_Toc129798253"/>
      <w:bookmarkStart w:id="914" w:name="_Toc132619002"/>
      <w:bookmarkStart w:id="915" w:name="_Toc109914318"/>
      <w:bookmarkStart w:id="916" w:name="_Toc132618611"/>
      <w:bookmarkStart w:id="917" w:name="_Toc142385540"/>
      <w:r>
        <w:rPr>
          <w:sz w:val="22"/>
          <w:szCs w:val="28"/>
          <w:highlight w:val="none"/>
        </w:rPr>
        <w:t>1.13</w:t>
      </w:r>
      <w:r>
        <w:rPr>
          <w:rFonts w:hint="eastAsia"/>
          <w:sz w:val="22"/>
          <w:szCs w:val="28"/>
          <w:highlight w:val="none"/>
        </w:rPr>
        <w:t>交通运输</w:t>
      </w:r>
      <w:bookmarkEnd w:id="913"/>
      <w:bookmarkEnd w:id="914"/>
      <w:bookmarkEnd w:id="915"/>
      <w:bookmarkEnd w:id="916"/>
      <w:bookmarkEnd w:id="917"/>
    </w:p>
    <w:p w14:paraId="34D1B1E6">
      <w:pPr>
        <w:spacing w:after="160" w:line="278" w:lineRule="auto"/>
        <w:rPr>
          <w:sz w:val="22"/>
          <w:szCs w:val="28"/>
          <w:highlight w:val="none"/>
        </w:rPr>
      </w:pPr>
      <w:r>
        <w:rPr>
          <w:sz w:val="22"/>
          <w:szCs w:val="28"/>
          <w:highlight w:val="none"/>
        </w:rPr>
        <w:t xml:space="preserve">1.13.1 </w:t>
      </w:r>
      <w:r>
        <w:rPr>
          <w:rFonts w:hint="eastAsia"/>
          <w:sz w:val="22"/>
          <w:szCs w:val="28"/>
          <w:highlight w:val="none"/>
        </w:rPr>
        <w:t>除专用合同条款另有约定外，发包人应根据施工需要，负责取得出入施工现场所需的校内手续，承包人应协助发包人办理修建场内外道路等其他基础设施的手续。</w:t>
      </w:r>
    </w:p>
    <w:p w14:paraId="62670D57">
      <w:pPr>
        <w:spacing w:after="160" w:line="278" w:lineRule="auto"/>
        <w:rPr>
          <w:sz w:val="22"/>
          <w:szCs w:val="28"/>
          <w:highlight w:val="none"/>
        </w:rPr>
      </w:pPr>
      <w:r>
        <w:rPr>
          <w:sz w:val="22"/>
          <w:szCs w:val="28"/>
          <w:highlight w:val="none"/>
        </w:rPr>
        <w:t>1.13.2</w:t>
      </w:r>
      <w:r>
        <w:rPr>
          <w:rFonts w:hint="eastAsia"/>
          <w:sz w:val="22"/>
          <w:szCs w:val="28"/>
          <w:highlight w:val="none"/>
        </w:rPr>
        <w:t>承包人应在投标、订立合同前查勘施工现场，并根据工程规模及技术参数合理预见工程施工所需的进出施工现场的方式、手段、路径等，并在投标文件中体现。因承包人未合理预见所增加的费用和（或）延误的工期由承包人自行承担。</w:t>
      </w:r>
      <w:bookmarkStart w:id="918" w:name="_Toc448758423"/>
      <w:bookmarkStart w:id="919" w:name="_Toc448758523"/>
      <w:bookmarkStart w:id="920" w:name="_Toc342296275"/>
      <w:bookmarkStart w:id="921" w:name="_Toc338944717"/>
      <w:bookmarkStart w:id="922" w:name="_Toc469660018"/>
      <w:bookmarkStart w:id="923" w:name="_Toc442365615"/>
    </w:p>
    <w:p w14:paraId="4DD257A4">
      <w:pPr>
        <w:spacing w:after="160" w:line="278" w:lineRule="auto"/>
        <w:rPr>
          <w:sz w:val="22"/>
          <w:szCs w:val="28"/>
          <w:highlight w:val="none"/>
        </w:rPr>
      </w:pPr>
      <w:bookmarkStart w:id="924" w:name="_Toc109914319"/>
      <w:bookmarkStart w:id="925" w:name="_Toc142385541"/>
      <w:bookmarkStart w:id="926" w:name="_Toc129798254"/>
      <w:bookmarkStart w:id="927" w:name="_Toc132618612"/>
      <w:bookmarkStart w:id="928" w:name="_Toc132619003"/>
      <w:r>
        <w:rPr>
          <w:sz w:val="22"/>
          <w:szCs w:val="28"/>
          <w:highlight w:val="none"/>
        </w:rPr>
        <w:t>2. 发包人义务</w:t>
      </w:r>
      <w:bookmarkEnd w:id="918"/>
      <w:bookmarkEnd w:id="919"/>
      <w:bookmarkEnd w:id="920"/>
      <w:bookmarkEnd w:id="921"/>
      <w:bookmarkEnd w:id="922"/>
      <w:bookmarkEnd w:id="923"/>
      <w:bookmarkEnd w:id="924"/>
      <w:bookmarkEnd w:id="925"/>
      <w:bookmarkEnd w:id="926"/>
      <w:bookmarkEnd w:id="927"/>
      <w:bookmarkEnd w:id="928"/>
    </w:p>
    <w:p w14:paraId="385651BB">
      <w:pPr>
        <w:spacing w:after="160" w:line="278" w:lineRule="auto"/>
        <w:rPr>
          <w:sz w:val="22"/>
          <w:szCs w:val="28"/>
          <w:highlight w:val="none"/>
        </w:rPr>
      </w:pPr>
      <w:bookmarkStart w:id="929" w:name="_Toc152045625"/>
      <w:bookmarkStart w:id="930" w:name="_Toc152042403"/>
      <w:bookmarkStart w:id="931" w:name="_Toc338944718"/>
      <w:bookmarkStart w:id="932" w:name="_Toc129798255"/>
      <w:bookmarkStart w:id="933" w:name="_Toc142385542"/>
      <w:bookmarkStart w:id="934" w:name="_Toc179632643"/>
      <w:bookmarkStart w:id="935" w:name="_Toc144974593"/>
      <w:bookmarkStart w:id="936" w:name="_Toc132618613"/>
      <w:bookmarkStart w:id="937" w:name="_Toc109914320"/>
      <w:bookmarkStart w:id="938" w:name="_Toc342296276"/>
      <w:bookmarkStart w:id="939" w:name="_Toc132619004"/>
      <w:r>
        <w:rPr>
          <w:sz w:val="22"/>
          <w:szCs w:val="28"/>
          <w:highlight w:val="none"/>
        </w:rPr>
        <w:t>2.1 遵守法律</w:t>
      </w:r>
      <w:bookmarkEnd w:id="929"/>
      <w:bookmarkEnd w:id="930"/>
      <w:bookmarkEnd w:id="931"/>
      <w:bookmarkEnd w:id="932"/>
      <w:bookmarkEnd w:id="933"/>
      <w:bookmarkEnd w:id="934"/>
      <w:bookmarkEnd w:id="935"/>
      <w:bookmarkEnd w:id="936"/>
      <w:bookmarkEnd w:id="937"/>
      <w:bookmarkEnd w:id="938"/>
      <w:bookmarkEnd w:id="939"/>
    </w:p>
    <w:p w14:paraId="55B82529">
      <w:pPr>
        <w:spacing w:after="160" w:line="278" w:lineRule="auto"/>
        <w:rPr>
          <w:sz w:val="22"/>
          <w:szCs w:val="28"/>
          <w:highlight w:val="none"/>
        </w:rPr>
      </w:pPr>
      <w:r>
        <w:rPr>
          <w:rFonts w:hint="eastAsia"/>
          <w:sz w:val="22"/>
          <w:szCs w:val="28"/>
          <w:highlight w:val="none"/>
        </w:rPr>
        <w:t>发包人应要求在施工现场的发包人人员遵守法律及有关安全、质量、环境保护、文明施工等规定，并保障承包人免于承受因发包人人员未遵守上述要求给承包人造成的损失和责任。</w:t>
      </w:r>
    </w:p>
    <w:p w14:paraId="36195743">
      <w:pPr>
        <w:spacing w:after="160" w:line="278" w:lineRule="auto"/>
        <w:rPr>
          <w:sz w:val="22"/>
          <w:szCs w:val="28"/>
          <w:highlight w:val="none"/>
        </w:rPr>
      </w:pPr>
      <w:r>
        <w:rPr>
          <w:rFonts w:hint="eastAsia"/>
          <w:sz w:val="22"/>
          <w:szCs w:val="28"/>
          <w:highlight w:val="none"/>
        </w:rPr>
        <w:t>发包人人员包括发包人代表及其他由发包人派驻施工现场的人员。</w:t>
      </w:r>
    </w:p>
    <w:p w14:paraId="237042A0">
      <w:pPr>
        <w:spacing w:after="160" w:line="278" w:lineRule="auto"/>
        <w:rPr>
          <w:sz w:val="22"/>
          <w:szCs w:val="28"/>
          <w:highlight w:val="none"/>
        </w:rPr>
      </w:pPr>
      <w:bookmarkStart w:id="940" w:name="_Toc109914321"/>
      <w:bookmarkStart w:id="941" w:name="_Toc144974594"/>
      <w:bookmarkStart w:id="942" w:name="_Toc152045626"/>
      <w:bookmarkStart w:id="943" w:name="_Toc179632644"/>
      <w:bookmarkStart w:id="944" w:name="_Toc152042404"/>
      <w:bookmarkStart w:id="945" w:name="_Toc342296277"/>
      <w:bookmarkStart w:id="946" w:name="_Toc142385543"/>
      <w:bookmarkStart w:id="947" w:name="_Toc132618614"/>
      <w:bookmarkStart w:id="948" w:name="_Toc132619005"/>
      <w:bookmarkStart w:id="949" w:name="_Toc129798256"/>
      <w:bookmarkStart w:id="950" w:name="_Toc338944719"/>
      <w:r>
        <w:rPr>
          <w:sz w:val="22"/>
          <w:szCs w:val="28"/>
          <w:highlight w:val="none"/>
        </w:rPr>
        <w:t>2.2 发出开工通知</w:t>
      </w:r>
      <w:bookmarkEnd w:id="940"/>
      <w:bookmarkEnd w:id="941"/>
      <w:bookmarkEnd w:id="942"/>
      <w:bookmarkEnd w:id="943"/>
      <w:bookmarkEnd w:id="944"/>
      <w:bookmarkEnd w:id="945"/>
      <w:bookmarkEnd w:id="946"/>
      <w:bookmarkEnd w:id="947"/>
      <w:bookmarkEnd w:id="948"/>
      <w:bookmarkEnd w:id="949"/>
      <w:bookmarkEnd w:id="950"/>
    </w:p>
    <w:p w14:paraId="1D8298F4">
      <w:pPr>
        <w:spacing w:after="160" w:line="278" w:lineRule="auto"/>
        <w:rPr>
          <w:sz w:val="22"/>
          <w:szCs w:val="28"/>
          <w:highlight w:val="none"/>
        </w:rPr>
      </w:pPr>
      <w:r>
        <w:rPr>
          <w:sz w:val="22"/>
          <w:szCs w:val="28"/>
          <w:highlight w:val="none"/>
        </w:rPr>
        <w:t>发包人应委托监理人按第11.1款的约定向承包人发出开工通知。</w:t>
      </w:r>
    </w:p>
    <w:p w14:paraId="2AE06E7F">
      <w:pPr>
        <w:spacing w:after="160" w:line="278" w:lineRule="auto"/>
        <w:rPr>
          <w:sz w:val="22"/>
          <w:szCs w:val="28"/>
          <w:highlight w:val="none"/>
        </w:rPr>
      </w:pPr>
      <w:bookmarkStart w:id="951" w:name="_Toc109914322"/>
      <w:bookmarkStart w:id="952" w:name="_Toc129798257"/>
      <w:bookmarkStart w:id="953" w:name="_Toc342296278"/>
      <w:bookmarkStart w:id="954" w:name="_Toc142385544"/>
      <w:bookmarkStart w:id="955" w:name="_Toc338944720"/>
      <w:bookmarkStart w:id="956" w:name="_Toc132618615"/>
      <w:bookmarkStart w:id="957" w:name="_Toc132619006"/>
      <w:r>
        <w:rPr>
          <w:sz w:val="22"/>
          <w:szCs w:val="28"/>
          <w:highlight w:val="none"/>
        </w:rPr>
        <w:t>2.3 提供施工场地</w:t>
      </w:r>
      <w:bookmarkEnd w:id="951"/>
      <w:bookmarkEnd w:id="952"/>
      <w:bookmarkEnd w:id="953"/>
      <w:bookmarkEnd w:id="954"/>
      <w:bookmarkEnd w:id="955"/>
      <w:bookmarkEnd w:id="956"/>
      <w:bookmarkEnd w:id="957"/>
    </w:p>
    <w:p w14:paraId="348B1AAD">
      <w:pPr>
        <w:spacing w:after="160" w:line="278" w:lineRule="auto"/>
        <w:rPr>
          <w:sz w:val="22"/>
          <w:szCs w:val="28"/>
          <w:highlight w:val="none"/>
        </w:rPr>
      </w:pPr>
      <w:r>
        <w:rPr>
          <w:sz w:val="22"/>
          <w:szCs w:val="28"/>
          <w:highlight w:val="none"/>
        </w:rPr>
        <w:t>发包人应按专用合同条款约定向承包人提供施工场地，以及施工场地内地下管线和地下设施等有关资料，并保证资料的真实、准确、完整。</w:t>
      </w:r>
    </w:p>
    <w:p w14:paraId="36139C18">
      <w:pPr>
        <w:spacing w:after="160" w:line="278" w:lineRule="auto"/>
        <w:rPr>
          <w:sz w:val="22"/>
          <w:szCs w:val="28"/>
          <w:highlight w:val="none"/>
        </w:rPr>
      </w:pPr>
      <w:bookmarkStart w:id="958" w:name="_Toc129798258"/>
      <w:bookmarkStart w:id="959" w:name="_Toc179632646"/>
      <w:bookmarkStart w:id="960" w:name="_Toc152042406"/>
      <w:bookmarkStart w:id="961" w:name="_Toc342296279"/>
      <w:bookmarkStart w:id="962" w:name="_Toc109914323"/>
      <w:bookmarkStart w:id="963" w:name="_Toc132619007"/>
      <w:bookmarkStart w:id="964" w:name="_Toc132618616"/>
      <w:bookmarkStart w:id="965" w:name="_Toc144974596"/>
      <w:bookmarkStart w:id="966" w:name="_Toc142385545"/>
      <w:bookmarkStart w:id="967" w:name="_Toc152045628"/>
      <w:bookmarkStart w:id="968" w:name="_Toc338944721"/>
      <w:r>
        <w:rPr>
          <w:sz w:val="22"/>
          <w:szCs w:val="28"/>
          <w:highlight w:val="none"/>
        </w:rPr>
        <w:t>2.4 协助承包人办理证件和批件</w:t>
      </w:r>
      <w:bookmarkEnd w:id="958"/>
      <w:bookmarkEnd w:id="959"/>
      <w:bookmarkEnd w:id="960"/>
      <w:bookmarkEnd w:id="961"/>
      <w:bookmarkEnd w:id="962"/>
      <w:bookmarkEnd w:id="963"/>
      <w:bookmarkEnd w:id="964"/>
      <w:bookmarkEnd w:id="965"/>
      <w:bookmarkEnd w:id="966"/>
      <w:bookmarkEnd w:id="967"/>
      <w:bookmarkEnd w:id="968"/>
    </w:p>
    <w:p w14:paraId="7D66F36C">
      <w:pPr>
        <w:spacing w:after="160" w:line="278" w:lineRule="auto"/>
        <w:rPr>
          <w:sz w:val="22"/>
          <w:szCs w:val="28"/>
          <w:highlight w:val="none"/>
        </w:rPr>
      </w:pPr>
      <w:r>
        <w:rPr>
          <w:sz w:val="22"/>
          <w:szCs w:val="28"/>
          <w:highlight w:val="none"/>
        </w:rPr>
        <w:t>发包人应协助承包人办理法律规定的有关施工证件和批件。</w:t>
      </w:r>
    </w:p>
    <w:p w14:paraId="7BA8B6EB">
      <w:pPr>
        <w:spacing w:after="160" w:line="278" w:lineRule="auto"/>
        <w:rPr>
          <w:sz w:val="22"/>
          <w:szCs w:val="28"/>
          <w:highlight w:val="none"/>
        </w:rPr>
      </w:pPr>
      <w:bookmarkStart w:id="969" w:name="_Toc142385546"/>
      <w:bookmarkStart w:id="970" w:name="_Toc338944722"/>
      <w:bookmarkStart w:id="971" w:name="_Toc132619008"/>
      <w:bookmarkStart w:id="972" w:name="_Toc109914324"/>
      <w:bookmarkStart w:id="973" w:name="_Toc342296280"/>
      <w:bookmarkStart w:id="974" w:name="_Toc129798259"/>
      <w:bookmarkStart w:id="975" w:name="_Toc132618617"/>
      <w:r>
        <w:rPr>
          <w:sz w:val="22"/>
          <w:szCs w:val="28"/>
          <w:highlight w:val="none"/>
        </w:rPr>
        <w:t>2.5 组织设计交底</w:t>
      </w:r>
      <w:bookmarkEnd w:id="969"/>
      <w:bookmarkEnd w:id="970"/>
      <w:bookmarkEnd w:id="971"/>
      <w:bookmarkEnd w:id="972"/>
      <w:bookmarkEnd w:id="973"/>
      <w:bookmarkEnd w:id="974"/>
      <w:bookmarkEnd w:id="975"/>
    </w:p>
    <w:p w14:paraId="6FE4F833">
      <w:pPr>
        <w:spacing w:after="160" w:line="278" w:lineRule="auto"/>
        <w:rPr>
          <w:sz w:val="22"/>
          <w:szCs w:val="28"/>
          <w:highlight w:val="none"/>
        </w:rPr>
      </w:pPr>
      <w:r>
        <w:rPr>
          <w:sz w:val="22"/>
          <w:szCs w:val="28"/>
          <w:highlight w:val="none"/>
        </w:rPr>
        <w:t>发包人应根据合同进度计划，组织设计单位向承包人进行设计交底。</w:t>
      </w:r>
    </w:p>
    <w:p w14:paraId="7A5F68A6">
      <w:pPr>
        <w:spacing w:after="160" w:line="278" w:lineRule="auto"/>
        <w:rPr>
          <w:sz w:val="22"/>
          <w:szCs w:val="28"/>
          <w:highlight w:val="none"/>
        </w:rPr>
      </w:pPr>
      <w:bookmarkStart w:id="976" w:name="_Toc342296281"/>
      <w:bookmarkStart w:id="977" w:name="_Toc142385547"/>
      <w:bookmarkStart w:id="978" w:name="_Toc109914325"/>
      <w:bookmarkStart w:id="979" w:name="_Toc132618618"/>
      <w:bookmarkStart w:id="980" w:name="_Toc129798260"/>
      <w:bookmarkStart w:id="981" w:name="_Toc132619009"/>
      <w:bookmarkStart w:id="982" w:name="_Toc338944723"/>
      <w:r>
        <w:rPr>
          <w:sz w:val="22"/>
          <w:szCs w:val="28"/>
          <w:highlight w:val="none"/>
        </w:rPr>
        <w:t>2.6 支付合同价款</w:t>
      </w:r>
      <w:bookmarkEnd w:id="976"/>
      <w:bookmarkEnd w:id="977"/>
      <w:bookmarkEnd w:id="978"/>
      <w:bookmarkEnd w:id="979"/>
      <w:bookmarkEnd w:id="980"/>
      <w:bookmarkEnd w:id="981"/>
      <w:bookmarkEnd w:id="982"/>
    </w:p>
    <w:p w14:paraId="05CD15B0">
      <w:pPr>
        <w:spacing w:after="160" w:line="278" w:lineRule="auto"/>
        <w:rPr>
          <w:sz w:val="22"/>
          <w:szCs w:val="28"/>
          <w:highlight w:val="none"/>
        </w:rPr>
      </w:pPr>
      <w:r>
        <w:rPr>
          <w:sz w:val="22"/>
          <w:szCs w:val="28"/>
          <w:highlight w:val="none"/>
        </w:rPr>
        <w:t>发包人应按合同约定向承包人及时支付合同价款。</w:t>
      </w:r>
    </w:p>
    <w:p w14:paraId="3277A4CA">
      <w:pPr>
        <w:spacing w:after="160" w:line="278" w:lineRule="auto"/>
        <w:rPr>
          <w:sz w:val="22"/>
          <w:szCs w:val="28"/>
          <w:highlight w:val="none"/>
        </w:rPr>
      </w:pPr>
      <w:bookmarkStart w:id="983" w:name="_Toc179632649"/>
      <w:bookmarkStart w:id="984" w:name="_Toc144974599"/>
      <w:bookmarkStart w:id="985" w:name="_Toc338944724"/>
      <w:bookmarkStart w:id="986" w:name="_Toc132619010"/>
      <w:bookmarkStart w:id="987" w:name="_Toc142385548"/>
      <w:bookmarkStart w:id="988" w:name="_Toc109914326"/>
      <w:bookmarkStart w:id="989" w:name="_Toc132618619"/>
      <w:bookmarkStart w:id="990" w:name="_Toc129798261"/>
      <w:bookmarkStart w:id="991" w:name="_Toc342296282"/>
      <w:bookmarkStart w:id="992" w:name="_Toc152042409"/>
      <w:bookmarkStart w:id="993" w:name="_Toc152045631"/>
      <w:r>
        <w:rPr>
          <w:sz w:val="22"/>
          <w:szCs w:val="28"/>
          <w:highlight w:val="none"/>
        </w:rPr>
        <w:t>2.7 组织竣工验收</w:t>
      </w:r>
      <w:bookmarkEnd w:id="983"/>
      <w:bookmarkEnd w:id="984"/>
      <w:bookmarkEnd w:id="985"/>
      <w:bookmarkEnd w:id="986"/>
      <w:bookmarkEnd w:id="987"/>
      <w:bookmarkEnd w:id="988"/>
      <w:bookmarkEnd w:id="989"/>
      <w:bookmarkEnd w:id="990"/>
      <w:bookmarkEnd w:id="991"/>
      <w:bookmarkEnd w:id="992"/>
      <w:bookmarkEnd w:id="993"/>
    </w:p>
    <w:p w14:paraId="39CEAD71">
      <w:pPr>
        <w:spacing w:after="160" w:line="278" w:lineRule="auto"/>
        <w:rPr>
          <w:sz w:val="22"/>
          <w:szCs w:val="28"/>
          <w:highlight w:val="none"/>
        </w:rPr>
      </w:pPr>
      <w:r>
        <w:rPr>
          <w:sz w:val="22"/>
          <w:szCs w:val="28"/>
          <w:highlight w:val="none"/>
        </w:rPr>
        <w:t>发包人应按合同约定及时组织竣工验收。</w:t>
      </w:r>
    </w:p>
    <w:p w14:paraId="5E236AD0">
      <w:pPr>
        <w:spacing w:after="160" w:line="278" w:lineRule="auto"/>
        <w:rPr>
          <w:sz w:val="22"/>
          <w:szCs w:val="28"/>
          <w:highlight w:val="none"/>
        </w:rPr>
      </w:pPr>
      <w:bookmarkStart w:id="994" w:name="_Toc132619011"/>
      <w:bookmarkStart w:id="995" w:name="_Toc129798262"/>
      <w:bookmarkStart w:id="996" w:name="_Toc132618620"/>
      <w:bookmarkStart w:id="997" w:name="_Toc338944725"/>
      <w:bookmarkStart w:id="998" w:name="_Toc109914327"/>
      <w:bookmarkStart w:id="999" w:name="_Toc142385549"/>
      <w:bookmarkStart w:id="1000" w:name="_Toc342296283"/>
      <w:r>
        <w:rPr>
          <w:sz w:val="22"/>
          <w:szCs w:val="28"/>
          <w:highlight w:val="none"/>
        </w:rPr>
        <w:t>2.8 其他义务</w:t>
      </w:r>
      <w:bookmarkEnd w:id="994"/>
      <w:bookmarkEnd w:id="995"/>
      <w:bookmarkEnd w:id="996"/>
      <w:bookmarkEnd w:id="997"/>
      <w:bookmarkEnd w:id="998"/>
      <w:bookmarkEnd w:id="999"/>
      <w:bookmarkEnd w:id="1000"/>
    </w:p>
    <w:p w14:paraId="68934AB7">
      <w:pPr>
        <w:spacing w:after="160" w:line="278" w:lineRule="auto"/>
        <w:rPr>
          <w:sz w:val="22"/>
          <w:szCs w:val="28"/>
          <w:highlight w:val="none"/>
        </w:rPr>
      </w:pPr>
      <w:r>
        <w:rPr>
          <w:sz w:val="22"/>
          <w:szCs w:val="28"/>
          <w:highlight w:val="none"/>
        </w:rPr>
        <w:t>发包人应履行合同约定的其他义务。</w:t>
      </w:r>
    </w:p>
    <w:p w14:paraId="4EA1B1BF">
      <w:pPr>
        <w:spacing w:after="160" w:line="278" w:lineRule="auto"/>
        <w:rPr>
          <w:sz w:val="22"/>
          <w:szCs w:val="28"/>
          <w:highlight w:val="none"/>
        </w:rPr>
      </w:pPr>
      <w:bookmarkStart w:id="1001" w:name="_Toc442365616"/>
      <w:bookmarkStart w:id="1002" w:name="_Toc448758424"/>
      <w:bookmarkStart w:id="1003" w:name="_Toc132619012"/>
      <w:bookmarkStart w:id="1004" w:name="_Toc129798263"/>
      <w:bookmarkStart w:id="1005" w:name="_Toc342296284"/>
      <w:bookmarkStart w:id="1006" w:name="_Toc142385550"/>
      <w:bookmarkStart w:id="1007" w:name="_Toc469660019"/>
      <w:bookmarkStart w:id="1008" w:name="_Toc338944726"/>
      <w:bookmarkStart w:id="1009" w:name="_Toc109914328"/>
      <w:bookmarkStart w:id="1010" w:name="_Toc448758524"/>
      <w:bookmarkStart w:id="1011" w:name="_Toc132618621"/>
      <w:r>
        <w:rPr>
          <w:sz w:val="22"/>
          <w:szCs w:val="28"/>
          <w:highlight w:val="none"/>
        </w:rPr>
        <w:t>3. 监理人</w:t>
      </w:r>
      <w:bookmarkEnd w:id="1001"/>
      <w:bookmarkEnd w:id="1002"/>
      <w:bookmarkEnd w:id="1003"/>
      <w:bookmarkEnd w:id="1004"/>
      <w:bookmarkEnd w:id="1005"/>
      <w:bookmarkEnd w:id="1006"/>
      <w:bookmarkEnd w:id="1007"/>
      <w:bookmarkEnd w:id="1008"/>
      <w:bookmarkEnd w:id="1009"/>
      <w:bookmarkEnd w:id="1010"/>
      <w:bookmarkEnd w:id="1011"/>
    </w:p>
    <w:p w14:paraId="1DDBD135">
      <w:pPr>
        <w:spacing w:after="160" w:line="278" w:lineRule="auto"/>
        <w:rPr>
          <w:sz w:val="22"/>
          <w:szCs w:val="28"/>
          <w:highlight w:val="none"/>
        </w:rPr>
      </w:pPr>
      <w:bookmarkStart w:id="1012" w:name="_Toc338944727"/>
      <w:bookmarkStart w:id="1013" w:name="_Toc109914329"/>
      <w:bookmarkStart w:id="1014" w:name="_Toc132619013"/>
      <w:bookmarkStart w:id="1015" w:name="_Toc129798264"/>
      <w:bookmarkStart w:id="1016" w:name="_Toc132618622"/>
      <w:bookmarkStart w:id="1017" w:name="_Toc142385551"/>
      <w:bookmarkStart w:id="1018" w:name="_Toc342296285"/>
      <w:r>
        <w:rPr>
          <w:sz w:val="22"/>
          <w:szCs w:val="28"/>
          <w:highlight w:val="none"/>
        </w:rPr>
        <w:t>3.1 监理人的职责和权力</w:t>
      </w:r>
      <w:bookmarkEnd w:id="1012"/>
      <w:bookmarkEnd w:id="1013"/>
      <w:bookmarkEnd w:id="1014"/>
      <w:bookmarkEnd w:id="1015"/>
      <w:bookmarkEnd w:id="1016"/>
      <w:bookmarkEnd w:id="1017"/>
      <w:bookmarkEnd w:id="1018"/>
    </w:p>
    <w:p w14:paraId="7F8FB37D">
      <w:pPr>
        <w:spacing w:after="160" w:line="278" w:lineRule="auto"/>
        <w:rPr>
          <w:sz w:val="22"/>
          <w:szCs w:val="28"/>
          <w:highlight w:val="none"/>
        </w:rPr>
      </w:pPr>
      <w:r>
        <w:rPr>
          <w:sz w:val="22"/>
          <w:szCs w:val="28"/>
          <w:highlight w:val="none"/>
        </w:rPr>
        <w:t>3.1.1 监理人受发包人委托，享有合同约定的权力。监理人在行使某项权力前需要经发包人事先批准而通用合同条款没有指明的，应在专用合同条款中指明。</w:t>
      </w:r>
    </w:p>
    <w:p w14:paraId="543C05AC">
      <w:pPr>
        <w:spacing w:after="160" w:line="278" w:lineRule="auto"/>
        <w:rPr>
          <w:sz w:val="22"/>
          <w:szCs w:val="28"/>
          <w:highlight w:val="none"/>
        </w:rPr>
      </w:pPr>
      <w:r>
        <w:rPr>
          <w:sz w:val="22"/>
          <w:szCs w:val="28"/>
          <w:highlight w:val="none"/>
        </w:rPr>
        <w:t>3.1.2 监理人发出的任何指示应视为已得到发包人的批准，但监理人无权免除或变更合同约定的发包人和承包人的权利、义务和责任。</w:t>
      </w:r>
    </w:p>
    <w:p w14:paraId="3B0F7189">
      <w:pPr>
        <w:spacing w:after="160" w:line="278" w:lineRule="auto"/>
        <w:rPr>
          <w:sz w:val="22"/>
          <w:szCs w:val="28"/>
          <w:highlight w:val="none"/>
        </w:rPr>
      </w:pPr>
      <w:r>
        <w:rPr>
          <w:sz w:val="22"/>
          <w:szCs w:val="28"/>
          <w:highlight w:val="none"/>
        </w:rPr>
        <w:t>3.1.3 合同约定应由承包人承担的义务和责任，不因监理人对承包人提交文件的审查或批准，对工程、材料和设备的检查和检验，以及为实施监理作出的指示等职务行为而减轻或解除。</w:t>
      </w:r>
    </w:p>
    <w:p w14:paraId="17049C35">
      <w:pPr>
        <w:spacing w:after="160" w:line="278" w:lineRule="auto"/>
        <w:rPr>
          <w:sz w:val="22"/>
          <w:szCs w:val="28"/>
          <w:highlight w:val="none"/>
        </w:rPr>
      </w:pPr>
      <w:bookmarkStart w:id="1019" w:name="_Toc152045635"/>
      <w:bookmarkStart w:id="1020" w:name="_Toc144974603"/>
      <w:bookmarkStart w:id="1021" w:name="_Toc342296286"/>
      <w:bookmarkStart w:id="1022" w:name="_Toc338944728"/>
      <w:bookmarkStart w:id="1023" w:name="_Toc132618623"/>
      <w:bookmarkStart w:id="1024" w:name="_Toc142385552"/>
      <w:bookmarkStart w:id="1025" w:name="_Toc132619014"/>
      <w:bookmarkStart w:id="1026" w:name="_Toc129798265"/>
      <w:bookmarkStart w:id="1027" w:name="_Toc179632653"/>
      <w:bookmarkStart w:id="1028" w:name="_Toc109914330"/>
      <w:bookmarkStart w:id="1029" w:name="_Toc152042413"/>
      <w:r>
        <w:rPr>
          <w:sz w:val="22"/>
          <w:szCs w:val="28"/>
          <w:highlight w:val="none"/>
        </w:rPr>
        <w:t>3.2 总监理工程师</w:t>
      </w:r>
      <w:bookmarkEnd w:id="1019"/>
      <w:bookmarkEnd w:id="1020"/>
      <w:bookmarkEnd w:id="1021"/>
      <w:bookmarkEnd w:id="1022"/>
      <w:bookmarkEnd w:id="1023"/>
      <w:bookmarkEnd w:id="1024"/>
      <w:bookmarkEnd w:id="1025"/>
      <w:bookmarkEnd w:id="1026"/>
      <w:bookmarkEnd w:id="1027"/>
      <w:bookmarkEnd w:id="1028"/>
      <w:bookmarkEnd w:id="1029"/>
    </w:p>
    <w:p w14:paraId="39D74FB8">
      <w:pPr>
        <w:spacing w:after="160" w:line="278" w:lineRule="auto"/>
        <w:rPr>
          <w:sz w:val="22"/>
          <w:szCs w:val="28"/>
          <w:highlight w:val="none"/>
        </w:rPr>
      </w:pPr>
      <w:r>
        <w:rPr>
          <w:sz w:val="22"/>
          <w:szCs w:val="28"/>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061E7F5C">
      <w:pPr>
        <w:spacing w:after="160" w:line="278" w:lineRule="auto"/>
        <w:rPr>
          <w:sz w:val="22"/>
          <w:szCs w:val="28"/>
          <w:highlight w:val="none"/>
        </w:rPr>
      </w:pPr>
      <w:bookmarkStart w:id="1030" w:name="_Toc142385553"/>
      <w:bookmarkStart w:id="1031" w:name="_Toc342296287"/>
      <w:bookmarkStart w:id="1032" w:name="_Toc129798266"/>
      <w:bookmarkStart w:id="1033" w:name="_Toc338944729"/>
      <w:bookmarkStart w:id="1034" w:name="_Toc132618624"/>
      <w:bookmarkStart w:id="1035" w:name="_Toc132619015"/>
      <w:bookmarkStart w:id="1036" w:name="_Toc109914331"/>
      <w:r>
        <w:rPr>
          <w:sz w:val="22"/>
          <w:szCs w:val="28"/>
          <w:highlight w:val="none"/>
        </w:rPr>
        <w:t>3.3 监理人员</w:t>
      </w:r>
      <w:bookmarkEnd w:id="1030"/>
      <w:bookmarkEnd w:id="1031"/>
      <w:bookmarkEnd w:id="1032"/>
      <w:bookmarkEnd w:id="1033"/>
      <w:bookmarkEnd w:id="1034"/>
      <w:bookmarkEnd w:id="1035"/>
      <w:bookmarkEnd w:id="1036"/>
    </w:p>
    <w:p w14:paraId="3FEA3A97">
      <w:pPr>
        <w:spacing w:after="160" w:line="278" w:lineRule="auto"/>
        <w:rPr>
          <w:sz w:val="22"/>
          <w:szCs w:val="28"/>
          <w:highlight w:val="none"/>
        </w:rPr>
      </w:pPr>
      <w:r>
        <w:rPr>
          <w:sz w:val="22"/>
          <w:szCs w:val="28"/>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EF33C68">
      <w:pPr>
        <w:spacing w:after="160" w:line="278" w:lineRule="auto"/>
        <w:rPr>
          <w:sz w:val="22"/>
          <w:szCs w:val="28"/>
          <w:highlight w:val="none"/>
        </w:rPr>
      </w:pPr>
      <w:r>
        <w:rPr>
          <w:sz w:val="22"/>
          <w:szCs w:val="28"/>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45B342A7">
      <w:pPr>
        <w:spacing w:after="160" w:line="278" w:lineRule="auto"/>
        <w:rPr>
          <w:sz w:val="22"/>
          <w:szCs w:val="28"/>
          <w:highlight w:val="none"/>
        </w:rPr>
      </w:pPr>
      <w:r>
        <w:rPr>
          <w:sz w:val="22"/>
          <w:szCs w:val="28"/>
          <w:highlight w:val="none"/>
        </w:rPr>
        <w:t>3.3.3 承包人对总监理工程师授权的监理人员发出的指示有疑问的，可向总监理工程师提出书面异议，总监理工程师应在48小时内对该指示予以确认、更改或撤销。</w:t>
      </w:r>
    </w:p>
    <w:p w14:paraId="0CBCC33C">
      <w:pPr>
        <w:spacing w:after="160" w:line="278" w:lineRule="auto"/>
        <w:rPr>
          <w:sz w:val="22"/>
          <w:szCs w:val="28"/>
          <w:highlight w:val="none"/>
        </w:rPr>
      </w:pPr>
      <w:r>
        <w:rPr>
          <w:sz w:val="22"/>
          <w:szCs w:val="28"/>
          <w:highlight w:val="none"/>
        </w:rPr>
        <w:t>3.3.4 除专用合同条款另有约定外，总监理工程师不应将第3.5款约定应由总监理工程师作出确定的权力授权或委托给其他监理人员。</w:t>
      </w:r>
    </w:p>
    <w:p w14:paraId="5CCCA57B">
      <w:pPr>
        <w:spacing w:after="160" w:line="278" w:lineRule="auto"/>
        <w:rPr>
          <w:sz w:val="22"/>
          <w:szCs w:val="28"/>
          <w:highlight w:val="none"/>
        </w:rPr>
      </w:pPr>
      <w:bookmarkStart w:id="1037" w:name="_Toc132619016"/>
      <w:bookmarkStart w:id="1038" w:name="_Toc109914332"/>
      <w:bookmarkStart w:id="1039" w:name="_Toc142385554"/>
      <w:bookmarkStart w:id="1040" w:name="_Toc338944730"/>
      <w:bookmarkStart w:id="1041" w:name="_Toc129798267"/>
      <w:bookmarkStart w:id="1042" w:name="_Toc342296288"/>
      <w:bookmarkStart w:id="1043" w:name="_Toc132618625"/>
      <w:r>
        <w:rPr>
          <w:sz w:val="22"/>
          <w:szCs w:val="28"/>
          <w:highlight w:val="none"/>
        </w:rPr>
        <w:t>3.4 监理人的指示</w:t>
      </w:r>
      <w:bookmarkEnd w:id="1037"/>
      <w:bookmarkEnd w:id="1038"/>
      <w:bookmarkEnd w:id="1039"/>
      <w:bookmarkEnd w:id="1040"/>
      <w:bookmarkEnd w:id="1041"/>
      <w:bookmarkEnd w:id="1042"/>
      <w:bookmarkEnd w:id="1043"/>
    </w:p>
    <w:p w14:paraId="45984772">
      <w:pPr>
        <w:spacing w:after="160" w:line="278" w:lineRule="auto"/>
        <w:rPr>
          <w:sz w:val="22"/>
          <w:szCs w:val="28"/>
          <w:highlight w:val="none"/>
        </w:rPr>
      </w:pPr>
      <w:r>
        <w:rPr>
          <w:sz w:val="22"/>
          <w:szCs w:val="28"/>
          <w:highlight w:val="none"/>
        </w:rPr>
        <w:t>3.4.1 监理人应按第3.1款的约定向承包人发出指示，监理人的指示应盖有监理人授权的施工场地机构章，并由总监理工程师或总监理工程师按第3.3.1项约定授权的监理人员签字。</w:t>
      </w:r>
    </w:p>
    <w:p w14:paraId="02101B5A">
      <w:pPr>
        <w:spacing w:after="160" w:line="278" w:lineRule="auto"/>
        <w:rPr>
          <w:sz w:val="22"/>
          <w:szCs w:val="28"/>
          <w:highlight w:val="none"/>
        </w:rPr>
      </w:pPr>
      <w:r>
        <w:rPr>
          <w:sz w:val="22"/>
          <w:szCs w:val="28"/>
          <w:highlight w:val="none"/>
        </w:rPr>
        <w:t>3.4.2 承包人收到监理人按第3.4.1项作出的指示后应遵照执行。指示构成变更的，应按第15条处理。</w:t>
      </w:r>
    </w:p>
    <w:p w14:paraId="7B32F0B4">
      <w:pPr>
        <w:spacing w:after="160" w:line="278" w:lineRule="auto"/>
        <w:rPr>
          <w:sz w:val="22"/>
          <w:szCs w:val="28"/>
          <w:highlight w:val="none"/>
        </w:rPr>
      </w:pPr>
      <w:r>
        <w:rPr>
          <w:sz w:val="22"/>
          <w:szCs w:val="28"/>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44D9830">
      <w:pPr>
        <w:spacing w:after="160" w:line="278" w:lineRule="auto"/>
        <w:rPr>
          <w:sz w:val="22"/>
          <w:szCs w:val="28"/>
          <w:highlight w:val="none"/>
        </w:rPr>
      </w:pPr>
      <w:r>
        <w:rPr>
          <w:sz w:val="22"/>
          <w:szCs w:val="28"/>
          <w:highlight w:val="none"/>
        </w:rPr>
        <w:t>3.4.4 除合同另有约定外，承包人只从总监理工程师或按第3.3.1项被授权的监理人员处取得指示。</w:t>
      </w:r>
    </w:p>
    <w:p w14:paraId="6109A6CE">
      <w:pPr>
        <w:spacing w:after="160" w:line="278" w:lineRule="auto"/>
        <w:rPr>
          <w:sz w:val="22"/>
          <w:szCs w:val="28"/>
          <w:highlight w:val="none"/>
        </w:rPr>
      </w:pPr>
      <w:r>
        <w:rPr>
          <w:sz w:val="22"/>
          <w:szCs w:val="28"/>
          <w:highlight w:val="none"/>
        </w:rPr>
        <w:t xml:space="preserve">3.4.5 由于监理人未能按合同约定发出指示、指示延误或指示错误而导致承包人费用增加和（或）工期延误的，由发包人承担赔偿责任。 </w:t>
      </w:r>
    </w:p>
    <w:p w14:paraId="26DE64A2">
      <w:pPr>
        <w:spacing w:after="160" w:line="278" w:lineRule="auto"/>
        <w:rPr>
          <w:sz w:val="22"/>
          <w:szCs w:val="28"/>
          <w:highlight w:val="none"/>
        </w:rPr>
      </w:pPr>
      <w:bookmarkStart w:id="1044" w:name="_Toc342296289"/>
      <w:bookmarkStart w:id="1045" w:name="_Toc152045638"/>
      <w:bookmarkStart w:id="1046" w:name="_Toc109914333"/>
      <w:bookmarkStart w:id="1047" w:name="_Toc179632656"/>
      <w:bookmarkStart w:id="1048" w:name="_Toc132618626"/>
      <w:bookmarkStart w:id="1049" w:name="_Toc132619017"/>
      <w:bookmarkStart w:id="1050" w:name="_Toc142385555"/>
      <w:bookmarkStart w:id="1051" w:name="_Toc129798268"/>
      <w:bookmarkStart w:id="1052" w:name="_Toc338944731"/>
      <w:bookmarkStart w:id="1053" w:name="_Toc152042416"/>
      <w:bookmarkStart w:id="1054" w:name="_Toc144974606"/>
      <w:r>
        <w:rPr>
          <w:sz w:val="22"/>
          <w:szCs w:val="28"/>
          <w:highlight w:val="none"/>
        </w:rPr>
        <w:t>3.5 商定或确定</w:t>
      </w:r>
      <w:bookmarkEnd w:id="1044"/>
      <w:bookmarkEnd w:id="1045"/>
      <w:bookmarkEnd w:id="1046"/>
      <w:bookmarkEnd w:id="1047"/>
      <w:bookmarkEnd w:id="1048"/>
      <w:bookmarkEnd w:id="1049"/>
      <w:bookmarkEnd w:id="1050"/>
      <w:bookmarkEnd w:id="1051"/>
      <w:bookmarkEnd w:id="1052"/>
      <w:bookmarkEnd w:id="1053"/>
      <w:bookmarkEnd w:id="1054"/>
    </w:p>
    <w:p w14:paraId="33564713">
      <w:pPr>
        <w:spacing w:after="160" w:line="278" w:lineRule="auto"/>
        <w:rPr>
          <w:sz w:val="22"/>
          <w:szCs w:val="28"/>
          <w:highlight w:val="none"/>
        </w:rPr>
      </w:pPr>
      <w:r>
        <w:rPr>
          <w:sz w:val="22"/>
          <w:szCs w:val="28"/>
          <w:highlight w:val="none"/>
        </w:rPr>
        <w:t>3.5.1合同约定总监理工程师应按照本款对任何事项进行商定或确定时，总监理工程师应与合同当事人协商，尽量达成一致。不能达成一致的，总监理工程师应认真研究后审慎确定。</w:t>
      </w:r>
    </w:p>
    <w:p w14:paraId="401B3E1C">
      <w:pPr>
        <w:spacing w:after="160" w:line="278" w:lineRule="auto"/>
        <w:rPr>
          <w:sz w:val="22"/>
          <w:szCs w:val="28"/>
          <w:highlight w:val="none"/>
        </w:rPr>
      </w:pPr>
      <w:r>
        <w:rPr>
          <w:sz w:val="22"/>
          <w:szCs w:val="28"/>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0591F01B">
      <w:pPr>
        <w:spacing w:after="160" w:line="278" w:lineRule="auto"/>
        <w:rPr>
          <w:sz w:val="22"/>
          <w:szCs w:val="28"/>
          <w:highlight w:val="none"/>
        </w:rPr>
      </w:pPr>
      <w:bookmarkStart w:id="1055" w:name="_Toc448758425"/>
      <w:bookmarkStart w:id="1056" w:name="_Toc448758525"/>
      <w:bookmarkStart w:id="1057" w:name="_Toc142385556"/>
      <w:bookmarkStart w:id="1058" w:name="_Toc132618627"/>
      <w:bookmarkStart w:id="1059" w:name="_Toc469660020"/>
      <w:bookmarkStart w:id="1060" w:name="_Toc132619018"/>
      <w:bookmarkStart w:id="1061" w:name="_Toc442365617"/>
      <w:bookmarkStart w:id="1062" w:name="_Toc109914334"/>
      <w:bookmarkStart w:id="1063" w:name="_Toc342296290"/>
      <w:bookmarkStart w:id="1064" w:name="_Toc338944732"/>
      <w:bookmarkStart w:id="1065" w:name="_Toc129798269"/>
      <w:r>
        <w:rPr>
          <w:sz w:val="22"/>
          <w:szCs w:val="28"/>
          <w:highlight w:val="none"/>
        </w:rPr>
        <w:t>4. 承包人</w:t>
      </w:r>
      <w:bookmarkEnd w:id="1055"/>
      <w:bookmarkEnd w:id="1056"/>
      <w:bookmarkEnd w:id="1057"/>
      <w:bookmarkEnd w:id="1058"/>
      <w:bookmarkEnd w:id="1059"/>
      <w:bookmarkEnd w:id="1060"/>
      <w:bookmarkEnd w:id="1061"/>
      <w:bookmarkEnd w:id="1062"/>
      <w:bookmarkEnd w:id="1063"/>
      <w:bookmarkEnd w:id="1064"/>
      <w:bookmarkEnd w:id="1065"/>
    </w:p>
    <w:p w14:paraId="4B94761D">
      <w:pPr>
        <w:spacing w:after="160" w:line="278" w:lineRule="auto"/>
        <w:rPr>
          <w:sz w:val="22"/>
          <w:szCs w:val="28"/>
          <w:highlight w:val="none"/>
        </w:rPr>
      </w:pPr>
      <w:bookmarkStart w:id="1066" w:name="_Toc129798270"/>
      <w:bookmarkStart w:id="1067" w:name="_Toc342296291"/>
      <w:bookmarkStart w:id="1068" w:name="_Toc132618628"/>
      <w:bookmarkStart w:id="1069" w:name="_Toc132619019"/>
      <w:bookmarkStart w:id="1070" w:name="_Toc142385557"/>
      <w:bookmarkStart w:id="1071" w:name="_Toc109914335"/>
      <w:bookmarkStart w:id="1072" w:name="_Toc338944733"/>
      <w:r>
        <w:rPr>
          <w:sz w:val="22"/>
          <w:szCs w:val="28"/>
          <w:highlight w:val="none"/>
        </w:rPr>
        <w:t>4.1 承包人的一般义务</w:t>
      </w:r>
      <w:bookmarkEnd w:id="1066"/>
      <w:bookmarkEnd w:id="1067"/>
      <w:bookmarkEnd w:id="1068"/>
      <w:bookmarkEnd w:id="1069"/>
      <w:bookmarkEnd w:id="1070"/>
      <w:bookmarkEnd w:id="1071"/>
      <w:bookmarkEnd w:id="1072"/>
    </w:p>
    <w:p w14:paraId="33F9A022">
      <w:pPr>
        <w:spacing w:after="160" w:line="278" w:lineRule="auto"/>
        <w:rPr>
          <w:sz w:val="22"/>
          <w:szCs w:val="28"/>
          <w:highlight w:val="none"/>
        </w:rPr>
      </w:pPr>
      <w:r>
        <w:rPr>
          <w:sz w:val="22"/>
          <w:szCs w:val="28"/>
          <w:highlight w:val="none"/>
        </w:rPr>
        <w:t xml:space="preserve">4.1.1 </w:t>
      </w:r>
      <w:r>
        <w:rPr>
          <w:rFonts w:hint="eastAsia"/>
          <w:sz w:val="22"/>
          <w:szCs w:val="28"/>
          <w:highlight w:val="none"/>
        </w:rPr>
        <w:t>遵守法律</w:t>
      </w:r>
    </w:p>
    <w:p w14:paraId="15F9EB6F">
      <w:pPr>
        <w:spacing w:after="160" w:line="278" w:lineRule="auto"/>
        <w:rPr>
          <w:sz w:val="22"/>
          <w:szCs w:val="28"/>
          <w:highlight w:val="none"/>
        </w:rPr>
      </w:pPr>
      <w:r>
        <w:rPr>
          <w:sz w:val="22"/>
          <w:szCs w:val="28"/>
          <w:highlight w:val="none"/>
        </w:rPr>
        <w:t>承包人在履行合同过程中应遵守法律，并保证发包人免于承担因承包人违反法律而引起的任何责任。</w:t>
      </w:r>
    </w:p>
    <w:p w14:paraId="57D51B90">
      <w:pPr>
        <w:spacing w:after="160" w:line="278" w:lineRule="auto"/>
        <w:rPr>
          <w:sz w:val="22"/>
          <w:szCs w:val="28"/>
          <w:highlight w:val="none"/>
        </w:rPr>
      </w:pPr>
      <w:r>
        <w:rPr>
          <w:sz w:val="22"/>
          <w:szCs w:val="28"/>
          <w:highlight w:val="none"/>
        </w:rPr>
        <w:t xml:space="preserve">4.1.2 </w:t>
      </w:r>
      <w:r>
        <w:rPr>
          <w:rFonts w:hint="eastAsia"/>
          <w:sz w:val="22"/>
          <w:szCs w:val="28"/>
          <w:highlight w:val="none"/>
        </w:rPr>
        <w:t>依法纳税</w:t>
      </w:r>
    </w:p>
    <w:p w14:paraId="6EF9DFD2">
      <w:pPr>
        <w:spacing w:after="160" w:line="278" w:lineRule="auto"/>
        <w:rPr>
          <w:sz w:val="22"/>
          <w:szCs w:val="28"/>
          <w:highlight w:val="none"/>
        </w:rPr>
      </w:pPr>
      <w:r>
        <w:rPr>
          <w:sz w:val="22"/>
          <w:szCs w:val="28"/>
          <w:highlight w:val="none"/>
        </w:rPr>
        <w:t>承包人应按有关法律规定纳税，应缴纳的税金包括在合同价格内。</w:t>
      </w:r>
    </w:p>
    <w:p w14:paraId="1461A82D">
      <w:pPr>
        <w:spacing w:after="160" w:line="278" w:lineRule="auto"/>
        <w:rPr>
          <w:sz w:val="22"/>
          <w:szCs w:val="28"/>
          <w:highlight w:val="none"/>
        </w:rPr>
      </w:pPr>
      <w:r>
        <w:rPr>
          <w:sz w:val="22"/>
          <w:szCs w:val="28"/>
          <w:highlight w:val="none"/>
        </w:rPr>
        <w:t xml:space="preserve">4.1.3 </w:t>
      </w:r>
      <w:r>
        <w:rPr>
          <w:rFonts w:hint="eastAsia"/>
          <w:sz w:val="22"/>
          <w:szCs w:val="28"/>
          <w:highlight w:val="none"/>
        </w:rPr>
        <w:t>完成各项承包工作</w:t>
      </w:r>
    </w:p>
    <w:p w14:paraId="5E80C1EB">
      <w:pPr>
        <w:spacing w:after="160" w:line="278" w:lineRule="auto"/>
        <w:rPr>
          <w:sz w:val="22"/>
          <w:szCs w:val="28"/>
          <w:highlight w:val="none"/>
        </w:rPr>
      </w:pPr>
      <w:r>
        <w:rPr>
          <w:rFonts w:hint="eastAsia"/>
          <w:sz w:val="22"/>
          <w:szCs w:val="28"/>
          <w:highlight w:val="none"/>
        </w:rPr>
        <w:t>承包人应</w:t>
      </w:r>
      <w:r>
        <w:rPr>
          <w:sz w:val="22"/>
          <w:szCs w:val="28"/>
          <w:highlight w:val="none"/>
        </w:rPr>
        <w:t>办理法律规定应由承包人办理的许可和批准，并将办理结果书面报送发包人留存；按法律规定和合同约定完成工程，并在保修期内承担保修义务</w:t>
      </w:r>
      <w:r>
        <w:rPr>
          <w:rFonts w:hint="eastAsia"/>
          <w:sz w:val="22"/>
          <w:szCs w:val="28"/>
          <w:highlight w:val="none"/>
        </w:rPr>
        <w:t>。除专用合同条款另有约定外，承包人应提供为完成合同工作所需的劳务、材料、施工设备、工程设备和其他物品，并按合同约定负责临时设施的设计、建造、运行、维护、管理和拆除。</w:t>
      </w:r>
    </w:p>
    <w:p w14:paraId="6EAC1993">
      <w:pPr>
        <w:spacing w:after="160" w:line="278" w:lineRule="auto"/>
        <w:rPr>
          <w:sz w:val="22"/>
          <w:szCs w:val="28"/>
          <w:highlight w:val="none"/>
        </w:rPr>
      </w:pPr>
      <w:r>
        <w:rPr>
          <w:sz w:val="22"/>
          <w:szCs w:val="28"/>
          <w:highlight w:val="none"/>
        </w:rPr>
        <w:t xml:space="preserve">4.1.4 </w:t>
      </w:r>
      <w:r>
        <w:rPr>
          <w:rFonts w:hint="eastAsia"/>
          <w:sz w:val="22"/>
          <w:szCs w:val="28"/>
          <w:highlight w:val="none"/>
        </w:rPr>
        <w:t>对施工作业和施工方法的完备性负责</w:t>
      </w:r>
    </w:p>
    <w:p w14:paraId="78B255F0">
      <w:pPr>
        <w:spacing w:after="160" w:line="278" w:lineRule="auto"/>
        <w:rPr>
          <w:sz w:val="22"/>
          <w:szCs w:val="28"/>
          <w:highlight w:val="none"/>
        </w:rPr>
      </w:pPr>
      <w:r>
        <w:rPr>
          <w:sz w:val="22"/>
          <w:szCs w:val="28"/>
          <w:highlight w:val="none"/>
        </w:rPr>
        <w:t>承包人应按合同约定的工作内容和施工进度要求，编制施工组织设计和施工措施计划，并对所有施工作业和施工方法的完备性和安全可靠性负责。</w:t>
      </w:r>
    </w:p>
    <w:p w14:paraId="137CE866">
      <w:pPr>
        <w:spacing w:after="160" w:line="278" w:lineRule="auto"/>
        <w:rPr>
          <w:sz w:val="22"/>
          <w:szCs w:val="28"/>
          <w:highlight w:val="none"/>
        </w:rPr>
      </w:pPr>
      <w:r>
        <w:rPr>
          <w:sz w:val="22"/>
          <w:szCs w:val="28"/>
          <w:highlight w:val="none"/>
        </w:rPr>
        <w:t xml:space="preserve">4.1.5 </w:t>
      </w:r>
      <w:r>
        <w:rPr>
          <w:rFonts w:hint="eastAsia"/>
          <w:sz w:val="22"/>
          <w:szCs w:val="28"/>
          <w:highlight w:val="none"/>
        </w:rPr>
        <w:t>保证工程施工和人员的安全</w:t>
      </w:r>
    </w:p>
    <w:p w14:paraId="06BA14AF">
      <w:pPr>
        <w:spacing w:after="160" w:line="278" w:lineRule="auto"/>
        <w:rPr>
          <w:sz w:val="22"/>
          <w:szCs w:val="28"/>
          <w:highlight w:val="none"/>
        </w:rPr>
      </w:pPr>
      <w:r>
        <w:rPr>
          <w:sz w:val="22"/>
          <w:szCs w:val="28"/>
          <w:highlight w:val="none"/>
        </w:rPr>
        <w:t>承包人应按法律规定和合同约定采取施工安全和环境保护措施，办理工伤保险，确保工程及人员、材料、设备和设施的安全；防止因工程施工造成的人身伤害和财产损失。</w:t>
      </w:r>
    </w:p>
    <w:p w14:paraId="7CBB1831">
      <w:pPr>
        <w:spacing w:after="160" w:line="278" w:lineRule="auto"/>
        <w:rPr>
          <w:sz w:val="22"/>
          <w:szCs w:val="28"/>
          <w:highlight w:val="none"/>
        </w:rPr>
      </w:pPr>
      <w:r>
        <w:rPr>
          <w:sz w:val="22"/>
          <w:szCs w:val="28"/>
          <w:highlight w:val="none"/>
        </w:rPr>
        <w:t xml:space="preserve">4.1.6 </w:t>
      </w:r>
      <w:r>
        <w:rPr>
          <w:rFonts w:hint="eastAsia"/>
          <w:sz w:val="22"/>
          <w:szCs w:val="28"/>
          <w:highlight w:val="none"/>
        </w:rPr>
        <w:t>负责施工场地及其周边环境与生态的保护工作</w:t>
      </w:r>
    </w:p>
    <w:p w14:paraId="3F8659E0">
      <w:pPr>
        <w:spacing w:after="160" w:line="278" w:lineRule="auto"/>
        <w:rPr>
          <w:sz w:val="22"/>
          <w:szCs w:val="28"/>
          <w:highlight w:val="none"/>
        </w:rPr>
      </w:pPr>
      <w:r>
        <w:rPr>
          <w:sz w:val="22"/>
          <w:szCs w:val="28"/>
          <w:highlight w:val="none"/>
        </w:rPr>
        <w:t>承包人应按照第9.4款约定负责施工场地及其周边环境与生态的保护工作。</w:t>
      </w:r>
    </w:p>
    <w:p w14:paraId="7B1605C9">
      <w:pPr>
        <w:spacing w:after="160" w:line="278" w:lineRule="auto"/>
        <w:rPr>
          <w:sz w:val="22"/>
          <w:szCs w:val="28"/>
          <w:highlight w:val="none"/>
        </w:rPr>
      </w:pPr>
      <w:r>
        <w:rPr>
          <w:sz w:val="22"/>
          <w:szCs w:val="28"/>
          <w:highlight w:val="none"/>
        </w:rPr>
        <w:t xml:space="preserve">4.1.7 </w:t>
      </w:r>
      <w:r>
        <w:rPr>
          <w:rFonts w:hint="eastAsia"/>
          <w:sz w:val="22"/>
          <w:szCs w:val="28"/>
          <w:highlight w:val="none"/>
        </w:rPr>
        <w:t>避免施工对公众与他人的利益造成损害</w:t>
      </w:r>
    </w:p>
    <w:p w14:paraId="235367CE">
      <w:pPr>
        <w:spacing w:after="160" w:line="278" w:lineRule="auto"/>
        <w:rPr>
          <w:sz w:val="22"/>
          <w:szCs w:val="28"/>
          <w:highlight w:val="none"/>
        </w:rPr>
      </w:pPr>
      <w:r>
        <w:rPr>
          <w:sz w:val="22"/>
          <w:szCs w:val="28"/>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9A5EDA9">
      <w:pPr>
        <w:spacing w:after="160" w:line="278" w:lineRule="auto"/>
        <w:rPr>
          <w:sz w:val="22"/>
          <w:szCs w:val="28"/>
          <w:highlight w:val="none"/>
        </w:rPr>
      </w:pPr>
      <w:r>
        <w:rPr>
          <w:sz w:val="22"/>
          <w:szCs w:val="28"/>
          <w:highlight w:val="none"/>
        </w:rPr>
        <w:t xml:space="preserve">4.1.8 </w:t>
      </w:r>
      <w:r>
        <w:rPr>
          <w:rFonts w:hint="eastAsia"/>
          <w:sz w:val="22"/>
          <w:szCs w:val="28"/>
          <w:highlight w:val="none"/>
        </w:rPr>
        <w:t>为他人提供方便</w:t>
      </w:r>
    </w:p>
    <w:p w14:paraId="44B4363A">
      <w:pPr>
        <w:spacing w:after="160" w:line="278" w:lineRule="auto"/>
        <w:rPr>
          <w:sz w:val="22"/>
          <w:szCs w:val="28"/>
          <w:highlight w:val="none"/>
        </w:rPr>
      </w:pPr>
      <w:r>
        <w:rPr>
          <w:sz w:val="22"/>
          <w:szCs w:val="28"/>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14041045">
      <w:pPr>
        <w:spacing w:after="160" w:line="278" w:lineRule="auto"/>
        <w:rPr>
          <w:sz w:val="22"/>
          <w:szCs w:val="28"/>
          <w:highlight w:val="none"/>
        </w:rPr>
      </w:pPr>
      <w:r>
        <w:rPr>
          <w:sz w:val="22"/>
          <w:szCs w:val="28"/>
          <w:highlight w:val="none"/>
        </w:rPr>
        <w:t xml:space="preserve">4.1.9 </w:t>
      </w:r>
      <w:r>
        <w:rPr>
          <w:rFonts w:hint="eastAsia"/>
          <w:sz w:val="22"/>
          <w:szCs w:val="28"/>
          <w:highlight w:val="none"/>
        </w:rPr>
        <w:t>工程的维护和照管</w:t>
      </w:r>
    </w:p>
    <w:p w14:paraId="777C0CA8">
      <w:pPr>
        <w:spacing w:after="160" w:line="278" w:lineRule="auto"/>
        <w:rPr>
          <w:sz w:val="22"/>
          <w:szCs w:val="28"/>
          <w:highlight w:val="none"/>
        </w:rPr>
      </w:pPr>
      <w:r>
        <w:rPr>
          <w:rFonts w:hint="eastAsia"/>
          <w:sz w:val="22"/>
          <w:szCs w:val="28"/>
          <w:highlight w:val="none"/>
        </w:rPr>
        <w:t>（</w:t>
      </w:r>
      <w:r>
        <w:rPr>
          <w:sz w:val="22"/>
          <w:szCs w:val="28"/>
          <w:highlight w:val="none"/>
        </w:rPr>
        <w:t>1）除专用合同条款另有约定外，自发包人向承包人移交施工现场之日起，承</w:t>
      </w:r>
      <w:r>
        <w:rPr>
          <w:rFonts w:hint="eastAsia"/>
          <w:sz w:val="22"/>
          <w:szCs w:val="28"/>
          <w:highlight w:val="none"/>
        </w:rPr>
        <w:t>包人应负责照管工程及工程相关的材料、工程设备，直到颁发工程接收证书之日止。</w:t>
      </w:r>
    </w:p>
    <w:p w14:paraId="0594CF20">
      <w:pPr>
        <w:spacing w:after="160" w:line="278" w:lineRule="auto"/>
        <w:rPr>
          <w:sz w:val="22"/>
          <w:szCs w:val="28"/>
          <w:highlight w:val="none"/>
        </w:rPr>
      </w:pPr>
      <w:r>
        <w:rPr>
          <w:rFonts w:hint="eastAsia"/>
          <w:sz w:val="22"/>
          <w:szCs w:val="28"/>
          <w:highlight w:val="none"/>
        </w:rPr>
        <w:t>（</w:t>
      </w:r>
      <w:r>
        <w:rPr>
          <w:sz w:val="22"/>
          <w:szCs w:val="28"/>
          <w:highlight w:val="none"/>
        </w:rPr>
        <w:t>2）在承包人负责照管期间，因承包人原因造成工程、材料、工程设备损坏的，由承包人负责修复或更换，并承担由此增加的费用和（或）延误的工期。</w:t>
      </w:r>
    </w:p>
    <w:p w14:paraId="7242AFB1">
      <w:pPr>
        <w:spacing w:after="160" w:line="278" w:lineRule="auto"/>
        <w:rPr>
          <w:sz w:val="22"/>
          <w:szCs w:val="28"/>
          <w:highlight w:val="none"/>
        </w:rPr>
      </w:pPr>
      <w:r>
        <w:rPr>
          <w:rFonts w:hint="eastAsia"/>
          <w:sz w:val="22"/>
          <w:szCs w:val="28"/>
          <w:highlight w:val="none"/>
        </w:rPr>
        <w:t>（</w:t>
      </w:r>
      <w:r>
        <w:rPr>
          <w:sz w:val="22"/>
          <w:szCs w:val="28"/>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13223F8">
      <w:pPr>
        <w:spacing w:after="160" w:line="278" w:lineRule="auto"/>
        <w:rPr>
          <w:sz w:val="22"/>
          <w:szCs w:val="28"/>
          <w:highlight w:val="none"/>
        </w:rPr>
      </w:pPr>
    </w:p>
    <w:p w14:paraId="70FAF545">
      <w:pPr>
        <w:spacing w:after="160" w:line="278" w:lineRule="auto"/>
        <w:rPr>
          <w:sz w:val="22"/>
          <w:szCs w:val="28"/>
          <w:highlight w:val="none"/>
        </w:rPr>
      </w:pPr>
      <w:r>
        <w:rPr>
          <w:sz w:val="22"/>
          <w:szCs w:val="28"/>
          <w:highlight w:val="none"/>
        </w:rPr>
        <w:t>4.1.10 工程</w:t>
      </w:r>
      <w:r>
        <w:rPr>
          <w:rFonts w:hint="eastAsia"/>
          <w:sz w:val="22"/>
          <w:szCs w:val="28"/>
          <w:highlight w:val="none"/>
        </w:rPr>
        <w:t>款的使用</w:t>
      </w:r>
    </w:p>
    <w:p w14:paraId="0DB1A0ED">
      <w:pPr>
        <w:spacing w:after="160" w:line="278" w:lineRule="auto"/>
        <w:rPr>
          <w:sz w:val="22"/>
          <w:szCs w:val="28"/>
          <w:highlight w:val="none"/>
        </w:rPr>
      </w:pPr>
      <w:r>
        <w:rPr>
          <w:rFonts w:hint="eastAsia"/>
          <w:sz w:val="22"/>
          <w:szCs w:val="28"/>
          <w:highlight w:val="none"/>
        </w:rPr>
        <w:t>将发包人按合同约定支付的各项价款专用于合同工程，且应及时支付其雇用人员工资，并及时向分包人支付合同价款；</w:t>
      </w:r>
    </w:p>
    <w:p w14:paraId="65EFA8C5">
      <w:pPr>
        <w:spacing w:after="160" w:line="278" w:lineRule="auto"/>
        <w:rPr>
          <w:sz w:val="22"/>
          <w:szCs w:val="28"/>
          <w:highlight w:val="none"/>
        </w:rPr>
      </w:pPr>
      <w:r>
        <w:rPr>
          <w:sz w:val="22"/>
          <w:szCs w:val="28"/>
          <w:highlight w:val="none"/>
        </w:rPr>
        <w:t>4.1.11 工程</w:t>
      </w:r>
      <w:r>
        <w:rPr>
          <w:rFonts w:hint="eastAsia"/>
          <w:sz w:val="22"/>
          <w:szCs w:val="28"/>
          <w:highlight w:val="none"/>
        </w:rPr>
        <w:t>资料管理</w:t>
      </w:r>
    </w:p>
    <w:p w14:paraId="538E0A9F">
      <w:pPr>
        <w:spacing w:after="160" w:line="278" w:lineRule="auto"/>
        <w:rPr>
          <w:sz w:val="22"/>
          <w:szCs w:val="28"/>
          <w:highlight w:val="none"/>
        </w:rPr>
      </w:pPr>
      <w:r>
        <w:rPr>
          <w:rFonts w:hint="eastAsia"/>
          <w:sz w:val="22"/>
          <w:szCs w:val="28"/>
          <w:highlight w:val="none"/>
        </w:rPr>
        <w:t>承包人应按照法律规定和合同约定编制竣工资料，及时按照双方合同约定时间，配合发包人完成竣工所需资料立卷及归档，并按专用合同条款约定的竣工资料的套数、内容、时间等要求移交发包人，并保证其真实可靠性。</w:t>
      </w:r>
      <w:r>
        <w:rPr>
          <w:sz w:val="22"/>
          <w:szCs w:val="28"/>
          <w:highlight w:val="none"/>
        </w:rPr>
        <w:t xml:space="preserve">4.1.12 </w:t>
      </w:r>
      <w:r>
        <w:rPr>
          <w:rFonts w:hint="eastAsia"/>
          <w:sz w:val="22"/>
          <w:szCs w:val="28"/>
          <w:highlight w:val="none"/>
        </w:rPr>
        <w:t>其他义务</w:t>
      </w:r>
    </w:p>
    <w:p w14:paraId="47F429E4">
      <w:pPr>
        <w:spacing w:after="160" w:line="278" w:lineRule="auto"/>
        <w:rPr>
          <w:sz w:val="22"/>
          <w:szCs w:val="28"/>
          <w:highlight w:val="none"/>
        </w:rPr>
      </w:pPr>
      <w:r>
        <w:rPr>
          <w:sz w:val="22"/>
          <w:szCs w:val="28"/>
          <w:highlight w:val="none"/>
        </w:rPr>
        <w:t>承包人应履行合同约定的其他义务。</w:t>
      </w:r>
    </w:p>
    <w:p w14:paraId="7B166619">
      <w:pPr>
        <w:spacing w:after="160" w:line="278" w:lineRule="auto"/>
        <w:rPr>
          <w:sz w:val="22"/>
          <w:szCs w:val="28"/>
          <w:highlight w:val="none"/>
        </w:rPr>
      </w:pPr>
      <w:bookmarkStart w:id="1073" w:name="_Toc152045641"/>
      <w:bookmarkStart w:id="1074" w:name="_Toc109914336"/>
      <w:bookmarkStart w:id="1075" w:name="_Toc132619020"/>
      <w:bookmarkStart w:id="1076" w:name="_Toc152042419"/>
      <w:bookmarkStart w:id="1077" w:name="_Toc142385558"/>
      <w:bookmarkStart w:id="1078" w:name="_Toc179632659"/>
      <w:bookmarkStart w:id="1079" w:name="_Toc144974609"/>
      <w:bookmarkStart w:id="1080" w:name="_Toc342296292"/>
      <w:bookmarkStart w:id="1081" w:name="_Toc129798271"/>
      <w:bookmarkStart w:id="1082" w:name="_Toc338944734"/>
      <w:bookmarkStart w:id="1083" w:name="_Toc132618629"/>
      <w:r>
        <w:rPr>
          <w:sz w:val="22"/>
          <w:szCs w:val="28"/>
          <w:highlight w:val="none"/>
        </w:rPr>
        <w:t>4.2 履约担保</w:t>
      </w:r>
      <w:bookmarkEnd w:id="1073"/>
      <w:bookmarkEnd w:id="1074"/>
      <w:bookmarkEnd w:id="1075"/>
      <w:bookmarkEnd w:id="1076"/>
      <w:bookmarkEnd w:id="1077"/>
      <w:bookmarkEnd w:id="1078"/>
      <w:bookmarkEnd w:id="1079"/>
      <w:bookmarkEnd w:id="1080"/>
      <w:bookmarkEnd w:id="1081"/>
      <w:bookmarkEnd w:id="1082"/>
      <w:bookmarkEnd w:id="1083"/>
    </w:p>
    <w:p w14:paraId="29AE5719">
      <w:pPr>
        <w:spacing w:after="160" w:line="278" w:lineRule="auto"/>
        <w:rPr>
          <w:sz w:val="22"/>
          <w:szCs w:val="28"/>
          <w:highlight w:val="none"/>
        </w:rPr>
      </w:pPr>
      <w:r>
        <w:rPr>
          <w:sz w:val="22"/>
          <w:szCs w:val="28"/>
          <w:highlight w:val="none"/>
        </w:rPr>
        <w:t>承包人应保证其履约担保在发包人颁发工程接收证书前一直有效。发包人应在工程接收证书颁发后28天内把履约担保退还给承包人。</w:t>
      </w:r>
    </w:p>
    <w:p w14:paraId="2A56CF59">
      <w:pPr>
        <w:spacing w:after="160" w:line="278" w:lineRule="auto"/>
        <w:rPr>
          <w:sz w:val="22"/>
          <w:szCs w:val="28"/>
          <w:highlight w:val="none"/>
        </w:rPr>
      </w:pPr>
      <w:bookmarkStart w:id="1084" w:name="_Toc342296293"/>
      <w:bookmarkStart w:id="1085" w:name="_Toc132618630"/>
      <w:bookmarkStart w:id="1086" w:name="_Toc109914337"/>
      <w:bookmarkStart w:id="1087" w:name="_Toc338944735"/>
      <w:bookmarkStart w:id="1088" w:name="_Toc132619021"/>
      <w:bookmarkStart w:id="1089" w:name="_Toc142385559"/>
      <w:bookmarkStart w:id="1090" w:name="_Toc129798272"/>
      <w:r>
        <w:rPr>
          <w:sz w:val="22"/>
          <w:szCs w:val="28"/>
          <w:highlight w:val="none"/>
        </w:rPr>
        <w:t>4.3 分包</w:t>
      </w:r>
      <w:bookmarkEnd w:id="1084"/>
      <w:bookmarkEnd w:id="1085"/>
      <w:bookmarkEnd w:id="1086"/>
      <w:bookmarkEnd w:id="1087"/>
      <w:bookmarkEnd w:id="1088"/>
      <w:bookmarkEnd w:id="1089"/>
      <w:bookmarkEnd w:id="1090"/>
    </w:p>
    <w:p w14:paraId="2602502B">
      <w:pPr>
        <w:spacing w:after="160" w:line="278" w:lineRule="auto"/>
        <w:rPr>
          <w:sz w:val="22"/>
          <w:szCs w:val="28"/>
          <w:highlight w:val="none"/>
        </w:rPr>
      </w:pPr>
      <w:r>
        <w:rPr>
          <w:sz w:val="22"/>
          <w:szCs w:val="28"/>
          <w:highlight w:val="none"/>
        </w:rPr>
        <w:t>4.3.1 承包人不得将其承包的全部工程转包给第三人，或将其承包的全部工程肢解后以分包的名义转包给第三人。</w:t>
      </w:r>
    </w:p>
    <w:p w14:paraId="639C5D68">
      <w:pPr>
        <w:spacing w:after="160" w:line="278" w:lineRule="auto"/>
        <w:rPr>
          <w:sz w:val="22"/>
          <w:szCs w:val="28"/>
          <w:highlight w:val="none"/>
        </w:rPr>
      </w:pPr>
      <w:r>
        <w:rPr>
          <w:sz w:val="22"/>
          <w:szCs w:val="28"/>
          <w:highlight w:val="none"/>
        </w:rPr>
        <w:t>4.3.2 承包人不得将工程主体、关键性工作分包给第三人。除专用合同条款另有约定外，未经发包人同意，承包人不得将工程的其他部分或工作分包给第三人。</w:t>
      </w:r>
    </w:p>
    <w:p w14:paraId="3BBDD308">
      <w:pPr>
        <w:spacing w:after="160" w:line="278" w:lineRule="auto"/>
        <w:rPr>
          <w:sz w:val="22"/>
          <w:szCs w:val="28"/>
          <w:highlight w:val="none"/>
        </w:rPr>
      </w:pPr>
      <w:r>
        <w:rPr>
          <w:sz w:val="22"/>
          <w:szCs w:val="28"/>
          <w:highlight w:val="none"/>
        </w:rPr>
        <w:t>4.3.3 分包人的资格能力应与其分包工程的标准和规模相适应。</w:t>
      </w:r>
    </w:p>
    <w:p w14:paraId="7662F551">
      <w:pPr>
        <w:spacing w:after="160" w:line="278" w:lineRule="auto"/>
        <w:rPr>
          <w:sz w:val="22"/>
          <w:szCs w:val="28"/>
          <w:highlight w:val="none"/>
        </w:rPr>
      </w:pPr>
      <w:r>
        <w:rPr>
          <w:sz w:val="22"/>
          <w:szCs w:val="28"/>
          <w:highlight w:val="none"/>
        </w:rPr>
        <w:t>4.3.4 按投标函附录约定分包工程的，承包人应向发包人和监理人提交分包合同副本。</w:t>
      </w:r>
    </w:p>
    <w:p w14:paraId="0BDDCA6C">
      <w:pPr>
        <w:spacing w:after="160" w:line="278" w:lineRule="auto"/>
        <w:rPr>
          <w:sz w:val="22"/>
          <w:szCs w:val="28"/>
          <w:highlight w:val="none"/>
        </w:rPr>
      </w:pPr>
      <w:r>
        <w:rPr>
          <w:sz w:val="22"/>
          <w:szCs w:val="28"/>
          <w:highlight w:val="none"/>
        </w:rPr>
        <w:t>4.3.5 承包人应与分包人就分包工程向发包人承担连带责任。</w:t>
      </w:r>
    </w:p>
    <w:p w14:paraId="42DA9483">
      <w:pPr>
        <w:spacing w:after="160" w:line="278" w:lineRule="auto"/>
        <w:rPr>
          <w:sz w:val="22"/>
          <w:szCs w:val="28"/>
          <w:highlight w:val="none"/>
        </w:rPr>
      </w:pPr>
      <w:bookmarkStart w:id="1091" w:name="_Toc142385560"/>
      <w:bookmarkStart w:id="1092" w:name="_Toc132618631"/>
      <w:bookmarkStart w:id="1093" w:name="_Toc132619022"/>
      <w:bookmarkStart w:id="1094" w:name="_Toc129798273"/>
      <w:bookmarkStart w:id="1095" w:name="_Toc109914338"/>
      <w:r>
        <w:rPr>
          <w:sz w:val="22"/>
          <w:szCs w:val="28"/>
          <w:highlight w:val="none"/>
        </w:rPr>
        <w:t>4.3.6</w:t>
      </w:r>
      <w:r>
        <w:rPr>
          <w:rFonts w:hint="eastAsia"/>
          <w:sz w:val="22"/>
          <w:szCs w:val="28"/>
          <w:highlight w:val="none"/>
        </w:rPr>
        <w:t>承包人应向监理人提交分包人的主要施工管理人员表，并对分包人的施工人员进行实名制管理。</w:t>
      </w:r>
      <w:bookmarkEnd w:id="1091"/>
      <w:bookmarkEnd w:id="1092"/>
      <w:bookmarkEnd w:id="1093"/>
      <w:bookmarkEnd w:id="1094"/>
      <w:bookmarkEnd w:id="1095"/>
      <w:bookmarkStart w:id="1096" w:name="_Toc179632661"/>
      <w:bookmarkStart w:id="1097" w:name="_Toc152042421"/>
      <w:bookmarkStart w:id="1098" w:name="_Toc144974611"/>
      <w:bookmarkStart w:id="1099" w:name="_Toc338944736"/>
      <w:bookmarkStart w:id="1100" w:name="_Toc342296294"/>
      <w:bookmarkStart w:id="1101" w:name="_Toc152045643"/>
    </w:p>
    <w:p w14:paraId="3C96E2A4">
      <w:pPr>
        <w:spacing w:after="160" w:line="278" w:lineRule="auto"/>
        <w:rPr>
          <w:sz w:val="22"/>
          <w:szCs w:val="28"/>
          <w:highlight w:val="none"/>
        </w:rPr>
      </w:pPr>
      <w:bookmarkStart w:id="1102" w:name="_Toc129798274"/>
      <w:bookmarkStart w:id="1103" w:name="_Toc142385561"/>
      <w:bookmarkStart w:id="1104" w:name="_Toc132619023"/>
      <w:bookmarkStart w:id="1105" w:name="_Toc132618632"/>
      <w:bookmarkStart w:id="1106" w:name="_Toc109914339"/>
      <w:r>
        <w:rPr>
          <w:sz w:val="22"/>
          <w:szCs w:val="28"/>
          <w:highlight w:val="none"/>
        </w:rPr>
        <w:t>4.4 联合体</w:t>
      </w:r>
      <w:bookmarkEnd w:id="1096"/>
      <w:bookmarkEnd w:id="1097"/>
      <w:bookmarkEnd w:id="1098"/>
      <w:bookmarkEnd w:id="1099"/>
      <w:bookmarkEnd w:id="1100"/>
      <w:bookmarkEnd w:id="1101"/>
      <w:bookmarkEnd w:id="1102"/>
      <w:bookmarkEnd w:id="1103"/>
      <w:bookmarkEnd w:id="1104"/>
      <w:bookmarkEnd w:id="1105"/>
      <w:bookmarkEnd w:id="1106"/>
    </w:p>
    <w:p w14:paraId="285AFA5F">
      <w:pPr>
        <w:spacing w:after="160" w:line="278" w:lineRule="auto"/>
        <w:rPr>
          <w:sz w:val="22"/>
          <w:szCs w:val="28"/>
          <w:highlight w:val="none"/>
        </w:rPr>
      </w:pPr>
      <w:r>
        <w:rPr>
          <w:sz w:val="22"/>
          <w:szCs w:val="28"/>
          <w:highlight w:val="none"/>
        </w:rPr>
        <w:t>4.4.1 联合体各方应共同与发包人签订合同协议书。联合体各方应为履行合同承担连带责任。</w:t>
      </w:r>
    </w:p>
    <w:p w14:paraId="2C453475">
      <w:pPr>
        <w:spacing w:after="160" w:line="278" w:lineRule="auto"/>
        <w:rPr>
          <w:sz w:val="22"/>
          <w:szCs w:val="28"/>
          <w:highlight w:val="none"/>
        </w:rPr>
      </w:pPr>
      <w:r>
        <w:rPr>
          <w:sz w:val="22"/>
          <w:szCs w:val="28"/>
          <w:highlight w:val="none"/>
        </w:rPr>
        <w:t>4.4.2 联合体协议经发包人确认后作为合同附件。在履行合同过程中，未经发包人同意，不得修改联合体协议。</w:t>
      </w:r>
    </w:p>
    <w:p w14:paraId="2E936AE1">
      <w:pPr>
        <w:spacing w:after="160" w:line="278" w:lineRule="auto"/>
        <w:rPr>
          <w:sz w:val="22"/>
          <w:szCs w:val="28"/>
          <w:highlight w:val="none"/>
        </w:rPr>
      </w:pPr>
      <w:r>
        <w:rPr>
          <w:sz w:val="22"/>
          <w:szCs w:val="28"/>
          <w:highlight w:val="none"/>
        </w:rPr>
        <w:t>4.4.3 联合体牵头人负责与发包人和监理人联系，并接受指示，负责组织联合体各成员全面履行合同。</w:t>
      </w:r>
    </w:p>
    <w:p w14:paraId="3ACF6538">
      <w:pPr>
        <w:spacing w:after="160" w:line="278" w:lineRule="auto"/>
        <w:rPr>
          <w:sz w:val="22"/>
          <w:szCs w:val="28"/>
          <w:highlight w:val="none"/>
        </w:rPr>
      </w:pPr>
      <w:bookmarkStart w:id="1107" w:name="_Toc129798275"/>
      <w:bookmarkStart w:id="1108" w:name="_Toc342296295"/>
      <w:bookmarkStart w:id="1109" w:name="_Toc109914340"/>
      <w:bookmarkStart w:id="1110" w:name="_Toc338944737"/>
      <w:bookmarkStart w:id="1111" w:name="_Toc132619024"/>
      <w:bookmarkStart w:id="1112" w:name="_Toc142385562"/>
      <w:bookmarkStart w:id="1113" w:name="_Toc132618633"/>
      <w:r>
        <w:rPr>
          <w:sz w:val="22"/>
          <w:szCs w:val="28"/>
          <w:highlight w:val="none"/>
        </w:rPr>
        <w:t>4.5 承包人项目经理</w:t>
      </w:r>
      <w:bookmarkEnd w:id="1107"/>
      <w:bookmarkEnd w:id="1108"/>
      <w:bookmarkEnd w:id="1109"/>
      <w:bookmarkEnd w:id="1110"/>
      <w:bookmarkEnd w:id="1111"/>
      <w:bookmarkEnd w:id="1112"/>
      <w:bookmarkEnd w:id="1113"/>
    </w:p>
    <w:p w14:paraId="721EDCEC">
      <w:pPr>
        <w:spacing w:after="160" w:line="278" w:lineRule="auto"/>
        <w:rPr>
          <w:sz w:val="22"/>
          <w:szCs w:val="28"/>
          <w:highlight w:val="none"/>
        </w:rPr>
      </w:pPr>
      <w:r>
        <w:rPr>
          <w:sz w:val="22"/>
          <w:szCs w:val="28"/>
          <w:highlight w:val="none"/>
        </w:rPr>
        <w:t>4.5.1</w:t>
      </w:r>
      <w:r>
        <w:rPr>
          <w:rFonts w:hint="eastAsia"/>
          <w:sz w:val="22"/>
          <w:szCs w:val="28"/>
          <w:highlight w:val="none"/>
        </w:rPr>
        <w:t>项目经理应为合同当事人所确认的人选，</w:t>
      </w:r>
      <w:r>
        <w:rPr>
          <w:sz w:val="22"/>
          <w:szCs w:val="28"/>
          <w:highlight w:val="none"/>
        </w:rPr>
        <w:t>并在约定的期限内到职</w:t>
      </w:r>
      <w:r>
        <w:rPr>
          <w:rFonts w:hint="eastAsia"/>
          <w:sz w:val="22"/>
          <w:szCs w:val="28"/>
          <w:highlight w:val="none"/>
        </w:rPr>
        <w:t>。项目经理的姓名、职称、注册执业证书编号、联系方式及授权范围等应在专用合同条款中明确。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F28AF9E">
      <w:pPr>
        <w:spacing w:after="160" w:line="278" w:lineRule="auto"/>
        <w:rPr>
          <w:sz w:val="22"/>
          <w:szCs w:val="28"/>
          <w:highlight w:val="none"/>
        </w:rPr>
      </w:pPr>
      <w:r>
        <w:rPr>
          <w:rFonts w:hint="eastAsia"/>
          <w:sz w:val="22"/>
          <w:szCs w:val="28"/>
          <w:highlight w:val="none"/>
        </w:rPr>
        <w:t>项目经理应常驻施工现场，且每月在施工现场时间不得少于专用合同条款约定的天数。项目经理不得同时担任其他项目的项目经理。项目经理确需离开施工现场时，应事先14天通知监理人，并取得发包人的书面同意。项目经理的通知中应当载明临时代行其职责的人员的注册执业资格、管理经验等资料，该人员应具备履行相应职责的能力。</w:t>
      </w:r>
    </w:p>
    <w:p w14:paraId="1FF029E8">
      <w:pPr>
        <w:spacing w:after="160" w:line="278" w:lineRule="auto"/>
        <w:rPr>
          <w:sz w:val="22"/>
          <w:szCs w:val="28"/>
          <w:highlight w:val="none"/>
        </w:rPr>
      </w:pPr>
      <w:r>
        <w:rPr>
          <w:sz w:val="22"/>
          <w:szCs w:val="28"/>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1E6402E">
      <w:pPr>
        <w:spacing w:after="160" w:line="278" w:lineRule="auto"/>
        <w:rPr>
          <w:sz w:val="22"/>
          <w:szCs w:val="28"/>
          <w:highlight w:val="none"/>
        </w:rPr>
      </w:pPr>
      <w:r>
        <w:rPr>
          <w:sz w:val="22"/>
          <w:szCs w:val="28"/>
          <w:highlight w:val="none"/>
        </w:rPr>
        <w:t>4.5.3承包人为履行合同发出的一切函件均应盖有承包人授权的施工场地管理机构章，并由承包人项目经理或其授权代表签字。</w:t>
      </w:r>
    </w:p>
    <w:p w14:paraId="6904A90D">
      <w:pPr>
        <w:spacing w:after="160" w:line="278" w:lineRule="auto"/>
        <w:rPr>
          <w:sz w:val="22"/>
          <w:szCs w:val="28"/>
          <w:highlight w:val="none"/>
        </w:rPr>
      </w:pPr>
      <w:r>
        <w:rPr>
          <w:sz w:val="22"/>
          <w:szCs w:val="28"/>
          <w:highlight w:val="none"/>
        </w:rPr>
        <w:t>4.5.4 承包人项目经理可以授权其下属人员履行其某项职责，但事先应将这些人员的姓名和授权范围通知监理人。</w:t>
      </w:r>
    </w:p>
    <w:p w14:paraId="4363CADF">
      <w:pPr>
        <w:spacing w:after="160" w:line="278" w:lineRule="auto"/>
        <w:rPr>
          <w:sz w:val="22"/>
          <w:szCs w:val="28"/>
          <w:highlight w:val="none"/>
        </w:rPr>
      </w:pPr>
      <w:bookmarkStart w:id="1114" w:name="_Toc152042423"/>
      <w:bookmarkStart w:id="1115" w:name="_Toc144974613"/>
      <w:bookmarkStart w:id="1116" w:name="_Toc132618634"/>
      <w:bookmarkStart w:id="1117" w:name="_Toc132619025"/>
      <w:bookmarkStart w:id="1118" w:name="_Toc342296296"/>
      <w:bookmarkStart w:id="1119" w:name="_Toc152045645"/>
      <w:bookmarkStart w:id="1120" w:name="_Toc338944738"/>
      <w:bookmarkStart w:id="1121" w:name="_Toc142385563"/>
      <w:bookmarkStart w:id="1122" w:name="_Toc109914341"/>
      <w:bookmarkStart w:id="1123" w:name="_Toc129798276"/>
      <w:bookmarkStart w:id="1124" w:name="_Toc179632663"/>
      <w:r>
        <w:rPr>
          <w:sz w:val="22"/>
          <w:szCs w:val="28"/>
          <w:highlight w:val="none"/>
        </w:rPr>
        <w:t>4.6 承包人人员的管理</w:t>
      </w:r>
      <w:bookmarkEnd w:id="1114"/>
      <w:bookmarkEnd w:id="1115"/>
      <w:bookmarkEnd w:id="1116"/>
      <w:bookmarkEnd w:id="1117"/>
      <w:bookmarkEnd w:id="1118"/>
      <w:bookmarkEnd w:id="1119"/>
      <w:bookmarkEnd w:id="1120"/>
      <w:bookmarkEnd w:id="1121"/>
      <w:bookmarkEnd w:id="1122"/>
      <w:bookmarkEnd w:id="1123"/>
      <w:bookmarkEnd w:id="1124"/>
    </w:p>
    <w:p w14:paraId="43570711">
      <w:pPr>
        <w:spacing w:after="160" w:line="278" w:lineRule="auto"/>
        <w:rPr>
          <w:sz w:val="22"/>
          <w:szCs w:val="28"/>
          <w:highlight w:val="none"/>
        </w:rPr>
      </w:pPr>
      <w:r>
        <w:rPr>
          <w:sz w:val="22"/>
          <w:szCs w:val="28"/>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w:t>
      </w:r>
      <w:r>
        <w:rPr>
          <w:rFonts w:hint="eastAsia"/>
          <w:sz w:val="22"/>
          <w:szCs w:val="28"/>
          <w:highlight w:val="none"/>
        </w:rPr>
        <w:t>并同时提交主要施工管理人员与承包人之间的劳动关系证明和缴纳社会保险的有效证明。</w:t>
      </w:r>
      <w:r>
        <w:rPr>
          <w:sz w:val="22"/>
          <w:szCs w:val="28"/>
          <w:highlight w:val="none"/>
        </w:rPr>
        <w:t>承包人应向监理人提交施工场地人员变动情况的报告。</w:t>
      </w:r>
    </w:p>
    <w:p w14:paraId="0744C374">
      <w:pPr>
        <w:spacing w:after="160" w:line="278" w:lineRule="auto"/>
        <w:rPr>
          <w:sz w:val="22"/>
          <w:szCs w:val="28"/>
          <w:highlight w:val="none"/>
        </w:rPr>
      </w:pPr>
      <w:r>
        <w:rPr>
          <w:sz w:val="22"/>
          <w:szCs w:val="28"/>
          <w:highlight w:val="none"/>
        </w:rPr>
        <w:t>4.6.2 为完成合同约定的各项工作，承包人应向施工场地派遣或雇佣足够数量的下列人员：</w:t>
      </w:r>
    </w:p>
    <w:p w14:paraId="609FA4EE">
      <w:pPr>
        <w:spacing w:after="160" w:line="278" w:lineRule="auto"/>
        <w:rPr>
          <w:sz w:val="22"/>
          <w:szCs w:val="28"/>
          <w:highlight w:val="none"/>
        </w:rPr>
      </w:pPr>
      <w:r>
        <w:rPr>
          <w:sz w:val="22"/>
          <w:szCs w:val="28"/>
          <w:highlight w:val="none"/>
        </w:rPr>
        <w:t>（1）具有相应资格的专业技工和合格的普工；</w:t>
      </w:r>
    </w:p>
    <w:p w14:paraId="4E531B6A">
      <w:pPr>
        <w:spacing w:after="160" w:line="278" w:lineRule="auto"/>
        <w:rPr>
          <w:sz w:val="22"/>
          <w:szCs w:val="28"/>
          <w:highlight w:val="none"/>
        </w:rPr>
      </w:pPr>
      <w:r>
        <w:rPr>
          <w:sz w:val="22"/>
          <w:szCs w:val="28"/>
          <w:highlight w:val="none"/>
        </w:rPr>
        <w:t>（2）具有相应施工经验的技术人员；</w:t>
      </w:r>
    </w:p>
    <w:p w14:paraId="44951EBC">
      <w:pPr>
        <w:spacing w:after="160" w:line="278" w:lineRule="auto"/>
        <w:rPr>
          <w:sz w:val="22"/>
          <w:szCs w:val="28"/>
          <w:highlight w:val="none"/>
        </w:rPr>
      </w:pPr>
      <w:r>
        <w:rPr>
          <w:sz w:val="22"/>
          <w:szCs w:val="28"/>
          <w:highlight w:val="none"/>
        </w:rPr>
        <w:t>（3）具有相应岗位资格的各级管理人员。4.6.3 承包人安排在施工场地的主要管理人员和技术骨干应相对稳定。承包人更换主要管理人员和技术骨干时，应取得监理人的同意。</w:t>
      </w:r>
    </w:p>
    <w:p w14:paraId="0CFF23E0">
      <w:pPr>
        <w:spacing w:after="160" w:line="278" w:lineRule="auto"/>
        <w:rPr>
          <w:sz w:val="22"/>
          <w:szCs w:val="28"/>
          <w:highlight w:val="none"/>
        </w:rPr>
      </w:pPr>
      <w:r>
        <w:rPr>
          <w:sz w:val="22"/>
          <w:szCs w:val="28"/>
          <w:highlight w:val="none"/>
        </w:rPr>
        <w:t>4.6.4 特殊岗位的工作人员均应持有相应的资格证明，监理人有权随时检查。监理人认为有必要时，可进行现场考核。</w:t>
      </w:r>
    </w:p>
    <w:p w14:paraId="5684E77C">
      <w:pPr>
        <w:spacing w:after="160" w:line="278" w:lineRule="auto"/>
        <w:rPr>
          <w:sz w:val="22"/>
          <w:szCs w:val="28"/>
          <w:highlight w:val="none"/>
        </w:rPr>
      </w:pPr>
      <w:bookmarkStart w:id="1125" w:name="_Toc152042424"/>
      <w:bookmarkStart w:id="1126" w:name="_Toc142385564"/>
      <w:bookmarkStart w:id="1127" w:name="_Toc342296297"/>
      <w:bookmarkStart w:id="1128" w:name="_Toc144974614"/>
      <w:bookmarkStart w:id="1129" w:name="_Toc109914342"/>
      <w:bookmarkStart w:id="1130" w:name="_Toc132618635"/>
      <w:bookmarkStart w:id="1131" w:name="_Toc152045646"/>
      <w:bookmarkStart w:id="1132" w:name="_Toc338944739"/>
      <w:bookmarkStart w:id="1133" w:name="_Toc132619026"/>
      <w:bookmarkStart w:id="1134" w:name="_Toc129798277"/>
      <w:bookmarkStart w:id="1135" w:name="_Toc179632664"/>
      <w:r>
        <w:rPr>
          <w:sz w:val="22"/>
          <w:szCs w:val="28"/>
          <w:highlight w:val="none"/>
        </w:rPr>
        <w:t>4.7 撤换承包人项目经理和其他人员</w:t>
      </w:r>
      <w:bookmarkEnd w:id="1125"/>
      <w:bookmarkEnd w:id="1126"/>
      <w:bookmarkEnd w:id="1127"/>
      <w:bookmarkEnd w:id="1128"/>
      <w:bookmarkEnd w:id="1129"/>
      <w:bookmarkEnd w:id="1130"/>
      <w:bookmarkEnd w:id="1131"/>
      <w:bookmarkEnd w:id="1132"/>
      <w:bookmarkEnd w:id="1133"/>
      <w:bookmarkEnd w:id="1134"/>
      <w:bookmarkEnd w:id="1135"/>
    </w:p>
    <w:p w14:paraId="59EB350D">
      <w:pPr>
        <w:spacing w:after="160" w:line="278" w:lineRule="auto"/>
        <w:rPr>
          <w:sz w:val="22"/>
          <w:szCs w:val="28"/>
          <w:highlight w:val="none"/>
        </w:rPr>
      </w:pPr>
      <w:r>
        <w:rPr>
          <w:sz w:val="22"/>
          <w:szCs w:val="28"/>
          <w:highlight w:val="none"/>
        </w:rPr>
        <w:t>承包人应对其项目经理和其他人员进行有效管理。</w:t>
      </w:r>
      <w:r>
        <w:rPr>
          <w:rFonts w:hint="eastAsia"/>
          <w:sz w:val="22"/>
          <w:szCs w:val="28"/>
          <w:highlight w:val="none"/>
        </w:rPr>
        <w:t>发包人对于承包人主要施工管理人员的资格或能力有异议的，要求撤换不能按照合同约定履行职责及义务的主要施工管理人员的，承包人应当撤换。承包人无正当理由拒绝撤换的，应按照专用合同条款的约定承担违约责任。</w:t>
      </w:r>
    </w:p>
    <w:p w14:paraId="565E0AE7">
      <w:pPr>
        <w:spacing w:after="160" w:line="278" w:lineRule="auto"/>
        <w:rPr>
          <w:sz w:val="22"/>
          <w:szCs w:val="28"/>
          <w:highlight w:val="none"/>
        </w:rPr>
      </w:pPr>
      <w:r>
        <w:rPr>
          <w:sz w:val="22"/>
          <w:szCs w:val="28"/>
          <w:highlight w:val="none"/>
        </w:rPr>
        <w:t>监理人要求撤换不能胜任本职工作、行为不端或玩忽职守的承包人项目经理和其他人员的，承包人应予以撤换。</w:t>
      </w:r>
    </w:p>
    <w:p w14:paraId="0F1B0F68">
      <w:pPr>
        <w:spacing w:after="160" w:line="278" w:lineRule="auto"/>
        <w:rPr>
          <w:sz w:val="22"/>
          <w:szCs w:val="28"/>
          <w:highlight w:val="none"/>
        </w:rPr>
      </w:pPr>
      <w:bookmarkStart w:id="1136" w:name="_Toc152042425"/>
      <w:bookmarkStart w:id="1137" w:name="_Toc342296298"/>
      <w:bookmarkStart w:id="1138" w:name="_Toc142385565"/>
      <w:bookmarkStart w:id="1139" w:name="_Toc144974615"/>
      <w:bookmarkStart w:id="1140" w:name="_Toc132619027"/>
      <w:bookmarkStart w:id="1141" w:name="_Toc338944740"/>
      <w:bookmarkStart w:id="1142" w:name="_Toc179632665"/>
      <w:bookmarkStart w:id="1143" w:name="_Toc152045647"/>
      <w:bookmarkStart w:id="1144" w:name="_Toc129798278"/>
      <w:bookmarkStart w:id="1145" w:name="_Toc109914343"/>
      <w:bookmarkStart w:id="1146" w:name="_Toc132618636"/>
      <w:r>
        <w:rPr>
          <w:sz w:val="22"/>
          <w:szCs w:val="28"/>
          <w:highlight w:val="none"/>
        </w:rPr>
        <w:t>4.8 保障承包人人员的合法权益</w:t>
      </w:r>
      <w:bookmarkEnd w:id="1136"/>
      <w:bookmarkEnd w:id="1137"/>
      <w:bookmarkEnd w:id="1138"/>
      <w:bookmarkEnd w:id="1139"/>
      <w:bookmarkEnd w:id="1140"/>
      <w:bookmarkEnd w:id="1141"/>
      <w:bookmarkEnd w:id="1142"/>
      <w:bookmarkEnd w:id="1143"/>
      <w:bookmarkEnd w:id="1144"/>
      <w:bookmarkEnd w:id="1145"/>
      <w:bookmarkEnd w:id="1146"/>
    </w:p>
    <w:p w14:paraId="4D557F30">
      <w:pPr>
        <w:spacing w:after="160" w:line="278" w:lineRule="auto"/>
        <w:rPr>
          <w:sz w:val="22"/>
          <w:szCs w:val="28"/>
          <w:highlight w:val="none"/>
        </w:rPr>
      </w:pPr>
      <w:r>
        <w:rPr>
          <w:sz w:val="22"/>
          <w:szCs w:val="28"/>
          <w:highlight w:val="none"/>
        </w:rPr>
        <w:t>4.8.1 承包人应与其雇佣的人员签订劳动合同，并按时发放工资。</w:t>
      </w:r>
    </w:p>
    <w:p w14:paraId="7B437F58">
      <w:pPr>
        <w:spacing w:after="160" w:line="278" w:lineRule="auto"/>
        <w:rPr>
          <w:sz w:val="22"/>
          <w:szCs w:val="28"/>
          <w:highlight w:val="none"/>
        </w:rPr>
      </w:pPr>
      <w:r>
        <w:rPr>
          <w:sz w:val="22"/>
          <w:szCs w:val="28"/>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1B1719FD">
      <w:pPr>
        <w:spacing w:after="160" w:line="278" w:lineRule="auto"/>
        <w:rPr>
          <w:sz w:val="22"/>
          <w:szCs w:val="28"/>
          <w:highlight w:val="none"/>
        </w:rPr>
      </w:pPr>
      <w:r>
        <w:rPr>
          <w:sz w:val="22"/>
          <w:szCs w:val="28"/>
          <w:highlight w:val="none"/>
        </w:rPr>
        <w:t>4.8.3 承包人应为其雇佣人员提供必要的食宿条件，以及符合环境保护和卫生要求的生活环境，在远离城镇的施工场地，还应配备必要的伤病防治和急救的医务人员与医疗设施。</w:t>
      </w:r>
    </w:p>
    <w:p w14:paraId="0B4827B5">
      <w:pPr>
        <w:spacing w:after="160" w:line="278" w:lineRule="auto"/>
        <w:rPr>
          <w:sz w:val="22"/>
          <w:szCs w:val="28"/>
          <w:highlight w:val="none"/>
        </w:rPr>
      </w:pPr>
      <w:r>
        <w:rPr>
          <w:sz w:val="22"/>
          <w:szCs w:val="28"/>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401020">
      <w:pPr>
        <w:spacing w:after="160" w:line="278" w:lineRule="auto"/>
        <w:rPr>
          <w:sz w:val="22"/>
          <w:szCs w:val="28"/>
          <w:highlight w:val="none"/>
        </w:rPr>
      </w:pPr>
      <w:r>
        <w:rPr>
          <w:sz w:val="22"/>
          <w:szCs w:val="28"/>
          <w:highlight w:val="none"/>
        </w:rPr>
        <w:t>4.8.5 承包人应按有关法律规定和合同约定，为其雇佣人员办理保险。</w:t>
      </w:r>
    </w:p>
    <w:p w14:paraId="34530E89">
      <w:pPr>
        <w:spacing w:after="160" w:line="278" w:lineRule="auto"/>
        <w:rPr>
          <w:sz w:val="22"/>
          <w:szCs w:val="28"/>
          <w:highlight w:val="none"/>
        </w:rPr>
      </w:pPr>
      <w:r>
        <w:rPr>
          <w:sz w:val="22"/>
          <w:szCs w:val="28"/>
          <w:highlight w:val="none"/>
        </w:rPr>
        <w:t>4.8.6 承包人应负责处理其雇佣人员因工伤亡事故的善后事宜。</w:t>
      </w:r>
    </w:p>
    <w:p w14:paraId="2260F635">
      <w:pPr>
        <w:spacing w:after="160" w:line="278" w:lineRule="auto"/>
        <w:rPr>
          <w:sz w:val="22"/>
          <w:szCs w:val="28"/>
          <w:highlight w:val="none"/>
        </w:rPr>
      </w:pPr>
      <w:bookmarkStart w:id="1147" w:name="_Toc144974616"/>
      <w:bookmarkStart w:id="1148" w:name="_Toc142385566"/>
      <w:bookmarkStart w:id="1149" w:name="_Toc152042426"/>
      <w:bookmarkStart w:id="1150" w:name="_Toc342296299"/>
      <w:bookmarkStart w:id="1151" w:name="_Toc109914344"/>
      <w:bookmarkStart w:id="1152" w:name="_Toc132618637"/>
      <w:bookmarkStart w:id="1153" w:name="_Toc152045648"/>
      <w:bookmarkStart w:id="1154" w:name="_Toc338944741"/>
      <w:bookmarkStart w:id="1155" w:name="_Toc129798279"/>
      <w:bookmarkStart w:id="1156" w:name="_Toc132619028"/>
      <w:bookmarkStart w:id="1157" w:name="_Toc179632666"/>
      <w:r>
        <w:rPr>
          <w:sz w:val="22"/>
          <w:szCs w:val="28"/>
          <w:highlight w:val="none"/>
        </w:rPr>
        <w:t>4.9 工程价款应专款专用</w:t>
      </w:r>
      <w:bookmarkEnd w:id="1147"/>
      <w:bookmarkEnd w:id="1148"/>
      <w:bookmarkEnd w:id="1149"/>
      <w:bookmarkEnd w:id="1150"/>
      <w:bookmarkEnd w:id="1151"/>
      <w:bookmarkEnd w:id="1152"/>
      <w:bookmarkEnd w:id="1153"/>
      <w:bookmarkEnd w:id="1154"/>
      <w:bookmarkEnd w:id="1155"/>
      <w:bookmarkEnd w:id="1156"/>
      <w:bookmarkEnd w:id="1157"/>
    </w:p>
    <w:p w14:paraId="259517E0">
      <w:pPr>
        <w:spacing w:after="160" w:line="278" w:lineRule="auto"/>
        <w:rPr>
          <w:sz w:val="22"/>
          <w:szCs w:val="28"/>
          <w:highlight w:val="none"/>
        </w:rPr>
      </w:pPr>
      <w:r>
        <w:rPr>
          <w:sz w:val="22"/>
          <w:szCs w:val="28"/>
          <w:highlight w:val="none"/>
        </w:rPr>
        <w:t>发包人按合同约定支付给承包人的各项价款应专用于合同工程。</w:t>
      </w:r>
    </w:p>
    <w:p w14:paraId="41AEB8B7">
      <w:pPr>
        <w:spacing w:after="160" w:line="278" w:lineRule="auto"/>
        <w:rPr>
          <w:sz w:val="22"/>
          <w:szCs w:val="28"/>
          <w:highlight w:val="none"/>
        </w:rPr>
      </w:pPr>
      <w:bookmarkStart w:id="1158" w:name="_Toc144974617"/>
      <w:bookmarkStart w:id="1159" w:name="_Toc132618638"/>
      <w:bookmarkStart w:id="1160" w:name="_Toc142385567"/>
      <w:bookmarkStart w:id="1161" w:name="_Toc342296300"/>
      <w:bookmarkStart w:id="1162" w:name="_Toc338944742"/>
      <w:bookmarkStart w:id="1163" w:name="_Toc129798280"/>
      <w:bookmarkStart w:id="1164" w:name="_Toc152045649"/>
      <w:bookmarkStart w:id="1165" w:name="_Toc152042427"/>
      <w:bookmarkStart w:id="1166" w:name="_Toc179632667"/>
      <w:bookmarkStart w:id="1167" w:name="_Toc109914345"/>
      <w:bookmarkStart w:id="1168" w:name="_Toc132619029"/>
      <w:r>
        <w:rPr>
          <w:sz w:val="22"/>
          <w:szCs w:val="28"/>
          <w:highlight w:val="none"/>
        </w:rPr>
        <w:t>4.10 承包人现场查勘</w:t>
      </w:r>
      <w:bookmarkEnd w:id="1158"/>
      <w:bookmarkEnd w:id="1159"/>
      <w:bookmarkEnd w:id="1160"/>
      <w:bookmarkEnd w:id="1161"/>
      <w:bookmarkEnd w:id="1162"/>
      <w:bookmarkEnd w:id="1163"/>
      <w:bookmarkEnd w:id="1164"/>
      <w:bookmarkEnd w:id="1165"/>
      <w:bookmarkEnd w:id="1166"/>
      <w:bookmarkEnd w:id="1167"/>
      <w:bookmarkEnd w:id="1168"/>
      <w:r>
        <w:rPr>
          <w:sz w:val="22"/>
          <w:szCs w:val="28"/>
          <w:highlight w:val="none"/>
        </w:rPr>
        <w:t xml:space="preserve">                                                                                                           </w:t>
      </w:r>
    </w:p>
    <w:p w14:paraId="42C117A3">
      <w:pPr>
        <w:spacing w:after="160" w:line="278" w:lineRule="auto"/>
        <w:rPr>
          <w:sz w:val="22"/>
          <w:szCs w:val="28"/>
          <w:highlight w:val="none"/>
        </w:rPr>
      </w:pPr>
      <w:r>
        <w:rPr>
          <w:sz w:val="22"/>
          <w:szCs w:val="28"/>
          <w:highlight w:val="none"/>
        </w:rPr>
        <w:t>4.10.1 发包人应将其持有的现场地质勘探资料、水文气象资料提供给承包人，并对其准确性负责。但承包人应对其阅读上述有关资料后所作出的解释和推断负责。</w:t>
      </w:r>
    </w:p>
    <w:p w14:paraId="12D5A9A1">
      <w:pPr>
        <w:spacing w:after="160" w:line="278" w:lineRule="auto"/>
        <w:rPr>
          <w:sz w:val="22"/>
          <w:szCs w:val="28"/>
          <w:highlight w:val="none"/>
        </w:rPr>
      </w:pPr>
      <w:r>
        <w:rPr>
          <w:sz w:val="22"/>
          <w:szCs w:val="28"/>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r>
        <w:rPr>
          <w:rFonts w:hint="eastAsia"/>
          <w:sz w:val="22"/>
          <w:szCs w:val="28"/>
          <w:highlight w:val="none"/>
        </w:rPr>
        <w:t>因承包人未能充分查勘、了解前述情况或未能充分估计前述情况所可能产生后果的，承包人承担由此增加的费用和（或）延误的工期。</w:t>
      </w:r>
    </w:p>
    <w:p w14:paraId="5B47C837">
      <w:pPr>
        <w:spacing w:after="160" w:line="278" w:lineRule="auto"/>
        <w:rPr>
          <w:sz w:val="22"/>
          <w:szCs w:val="28"/>
          <w:highlight w:val="none"/>
        </w:rPr>
      </w:pPr>
      <w:r>
        <w:rPr>
          <w:sz w:val="22"/>
          <w:szCs w:val="28"/>
          <w:highlight w:val="none"/>
        </w:rPr>
        <w:t>4.10.3</w:t>
      </w:r>
      <w:r>
        <w:rPr>
          <w:rFonts w:hint="eastAsia"/>
          <w:sz w:val="22"/>
          <w:szCs w:val="28"/>
          <w:highlight w:val="none"/>
        </w:rPr>
        <w:t>承包人应对施工场地区域内的天气进行实时监控，发包人有义务对恶劣天气对承包人进行提醒管理。若遭遇风雨雷电等天气，发包人应提前做好防护准备与措施，保证恶劣天气对施工现场的损害达到最小。若因承包人无视天气因素或没有做好充足准备导致施工现场破坏严重、工期拖延情况严重，应有承包人承担相应责任。</w:t>
      </w:r>
    </w:p>
    <w:p w14:paraId="04A680FB">
      <w:pPr>
        <w:spacing w:after="160" w:line="278" w:lineRule="auto"/>
        <w:rPr>
          <w:sz w:val="22"/>
          <w:szCs w:val="28"/>
          <w:highlight w:val="none"/>
        </w:rPr>
      </w:pPr>
      <w:bookmarkStart w:id="1169" w:name="_Toc338944743"/>
      <w:bookmarkStart w:id="1170" w:name="_Toc342296301"/>
      <w:r>
        <w:rPr>
          <w:sz w:val="22"/>
          <w:szCs w:val="28"/>
          <w:highlight w:val="none"/>
        </w:rPr>
        <w:t>4.11 不利物质条件</w:t>
      </w:r>
      <w:bookmarkEnd w:id="1169"/>
      <w:bookmarkEnd w:id="1170"/>
    </w:p>
    <w:p w14:paraId="12A0120E">
      <w:pPr>
        <w:spacing w:after="160" w:line="278" w:lineRule="auto"/>
        <w:rPr>
          <w:sz w:val="22"/>
          <w:szCs w:val="28"/>
          <w:highlight w:val="none"/>
        </w:rPr>
      </w:pPr>
      <w:r>
        <w:rPr>
          <w:sz w:val="22"/>
          <w:szCs w:val="28"/>
          <w:highlight w:val="none"/>
        </w:rPr>
        <w:t>4.11.1 不利物质条件，除专用合同条款另有约定外，是指承包人在施工场地遇到的不可预见的自然物质条件、非自然的物质障碍和污染物，包括地下和水文条件，但不包括气候条件。</w:t>
      </w:r>
    </w:p>
    <w:p w14:paraId="269D1604">
      <w:pPr>
        <w:spacing w:after="160" w:line="278" w:lineRule="auto"/>
        <w:rPr>
          <w:sz w:val="22"/>
          <w:szCs w:val="28"/>
          <w:highlight w:val="none"/>
        </w:rPr>
      </w:pPr>
      <w:r>
        <w:rPr>
          <w:sz w:val="22"/>
          <w:szCs w:val="28"/>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13D73D3">
      <w:pPr>
        <w:spacing w:after="160" w:line="278" w:lineRule="auto"/>
        <w:rPr>
          <w:sz w:val="22"/>
          <w:szCs w:val="28"/>
          <w:highlight w:val="none"/>
        </w:rPr>
      </w:pPr>
      <w:bookmarkStart w:id="1171" w:name="_Toc132618639"/>
      <w:bookmarkStart w:id="1172" w:name="_Toc132619030"/>
      <w:bookmarkStart w:id="1173" w:name="_Toc142385568"/>
      <w:bookmarkStart w:id="1174" w:name="_Toc448758426"/>
      <w:bookmarkStart w:id="1175" w:name="_Toc442365618"/>
      <w:bookmarkStart w:id="1176" w:name="_Toc338944744"/>
      <w:bookmarkStart w:id="1177" w:name="_Toc469660021"/>
      <w:bookmarkStart w:id="1178" w:name="_Toc448758526"/>
      <w:bookmarkStart w:id="1179" w:name="_Toc129798281"/>
      <w:bookmarkStart w:id="1180" w:name="_Toc342296302"/>
      <w:bookmarkStart w:id="1181" w:name="_Toc109914346"/>
      <w:r>
        <w:rPr>
          <w:sz w:val="22"/>
          <w:szCs w:val="28"/>
          <w:highlight w:val="none"/>
        </w:rPr>
        <w:t>5. 材料和工程设备</w:t>
      </w:r>
      <w:bookmarkEnd w:id="1171"/>
      <w:bookmarkEnd w:id="1172"/>
      <w:bookmarkEnd w:id="1173"/>
      <w:bookmarkEnd w:id="1174"/>
      <w:bookmarkEnd w:id="1175"/>
      <w:bookmarkEnd w:id="1176"/>
      <w:bookmarkEnd w:id="1177"/>
      <w:bookmarkEnd w:id="1178"/>
      <w:bookmarkEnd w:id="1179"/>
      <w:bookmarkEnd w:id="1180"/>
      <w:bookmarkEnd w:id="1181"/>
    </w:p>
    <w:p w14:paraId="6520C4A2">
      <w:pPr>
        <w:spacing w:after="160" w:line="278" w:lineRule="auto"/>
        <w:rPr>
          <w:sz w:val="22"/>
          <w:szCs w:val="28"/>
          <w:highlight w:val="none"/>
        </w:rPr>
      </w:pPr>
      <w:bookmarkStart w:id="1182" w:name="_Toc109914347"/>
      <w:bookmarkStart w:id="1183" w:name="_Toc342296303"/>
      <w:bookmarkStart w:id="1184" w:name="_Toc338944745"/>
      <w:bookmarkStart w:id="1185" w:name="_Toc142385569"/>
      <w:bookmarkStart w:id="1186" w:name="_Toc129798282"/>
      <w:bookmarkStart w:id="1187" w:name="_Toc132619031"/>
      <w:bookmarkStart w:id="1188" w:name="_Toc132618640"/>
      <w:r>
        <w:rPr>
          <w:sz w:val="22"/>
          <w:szCs w:val="28"/>
          <w:highlight w:val="none"/>
        </w:rPr>
        <w:t>5.1 承包人提供的材料和工程设备</w:t>
      </w:r>
      <w:bookmarkEnd w:id="1182"/>
      <w:bookmarkEnd w:id="1183"/>
      <w:bookmarkEnd w:id="1184"/>
      <w:bookmarkEnd w:id="1185"/>
      <w:bookmarkEnd w:id="1186"/>
      <w:bookmarkEnd w:id="1187"/>
      <w:bookmarkEnd w:id="1188"/>
    </w:p>
    <w:p w14:paraId="3A335D24">
      <w:pPr>
        <w:spacing w:after="160" w:line="278" w:lineRule="auto"/>
        <w:rPr>
          <w:sz w:val="22"/>
          <w:szCs w:val="28"/>
          <w:highlight w:val="none"/>
        </w:rPr>
      </w:pPr>
      <w:r>
        <w:rPr>
          <w:sz w:val="22"/>
          <w:szCs w:val="28"/>
          <w:highlight w:val="none"/>
        </w:rPr>
        <w:t>5.1.1 除专用合同条款另有约定外，承包人提供的材料和工程设备均由承包人负责采购、运输和保管。承包人应对其采购的材料和工程设备负责。</w:t>
      </w:r>
    </w:p>
    <w:p w14:paraId="20CD704E">
      <w:pPr>
        <w:spacing w:after="160" w:line="278" w:lineRule="auto"/>
        <w:rPr>
          <w:sz w:val="22"/>
          <w:szCs w:val="28"/>
          <w:highlight w:val="none"/>
        </w:rPr>
      </w:pPr>
      <w:r>
        <w:rPr>
          <w:sz w:val="22"/>
          <w:szCs w:val="28"/>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376F872">
      <w:pPr>
        <w:spacing w:after="160" w:line="278" w:lineRule="auto"/>
        <w:rPr>
          <w:sz w:val="22"/>
          <w:szCs w:val="28"/>
          <w:highlight w:val="none"/>
        </w:rPr>
      </w:pPr>
      <w:r>
        <w:rPr>
          <w:sz w:val="22"/>
          <w:szCs w:val="28"/>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D618C10">
      <w:pPr>
        <w:spacing w:after="160" w:line="278" w:lineRule="auto"/>
        <w:rPr>
          <w:sz w:val="22"/>
          <w:szCs w:val="28"/>
          <w:highlight w:val="none"/>
        </w:rPr>
      </w:pPr>
      <w:bookmarkStart w:id="1189" w:name="_Toc342296304"/>
      <w:bookmarkStart w:id="1190" w:name="_Toc132618641"/>
      <w:bookmarkStart w:id="1191" w:name="_Toc129798283"/>
      <w:bookmarkStart w:id="1192" w:name="_Toc142385570"/>
      <w:bookmarkStart w:id="1193" w:name="_Toc109914348"/>
      <w:bookmarkStart w:id="1194" w:name="_Toc132619032"/>
      <w:bookmarkStart w:id="1195" w:name="_Toc338944746"/>
      <w:r>
        <w:rPr>
          <w:sz w:val="22"/>
          <w:szCs w:val="28"/>
          <w:highlight w:val="none"/>
        </w:rPr>
        <w:t>5.2 发包人提供的材料和工程设备</w:t>
      </w:r>
      <w:bookmarkEnd w:id="1189"/>
      <w:bookmarkEnd w:id="1190"/>
      <w:bookmarkEnd w:id="1191"/>
      <w:bookmarkEnd w:id="1192"/>
      <w:bookmarkEnd w:id="1193"/>
      <w:bookmarkEnd w:id="1194"/>
      <w:bookmarkEnd w:id="1195"/>
    </w:p>
    <w:p w14:paraId="1466A2CD">
      <w:pPr>
        <w:spacing w:after="160" w:line="278" w:lineRule="auto"/>
        <w:rPr>
          <w:sz w:val="22"/>
          <w:szCs w:val="28"/>
          <w:highlight w:val="none"/>
        </w:rPr>
      </w:pPr>
      <w:r>
        <w:rPr>
          <w:sz w:val="22"/>
          <w:szCs w:val="28"/>
          <w:highlight w:val="none"/>
        </w:rPr>
        <w:t>5.2.1 发包人提供的材料和工程设备，应在专用合同条款中写明材料和工程设备的名称、规格、数量、价格、交货方式、交货地点和计划交货日期等。</w:t>
      </w:r>
    </w:p>
    <w:p w14:paraId="656A706B">
      <w:pPr>
        <w:spacing w:after="160" w:line="278" w:lineRule="auto"/>
        <w:rPr>
          <w:sz w:val="22"/>
          <w:szCs w:val="28"/>
          <w:highlight w:val="none"/>
        </w:rPr>
      </w:pPr>
      <w:r>
        <w:rPr>
          <w:sz w:val="22"/>
          <w:szCs w:val="28"/>
          <w:highlight w:val="none"/>
        </w:rPr>
        <w:t>5.2.2 承包人应根据合同进度计划的安排，向监理人报送要求发包人交货的日期计划。发包人应按照监理人与合同双方当事人商定的交货日期，向承包人提交材料和工程设备。</w:t>
      </w:r>
    </w:p>
    <w:p w14:paraId="40CC3711">
      <w:pPr>
        <w:spacing w:after="160" w:line="278" w:lineRule="auto"/>
        <w:rPr>
          <w:sz w:val="22"/>
          <w:szCs w:val="28"/>
          <w:highlight w:val="none"/>
        </w:rPr>
      </w:pPr>
      <w:r>
        <w:rPr>
          <w:sz w:val="22"/>
          <w:szCs w:val="28"/>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38F3193">
      <w:pPr>
        <w:spacing w:after="160" w:line="278" w:lineRule="auto"/>
        <w:rPr>
          <w:sz w:val="22"/>
          <w:szCs w:val="28"/>
          <w:highlight w:val="none"/>
        </w:rPr>
      </w:pPr>
      <w:r>
        <w:rPr>
          <w:sz w:val="22"/>
          <w:szCs w:val="28"/>
          <w:highlight w:val="none"/>
        </w:rPr>
        <w:t xml:space="preserve">5.2.4 发包人要求向承包人提前交货的，承包人不得拒绝，但发包人应承担承包人由此增加的费用。 </w:t>
      </w:r>
    </w:p>
    <w:p w14:paraId="2B1DC56A">
      <w:pPr>
        <w:spacing w:after="160" w:line="278" w:lineRule="auto"/>
        <w:rPr>
          <w:sz w:val="22"/>
          <w:szCs w:val="28"/>
          <w:highlight w:val="none"/>
        </w:rPr>
      </w:pPr>
      <w:r>
        <w:rPr>
          <w:sz w:val="22"/>
          <w:szCs w:val="28"/>
          <w:highlight w:val="none"/>
        </w:rPr>
        <w:t xml:space="preserve">5.2.5 承包人要求更改交货日期或地点的，应事先报请监理人批准。由于承包人要求更改交货时间或地点所增加的费用和（或）工期延误由承包人承担。 </w:t>
      </w:r>
    </w:p>
    <w:p w14:paraId="21EDA2AB">
      <w:pPr>
        <w:spacing w:after="160" w:line="278" w:lineRule="auto"/>
        <w:rPr>
          <w:sz w:val="22"/>
          <w:szCs w:val="28"/>
          <w:highlight w:val="none"/>
        </w:rPr>
      </w:pPr>
      <w:r>
        <w:rPr>
          <w:sz w:val="22"/>
          <w:szCs w:val="28"/>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11AEC74">
      <w:pPr>
        <w:spacing w:after="160" w:line="278" w:lineRule="auto"/>
        <w:rPr>
          <w:sz w:val="22"/>
          <w:szCs w:val="28"/>
          <w:highlight w:val="none"/>
        </w:rPr>
      </w:pPr>
      <w:bookmarkStart w:id="1196" w:name="_Toc132619033"/>
      <w:bookmarkStart w:id="1197" w:name="_Toc338944747"/>
      <w:bookmarkStart w:id="1198" w:name="_Toc132618642"/>
      <w:bookmarkStart w:id="1199" w:name="_Toc144974622"/>
      <w:bookmarkStart w:id="1200" w:name="_Toc109914349"/>
      <w:bookmarkStart w:id="1201" w:name="_Toc129798284"/>
      <w:bookmarkStart w:id="1202" w:name="_Toc179632672"/>
      <w:bookmarkStart w:id="1203" w:name="_Toc142385571"/>
      <w:bookmarkStart w:id="1204" w:name="_Toc152042432"/>
      <w:bookmarkStart w:id="1205" w:name="_Toc152045654"/>
      <w:bookmarkStart w:id="1206" w:name="_Toc342296305"/>
      <w:r>
        <w:rPr>
          <w:sz w:val="22"/>
          <w:szCs w:val="28"/>
          <w:highlight w:val="none"/>
        </w:rPr>
        <w:t>5.3 材料和工程设备专用于合同工程</w:t>
      </w:r>
      <w:bookmarkEnd w:id="1196"/>
      <w:bookmarkEnd w:id="1197"/>
      <w:bookmarkEnd w:id="1198"/>
      <w:bookmarkEnd w:id="1199"/>
      <w:bookmarkEnd w:id="1200"/>
      <w:bookmarkEnd w:id="1201"/>
      <w:bookmarkEnd w:id="1202"/>
      <w:bookmarkEnd w:id="1203"/>
      <w:bookmarkEnd w:id="1204"/>
      <w:bookmarkEnd w:id="1205"/>
      <w:bookmarkEnd w:id="1206"/>
    </w:p>
    <w:p w14:paraId="40454CC6">
      <w:pPr>
        <w:spacing w:after="160" w:line="278" w:lineRule="auto"/>
        <w:rPr>
          <w:sz w:val="22"/>
          <w:szCs w:val="28"/>
          <w:highlight w:val="none"/>
        </w:rPr>
      </w:pPr>
      <w:r>
        <w:rPr>
          <w:sz w:val="22"/>
          <w:szCs w:val="28"/>
          <w:highlight w:val="none"/>
        </w:rPr>
        <w:t>5.3.1运入施工场地的材料、工程设备，包括备品备件、安装专用工器具与随机资料，必须专用于合同工程，</w:t>
      </w:r>
      <w:r>
        <w:rPr>
          <w:rFonts w:hint="eastAsia"/>
          <w:sz w:val="22"/>
          <w:szCs w:val="28"/>
          <w:highlight w:val="none"/>
        </w:rPr>
        <w:t>且入场前均要通知监理人与发包人工程师进行检查。且</w:t>
      </w:r>
      <w:r>
        <w:rPr>
          <w:sz w:val="22"/>
          <w:szCs w:val="28"/>
          <w:highlight w:val="none"/>
        </w:rPr>
        <w:t>未经监理人同意，承包人不得</w:t>
      </w:r>
      <w:r>
        <w:rPr>
          <w:rFonts w:hint="eastAsia"/>
          <w:sz w:val="22"/>
          <w:szCs w:val="28"/>
          <w:highlight w:val="none"/>
        </w:rPr>
        <w:t>将5.3.1条涉及的材料设备等</w:t>
      </w:r>
      <w:r>
        <w:rPr>
          <w:sz w:val="22"/>
          <w:szCs w:val="28"/>
          <w:highlight w:val="none"/>
        </w:rPr>
        <w:t>运出施工场地或挪作他用。</w:t>
      </w:r>
    </w:p>
    <w:p w14:paraId="4B0A292E">
      <w:pPr>
        <w:spacing w:after="160" w:line="278" w:lineRule="auto"/>
        <w:rPr>
          <w:sz w:val="22"/>
          <w:szCs w:val="28"/>
          <w:highlight w:val="none"/>
        </w:rPr>
      </w:pPr>
      <w:r>
        <w:rPr>
          <w:sz w:val="22"/>
          <w:szCs w:val="28"/>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1232926">
      <w:pPr>
        <w:spacing w:after="160" w:line="278" w:lineRule="auto"/>
        <w:rPr>
          <w:sz w:val="22"/>
          <w:szCs w:val="28"/>
          <w:highlight w:val="none"/>
        </w:rPr>
      </w:pPr>
      <w:bookmarkStart w:id="1207" w:name="_Toc152042433"/>
      <w:bookmarkStart w:id="1208" w:name="_Toc144974623"/>
      <w:bookmarkStart w:id="1209" w:name="_Toc342296306"/>
      <w:bookmarkStart w:id="1210" w:name="_Toc129798285"/>
      <w:bookmarkStart w:id="1211" w:name="_Toc152045655"/>
      <w:bookmarkStart w:id="1212" w:name="_Toc132619034"/>
      <w:bookmarkStart w:id="1213" w:name="_Toc142385572"/>
      <w:bookmarkStart w:id="1214" w:name="_Toc179632673"/>
      <w:bookmarkStart w:id="1215" w:name="_Toc109914350"/>
      <w:bookmarkStart w:id="1216" w:name="_Toc132618643"/>
      <w:bookmarkStart w:id="1217" w:name="_Toc338944748"/>
      <w:r>
        <w:rPr>
          <w:sz w:val="22"/>
          <w:szCs w:val="28"/>
          <w:highlight w:val="none"/>
        </w:rPr>
        <w:t>5.4 禁止使用不合格的材料和工程设备</w:t>
      </w:r>
      <w:bookmarkEnd w:id="1207"/>
      <w:bookmarkEnd w:id="1208"/>
      <w:bookmarkEnd w:id="1209"/>
      <w:bookmarkEnd w:id="1210"/>
      <w:bookmarkEnd w:id="1211"/>
      <w:bookmarkEnd w:id="1212"/>
      <w:bookmarkEnd w:id="1213"/>
      <w:bookmarkEnd w:id="1214"/>
      <w:bookmarkEnd w:id="1215"/>
      <w:bookmarkEnd w:id="1216"/>
      <w:bookmarkEnd w:id="1217"/>
    </w:p>
    <w:p w14:paraId="7C551146">
      <w:pPr>
        <w:spacing w:after="160" w:line="278" w:lineRule="auto"/>
        <w:rPr>
          <w:sz w:val="22"/>
          <w:szCs w:val="28"/>
          <w:highlight w:val="none"/>
        </w:rPr>
      </w:pPr>
      <w:r>
        <w:rPr>
          <w:sz w:val="22"/>
          <w:szCs w:val="28"/>
          <w:highlight w:val="none"/>
        </w:rPr>
        <w:t>5.4.1 监理人有权拒绝承包人提供的不合格材料或工程设备，并要求承包人立即进行更换。监理人应在更换后再次进行检查和检验，由此增加的费用和（或）工期延误由承包人承担。</w:t>
      </w:r>
    </w:p>
    <w:p w14:paraId="04D53708">
      <w:pPr>
        <w:spacing w:after="160" w:line="278" w:lineRule="auto"/>
        <w:rPr>
          <w:sz w:val="22"/>
          <w:szCs w:val="28"/>
          <w:highlight w:val="none"/>
        </w:rPr>
      </w:pPr>
      <w:r>
        <w:rPr>
          <w:sz w:val="22"/>
          <w:szCs w:val="28"/>
          <w:highlight w:val="none"/>
        </w:rPr>
        <w:t>5.4.2 监理人发现承包人使用了不合格的材料和工程设备，应即时发出指示要求承包人立即改正，并禁止在工程中继续使用不合格的材料和工程设备。</w:t>
      </w:r>
    </w:p>
    <w:p w14:paraId="7F3A1D72">
      <w:pPr>
        <w:spacing w:after="160" w:line="278" w:lineRule="auto"/>
        <w:rPr>
          <w:sz w:val="22"/>
          <w:szCs w:val="28"/>
          <w:highlight w:val="none"/>
        </w:rPr>
      </w:pPr>
      <w:r>
        <w:rPr>
          <w:sz w:val="22"/>
          <w:szCs w:val="28"/>
          <w:highlight w:val="none"/>
        </w:rPr>
        <w:t>5.4.3 发包人提供的材料或工程设备不符合合同要求的，承包人有权拒绝，并可要求发包人更换，由此增加的费用和（或）工期延误由发包人承担。</w:t>
      </w:r>
    </w:p>
    <w:p w14:paraId="4C4B5248">
      <w:pPr>
        <w:spacing w:after="160" w:line="278" w:lineRule="auto"/>
        <w:rPr>
          <w:sz w:val="22"/>
          <w:szCs w:val="28"/>
          <w:highlight w:val="none"/>
        </w:rPr>
      </w:pPr>
      <w:bookmarkStart w:id="1218" w:name="_Toc132618644"/>
      <w:bookmarkStart w:id="1219" w:name="_Toc442365619"/>
      <w:bookmarkStart w:id="1220" w:name="_Toc448758427"/>
      <w:bookmarkStart w:id="1221" w:name="_Toc342296307"/>
      <w:bookmarkStart w:id="1222" w:name="_Toc338944749"/>
      <w:bookmarkStart w:id="1223" w:name="_Toc448758527"/>
      <w:bookmarkStart w:id="1224" w:name="_Toc129798286"/>
      <w:bookmarkStart w:id="1225" w:name="_Toc469660022"/>
      <w:bookmarkStart w:id="1226" w:name="_Toc132619035"/>
      <w:bookmarkStart w:id="1227" w:name="_Toc142385573"/>
      <w:bookmarkStart w:id="1228" w:name="_Toc109914351"/>
      <w:r>
        <w:rPr>
          <w:sz w:val="22"/>
          <w:szCs w:val="28"/>
          <w:highlight w:val="none"/>
        </w:rPr>
        <w:t>6. 施工设备和临时设施</w:t>
      </w:r>
      <w:bookmarkEnd w:id="1218"/>
      <w:bookmarkEnd w:id="1219"/>
      <w:bookmarkEnd w:id="1220"/>
      <w:bookmarkEnd w:id="1221"/>
      <w:bookmarkEnd w:id="1222"/>
      <w:bookmarkEnd w:id="1223"/>
      <w:bookmarkEnd w:id="1224"/>
      <w:bookmarkEnd w:id="1225"/>
      <w:bookmarkEnd w:id="1226"/>
      <w:bookmarkEnd w:id="1227"/>
      <w:bookmarkEnd w:id="1228"/>
    </w:p>
    <w:p w14:paraId="24357755">
      <w:pPr>
        <w:spacing w:after="160" w:line="278" w:lineRule="auto"/>
        <w:rPr>
          <w:sz w:val="22"/>
          <w:szCs w:val="28"/>
          <w:highlight w:val="none"/>
        </w:rPr>
      </w:pPr>
      <w:bookmarkStart w:id="1229" w:name="_Toc338944750"/>
      <w:bookmarkStart w:id="1230" w:name="_Toc142385574"/>
      <w:bookmarkStart w:id="1231" w:name="_Toc342296308"/>
      <w:bookmarkStart w:id="1232" w:name="_Toc132619036"/>
      <w:bookmarkStart w:id="1233" w:name="_Toc109914352"/>
      <w:bookmarkStart w:id="1234" w:name="_Toc129798287"/>
      <w:bookmarkStart w:id="1235" w:name="_Toc132618645"/>
      <w:r>
        <w:rPr>
          <w:sz w:val="22"/>
          <w:szCs w:val="28"/>
          <w:highlight w:val="none"/>
        </w:rPr>
        <w:t>6.1 承包人提供的施工设备和临时设施</w:t>
      </w:r>
      <w:bookmarkEnd w:id="1229"/>
      <w:bookmarkEnd w:id="1230"/>
      <w:bookmarkEnd w:id="1231"/>
      <w:bookmarkEnd w:id="1232"/>
      <w:bookmarkEnd w:id="1233"/>
      <w:bookmarkEnd w:id="1234"/>
      <w:bookmarkEnd w:id="1235"/>
    </w:p>
    <w:p w14:paraId="739FF0FC">
      <w:pPr>
        <w:spacing w:after="160" w:line="278" w:lineRule="auto"/>
        <w:rPr>
          <w:sz w:val="22"/>
          <w:szCs w:val="28"/>
          <w:highlight w:val="none"/>
        </w:rPr>
      </w:pPr>
      <w:r>
        <w:rPr>
          <w:sz w:val="22"/>
          <w:szCs w:val="28"/>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52337D62">
      <w:pPr>
        <w:spacing w:after="160" w:line="278" w:lineRule="auto"/>
        <w:rPr>
          <w:sz w:val="22"/>
          <w:szCs w:val="28"/>
          <w:highlight w:val="none"/>
        </w:rPr>
      </w:pPr>
      <w:r>
        <w:rPr>
          <w:sz w:val="22"/>
          <w:szCs w:val="28"/>
          <w:highlight w:val="none"/>
        </w:rPr>
        <w:t>6.1.2除专用合同条款另有约定外，承包人应自行承担修建临时设施的费用，需要临时占地的，应由发包人办理申请手续并承担相应费用。</w:t>
      </w:r>
    </w:p>
    <w:p w14:paraId="174A035E">
      <w:pPr>
        <w:spacing w:after="160" w:line="278" w:lineRule="auto"/>
        <w:rPr>
          <w:sz w:val="22"/>
          <w:szCs w:val="28"/>
          <w:highlight w:val="none"/>
        </w:rPr>
      </w:pPr>
      <w:bookmarkStart w:id="1236" w:name="_Toc132618646"/>
      <w:bookmarkStart w:id="1237" w:name="_Toc142385575"/>
      <w:bookmarkStart w:id="1238" w:name="_Toc338944751"/>
      <w:bookmarkStart w:id="1239" w:name="_Toc109914353"/>
      <w:bookmarkStart w:id="1240" w:name="_Toc129798288"/>
      <w:bookmarkStart w:id="1241" w:name="_Toc342296309"/>
      <w:bookmarkStart w:id="1242" w:name="_Toc132619037"/>
      <w:r>
        <w:rPr>
          <w:sz w:val="22"/>
          <w:szCs w:val="28"/>
          <w:highlight w:val="none"/>
        </w:rPr>
        <w:t>6.2 发包人提供的施工设备和临时设施</w:t>
      </w:r>
      <w:bookmarkEnd w:id="1236"/>
      <w:bookmarkEnd w:id="1237"/>
      <w:bookmarkEnd w:id="1238"/>
      <w:bookmarkEnd w:id="1239"/>
      <w:bookmarkEnd w:id="1240"/>
      <w:bookmarkEnd w:id="1241"/>
      <w:bookmarkEnd w:id="1242"/>
    </w:p>
    <w:p w14:paraId="22C7A7A8">
      <w:pPr>
        <w:spacing w:after="160" w:line="278" w:lineRule="auto"/>
        <w:rPr>
          <w:sz w:val="22"/>
          <w:szCs w:val="28"/>
          <w:highlight w:val="none"/>
        </w:rPr>
      </w:pPr>
      <w:r>
        <w:rPr>
          <w:sz w:val="22"/>
          <w:szCs w:val="28"/>
          <w:highlight w:val="none"/>
        </w:rPr>
        <w:t>发包人提供的施工设备或临时设施在专用合同条款中约定。</w:t>
      </w:r>
    </w:p>
    <w:p w14:paraId="0B8B9E69">
      <w:pPr>
        <w:spacing w:after="160" w:line="278" w:lineRule="auto"/>
        <w:rPr>
          <w:sz w:val="22"/>
          <w:szCs w:val="28"/>
          <w:highlight w:val="none"/>
        </w:rPr>
      </w:pPr>
      <w:bookmarkStart w:id="1243" w:name="_Toc152042437"/>
      <w:bookmarkStart w:id="1244" w:name="_Toc132618647"/>
      <w:bookmarkStart w:id="1245" w:name="_Toc338944752"/>
      <w:bookmarkStart w:id="1246" w:name="_Toc152045659"/>
      <w:bookmarkStart w:id="1247" w:name="_Toc132619038"/>
      <w:bookmarkStart w:id="1248" w:name="_Toc179632677"/>
      <w:bookmarkStart w:id="1249" w:name="_Toc109914354"/>
      <w:bookmarkStart w:id="1250" w:name="_Toc144974627"/>
      <w:bookmarkStart w:id="1251" w:name="_Toc342296310"/>
      <w:bookmarkStart w:id="1252" w:name="_Toc129798289"/>
      <w:bookmarkStart w:id="1253" w:name="_Toc142385576"/>
      <w:r>
        <w:rPr>
          <w:sz w:val="22"/>
          <w:szCs w:val="28"/>
          <w:highlight w:val="none"/>
        </w:rPr>
        <w:t>6.3 要求承包人增加或更换施工设备</w:t>
      </w:r>
      <w:bookmarkEnd w:id="1243"/>
      <w:bookmarkEnd w:id="1244"/>
      <w:bookmarkEnd w:id="1245"/>
      <w:bookmarkEnd w:id="1246"/>
      <w:bookmarkEnd w:id="1247"/>
      <w:bookmarkEnd w:id="1248"/>
      <w:bookmarkEnd w:id="1249"/>
      <w:bookmarkEnd w:id="1250"/>
      <w:bookmarkEnd w:id="1251"/>
      <w:bookmarkEnd w:id="1252"/>
      <w:bookmarkEnd w:id="1253"/>
    </w:p>
    <w:p w14:paraId="0FB49B80">
      <w:pPr>
        <w:spacing w:after="160" w:line="278" w:lineRule="auto"/>
        <w:rPr>
          <w:sz w:val="22"/>
          <w:szCs w:val="28"/>
          <w:highlight w:val="none"/>
        </w:rPr>
      </w:pPr>
      <w:r>
        <w:rPr>
          <w:sz w:val="22"/>
          <w:szCs w:val="28"/>
          <w:highlight w:val="none"/>
        </w:rPr>
        <w:t>承包人使用的施工设备不能满足合同进度计划和（或）质量要求时，监理人有权要求承包人增加或更换施工设备，承包人应及时增加或更换，由此增加的费用和（或）工期延误由承包人承担。</w:t>
      </w:r>
    </w:p>
    <w:p w14:paraId="66DECBD3">
      <w:pPr>
        <w:spacing w:after="160" w:line="278" w:lineRule="auto"/>
        <w:rPr>
          <w:sz w:val="22"/>
          <w:szCs w:val="28"/>
          <w:highlight w:val="none"/>
        </w:rPr>
      </w:pPr>
      <w:bookmarkStart w:id="1254" w:name="_Toc129798290"/>
      <w:bookmarkStart w:id="1255" w:name="_Toc132618648"/>
      <w:bookmarkStart w:id="1256" w:name="_Toc142385577"/>
      <w:bookmarkStart w:id="1257" w:name="_Toc132619039"/>
      <w:bookmarkStart w:id="1258" w:name="_Toc338944753"/>
      <w:bookmarkStart w:id="1259" w:name="_Toc109914355"/>
      <w:bookmarkStart w:id="1260" w:name="_Toc342296311"/>
      <w:r>
        <w:rPr>
          <w:sz w:val="22"/>
          <w:szCs w:val="28"/>
          <w:highlight w:val="none"/>
        </w:rPr>
        <w:t>6.4 施工设备和临时设施专用于合同工程</w:t>
      </w:r>
      <w:bookmarkEnd w:id="1254"/>
      <w:bookmarkEnd w:id="1255"/>
      <w:bookmarkEnd w:id="1256"/>
      <w:bookmarkEnd w:id="1257"/>
      <w:bookmarkEnd w:id="1258"/>
      <w:bookmarkEnd w:id="1259"/>
      <w:bookmarkEnd w:id="1260"/>
    </w:p>
    <w:p w14:paraId="1F04814C">
      <w:pPr>
        <w:spacing w:after="160" w:line="278" w:lineRule="auto"/>
        <w:rPr>
          <w:sz w:val="22"/>
          <w:szCs w:val="28"/>
          <w:highlight w:val="none"/>
        </w:rPr>
      </w:pPr>
      <w:r>
        <w:rPr>
          <w:sz w:val="22"/>
          <w:szCs w:val="28"/>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250E34F0">
      <w:pPr>
        <w:spacing w:after="160" w:line="278" w:lineRule="auto"/>
        <w:rPr>
          <w:sz w:val="22"/>
          <w:szCs w:val="28"/>
          <w:highlight w:val="none"/>
        </w:rPr>
      </w:pPr>
      <w:r>
        <w:rPr>
          <w:sz w:val="22"/>
          <w:szCs w:val="28"/>
          <w:highlight w:val="none"/>
        </w:rPr>
        <w:t>6.4.2 经监理人同意，承包人可根据合同进度计划撤走闲置的施工设备。</w:t>
      </w:r>
    </w:p>
    <w:p w14:paraId="055897A7">
      <w:pPr>
        <w:spacing w:after="160" w:line="278" w:lineRule="auto"/>
        <w:rPr>
          <w:sz w:val="22"/>
          <w:szCs w:val="28"/>
          <w:highlight w:val="none"/>
        </w:rPr>
      </w:pPr>
      <w:bookmarkStart w:id="1261" w:name="_Toc448758428"/>
      <w:bookmarkStart w:id="1262" w:name="_Toc342296312"/>
      <w:bookmarkStart w:id="1263" w:name="_Toc442365620"/>
      <w:bookmarkStart w:id="1264" w:name="_Toc129798291"/>
      <w:bookmarkStart w:id="1265" w:name="_Toc109914356"/>
      <w:bookmarkStart w:id="1266" w:name="_Toc142385578"/>
      <w:bookmarkStart w:id="1267" w:name="_Toc469660023"/>
      <w:bookmarkStart w:id="1268" w:name="_Toc132619040"/>
      <w:bookmarkStart w:id="1269" w:name="_Toc448758528"/>
      <w:bookmarkStart w:id="1270" w:name="_Toc338944754"/>
      <w:bookmarkStart w:id="1271" w:name="_Toc132618649"/>
      <w:r>
        <w:rPr>
          <w:sz w:val="22"/>
          <w:szCs w:val="28"/>
          <w:highlight w:val="none"/>
        </w:rPr>
        <w:t>7. 交通运输</w:t>
      </w:r>
      <w:bookmarkEnd w:id="1261"/>
      <w:bookmarkEnd w:id="1262"/>
      <w:bookmarkEnd w:id="1263"/>
      <w:bookmarkEnd w:id="1264"/>
      <w:bookmarkEnd w:id="1265"/>
      <w:bookmarkEnd w:id="1266"/>
      <w:bookmarkEnd w:id="1267"/>
      <w:bookmarkEnd w:id="1268"/>
      <w:bookmarkEnd w:id="1269"/>
      <w:bookmarkEnd w:id="1270"/>
      <w:bookmarkEnd w:id="1271"/>
    </w:p>
    <w:p w14:paraId="179E1C97">
      <w:pPr>
        <w:spacing w:after="160" w:line="278" w:lineRule="auto"/>
        <w:rPr>
          <w:sz w:val="22"/>
          <w:szCs w:val="28"/>
          <w:highlight w:val="none"/>
        </w:rPr>
      </w:pPr>
      <w:bookmarkStart w:id="1272" w:name="_Toc342296313"/>
      <w:bookmarkStart w:id="1273" w:name="_Toc142385579"/>
      <w:bookmarkStart w:id="1274" w:name="_Toc132618650"/>
      <w:bookmarkStart w:id="1275" w:name="_Toc109914357"/>
      <w:bookmarkStart w:id="1276" w:name="_Toc338944755"/>
      <w:bookmarkStart w:id="1277" w:name="_Toc129798292"/>
      <w:bookmarkStart w:id="1278" w:name="_Toc132619041"/>
      <w:r>
        <w:rPr>
          <w:sz w:val="22"/>
          <w:szCs w:val="28"/>
          <w:highlight w:val="none"/>
        </w:rPr>
        <w:t>7.1 道路通行权和场外设施</w:t>
      </w:r>
      <w:bookmarkEnd w:id="1272"/>
      <w:bookmarkEnd w:id="1273"/>
      <w:bookmarkEnd w:id="1274"/>
      <w:bookmarkEnd w:id="1275"/>
      <w:bookmarkEnd w:id="1276"/>
      <w:bookmarkEnd w:id="1277"/>
      <w:bookmarkEnd w:id="1278"/>
    </w:p>
    <w:p w14:paraId="573310E6">
      <w:pPr>
        <w:spacing w:after="160" w:line="278" w:lineRule="auto"/>
        <w:rPr>
          <w:sz w:val="22"/>
          <w:szCs w:val="28"/>
          <w:highlight w:val="none"/>
        </w:rPr>
      </w:pPr>
      <w:r>
        <w:rPr>
          <w:sz w:val="22"/>
          <w:szCs w:val="28"/>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3B3342A">
      <w:pPr>
        <w:spacing w:after="160" w:line="278" w:lineRule="auto"/>
        <w:rPr>
          <w:sz w:val="22"/>
          <w:szCs w:val="28"/>
          <w:highlight w:val="none"/>
        </w:rPr>
      </w:pPr>
      <w:bookmarkStart w:id="1279" w:name="_Toc338944756"/>
      <w:bookmarkStart w:id="1280" w:name="_Toc142385580"/>
      <w:bookmarkStart w:id="1281" w:name="_Toc129798293"/>
      <w:bookmarkStart w:id="1282" w:name="_Toc109914358"/>
      <w:bookmarkStart w:id="1283" w:name="_Toc132618651"/>
      <w:bookmarkStart w:id="1284" w:name="_Toc342296314"/>
      <w:bookmarkStart w:id="1285" w:name="_Toc132619042"/>
      <w:r>
        <w:rPr>
          <w:sz w:val="22"/>
          <w:szCs w:val="28"/>
          <w:highlight w:val="none"/>
        </w:rPr>
        <w:t>7.2 场内施工道路</w:t>
      </w:r>
      <w:bookmarkEnd w:id="1279"/>
      <w:bookmarkEnd w:id="1280"/>
      <w:bookmarkEnd w:id="1281"/>
      <w:bookmarkEnd w:id="1282"/>
      <w:bookmarkEnd w:id="1283"/>
      <w:bookmarkEnd w:id="1284"/>
      <w:bookmarkEnd w:id="1285"/>
    </w:p>
    <w:p w14:paraId="14FA6BA4">
      <w:pPr>
        <w:spacing w:after="160" w:line="278" w:lineRule="auto"/>
        <w:rPr>
          <w:sz w:val="22"/>
          <w:szCs w:val="28"/>
          <w:highlight w:val="none"/>
        </w:rPr>
      </w:pPr>
      <w:r>
        <w:rPr>
          <w:sz w:val="22"/>
          <w:szCs w:val="28"/>
          <w:highlight w:val="none"/>
        </w:rPr>
        <w:t>7.2.1 除专用合同条款另有约定外，承包人应负责修建、维修、养护和管理施工所需的临时道路和交通设施，包括维修、养护和管理发包人提供的道路和交通设施，并承担相应费用。</w:t>
      </w:r>
    </w:p>
    <w:p w14:paraId="420889A6">
      <w:pPr>
        <w:spacing w:after="160" w:line="278" w:lineRule="auto"/>
        <w:rPr>
          <w:sz w:val="22"/>
          <w:szCs w:val="28"/>
          <w:highlight w:val="none"/>
        </w:rPr>
      </w:pPr>
      <w:r>
        <w:rPr>
          <w:sz w:val="22"/>
          <w:szCs w:val="28"/>
          <w:highlight w:val="none"/>
        </w:rPr>
        <w:t>7.2.2 除专用合同条款另有约定外，承包人修建的临时道路和交通设施应免费提供发包人和监理人使用。</w:t>
      </w:r>
    </w:p>
    <w:p w14:paraId="4526B807">
      <w:pPr>
        <w:spacing w:after="160" w:line="278" w:lineRule="auto"/>
        <w:rPr>
          <w:sz w:val="22"/>
          <w:szCs w:val="28"/>
          <w:highlight w:val="none"/>
        </w:rPr>
      </w:pPr>
      <w:bookmarkStart w:id="1286" w:name="_Toc152045664"/>
      <w:bookmarkStart w:id="1287" w:name="_Toc132618652"/>
      <w:bookmarkStart w:id="1288" w:name="_Toc338944757"/>
      <w:bookmarkStart w:id="1289" w:name="_Toc109914359"/>
      <w:bookmarkStart w:id="1290" w:name="_Toc152042442"/>
      <w:bookmarkStart w:id="1291" w:name="_Toc129798294"/>
      <w:bookmarkStart w:id="1292" w:name="_Toc342296315"/>
      <w:bookmarkStart w:id="1293" w:name="_Toc142385581"/>
      <w:bookmarkStart w:id="1294" w:name="_Toc144974632"/>
      <w:bookmarkStart w:id="1295" w:name="_Toc179632682"/>
      <w:bookmarkStart w:id="1296" w:name="_Toc132619043"/>
      <w:r>
        <w:rPr>
          <w:sz w:val="22"/>
          <w:szCs w:val="28"/>
          <w:highlight w:val="none"/>
        </w:rPr>
        <w:t>7.3 场外交通</w:t>
      </w:r>
      <w:bookmarkEnd w:id="1286"/>
      <w:bookmarkEnd w:id="1287"/>
      <w:bookmarkEnd w:id="1288"/>
      <w:bookmarkEnd w:id="1289"/>
      <w:bookmarkEnd w:id="1290"/>
      <w:bookmarkEnd w:id="1291"/>
      <w:bookmarkEnd w:id="1292"/>
      <w:bookmarkEnd w:id="1293"/>
      <w:bookmarkEnd w:id="1294"/>
      <w:bookmarkEnd w:id="1295"/>
      <w:bookmarkEnd w:id="1296"/>
    </w:p>
    <w:p w14:paraId="7D3E42DA">
      <w:pPr>
        <w:spacing w:after="160" w:line="278" w:lineRule="auto"/>
        <w:rPr>
          <w:sz w:val="22"/>
          <w:szCs w:val="28"/>
          <w:highlight w:val="none"/>
        </w:rPr>
      </w:pPr>
      <w:r>
        <w:rPr>
          <w:sz w:val="22"/>
          <w:szCs w:val="28"/>
          <w:highlight w:val="none"/>
        </w:rPr>
        <w:t>7.3.1 承包人车辆外出行驶所需的场外公共道路的通行费、养路费和税款等由承包人承担。</w:t>
      </w:r>
    </w:p>
    <w:p w14:paraId="188CFF24">
      <w:pPr>
        <w:spacing w:after="160" w:line="278" w:lineRule="auto"/>
        <w:rPr>
          <w:sz w:val="22"/>
          <w:szCs w:val="28"/>
          <w:highlight w:val="none"/>
        </w:rPr>
      </w:pPr>
      <w:r>
        <w:rPr>
          <w:sz w:val="22"/>
          <w:szCs w:val="28"/>
          <w:highlight w:val="none"/>
        </w:rPr>
        <w:t>7.3.2 承包人应遵守有关交通法规，严格按照道路和桥梁的限制荷重安全行驶，并服从交通管理部门的检查和监督。</w:t>
      </w:r>
    </w:p>
    <w:p w14:paraId="5E5D3C2B">
      <w:pPr>
        <w:spacing w:after="160" w:line="278" w:lineRule="auto"/>
        <w:rPr>
          <w:sz w:val="22"/>
          <w:szCs w:val="28"/>
          <w:highlight w:val="none"/>
        </w:rPr>
      </w:pPr>
      <w:bookmarkStart w:id="1297" w:name="_Toc342296316"/>
      <w:bookmarkStart w:id="1298" w:name="_Toc132618653"/>
      <w:bookmarkStart w:id="1299" w:name="_Toc129798295"/>
      <w:bookmarkStart w:id="1300" w:name="_Toc338944758"/>
      <w:bookmarkStart w:id="1301" w:name="_Toc132619044"/>
      <w:bookmarkStart w:id="1302" w:name="_Toc142385582"/>
      <w:bookmarkStart w:id="1303" w:name="_Toc109914360"/>
      <w:r>
        <w:rPr>
          <w:sz w:val="22"/>
          <w:szCs w:val="28"/>
          <w:highlight w:val="none"/>
        </w:rPr>
        <w:t>7.4 超大件和超重件的运输</w:t>
      </w:r>
      <w:bookmarkEnd w:id="1297"/>
      <w:bookmarkEnd w:id="1298"/>
      <w:bookmarkEnd w:id="1299"/>
      <w:bookmarkEnd w:id="1300"/>
      <w:bookmarkEnd w:id="1301"/>
      <w:bookmarkEnd w:id="1302"/>
      <w:bookmarkEnd w:id="1303"/>
    </w:p>
    <w:p w14:paraId="5683648E">
      <w:pPr>
        <w:spacing w:after="160" w:line="278" w:lineRule="auto"/>
        <w:rPr>
          <w:sz w:val="22"/>
          <w:szCs w:val="28"/>
          <w:highlight w:val="none"/>
        </w:rPr>
      </w:pPr>
      <w:r>
        <w:rPr>
          <w:sz w:val="22"/>
          <w:szCs w:val="28"/>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05FEF7">
      <w:pPr>
        <w:spacing w:after="160" w:line="278" w:lineRule="auto"/>
        <w:rPr>
          <w:sz w:val="22"/>
          <w:szCs w:val="28"/>
          <w:highlight w:val="none"/>
        </w:rPr>
      </w:pPr>
      <w:bookmarkStart w:id="1304" w:name="_Toc338944759"/>
      <w:bookmarkStart w:id="1305" w:name="_Toc129798296"/>
      <w:bookmarkStart w:id="1306" w:name="_Toc142385583"/>
      <w:bookmarkStart w:id="1307" w:name="_Toc342296317"/>
      <w:bookmarkStart w:id="1308" w:name="_Toc109914361"/>
      <w:bookmarkStart w:id="1309" w:name="_Toc132618654"/>
      <w:bookmarkStart w:id="1310" w:name="_Toc132619045"/>
      <w:r>
        <w:rPr>
          <w:sz w:val="22"/>
          <w:szCs w:val="28"/>
          <w:highlight w:val="none"/>
        </w:rPr>
        <w:t>7.5 道路和桥梁的损坏责任</w:t>
      </w:r>
      <w:bookmarkEnd w:id="1304"/>
      <w:bookmarkEnd w:id="1305"/>
      <w:bookmarkEnd w:id="1306"/>
      <w:bookmarkEnd w:id="1307"/>
      <w:bookmarkEnd w:id="1308"/>
      <w:bookmarkEnd w:id="1309"/>
      <w:bookmarkEnd w:id="1310"/>
    </w:p>
    <w:p w14:paraId="01B0B7E5">
      <w:pPr>
        <w:spacing w:after="160" w:line="278" w:lineRule="auto"/>
        <w:rPr>
          <w:sz w:val="22"/>
          <w:szCs w:val="28"/>
          <w:highlight w:val="none"/>
        </w:rPr>
      </w:pPr>
      <w:r>
        <w:rPr>
          <w:sz w:val="22"/>
          <w:szCs w:val="28"/>
          <w:highlight w:val="none"/>
        </w:rPr>
        <w:t>因承包人运输造成施工场地内外公共道路和桥梁损坏的，由承包人承担修复损坏的全部费用和可能引起的赔偿。</w:t>
      </w:r>
    </w:p>
    <w:p w14:paraId="2750C64F">
      <w:pPr>
        <w:spacing w:after="160" w:line="278" w:lineRule="auto"/>
        <w:rPr>
          <w:sz w:val="22"/>
          <w:szCs w:val="28"/>
          <w:highlight w:val="none"/>
        </w:rPr>
      </w:pPr>
      <w:bookmarkStart w:id="1311" w:name="_Toc109914362"/>
      <w:bookmarkStart w:id="1312" w:name="_Toc144974635"/>
      <w:bookmarkStart w:id="1313" w:name="_Toc132619046"/>
      <w:bookmarkStart w:id="1314" w:name="_Toc152042445"/>
      <w:bookmarkStart w:id="1315" w:name="_Toc142385584"/>
      <w:bookmarkStart w:id="1316" w:name="_Toc132618655"/>
      <w:bookmarkStart w:id="1317" w:name="_Toc338944760"/>
      <w:bookmarkStart w:id="1318" w:name="_Toc342296318"/>
      <w:bookmarkStart w:id="1319" w:name="_Toc179632685"/>
      <w:bookmarkStart w:id="1320" w:name="_Toc129798297"/>
      <w:bookmarkStart w:id="1321" w:name="_Toc152045667"/>
      <w:r>
        <w:rPr>
          <w:sz w:val="22"/>
          <w:szCs w:val="28"/>
          <w:highlight w:val="none"/>
        </w:rPr>
        <w:t>7.6 水路和航空运输</w:t>
      </w:r>
      <w:bookmarkEnd w:id="1311"/>
      <w:bookmarkEnd w:id="1312"/>
      <w:bookmarkEnd w:id="1313"/>
      <w:bookmarkEnd w:id="1314"/>
      <w:bookmarkEnd w:id="1315"/>
      <w:bookmarkEnd w:id="1316"/>
      <w:bookmarkEnd w:id="1317"/>
      <w:bookmarkEnd w:id="1318"/>
      <w:bookmarkEnd w:id="1319"/>
      <w:bookmarkEnd w:id="1320"/>
      <w:bookmarkEnd w:id="1321"/>
    </w:p>
    <w:p w14:paraId="70AF6038">
      <w:pPr>
        <w:spacing w:after="160" w:line="278" w:lineRule="auto"/>
        <w:rPr>
          <w:sz w:val="22"/>
          <w:szCs w:val="28"/>
          <w:highlight w:val="none"/>
        </w:rPr>
      </w:pPr>
      <w:r>
        <w:rPr>
          <w:sz w:val="22"/>
          <w:szCs w:val="28"/>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14:paraId="2E1710F1">
      <w:pPr>
        <w:spacing w:after="160" w:line="278" w:lineRule="auto"/>
        <w:rPr>
          <w:sz w:val="22"/>
          <w:szCs w:val="28"/>
          <w:highlight w:val="none"/>
        </w:rPr>
      </w:pPr>
      <w:bookmarkStart w:id="1322" w:name="_Toc342296319"/>
      <w:bookmarkStart w:id="1323" w:name="_Toc442365621"/>
      <w:bookmarkStart w:id="1324" w:name="_Toc132619047"/>
      <w:bookmarkStart w:id="1325" w:name="_Toc448758529"/>
      <w:bookmarkStart w:id="1326" w:name="_Toc129798298"/>
      <w:bookmarkStart w:id="1327" w:name="_Toc338944761"/>
      <w:bookmarkStart w:id="1328" w:name="_Toc132618656"/>
      <w:bookmarkStart w:id="1329" w:name="_Toc109914363"/>
      <w:bookmarkStart w:id="1330" w:name="_Toc448758429"/>
      <w:bookmarkStart w:id="1331" w:name="_Toc142385585"/>
      <w:bookmarkStart w:id="1332" w:name="_Toc469660024"/>
      <w:r>
        <w:rPr>
          <w:sz w:val="22"/>
          <w:szCs w:val="28"/>
          <w:highlight w:val="none"/>
        </w:rPr>
        <w:t>8. 测量放线</w:t>
      </w:r>
      <w:bookmarkEnd w:id="1322"/>
      <w:bookmarkEnd w:id="1323"/>
      <w:bookmarkEnd w:id="1324"/>
      <w:bookmarkEnd w:id="1325"/>
      <w:bookmarkEnd w:id="1326"/>
      <w:bookmarkEnd w:id="1327"/>
      <w:bookmarkEnd w:id="1328"/>
      <w:bookmarkEnd w:id="1329"/>
      <w:bookmarkEnd w:id="1330"/>
      <w:bookmarkEnd w:id="1331"/>
      <w:bookmarkEnd w:id="1332"/>
    </w:p>
    <w:p w14:paraId="2FB1BBFE">
      <w:pPr>
        <w:spacing w:after="160" w:line="278" w:lineRule="auto"/>
        <w:rPr>
          <w:sz w:val="22"/>
          <w:szCs w:val="28"/>
          <w:highlight w:val="none"/>
        </w:rPr>
      </w:pPr>
      <w:bookmarkStart w:id="1333" w:name="_Toc129798299"/>
      <w:bookmarkStart w:id="1334" w:name="_Toc132619048"/>
      <w:bookmarkStart w:id="1335" w:name="_Toc109914364"/>
      <w:bookmarkStart w:id="1336" w:name="_Toc338944762"/>
      <w:bookmarkStart w:id="1337" w:name="_Toc132618657"/>
      <w:bookmarkStart w:id="1338" w:name="_Toc142385586"/>
      <w:bookmarkStart w:id="1339" w:name="_Toc342296320"/>
      <w:r>
        <w:rPr>
          <w:sz w:val="22"/>
          <w:szCs w:val="28"/>
          <w:highlight w:val="none"/>
        </w:rPr>
        <w:t>8.1 施工控制网</w:t>
      </w:r>
      <w:bookmarkEnd w:id="1333"/>
      <w:bookmarkEnd w:id="1334"/>
      <w:bookmarkEnd w:id="1335"/>
      <w:bookmarkEnd w:id="1336"/>
      <w:bookmarkEnd w:id="1337"/>
      <w:bookmarkEnd w:id="1338"/>
      <w:bookmarkEnd w:id="1339"/>
    </w:p>
    <w:p w14:paraId="44BB2756">
      <w:pPr>
        <w:spacing w:after="160" w:line="278" w:lineRule="auto"/>
        <w:rPr>
          <w:sz w:val="22"/>
          <w:szCs w:val="28"/>
          <w:highlight w:val="none"/>
        </w:rPr>
      </w:pPr>
      <w:r>
        <w:rPr>
          <w:sz w:val="22"/>
          <w:szCs w:val="28"/>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27371DE">
      <w:pPr>
        <w:spacing w:after="160" w:line="278" w:lineRule="auto"/>
        <w:rPr>
          <w:sz w:val="22"/>
          <w:szCs w:val="28"/>
          <w:highlight w:val="none"/>
        </w:rPr>
      </w:pPr>
      <w:r>
        <w:rPr>
          <w:sz w:val="22"/>
          <w:szCs w:val="28"/>
          <w:highlight w:val="none"/>
        </w:rPr>
        <w:t>8.1.2承包人应负责管理施工控制网点。施工控制网点丢失或损坏的，承包人应及时修复。承包人应承担施工控制网点的管理与修复费用，并在工程竣工后将施工控制网点移交发包人。</w:t>
      </w:r>
    </w:p>
    <w:p w14:paraId="29E0E3F8">
      <w:pPr>
        <w:spacing w:after="160" w:line="278" w:lineRule="auto"/>
        <w:rPr>
          <w:sz w:val="22"/>
          <w:szCs w:val="28"/>
          <w:highlight w:val="none"/>
        </w:rPr>
      </w:pPr>
      <w:bookmarkStart w:id="1340" w:name="_Toc142385587"/>
      <w:bookmarkStart w:id="1341" w:name="_Toc152042448"/>
      <w:bookmarkStart w:id="1342" w:name="_Toc132619049"/>
      <w:bookmarkStart w:id="1343" w:name="_Toc152045670"/>
      <w:bookmarkStart w:id="1344" w:name="_Toc179632688"/>
      <w:bookmarkStart w:id="1345" w:name="_Toc132618658"/>
      <w:bookmarkStart w:id="1346" w:name="_Toc342296321"/>
      <w:bookmarkStart w:id="1347" w:name="_Toc109914365"/>
      <w:bookmarkStart w:id="1348" w:name="_Toc144974638"/>
      <w:bookmarkStart w:id="1349" w:name="_Toc129798300"/>
      <w:bookmarkStart w:id="1350" w:name="_Toc338944763"/>
      <w:r>
        <w:rPr>
          <w:sz w:val="22"/>
          <w:szCs w:val="28"/>
          <w:highlight w:val="none"/>
        </w:rPr>
        <w:t>8.2 施工测量</w:t>
      </w:r>
      <w:bookmarkEnd w:id="1340"/>
      <w:bookmarkEnd w:id="1341"/>
      <w:bookmarkEnd w:id="1342"/>
      <w:bookmarkEnd w:id="1343"/>
      <w:bookmarkEnd w:id="1344"/>
      <w:bookmarkEnd w:id="1345"/>
      <w:bookmarkEnd w:id="1346"/>
      <w:bookmarkEnd w:id="1347"/>
      <w:bookmarkEnd w:id="1348"/>
      <w:bookmarkEnd w:id="1349"/>
      <w:bookmarkEnd w:id="1350"/>
    </w:p>
    <w:p w14:paraId="2F0F0672">
      <w:pPr>
        <w:spacing w:after="160" w:line="278" w:lineRule="auto"/>
        <w:rPr>
          <w:sz w:val="22"/>
          <w:szCs w:val="28"/>
          <w:highlight w:val="none"/>
        </w:rPr>
      </w:pPr>
      <w:r>
        <w:rPr>
          <w:sz w:val="22"/>
          <w:szCs w:val="28"/>
          <w:highlight w:val="none"/>
        </w:rPr>
        <w:t>8.2.1承包人应负责施工过程中的全部施工测量放线工作，并配置合格的人员、仪器、设备和其他物品。</w:t>
      </w:r>
    </w:p>
    <w:p w14:paraId="693A5983">
      <w:pPr>
        <w:spacing w:after="160" w:line="278" w:lineRule="auto"/>
        <w:rPr>
          <w:sz w:val="22"/>
          <w:szCs w:val="28"/>
          <w:highlight w:val="none"/>
        </w:rPr>
      </w:pPr>
      <w:r>
        <w:rPr>
          <w:sz w:val="22"/>
          <w:szCs w:val="28"/>
          <w:highlight w:val="none"/>
        </w:rPr>
        <w:t>8.2.2监理人可以指示承包人进行抽样复测，当复测中发现错误或出现超过合同约定的误差时，承包人应按监理人指示进行修正或补测，并承担相应的复测费用。</w:t>
      </w:r>
    </w:p>
    <w:p w14:paraId="074E58C8">
      <w:pPr>
        <w:spacing w:after="160" w:line="278" w:lineRule="auto"/>
        <w:rPr>
          <w:sz w:val="22"/>
          <w:szCs w:val="28"/>
          <w:highlight w:val="none"/>
        </w:rPr>
      </w:pPr>
      <w:bookmarkStart w:id="1351" w:name="_Toc179632689"/>
      <w:bookmarkStart w:id="1352" w:name="_Toc129798301"/>
      <w:bookmarkStart w:id="1353" w:name="_Toc152042449"/>
      <w:bookmarkStart w:id="1354" w:name="_Toc132618659"/>
      <w:bookmarkStart w:id="1355" w:name="_Toc144974639"/>
      <w:bookmarkStart w:id="1356" w:name="_Toc342296322"/>
      <w:bookmarkStart w:id="1357" w:name="_Toc132619050"/>
      <w:bookmarkStart w:id="1358" w:name="_Toc109914366"/>
      <w:bookmarkStart w:id="1359" w:name="_Toc338944764"/>
      <w:bookmarkStart w:id="1360" w:name="_Toc142385588"/>
      <w:bookmarkStart w:id="1361" w:name="_Toc152045671"/>
      <w:r>
        <w:rPr>
          <w:sz w:val="22"/>
          <w:szCs w:val="28"/>
          <w:highlight w:val="none"/>
        </w:rPr>
        <w:t>8.3 基准资料错误的责任</w:t>
      </w:r>
      <w:bookmarkEnd w:id="1351"/>
      <w:bookmarkEnd w:id="1352"/>
      <w:bookmarkEnd w:id="1353"/>
      <w:bookmarkEnd w:id="1354"/>
      <w:bookmarkEnd w:id="1355"/>
      <w:bookmarkEnd w:id="1356"/>
      <w:bookmarkEnd w:id="1357"/>
      <w:bookmarkEnd w:id="1358"/>
      <w:bookmarkEnd w:id="1359"/>
      <w:bookmarkEnd w:id="1360"/>
      <w:bookmarkEnd w:id="1361"/>
    </w:p>
    <w:p w14:paraId="2EDE963B">
      <w:pPr>
        <w:spacing w:after="160" w:line="278" w:lineRule="auto"/>
        <w:rPr>
          <w:sz w:val="22"/>
          <w:szCs w:val="28"/>
          <w:highlight w:val="none"/>
        </w:rPr>
      </w:pPr>
      <w:r>
        <w:rPr>
          <w:sz w:val="22"/>
          <w:szCs w:val="28"/>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E53B656">
      <w:pPr>
        <w:spacing w:after="160" w:line="278" w:lineRule="auto"/>
        <w:rPr>
          <w:sz w:val="22"/>
          <w:szCs w:val="28"/>
          <w:highlight w:val="none"/>
        </w:rPr>
      </w:pPr>
      <w:bookmarkStart w:id="1362" w:name="_Toc144974640"/>
      <w:bookmarkStart w:id="1363" w:name="_Toc142385589"/>
      <w:bookmarkStart w:id="1364" w:name="_Toc109914367"/>
      <w:bookmarkStart w:id="1365" w:name="_Toc129798302"/>
      <w:bookmarkStart w:id="1366" w:name="_Toc152042450"/>
      <w:bookmarkStart w:id="1367" w:name="_Toc152045672"/>
      <w:bookmarkStart w:id="1368" w:name="_Toc132619051"/>
      <w:bookmarkStart w:id="1369" w:name="_Toc179632690"/>
      <w:bookmarkStart w:id="1370" w:name="_Toc338944765"/>
      <w:bookmarkStart w:id="1371" w:name="_Toc342296323"/>
      <w:bookmarkStart w:id="1372" w:name="_Toc132618660"/>
      <w:r>
        <w:rPr>
          <w:sz w:val="22"/>
          <w:szCs w:val="28"/>
          <w:highlight w:val="none"/>
        </w:rPr>
        <w:t>8.4 监理人使用施工控制网</w:t>
      </w:r>
      <w:bookmarkEnd w:id="1362"/>
      <w:bookmarkEnd w:id="1363"/>
      <w:bookmarkEnd w:id="1364"/>
      <w:bookmarkEnd w:id="1365"/>
      <w:bookmarkEnd w:id="1366"/>
      <w:bookmarkEnd w:id="1367"/>
      <w:bookmarkEnd w:id="1368"/>
      <w:bookmarkEnd w:id="1369"/>
      <w:bookmarkEnd w:id="1370"/>
      <w:bookmarkEnd w:id="1371"/>
      <w:bookmarkEnd w:id="1372"/>
    </w:p>
    <w:p w14:paraId="5B7147BA">
      <w:pPr>
        <w:spacing w:after="160" w:line="278" w:lineRule="auto"/>
        <w:rPr>
          <w:sz w:val="22"/>
          <w:szCs w:val="28"/>
          <w:highlight w:val="none"/>
        </w:rPr>
      </w:pPr>
      <w:r>
        <w:rPr>
          <w:sz w:val="22"/>
          <w:szCs w:val="28"/>
          <w:highlight w:val="none"/>
        </w:rPr>
        <w:t>监理人需要使用施工控制网的，承包人应提供必要的协助，发包人不再为此支付费用。</w:t>
      </w:r>
    </w:p>
    <w:p w14:paraId="415AA820">
      <w:pPr>
        <w:spacing w:after="160" w:line="278" w:lineRule="auto"/>
        <w:rPr>
          <w:sz w:val="22"/>
          <w:szCs w:val="28"/>
          <w:highlight w:val="none"/>
        </w:rPr>
      </w:pPr>
      <w:bookmarkStart w:id="1373" w:name="_Toc448758430"/>
      <w:bookmarkStart w:id="1374" w:name="_Toc342296324"/>
      <w:bookmarkStart w:id="1375" w:name="_Toc442365622"/>
      <w:bookmarkStart w:id="1376" w:name="_Toc448758530"/>
      <w:bookmarkStart w:id="1377" w:name="_Toc338944766"/>
      <w:bookmarkStart w:id="1378" w:name="_Toc469660025"/>
      <w:bookmarkStart w:id="1379" w:name="_Toc109914368"/>
      <w:bookmarkStart w:id="1380" w:name="_Toc142385590"/>
      <w:bookmarkStart w:id="1381" w:name="_Toc129798303"/>
      <w:bookmarkStart w:id="1382" w:name="_Toc132619052"/>
      <w:bookmarkStart w:id="1383" w:name="_Toc132618661"/>
      <w:r>
        <w:rPr>
          <w:sz w:val="22"/>
          <w:szCs w:val="28"/>
          <w:highlight w:val="none"/>
        </w:rPr>
        <w:t>9. 施工安全、治安保卫</w:t>
      </w:r>
      <w:r>
        <w:rPr>
          <w:rFonts w:hint="eastAsia"/>
          <w:sz w:val="22"/>
          <w:szCs w:val="28"/>
          <w:highlight w:val="none"/>
        </w:rPr>
        <w:t>，</w:t>
      </w:r>
      <w:r>
        <w:rPr>
          <w:sz w:val="22"/>
          <w:szCs w:val="28"/>
          <w:highlight w:val="none"/>
        </w:rPr>
        <w:t>环境保护</w:t>
      </w:r>
      <w:bookmarkEnd w:id="1373"/>
      <w:bookmarkEnd w:id="1374"/>
      <w:bookmarkEnd w:id="1375"/>
      <w:bookmarkEnd w:id="1376"/>
      <w:bookmarkEnd w:id="1377"/>
      <w:bookmarkEnd w:id="1378"/>
      <w:r>
        <w:rPr>
          <w:rFonts w:hint="eastAsia"/>
          <w:sz w:val="22"/>
          <w:szCs w:val="28"/>
          <w:highlight w:val="none"/>
        </w:rPr>
        <w:t>以及安全文明施工</w:t>
      </w:r>
      <w:bookmarkEnd w:id="1379"/>
      <w:bookmarkEnd w:id="1380"/>
      <w:bookmarkEnd w:id="1381"/>
      <w:bookmarkEnd w:id="1382"/>
      <w:bookmarkEnd w:id="1383"/>
    </w:p>
    <w:p w14:paraId="10FF1D17">
      <w:pPr>
        <w:spacing w:after="160" w:line="278" w:lineRule="auto"/>
        <w:rPr>
          <w:sz w:val="22"/>
          <w:szCs w:val="28"/>
          <w:highlight w:val="none"/>
        </w:rPr>
      </w:pPr>
      <w:bookmarkStart w:id="1384" w:name="_Toc129798304"/>
      <w:bookmarkStart w:id="1385" w:name="_Toc132619053"/>
      <w:bookmarkStart w:id="1386" w:name="_Toc144974642"/>
      <w:bookmarkStart w:id="1387" w:name="_Toc152042452"/>
      <w:bookmarkStart w:id="1388" w:name="_Toc342296325"/>
      <w:bookmarkStart w:id="1389" w:name="_Toc152045674"/>
      <w:bookmarkStart w:id="1390" w:name="_Toc142385591"/>
      <w:bookmarkStart w:id="1391" w:name="_Toc109914369"/>
      <w:bookmarkStart w:id="1392" w:name="_Toc338944767"/>
      <w:bookmarkStart w:id="1393" w:name="_Toc132618662"/>
      <w:bookmarkStart w:id="1394" w:name="_Toc179632692"/>
      <w:r>
        <w:rPr>
          <w:sz w:val="22"/>
          <w:szCs w:val="28"/>
          <w:highlight w:val="none"/>
        </w:rPr>
        <w:t>9.1 发包人的施工安全责任</w:t>
      </w:r>
      <w:bookmarkEnd w:id="1384"/>
      <w:bookmarkEnd w:id="1385"/>
      <w:bookmarkEnd w:id="1386"/>
      <w:bookmarkEnd w:id="1387"/>
      <w:bookmarkEnd w:id="1388"/>
      <w:bookmarkEnd w:id="1389"/>
      <w:bookmarkEnd w:id="1390"/>
      <w:bookmarkEnd w:id="1391"/>
      <w:bookmarkEnd w:id="1392"/>
      <w:bookmarkEnd w:id="1393"/>
      <w:bookmarkEnd w:id="1394"/>
    </w:p>
    <w:p w14:paraId="69BC9BF6">
      <w:pPr>
        <w:spacing w:after="160" w:line="278" w:lineRule="auto"/>
        <w:rPr>
          <w:sz w:val="22"/>
          <w:szCs w:val="28"/>
          <w:highlight w:val="none"/>
        </w:rPr>
      </w:pPr>
      <w:r>
        <w:rPr>
          <w:sz w:val="22"/>
          <w:szCs w:val="28"/>
          <w:highlight w:val="none"/>
        </w:rPr>
        <w:t>9.1.1 发包人应按合同约定履行安全职责，授权监理人按合同约定的安全工作内容监督、检查承包人安全工作的实施，组织承包人和有关单位进行安全检查。</w:t>
      </w:r>
    </w:p>
    <w:p w14:paraId="11097895">
      <w:pPr>
        <w:spacing w:after="160" w:line="278" w:lineRule="auto"/>
        <w:rPr>
          <w:sz w:val="22"/>
          <w:szCs w:val="28"/>
          <w:highlight w:val="none"/>
        </w:rPr>
      </w:pPr>
      <w:r>
        <w:rPr>
          <w:sz w:val="22"/>
          <w:szCs w:val="28"/>
          <w:highlight w:val="none"/>
        </w:rPr>
        <w:t>9.1.2 发包人应对其现场机构雇佣的全部人员的工伤事故承担责任，但由于承包人原因造成发包人人员工伤的，应由承包人承担责任。</w:t>
      </w:r>
    </w:p>
    <w:p w14:paraId="2F791358">
      <w:pPr>
        <w:spacing w:after="160" w:line="278" w:lineRule="auto"/>
        <w:rPr>
          <w:sz w:val="22"/>
          <w:szCs w:val="28"/>
          <w:highlight w:val="none"/>
        </w:rPr>
      </w:pPr>
      <w:r>
        <w:rPr>
          <w:sz w:val="22"/>
          <w:szCs w:val="28"/>
          <w:highlight w:val="none"/>
        </w:rPr>
        <w:t>9.1.3 发包人应负责赔偿以下各种情况造成的第三者人身伤亡和财产损失：</w:t>
      </w:r>
    </w:p>
    <w:p w14:paraId="60B94CC5">
      <w:pPr>
        <w:spacing w:after="160" w:line="278" w:lineRule="auto"/>
        <w:rPr>
          <w:sz w:val="22"/>
          <w:szCs w:val="28"/>
          <w:highlight w:val="none"/>
        </w:rPr>
      </w:pPr>
      <w:r>
        <w:rPr>
          <w:sz w:val="22"/>
          <w:szCs w:val="28"/>
          <w:highlight w:val="none"/>
        </w:rPr>
        <w:t>（1） 工程或工程的任何部分对土地的占用所造成的第三者财产损失；</w:t>
      </w:r>
    </w:p>
    <w:p w14:paraId="06B29DF1">
      <w:pPr>
        <w:spacing w:after="160" w:line="278" w:lineRule="auto"/>
        <w:rPr>
          <w:sz w:val="22"/>
          <w:szCs w:val="28"/>
          <w:highlight w:val="none"/>
        </w:rPr>
      </w:pPr>
      <w:r>
        <w:rPr>
          <w:sz w:val="22"/>
          <w:szCs w:val="28"/>
          <w:highlight w:val="none"/>
        </w:rPr>
        <w:t>（2） 由于发包人原因在施工场地及其毗邻地带造成的第三者人身伤亡和财产损失。</w:t>
      </w:r>
    </w:p>
    <w:p w14:paraId="37707DE9">
      <w:pPr>
        <w:spacing w:after="160" w:line="278" w:lineRule="auto"/>
        <w:rPr>
          <w:sz w:val="22"/>
          <w:szCs w:val="28"/>
          <w:highlight w:val="none"/>
        </w:rPr>
      </w:pPr>
      <w:bookmarkStart w:id="1395" w:name="_Toc132619054"/>
      <w:bookmarkStart w:id="1396" w:name="_Toc132618663"/>
      <w:bookmarkStart w:id="1397" w:name="_Toc342296326"/>
      <w:bookmarkStart w:id="1398" w:name="_Toc109914370"/>
      <w:bookmarkStart w:id="1399" w:name="_Toc129798305"/>
      <w:bookmarkStart w:id="1400" w:name="_Toc142385592"/>
      <w:bookmarkStart w:id="1401" w:name="_Toc338944768"/>
      <w:r>
        <w:rPr>
          <w:sz w:val="22"/>
          <w:szCs w:val="28"/>
          <w:highlight w:val="none"/>
        </w:rPr>
        <w:t>9.2 承包人的施工安全责任</w:t>
      </w:r>
      <w:bookmarkEnd w:id="1395"/>
      <w:bookmarkEnd w:id="1396"/>
      <w:bookmarkEnd w:id="1397"/>
      <w:bookmarkEnd w:id="1398"/>
      <w:bookmarkEnd w:id="1399"/>
      <w:bookmarkEnd w:id="1400"/>
      <w:bookmarkEnd w:id="1401"/>
    </w:p>
    <w:p w14:paraId="2299EB03">
      <w:pPr>
        <w:spacing w:after="160" w:line="278" w:lineRule="auto"/>
        <w:rPr>
          <w:sz w:val="22"/>
          <w:szCs w:val="28"/>
          <w:highlight w:val="none"/>
        </w:rPr>
      </w:pPr>
      <w:r>
        <w:rPr>
          <w:sz w:val="22"/>
          <w:szCs w:val="28"/>
          <w:highlight w:val="none"/>
        </w:rPr>
        <w:t>9.2.1 承包人应按合同约定履行安全职责,执行监理人有关安全工作的指示,并在专用合同条款约定的期限内，按合同约定的安全工作内容，编制施工安全措施计划报送监理人审批。</w:t>
      </w:r>
    </w:p>
    <w:p w14:paraId="469C9FA6">
      <w:pPr>
        <w:spacing w:after="160" w:line="278" w:lineRule="auto"/>
        <w:rPr>
          <w:sz w:val="22"/>
          <w:szCs w:val="28"/>
          <w:highlight w:val="none"/>
        </w:rPr>
      </w:pPr>
      <w:r>
        <w:rPr>
          <w:sz w:val="22"/>
          <w:szCs w:val="28"/>
          <w:highlight w:val="none"/>
        </w:rPr>
        <w:t>9.2.2 承包人应加强施工作业安全管理，特别应加强易燃、易爆材料、火工器材、有毒与腐蚀性材料和其他危险品的管理，以及对爆破作业和地下工程施工等危险作业的管理。</w:t>
      </w:r>
    </w:p>
    <w:p w14:paraId="101984CF">
      <w:pPr>
        <w:spacing w:after="160" w:line="278" w:lineRule="auto"/>
        <w:rPr>
          <w:sz w:val="22"/>
          <w:szCs w:val="28"/>
          <w:highlight w:val="none"/>
        </w:rPr>
      </w:pPr>
      <w:r>
        <w:rPr>
          <w:sz w:val="22"/>
          <w:szCs w:val="28"/>
          <w:highlight w:val="none"/>
        </w:rPr>
        <w:t>9.2.3 承包人应严格按照国家安全标准制定施工安全操作规程，配备必要的安全生产和劳动保护设施，加强对承包人人员的安全教育，并发放安全工作手册和劳动保护用具。</w:t>
      </w:r>
    </w:p>
    <w:p w14:paraId="726F0176">
      <w:pPr>
        <w:spacing w:after="160" w:line="278" w:lineRule="auto"/>
        <w:rPr>
          <w:sz w:val="22"/>
          <w:szCs w:val="28"/>
          <w:highlight w:val="none"/>
        </w:rPr>
      </w:pPr>
      <w:r>
        <w:rPr>
          <w:sz w:val="22"/>
          <w:szCs w:val="28"/>
          <w:highlight w:val="none"/>
        </w:rPr>
        <w:t>9.2.4 承包人应按监理人的指示制定应对灾害的紧急预案，报送监理人审批。承包人还应按预案做好安全检查，配置必要的救助物资和器材，切实保护好有关人员的人身和财产安全。</w:t>
      </w:r>
    </w:p>
    <w:p w14:paraId="3541544A">
      <w:pPr>
        <w:spacing w:after="160" w:line="278" w:lineRule="auto"/>
        <w:rPr>
          <w:sz w:val="22"/>
          <w:szCs w:val="28"/>
          <w:highlight w:val="none"/>
        </w:rPr>
      </w:pPr>
      <w:r>
        <w:rPr>
          <w:sz w:val="22"/>
          <w:szCs w:val="28"/>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44FF9A2">
      <w:pPr>
        <w:spacing w:after="160" w:line="278" w:lineRule="auto"/>
        <w:rPr>
          <w:sz w:val="22"/>
          <w:szCs w:val="28"/>
          <w:highlight w:val="none"/>
        </w:rPr>
      </w:pPr>
      <w:r>
        <w:rPr>
          <w:sz w:val="22"/>
          <w:szCs w:val="28"/>
          <w:highlight w:val="none"/>
        </w:rPr>
        <w:t>9.2.6 承包人应对其履行合同所雇佣的全部人员，包括分包人人员的工伤事故承担责任，但由于发包人原因造成承包人人员工伤事故的，应由发包人承担责任。</w:t>
      </w:r>
    </w:p>
    <w:p w14:paraId="01EAA4F8">
      <w:pPr>
        <w:spacing w:after="160" w:line="278" w:lineRule="auto"/>
        <w:rPr>
          <w:sz w:val="22"/>
          <w:szCs w:val="28"/>
          <w:highlight w:val="none"/>
        </w:rPr>
      </w:pPr>
      <w:r>
        <w:rPr>
          <w:sz w:val="22"/>
          <w:szCs w:val="28"/>
          <w:highlight w:val="none"/>
        </w:rPr>
        <w:t>9.2.7 由于承包人原因在施工场地内及其毗邻地带造成的第三者人员伤亡和财产损失，由承包人负责赔偿。</w:t>
      </w:r>
    </w:p>
    <w:p w14:paraId="18DC53AD">
      <w:pPr>
        <w:spacing w:after="160" w:line="278" w:lineRule="auto"/>
        <w:rPr>
          <w:sz w:val="22"/>
          <w:szCs w:val="28"/>
          <w:highlight w:val="none"/>
        </w:rPr>
      </w:pPr>
      <w:r>
        <w:rPr>
          <w:rFonts w:hint="eastAsia"/>
          <w:sz w:val="22"/>
          <w:szCs w:val="28"/>
          <w:highlight w:val="none"/>
        </w:rPr>
        <w:t>9.2.8 承包人应签署《施工安全协议书》（第七节），并严格按照第七节《施工安全协议书》中内容执行。</w:t>
      </w:r>
    </w:p>
    <w:p w14:paraId="0FB8D489">
      <w:pPr>
        <w:spacing w:after="160" w:line="278" w:lineRule="auto"/>
        <w:rPr>
          <w:sz w:val="22"/>
          <w:szCs w:val="28"/>
          <w:highlight w:val="none"/>
        </w:rPr>
      </w:pPr>
      <w:bookmarkStart w:id="1402" w:name="_Toc109914371"/>
      <w:bookmarkStart w:id="1403" w:name="_Toc338944769"/>
      <w:bookmarkStart w:id="1404" w:name="_Toc132619055"/>
      <w:bookmarkStart w:id="1405" w:name="_Toc129798306"/>
      <w:bookmarkStart w:id="1406" w:name="_Toc142385593"/>
      <w:bookmarkStart w:id="1407" w:name="_Toc132618664"/>
      <w:bookmarkStart w:id="1408" w:name="_Toc342296327"/>
      <w:r>
        <w:rPr>
          <w:sz w:val="22"/>
          <w:szCs w:val="28"/>
          <w:highlight w:val="none"/>
        </w:rPr>
        <w:t>9.3 治安保卫</w:t>
      </w:r>
      <w:bookmarkEnd w:id="1402"/>
      <w:bookmarkEnd w:id="1403"/>
      <w:bookmarkEnd w:id="1404"/>
      <w:bookmarkEnd w:id="1405"/>
      <w:bookmarkEnd w:id="1406"/>
      <w:bookmarkEnd w:id="1407"/>
      <w:bookmarkEnd w:id="1408"/>
    </w:p>
    <w:p w14:paraId="584EBFBD">
      <w:pPr>
        <w:spacing w:after="160" w:line="278" w:lineRule="auto"/>
        <w:rPr>
          <w:sz w:val="22"/>
          <w:szCs w:val="28"/>
          <w:highlight w:val="none"/>
        </w:rPr>
      </w:pPr>
      <w:r>
        <w:rPr>
          <w:sz w:val="22"/>
          <w:szCs w:val="28"/>
          <w:highlight w:val="none"/>
        </w:rPr>
        <w:t>9.3.1 除合同另有约定外，发包人应与当地公安部门协商，在现场建立治安管理机构或联防组织，统一管理施工场地的治安保卫事项，履行合同工程的治安保卫职责。</w:t>
      </w:r>
    </w:p>
    <w:p w14:paraId="43115704">
      <w:pPr>
        <w:spacing w:after="160" w:line="278" w:lineRule="auto"/>
        <w:rPr>
          <w:sz w:val="22"/>
          <w:szCs w:val="28"/>
          <w:highlight w:val="none"/>
        </w:rPr>
      </w:pPr>
      <w:r>
        <w:rPr>
          <w:sz w:val="22"/>
          <w:szCs w:val="28"/>
          <w:highlight w:val="none"/>
        </w:rPr>
        <w:t>9.3.2 发包人和承包人除应协助现场治安管理机构或联防组织维护施工场地的社会治安外，还应做好包括生活区在内的各自管辖区的治安保卫工作。</w:t>
      </w:r>
    </w:p>
    <w:p w14:paraId="2371DE8B">
      <w:pPr>
        <w:spacing w:after="160" w:line="278" w:lineRule="auto"/>
        <w:rPr>
          <w:sz w:val="22"/>
          <w:szCs w:val="28"/>
          <w:highlight w:val="none"/>
        </w:rPr>
      </w:pPr>
      <w:r>
        <w:rPr>
          <w:sz w:val="22"/>
          <w:szCs w:val="28"/>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8BFC777">
      <w:pPr>
        <w:spacing w:after="160" w:line="278" w:lineRule="auto"/>
        <w:rPr>
          <w:sz w:val="22"/>
          <w:szCs w:val="28"/>
          <w:highlight w:val="none"/>
        </w:rPr>
      </w:pPr>
      <w:bookmarkStart w:id="1409" w:name="_Toc338944770"/>
      <w:bookmarkStart w:id="1410" w:name="_Toc132619056"/>
      <w:bookmarkStart w:id="1411" w:name="_Toc129798307"/>
      <w:bookmarkStart w:id="1412" w:name="_Toc142385594"/>
      <w:bookmarkStart w:id="1413" w:name="_Toc109914372"/>
      <w:bookmarkStart w:id="1414" w:name="_Toc342296328"/>
      <w:bookmarkStart w:id="1415" w:name="_Toc132618665"/>
      <w:r>
        <w:rPr>
          <w:sz w:val="22"/>
          <w:szCs w:val="28"/>
          <w:highlight w:val="none"/>
        </w:rPr>
        <w:t>9.4 环境保护</w:t>
      </w:r>
      <w:bookmarkEnd w:id="1409"/>
      <w:bookmarkEnd w:id="1410"/>
      <w:bookmarkEnd w:id="1411"/>
      <w:bookmarkEnd w:id="1412"/>
      <w:bookmarkEnd w:id="1413"/>
      <w:bookmarkEnd w:id="1414"/>
      <w:bookmarkEnd w:id="1415"/>
    </w:p>
    <w:p w14:paraId="1871F589">
      <w:pPr>
        <w:spacing w:after="160" w:line="278" w:lineRule="auto"/>
        <w:rPr>
          <w:sz w:val="22"/>
          <w:szCs w:val="28"/>
          <w:highlight w:val="none"/>
        </w:rPr>
      </w:pPr>
      <w:r>
        <w:rPr>
          <w:sz w:val="22"/>
          <w:szCs w:val="28"/>
          <w:highlight w:val="none"/>
        </w:rPr>
        <w:t>9.4.1 承包人在施工过程中，应遵守有关环境保护的法律，履行合同约定的环境保护义务，并对违反法律和合同约定义务所造成的环境破坏、人身伤害和财产损失负责。</w:t>
      </w:r>
    </w:p>
    <w:p w14:paraId="48B28F1A">
      <w:pPr>
        <w:spacing w:after="160" w:line="278" w:lineRule="auto"/>
        <w:rPr>
          <w:sz w:val="22"/>
          <w:szCs w:val="28"/>
          <w:highlight w:val="none"/>
        </w:rPr>
      </w:pPr>
      <w:r>
        <w:rPr>
          <w:sz w:val="22"/>
          <w:szCs w:val="28"/>
          <w:highlight w:val="none"/>
        </w:rPr>
        <w:t>9.4.2 承包人应按合同约定的环保工作内容，编制施工环保措施计划，报送监理人审批。</w:t>
      </w:r>
    </w:p>
    <w:p w14:paraId="3B2C5077">
      <w:pPr>
        <w:spacing w:after="160" w:line="278" w:lineRule="auto"/>
        <w:rPr>
          <w:sz w:val="22"/>
          <w:szCs w:val="28"/>
          <w:highlight w:val="none"/>
        </w:rPr>
      </w:pPr>
      <w:r>
        <w:rPr>
          <w:sz w:val="22"/>
          <w:szCs w:val="28"/>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BD03557">
      <w:pPr>
        <w:spacing w:after="160" w:line="278" w:lineRule="auto"/>
        <w:rPr>
          <w:sz w:val="22"/>
          <w:szCs w:val="28"/>
          <w:highlight w:val="none"/>
        </w:rPr>
      </w:pPr>
      <w:r>
        <w:rPr>
          <w:sz w:val="22"/>
          <w:szCs w:val="28"/>
          <w:highlight w:val="none"/>
        </w:rPr>
        <w:t>9.4.4 承包人应按合同约定采取有效措施，对施工开挖的边坡及时进行支护,维护排水设施，并进行水土保护，避免因施工造成的地质灾害。</w:t>
      </w:r>
    </w:p>
    <w:p w14:paraId="58F2FD90">
      <w:pPr>
        <w:spacing w:after="160" w:line="278" w:lineRule="auto"/>
        <w:rPr>
          <w:sz w:val="22"/>
          <w:szCs w:val="28"/>
          <w:highlight w:val="none"/>
        </w:rPr>
      </w:pPr>
      <w:r>
        <w:rPr>
          <w:sz w:val="22"/>
          <w:szCs w:val="28"/>
          <w:highlight w:val="none"/>
        </w:rPr>
        <w:t>9.4.5 承包人应按国家饮用水管理标准定期对饮用水源进行监测，防止施工活动污染饮用水源。</w:t>
      </w:r>
    </w:p>
    <w:p w14:paraId="51AB458A">
      <w:pPr>
        <w:spacing w:after="160" w:line="278" w:lineRule="auto"/>
        <w:rPr>
          <w:sz w:val="22"/>
          <w:szCs w:val="28"/>
          <w:highlight w:val="none"/>
        </w:rPr>
      </w:pPr>
      <w:r>
        <w:rPr>
          <w:sz w:val="22"/>
          <w:szCs w:val="28"/>
          <w:highlight w:val="none"/>
        </w:rPr>
        <w:t>9.4.6 承包人应按合同约定，加强对噪声、粉尘、废气、废水和废油的控制，努力降低噪声，控制粉尘和废气浓度，做好废水和废油的治理和排放。</w:t>
      </w:r>
    </w:p>
    <w:p w14:paraId="46A29E63">
      <w:pPr>
        <w:spacing w:after="160" w:line="278" w:lineRule="auto"/>
        <w:rPr>
          <w:sz w:val="22"/>
          <w:szCs w:val="28"/>
          <w:highlight w:val="none"/>
        </w:rPr>
      </w:pPr>
      <w:bookmarkStart w:id="1416" w:name="_Toc152042456"/>
      <w:bookmarkStart w:id="1417" w:name="_Toc342296329"/>
      <w:bookmarkStart w:id="1418" w:name="_Toc144974646"/>
      <w:bookmarkStart w:id="1419" w:name="_Toc109914373"/>
      <w:bookmarkStart w:id="1420" w:name="_Toc129798308"/>
      <w:bookmarkStart w:id="1421" w:name="_Toc152045678"/>
      <w:bookmarkStart w:id="1422" w:name="_Toc132618666"/>
      <w:bookmarkStart w:id="1423" w:name="_Toc338944771"/>
      <w:bookmarkStart w:id="1424" w:name="_Toc179632696"/>
      <w:bookmarkStart w:id="1425" w:name="_Toc132619057"/>
      <w:bookmarkStart w:id="1426" w:name="_Toc142385595"/>
      <w:r>
        <w:rPr>
          <w:sz w:val="22"/>
          <w:szCs w:val="28"/>
          <w:highlight w:val="none"/>
        </w:rPr>
        <w:t>9.5 事故处理</w:t>
      </w:r>
      <w:bookmarkEnd w:id="1416"/>
      <w:bookmarkEnd w:id="1417"/>
      <w:bookmarkEnd w:id="1418"/>
      <w:bookmarkEnd w:id="1419"/>
      <w:bookmarkEnd w:id="1420"/>
      <w:bookmarkEnd w:id="1421"/>
      <w:bookmarkEnd w:id="1422"/>
      <w:bookmarkEnd w:id="1423"/>
      <w:bookmarkEnd w:id="1424"/>
      <w:bookmarkEnd w:id="1425"/>
      <w:bookmarkEnd w:id="1426"/>
    </w:p>
    <w:p w14:paraId="529C3A4B">
      <w:pPr>
        <w:spacing w:after="160" w:line="278" w:lineRule="auto"/>
        <w:rPr>
          <w:sz w:val="22"/>
          <w:szCs w:val="28"/>
          <w:highlight w:val="none"/>
        </w:rPr>
      </w:pPr>
      <w:r>
        <w:rPr>
          <w:sz w:val="22"/>
          <w:szCs w:val="28"/>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9A33CEC">
      <w:pPr>
        <w:spacing w:after="160" w:line="278" w:lineRule="auto"/>
        <w:rPr>
          <w:sz w:val="22"/>
          <w:szCs w:val="28"/>
          <w:highlight w:val="none"/>
        </w:rPr>
      </w:pPr>
      <w:bookmarkStart w:id="1427" w:name="_Toc132619058"/>
      <w:bookmarkStart w:id="1428" w:name="_Toc109914374"/>
      <w:bookmarkStart w:id="1429" w:name="_Toc142385596"/>
      <w:bookmarkStart w:id="1430" w:name="_Toc129798309"/>
      <w:bookmarkStart w:id="1431" w:name="_Toc132618667"/>
      <w:r>
        <w:rPr>
          <w:sz w:val="22"/>
          <w:szCs w:val="28"/>
          <w:highlight w:val="none"/>
        </w:rPr>
        <w:t xml:space="preserve">9.5 </w:t>
      </w:r>
      <w:r>
        <w:rPr>
          <w:rFonts w:hint="eastAsia"/>
          <w:sz w:val="22"/>
          <w:szCs w:val="28"/>
          <w:highlight w:val="none"/>
        </w:rPr>
        <w:t>安全文明施工</w:t>
      </w:r>
      <w:bookmarkEnd w:id="1427"/>
      <w:bookmarkEnd w:id="1428"/>
      <w:bookmarkEnd w:id="1429"/>
      <w:bookmarkEnd w:id="1430"/>
      <w:bookmarkEnd w:id="1431"/>
    </w:p>
    <w:p w14:paraId="761DEEB3">
      <w:pPr>
        <w:spacing w:after="160" w:line="278" w:lineRule="auto"/>
        <w:rPr>
          <w:sz w:val="22"/>
          <w:szCs w:val="28"/>
          <w:highlight w:val="none"/>
        </w:rPr>
      </w:pPr>
      <w:r>
        <w:rPr>
          <w:sz w:val="22"/>
          <w:szCs w:val="28"/>
          <w:highlight w:val="none"/>
        </w:rPr>
        <w:t xml:space="preserve">9.5.1 </w:t>
      </w:r>
      <w:r>
        <w:rPr>
          <w:rFonts w:hint="eastAsia"/>
          <w:sz w:val="22"/>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FA43170">
      <w:pPr>
        <w:spacing w:after="160" w:line="278" w:lineRule="auto"/>
        <w:rPr>
          <w:sz w:val="22"/>
          <w:szCs w:val="28"/>
          <w:highlight w:val="none"/>
        </w:rPr>
      </w:pPr>
      <w:r>
        <w:rPr>
          <w:rFonts w:hint="eastAsia"/>
          <w:sz w:val="22"/>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C7C30F">
      <w:pPr>
        <w:spacing w:after="160" w:line="278" w:lineRule="auto"/>
        <w:rPr>
          <w:sz w:val="22"/>
          <w:szCs w:val="28"/>
          <w:highlight w:val="none"/>
        </w:rPr>
      </w:pPr>
      <w:r>
        <w:rPr>
          <w:sz w:val="22"/>
          <w:szCs w:val="28"/>
          <w:highlight w:val="none"/>
        </w:rPr>
        <w:t xml:space="preserve">9.5.2 </w:t>
      </w:r>
      <w:r>
        <w:rPr>
          <w:rFonts w:hint="eastAsia"/>
          <w:sz w:val="22"/>
          <w:szCs w:val="28"/>
          <w:highlight w:val="none"/>
        </w:rPr>
        <w:t>安全文明施工费由发包人承担，发包人不得以任何形式扣减该部分费用。因基准日期后合同所适用的法律或政府有关规定发生变化，增加的安全文明施工费由发包人承担。</w:t>
      </w:r>
    </w:p>
    <w:p w14:paraId="348EDF41">
      <w:pPr>
        <w:spacing w:after="160" w:line="278" w:lineRule="auto"/>
        <w:rPr>
          <w:sz w:val="22"/>
          <w:szCs w:val="28"/>
          <w:highlight w:val="none"/>
        </w:rPr>
      </w:pPr>
      <w:r>
        <w:rPr>
          <w:rFonts w:hint="eastAsia"/>
          <w:sz w:val="22"/>
          <w:szCs w:val="28"/>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2251E2C">
      <w:pPr>
        <w:spacing w:after="160" w:line="278" w:lineRule="auto"/>
        <w:rPr>
          <w:sz w:val="22"/>
          <w:szCs w:val="28"/>
          <w:highlight w:val="none"/>
        </w:rPr>
      </w:pPr>
      <w:r>
        <w:rPr>
          <w:rFonts w:hint="eastAsia"/>
          <w:sz w:val="22"/>
          <w:szCs w:val="28"/>
          <w:highlight w:val="none"/>
        </w:rPr>
        <w:t>除专用合同条款另有约定外，发包人应在开工后</w:t>
      </w:r>
      <w:r>
        <w:rPr>
          <w:sz w:val="22"/>
          <w:szCs w:val="28"/>
          <w:highlight w:val="none"/>
        </w:rPr>
        <w:t>28天内预付安全文明施工费总额的50%，其余部分与进度款同期支付。发包人逾期支付安全文明施工费超过7天的，承包人有权向发包人发出要求预付的催告通知，发包人收到通知后7天内仍未支付的，承包人有权暂停施工。</w:t>
      </w:r>
    </w:p>
    <w:p w14:paraId="0541D6BC">
      <w:pPr>
        <w:spacing w:after="160" w:line="278" w:lineRule="auto"/>
        <w:rPr>
          <w:sz w:val="22"/>
          <w:szCs w:val="28"/>
          <w:highlight w:val="none"/>
        </w:rPr>
      </w:pPr>
      <w:r>
        <w:rPr>
          <w:rFonts w:hint="eastAsia"/>
          <w:sz w:val="22"/>
          <w:szCs w:val="28"/>
          <w:highlight w:val="none"/>
        </w:rPr>
        <w:t>安全文明施工费应专款专用，应在财务账目中单独列项备查，不得挪作他用，否则发包人有权责令其限期改正；逾期未改正的，可以责令其暂停施工，由此增加的费用和（或）延误的工期由承包人承担。且安全文明施工费应根据相关施工措施和市场价格测算确定，但不得低于北京市建设工程安全文明施工费管理办法（试行）中规定的费用标准（费率）计算的金额，且不得作为让利因素。施工现场安全生产标准化管理目标应符合合同约定中等级要求，且不得低于京建发〔</w:t>
      </w:r>
      <w:r>
        <w:rPr>
          <w:sz w:val="22"/>
          <w:szCs w:val="28"/>
          <w:highlight w:val="none"/>
        </w:rPr>
        <w:t>2019〕13号《图集》中达标（合格）标准。</w:t>
      </w:r>
    </w:p>
    <w:p w14:paraId="06669C8C">
      <w:pPr>
        <w:spacing w:after="160" w:line="278" w:lineRule="auto"/>
        <w:rPr>
          <w:sz w:val="22"/>
          <w:szCs w:val="28"/>
          <w:highlight w:val="none"/>
        </w:rPr>
      </w:pPr>
      <w:bookmarkStart w:id="1432" w:name="_Toc132618668"/>
      <w:bookmarkStart w:id="1433" w:name="_Toc132619059"/>
      <w:bookmarkStart w:id="1434" w:name="_Toc342296330"/>
      <w:bookmarkStart w:id="1435" w:name="_Toc448758531"/>
      <w:bookmarkStart w:id="1436" w:name="_Toc129798310"/>
      <w:bookmarkStart w:id="1437" w:name="_Toc338944772"/>
      <w:bookmarkStart w:id="1438" w:name="_Toc109914375"/>
      <w:bookmarkStart w:id="1439" w:name="_Toc142385597"/>
      <w:bookmarkStart w:id="1440" w:name="_Toc442365623"/>
      <w:bookmarkStart w:id="1441" w:name="_Toc448758431"/>
      <w:bookmarkStart w:id="1442" w:name="_Toc469660026"/>
      <w:r>
        <w:rPr>
          <w:sz w:val="22"/>
          <w:szCs w:val="28"/>
          <w:highlight w:val="none"/>
        </w:rPr>
        <w:t>10. 进度计划</w:t>
      </w:r>
      <w:bookmarkEnd w:id="1432"/>
      <w:bookmarkEnd w:id="1433"/>
      <w:bookmarkEnd w:id="1434"/>
      <w:bookmarkEnd w:id="1435"/>
      <w:bookmarkEnd w:id="1436"/>
      <w:bookmarkEnd w:id="1437"/>
      <w:bookmarkEnd w:id="1438"/>
      <w:bookmarkEnd w:id="1439"/>
      <w:bookmarkEnd w:id="1440"/>
      <w:bookmarkEnd w:id="1441"/>
      <w:bookmarkEnd w:id="1442"/>
    </w:p>
    <w:p w14:paraId="2FD005EE">
      <w:pPr>
        <w:spacing w:after="160" w:line="278" w:lineRule="auto"/>
        <w:rPr>
          <w:sz w:val="22"/>
          <w:szCs w:val="28"/>
          <w:highlight w:val="none"/>
        </w:rPr>
      </w:pPr>
      <w:bookmarkStart w:id="1443" w:name="_Toc142385598"/>
      <w:bookmarkStart w:id="1444" w:name="_Toc132619060"/>
      <w:bookmarkStart w:id="1445" w:name="_Toc338944773"/>
      <w:bookmarkStart w:id="1446" w:name="_Toc342296331"/>
      <w:bookmarkStart w:id="1447" w:name="_Toc132618669"/>
      <w:bookmarkStart w:id="1448" w:name="_Toc109914376"/>
      <w:bookmarkStart w:id="1449" w:name="_Toc129798311"/>
      <w:r>
        <w:rPr>
          <w:sz w:val="22"/>
          <w:szCs w:val="28"/>
          <w:highlight w:val="none"/>
        </w:rPr>
        <w:t>10.1 合同进度计划</w:t>
      </w:r>
      <w:bookmarkEnd w:id="1443"/>
      <w:bookmarkEnd w:id="1444"/>
      <w:bookmarkEnd w:id="1445"/>
      <w:bookmarkEnd w:id="1446"/>
      <w:bookmarkEnd w:id="1447"/>
      <w:bookmarkEnd w:id="1448"/>
      <w:bookmarkEnd w:id="1449"/>
    </w:p>
    <w:p w14:paraId="153576A3">
      <w:pPr>
        <w:spacing w:after="160" w:line="278" w:lineRule="auto"/>
        <w:rPr>
          <w:sz w:val="22"/>
          <w:szCs w:val="28"/>
          <w:highlight w:val="none"/>
        </w:rPr>
      </w:pPr>
      <w:r>
        <w:rPr>
          <w:sz w:val="22"/>
          <w:szCs w:val="28"/>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1A41A418">
      <w:pPr>
        <w:spacing w:after="160" w:line="278" w:lineRule="auto"/>
        <w:rPr>
          <w:sz w:val="22"/>
          <w:szCs w:val="28"/>
          <w:highlight w:val="none"/>
        </w:rPr>
      </w:pPr>
      <w:bookmarkStart w:id="1450" w:name="_Toc142385599"/>
      <w:bookmarkStart w:id="1451" w:name="_Toc132619061"/>
      <w:bookmarkStart w:id="1452" w:name="_Toc132618670"/>
      <w:bookmarkStart w:id="1453" w:name="_Toc338944774"/>
      <w:bookmarkStart w:id="1454" w:name="_Toc109914377"/>
      <w:bookmarkStart w:id="1455" w:name="_Toc129798312"/>
      <w:bookmarkStart w:id="1456" w:name="_Toc342296332"/>
      <w:r>
        <w:rPr>
          <w:sz w:val="22"/>
          <w:szCs w:val="28"/>
          <w:highlight w:val="none"/>
        </w:rPr>
        <w:t>10.2 合同进度计划的修订</w:t>
      </w:r>
      <w:bookmarkEnd w:id="1450"/>
      <w:bookmarkEnd w:id="1451"/>
      <w:bookmarkEnd w:id="1452"/>
      <w:bookmarkEnd w:id="1453"/>
      <w:bookmarkEnd w:id="1454"/>
      <w:bookmarkEnd w:id="1455"/>
      <w:bookmarkEnd w:id="1456"/>
    </w:p>
    <w:p w14:paraId="42BE8FB8">
      <w:pPr>
        <w:spacing w:after="160" w:line="278" w:lineRule="auto"/>
        <w:rPr>
          <w:sz w:val="22"/>
          <w:szCs w:val="28"/>
          <w:highlight w:val="none"/>
        </w:rPr>
      </w:pPr>
      <w:r>
        <w:rPr>
          <w:sz w:val="22"/>
          <w:szCs w:val="28"/>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ADF9897">
      <w:pPr>
        <w:spacing w:after="160" w:line="278" w:lineRule="auto"/>
        <w:rPr>
          <w:sz w:val="22"/>
          <w:szCs w:val="28"/>
          <w:highlight w:val="none"/>
        </w:rPr>
      </w:pPr>
      <w:bookmarkStart w:id="1457" w:name="_Toc338944775"/>
      <w:bookmarkStart w:id="1458" w:name="_Toc132619062"/>
      <w:bookmarkStart w:id="1459" w:name="_Toc448758432"/>
      <w:bookmarkStart w:id="1460" w:name="_Toc132618671"/>
      <w:bookmarkStart w:id="1461" w:name="_Toc109914378"/>
      <w:bookmarkStart w:id="1462" w:name="_Toc142385600"/>
      <w:bookmarkStart w:id="1463" w:name="_Toc129798313"/>
      <w:bookmarkStart w:id="1464" w:name="_Toc448758532"/>
      <w:bookmarkStart w:id="1465" w:name="_Toc469660027"/>
      <w:bookmarkStart w:id="1466" w:name="_Toc442365624"/>
      <w:bookmarkStart w:id="1467" w:name="_Toc342296333"/>
      <w:r>
        <w:rPr>
          <w:sz w:val="22"/>
          <w:szCs w:val="28"/>
          <w:highlight w:val="none"/>
        </w:rPr>
        <w:t>11. 开工和竣工</w:t>
      </w:r>
      <w:bookmarkEnd w:id="1457"/>
      <w:bookmarkEnd w:id="1458"/>
      <w:bookmarkEnd w:id="1459"/>
      <w:bookmarkEnd w:id="1460"/>
      <w:bookmarkEnd w:id="1461"/>
      <w:bookmarkEnd w:id="1462"/>
      <w:bookmarkEnd w:id="1463"/>
      <w:bookmarkEnd w:id="1464"/>
      <w:bookmarkEnd w:id="1465"/>
      <w:bookmarkEnd w:id="1466"/>
      <w:bookmarkEnd w:id="1467"/>
    </w:p>
    <w:p w14:paraId="2ACC6E1E">
      <w:pPr>
        <w:spacing w:after="160" w:line="278" w:lineRule="auto"/>
        <w:rPr>
          <w:sz w:val="22"/>
          <w:szCs w:val="28"/>
          <w:highlight w:val="none"/>
        </w:rPr>
      </w:pPr>
      <w:bookmarkStart w:id="1468" w:name="_Toc109914379"/>
      <w:bookmarkStart w:id="1469" w:name="_Toc132619063"/>
      <w:bookmarkStart w:id="1470" w:name="_Toc179632701"/>
      <w:bookmarkStart w:id="1471" w:name="_Toc142385601"/>
      <w:bookmarkStart w:id="1472" w:name="_Toc152045683"/>
      <w:bookmarkStart w:id="1473" w:name="_Toc342296334"/>
      <w:bookmarkStart w:id="1474" w:name="_Toc338944776"/>
      <w:bookmarkStart w:id="1475" w:name="_Toc152042461"/>
      <w:bookmarkStart w:id="1476" w:name="_Toc144974651"/>
      <w:bookmarkStart w:id="1477" w:name="_Toc132618672"/>
      <w:bookmarkStart w:id="1478" w:name="_Toc129798314"/>
      <w:r>
        <w:rPr>
          <w:sz w:val="22"/>
          <w:szCs w:val="28"/>
          <w:highlight w:val="none"/>
        </w:rPr>
        <w:t>11.1 开工</w:t>
      </w:r>
      <w:bookmarkEnd w:id="1468"/>
      <w:bookmarkEnd w:id="1469"/>
      <w:bookmarkEnd w:id="1470"/>
      <w:bookmarkEnd w:id="1471"/>
      <w:bookmarkEnd w:id="1472"/>
      <w:bookmarkEnd w:id="1473"/>
      <w:bookmarkEnd w:id="1474"/>
      <w:bookmarkEnd w:id="1475"/>
      <w:bookmarkEnd w:id="1476"/>
      <w:bookmarkEnd w:id="1477"/>
      <w:bookmarkEnd w:id="1478"/>
    </w:p>
    <w:p w14:paraId="0C90AB6D">
      <w:pPr>
        <w:spacing w:after="160" w:line="278" w:lineRule="auto"/>
        <w:rPr>
          <w:sz w:val="22"/>
          <w:szCs w:val="28"/>
          <w:highlight w:val="none"/>
        </w:rPr>
      </w:pPr>
      <w:r>
        <w:rPr>
          <w:sz w:val="22"/>
          <w:szCs w:val="28"/>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6F9F0BD7">
      <w:pPr>
        <w:spacing w:after="160" w:line="278" w:lineRule="auto"/>
        <w:rPr>
          <w:sz w:val="22"/>
          <w:szCs w:val="28"/>
          <w:highlight w:val="none"/>
        </w:rPr>
      </w:pPr>
      <w:r>
        <w:rPr>
          <w:sz w:val="22"/>
          <w:szCs w:val="28"/>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0527AD01">
      <w:pPr>
        <w:spacing w:after="160" w:line="278" w:lineRule="auto"/>
        <w:rPr>
          <w:sz w:val="22"/>
          <w:szCs w:val="28"/>
          <w:highlight w:val="none"/>
        </w:rPr>
      </w:pPr>
      <w:bookmarkStart w:id="1479" w:name="_Toc179632702"/>
      <w:bookmarkStart w:id="1480" w:name="_Toc132618673"/>
      <w:bookmarkStart w:id="1481" w:name="_Toc142385602"/>
      <w:bookmarkStart w:id="1482" w:name="_Toc129798315"/>
      <w:bookmarkStart w:id="1483" w:name="_Toc338944777"/>
      <w:bookmarkStart w:id="1484" w:name="_Toc109914380"/>
      <w:bookmarkStart w:id="1485" w:name="_Toc152045684"/>
      <w:bookmarkStart w:id="1486" w:name="_Toc342296335"/>
      <w:bookmarkStart w:id="1487" w:name="_Toc144974652"/>
      <w:bookmarkStart w:id="1488" w:name="_Toc132619064"/>
      <w:bookmarkStart w:id="1489" w:name="_Toc152042462"/>
      <w:r>
        <w:rPr>
          <w:sz w:val="22"/>
          <w:szCs w:val="28"/>
          <w:highlight w:val="none"/>
        </w:rPr>
        <w:t>11.2 竣工</w:t>
      </w:r>
      <w:bookmarkEnd w:id="1479"/>
      <w:bookmarkEnd w:id="1480"/>
      <w:bookmarkEnd w:id="1481"/>
      <w:bookmarkEnd w:id="1482"/>
      <w:bookmarkEnd w:id="1483"/>
      <w:bookmarkEnd w:id="1484"/>
      <w:bookmarkEnd w:id="1485"/>
      <w:bookmarkEnd w:id="1486"/>
      <w:bookmarkEnd w:id="1487"/>
      <w:bookmarkEnd w:id="1488"/>
      <w:bookmarkEnd w:id="1489"/>
    </w:p>
    <w:p w14:paraId="59D3FB3A">
      <w:pPr>
        <w:spacing w:after="160" w:line="278" w:lineRule="auto"/>
        <w:rPr>
          <w:sz w:val="22"/>
          <w:szCs w:val="28"/>
          <w:highlight w:val="none"/>
        </w:rPr>
      </w:pPr>
      <w:r>
        <w:rPr>
          <w:sz w:val="22"/>
          <w:szCs w:val="28"/>
          <w:highlight w:val="none"/>
        </w:rPr>
        <w:t>承包人应在第1.1.4.3目约定的期限内完成合同工程。实际竣工日期在接收证书中写明。</w:t>
      </w:r>
    </w:p>
    <w:p w14:paraId="4EE45912">
      <w:pPr>
        <w:spacing w:after="160" w:line="278" w:lineRule="auto"/>
        <w:rPr>
          <w:sz w:val="22"/>
          <w:szCs w:val="28"/>
          <w:highlight w:val="none"/>
        </w:rPr>
      </w:pPr>
      <w:bookmarkStart w:id="1490" w:name="_Toc109914381"/>
      <w:bookmarkStart w:id="1491" w:name="_Toc132618674"/>
      <w:bookmarkStart w:id="1492" w:name="_Toc342296336"/>
      <w:bookmarkStart w:id="1493" w:name="_Toc338944778"/>
      <w:bookmarkStart w:id="1494" w:name="_Toc129798316"/>
      <w:bookmarkStart w:id="1495" w:name="_Toc132619065"/>
      <w:bookmarkStart w:id="1496" w:name="_Toc142385603"/>
      <w:r>
        <w:rPr>
          <w:sz w:val="22"/>
          <w:szCs w:val="28"/>
          <w:highlight w:val="none"/>
        </w:rPr>
        <w:t>11.3 发包人的工期延误</w:t>
      </w:r>
      <w:bookmarkEnd w:id="1490"/>
      <w:bookmarkEnd w:id="1491"/>
      <w:bookmarkEnd w:id="1492"/>
      <w:bookmarkEnd w:id="1493"/>
      <w:bookmarkEnd w:id="1494"/>
      <w:bookmarkEnd w:id="1495"/>
      <w:bookmarkEnd w:id="1496"/>
    </w:p>
    <w:p w14:paraId="3E978A21">
      <w:pPr>
        <w:spacing w:after="160" w:line="278" w:lineRule="auto"/>
        <w:rPr>
          <w:sz w:val="22"/>
          <w:szCs w:val="28"/>
          <w:highlight w:val="none"/>
        </w:rPr>
      </w:pPr>
      <w:r>
        <w:rPr>
          <w:sz w:val="22"/>
          <w:szCs w:val="28"/>
          <w:highlight w:val="none"/>
        </w:rPr>
        <w:t>在履行合同过程中，由于发包人的下列原因造成工期延误的，承包人有权要求发包人延长工期和（或）增加费用，并支付合理利润。需要修订合同进度计划的，按照第10.2款的约定办理。</w:t>
      </w:r>
    </w:p>
    <w:p w14:paraId="7F14AECD">
      <w:pPr>
        <w:spacing w:after="160" w:line="278" w:lineRule="auto"/>
        <w:rPr>
          <w:sz w:val="22"/>
          <w:szCs w:val="28"/>
          <w:highlight w:val="none"/>
        </w:rPr>
      </w:pPr>
      <w:r>
        <w:rPr>
          <w:sz w:val="22"/>
          <w:szCs w:val="28"/>
          <w:highlight w:val="none"/>
        </w:rPr>
        <w:t>（1）增加合同工作内容；</w:t>
      </w:r>
    </w:p>
    <w:p w14:paraId="442944F1">
      <w:pPr>
        <w:spacing w:after="160" w:line="278" w:lineRule="auto"/>
        <w:rPr>
          <w:sz w:val="22"/>
          <w:szCs w:val="28"/>
          <w:highlight w:val="none"/>
        </w:rPr>
      </w:pPr>
      <w:r>
        <w:rPr>
          <w:sz w:val="22"/>
          <w:szCs w:val="28"/>
          <w:highlight w:val="none"/>
        </w:rPr>
        <w:t>（2）改变合同中任何一项工作的质量要求或其他特性；</w:t>
      </w:r>
    </w:p>
    <w:p w14:paraId="049480C5">
      <w:pPr>
        <w:spacing w:after="160" w:line="278" w:lineRule="auto"/>
        <w:rPr>
          <w:sz w:val="22"/>
          <w:szCs w:val="28"/>
          <w:highlight w:val="none"/>
        </w:rPr>
      </w:pPr>
      <w:r>
        <w:rPr>
          <w:sz w:val="22"/>
          <w:szCs w:val="28"/>
          <w:highlight w:val="none"/>
        </w:rPr>
        <w:t>（3）发包人迟延提供材料、工程设备或变更交货地点的；</w:t>
      </w:r>
    </w:p>
    <w:p w14:paraId="0C4E06D7">
      <w:pPr>
        <w:spacing w:after="160" w:line="278" w:lineRule="auto"/>
        <w:rPr>
          <w:sz w:val="22"/>
          <w:szCs w:val="28"/>
          <w:highlight w:val="none"/>
        </w:rPr>
      </w:pPr>
      <w:r>
        <w:rPr>
          <w:sz w:val="22"/>
          <w:szCs w:val="28"/>
          <w:highlight w:val="none"/>
        </w:rPr>
        <w:t>（4）因发包人原因导致的暂停施工；</w:t>
      </w:r>
    </w:p>
    <w:p w14:paraId="7F483719">
      <w:pPr>
        <w:spacing w:after="160" w:line="278" w:lineRule="auto"/>
        <w:rPr>
          <w:sz w:val="22"/>
          <w:szCs w:val="28"/>
          <w:highlight w:val="none"/>
        </w:rPr>
      </w:pPr>
      <w:r>
        <w:rPr>
          <w:sz w:val="22"/>
          <w:szCs w:val="28"/>
          <w:highlight w:val="none"/>
        </w:rPr>
        <w:t>（5）提供图纸延误；</w:t>
      </w:r>
    </w:p>
    <w:p w14:paraId="0D7B6A02">
      <w:pPr>
        <w:spacing w:after="160" w:line="278" w:lineRule="auto"/>
        <w:rPr>
          <w:sz w:val="22"/>
          <w:szCs w:val="28"/>
          <w:highlight w:val="none"/>
        </w:rPr>
      </w:pPr>
      <w:r>
        <w:rPr>
          <w:sz w:val="22"/>
          <w:szCs w:val="28"/>
          <w:highlight w:val="none"/>
        </w:rPr>
        <w:t>（6）未按合同约定及时支付预付款、进度款；</w:t>
      </w:r>
    </w:p>
    <w:p w14:paraId="58896BCA">
      <w:pPr>
        <w:spacing w:after="160" w:line="278" w:lineRule="auto"/>
        <w:rPr>
          <w:sz w:val="22"/>
          <w:szCs w:val="28"/>
          <w:highlight w:val="none"/>
        </w:rPr>
      </w:pPr>
      <w:r>
        <w:rPr>
          <w:sz w:val="22"/>
          <w:szCs w:val="28"/>
          <w:highlight w:val="none"/>
        </w:rPr>
        <w:t>（7）发包人造成工期延误的其他原因。</w:t>
      </w:r>
    </w:p>
    <w:p w14:paraId="7727EC46">
      <w:pPr>
        <w:spacing w:after="160" w:line="278" w:lineRule="auto"/>
        <w:rPr>
          <w:sz w:val="22"/>
          <w:szCs w:val="28"/>
          <w:highlight w:val="none"/>
        </w:rPr>
      </w:pPr>
      <w:bookmarkStart w:id="1497" w:name="_Toc142385604"/>
      <w:bookmarkStart w:id="1498" w:name="_Toc342296337"/>
      <w:bookmarkStart w:id="1499" w:name="_Toc338944779"/>
      <w:bookmarkStart w:id="1500" w:name="_Toc109914382"/>
      <w:bookmarkStart w:id="1501" w:name="_Toc132619066"/>
      <w:bookmarkStart w:id="1502" w:name="_Toc132618675"/>
      <w:bookmarkStart w:id="1503" w:name="_Toc129798317"/>
      <w:r>
        <w:rPr>
          <w:sz w:val="22"/>
          <w:szCs w:val="28"/>
          <w:highlight w:val="none"/>
        </w:rPr>
        <w:t>11.4 异常恶劣的气候条件</w:t>
      </w:r>
      <w:bookmarkEnd w:id="1497"/>
      <w:bookmarkEnd w:id="1498"/>
      <w:bookmarkEnd w:id="1499"/>
      <w:bookmarkEnd w:id="1500"/>
      <w:bookmarkEnd w:id="1501"/>
      <w:bookmarkEnd w:id="1502"/>
      <w:bookmarkEnd w:id="1503"/>
    </w:p>
    <w:p w14:paraId="2D2EBA1B">
      <w:pPr>
        <w:spacing w:after="160" w:line="278" w:lineRule="auto"/>
        <w:rPr>
          <w:sz w:val="22"/>
          <w:szCs w:val="28"/>
          <w:highlight w:val="none"/>
        </w:rPr>
      </w:pPr>
      <w:r>
        <w:rPr>
          <w:sz w:val="22"/>
          <w:szCs w:val="28"/>
          <w:highlight w:val="none"/>
        </w:rPr>
        <w:t>由于出现专用合同条款规定的异常恶劣气候的条件导致工期延误的，承包人有权要求发包人延长工期。</w:t>
      </w:r>
    </w:p>
    <w:p w14:paraId="656509DB">
      <w:pPr>
        <w:spacing w:after="160" w:line="278" w:lineRule="auto"/>
        <w:rPr>
          <w:sz w:val="22"/>
          <w:szCs w:val="28"/>
          <w:highlight w:val="none"/>
        </w:rPr>
      </w:pPr>
      <w:bookmarkStart w:id="1504" w:name="_Toc132618676"/>
      <w:bookmarkStart w:id="1505" w:name="_Toc338944780"/>
      <w:bookmarkStart w:id="1506" w:name="_Toc129798318"/>
      <w:bookmarkStart w:id="1507" w:name="_Toc132619067"/>
      <w:bookmarkStart w:id="1508" w:name="_Toc109914383"/>
      <w:bookmarkStart w:id="1509" w:name="_Toc342296338"/>
      <w:bookmarkStart w:id="1510" w:name="_Toc142385605"/>
      <w:r>
        <w:rPr>
          <w:sz w:val="22"/>
          <w:szCs w:val="28"/>
          <w:highlight w:val="none"/>
        </w:rPr>
        <w:t>11.5 承包人的工期延误</w:t>
      </w:r>
      <w:bookmarkEnd w:id="1504"/>
      <w:bookmarkEnd w:id="1505"/>
      <w:bookmarkEnd w:id="1506"/>
      <w:bookmarkEnd w:id="1507"/>
      <w:bookmarkEnd w:id="1508"/>
      <w:bookmarkEnd w:id="1509"/>
      <w:bookmarkEnd w:id="1510"/>
    </w:p>
    <w:p w14:paraId="2CA6641F">
      <w:pPr>
        <w:spacing w:after="160" w:line="278" w:lineRule="auto"/>
        <w:rPr>
          <w:sz w:val="22"/>
          <w:szCs w:val="28"/>
          <w:highlight w:val="none"/>
        </w:rPr>
      </w:pPr>
      <w:r>
        <w:rPr>
          <w:sz w:val="22"/>
          <w:szCs w:val="28"/>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6269425">
      <w:pPr>
        <w:spacing w:after="160" w:line="278" w:lineRule="auto"/>
        <w:rPr>
          <w:sz w:val="22"/>
          <w:szCs w:val="28"/>
          <w:highlight w:val="none"/>
        </w:rPr>
      </w:pPr>
      <w:bookmarkStart w:id="1511" w:name="_Toc338944781"/>
      <w:bookmarkStart w:id="1512" w:name="_Toc132619068"/>
      <w:bookmarkStart w:id="1513" w:name="_Toc342296339"/>
      <w:bookmarkStart w:id="1514" w:name="_Toc132618677"/>
      <w:bookmarkStart w:id="1515" w:name="_Toc109914384"/>
      <w:bookmarkStart w:id="1516" w:name="_Toc129798319"/>
      <w:bookmarkStart w:id="1517" w:name="_Toc142385606"/>
      <w:r>
        <w:rPr>
          <w:sz w:val="22"/>
          <w:szCs w:val="28"/>
          <w:highlight w:val="none"/>
        </w:rPr>
        <w:t>11.6 工期提前</w:t>
      </w:r>
      <w:bookmarkEnd w:id="1511"/>
      <w:bookmarkEnd w:id="1512"/>
      <w:bookmarkEnd w:id="1513"/>
      <w:bookmarkEnd w:id="1514"/>
      <w:bookmarkEnd w:id="1515"/>
      <w:bookmarkEnd w:id="1516"/>
      <w:bookmarkEnd w:id="1517"/>
    </w:p>
    <w:p w14:paraId="7A6494AD">
      <w:pPr>
        <w:spacing w:after="160" w:line="278" w:lineRule="auto"/>
        <w:rPr>
          <w:sz w:val="22"/>
          <w:szCs w:val="28"/>
          <w:highlight w:val="none"/>
        </w:rPr>
      </w:pPr>
      <w:r>
        <w:rPr>
          <w:sz w:val="22"/>
          <w:szCs w:val="28"/>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18A5A466">
      <w:pPr>
        <w:spacing w:after="160" w:line="278" w:lineRule="auto"/>
        <w:rPr>
          <w:sz w:val="22"/>
          <w:szCs w:val="28"/>
          <w:highlight w:val="none"/>
        </w:rPr>
      </w:pPr>
      <w:bookmarkStart w:id="1518" w:name="_Toc342296340"/>
      <w:bookmarkStart w:id="1519" w:name="_Toc448758533"/>
      <w:bookmarkStart w:id="1520" w:name="_Toc109914385"/>
      <w:bookmarkStart w:id="1521" w:name="_Toc442365625"/>
      <w:bookmarkStart w:id="1522" w:name="_Toc469660028"/>
      <w:bookmarkStart w:id="1523" w:name="_Toc129798320"/>
      <w:bookmarkStart w:id="1524" w:name="_Toc132618678"/>
      <w:bookmarkStart w:id="1525" w:name="_Toc132619069"/>
      <w:bookmarkStart w:id="1526" w:name="_Toc448758433"/>
      <w:bookmarkStart w:id="1527" w:name="_Toc142385607"/>
      <w:bookmarkStart w:id="1528" w:name="_Toc338944782"/>
      <w:r>
        <w:rPr>
          <w:sz w:val="22"/>
          <w:szCs w:val="28"/>
          <w:highlight w:val="none"/>
        </w:rPr>
        <w:t>12. 暂停施工</w:t>
      </w:r>
      <w:bookmarkEnd w:id="1518"/>
      <w:bookmarkEnd w:id="1519"/>
      <w:bookmarkEnd w:id="1520"/>
      <w:bookmarkEnd w:id="1521"/>
      <w:bookmarkEnd w:id="1522"/>
      <w:bookmarkEnd w:id="1523"/>
      <w:bookmarkEnd w:id="1524"/>
      <w:bookmarkEnd w:id="1525"/>
      <w:bookmarkEnd w:id="1526"/>
      <w:bookmarkEnd w:id="1527"/>
      <w:bookmarkEnd w:id="1528"/>
    </w:p>
    <w:p w14:paraId="1BDDB621">
      <w:pPr>
        <w:spacing w:after="160" w:line="278" w:lineRule="auto"/>
        <w:rPr>
          <w:sz w:val="22"/>
          <w:szCs w:val="28"/>
          <w:highlight w:val="none"/>
        </w:rPr>
      </w:pPr>
      <w:bookmarkStart w:id="1529" w:name="_Toc142385608"/>
      <w:bookmarkStart w:id="1530" w:name="_Toc132618679"/>
      <w:bookmarkStart w:id="1531" w:name="_Toc129798321"/>
      <w:bookmarkStart w:id="1532" w:name="_Toc109914386"/>
      <w:bookmarkStart w:id="1533" w:name="_Toc338944783"/>
      <w:bookmarkStart w:id="1534" w:name="_Toc342296341"/>
      <w:bookmarkStart w:id="1535" w:name="_Toc132619070"/>
      <w:r>
        <w:rPr>
          <w:sz w:val="22"/>
          <w:szCs w:val="28"/>
          <w:highlight w:val="none"/>
        </w:rPr>
        <w:t>12.1 承包人暂停施工的责任</w:t>
      </w:r>
      <w:bookmarkEnd w:id="1529"/>
      <w:bookmarkEnd w:id="1530"/>
      <w:bookmarkEnd w:id="1531"/>
      <w:bookmarkEnd w:id="1532"/>
      <w:bookmarkEnd w:id="1533"/>
      <w:bookmarkEnd w:id="1534"/>
      <w:bookmarkEnd w:id="1535"/>
    </w:p>
    <w:p w14:paraId="4BAA0537">
      <w:pPr>
        <w:spacing w:after="160" w:line="278" w:lineRule="auto"/>
        <w:rPr>
          <w:sz w:val="22"/>
          <w:szCs w:val="28"/>
          <w:highlight w:val="none"/>
        </w:rPr>
      </w:pPr>
      <w:r>
        <w:rPr>
          <w:sz w:val="22"/>
          <w:szCs w:val="28"/>
          <w:highlight w:val="none"/>
        </w:rPr>
        <w:t>因下列暂停施工增加的费用和（或）工期延误由承包人承担：</w:t>
      </w:r>
    </w:p>
    <w:p w14:paraId="6A3B07CC">
      <w:pPr>
        <w:spacing w:after="160" w:line="278" w:lineRule="auto"/>
        <w:rPr>
          <w:sz w:val="22"/>
          <w:szCs w:val="28"/>
          <w:highlight w:val="none"/>
        </w:rPr>
      </w:pPr>
      <w:r>
        <w:rPr>
          <w:sz w:val="22"/>
          <w:szCs w:val="28"/>
          <w:highlight w:val="none"/>
        </w:rPr>
        <w:t>（1）承包人违约引起的暂停施工；</w:t>
      </w:r>
    </w:p>
    <w:p w14:paraId="0F6A19C0">
      <w:pPr>
        <w:spacing w:after="160" w:line="278" w:lineRule="auto"/>
        <w:rPr>
          <w:sz w:val="22"/>
          <w:szCs w:val="28"/>
          <w:highlight w:val="none"/>
        </w:rPr>
      </w:pPr>
      <w:r>
        <w:rPr>
          <w:sz w:val="22"/>
          <w:szCs w:val="28"/>
          <w:highlight w:val="none"/>
        </w:rPr>
        <w:t>（2）由于承包人原因为工程合理施工和安全保障所必需的暂停施工；</w:t>
      </w:r>
    </w:p>
    <w:p w14:paraId="17E98886">
      <w:pPr>
        <w:spacing w:after="160" w:line="278" w:lineRule="auto"/>
        <w:rPr>
          <w:sz w:val="22"/>
          <w:szCs w:val="28"/>
          <w:highlight w:val="none"/>
        </w:rPr>
      </w:pPr>
      <w:r>
        <w:rPr>
          <w:sz w:val="22"/>
          <w:szCs w:val="28"/>
          <w:highlight w:val="none"/>
        </w:rPr>
        <w:t>（3）承包人擅自暂停施工；</w:t>
      </w:r>
    </w:p>
    <w:p w14:paraId="4C22E8DA">
      <w:pPr>
        <w:spacing w:after="160" w:line="278" w:lineRule="auto"/>
        <w:rPr>
          <w:sz w:val="22"/>
          <w:szCs w:val="28"/>
          <w:highlight w:val="none"/>
        </w:rPr>
      </w:pPr>
      <w:r>
        <w:rPr>
          <w:sz w:val="22"/>
          <w:szCs w:val="28"/>
          <w:highlight w:val="none"/>
        </w:rPr>
        <w:t>（4）承包人其他原因引起的暂停施工；</w:t>
      </w:r>
    </w:p>
    <w:p w14:paraId="455FCECC">
      <w:pPr>
        <w:spacing w:after="160" w:line="278" w:lineRule="auto"/>
        <w:rPr>
          <w:sz w:val="22"/>
          <w:szCs w:val="28"/>
          <w:highlight w:val="none"/>
        </w:rPr>
      </w:pPr>
      <w:r>
        <w:rPr>
          <w:sz w:val="22"/>
          <w:szCs w:val="28"/>
          <w:highlight w:val="none"/>
        </w:rPr>
        <w:t>（5）专用合同条款约定由承包人承担的其他暂停施工。</w:t>
      </w:r>
    </w:p>
    <w:p w14:paraId="18598817">
      <w:pPr>
        <w:spacing w:after="160" w:line="278" w:lineRule="auto"/>
        <w:rPr>
          <w:sz w:val="22"/>
          <w:szCs w:val="28"/>
          <w:highlight w:val="none"/>
        </w:rPr>
      </w:pPr>
      <w:bookmarkStart w:id="1536" w:name="_Toc338944784"/>
      <w:bookmarkStart w:id="1537" w:name="_Toc129798322"/>
      <w:bookmarkStart w:id="1538" w:name="_Toc342296342"/>
      <w:bookmarkStart w:id="1539" w:name="_Toc152045691"/>
      <w:bookmarkStart w:id="1540" w:name="_Toc152042469"/>
      <w:bookmarkStart w:id="1541" w:name="_Toc132619071"/>
      <w:bookmarkStart w:id="1542" w:name="_Toc142385609"/>
      <w:bookmarkStart w:id="1543" w:name="_Toc132618680"/>
      <w:bookmarkStart w:id="1544" w:name="_Toc109914387"/>
      <w:bookmarkStart w:id="1545" w:name="_Toc179632709"/>
      <w:bookmarkStart w:id="1546" w:name="_Toc144974660"/>
      <w:r>
        <w:rPr>
          <w:sz w:val="22"/>
          <w:szCs w:val="28"/>
          <w:highlight w:val="none"/>
        </w:rPr>
        <w:t>12.2 发包人暂停施工的责任</w:t>
      </w:r>
      <w:bookmarkEnd w:id="1536"/>
      <w:bookmarkEnd w:id="1537"/>
      <w:bookmarkEnd w:id="1538"/>
      <w:bookmarkEnd w:id="1539"/>
      <w:bookmarkEnd w:id="1540"/>
      <w:bookmarkEnd w:id="1541"/>
      <w:bookmarkEnd w:id="1542"/>
      <w:bookmarkEnd w:id="1543"/>
      <w:bookmarkEnd w:id="1544"/>
      <w:bookmarkEnd w:id="1545"/>
      <w:bookmarkEnd w:id="1546"/>
    </w:p>
    <w:p w14:paraId="3E905440">
      <w:pPr>
        <w:spacing w:after="160" w:line="278" w:lineRule="auto"/>
        <w:rPr>
          <w:sz w:val="22"/>
          <w:szCs w:val="28"/>
          <w:highlight w:val="none"/>
        </w:rPr>
      </w:pPr>
      <w:r>
        <w:rPr>
          <w:sz w:val="22"/>
          <w:szCs w:val="28"/>
          <w:highlight w:val="none"/>
        </w:rPr>
        <w:t>由于发包人原因引起的暂停施工造成工期延误的，承包人有权要求发包人延长工期和（或）增加费用，并支付合理利润。</w:t>
      </w:r>
    </w:p>
    <w:p w14:paraId="4B992DF4">
      <w:pPr>
        <w:spacing w:after="160" w:line="278" w:lineRule="auto"/>
        <w:rPr>
          <w:sz w:val="22"/>
          <w:szCs w:val="28"/>
          <w:highlight w:val="none"/>
        </w:rPr>
      </w:pPr>
      <w:bookmarkStart w:id="1547" w:name="_Toc179632710"/>
      <w:bookmarkStart w:id="1548" w:name="_Toc129798323"/>
      <w:bookmarkStart w:id="1549" w:name="_Toc142385610"/>
      <w:bookmarkStart w:id="1550" w:name="_Toc109914388"/>
      <w:bookmarkStart w:id="1551" w:name="_Toc132619072"/>
      <w:bookmarkStart w:id="1552" w:name="_Toc132618681"/>
      <w:bookmarkStart w:id="1553" w:name="_Toc342296343"/>
      <w:bookmarkStart w:id="1554" w:name="_Toc338944785"/>
      <w:bookmarkStart w:id="1555" w:name="_Toc152042470"/>
      <w:bookmarkStart w:id="1556" w:name="_Toc152045692"/>
      <w:bookmarkStart w:id="1557" w:name="_Toc144974661"/>
      <w:r>
        <w:rPr>
          <w:sz w:val="22"/>
          <w:szCs w:val="28"/>
          <w:highlight w:val="none"/>
        </w:rPr>
        <w:t>12.3 监理人暂停施工指示</w:t>
      </w:r>
      <w:bookmarkEnd w:id="1547"/>
      <w:bookmarkEnd w:id="1548"/>
      <w:bookmarkEnd w:id="1549"/>
      <w:bookmarkEnd w:id="1550"/>
      <w:bookmarkEnd w:id="1551"/>
      <w:bookmarkEnd w:id="1552"/>
      <w:bookmarkEnd w:id="1553"/>
      <w:bookmarkEnd w:id="1554"/>
      <w:bookmarkEnd w:id="1555"/>
      <w:bookmarkEnd w:id="1556"/>
      <w:bookmarkEnd w:id="1557"/>
    </w:p>
    <w:p w14:paraId="12A77BF7">
      <w:pPr>
        <w:spacing w:after="160" w:line="278" w:lineRule="auto"/>
        <w:rPr>
          <w:sz w:val="22"/>
          <w:szCs w:val="28"/>
          <w:highlight w:val="none"/>
        </w:rPr>
      </w:pPr>
      <w:r>
        <w:rPr>
          <w:sz w:val="22"/>
          <w:szCs w:val="28"/>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23C66754">
      <w:pPr>
        <w:spacing w:after="160" w:line="278" w:lineRule="auto"/>
        <w:rPr>
          <w:sz w:val="22"/>
          <w:szCs w:val="28"/>
          <w:highlight w:val="none"/>
        </w:rPr>
      </w:pPr>
      <w:r>
        <w:rPr>
          <w:sz w:val="22"/>
          <w:szCs w:val="28"/>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0235A83">
      <w:pPr>
        <w:spacing w:after="160" w:line="278" w:lineRule="auto"/>
        <w:rPr>
          <w:sz w:val="22"/>
          <w:szCs w:val="28"/>
          <w:highlight w:val="none"/>
        </w:rPr>
      </w:pPr>
      <w:bookmarkStart w:id="1558" w:name="_Toc338944786"/>
      <w:bookmarkStart w:id="1559" w:name="_Toc152042471"/>
      <w:bookmarkStart w:id="1560" w:name="_Toc152045693"/>
      <w:bookmarkStart w:id="1561" w:name="_Toc144974662"/>
      <w:bookmarkStart w:id="1562" w:name="_Toc142385611"/>
      <w:bookmarkStart w:id="1563" w:name="_Toc129798324"/>
      <w:bookmarkStart w:id="1564" w:name="_Toc342296344"/>
      <w:bookmarkStart w:id="1565" w:name="_Toc109914389"/>
      <w:bookmarkStart w:id="1566" w:name="_Toc132618682"/>
      <w:bookmarkStart w:id="1567" w:name="_Toc179632711"/>
      <w:bookmarkStart w:id="1568" w:name="_Toc132619073"/>
      <w:r>
        <w:rPr>
          <w:sz w:val="22"/>
          <w:szCs w:val="28"/>
          <w:highlight w:val="none"/>
        </w:rPr>
        <w:t>12.4 暂停施工后的复工</w:t>
      </w:r>
      <w:bookmarkEnd w:id="1558"/>
      <w:bookmarkEnd w:id="1559"/>
      <w:bookmarkEnd w:id="1560"/>
      <w:bookmarkEnd w:id="1561"/>
      <w:bookmarkEnd w:id="1562"/>
      <w:bookmarkEnd w:id="1563"/>
      <w:bookmarkEnd w:id="1564"/>
      <w:bookmarkEnd w:id="1565"/>
      <w:bookmarkEnd w:id="1566"/>
      <w:bookmarkEnd w:id="1567"/>
      <w:bookmarkEnd w:id="1568"/>
    </w:p>
    <w:p w14:paraId="71E2BB02">
      <w:pPr>
        <w:spacing w:after="160" w:line="278" w:lineRule="auto"/>
        <w:rPr>
          <w:sz w:val="22"/>
          <w:szCs w:val="28"/>
          <w:highlight w:val="none"/>
        </w:rPr>
      </w:pPr>
      <w:r>
        <w:rPr>
          <w:sz w:val="22"/>
          <w:szCs w:val="28"/>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FB8CC3D">
      <w:pPr>
        <w:spacing w:after="160" w:line="278" w:lineRule="auto"/>
        <w:rPr>
          <w:sz w:val="22"/>
          <w:szCs w:val="28"/>
          <w:highlight w:val="none"/>
        </w:rPr>
      </w:pPr>
      <w:r>
        <w:rPr>
          <w:sz w:val="22"/>
          <w:szCs w:val="28"/>
          <w:highlight w:val="none"/>
        </w:rPr>
        <w:t>12.4.2 承包人无故拖延和拒绝复工的，由此增加的费用和工期延误由承包人承担；因发包人原因无法按时复工的，承包人有权要求发包人延长工期和（或）增加费用，并支付合理利润。</w:t>
      </w:r>
    </w:p>
    <w:p w14:paraId="490EBE85">
      <w:pPr>
        <w:spacing w:after="160" w:line="278" w:lineRule="auto"/>
        <w:rPr>
          <w:sz w:val="22"/>
          <w:szCs w:val="28"/>
          <w:highlight w:val="none"/>
        </w:rPr>
      </w:pPr>
      <w:bookmarkStart w:id="1569" w:name="_Toc338944787"/>
      <w:bookmarkStart w:id="1570" w:name="_Toc179632712"/>
      <w:bookmarkStart w:id="1571" w:name="_Toc109914390"/>
      <w:bookmarkStart w:id="1572" w:name="_Toc129798325"/>
      <w:bookmarkStart w:id="1573" w:name="_Toc144974663"/>
      <w:bookmarkStart w:id="1574" w:name="_Toc132618683"/>
      <w:bookmarkStart w:id="1575" w:name="_Toc142385612"/>
      <w:bookmarkStart w:id="1576" w:name="_Toc132619074"/>
      <w:bookmarkStart w:id="1577" w:name="_Toc342296345"/>
      <w:bookmarkStart w:id="1578" w:name="_Toc152045694"/>
      <w:bookmarkStart w:id="1579" w:name="_Toc152042472"/>
      <w:r>
        <w:rPr>
          <w:sz w:val="22"/>
          <w:szCs w:val="28"/>
          <w:highlight w:val="none"/>
        </w:rPr>
        <w:t>12.5 暂停施工持续56天以上</w:t>
      </w:r>
      <w:bookmarkEnd w:id="1569"/>
      <w:bookmarkEnd w:id="1570"/>
      <w:bookmarkEnd w:id="1571"/>
      <w:bookmarkEnd w:id="1572"/>
      <w:bookmarkEnd w:id="1573"/>
      <w:bookmarkEnd w:id="1574"/>
      <w:bookmarkEnd w:id="1575"/>
      <w:bookmarkEnd w:id="1576"/>
      <w:bookmarkEnd w:id="1577"/>
      <w:bookmarkEnd w:id="1578"/>
      <w:bookmarkEnd w:id="1579"/>
    </w:p>
    <w:p w14:paraId="1E9ADD14">
      <w:pPr>
        <w:spacing w:after="160" w:line="278" w:lineRule="auto"/>
        <w:rPr>
          <w:sz w:val="22"/>
          <w:szCs w:val="28"/>
          <w:highlight w:val="none"/>
        </w:rPr>
      </w:pPr>
      <w:r>
        <w:rPr>
          <w:sz w:val="22"/>
          <w:szCs w:val="28"/>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26327F44">
      <w:pPr>
        <w:spacing w:after="160" w:line="278" w:lineRule="auto"/>
        <w:rPr>
          <w:sz w:val="22"/>
          <w:szCs w:val="28"/>
          <w:highlight w:val="none"/>
        </w:rPr>
      </w:pPr>
      <w:r>
        <w:rPr>
          <w:sz w:val="22"/>
          <w:szCs w:val="28"/>
          <w:highlight w:val="none"/>
        </w:rPr>
        <w:t>12.5.2 由于承包人责任引起的暂停施工，如承包人在收到监理人暂停施工指示后56天内不认真采取有效的复工措施，造成工期延误，可视为承包人违约，应按第22.1款的规定办理。</w:t>
      </w:r>
    </w:p>
    <w:p w14:paraId="5491B9EF">
      <w:pPr>
        <w:spacing w:after="160" w:line="278" w:lineRule="auto"/>
        <w:rPr>
          <w:sz w:val="22"/>
          <w:szCs w:val="28"/>
          <w:highlight w:val="none"/>
        </w:rPr>
      </w:pPr>
      <w:r>
        <w:rPr>
          <w:rFonts w:hint="eastAsia"/>
          <w:sz w:val="22"/>
          <w:szCs w:val="28"/>
          <w:highlight w:val="none"/>
        </w:rPr>
        <w:t>12.6暂停施工期间的工程照管和措施</w:t>
      </w:r>
    </w:p>
    <w:p w14:paraId="6A497568">
      <w:pPr>
        <w:spacing w:after="160" w:line="278" w:lineRule="auto"/>
        <w:rPr>
          <w:sz w:val="22"/>
          <w:szCs w:val="28"/>
          <w:highlight w:val="none"/>
        </w:rPr>
      </w:pPr>
      <w:r>
        <w:rPr>
          <w:sz w:val="22"/>
          <w:szCs w:val="28"/>
          <w:highlight w:val="none"/>
        </w:rPr>
        <w:t>12.5.1</w:t>
      </w:r>
      <w:r>
        <w:rPr>
          <w:rFonts w:hint="eastAsia"/>
          <w:sz w:val="22"/>
          <w:szCs w:val="28"/>
          <w:highlight w:val="none"/>
        </w:rPr>
        <w:t>暂停施工期间，承包人应负责妥善照管工程并提供安全保障，由此增加的费用由责任方承担。</w:t>
      </w:r>
    </w:p>
    <w:p w14:paraId="06B855A2">
      <w:pPr>
        <w:spacing w:after="160" w:line="278" w:lineRule="auto"/>
        <w:rPr>
          <w:sz w:val="22"/>
          <w:szCs w:val="28"/>
          <w:highlight w:val="none"/>
        </w:rPr>
      </w:pPr>
      <w:r>
        <w:rPr>
          <w:rFonts w:hint="eastAsia"/>
          <w:sz w:val="22"/>
          <w:szCs w:val="28"/>
          <w:highlight w:val="none"/>
        </w:rPr>
        <w:t>12.5.2暂停施工期间，发包人和承包人均应采取必要的措施确保工程质量及安全，防止因暂停施工扩大损失。</w:t>
      </w:r>
    </w:p>
    <w:p w14:paraId="16D453C2">
      <w:pPr>
        <w:spacing w:after="160" w:line="278" w:lineRule="auto"/>
        <w:rPr>
          <w:sz w:val="22"/>
          <w:szCs w:val="28"/>
          <w:highlight w:val="none"/>
        </w:rPr>
      </w:pPr>
      <w:bookmarkStart w:id="1580" w:name="_Toc448758434"/>
      <w:bookmarkStart w:id="1581" w:name="_Toc132618684"/>
      <w:bookmarkStart w:id="1582" w:name="_Toc342296346"/>
      <w:bookmarkStart w:id="1583" w:name="_Toc129798326"/>
      <w:bookmarkStart w:id="1584" w:name="_Toc142385613"/>
      <w:bookmarkStart w:id="1585" w:name="_Toc338944788"/>
      <w:bookmarkStart w:id="1586" w:name="_Toc109914391"/>
      <w:bookmarkStart w:id="1587" w:name="_Toc448758534"/>
      <w:bookmarkStart w:id="1588" w:name="_Toc132619075"/>
      <w:bookmarkStart w:id="1589" w:name="_Toc442365626"/>
      <w:bookmarkStart w:id="1590" w:name="_Toc469660029"/>
      <w:r>
        <w:rPr>
          <w:sz w:val="22"/>
          <w:szCs w:val="28"/>
          <w:highlight w:val="none"/>
        </w:rPr>
        <w:t>13. 工程质量</w:t>
      </w:r>
      <w:bookmarkEnd w:id="1580"/>
      <w:bookmarkEnd w:id="1581"/>
      <w:bookmarkEnd w:id="1582"/>
      <w:bookmarkEnd w:id="1583"/>
      <w:bookmarkEnd w:id="1584"/>
      <w:bookmarkEnd w:id="1585"/>
      <w:bookmarkEnd w:id="1586"/>
      <w:bookmarkEnd w:id="1587"/>
      <w:bookmarkEnd w:id="1588"/>
      <w:bookmarkEnd w:id="1589"/>
      <w:bookmarkEnd w:id="1590"/>
    </w:p>
    <w:p w14:paraId="121D2574">
      <w:pPr>
        <w:spacing w:after="160" w:line="278" w:lineRule="auto"/>
        <w:rPr>
          <w:sz w:val="22"/>
          <w:szCs w:val="28"/>
          <w:highlight w:val="none"/>
        </w:rPr>
      </w:pPr>
      <w:bookmarkStart w:id="1591" w:name="_Toc152042474"/>
      <w:bookmarkStart w:id="1592" w:name="_Toc342296347"/>
      <w:bookmarkStart w:id="1593" w:name="_Toc109914392"/>
      <w:bookmarkStart w:id="1594" w:name="_Toc152045696"/>
      <w:bookmarkStart w:id="1595" w:name="_Toc129798327"/>
      <w:bookmarkStart w:id="1596" w:name="_Toc142385614"/>
      <w:bookmarkStart w:id="1597" w:name="_Toc179632714"/>
      <w:bookmarkStart w:id="1598" w:name="_Toc144974665"/>
      <w:bookmarkStart w:id="1599" w:name="_Toc132618685"/>
      <w:bookmarkStart w:id="1600" w:name="_Toc132619076"/>
      <w:bookmarkStart w:id="1601" w:name="_Toc338944789"/>
      <w:r>
        <w:rPr>
          <w:sz w:val="22"/>
          <w:szCs w:val="28"/>
          <w:highlight w:val="none"/>
        </w:rPr>
        <w:t>13.1 工程质量要求</w:t>
      </w:r>
      <w:bookmarkEnd w:id="1591"/>
      <w:bookmarkEnd w:id="1592"/>
      <w:bookmarkEnd w:id="1593"/>
      <w:bookmarkEnd w:id="1594"/>
      <w:bookmarkEnd w:id="1595"/>
      <w:bookmarkEnd w:id="1596"/>
      <w:bookmarkEnd w:id="1597"/>
      <w:bookmarkEnd w:id="1598"/>
      <w:bookmarkEnd w:id="1599"/>
      <w:bookmarkEnd w:id="1600"/>
      <w:bookmarkEnd w:id="1601"/>
    </w:p>
    <w:p w14:paraId="21CB265F">
      <w:pPr>
        <w:spacing w:after="160" w:line="278" w:lineRule="auto"/>
        <w:rPr>
          <w:sz w:val="22"/>
          <w:szCs w:val="28"/>
          <w:highlight w:val="none"/>
        </w:rPr>
      </w:pPr>
      <w:r>
        <w:rPr>
          <w:sz w:val="22"/>
          <w:szCs w:val="28"/>
          <w:highlight w:val="none"/>
        </w:rPr>
        <w:t>13.1.1 工程质量验收按合同约定验收标准执行。</w:t>
      </w:r>
    </w:p>
    <w:p w14:paraId="4200C32B">
      <w:pPr>
        <w:spacing w:after="160" w:line="278" w:lineRule="auto"/>
        <w:rPr>
          <w:sz w:val="22"/>
          <w:szCs w:val="28"/>
          <w:highlight w:val="none"/>
        </w:rPr>
      </w:pPr>
      <w:r>
        <w:rPr>
          <w:sz w:val="22"/>
          <w:szCs w:val="28"/>
          <w:highlight w:val="none"/>
        </w:rPr>
        <w:t>13.1.2 因承包人原因造成工程质量达不到合同约定验收标准的，监理人有权要求承包人返工直至符合合同要求为止，由此造成的费用增加和（或）工期延误由承包人承担。</w:t>
      </w:r>
    </w:p>
    <w:p w14:paraId="428C5DEC">
      <w:pPr>
        <w:spacing w:after="160" w:line="278" w:lineRule="auto"/>
        <w:rPr>
          <w:sz w:val="22"/>
          <w:szCs w:val="28"/>
          <w:highlight w:val="none"/>
        </w:rPr>
      </w:pPr>
      <w:r>
        <w:rPr>
          <w:sz w:val="22"/>
          <w:szCs w:val="28"/>
          <w:highlight w:val="none"/>
        </w:rPr>
        <w:t>13.1.3 因发包人原因造成工程质量达不到合同约定验收标准的，发包人应承担由于承包人返工造成的费用增加和（或）工期延误，并支付承包人合理利润。</w:t>
      </w:r>
    </w:p>
    <w:p w14:paraId="1A605655">
      <w:pPr>
        <w:spacing w:after="160" w:line="278" w:lineRule="auto"/>
        <w:rPr>
          <w:sz w:val="22"/>
          <w:szCs w:val="28"/>
          <w:highlight w:val="none"/>
        </w:rPr>
      </w:pPr>
      <w:bookmarkStart w:id="1602" w:name="_Toc342296348"/>
      <w:bookmarkStart w:id="1603" w:name="_Toc132618686"/>
      <w:bookmarkStart w:id="1604" w:name="_Toc109914393"/>
      <w:bookmarkStart w:id="1605" w:name="_Toc129798328"/>
      <w:bookmarkStart w:id="1606" w:name="_Toc132619077"/>
      <w:bookmarkStart w:id="1607" w:name="_Toc338944790"/>
      <w:bookmarkStart w:id="1608" w:name="_Toc142385615"/>
      <w:r>
        <w:rPr>
          <w:sz w:val="22"/>
          <w:szCs w:val="28"/>
          <w:highlight w:val="none"/>
        </w:rPr>
        <w:t>13.2 承包人的质量管理</w:t>
      </w:r>
      <w:bookmarkEnd w:id="1602"/>
      <w:bookmarkEnd w:id="1603"/>
      <w:bookmarkEnd w:id="1604"/>
      <w:bookmarkEnd w:id="1605"/>
      <w:bookmarkEnd w:id="1606"/>
      <w:bookmarkEnd w:id="1607"/>
      <w:bookmarkEnd w:id="1608"/>
    </w:p>
    <w:p w14:paraId="6191A2EE">
      <w:pPr>
        <w:spacing w:after="160" w:line="278" w:lineRule="auto"/>
        <w:rPr>
          <w:sz w:val="22"/>
          <w:szCs w:val="28"/>
          <w:highlight w:val="none"/>
        </w:rPr>
      </w:pPr>
      <w:r>
        <w:rPr>
          <w:sz w:val="22"/>
          <w:szCs w:val="28"/>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A6042D4">
      <w:pPr>
        <w:spacing w:after="160" w:line="278" w:lineRule="auto"/>
        <w:rPr>
          <w:sz w:val="22"/>
          <w:szCs w:val="28"/>
          <w:highlight w:val="none"/>
        </w:rPr>
      </w:pPr>
      <w:r>
        <w:rPr>
          <w:sz w:val="22"/>
          <w:szCs w:val="28"/>
          <w:highlight w:val="none"/>
        </w:rPr>
        <w:t>13.2.2 承包人应加强对施工人员的质量教育和技术培训，定期考核施工人员的劳动技能，严格执行规范和操作规程。</w:t>
      </w:r>
    </w:p>
    <w:p w14:paraId="71B83C17">
      <w:pPr>
        <w:spacing w:after="160" w:line="278" w:lineRule="auto"/>
        <w:rPr>
          <w:sz w:val="22"/>
          <w:szCs w:val="28"/>
          <w:highlight w:val="none"/>
        </w:rPr>
      </w:pPr>
      <w:bookmarkStart w:id="1609" w:name="_Toc142385616"/>
      <w:bookmarkStart w:id="1610" w:name="_Toc129798329"/>
      <w:bookmarkStart w:id="1611" w:name="_Toc342296349"/>
      <w:bookmarkStart w:id="1612" w:name="_Toc132619078"/>
      <w:bookmarkStart w:id="1613" w:name="_Toc132618687"/>
      <w:bookmarkStart w:id="1614" w:name="_Toc338944791"/>
      <w:bookmarkStart w:id="1615" w:name="_Toc109914394"/>
      <w:r>
        <w:rPr>
          <w:sz w:val="22"/>
          <w:szCs w:val="28"/>
          <w:highlight w:val="none"/>
        </w:rPr>
        <w:t>13.3 承包人的质量检查</w:t>
      </w:r>
      <w:bookmarkEnd w:id="1609"/>
      <w:bookmarkEnd w:id="1610"/>
      <w:bookmarkEnd w:id="1611"/>
      <w:bookmarkEnd w:id="1612"/>
      <w:bookmarkEnd w:id="1613"/>
      <w:bookmarkEnd w:id="1614"/>
      <w:bookmarkEnd w:id="1615"/>
    </w:p>
    <w:p w14:paraId="6F200997">
      <w:pPr>
        <w:spacing w:after="160" w:line="278" w:lineRule="auto"/>
        <w:rPr>
          <w:sz w:val="22"/>
          <w:szCs w:val="28"/>
          <w:highlight w:val="none"/>
        </w:rPr>
      </w:pPr>
      <w:r>
        <w:rPr>
          <w:sz w:val="22"/>
          <w:szCs w:val="28"/>
          <w:highlight w:val="none"/>
        </w:rPr>
        <w:t>承包人应按合同约定对材料、工程设备以及工程的所有部位及其施工工艺进行全过程的质量检查和检验，并作详细记录，编制工程质量报表，报送监理人审查。</w:t>
      </w:r>
    </w:p>
    <w:p w14:paraId="2965DBBC">
      <w:pPr>
        <w:spacing w:after="160" w:line="278" w:lineRule="auto"/>
        <w:rPr>
          <w:sz w:val="22"/>
          <w:szCs w:val="28"/>
          <w:highlight w:val="none"/>
        </w:rPr>
      </w:pPr>
      <w:bookmarkStart w:id="1616" w:name="_Toc142385617"/>
      <w:bookmarkStart w:id="1617" w:name="_Toc109914395"/>
      <w:bookmarkStart w:id="1618" w:name="_Toc132618688"/>
      <w:bookmarkStart w:id="1619" w:name="_Toc132619079"/>
      <w:bookmarkStart w:id="1620" w:name="_Toc338944792"/>
      <w:bookmarkStart w:id="1621" w:name="_Toc129798330"/>
      <w:bookmarkStart w:id="1622" w:name="_Toc342296350"/>
      <w:r>
        <w:rPr>
          <w:sz w:val="22"/>
          <w:szCs w:val="28"/>
          <w:highlight w:val="none"/>
        </w:rPr>
        <w:t>13.4 监理人的质量检查</w:t>
      </w:r>
      <w:bookmarkEnd w:id="1616"/>
      <w:bookmarkEnd w:id="1617"/>
      <w:bookmarkEnd w:id="1618"/>
      <w:bookmarkEnd w:id="1619"/>
      <w:bookmarkEnd w:id="1620"/>
      <w:bookmarkEnd w:id="1621"/>
      <w:bookmarkEnd w:id="1622"/>
    </w:p>
    <w:p w14:paraId="46DFADB5">
      <w:pPr>
        <w:spacing w:after="160" w:line="278" w:lineRule="auto"/>
        <w:rPr>
          <w:sz w:val="22"/>
          <w:szCs w:val="28"/>
          <w:highlight w:val="none"/>
        </w:rPr>
      </w:pPr>
      <w:r>
        <w:rPr>
          <w:sz w:val="22"/>
          <w:szCs w:val="28"/>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96A29DD">
      <w:pPr>
        <w:spacing w:after="160" w:line="278" w:lineRule="auto"/>
        <w:rPr>
          <w:sz w:val="22"/>
          <w:szCs w:val="28"/>
          <w:highlight w:val="none"/>
        </w:rPr>
      </w:pPr>
      <w:bookmarkStart w:id="1623" w:name="_Toc342296351"/>
      <w:bookmarkStart w:id="1624" w:name="_Toc109914396"/>
      <w:bookmarkStart w:id="1625" w:name="_Toc338944793"/>
      <w:bookmarkStart w:id="1626" w:name="_Toc142385618"/>
      <w:bookmarkStart w:id="1627" w:name="_Toc132619080"/>
      <w:bookmarkStart w:id="1628" w:name="_Toc129798331"/>
      <w:bookmarkStart w:id="1629" w:name="_Toc132618689"/>
      <w:r>
        <w:rPr>
          <w:sz w:val="22"/>
          <w:szCs w:val="28"/>
          <w:highlight w:val="none"/>
        </w:rPr>
        <w:t>13.5 工程隐蔽部位覆盖前的检查</w:t>
      </w:r>
      <w:bookmarkEnd w:id="1623"/>
      <w:bookmarkEnd w:id="1624"/>
      <w:bookmarkEnd w:id="1625"/>
      <w:bookmarkEnd w:id="1626"/>
      <w:bookmarkEnd w:id="1627"/>
      <w:bookmarkEnd w:id="1628"/>
      <w:bookmarkEnd w:id="1629"/>
    </w:p>
    <w:p w14:paraId="6EFC234D">
      <w:pPr>
        <w:spacing w:after="160" w:line="278" w:lineRule="auto"/>
        <w:rPr>
          <w:sz w:val="22"/>
          <w:szCs w:val="28"/>
          <w:highlight w:val="none"/>
        </w:rPr>
      </w:pPr>
      <w:r>
        <w:rPr>
          <w:sz w:val="22"/>
          <w:szCs w:val="28"/>
          <w:highlight w:val="none"/>
        </w:rPr>
        <w:t xml:space="preserve">13.5.1 </w:t>
      </w:r>
      <w:r>
        <w:rPr>
          <w:rFonts w:hint="eastAsia"/>
          <w:sz w:val="22"/>
          <w:szCs w:val="28"/>
          <w:highlight w:val="none"/>
        </w:rPr>
        <w:t>通知监理人检查</w:t>
      </w:r>
    </w:p>
    <w:p w14:paraId="0E5A7DE6">
      <w:pPr>
        <w:spacing w:after="160" w:line="278" w:lineRule="auto"/>
        <w:rPr>
          <w:sz w:val="22"/>
          <w:szCs w:val="28"/>
          <w:highlight w:val="none"/>
        </w:rPr>
      </w:pPr>
      <w:r>
        <w:rPr>
          <w:sz w:val="22"/>
          <w:szCs w:val="28"/>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DF0621D">
      <w:pPr>
        <w:spacing w:after="160" w:line="278" w:lineRule="auto"/>
        <w:rPr>
          <w:sz w:val="22"/>
          <w:szCs w:val="28"/>
          <w:highlight w:val="none"/>
        </w:rPr>
      </w:pPr>
      <w:r>
        <w:rPr>
          <w:sz w:val="22"/>
          <w:szCs w:val="28"/>
          <w:highlight w:val="none"/>
        </w:rPr>
        <w:t xml:space="preserve">13.5.2 </w:t>
      </w:r>
      <w:r>
        <w:rPr>
          <w:rFonts w:hint="eastAsia"/>
          <w:sz w:val="22"/>
          <w:szCs w:val="28"/>
          <w:highlight w:val="none"/>
        </w:rPr>
        <w:t>监理人未到场检查</w:t>
      </w:r>
    </w:p>
    <w:p w14:paraId="13585105">
      <w:pPr>
        <w:spacing w:after="160" w:line="278" w:lineRule="auto"/>
        <w:rPr>
          <w:sz w:val="22"/>
          <w:szCs w:val="28"/>
          <w:highlight w:val="none"/>
        </w:rPr>
      </w:pPr>
      <w:r>
        <w:rPr>
          <w:sz w:val="22"/>
          <w:szCs w:val="28"/>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7579756">
      <w:pPr>
        <w:spacing w:after="160" w:line="278" w:lineRule="auto"/>
        <w:rPr>
          <w:sz w:val="22"/>
          <w:szCs w:val="28"/>
          <w:highlight w:val="none"/>
        </w:rPr>
      </w:pPr>
      <w:r>
        <w:rPr>
          <w:sz w:val="22"/>
          <w:szCs w:val="28"/>
          <w:highlight w:val="none"/>
        </w:rPr>
        <w:t xml:space="preserve">13.5.3 </w:t>
      </w:r>
      <w:r>
        <w:rPr>
          <w:rFonts w:hint="eastAsia"/>
          <w:sz w:val="22"/>
          <w:szCs w:val="28"/>
          <w:highlight w:val="none"/>
        </w:rPr>
        <w:t>监理人重新检查</w:t>
      </w:r>
    </w:p>
    <w:p w14:paraId="5AFA18A9">
      <w:pPr>
        <w:spacing w:after="160" w:line="278" w:lineRule="auto"/>
        <w:rPr>
          <w:sz w:val="22"/>
          <w:szCs w:val="28"/>
          <w:highlight w:val="none"/>
        </w:rPr>
      </w:pPr>
      <w:r>
        <w:rPr>
          <w:sz w:val="22"/>
          <w:szCs w:val="28"/>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99EBAB3">
      <w:pPr>
        <w:spacing w:after="160" w:line="278" w:lineRule="auto"/>
        <w:rPr>
          <w:sz w:val="22"/>
          <w:szCs w:val="28"/>
          <w:highlight w:val="none"/>
        </w:rPr>
      </w:pPr>
      <w:r>
        <w:rPr>
          <w:sz w:val="22"/>
          <w:szCs w:val="28"/>
          <w:highlight w:val="none"/>
        </w:rPr>
        <w:t xml:space="preserve">13.5.4 </w:t>
      </w:r>
      <w:r>
        <w:rPr>
          <w:rFonts w:hint="eastAsia"/>
          <w:sz w:val="22"/>
          <w:szCs w:val="28"/>
          <w:highlight w:val="none"/>
        </w:rPr>
        <w:t>承包人私自覆盖</w:t>
      </w:r>
    </w:p>
    <w:p w14:paraId="44119684">
      <w:pPr>
        <w:spacing w:after="160" w:line="278" w:lineRule="auto"/>
        <w:rPr>
          <w:sz w:val="22"/>
          <w:szCs w:val="28"/>
          <w:highlight w:val="none"/>
        </w:rPr>
      </w:pPr>
      <w:r>
        <w:rPr>
          <w:sz w:val="22"/>
          <w:szCs w:val="28"/>
          <w:highlight w:val="none"/>
        </w:rPr>
        <w:t>承包人未通知监理人到场检查，私自将工程隐蔽部位覆盖的，监理人有权指示承包人钻孔探测或揭开检查，由此增加的费用和（或）工期延误由承包人承担。</w:t>
      </w:r>
    </w:p>
    <w:p w14:paraId="6BACEC46">
      <w:pPr>
        <w:spacing w:after="160" w:line="278" w:lineRule="auto"/>
        <w:rPr>
          <w:sz w:val="22"/>
          <w:szCs w:val="28"/>
          <w:highlight w:val="none"/>
        </w:rPr>
      </w:pPr>
      <w:bookmarkStart w:id="1630" w:name="_Toc144974670"/>
      <w:bookmarkStart w:id="1631" w:name="_Toc132618690"/>
      <w:bookmarkStart w:id="1632" w:name="_Toc129798332"/>
      <w:bookmarkStart w:id="1633" w:name="_Toc152042479"/>
      <w:bookmarkStart w:id="1634" w:name="_Toc179632719"/>
      <w:bookmarkStart w:id="1635" w:name="_Toc152045701"/>
      <w:bookmarkStart w:id="1636" w:name="_Toc132619081"/>
      <w:bookmarkStart w:id="1637" w:name="_Toc109914397"/>
      <w:bookmarkStart w:id="1638" w:name="_Toc338944794"/>
      <w:bookmarkStart w:id="1639" w:name="_Toc142385619"/>
      <w:bookmarkStart w:id="1640" w:name="_Toc342296352"/>
      <w:r>
        <w:rPr>
          <w:sz w:val="22"/>
          <w:szCs w:val="28"/>
          <w:highlight w:val="none"/>
        </w:rPr>
        <w:t>13.6 清除不合格工程</w:t>
      </w:r>
      <w:bookmarkEnd w:id="1630"/>
      <w:bookmarkEnd w:id="1631"/>
      <w:bookmarkEnd w:id="1632"/>
      <w:bookmarkEnd w:id="1633"/>
      <w:bookmarkEnd w:id="1634"/>
      <w:bookmarkEnd w:id="1635"/>
      <w:bookmarkEnd w:id="1636"/>
      <w:bookmarkEnd w:id="1637"/>
      <w:bookmarkEnd w:id="1638"/>
      <w:bookmarkEnd w:id="1639"/>
      <w:bookmarkEnd w:id="1640"/>
    </w:p>
    <w:p w14:paraId="4B700191">
      <w:pPr>
        <w:spacing w:after="160" w:line="278" w:lineRule="auto"/>
        <w:rPr>
          <w:sz w:val="22"/>
          <w:szCs w:val="28"/>
          <w:highlight w:val="none"/>
        </w:rPr>
      </w:pPr>
      <w:r>
        <w:rPr>
          <w:sz w:val="22"/>
          <w:szCs w:val="28"/>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884EA0A">
      <w:pPr>
        <w:spacing w:after="160" w:line="278" w:lineRule="auto"/>
        <w:rPr>
          <w:sz w:val="22"/>
          <w:szCs w:val="28"/>
          <w:highlight w:val="none"/>
        </w:rPr>
      </w:pPr>
      <w:r>
        <w:rPr>
          <w:sz w:val="22"/>
          <w:szCs w:val="28"/>
          <w:highlight w:val="none"/>
        </w:rPr>
        <w:t>13.6.2 由于发包人提供的材料或工程设备不合格造成的工程不合格，需要承包人采取措施补救的，发包人应承担由此增加的费用和（或）工期延误，并支付承包人合理利润。</w:t>
      </w:r>
    </w:p>
    <w:p w14:paraId="7FD910D7">
      <w:pPr>
        <w:spacing w:after="160" w:line="278" w:lineRule="auto"/>
        <w:rPr>
          <w:sz w:val="22"/>
          <w:szCs w:val="28"/>
          <w:highlight w:val="none"/>
        </w:rPr>
      </w:pPr>
      <w:bookmarkStart w:id="1641" w:name="_Toc338944795"/>
      <w:bookmarkStart w:id="1642" w:name="_Toc448758535"/>
      <w:bookmarkStart w:id="1643" w:name="_Toc179632720"/>
      <w:bookmarkStart w:id="1644" w:name="_Toc448758435"/>
      <w:bookmarkStart w:id="1645" w:name="_Toc144974671"/>
      <w:bookmarkStart w:id="1646" w:name="_Toc152045702"/>
      <w:bookmarkStart w:id="1647" w:name="_Toc132619082"/>
      <w:bookmarkStart w:id="1648" w:name="_Toc442365627"/>
      <w:bookmarkStart w:id="1649" w:name="_Toc152042480"/>
      <w:bookmarkStart w:id="1650" w:name="_Toc129798333"/>
      <w:bookmarkStart w:id="1651" w:name="_Toc142385620"/>
      <w:bookmarkStart w:id="1652" w:name="_Toc342296353"/>
      <w:bookmarkStart w:id="1653" w:name="_Toc469660030"/>
      <w:bookmarkStart w:id="1654" w:name="_Toc109914398"/>
      <w:bookmarkStart w:id="1655" w:name="_Toc132618691"/>
      <w:r>
        <w:rPr>
          <w:sz w:val="22"/>
          <w:szCs w:val="28"/>
          <w:highlight w:val="none"/>
        </w:rPr>
        <w:t>14. 试验和检验</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2410E3E9">
      <w:pPr>
        <w:spacing w:after="160" w:line="278" w:lineRule="auto"/>
        <w:rPr>
          <w:sz w:val="22"/>
          <w:szCs w:val="28"/>
          <w:highlight w:val="none"/>
        </w:rPr>
      </w:pPr>
      <w:bookmarkStart w:id="1656" w:name="_Toc179632721"/>
      <w:bookmarkStart w:id="1657" w:name="_Toc129798334"/>
      <w:bookmarkStart w:id="1658" w:name="_Toc144974672"/>
      <w:bookmarkStart w:id="1659" w:name="_Toc132618692"/>
      <w:bookmarkStart w:id="1660" w:name="_Toc142385621"/>
      <w:bookmarkStart w:id="1661" w:name="_Toc109914399"/>
      <w:bookmarkStart w:id="1662" w:name="_Toc152042481"/>
      <w:bookmarkStart w:id="1663" w:name="_Toc338944796"/>
      <w:bookmarkStart w:id="1664" w:name="_Toc132619083"/>
      <w:bookmarkStart w:id="1665" w:name="_Toc152045703"/>
      <w:bookmarkStart w:id="1666" w:name="_Toc342296354"/>
      <w:r>
        <w:rPr>
          <w:sz w:val="22"/>
          <w:szCs w:val="28"/>
          <w:highlight w:val="none"/>
        </w:rPr>
        <w:t>14.1 材料、工程设备和工程的试验和检验</w:t>
      </w:r>
      <w:bookmarkEnd w:id="1656"/>
      <w:bookmarkEnd w:id="1657"/>
      <w:bookmarkEnd w:id="1658"/>
      <w:bookmarkEnd w:id="1659"/>
      <w:bookmarkEnd w:id="1660"/>
      <w:bookmarkEnd w:id="1661"/>
      <w:bookmarkEnd w:id="1662"/>
      <w:bookmarkEnd w:id="1663"/>
      <w:bookmarkEnd w:id="1664"/>
      <w:bookmarkEnd w:id="1665"/>
      <w:bookmarkEnd w:id="1666"/>
    </w:p>
    <w:p w14:paraId="01533BF7">
      <w:pPr>
        <w:spacing w:after="160" w:line="278" w:lineRule="auto"/>
        <w:rPr>
          <w:sz w:val="22"/>
          <w:szCs w:val="28"/>
          <w:highlight w:val="none"/>
        </w:rPr>
      </w:pPr>
      <w:r>
        <w:rPr>
          <w:sz w:val="22"/>
          <w:szCs w:val="28"/>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857C32F">
      <w:pPr>
        <w:spacing w:after="160" w:line="278" w:lineRule="auto"/>
        <w:rPr>
          <w:sz w:val="22"/>
          <w:szCs w:val="28"/>
          <w:highlight w:val="none"/>
        </w:rPr>
      </w:pPr>
      <w:r>
        <w:rPr>
          <w:sz w:val="22"/>
          <w:szCs w:val="28"/>
          <w:highlight w:val="none"/>
        </w:rPr>
        <w:t>14.1.2 监理人未按合同约定派员参加试验和检验的，除监理人另有指示外，承包人可自行试验和检验，并应立即将试验和检验结果报送监理人，监理人应签字确认。</w:t>
      </w:r>
    </w:p>
    <w:p w14:paraId="005F74A2">
      <w:pPr>
        <w:spacing w:after="160" w:line="278" w:lineRule="auto"/>
        <w:rPr>
          <w:sz w:val="22"/>
          <w:szCs w:val="28"/>
          <w:highlight w:val="none"/>
        </w:rPr>
      </w:pPr>
      <w:r>
        <w:rPr>
          <w:sz w:val="22"/>
          <w:szCs w:val="28"/>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CFB2F88">
      <w:pPr>
        <w:spacing w:after="160" w:line="278" w:lineRule="auto"/>
        <w:rPr>
          <w:sz w:val="22"/>
          <w:szCs w:val="28"/>
          <w:highlight w:val="none"/>
        </w:rPr>
      </w:pPr>
      <w:bookmarkStart w:id="1667" w:name="_Toc132619084"/>
      <w:bookmarkStart w:id="1668" w:name="_Toc129798335"/>
      <w:bookmarkStart w:id="1669" w:name="_Toc132618693"/>
      <w:bookmarkStart w:id="1670" w:name="_Toc152045704"/>
      <w:bookmarkStart w:id="1671" w:name="_Toc142385622"/>
      <w:bookmarkStart w:id="1672" w:name="_Toc342296355"/>
      <w:bookmarkStart w:id="1673" w:name="_Toc338944797"/>
      <w:bookmarkStart w:id="1674" w:name="_Toc144974673"/>
      <w:bookmarkStart w:id="1675" w:name="_Toc179632722"/>
      <w:bookmarkStart w:id="1676" w:name="_Toc109914400"/>
      <w:bookmarkStart w:id="1677" w:name="_Toc152042482"/>
      <w:r>
        <w:rPr>
          <w:sz w:val="22"/>
          <w:szCs w:val="28"/>
          <w:highlight w:val="none"/>
        </w:rPr>
        <w:t>14.2 现场材料试验</w:t>
      </w:r>
      <w:bookmarkEnd w:id="1667"/>
      <w:bookmarkEnd w:id="1668"/>
      <w:bookmarkEnd w:id="1669"/>
      <w:bookmarkEnd w:id="1670"/>
      <w:bookmarkEnd w:id="1671"/>
      <w:bookmarkEnd w:id="1672"/>
      <w:bookmarkEnd w:id="1673"/>
      <w:bookmarkEnd w:id="1674"/>
      <w:bookmarkEnd w:id="1675"/>
      <w:bookmarkEnd w:id="1676"/>
      <w:bookmarkEnd w:id="1677"/>
    </w:p>
    <w:p w14:paraId="109E4E6F">
      <w:pPr>
        <w:spacing w:after="160" w:line="278" w:lineRule="auto"/>
        <w:rPr>
          <w:sz w:val="22"/>
          <w:szCs w:val="28"/>
          <w:highlight w:val="none"/>
        </w:rPr>
      </w:pPr>
      <w:r>
        <w:rPr>
          <w:sz w:val="22"/>
          <w:szCs w:val="28"/>
          <w:highlight w:val="none"/>
        </w:rPr>
        <w:t>14.2.1 承包人根据合同约定或监理人指示进行的现场材料试验，应由承包人提供试验场所、试验人员、试验设备器材以及其他必要的试验条件。</w:t>
      </w:r>
    </w:p>
    <w:p w14:paraId="0CAE49B8">
      <w:pPr>
        <w:spacing w:after="160" w:line="278" w:lineRule="auto"/>
        <w:rPr>
          <w:sz w:val="22"/>
          <w:szCs w:val="28"/>
          <w:highlight w:val="none"/>
        </w:rPr>
      </w:pPr>
      <w:r>
        <w:rPr>
          <w:sz w:val="22"/>
          <w:szCs w:val="28"/>
          <w:highlight w:val="none"/>
        </w:rPr>
        <w:t>14.2.2 监理人在必要时可以使用承包人的试验场所、试验设备器材以及其他试验条件，进行以工程质量检查为目的的复核性材料试验，承包人应予以协助。</w:t>
      </w:r>
    </w:p>
    <w:p w14:paraId="2D5BE988">
      <w:pPr>
        <w:spacing w:after="160" w:line="278" w:lineRule="auto"/>
        <w:rPr>
          <w:sz w:val="22"/>
          <w:szCs w:val="28"/>
          <w:highlight w:val="none"/>
        </w:rPr>
      </w:pPr>
      <w:bookmarkStart w:id="1678" w:name="_Toc132618694"/>
      <w:bookmarkStart w:id="1679" w:name="_Toc129798336"/>
      <w:bookmarkStart w:id="1680" w:name="_Toc132619085"/>
      <w:bookmarkStart w:id="1681" w:name="_Toc109914401"/>
      <w:bookmarkStart w:id="1682" w:name="_Toc142385623"/>
      <w:bookmarkStart w:id="1683" w:name="_Toc144974674"/>
      <w:bookmarkStart w:id="1684" w:name="_Toc152045705"/>
      <w:bookmarkStart w:id="1685" w:name="_Toc342296356"/>
      <w:bookmarkStart w:id="1686" w:name="_Toc338944798"/>
      <w:bookmarkStart w:id="1687" w:name="_Toc179632723"/>
      <w:bookmarkStart w:id="1688" w:name="_Toc152042483"/>
      <w:r>
        <w:rPr>
          <w:sz w:val="22"/>
          <w:szCs w:val="28"/>
          <w:highlight w:val="none"/>
        </w:rPr>
        <w:t>14.3 现场工艺试验</w:t>
      </w:r>
      <w:bookmarkEnd w:id="1678"/>
      <w:bookmarkEnd w:id="1679"/>
      <w:bookmarkEnd w:id="1680"/>
      <w:bookmarkEnd w:id="1681"/>
      <w:bookmarkEnd w:id="1682"/>
      <w:bookmarkEnd w:id="1683"/>
      <w:bookmarkEnd w:id="1684"/>
      <w:bookmarkEnd w:id="1685"/>
      <w:bookmarkEnd w:id="1686"/>
      <w:bookmarkEnd w:id="1687"/>
      <w:bookmarkEnd w:id="1688"/>
    </w:p>
    <w:p w14:paraId="4BF31ECF">
      <w:pPr>
        <w:spacing w:after="160" w:line="278" w:lineRule="auto"/>
        <w:rPr>
          <w:sz w:val="22"/>
          <w:szCs w:val="28"/>
          <w:highlight w:val="none"/>
        </w:rPr>
      </w:pPr>
      <w:r>
        <w:rPr>
          <w:sz w:val="22"/>
          <w:szCs w:val="28"/>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D95AFF0">
      <w:pPr>
        <w:spacing w:after="160" w:line="278" w:lineRule="auto"/>
        <w:rPr>
          <w:sz w:val="22"/>
          <w:szCs w:val="28"/>
          <w:highlight w:val="none"/>
        </w:rPr>
      </w:pPr>
      <w:bookmarkStart w:id="1689" w:name="_Toc442365628"/>
      <w:bookmarkStart w:id="1690" w:name="_Toc448758436"/>
      <w:bookmarkStart w:id="1691" w:name="_Toc338944799"/>
      <w:bookmarkStart w:id="1692" w:name="_Toc469660031"/>
      <w:bookmarkStart w:id="1693" w:name="_Toc142385624"/>
      <w:bookmarkStart w:id="1694" w:name="_Toc109914402"/>
      <w:bookmarkStart w:id="1695" w:name="_Toc132618695"/>
      <w:bookmarkStart w:id="1696" w:name="_Toc448758536"/>
      <w:bookmarkStart w:id="1697" w:name="_Toc342296357"/>
      <w:bookmarkStart w:id="1698" w:name="_Toc132619086"/>
      <w:bookmarkStart w:id="1699" w:name="_Toc129798337"/>
      <w:r>
        <w:rPr>
          <w:sz w:val="22"/>
          <w:szCs w:val="28"/>
          <w:highlight w:val="none"/>
        </w:rPr>
        <w:t>15. 变更</w:t>
      </w:r>
      <w:bookmarkEnd w:id="1689"/>
      <w:bookmarkEnd w:id="1690"/>
      <w:bookmarkEnd w:id="1691"/>
      <w:bookmarkEnd w:id="1692"/>
      <w:bookmarkEnd w:id="1693"/>
      <w:bookmarkEnd w:id="1694"/>
      <w:bookmarkEnd w:id="1695"/>
      <w:bookmarkEnd w:id="1696"/>
      <w:bookmarkEnd w:id="1697"/>
      <w:bookmarkEnd w:id="1698"/>
      <w:bookmarkEnd w:id="1699"/>
    </w:p>
    <w:p w14:paraId="66476949">
      <w:pPr>
        <w:spacing w:after="160" w:line="278" w:lineRule="auto"/>
        <w:rPr>
          <w:sz w:val="22"/>
          <w:szCs w:val="28"/>
          <w:highlight w:val="none"/>
        </w:rPr>
      </w:pPr>
      <w:bookmarkStart w:id="1700" w:name="_Toc342296358"/>
      <w:bookmarkStart w:id="1701" w:name="_Toc132618696"/>
      <w:bookmarkStart w:id="1702" w:name="_Toc132619087"/>
      <w:bookmarkStart w:id="1703" w:name="_Toc338944800"/>
      <w:bookmarkStart w:id="1704" w:name="_Toc109914403"/>
      <w:bookmarkStart w:id="1705" w:name="_Toc129798338"/>
      <w:bookmarkStart w:id="1706" w:name="_Toc142385625"/>
      <w:r>
        <w:rPr>
          <w:sz w:val="22"/>
          <w:szCs w:val="28"/>
          <w:highlight w:val="none"/>
        </w:rPr>
        <w:t>15.1 变更的范围和内容</w:t>
      </w:r>
      <w:bookmarkEnd w:id="1700"/>
      <w:bookmarkEnd w:id="1701"/>
      <w:bookmarkEnd w:id="1702"/>
      <w:bookmarkEnd w:id="1703"/>
      <w:bookmarkEnd w:id="1704"/>
      <w:bookmarkEnd w:id="1705"/>
      <w:bookmarkEnd w:id="1706"/>
    </w:p>
    <w:p w14:paraId="307D49D7">
      <w:pPr>
        <w:spacing w:after="160" w:line="278" w:lineRule="auto"/>
        <w:rPr>
          <w:sz w:val="22"/>
          <w:szCs w:val="28"/>
          <w:highlight w:val="none"/>
        </w:rPr>
      </w:pPr>
      <w:r>
        <w:rPr>
          <w:sz w:val="22"/>
          <w:szCs w:val="28"/>
          <w:highlight w:val="none"/>
        </w:rPr>
        <w:t>除专用合同条款另有约定外，在履行合同中发生以下情形之一，应按照本条规定进行变更。</w:t>
      </w:r>
    </w:p>
    <w:p w14:paraId="69581AC3">
      <w:pPr>
        <w:spacing w:after="160" w:line="278" w:lineRule="auto"/>
        <w:rPr>
          <w:sz w:val="22"/>
          <w:szCs w:val="28"/>
          <w:highlight w:val="none"/>
        </w:rPr>
      </w:pPr>
      <w:r>
        <w:rPr>
          <w:sz w:val="22"/>
          <w:szCs w:val="28"/>
          <w:highlight w:val="none"/>
        </w:rPr>
        <w:t>（1）取消合同中任何一项工作，但被取消的工作不能转由发包人或其他人实施；</w:t>
      </w:r>
    </w:p>
    <w:p w14:paraId="235FC185">
      <w:pPr>
        <w:spacing w:after="160" w:line="278" w:lineRule="auto"/>
        <w:rPr>
          <w:sz w:val="22"/>
          <w:szCs w:val="28"/>
          <w:highlight w:val="none"/>
        </w:rPr>
      </w:pPr>
      <w:r>
        <w:rPr>
          <w:sz w:val="22"/>
          <w:szCs w:val="28"/>
          <w:highlight w:val="none"/>
        </w:rPr>
        <w:t>（2）改变合同中任何一项工作的质量或其他特性；</w:t>
      </w:r>
    </w:p>
    <w:p w14:paraId="35D49847">
      <w:pPr>
        <w:spacing w:after="160" w:line="278" w:lineRule="auto"/>
        <w:rPr>
          <w:sz w:val="22"/>
          <w:szCs w:val="28"/>
          <w:highlight w:val="none"/>
        </w:rPr>
      </w:pPr>
      <w:r>
        <w:rPr>
          <w:sz w:val="22"/>
          <w:szCs w:val="28"/>
          <w:highlight w:val="none"/>
        </w:rPr>
        <w:t>（3）改变合同工程的基线、标高、位置或尺寸；</w:t>
      </w:r>
    </w:p>
    <w:p w14:paraId="5E2156F1">
      <w:pPr>
        <w:spacing w:after="160" w:line="278" w:lineRule="auto"/>
        <w:rPr>
          <w:sz w:val="22"/>
          <w:szCs w:val="28"/>
          <w:highlight w:val="none"/>
        </w:rPr>
      </w:pPr>
      <w:r>
        <w:rPr>
          <w:sz w:val="22"/>
          <w:szCs w:val="28"/>
          <w:highlight w:val="none"/>
        </w:rPr>
        <w:t>（4）改变合同中任何一项工作的施工时间或改变已批准的施工工艺或顺序；</w:t>
      </w:r>
    </w:p>
    <w:p w14:paraId="789B10E4">
      <w:pPr>
        <w:spacing w:after="160" w:line="278" w:lineRule="auto"/>
        <w:rPr>
          <w:sz w:val="22"/>
          <w:szCs w:val="28"/>
          <w:highlight w:val="none"/>
        </w:rPr>
      </w:pPr>
      <w:r>
        <w:rPr>
          <w:sz w:val="22"/>
          <w:szCs w:val="28"/>
          <w:highlight w:val="none"/>
        </w:rPr>
        <w:t>（5）为完成工程需要追加的额外工作。</w:t>
      </w:r>
    </w:p>
    <w:p w14:paraId="3EE801C3">
      <w:pPr>
        <w:spacing w:after="160" w:line="278" w:lineRule="auto"/>
        <w:rPr>
          <w:sz w:val="22"/>
          <w:szCs w:val="28"/>
          <w:highlight w:val="none"/>
        </w:rPr>
      </w:pPr>
      <w:bookmarkStart w:id="1707" w:name="_Toc129798339"/>
      <w:bookmarkStart w:id="1708" w:name="_Toc109914404"/>
      <w:bookmarkStart w:id="1709" w:name="_Toc132619088"/>
      <w:bookmarkStart w:id="1710" w:name="_Toc142385626"/>
      <w:bookmarkStart w:id="1711" w:name="_Toc152042486"/>
      <w:bookmarkStart w:id="1712" w:name="_Toc132618697"/>
      <w:bookmarkStart w:id="1713" w:name="_Toc179632726"/>
      <w:bookmarkStart w:id="1714" w:name="_Toc338944801"/>
      <w:bookmarkStart w:id="1715" w:name="_Toc342296359"/>
      <w:bookmarkStart w:id="1716" w:name="_Toc152045708"/>
      <w:bookmarkStart w:id="1717" w:name="_Toc144974677"/>
      <w:r>
        <w:rPr>
          <w:sz w:val="22"/>
          <w:szCs w:val="28"/>
          <w:highlight w:val="none"/>
        </w:rPr>
        <w:t>15.2 变更权</w:t>
      </w:r>
      <w:bookmarkEnd w:id="1707"/>
      <w:bookmarkEnd w:id="1708"/>
      <w:bookmarkEnd w:id="1709"/>
      <w:bookmarkEnd w:id="1710"/>
      <w:bookmarkEnd w:id="1711"/>
      <w:bookmarkEnd w:id="1712"/>
      <w:bookmarkEnd w:id="1713"/>
      <w:bookmarkEnd w:id="1714"/>
      <w:bookmarkEnd w:id="1715"/>
      <w:bookmarkEnd w:id="1716"/>
      <w:bookmarkEnd w:id="1717"/>
    </w:p>
    <w:p w14:paraId="7853694D">
      <w:pPr>
        <w:spacing w:after="160" w:line="278" w:lineRule="auto"/>
        <w:rPr>
          <w:sz w:val="22"/>
          <w:szCs w:val="28"/>
          <w:highlight w:val="none"/>
        </w:rPr>
      </w:pPr>
      <w:r>
        <w:rPr>
          <w:sz w:val="22"/>
          <w:szCs w:val="28"/>
          <w:highlight w:val="none"/>
        </w:rPr>
        <w:t>在履行合同过程中，经发包人同意，监理人可按第15.3款约定的变更程序向承包人作出变更指示，承包人应遵照执行。没有监理人的变更指示，承包人不得擅自变更。</w:t>
      </w:r>
    </w:p>
    <w:p w14:paraId="18C3F89B">
      <w:pPr>
        <w:spacing w:after="160" w:line="278" w:lineRule="auto"/>
        <w:rPr>
          <w:sz w:val="22"/>
          <w:szCs w:val="28"/>
          <w:highlight w:val="none"/>
        </w:rPr>
      </w:pPr>
      <w:bookmarkStart w:id="1718" w:name="_Toc132618698"/>
      <w:bookmarkStart w:id="1719" w:name="_Toc338944802"/>
      <w:bookmarkStart w:id="1720" w:name="_Toc132619089"/>
      <w:bookmarkStart w:id="1721" w:name="_Toc142385627"/>
      <w:bookmarkStart w:id="1722" w:name="_Toc129798340"/>
      <w:bookmarkStart w:id="1723" w:name="_Toc342296360"/>
      <w:bookmarkStart w:id="1724" w:name="_Toc109914405"/>
      <w:r>
        <w:rPr>
          <w:sz w:val="22"/>
          <w:szCs w:val="28"/>
          <w:highlight w:val="none"/>
        </w:rPr>
        <w:t>15.3 变更程序</w:t>
      </w:r>
      <w:bookmarkEnd w:id="1718"/>
      <w:bookmarkEnd w:id="1719"/>
      <w:bookmarkEnd w:id="1720"/>
      <w:bookmarkEnd w:id="1721"/>
      <w:bookmarkEnd w:id="1722"/>
      <w:bookmarkEnd w:id="1723"/>
      <w:bookmarkEnd w:id="1724"/>
    </w:p>
    <w:p w14:paraId="1C267B47">
      <w:pPr>
        <w:spacing w:after="160" w:line="278" w:lineRule="auto"/>
        <w:rPr>
          <w:sz w:val="22"/>
          <w:szCs w:val="28"/>
          <w:highlight w:val="none"/>
        </w:rPr>
      </w:pPr>
      <w:r>
        <w:rPr>
          <w:sz w:val="22"/>
          <w:szCs w:val="28"/>
          <w:highlight w:val="none"/>
        </w:rPr>
        <w:t xml:space="preserve">15.3.1 </w:t>
      </w:r>
      <w:r>
        <w:rPr>
          <w:rFonts w:hint="eastAsia"/>
          <w:sz w:val="22"/>
          <w:szCs w:val="28"/>
          <w:highlight w:val="none"/>
        </w:rPr>
        <w:t>变更的提出</w:t>
      </w:r>
    </w:p>
    <w:p w14:paraId="6223C165">
      <w:pPr>
        <w:spacing w:after="160" w:line="278" w:lineRule="auto"/>
        <w:rPr>
          <w:sz w:val="22"/>
          <w:szCs w:val="28"/>
          <w:highlight w:val="none"/>
        </w:rPr>
      </w:pPr>
      <w:r>
        <w:rPr>
          <w:sz w:val="22"/>
          <w:szCs w:val="28"/>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8767ABD">
      <w:pPr>
        <w:spacing w:after="160" w:line="278" w:lineRule="auto"/>
        <w:rPr>
          <w:sz w:val="22"/>
          <w:szCs w:val="28"/>
          <w:highlight w:val="none"/>
        </w:rPr>
      </w:pPr>
      <w:r>
        <w:rPr>
          <w:sz w:val="22"/>
          <w:szCs w:val="28"/>
          <w:highlight w:val="none"/>
        </w:rPr>
        <w:t>（2）在合同履行过程中，发生第15.1款约定情形的，监理人应按照第15.3.3项约定向承包人发出变更指示。</w:t>
      </w:r>
    </w:p>
    <w:p w14:paraId="72DD1CBA">
      <w:pPr>
        <w:spacing w:after="160" w:line="278" w:lineRule="auto"/>
        <w:rPr>
          <w:sz w:val="22"/>
          <w:szCs w:val="28"/>
          <w:highlight w:val="none"/>
        </w:rPr>
      </w:pPr>
      <w:r>
        <w:rPr>
          <w:sz w:val="22"/>
          <w:szCs w:val="28"/>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A33EF5B">
      <w:pPr>
        <w:spacing w:after="160" w:line="278" w:lineRule="auto"/>
        <w:rPr>
          <w:sz w:val="22"/>
          <w:szCs w:val="28"/>
          <w:highlight w:val="none"/>
        </w:rPr>
      </w:pPr>
      <w:r>
        <w:rPr>
          <w:sz w:val="22"/>
          <w:szCs w:val="28"/>
          <w:highlight w:val="none"/>
        </w:rPr>
        <w:t>（4）若承包人收到监理人的变更意向书后认为难以实施此项变更，应立即通知监理人，说明原因并附详细依据。监理人与承包人和发包人协商后确定撤销、改变或不改变原变更意向书。</w:t>
      </w:r>
    </w:p>
    <w:p w14:paraId="11D4B1F3">
      <w:pPr>
        <w:spacing w:after="160" w:line="278" w:lineRule="auto"/>
        <w:rPr>
          <w:sz w:val="22"/>
          <w:szCs w:val="28"/>
          <w:highlight w:val="none"/>
        </w:rPr>
      </w:pPr>
      <w:r>
        <w:rPr>
          <w:sz w:val="22"/>
          <w:szCs w:val="28"/>
          <w:highlight w:val="none"/>
        </w:rPr>
        <w:t xml:space="preserve">15.3.2 </w:t>
      </w:r>
      <w:r>
        <w:rPr>
          <w:rFonts w:hint="eastAsia"/>
          <w:sz w:val="22"/>
          <w:szCs w:val="28"/>
          <w:highlight w:val="none"/>
        </w:rPr>
        <w:t>变更估价</w:t>
      </w:r>
    </w:p>
    <w:p w14:paraId="51E3910A">
      <w:pPr>
        <w:spacing w:after="160" w:line="278" w:lineRule="auto"/>
        <w:rPr>
          <w:sz w:val="22"/>
          <w:szCs w:val="28"/>
          <w:highlight w:val="none"/>
        </w:rPr>
      </w:pPr>
      <w:r>
        <w:rPr>
          <w:sz w:val="22"/>
          <w:szCs w:val="28"/>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FA010C8">
      <w:pPr>
        <w:spacing w:after="160" w:line="278" w:lineRule="auto"/>
        <w:rPr>
          <w:sz w:val="22"/>
          <w:szCs w:val="28"/>
          <w:highlight w:val="none"/>
        </w:rPr>
      </w:pPr>
      <w:r>
        <w:rPr>
          <w:sz w:val="22"/>
          <w:szCs w:val="28"/>
          <w:highlight w:val="none"/>
        </w:rPr>
        <w:t>（2）变更工作影响工期的，承包人应提出调整工期的具体细节。监理人认为有必要时，可要求承包人提交要求提前或延长工期的施工进度计划及相应施工措施等详细资料。</w:t>
      </w:r>
    </w:p>
    <w:p w14:paraId="79EE0EF0">
      <w:pPr>
        <w:spacing w:after="160" w:line="278" w:lineRule="auto"/>
        <w:rPr>
          <w:sz w:val="22"/>
          <w:szCs w:val="28"/>
          <w:highlight w:val="none"/>
        </w:rPr>
      </w:pPr>
      <w:r>
        <w:rPr>
          <w:sz w:val="22"/>
          <w:szCs w:val="28"/>
          <w:highlight w:val="none"/>
        </w:rPr>
        <w:t>（3）除专用合同条款对期限另有约定外，监理人收到承包人变更报价书后的14天内，根据第15.4款约定的估价原则，按照第3.5款商定或确定变更价格。</w:t>
      </w:r>
    </w:p>
    <w:p w14:paraId="0D9DE0E4">
      <w:pPr>
        <w:spacing w:after="160" w:line="278" w:lineRule="auto"/>
        <w:rPr>
          <w:sz w:val="22"/>
          <w:szCs w:val="28"/>
          <w:highlight w:val="none"/>
        </w:rPr>
      </w:pPr>
      <w:r>
        <w:rPr>
          <w:sz w:val="22"/>
          <w:szCs w:val="28"/>
          <w:highlight w:val="none"/>
        </w:rPr>
        <w:t xml:space="preserve">15.3.3 </w:t>
      </w:r>
      <w:r>
        <w:rPr>
          <w:rFonts w:hint="eastAsia"/>
          <w:sz w:val="22"/>
          <w:szCs w:val="28"/>
          <w:highlight w:val="none"/>
        </w:rPr>
        <w:t>变更指示</w:t>
      </w:r>
    </w:p>
    <w:p w14:paraId="4CB9CABE">
      <w:pPr>
        <w:spacing w:after="160" w:line="278" w:lineRule="auto"/>
        <w:rPr>
          <w:sz w:val="22"/>
          <w:szCs w:val="28"/>
          <w:highlight w:val="none"/>
        </w:rPr>
      </w:pPr>
      <w:r>
        <w:rPr>
          <w:sz w:val="22"/>
          <w:szCs w:val="28"/>
          <w:highlight w:val="none"/>
        </w:rPr>
        <w:t>（1）变更指示只能由监理人发出。</w:t>
      </w:r>
    </w:p>
    <w:p w14:paraId="6DB159E3">
      <w:pPr>
        <w:spacing w:after="160" w:line="278" w:lineRule="auto"/>
        <w:rPr>
          <w:sz w:val="22"/>
          <w:szCs w:val="28"/>
          <w:highlight w:val="none"/>
        </w:rPr>
      </w:pPr>
      <w:r>
        <w:rPr>
          <w:sz w:val="22"/>
          <w:szCs w:val="28"/>
          <w:highlight w:val="none"/>
        </w:rPr>
        <w:t>（2）变更指示应说明变更的目的、范围、变更内容以及变更的工程量及其进度和技术要求，并附有关图纸和文件。承包人收到变更指示后，应按变更指示进行变更工作。</w:t>
      </w:r>
    </w:p>
    <w:p w14:paraId="1FC27E2E">
      <w:pPr>
        <w:spacing w:after="160" w:line="278" w:lineRule="auto"/>
        <w:rPr>
          <w:sz w:val="22"/>
          <w:szCs w:val="28"/>
          <w:highlight w:val="none"/>
        </w:rPr>
      </w:pPr>
      <w:bookmarkStart w:id="1725" w:name="_Toc129798341"/>
      <w:bookmarkStart w:id="1726" w:name="_Toc338944803"/>
      <w:bookmarkStart w:id="1727" w:name="_Toc142385628"/>
      <w:bookmarkStart w:id="1728" w:name="_Toc132618699"/>
      <w:bookmarkStart w:id="1729" w:name="_Toc132619090"/>
      <w:bookmarkStart w:id="1730" w:name="_Toc109914406"/>
      <w:bookmarkStart w:id="1731" w:name="_Toc342296361"/>
      <w:r>
        <w:rPr>
          <w:sz w:val="22"/>
          <w:szCs w:val="28"/>
          <w:highlight w:val="none"/>
        </w:rPr>
        <w:t>15.4 变更的估价原则</w:t>
      </w:r>
      <w:bookmarkEnd w:id="1725"/>
      <w:bookmarkEnd w:id="1726"/>
      <w:bookmarkEnd w:id="1727"/>
      <w:bookmarkEnd w:id="1728"/>
      <w:bookmarkEnd w:id="1729"/>
      <w:bookmarkEnd w:id="1730"/>
      <w:bookmarkEnd w:id="1731"/>
    </w:p>
    <w:p w14:paraId="1A0672CB">
      <w:pPr>
        <w:spacing w:after="160" w:line="278" w:lineRule="auto"/>
        <w:rPr>
          <w:sz w:val="22"/>
          <w:szCs w:val="28"/>
          <w:highlight w:val="none"/>
        </w:rPr>
      </w:pPr>
      <w:r>
        <w:rPr>
          <w:sz w:val="22"/>
          <w:szCs w:val="28"/>
          <w:highlight w:val="none"/>
        </w:rPr>
        <w:t>除专用合同条款另有约定外，因变更引起的价格调整按照本款约定处理。</w:t>
      </w:r>
    </w:p>
    <w:p w14:paraId="101300AF">
      <w:pPr>
        <w:spacing w:after="160" w:line="278" w:lineRule="auto"/>
        <w:rPr>
          <w:sz w:val="22"/>
          <w:szCs w:val="28"/>
          <w:highlight w:val="none"/>
        </w:rPr>
      </w:pPr>
      <w:r>
        <w:rPr>
          <w:sz w:val="22"/>
          <w:szCs w:val="28"/>
          <w:highlight w:val="none"/>
        </w:rPr>
        <w:t>15.4.1 已标价工程量清单中有适用于变更工作的子目的，采用该子目的单价。</w:t>
      </w:r>
    </w:p>
    <w:p w14:paraId="79D4C389">
      <w:pPr>
        <w:spacing w:after="160" w:line="278" w:lineRule="auto"/>
        <w:rPr>
          <w:sz w:val="22"/>
          <w:szCs w:val="28"/>
          <w:highlight w:val="none"/>
        </w:rPr>
      </w:pPr>
      <w:r>
        <w:rPr>
          <w:sz w:val="22"/>
          <w:szCs w:val="28"/>
          <w:highlight w:val="none"/>
        </w:rPr>
        <w:t>15.4.2 已标价工程量清单中无适用于变更工作的子目，但有类似子目的，可在合理范围内参照类似子目的单价，由监理人按第3.5款商定或确定变更工作的单价。</w:t>
      </w:r>
    </w:p>
    <w:p w14:paraId="034026FE">
      <w:pPr>
        <w:spacing w:after="160" w:line="278" w:lineRule="auto"/>
        <w:rPr>
          <w:sz w:val="22"/>
          <w:szCs w:val="28"/>
          <w:highlight w:val="none"/>
        </w:rPr>
      </w:pPr>
      <w:r>
        <w:rPr>
          <w:sz w:val="22"/>
          <w:szCs w:val="28"/>
          <w:highlight w:val="none"/>
        </w:rPr>
        <w:t>15.4.3 已标价工程量清单中无适用或类似子目的单价，可按照成本加利润的原则，由监理人按第3.5款商定或确定变更工作的单价。</w:t>
      </w:r>
    </w:p>
    <w:p w14:paraId="24C2AAA3">
      <w:pPr>
        <w:spacing w:after="160" w:line="278" w:lineRule="auto"/>
        <w:rPr>
          <w:sz w:val="22"/>
          <w:szCs w:val="28"/>
          <w:highlight w:val="none"/>
        </w:rPr>
      </w:pPr>
      <w:bookmarkStart w:id="1732" w:name="_Toc342296362"/>
      <w:bookmarkStart w:id="1733" w:name="_Toc129798342"/>
      <w:bookmarkStart w:id="1734" w:name="_Toc338944804"/>
      <w:bookmarkStart w:id="1735" w:name="_Toc109914407"/>
      <w:bookmarkStart w:id="1736" w:name="_Toc142385629"/>
      <w:bookmarkStart w:id="1737" w:name="_Toc132619091"/>
      <w:bookmarkStart w:id="1738" w:name="_Toc132618700"/>
      <w:r>
        <w:rPr>
          <w:sz w:val="22"/>
          <w:szCs w:val="28"/>
          <w:highlight w:val="none"/>
        </w:rPr>
        <w:t>15.5 承包人的合理化建议</w:t>
      </w:r>
      <w:bookmarkEnd w:id="1732"/>
      <w:bookmarkEnd w:id="1733"/>
      <w:bookmarkEnd w:id="1734"/>
      <w:bookmarkEnd w:id="1735"/>
      <w:bookmarkEnd w:id="1736"/>
      <w:bookmarkEnd w:id="1737"/>
      <w:bookmarkEnd w:id="1738"/>
    </w:p>
    <w:p w14:paraId="407EAF9C">
      <w:pPr>
        <w:spacing w:after="160" w:line="278" w:lineRule="auto"/>
        <w:rPr>
          <w:sz w:val="22"/>
          <w:szCs w:val="28"/>
          <w:highlight w:val="none"/>
        </w:rPr>
      </w:pPr>
      <w:r>
        <w:rPr>
          <w:sz w:val="22"/>
          <w:szCs w:val="28"/>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C691239">
      <w:pPr>
        <w:spacing w:after="160" w:line="278" w:lineRule="auto"/>
        <w:rPr>
          <w:sz w:val="22"/>
          <w:szCs w:val="28"/>
          <w:highlight w:val="none"/>
        </w:rPr>
      </w:pPr>
      <w:r>
        <w:rPr>
          <w:sz w:val="22"/>
          <w:szCs w:val="28"/>
          <w:highlight w:val="none"/>
        </w:rPr>
        <w:t>15.5.2 承包人提出的合理化建议降低了合同价格、缩短了工期或者提高了工程经济效益的，发包人可按国家有关规定在专用合同条款中约定给予奖励。</w:t>
      </w:r>
    </w:p>
    <w:p w14:paraId="705F0FD9">
      <w:pPr>
        <w:spacing w:after="160" w:line="278" w:lineRule="auto"/>
        <w:rPr>
          <w:sz w:val="22"/>
          <w:szCs w:val="28"/>
          <w:highlight w:val="none"/>
        </w:rPr>
      </w:pPr>
      <w:bookmarkStart w:id="1739" w:name="_Toc129798343"/>
      <w:bookmarkStart w:id="1740" w:name="_Toc152042490"/>
      <w:bookmarkStart w:id="1741" w:name="_Toc132618701"/>
      <w:bookmarkStart w:id="1742" w:name="_Toc142385630"/>
      <w:bookmarkStart w:id="1743" w:name="_Toc338944805"/>
      <w:bookmarkStart w:id="1744" w:name="_Toc342296363"/>
      <w:bookmarkStart w:id="1745" w:name="_Toc152045712"/>
      <w:bookmarkStart w:id="1746" w:name="_Toc109914408"/>
      <w:bookmarkStart w:id="1747" w:name="_Toc179632730"/>
      <w:bookmarkStart w:id="1748" w:name="_Toc132619092"/>
      <w:bookmarkStart w:id="1749" w:name="_Toc144974681"/>
      <w:r>
        <w:rPr>
          <w:sz w:val="22"/>
          <w:szCs w:val="28"/>
          <w:highlight w:val="none"/>
        </w:rPr>
        <w:t>15.6 暂列金额</w:t>
      </w:r>
      <w:bookmarkEnd w:id="1739"/>
      <w:bookmarkEnd w:id="1740"/>
      <w:bookmarkEnd w:id="1741"/>
      <w:bookmarkEnd w:id="1742"/>
      <w:bookmarkEnd w:id="1743"/>
      <w:bookmarkEnd w:id="1744"/>
      <w:bookmarkEnd w:id="1745"/>
      <w:bookmarkEnd w:id="1746"/>
      <w:bookmarkEnd w:id="1747"/>
      <w:bookmarkEnd w:id="1748"/>
      <w:bookmarkEnd w:id="1749"/>
    </w:p>
    <w:p w14:paraId="0DDAA7E8">
      <w:pPr>
        <w:spacing w:after="160" w:line="278" w:lineRule="auto"/>
        <w:rPr>
          <w:sz w:val="22"/>
          <w:szCs w:val="28"/>
          <w:highlight w:val="none"/>
        </w:rPr>
      </w:pPr>
      <w:r>
        <w:rPr>
          <w:sz w:val="22"/>
          <w:szCs w:val="28"/>
          <w:highlight w:val="none"/>
        </w:rPr>
        <w:t>暂列金额只能按照监理人的指示使用，并对合同价格进行相应调整。</w:t>
      </w:r>
    </w:p>
    <w:p w14:paraId="260AECC7">
      <w:pPr>
        <w:spacing w:after="160" w:line="278" w:lineRule="auto"/>
        <w:rPr>
          <w:sz w:val="22"/>
          <w:szCs w:val="28"/>
          <w:highlight w:val="none"/>
        </w:rPr>
      </w:pPr>
      <w:bookmarkStart w:id="1750" w:name="_Toc179632731"/>
      <w:bookmarkStart w:id="1751" w:name="_Toc152042491"/>
      <w:bookmarkStart w:id="1752" w:name="_Toc338944806"/>
      <w:bookmarkStart w:id="1753" w:name="_Toc129798344"/>
      <w:bookmarkStart w:id="1754" w:name="_Toc152045713"/>
      <w:bookmarkStart w:id="1755" w:name="_Toc342296364"/>
      <w:bookmarkStart w:id="1756" w:name="_Toc132618702"/>
      <w:bookmarkStart w:id="1757" w:name="_Toc109914409"/>
      <w:bookmarkStart w:id="1758" w:name="_Toc144974682"/>
      <w:bookmarkStart w:id="1759" w:name="_Toc132619093"/>
      <w:bookmarkStart w:id="1760" w:name="_Toc142385631"/>
      <w:r>
        <w:rPr>
          <w:sz w:val="22"/>
          <w:szCs w:val="28"/>
          <w:highlight w:val="none"/>
        </w:rPr>
        <w:t>15.7 计日工</w:t>
      </w:r>
      <w:bookmarkEnd w:id="1750"/>
      <w:bookmarkEnd w:id="1751"/>
      <w:bookmarkEnd w:id="1752"/>
      <w:bookmarkEnd w:id="1753"/>
      <w:bookmarkEnd w:id="1754"/>
      <w:bookmarkEnd w:id="1755"/>
      <w:bookmarkEnd w:id="1756"/>
      <w:bookmarkEnd w:id="1757"/>
      <w:bookmarkEnd w:id="1758"/>
      <w:bookmarkEnd w:id="1759"/>
      <w:bookmarkEnd w:id="1760"/>
    </w:p>
    <w:p w14:paraId="1AF11FF9">
      <w:pPr>
        <w:spacing w:after="160" w:line="278" w:lineRule="auto"/>
        <w:rPr>
          <w:sz w:val="22"/>
          <w:szCs w:val="28"/>
          <w:highlight w:val="none"/>
        </w:rPr>
      </w:pPr>
      <w:r>
        <w:rPr>
          <w:sz w:val="22"/>
          <w:szCs w:val="28"/>
          <w:highlight w:val="none"/>
        </w:rPr>
        <w:t>15.7.1 发包人认为有必要时，由监理人通知承包人以计日工方式实施变更的零星工作。其价款按列入已标价工程量清单中的计日工计价子目及其单价进行计算。</w:t>
      </w:r>
    </w:p>
    <w:p w14:paraId="333D6871">
      <w:pPr>
        <w:spacing w:after="160" w:line="278" w:lineRule="auto"/>
        <w:rPr>
          <w:sz w:val="22"/>
          <w:szCs w:val="28"/>
          <w:highlight w:val="none"/>
        </w:rPr>
      </w:pPr>
      <w:r>
        <w:rPr>
          <w:sz w:val="22"/>
          <w:szCs w:val="28"/>
          <w:highlight w:val="none"/>
        </w:rPr>
        <w:t>15.7.2 采用计日工计价的任何一项变更工作，应从暂列金额中支付，承包人应在该项变更的实施过程中，每天提交以下报表和有关凭证报送监理人审批：</w:t>
      </w:r>
    </w:p>
    <w:p w14:paraId="27C4E350">
      <w:pPr>
        <w:spacing w:after="160" w:line="278" w:lineRule="auto"/>
        <w:rPr>
          <w:sz w:val="22"/>
          <w:szCs w:val="28"/>
          <w:highlight w:val="none"/>
        </w:rPr>
      </w:pPr>
      <w:r>
        <w:rPr>
          <w:sz w:val="22"/>
          <w:szCs w:val="28"/>
          <w:highlight w:val="none"/>
        </w:rPr>
        <w:t>（1）工作名称、内容和数量；</w:t>
      </w:r>
    </w:p>
    <w:p w14:paraId="7CCD82A1">
      <w:pPr>
        <w:spacing w:after="160" w:line="278" w:lineRule="auto"/>
        <w:rPr>
          <w:sz w:val="22"/>
          <w:szCs w:val="28"/>
          <w:highlight w:val="none"/>
        </w:rPr>
      </w:pPr>
      <w:r>
        <w:rPr>
          <w:sz w:val="22"/>
          <w:szCs w:val="28"/>
          <w:highlight w:val="none"/>
        </w:rPr>
        <w:t>（2）投入该工作所有人员的姓名、工种、级别和耗用工时；</w:t>
      </w:r>
    </w:p>
    <w:p w14:paraId="057C1A1B">
      <w:pPr>
        <w:spacing w:after="160" w:line="278" w:lineRule="auto"/>
        <w:rPr>
          <w:sz w:val="22"/>
          <w:szCs w:val="28"/>
          <w:highlight w:val="none"/>
        </w:rPr>
      </w:pPr>
      <w:r>
        <w:rPr>
          <w:sz w:val="22"/>
          <w:szCs w:val="28"/>
          <w:highlight w:val="none"/>
        </w:rPr>
        <w:t>（3）投入该工作的材料类别和数量；</w:t>
      </w:r>
    </w:p>
    <w:p w14:paraId="562D44B3">
      <w:pPr>
        <w:spacing w:after="160" w:line="278" w:lineRule="auto"/>
        <w:rPr>
          <w:sz w:val="22"/>
          <w:szCs w:val="28"/>
          <w:highlight w:val="none"/>
        </w:rPr>
      </w:pPr>
      <w:r>
        <w:rPr>
          <w:sz w:val="22"/>
          <w:szCs w:val="28"/>
          <w:highlight w:val="none"/>
        </w:rPr>
        <w:t>（4）投入该工作的施工设备型号、台数和耗用台时；</w:t>
      </w:r>
    </w:p>
    <w:p w14:paraId="06FD1907">
      <w:pPr>
        <w:spacing w:after="160" w:line="278" w:lineRule="auto"/>
        <w:rPr>
          <w:sz w:val="22"/>
          <w:szCs w:val="28"/>
          <w:highlight w:val="none"/>
        </w:rPr>
      </w:pPr>
      <w:r>
        <w:rPr>
          <w:sz w:val="22"/>
          <w:szCs w:val="28"/>
          <w:highlight w:val="none"/>
        </w:rPr>
        <w:t>（5）监理人要求提交的其他资料和凭证。</w:t>
      </w:r>
    </w:p>
    <w:p w14:paraId="43589E7A">
      <w:pPr>
        <w:spacing w:after="160" w:line="278" w:lineRule="auto"/>
        <w:rPr>
          <w:sz w:val="22"/>
          <w:szCs w:val="28"/>
          <w:highlight w:val="none"/>
        </w:rPr>
      </w:pPr>
      <w:r>
        <w:rPr>
          <w:sz w:val="22"/>
          <w:szCs w:val="28"/>
          <w:highlight w:val="none"/>
        </w:rPr>
        <w:t>15.7.3 计日工由承包人汇总后，按第17.3.2项的约定列入进度付款申请单，由监理人复核并经发包人同意后列入进度付款。</w:t>
      </w:r>
    </w:p>
    <w:p w14:paraId="478131A3">
      <w:pPr>
        <w:spacing w:after="160" w:line="278" w:lineRule="auto"/>
        <w:rPr>
          <w:sz w:val="22"/>
          <w:szCs w:val="28"/>
          <w:highlight w:val="none"/>
        </w:rPr>
      </w:pPr>
      <w:bookmarkStart w:id="1761" w:name="_Toc342296365"/>
      <w:bookmarkStart w:id="1762" w:name="_Toc132619094"/>
      <w:bookmarkStart w:id="1763" w:name="_Toc129798345"/>
      <w:bookmarkStart w:id="1764" w:name="_Toc109914410"/>
      <w:bookmarkStart w:id="1765" w:name="_Toc142385632"/>
      <w:bookmarkStart w:id="1766" w:name="_Toc132618703"/>
      <w:bookmarkStart w:id="1767" w:name="_Toc338944807"/>
      <w:r>
        <w:rPr>
          <w:sz w:val="22"/>
          <w:szCs w:val="28"/>
          <w:highlight w:val="none"/>
        </w:rPr>
        <w:t>15.8 暂估价</w:t>
      </w:r>
      <w:bookmarkEnd w:id="1761"/>
      <w:bookmarkEnd w:id="1762"/>
      <w:bookmarkEnd w:id="1763"/>
      <w:bookmarkEnd w:id="1764"/>
      <w:bookmarkEnd w:id="1765"/>
      <w:bookmarkEnd w:id="1766"/>
      <w:bookmarkEnd w:id="1767"/>
    </w:p>
    <w:p w14:paraId="010F9F28">
      <w:pPr>
        <w:spacing w:after="160" w:line="278" w:lineRule="auto"/>
        <w:rPr>
          <w:sz w:val="22"/>
          <w:szCs w:val="28"/>
          <w:highlight w:val="none"/>
        </w:rPr>
      </w:pPr>
      <w:r>
        <w:rPr>
          <w:sz w:val="22"/>
          <w:szCs w:val="28"/>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DCC86A9">
      <w:pPr>
        <w:spacing w:after="160" w:line="278" w:lineRule="auto"/>
        <w:rPr>
          <w:sz w:val="22"/>
          <w:szCs w:val="28"/>
          <w:highlight w:val="none"/>
        </w:rPr>
      </w:pPr>
      <w:r>
        <w:rPr>
          <w:sz w:val="22"/>
          <w:szCs w:val="28"/>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3FD0E99">
      <w:pPr>
        <w:spacing w:after="160" w:line="278" w:lineRule="auto"/>
        <w:rPr>
          <w:sz w:val="22"/>
          <w:szCs w:val="28"/>
          <w:highlight w:val="none"/>
        </w:rPr>
      </w:pPr>
      <w:r>
        <w:rPr>
          <w:sz w:val="22"/>
          <w:szCs w:val="28"/>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563A0F9">
      <w:pPr>
        <w:spacing w:after="160" w:line="278" w:lineRule="auto"/>
        <w:rPr>
          <w:sz w:val="22"/>
          <w:szCs w:val="28"/>
          <w:highlight w:val="none"/>
        </w:rPr>
      </w:pPr>
      <w:bookmarkStart w:id="1768" w:name="_Toc338944808"/>
      <w:bookmarkStart w:id="1769" w:name="_Toc342296366"/>
      <w:bookmarkStart w:id="1770" w:name="_Toc109914411"/>
      <w:bookmarkStart w:id="1771" w:name="_Toc142385633"/>
      <w:bookmarkStart w:id="1772" w:name="_Toc442365629"/>
      <w:bookmarkStart w:id="1773" w:name="_Toc129798346"/>
      <w:bookmarkStart w:id="1774" w:name="_Toc448758437"/>
      <w:bookmarkStart w:id="1775" w:name="_Toc132618704"/>
      <w:bookmarkStart w:id="1776" w:name="_Toc448758537"/>
      <w:bookmarkStart w:id="1777" w:name="_Toc469660032"/>
      <w:bookmarkStart w:id="1778" w:name="_Toc132619095"/>
      <w:r>
        <w:rPr>
          <w:sz w:val="22"/>
          <w:szCs w:val="28"/>
          <w:highlight w:val="none"/>
        </w:rPr>
        <w:t>16. 价格调整</w:t>
      </w:r>
      <w:bookmarkEnd w:id="1768"/>
      <w:bookmarkEnd w:id="1769"/>
      <w:bookmarkEnd w:id="1770"/>
      <w:bookmarkEnd w:id="1771"/>
      <w:bookmarkEnd w:id="1772"/>
      <w:bookmarkEnd w:id="1773"/>
      <w:bookmarkEnd w:id="1774"/>
      <w:bookmarkEnd w:id="1775"/>
      <w:bookmarkEnd w:id="1776"/>
      <w:bookmarkEnd w:id="1777"/>
      <w:bookmarkEnd w:id="1778"/>
    </w:p>
    <w:p w14:paraId="3DB02DD1">
      <w:pPr>
        <w:spacing w:after="160" w:line="278" w:lineRule="auto"/>
        <w:rPr>
          <w:sz w:val="22"/>
          <w:szCs w:val="28"/>
          <w:highlight w:val="none"/>
        </w:rPr>
      </w:pPr>
      <w:bookmarkStart w:id="1779" w:name="_Toc129798347"/>
      <w:bookmarkStart w:id="1780" w:name="_Toc132619096"/>
      <w:bookmarkStart w:id="1781" w:name="_Toc142385634"/>
      <w:bookmarkStart w:id="1782" w:name="_Toc132618705"/>
      <w:bookmarkStart w:id="1783" w:name="_Toc342296367"/>
      <w:bookmarkStart w:id="1784" w:name="_Toc109914412"/>
      <w:bookmarkStart w:id="1785" w:name="_Toc338944809"/>
      <w:r>
        <w:rPr>
          <w:sz w:val="22"/>
          <w:szCs w:val="28"/>
          <w:highlight w:val="none"/>
        </w:rPr>
        <w:t>16.1 物价波动引起的价格调整</w:t>
      </w:r>
      <w:bookmarkEnd w:id="1779"/>
      <w:bookmarkEnd w:id="1780"/>
      <w:bookmarkEnd w:id="1781"/>
      <w:bookmarkEnd w:id="1782"/>
      <w:bookmarkEnd w:id="1783"/>
      <w:bookmarkEnd w:id="1784"/>
      <w:bookmarkEnd w:id="1785"/>
    </w:p>
    <w:p w14:paraId="4BBA481A">
      <w:pPr>
        <w:spacing w:after="160" w:line="278" w:lineRule="auto"/>
        <w:rPr>
          <w:sz w:val="22"/>
          <w:szCs w:val="28"/>
          <w:highlight w:val="none"/>
        </w:rPr>
      </w:pPr>
      <w:r>
        <w:rPr>
          <w:sz w:val="22"/>
          <w:szCs w:val="28"/>
          <w:highlight w:val="none"/>
        </w:rPr>
        <w:t>除专用合同条款另有约定外，因物价波动引起的价格调整按照本款约定处理。</w:t>
      </w:r>
    </w:p>
    <w:p w14:paraId="30805FF5">
      <w:pPr>
        <w:spacing w:after="160" w:line="278" w:lineRule="auto"/>
        <w:rPr>
          <w:sz w:val="22"/>
          <w:szCs w:val="28"/>
          <w:highlight w:val="none"/>
        </w:rPr>
      </w:pPr>
      <w:r>
        <w:rPr>
          <w:sz w:val="22"/>
          <w:szCs w:val="28"/>
          <w:highlight w:val="none"/>
        </w:rPr>
        <w:t xml:space="preserve">16.1.1 </w:t>
      </w:r>
      <w:r>
        <w:rPr>
          <w:rFonts w:hint="eastAsia"/>
          <w:sz w:val="22"/>
          <w:szCs w:val="28"/>
          <w:highlight w:val="none"/>
        </w:rPr>
        <w:t>采用价格指数调整价格差额</w:t>
      </w:r>
    </w:p>
    <w:p w14:paraId="22428088">
      <w:pPr>
        <w:spacing w:after="160" w:line="278" w:lineRule="auto"/>
        <w:rPr>
          <w:sz w:val="22"/>
          <w:szCs w:val="28"/>
          <w:highlight w:val="none"/>
        </w:rPr>
      </w:pPr>
      <w:r>
        <w:rPr>
          <w:sz w:val="22"/>
          <w:szCs w:val="28"/>
          <w:highlight w:val="none"/>
        </w:rPr>
        <w:t>16.1.1.1 价格调整公式</w:t>
      </w:r>
    </w:p>
    <w:p w14:paraId="7E35C746">
      <w:pPr>
        <w:spacing w:after="160" w:line="278" w:lineRule="auto"/>
        <w:rPr>
          <w:sz w:val="22"/>
          <w:szCs w:val="28"/>
          <w:highlight w:val="none"/>
        </w:rPr>
      </w:pPr>
      <w:r>
        <w:rPr>
          <w:sz w:val="22"/>
          <w:szCs w:val="28"/>
          <w:highlight w:val="none"/>
        </w:rPr>
        <w:t>因人工、材料和设备等价格波动影响合同价格时，根据投标函附录中的价格指数和权重表约定的数据，按以下公式计算差额并调整合同价格。</w:t>
      </w:r>
    </w:p>
    <w:p w14:paraId="206B91CD">
      <w:pPr>
        <w:spacing w:after="160" w:line="278" w:lineRule="auto"/>
        <w:rPr>
          <w:sz w:val="22"/>
          <w:szCs w:val="28"/>
          <w:highlight w:val="none"/>
        </w:rPr>
      </w:pPr>
      <w:r>
        <w:rPr>
          <w:sz w:val="22"/>
          <w:szCs w:val="28"/>
          <w:highlight w:val="none"/>
        </w:rPr>
        <w:t xml:space="preserve">        </w:t>
      </w:r>
      <w:r>
        <w:rPr>
          <w:sz w:val="22"/>
          <w:szCs w:val="28"/>
          <w:highlight w:val="none"/>
        </w:rPr>
        <w:drawing>
          <wp:inline distT="0" distB="0" distL="114300" distR="114300">
            <wp:extent cx="3901440" cy="509270"/>
            <wp:effectExtent l="0" t="0" r="10160" b="11430"/>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
                    <pic:cNvPicPr>
                      <a:picLocks noChangeAspect="1"/>
                    </pic:cNvPicPr>
                  </pic:nvPicPr>
                  <pic:blipFill>
                    <a:blip r:embed="rId41"/>
                    <a:stretch>
                      <a:fillRect/>
                    </a:stretch>
                  </pic:blipFill>
                  <pic:spPr>
                    <a:xfrm>
                      <a:off x="0" y="0"/>
                      <a:ext cx="3901440" cy="509270"/>
                    </a:xfrm>
                    <a:prstGeom prst="rect">
                      <a:avLst/>
                    </a:prstGeom>
                    <a:noFill/>
                    <a:ln>
                      <a:noFill/>
                    </a:ln>
                  </pic:spPr>
                </pic:pic>
              </a:graphicData>
            </a:graphic>
          </wp:inline>
        </w:drawing>
      </w:r>
    </w:p>
    <w:p w14:paraId="4B216D6E">
      <w:pPr>
        <w:spacing w:after="160" w:line="278" w:lineRule="auto"/>
        <w:rPr>
          <w:sz w:val="22"/>
          <w:szCs w:val="28"/>
          <w:highlight w:val="none"/>
        </w:rPr>
      </w:pPr>
      <w:r>
        <w:rPr>
          <w:sz w:val="22"/>
          <w:szCs w:val="28"/>
          <w:highlight w:val="none"/>
        </w:rPr>
        <w:t xml:space="preserve"> </w:t>
      </w:r>
    </w:p>
    <w:p w14:paraId="4740537A">
      <w:pPr>
        <w:spacing w:after="160" w:line="278" w:lineRule="auto"/>
        <w:rPr>
          <w:sz w:val="22"/>
          <w:szCs w:val="28"/>
          <w:highlight w:val="none"/>
        </w:rPr>
      </w:pPr>
      <w:r>
        <w:rPr>
          <w:sz w:val="22"/>
          <w:szCs w:val="28"/>
          <w:highlight w:val="none"/>
        </w:rPr>
        <w:t xml:space="preserve">式中： </w:t>
      </w:r>
      <w:r>
        <w:rPr>
          <w:rFonts w:hint="eastAsia"/>
          <w:sz w:val="22"/>
          <w:szCs w:val="28"/>
          <w:highlight w:val="none"/>
        </w:rPr>
        <w:t>△</w:t>
      </w:r>
      <w:r>
        <w:rPr>
          <w:sz w:val="22"/>
          <w:szCs w:val="28"/>
          <w:highlight w:val="none"/>
        </w:rPr>
        <w:t>P -- 需调整的价格差额；</w:t>
      </w:r>
    </w:p>
    <w:p w14:paraId="14F083F4">
      <w:pPr>
        <w:spacing w:after="160" w:line="278" w:lineRule="auto"/>
        <w:rPr>
          <w:sz w:val="22"/>
          <w:szCs w:val="28"/>
          <w:highlight w:val="none"/>
        </w:rPr>
      </w:pPr>
      <w:r>
        <w:rPr>
          <w:sz w:val="22"/>
          <w:szCs w:val="28"/>
          <w:highlight w:val="none"/>
        </w:rPr>
        <w:tab/>
      </w:r>
      <w:r>
        <w:rPr>
          <w:sz w:val="22"/>
          <w:szCs w:val="28"/>
          <w:highlight w:val="none"/>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D01D41B">
      <w:pPr>
        <w:spacing w:after="160" w:line="278" w:lineRule="auto"/>
        <w:rPr>
          <w:sz w:val="22"/>
          <w:szCs w:val="28"/>
          <w:highlight w:val="none"/>
        </w:rPr>
      </w:pPr>
      <w:r>
        <w:rPr>
          <w:sz w:val="22"/>
          <w:szCs w:val="28"/>
          <w:highlight w:val="none"/>
        </w:rPr>
        <w:tab/>
      </w:r>
      <w:bookmarkStart w:id="1786" w:name="_Toc152042495"/>
      <w:bookmarkStart w:id="1787" w:name="_Toc144974686"/>
      <w:r>
        <w:rPr>
          <w:sz w:val="22"/>
          <w:szCs w:val="28"/>
          <w:highlight w:val="none"/>
        </w:rPr>
        <w:t>A -- 定值权重(即不调部分的权重)；</w:t>
      </w:r>
      <w:bookmarkEnd w:id="1786"/>
      <w:bookmarkEnd w:id="1787"/>
    </w:p>
    <w:p w14:paraId="00F43178">
      <w:pPr>
        <w:spacing w:after="160" w:line="278" w:lineRule="auto"/>
        <w:rPr>
          <w:sz w:val="22"/>
          <w:szCs w:val="28"/>
          <w:highlight w:val="none"/>
        </w:rPr>
      </w:pPr>
      <w:r>
        <w:rPr>
          <w:sz w:val="22"/>
          <w:szCs w:val="28"/>
          <w:highlight w:val="none"/>
        </w:rPr>
        <w:tab/>
      </w:r>
      <w:r>
        <w:rPr>
          <w:sz w:val="22"/>
          <w:szCs w:val="28"/>
          <w:highlight w:val="none"/>
        </w:rPr>
        <w:t>B1; B2 ;B3·····Bn -- 各可调因子的变值权重(即可调部分的权重)为各可调因子在投标函投标总报价中所占的比例；</w:t>
      </w:r>
    </w:p>
    <w:p w14:paraId="12ACF342">
      <w:pPr>
        <w:spacing w:after="160" w:line="278" w:lineRule="auto"/>
        <w:rPr>
          <w:sz w:val="22"/>
          <w:szCs w:val="28"/>
          <w:highlight w:val="none"/>
        </w:rPr>
      </w:pPr>
      <w:r>
        <w:rPr>
          <w:sz w:val="22"/>
          <w:szCs w:val="28"/>
          <w:highlight w:val="none"/>
        </w:rPr>
        <w:tab/>
      </w:r>
      <w:r>
        <w:rPr>
          <w:sz w:val="22"/>
          <w:szCs w:val="28"/>
          <w:highlight w:val="none"/>
        </w:rPr>
        <w:t>Ft1 ;Ft2 ;Ft3·····Ftn -- 各可调因子的现行价格指数，指第17.3.3项、第17.5.2项和第17.6.2项约定的付款证书相关周期最后一天的前42天的各可调因子的价格指数；</w:t>
      </w:r>
    </w:p>
    <w:p w14:paraId="583F237C">
      <w:pPr>
        <w:spacing w:after="160" w:line="278" w:lineRule="auto"/>
        <w:rPr>
          <w:sz w:val="22"/>
          <w:szCs w:val="28"/>
          <w:highlight w:val="none"/>
        </w:rPr>
      </w:pPr>
      <w:r>
        <w:rPr>
          <w:sz w:val="22"/>
          <w:szCs w:val="28"/>
          <w:highlight w:val="none"/>
        </w:rPr>
        <w:tab/>
      </w:r>
      <w:r>
        <w:rPr>
          <w:sz w:val="22"/>
          <w:szCs w:val="28"/>
          <w:highlight w:val="none"/>
        </w:rPr>
        <w:t>Fo1; Fo2; Fo3·····Fon -- 各可调因子的基本价格指数，指基准日期的各可调因子的价格指数。</w:t>
      </w:r>
    </w:p>
    <w:p w14:paraId="68F56010">
      <w:pPr>
        <w:spacing w:after="160" w:line="278" w:lineRule="auto"/>
        <w:rPr>
          <w:sz w:val="22"/>
          <w:szCs w:val="28"/>
          <w:highlight w:val="none"/>
        </w:rPr>
      </w:pPr>
      <w:r>
        <w:rPr>
          <w:sz w:val="22"/>
          <w:szCs w:val="28"/>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3C8B9A5">
      <w:pPr>
        <w:spacing w:after="160" w:line="278" w:lineRule="auto"/>
        <w:rPr>
          <w:sz w:val="22"/>
          <w:szCs w:val="28"/>
          <w:highlight w:val="none"/>
        </w:rPr>
      </w:pPr>
      <w:r>
        <w:rPr>
          <w:sz w:val="22"/>
          <w:szCs w:val="28"/>
          <w:highlight w:val="none"/>
        </w:rPr>
        <w:t>16.1.1.2 暂时确定调整差额</w:t>
      </w:r>
    </w:p>
    <w:p w14:paraId="0ED293B2">
      <w:pPr>
        <w:spacing w:after="160" w:line="278" w:lineRule="auto"/>
        <w:rPr>
          <w:sz w:val="22"/>
          <w:szCs w:val="28"/>
          <w:highlight w:val="none"/>
        </w:rPr>
      </w:pPr>
      <w:r>
        <w:rPr>
          <w:sz w:val="22"/>
          <w:szCs w:val="28"/>
          <w:highlight w:val="none"/>
        </w:rPr>
        <w:t>在计算调整差额时得不到现行价格指数的，可暂用上一次价格指数计算，并在以后的付款中再按实际价格指数进行调整。</w:t>
      </w:r>
    </w:p>
    <w:p w14:paraId="18968717">
      <w:pPr>
        <w:spacing w:after="160" w:line="278" w:lineRule="auto"/>
        <w:rPr>
          <w:sz w:val="22"/>
          <w:szCs w:val="28"/>
          <w:highlight w:val="none"/>
        </w:rPr>
      </w:pPr>
      <w:r>
        <w:rPr>
          <w:sz w:val="22"/>
          <w:szCs w:val="28"/>
          <w:highlight w:val="none"/>
        </w:rPr>
        <w:t>16.1.1.3 权重的调整</w:t>
      </w:r>
    </w:p>
    <w:p w14:paraId="0692CE96">
      <w:pPr>
        <w:spacing w:after="160" w:line="278" w:lineRule="auto"/>
        <w:rPr>
          <w:sz w:val="22"/>
          <w:szCs w:val="28"/>
          <w:highlight w:val="none"/>
        </w:rPr>
      </w:pPr>
      <w:r>
        <w:rPr>
          <w:sz w:val="22"/>
          <w:szCs w:val="28"/>
          <w:highlight w:val="none"/>
        </w:rPr>
        <w:t>按第15.1款约定的变更导致原定合同中的权重不合理时，由监理人与承包人和发包人协商后进行调整。</w:t>
      </w:r>
    </w:p>
    <w:p w14:paraId="2E79C06D">
      <w:pPr>
        <w:spacing w:after="160" w:line="278" w:lineRule="auto"/>
        <w:rPr>
          <w:sz w:val="22"/>
          <w:szCs w:val="28"/>
          <w:highlight w:val="none"/>
        </w:rPr>
      </w:pPr>
      <w:r>
        <w:rPr>
          <w:sz w:val="22"/>
          <w:szCs w:val="28"/>
          <w:highlight w:val="none"/>
        </w:rPr>
        <w:t>16.1.1.4 承包人工期延误后的价格调整</w:t>
      </w:r>
    </w:p>
    <w:p w14:paraId="10FB681D">
      <w:pPr>
        <w:spacing w:after="160" w:line="278" w:lineRule="auto"/>
        <w:rPr>
          <w:sz w:val="22"/>
          <w:szCs w:val="28"/>
          <w:highlight w:val="none"/>
        </w:rPr>
      </w:pPr>
      <w:r>
        <w:rPr>
          <w:sz w:val="22"/>
          <w:szCs w:val="28"/>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5971D25F">
      <w:pPr>
        <w:spacing w:after="160" w:line="278" w:lineRule="auto"/>
        <w:rPr>
          <w:sz w:val="22"/>
          <w:szCs w:val="28"/>
          <w:highlight w:val="none"/>
        </w:rPr>
      </w:pPr>
      <w:r>
        <w:rPr>
          <w:sz w:val="22"/>
          <w:szCs w:val="28"/>
          <w:highlight w:val="none"/>
        </w:rPr>
        <w:t xml:space="preserve">16.1.2 </w:t>
      </w:r>
      <w:r>
        <w:rPr>
          <w:rFonts w:hint="eastAsia"/>
          <w:sz w:val="22"/>
          <w:szCs w:val="28"/>
          <w:highlight w:val="none"/>
        </w:rPr>
        <w:t>采用造价信息调整价格差额</w:t>
      </w:r>
    </w:p>
    <w:p w14:paraId="15FCF3B9">
      <w:pPr>
        <w:spacing w:after="160" w:line="278" w:lineRule="auto"/>
        <w:rPr>
          <w:sz w:val="22"/>
          <w:szCs w:val="28"/>
          <w:highlight w:val="none"/>
        </w:rPr>
      </w:pPr>
      <w:r>
        <w:rPr>
          <w:sz w:val="22"/>
          <w:szCs w:val="28"/>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26599B9">
      <w:pPr>
        <w:spacing w:after="160" w:line="278" w:lineRule="auto"/>
        <w:rPr>
          <w:sz w:val="22"/>
          <w:szCs w:val="28"/>
          <w:highlight w:val="none"/>
        </w:rPr>
      </w:pPr>
      <w:bookmarkStart w:id="1788" w:name="_Toc109914413"/>
      <w:bookmarkStart w:id="1789" w:name="_Toc132619097"/>
      <w:bookmarkStart w:id="1790" w:name="_Toc152045717"/>
      <w:bookmarkStart w:id="1791" w:name="_Toc142385635"/>
      <w:bookmarkStart w:id="1792" w:name="_Toc132618706"/>
      <w:bookmarkStart w:id="1793" w:name="_Toc129798348"/>
      <w:bookmarkStart w:id="1794" w:name="_Toc144974688"/>
      <w:bookmarkStart w:id="1795" w:name="_Toc342296368"/>
      <w:bookmarkStart w:id="1796" w:name="_Toc152042496"/>
      <w:bookmarkStart w:id="1797" w:name="_Toc338944810"/>
      <w:bookmarkStart w:id="1798" w:name="_Toc179632735"/>
      <w:r>
        <w:rPr>
          <w:sz w:val="22"/>
          <w:szCs w:val="28"/>
          <w:highlight w:val="none"/>
        </w:rPr>
        <w:t>16.2 法律变化引起的价格调整</w:t>
      </w:r>
      <w:bookmarkEnd w:id="1788"/>
      <w:bookmarkEnd w:id="1789"/>
      <w:bookmarkEnd w:id="1790"/>
      <w:bookmarkEnd w:id="1791"/>
      <w:bookmarkEnd w:id="1792"/>
      <w:bookmarkEnd w:id="1793"/>
      <w:bookmarkEnd w:id="1794"/>
      <w:bookmarkEnd w:id="1795"/>
      <w:bookmarkEnd w:id="1796"/>
      <w:bookmarkEnd w:id="1797"/>
      <w:bookmarkEnd w:id="1798"/>
    </w:p>
    <w:p w14:paraId="587BFC15">
      <w:pPr>
        <w:spacing w:after="160" w:line="278" w:lineRule="auto"/>
        <w:rPr>
          <w:sz w:val="22"/>
          <w:szCs w:val="28"/>
          <w:highlight w:val="none"/>
        </w:rPr>
      </w:pPr>
      <w:r>
        <w:rPr>
          <w:sz w:val="22"/>
          <w:szCs w:val="28"/>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1C15659">
      <w:pPr>
        <w:spacing w:after="160" w:line="278" w:lineRule="auto"/>
        <w:rPr>
          <w:sz w:val="22"/>
          <w:szCs w:val="28"/>
          <w:highlight w:val="none"/>
        </w:rPr>
      </w:pPr>
      <w:bookmarkStart w:id="1799" w:name="_Toc448758538"/>
      <w:bookmarkStart w:id="1800" w:name="_Toc442365630"/>
      <w:bookmarkStart w:id="1801" w:name="_Toc338944811"/>
      <w:bookmarkStart w:id="1802" w:name="_Toc129798349"/>
      <w:bookmarkStart w:id="1803" w:name="_Toc109914414"/>
      <w:bookmarkStart w:id="1804" w:name="_Toc132619098"/>
      <w:bookmarkStart w:id="1805" w:name="_Toc132618707"/>
      <w:bookmarkStart w:id="1806" w:name="_Toc142385636"/>
      <w:bookmarkStart w:id="1807" w:name="_Toc469660033"/>
      <w:bookmarkStart w:id="1808" w:name="_Toc342296369"/>
      <w:bookmarkStart w:id="1809" w:name="_Toc448758438"/>
      <w:r>
        <w:rPr>
          <w:sz w:val="22"/>
          <w:szCs w:val="28"/>
          <w:highlight w:val="none"/>
        </w:rPr>
        <w:t>17. 计量与支付</w:t>
      </w:r>
      <w:bookmarkEnd w:id="1799"/>
      <w:bookmarkEnd w:id="1800"/>
      <w:bookmarkEnd w:id="1801"/>
      <w:bookmarkEnd w:id="1802"/>
      <w:bookmarkEnd w:id="1803"/>
      <w:bookmarkEnd w:id="1804"/>
      <w:bookmarkEnd w:id="1805"/>
      <w:bookmarkEnd w:id="1806"/>
      <w:bookmarkEnd w:id="1807"/>
      <w:bookmarkEnd w:id="1808"/>
      <w:bookmarkEnd w:id="1809"/>
    </w:p>
    <w:p w14:paraId="33F1F04E">
      <w:pPr>
        <w:spacing w:after="160" w:line="278" w:lineRule="auto"/>
        <w:rPr>
          <w:sz w:val="22"/>
          <w:szCs w:val="28"/>
          <w:highlight w:val="none"/>
        </w:rPr>
      </w:pPr>
      <w:bookmarkStart w:id="1810" w:name="_Toc129798350"/>
      <w:bookmarkStart w:id="1811" w:name="_Toc132618708"/>
      <w:bookmarkStart w:id="1812" w:name="_Toc342296370"/>
      <w:bookmarkStart w:id="1813" w:name="_Toc338944812"/>
      <w:bookmarkStart w:id="1814" w:name="_Toc132619099"/>
      <w:bookmarkStart w:id="1815" w:name="_Toc142385637"/>
      <w:bookmarkStart w:id="1816" w:name="_Toc109914415"/>
      <w:r>
        <w:rPr>
          <w:sz w:val="22"/>
          <w:szCs w:val="28"/>
          <w:highlight w:val="none"/>
        </w:rPr>
        <w:t>17.1 计量</w:t>
      </w:r>
      <w:bookmarkEnd w:id="1810"/>
      <w:bookmarkEnd w:id="1811"/>
      <w:bookmarkEnd w:id="1812"/>
      <w:bookmarkEnd w:id="1813"/>
      <w:bookmarkEnd w:id="1814"/>
      <w:bookmarkEnd w:id="1815"/>
      <w:bookmarkEnd w:id="1816"/>
    </w:p>
    <w:p w14:paraId="4647184C">
      <w:pPr>
        <w:spacing w:after="160" w:line="278" w:lineRule="auto"/>
        <w:rPr>
          <w:sz w:val="22"/>
          <w:szCs w:val="28"/>
          <w:highlight w:val="none"/>
        </w:rPr>
      </w:pPr>
      <w:r>
        <w:rPr>
          <w:sz w:val="22"/>
          <w:szCs w:val="28"/>
          <w:highlight w:val="none"/>
        </w:rPr>
        <w:t xml:space="preserve">17.1.1 </w:t>
      </w:r>
      <w:r>
        <w:rPr>
          <w:rFonts w:hint="eastAsia"/>
          <w:sz w:val="22"/>
          <w:szCs w:val="28"/>
          <w:highlight w:val="none"/>
        </w:rPr>
        <w:t>计量单位</w:t>
      </w:r>
    </w:p>
    <w:p w14:paraId="0E87184D">
      <w:pPr>
        <w:spacing w:after="160" w:line="278" w:lineRule="auto"/>
        <w:rPr>
          <w:sz w:val="22"/>
          <w:szCs w:val="28"/>
          <w:highlight w:val="none"/>
        </w:rPr>
      </w:pPr>
      <w:r>
        <w:rPr>
          <w:sz w:val="22"/>
          <w:szCs w:val="28"/>
          <w:highlight w:val="none"/>
        </w:rPr>
        <w:t>计量采用国家法定的计量单位。</w:t>
      </w:r>
    </w:p>
    <w:p w14:paraId="100627C6">
      <w:pPr>
        <w:spacing w:after="160" w:line="278" w:lineRule="auto"/>
        <w:rPr>
          <w:sz w:val="22"/>
          <w:szCs w:val="28"/>
          <w:highlight w:val="none"/>
        </w:rPr>
      </w:pPr>
      <w:r>
        <w:rPr>
          <w:sz w:val="22"/>
          <w:szCs w:val="28"/>
          <w:highlight w:val="none"/>
        </w:rPr>
        <w:t xml:space="preserve">17.1.2 </w:t>
      </w:r>
      <w:r>
        <w:rPr>
          <w:rFonts w:hint="eastAsia"/>
          <w:sz w:val="22"/>
          <w:szCs w:val="28"/>
          <w:highlight w:val="none"/>
        </w:rPr>
        <w:t>计量方法</w:t>
      </w:r>
    </w:p>
    <w:p w14:paraId="5D563733">
      <w:pPr>
        <w:spacing w:after="160" w:line="278" w:lineRule="auto"/>
        <w:rPr>
          <w:sz w:val="22"/>
          <w:szCs w:val="28"/>
          <w:highlight w:val="none"/>
        </w:rPr>
      </w:pPr>
      <w:r>
        <w:rPr>
          <w:sz w:val="22"/>
          <w:szCs w:val="28"/>
          <w:highlight w:val="none"/>
        </w:rPr>
        <w:t>工程量清单中的工程量计算规则应按有关国家标准、行业标准的规定，并在合同中约定执行。</w:t>
      </w:r>
    </w:p>
    <w:p w14:paraId="06D4DA46">
      <w:pPr>
        <w:spacing w:after="160" w:line="278" w:lineRule="auto"/>
        <w:rPr>
          <w:sz w:val="22"/>
          <w:szCs w:val="28"/>
          <w:highlight w:val="none"/>
        </w:rPr>
      </w:pPr>
      <w:r>
        <w:rPr>
          <w:sz w:val="22"/>
          <w:szCs w:val="28"/>
          <w:highlight w:val="none"/>
        </w:rPr>
        <w:t xml:space="preserve">17.1.3 </w:t>
      </w:r>
      <w:r>
        <w:rPr>
          <w:rFonts w:hint="eastAsia"/>
          <w:sz w:val="22"/>
          <w:szCs w:val="28"/>
          <w:highlight w:val="none"/>
        </w:rPr>
        <w:t>计量周期</w:t>
      </w:r>
    </w:p>
    <w:p w14:paraId="4B101BBE">
      <w:pPr>
        <w:spacing w:after="160" w:line="278" w:lineRule="auto"/>
        <w:rPr>
          <w:sz w:val="22"/>
          <w:szCs w:val="28"/>
          <w:highlight w:val="none"/>
        </w:rPr>
      </w:pPr>
      <w:r>
        <w:rPr>
          <w:sz w:val="22"/>
          <w:szCs w:val="28"/>
          <w:highlight w:val="none"/>
        </w:rPr>
        <w:t>除专用合同条款另有约定外，单价子目已完成工程量按月计量，总价子目的计量周期按批准的支付分解报告确定。</w:t>
      </w:r>
    </w:p>
    <w:p w14:paraId="6B217C10">
      <w:pPr>
        <w:spacing w:after="160" w:line="278" w:lineRule="auto"/>
        <w:rPr>
          <w:sz w:val="22"/>
          <w:szCs w:val="28"/>
          <w:highlight w:val="none"/>
        </w:rPr>
      </w:pPr>
      <w:r>
        <w:rPr>
          <w:sz w:val="22"/>
          <w:szCs w:val="28"/>
          <w:highlight w:val="none"/>
        </w:rPr>
        <w:t xml:space="preserve">17.1.4 </w:t>
      </w:r>
      <w:r>
        <w:rPr>
          <w:rFonts w:hint="eastAsia"/>
          <w:sz w:val="22"/>
          <w:szCs w:val="28"/>
          <w:highlight w:val="none"/>
        </w:rPr>
        <w:t>单价子目的计量</w:t>
      </w:r>
    </w:p>
    <w:p w14:paraId="6C3BCBB6">
      <w:pPr>
        <w:spacing w:after="160" w:line="278" w:lineRule="auto"/>
        <w:rPr>
          <w:sz w:val="22"/>
          <w:szCs w:val="28"/>
          <w:highlight w:val="none"/>
        </w:rPr>
      </w:pPr>
      <w:r>
        <w:rPr>
          <w:sz w:val="22"/>
          <w:szCs w:val="28"/>
          <w:highlight w:val="none"/>
        </w:rPr>
        <w:t>（1）已标价工程量清单中的单价子目工程量为估算工程量。结算工程量是承包人实际完成的，并按合同约定的计量方法进行计量的工程量。</w:t>
      </w:r>
    </w:p>
    <w:p w14:paraId="7026716A">
      <w:pPr>
        <w:spacing w:after="160" w:line="278" w:lineRule="auto"/>
        <w:rPr>
          <w:sz w:val="22"/>
          <w:szCs w:val="28"/>
          <w:highlight w:val="none"/>
        </w:rPr>
      </w:pPr>
      <w:r>
        <w:rPr>
          <w:sz w:val="22"/>
          <w:szCs w:val="28"/>
          <w:highlight w:val="none"/>
        </w:rPr>
        <w:t>（2）承包人对已完成的工程进行计量，向监理人提交进度付款申请单、已完成工程量报表和有关计量资料。</w:t>
      </w:r>
    </w:p>
    <w:p w14:paraId="627CE833">
      <w:pPr>
        <w:spacing w:after="160" w:line="278" w:lineRule="auto"/>
        <w:rPr>
          <w:sz w:val="22"/>
          <w:szCs w:val="28"/>
          <w:highlight w:val="none"/>
        </w:rPr>
      </w:pPr>
      <w:r>
        <w:rPr>
          <w:sz w:val="22"/>
          <w:szCs w:val="28"/>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89F5FBF">
      <w:pPr>
        <w:spacing w:after="160" w:line="278" w:lineRule="auto"/>
        <w:rPr>
          <w:sz w:val="22"/>
          <w:szCs w:val="28"/>
          <w:highlight w:val="none"/>
        </w:rPr>
      </w:pPr>
      <w:r>
        <w:rPr>
          <w:sz w:val="22"/>
          <w:szCs w:val="28"/>
          <w:highlight w:val="none"/>
        </w:rPr>
        <w:t>（4）监理人认为有必要时，可通知承包人共同进行联合测量、计量，承包人应遵照执行。</w:t>
      </w:r>
    </w:p>
    <w:p w14:paraId="7D1938D8">
      <w:pPr>
        <w:spacing w:after="160" w:line="278" w:lineRule="auto"/>
        <w:rPr>
          <w:sz w:val="22"/>
          <w:szCs w:val="28"/>
          <w:highlight w:val="none"/>
        </w:rPr>
      </w:pPr>
      <w:r>
        <w:rPr>
          <w:sz w:val="22"/>
          <w:szCs w:val="28"/>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833503E">
      <w:pPr>
        <w:spacing w:after="160" w:line="278" w:lineRule="auto"/>
        <w:rPr>
          <w:sz w:val="22"/>
          <w:szCs w:val="28"/>
          <w:highlight w:val="none"/>
        </w:rPr>
      </w:pPr>
      <w:r>
        <w:rPr>
          <w:sz w:val="22"/>
          <w:szCs w:val="28"/>
          <w:highlight w:val="none"/>
        </w:rPr>
        <w:t>（6）监理人应在收到承包人提交的工程量报表后的7天内进行复核，监理人未在约定时间内复核的，承包人提交的工程量报表中的工程量视为承包人实际完成的工程量，据此计算工程价款。</w:t>
      </w:r>
    </w:p>
    <w:p w14:paraId="6683529C">
      <w:pPr>
        <w:spacing w:after="160" w:line="278" w:lineRule="auto"/>
        <w:rPr>
          <w:sz w:val="22"/>
          <w:szCs w:val="28"/>
          <w:highlight w:val="none"/>
        </w:rPr>
      </w:pPr>
      <w:r>
        <w:rPr>
          <w:sz w:val="22"/>
          <w:szCs w:val="28"/>
          <w:highlight w:val="none"/>
        </w:rPr>
        <w:t xml:space="preserve">17.1.5 </w:t>
      </w:r>
      <w:r>
        <w:rPr>
          <w:rFonts w:hint="eastAsia"/>
          <w:sz w:val="22"/>
          <w:szCs w:val="28"/>
          <w:highlight w:val="none"/>
        </w:rPr>
        <w:t>总价子目的计量</w:t>
      </w:r>
    </w:p>
    <w:p w14:paraId="4F2818B4">
      <w:pPr>
        <w:spacing w:after="160" w:line="278" w:lineRule="auto"/>
        <w:rPr>
          <w:sz w:val="22"/>
          <w:szCs w:val="28"/>
          <w:highlight w:val="none"/>
        </w:rPr>
      </w:pPr>
      <w:r>
        <w:rPr>
          <w:sz w:val="22"/>
          <w:szCs w:val="28"/>
          <w:highlight w:val="none"/>
        </w:rPr>
        <w:t>除专用合同条款另有约定外，总价子目的分解和计量按照下述约定进行。</w:t>
      </w:r>
    </w:p>
    <w:p w14:paraId="76C6ABB1">
      <w:pPr>
        <w:spacing w:after="160" w:line="278" w:lineRule="auto"/>
        <w:rPr>
          <w:sz w:val="22"/>
          <w:szCs w:val="28"/>
          <w:highlight w:val="none"/>
        </w:rPr>
      </w:pPr>
      <w:r>
        <w:rPr>
          <w:sz w:val="22"/>
          <w:szCs w:val="28"/>
          <w:highlight w:val="none"/>
        </w:rPr>
        <w:t>（1）总价子目的计量和支付应以总价为基础，不因第16.1款中的因素而进行调整。承包人实际完成的工程量，是进行工程目标管理和控制进度支付的依据。</w:t>
      </w:r>
    </w:p>
    <w:p w14:paraId="6A9A431E">
      <w:pPr>
        <w:spacing w:after="160" w:line="278" w:lineRule="auto"/>
        <w:rPr>
          <w:sz w:val="22"/>
          <w:szCs w:val="28"/>
          <w:highlight w:val="none"/>
        </w:rPr>
      </w:pPr>
      <w:r>
        <w:rPr>
          <w:sz w:val="22"/>
          <w:szCs w:val="28"/>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9510694">
      <w:pPr>
        <w:spacing w:after="160" w:line="278" w:lineRule="auto"/>
        <w:rPr>
          <w:sz w:val="22"/>
          <w:szCs w:val="28"/>
          <w:highlight w:val="none"/>
        </w:rPr>
      </w:pPr>
      <w:r>
        <w:rPr>
          <w:sz w:val="22"/>
          <w:szCs w:val="28"/>
          <w:highlight w:val="none"/>
        </w:rPr>
        <w:t>（3）监理人对承包人提交的上述资料进行复核，以确定分阶段实际完成的工程量和工程形象目标。对其有异议的，可要求承包人按第8.2款约定进行共同复核和抽样复测。</w:t>
      </w:r>
    </w:p>
    <w:p w14:paraId="2EFBA2B0">
      <w:pPr>
        <w:spacing w:after="160" w:line="278" w:lineRule="auto"/>
        <w:rPr>
          <w:sz w:val="22"/>
          <w:szCs w:val="28"/>
          <w:highlight w:val="none"/>
        </w:rPr>
      </w:pPr>
      <w:r>
        <w:rPr>
          <w:sz w:val="22"/>
          <w:szCs w:val="28"/>
          <w:highlight w:val="none"/>
        </w:rPr>
        <w:t xml:space="preserve">（4）除按照第15条约定的变更外，总价子目的工程量是承包人用于结算的最终工程量。 </w:t>
      </w:r>
    </w:p>
    <w:p w14:paraId="6571B864">
      <w:pPr>
        <w:spacing w:after="160" w:line="278" w:lineRule="auto"/>
        <w:rPr>
          <w:sz w:val="22"/>
          <w:szCs w:val="28"/>
          <w:highlight w:val="none"/>
        </w:rPr>
      </w:pPr>
      <w:bookmarkStart w:id="1817" w:name="_Toc132618709"/>
      <w:bookmarkStart w:id="1818" w:name="_Toc129798351"/>
      <w:bookmarkStart w:id="1819" w:name="_Toc338944813"/>
      <w:bookmarkStart w:id="1820" w:name="_Toc109914416"/>
      <w:bookmarkStart w:id="1821" w:name="_Toc132619100"/>
      <w:bookmarkStart w:id="1822" w:name="_Toc142385638"/>
      <w:bookmarkStart w:id="1823" w:name="_Toc342296371"/>
      <w:r>
        <w:rPr>
          <w:sz w:val="22"/>
          <w:szCs w:val="28"/>
          <w:highlight w:val="none"/>
        </w:rPr>
        <w:t>17.2 预付款</w:t>
      </w:r>
      <w:bookmarkEnd w:id="1817"/>
      <w:bookmarkEnd w:id="1818"/>
      <w:bookmarkEnd w:id="1819"/>
      <w:bookmarkEnd w:id="1820"/>
      <w:bookmarkEnd w:id="1821"/>
      <w:bookmarkEnd w:id="1822"/>
      <w:bookmarkEnd w:id="1823"/>
    </w:p>
    <w:p w14:paraId="6074AAEC">
      <w:pPr>
        <w:spacing w:after="160" w:line="278" w:lineRule="auto"/>
        <w:rPr>
          <w:sz w:val="22"/>
          <w:szCs w:val="28"/>
          <w:highlight w:val="none"/>
        </w:rPr>
      </w:pPr>
      <w:r>
        <w:rPr>
          <w:sz w:val="22"/>
          <w:szCs w:val="28"/>
          <w:highlight w:val="none"/>
        </w:rPr>
        <w:t xml:space="preserve">17.2.1 </w:t>
      </w:r>
      <w:r>
        <w:rPr>
          <w:rFonts w:hint="eastAsia"/>
          <w:sz w:val="22"/>
          <w:szCs w:val="28"/>
          <w:highlight w:val="none"/>
        </w:rPr>
        <w:t>预付款</w:t>
      </w:r>
    </w:p>
    <w:p w14:paraId="5BAD8F64">
      <w:pPr>
        <w:spacing w:after="160" w:line="278" w:lineRule="auto"/>
        <w:rPr>
          <w:sz w:val="22"/>
          <w:szCs w:val="28"/>
          <w:highlight w:val="none"/>
        </w:rPr>
      </w:pPr>
      <w:r>
        <w:rPr>
          <w:sz w:val="22"/>
          <w:szCs w:val="28"/>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7612234E">
      <w:pPr>
        <w:spacing w:after="160" w:line="278" w:lineRule="auto"/>
        <w:rPr>
          <w:sz w:val="22"/>
          <w:szCs w:val="28"/>
          <w:highlight w:val="none"/>
        </w:rPr>
      </w:pPr>
      <w:r>
        <w:rPr>
          <w:sz w:val="22"/>
          <w:szCs w:val="28"/>
          <w:highlight w:val="none"/>
        </w:rPr>
        <w:t xml:space="preserve">17.2.2 </w:t>
      </w:r>
      <w:r>
        <w:rPr>
          <w:rFonts w:hint="eastAsia"/>
          <w:sz w:val="22"/>
          <w:szCs w:val="28"/>
          <w:highlight w:val="none"/>
        </w:rPr>
        <w:t>预付款保函</w:t>
      </w:r>
    </w:p>
    <w:p w14:paraId="3C635FF7">
      <w:pPr>
        <w:spacing w:after="160" w:line="278" w:lineRule="auto"/>
        <w:rPr>
          <w:sz w:val="22"/>
          <w:szCs w:val="28"/>
          <w:highlight w:val="none"/>
        </w:rPr>
      </w:pPr>
      <w:r>
        <w:rPr>
          <w:sz w:val="22"/>
          <w:szCs w:val="28"/>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0F6C1E64">
      <w:pPr>
        <w:spacing w:after="160" w:line="278" w:lineRule="auto"/>
        <w:rPr>
          <w:sz w:val="22"/>
          <w:szCs w:val="28"/>
          <w:highlight w:val="none"/>
        </w:rPr>
      </w:pPr>
      <w:r>
        <w:rPr>
          <w:sz w:val="22"/>
          <w:szCs w:val="28"/>
          <w:highlight w:val="none"/>
        </w:rPr>
        <w:t xml:space="preserve">17.2.3 </w:t>
      </w:r>
      <w:r>
        <w:rPr>
          <w:rFonts w:hint="eastAsia"/>
          <w:sz w:val="22"/>
          <w:szCs w:val="28"/>
          <w:highlight w:val="none"/>
        </w:rPr>
        <w:t>预付款的扣回与还清</w:t>
      </w:r>
    </w:p>
    <w:p w14:paraId="50B51DD4">
      <w:pPr>
        <w:spacing w:after="160" w:line="278" w:lineRule="auto"/>
        <w:rPr>
          <w:sz w:val="22"/>
          <w:szCs w:val="28"/>
          <w:highlight w:val="none"/>
        </w:rPr>
      </w:pPr>
      <w:r>
        <w:rPr>
          <w:sz w:val="22"/>
          <w:szCs w:val="28"/>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6410408F">
      <w:pPr>
        <w:spacing w:after="160" w:line="278" w:lineRule="auto"/>
        <w:rPr>
          <w:sz w:val="22"/>
          <w:szCs w:val="28"/>
          <w:highlight w:val="none"/>
        </w:rPr>
      </w:pPr>
      <w:bookmarkStart w:id="1824" w:name="_Toc142385639"/>
      <w:bookmarkStart w:id="1825" w:name="_Toc342296372"/>
      <w:bookmarkStart w:id="1826" w:name="_Toc132619101"/>
      <w:bookmarkStart w:id="1827" w:name="_Toc338944814"/>
      <w:bookmarkStart w:id="1828" w:name="_Toc132618710"/>
      <w:bookmarkStart w:id="1829" w:name="_Toc109914417"/>
      <w:bookmarkStart w:id="1830" w:name="_Toc129798352"/>
      <w:r>
        <w:rPr>
          <w:sz w:val="22"/>
          <w:szCs w:val="28"/>
          <w:highlight w:val="none"/>
        </w:rPr>
        <w:t>17.3 工程进度付款</w:t>
      </w:r>
      <w:bookmarkEnd w:id="1824"/>
      <w:bookmarkEnd w:id="1825"/>
      <w:bookmarkEnd w:id="1826"/>
      <w:bookmarkEnd w:id="1827"/>
      <w:bookmarkEnd w:id="1828"/>
      <w:bookmarkEnd w:id="1829"/>
      <w:bookmarkEnd w:id="1830"/>
    </w:p>
    <w:p w14:paraId="22756970">
      <w:pPr>
        <w:spacing w:after="160" w:line="278" w:lineRule="auto"/>
        <w:rPr>
          <w:sz w:val="22"/>
          <w:szCs w:val="28"/>
          <w:highlight w:val="none"/>
        </w:rPr>
      </w:pPr>
      <w:r>
        <w:rPr>
          <w:sz w:val="22"/>
          <w:szCs w:val="28"/>
          <w:highlight w:val="none"/>
        </w:rPr>
        <w:t xml:space="preserve">17.3.1 </w:t>
      </w:r>
      <w:r>
        <w:rPr>
          <w:rFonts w:hint="eastAsia"/>
          <w:sz w:val="22"/>
          <w:szCs w:val="28"/>
          <w:highlight w:val="none"/>
        </w:rPr>
        <w:t>付款周期</w:t>
      </w:r>
    </w:p>
    <w:p w14:paraId="7DD1A6E5">
      <w:pPr>
        <w:spacing w:after="160" w:line="278" w:lineRule="auto"/>
        <w:rPr>
          <w:sz w:val="22"/>
          <w:szCs w:val="28"/>
          <w:highlight w:val="none"/>
        </w:rPr>
      </w:pPr>
      <w:r>
        <w:rPr>
          <w:sz w:val="22"/>
          <w:szCs w:val="28"/>
          <w:highlight w:val="none"/>
        </w:rPr>
        <w:t>付款周期同计量周期。</w:t>
      </w:r>
    </w:p>
    <w:p w14:paraId="45D2A468">
      <w:pPr>
        <w:spacing w:after="160" w:line="278" w:lineRule="auto"/>
        <w:rPr>
          <w:sz w:val="22"/>
          <w:szCs w:val="28"/>
          <w:highlight w:val="none"/>
        </w:rPr>
      </w:pPr>
      <w:r>
        <w:rPr>
          <w:sz w:val="22"/>
          <w:szCs w:val="28"/>
          <w:highlight w:val="none"/>
        </w:rPr>
        <w:t xml:space="preserve">17.3.2 </w:t>
      </w:r>
      <w:r>
        <w:rPr>
          <w:rFonts w:hint="eastAsia"/>
          <w:sz w:val="22"/>
          <w:szCs w:val="28"/>
          <w:highlight w:val="none"/>
        </w:rPr>
        <w:t>进度付款申请单</w:t>
      </w:r>
    </w:p>
    <w:p w14:paraId="0D353638">
      <w:pPr>
        <w:spacing w:after="160" w:line="278" w:lineRule="auto"/>
        <w:rPr>
          <w:sz w:val="22"/>
          <w:szCs w:val="28"/>
          <w:highlight w:val="none"/>
        </w:rPr>
      </w:pPr>
      <w:r>
        <w:rPr>
          <w:sz w:val="22"/>
          <w:szCs w:val="28"/>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ACD14E6">
      <w:pPr>
        <w:spacing w:after="160" w:line="278" w:lineRule="auto"/>
        <w:rPr>
          <w:sz w:val="22"/>
          <w:szCs w:val="28"/>
          <w:highlight w:val="none"/>
        </w:rPr>
      </w:pPr>
      <w:r>
        <w:rPr>
          <w:sz w:val="22"/>
          <w:szCs w:val="28"/>
          <w:highlight w:val="none"/>
        </w:rPr>
        <w:t>（1）截至本次付款周期末已实施工程的价款；</w:t>
      </w:r>
    </w:p>
    <w:p w14:paraId="5581F685">
      <w:pPr>
        <w:spacing w:after="160" w:line="278" w:lineRule="auto"/>
        <w:rPr>
          <w:sz w:val="22"/>
          <w:szCs w:val="28"/>
          <w:highlight w:val="none"/>
        </w:rPr>
      </w:pPr>
      <w:r>
        <w:rPr>
          <w:sz w:val="22"/>
          <w:szCs w:val="28"/>
          <w:highlight w:val="none"/>
        </w:rPr>
        <w:t>（2）根据第15条应增加和扣减的变更金额；</w:t>
      </w:r>
    </w:p>
    <w:p w14:paraId="1EF657D9">
      <w:pPr>
        <w:spacing w:after="160" w:line="278" w:lineRule="auto"/>
        <w:rPr>
          <w:sz w:val="22"/>
          <w:szCs w:val="28"/>
          <w:highlight w:val="none"/>
        </w:rPr>
      </w:pPr>
      <w:r>
        <w:rPr>
          <w:sz w:val="22"/>
          <w:szCs w:val="28"/>
          <w:highlight w:val="none"/>
        </w:rPr>
        <w:t>（3）根据第23条应增加和扣减的索赔金额；</w:t>
      </w:r>
    </w:p>
    <w:p w14:paraId="24A9CA5D">
      <w:pPr>
        <w:spacing w:after="160" w:line="278" w:lineRule="auto"/>
        <w:rPr>
          <w:sz w:val="22"/>
          <w:szCs w:val="28"/>
          <w:highlight w:val="none"/>
        </w:rPr>
      </w:pPr>
      <w:r>
        <w:rPr>
          <w:sz w:val="22"/>
          <w:szCs w:val="28"/>
          <w:highlight w:val="none"/>
        </w:rPr>
        <w:t>（4）根据第17.2款约定应支付的预付款和扣减的返还预付款；</w:t>
      </w:r>
    </w:p>
    <w:p w14:paraId="66E329E9">
      <w:pPr>
        <w:spacing w:after="160" w:line="278" w:lineRule="auto"/>
        <w:rPr>
          <w:sz w:val="22"/>
          <w:szCs w:val="28"/>
          <w:highlight w:val="none"/>
        </w:rPr>
      </w:pPr>
      <w:r>
        <w:rPr>
          <w:sz w:val="22"/>
          <w:szCs w:val="28"/>
          <w:highlight w:val="none"/>
        </w:rPr>
        <w:t>（5）根据第17.4.1项约定应扣减的质量保证金；</w:t>
      </w:r>
    </w:p>
    <w:p w14:paraId="24697D94">
      <w:pPr>
        <w:spacing w:after="160" w:line="278" w:lineRule="auto"/>
        <w:rPr>
          <w:sz w:val="22"/>
          <w:szCs w:val="28"/>
          <w:highlight w:val="none"/>
        </w:rPr>
      </w:pPr>
      <w:r>
        <w:rPr>
          <w:sz w:val="22"/>
          <w:szCs w:val="28"/>
          <w:highlight w:val="none"/>
        </w:rPr>
        <w:t>（6）根据合同应增加和扣减的其他金额。</w:t>
      </w:r>
    </w:p>
    <w:p w14:paraId="64C52F19">
      <w:pPr>
        <w:spacing w:after="160" w:line="278" w:lineRule="auto"/>
        <w:rPr>
          <w:sz w:val="22"/>
          <w:szCs w:val="28"/>
          <w:highlight w:val="none"/>
        </w:rPr>
      </w:pPr>
      <w:r>
        <w:rPr>
          <w:sz w:val="22"/>
          <w:szCs w:val="28"/>
          <w:highlight w:val="none"/>
        </w:rPr>
        <w:t xml:space="preserve">17.3.3 </w:t>
      </w:r>
      <w:r>
        <w:rPr>
          <w:rFonts w:hint="eastAsia"/>
          <w:sz w:val="22"/>
          <w:szCs w:val="28"/>
          <w:highlight w:val="none"/>
        </w:rPr>
        <w:t>进度付款证书和支付时间</w:t>
      </w:r>
    </w:p>
    <w:p w14:paraId="6EDC8931">
      <w:pPr>
        <w:spacing w:after="160" w:line="278" w:lineRule="auto"/>
        <w:rPr>
          <w:sz w:val="22"/>
          <w:szCs w:val="28"/>
          <w:highlight w:val="none"/>
        </w:rPr>
      </w:pPr>
      <w:r>
        <w:rPr>
          <w:sz w:val="22"/>
          <w:szCs w:val="28"/>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932C20A">
      <w:pPr>
        <w:spacing w:after="160" w:line="278" w:lineRule="auto"/>
        <w:rPr>
          <w:sz w:val="22"/>
          <w:szCs w:val="28"/>
          <w:highlight w:val="none"/>
        </w:rPr>
      </w:pPr>
      <w:r>
        <w:rPr>
          <w:sz w:val="22"/>
          <w:szCs w:val="28"/>
          <w:highlight w:val="none"/>
        </w:rPr>
        <w:t>（2）发包人应在监理人收到进度付款申请单后的28天内，将进度应付款支付给承包人。发包人不按期支付的，按专用合同条款的约定支付逾期付款违约金。</w:t>
      </w:r>
    </w:p>
    <w:p w14:paraId="72F7E687">
      <w:pPr>
        <w:spacing w:after="160" w:line="278" w:lineRule="auto"/>
        <w:rPr>
          <w:sz w:val="22"/>
          <w:szCs w:val="28"/>
          <w:highlight w:val="none"/>
        </w:rPr>
      </w:pPr>
      <w:r>
        <w:rPr>
          <w:sz w:val="22"/>
          <w:szCs w:val="28"/>
          <w:highlight w:val="none"/>
        </w:rPr>
        <w:t>（3）监理人出具进度付款证书，不应视为监理人已同意、批准或接受了承包人完成的该部分工作。</w:t>
      </w:r>
    </w:p>
    <w:p w14:paraId="5C058885">
      <w:pPr>
        <w:spacing w:after="160" w:line="278" w:lineRule="auto"/>
        <w:rPr>
          <w:sz w:val="22"/>
          <w:szCs w:val="28"/>
          <w:highlight w:val="none"/>
        </w:rPr>
      </w:pPr>
      <w:r>
        <w:rPr>
          <w:sz w:val="22"/>
          <w:szCs w:val="28"/>
          <w:highlight w:val="none"/>
        </w:rPr>
        <w:t>（4）进度付款涉及政府投资资金的，按照国库集中支付等国家相关规定和专用合同条款的约定办理。</w:t>
      </w:r>
    </w:p>
    <w:p w14:paraId="5A2BBDC4">
      <w:pPr>
        <w:spacing w:after="160" w:line="278" w:lineRule="auto"/>
        <w:rPr>
          <w:sz w:val="22"/>
          <w:szCs w:val="28"/>
          <w:highlight w:val="none"/>
        </w:rPr>
      </w:pPr>
      <w:r>
        <w:rPr>
          <w:sz w:val="22"/>
          <w:szCs w:val="28"/>
          <w:highlight w:val="none"/>
        </w:rPr>
        <w:t xml:space="preserve">17.3.4 </w:t>
      </w:r>
      <w:r>
        <w:rPr>
          <w:rFonts w:hint="eastAsia"/>
          <w:sz w:val="22"/>
          <w:szCs w:val="28"/>
          <w:highlight w:val="none"/>
        </w:rPr>
        <w:t>工程进度付款的修正</w:t>
      </w:r>
    </w:p>
    <w:p w14:paraId="08AC9307">
      <w:pPr>
        <w:spacing w:after="160" w:line="278" w:lineRule="auto"/>
        <w:rPr>
          <w:sz w:val="22"/>
          <w:szCs w:val="28"/>
          <w:highlight w:val="none"/>
        </w:rPr>
      </w:pPr>
      <w:r>
        <w:rPr>
          <w:sz w:val="22"/>
          <w:szCs w:val="28"/>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0F606BAD">
      <w:pPr>
        <w:spacing w:after="160" w:line="278" w:lineRule="auto"/>
        <w:rPr>
          <w:sz w:val="22"/>
          <w:szCs w:val="28"/>
          <w:highlight w:val="none"/>
        </w:rPr>
      </w:pPr>
      <w:bookmarkStart w:id="1831" w:name="_Toc129798353"/>
      <w:bookmarkStart w:id="1832" w:name="_Toc132619102"/>
      <w:bookmarkStart w:id="1833" w:name="_Toc109914418"/>
      <w:bookmarkStart w:id="1834" w:name="_Toc142385640"/>
      <w:bookmarkStart w:id="1835" w:name="_Toc132618711"/>
      <w:bookmarkStart w:id="1836" w:name="_Toc338944815"/>
      <w:bookmarkStart w:id="1837" w:name="_Toc342296373"/>
      <w:r>
        <w:rPr>
          <w:sz w:val="22"/>
          <w:szCs w:val="28"/>
          <w:highlight w:val="none"/>
        </w:rPr>
        <w:t>17.4 质量保证金</w:t>
      </w:r>
      <w:bookmarkEnd w:id="1831"/>
      <w:bookmarkEnd w:id="1832"/>
      <w:bookmarkEnd w:id="1833"/>
      <w:bookmarkEnd w:id="1834"/>
      <w:bookmarkEnd w:id="1835"/>
      <w:bookmarkEnd w:id="1836"/>
      <w:bookmarkEnd w:id="1837"/>
    </w:p>
    <w:p w14:paraId="4AE032C0">
      <w:pPr>
        <w:spacing w:after="160" w:line="278" w:lineRule="auto"/>
        <w:rPr>
          <w:sz w:val="22"/>
          <w:szCs w:val="28"/>
          <w:highlight w:val="none"/>
        </w:rPr>
      </w:pPr>
      <w:r>
        <w:rPr>
          <w:sz w:val="22"/>
          <w:szCs w:val="28"/>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139F3EC">
      <w:pPr>
        <w:spacing w:after="160" w:line="278" w:lineRule="auto"/>
        <w:rPr>
          <w:sz w:val="22"/>
          <w:szCs w:val="28"/>
          <w:highlight w:val="none"/>
        </w:rPr>
      </w:pPr>
      <w:r>
        <w:rPr>
          <w:sz w:val="22"/>
          <w:szCs w:val="28"/>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892C348">
      <w:pPr>
        <w:spacing w:after="160" w:line="278" w:lineRule="auto"/>
        <w:rPr>
          <w:sz w:val="22"/>
          <w:szCs w:val="28"/>
          <w:highlight w:val="none"/>
        </w:rPr>
      </w:pPr>
      <w:r>
        <w:rPr>
          <w:sz w:val="22"/>
          <w:szCs w:val="28"/>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4F0C05AD">
      <w:pPr>
        <w:spacing w:after="160" w:line="278" w:lineRule="auto"/>
        <w:rPr>
          <w:sz w:val="22"/>
          <w:szCs w:val="28"/>
          <w:highlight w:val="none"/>
        </w:rPr>
      </w:pPr>
      <w:bookmarkStart w:id="1838" w:name="_Toc342296374"/>
      <w:bookmarkStart w:id="1839" w:name="_Toc129798354"/>
      <w:bookmarkStart w:id="1840" w:name="_Toc132618712"/>
      <w:bookmarkStart w:id="1841" w:name="_Toc338944816"/>
      <w:bookmarkStart w:id="1842" w:name="_Toc109914419"/>
      <w:bookmarkStart w:id="1843" w:name="_Toc132619103"/>
      <w:bookmarkStart w:id="1844" w:name="_Toc142385641"/>
      <w:r>
        <w:rPr>
          <w:sz w:val="22"/>
          <w:szCs w:val="28"/>
          <w:highlight w:val="none"/>
        </w:rPr>
        <w:t>17.5 竣工结算</w:t>
      </w:r>
      <w:bookmarkEnd w:id="1838"/>
      <w:bookmarkEnd w:id="1839"/>
      <w:bookmarkEnd w:id="1840"/>
      <w:bookmarkEnd w:id="1841"/>
      <w:bookmarkEnd w:id="1842"/>
      <w:bookmarkEnd w:id="1843"/>
      <w:bookmarkEnd w:id="1844"/>
    </w:p>
    <w:p w14:paraId="23CF3081">
      <w:pPr>
        <w:spacing w:after="160" w:line="278" w:lineRule="auto"/>
        <w:rPr>
          <w:sz w:val="22"/>
          <w:szCs w:val="28"/>
          <w:highlight w:val="none"/>
        </w:rPr>
      </w:pPr>
      <w:r>
        <w:rPr>
          <w:sz w:val="22"/>
          <w:szCs w:val="28"/>
          <w:highlight w:val="none"/>
        </w:rPr>
        <w:t xml:space="preserve">17.5.1 </w:t>
      </w:r>
      <w:r>
        <w:rPr>
          <w:rFonts w:hint="eastAsia"/>
          <w:sz w:val="22"/>
          <w:szCs w:val="28"/>
          <w:highlight w:val="none"/>
        </w:rPr>
        <w:t>竣工付款申请单</w:t>
      </w:r>
    </w:p>
    <w:p w14:paraId="532F0D8D">
      <w:pPr>
        <w:spacing w:after="160" w:line="278" w:lineRule="auto"/>
        <w:rPr>
          <w:sz w:val="22"/>
          <w:szCs w:val="28"/>
          <w:highlight w:val="none"/>
        </w:rPr>
      </w:pPr>
      <w:r>
        <w:rPr>
          <w:sz w:val="22"/>
          <w:szCs w:val="28"/>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B6F89ED">
      <w:pPr>
        <w:spacing w:after="160" w:line="278" w:lineRule="auto"/>
        <w:rPr>
          <w:sz w:val="22"/>
          <w:szCs w:val="28"/>
          <w:highlight w:val="none"/>
        </w:rPr>
      </w:pPr>
      <w:r>
        <w:rPr>
          <w:sz w:val="22"/>
          <w:szCs w:val="28"/>
          <w:highlight w:val="none"/>
        </w:rPr>
        <w:t>（2）监理人对竣工付款申请单有异议的，有权要求承包人进行修正和提供补充资料。经监理人和承包人协商后，由承包人向监理人提交修正后的竣工付款申请单。</w:t>
      </w:r>
    </w:p>
    <w:p w14:paraId="103099EA">
      <w:pPr>
        <w:spacing w:after="160" w:line="278" w:lineRule="auto"/>
        <w:rPr>
          <w:sz w:val="22"/>
          <w:szCs w:val="28"/>
          <w:highlight w:val="none"/>
        </w:rPr>
      </w:pPr>
      <w:r>
        <w:rPr>
          <w:sz w:val="22"/>
          <w:szCs w:val="28"/>
          <w:highlight w:val="none"/>
        </w:rPr>
        <w:t xml:space="preserve">17.5.2 </w:t>
      </w:r>
      <w:r>
        <w:rPr>
          <w:rFonts w:hint="eastAsia"/>
          <w:sz w:val="22"/>
          <w:szCs w:val="28"/>
          <w:highlight w:val="none"/>
        </w:rPr>
        <w:t>竣工付款证书及支付时间</w:t>
      </w:r>
    </w:p>
    <w:p w14:paraId="3D9F0BE9">
      <w:pPr>
        <w:spacing w:after="160" w:line="278" w:lineRule="auto"/>
        <w:rPr>
          <w:sz w:val="22"/>
          <w:szCs w:val="28"/>
          <w:highlight w:val="none"/>
        </w:rPr>
      </w:pPr>
      <w:r>
        <w:rPr>
          <w:sz w:val="22"/>
          <w:szCs w:val="28"/>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608A74B">
      <w:pPr>
        <w:spacing w:after="160" w:line="278" w:lineRule="auto"/>
        <w:rPr>
          <w:sz w:val="22"/>
          <w:szCs w:val="28"/>
          <w:highlight w:val="none"/>
        </w:rPr>
      </w:pPr>
      <w:r>
        <w:rPr>
          <w:sz w:val="22"/>
          <w:szCs w:val="28"/>
          <w:highlight w:val="none"/>
        </w:rPr>
        <w:t>（2）发包人应在监理人出具竣工付款证书后的14天内，将应支付款支付给承包人。发包人不按期支付的，按第17.3.3（2）目的约定，将逾期付款违约金支付给承包人。</w:t>
      </w:r>
    </w:p>
    <w:p w14:paraId="28E851B3">
      <w:pPr>
        <w:spacing w:after="160" w:line="278" w:lineRule="auto"/>
        <w:rPr>
          <w:sz w:val="22"/>
          <w:szCs w:val="28"/>
          <w:highlight w:val="none"/>
        </w:rPr>
      </w:pPr>
      <w:r>
        <w:rPr>
          <w:sz w:val="22"/>
          <w:szCs w:val="28"/>
          <w:highlight w:val="none"/>
        </w:rPr>
        <w:t>（3）承包人对发包人签认的竣工付款证书有异议的，发包人可出具竣工付款申请单中承包人已同意部分的临时付款证书。存在争议的部分，按第24条的约定办理。</w:t>
      </w:r>
    </w:p>
    <w:p w14:paraId="5D7ADB3F">
      <w:pPr>
        <w:spacing w:after="160" w:line="278" w:lineRule="auto"/>
        <w:rPr>
          <w:sz w:val="22"/>
          <w:szCs w:val="28"/>
          <w:highlight w:val="none"/>
        </w:rPr>
      </w:pPr>
      <w:r>
        <w:rPr>
          <w:sz w:val="22"/>
          <w:szCs w:val="28"/>
          <w:highlight w:val="none"/>
        </w:rPr>
        <w:t>（4）竣工付款涉及政府投资资金的，按第17.3.3（４）目的约定办理。</w:t>
      </w:r>
    </w:p>
    <w:p w14:paraId="0E051E93">
      <w:pPr>
        <w:spacing w:after="160" w:line="278" w:lineRule="auto"/>
        <w:rPr>
          <w:sz w:val="22"/>
          <w:szCs w:val="28"/>
          <w:highlight w:val="none"/>
        </w:rPr>
      </w:pPr>
      <w:bookmarkStart w:id="1845" w:name="_Toc132619104"/>
      <w:bookmarkStart w:id="1846" w:name="_Toc342296375"/>
      <w:bookmarkStart w:id="1847" w:name="_Toc142385642"/>
      <w:bookmarkStart w:id="1848" w:name="_Toc109914420"/>
      <w:bookmarkStart w:id="1849" w:name="_Toc129798355"/>
      <w:bookmarkStart w:id="1850" w:name="_Toc132618713"/>
      <w:bookmarkStart w:id="1851" w:name="_Toc338944817"/>
      <w:r>
        <w:rPr>
          <w:sz w:val="22"/>
          <w:szCs w:val="28"/>
          <w:highlight w:val="none"/>
        </w:rPr>
        <w:t>17.6 最终结清</w:t>
      </w:r>
      <w:bookmarkEnd w:id="1845"/>
      <w:bookmarkEnd w:id="1846"/>
      <w:bookmarkEnd w:id="1847"/>
      <w:bookmarkEnd w:id="1848"/>
      <w:bookmarkEnd w:id="1849"/>
      <w:bookmarkEnd w:id="1850"/>
      <w:bookmarkEnd w:id="1851"/>
    </w:p>
    <w:p w14:paraId="32810F7D">
      <w:pPr>
        <w:spacing w:after="160" w:line="278" w:lineRule="auto"/>
        <w:rPr>
          <w:sz w:val="22"/>
          <w:szCs w:val="28"/>
          <w:highlight w:val="none"/>
        </w:rPr>
      </w:pPr>
      <w:r>
        <w:rPr>
          <w:sz w:val="22"/>
          <w:szCs w:val="28"/>
          <w:highlight w:val="none"/>
        </w:rPr>
        <w:t xml:space="preserve">17.6.1 </w:t>
      </w:r>
      <w:r>
        <w:rPr>
          <w:rFonts w:hint="eastAsia"/>
          <w:sz w:val="22"/>
          <w:szCs w:val="28"/>
          <w:highlight w:val="none"/>
        </w:rPr>
        <w:t>最终结清申请单</w:t>
      </w:r>
    </w:p>
    <w:p w14:paraId="34FB2EB2">
      <w:pPr>
        <w:spacing w:after="160" w:line="278" w:lineRule="auto"/>
        <w:rPr>
          <w:sz w:val="22"/>
          <w:szCs w:val="28"/>
          <w:highlight w:val="none"/>
        </w:rPr>
      </w:pPr>
      <w:r>
        <w:rPr>
          <w:sz w:val="22"/>
          <w:szCs w:val="28"/>
          <w:highlight w:val="none"/>
        </w:rPr>
        <w:t>（1）缺陷责任期终止证书签发后，承包人可按专用合同条款约定的份数和期限向监理人提交最终结清申请单，并提供相关证明材料。</w:t>
      </w:r>
    </w:p>
    <w:p w14:paraId="3F63D058">
      <w:pPr>
        <w:spacing w:after="160" w:line="278" w:lineRule="auto"/>
        <w:rPr>
          <w:sz w:val="22"/>
          <w:szCs w:val="28"/>
          <w:highlight w:val="none"/>
        </w:rPr>
      </w:pPr>
      <w:r>
        <w:rPr>
          <w:sz w:val="22"/>
          <w:szCs w:val="28"/>
          <w:highlight w:val="none"/>
        </w:rPr>
        <w:t>（2）发包人对最终结清申请单内容有异议的，有权要求承包人进行修正和提供补充资料，由承包人向监理人提交修正后的最终结清申请单。</w:t>
      </w:r>
    </w:p>
    <w:p w14:paraId="5CB2608F">
      <w:pPr>
        <w:spacing w:after="160" w:line="278" w:lineRule="auto"/>
        <w:rPr>
          <w:sz w:val="22"/>
          <w:szCs w:val="28"/>
          <w:highlight w:val="none"/>
        </w:rPr>
      </w:pPr>
      <w:r>
        <w:rPr>
          <w:sz w:val="22"/>
          <w:szCs w:val="28"/>
          <w:highlight w:val="none"/>
        </w:rPr>
        <w:t xml:space="preserve">17.6.2 </w:t>
      </w:r>
      <w:r>
        <w:rPr>
          <w:rFonts w:hint="eastAsia"/>
          <w:sz w:val="22"/>
          <w:szCs w:val="28"/>
          <w:highlight w:val="none"/>
        </w:rPr>
        <w:t>最终结清证书和支付时间</w:t>
      </w:r>
    </w:p>
    <w:p w14:paraId="54948D2B">
      <w:pPr>
        <w:spacing w:after="160" w:line="278" w:lineRule="auto"/>
        <w:rPr>
          <w:sz w:val="22"/>
          <w:szCs w:val="28"/>
          <w:highlight w:val="none"/>
        </w:rPr>
      </w:pPr>
      <w:r>
        <w:rPr>
          <w:sz w:val="22"/>
          <w:szCs w:val="28"/>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FA9516E">
      <w:pPr>
        <w:spacing w:after="160" w:line="278" w:lineRule="auto"/>
        <w:rPr>
          <w:sz w:val="22"/>
          <w:szCs w:val="28"/>
          <w:highlight w:val="none"/>
        </w:rPr>
      </w:pPr>
      <w:r>
        <w:rPr>
          <w:sz w:val="22"/>
          <w:szCs w:val="28"/>
          <w:highlight w:val="none"/>
        </w:rPr>
        <w:t>（2）发包人应在监理人出具最终结清证书后的14天内，将应支付款支付给承包人。发包人不按期支付的，按第17.3.3（2）目的约定，将逾期付款违约金支付给承包人。</w:t>
      </w:r>
    </w:p>
    <w:p w14:paraId="7F752CCD">
      <w:pPr>
        <w:spacing w:after="160" w:line="278" w:lineRule="auto"/>
        <w:rPr>
          <w:sz w:val="22"/>
          <w:szCs w:val="28"/>
          <w:highlight w:val="none"/>
        </w:rPr>
      </w:pPr>
      <w:r>
        <w:rPr>
          <w:sz w:val="22"/>
          <w:szCs w:val="28"/>
          <w:highlight w:val="none"/>
        </w:rPr>
        <w:t>（3）承包人对发包人签认的最终结清证书有异议的，按第24条的约定办理。</w:t>
      </w:r>
    </w:p>
    <w:p w14:paraId="34B0382D">
      <w:pPr>
        <w:spacing w:after="160" w:line="278" w:lineRule="auto"/>
        <w:rPr>
          <w:sz w:val="22"/>
          <w:szCs w:val="28"/>
          <w:highlight w:val="none"/>
        </w:rPr>
      </w:pPr>
      <w:r>
        <w:rPr>
          <w:sz w:val="22"/>
          <w:szCs w:val="28"/>
          <w:highlight w:val="none"/>
        </w:rPr>
        <w:t>（4）最终结清付款涉及政府投资资金的，按第17.3.3（４）目的约定办理。</w:t>
      </w:r>
    </w:p>
    <w:p w14:paraId="453EBE8E">
      <w:pPr>
        <w:spacing w:after="160" w:line="278" w:lineRule="auto"/>
        <w:rPr>
          <w:sz w:val="22"/>
          <w:szCs w:val="28"/>
          <w:highlight w:val="none"/>
        </w:rPr>
      </w:pPr>
      <w:bookmarkStart w:id="1852" w:name="_Toc142385643"/>
      <w:bookmarkStart w:id="1853" w:name="_Toc132619105"/>
      <w:bookmarkStart w:id="1854" w:name="_Toc469660034"/>
      <w:bookmarkStart w:id="1855" w:name="_Toc109914421"/>
      <w:bookmarkStart w:id="1856" w:name="_Toc342296376"/>
      <w:bookmarkStart w:id="1857" w:name="_Toc338944818"/>
      <w:bookmarkStart w:id="1858" w:name="_Toc448758539"/>
      <w:bookmarkStart w:id="1859" w:name="_Toc129798356"/>
      <w:bookmarkStart w:id="1860" w:name="_Toc442365631"/>
      <w:bookmarkStart w:id="1861" w:name="_Toc132618714"/>
      <w:bookmarkStart w:id="1862" w:name="_Toc448758439"/>
      <w:r>
        <w:rPr>
          <w:sz w:val="22"/>
          <w:szCs w:val="28"/>
          <w:highlight w:val="none"/>
        </w:rPr>
        <w:t>18. 竣工验收</w:t>
      </w:r>
      <w:bookmarkEnd w:id="1852"/>
      <w:bookmarkEnd w:id="1853"/>
      <w:bookmarkEnd w:id="1854"/>
      <w:bookmarkEnd w:id="1855"/>
      <w:bookmarkEnd w:id="1856"/>
      <w:bookmarkEnd w:id="1857"/>
      <w:bookmarkEnd w:id="1858"/>
      <w:bookmarkEnd w:id="1859"/>
      <w:bookmarkEnd w:id="1860"/>
      <w:bookmarkEnd w:id="1861"/>
      <w:bookmarkEnd w:id="1862"/>
    </w:p>
    <w:p w14:paraId="2F9DCFDD">
      <w:pPr>
        <w:spacing w:after="160" w:line="278" w:lineRule="auto"/>
        <w:rPr>
          <w:sz w:val="22"/>
          <w:szCs w:val="28"/>
          <w:highlight w:val="none"/>
        </w:rPr>
      </w:pPr>
      <w:bookmarkStart w:id="1863" w:name="_Toc338944819"/>
      <w:bookmarkStart w:id="1864" w:name="_Toc144974697"/>
      <w:bookmarkStart w:id="1865" w:name="_Toc179632744"/>
      <w:bookmarkStart w:id="1866" w:name="_Toc142385644"/>
      <w:bookmarkStart w:id="1867" w:name="_Toc132619106"/>
      <w:bookmarkStart w:id="1868" w:name="_Toc152045726"/>
      <w:bookmarkStart w:id="1869" w:name="_Toc342296377"/>
      <w:bookmarkStart w:id="1870" w:name="_Toc152042505"/>
      <w:bookmarkStart w:id="1871" w:name="_Toc129798357"/>
      <w:bookmarkStart w:id="1872" w:name="_Toc132618715"/>
      <w:bookmarkStart w:id="1873" w:name="_Toc109914422"/>
      <w:r>
        <w:rPr>
          <w:sz w:val="22"/>
          <w:szCs w:val="28"/>
          <w:highlight w:val="none"/>
        </w:rPr>
        <w:t>18.1 竣工验收的含义</w:t>
      </w:r>
      <w:bookmarkEnd w:id="1863"/>
      <w:bookmarkEnd w:id="1864"/>
      <w:bookmarkEnd w:id="1865"/>
      <w:bookmarkEnd w:id="1866"/>
      <w:bookmarkEnd w:id="1867"/>
      <w:bookmarkEnd w:id="1868"/>
      <w:bookmarkEnd w:id="1869"/>
      <w:bookmarkEnd w:id="1870"/>
      <w:bookmarkEnd w:id="1871"/>
      <w:bookmarkEnd w:id="1872"/>
      <w:bookmarkEnd w:id="1873"/>
    </w:p>
    <w:p w14:paraId="39CB2938">
      <w:pPr>
        <w:spacing w:after="160" w:line="278" w:lineRule="auto"/>
        <w:rPr>
          <w:sz w:val="22"/>
          <w:szCs w:val="28"/>
          <w:highlight w:val="none"/>
        </w:rPr>
      </w:pPr>
      <w:r>
        <w:rPr>
          <w:sz w:val="22"/>
          <w:szCs w:val="28"/>
          <w:highlight w:val="none"/>
        </w:rPr>
        <w:t>18.1.1 竣工验收指承包人完成了全部合同工作后，发包人按合同要求进行的验收。</w:t>
      </w:r>
    </w:p>
    <w:p w14:paraId="6A3B05B5">
      <w:pPr>
        <w:spacing w:after="160" w:line="278" w:lineRule="auto"/>
        <w:rPr>
          <w:sz w:val="22"/>
          <w:szCs w:val="28"/>
          <w:highlight w:val="none"/>
        </w:rPr>
      </w:pPr>
      <w:r>
        <w:rPr>
          <w:sz w:val="22"/>
          <w:szCs w:val="28"/>
          <w:highlight w:val="none"/>
        </w:rPr>
        <w:t>18.1.2 国家验收是政府有关部门根据法律、规范、规程和政策要求，针对发包人全面组织实施的整个工程正式交付投运前的验收。</w:t>
      </w:r>
    </w:p>
    <w:p w14:paraId="7B99A9AE">
      <w:pPr>
        <w:spacing w:after="160" w:line="278" w:lineRule="auto"/>
        <w:rPr>
          <w:sz w:val="22"/>
          <w:szCs w:val="28"/>
          <w:highlight w:val="none"/>
        </w:rPr>
      </w:pPr>
      <w:r>
        <w:rPr>
          <w:sz w:val="22"/>
          <w:szCs w:val="28"/>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4600AAF">
      <w:pPr>
        <w:spacing w:after="160" w:line="278" w:lineRule="auto"/>
        <w:rPr>
          <w:sz w:val="22"/>
          <w:szCs w:val="28"/>
          <w:highlight w:val="none"/>
        </w:rPr>
      </w:pPr>
      <w:bookmarkStart w:id="1874" w:name="_Toc129798358"/>
      <w:bookmarkStart w:id="1875" w:name="_Toc109914423"/>
      <w:bookmarkStart w:id="1876" w:name="_Toc132618716"/>
      <w:bookmarkStart w:id="1877" w:name="_Toc338944820"/>
      <w:bookmarkStart w:id="1878" w:name="_Toc132619107"/>
      <w:bookmarkStart w:id="1879" w:name="_Toc142385645"/>
      <w:bookmarkStart w:id="1880" w:name="_Toc342296378"/>
      <w:r>
        <w:rPr>
          <w:sz w:val="22"/>
          <w:szCs w:val="28"/>
          <w:highlight w:val="none"/>
        </w:rPr>
        <w:t>18.2 竣工验收申请报告</w:t>
      </w:r>
      <w:bookmarkEnd w:id="1874"/>
      <w:bookmarkEnd w:id="1875"/>
      <w:bookmarkEnd w:id="1876"/>
      <w:bookmarkEnd w:id="1877"/>
      <w:bookmarkEnd w:id="1878"/>
      <w:bookmarkEnd w:id="1879"/>
      <w:bookmarkEnd w:id="1880"/>
    </w:p>
    <w:p w14:paraId="50AC0FA9">
      <w:pPr>
        <w:spacing w:after="160" w:line="278" w:lineRule="auto"/>
        <w:rPr>
          <w:sz w:val="22"/>
          <w:szCs w:val="28"/>
          <w:highlight w:val="none"/>
        </w:rPr>
      </w:pPr>
      <w:r>
        <w:rPr>
          <w:sz w:val="22"/>
          <w:szCs w:val="28"/>
          <w:highlight w:val="none"/>
        </w:rPr>
        <w:t>当工程具备以下条件时，承包人即可向监理人报送竣工验收申请报告：</w:t>
      </w:r>
    </w:p>
    <w:p w14:paraId="725D28A3">
      <w:pPr>
        <w:spacing w:after="160" w:line="278" w:lineRule="auto"/>
        <w:rPr>
          <w:sz w:val="22"/>
          <w:szCs w:val="28"/>
          <w:highlight w:val="none"/>
        </w:rPr>
      </w:pPr>
      <w:r>
        <w:rPr>
          <w:sz w:val="22"/>
          <w:szCs w:val="28"/>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75222492">
      <w:pPr>
        <w:spacing w:after="160" w:line="278" w:lineRule="auto"/>
        <w:rPr>
          <w:sz w:val="22"/>
          <w:szCs w:val="28"/>
          <w:highlight w:val="none"/>
        </w:rPr>
      </w:pPr>
      <w:r>
        <w:rPr>
          <w:sz w:val="22"/>
          <w:szCs w:val="28"/>
          <w:highlight w:val="none"/>
        </w:rPr>
        <w:t xml:space="preserve">（2）已按合同约定的内容和份数备齐了符合要求的竣工资料； </w:t>
      </w:r>
    </w:p>
    <w:p w14:paraId="289A2302">
      <w:pPr>
        <w:spacing w:after="160" w:line="278" w:lineRule="auto"/>
        <w:rPr>
          <w:sz w:val="22"/>
          <w:szCs w:val="28"/>
          <w:highlight w:val="none"/>
        </w:rPr>
      </w:pPr>
      <w:r>
        <w:rPr>
          <w:sz w:val="22"/>
          <w:szCs w:val="28"/>
          <w:highlight w:val="none"/>
        </w:rPr>
        <w:t>（3）已按监理人的要求编制了在缺陷责任期内完成的尾工（甩项）工程和缺陷修补工作清单以及相应施工计划；</w:t>
      </w:r>
    </w:p>
    <w:p w14:paraId="6EB8F499">
      <w:pPr>
        <w:spacing w:after="160" w:line="278" w:lineRule="auto"/>
        <w:rPr>
          <w:sz w:val="22"/>
          <w:szCs w:val="28"/>
          <w:highlight w:val="none"/>
        </w:rPr>
      </w:pPr>
      <w:r>
        <w:rPr>
          <w:sz w:val="22"/>
          <w:szCs w:val="28"/>
          <w:highlight w:val="none"/>
        </w:rPr>
        <w:t>（4）监理人要求在竣工验收前应完成的其他工作；</w:t>
      </w:r>
    </w:p>
    <w:p w14:paraId="262928D8">
      <w:pPr>
        <w:spacing w:after="160" w:line="278" w:lineRule="auto"/>
        <w:rPr>
          <w:sz w:val="22"/>
          <w:szCs w:val="28"/>
          <w:highlight w:val="none"/>
        </w:rPr>
      </w:pPr>
      <w:r>
        <w:rPr>
          <w:sz w:val="22"/>
          <w:szCs w:val="28"/>
          <w:highlight w:val="none"/>
        </w:rPr>
        <w:t>（5）监理人要求提交的竣工验收资料清单。</w:t>
      </w:r>
    </w:p>
    <w:p w14:paraId="7BC9BDE0">
      <w:pPr>
        <w:spacing w:after="160" w:line="278" w:lineRule="auto"/>
        <w:rPr>
          <w:sz w:val="22"/>
          <w:szCs w:val="28"/>
          <w:highlight w:val="none"/>
        </w:rPr>
      </w:pPr>
      <w:bookmarkStart w:id="1881" w:name="_Toc142385646"/>
      <w:bookmarkStart w:id="1882" w:name="_Toc342296379"/>
      <w:bookmarkStart w:id="1883" w:name="_Toc132619108"/>
      <w:bookmarkStart w:id="1884" w:name="_Toc338944821"/>
      <w:bookmarkStart w:id="1885" w:name="_Toc132618717"/>
      <w:bookmarkStart w:id="1886" w:name="_Toc109914424"/>
      <w:bookmarkStart w:id="1887" w:name="_Toc129798359"/>
      <w:r>
        <w:rPr>
          <w:sz w:val="22"/>
          <w:szCs w:val="28"/>
          <w:highlight w:val="none"/>
        </w:rPr>
        <w:t>18.3 验收</w:t>
      </w:r>
      <w:bookmarkEnd w:id="1881"/>
      <w:bookmarkEnd w:id="1882"/>
      <w:bookmarkEnd w:id="1883"/>
      <w:bookmarkEnd w:id="1884"/>
      <w:bookmarkEnd w:id="1885"/>
      <w:bookmarkEnd w:id="1886"/>
      <w:bookmarkEnd w:id="1887"/>
    </w:p>
    <w:p w14:paraId="77E45BFC">
      <w:pPr>
        <w:spacing w:after="160" w:line="278" w:lineRule="auto"/>
        <w:rPr>
          <w:sz w:val="22"/>
          <w:szCs w:val="28"/>
          <w:highlight w:val="none"/>
        </w:rPr>
      </w:pPr>
      <w:r>
        <w:rPr>
          <w:sz w:val="22"/>
          <w:szCs w:val="28"/>
          <w:highlight w:val="none"/>
        </w:rPr>
        <w:t>监理人收到承包人按第18.2款约定提交的竣工验收申请报告后，应审查申请报告的各项内容，并按以下不同情况进行处理。</w:t>
      </w:r>
    </w:p>
    <w:p w14:paraId="7829231A">
      <w:pPr>
        <w:spacing w:after="160" w:line="278" w:lineRule="auto"/>
        <w:rPr>
          <w:sz w:val="22"/>
          <w:szCs w:val="28"/>
          <w:highlight w:val="none"/>
        </w:rPr>
      </w:pPr>
      <w:r>
        <w:rPr>
          <w:sz w:val="22"/>
          <w:szCs w:val="28"/>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763DD82">
      <w:pPr>
        <w:spacing w:after="160" w:line="278" w:lineRule="auto"/>
        <w:rPr>
          <w:sz w:val="22"/>
          <w:szCs w:val="28"/>
          <w:highlight w:val="none"/>
        </w:rPr>
      </w:pPr>
      <w:r>
        <w:rPr>
          <w:sz w:val="22"/>
          <w:szCs w:val="28"/>
          <w:highlight w:val="none"/>
        </w:rPr>
        <w:t>18.3.2 监理人审查后认为已具备竣工验收条件的，应在收到竣工验收申请报告后的28天内提请发包人进行工程验收。</w:t>
      </w:r>
    </w:p>
    <w:p w14:paraId="3AE557FF">
      <w:pPr>
        <w:spacing w:after="160" w:line="278" w:lineRule="auto"/>
        <w:rPr>
          <w:sz w:val="22"/>
          <w:szCs w:val="28"/>
          <w:highlight w:val="none"/>
        </w:rPr>
      </w:pPr>
      <w:r>
        <w:rPr>
          <w:sz w:val="22"/>
          <w:szCs w:val="28"/>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0EA955E">
      <w:pPr>
        <w:spacing w:after="160" w:line="278" w:lineRule="auto"/>
        <w:rPr>
          <w:sz w:val="22"/>
          <w:szCs w:val="28"/>
          <w:highlight w:val="none"/>
        </w:rPr>
      </w:pPr>
      <w:r>
        <w:rPr>
          <w:sz w:val="22"/>
          <w:szCs w:val="28"/>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4FF7D9D">
      <w:pPr>
        <w:spacing w:after="160" w:line="278" w:lineRule="auto"/>
        <w:rPr>
          <w:sz w:val="22"/>
          <w:szCs w:val="28"/>
          <w:highlight w:val="none"/>
        </w:rPr>
      </w:pPr>
      <w:r>
        <w:rPr>
          <w:sz w:val="22"/>
          <w:szCs w:val="28"/>
          <w:highlight w:val="none"/>
        </w:rPr>
        <w:t>18.3.5 除专用合同条款另有约定外，经验收合格工程的实际竣工日期，以提交竣工验收申请报告的日期为准，并在工程接收证书中写明。</w:t>
      </w:r>
    </w:p>
    <w:p w14:paraId="2210ABAA">
      <w:pPr>
        <w:spacing w:after="160" w:line="278" w:lineRule="auto"/>
        <w:rPr>
          <w:sz w:val="22"/>
          <w:szCs w:val="28"/>
          <w:highlight w:val="none"/>
        </w:rPr>
      </w:pPr>
      <w:r>
        <w:rPr>
          <w:sz w:val="22"/>
          <w:szCs w:val="28"/>
          <w:highlight w:val="none"/>
        </w:rPr>
        <w:t>18.3.6 发包人在收到承包人竣工验收申请报告56天后未进行验收的，视为验收合格，实际竣工日期以提交竣工验收申请报告的日期为准，但发包人由于不可抗力不能进行验收的除外。</w:t>
      </w:r>
    </w:p>
    <w:p w14:paraId="5D5284E4">
      <w:pPr>
        <w:spacing w:after="160" w:line="278" w:lineRule="auto"/>
        <w:rPr>
          <w:sz w:val="22"/>
          <w:szCs w:val="28"/>
          <w:highlight w:val="none"/>
        </w:rPr>
      </w:pPr>
      <w:bookmarkStart w:id="1888" w:name="_Toc132618718"/>
      <w:bookmarkStart w:id="1889" w:name="_Toc152042508"/>
      <w:bookmarkStart w:id="1890" w:name="_Toc342296380"/>
      <w:bookmarkStart w:id="1891" w:name="_Toc142385647"/>
      <w:bookmarkStart w:id="1892" w:name="_Toc144974700"/>
      <w:bookmarkStart w:id="1893" w:name="_Toc129798360"/>
      <w:bookmarkStart w:id="1894" w:name="_Toc338944822"/>
      <w:bookmarkStart w:id="1895" w:name="_Toc152045729"/>
      <w:bookmarkStart w:id="1896" w:name="_Toc179632747"/>
      <w:bookmarkStart w:id="1897" w:name="_Toc109914425"/>
      <w:bookmarkStart w:id="1898" w:name="_Toc132619109"/>
      <w:r>
        <w:rPr>
          <w:sz w:val="22"/>
          <w:szCs w:val="28"/>
          <w:highlight w:val="none"/>
        </w:rPr>
        <w:t>18.4 单位工程验收</w:t>
      </w:r>
      <w:bookmarkEnd w:id="1888"/>
      <w:bookmarkEnd w:id="1889"/>
      <w:bookmarkEnd w:id="1890"/>
      <w:bookmarkEnd w:id="1891"/>
      <w:bookmarkEnd w:id="1892"/>
      <w:bookmarkEnd w:id="1893"/>
      <w:bookmarkEnd w:id="1894"/>
      <w:bookmarkEnd w:id="1895"/>
      <w:bookmarkEnd w:id="1896"/>
      <w:bookmarkEnd w:id="1897"/>
      <w:bookmarkEnd w:id="1898"/>
    </w:p>
    <w:p w14:paraId="13C1F501">
      <w:pPr>
        <w:spacing w:after="160" w:line="278" w:lineRule="auto"/>
        <w:rPr>
          <w:sz w:val="22"/>
          <w:szCs w:val="28"/>
          <w:highlight w:val="none"/>
        </w:rPr>
      </w:pPr>
      <w:r>
        <w:rPr>
          <w:sz w:val="22"/>
          <w:szCs w:val="28"/>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B0F85DB">
      <w:pPr>
        <w:spacing w:after="160" w:line="278" w:lineRule="auto"/>
        <w:rPr>
          <w:sz w:val="22"/>
          <w:szCs w:val="28"/>
          <w:highlight w:val="none"/>
        </w:rPr>
      </w:pPr>
      <w:r>
        <w:rPr>
          <w:sz w:val="22"/>
          <w:szCs w:val="28"/>
          <w:highlight w:val="none"/>
        </w:rPr>
        <w:t>18.4.2 发包人在全部工程竣工前，使用已接收的单位工程导致承包人费用增加的，发包人应承担由此增加的费用和（或）工期延误，并支付承包人合理利润。</w:t>
      </w:r>
    </w:p>
    <w:p w14:paraId="24AA71DB">
      <w:pPr>
        <w:spacing w:after="160" w:line="278" w:lineRule="auto"/>
        <w:rPr>
          <w:sz w:val="22"/>
          <w:szCs w:val="28"/>
          <w:highlight w:val="none"/>
        </w:rPr>
      </w:pPr>
      <w:bookmarkStart w:id="1899" w:name="_Toc129798361"/>
      <w:bookmarkStart w:id="1900" w:name="_Toc342296381"/>
      <w:bookmarkStart w:id="1901" w:name="_Toc132619110"/>
      <w:bookmarkStart w:id="1902" w:name="_Toc338944823"/>
      <w:bookmarkStart w:id="1903" w:name="_Toc132618719"/>
      <w:bookmarkStart w:id="1904" w:name="_Toc109914426"/>
      <w:bookmarkStart w:id="1905" w:name="_Toc142385648"/>
      <w:r>
        <w:rPr>
          <w:sz w:val="22"/>
          <w:szCs w:val="28"/>
          <w:highlight w:val="none"/>
        </w:rPr>
        <w:t>18.5 施工期运行</w:t>
      </w:r>
      <w:bookmarkEnd w:id="1899"/>
      <w:bookmarkEnd w:id="1900"/>
      <w:bookmarkEnd w:id="1901"/>
      <w:bookmarkEnd w:id="1902"/>
      <w:bookmarkEnd w:id="1903"/>
      <w:bookmarkEnd w:id="1904"/>
      <w:bookmarkEnd w:id="1905"/>
    </w:p>
    <w:p w14:paraId="65D52F28">
      <w:pPr>
        <w:spacing w:after="160" w:line="278" w:lineRule="auto"/>
        <w:rPr>
          <w:sz w:val="22"/>
          <w:szCs w:val="28"/>
          <w:highlight w:val="none"/>
        </w:rPr>
      </w:pPr>
      <w:r>
        <w:rPr>
          <w:sz w:val="22"/>
          <w:szCs w:val="28"/>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3FF7C8A6">
      <w:pPr>
        <w:spacing w:after="160" w:line="278" w:lineRule="auto"/>
        <w:rPr>
          <w:sz w:val="22"/>
          <w:szCs w:val="28"/>
          <w:highlight w:val="none"/>
        </w:rPr>
      </w:pPr>
      <w:r>
        <w:rPr>
          <w:sz w:val="22"/>
          <w:szCs w:val="28"/>
          <w:highlight w:val="none"/>
        </w:rPr>
        <w:t>18.5.2 在施工期运行中发现工程或工程设备损坏或存在缺陷的，由承包人按第19.2款约定进行修复。</w:t>
      </w:r>
    </w:p>
    <w:p w14:paraId="7862A915">
      <w:pPr>
        <w:spacing w:after="160" w:line="278" w:lineRule="auto"/>
        <w:rPr>
          <w:sz w:val="22"/>
          <w:szCs w:val="28"/>
          <w:highlight w:val="none"/>
        </w:rPr>
      </w:pPr>
      <w:bookmarkStart w:id="1906" w:name="_Toc338944824"/>
      <w:bookmarkStart w:id="1907" w:name="_Toc129798362"/>
      <w:bookmarkStart w:id="1908" w:name="_Toc132618720"/>
      <w:bookmarkStart w:id="1909" w:name="_Toc342296382"/>
      <w:bookmarkStart w:id="1910" w:name="_Toc109914427"/>
      <w:bookmarkStart w:id="1911" w:name="_Toc132619111"/>
      <w:bookmarkStart w:id="1912" w:name="_Toc142385649"/>
      <w:r>
        <w:rPr>
          <w:sz w:val="22"/>
          <w:szCs w:val="28"/>
          <w:highlight w:val="none"/>
        </w:rPr>
        <w:t>18.6 试运行</w:t>
      </w:r>
      <w:bookmarkEnd w:id="1906"/>
      <w:bookmarkEnd w:id="1907"/>
      <w:bookmarkEnd w:id="1908"/>
      <w:bookmarkEnd w:id="1909"/>
      <w:bookmarkEnd w:id="1910"/>
      <w:bookmarkEnd w:id="1911"/>
      <w:bookmarkEnd w:id="1912"/>
    </w:p>
    <w:p w14:paraId="6983C5DC">
      <w:pPr>
        <w:spacing w:after="160" w:line="278" w:lineRule="auto"/>
        <w:rPr>
          <w:sz w:val="22"/>
          <w:szCs w:val="28"/>
          <w:highlight w:val="none"/>
        </w:rPr>
      </w:pPr>
      <w:r>
        <w:rPr>
          <w:sz w:val="22"/>
          <w:szCs w:val="28"/>
          <w:highlight w:val="none"/>
        </w:rPr>
        <w:t>18.6.1 除专用合同条款另有约定外，承包人应按专用合同条款约定进行工程及工程设备试运行，负责提供试运行所需的人员、器材和必要的条件，并承担全部试运行费用。</w:t>
      </w:r>
    </w:p>
    <w:p w14:paraId="0D12E3EA">
      <w:pPr>
        <w:spacing w:after="160" w:line="278" w:lineRule="auto"/>
        <w:rPr>
          <w:sz w:val="22"/>
          <w:szCs w:val="28"/>
          <w:highlight w:val="none"/>
        </w:rPr>
      </w:pPr>
      <w:r>
        <w:rPr>
          <w:sz w:val="22"/>
          <w:szCs w:val="28"/>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781B0CC">
      <w:pPr>
        <w:spacing w:after="160" w:line="278" w:lineRule="auto"/>
        <w:rPr>
          <w:sz w:val="22"/>
          <w:szCs w:val="28"/>
          <w:highlight w:val="none"/>
        </w:rPr>
      </w:pPr>
      <w:bookmarkStart w:id="1913" w:name="_Toc129798363"/>
      <w:bookmarkStart w:id="1914" w:name="_Toc342296383"/>
      <w:bookmarkStart w:id="1915" w:name="_Toc338944825"/>
      <w:bookmarkStart w:id="1916" w:name="_Toc142385650"/>
      <w:bookmarkStart w:id="1917" w:name="_Toc109914428"/>
      <w:bookmarkStart w:id="1918" w:name="_Toc132619112"/>
      <w:bookmarkStart w:id="1919" w:name="_Toc132618721"/>
      <w:r>
        <w:rPr>
          <w:sz w:val="22"/>
          <w:szCs w:val="28"/>
          <w:highlight w:val="none"/>
        </w:rPr>
        <w:t>18.7 竣工清场</w:t>
      </w:r>
      <w:bookmarkEnd w:id="1913"/>
      <w:bookmarkEnd w:id="1914"/>
      <w:bookmarkEnd w:id="1915"/>
      <w:bookmarkEnd w:id="1916"/>
      <w:bookmarkEnd w:id="1917"/>
      <w:bookmarkEnd w:id="1918"/>
      <w:bookmarkEnd w:id="1919"/>
    </w:p>
    <w:p w14:paraId="1C8150CD">
      <w:pPr>
        <w:spacing w:after="160" w:line="278" w:lineRule="auto"/>
        <w:rPr>
          <w:sz w:val="22"/>
          <w:szCs w:val="28"/>
          <w:highlight w:val="none"/>
        </w:rPr>
      </w:pPr>
      <w:r>
        <w:rPr>
          <w:sz w:val="22"/>
          <w:szCs w:val="28"/>
          <w:highlight w:val="none"/>
        </w:rPr>
        <w:t>18.7.1 除合同另有约定外，工程接收证书颁发后，承包人应按以下要求对施工场地进行清理，直至监理人检验合格为止。竣工清场费用由承包人承担。</w:t>
      </w:r>
    </w:p>
    <w:p w14:paraId="1818BB7C">
      <w:pPr>
        <w:spacing w:after="160" w:line="278" w:lineRule="auto"/>
        <w:rPr>
          <w:sz w:val="22"/>
          <w:szCs w:val="28"/>
          <w:highlight w:val="none"/>
        </w:rPr>
      </w:pPr>
      <w:r>
        <w:rPr>
          <w:sz w:val="22"/>
          <w:szCs w:val="28"/>
          <w:highlight w:val="none"/>
        </w:rPr>
        <w:t>（1）施工场地内残留的垃圾已全部清除出场；</w:t>
      </w:r>
    </w:p>
    <w:p w14:paraId="54B0432F">
      <w:pPr>
        <w:spacing w:after="160" w:line="278" w:lineRule="auto"/>
        <w:rPr>
          <w:sz w:val="22"/>
          <w:szCs w:val="28"/>
          <w:highlight w:val="none"/>
        </w:rPr>
      </w:pPr>
      <w:r>
        <w:rPr>
          <w:sz w:val="22"/>
          <w:szCs w:val="28"/>
          <w:highlight w:val="none"/>
        </w:rPr>
        <w:t>（2）临时工程已拆除，场地已按合同要求进行清理、平整或复原；</w:t>
      </w:r>
    </w:p>
    <w:p w14:paraId="7FFA048E">
      <w:pPr>
        <w:spacing w:after="160" w:line="278" w:lineRule="auto"/>
        <w:rPr>
          <w:sz w:val="22"/>
          <w:szCs w:val="28"/>
          <w:highlight w:val="none"/>
        </w:rPr>
      </w:pPr>
      <w:r>
        <w:rPr>
          <w:sz w:val="22"/>
          <w:szCs w:val="28"/>
          <w:highlight w:val="none"/>
        </w:rPr>
        <w:t>（3）按合同约定应撤离的承包人设备和剩余的材料，包括废弃的施工设备和材料，已按计划撤离施工场地；</w:t>
      </w:r>
    </w:p>
    <w:p w14:paraId="627809EB">
      <w:pPr>
        <w:spacing w:after="160" w:line="278" w:lineRule="auto"/>
        <w:rPr>
          <w:sz w:val="22"/>
          <w:szCs w:val="28"/>
          <w:highlight w:val="none"/>
        </w:rPr>
      </w:pPr>
      <w:r>
        <w:rPr>
          <w:sz w:val="22"/>
          <w:szCs w:val="28"/>
          <w:highlight w:val="none"/>
        </w:rPr>
        <w:t>（4）工程建筑物周边及其附近道路、河道的施工堆积物，已按监理人指示全部清理；</w:t>
      </w:r>
    </w:p>
    <w:p w14:paraId="17973CEB">
      <w:pPr>
        <w:spacing w:after="160" w:line="278" w:lineRule="auto"/>
        <w:rPr>
          <w:sz w:val="22"/>
          <w:szCs w:val="28"/>
          <w:highlight w:val="none"/>
        </w:rPr>
      </w:pPr>
      <w:r>
        <w:rPr>
          <w:sz w:val="22"/>
          <w:szCs w:val="28"/>
          <w:highlight w:val="none"/>
        </w:rPr>
        <w:t>（5）监理人指示的其他场地清理工作已全部完成。</w:t>
      </w:r>
    </w:p>
    <w:p w14:paraId="7670B83A">
      <w:pPr>
        <w:spacing w:after="160" w:line="278" w:lineRule="auto"/>
        <w:rPr>
          <w:sz w:val="22"/>
          <w:szCs w:val="28"/>
          <w:highlight w:val="none"/>
        </w:rPr>
      </w:pPr>
      <w:r>
        <w:rPr>
          <w:sz w:val="22"/>
          <w:szCs w:val="28"/>
          <w:highlight w:val="none"/>
        </w:rPr>
        <w:t>18.7.2 承包人未按监理人的要求恢复临时占地，或者场地清理未达到合同约定的，发包人有权委托其他人恢复或清理，所发生的金额从拟支付给承包人的款项中扣除。</w:t>
      </w:r>
    </w:p>
    <w:p w14:paraId="3F396A3B">
      <w:pPr>
        <w:spacing w:after="160" w:line="278" w:lineRule="auto"/>
        <w:rPr>
          <w:sz w:val="22"/>
          <w:szCs w:val="28"/>
          <w:highlight w:val="none"/>
        </w:rPr>
      </w:pPr>
      <w:bookmarkStart w:id="1920" w:name="_Toc338944826"/>
      <w:bookmarkStart w:id="1921" w:name="_Toc132619113"/>
      <w:bookmarkStart w:id="1922" w:name="_Toc109914429"/>
      <w:bookmarkStart w:id="1923" w:name="_Toc142385651"/>
      <w:bookmarkStart w:id="1924" w:name="_Toc342296384"/>
      <w:bookmarkStart w:id="1925" w:name="_Toc132618722"/>
      <w:bookmarkStart w:id="1926" w:name="_Toc129798364"/>
      <w:r>
        <w:rPr>
          <w:sz w:val="22"/>
          <w:szCs w:val="28"/>
          <w:highlight w:val="none"/>
        </w:rPr>
        <w:t>18.8 施工队伍的撤离</w:t>
      </w:r>
      <w:bookmarkEnd w:id="1920"/>
      <w:bookmarkEnd w:id="1921"/>
      <w:bookmarkEnd w:id="1922"/>
      <w:bookmarkEnd w:id="1923"/>
      <w:bookmarkEnd w:id="1924"/>
      <w:bookmarkEnd w:id="1925"/>
      <w:bookmarkEnd w:id="1926"/>
    </w:p>
    <w:p w14:paraId="3711AD53">
      <w:pPr>
        <w:spacing w:after="160" w:line="278" w:lineRule="auto"/>
        <w:rPr>
          <w:sz w:val="22"/>
          <w:szCs w:val="28"/>
          <w:highlight w:val="none"/>
        </w:rPr>
      </w:pPr>
      <w:r>
        <w:rPr>
          <w:sz w:val="22"/>
          <w:szCs w:val="28"/>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F8D74BF">
      <w:pPr>
        <w:spacing w:after="160" w:line="278" w:lineRule="auto"/>
        <w:rPr>
          <w:sz w:val="22"/>
          <w:szCs w:val="28"/>
          <w:highlight w:val="none"/>
        </w:rPr>
      </w:pPr>
      <w:bookmarkStart w:id="1927" w:name="_Toc342296385"/>
      <w:bookmarkStart w:id="1928" w:name="_Toc338944827"/>
      <w:bookmarkStart w:id="1929" w:name="_Toc132618723"/>
      <w:bookmarkStart w:id="1930" w:name="_Toc442365632"/>
      <w:bookmarkStart w:id="1931" w:name="_Toc142385652"/>
      <w:bookmarkStart w:id="1932" w:name="_Toc109914430"/>
      <w:bookmarkStart w:id="1933" w:name="_Toc469660035"/>
      <w:bookmarkStart w:id="1934" w:name="_Toc448758440"/>
      <w:bookmarkStart w:id="1935" w:name="_Toc448758540"/>
      <w:bookmarkStart w:id="1936" w:name="_Toc132619114"/>
      <w:bookmarkStart w:id="1937" w:name="_Toc129798365"/>
      <w:r>
        <w:rPr>
          <w:sz w:val="22"/>
          <w:szCs w:val="28"/>
          <w:highlight w:val="none"/>
        </w:rPr>
        <w:t>19. 缺陷责任与保修责任</w:t>
      </w:r>
      <w:bookmarkEnd w:id="1927"/>
      <w:bookmarkEnd w:id="1928"/>
      <w:bookmarkEnd w:id="1929"/>
      <w:bookmarkEnd w:id="1930"/>
      <w:bookmarkEnd w:id="1931"/>
      <w:bookmarkEnd w:id="1932"/>
      <w:bookmarkEnd w:id="1933"/>
      <w:bookmarkEnd w:id="1934"/>
      <w:bookmarkEnd w:id="1935"/>
      <w:bookmarkEnd w:id="1936"/>
      <w:bookmarkEnd w:id="1937"/>
    </w:p>
    <w:p w14:paraId="521A5A39">
      <w:pPr>
        <w:spacing w:after="160" w:line="278" w:lineRule="auto"/>
        <w:rPr>
          <w:sz w:val="22"/>
          <w:szCs w:val="28"/>
          <w:highlight w:val="none"/>
        </w:rPr>
      </w:pPr>
      <w:bookmarkStart w:id="1938" w:name="_Toc142385653"/>
      <w:bookmarkStart w:id="1939" w:name="_Toc152045735"/>
      <w:bookmarkStart w:id="1940" w:name="_Toc152042514"/>
      <w:bookmarkStart w:id="1941" w:name="_Toc109914431"/>
      <w:bookmarkStart w:id="1942" w:name="_Toc179632753"/>
      <w:bookmarkStart w:id="1943" w:name="_Toc132619115"/>
      <w:bookmarkStart w:id="1944" w:name="_Toc342296386"/>
      <w:bookmarkStart w:id="1945" w:name="_Toc132618724"/>
      <w:bookmarkStart w:id="1946" w:name="_Toc129798366"/>
      <w:bookmarkStart w:id="1947" w:name="_Toc144974706"/>
      <w:bookmarkStart w:id="1948" w:name="_Toc338944828"/>
      <w:r>
        <w:rPr>
          <w:sz w:val="22"/>
          <w:szCs w:val="28"/>
          <w:highlight w:val="none"/>
        </w:rPr>
        <w:t>19.1 缺陷责任期的起算时间</w:t>
      </w:r>
      <w:bookmarkEnd w:id="1938"/>
      <w:bookmarkEnd w:id="1939"/>
      <w:bookmarkEnd w:id="1940"/>
      <w:bookmarkEnd w:id="1941"/>
      <w:bookmarkEnd w:id="1942"/>
      <w:bookmarkEnd w:id="1943"/>
      <w:bookmarkEnd w:id="1944"/>
      <w:bookmarkEnd w:id="1945"/>
      <w:bookmarkEnd w:id="1946"/>
      <w:bookmarkEnd w:id="1947"/>
      <w:bookmarkEnd w:id="1948"/>
    </w:p>
    <w:p w14:paraId="0A8EC7C7">
      <w:pPr>
        <w:spacing w:after="160" w:line="278" w:lineRule="auto"/>
        <w:rPr>
          <w:sz w:val="22"/>
          <w:szCs w:val="28"/>
          <w:highlight w:val="none"/>
        </w:rPr>
      </w:pPr>
      <w:r>
        <w:rPr>
          <w:sz w:val="22"/>
          <w:szCs w:val="28"/>
          <w:highlight w:val="none"/>
        </w:rPr>
        <w:t>缺陷责任期自实际竣工日期起计算。在全部工程竣工验收前，已经发包人提前验收的单位工程，其缺陷责任期的起算日期相应提前。</w:t>
      </w:r>
    </w:p>
    <w:p w14:paraId="42F82FB2">
      <w:pPr>
        <w:spacing w:after="160" w:line="278" w:lineRule="auto"/>
        <w:rPr>
          <w:sz w:val="22"/>
          <w:szCs w:val="28"/>
          <w:highlight w:val="none"/>
        </w:rPr>
      </w:pPr>
      <w:bookmarkStart w:id="1949" w:name="_Toc342296387"/>
      <w:bookmarkStart w:id="1950" w:name="_Toc144974707"/>
      <w:bookmarkStart w:id="1951" w:name="_Toc338944829"/>
      <w:bookmarkStart w:id="1952" w:name="_Toc129798367"/>
      <w:bookmarkStart w:id="1953" w:name="_Toc179632754"/>
      <w:bookmarkStart w:id="1954" w:name="_Toc152042515"/>
      <w:bookmarkStart w:id="1955" w:name="_Toc109914432"/>
      <w:bookmarkStart w:id="1956" w:name="_Toc132618725"/>
      <w:bookmarkStart w:id="1957" w:name="_Toc142385654"/>
      <w:bookmarkStart w:id="1958" w:name="_Toc132619116"/>
      <w:bookmarkStart w:id="1959" w:name="_Toc152045736"/>
      <w:r>
        <w:rPr>
          <w:sz w:val="22"/>
          <w:szCs w:val="28"/>
          <w:highlight w:val="none"/>
        </w:rPr>
        <w:t>19.2 缺陷责任</w:t>
      </w:r>
      <w:bookmarkEnd w:id="1949"/>
      <w:bookmarkEnd w:id="1950"/>
      <w:bookmarkEnd w:id="1951"/>
      <w:bookmarkEnd w:id="1952"/>
      <w:bookmarkEnd w:id="1953"/>
      <w:bookmarkEnd w:id="1954"/>
      <w:bookmarkEnd w:id="1955"/>
      <w:bookmarkEnd w:id="1956"/>
      <w:bookmarkEnd w:id="1957"/>
      <w:bookmarkEnd w:id="1958"/>
      <w:bookmarkEnd w:id="1959"/>
    </w:p>
    <w:p w14:paraId="15B4750D">
      <w:pPr>
        <w:spacing w:after="160" w:line="278" w:lineRule="auto"/>
        <w:rPr>
          <w:sz w:val="22"/>
          <w:szCs w:val="28"/>
          <w:highlight w:val="none"/>
        </w:rPr>
      </w:pPr>
      <w:r>
        <w:rPr>
          <w:sz w:val="22"/>
          <w:szCs w:val="28"/>
          <w:highlight w:val="none"/>
        </w:rPr>
        <w:t>19.2.1 承包人应在缺陷责任期内对已交付使用的工程承担缺陷责任。</w:t>
      </w:r>
    </w:p>
    <w:p w14:paraId="1E5C0D6F">
      <w:pPr>
        <w:spacing w:after="160" w:line="278" w:lineRule="auto"/>
        <w:rPr>
          <w:sz w:val="22"/>
          <w:szCs w:val="28"/>
          <w:highlight w:val="none"/>
        </w:rPr>
      </w:pPr>
      <w:r>
        <w:rPr>
          <w:sz w:val="22"/>
          <w:szCs w:val="28"/>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385A2E23">
      <w:pPr>
        <w:spacing w:after="160" w:line="278" w:lineRule="auto"/>
        <w:rPr>
          <w:sz w:val="22"/>
          <w:szCs w:val="28"/>
          <w:highlight w:val="none"/>
        </w:rPr>
      </w:pPr>
      <w:r>
        <w:rPr>
          <w:sz w:val="22"/>
          <w:szCs w:val="28"/>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940259A">
      <w:pPr>
        <w:spacing w:after="160" w:line="278" w:lineRule="auto"/>
        <w:rPr>
          <w:sz w:val="22"/>
          <w:szCs w:val="28"/>
          <w:highlight w:val="none"/>
        </w:rPr>
      </w:pPr>
      <w:r>
        <w:rPr>
          <w:sz w:val="22"/>
          <w:szCs w:val="28"/>
          <w:highlight w:val="none"/>
        </w:rPr>
        <w:t>19.2.4 承包人不能在合理时间内修复缺陷的，发包人可自行修复或委托其他人修复，所需费用和利润的承担，按第19.2.3项约定办理。</w:t>
      </w:r>
    </w:p>
    <w:p w14:paraId="329E6CCA">
      <w:pPr>
        <w:spacing w:after="160" w:line="278" w:lineRule="auto"/>
        <w:rPr>
          <w:sz w:val="22"/>
          <w:szCs w:val="28"/>
          <w:highlight w:val="none"/>
        </w:rPr>
      </w:pPr>
      <w:bookmarkStart w:id="1960" w:name="_Toc342296388"/>
      <w:bookmarkStart w:id="1961" w:name="_Toc109914433"/>
      <w:bookmarkStart w:id="1962" w:name="_Toc144974708"/>
      <w:bookmarkStart w:id="1963" w:name="_Toc132619117"/>
      <w:bookmarkStart w:id="1964" w:name="_Toc152042516"/>
      <w:bookmarkStart w:id="1965" w:name="_Toc179632755"/>
      <w:bookmarkStart w:id="1966" w:name="_Toc338944830"/>
      <w:bookmarkStart w:id="1967" w:name="_Toc152045737"/>
      <w:bookmarkStart w:id="1968" w:name="_Toc142385655"/>
      <w:bookmarkStart w:id="1969" w:name="_Toc129798368"/>
      <w:r>
        <w:rPr>
          <w:sz w:val="22"/>
          <w:szCs w:val="28"/>
          <w:highlight w:val="none"/>
        </w:rPr>
        <w:t>19.3 缺陷责任期的延长</w:t>
      </w:r>
      <w:bookmarkEnd w:id="1960"/>
      <w:bookmarkEnd w:id="1961"/>
      <w:bookmarkEnd w:id="1962"/>
      <w:bookmarkEnd w:id="1963"/>
      <w:bookmarkEnd w:id="1964"/>
      <w:bookmarkEnd w:id="1965"/>
      <w:bookmarkEnd w:id="1966"/>
      <w:bookmarkEnd w:id="1967"/>
      <w:bookmarkEnd w:id="1968"/>
      <w:bookmarkEnd w:id="1969"/>
    </w:p>
    <w:p w14:paraId="34534FA3">
      <w:pPr>
        <w:spacing w:after="160" w:line="278" w:lineRule="auto"/>
        <w:rPr>
          <w:sz w:val="22"/>
          <w:szCs w:val="28"/>
          <w:highlight w:val="none"/>
        </w:rPr>
      </w:pPr>
      <w:r>
        <w:rPr>
          <w:sz w:val="22"/>
          <w:szCs w:val="28"/>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6EE5F1E3">
      <w:pPr>
        <w:spacing w:after="160" w:line="278" w:lineRule="auto"/>
        <w:rPr>
          <w:sz w:val="22"/>
          <w:szCs w:val="28"/>
          <w:highlight w:val="none"/>
        </w:rPr>
      </w:pPr>
      <w:bookmarkStart w:id="1970" w:name="_Toc129798369"/>
      <w:bookmarkStart w:id="1971" w:name="_Toc152042517"/>
      <w:bookmarkStart w:id="1972" w:name="_Toc342296389"/>
      <w:bookmarkStart w:id="1973" w:name="_Toc142385656"/>
      <w:bookmarkStart w:id="1974" w:name="_Toc152045738"/>
      <w:bookmarkStart w:id="1975" w:name="_Toc144974709"/>
      <w:bookmarkStart w:id="1976" w:name="_Toc109914434"/>
      <w:bookmarkStart w:id="1977" w:name="_Toc132619118"/>
      <w:bookmarkStart w:id="1978" w:name="_Toc179632756"/>
      <w:bookmarkStart w:id="1979" w:name="_Toc338944831"/>
      <w:r>
        <w:rPr>
          <w:sz w:val="22"/>
          <w:szCs w:val="28"/>
          <w:highlight w:val="none"/>
        </w:rPr>
        <w:t>19.4 进一步试验和试运行</w:t>
      </w:r>
      <w:bookmarkEnd w:id="1970"/>
      <w:bookmarkEnd w:id="1971"/>
      <w:bookmarkEnd w:id="1972"/>
      <w:bookmarkEnd w:id="1973"/>
      <w:bookmarkEnd w:id="1974"/>
      <w:bookmarkEnd w:id="1975"/>
      <w:bookmarkEnd w:id="1976"/>
      <w:bookmarkEnd w:id="1977"/>
      <w:bookmarkEnd w:id="1978"/>
      <w:bookmarkEnd w:id="1979"/>
    </w:p>
    <w:p w14:paraId="6BA69CB4">
      <w:pPr>
        <w:spacing w:after="160" w:line="278" w:lineRule="auto"/>
        <w:rPr>
          <w:sz w:val="22"/>
          <w:szCs w:val="28"/>
          <w:highlight w:val="none"/>
        </w:rPr>
      </w:pPr>
      <w:r>
        <w:rPr>
          <w:sz w:val="22"/>
          <w:szCs w:val="28"/>
          <w:highlight w:val="none"/>
        </w:rPr>
        <w:t>任何一项缺陷或损坏修复后，经检查证明其影响了工程或工程设备的使用性能，承包人应重新进行合同约定的试验和试运行，试验和试运行的全部费用应由责任方承担。</w:t>
      </w:r>
    </w:p>
    <w:p w14:paraId="440F5164">
      <w:pPr>
        <w:spacing w:after="160" w:line="278" w:lineRule="auto"/>
        <w:rPr>
          <w:sz w:val="22"/>
          <w:szCs w:val="28"/>
          <w:highlight w:val="none"/>
        </w:rPr>
      </w:pPr>
      <w:bookmarkStart w:id="1980" w:name="_Toc142385657"/>
      <w:bookmarkStart w:id="1981" w:name="_Toc179632757"/>
      <w:bookmarkStart w:id="1982" w:name="_Toc144974710"/>
      <w:bookmarkStart w:id="1983" w:name="_Toc109914435"/>
      <w:bookmarkStart w:id="1984" w:name="_Toc152045739"/>
      <w:bookmarkStart w:id="1985" w:name="_Toc338944832"/>
      <w:bookmarkStart w:id="1986" w:name="_Toc152042518"/>
      <w:bookmarkStart w:id="1987" w:name="_Toc342296390"/>
      <w:bookmarkStart w:id="1988" w:name="_Toc132619119"/>
      <w:bookmarkStart w:id="1989" w:name="_Toc129798370"/>
      <w:r>
        <w:rPr>
          <w:sz w:val="22"/>
          <w:szCs w:val="28"/>
          <w:highlight w:val="none"/>
        </w:rPr>
        <w:t>19.5 承包人的进入权</w:t>
      </w:r>
      <w:bookmarkEnd w:id="1980"/>
      <w:bookmarkEnd w:id="1981"/>
      <w:bookmarkEnd w:id="1982"/>
      <w:bookmarkEnd w:id="1983"/>
      <w:bookmarkEnd w:id="1984"/>
      <w:bookmarkEnd w:id="1985"/>
      <w:bookmarkEnd w:id="1986"/>
      <w:bookmarkEnd w:id="1987"/>
      <w:bookmarkEnd w:id="1988"/>
      <w:bookmarkEnd w:id="1989"/>
    </w:p>
    <w:p w14:paraId="07A682A8">
      <w:pPr>
        <w:spacing w:after="160" w:line="278" w:lineRule="auto"/>
        <w:rPr>
          <w:sz w:val="22"/>
          <w:szCs w:val="28"/>
          <w:highlight w:val="none"/>
        </w:rPr>
      </w:pPr>
      <w:r>
        <w:rPr>
          <w:sz w:val="22"/>
          <w:szCs w:val="28"/>
          <w:highlight w:val="none"/>
        </w:rPr>
        <w:t>缺陷责任期内承包人为缺陷修复工作需要，有权进入工程现场，但应遵守发包人的保安和保密规定。</w:t>
      </w:r>
    </w:p>
    <w:p w14:paraId="261D878B">
      <w:pPr>
        <w:spacing w:after="160" w:line="278" w:lineRule="auto"/>
        <w:rPr>
          <w:sz w:val="22"/>
          <w:szCs w:val="28"/>
          <w:highlight w:val="none"/>
        </w:rPr>
      </w:pPr>
      <w:bookmarkStart w:id="1990" w:name="_Toc152045740"/>
      <w:bookmarkStart w:id="1991" w:name="_Toc129798371"/>
      <w:bookmarkStart w:id="1992" w:name="_Toc132619120"/>
      <w:bookmarkStart w:id="1993" w:name="_Toc342296391"/>
      <w:bookmarkStart w:id="1994" w:name="_Toc144974711"/>
      <w:bookmarkStart w:id="1995" w:name="_Toc109914436"/>
      <w:bookmarkStart w:id="1996" w:name="_Toc179632758"/>
      <w:bookmarkStart w:id="1997" w:name="_Toc338944833"/>
      <w:bookmarkStart w:id="1998" w:name="_Toc152042519"/>
      <w:bookmarkStart w:id="1999" w:name="_Toc142385658"/>
      <w:r>
        <w:rPr>
          <w:sz w:val="22"/>
          <w:szCs w:val="28"/>
          <w:highlight w:val="none"/>
        </w:rPr>
        <w:t>19.6 缺陷责任期终止证书</w:t>
      </w:r>
      <w:bookmarkEnd w:id="1990"/>
      <w:bookmarkEnd w:id="1991"/>
      <w:bookmarkEnd w:id="1992"/>
      <w:bookmarkEnd w:id="1993"/>
      <w:bookmarkEnd w:id="1994"/>
      <w:bookmarkEnd w:id="1995"/>
      <w:bookmarkEnd w:id="1996"/>
      <w:bookmarkEnd w:id="1997"/>
      <w:bookmarkEnd w:id="1998"/>
      <w:bookmarkEnd w:id="1999"/>
    </w:p>
    <w:p w14:paraId="45970AF6">
      <w:pPr>
        <w:spacing w:after="160" w:line="278" w:lineRule="auto"/>
        <w:rPr>
          <w:sz w:val="22"/>
          <w:szCs w:val="28"/>
          <w:highlight w:val="none"/>
        </w:rPr>
      </w:pPr>
      <w:r>
        <w:rPr>
          <w:sz w:val="22"/>
          <w:szCs w:val="28"/>
          <w:highlight w:val="none"/>
        </w:rPr>
        <w:t>在第1.1.4.5目约定的缺陷责任期，包括根据第19.3款延长的期限终止后14天内，由监理人向承包人出具经发包人签认的缺陷责任期终止证书，并退还剩余的质量保证金。</w:t>
      </w:r>
    </w:p>
    <w:p w14:paraId="42D3CDB6">
      <w:pPr>
        <w:spacing w:after="160" w:line="278" w:lineRule="auto"/>
        <w:rPr>
          <w:sz w:val="22"/>
          <w:szCs w:val="28"/>
          <w:highlight w:val="none"/>
        </w:rPr>
      </w:pPr>
      <w:bookmarkStart w:id="2000" w:name="_Toc342296392"/>
      <w:bookmarkStart w:id="2001" w:name="_Toc132619121"/>
      <w:bookmarkStart w:id="2002" w:name="_Toc129798372"/>
      <w:bookmarkStart w:id="2003" w:name="_Toc338944834"/>
      <w:bookmarkStart w:id="2004" w:name="_Toc109914437"/>
      <w:bookmarkStart w:id="2005" w:name="_Toc142385659"/>
      <w:r>
        <w:rPr>
          <w:sz w:val="22"/>
          <w:szCs w:val="28"/>
          <w:highlight w:val="none"/>
        </w:rPr>
        <w:t>19.7 保修责任</w:t>
      </w:r>
      <w:bookmarkEnd w:id="2000"/>
      <w:bookmarkEnd w:id="2001"/>
      <w:bookmarkEnd w:id="2002"/>
      <w:bookmarkEnd w:id="2003"/>
      <w:bookmarkEnd w:id="2004"/>
      <w:bookmarkEnd w:id="2005"/>
    </w:p>
    <w:p w14:paraId="78A71057">
      <w:pPr>
        <w:spacing w:after="160" w:line="278" w:lineRule="auto"/>
        <w:rPr>
          <w:sz w:val="22"/>
          <w:szCs w:val="28"/>
          <w:highlight w:val="none"/>
        </w:rPr>
      </w:pPr>
      <w:r>
        <w:rPr>
          <w:sz w:val="22"/>
          <w:szCs w:val="28"/>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4E7A535">
      <w:pPr>
        <w:spacing w:after="160" w:line="278" w:lineRule="auto"/>
        <w:rPr>
          <w:sz w:val="22"/>
          <w:szCs w:val="28"/>
          <w:highlight w:val="none"/>
        </w:rPr>
      </w:pPr>
      <w:bookmarkStart w:id="2006" w:name="_Toc129798373"/>
      <w:bookmarkStart w:id="2007" w:name="_Toc448758541"/>
      <w:bookmarkStart w:id="2008" w:name="_Toc448758441"/>
      <w:bookmarkStart w:id="2009" w:name="_Toc342296393"/>
      <w:bookmarkStart w:id="2010" w:name="_Toc132619122"/>
      <w:bookmarkStart w:id="2011" w:name="_Toc142385660"/>
      <w:bookmarkStart w:id="2012" w:name="_Toc442365633"/>
      <w:bookmarkStart w:id="2013" w:name="_Toc469660036"/>
      <w:bookmarkStart w:id="2014" w:name="_Toc338944835"/>
      <w:bookmarkStart w:id="2015" w:name="_Toc109914438"/>
      <w:r>
        <w:rPr>
          <w:sz w:val="22"/>
          <w:szCs w:val="28"/>
          <w:highlight w:val="none"/>
        </w:rPr>
        <w:t>20. 保险</w:t>
      </w:r>
      <w:bookmarkEnd w:id="2006"/>
      <w:bookmarkEnd w:id="2007"/>
      <w:bookmarkEnd w:id="2008"/>
      <w:bookmarkEnd w:id="2009"/>
      <w:bookmarkEnd w:id="2010"/>
      <w:bookmarkEnd w:id="2011"/>
      <w:bookmarkEnd w:id="2012"/>
      <w:bookmarkEnd w:id="2013"/>
      <w:bookmarkEnd w:id="2014"/>
      <w:bookmarkEnd w:id="2015"/>
    </w:p>
    <w:p w14:paraId="213FBD6E">
      <w:pPr>
        <w:spacing w:after="160" w:line="278" w:lineRule="auto"/>
        <w:rPr>
          <w:sz w:val="22"/>
          <w:szCs w:val="28"/>
          <w:highlight w:val="none"/>
        </w:rPr>
      </w:pPr>
      <w:bookmarkStart w:id="2016" w:name="_Toc338944836"/>
      <w:bookmarkStart w:id="2017" w:name="_Toc109914439"/>
      <w:bookmarkStart w:id="2018" w:name="_Toc129798374"/>
      <w:bookmarkStart w:id="2019" w:name="_Toc132619123"/>
      <w:bookmarkStart w:id="2020" w:name="_Toc342296394"/>
      <w:bookmarkStart w:id="2021" w:name="_Toc142385661"/>
      <w:r>
        <w:rPr>
          <w:sz w:val="22"/>
          <w:szCs w:val="28"/>
          <w:highlight w:val="none"/>
        </w:rPr>
        <w:t>20.1 工程保险</w:t>
      </w:r>
      <w:bookmarkEnd w:id="2016"/>
      <w:bookmarkEnd w:id="2017"/>
      <w:bookmarkEnd w:id="2018"/>
      <w:bookmarkEnd w:id="2019"/>
      <w:bookmarkEnd w:id="2020"/>
      <w:bookmarkEnd w:id="2021"/>
    </w:p>
    <w:p w14:paraId="634AC4C0">
      <w:pPr>
        <w:spacing w:after="160" w:line="278" w:lineRule="auto"/>
        <w:rPr>
          <w:sz w:val="22"/>
          <w:szCs w:val="28"/>
          <w:highlight w:val="none"/>
        </w:rPr>
      </w:pPr>
      <w:r>
        <w:rPr>
          <w:sz w:val="22"/>
          <w:szCs w:val="28"/>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9E67A39">
      <w:pPr>
        <w:spacing w:after="160" w:line="278" w:lineRule="auto"/>
        <w:rPr>
          <w:sz w:val="22"/>
          <w:szCs w:val="28"/>
          <w:highlight w:val="none"/>
        </w:rPr>
      </w:pPr>
      <w:bookmarkStart w:id="2022" w:name="_Toc142385662"/>
      <w:bookmarkStart w:id="2023" w:name="_Toc109914440"/>
      <w:bookmarkStart w:id="2024" w:name="_Toc129798375"/>
      <w:bookmarkStart w:id="2025" w:name="_Toc342296395"/>
      <w:bookmarkStart w:id="2026" w:name="_Toc132619124"/>
      <w:bookmarkStart w:id="2027" w:name="_Toc338944837"/>
      <w:r>
        <w:rPr>
          <w:sz w:val="22"/>
          <w:szCs w:val="28"/>
          <w:highlight w:val="none"/>
        </w:rPr>
        <w:t>20.2 人员工伤事故的保险</w:t>
      </w:r>
      <w:bookmarkEnd w:id="2022"/>
      <w:bookmarkEnd w:id="2023"/>
      <w:bookmarkEnd w:id="2024"/>
      <w:bookmarkEnd w:id="2025"/>
      <w:bookmarkEnd w:id="2026"/>
      <w:bookmarkEnd w:id="2027"/>
    </w:p>
    <w:p w14:paraId="4B028D89">
      <w:pPr>
        <w:spacing w:after="160" w:line="278" w:lineRule="auto"/>
        <w:rPr>
          <w:sz w:val="22"/>
          <w:szCs w:val="28"/>
          <w:highlight w:val="none"/>
        </w:rPr>
      </w:pPr>
      <w:r>
        <w:rPr>
          <w:sz w:val="22"/>
          <w:szCs w:val="28"/>
          <w:highlight w:val="none"/>
        </w:rPr>
        <w:t xml:space="preserve">20.2.1 </w:t>
      </w:r>
      <w:r>
        <w:rPr>
          <w:rFonts w:hint="eastAsia"/>
          <w:sz w:val="22"/>
          <w:szCs w:val="28"/>
          <w:highlight w:val="none"/>
        </w:rPr>
        <w:t>承包人员工伤事故的保险</w:t>
      </w:r>
    </w:p>
    <w:p w14:paraId="4489CEEB">
      <w:pPr>
        <w:spacing w:after="160" w:line="278" w:lineRule="auto"/>
        <w:rPr>
          <w:sz w:val="22"/>
          <w:szCs w:val="28"/>
          <w:highlight w:val="none"/>
        </w:rPr>
      </w:pPr>
      <w:r>
        <w:rPr>
          <w:sz w:val="22"/>
          <w:szCs w:val="28"/>
          <w:highlight w:val="none"/>
        </w:rPr>
        <w:t>承包人应依照有关法律规定参加工伤保险，为其履行合同所雇佣的全部人员，缴纳工伤保险费，并要求其分包人也进行此项保险。</w:t>
      </w:r>
    </w:p>
    <w:p w14:paraId="1E2AC9A7">
      <w:pPr>
        <w:spacing w:after="160" w:line="278" w:lineRule="auto"/>
        <w:rPr>
          <w:sz w:val="22"/>
          <w:szCs w:val="28"/>
          <w:highlight w:val="none"/>
        </w:rPr>
      </w:pPr>
      <w:r>
        <w:rPr>
          <w:sz w:val="22"/>
          <w:szCs w:val="28"/>
          <w:highlight w:val="none"/>
        </w:rPr>
        <w:t xml:space="preserve">20.2.2 </w:t>
      </w:r>
      <w:r>
        <w:rPr>
          <w:rFonts w:hint="eastAsia"/>
          <w:sz w:val="22"/>
          <w:szCs w:val="28"/>
          <w:highlight w:val="none"/>
        </w:rPr>
        <w:t>发包人员工伤事故的保险</w:t>
      </w:r>
    </w:p>
    <w:p w14:paraId="6951760F">
      <w:pPr>
        <w:spacing w:after="160" w:line="278" w:lineRule="auto"/>
        <w:rPr>
          <w:sz w:val="22"/>
          <w:szCs w:val="28"/>
          <w:highlight w:val="none"/>
        </w:rPr>
      </w:pPr>
      <w:r>
        <w:rPr>
          <w:sz w:val="22"/>
          <w:szCs w:val="28"/>
          <w:highlight w:val="none"/>
        </w:rPr>
        <w:t>发包人应依照有关法律规定参加工伤保险，为其现场机构雇佣的全部人员，缴纳工伤保险费，并要求其监理人也进行此项保险。</w:t>
      </w:r>
    </w:p>
    <w:p w14:paraId="6B9F15F2">
      <w:pPr>
        <w:spacing w:after="160" w:line="278" w:lineRule="auto"/>
        <w:rPr>
          <w:sz w:val="22"/>
          <w:szCs w:val="28"/>
          <w:highlight w:val="none"/>
        </w:rPr>
      </w:pPr>
      <w:bookmarkStart w:id="2028" w:name="_Toc109914441"/>
      <w:bookmarkStart w:id="2029" w:name="_Toc129798376"/>
      <w:bookmarkStart w:id="2030" w:name="_Toc179632763"/>
      <w:bookmarkStart w:id="2031" w:name="_Toc152045745"/>
      <w:bookmarkStart w:id="2032" w:name="_Toc338944838"/>
      <w:bookmarkStart w:id="2033" w:name="_Toc132619125"/>
      <w:bookmarkStart w:id="2034" w:name="_Toc142385663"/>
      <w:bookmarkStart w:id="2035" w:name="_Toc342296396"/>
      <w:bookmarkStart w:id="2036" w:name="_Toc152042524"/>
      <w:bookmarkStart w:id="2037" w:name="_Toc144974716"/>
      <w:r>
        <w:rPr>
          <w:sz w:val="22"/>
          <w:szCs w:val="28"/>
          <w:highlight w:val="none"/>
        </w:rPr>
        <w:t>20.3 人身意外伤害险</w:t>
      </w:r>
      <w:bookmarkEnd w:id="2028"/>
      <w:bookmarkEnd w:id="2029"/>
      <w:bookmarkEnd w:id="2030"/>
      <w:bookmarkEnd w:id="2031"/>
      <w:bookmarkEnd w:id="2032"/>
      <w:bookmarkEnd w:id="2033"/>
      <w:bookmarkEnd w:id="2034"/>
      <w:bookmarkEnd w:id="2035"/>
      <w:bookmarkEnd w:id="2036"/>
      <w:bookmarkEnd w:id="2037"/>
    </w:p>
    <w:p w14:paraId="7907D2B9">
      <w:pPr>
        <w:spacing w:after="160" w:line="278" w:lineRule="auto"/>
        <w:rPr>
          <w:sz w:val="22"/>
          <w:szCs w:val="28"/>
          <w:highlight w:val="none"/>
        </w:rPr>
      </w:pPr>
      <w:r>
        <w:rPr>
          <w:sz w:val="22"/>
          <w:szCs w:val="28"/>
          <w:highlight w:val="none"/>
        </w:rPr>
        <w:t>20.3.1 发包人应在整个施工期间为其现场机构雇用的全部人员，投保人身意外伤害险，缴纳保险费，并要求其监理人也进行此项保险。</w:t>
      </w:r>
    </w:p>
    <w:p w14:paraId="4F2F9C19">
      <w:pPr>
        <w:spacing w:after="160" w:line="278" w:lineRule="auto"/>
        <w:rPr>
          <w:sz w:val="22"/>
          <w:szCs w:val="28"/>
          <w:highlight w:val="none"/>
        </w:rPr>
      </w:pPr>
      <w:r>
        <w:rPr>
          <w:sz w:val="22"/>
          <w:szCs w:val="28"/>
          <w:highlight w:val="none"/>
        </w:rPr>
        <w:t>20.3.2 承包人应在整个施工期间为其现场机构雇用的全部人员，投保人身意外伤害险，缴纳保险费，并要求其分包人也进行此项保险。</w:t>
      </w:r>
    </w:p>
    <w:p w14:paraId="1E01A103">
      <w:pPr>
        <w:spacing w:after="160" w:line="278" w:lineRule="auto"/>
        <w:rPr>
          <w:sz w:val="22"/>
          <w:szCs w:val="28"/>
          <w:highlight w:val="none"/>
        </w:rPr>
      </w:pPr>
      <w:bookmarkStart w:id="2038" w:name="_Toc338944839"/>
      <w:bookmarkStart w:id="2039" w:name="_Toc129798377"/>
      <w:bookmarkStart w:id="2040" w:name="_Toc142385664"/>
      <w:bookmarkStart w:id="2041" w:name="_Toc109914442"/>
      <w:bookmarkStart w:id="2042" w:name="_Toc132619126"/>
      <w:bookmarkStart w:id="2043" w:name="_Toc342296397"/>
      <w:r>
        <w:rPr>
          <w:sz w:val="22"/>
          <w:szCs w:val="28"/>
          <w:highlight w:val="none"/>
        </w:rPr>
        <w:t>20.4 第三者责任险</w:t>
      </w:r>
      <w:bookmarkEnd w:id="2038"/>
      <w:bookmarkEnd w:id="2039"/>
      <w:bookmarkEnd w:id="2040"/>
      <w:bookmarkEnd w:id="2041"/>
      <w:bookmarkEnd w:id="2042"/>
      <w:bookmarkEnd w:id="2043"/>
    </w:p>
    <w:p w14:paraId="41B63AFC">
      <w:pPr>
        <w:spacing w:after="160" w:line="278" w:lineRule="auto"/>
        <w:rPr>
          <w:sz w:val="22"/>
          <w:szCs w:val="28"/>
          <w:highlight w:val="none"/>
        </w:rPr>
      </w:pPr>
      <w:r>
        <w:rPr>
          <w:sz w:val="22"/>
          <w:szCs w:val="28"/>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F912CF8">
      <w:pPr>
        <w:spacing w:after="160" w:line="278" w:lineRule="auto"/>
        <w:rPr>
          <w:sz w:val="22"/>
          <w:szCs w:val="28"/>
          <w:highlight w:val="none"/>
        </w:rPr>
      </w:pPr>
      <w:r>
        <w:rPr>
          <w:sz w:val="22"/>
          <w:szCs w:val="28"/>
          <w:highlight w:val="none"/>
        </w:rPr>
        <w:t>20.4.2 在缺陷责任期终止证书颁发前，承包人应以承包人和发包人的共同名义，投保第20.4.1项约定的第三者责任险，其保险费率、保险金额等有关内容在专用合同条款中约定。</w:t>
      </w:r>
    </w:p>
    <w:p w14:paraId="758E00A4">
      <w:pPr>
        <w:spacing w:after="160" w:line="278" w:lineRule="auto"/>
        <w:rPr>
          <w:sz w:val="22"/>
          <w:szCs w:val="28"/>
          <w:highlight w:val="none"/>
        </w:rPr>
      </w:pPr>
      <w:bookmarkStart w:id="2044" w:name="_Toc132619127"/>
      <w:bookmarkStart w:id="2045" w:name="_Toc338944840"/>
      <w:bookmarkStart w:id="2046" w:name="_Toc109914443"/>
      <w:bookmarkStart w:id="2047" w:name="_Toc342296398"/>
      <w:bookmarkStart w:id="2048" w:name="_Toc129798378"/>
      <w:bookmarkStart w:id="2049" w:name="_Toc142385665"/>
      <w:r>
        <w:rPr>
          <w:sz w:val="22"/>
          <w:szCs w:val="28"/>
          <w:highlight w:val="none"/>
        </w:rPr>
        <w:t>20.5 其他保险</w:t>
      </w:r>
      <w:bookmarkEnd w:id="2044"/>
      <w:bookmarkEnd w:id="2045"/>
      <w:bookmarkEnd w:id="2046"/>
      <w:bookmarkEnd w:id="2047"/>
      <w:bookmarkEnd w:id="2048"/>
      <w:bookmarkEnd w:id="2049"/>
    </w:p>
    <w:p w14:paraId="1DE85D9A">
      <w:pPr>
        <w:spacing w:after="160" w:line="278" w:lineRule="auto"/>
        <w:rPr>
          <w:sz w:val="22"/>
          <w:szCs w:val="28"/>
          <w:highlight w:val="none"/>
        </w:rPr>
      </w:pPr>
      <w:r>
        <w:rPr>
          <w:sz w:val="22"/>
          <w:szCs w:val="28"/>
          <w:highlight w:val="none"/>
        </w:rPr>
        <w:t>除专用合同条款另有约定外，承包人应为其施工设备、进场的材料和工程设备等办理保险。</w:t>
      </w:r>
    </w:p>
    <w:p w14:paraId="62F76351">
      <w:pPr>
        <w:spacing w:after="160" w:line="278" w:lineRule="auto"/>
        <w:rPr>
          <w:sz w:val="22"/>
          <w:szCs w:val="28"/>
          <w:highlight w:val="none"/>
        </w:rPr>
      </w:pPr>
      <w:bookmarkStart w:id="2050" w:name="_Toc342296399"/>
      <w:bookmarkStart w:id="2051" w:name="_Toc129798379"/>
      <w:bookmarkStart w:id="2052" w:name="_Toc132619128"/>
      <w:bookmarkStart w:id="2053" w:name="_Toc109914444"/>
      <w:bookmarkStart w:id="2054" w:name="_Toc338944841"/>
      <w:bookmarkStart w:id="2055" w:name="_Toc142385666"/>
      <w:r>
        <w:rPr>
          <w:sz w:val="22"/>
          <w:szCs w:val="28"/>
          <w:highlight w:val="none"/>
        </w:rPr>
        <w:t>20.6 对各项保险的一般要求</w:t>
      </w:r>
      <w:bookmarkEnd w:id="2050"/>
      <w:bookmarkEnd w:id="2051"/>
      <w:bookmarkEnd w:id="2052"/>
      <w:bookmarkEnd w:id="2053"/>
      <w:bookmarkEnd w:id="2054"/>
      <w:bookmarkEnd w:id="2055"/>
    </w:p>
    <w:p w14:paraId="36F1C434">
      <w:pPr>
        <w:spacing w:after="160" w:line="278" w:lineRule="auto"/>
        <w:rPr>
          <w:sz w:val="22"/>
          <w:szCs w:val="28"/>
          <w:highlight w:val="none"/>
        </w:rPr>
      </w:pPr>
      <w:r>
        <w:rPr>
          <w:sz w:val="22"/>
          <w:szCs w:val="28"/>
          <w:highlight w:val="none"/>
        </w:rPr>
        <w:t xml:space="preserve">20.6.1 </w:t>
      </w:r>
      <w:r>
        <w:rPr>
          <w:rFonts w:hint="eastAsia"/>
          <w:sz w:val="22"/>
          <w:szCs w:val="28"/>
          <w:highlight w:val="none"/>
        </w:rPr>
        <w:t>保险凭证</w:t>
      </w:r>
    </w:p>
    <w:p w14:paraId="635F1EE3">
      <w:pPr>
        <w:spacing w:after="160" w:line="278" w:lineRule="auto"/>
        <w:rPr>
          <w:sz w:val="22"/>
          <w:szCs w:val="28"/>
          <w:highlight w:val="none"/>
        </w:rPr>
      </w:pPr>
      <w:r>
        <w:rPr>
          <w:sz w:val="22"/>
          <w:szCs w:val="28"/>
          <w:highlight w:val="none"/>
        </w:rPr>
        <w:t>承包人应在专用合同条款约定的期限内向发包人提交各项保险生效的证据和保险单副本，保险单必须与专用合同条款约定的条件保持一致。</w:t>
      </w:r>
    </w:p>
    <w:p w14:paraId="3E3EDEE4">
      <w:pPr>
        <w:spacing w:after="160" w:line="278" w:lineRule="auto"/>
        <w:rPr>
          <w:sz w:val="22"/>
          <w:szCs w:val="28"/>
          <w:highlight w:val="none"/>
        </w:rPr>
      </w:pPr>
      <w:r>
        <w:rPr>
          <w:sz w:val="22"/>
          <w:szCs w:val="28"/>
          <w:highlight w:val="none"/>
        </w:rPr>
        <w:t xml:space="preserve">20.6.2 </w:t>
      </w:r>
      <w:r>
        <w:rPr>
          <w:rFonts w:hint="eastAsia"/>
          <w:sz w:val="22"/>
          <w:szCs w:val="28"/>
          <w:highlight w:val="none"/>
        </w:rPr>
        <w:t>保险合同条款的变动</w:t>
      </w:r>
    </w:p>
    <w:p w14:paraId="29D0936F">
      <w:pPr>
        <w:spacing w:after="160" w:line="278" w:lineRule="auto"/>
        <w:rPr>
          <w:sz w:val="22"/>
          <w:szCs w:val="28"/>
          <w:highlight w:val="none"/>
        </w:rPr>
      </w:pPr>
      <w:r>
        <w:rPr>
          <w:sz w:val="22"/>
          <w:szCs w:val="28"/>
          <w:highlight w:val="none"/>
        </w:rPr>
        <w:t>承包人需要变动保险合同条款时，应事先征得发包人同意，并通知监理人。保险人作出变动的，承包人应在收到保险人通知后立即通知发包人和监理人。</w:t>
      </w:r>
    </w:p>
    <w:p w14:paraId="6F41165A">
      <w:pPr>
        <w:spacing w:after="160" w:line="278" w:lineRule="auto"/>
        <w:rPr>
          <w:sz w:val="22"/>
          <w:szCs w:val="28"/>
          <w:highlight w:val="none"/>
        </w:rPr>
      </w:pPr>
      <w:r>
        <w:rPr>
          <w:sz w:val="22"/>
          <w:szCs w:val="28"/>
          <w:highlight w:val="none"/>
        </w:rPr>
        <w:t xml:space="preserve">20.6.3 </w:t>
      </w:r>
      <w:r>
        <w:rPr>
          <w:rFonts w:hint="eastAsia"/>
          <w:sz w:val="22"/>
          <w:szCs w:val="28"/>
          <w:highlight w:val="none"/>
        </w:rPr>
        <w:t>持续保险</w:t>
      </w:r>
    </w:p>
    <w:p w14:paraId="5B64D8C4">
      <w:pPr>
        <w:spacing w:after="160" w:line="278" w:lineRule="auto"/>
        <w:rPr>
          <w:sz w:val="22"/>
          <w:szCs w:val="28"/>
          <w:highlight w:val="none"/>
        </w:rPr>
      </w:pPr>
      <w:r>
        <w:rPr>
          <w:sz w:val="22"/>
          <w:szCs w:val="28"/>
          <w:highlight w:val="none"/>
        </w:rPr>
        <w:t>承包人应与保险人保持联系，使保险人能够随时了解工程实施中的变动，并确保按保险合同条款要求持续保险。</w:t>
      </w:r>
    </w:p>
    <w:p w14:paraId="72E76A49">
      <w:pPr>
        <w:spacing w:after="160" w:line="278" w:lineRule="auto"/>
        <w:rPr>
          <w:sz w:val="22"/>
          <w:szCs w:val="28"/>
          <w:highlight w:val="none"/>
        </w:rPr>
      </w:pPr>
      <w:r>
        <w:rPr>
          <w:sz w:val="22"/>
          <w:szCs w:val="28"/>
          <w:highlight w:val="none"/>
        </w:rPr>
        <w:t xml:space="preserve">20.6.4 </w:t>
      </w:r>
      <w:r>
        <w:rPr>
          <w:rFonts w:hint="eastAsia"/>
          <w:sz w:val="22"/>
          <w:szCs w:val="28"/>
          <w:highlight w:val="none"/>
        </w:rPr>
        <w:t>保险金不足的补偿</w:t>
      </w:r>
    </w:p>
    <w:p w14:paraId="0B140031">
      <w:pPr>
        <w:spacing w:after="160" w:line="278" w:lineRule="auto"/>
        <w:rPr>
          <w:sz w:val="22"/>
          <w:szCs w:val="28"/>
          <w:highlight w:val="none"/>
        </w:rPr>
      </w:pPr>
      <w:r>
        <w:rPr>
          <w:sz w:val="22"/>
          <w:szCs w:val="28"/>
          <w:highlight w:val="none"/>
        </w:rPr>
        <w:t>保险金不足以补偿损失的，应由承包人和（或）发包人按合同约定负责补偿。</w:t>
      </w:r>
    </w:p>
    <w:p w14:paraId="4F91C5A4">
      <w:pPr>
        <w:spacing w:after="160" w:line="278" w:lineRule="auto"/>
        <w:rPr>
          <w:sz w:val="22"/>
          <w:szCs w:val="28"/>
          <w:highlight w:val="none"/>
        </w:rPr>
      </w:pPr>
      <w:r>
        <w:rPr>
          <w:sz w:val="22"/>
          <w:szCs w:val="28"/>
          <w:highlight w:val="none"/>
        </w:rPr>
        <w:t xml:space="preserve">20.6.5 </w:t>
      </w:r>
      <w:r>
        <w:rPr>
          <w:rFonts w:hint="eastAsia"/>
          <w:sz w:val="22"/>
          <w:szCs w:val="28"/>
          <w:highlight w:val="none"/>
        </w:rPr>
        <w:t>未按约定投保的补救</w:t>
      </w:r>
    </w:p>
    <w:p w14:paraId="0677FC63">
      <w:pPr>
        <w:spacing w:after="160" w:line="278" w:lineRule="auto"/>
        <w:rPr>
          <w:sz w:val="22"/>
          <w:szCs w:val="28"/>
          <w:highlight w:val="none"/>
        </w:rPr>
      </w:pPr>
      <w:r>
        <w:rPr>
          <w:sz w:val="22"/>
          <w:szCs w:val="28"/>
          <w:highlight w:val="none"/>
        </w:rPr>
        <w:t>（1）由于负有投保义务的一方当事人未按合同约定办理保险，或未能使保险持续有效的，另一方当事人可代为办理，所需费用由对方当事人承担。</w:t>
      </w:r>
    </w:p>
    <w:p w14:paraId="6F466CF8">
      <w:pPr>
        <w:spacing w:after="160" w:line="278" w:lineRule="auto"/>
        <w:rPr>
          <w:sz w:val="22"/>
          <w:szCs w:val="28"/>
          <w:highlight w:val="none"/>
        </w:rPr>
      </w:pPr>
      <w:r>
        <w:rPr>
          <w:sz w:val="22"/>
          <w:szCs w:val="28"/>
          <w:highlight w:val="none"/>
        </w:rPr>
        <w:t>（2）由于负有投保义务的一方当事人未按合同约定办理某项保险，导致受益人未能得到保险人的赔偿，原应从该项保险得到的保险金应由负有投保义务的一方当事人支付。</w:t>
      </w:r>
    </w:p>
    <w:p w14:paraId="570455DA">
      <w:pPr>
        <w:spacing w:after="160" w:line="278" w:lineRule="auto"/>
        <w:rPr>
          <w:sz w:val="22"/>
          <w:szCs w:val="28"/>
          <w:highlight w:val="none"/>
        </w:rPr>
      </w:pPr>
      <w:r>
        <w:rPr>
          <w:sz w:val="22"/>
          <w:szCs w:val="28"/>
          <w:highlight w:val="none"/>
        </w:rPr>
        <w:t xml:space="preserve">20.6.6 </w:t>
      </w:r>
      <w:r>
        <w:rPr>
          <w:rFonts w:hint="eastAsia"/>
          <w:sz w:val="22"/>
          <w:szCs w:val="28"/>
          <w:highlight w:val="none"/>
        </w:rPr>
        <w:t>报告义务</w:t>
      </w:r>
    </w:p>
    <w:p w14:paraId="02A38E4E">
      <w:pPr>
        <w:spacing w:after="160" w:line="278" w:lineRule="auto"/>
        <w:rPr>
          <w:sz w:val="22"/>
          <w:szCs w:val="28"/>
          <w:highlight w:val="none"/>
        </w:rPr>
      </w:pPr>
      <w:r>
        <w:rPr>
          <w:sz w:val="22"/>
          <w:szCs w:val="28"/>
          <w:highlight w:val="none"/>
        </w:rPr>
        <w:t>当保险事故发生时，投保人应按照保险单规定的条件和期限及时向保险人报告。</w:t>
      </w:r>
    </w:p>
    <w:p w14:paraId="3A4276FA">
      <w:pPr>
        <w:spacing w:after="160" w:line="278" w:lineRule="auto"/>
        <w:rPr>
          <w:sz w:val="22"/>
          <w:szCs w:val="28"/>
          <w:highlight w:val="none"/>
        </w:rPr>
      </w:pPr>
      <w:bookmarkStart w:id="2056" w:name="_Toc132619129"/>
      <w:bookmarkStart w:id="2057" w:name="_Toc442365634"/>
      <w:bookmarkStart w:id="2058" w:name="_Toc448758442"/>
      <w:bookmarkStart w:id="2059" w:name="_Toc109914445"/>
      <w:bookmarkStart w:id="2060" w:name="_Toc469660037"/>
      <w:bookmarkStart w:id="2061" w:name="_Toc338944842"/>
      <w:bookmarkStart w:id="2062" w:name="_Toc448758542"/>
      <w:bookmarkStart w:id="2063" w:name="_Toc342296400"/>
      <w:bookmarkStart w:id="2064" w:name="_Toc142385667"/>
      <w:bookmarkStart w:id="2065" w:name="_Toc129798380"/>
      <w:r>
        <w:rPr>
          <w:sz w:val="22"/>
          <w:szCs w:val="28"/>
          <w:highlight w:val="none"/>
        </w:rPr>
        <w:t>21. 不可抗力</w:t>
      </w:r>
      <w:bookmarkEnd w:id="2056"/>
      <w:bookmarkEnd w:id="2057"/>
      <w:bookmarkEnd w:id="2058"/>
      <w:bookmarkEnd w:id="2059"/>
      <w:bookmarkEnd w:id="2060"/>
      <w:bookmarkEnd w:id="2061"/>
      <w:bookmarkEnd w:id="2062"/>
      <w:bookmarkEnd w:id="2063"/>
      <w:bookmarkEnd w:id="2064"/>
      <w:bookmarkEnd w:id="2065"/>
    </w:p>
    <w:p w14:paraId="48239D40">
      <w:pPr>
        <w:spacing w:after="160" w:line="278" w:lineRule="auto"/>
        <w:rPr>
          <w:sz w:val="22"/>
          <w:szCs w:val="28"/>
          <w:highlight w:val="none"/>
        </w:rPr>
      </w:pPr>
      <w:bookmarkStart w:id="2066" w:name="_Toc342296401"/>
      <w:bookmarkStart w:id="2067" w:name="_Toc142385668"/>
      <w:bookmarkStart w:id="2068" w:name="_Toc132619130"/>
      <w:bookmarkStart w:id="2069" w:name="_Toc338944843"/>
      <w:bookmarkStart w:id="2070" w:name="_Toc109914446"/>
      <w:bookmarkStart w:id="2071" w:name="_Toc129798381"/>
      <w:r>
        <w:rPr>
          <w:sz w:val="22"/>
          <w:szCs w:val="28"/>
          <w:highlight w:val="none"/>
        </w:rPr>
        <w:t>21.1 不可抗力的确认</w:t>
      </w:r>
      <w:bookmarkEnd w:id="2066"/>
      <w:bookmarkEnd w:id="2067"/>
      <w:bookmarkEnd w:id="2068"/>
      <w:bookmarkEnd w:id="2069"/>
      <w:bookmarkEnd w:id="2070"/>
      <w:bookmarkEnd w:id="2071"/>
    </w:p>
    <w:p w14:paraId="1BFDE1E8">
      <w:pPr>
        <w:spacing w:after="160" w:line="278" w:lineRule="auto"/>
        <w:rPr>
          <w:sz w:val="22"/>
          <w:szCs w:val="28"/>
          <w:highlight w:val="none"/>
        </w:rPr>
      </w:pPr>
      <w:r>
        <w:rPr>
          <w:sz w:val="22"/>
          <w:szCs w:val="28"/>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40691AF">
      <w:pPr>
        <w:spacing w:after="160" w:line="278" w:lineRule="auto"/>
        <w:rPr>
          <w:sz w:val="22"/>
          <w:szCs w:val="28"/>
          <w:highlight w:val="none"/>
        </w:rPr>
      </w:pPr>
      <w:r>
        <w:rPr>
          <w:sz w:val="22"/>
          <w:szCs w:val="28"/>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8BF95D3">
      <w:pPr>
        <w:spacing w:after="160" w:line="278" w:lineRule="auto"/>
        <w:rPr>
          <w:sz w:val="22"/>
          <w:szCs w:val="28"/>
          <w:highlight w:val="none"/>
        </w:rPr>
      </w:pPr>
      <w:bookmarkStart w:id="2072" w:name="_Toc152042530"/>
      <w:bookmarkStart w:id="2073" w:name="_Toc342296402"/>
      <w:bookmarkStart w:id="2074" w:name="_Toc129798382"/>
      <w:bookmarkStart w:id="2075" w:name="_Toc152045751"/>
      <w:bookmarkStart w:id="2076" w:name="_Toc109914447"/>
      <w:bookmarkStart w:id="2077" w:name="_Toc144974722"/>
      <w:bookmarkStart w:id="2078" w:name="_Toc132619131"/>
      <w:bookmarkStart w:id="2079" w:name="_Toc179632769"/>
      <w:bookmarkStart w:id="2080" w:name="_Toc338944844"/>
      <w:bookmarkStart w:id="2081" w:name="_Toc142385669"/>
      <w:r>
        <w:rPr>
          <w:sz w:val="22"/>
          <w:szCs w:val="28"/>
          <w:highlight w:val="none"/>
        </w:rPr>
        <w:t>21.2 不可抗力的通知</w:t>
      </w:r>
      <w:bookmarkEnd w:id="2072"/>
      <w:bookmarkEnd w:id="2073"/>
      <w:bookmarkEnd w:id="2074"/>
      <w:bookmarkEnd w:id="2075"/>
      <w:bookmarkEnd w:id="2076"/>
      <w:bookmarkEnd w:id="2077"/>
      <w:bookmarkEnd w:id="2078"/>
      <w:bookmarkEnd w:id="2079"/>
      <w:bookmarkEnd w:id="2080"/>
      <w:bookmarkEnd w:id="2081"/>
    </w:p>
    <w:p w14:paraId="20CCD33F">
      <w:pPr>
        <w:spacing w:after="160" w:line="278" w:lineRule="auto"/>
        <w:rPr>
          <w:sz w:val="22"/>
          <w:szCs w:val="28"/>
          <w:highlight w:val="none"/>
        </w:rPr>
      </w:pPr>
      <w:r>
        <w:rPr>
          <w:sz w:val="22"/>
          <w:szCs w:val="28"/>
          <w:highlight w:val="none"/>
        </w:rPr>
        <w:t>21.2.1 合同一方当事人遇到不可抗力事件，使其履行合同义务受到阻碍时，应立即通知合同另一方当事人和监理人，书面说明不可抗力和受阻碍的详细情况，并提供必要的证明。</w:t>
      </w:r>
    </w:p>
    <w:p w14:paraId="57DA0C15">
      <w:pPr>
        <w:spacing w:after="160" w:line="278" w:lineRule="auto"/>
        <w:rPr>
          <w:sz w:val="22"/>
          <w:szCs w:val="28"/>
          <w:highlight w:val="none"/>
        </w:rPr>
      </w:pPr>
      <w:r>
        <w:rPr>
          <w:sz w:val="22"/>
          <w:szCs w:val="28"/>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70F320ED">
      <w:pPr>
        <w:spacing w:after="160" w:line="278" w:lineRule="auto"/>
        <w:rPr>
          <w:sz w:val="22"/>
          <w:szCs w:val="28"/>
          <w:highlight w:val="none"/>
        </w:rPr>
      </w:pPr>
      <w:bookmarkStart w:id="2082" w:name="_Toc132619132"/>
      <w:bookmarkStart w:id="2083" w:name="_Toc142385670"/>
      <w:bookmarkStart w:id="2084" w:name="_Toc342296403"/>
      <w:bookmarkStart w:id="2085" w:name="_Toc338944845"/>
      <w:bookmarkStart w:id="2086" w:name="_Toc129798383"/>
      <w:bookmarkStart w:id="2087" w:name="_Toc109914448"/>
      <w:r>
        <w:rPr>
          <w:sz w:val="22"/>
          <w:szCs w:val="28"/>
          <w:highlight w:val="none"/>
        </w:rPr>
        <w:t>21.3 不可抗力后果及其处理</w:t>
      </w:r>
      <w:bookmarkEnd w:id="2082"/>
      <w:bookmarkEnd w:id="2083"/>
      <w:bookmarkEnd w:id="2084"/>
      <w:bookmarkEnd w:id="2085"/>
      <w:bookmarkEnd w:id="2086"/>
      <w:bookmarkEnd w:id="2087"/>
    </w:p>
    <w:p w14:paraId="634431FC">
      <w:pPr>
        <w:spacing w:after="160" w:line="278" w:lineRule="auto"/>
        <w:rPr>
          <w:sz w:val="22"/>
          <w:szCs w:val="28"/>
          <w:highlight w:val="none"/>
        </w:rPr>
      </w:pPr>
      <w:r>
        <w:rPr>
          <w:sz w:val="22"/>
          <w:szCs w:val="28"/>
          <w:highlight w:val="none"/>
        </w:rPr>
        <w:t xml:space="preserve">21.3.1 </w:t>
      </w:r>
      <w:r>
        <w:rPr>
          <w:rFonts w:hint="eastAsia"/>
          <w:sz w:val="22"/>
          <w:szCs w:val="28"/>
          <w:highlight w:val="none"/>
        </w:rPr>
        <w:t>不可抗力造成损害的责任</w:t>
      </w:r>
    </w:p>
    <w:p w14:paraId="674E9EBA">
      <w:pPr>
        <w:spacing w:after="160" w:line="278" w:lineRule="auto"/>
        <w:rPr>
          <w:sz w:val="22"/>
          <w:szCs w:val="28"/>
          <w:highlight w:val="none"/>
        </w:rPr>
      </w:pPr>
      <w:r>
        <w:rPr>
          <w:sz w:val="22"/>
          <w:szCs w:val="28"/>
          <w:highlight w:val="none"/>
        </w:rPr>
        <w:t>除专用合同条款另有约定外，不可抗力导致的人员伤亡、财产损失、费用增加和（或）工期延误等后果，由合同双方按以下原则承担：</w:t>
      </w:r>
    </w:p>
    <w:p w14:paraId="6FE29081">
      <w:pPr>
        <w:spacing w:after="160" w:line="278" w:lineRule="auto"/>
        <w:rPr>
          <w:sz w:val="22"/>
          <w:szCs w:val="28"/>
          <w:highlight w:val="none"/>
        </w:rPr>
      </w:pPr>
      <w:r>
        <w:rPr>
          <w:sz w:val="22"/>
          <w:szCs w:val="28"/>
          <w:highlight w:val="none"/>
        </w:rPr>
        <w:t>（1）永久工程，包括已运至施工场地的材料和工程设备的损害，以及因工程损害造成的第三者人员伤亡和财产损失由发包人承担；</w:t>
      </w:r>
    </w:p>
    <w:p w14:paraId="28CB3F71">
      <w:pPr>
        <w:spacing w:after="160" w:line="278" w:lineRule="auto"/>
        <w:rPr>
          <w:sz w:val="22"/>
          <w:szCs w:val="28"/>
          <w:highlight w:val="none"/>
        </w:rPr>
      </w:pPr>
      <w:r>
        <w:rPr>
          <w:sz w:val="22"/>
          <w:szCs w:val="28"/>
          <w:highlight w:val="none"/>
        </w:rPr>
        <w:t>（2）承包人设备的损坏由承包人承担；</w:t>
      </w:r>
    </w:p>
    <w:p w14:paraId="55C87799">
      <w:pPr>
        <w:spacing w:after="160" w:line="278" w:lineRule="auto"/>
        <w:rPr>
          <w:sz w:val="22"/>
          <w:szCs w:val="28"/>
          <w:highlight w:val="none"/>
        </w:rPr>
      </w:pPr>
      <w:r>
        <w:rPr>
          <w:sz w:val="22"/>
          <w:szCs w:val="28"/>
          <w:highlight w:val="none"/>
        </w:rPr>
        <w:t>（3）发包人和承包人各自承担其人员伤亡和其他财产损失及其相关费用；</w:t>
      </w:r>
    </w:p>
    <w:p w14:paraId="7F731651">
      <w:pPr>
        <w:spacing w:after="160" w:line="278" w:lineRule="auto"/>
        <w:rPr>
          <w:sz w:val="22"/>
          <w:szCs w:val="28"/>
          <w:highlight w:val="none"/>
        </w:rPr>
      </w:pPr>
      <w:r>
        <w:rPr>
          <w:sz w:val="22"/>
          <w:szCs w:val="28"/>
          <w:highlight w:val="none"/>
        </w:rPr>
        <w:t>（4）承包人的停工损失由承包人承担，但停工期间应监理人要求照管工程和清理、修复工程的金额由发包人承担；</w:t>
      </w:r>
    </w:p>
    <w:p w14:paraId="2E7EA45B">
      <w:pPr>
        <w:spacing w:after="160" w:line="278" w:lineRule="auto"/>
        <w:rPr>
          <w:sz w:val="22"/>
          <w:szCs w:val="28"/>
          <w:highlight w:val="none"/>
        </w:rPr>
      </w:pPr>
      <w:r>
        <w:rPr>
          <w:sz w:val="22"/>
          <w:szCs w:val="28"/>
          <w:highlight w:val="none"/>
        </w:rPr>
        <w:t>（5）不能按期竣工的，应合理延长工期，承包人不需支付逾期竣工违约金。发包人要求赶工的，承包人应采取赶工措施，赶工费用由发包人承担。</w:t>
      </w:r>
    </w:p>
    <w:p w14:paraId="279BB174">
      <w:pPr>
        <w:spacing w:after="160" w:line="278" w:lineRule="auto"/>
        <w:rPr>
          <w:sz w:val="22"/>
          <w:szCs w:val="28"/>
          <w:highlight w:val="none"/>
        </w:rPr>
      </w:pPr>
      <w:r>
        <w:rPr>
          <w:sz w:val="22"/>
          <w:szCs w:val="28"/>
          <w:highlight w:val="none"/>
        </w:rPr>
        <w:t xml:space="preserve">21.3.2 </w:t>
      </w:r>
      <w:r>
        <w:rPr>
          <w:rFonts w:hint="eastAsia"/>
          <w:sz w:val="22"/>
          <w:szCs w:val="28"/>
          <w:highlight w:val="none"/>
        </w:rPr>
        <w:t>延迟履行期间发生的不可抗力</w:t>
      </w:r>
    </w:p>
    <w:p w14:paraId="21B465C7">
      <w:pPr>
        <w:spacing w:after="160" w:line="278" w:lineRule="auto"/>
        <w:rPr>
          <w:sz w:val="22"/>
          <w:szCs w:val="28"/>
          <w:highlight w:val="none"/>
        </w:rPr>
      </w:pPr>
      <w:r>
        <w:rPr>
          <w:sz w:val="22"/>
          <w:szCs w:val="28"/>
          <w:highlight w:val="none"/>
        </w:rPr>
        <w:t>合同一方当事人延迟履行，在延迟履行期间发生不可抗力的，不免除其责任。</w:t>
      </w:r>
    </w:p>
    <w:p w14:paraId="52E31EE2">
      <w:pPr>
        <w:spacing w:after="160" w:line="278" w:lineRule="auto"/>
        <w:rPr>
          <w:sz w:val="22"/>
          <w:szCs w:val="28"/>
          <w:highlight w:val="none"/>
        </w:rPr>
      </w:pPr>
      <w:r>
        <w:rPr>
          <w:sz w:val="22"/>
          <w:szCs w:val="28"/>
          <w:highlight w:val="none"/>
        </w:rPr>
        <w:t xml:space="preserve">21.3.3 </w:t>
      </w:r>
      <w:r>
        <w:rPr>
          <w:rFonts w:hint="eastAsia"/>
          <w:sz w:val="22"/>
          <w:szCs w:val="28"/>
          <w:highlight w:val="none"/>
        </w:rPr>
        <w:t>避免和减少不可抗力损失</w:t>
      </w:r>
    </w:p>
    <w:p w14:paraId="249AF1E4">
      <w:pPr>
        <w:spacing w:after="160" w:line="278" w:lineRule="auto"/>
        <w:rPr>
          <w:sz w:val="22"/>
          <w:szCs w:val="28"/>
          <w:highlight w:val="none"/>
        </w:rPr>
      </w:pPr>
      <w:r>
        <w:rPr>
          <w:sz w:val="22"/>
          <w:szCs w:val="28"/>
          <w:highlight w:val="none"/>
        </w:rPr>
        <w:t>不可抗力发生后，发包人和承包人均应采取措施尽量避免和减少损失的扩大，任何一方没有采取有效措施导致损失扩大的，应对扩大的损失承担责任。</w:t>
      </w:r>
    </w:p>
    <w:p w14:paraId="3671C791">
      <w:pPr>
        <w:spacing w:after="160" w:line="278" w:lineRule="auto"/>
        <w:rPr>
          <w:sz w:val="22"/>
          <w:szCs w:val="28"/>
          <w:highlight w:val="none"/>
        </w:rPr>
      </w:pPr>
      <w:r>
        <w:rPr>
          <w:sz w:val="22"/>
          <w:szCs w:val="28"/>
          <w:highlight w:val="none"/>
        </w:rPr>
        <w:t xml:space="preserve">21.3.4 </w:t>
      </w:r>
      <w:r>
        <w:rPr>
          <w:rFonts w:hint="eastAsia"/>
          <w:sz w:val="22"/>
          <w:szCs w:val="28"/>
          <w:highlight w:val="none"/>
        </w:rPr>
        <w:t>因不可抗力解除合同</w:t>
      </w:r>
    </w:p>
    <w:p w14:paraId="3CDCBF76">
      <w:pPr>
        <w:spacing w:after="160" w:line="278" w:lineRule="auto"/>
        <w:rPr>
          <w:sz w:val="22"/>
          <w:szCs w:val="28"/>
          <w:highlight w:val="none"/>
        </w:rPr>
      </w:pPr>
      <w:r>
        <w:rPr>
          <w:sz w:val="22"/>
          <w:szCs w:val="28"/>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F9BE3C5">
      <w:pPr>
        <w:spacing w:after="160" w:line="278" w:lineRule="auto"/>
        <w:rPr>
          <w:sz w:val="22"/>
          <w:szCs w:val="28"/>
          <w:highlight w:val="none"/>
        </w:rPr>
      </w:pPr>
      <w:bookmarkStart w:id="2088" w:name="_Toc342296404"/>
      <w:bookmarkStart w:id="2089" w:name="_Toc152042532"/>
      <w:bookmarkStart w:id="2090" w:name="_Toc448758443"/>
      <w:bookmarkStart w:id="2091" w:name="_Toc442365635"/>
      <w:bookmarkStart w:id="2092" w:name="_Toc338944846"/>
      <w:bookmarkStart w:id="2093" w:name="_Toc144974724"/>
      <w:bookmarkStart w:id="2094" w:name="_Toc448758543"/>
      <w:bookmarkStart w:id="2095" w:name="_Toc142385671"/>
      <w:bookmarkStart w:id="2096" w:name="_Toc469660038"/>
      <w:bookmarkStart w:id="2097" w:name="_Toc129798384"/>
      <w:bookmarkStart w:id="2098" w:name="_Toc152045753"/>
      <w:bookmarkStart w:id="2099" w:name="_Toc109914449"/>
      <w:bookmarkStart w:id="2100" w:name="_Toc179632771"/>
      <w:bookmarkStart w:id="2101" w:name="_Toc132619133"/>
      <w:r>
        <w:rPr>
          <w:sz w:val="22"/>
          <w:szCs w:val="28"/>
          <w:highlight w:val="none"/>
        </w:rPr>
        <w:t>22. 违约</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14:paraId="71014262">
      <w:pPr>
        <w:spacing w:after="160" w:line="278" w:lineRule="auto"/>
        <w:rPr>
          <w:sz w:val="22"/>
          <w:szCs w:val="28"/>
          <w:highlight w:val="none"/>
        </w:rPr>
      </w:pPr>
      <w:bookmarkStart w:id="2102" w:name="_Toc144974725"/>
      <w:bookmarkStart w:id="2103" w:name="_Toc179632772"/>
      <w:bookmarkStart w:id="2104" w:name="_Toc129798385"/>
      <w:bookmarkStart w:id="2105" w:name="_Toc109914450"/>
      <w:bookmarkStart w:id="2106" w:name="_Toc152042533"/>
      <w:bookmarkStart w:id="2107" w:name="_Toc338944847"/>
      <w:bookmarkStart w:id="2108" w:name="_Toc132619134"/>
      <w:bookmarkStart w:id="2109" w:name="_Toc142385672"/>
      <w:bookmarkStart w:id="2110" w:name="_Toc152045754"/>
      <w:bookmarkStart w:id="2111" w:name="_Toc342296405"/>
      <w:r>
        <w:rPr>
          <w:sz w:val="22"/>
          <w:szCs w:val="28"/>
          <w:highlight w:val="none"/>
        </w:rPr>
        <w:t>22.1 承包人违约</w:t>
      </w:r>
      <w:bookmarkEnd w:id="2102"/>
      <w:bookmarkEnd w:id="2103"/>
      <w:bookmarkEnd w:id="2104"/>
      <w:bookmarkEnd w:id="2105"/>
      <w:bookmarkEnd w:id="2106"/>
      <w:bookmarkEnd w:id="2107"/>
      <w:bookmarkEnd w:id="2108"/>
      <w:bookmarkEnd w:id="2109"/>
      <w:bookmarkEnd w:id="2110"/>
      <w:bookmarkEnd w:id="2111"/>
    </w:p>
    <w:p w14:paraId="728C9A82">
      <w:pPr>
        <w:spacing w:after="160" w:line="278" w:lineRule="auto"/>
        <w:rPr>
          <w:sz w:val="22"/>
          <w:szCs w:val="28"/>
          <w:highlight w:val="none"/>
        </w:rPr>
      </w:pPr>
      <w:r>
        <w:rPr>
          <w:sz w:val="22"/>
          <w:szCs w:val="28"/>
          <w:highlight w:val="none"/>
        </w:rPr>
        <w:t xml:space="preserve">22.1.1 </w:t>
      </w:r>
      <w:r>
        <w:rPr>
          <w:rFonts w:hint="eastAsia"/>
          <w:sz w:val="22"/>
          <w:szCs w:val="28"/>
          <w:highlight w:val="none"/>
        </w:rPr>
        <w:t>承包人违约的情形</w:t>
      </w:r>
    </w:p>
    <w:p w14:paraId="06250722">
      <w:pPr>
        <w:spacing w:after="160" w:line="278" w:lineRule="auto"/>
        <w:rPr>
          <w:sz w:val="22"/>
          <w:szCs w:val="28"/>
          <w:highlight w:val="none"/>
        </w:rPr>
      </w:pPr>
      <w:r>
        <w:rPr>
          <w:sz w:val="22"/>
          <w:szCs w:val="28"/>
          <w:highlight w:val="none"/>
        </w:rPr>
        <w:t>在履行合同过程中发生的下列情况属承包人违约：</w:t>
      </w:r>
    </w:p>
    <w:p w14:paraId="43240805">
      <w:pPr>
        <w:spacing w:after="160" w:line="278" w:lineRule="auto"/>
        <w:rPr>
          <w:sz w:val="22"/>
          <w:szCs w:val="28"/>
          <w:highlight w:val="none"/>
        </w:rPr>
      </w:pPr>
      <w:r>
        <w:rPr>
          <w:sz w:val="22"/>
          <w:szCs w:val="28"/>
          <w:highlight w:val="none"/>
        </w:rPr>
        <w:t>（1）承包人违反第1.8款或第4.3款的约定，私自将合同的全部或部分权利转让给其他人，或私自将合同的全部或部分义务转移给其他人；</w:t>
      </w:r>
    </w:p>
    <w:p w14:paraId="31ACA0C6">
      <w:pPr>
        <w:spacing w:after="160" w:line="278" w:lineRule="auto"/>
        <w:rPr>
          <w:sz w:val="22"/>
          <w:szCs w:val="28"/>
          <w:highlight w:val="none"/>
        </w:rPr>
      </w:pPr>
      <w:r>
        <w:rPr>
          <w:sz w:val="22"/>
          <w:szCs w:val="28"/>
          <w:highlight w:val="none"/>
        </w:rPr>
        <w:t>（2）承包人违反第5.3款或第6.4款的约定，未经监理人批准，私自将已按合同约定进入施工场地的施工设备、临时设施或材料撤离施工场地；</w:t>
      </w:r>
    </w:p>
    <w:p w14:paraId="602577ED">
      <w:pPr>
        <w:spacing w:after="160" w:line="278" w:lineRule="auto"/>
        <w:rPr>
          <w:sz w:val="22"/>
          <w:szCs w:val="28"/>
          <w:highlight w:val="none"/>
        </w:rPr>
      </w:pPr>
      <w:r>
        <w:rPr>
          <w:sz w:val="22"/>
          <w:szCs w:val="28"/>
          <w:highlight w:val="none"/>
        </w:rPr>
        <w:t>（3）承包人违反第5.4款的约定使用了不合格材料或工程设备，工程质量达不到标准要求，又拒绝清除不合格工程；</w:t>
      </w:r>
    </w:p>
    <w:p w14:paraId="0D155D0B">
      <w:pPr>
        <w:spacing w:after="160" w:line="278" w:lineRule="auto"/>
        <w:rPr>
          <w:sz w:val="22"/>
          <w:szCs w:val="28"/>
          <w:highlight w:val="none"/>
        </w:rPr>
      </w:pPr>
      <w:r>
        <w:rPr>
          <w:sz w:val="22"/>
          <w:szCs w:val="28"/>
          <w:highlight w:val="none"/>
        </w:rPr>
        <w:t>（4）承包人未能按合同进度计划及时完成合同约定的工作，已造成或预期造成工期延误；</w:t>
      </w:r>
    </w:p>
    <w:p w14:paraId="2345CB9D">
      <w:pPr>
        <w:spacing w:after="160" w:line="278" w:lineRule="auto"/>
        <w:rPr>
          <w:sz w:val="22"/>
          <w:szCs w:val="28"/>
          <w:highlight w:val="none"/>
        </w:rPr>
      </w:pPr>
      <w:r>
        <w:rPr>
          <w:sz w:val="22"/>
          <w:szCs w:val="28"/>
          <w:highlight w:val="none"/>
        </w:rPr>
        <w:t>（5）承包人在缺陷责任期内，未能对工程接收证书所列的缺陷清单的内容或缺陷责任期内发生的缺陷进行修复，而又拒绝按监理人指示再进行修补；</w:t>
      </w:r>
    </w:p>
    <w:p w14:paraId="50004E72">
      <w:pPr>
        <w:spacing w:after="160" w:line="278" w:lineRule="auto"/>
        <w:rPr>
          <w:sz w:val="22"/>
          <w:szCs w:val="28"/>
          <w:highlight w:val="none"/>
        </w:rPr>
      </w:pPr>
      <w:r>
        <w:rPr>
          <w:sz w:val="22"/>
          <w:szCs w:val="28"/>
          <w:highlight w:val="none"/>
        </w:rPr>
        <w:t>（6）承包人无法继续履行或明确表示不履行或实质上已停止履行合同；</w:t>
      </w:r>
    </w:p>
    <w:p w14:paraId="78825BB2">
      <w:pPr>
        <w:spacing w:after="160" w:line="278" w:lineRule="auto"/>
        <w:rPr>
          <w:sz w:val="22"/>
          <w:szCs w:val="28"/>
          <w:highlight w:val="none"/>
        </w:rPr>
      </w:pPr>
      <w:r>
        <w:rPr>
          <w:sz w:val="22"/>
          <w:szCs w:val="28"/>
          <w:highlight w:val="none"/>
        </w:rPr>
        <w:t>（7）承包人不按合同约定履行义务的其他情况。</w:t>
      </w:r>
    </w:p>
    <w:p w14:paraId="03058B49">
      <w:pPr>
        <w:spacing w:after="160" w:line="278" w:lineRule="auto"/>
        <w:rPr>
          <w:sz w:val="22"/>
          <w:szCs w:val="28"/>
          <w:highlight w:val="none"/>
        </w:rPr>
      </w:pPr>
      <w:r>
        <w:rPr>
          <w:sz w:val="22"/>
          <w:szCs w:val="28"/>
          <w:highlight w:val="none"/>
        </w:rPr>
        <w:t xml:space="preserve">22.1.2 </w:t>
      </w:r>
      <w:r>
        <w:rPr>
          <w:rFonts w:hint="eastAsia"/>
          <w:sz w:val="22"/>
          <w:szCs w:val="28"/>
          <w:highlight w:val="none"/>
        </w:rPr>
        <w:t>对承包人违约的处理</w:t>
      </w:r>
    </w:p>
    <w:p w14:paraId="43CA6A75">
      <w:pPr>
        <w:spacing w:after="160" w:line="278" w:lineRule="auto"/>
        <w:rPr>
          <w:sz w:val="22"/>
          <w:szCs w:val="28"/>
          <w:highlight w:val="none"/>
        </w:rPr>
      </w:pPr>
      <w:r>
        <w:rPr>
          <w:sz w:val="22"/>
          <w:szCs w:val="28"/>
          <w:highlight w:val="none"/>
        </w:rPr>
        <w:t>（1）承包人发生第22.1.1（6）目约定的违约情况时，发包人可通知承包人立即解除合同，并按有关法律处理。</w:t>
      </w:r>
    </w:p>
    <w:p w14:paraId="68D3EE7E">
      <w:pPr>
        <w:spacing w:after="160" w:line="278" w:lineRule="auto"/>
        <w:rPr>
          <w:sz w:val="22"/>
          <w:szCs w:val="28"/>
          <w:highlight w:val="none"/>
        </w:rPr>
      </w:pPr>
      <w:r>
        <w:rPr>
          <w:sz w:val="22"/>
          <w:szCs w:val="28"/>
          <w:highlight w:val="none"/>
        </w:rPr>
        <w:t>（2）承包人发生除第22.1.1（6）目约定以外的其他违约情况时，监理人可向承包人发出整改通知，要求其在指定的期限内改正。承包人应承担其违约所引起的费用增加和（或）工期延误。</w:t>
      </w:r>
    </w:p>
    <w:p w14:paraId="523D362E">
      <w:pPr>
        <w:spacing w:after="160" w:line="278" w:lineRule="auto"/>
        <w:rPr>
          <w:sz w:val="22"/>
          <w:szCs w:val="28"/>
          <w:highlight w:val="none"/>
        </w:rPr>
      </w:pPr>
      <w:r>
        <w:rPr>
          <w:sz w:val="22"/>
          <w:szCs w:val="28"/>
          <w:highlight w:val="none"/>
        </w:rPr>
        <w:t>（3）经检查证明承包人已采取了有效措施纠正违约行为，具备复工条件的，可由监理人签发复工通知复工。</w:t>
      </w:r>
    </w:p>
    <w:p w14:paraId="1AEA285A">
      <w:pPr>
        <w:spacing w:after="160" w:line="278" w:lineRule="auto"/>
        <w:rPr>
          <w:sz w:val="22"/>
          <w:szCs w:val="28"/>
          <w:highlight w:val="none"/>
        </w:rPr>
      </w:pPr>
      <w:r>
        <w:rPr>
          <w:sz w:val="22"/>
          <w:szCs w:val="28"/>
          <w:highlight w:val="none"/>
        </w:rPr>
        <w:t xml:space="preserve">22.1.3 </w:t>
      </w:r>
      <w:r>
        <w:rPr>
          <w:rFonts w:hint="eastAsia"/>
          <w:sz w:val="22"/>
          <w:szCs w:val="28"/>
          <w:highlight w:val="none"/>
        </w:rPr>
        <w:t>承包人违约解除合同</w:t>
      </w:r>
    </w:p>
    <w:p w14:paraId="100033A8">
      <w:pPr>
        <w:spacing w:after="160" w:line="278" w:lineRule="auto"/>
        <w:rPr>
          <w:sz w:val="22"/>
          <w:szCs w:val="28"/>
          <w:highlight w:val="none"/>
        </w:rPr>
      </w:pPr>
      <w:r>
        <w:rPr>
          <w:sz w:val="22"/>
          <w:szCs w:val="28"/>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CF9191A">
      <w:pPr>
        <w:spacing w:after="160" w:line="278" w:lineRule="auto"/>
        <w:rPr>
          <w:sz w:val="22"/>
          <w:szCs w:val="28"/>
          <w:highlight w:val="none"/>
        </w:rPr>
      </w:pPr>
      <w:r>
        <w:rPr>
          <w:sz w:val="22"/>
          <w:szCs w:val="28"/>
          <w:highlight w:val="none"/>
        </w:rPr>
        <w:t xml:space="preserve">22.1.4 </w:t>
      </w:r>
      <w:r>
        <w:rPr>
          <w:rFonts w:hint="eastAsia"/>
          <w:sz w:val="22"/>
          <w:szCs w:val="28"/>
          <w:highlight w:val="none"/>
        </w:rPr>
        <w:t>合同解除后的估价、付款和结清</w:t>
      </w:r>
    </w:p>
    <w:p w14:paraId="7FBA8070">
      <w:pPr>
        <w:spacing w:after="160" w:line="278" w:lineRule="auto"/>
        <w:rPr>
          <w:sz w:val="22"/>
          <w:szCs w:val="28"/>
          <w:highlight w:val="none"/>
        </w:rPr>
      </w:pPr>
      <w:r>
        <w:rPr>
          <w:sz w:val="22"/>
          <w:szCs w:val="28"/>
          <w:highlight w:val="none"/>
        </w:rPr>
        <w:t xml:space="preserve">（1）合同解除后，监理人按第3.5款商定或确定承包人实际完成工作的价值，以及承包人已提供的材料、施工设备、工程设备和临时工程等的价值。 </w:t>
      </w:r>
    </w:p>
    <w:p w14:paraId="28E62091">
      <w:pPr>
        <w:spacing w:after="160" w:line="278" w:lineRule="auto"/>
        <w:rPr>
          <w:sz w:val="22"/>
          <w:szCs w:val="28"/>
          <w:highlight w:val="none"/>
        </w:rPr>
      </w:pPr>
      <w:r>
        <w:rPr>
          <w:sz w:val="22"/>
          <w:szCs w:val="28"/>
          <w:highlight w:val="none"/>
        </w:rPr>
        <w:t xml:space="preserve">（2）合同解除后，发包人应暂停对承包人的一切付款，查清各项付款和已扣款金额，包括承包人应支付的违约金。 </w:t>
      </w:r>
    </w:p>
    <w:p w14:paraId="65B51727">
      <w:pPr>
        <w:spacing w:after="160" w:line="278" w:lineRule="auto"/>
        <w:rPr>
          <w:sz w:val="22"/>
          <w:szCs w:val="28"/>
          <w:highlight w:val="none"/>
        </w:rPr>
      </w:pPr>
      <w:r>
        <w:rPr>
          <w:sz w:val="22"/>
          <w:szCs w:val="28"/>
          <w:highlight w:val="none"/>
        </w:rPr>
        <w:t>（3）合同解除后，发包人应按第23.4款的约定向承包人索赔由于解除合同给发包人造成的损失。</w:t>
      </w:r>
    </w:p>
    <w:p w14:paraId="652FC50B">
      <w:pPr>
        <w:spacing w:after="160" w:line="278" w:lineRule="auto"/>
        <w:rPr>
          <w:sz w:val="22"/>
          <w:szCs w:val="28"/>
          <w:highlight w:val="none"/>
        </w:rPr>
      </w:pPr>
      <w:r>
        <w:rPr>
          <w:sz w:val="22"/>
          <w:szCs w:val="28"/>
          <w:highlight w:val="none"/>
        </w:rPr>
        <w:t>（4）合同双方确认上述往来款项后，出具最终结清付款证书，结清全部合同款项。</w:t>
      </w:r>
    </w:p>
    <w:p w14:paraId="778BD336">
      <w:pPr>
        <w:spacing w:after="160" w:line="278" w:lineRule="auto"/>
        <w:rPr>
          <w:sz w:val="22"/>
          <w:szCs w:val="28"/>
          <w:highlight w:val="none"/>
        </w:rPr>
      </w:pPr>
      <w:r>
        <w:rPr>
          <w:sz w:val="22"/>
          <w:szCs w:val="28"/>
          <w:highlight w:val="none"/>
        </w:rPr>
        <w:t>（5）发包人和承包人未能就解除合同后的结清达成一致而形成争议的，按第24条的约定办理。</w:t>
      </w:r>
    </w:p>
    <w:p w14:paraId="0160C5CD">
      <w:pPr>
        <w:spacing w:after="160" w:line="278" w:lineRule="auto"/>
        <w:rPr>
          <w:sz w:val="22"/>
          <w:szCs w:val="28"/>
          <w:highlight w:val="none"/>
        </w:rPr>
      </w:pPr>
      <w:r>
        <w:rPr>
          <w:sz w:val="22"/>
          <w:szCs w:val="28"/>
          <w:highlight w:val="none"/>
        </w:rPr>
        <w:t xml:space="preserve">22.1.5 </w:t>
      </w:r>
      <w:r>
        <w:rPr>
          <w:rFonts w:hint="eastAsia"/>
          <w:sz w:val="22"/>
          <w:szCs w:val="28"/>
          <w:highlight w:val="none"/>
        </w:rPr>
        <w:t>协议利益的转让</w:t>
      </w:r>
    </w:p>
    <w:p w14:paraId="6130C1BC">
      <w:pPr>
        <w:spacing w:after="160" w:line="278" w:lineRule="auto"/>
        <w:rPr>
          <w:sz w:val="22"/>
          <w:szCs w:val="28"/>
          <w:highlight w:val="none"/>
        </w:rPr>
      </w:pPr>
      <w:r>
        <w:rPr>
          <w:sz w:val="22"/>
          <w:szCs w:val="28"/>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0EA9660D">
      <w:pPr>
        <w:spacing w:after="160" w:line="278" w:lineRule="auto"/>
        <w:rPr>
          <w:sz w:val="22"/>
          <w:szCs w:val="28"/>
          <w:highlight w:val="none"/>
        </w:rPr>
      </w:pPr>
      <w:r>
        <w:rPr>
          <w:sz w:val="22"/>
          <w:szCs w:val="28"/>
          <w:highlight w:val="none"/>
        </w:rPr>
        <w:t xml:space="preserve">22.1.6 </w:t>
      </w:r>
      <w:r>
        <w:rPr>
          <w:rFonts w:hint="eastAsia"/>
          <w:sz w:val="22"/>
          <w:szCs w:val="28"/>
          <w:highlight w:val="none"/>
        </w:rPr>
        <w:t>紧急情况下无能力或不愿进行抢救</w:t>
      </w:r>
    </w:p>
    <w:p w14:paraId="6733FADD">
      <w:pPr>
        <w:spacing w:after="160" w:line="278" w:lineRule="auto"/>
        <w:rPr>
          <w:sz w:val="22"/>
          <w:szCs w:val="28"/>
          <w:highlight w:val="none"/>
        </w:rPr>
      </w:pPr>
      <w:r>
        <w:rPr>
          <w:sz w:val="22"/>
          <w:szCs w:val="28"/>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CF6DDF5">
      <w:pPr>
        <w:spacing w:after="160" w:line="278" w:lineRule="auto"/>
        <w:rPr>
          <w:sz w:val="22"/>
          <w:szCs w:val="28"/>
          <w:highlight w:val="none"/>
        </w:rPr>
      </w:pPr>
      <w:bookmarkStart w:id="2112" w:name="_Toc142385673"/>
      <w:bookmarkStart w:id="2113" w:name="_Toc152045755"/>
      <w:bookmarkStart w:id="2114" w:name="_Toc132619135"/>
      <w:bookmarkStart w:id="2115" w:name="_Toc109914451"/>
      <w:bookmarkStart w:id="2116" w:name="_Toc179632773"/>
      <w:bookmarkStart w:id="2117" w:name="_Toc342296406"/>
      <w:bookmarkStart w:id="2118" w:name="_Toc129798386"/>
      <w:bookmarkStart w:id="2119" w:name="_Toc144974726"/>
      <w:bookmarkStart w:id="2120" w:name="_Toc338944848"/>
      <w:bookmarkStart w:id="2121" w:name="_Toc152042534"/>
      <w:r>
        <w:rPr>
          <w:sz w:val="22"/>
          <w:szCs w:val="28"/>
          <w:highlight w:val="none"/>
        </w:rPr>
        <w:t>22.2 发包人违约</w:t>
      </w:r>
      <w:bookmarkEnd w:id="2112"/>
      <w:bookmarkEnd w:id="2113"/>
      <w:bookmarkEnd w:id="2114"/>
      <w:bookmarkEnd w:id="2115"/>
      <w:bookmarkEnd w:id="2116"/>
      <w:bookmarkEnd w:id="2117"/>
      <w:bookmarkEnd w:id="2118"/>
      <w:bookmarkEnd w:id="2119"/>
      <w:bookmarkEnd w:id="2120"/>
      <w:bookmarkEnd w:id="2121"/>
    </w:p>
    <w:p w14:paraId="54FF5F68">
      <w:pPr>
        <w:spacing w:after="160" w:line="278" w:lineRule="auto"/>
        <w:rPr>
          <w:sz w:val="22"/>
          <w:szCs w:val="28"/>
          <w:highlight w:val="none"/>
        </w:rPr>
      </w:pPr>
      <w:r>
        <w:rPr>
          <w:sz w:val="22"/>
          <w:szCs w:val="28"/>
          <w:highlight w:val="none"/>
        </w:rPr>
        <w:t xml:space="preserve">22.2.1 </w:t>
      </w:r>
      <w:r>
        <w:rPr>
          <w:rFonts w:hint="eastAsia"/>
          <w:sz w:val="22"/>
          <w:szCs w:val="28"/>
          <w:highlight w:val="none"/>
        </w:rPr>
        <w:t>发包人违约的情形</w:t>
      </w:r>
    </w:p>
    <w:p w14:paraId="37F1242F">
      <w:pPr>
        <w:spacing w:after="160" w:line="278" w:lineRule="auto"/>
        <w:rPr>
          <w:sz w:val="22"/>
          <w:szCs w:val="28"/>
          <w:highlight w:val="none"/>
        </w:rPr>
      </w:pPr>
      <w:r>
        <w:rPr>
          <w:sz w:val="22"/>
          <w:szCs w:val="28"/>
          <w:highlight w:val="none"/>
        </w:rPr>
        <w:t>在履行合同过程中发生的下列情形，属发包人违约：</w:t>
      </w:r>
    </w:p>
    <w:p w14:paraId="5756DCFE">
      <w:pPr>
        <w:spacing w:after="160" w:line="278" w:lineRule="auto"/>
        <w:rPr>
          <w:sz w:val="22"/>
          <w:szCs w:val="28"/>
          <w:highlight w:val="none"/>
        </w:rPr>
      </w:pPr>
      <w:r>
        <w:rPr>
          <w:sz w:val="22"/>
          <w:szCs w:val="28"/>
          <w:highlight w:val="none"/>
        </w:rPr>
        <w:t>（1）</w:t>
      </w:r>
      <w:r>
        <w:rPr>
          <w:rFonts w:hint="eastAsia"/>
          <w:sz w:val="22"/>
          <w:szCs w:val="28"/>
          <w:highlight w:val="none"/>
        </w:rPr>
        <w:t>因发包人原因，</w:t>
      </w:r>
      <w:r>
        <w:rPr>
          <w:sz w:val="22"/>
          <w:szCs w:val="28"/>
          <w:highlight w:val="none"/>
        </w:rPr>
        <w:t>发包人未能按合同约定支付预付款或合同价款，或拖延、拒绝批准付款申请和支付凭证，导致付款延误的；</w:t>
      </w:r>
    </w:p>
    <w:p w14:paraId="7CC90001">
      <w:pPr>
        <w:spacing w:after="160" w:line="278" w:lineRule="auto"/>
        <w:rPr>
          <w:sz w:val="22"/>
          <w:szCs w:val="28"/>
          <w:highlight w:val="none"/>
        </w:rPr>
      </w:pPr>
      <w:r>
        <w:rPr>
          <w:sz w:val="22"/>
          <w:szCs w:val="28"/>
          <w:highlight w:val="none"/>
        </w:rPr>
        <w:t>（2）发包人原因造成停工的；</w:t>
      </w:r>
    </w:p>
    <w:p w14:paraId="6A126895">
      <w:pPr>
        <w:spacing w:after="160" w:line="278" w:lineRule="auto"/>
        <w:rPr>
          <w:sz w:val="22"/>
          <w:szCs w:val="28"/>
          <w:highlight w:val="none"/>
        </w:rPr>
      </w:pPr>
      <w:r>
        <w:rPr>
          <w:sz w:val="22"/>
          <w:szCs w:val="28"/>
          <w:highlight w:val="none"/>
        </w:rPr>
        <w:t>（3）监理人无正当理由没有在约定期限内发出复工指示，导致承包人无法复工的；</w:t>
      </w:r>
    </w:p>
    <w:p w14:paraId="62AAAAAC">
      <w:pPr>
        <w:spacing w:after="160" w:line="278" w:lineRule="auto"/>
        <w:rPr>
          <w:sz w:val="22"/>
          <w:szCs w:val="28"/>
          <w:highlight w:val="none"/>
        </w:rPr>
      </w:pPr>
      <w:r>
        <w:rPr>
          <w:sz w:val="22"/>
          <w:szCs w:val="28"/>
          <w:highlight w:val="none"/>
        </w:rPr>
        <w:t>（4）发包人无法继续履行或明确表示不履行或实质上已停止履行合同的；</w:t>
      </w:r>
    </w:p>
    <w:p w14:paraId="250DC668">
      <w:pPr>
        <w:spacing w:after="160" w:line="278" w:lineRule="auto"/>
        <w:rPr>
          <w:sz w:val="22"/>
          <w:szCs w:val="28"/>
          <w:highlight w:val="none"/>
        </w:rPr>
      </w:pPr>
      <w:r>
        <w:rPr>
          <w:sz w:val="22"/>
          <w:szCs w:val="28"/>
          <w:highlight w:val="none"/>
        </w:rPr>
        <w:t>（5）发包人不履行合同约定其他义务的。</w:t>
      </w:r>
    </w:p>
    <w:p w14:paraId="11A848C7">
      <w:pPr>
        <w:spacing w:after="160" w:line="278" w:lineRule="auto"/>
        <w:rPr>
          <w:sz w:val="22"/>
          <w:szCs w:val="28"/>
          <w:highlight w:val="none"/>
        </w:rPr>
      </w:pPr>
      <w:r>
        <w:rPr>
          <w:sz w:val="22"/>
          <w:szCs w:val="28"/>
          <w:highlight w:val="none"/>
        </w:rPr>
        <w:t xml:space="preserve">22.2.2 </w:t>
      </w:r>
      <w:r>
        <w:rPr>
          <w:rFonts w:hint="eastAsia"/>
          <w:sz w:val="22"/>
          <w:szCs w:val="28"/>
          <w:highlight w:val="none"/>
        </w:rPr>
        <w:t>承包人有权暂停施工</w:t>
      </w:r>
    </w:p>
    <w:p w14:paraId="102C63F7">
      <w:pPr>
        <w:spacing w:after="160" w:line="278" w:lineRule="auto"/>
        <w:rPr>
          <w:sz w:val="22"/>
          <w:szCs w:val="28"/>
          <w:highlight w:val="none"/>
        </w:rPr>
      </w:pPr>
      <w:r>
        <w:rPr>
          <w:sz w:val="22"/>
          <w:szCs w:val="28"/>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A79438B">
      <w:pPr>
        <w:spacing w:after="160" w:line="278" w:lineRule="auto"/>
        <w:rPr>
          <w:sz w:val="22"/>
          <w:szCs w:val="28"/>
          <w:highlight w:val="none"/>
        </w:rPr>
      </w:pPr>
      <w:r>
        <w:rPr>
          <w:sz w:val="22"/>
          <w:szCs w:val="28"/>
          <w:highlight w:val="none"/>
        </w:rPr>
        <w:t xml:space="preserve">22.2.3 </w:t>
      </w:r>
      <w:r>
        <w:rPr>
          <w:rFonts w:hint="eastAsia"/>
          <w:sz w:val="22"/>
          <w:szCs w:val="28"/>
          <w:highlight w:val="none"/>
        </w:rPr>
        <w:t>发包人违约解除合同</w:t>
      </w:r>
      <w:r>
        <w:rPr>
          <w:sz w:val="22"/>
          <w:szCs w:val="28"/>
          <w:highlight w:val="none"/>
        </w:rPr>
        <w:t xml:space="preserve"> </w:t>
      </w:r>
    </w:p>
    <w:p w14:paraId="36F96BE4">
      <w:pPr>
        <w:spacing w:after="160" w:line="278" w:lineRule="auto"/>
        <w:rPr>
          <w:sz w:val="22"/>
          <w:szCs w:val="28"/>
          <w:highlight w:val="none"/>
        </w:rPr>
      </w:pPr>
      <w:r>
        <w:rPr>
          <w:sz w:val="22"/>
          <w:szCs w:val="28"/>
          <w:highlight w:val="none"/>
        </w:rPr>
        <w:t xml:space="preserve">（1）发生第22.2.1（4）目的违约情况时，承包人可书面通知发包人解除合同。   </w:t>
      </w:r>
    </w:p>
    <w:p w14:paraId="55919283">
      <w:pPr>
        <w:spacing w:after="160" w:line="278" w:lineRule="auto"/>
        <w:rPr>
          <w:sz w:val="22"/>
          <w:szCs w:val="28"/>
          <w:highlight w:val="none"/>
        </w:rPr>
      </w:pPr>
      <w:r>
        <w:rPr>
          <w:sz w:val="22"/>
          <w:szCs w:val="28"/>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2A010CE">
      <w:pPr>
        <w:spacing w:after="160" w:line="278" w:lineRule="auto"/>
        <w:rPr>
          <w:sz w:val="22"/>
          <w:szCs w:val="28"/>
          <w:highlight w:val="none"/>
        </w:rPr>
      </w:pPr>
      <w:r>
        <w:rPr>
          <w:sz w:val="22"/>
          <w:szCs w:val="28"/>
          <w:highlight w:val="none"/>
        </w:rPr>
        <w:t xml:space="preserve">22.2.4 </w:t>
      </w:r>
      <w:r>
        <w:rPr>
          <w:rFonts w:hint="eastAsia"/>
          <w:sz w:val="22"/>
          <w:szCs w:val="28"/>
          <w:highlight w:val="none"/>
        </w:rPr>
        <w:t>解除合同后的付款</w:t>
      </w:r>
    </w:p>
    <w:p w14:paraId="06E42943">
      <w:pPr>
        <w:spacing w:after="160" w:line="278" w:lineRule="auto"/>
        <w:rPr>
          <w:sz w:val="22"/>
          <w:szCs w:val="28"/>
          <w:highlight w:val="none"/>
        </w:rPr>
      </w:pPr>
      <w:r>
        <w:rPr>
          <w:sz w:val="22"/>
          <w:szCs w:val="28"/>
          <w:highlight w:val="none"/>
        </w:rPr>
        <w:t>因发包人违约解除合同的，发包人应在解除合同后28天内向承包人支付下列金额，承包人应在此期限内及时向发包人提交要求支付下列金额的有关资料和凭证：</w:t>
      </w:r>
    </w:p>
    <w:p w14:paraId="655E6153">
      <w:pPr>
        <w:spacing w:after="160" w:line="278" w:lineRule="auto"/>
        <w:rPr>
          <w:sz w:val="22"/>
          <w:szCs w:val="28"/>
          <w:highlight w:val="none"/>
        </w:rPr>
      </w:pPr>
      <w:r>
        <w:rPr>
          <w:sz w:val="22"/>
          <w:szCs w:val="28"/>
          <w:highlight w:val="none"/>
        </w:rPr>
        <w:t>（1）合同解除日以前所完成工作的价款；</w:t>
      </w:r>
    </w:p>
    <w:p w14:paraId="34A6E33F">
      <w:pPr>
        <w:spacing w:after="160" w:line="278" w:lineRule="auto"/>
        <w:rPr>
          <w:sz w:val="22"/>
          <w:szCs w:val="28"/>
          <w:highlight w:val="none"/>
        </w:rPr>
      </w:pPr>
      <w:r>
        <w:rPr>
          <w:sz w:val="22"/>
          <w:szCs w:val="28"/>
          <w:highlight w:val="none"/>
        </w:rPr>
        <w:t>（2）承包人为该工程施工订购并已付款的材料、工程设备和其他物品的金额。发包人付还后，该材料、工程设备和其他物品归发包人所有；</w:t>
      </w:r>
    </w:p>
    <w:p w14:paraId="00ACF4B6">
      <w:pPr>
        <w:spacing w:after="160" w:line="278" w:lineRule="auto"/>
        <w:rPr>
          <w:sz w:val="22"/>
          <w:szCs w:val="28"/>
          <w:highlight w:val="none"/>
        </w:rPr>
      </w:pPr>
      <w:r>
        <w:rPr>
          <w:sz w:val="22"/>
          <w:szCs w:val="28"/>
          <w:highlight w:val="none"/>
        </w:rPr>
        <w:t>（3）承包人为完成工程所发生的，而发包人未支付的金额；</w:t>
      </w:r>
    </w:p>
    <w:p w14:paraId="5A34996E">
      <w:pPr>
        <w:spacing w:after="160" w:line="278" w:lineRule="auto"/>
        <w:rPr>
          <w:sz w:val="22"/>
          <w:szCs w:val="28"/>
          <w:highlight w:val="none"/>
        </w:rPr>
      </w:pPr>
      <w:r>
        <w:rPr>
          <w:sz w:val="22"/>
          <w:szCs w:val="28"/>
          <w:highlight w:val="none"/>
        </w:rPr>
        <w:t>（4）承包人撤离施工场地以及遣散承包人人员的金额；</w:t>
      </w:r>
    </w:p>
    <w:p w14:paraId="070FB464">
      <w:pPr>
        <w:spacing w:after="160" w:line="278" w:lineRule="auto"/>
        <w:rPr>
          <w:sz w:val="22"/>
          <w:szCs w:val="28"/>
          <w:highlight w:val="none"/>
        </w:rPr>
      </w:pPr>
      <w:r>
        <w:rPr>
          <w:sz w:val="22"/>
          <w:szCs w:val="28"/>
          <w:highlight w:val="none"/>
        </w:rPr>
        <w:t>（5）由于解除合同应赔偿的承包人损失；</w:t>
      </w:r>
    </w:p>
    <w:p w14:paraId="1EF033BA">
      <w:pPr>
        <w:spacing w:after="160" w:line="278" w:lineRule="auto"/>
        <w:rPr>
          <w:sz w:val="22"/>
          <w:szCs w:val="28"/>
          <w:highlight w:val="none"/>
        </w:rPr>
      </w:pPr>
      <w:r>
        <w:rPr>
          <w:sz w:val="22"/>
          <w:szCs w:val="28"/>
          <w:highlight w:val="none"/>
        </w:rPr>
        <w:t>（6）按合同约定在合同解除日前应支付给承包人的其他金额。</w:t>
      </w:r>
    </w:p>
    <w:p w14:paraId="0802ECE9">
      <w:pPr>
        <w:spacing w:after="160" w:line="278" w:lineRule="auto"/>
        <w:rPr>
          <w:sz w:val="22"/>
          <w:szCs w:val="28"/>
          <w:highlight w:val="none"/>
        </w:rPr>
      </w:pPr>
      <w:r>
        <w:rPr>
          <w:sz w:val="22"/>
          <w:szCs w:val="28"/>
          <w:highlight w:val="none"/>
        </w:rPr>
        <w:t>发包人应按本项约定支付上述金额并退还质量保证金和履约担保，但有权要求承包人支付应偿还给发包人的各项金额。</w:t>
      </w:r>
    </w:p>
    <w:p w14:paraId="13A81619">
      <w:pPr>
        <w:spacing w:after="160" w:line="278" w:lineRule="auto"/>
        <w:rPr>
          <w:sz w:val="22"/>
          <w:szCs w:val="28"/>
          <w:highlight w:val="none"/>
        </w:rPr>
      </w:pPr>
      <w:r>
        <w:rPr>
          <w:sz w:val="22"/>
          <w:szCs w:val="28"/>
          <w:highlight w:val="none"/>
        </w:rPr>
        <w:t xml:space="preserve">22.2.5 </w:t>
      </w:r>
      <w:r>
        <w:rPr>
          <w:rFonts w:hint="eastAsia"/>
          <w:sz w:val="22"/>
          <w:szCs w:val="28"/>
          <w:highlight w:val="none"/>
        </w:rPr>
        <w:t>解除合同后的承包人撤离</w:t>
      </w:r>
    </w:p>
    <w:p w14:paraId="2182EEB6">
      <w:pPr>
        <w:spacing w:after="160" w:line="278" w:lineRule="auto"/>
        <w:rPr>
          <w:sz w:val="22"/>
          <w:szCs w:val="28"/>
          <w:highlight w:val="none"/>
        </w:rPr>
      </w:pPr>
      <w:r>
        <w:rPr>
          <w:sz w:val="22"/>
          <w:szCs w:val="28"/>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731CE8D3">
      <w:pPr>
        <w:spacing w:after="160" w:line="278" w:lineRule="auto"/>
        <w:rPr>
          <w:sz w:val="22"/>
          <w:szCs w:val="28"/>
          <w:highlight w:val="none"/>
        </w:rPr>
      </w:pPr>
      <w:bookmarkStart w:id="2122" w:name="_Toc152042535"/>
      <w:bookmarkStart w:id="2123" w:name="_Toc179632774"/>
      <w:bookmarkStart w:id="2124" w:name="_Toc338944849"/>
      <w:bookmarkStart w:id="2125" w:name="_Toc142385674"/>
      <w:bookmarkStart w:id="2126" w:name="_Toc152045756"/>
      <w:bookmarkStart w:id="2127" w:name="_Toc129798387"/>
      <w:bookmarkStart w:id="2128" w:name="_Toc132619136"/>
      <w:bookmarkStart w:id="2129" w:name="_Toc109914452"/>
      <w:bookmarkStart w:id="2130" w:name="_Toc342296407"/>
      <w:r>
        <w:rPr>
          <w:sz w:val="22"/>
          <w:szCs w:val="28"/>
          <w:highlight w:val="none"/>
        </w:rPr>
        <w:t>22.3 第三人造成的违约</w:t>
      </w:r>
      <w:bookmarkEnd w:id="2122"/>
      <w:bookmarkEnd w:id="2123"/>
      <w:bookmarkEnd w:id="2124"/>
      <w:bookmarkEnd w:id="2125"/>
      <w:bookmarkEnd w:id="2126"/>
      <w:bookmarkEnd w:id="2127"/>
      <w:bookmarkEnd w:id="2128"/>
      <w:bookmarkEnd w:id="2129"/>
      <w:bookmarkEnd w:id="2130"/>
    </w:p>
    <w:p w14:paraId="2B7F623E">
      <w:pPr>
        <w:spacing w:after="160" w:line="278" w:lineRule="auto"/>
        <w:rPr>
          <w:sz w:val="22"/>
          <w:szCs w:val="28"/>
          <w:highlight w:val="none"/>
        </w:rPr>
      </w:pPr>
      <w:r>
        <w:rPr>
          <w:sz w:val="22"/>
          <w:szCs w:val="28"/>
          <w:highlight w:val="none"/>
        </w:rPr>
        <w:t>在履行合同过程中，一方当事人因第三人的原因造成违约的，应当向对方当事人承担违约责任。一方当事人和第三人之间的纠纷，依照法律规定或者按照约定解决。</w:t>
      </w:r>
    </w:p>
    <w:p w14:paraId="75114173">
      <w:pPr>
        <w:spacing w:after="160" w:line="278" w:lineRule="auto"/>
        <w:rPr>
          <w:sz w:val="22"/>
          <w:szCs w:val="28"/>
          <w:highlight w:val="none"/>
        </w:rPr>
      </w:pPr>
      <w:bookmarkStart w:id="2131" w:name="_Toc442365636"/>
      <w:bookmarkStart w:id="2132" w:name="_Toc152042536"/>
      <w:bookmarkStart w:id="2133" w:name="_Toc469660039"/>
      <w:bookmarkStart w:id="2134" w:name="_Toc179632775"/>
      <w:bookmarkStart w:id="2135" w:name="_Toc109914453"/>
      <w:bookmarkStart w:id="2136" w:name="_Toc448758444"/>
      <w:bookmarkStart w:id="2137" w:name="_Toc132619137"/>
      <w:bookmarkStart w:id="2138" w:name="_Toc342296408"/>
      <w:bookmarkStart w:id="2139" w:name="_Toc152045757"/>
      <w:bookmarkStart w:id="2140" w:name="_Toc448758544"/>
      <w:bookmarkStart w:id="2141" w:name="_Toc129798388"/>
      <w:bookmarkStart w:id="2142" w:name="_Toc338944850"/>
      <w:bookmarkStart w:id="2143" w:name="_Toc142385675"/>
      <w:bookmarkStart w:id="2144" w:name="_Toc144974727"/>
      <w:r>
        <w:rPr>
          <w:sz w:val="22"/>
          <w:szCs w:val="28"/>
          <w:highlight w:val="none"/>
        </w:rPr>
        <w:t>23. 索赔</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6461E080">
      <w:pPr>
        <w:spacing w:after="160" w:line="278" w:lineRule="auto"/>
        <w:rPr>
          <w:sz w:val="22"/>
          <w:szCs w:val="28"/>
          <w:highlight w:val="none"/>
        </w:rPr>
      </w:pPr>
      <w:bookmarkStart w:id="2145" w:name="_Toc132619138"/>
      <w:bookmarkStart w:id="2146" w:name="_Toc152045758"/>
      <w:bookmarkStart w:id="2147" w:name="_Toc109914454"/>
      <w:bookmarkStart w:id="2148" w:name="_Toc152042537"/>
      <w:bookmarkStart w:id="2149" w:name="_Toc129798389"/>
      <w:bookmarkStart w:id="2150" w:name="_Toc338944851"/>
      <w:bookmarkStart w:id="2151" w:name="_Toc179632776"/>
      <w:bookmarkStart w:id="2152" w:name="_Toc342296409"/>
      <w:bookmarkStart w:id="2153" w:name="_Toc142385676"/>
      <w:bookmarkStart w:id="2154" w:name="_Toc144974728"/>
      <w:r>
        <w:rPr>
          <w:sz w:val="22"/>
          <w:szCs w:val="28"/>
          <w:highlight w:val="none"/>
        </w:rPr>
        <w:t>23.1 承包人索赔的提出</w:t>
      </w:r>
      <w:bookmarkEnd w:id="2145"/>
      <w:bookmarkEnd w:id="2146"/>
      <w:bookmarkEnd w:id="2147"/>
      <w:bookmarkEnd w:id="2148"/>
      <w:bookmarkEnd w:id="2149"/>
      <w:bookmarkEnd w:id="2150"/>
      <w:bookmarkEnd w:id="2151"/>
      <w:bookmarkEnd w:id="2152"/>
      <w:bookmarkEnd w:id="2153"/>
      <w:bookmarkEnd w:id="2154"/>
    </w:p>
    <w:p w14:paraId="4757C419">
      <w:pPr>
        <w:spacing w:after="160" w:line="278" w:lineRule="auto"/>
        <w:rPr>
          <w:sz w:val="22"/>
          <w:szCs w:val="28"/>
          <w:highlight w:val="none"/>
        </w:rPr>
      </w:pPr>
      <w:r>
        <w:rPr>
          <w:sz w:val="22"/>
          <w:szCs w:val="28"/>
          <w:highlight w:val="none"/>
        </w:rPr>
        <w:t>根据合同约定，承包人认为有权得到追加付款和（或）延长工期的，应按以下程序向发包人提出索赔：</w:t>
      </w:r>
    </w:p>
    <w:p w14:paraId="44B53AC7">
      <w:pPr>
        <w:spacing w:after="160" w:line="278" w:lineRule="auto"/>
        <w:rPr>
          <w:sz w:val="22"/>
          <w:szCs w:val="28"/>
          <w:highlight w:val="none"/>
        </w:rPr>
      </w:pPr>
      <w:r>
        <w:rPr>
          <w:sz w:val="22"/>
          <w:szCs w:val="28"/>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938C044">
      <w:pPr>
        <w:spacing w:after="160" w:line="278" w:lineRule="auto"/>
        <w:rPr>
          <w:sz w:val="22"/>
          <w:szCs w:val="28"/>
          <w:highlight w:val="none"/>
        </w:rPr>
      </w:pPr>
      <w:r>
        <w:rPr>
          <w:sz w:val="22"/>
          <w:szCs w:val="28"/>
          <w:highlight w:val="none"/>
        </w:rPr>
        <w:t>（2）承包人应在发出索赔意向通知书后28天内，向监理人正式递交索赔通知书。索赔通知书应详细说明索赔理由以及要求追加的付款金额和（或）延长的工期，并附必要的记录和证明材料；</w:t>
      </w:r>
    </w:p>
    <w:p w14:paraId="3D003EA6">
      <w:pPr>
        <w:spacing w:after="160" w:line="278" w:lineRule="auto"/>
        <w:rPr>
          <w:sz w:val="22"/>
          <w:szCs w:val="28"/>
          <w:highlight w:val="none"/>
        </w:rPr>
      </w:pPr>
      <w:r>
        <w:rPr>
          <w:sz w:val="22"/>
          <w:szCs w:val="28"/>
          <w:highlight w:val="none"/>
        </w:rPr>
        <w:t>（3）索赔事件具有连续影响的，承包人应按合理时间间隔继续递交延续索赔通知，说明连续影响的实际情况和记录，列出累计的追加付款金额和（或）工期延长天数；</w:t>
      </w:r>
    </w:p>
    <w:p w14:paraId="63FCDB14">
      <w:pPr>
        <w:spacing w:after="160" w:line="278" w:lineRule="auto"/>
        <w:rPr>
          <w:sz w:val="22"/>
          <w:szCs w:val="28"/>
          <w:highlight w:val="none"/>
        </w:rPr>
      </w:pPr>
      <w:r>
        <w:rPr>
          <w:sz w:val="22"/>
          <w:szCs w:val="28"/>
          <w:highlight w:val="none"/>
        </w:rPr>
        <w:t>（4）在索赔事件影响结束后的28天内，承包人应向监理人递交最终索赔通知书，说明最终要求索赔的追加付款金额和延长的工期，并附必要的记录和证明材料。</w:t>
      </w:r>
    </w:p>
    <w:p w14:paraId="40FE3F37">
      <w:pPr>
        <w:spacing w:after="160" w:line="278" w:lineRule="auto"/>
        <w:rPr>
          <w:sz w:val="22"/>
          <w:szCs w:val="28"/>
          <w:highlight w:val="none"/>
        </w:rPr>
      </w:pPr>
      <w:bookmarkStart w:id="2155" w:name="_Toc109914455"/>
      <w:bookmarkStart w:id="2156" w:name="_Toc152042538"/>
      <w:bookmarkStart w:id="2157" w:name="_Toc129798390"/>
      <w:bookmarkStart w:id="2158" w:name="_Toc338944852"/>
      <w:bookmarkStart w:id="2159" w:name="_Toc152045759"/>
      <w:bookmarkStart w:id="2160" w:name="_Toc132619139"/>
      <w:bookmarkStart w:id="2161" w:name="_Toc179632777"/>
      <w:bookmarkStart w:id="2162" w:name="_Toc144974729"/>
      <w:bookmarkStart w:id="2163" w:name="_Toc342296410"/>
      <w:bookmarkStart w:id="2164" w:name="_Toc142385677"/>
      <w:r>
        <w:rPr>
          <w:sz w:val="22"/>
          <w:szCs w:val="28"/>
          <w:highlight w:val="none"/>
        </w:rPr>
        <w:t>23.2 承包人索赔处理程序</w:t>
      </w:r>
      <w:bookmarkEnd w:id="2155"/>
      <w:bookmarkEnd w:id="2156"/>
      <w:bookmarkEnd w:id="2157"/>
      <w:bookmarkEnd w:id="2158"/>
      <w:bookmarkEnd w:id="2159"/>
      <w:bookmarkEnd w:id="2160"/>
      <w:bookmarkEnd w:id="2161"/>
      <w:bookmarkEnd w:id="2162"/>
      <w:bookmarkEnd w:id="2163"/>
      <w:bookmarkEnd w:id="2164"/>
    </w:p>
    <w:p w14:paraId="7FE0D6B9">
      <w:pPr>
        <w:spacing w:after="160" w:line="278" w:lineRule="auto"/>
        <w:rPr>
          <w:sz w:val="22"/>
          <w:szCs w:val="28"/>
          <w:highlight w:val="none"/>
        </w:rPr>
      </w:pPr>
      <w:r>
        <w:rPr>
          <w:sz w:val="22"/>
          <w:szCs w:val="28"/>
          <w:highlight w:val="none"/>
        </w:rPr>
        <w:t>（1）监理人收到承包人提交的索赔通知书后，应及时审查索赔通知书的内容、查验承包人的记录和证明材料，必要时监理人可要求承包人提交全部原始记录副本。</w:t>
      </w:r>
    </w:p>
    <w:p w14:paraId="2F0BCBA8">
      <w:pPr>
        <w:spacing w:after="160" w:line="278" w:lineRule="auto"/>
        <w:rPr>
          <w:sz w:val="22"/>
          <w:szCs w:val="28"/>
          <w:highlight w:val="none"/>
        </w:rPr>
      </w:pPr>
      <w:r>
        <w:rPr>
          <w:sz w:val="22"/>
          <w:szCs w:val="28"/>
          <w:highlight w:val="none"/>
        </w:rPr>
        <w:t>（2）监理人应按第3.5款商定或确定追加的付款和（或）延长的工期，并在收到上述索赔通知书或有关索赔的进一步证明材料后的42天内，将索赔处理结果答复承包人。</w:t>
      </w:r>
    </w:p>
    <w:p w14:paraId="2833DB8F">
      <w:pPr>
        <w:spacing w:after="160" w:line="278" w:lineRule="auto"/>
        <w:rPr>
          <w:sz w:val="22"/>
          <w:szCs w:val="28"/>
          <w:highlight w:val="none"/>
        </w:rPr>
      </w:pPr>
      <w:r>
        <w:rPr>
          <w:sz w:val="22"/>
          <w:szCs w:val="28"/>
          <w:highlight w:val="none"/>
        </w:rPr>
        <w:t>（3）承包人接受索赔处理结果的，发包人应在作出索赔处理结果答复后28天内完成赔付。承包人不接受索赔处理结果的，按第24条的约定办理。</w:t>
      </w:r>
    </w:p>
    <w:p w14:paraId="22AD6227">
      <w:pPr>
        <w:spacing w:after="160" w:line="278" w:lineRule="auto"/>
        <w:rPr>
          <w:sz w:val="22"/>
          <w:szCs w:val="28"/>
          <w:highlight w:val="none"/>
        </w:rPr>
      </w:pPr>
      <w:bookmarkStart w:id="2165" w:name="_Toc179632778"/>
      <w:bookmarkStart w:id="2166" w:name="_Toc144974730"/>
      <w:bookmarkStart w:id="2167" w:name="_Toc338944853"/>
      <w:bookmarkStart w:id="2168" w:name="_Toc142385678"/>
      <w:bookmarkStart w:id="2169" w:name="_Toc152045760"/>
      <w:bookmarkStart w:id="2170" w:name="_Toc132619140"/>
      <w:bookmarkStart w:id="2171" w:name="_Toc129798391"/>
      <w:bookmarkStart w:id="2172" w:name="_Toc152042539"/>
      <w:bookmarkStart w:id="2173" w:name="_Toc109914456"/>
      <w:bookmarkStart w:id="2174" w:name="_Toc342296411"/>
      <w:r>
        <w:rPr>
          <w:sz w:val="22"/>
          <w:szCs w:val="28"/>
          <w:highlight w:val="none"/>
        </w:rPr>
        <w:t>23.3 承包人提出索赔的期限</w:t>
      </w:r>
      <w:bookmarkEnd w:id="2165"/>
      <w:bookmarkEnd w:id="2166"/>
      <w:bookmarkEnd w:id="2167"/>
      <w:bookmarkEnd w:id="2168"/>
      <w:bookmarkEnd w:id="2169"/>
      <w:bookmarkEnd w:id="2170"/>
      <w:bookmarkEnd w:id="2171"/>
      <w:bookmarkEnd w:id="2172"/>
      <w:bookmarkEnd w:id="2173"/>
      <w:bookmarkEnd w:id="2174"/>
    </w:p>
    <w:p w14:paraId="0C8270E3">
      <w:pPr>
        <w:spacing w:after="160" w:line="278" w:lineRule="auto"/>
        <w:rPr>
          <w:sz w:val="22"/>
          <w:szCs w:val="28"/>
          <w:highlight w:val="none"/>
        </w:rPr>
      </w:pPr>
      <w:r>
        <w:rPr>
          <w:sz w:val="22"/>
          <w:szCs w:val="28"/>
          <w:highlight w:val="none"/>
        </w:rPr>
        <w:t>23.3.1 承包人按第17.5款的约定接受了竣工付款证书后，应被认为已无权再提出在合同工程接收证书颁发前所发生的任何索赔。</w:t>
      </w:r>
    </w:p>
    <w:p w14:paraId="10E9B7C1">
      <w:pPr>
        <w:spacing w:after="160" w:line="278" w:lineRule="auto"/>
        <w:rPr>
          <w:sz w:val="22"/>
          <w:szCs w:val="28"/>
          <w:highlight w:val="none"/>
        </w:rPr>
      </w:pPr>
      <w:r>
        <w:rPr>
          <w:sz w:val="22"/>
          <w:szCs w:val="28"/>
          <w:highlight w:val="none"/>
        </w:rPr>
        <w:t xml:space="preserve">23.3.2 承包人按第17.6款的约定提交的最终结清申请单中，只限于提出工程接收证书颁发后发生的索赔。提出索赔的期限自接受最终结清证书时终止。 </w:t>
      </w:r>
    </w:p>
    <w:p w14:paraId="3C56E59A">
      <w:pPr>
        <w:spacing w:after="160" w:line="278" w:lineRule="auto"/>
        <w:rPr>
          <w:sz w:val="22"/>
          <w:szCs w:val="28"/>
          <w:highlight w:val="none"/>
        </w:rPr>
      </w:pPr>
      <w:bookmarkStart w:id="2175" w:name="_Toc129798392"/>
      <w:bookmarkStart w:id="2176" w:name="_Toc338944854"/>
      <w:bookmarkStart w:id="2177" w:name="_Toc132619141"/>
      <w:bookmarkStart w:id="2178" w:name="_Toc152045761"/>
      <w:bookmarkStart w:id="2179" w:name="_Toc142385679"/>
      <w:bookmarkStart w:id="2180" w:name="_Toc144974731"/>
      <w:bookmarkStart w:id="2181" w:name="_Toc179632779"/>
      <w:bookmarkStart w:id="2182" w:name="_Toc109914457"/>
      <w:bookmarkStart w:id="2183" w:name="_Toc152042540"/>
      <w:bookmarkStart w:id="2184" w:name="_Toc342296412"/>
      <w:r>
        <w:rPr>
          <w:sz w:val="22"/>
          <w:szCs w:val="28"/>
          <w:highlight w:val="none"/>
        </w:rPr>
        <w:t>23.4 发包人的索赔</w:t>
      </w:r>
      <w:bookmarkEnd w:id="2175"/>
      <w:bookmarkEnd w:id="2176"/>
      <w:bookmarkEnd w:id="2177"/>
      <w:bookmarkEnd w:id="2178"/>
      <w:bookmarkEnd w:id="2179"/>
      <w:bookmarkEnd w:id="2180"/>
      <w:bookmarkEnd w:id="2181"/>
      <w:bookmarkEnd w:id="2182"/>
      <w:bookmarkEnd w:id="2183"/>
      <w:bookmarkEnd w:id="2184"/>
    </w:p>
    <w:p w14:paraId="103C96B2">
      <w:pPr>
        <w:spacing w:after="160" w:line="278" w:lineRule="auto"/>
        <w:rPr>
          <w:sz w:val="22"/>
          <w:szCs w:val="28"/>
          <w:highlight w:val="none"/>
        </w:rPr>
      </w:pPr>
      <w:r>
        <w:rPr>
          <w:sz w:val="22"/>
          <w:szCs w:val="28"/>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7EB3F19">
      <w:pPr>
        <w:spacing w:after="160" w:line="278" w:lineRule="auto"/>
        <w:rPr>
          <w:sz w:val="22"/>
          <w:szCs w:val="28"/>
          <w:highlight w:val="none"/>
        </w:rPr>
      </w:pPr>
      <w:r>
        <w:rPr>
          <w:sz w:val="22"/>
          <w:szCs w:val="28"/>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FED2269">
      <w:pPr>
        <w:spacing w:after="160" w:line="278" w:lineRule="auto"/>
        <w:rPr>
          <w:sz w:val="22"/>
          <w:szCs w:val="28"/>
          <w:highlight w:val="none"/>
        </w:rPr>
      </w:pPr>
      <w:bookmarkStart w:id="2185" w:name="_Toc129798393"/>
      <w:bookmarkStart w:id="2186" w:name="_Toc442365637"/>
      <w:bookmarkStart w:id="2187" w:name="_Toc469660040"/>
      <w:bookmarkStart w:id="2188" w:name="_Toc109914458"/>
      <w:bookmarkStart w:id="2189" w:name="_Toc448758445"/>
      <w:bookmarkStart w:id="2190" w:name="_Toc342296413"/>
      <w:bookmarkStart w:id="2191" w:name="_Toc132619142"/>
      <w:bookmarkStart w:id="2192" w:name="_Toc338944855"/>
      <w:bookmarkStart w:id="2193" w:name="_Toc448758545"/>
      <w:bookmarkStart w:id="2194" w:name="_Toc142385680"/>
      <w:r>
        <w:rPr>
          <w:sz w:val="22"/>
          <w:szCs w:val="28"/>
          <w:highlight w:val="none"/>
        </w:rPr>
        <w:t>24. 争议的解决</w:t>
      </w:r>
      <w:bookmarkEnd w:id="2185"/>
      <w:bookmarkEnd w:id="2186"/>
      <w:bookmarkEnd w:id="2187"/>
      <w:bookmarkEnd w:id="2188"/>
      <w:bookmarkEnd w:id="2189"/>
      <w:bookmarkEnd w:id="2190"/>
      <w:bookmarkEnd w:id="2191"/>
      <w:bookmarkEnd w:id="2192"/>
      <w:bookmarkEnd w:id="2193"/>
      <w:bookmarkEnd w:id="2194"/>
    </w:p>
    <w:p w14:paraId="0FA3BE5B">
      <w:pPr>
        <w:spacing w:after="160" w:line="278" w:lineRule="auto"/>
        <w:rPr>
          <w:sz w:val="22"/>
          <w:szCs w:val="28"/>
          <w:highlight w:val="none"/>
        </w:rPr>
      </w:pPr>
      <w:bookmarkStart w:id="2195" w:name="_Toc342296414"/>
      <w:bookmarkStart w:id="2196" w:name="_Toc129798394"/>
      <w:bookmarkStart w:id="2197" w:name="_Toc338944856"/>
      <w:bookmarkStart w:id="2198" w:name="_Toc109914459"/>
      <w:bookmarkStart w:id="2199" w:name="_Toc132619143"/>
      <w:bookmarkStart w:id="2200" w:name="_Toc142385681"/>
      <w:r>
        <w:rPr>
          <w:sz w:val="22"/>
          <w:szCs w:val="28"/>
          <w:highlight w:val="none"/>
        </w:rPr>
        <w:t>24.1 争议的解决方式</w:t>
      </w:r>
      <w:bookmarkEnd w:id="2195"/>
      <w:bookmarkEnd w:id="2196"/>
      <w:bookmarkEnd w:id="2197"/>
      <w:bookmarkEnd w:id="2198"/>
      <w:bookmarkEnd w:id="2199"/>
      <w:bookmarkEnd w:id="2200"/>
    </w:p>
    <w:p w14:paraId="02BC887A">
      <w:pPr>
        <w:spacing w:after="160" w:line="278" w:lineRule="auto"/>
        <w:rPr>
          <w:sz w:val="22"/>
          <w:szCs w:val="28"/>
          <w:highlight w:val="none"/>
        </w:rPr>
      </w:pPr>
      <w:r>
        <w:rPr>
          <w:sz w:val="22"/>
          <w:szCs w:val="28"/>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36EA3D6">
      <w:pPr>
        <w:spacing w:after="160" w:line="278" w:lineRule="auto"/>
        <w:rPr>
          <w:sz w:val="22"/>
          <w:szCs w:val="28"/>
          <w:highlight w:val="none"/>
        </w:rPr>
      </w:pPr>
      <w:r>
        <w:rPr>
          <w:sz w:val="22"/>
          <w:szCs w:val="28"/>
          <w:highlight w:val="none"/>
        </w:rPr>
        <w:t>（1）向约定的仲裁委员会申请仲裁；</w:t>
      </w:r>
    </w:p>
    <w:p w14:paraId="526BCD2C">
      <w:pPr>
        <w:spacing w:after="160" w:line="278" w:lineRule="auto"/>
        <w:rPr>
          <w:sz w:val="22"/>
          <w:szCs w:val="28"/>
          <w:highlight w:val="none"/>
        </w:rPr>
      </w:pPr>
      <w:r>
        <w:rPr>
          <w:sz w:val="22"/>
          <w:szCs w:val="28"/>
          <w:highlight w:val="none"/>
        </w:rPr>
        <w:t>（2）向有管辖权的人民法院提起诉讼。</w:t>
      </w:r>
    </w:p>
    <w:p w14:paraId="64F7AEAF">
      <w:pPr>
        <w:spacing w:after="160" w:line="278" w:lineRule="auto"/>
        <w:rPr>
          <w:sz w:val="22"/>
          <w:szCs w:val="28"/>
          <w:highlight w:val="none"/>
        </w:rPr>
      </w:pPr>
      <w:bookmarkStart w:id="2201" w:name="_Toc338944857"/>
      <w:bookmarkStart w:id="2202" w:name="_Toc129798395"/>
      <w:bookmarkStart w:id="2203" w:name="_Toc342296415"/>
      <w:bookmarkStart w:id="2204" w:name="_Toc109914460"/>
      <w:bookmarkStart w:id="2205" w:name="_Toc132619144"/>
      <w:bookmarkStart w:id="2206" w:name="_Toc142385682"/>
      <w:r>
        <w:rPr>
          <w:sz w:val="22"/>
          <w:szCs w:val="28"/>
          <w:highlight w:val="none"/>
        </w:rPr>
        <w:t>24.2 友好解决</w:t>
      </w:r>
      <w:bookmarkEnd w:id="2201"/>
      <w:bookmarkEnd w:id="2202"/>
      <w:bookmarkEnd w:id="2203"/>
      <w:bookmarkEnd w:id="2204"/>
      <w:bookmarkEnd w:id="2205"/>
      <w:bookmarkEnd w:id="2206"/>
    </w:p>
    <w:p w14:paraId="11D339B5">
      <w:pPr>
        <w:spacing w:after="160" w:line="278" w:lineRule="auto"/>
        <w:rPr>
          <w:sz w:val="22"/>
          <w:szCs w:val="28"/>
          <w:highlight w:val="none"/>
        </w:rPr>
      </w:pPr>
      <w:r>
        <w:rPr>
          <w:sz w:val="22"/>
          <w:szCs w:val="28"/>
          <w:highlight w:val="none"/>
        </w:rPr>
        <w:t>在提请争议评审、仲裁或者诉讼前，以及在争议评审、仲裁或诉讼过程中，发包人和承包人均可共同努力友好协商解决争议。</w:t>
      </w:r>
    </w:p>
    <w:p w14:paraId="2AF6F1A0">
      <w:pPr>
        <w:spacing w:after="160" w:line="278" w:lineRule="auto"/>
        <w:rPr>
          <w:sz w:val="22"/>
          <w:szCs w:val="28"/>
          <w:highlight w:val="none"/>
        </w:rPr>
      </w:pPr>
      <w:bookmarkStart w:id="2207" w:name="_Toc132619145"/>
      <w:bookmarkStart w:id="2208" w:name="_Toc342296416"/>
      <w:bookmarkStart w:id="2209" w:name="_Toc109914461"/>
      <w:bookmarkStart w:id="2210" w:name="_Toc338944858"/>
      <w:bookmarkStart w:id="2211" w:name="_Toc129798396"/>
      <w:bookmarkStart w:id="2212" w:name="_Toc142385683"/>
      <w:r>
        <w:rPr>
          <w:sz w:val="22"/>
          <w:szCs w:val="28"/>
          <w:highlight w:val="none"/>
        </w:rPr>
        <w:t>24.3 争议评审</w:t>
      </w:r>
      <w:bookmarkEnd w:id="2207"/>
      <w:bookmarkEnd w:id="2208"/>
      <w:bookmarkEnd w:id="2209"/>
      <w:bookmarkEnd w:id="2210"/>
      <w:bookmarkEnd w:id="2211"/>
      <w:bookmarkEnd w:id="2212"/>
    </w:p>
    <w:p w14:paraId="3B19ACA3">
      <w:pPr>
        <w:spacing w:after="160" w:line="278" w:lineRule="auto"/>
        <w:rPr>
          <w:sz w:val="22"/>
          <w:szCs w:val="28"/>
          <w:highlight w:val="none"/>
        </w:rPr>
      </w:pPr>
      <w:r>
        <w:rPr>
          <w:sz w:val="22"/>
          <w:szCs w:val="28"/>
          <w:highlight w:val="none"/>
        </w:rPr>
        <w:t>24.3.1 采用争议评审的，发包人和承包人应在开工日后的28天内或在争议发生后，协商成立争议评审组。争议评审组由有合同管理和工程实践经验的专家组成。</w:t>
      </w:r>
    </w:p>
    <w:p w14:paraId="7C5ED24B">
      <w:pPr>
        <w:spacing w:after="160" w:line="278" w:lineRule="auto"/>
        <w:rPr>
          <w:sz w:val="22"/>
          <w:szCs w:val="28"/>
          <w:highlight w:val="none"/>
        </w:rPr>
      </w:pPr>
      <w:r>
        <w:rPr>
          <w:sz w:val="22"/>
          <w:szCs w:val="28"/>
          <w:highlight w:val="none"/>
        </w:rPr>
        <w:t>24.3.2 合同双方的争议，应首先由申请人向争议评审组提交一份详细的评审申请报告，并附必要的文件、图纸和证明材料，申请人还应将上述报告的副本同时提交给被申请人和监理人。</w:t>
      </w:r>
    </w:p>
    <w:p w14:paraId="0B7A293D">
      <w:pPr>
        <w:spacing w:after="160" w:line="278" w:lineRule="auto"/>
        <w:rPr>
          <w:sz w:val="22"/>
          <w:szCs w:val="28"/>
          <w:highlight w:val="none"/>
        </w:rPr>
      </w:pPr>
      <w:r>
        <w:rPr>
          <w:sz w:val="22"/>
          <w:szCs w:val="28"/>
          <w:highlight w:val="none"/>
        </w:rPr>
        <w:t>24.3.3 被申请人在收到申请人评审申请报告副本后的28天内，向争议评审组提交一份答辩报告，并附证明材料。被申请人应将答辩报告的副本同时提交给申请人和监理人。</w:t>
      </w:r>
    </w:p>
    <w:p w14:paraId="122DFF87">
      <w:pPr>
        <w:spacing w:after="160" w:line="278" w:lineRule="auto"/>
        <w:rPr>
          <w:sz w:val="22"/>
          <w:szCs w:val="28"/>
          <w:highlight w:val="none"/>
        </w:rPr>
      </w:pPr>
      <w:r>
        <w:rPr>
          <w:sz w:val="22"/>
          <w:szCs w:val="28"/>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1B8AC62E">
      <w:pPr>
        <w:spacing w:after="160" w:line="278" w:lineRule="auto"/>
        <w:rPr>
          <w:sz w:val="22"/>
          <w:szCs w:val="28"/>
          <w:highlight w:val="none"/>
        </w:rPr>
      </w:pPr>
      <w:r>
        <w:rPr>
          <w:sz w:val="22"/>
          <w:szCs w:val="28"/>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6B3660AA">
      <w:pPr>
        <w:spacing w:after="160" w:line="278" w:lineRule="auto"/>
        <w:rPr>
          <w:sz w:val="22"/>
          <w:szCs w:val="28"/>
          <w:highlight w:val="none"/>
        </w:rPr>
      </w:pPr>
      <w:r>
        <w:rPr>
          <w:sz w:val="22"/>
          <w:szCs w:val="28"/>
          <w:highlight w:val="none"/>
        </w:rPr>
        <w:t>24.3.6 发包人和承包人接受评审意见的，由监理人根据评审意见拟定执行协议，经争议双方签字后作为合同的补充文件，并遵照执行。</w:t>
      </w:r>
    </w:p>
    <w:p w14:paraId="2FD59B4F">
      <w:pPr>
        <w:spacing w:after="160" w:line="278" w:lineRule="auto"/>
        <w:rPr>
          <w:sz w:val="22"/>
          <w:szCs w:val="28"/>
          <w:highlight w:val="none"/>
        </w:rPr>
      </w:pPr>
      <w:r>
        <w:rPr>
          <w:sz w:val="22"/>
          <w:szCs w:val="28"/>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33F726C0">
      <w:pPr>
        <w:spacing w:after="160" w:line="278" w:lineRule="auto"/>
        <w:rPr>
          <w:sz w:val="22"/>
          <w:szCs w:val="28"/>
          <w:highlight w:val="none"/>
        </w:rPr>
      </w:pPr>
    </w:p>
    <w:p w14:paraId="781C8504">
      <w:pPr>
        <w:spacing w:after="160" w:line="278" w:lineRule="auto"/>
        <w:rPr>
          <w:sz w:val="22"/>
          <w:szCs w:val="28"/>
          <w:highlight w:val="none"/>
        </w:rPr>
      </w:pPr>
    </w:p>
    <w:p w14:paraId="629DD7FA">
      <w:pPr>
        <w:spacing w:after="160" w:line="278" w:lineRule="auto"/>
        <w:rPr>
          <w:sz w:val="22"/>
          <w:szCs w:val="28"/>
          <w:highlight w:val="none"/>
        </w:rPr>
        <w:sectPr>
          <w:pgSz w:w="11906" w:h="16838"/>
          <w:pgMar w:top="1440" w:right="1797" w:bottom="1440" w:left="1797" w:header="851" w:footer="992" w:gutter="0"/>
          <w:cols w:space="720" w:num="1"/>
          <w:docGrid w:linePitch="312" w:charSpace="0"/>
        </w:sectPr>
      </w:pPr>
    </w:p>
    <w:p w14:paraId="395F8556">
      <w:pPr>
        <w:spacing w:after="160" w:line="278" w:lineRule="auto"/>
        <w:outlineLvl w:val="1"/>
        <w:rPr>
          <w:b/>
          <w:bCs/>
          <w:sz w:val="32"/>
          <w:szCs w:val="40"/>
          <w:highlight w:val="none"/>
        </w:rPr>
      </w:pPr>
      <w:r>
        <w:rPr>
          <w:b/>
          <w:bCs/>
          <w:sz w:val="32"/>
          <w:szCs w:val="40"/>
          <w:highlight w:val="none"/>
        </w:rPr>
        <w:t>第</w:t>
      </w:r>
      <w:r>
        <w:rPr>
          <w:rFonts w:hint="eastAsia"/>
          <w:b/>
          <w:bCs/>
          <w:sz w:val="32"/>
          <w:szCs w:val="40"/>
          <w:highlight w:val="none"/>
        </w:rPr>
        <w:t xml:space="preserve">三节 </w:t>
      </w:r>
      <w:r>
        <w:rPr>
          <w:b/>
          <w:bCs/>
          <w:sz w:val="32"/>
          <w:szCs w:val="40"/>
          <w:highlight w:val="none"/>
        </w:rPr>
        <w:t>合同</w:t>
      </w:r>
      <w:r>
        <w:rPr>
          <w:rFonts w:hint="eastAsia"/>
          <w:b/>
          <w:bCs/>
          <w:sz w:val="32"/>
          <w:szCs w:val="40"/>
          <w:highlight w:val="none"/>
        </w:rPr>
        <w:t>条款专用部分</w:t>
      </w:r>
    </w:p>
    <w:p w14:paraId="3FF154D9">
      <w:pPr>
        <w:spacing w:after="160" w:line="278" w:lineRule="auto"/>
        <w:rPr>
          <w:b/>
          <w:bCs/>
          <w:sz w:val="32"/>
          <w:szCs w:val="40"/>
          <w:highlight w:val="none"/>
        </w:rPr>
      </w:pPr>
    </w:p>
    <w:p w14:paraId="65B8A275">
      <w:pPr>
        <w:spacing w:after="160" w:line="278" w:lineRule="auto"/>
        <w:jc w:val="center"/>
        <w:rPr>
          <w:b/>
          <w:bCs/>
          <w:sz w:val="32"/>
          <w:szCs w:val="40"/>
          <w:highlight w:val="none"/>
        </w:rPr>
      </w:pPr>
      <w:bookmarkStart w:id="2213" w:name="_Toc142385684"/>
      <w:r>
        <w:rPr>
          <w:rFonts w:hint="eastAsia"/>
          <w:b/>
          <w:bCs/>
          <w:sz w:val="32"/>
          <w:szCs w:val="40"/>
          <w:highlight w:val="none"/>
        </w:rPr>
        <w:t>专用合同条款</w:t>
      </w:r>
      <w:bookmarkEnd w:id="2213"/>
    </w:p>
    <w:p w14:paraId="0E5E79F2">
      <w:pPr>
        <w:spacing w:after="160" w:line="278" w:lineRule="auto"/>
        <w:rPr>
          <w:sz w:val="22"/>
          <w:szCs w:val="28"/>
          <w:highlight w:val="none"/>
        </w:rPr>
      </w:pPr>
      <w:bookmarkStart w:id="2214" w:name="_Toc448758447"/>
      <w:bookmarkStart w:id="2215" w:name="_Toc448758547"/>
      <w:bookmarkStart w:id="2216" w:name="_Toc241459659"/>
      <w:bookmarkStart w:id="2217" w:name="_Toc469660042"/>
      <w:bookmarkStart w:id="2218" w:name="_Toc142385685"/>
      <w:bookmarkStart w:id="2219" w:name="_Toc109914462"/>
      <w:bookmarkStart w:id="2220" w:name="_Toc342296418"/>
      <w:bookmarkStart w:id="2221" w:name="_Toc129798397"/>
      <w:bookmarkStart w:id="2222" w:name="_Toc442365639"/>
      <w:bookmarkStart w:id="2223" w:name="_Toc132619146"/>
      <w:r>
        <w:rPr>
          <w:sz w:val="22"/>
          <w:szCs w:val="28"/>
          <w:highlight w:val="none"/>
        </w:rPr>
        <w:t>1. 一般约定</w:t>
      </w:r>
      <w:bookmarkEnd w:id="2214"/>
      <w:bookmarkEnd w:id="2215"/>
      <w:bookmarkEnd w:id="2216"/>
      <w:bookmarkEnd w:id="2217"/>
      <w:bookmarkEnd w:id="2218"/>
      <w:bookmarkEnd w:id="2219"/>
      <w:bookmarkEnd w:id="2220"/>
      <w:bookmarkEnd w:id="2221"/>
      <w:bookmarkEnd w:id="2222"/>
      <w:bookmarkEnd w:id="2223"/>
    </w:p>
    <w:p w14:paraId="778662AA">
      <w:pPr>
        <w:spacing w:after="160" w:line="278" w:lineRule="auto"/>
        <w:rPr>
          <w:sz w:val="22"/>
          <w:szCs w:val="28"/>
          <w:highlight w:val="none"/>
        </w:rPr>
      </w:pPr>
      <w:bookmarkStart w:id="2224" w:name="_Toc132619147"/>
      <w:bookmarkStart w:id="2225" w:name="_Toc144974580"/>
      <w:bookmarkStart w:id="2226" w:name="_Toc179632630"/>
      <w:bookmarkStart w:id="2227" w:name="_Toc142385686"/>
      <w:bookmarkStart w:id="2228" w:name="_Toc152042390"/>
      <w:bookmarkStart w:id="2229" w:name="_Toc109914463"/>
      <w:bookmarkStart w:id="2230" w:name="_Toc342296419"/>
      <w:bookmarkStart w:id="2231" w:name="_Toc129798398"/>
      <w:bookmarkStart w:id="2232" w:name="_Toc241459660"/>
      <w:bookmarkStart w:id="2233" w:name="_Toc152045612"/>
      <w:r>
        <w:rPr>
          <w:sz w:val="22"/>
          <w:szCs w:val="28"/>
          <w:highlight w:val="none"/>
        </w:rPr>
        <w:t>1.1 词语定义</w:t>
      </w:r>
      <w:bookmarkEnd w:id="2224"/>
      <w:bookmarkEnd w:id="2225"/>
      <w:bookmarkEnd w:id="2226"/>
      <w:bookmarkEnd w:id="2227"/>
      <w:bookmarkEnd w:id="2228"/>
      <w:bookmarkEnd w:id="2229"/>
      <w:bookmarkEnd w:id="2230"/>
      <w:bookmarkEnd w:id="2231"/>
      <w:bookmarkEnd w:id="2232"/>
      <w:bookmarkEnd w:id="2233"/>
    </w:p>
    <w:p w14:paraId="3F6FFA11">
      <w:pPr>
        <w:spacing w:after="160" w:line="278" w:lineRule="auto"/>
        <w:rPr>
          <w:sz w:val="22"/>
          <w:szCs w:val="28"/>
          <w:highlight w:val="none"/>
        </w:rPr>
      </w:pPr>
      <w:r>
        <w:rPr>
          <w:sz w:val="22"/>
          <w:szCs w:val="28"/>
          <w:highlight w:val="none"/>
        </w:rPr>
        <w:t>1.1.2</w:t>
      </w:r>
      <w:r>
        <w:rPr>
          <w:rFonts w:hint="eastAsia"/>
          <w:sz w:val="22"/>
          <w:szCs w:val="28"/>
          <w:highlight w:val="none"/>
        </w:rPr>
        <w:t>合同当事人和人员</w:t>
      </w:r>
    </w:p>
    <w:p w14:paraId="7168F119">
      <w:pPr>
        <w:spacing w:after="160" w:line="278" w:lineRule="auto"/>
        <w:rPr>
          <w:sz w:val="22"/>
          <w:szCs w:val="28"/>
          <w:highlight w:val="none"/>
        </w:rPr>
      </w:pPr>
      <w:r>
        <w:rPr>
          <w:sz w:val="22"/>
          <w:szCs w:val="28"/>
          <w:highlight w:val="none"/>
        </w:rPr>
        <w:t xml:space="preserve">1.1.2.2发包人：     </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w:t>
      </w:r>
    </w:p>
    <w:p w14:paraId="06236E40">
      <w:pPr>
        <w:spacing w:after="160" w:line="278" w:lineRule="auto"/>
        <w:rPr>
          <w:sz w:val="22"/>
          <w:szCs w:val="28"/>
          <w:highlight w:val="none"/>
        </w:rPr>
      </w:pPr>
      <w:r>
        <w:rPr>
          <w:sz w:val="22"/>
          <w:szCs w:val="28"/>
          <w:highlight w:val="none"/>
        </w:rPr>
        <w:t>1.1.2.4发包人代表：指发包人指定的派驻施工场地（现场）的全权代表。</w:t>
      </w:r>
    </w:p>
    <w:p w14:paraId="78F9A1F1">
      <w:pPr>
        <w:spacing w:after="160" w:line="278" w:lineRule="auto"/>
        <w:rPr>
          <w:sz w:val="22"/>
          <w:szCs w:val="28"/>
          <w:highlight w:val="none"/>
        </w:rPr>
      </w:pPr>
      <w:r>
        <w:rPr>
          <w:sz w:val="22"/>
          <w:szCs w:val="28"/>
          <w:highlight w:val="none"/>
        </w:rPr>
        <w:t xml:space="preserve">姓    名：  </w:t>
      </w:r>
      <w:r>
        <w:rPr>
          <w:rFonts w:hint="eastAsia"/>
          <w:sz w:val="22"/>
          <w:szCs w:val="28"/>
          <w:highlight w:val="none"/>
          <w:u w:val="single"/>
        </w:rPr>
        <w:t xml:space="preserve">              </w:t>
      </w:r>
      <w:r>
        <w:rPr>
          <w:sz w:val="22"/>
          <w:szCs w:val="28"/>
          <w:highlight w:val="none"/>
        </w:rPr>
        <w:t xml:space="preserve"> 。</w:t>
      </w:r>
    </w:p>
    <w:p w14:paraId="510E0A96">
      <w:pPr>
        <w:spacing w:after="160" w:line="278" w:lineRule="auto"/>
        <w:rPr>
          <w:sz w:val="22"/>
          <w:szCs w:val="28"/>
          <w:highlight w:val="none"/>
        </w:rPr>
      </w:pPr>
      <w:r>
        <w:rPr>
          <w:sz w:val="22"/>
          <w:szCs w:val="28"/>
          <w:highlight w:val="none"/>
        </w:rPr>
        <w:t xml:space="preserve">职    称： </w:t>
      </w:r>
      <w:r>
        <w:rPr>
          <w:rFonts w:hint="eastAsia"/>
          <w:sz w:val="22"/>
          <w:szCs w:val="28"/>
          <w:highlight w:val="none"/>
          <w:u w:val="single"/>
        </w:rPr>
        <w:t xml:space="preserve">              </w:t>
      </w:r>
      <w:r>
        <w:rPr>
          <w:sz w:val="22"/>
          <w:szCs w:val="28"/>
          <w:highlight w:val="none"/>
        </w:rPr>
        <w:t xml:space="preserve">  。</w:t>
      </w:r>
    </w:p>
    <w:p w14:paraId="3D20288C">
      <w:pPr>
        <w:spacing w:after="160" w:line="278" w:lineRule="auto"/>
        <w:rPr>
          <w:sz w:val="22"/>
          <w:szCs w:val="28"/>
          <w:highlight w:val="none"/>
        </w:rPr>
      </w:pPr>
      <w:r>
        <w:rPr>
          <w:sz w:val="22"/>
          <w:szCs w:val="28"/>
          <w:highlight w:val="none"/>
        </w:rPr>
        <w:t xml:space="preserve">联系电话：  </w:t>
      </w:r>
      <w:r>
        <w:rPr>
          <w:rFonts w:hint="eastAsia"/>
          <w:sz w:val="22"/>
          <w:szCs w:val="28"/>
          <w:highlight w:val="none"/>
          <w:u w:val="single"/>
        </w:rPr>
        <w:t xml:space="preserve">              </w:t>
      </w:r>
      <w:r>
        <w:rPr>
          <w:sz w:val="22"/>
          <w:szCs w:val="28"/>
          <w:highlight w:val="none"/>
        </w:rPr>
        <w:t xml:space="preserve"> 。</w:t>
      </w:r>
    </w:p>
    <w:p w14:paraId="425171D7">
      <w:pPr>
        <w:spacing w:after="160" w:line="278" w:lineRule="auto"/>
        <w:rPr>
          <w:sz w:val="22"/>
          <w:szCs w:val="28"/>
          <w:highlight w:val="none"/>
        </w:rPr>
      </w:pPr>
      <w:r>
        <w:rPr>
          <w:sz w:val="22"/>
          <w:szCs w:val="28"/>
          <w:highlight w:val="none"/>
        </w:rPr>
        <w:t xml:space="preserve">电子信箱：   </w:t>
      </w:r>
      <w:r>
        <w:rPr>
          <w:rFonts w:hint="eastAsia"/>
          <w:sz w:val="22"/>
          <w:szCs w:val="28"/>
          <w:highlight w:val="none"/>
          <w:u w:val="single"/>
        </w:rPr>
        <w:t xml:space="preserve">              </w:t>
      </w:r>
      <w:r>
        <w:rPr>
          <w:sz w:val="22"/>
          <w:szCs w:val="28"/>
          <w:highlight w:val="none"/>
        </w:rPr>
        <w:t xml:space="preserve"> 。</w:t>
      </w:r>
    </w:p>
    <w:p w14:paraId="206B6590">
      <w:pPr>
        <w:spacing w:after="160" w:line="278" w:lineRule="auto"/>
        <w:rPr>
          <w:sz w:val="22"/>
          <w:szCs w:val="28"/>
          <w:highlight w:val="none"/>
        </w:rPr>
      </w:pPr>
      <w:r>
        <w:rPr>
          <w:sz w:val="22"/>
          <w:szCs w:val="28"/>
          <w:highlight w:val="none"/>
        </w:rPr>
        <w:t>通信地址：</w:t>
      </w:r>
      <w:r>
        <w:rPr>
          <w:rFonts w:hint="eastAsia"/>
          <w:sz w:val="22"/>
          <w:szCs w:val="28"/>
          <w:highlight w:val="none"/>
        </w:rPr>
        <w:t xml:space="preserve"> </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xml:space="preserve"> </w:t>
      </w:r>
      <w:r>
        <w:rPr>
          <w:rFonts w:hint="eastAsia"/>
          <w:sz w:val="22"/>
          <w:szCs w:val="28"/>
          <w:highlight w:val="none"/>
        </w:rPr>
        <w:t xml:space="preserve"> </w:t>
      </w:r>
      <w:r>
        <w:rPr>
          <w:sz w:val="22"/>
          <w:szCs w:val="28"/>
          <w:highlight w:val="none"/>
        </w:rPr>
        <w:t xml:space="preserve"> 。</w:t>
      </w:r>
    </w:p>
    <w:p w14:paraId="7E0489D2">
      <w:pPr>
        <w:spacing w:after="160" w:line="278" w:lineRule="auto"/>
        <w:rPr>
          <w:sz w:val="22"/>
          <w:szCs w:val="28"/>
          <w:highlight w:val="none"/>
        </w:rPr>
      </w:pPr>
      <w:r>
        <w:rPr>
          <w:sz w:val="22"/>
          <w:szCs w:val="28"/>
          <w:highlight w:val="none"/>
        </w:rPr>
        <w:t>1.1.2.6监理人：</w:t>
      </w:r>
    </w:p>
    <w:p w14:paraId="36C4FEEC">
      <w:pPr>
        <w:spacing w:after="160" w:line="278" w:lineRule="auto"/>
        <w:rPr>
          <w:sz w:val="22"/>
          <w:szCs w:val="28"/>
          <w:highlight w:val="none"/>
        </w:rPr>
      </w:pPr>
      <w:r>
        <w:rPr>
          <w:rFonts w:hint="eastAsia"/>
          <w:sz w:val="22"/>
          <w:szCs w:val="28"/>
          <w:highlight w:val="none"/>
        </w:rPr>
        <w:t>名</w:t>
      </w:r>
      <w:r>
        <w:rPr>
          <w:sz w:val="22"/>
          <w:szCs w:val="28"/>
          <w:highlight w:val="none"/>
        </w:rPr>
        <w:t xml:space="preserve">    称：</w:t>
      </w:r>
      <w:r>
        <w:rPr>
          <w:rFonts w:hint="eastAsia"/>
          <w:sz w:val="22"/>
          <w:szCs w:val="28"/>
          <w:highlight w:val="none"/>
        </w:rPr>
        <w:t xml:space="preserve"> </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417899FC">
      <w:pPr>
        <w:spacing w:after="160" w:line="278" w:lineRule="auto"/>
        <w:rPr>
          <w:sz w:val="22"/>
          <w:szCs w:val="28"/>
          <w:highlight w:val="none"/>
        </w:rPr>
      </w:pPr>
      <w:r>
        <w:rPr>
          <w:rFonts w:hint="eastAsia"/>
          <w:sz w:val="22"/>
          <w:szCs w:val="28"/>
          <w:highlight w:val="none"/>
        </w:rPr>
        <w:t>资质类别和等级：</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4F29BC3E">
      <w:pPr>
        <w:spacing w:after="160" w:line="278" w:lineRule="auto"/>
        <w:rPr>
          <w:sz w:val="22"/>
          <w:szCs w:val="28"/>
          <w:highlight w:val="none"/>
        </w:rPr>
      </w:pPr>
      <w:r>
        <w:rPr>
          <w:rFonts w:hint="eastAsia"/>
          <w:sz w:val="22"/>
          <w:szCs w:val="28"/>
          <w:highlight w:val="none"/>
        </w:rPr>
        <w:t>联系电话：</w:t>
      </w:r>
      <w:r>
        <w:rPr>
          <w:rFonts w:hint="eastAsia"/>
          <w:sz w:val="22"/>
          <w:szCs w:val="28"/>
          <w:highlight w:val="none"/>
          <w:u w:val="single"/>
        </w:rPr>
        <w:t xml:space="preserve">               </w:t>
      </w:r>
      <w:r>
        <w:rPr>
          <w:sz w:val="22"/>
          <w:szCs w:val="28"/>
          <w:highlight w:val="none"/>
        </w:rPr>
        <w:t xml:space="preserve">  ；</w:t>
      </w:r>
    </w:p>
    <w:p w14:paraId="11B1CDCD">
      <w:pPr>
        <w:spacing w:after="160" w:line="278" w:lineRule="auto"/>
        <w:rPr>
          <w:sz w:val="22"/>
          <w:szCs w:val="28"/>
          <w:highlight w:val="none"/>
        </w:rPr>
      </w:pPr>
      <w:r>
        <w:rPr>
          <w:rFonts w:hint="eastAsia"/>
          <w:sz w:val="22"/>
          <w:szCs w:val="28"/>
          <w:highlight w:val="none"/>
        </w:rPr>
        <w:t>电子信箱：</w:t>
      </w:r>
      <w:r>
        <w:rPr>
          <w:rFonts w:hint="eastAsia"/>
          <w:sz w:val="22"/>
          <w:szCs w:val="28"/>
          <w:highlight w:val="none"/>
          <w:u w:val="single"/>
        </w:rPr>
        <w:t xml:space="preserve">               </w:t>
      </w:r>
      <w:r>
        <w:rPr>
          <w:sz w:val="22"/>
          <w:szCs w:val="28"/>
          <w:highlight w:val="none"/>
        </w:rPr>
        <w:t xml:space="preserve"> ；</w:t>
      </w:r>
    </w:p>
    <w:p w14:paraId="418674FB">
      <w:pPr>
        <w:spacing w:after="160" w:line="278" w:lineRule="auto"/>
        <w:rPr>
          <w:sz w:val="22"/>
          <w:szCs w:val="28"/>
          <w:highlight w:val="none"/>
        </w:rPr>
      </w:pPr>
      <w:r>
        <w:rPr>
          <w:rFonts w:hint="eastAsia"/>
          <w:sz w:val="22"/>
          <w:szCs w:val="28"/>
          <w:highlight w:val="none"/>
        </w:rPr>
        <w:t>通信地址：</w:t>
      </w:r>
      <w:r>
        <w:rPr>
          <w:rFonts w:hint="eastAsia"/>
          <w:sz w:val="22"/>
          <w:szCs w:val="28"/>
          <w:highlight w:val="none"/>
          <w:u w:val="single"/>
        </w:rPr>
        <w:t xml:space="preserve">               </w:t>
      </w:r>
      <w:r>
        <w:rPr>
          <w:sz w:val="22"/>
          <w:szCs w:val="28"/>
          <w:highlight w:val="none"/>
        </w:rPr>
        <w:t>。</w:t>
      </w:r>
    </w:p>
    <w:p w14:paraId="3E465AD7">
      <w:pPr>
        <w:spacing w:after="160" w:line="278" w:lineRule="auto"/>
        <w:rPr>
          <w:sz w:val="22"/>
          <w:szCs w:val="28"/>
          <w:highlight w:val="none"/>
        </w:rPr>
      </w:pPr>
      <w:r>
        <w:rPr>
          <w:sz w:val="22"/>
          <w:szCs w:val="28"/>
          <w:highlight w:val="none"/>
        </w:rPr>
        <w:t>1.1.2.8 设计人：</w:t>
      </w:r>
    </w:p>
    <w:p w14:paraId="43DD6549">
      <w:pPr>
        <w:spacing w:after="160" w:line="278" w:lineRule="auto"/>
        <w:rPr>
          <w:sz w:val="22"/>
          <w:szCs w:val="28"/>
          <w:highlight w:val="none"/>
        </w:rPr>
      </w:pPr>
      <w:r>
        <w:rPr>
          <w:rFonts w:hint="eastAsia"/>
          <w:sz w:val="22"/>
          <w:szCs w:val="28"/>
          <w:highlight w:val="none"/>
        </w:rPr>
        <w:t>名</w:t>
      </w:r>
      <w:r>
        <w:rPr>
          <w:sz w:val="22"/>
          <w:szCs w:val="28"/>
          <w:highlight w:val="none"/>
        </w:rPr>
        <w:t>   </w:t>
      </w:r>
      <w:r>
        <w:rPr>
          <w:rFonts w:hint="eastAsia"/>
          <w:sz w:val="22"/>
          <w:szCs w:val="28"/>
          <w:highlight w:val="none"/>
        </w:rPr>
        <w:t xml:space="preserve"> 称： </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     </w:t>
      </w:r>
      <w:r>
        <w:rPr>
          <w:rFonts w:hint="eastAsia"/>
          <w:sz w:val="22"/>
          <w:szCs w:val="28"/>
          <w:highlight w:val="none"/>
        </w:rPr>
        <w:t xml:space="preserve"> ；</w:t>
      </w:r>
    </w:p>
    <w:p w14:paraId="231DF4BE">
      <w:pPr>
        <w:spacing w:after="160" w:line="278" w:lineRule="auto"/>
        <w:rPr>
          <w:sz w:val="22"/>
          <w:szCs w:val="28"/>
          <w:highlight w:val="none"/>
        </w:rPr>
      </w:pPr>
      <w:r>
        <w:rPr>
          <w:rFonts w:hint="eastAsia"/>
          <w:sz w:val="22"/>
          <w:szCs w:val="28"/>
          <w:highlight w:val="none"/>
        </w:rPr>
        <w:t>资质类别和等级：</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     </w:t>
      </w:r>
      <w:r>
        <w:rPr>
          <w:rFonts w:hint="eastAsia"/>
          <w:sz w:val="22"/>
          <w:szCs w:val="28"/>
          <w:highlight w:val="none"/>
        </w:rPr>
        <w:t>；</w:t>
      </w:r>
    </w:p>
    <w:p w14:paraId="41AF4055">
      <w:pPr>
        <w:spacing w:after="160" w:line="278" w:lineRule="auto"/>
        <w:rPr>
          <w:sz w:val="22"/>
          <w:szCs w:val="28"/>
          <w:highlight w:val="none"/>
        </w:rPr>
      </w:pPr>
      <w:r>
        <w:rPr>
          <w:rFonts w:hint="eastAsia"/>
          <w:sz w:val="22"/>
          <w:szCs w:val="28"/>
          <w:highlight w:val="none"/>
        </w:rPr>
        <w:t>联系电话：</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     </w:t>
      </w:r>
      <w:r>
        <w:rPr>
          <w:rFonts w:hint="eastAsia"/>
          <w:sz w:val="22"/>
          <w:szCs w:val="28"/>
          <w:highlight w:val="none"/>
        </w:rPr>
        <w:t>；</w:t>
      </w:r>
    </w:p>
    <w:p w14:paraId="2A5AAE70">
      <w:pPr>
        <w:spacing w:after="160" w:line="278" w:lineRule="auto"/>
        <w:rPr>
          <w:sz w:val="22"/>
          <w:szCs w:val="28"/>
          <w:highlight w:val="none"/>
        </w:rPr>
      </w:pPr>
      <w:r>
        <w:rPr>
          <w:rFonts w:hint="eastAsia"/>
          <w:sz w:val="22"/>
          <w:szCs w:val="28"/>
          <w:highlight w:val="none"/>
        </w:rPr>
        <w:t>电子信箱：</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     </w:t>
      </w:r>
      <w:r>
        <w:rPr>
          <w:rFonts w:hint="eastAsia"/>
          <w:sz w:val="22"/>
          <w:szCs w:val="28"/>
          <w:highlight w:val="none"/>
        </w:rPr>
        <w:t>；</w:t>
      </w:r>
    </w:p>
    <w:p w14:paraId="6C592A3B">
      <w:pPr>
        <w:spacing w:after="160" w:line="278" w:lineRule="auto"/>
        <w:rPr>
          <w:sz w:val="22"/>
          <w:szCs w:val="28"/>
          <w:highlight w:val="none"/>
        </w:rPr>
      </w:pPr>
      <w:r>
        <w:rPr>
          <w:rFonts w:hint="eastAsia"/>
          <w:sz w:val="22"/>
          <w:szCs w:val="28"/>
          <w:highlight w:val="none"/>
        </w:rPr>
        <w:t>通信地址：</w:t>
      </w:r>
      <w:r>
        <w:rPr>
          <w:rFonts w:hint="eastAsia"/>
          <w:sz w:val="22"/>
          <w:szCs w:val="28"/>
          <w:highlight w:val="none"/>
          <w:u w:val="single"/>
        </w:rPr>
        <w:t xml:space="preserve">   </w:t>
      </w:r>
      <w:r>
        <w:rPr>
          <w:sz w:val="22"/>
          <w:szCs w:val="28"/>
          <w:highlight w:val="none"/>
          <w:u w:val="single"/>
        </w:rPr>
        <w:t xml:space="preserve"> </w:t>
      </w:r>
      <w:r>
        <w:rPr>
          <w:rFonts w:hint="eastAsia"/>
          <w:sz w:val="22"/>
          <w:szCs w:val="28"/>
          <w:highlight w:val="none"/>
          <w:u w:val="single"/>
        </w:rPr>
        <w:t xml:space="preserve"> /     </w:t>
      </w:r>
      <w:r>
        <w:rPr>
          <w:rFonts w:hint="eastAsia"/>
          <w:sz w:val="22"/>
          <w:szCs w:val="28"/>
          <w:highlight w:val="none"/>
        </w:rPr>
        <w:t>。</w:t>
      </w:r>
    </w:p>
    <w:p w14:paraId="4FCDD55C">
      <w:pPr>
        <w:spacing w:after="160" w:line="278" w:lineRule="auto"/>
        <w:rPr>
          <w:sz w:val="22"/>
          <w:szCs w:val="28"/>
          <w:highlight w:val="none"/>
        </w:rPr>
      </w:pPr>
      <w:r>
        <w:rPr>
          <w:rFonts w:hint="eastAsia"/>
          <w:sz w:val="22"/>
          <w:szCs w:val="28"/>
          <w:highlight w:val="none"/>
        </w:rPr>
        <w:t>1.1.2.9承包人：</w:t>
      </w:r>
    </w:p>
    <w:p w14:paraId="57A9114A">
      <w:pPr>
        <w:spacing w:after="160" w:line="278" w:lineRule="auto"/>
        <w:rPr>
          <w:sz w:val="22"/>
          <w:szCs w:val="28"/>
          <w:highlight w:val="none"/>
        </w:rPr>
      </w:pPr>
      <w:r>
        <w:rPr>
          <w:rFonts w:hint="eastAsia"/>
          <w:sz w:val="22"/>
          <w:szCs w:val="28"/>
          <w:highlight w:val="none"/>
        </w:rPr>
        <w:t>承包人项目经理：</w:t>
      </w:r>
      <w:r>
        <w:rPr>
          <w:rFonts w:hint="eastAsia"/>
          <w:sz w:val="22"/>
          <w:szCs w:val="28"/>
          <w:highlight w:val="none"/>
          <w:u w:val="single"/>
        </w:rPr>
        <w:t xml:space="preserve">              </w:t>
      </w:r>
    </w:p>
    <w:p w14:paraId="43A7AC1D">
      <w:pPr>
        <w:spacing w:after="160" w:line="278" w:lineRule="auto"/>
        <w:rPr>
          <w:sz w:val="22"/>
          <w:szCs w:val="28"/>
          <w:highlight w:val="none"/>
        </w:rPr>
      </w:pPr>
      <w:r>
        <w:rPr>
          <w:rFonts w:hint="eastAsia"/>
          <w:sz w:val="22"/>
          <w:szCs w:val="28"/>
          <w:highlight w:val="none"/>
        </w:rPr>
        <w:t>姓</w:t>
      </w:r>
      <w:r>
        <w:rPr>
          <w:sz w:val="22"/>
          <w:szCs w:val="28"/>
          <w:highlight w:val="none"/>
        </w:rPr>
        <w:t xml:space="preserve">    名：</w:t>
      </w:r>
      <w:r>
        <w:rPr>
          <w:rFonts w:hint="eastAsia"/>
          <w:sz w:val="22"/>
          <w:szCs w:val="28"/>
          <w:highlight w:val="none"/>
          <w:u w:val="single"/>
        </w:rPr>
        <w:t xml:space="preserve">              </w:t>
      </w:r>
      <w:r>
        <w:rPr>
          <w:sz w:val="22"/>
          <w:szCs w:val="28"/>
          <w:highlight w:val="none"/>
        </w:rPr>
        <w:t>；</w:t>
      </w:r>
    </w:p>
    <w:p w14:paraId="4CDDA8FF">
      <w:pPr>
        <w:spacing w:after="160" w:line="278" w:lineRule="auto"/>
        <w:rPr>
          <w:sz w:val="22"/>
          <w:szCs w:val="28"/>
          <w:highlight w:val="none"/>
        </w:rPr>
      </w:pPr>
      <w:r>
        <w:rPr>
          <w:rFonts w:hint="eastAsia"/>
          <w:sz w:val="22"/>
          <w:szCs w:val="28"/>
          <w:highlight w:val="none"/>
        </w:rPr>
        <w:t>身份证号：</w:t>
      </w:r>
      <w:r>
        <w:rPr>
          <w:rFonts w:hint="eastAsia"/>
          <w:sz w:val="22"/>
          <w:szCs w:val="28"/>
          <w:highlight w:val="none"/>
          <w:u w:val="single"/>
        </w:rPr>
        <w:t xml:space="preserve">              </w:t>
      </w:r>
      <w:r>
        <w:rPr>
          <w:sz w:val="22"/>
          <w:szCs w:val="28"/>
          <w:highlight w:val="none"/>
        </w:rPr>
        <w:t xml:space="preserve"> ；</w:t>
      </w:r>
    </w:p>
    <w:p w14:paraId="72ACB82B">
      <w:pPr>
        <w:spacing w:after="160" w:line="278" w:lineRule="auto"/>
        <w:rPr>
          <w:sz w:val="22"/>
          <w:szCs w:val="28"/>
          <w:highlight w:val="none"/>
        </w:rPr>
      </w:pPr>
      <w:r>
        <w:rPr>
          <w:rFonts w:hint="eastAsia"/>
          <w:sz w:val="22"/>
          <w:szCs w:val="28"/>
          <w:highlight w:val="none"/>
        </w:rPr>
        <w:t>建造师执业资格等级：</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5F870D04">
      <w:pPr>
        <w:spacing w:after="160" w:line="278" w:lineRule="auto"/>
        <w:rPr>
          <w:sz w:val="22"/>
          <w:szCs w:val="28"/>
          <w:highlight w:val="none"/>
        </w:rPr>
      </w:pPr>
      <w:r>
        <w:rPr>
          <w:rFonts w:hint="eastAsia"/>
          <w:sz w:val="22"/>
          <w:szCs w:val="28"/>
          <w:highlight w:val="none"/>
        </w:rPr>
        <w:t xml:space="preserve">建造师注册证书号： </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53146BA9">
      <w:pPr>
        <w:spacing w:after="160" w:line="278" w:lineRule="auto"/>
        <w:rPr>
          <w:sz w:val="22"/>
          <w:szCs w:val="28"/>
          <w:highlight w:val="none"/>
        </w:rPr>
      </w:pPr>
      <w:r>
        <w:rPr>
          <w:rFonts w:hint="eastAsia"/>
          <w:sz w:val="22"/>
          <w:szCs w:val="28"/>
          <w:highlight w:val="none"/>
        </w:rPr>
        <w:t>建造师执业印章号：</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061265E7">
      <w:pPr>
        <w:spacing w:after="160" w:line="278" w:lineRule="auto"/>
        <w:rPr>
          <w:sz w:val="22"/>
          <w:szCs w:val="28"/>
          <w:highlight w:val="none"/>
        </w:rPr>
      </w:pPr>
      <w:r>
        <w:rPr>
          <w:rFonts w:hint="eastAsia"/>
          <w:sz w:val="22"/>
          <w:szCs w:val="28"/>
          <w:highlight w:val="none"/>
        </w:rPr>
        <w:t>安全生产考核合格证书号：</w:t>
      </w:r>
      <w:r>
        <w:rPr>
          <w:sz w:val="22"/>
          <w:szCs w:val="28"/>
          <w:highlight w:val="none"/>
        </w:rPr>
        <w:t xml:space="preserve"> </w:t>
      </w:r>
      <w:r>
        <w:rPr>
          <w:rFonts w:hint="eastAsia"/>
          <w:sz w:val="22"/>
          <w:szCs w:val="28"/>
          <w:highlight w:val="none"/>
          <w:u w:val="single"/>
        </w:rPr>
        <w:t xml:space="preserve">              </w:t>
      </w:r>
      <w:r>
        <w:rPr>
          <w:sz w:val="22"/>
          <w:szCs w:val="28"/>
          <w:highlight w:val="none"/>
        </w:rPr>
        <w:t xml:space="preserve"> ；</w:t>
      </w:r>
    </w:p>
    <w:p w14:paraId="5F8EF00F">
      <w:pPr>
        <w:spacing w:after="160" w:line="278" w:lineRule="auto"/>
        <w:rPr>
          <w:sz w:val="22"/>
          <w:szCs w:val="28"/>
          <w:highlight w:val="none"/>
        </w:rPr>
      </w:pPr>
      <w:r>
        <w:rPr>
          <w:rFonts w:hint="eastAsia"/>
          <w:sz w:val="22"/>
          <w:szCs w:val="28"/>
          <w:highlight w:val="none"/>
        </w:rPr>
        <w:t>联系电话：</w:t>
      </w:r>
      <w:r>
        <w:rPr>
          <w:rFonts w:hint="eastAsia"/>
          <w:sz w:val="22"/>
          <w:szCs w:val="28"/>
          <w:highlight w:val="none"/>
          <w:u w:val="single"/>
        </w:rPr>
        <w:t xml:space="preserve">              </w:t>
      </w:r>
      <w:r>
        <w:rPr>
          <w:sz w:val="22"/>
          <w:szCs w:val="28"/>
          <w:highlight w:val="none"/>
        </w:rPr>
        <w:t xml:space="preserve"> ；</w:t>
      </w:r>
    </w:p>
    <w:p w14:paraId="12CD8B50">
      <w:pPr>
        <w:spacing w:after="160" w:line="278" w:lineRule="auto"/>
        <w:rPr>
          <w:sz w:val="22"/>
          <w:szCs w:val="28"/>
          <w:highlight w:val="none"/>
        </w:rPr>
      </w:pPr>
      <w:r>
        <w:rPr>
          <w:rFonts w:hint="eastAsia"/>
          <w:sz w:val="22"/>
          <w:szCs w:val="28"/>
          <w:highlight w:val="none"/>
        </w:rPr>
        <w:t>电子信箱：</w:t>
      </w:r>
      <w:r>
        <w:rPr>
          <w:sz w:val="22"/>
          <w:szCs w:val="28"/>
          <w:highlight w:val="none"/>
        </w:rPr>
        <w:t xml:space="preserve"> </w:t>
      </w:r>
      <w:r>
        <w:rPr>
          <w:rFonts w:hint="eastAsia"/>
          <w:sz w:val="22"/>
          <w:szCs w:val="28"/>
          <w:highlight w:val="none"/>
          <w:u w:val="single"/>
        </w:rPr>
        <w:t xml:space="preserve">              </w:t>
      </w:r>
      <w:r>
        <w:rPr>
          <w:sz w:val="22"/>
          <w:szCs w:val="28"/>
          <w:highlight w:val="none"/>
        </w:rPr>
        <w:t xml:space="preserve">  ；</w:t>
      </w:r>
    </w:p>
    <w:p w14:paraId="54122AC7">
      <w:pPr>
        <w:spacing w:after="160" w:line="278" w:lineRule="auto"/>
        <w:rPr>
          <w:sz w:val="22"/>
          <w:szCs w:val="28"/>
          <w:highlight w:val="none"/>
        </w:rPr>
      </w:pPr>
      <w:r>
        <w:rPr>
          <w:rFonts w:hint="eastAsia"/>
          <w:sz w:val="22"/>
          <w:szCs w:val="28"/>
          <w:highlight w:val="none"/>
        </w:rPr>
        <w:t xml:space="preserve">通信地址： </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w:t>
      </w:r>
    </w:p>
    <w:p w14:paraId="2DBF77C9">
      <w:pPr>
        <w:spacing w:after="160" w:line="278" w:lineRule="auto"/>
        <w:rPr>
          <w:sz w:val="22"/>
          <w:szCs w:val="28"/>
          <w:highlight w:val="none"/>
        </w:rPr>
      </w:pPr>
      <w:r>
        <w:rPr>
          <w:rFonts w:hint="eastAsia"/>
          <w:sz w:val="22"/>
          <w:szCs w:val="28"/>
          <w:highlight w:val="none"/>
        </w:rPr>
        <w:t>承包人对项目经理的授权范围如下：严格规范施工，确保安全生产，按期完成并交付合格产品，参与项目招标、投标和合同签订，组建项目管理班子，指挥项目建设的生产经营活动</w:t>
      </w:r>
      <w:r>
        <w:rPr>
          <w:sz w:val="22"/>
          <w:szCs w:val="28"/>
          <w:highlight w:val="none"/>
        </w:rPr>
        <w:t>。</w:t>
      </w:r>
    </w:p>
    <w:p w14:paraId="73E8752C">
      <w:pPr>
        <w:spacing w:after="160" w:line="278" w:lineRule="auto"/>
        <w:rPr>
          <w:sz w:val="22"/>
          <w:szCs w:val="28"/>
          <w:highlight w:val="none"/>
        </w:rPr>
      </w:pPr>
      <w:r>
        <w:rPr>
          <w:rFonts w:hint="eastAsia"/>
          <w:sz w:val="22"/>
          <w:szCs w:val="28"/>
          <w:highlight w:val="none"/>
        </w:rPr>
        <w:t>关于项目经理每月在施工现场的时间要求：不得少于</w:t>
      </w:r>
      <w:r>
        <w:rPr>
          <w:sz w:val="22"/>
          <w:szCs w:val="28"/>
          <w:highlight w:val="none"/>
        </w:rPr>
        <w:t>22</w:t>
      </w:r>
      <w:r>
        <w:rPr>
          <w:rFonts w:hint="eastAsia"/>
          <w:sz w:val="22"/>
          <w:szCs w:val="28"/>
          <w:highlight w:val="none"/>
        </w:rPr>
        <w:t>天，在监理人向承包人颁发（出具）工程接收证书前，项目经理不得同时担任其他项目的项目经理，项目经理确需离开施工现场，应事先通知监理人，并取得发包人的书面同意</w:t>
      </w:r>
      <w:r>
        <w:rPr>
          <w:sz w:val="22"/>
          <w:szCs w:val="28"/>
          <w:highlight w:val="none"/>
        </w:rPr>
        <w:t>。</w:t>
      </w:r>
    </w:p>
    <w:p w14:paraId="422AE040">
      <w:pPr>
        <w:spacing w:after="160" w:line="278" w:lineRule="auto"/>
        <w:rPr>
          <w:sz w:val="22"/>
          <w:szCs w:val="28"/>
          <w:highlight w:val="none"/>
        </w:rPr>
      </w:pPr>
      <w:r>
        <w:rPr>
          <w:rFonts w:hint="eastAsia"/>
          <w:sz w:val="22"/>
          <w:szCs w:val="28"/>
          <w:highlight w:val="none"/>
        </w:rPr>
        <w:t>承包人未提交劳动合同以及没有为项目经理缴纳社会保险证明的违约责任：承包人支付发包人合同价款3%违约金，并立即改正，拒不改正解除劳动合同</w:t>
      </w:r>
      <w:r>
        <w:rPr>
          <w:sz w:val="22"/>
          <w:szCs w:val="28"/>
          <w:highlight w:val="none"/>
        </w:rPr>
        <w:t>。</w:t>
      </w:r>
    </w:p>
    <w:p w14:paraId="5040CEA5">
      <w:pPr>
        <w:spacing w:after="160" w:line="278" w:lineRule="auto"/>
        <w:rPr>
          <w:sz w:val="22"/>
          <w:szCs w:val="28"/>
          <w:highlight w:val="none"/>
        </w:rPr>
      </w:pPr>
      <w:r>
        <w:rPr>
          <w:rFonts w:hint="eastAsia"/>
          <w:sz w:val="22"/>
          <w:szCs w:val="28"/>
          <w:highlight w:val="none"/>
        </w:rPr>
        <w:t>项目经理未经批准，擅自离开施工现场的违约责任：</w:t>
      </w:r>
      <w:r>
        <w:rPr>
          <w:sz w:val="22"/>
          <w:szCs w:val="28"/>
          <w:highlight w:val="none"/>
        </w:rPr>
        <w:t xml:space="preserve"> </w:t>
      </w:r>
      <w:r>
        <w:rPr>
          <w:rFonts w:hint="eastAsia"/>
          <w:sz w:val="22"/>
          <w:szCs w:val="28"/>
          <w:highlight w:val="none"/>
        </w:rPr>
        <w:t>项目经理未按要求驻场、每月在施工现场天数未达到22天的，每少于1天，承包人支付违约金10000元</w:t>
      </w:r>
      <w:r>
        <w:rPr>
          <w:sz w:val="22"/>
          <w:szCs w:val="28"/>
          <w:highlight w:val="none"/>
        </w:rPr>
        <w:t>。</w:t>
      </w:r>
    </w:p>
    <w:p w14:paraId="0F8678DC">
      <w:pPr>
        <w:spacing w:after="160" w:line="278" w:lineRule="auto"/>
        <w:rPr>
          <w:sz w:val="22"/>
          <w:szCs w:val="28"/>
          <w:highlight w:val="none"/>
        </w:rPr>
      </w:pPr>
      <w:r>
        <w:rPr>
          <w:sz w:val="22"/>
          <w:szCs w:val="28"/>
          <w:highlight w:val="none"/>
        </w:rPr>
        <w:t>承包人擅自更换项目经理的违约责任：</w:t>
      </w:r>
      <w:r>
        <w:rPr>
          <w:rFonts w:hint="eastAsia"/>
          <w:sz w:val="22"/>
          <w:szCs w:val="28"/>
          <w:highlight w:val="none"/>
        </w:rPr>
        <w:t>解除合同；双倍返还中标人的履约保证金；赔偿对发包人造成的损失</w:t>
      </w:r>
      <w:r>
        <w:rPr>
          <w:sz w:val="22"/>
          <w:szCs w:val="28"/>
          <w:highlight w:val="none"/>
        </w:rPr>
        <w:t xml:space="preserve"> 。</w:t>
      </w:r>
    </w:p>
    <w:p w14:paraId="78881D18">
      <w:pPr>
        <w:spacing w:after="160" w:line="278" w:lineRule="auto"/>
        <w:rPr>
          <w:sz w:val="22"/>
          <w:szCs w:val="28"/>
          <w:highlight w:val="none"/>
        </w:rPr>
      </w:pPr>
      <w:r>
        <w:rPr>
          <w:sz w:val="22"/>
          <w:szCs w:val="28"/>
          <w:highlight w:val="none"/>
        </w:rPr>
        <w:t>1.1.2.9专业分包人：指根据合同条款第15.8.1项的约定，由发包人和承包人以招标方式选择的分包人。</w:t>
      </w:r>
    </w:p>
    <w:p w14:paraId="15416E7D">
      <w:pPr>
        <w:spacing w:after="160" w:line="278" w:lineRule="auto"/>
        <w:rPr>
          <w:sz w:val="22"/>
          <w:szCs w:val="28"/>
          <w:highlight w:val="none"/>
        </w:rPr>
      </w:pPr>
      <w:r>
        <w:rPr>
          <w:sz w:val="22"/>
          <w:szCs w:val="28"/>
          <w:highlight w:val="none"/>
        </w:rPr>
        <w:t>1.1.2.10专项供应商：指根据合同条款第15.8.1项的约定，由发包人和承包人以招标方式选择的供应商。</w:t>
      </w:r>
    </w:p>
    <w:p w14:paraId="317755BA">
      <w:pPr>
        <w:spacing w:after="160" w:line="278" w:lineRule="auto"/>
        <w:rPr>
          <w:sz w:val="22"/>
          <w:szCs w:val="28"/>
          <w:highlight w:val="none"/>
        </w:rPr>
      </w:pPr>
      <w:r>
        <w:rPr>
          <w:sz w:val="22"/>
          <w:szCs w:val="28"/>
          <w:highlight w:val="none"/>
        </w:rPr>
        <w:t>1.1.2.11独立承包人：指与发包人直接订立工程承包合同，负责实施与工程有关的其他工作的当事人。</w:t>
      </w:r>
    </w:p>
    <w:p w14:paraId="22CD567B">
      <w:pPr>
        <w:spacing w:after="160" w:line="278" w:lineRule="auto"/>
        <w:rPr>
          <w:sz w:val="22"/>
          <w:szCs w:val="28"/>
          <w:highlight w:val="none"/>
        </w:rPr>
      </w:pPr>
      <w:r>
        <w:rPr>
          <w:sz w:val="22"/>
          <w:szCs w:val="28"/>
          <w:highlight w:val="none"/>
        </w:rPr>
        <w:t>1.1.3</w:t>
      </w:r>
      <w:r>
        <w:rPr>
          <w:rFonts w:hint="eastAsia"/>
          <w:sz w:val="22"/>
          <w:szCs w:val="28"/>
          <w:highlight w:val="none"/>
        </w:rPr>
        <w:t>工程和设备</w:t>
      </w:r>
    </w:p>
    <w:p w14:paraId="6B07CF92">
      <w:pPr>
        <w:spacing w:after="160" w:line="278" w:lineRule="auto"/>
        <w:rPr>
          <w:sz w:val="22"/>
          <w:szCs w:val="28"/>
          <w:highlight w:val="none"/>
        </w:rPr>
      </w:pPr>
      <w:r>
        <w:rPr>
          <w:rFonts w:hint="eastAsia"/>
          <w:sz w:val="22"/>
          <w:szCs w:val="28"/>
          <w:highlight w:val="none"/>
        </w:rPr>
        <w:t>1.1.3.2永久工程：指按合同约定建造并移交给发包人的工程，包括工程设备       。</w:t>
      </w:r>
    </w:p>
    <w:p w14:paraId="10B0A992">
      <w:pPr>
        <w:spacing w:after="160" w:line="278" w:lineRule="auto"/>
        <w:rPr>
          <w:sz w:val="22"/>
          <w:szCs w:val="28"/>
          <w:highlight w:val="none"/>
        </w:rPr>
      </w:pPr>
      <w:r>
        <w:rPr>
          <w:rFonts w:hint="eastAsia"/>
          <w:sz w:val="22"/>
          <w:szCs w:val="28"/>
          <w:highlight w:val="none"/>
        </w:rPr>
        <w:t>1.1.3.3临时工程：承包人为完成永久工程所修建的临时性工程，并在本工程竣工后或在发包人要求时，承包人需予以全部拆除的工程。包括临时性围挡、施工照明工程等    。</w:t>
      </w:r>
    </w:p>
    <w:p w14:paraId="7D260C8F">
      <w:pPr>
        <w:spacing w:after="160" w:line="278" w:lineRule="auto"/>
        <w:rPr>
          <w:sz w:val="22"/>
          <w:szCs w:val="28"/>
          <w:highlight w:val="none"/>
        </w:rPr>
      </w:pPr>
      <w:r>
        <w:rPr>
          <w:sz w:val="22"/>
          <w:szCs w:val="28"/>
          <w:highlight w:val="none"/>
        </w:rPr>
        <w:t>1.1.3.4单位工程：指具有相对独立的设计文件，能够独立组织施工并能形成独立使用功能的永久工程的组成部分。</w:t>
      </w:r>
    </w:p>
    <w:p w14:paraId="5917C7B1">
      <w:pPr>
        <w:spacing w:after="160" w:line="278" w:lineRule="auto"/>
        <w:rPr>
          <w:sz w:val="22"/>
          <w:szCs w:val="28"/>
          <w:highlight w:val="none"/>
        </w:rPr>
      </w:pPr>
      <w:r>
        <w:rPr>
          <w:rFonts w:hint="eastAsia"/>
          <w:sz w:val="22"/>
          <w:szCs w:val="28"/>
          <w:highlight w:val="none"/>
        </w:rPr>
        <w:t>1.1.3.10永久占地：指为实施本合同工程而需要的一切永久占用的土地，包括道路两侧路权范围内的用地  。</w:t>
      </w:r>
    </w:p>
    <w:p w14:paraId="6D12F7A7">
      <w:pPr>
        <w:spacing w:after="160" w:line="278" w:lineRule="auto"/>
        <w:rPr>
          <w:sz w:val="22"/>
          <w:szCs w:val="28"/>
          <w:highlight w:val="none"/>
        </w:rPr>
      </w:pPr>
      <w:r>
        <w:rPr>
          <w:rFonts w:hint="eastAsia"/>
          <w:sz w:val="22"/>
          <w:szCs w:val="28"/>
          <w:highlight w:val="none"/>
        </w:rPr>
        <w:t>1.1.3.11临时占地：指为实施本合同工程而需要的一切临时占用的土地，包括施工所用的现场临时出入通道，以及生产(办公)、生活等临时设施用地等  。</w:t>
      </w:r>
    </w:p>
    <w:p w14:paraId="25E14191">
      <w:pPr>
        <w:spacing w:after="160" w:line="278" w:lineRule="auto"/>
        <w:rPr>
          <w:sz w:val="22"/>
          <w:szCs w:val="28"/>
          <w:highlight w:val="none"/>
        </w:rPr>
      </w:pPr>
      <w:r>
        <w:rPr>
          <w:sz w:val="22"/>
          <w:szCs w:val="28"/>
          <w:highlight w:val="none"/>
        </w:rPr>
        <w:t>1.1.4</w:t>
      </w:r>
      <w:r>
        <w:rPr>
          <w:rFonts w:hint="eastAsia"/>
          <w:sz w:val="22"/>
          <w:szCs w:val="28"/>
          <w:highlight w:val="none"/>
        </w:rPr>
        <w:t>日期</w:t>
      </w:r>
    </w:p>
    <w:p w14:paraId="2AA213A1">
      <w:pPr>
        <w:spacing w:after="160" w:line="278" w:lineRule="auto"/>
        <w:rPr>
          <w:sz w:val="22"/>
          <w:szCs w:val="28"/>
          <w:highlight w:val="none"/>
        </w:rPr>
      </w:pPr>
      <w:r>
        <w:rPr>
          <w:sz w:val="22"/>
          <w:szCs w:val="28"/>
          <w:highlight w:val="none"/>
        </w:rPr>
        <w:t>1.1.4.5缺陷责任期期限：</w:t>
      </w:r>
      <w:r>
        <w:rPr>
          <w:sz w:val="22"/>
          <w:szCs w:val="28"/>
          <w:highlight w:val="none"/>
          <w:u w:val="single"/>
        </w:rPr>
        <w:t xml:space="preserve"> 24 个月</w:t>
      </w:r>
      <w:r>
        <w:rPr>
          <w:sz w:val="22"/>
          <w:szCs w:val="28"/>
          <w:highlight w:val="none"/>
        </w:rPr>
        <w:t>，</w:t>
      </w:r>
      <w:r>
        <w:rPr>
          <w:rFonts w:hint="eastAsia"/>
          <w:sz w:val="22"/>
          <w:szCs w:val="28"/>
          <w:highlight w:val="none"/>
        </w:rPr>
        <w:t xml:space="preserve">涉及防水施工项目为 </w:t>
      </w:r>
      <w:r>
        <w:rPr>
          <w:rFonts w:hint="eastAsia"/>
          <w:sz w:val="22"/>
          <w:szCs w:val="28"/>
          <w:highlight w:val="none"/>
          <w:u w:val="single"/>
        </w:rPr>
        <w:t xml:space="preserve">    5    </w:t>
      </w:r>
      <w:r>
        <w:rPr>
          <w:rFonts w:hint="eastAsia"/>
          <w:sz w:val="22"/>
          <w:szCs w:val="28"/>
          <w:highlight w:val="none"/>
        </w:rPr>
        <w:t xml:space="preserve"> 年</w:t>
      </w:r>
      <w:r>
        <w:rPr>
          <w:sz w:val="22"/>
          <w:szCs w:val="28"/>
          <w:highlight w:val="none"/>
        </w:rPr>
        <w:t>。</w:t>
      </w:r>
    </w:p>
    <w:p w14:paraId="43A123AC">
      <w:pPr>
        <w:spacing w:after="160" w:line="278" w:lineRule="auto"/>
        <w:rPr>
          <w:sz w:val="22"/>
          <w:szCs w:val="28"/>
          <w:highlight w:val="none"/>
        </w:rPr>
      </w:pPr>
      <w:r>
        <w:rPr>
          <w:sz w:val="22"/>
          <w:szCs w:val="28"/>
          <w:highlight w:val="none"/>
        </w:rPr>
        <w:t>1.1.4.8保修期：是根据现行有关法律规定，在合同条款第19.7款中约定的由承包人负责对合同约定的保修范围内发生的质量问题履行保修义务并对造成的损失承担赔偿责任的期限。</w:t>
      </w:r>
    </w:p>
    <w:p w14:paraId="2EF638B1">
      <w:pPr>
        <w:spacing w:after="160" w:line="278" w:lineRule="auto"/>
        <w:rPr>
          <w:sz w:val="22"/>
          <w:szCs w:val="28"/>
          <w:highlight w:val="none"/>
        </w:rPr>
      </w:pPr>
      <w:r>
        <w:rPr>
          <w:sz w:val="22"/>
          <w:szCs w:val="28"/>
          <w:highlight w:val="none"/>
        </w:rPr>
        <w:t>1.1.6</w:t>
      </w:r>
      <w:r>
        <w:rPr>
          <w:rFonts w:hint="eastAsia"/>
          <w:sz w:val="22"/>
          <w:szCs w:val="28"/>
          <w:highlight w:val="none"/>
        </w:rPr>
        <w:t>其他</w:t>
      </w:r>
    </w:p>
    <w:p w14:paraId="6F9AD801">
      <w:pPr>
        <w:spacing w:after="160" w:line="278" w:lineRule="auto"/>
        <w:rPr>
          <w:sz w:val="22"/>
          <w:szCs w:val="28"/>
          <w:highlight w:val="none"/>
        </w:rPr>
      </w:pPr>
      <w:r>
        <w:rPr>
          <w:sz w:val="22"/>
          <w:szCs w:val="28"/>
          <w:highlight w:val="none"/>
        </w:rPr>
        <w:t>1.1.6.2材料：指构成或将构成永久工程组成部分的各类物品(工程设备除外)，包括合同中可能约定的承包人仅负责供应的材料。</w:t>
      </w:r>
    </w:p>
    <w:p w14:paraId="62478F4E">
      <w:pPr>
        <w:spacing w:after="160" w:line="278" w:lineRule="auto"/>
        <w:rPr>
          <w:sz w:val="22"/>
          <w:szCs w:val="28"/>
          <w:highlight w:val="none"/>
        </w:rPr>
      </w:pPr>
      <w:r>
        <w:rPr>
          <w:sz w:val="22"/>
          <w:szCs w:val="28"/>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5990A6F">
      <w:pPr>
        <w:spacing w:after="160" w:line="278" w:lineRule="auto"/>
        <w:rPr>
          <w:sz w:val="22"/>
          <w:szCs w:val="28"/>
          <w:highlight w:val="none"/>
        </w:rPr>
      </w:pPr>
      <w:r>
        <w:rPr>
          <w:sz w:val="22"/>
          <w:szCs w:val="28"/>
          <w:highlight w:val="none"/>
        </w:rPr>
        <w:t>1.1.6.4 除另有特别指明外，专用合同条款中使用的措辞“合同条款”指通用合同条款和（或）专用合同条款。</w:t>
      </w:r>
    </w:p>
    <w:p w14:paraId="60E8E29B">
      <w:pPr>
        <w:spacing w:after="160" w:line="278" w:lineRule="auto"/>
        <w:rPr>
          <w:sz w:val="22"/>
          <w:szCs w:val="28"/>
          <w:highlight w:val="none"/>
        </w:rPr>
      </w:pPr>
      <w:bookmarkStart w:id="2234" w:name="_Toc144974583"/>
      <w:bookmarkStart w:id="2235" w:name="_Toc179632633"/>
      <w:bookmarkStart w:id="2236" w:name="_Toc129798399"/>
      <w:bookmarkStart w:id="2237" w:name="_Toc152042393"/>
      <w:bookmarkStart w:id="2238" w:name="_Toc142385687"/>
      <w:bookmarkStart w:id="2239" w:name="_Toc109914464"/>
      <w:bookmarkStart w:id="2240" w:name="_Toc241459661"/>
      <w:bookmarkStart w:id="2241" w:name="_Toc132619148"/>
      <w:bookmarkStart w:id="2242" w:name="_Toc152045615"/>
      <w:bookmarkStart w:id="2243" w:name="_Toc342296420"/>
      <w:r>
        <w:rPr>
          <w:sz w:val="22"/>
          <w:szCs w:val="28"/>
          <w:highlight w:val="none"/>
        </w:rPr>
        <w:t>1.4 合同文件的优先顺序</w:t>
      </w:r>
      <w:bookmarkEnd w:id="2234"/>
      <w:bookmarkEnd w:id="2235"/>
      <w:bookmarkEnd w:id="2236"/>
      <w:bookmarkEnd w:id="2237"/>
      <w:bookmarkEnd w:id="2238"/>
      <w:bookmarkEnd w:id="2239"/>
      <w:bookmarkEnd w:id="2240"/>
      <w:bookmarkEnd w:id="2241"/>
      <w:bookmarkEnd w:id="2242"/>
      <w:bookmarkEnd w:id="2243"/>
    </w:p>
    <w:p w14:paraId="12EA085C">
      <w:pPr>
        <w:spacing w:after="160" w:line="278" w:lineRule="auto"/>
        <w:rPr>
          <w:sz w:val="22"/>
          <w:szCs w:val="28"/>
          <w:highlight w:val="none"/>
        </w:rPr>
      </w:pPr>
      <w:r>
        <w:rPr>
          <w:sz w:val="22"/>
          <w:szCs w:val="28"/>
          <w:highlight w:val="none"/>
        </w:rPr>
        <w:t>合同文件的优先解释顺序如下：</w:t>
      </w:r>
    </w:p>
    <w:p w14:paraId="6AD1D560">
      <w:pPr>
        <w:spacing w:after="160" w:line="278" w:lineRule="auto"/>
        <w:rPr>
          <w:sz w:val="22"/>
          <w:szCs w:val="28"/>
          <w:highlight w:val="none"/>
        </w:rPr>
      </w:pPr>
      <w:r>
        <w:rPr>
          <w:sz w:val="22"/>
          <w:szCs w:val="28"/>
          <w:highlight w:val="none"/>
        </w:rPr>
        <w:t>（1）合同协议书；</w:t>
      </w:r>
    </w:p>
    <w:p w14:paraId="013957A9">
      <w:pPr>
        <w:spacing w:after="160" w:line="278" w:lineRule="auto"/>
        <w:rPr>
          <w:sz w:val="22"/>
          <w:szCs w:val="28"/>
          <w:highlight w:val="none"/>
        </w:rPr>
      </w:pPr>
      <w:r>
        <w:rPr>
          <w:sz w:val="22"/>
          <w:szCs w:val="28"/>
          <w:highlight w:val="none"/>
        </w:rPr>
        <w:t>（2）中标通知书；</w:t>
      </w:r>
    </w:p>
    <w:p w14:paraId="56F0E399">
      <w:pPr>
        <w:spacing w:after="160" w:line="278" w:lineRule="auto"/>
        <w:rPr>
          <w:sz w:val="22"/>
          <w:szCs w:val="28"/>
          <w:highlight w:val="none"/>
        </w:rPr>
      </w:pPr>
      <w:r>
        <w:rPr>
          <w:sz w:val="22"/>
          <w:szCs w:val="28"/>
          <w:highlight w:val="none"/>
        </w:rPr>
        <w:t>（3）投标函及投标函附录；</w:t>
      </w:r>
    </w:p>
    <w:p w14:paraId="26542D53">
      <w:pPr>
        <w:spacing w:after="160" w:line="278" w:lineRule="auto"/>
        <w:rPr>
          <w:sz w:val="22"/>
          <w:szCs w:val="28"/>
          <w:highlight w:val="none"/>
        </w:rPr>
      </w:pPr>
      <w:r>
        <w:rPr>
          <w:sz w:val="22"/>
          <w:szCs w:val="28"/>
          <w:highlight w:val="none"/>
        </w:rPr>
        <w:t>（4）专用合同条款；</w:t>
      </w:r>
    </w:p>
    <w:p w14:paraId="327FD3D6">
      <w:pPr>
        <w:spacing w:after="160" w:line="278" w:lineRule="auto"/>
        <w:rPr>
          <w:sz w:val="22"/>
          <w:szCs w:val="28"/>
          <w:highlight w:val="none"/>
        </w:rPr>
      </w:pPr>
      <w:r>
        <w:rPr>
          <w:sz w:val="22"/>
          <w:szCs w:val="28"/>
          <w:highlight w:val="none"/>
        </w:rPr>
        <w:t>（5）通用合同条款；</w:t>
      </w:r>
    </w:p>
    <w:p w14:paraId="47D4D1F1">
      <w:pPr>
        <w:spacing w:after="160" w:line="278" w:lineRule="auto"/>
        <w:rPr>
          <w:sz w:val="22"/>
          <w:szCs w:val="28"/>
          <w:highlight w:val="none"/>
        </w:rPr>
      </w:pPr>
      <w:r>
        <w:rPr>
          <w:sz w:val="22"/>
          <w:szCs w:val="28"/>
          <w:highlight w:val="none"/>
        </w:rPr>
        <w:t>（6）已标价工程量清单    ；</w:t>
      </w:r>
    </w:p>
    <w:p w14:paraId="3631F653">
      <w:pPr>
        <w:spacing w:after="160" w:line="278" w:lineRule="auto"/>
        <w:rPr>
          <w:sz w:val="22"/>
          <w:szCs w:val="28"/>
          <w:highlight w:val="none"/>
        </w:rPr>
      </w:pPr>
      <w:r>
        <w:rPr>
          <w:sz w:val="22"/>
          <w:szCs w:val="28"/>
          <w:highlight w:val="none"/>
        </w:rPr>
        <w:t>（7）技术标准和要求      ；</w:t>
      </w:r>
    </w:p>
    <w:p w14:paraId="36D60006">
      <w:pPr>
        <w:spacing w:after="160" w:line="278" w:lineRule="auto"/>
        <w:rPr>
          <w:sz w:val="22"/>
          <w:szCs w:val="28"/>
          <w:highlight w:val="none"/>
        </w:rPr>
      </w:pPr>
      <w:r>
        <w:rPr>
          <w:sz w:val="22"/>
          <w:szCs w:val="28"/>
          <w:highlight w:val="none"/>
        </w:rPr>
        <w:t>（8）图纸</w:t>
      </w:r>
      <w:r>
        <w:rPr>
          <w:rFonts w:hint="eastAsia"/>
          <w:sz w:val="22"/>
          <w:szCs w:val="28"/>
          <w:highlight w:val="none"/>
        </w:rPr>
        <w:t>（含效果图）</w:t>
      </w:r>
      <w:r>
        <w:rPr>
          <w:sz w:val="22"/>
          <w:szCs w:val="28"/>
          <w:highlight w:val="none"/>
        </w:rPr>
        <w:t xml:space="preserve">    ；</w:t>
      </w:r>
    </w:p>
    <w:p w14:paraId="1B7A9403">
      <w:pPr>
        <w:spacing w:after="160" w:line="278" w:lineRule="auto"/>
        <w:rPr>
          <w:sz w:val="22"/>
          <w:szCs w:val="28"/>
          <w:highlight w:val="none"/>
        </w:rPr>
      </w:pPr>
      <w:r>
        <w:rPr>
          <w:sz w:val="22"/>
          <w:szCs w:val="28"/>
          <w:highlight w:val="none"/>
        </w:rPr>
        <w:t>（9）施工组织设计        。</w:t>
      </w:r>
    </w:p>
    <w:p w14:paraId="4563E29F">
      <w:pPr>
        <w:spacing w:after="160" w:line="278" w:lineRule="auto"/>
        <w:rPr>
          <w:sz w:val="22"/>
          <w:szCs w:val="28"/>
          <w:highlight w:val="none"/>
        </w:rPr>
      </w:pPr>
      <w:r>
        <w:rPr>
          <w:sz w:val="22"/>
          <w:szCs w:val="28"/>
          <w:highlight w:val="none"/>
        </w:rPr>
        <w:t>（说明：（6）、（7）、（8）填空内容分别限于技术标准和要求、图纸、已标价工程量清单三者之一。）</w:t>
      </w:r>
    </w:p>
    <w:p w14:paraId="3EEECE9E">
      <w:pPr>
        <w:spacing w:after="160" w:line="278" w:lineRule="auto"/>
        <w:rPr>
          <w:sz w:val="22"/>
          <w:szCs w:val="28"/>
          <w:highlight w:val="none"/>
        </w:rPr>
      </w:pPr>
      <w:r>
        <w:rPr>
          <w:sz w:val="22"/>
          <w:szCs w:val="28"/>
          <w:highlight w:val="none"/>
        </w:rPr>
        <w:t>合同协议书中约定采用总价合同形式的，除非合同另有约定，已标价工程量清单中的各项工程量对合同双方不具合同约束力。</w:t>
      </w:r>
    </w:p>
    <w:p w14:paraId="35E5AAA1">
      <w:pPr>
        <w:spacing w:after="160" w:line="278" w:lineRule="auto"/>
        <w:rPr>
          <w:sz w:val="22"/>
          <w:szCs w:val="28"/>
          <w:highlight w:val="none"/>
        </w:rPr>
      </w:pPr>
      <w:r>
        <w:rPr>
          <w:sz w:val="22"/>
          <w:szCs w:val="28"/>
          <w:highlight w:val="none"/>
        </w:rPr>
        <w:t>图纸与技术标准和要求之间有矛盾或者不一致的，以其中要求较严格的标准为准。</w:t>
      </w:r>
    </w:p>
    <w:p w14:paraId="02E1E7E6">
      <w:pPr>
        <w:spacing w:after="160" w:line="278" w:lineRule="auto"/>
        <w:rPr>
          <w:sz w:val="22"/>
          <w:szCs w:val="28"/>
          <w:highlight w:val="none"/>
        </w:rPr>
      </w:pPr>
      <w:r>
        <w:rPr>
          <w:sz w:val="22"/>
          <w:szCs w:val="28"/>
          <w:highlight w:val="none"/>
        </w:rPr>
        <w:t>合同双方在合同履行过程中签订的补充协议亦构成合同文件的组成部分，其解释顺序视其内容与其他合同文件的相互关系而定。</w:t>
      </w:r>
    </w:p>
    <w:p w14:paraId="160D1395">
      <w:pPr>
        <w:spacing w:after="160" w:line="278" w:lineRule="auto"/>
        <w:rPr>
          <w:sz w:val="22"/>
          <w:szCs w:val="28"/>
          <w:highlight w:val="none"/>
        </w:rPr>
      </w:pPr>
      <w:bookmarkStart w:id="2244" w:name="_Toc132619149"/>
      <w:bookmarkStart w:id="2245" w:name="_Toc142385688"/>
      <w:bookmarkStart w:id="2246" w:name="_Toc152045616"/>
      <w:bookmarkStart w:id="2247" w:name="_Toc241459662"/>
      <w:bookmarkStart w:id="2248" w:name="_Toc109914465"/>
      <w:bookmarkStart w:id="2249" w:name="_Toc129798400"/>
      <w:bookmarkStart w:id="2250" w:name="_Toc179632634"/>
      <w:bookmarkStart w:id="2251" w:name="_Toc342296421"/>
      <w:bookmarkStart w:id="2252" w:name="_Toc152042394"/>
      <w:bookmarkStart w:id="2253" w:name="_Toc144974584"/>
      <w:r>
        <w:rPr>
          <w:sz w:val="22"/>
          <w:szCs w:val="28"/>
          <w:highlight w:val="none"/>
        </w:rPr>
        <w:t>1.5 合同协议书</w:t>
      </w:r>
      <w:bookmarkEnd w:id="2244"/>
      <w:bookmarkEnd w:id="2245"/>
      <w:bookmarkEnd w:id="2246"/>
      <w:bookmarkEnd w:id="2247"/>
      <w:bookmarkEnd w:id="2248"/>
      <w:bookmarkEnd w:id="2249"/>
      <w:bookmarkEnd w:id="2250"/>
      <w:bookmarkEnd w:id="2251"/>
      <w:bookmarkEnd w:id="2252"/>
      <w:bookmarkEnd w:id="2253"/>
    </w:p>
    <w:p w14:paraId="40049831">
      <w:pPr>
        <w:spacing w:after="160" w:line="278" w:lineRule="auto"/>
        <w:rPr>
          <w:sz w:val="22"/>
          <w:szCs w:val="28"/>
          <w:highlight w:val="none"/>
        </w:rPr>
      </w:pPr>
      <w:r>
        <w:rPr>
          <w:sz w:val="22"/>
          <w:szCs w:val="28"/>
          <w:highlight w:val="none"/>
        </w:rPr>
        <w:t xml:space="preserve">合同生效的条件： </w:t>
      </w:r>
      <w:r>
        <w:rPr>
          <w:rFonts w:hint="eastAsia"/>
          <w:sz w:val="22"/>
          <w:szCs w:val="28"/>
          <w:highlight w:val="none"/>
        </w:rPr>
        <w:t>自发包人和承包人的法定代表人或其委托代理人在合同协议书上签字并盖单位章后</w:t>
      </w:r>
      <w:r>
        <w:rPr>
          <w:sz w:val="22"/>
          <w:szCs w:val="28"/>
          <w:highlight w:val="none"/>
        </w:rPr>
        <w:t>。</w:t>
      </w:r>
    </w:p>
    <w:p w14:paraId="2E338A8E">
      <w:pPr>
        <w:spacing w:after="160" w:line="278" w:lineRule="auto"/>
        <w:rPr>
          <w:sz w:val="22"/>
          <w:szCs w:val="28"/>
          <w:highlight w:val="none"/>
        </w:rPr>
      </w:pPr>
      <w:bookmarkStart w:id="2254" w:name="_Toc109914466"/>
      <w:bookmarkStart w:id="2255" w:name="_Toc152042395"/>
      <w:bookmarkStart w:id="2256" w:name="_Toc241459663"/>
      <w:bookmarkStart w:id="2257" w:name="_Toc142385689"/>
      <w:bookmarkStart w:id="2258" w:name="_Toc144974585"/>
      <w:bookmarkStart w:id="2259" w:name="_Toc132619150"/>
      <w:bookmarkStart w:id="2260" w:name="_Toc342296422"/>
      <w:bookmarkStart w:id="2261" w:name="_Toc152045617"/>
      <w:bookmarkStart w:id="2262" w:name="_Toc129798401"/>
      <w:bookmarkStart w:id="2263" w:name="_Toc179632635"/>
      <w:r>
        <w:rPr>
          <w:sz w:val="22"/>
          <w:szCs w:val="28"/>
          <w:highlight w:val="none"/>
        </w:rPr>
        <w:t>1.6 图纸和承包人文件</w:t>
      </w:r>
      <w:bookmarkEnd w:id="2254"/>
      <w:bookmarkEnd w:id="2255"/>
      <w:bookmarkEnd w:id="2256"/>
      <w:bookmarkEnd w:id="2257"/>
      <w:bookmarkEnd w:id="2258"/>
      <w:bookmarkEnd w:id="2259"/>
      <w:bookmarkEnd w:id="2260"/>
      <w:bookmarkEnd w:id="2261"/>
      <w:bookmarkEnd w:id="2262"/>
      <w:bookmarkEnd w:id="2263"/>
    </w:p>
    <w:p w14:paraId="22D2D58C">
      <w:pPr>
        <w:spacing w:after="160" w:line="278" w:lineRule="auto"/>
        <w:rPr>
          <w:sz w:val="22"/>
          <w:szCs w:val="28"/>
          <w:highlight w:val="none"/>
        </w:rPr>
      </w:pPr>
      <w:r>
        <w:rPr>
          <w:sz w:val="22"/>
          <w:szCs w:val="28"/>
          <w:highlight w:val="none"/>
        </w:rPr>
        <w:t>1.6.1</w:t>
      </w:r>
      <w:r>
        <w:rPr>
          <w:rFonts w:hint="eastAsia"/>
          <w:sz w:val="22"/>
          <w:szCs w:val="28"/>
          <w:highlight w:val="none"/>
        </w:rPr>
        <w:t>图纸的提供</w:t>
      </w:r>
    </w:p>
    <w:p w14:paraId="173E4EB5">
      <w:pPr>
        <w:spacing w:after="160" w:line="278" w:lineRule="auto"/>
        <w:rPr>
          <w:sz w:val="22"/>
          <w:szCs w:val="28"/>
          <w:highlight w:val="none"/>
        </w:rPr>
      </w:pPr>
      <w:r>
        <w:rPr>
          <w:sz w:val="22"/>
          <w:szCs w:val="28"/>
          <w:highlight w:val="none"/>
        </w:rPr>
        <w:t>（1） 发包人按照合同条款本项的约定向承包人提供图纸。承包人需要增加图纸套数的，发包人应代为复制，复制费用由承包人承担。</w:t>
      </w:r>
    </w:p>
    <w:p w14:paraId="776A19C3">
      <w:pPr>
        <w:spacing w:after="160" w:line="278" w:lineRule="auto"/>
        <w:rPr>
          <w:sz w:val="22"/>
          <w:szCs w:val="28"/>
          <w:highlight w:val="none"/>
        </w:rPr>
      </w:pPr>
      <w:r>
        <w:rPr>
          <w:sz w:val="22"/>
          <w:szCs w:val="28"/>
          <w:highlight w:val="none"/>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25E7D96A">
      <w:pPr>
        <w:spacing w:after="160" w:line="278" w:lineRule="auto"/>
        <w:rPr>
          <w:sz w:val="22"/>
          <w:szCs w:val="28"/>
          <w:highlight w:val="none"/>
        </w:rPr>
      </w:pPr>
      <w:r>
        <w:rPr>
          <w:sz w:val="22"/>
          <w:szCs w:val="28"/>
          <w:highlight w:val="none"/>
        </w:rPr>
        <w:t xml:space="preserve">（3）发包人提供图纸的期限：   </w:t>
      </w:r>
      <w:r>
        <w:rPr>
          <w:sz w:val="22"/>
          <w:szCs w:val="28"/>
          <w:highlight w:val="none"/>
          <w:u w:val="single"/>
        </w:rPr>
        <w:t xml:space="preserve">   开工前10日内  </w:t>
      </w:r>
      <w:r>
        <w:rPr>
          <w:sz w:val="22"/>
          <w:szCs w:val="28"/>
          <w:highlight w:val="none"/>
        </w:rPr>
        <w:t xml:space="preserve">                    。</w:t>
      </w:r>
    </w:p>
    <w:p w14:paraId="335890C2">
      <w:pPr>
        <w:spacing w:after="160" w:line="278" w:lineRule="auto"/>
        <w:rPr>
          <w:sz w:val="22"/>
          <w:szCs w:val="28"/>
          <w:highlight w:val="none"/>
        </w:rPr>
      </w:pPr>
      <w:r>
        <w:rPr>
          <w:sz w:val="22"/>
          <w:szCs w:val="28"/>
          <w:highlight w:val="none"/>
        </w:rPr>
        <w:t xml:space="preserve">（4）发包人提供图纸的数量：   </w:t>
      </w:r>
      <w:r>
        <w:rPr>
          <w:sz w:val="22"/>
          <w:szCs w:val="28"/>
          <w:highlight w:val="none"/>
          <w:u w:val="single"/>
        </w:rPr>
        <w:t xml:space="preserve">   1套电子版</w:t>
      </w:r>
      <w:r>
        <w:rPr>
          <w:rFonts w:hint="eastAsia"/>
          <w:sz w:val="22"/>
          <w:szCs w:val="28"/>
          <w:highlight w:val="none"/>
          <w:u w:val="single"/>
        </w:rPr>
        <w:t xml:space="preserve">    </w:t>
      </w:r>
      <w:r>
        <w:rPr>
          <w:rFonts w:hint="eastAsia"/>
          <w:sz w:val="22"/>
          <w:szCs w:val="28"/>
          <w:highlight w:val="none"/>
        </w:rPr>
        <w:t xml:space="preserve">                 </w:t>
      </w:r>
      <w:r>
        <w:rPr>
          <w:sz w:val="22"/>
          <w:szCs w:val="28"/>
          <w:highlight w:val="none"/>
        </w:rPr>
        <w:t xml:space="preserve">     。</w:t>
      </w:r>
    </w:p>
    <w:p w14:paraId="040D2939">
      <w:pPr>
        <w:spacing w:after="160" w:line="278" w:lineRule="auto"/>
        <w:rPr>
          <w:sz w:val="22"/>
          <w:szCs w:val="28"/>
          <w:highlight w:val="none"/>
        </w:rPr>
      </w:pPr>
      <w:r>
        <w:rPr>
          <w:sz w:val="22"/>
          <w:szCs w:val="28"/>
          <w:highlight w:val="none"/>
        </w:rPr>
        <w:t xml:space="preserve">1.6.2 </w:t>
      </w:r>
      <w:r>
        <w:rPr>
          <w:rFonts w:hint="eastAsia"/>
          <w:sz w:val="22"/>
          <w:szCs w:val="28"/>
          <w:highlight w:val="none"/>
        </w:rPr>
        <w:t>承包人提供的文件</w:t>
      </w:r>
    </w:p>
    <w:p w14:paraId="414D91ED">
      <w:pPr>
        <w:spacing w:after="160" w:line="278" w:lineRule="auto"/>
        <w:rPr>
          <w:sz w:val="22"/>
          <w:szCs w:val="28"/>
          <w:highlight w:val="none"/>
        </w:rPr>
      </w:pPr>
      <w:r>
        <w:rPr>
          <w:sz w:val="22"/>
          <w:szCs w:val="28"/>
          <w:highlight w:val="none"/>
        </w:rPr>
        <w:t>（1）本项约定的其他应由承包人提供的文件，包括必要的加工图和大样图，均不是合同计量与支付的依据文件。由承包人提供的文件范围：A:根据本项目实际情况调整后的施工组织设计、分包计划、分包及材料设备招标采购计划等。承包人所提交的施工组织设计不能低于承包人在投标施工方案内所说明的所有工程内容和承诺的标准。因承包人提交的施工方案不能通过监理工程师审查而造成工期延误，承包人自行承担。B: 承包人应按照监理人同意的格式和详细程度，提交工程进度计划，并获得监理人的批准。该进度计划不得对随投标文件提交的施工组织设计中相应内容做出实质性变动。C:工程竣工图纸，工程验收资料 。</w:t>
      </w:r>
    </w:p>
    <w:p w14:paraId="7AAE8A05">
      <w:pPr>
        <w:spacing w:after="160" w:line="278" w:lineRule="auto"/>
        <w:rPr>
          <w:sz w:val="22"/>
          <w:szCs w:val="28"/>
          <w:highlight w:val="none"/>
        </w:rPr>
      </w:pPr>
      <w:r>
        <w:rPr>
          <w:sz w:val="22"/>
          <w:szCs w:val="28"/>
          <w:highlight w:val="none"/>
        </w:rPr>
        <w:t>（2）承包人提供文件的期限：</w:t>
      </w:r>
      <w:r>
        <w:rPr>
          <w:sz w:val="22"/>
          <w:szCs w:val="28"/>
          <w:highlight w:val="none"/>
          <w:u w:val="single"/>
        </w:rPr>
        <w:t xml:space="preserve">  合同签订后10日内；竣工验收完成后10个日内</w:t>
      </w:r>
      <w:r>
        <w:rPr>
          <w:sz w:val="22"/>
          <w:szCs w:val="28"/>
          <w:highlight w:val="none"/>
        </w:rPr>
        <w:t>。</w:t>
      </w:r>
    </w:p>
    <w:p w14:paraId="4822C478">
      <w:pPr>
        <w:spacing w:after="160" w:line="278" w:lineRule="auto"/>
        <w:rPr>
          <w:sz w:val="22"/>
          <w:szCs w:val="28"/>
          <w:highlight w:val="none"/>
        </w:rPr>
      </w:pPr>
      <w:r>
        <w:rPr>
          <w:sz w:val="22"/>
          <w:szCs w:val="28"/>
          <w:highlight w:val="none"/>
        </w:rPr>
        <w:t xml:space="preserve">（3）承包人提供文件的数量：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一式三份 </w:t>
      </w:r>
      <w:r>
        <w:rPr>
          <w:sz w:val="22"/>
          <w:szCs w:val="28"/>
          <w:highlight w:val="none"/>
        </w:rPr>
        <w:t xml:space="preserve"> 。</w:t>
      </w:r>
    </w:p>
    <w:p w14:paraId="65B532D3">
      <w:pPr>
        <w:spacing w:after="160" w:line="278" w:lineRule="auto"/>
        <w:rPr>
          <w:sz w:val="22"/>
          <w:szCs w:val="28"/>
          <w:highlight w:val="none"/>
        </w:rPr>
      </w:pPr>
      <w:r>
        <w:rPr>
          <w:sz w:val="22"/>
          <w:szCs w:val="28"/>
          <w:highlight w:val="none"/>
        </w:rPr>
        <w:t xml:space="preserve">（4）监理人批复承包人提供文件的期限： </w:t>
      </w:r>
      <w:r>
        <w:rPr>
          <w:sz w:val="22"/>
          <w:szCs w:val="28"/>
          <w:highlight w:val="none"/>
          <w:u w:val="single"/>
        </w:rPr>
        <w:t xml:space="preserve"> 收到承包人提供的文件后7日内 </w:t>
      </w:r>
      <w:r>
        <w:rPr>
          <w:sz w:val="22"/>
          <w:szCs w:val="28"/>
          <w:highlight w:val="none"/>
        </w:rPr>
        <w:t xml:space="preserve">  。</w:t>
      </w:r>
    </w:p>
    <w:p w14:paraId="092A260C">
      <w:pPr>
        <w:spacing w:after="160" w:line="278" w:lineRule="auto"/>
        <w:rPr>
          <w:sz w:val="22"/>
          <w:szCs w:val="28"/>
          <w:highlight w:val="none"/>
        </w:rPr>
      </w:pPr>
      <w:r>
        <w:rPr>
          <w:sz w:val="22"/>
          <w:szCs w:val="28"/>
          <w:highlight w:val="none"/>
        </w:rPr>
        <w:t xml:space="preserve">（5）其他约定： </w:t>
      </w:r>
      <w:r>
        <w:rPr>
          <w:sz w:val="22"/>
          <w:szCs w:val="28"/>
          <w:highlight w:val="none"/>
          <w:u w:val="single"/>
        </w:rPr>
        <w:t>承包人应当在合同履行期间，每月25日提供当月工程统计报表及下月计划报表，其相应费用已包含在合同价款中。</w:t>
      </w:r>
    </w:p>
    <w:p w14:paraId="2D525340">
      <w:pPr>
        <w:spacing w:after="160" w:line="278" w:lineRule="auto"/>
        <w:rPr>
          <w:sz w:val="22"/>
          <w:szCs w:val="28"/>
          <w:highlight w:val="none"/>
        </w:rPr>
      </w:pPr>
      <w:bookmarkStart w:id="2264" w:name="_Toc129798402"/>
      <w:bookmarkStart w:id="2265" w:name="_Toc241459664"/>
      <w:bookmarkStart w:id="2266" w:name="_Toc144974586"/>
      <w:bookmarkStart w:id="2267" w:name="_Toc142385690"/>
      <w:bookmarkStart w:id="2268" w:name="_Toc132619151"/>
      <w:bookmarkStart w:id="2269" w:name="_Toc152045618"/>
      <w:bookmarkStart w:id="2270" w:name="_Toc152042396"/>
      <w:bookmarkStart w:id="2271" w:name="_Toc179632636"/>
      <w:bookmarkStart w:id="2272" w:name="_Toc109914467"/>
      <w:bookmarkStart w:id="2273" w:name="_Toc342296423"/>
      <w:r>
        <w:rPr>
          <w:sz w:val="22"/>
          <w:szCs w:val="28"/>
          <w:highlight w:val="none"/>
        </w:rPr>
        <w:t>1.7 联 络</w:t>
      </w:r>
      <w:bookmarkEnd w:id="2264"/>
      <w:bookmarkEnd w:id="2265"/>
      <w:bookmarkEnd w:id="2266"/>
      <w:bookmarkEnd w:id="2267"/>
      <w:bookmarkEnd w:id="2268"/>
      <w:bookmarkEnd w:id="2269"/>
      <w:bookmarkEnd w:id="2270"/>
      <w:bookmarkEnd w:id="2271"/>
      <w:bookmarkEnd w:id="2272"/>
      <w:bookmarkEnd w:id="2273"/>
    </w:p>
    <w:p w14:paraId="5D80D3A0">
      <w:pPr>
        <w:spacing w:after="160" w:line="278" w:lineRule="auto"/>
        <w:rPr>
          <w:sz w:val="22"/>
          <w:szCs w:val="28"/>
          <w:highlight w:val="none"/>
        </w:rPr>
      </w:pPr>
      <w:r>
        <w:rPr>
          <w:sz w:val="22"/>
          <w:szCs w:val="28"/>
          <w:highlight w:val="none"/>
        </w:rPr>
        <w:t>1.7.2</w:t>
      </w:r>
      <w:r>
        <w:rPr>
          <w:rFonts w:hint="eastAsia"/>
          <w:sz w:val="22"/>
          <w:szCs w:val="28"/>
          <w:highlight w:val="none"/>
        </w:rPr>
        <w:t>联络来往函件的送达和接收</w:t>
      </w:r>
    </w:p>
    <w:p w14:paraId="6B321878">
      <w:pPr>
        <w:spacing w:after="160" w:line="278" w:lineRule="auto"/>
        <w:rPr>
          <w:sz w:val="22"/>
          <w:szCs w:val="28"/>
          <w:highlight w:val="none"/>
        </w:rPr>
      </w:pPr>
      <w:r>
        <w:rPr>
          <w:sz w:val="22"/>
          <w:szCs w:val="28"/>
          <w:highlight w:val="none"/>
        </w:rPr>
        <w:t>（1）联络来往信函的送达期限：合同约定了发出期限的，送达期限为合同约定的发出期限后的24小时内；合同约定了通知、提供或者报送期限的，通知、提供或者报送期限即为送达期限。</w:t>
      </w:r>
    </w:p>
    <w:p w14:paraId="7AA4DA88">
      <w:pPr>
        <w:spacing w:after="160" w:line="278" w:lineRule="auto"/>
        <w:rPr>
          <w:sz w:val="22"/>
          <w:szCs w:val="28"/>
          <w:highlight w:val="none"/>
        </w:rPr>
      </w:pPr>
      <w:r>
        <w:rPr>
          <w:sz w:val="22"/>
          <w:szCs w:val="28"/>
          <w:highlight w:val="none"/>
        </w:rPr>
        <w:t xml:space="preserve">（2）发包人指定的接收地点：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 xml:space="preserve">     。</w:t>
      </w:r>
    </w:p>
    <w:p w14:paraId="3B7336BE">
      <w:pPr>
        <w:spacing w:after="160" w:line="278" w:lineRule="auto"/>
        <w:rPr>
          <w:sz w:val="22"/>
          <w:szCs w:val="28"/>
          <w:highlight w:val="none"/>
        </w:rPr>
      </w:pPr>
      <w:r>
        <w:rPr>
          <w:sz w:val="22"/>
          <w:szCs w:val="28"/>
          <w:highlight w:val="none"/>
        </w:rPr>
        <w:t xml:space="preserve">（3）发包人指定的接收人为： </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 xml:space="preserve">  </w:t>
      </w:r>
      <w:r>
        <w:rPr>
          <w:sz w:val="22"/>
          <w:szCs w:val="28"/>
          <w:highlight w:val="none"/>
        </w:rPr>
        <w:t xml:space="preserve"> 。</w:t>
      </w:r>
    </w:p>
    <w:p w14:paraId="69992AC2">
      <w:pPr>
        <w:spacing w:after="160" w:line="278" w:lineRule="auto"/>
        <w:rPr>
          <w:sz w:val="22"/>
          <w:szCs w:val="28"/>
          <w:highlight w:val="none"/>
        </w:rPr>
      </w:pPr>
      <w:r>
        <w:rPr>
          <w:sz w:val="22"/>
          <w:szCs w:val="28"/>
          <w:highlight w:val="none"/>
        </w:rPr>
        <w:t>（4）监理人指定的接收地点：</w:t>
      </w:r>
      <w:r>
        <w:rPr>
          <w:sz w:val="22"/>
          <w:szCs w:val="28"/>
          <w:highlight w:val="none"/>
          <w:u w:val="single"/>
        </w:rPr>
        <w:t xml:space="preserve">   按发包人要求  </w:t>
      </w:r>
      <w:r>
        <w:rPr>
          <w:sz w:val="22"/>
          <w:szCs w:val="28"/>
          <w:highlight w:val="none"/>
        </w:rPr>
        <w:t>。</w:t>
      </w:r>
    </w:p>
    <w:p w14:paraId="67A82D95">
      <w:pPr>
        <w:spacing w:after="160" w:line="278" w:lineRule="auto"/>
        <w:rPr>
          <w:sz w:val="22"/>
          <w:szCs w:val="28"/>
          <w:highlight w:val="none"/>
        </w:rPr>
      </w:pPr>
      <w:r>
        <w:rPr>
          <w:sz w:val="22"/>
          <w:szCs w:val="28"/>
          <w:highlight w:val="none"/>
        </w:rPr>
        <w:t>（5）监理人指定的接收人为：</w:t>
      </w:r>
      <w:r>
        <w:rPr>
          <w:sz w:val="22"/>
          <w:szCs w:val="28"/>
          <w:highlight w:val="none"/>
          <w:u w:val="single"/>
        </w:rPr>
        <w:t xml:space="preserve">   按发包人要求  </w:t>
      </w:r>
      <w:r>
        <w:rPr>
          <w:sz w:val="22"/>
          <w:szCs w:val="28"/>
          <w:highlight w:val="none"/>
        </w:rPr>
        <w:t>。</w:t>
      </w:r>
    </w:p>
    <w:p w14:paraId="58656843">
      <w:pPr>
        <w:spacing w:after="160" w:line="278" w:lineRule="auto"/>
        <w:rPr>
          <w:sz w:val="22"/>
          <w:szCs w:val="28"/>
          <w:highlight w:val="none"/>
        </w:rPr>
      </w:pPr>
      <w:r>
        <w:rPr>
          <w:sz w:val="22"/>
          <w:szCs w:val="28"/>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418143F7">
      <w:pPr>
        <w:spacing w:after="160" w:line="278" w:lineRule="auto"/>
        <w:rPr>
          <w:sz w:val="22"/>
          <w:szCs w:val="28"/>
          <w:highlight w:val="none"/>
        </w:rPr>
      </w:pPr>
      <w:r>
        <w:rPr>
          <w:sz w:val="22"/>
          <w:szCs w:val="28"/>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B3967D">
      <w:pPr>
        <w:spacing w:after="160" w:line="278" w:lineRule="auto"/>
        <w:rPr>
          <w:sz w:val="22"/>
          <w:szCs w:val="28"/>
          <w:highlight w:val="none"/>
        </w:rPr>
      </w:pPr>
      <w:r>
        <w:rPr>
          <w:sz w:val="22"/>
          <w:szCs w:val="28"/>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F7EAB38">
      <w:pPr>
        <w:spacing w:after="160" w:line="278" w:lineRule="auto"/>
        <w:rPr>
          <w:sz w:val="22"/>
          <w:szCs w:val="28"/>
          <w:highlight w:val="none"/>
        </w:rPr>
      </w:pPr>
      <w:bookmarkStart w:id="2274" w:name="_Toc142385691"/>
      <w:bookmarkStart w:id="2275" w:name="_Toc152042402"/>
      <w:bookmarkStart w:id="2276" w:name="_Toc448758448"/>
      <w:bookmarkStart w:id="2277" w:name="_Toc152045624"/>
      <w:bookmarkStart w:id="2278" w:name="_Toc109914468"/>
      <w:bookmarkStart w:id="2279" w:name="_Toc469660043"/>
      <w:bookmarkStart w:id="2280" w:name="_Toc144974592"/>
      <w:bookmarkStart w:id="2281" w:name="_Toc448758548"/>
      <w:bookmarkStart w:id="2282" w:name="_Toc342296424"/>
      <w:bookmarkStart w:id="2283" w:name="_Toc241459665"/>
      <w:bookmarkStart w:id="2284" w:name="_Toc129798403"/>
      <w:bookmarkStart w:id="2285" w:name="_Toc132619152"/>
      <w:bookmarkStart w:id="2286" w:name="_Toc179632642"/>
      <w:bookmarkStart w:id="2287" w:name="_Toc442365640"/>
      <w:r>
        <w:rPr>
          <w:sz w:val="22"/>
          <w:szCs w:val="28"/>
          <w:highlight w:val="none"/>
        </w:rPr>
        <w:t>2. 发包人义务</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06F836C2">
      <w:pPr>
        <w:spacing w:after="160" w:line="278" w:lineRule="auto"/>
        <w:rPr>
          <w:sz w:val="22"/>
          <w:szCs w:val="28"/>
          <w:highlight w:val="none"/>
        </w:rPr>
      </w:pPr>
      <w:bookmarkStart w:id="2288" w:name="_Toc142385692"/>
      <w:bookmarkStart w:id="2289" w:name="_Toc109914469"/>
      <w:bookmarkStart w:id="2290" w:name="_Toc152045627"/>
      <w:bookmarkStart w:id="2291" w:name="_Toc129798404"/>
      <w:bookmarkStart w:id="2292" w:name="_Toc342296425"/>
      <w:bookmarkStart w:id="2293" w:name="_Toc241459666"/>
      <w:bookmarkStart w:id="2294" w:name="_Toc144974595"/>
      <w:bookmarkStart w:id="2295" w:name="_Toc152042405"/>
      <w:bookmarkStart w:id="2296" w:name="_Toc132619153"/>
      <w:bookmarkStart w:id="2297" w:name="_Toc179632645"/>
      <w:r>
        <w:rPr>
          <w:sz w:val="22"/>
          <w:szCs w:val="28"/>
          <w:highlight w:val="none"/>
        </w:rPr>
        <w:t>2.3 提供施工场地</w:t>
      </w:r>
      <w:bookmarkEnd w:id="2288"/>
      <w:bookmarkEnd w:id="2289"/>
      <w:bookmarkEnd w:id="2290"/>
      <w:bookmarkEnd w:id="2291"/>
      <w:bookmarkEnd w:id="2292"/>
      <w:bookmarkEnd w:id="2293"/>
      <w:bookmarkEnd w:id="2294"/>
      <w:bookmarkEnd w:id="2295"/>
      <w:bookmarkEnd w:id="2296"/>
      <w:bookmarkEnd w:id="2297"/>
    </w:p>
    <w:p w14:paraId="53090B44">
      <w:pPr>
        <w:spacing w:after="160" w:line="278" w:lineRule="auto"/>
        <w:rPr>
          <w:sz w:val="22"/>
          <w:szCs w:val="28"/>
          <w:highlight w:val="none"/>
        </w:rPr>
      </w:pPr>
      <w:r>
        <w:rPr>
          <w:sz w:val="22"/>
          <w:szCs w:val="28"/>
          <w:highlight w:val="non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p>
    <w:p w14:paraId="4AD340DF">
      <w:pPr>
        <w:spacing w:after="160" w:line="278" w:lineRule="auto"/>
        <w:rPr>
          <w:sz w:val="22"/>
          <w:szCs w:val="28"/>
          <w:highlight w:val="none"/>
        </w:rPr>
      </w:pPr>
      <w:bookmarkStart w:id="2298" w:name="_Toc152045629"/>
      <w:bookmarkStart w:id="2299" w:name="_Toc109914470"/>
      <w:bookmarkStart w:id="2300" w:name="_Toc342296426"/>
      <w:bookmarkStart w:id="2301" w:name="_Toc144974597"/>
      <w:bookmarkStart w:id="2302" w:name="_Toc152042407"/>
      <w:bookmarkStart w:id="2303" w:name="_Toc129798405"/>
      <w:bookmarkStart w:id="2304" w:name="_Toc132619154"/>
      <w:bookmarkStart w:id="2305" w:name="_Toc179632647"/>
      <w:bookmarkStart w:id="2306" w:name="_Toc142385693"/>
      <w:bookmarkStart w:id="2307" w:name="_Toc241459667"/>
      <w:r>
        <w:rPr>
          <w:sz w:val="22"/>
          <w:szCs w:val="28"/>
          <w:highlight w:val="none"/>
        </w:rPr>
        <w:t>2.5 组织设计交底</w:t>
      </w:r>
      <w:bookmarkEnd w:id="2298"/>
      <w:bookmarkEnd w:id="2299"/>
      <w:bookmarkEnd w:id="2300"/>
      <w:bookmarkEnd w:id="2301"/>
      <w:bookmarkEnd w:id="2302"/>
      <w:bookmarkEnd w:id="2303"/>
      <w:bookmarkEnd w:id="2304"/>
      <w:bookmarkEnd w:id="2305"/>
      <w:bookmarkEnd w:id="2306"/>
      <w:bookmarkEnd w:id="2307"/>
    </w:p>
    <w:p w14:paraId="52C79454">
      <w:pPr>
        <w:spacing w:after="160" w:line="278" w:lineRule="auto"/>
        <w:rPr>
          <w:sz w:val="22"/>
          <w:szCs w:val="28"/>
          <w:highlight w:val="none"/>
        </w:rPr>
      </w:pPr>
      <w:bookmarkStart w:id="2308" w:name="_Toc179632648"/>
      <w:bookmarkStart w:id="2309" w:name="_Toc144974598"/>
      <w:bookmarkStart w:id="2310" w:name="_Toc152042408"/>
      <w:bookmarkStart w:id="2311" w:name="_Toc152045630"/>
      <w:r>
        <w:rPr>
          <w:sz w:val="22"/>
          <w:szCs w:val="28"/>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bookmarkEnd w:id="2308"/>
    <w:bookmarkEnd w:id="2309"/>
    <w:bookmarkEnd w:id="2310"/>
    <w:bookmarkEnd w:id="2311"/>
    <w:p w14:paraId="637405C7">
      <w:pPr>
        <w:spacing w:after="160" w:line="278" w:lineRule="auto"/>
        <w:rPr>
          <w:sz w:val="22"/>
          <w:szCs w:val="28"/>
          <w:highlight w:val="none"/>
        </w:rPr>
      </w:pPr>
      <w:bookmarkStart w:id="2312" w:name="_Toc142385694"/>
      <w:bookmarkStart w:id="2313" w:name="_Toc152042410"/>
      <w:bookmarkStart w:id="2314" w:name="_Toc132619155"/>
      <w:bookmarkStart w:id="2315" w:name="_Toc241459668"/>
      <w:bookmarkStart w:id="2316" w:name="_Toc109914471"/>
      <w:bookmarkStart w:id="2317" w:name="_Toc152045632"/>
      <w:bookmarkStart w:id="2318" w:name="_Toc129798406"/>
      <w:bookmarkStart w:id="2319" w:name="_Toc144974600"/>
      <w:bookmarkStart w:id="2320" w:name="_Toc179632650"/>
      <w:bookmarkStart w:id="2321" w:name="_Toc342296427"/>
      <w:r>
        <w:rPr>
          <w:sz w:val="22"/>
          <w:szCs w:val="28"/>
          <w:highlight w:val="none"/>
        </w:rPr>
        <w:t>2.8 其他义务</w:t>
      </w:r>
      <w:bookmarkEnd w:id="2312"/>
      <w:bookmarkEnd w:id="2313"/>
      <w:bookmarkEnd w:id="2314"/>
      <w:bookmarkEnd w:id="2315"/>
      <w:bookmarkEnd w:id="2316"/>
      <w:bookmarkEnd w:id="2317"/>
      <w:bookmarkEnd w:id="2318"/>
      <w:bookmarkEnd w:id="2319"/>
      <w:bookmarkEnd w:id="2320"/>
      <w:bookmarkEnd w:id="2321"/>
    </w:p>
    <w:p w14:paraId="49D6C066">
      <w:pPr>
        <w:spacing w:after="160" w:line="278" w:lineRule="auto"/>
        <w:rPr>
          <w:sz w:val="22"/>
          <w:szCs w:val="28"/>
          <w:highlight w:val="none"/>
        </w:rPr>
      </w:pPr>
      <w:r>
        <w:rPr>
          <w:sz w:val="22"/>
          <w:szCs w:val="28"/>
          <w:highlight w:val="none"/>
        </w:rPr>
        <w:t>（</w:t>
      </w:r>
      <w:r>
        <w:rPr>
          <w:rFonts w:hint="eastAsia"/>
          <w:sz w:val="22"/>
          <w:szCs w:val="28"/>
          <w:highlight w:val="none"/>
        </w:rPr>
        <w:t>1</w:t>
      </w:r>
      <w:r>
        <w:rPr>
          <w:sz w:val="22"/>
          <w:szCs w:val="28"/>
          <w:highlight w:val="none"/>
        </w:rPr>
        <w:t>）按有关规定及时办理工程质量监督手续。</w:t>
      </w:r>
    </w:p>
    <w:p w14:paraId="6D90FBFC">
      <w:pPr>
        <w:spacing w:after="160" w:line="278" w:lineRule="auto"/>
        <w:rPr>
          <w:sz w:val="22"/>
          <w:szCs w:val="28"/>
          <w:highlight w:val="none"/>
        </w:rPr>
      </w:pPr>
      <w:r>
        <w:rPr>
          <w:sz w:val="22"/>
          <w:szCs w:val="28"/>
          <w:highlight w:val="none"/>
        </w:rPr>
        <w:t>（</w:t>
      </w:r>
      <w:r>
        <w:rPr>
          <w:rFonts w:hint="eastAsia"/>
          <w:sz w:val="22"/>
          <w:szCs w:val="28"/>
          <w:highlight w:val="none"/>
        </w:rPr>
        <w:t>2</w:t>
      </w:r>
      <w:r>
        <w:rPr>
          <w:sz w:val="22"/>
          <w:szCs w:val="28"/>
          <w:highlight w:val="none"/>
        </w:rPr>
        <w:t>）根据建设行政主管部门和（或）城市建设档案管理机构的规定，收集、整理、立卷、归档工程资料，并按规定时间向建设行政主管部门或者城市建设档案管理机构移交规定的工程档案。</w:t>
      </w:r>
    </w:p>
    <w:p w14:paraId="69C40213">
      <w:pPr>
        <w:spacing w:after="160" w:line="278" w:lineRule="auto"/>
        <w:rPr>
          <w:sz w:val="22"/>
          <w:szCs w:val="28"/>
          <w:highlight w:val="none"/>
        </w:rPr>
      </w:pPr>
      <w:r>
        <w:rPr>
          <w:sz w:val="22"/>
          <w:szCs w:val="28"/>
          <w:highlight w:val="none"/>
        </w:rPr>
        <w:t>（</w:t>
      </w:r>
      <w:r>
        <w:rPr>
          <w:rFonts w:hint="eastAsia"/>
          <w:sz w:val="22"/>
          <w:szCs w:val="28"/>
          <w:highlight w:val="none"/>
        </w:rPr>
        <w:t>3</w:t>
      </w:r>
      <w:r>
        <w:rPr>
          <w:sz w:val="22"/>
          <w:szCs w:val="28"/>
          <w:highlight w:val="none"/>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6D4E264">
      <w:pPr>
        <w:spacing w:after="160" w:line="278" w:lineRule="auto"/>
        <w:rPr>
          <w:sz w:val="22"/>
          <w:szCs w:val="28"/>
          <w:highlight w:val="none"/>
        </w:rPr>
      </w:pPr>
      <w:bookmarkStart w:id="2322" w:name="_Toc142385695"/>
      <w:bookmarkStart w:id="2323" w:name="_Toc448758549"/>
      <w:bookmarkStart w:id="2324" w:name="_Toc342296428"/>
      <w:bookmarkStart w:id="2325" w:name="_Toc448758449"/>
      <w:bookmarkStart w:id="2326" w:name="_Toc144974601"/>
      <w:bookmarkStart w:id="2327" w:name="_Toc241459669"/>
      <w:bookmarkStart w:id="2328" w:name="_Toc442365641"/>
      <w:bookmarkStart w:id="2329" w:name="_Toc129798407"/>
      <w:bookmarkStart w:id="2330" w:name="_Toc179632651"/>
      <w:bookmarkStart w:id="2331" w:name="_Toc152045633"/>
      <w:bookmarkStart w:id="2332" w:name="_Toc132619156"/>
      <w:bookmarkStart w:id="2333" w:name="_Toc469660044"/>
      <w:bookmarkStart w:id="2334" w:name="_Toc152042411"/>
      <w:bookmarkStart w:id="2335" w:name="_Toc109914472"/>
      <w:r>
        <w:rPr>
          <w:sz w:val="22"/>
          <w:szCs w:val="28"/>
          <w:highlight w:val="none"/>
        </w:rPr>
        <w:t>3. 监理人</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00C536C8">
      <w:pPr>
        <w:spacing w:after="160" w:line="278" w:lineRule="auto"/>
        <w:rPr>
          <w:sz w:val="22"/>
          <w:szCs w:val="28"/>
          <w:highlight w:val="none"/>
        </w:rPr>
      </w:pPr>
      <w:bookmarkStart w:id="2336" w:name="_Toc152042412"/>
      <w:bookmarkStart w:id="2337" w:name="_Toc144974602"/>
      <w:bookmarkStart w:id="2338" w:name="_Toc129798408"/>
      <w:bookmarkStart w:id="2339" w:name="_Toc179632652"/>
      <w:bookmarkStart w:id="2340" w:name="_Toc132619157"/>
      <w:bookmarkStart w:id="2341" w:name="_Toc342296429"/>
      <w:bookmarkStart w:id="2342" w:name="_Toc142385696"/>
      <w:bookmarkStart w:id="2343" w:name="_Toc241459670"/>
      <w:bookmarkStart w:id="2344" w:name="_Toc109914473"/>
      <w:bookmarkStart w:id="2345" w:name="_Toc152045634"/>
      <w:r>
        <w:rPr>
          <w:sz w:val="22"/>
          <w:szCs w:val="28"/>
          <w:highlight w:val="none"/>
        </w:rPr>
        <w:t>3.1 监理人的职责和权力</w:t>
      </w:r>
      <w:bookmarkEnd w:id="2336"/>
      <w:bookmarkEnd w:id="2337"/>
      <w:bookmarkEnd w:id="2338"/>
      <w:bookmarkEnd w:id="2339"/>
      <w:bookmarkEnd w:id="2340"/>
      <w:bookmarkEnd w:id="2341"/>
      <w:bookmarkEnd w:id="2342"/>
      <w:bookmarkEnd w:id="2343"/>
      <w:bookmarkEnd w:id="2344"/>
      <w:bookmarkEnd w:id="2345"/>
    </w:p>
    <w:p w14:paraId="1C426A7F">
      <w:pPr>
        <w:spacing w:after="160" w:line="278" w:lineRule="auto"/>
        <w:rPr>
          <w:sz w:val="22"/>
          <w:szCs w:val="28"/>
          <w:highlight w:val="none"/>
        </w:rPr>
      </w:pPr>
      <w:r>
        <w:rPr>
          <w:sz w:val="22"/>
          <w:szCs w:val="28"/>
          <w:highlight w:val="none"/>
        </w:rPr>
        <w:t>3.1.1须经发包人批准行使的权力：</w:t>
      </w:r>
    </w:p>
    <w:p w14:paraId="71BC71DE">
      <w:pPr>
        <w:spacing w:after="160" w:line="278" w:lineRule="auto"/>
        <w:rPr>
          <w:sz w:val="22"/>
          <w:szCs w:val="28"/>
          <w:highlight w:val="none"/>
        </w:rPr>
      </w:pPr>
      <w:r>
        <w:rPr>
          <w:sz w:val="22"/>
          <w:szCs w:val="28"/>
          <w:highlight w:val="none"/>
        </w:rPr>
        <w:t>（1）发布开工令、停工令、复工令；</w:t>
      </w:r>
    </w:p>
    <w:p w14:paraId="5A8ABA57">
      <w:pPr>
        <w:spacing w:after="160" w:line="278" w:lineRule="auto"/>
        <w:rPr>
          <w:sz w:val="22"/>
          <w:szCs w:val="28"/>
          <w:highlight w:val="none"/>
        </w:rPr>
      </w:pPr>
      <w:r>
        <w:rPr>
          <w:sz w:val="22"/>
          <w:szCs w:val="28"/>
          <w:highlight w:val="none"/>
        </w:rPr>
        <w:t>（2）凡涉影响工程造价的调整及涉及施工工期的延长等变化，须经发包人审核批准；</w:t>
      </w:r>
    </w:p>
    <w:p w14:paraId="0C4D8F15">
      <w:pPr>
        <w:spacing w:after="160" w:line="278" w:lineRule="auto"/>
        <w:rPr>
          <w:sz w:val="22"/>
          <w:szCs w:val="28"/>
          <w:highlight w:val="none"/>
        </w:rPr>
      </w:pPr>
      <w:r>
        <w:rPr>
          <w:sz w:val="22"/>
          <w:szCs w:val="28"/>
          <w:highlight w:val="none"/>
        </w:rPr>
        <w:t>（3）对承包人合同规定的义务建议变更等。</w:t>
      </w:r>
    </w:p>
    <w:p w14:paraId="39164574">
      <w:pPr>
        <w:spacing w:after="160" w:line="278" w:lineRule="auto"/>
        <w:rPr>
          <w:sz w:val="22"/>
          <w:szCs w:val="28"/>
          <w:highlight w:val="none"/>
        </w:rPr>
      </w:pPr>
      <w:r>
        <w:rPr>
          <w:sz w:val="22"/>
          <w:szCs w:val="28"/>
          <w:highlight w:val="none"/>
        </w:rPr>
        <w:t>不管通用合同条款第3.1.1项如何约定，监理人履行须经发包人批准行使的权力时，应当向承包人出示其行使该权力已经取得发包人批准的文件或者其他合法有效的证明。</w:t>
      </w:r>
    </w:p>
    <w:p w14:paraId="2E205F3D">
      <w:pPr>
        <w:spacing w:after="160" w:line="278" w:lineRule="auto"/>
        <w:rPr>
          <w:sz w:val="22"/>
          <w:szCs w:val="28"/>
          <w:highlight w:val="none"/>
        </w:rPr>
      </w:pPr>
      <w:bookmarkStart w:id="2346" w:name="_Toc152045636"/>
      <w:bookmarkStart w:id="2347" w:name="_Toc142385697"/>
      <w:bookmarkStart w:id="2348" w:name="_Toc109914474"/>
      <w:bookmarkStart w:id="2349" w:name="_Toc152042414"/>
      <w:bookmarkStart w:id="2350" w:name="_Toc241459671"/>
      <w:bookmarkStart w:id="2351" w:name="_Toc144974604"/>
      <w:bookmarkStart w:id="2352" w:name="_Toc179632654"/>
      <w:bookmarkStart w:id="2353" w:name="_Toc132619158"/>
      <w:bookmarkStart w:id="2354" w:name="_Toc129798409"/>
      <w:bookmarkStart w:id="2355" w:name="_Toc342296430"/>
      <w:r>
        <w:rPr>
          <w:sz w:val="22"/>
          <w:szCs w:val="28"/>
          <w:highlight w:val="none"/>
        </w:rPr>
        <w:t>3.3 监理人员</w:t>
      </w:r>
      <w:bookmarkEnd w:id="2346"/>
      <w:bookmarkEnd w:id="2347"/>
      <w:bookmarkEnd w:id="2348"/>
      <w:bookmarkEnd w:id="2349"/>
      <w:bookmarkEnd w:id="2350"/>
      <w:bookmarkEnd w:id="2351"/>
      <w:bookmarkEnd w:id="2352"/>
      <w:bookmarkEnd w:id="2353"/>
      <w:bookmarkEnd w:id="2354"/>
      <w:bookmarkEnd w:id="2355"/>
    </w:p>
    <w:p w14:paraId="4C90F693">
      <w:pPr>
        <w:spacing w:after="160" w:line="278" w:lineRule="auto"/>
        <w:rPr>
          <w:sz w:val="22"/>
          <w:szCs w:val="28"/>
          <w:highlight w:val="none"/>
        </w:rPr>
      </w:pPr>
      <w:r>
        <w:rPr>
          <w:sz w:val="22"/>
          <w:szCs w:val="28"/>
          <w:highlight w:val="none"/>
        </w:rPr>
        <w:t>3.3.4 总监理工程师不应将第3.5款约定应由总监理工程师作出确定的权力授权或者委托给其他监理人员。</w:t>
      </w:r>
    </w:p>
    <w:p w14:paraId="20F2E9F6">
      <w:pPr>
        <w:spacing w:after="160" w:line="278" w:lineRule="auto"/>
        <w:rPr>
          <w:sz w:val="22"/>
          <w:szCs w:val="28"/>
          <w:highlight w:val="none"/>
        </w:rPr>
      </w:pPr>
      <w:bookmarkStart w:id="2356" w:name="_Toc129798410"/>
      <w:bookmarkStart w:id="2357" w:name="_Toc142385698"/>
      <w:bookmarkStart w:id="2358" w:name="_Toc132619159"/>
      <w:bookmarkStart w:id="2359" w:name="_Toc241459672"/>
      <w:bookmarkStart w:id="2360" w:name="_Toc179632655"/>
      <w:bookmarkStart w:id="2361" w:name="_Toc144974605"/>
      <w:bookmarkStart w:id="2362" w:name="_Toc342296431"/>
      <w:bookmarkStart w:id="2363" w:name="_Toc109914475"/>
      <w:bookmarkStart w:id="2364" w:name="_Toc152042415"/>
      <w:bookmarkStart w:id="2365" w:name="_Toc152045637"/>
      <w:r>
        <w:rPr>
          <w:sz w:val="22"/>
          <w:szCs w:val="28"/>
          <w:highlight w:val="none"/>
        </w:rPr>
        <w:t>3.4 监理人的指示</w:t>
      </w:r>
      <w:bookmarkEnd w:id="2356"/>
      <w:bookmarkEnd w:id="2357"/>
      <w:bookmarkEnd w:id="2358"/>
      <w:bookmarkEnd w:id="2359"/>
      <w:bookmarkEnd w:id="2360"/>
      <w:bookmarkEnd w:id="2361"/>
      <w:bookmarkEnd w:id="2362"/>
      <w:bookmarkEnd w:id="2363"/>
      <w:bookmarkEnd w:id="2364"/>
      <w:bookmarkEnd w:id="2365"/>
    </w:p>
    <w:p w14:paraId="7D07F933">
      <w:pPr>
        <w:spacing w:after="160" w:line="278" w:lineRule="auto"/>
        <w:rPr>
          <w:sz w:val="22"/>
          <w:szCs w:val="28"/>
          <w:highlight w:val="none"/>
        </w:rPr>
      </w:pPr>
      <w:r>
        <w:rPr>
          <w:sz w:val="22"/>
          <w:szCs w:val="28"/>
          <w:highlight w:val="none"/>
        </w:rPr>
        <w:t>3.4.4除通用合同条款已有的专门约定外，承包人只能从总监理工程师或按第3.3.1项授权的监理人员处取得指示，发包人应当通过监理人向承包人发出指示。</w:t>
      </w:r>
      <w:bookmarkStart w:id="2366" w:name="_Toc152042417"/>
      <w:bookmarkStart w:id="2367" w:name="_Toc144974607"/>
      <w:bookmarkStart w:id="2368" w:name="_Toc179632657"/>
      <w:bookmarkStart w:id="2369" w:name="_Toc152045639"/>
    </w:p>
    <w:p w14:paraId="5327B2D5">
      <w:pPr>
        <w:spacing w:after="160" w:line="278" w:lineRule="auto"/>
        <w:rPr>
          <w:sz w:val="22"/>
          <w:szCs w:val="28"/>
          <w:highlight w:val="none"/>
        </w:rPr>
      </w:pPr>
      <w:bookmarkStart w:id="2370" w:name="_Toc109914476"/>
      <w:bookmarkStart w:id="2371" w:name="_Toc342296432"/>
      <w:bookmarkStart w:id="2372" w:name="_Toc129798411"/>
      <w:bookmarkStart w:id="2373" w:name="_Toc132619160"/>
      <w:bookmarkStart w:id="2374" w:name="_Toc241459673"/>
      <w:bookmarkStart w:id="2375" w:name="_Toc142385699"/>
      <w:r>
        <w:rPr>
          <w:sz w:val="22"/>
          <w:szCs w:val="28"/>
          <w:highlight w:val="none"/>
        </w:rPr>
        <w:t>3.6 监理人的宽恕</w:t>
      </w:r>
      <w:bookmarkEnd w:id="2370"/>
      <w:bookmarkEnd w:id="2371"/>
      <w:bookmarkEnd w:id="2372"/>
      <w:bookmarkEnd w:id="2373"/>
      <w:bookmarkEnd w:id="2374"/>
      <w:bookmarkEnd w:id="2375"/>
    </w:p>
    <w:p w14:paraId="017576AC">
      <w:pPr>
        <w:spacing w:after="160" w:line="278" w:lineRule="auto"/>
        <w:rPr>
          <w:sz w:val="22"/>
          <w:szCs w:val="28"/>
          <w:highlight w:val="none"/>
        </w:rPr>
      </w:pPr>
      <w:r>
        <w:rPr>
          <w:sz w:val="22"/>
          <w:szCs w:val="28"/>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2711D3B">
      <w:pPr>
        <w:spacing w:after="160" w:line="278" w:lineRule="auto"/>
        <w:rPr>
          <w:sz w:val="22"/>
          <w:szCs w:val="28"/>
          <w:highlight w:val="none"/>
        </w:rPr>
      </w:pPr>
      <w:bookmarkStart w:id="2376" w:name="_Toc342296433"/>
      <w:bookmarkStart w:id="2377" w:name="_Toc129798412"/>
      <w:bookmarkStart w:id="2378" w:name="_Toc132619161"/>
      <w:bookmarkStart w:id="2379" w:name="_Toc109914477"/>
      <w:bookmarkStart w:id="2380" w:name="_Toc142385700"/>
      <w:bookmarkStart w:id="2381" w:name="_Toc241459674"/>
      <w:bookmarkStart w:id="2382" w:name="_Toc448758550"/>
      <w:bookmarkStart w:id="2383" w:name="_Toc448758450"/>
      <w:bookmarkStart w:id="2384" w:name="_Toc442365642"/>
      <w:bookmarkStart w:id="2385" w:name="_Toc469660045"/>
      <w:r>
        <w:rPr>
          <w:sz w:val="22"/>
          <w:szCs w:val="28"/>
          <w:highlight w:val="none"/>
        </w:rPr>
        <w:t>4. 承包人</w:t>
      </w:r>
      <w:bookmarkEnd w:id="2366"/>
      <w:bookmarkEnd w:id="2367"/>
      <w:bookmarkEnd w:id="2368"/>
      <w:bookmarkEnd w:id="2369"/>
      <w:bookmarkEnd w:id="2376"/>
      <w:bookmarkEnd w:id="2377"/>
      <w:bookmarkEnd w:id="2378"/>
      <w:bookmarkEnd w:id="2379"/>
      <w:bookmarkEnd w:id="2380"/>
      <w:bookmarkEnd w:id="2381"/>
      <w:bookmarkEnd w:id="2382"/>
      <w:bookmarkEnd w:id="2383"/>
      <w:bookmarkEnd w:id="2384"/>
      <w:bookmarkEnd w:id="2385"/>
    </w:p>
    <w:p w14:paraId="70045467">
      <w:pPr>
        <w:spacing w:after="160" w:line="278" w:lineRule="auto"/>
        <w:rPr>
          <w:sz w:val="22"/>
          <w:szCs w:val="28"/>
          <w:highlight w:val="none"/>
        </w:rPr>
      </w:pPr>
      <w:bookmarkStart w:id="2386" w:name="_Toc179632658"/>
      <w:bookmarkStart w:id="2387" w:name="_Toc342296434"/>
      <w:bookmarkStart w:id="2388" w:name="_Toc132619162"/>
      <w:bookmarkStart w:id="2389" w:name="_Toc144974608"/>
      <w:bookmarkStart w:id="2390" w:name="_Toc142385701"/>
      <w:bookmarkStart w:id="2391" w:name="_Toc129798413"/>
      <w:bookmarkStart w:id="2392" w:name="_Toc152045640"/>
      <w:bookmarkStart w:id="2393" w:name="_Toc152042418"/>
      <w:bookmarkStart w:id="2394" w:name="_Toc109914478"/>
      <w:bookmarkStart w:id="2395" w:name="_Toc241459675"/>
      <w:r>
        <w:rPr>
          <w:sz w:val="22"/>
          <w:szCs w:val="28"/>
          <w:highlight w:val="none"/>
        </w:rPr>
        <w:t>4.1 承包人的一般义务</w:t>
      </w:r>
      <w:bookmarkEnd w:id="2386"/>
      <w:bookmarkEnd w:id="2387"/>
      <w:bookmarkEnd w:id="2388"/>
      <w:bookmarkEnd w:id="2389"/>
      <w:bookmarkEnd w:id="2390"/>
      <w:bookmarkEnd w:id="2391"/>
      <w:bookmarkEnd w:id="2392"/>
      <w:bookmarkEnd w:id="2393"/>
      <w:bookmarkEnd w:id="2394"/>
      <w:bookmarkEnd w:id="2395"/>
    </w:p>
    <w:p w14:paraId="4E335D26">
      <w:pPr>
        <w:spacing w:after="160" w:line="278" w:lineRule="auto"/>
        <w:rPr>
          <w:sz w:val="22"/>
          <w:szCs w:val="28"/>
          <w:highlight w:val="none"/>
        </w:rPr>
      </w:pPr>
      <w:r>
        <w:rPr>
          <w:sz w:val="22"/>
          <w:szCs w:val="28"/>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527AF994">
      <w:pPr>
        <w:spacing w:after="160" w:line="278" w:lineRule="auto"/>
        <w:rPr>
          <w:sz w:val="22"/>
          <w:szCs w:val="28"/>
          <w:highlight w:val="none"/>
        </w:rPr>
      </w:pPr>
      <w:r>
        <w:rPr>
          <w:sz w:val="22"/>
          <w:szCs w:val="28"/>
          <w:highlight w:val="none"/>
        </w:rPr>
        <w:t>4.1.8</w:t>
      </w:r>
      <w:r>
        <w:rPr>
          <w:rFonts w:hint="eastAsia"/>
          <w:sz w:val="22"/>
          <w:szCs w:val="28"/>
          <w:highlight w:val="none"/>
        </w:rPr>
        <w:t>为他人提供方便</w:t>
      </w:r>
    </w:p>
    <w:p w14:paraId="19FDE20E">
      <w:pPr>
        <w:spacing w:after="160" w:line="278" w:lineRule="auto"/>
        <w:rPr>
          <w:sz w:val="22"/>
          <w:szCs w:val="28"/>
          <w:highlight w:val="none"/>
        </w:rPr>
      </w:pPr>
      <w:r>
        <w:rPr>
          <w:sz w:val="22"/>
          <w:szCs w:val="28"/>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为其他独立承包人在使用施工用地、道路和其他公用设施等方面提供方便</w:t>
      </w:r>
      <w:r>
        <w:rPr>
          <w:rFonts w:hint="eastAsia"/>
          <w:sz w:val="22"/>
          <w:szCs w:val="28"/>
          <w:highlight w:val="none"/>
        </w:rPr>
        <w:t>，避免对邻近的公共设施产生干扰。承包人占用或使用他人的施工场地，影响他人作业或生活的，应承担相应责任；</w:t>
      </w:r>
      <w:r>
        <w:rPr>
          <w:sz w:val="22"/>
          <w:szCs w:val="28"/>
          <w:highlight w:val="none"/>
        </w:rPr>
        <w:t>。</w:t>
      </w:r>
    </w:p>
    <w:p w14:paraId="2433C2F1">
      <w:pPr>
        <w:spacing w:after="160" w:line="278" w:lineRule="auto"/>
        <w:rPr>
          <w:sz w:val="22"/>
          <w:szCs w:val="28"/>
          <w:highlight w:val="none"/>
        </w:rPr>
      </w:pPr>
      <w:r>
        <w:rPr>
          <w:sz w:val="22"/>
          <w:szCs w:val="28"/>
          <w:highlight w:val="none"/>
        </w:rPr>
        <w:t>（2）承包人还应按监理人指示为独立承包人以外的他人在施工场地或者附近实施与合同工程有关的其他工作提供可能的条件，可能发生费用由监理人按第3.5款商定或者确定。</w:t>
      </w:r>
    </w:p>
    <w:p w14:paraId="68C057D7">
      <w:pPr>
        <w:spacing w:after="160" w:line="278" w:lineRule="auto"/>
        <w:rPr>
          <w:sz w:val="22"/>
          <w:szCs w:val="28"/>
          <w:highlight w:val="none"/>
        </w:rPr>
      </w:pPr>
      <w:r>
        <w:rPr>
          <w:sz w:val="22"/>
          <w:szCs w:val="28"/>
          <w:highlight w:val="none"/>
        </w:rPr>
        <w:t>4.1.10</w:t>
      </w:r>
      <w:r>
        <w:rPr>
          <w:rFonts w:hint="eastAsia"/>
          <w:sz w:val="22"/>
          <w:szCs w:val="28"/>
          <w:highlight w:val="none"/>
        </w:rPr>
        <w:t>其他义务</w:t>
      </w:r>
      <w:r>
        <w:rPr>
          <w:sz w:val="22"/>
          <w:szCs w:val="28"/>
          <w:highlight w:val="none"/>
        </w:rPr>
        <w:t xml:space="preserve">  </w:t>
      </w:r>
    </w:p>
    <w:p w14:paraId="489940E9">
      <w:pPr>
        <w:spacing w:after="160" w:line="278" w:lineRule="auto"/>
        <w:rPr>
          <w:sz w:val="22"/>
          <w:szCs w:val="28"/>
          <w:highlight w:val="none"/>
        </w:rPr>
      </w:pPr>
      <w:r>
        <w:rPr>
          <w:sz w:val="22"/>
          <w:szCs w:val="28"/>
          <w:highlight w:val="none"/>
        </w:rPr>
        <w:t>（1）根据发包人委托，在其设计资质等级和业务允许的范围内，完成施工图设计或与工程配套的设计，经监理人确认后使用，发包人承担由此发生的费用和合理利润</w:t>
      </w:r>
      <w:r>
        <w:rPr>
          <w:rFonts w:hint="eastAsia"/>
          <w:sz w:val="22"/>
          <w:szCs w:val="28"/>
          <w:highlight w:val="none"/>
        </w:rPr>
        <w:t>,</w:t>
      </w:r>
      <w:r>
        <w:rPr>
          <w:sz w:val="22"/>
          <w:szCs w:val="28"/>
          <w:highlight w:val="none"/>
        </w:rPr>
        <w:t>由此发生的费用被认为已经包括在承包人的签约合同价（投标总报价）中。由承包人承担的施工图设计或与工程配套的设计工作内容</w:t>
      </w:r>
      <w:r>
        <w:rPr>
          <w:sz w:val="22"/>
          <w:szCs w:val="28"/>
          <w:highlight w:val="none"/>
          <w:u w:val="single"/>
        </w:rPr>
        <w:t xml:space="preserve"> </w:t>
      </w:r>
      <w:r>
        <w:rPr>
          <w:rFonts w:hint="eastAsia"/>
          <w:sz w:val="22"/>
          <w:szCs w:val="28"/>
          <w:highlight w:val="none"/>
          <w:u w:val="single"/>
        </w:rPr>
        <w:t xml:space="preserve"> </w:t>
      </w:r>
      <w:r>
        <w:rPr>
          <w:sz w:val="22"/>
          <w:szCs w:val="28"/>
          <w:highlight w:val="none"/>
          <w:u w:val="single"/>
        </w:rPr>
        <w:t>/</w:t>
      </w:r>
      <w:r>
        <w:rPr>
          <w:rFonts w:hint="eastAsia"/>
          <w:sz w:val="22"/>
          <w:szCs w:val="28"/>
          <w:highlight w:val="none"/>
          <w:u w:val="single"/>
        </w:rPr>
        <w:t xml:space="preserve">  </w:t>
      </w:r>
      <w:r>
        <w:rPr>
          <w:sz w:val="22"/>
          <w:szCs w:val="28"/>
          <w:highlight w:val="none"/>
        </w:rPr>
        <w:t>。</w:t>
      </w:r>
    </w:p>
    <w:p w14:paraId="57F52EB4">
      <w:pPr>
        <w:spacing w:after="160" w:line="278" w:lineRule="auto"/>
        <w:rPr>
          <w:sz w:val="22"/>
          <w:szCs w:val="28"/>
          <w:highlight w:val="none"/>
        </w:rPr>
      </w:pPr>
      <w:r>
        <w:rPr>
          <w:sz w:val="22"/>
          <w:szCs w:val="28"/>
          <w:highlight w:val="none"/>
        </w:rPr>
        <w:t>（2）承包人应履行合同约定的其他义务以及下述义务：</w:t>
      </w:r>
    </w:p>
    <w:p w14:paraId="5E04CC43">
      <w:pPr>
        <w:spacing w:after="160" w:line="278" w:lineRule="auto"/>
        <w:rPr>
          <w:sz w:val="22"/>
          <w:szCs w:val="28"/>
          <w:highlight w:val="none"/>
        </w:rPr>
      </w:pPr>
      <w:r>
        <w:rPr>
          <w:sz w:val="22"/>
          <w:szCs w:val="28"/>
          <w:highlight w:val="none"/>
        </w:rPr>
        <w:t>承担施工安全保卫工作及夜间施工照明的责任：由承包人负责并承担由此发生的费用。</w:t>
      </w:r>
    </w:p>
    <w:p w14:paraId="54A56948">
      <w:pPr>
        <w:spacing w:after="160" w:line="278" w:lineRule="auto"/>
        <w:rPr>
          <w:sz w:val="22"/>
          <w:szCs w:val="28"/>
          <w:highlight w:val="none"/>
        </w:rPr>
      </w:pPr>
      <w:r>
        <w:rPr>
          <w:sz w:val="22"/>
          <w:szCs w:val="28"/>
          <w:highlight w:val="none"/>
        </w:rPr>
        <w:t>需承包人办理的有关施工场地交通、环卫和施工噪声管理等手续：按北京市有关规定办理，承包人负责处理并承担费用。</w:t>
      </w:r>
    </w:p>
    <w:p w14:paraId="4B33EF17">
      <w:pPr>
        <w:spacing w:after="160" w:line="278" w:lineRule="auto"/>
        <w:rPr>
          <w:sz w:val="22"/>
          <w:szCs w:val="28"/>
          <w:highlight w:val="none"/>
        </w:rPr>
      </w:pPr>
      <w:r>
        <w:rPr>
          <w:sz w:val="22"/>
          <w:szCs w:val="28"/>
          <w:highlight w:val="none"/>
        </w:rPr>
        <w:t>施工场地清洁卫生的要求：对施工生产和生活垃圾应及时清运，承包人承担由此发生的费用。</w:t>
      </w:r>
    </w:p>
    <w:p w14:paraId="2EF046F1">
      <w:pPr>
        <w:spacing w:after="160" w:line="278" w:lineRule="auto"/>
        <w:rPr>
          <w:sz w:val="22"/>
          <w:szCs w:val="28"/>
          <w:highlight w:val="none"/>
        </w:rPr>
      </w:pPr>
      <w:r>
        <w:rPr>
          <w:sz w:val="22"/>
          <w:szCs w:val="28"/>
          <w:highlight w:val="none"/>
        </w:rPr>
        <w:t>在施工期间，</w:t>
      </w:r>
      <w:r>
        <w:rPr>
          <w:rFonts w:hint="eastAsia"/>
          <w:sz w:val="22"/>
          <w:szCs w:val="28"/>
          <w:highlight w:val="none"/>
        </w:rPr>
        <w:t>发包人负责提供水电并承担水电费，</w:t>
      </w:r>
      <w:r>
        <w:rPr>
          <w:sz w:val="22"/>
          <w:szCs w:val="28"/>
          <w:highlight w:val="none"/>
        </w:rPr>
        <w:t>承包人施工用水电费</w:t>
      </w:r>
      <w:r>
        <w:rPr>
          <w:rFonts w:hint="eastAsia"/>
          <w:sz w:val="22"/>
          <w:szCs w:val="28"/>
          <w:highlight w:val="none"/>
        </w:rPr>
        <w:t>无需缴纳，结算时应当扣除施工单位单独报送的工程水电费，且承包人应遵守节约用水、用电相关规定。</w:t>
      </w:r>
    </w:p>
    <w:p w14:paraId="1B8BDF09">
      <w:pPr>
        <w:spacing w:after="160" w:line="278" w:lineRule="auto"/>
        <w:rPr>
          <w:sz w:val="22"/>
          <w:szCs w:val="28"/>
          <w:highlight w:val="none"/>
        </w:rPr>
      </w:pPr>
      <w:r>
        <w:rPr>
          <w:rFonts w:hint="eastAsia"/>
          <w:sz w:val="22"/>
          <w:szCs w:val="28"/>
          <w:highlight w:val="none"/>
        </w:rPr>
        <w:t>投标过程中承包人已综合考虑搬运施工场地内设施费用，如家具家电等的移位费用，承包人在投标报价时已一并考虑在报价中。</w:t>
      </w:r>
    </w:p>
    <w:p w14:paraId="57901C69">
      <w:pPr>
        <w:spacing w:after="160" w:line="278" w:lineRule="auto"/>
        <w:rPr>
          <w:sz w:val="22"/>
          <w:szCs w:val="28"/>
          <w:highlight w:val="none"/>
        </w:rPr>
      </w:pPr>
      <w:r>
        <w:rPr>
          <w:rFonts w:hint="eastAsia"/>
          <w:sz w:val="22"/>
          <w:szCs w:val="28"/>
          <w:highlight w:val="none"/>
        </w:rPr>
        <w:t>承包人在施工范围内进行拆除工作时，需对现场所需拆除的材料及设备提前向发包人报备，涉及学校资产、可回收利用的资源，承包人应妥善保管，并应交由发包人进行处置，承包人不得擅自变卖。对于其余经发包人查看后不可回收，且不涉及学校资产的设备、物品等，承包人负责对其进行运输和消纳，并在报价中进行体现。拆除的数量作为结算拆除工程量，实际拆除的可回收材料较原资源不足的，需像甲方说明理由，否则应按实际损失金额赔偿。</w:t>
      </w:r>
    </w:p>
    <w:p w14:paraId="234B53B6">
      <w:pPr>
        <w:spacing w:after="160" w:line="278" w:lineRule="auto"/>
        <w:rPr>
          <w:sz w:val="22"/>
          <w:szCs w:val="28"/>
          <w:highlight w:val="none"/>
        </w:rPr>
      </w:pPr>
      <w:r>
        <w:rPr>
          <w:rFonts w:hint="eastAsia"/>
          <w:sz w:val="22"/>
          <w:szCs w:val="28"/>
          <w:highlight w:val="none"/>
        </w:rPr>
        <w:t>施工期间施工单位须配备合格造价人员，如在施工过程中发生洽商项，所有经济类洽商在实施前需及时报发包人协商，发包人批准后方可实施，否则所有经济增项不予承认。如有暂估价材料项目，投标文件按招标清单之中给定暂估材料价填报。</w:t>
      </w:r>
    </w:p>
    <w:p w14:paraId="3230B22E">
      <w:pPr>
        <w:spacing w:after="160" w:line="278" w:lineRule="auto"/>
        <w:rPr>
          <w:sz w:val="22"/>
          <w:szCs w:val="28"/>
          <w:highlight w:val="none"/>
        </w:rPr>
      </w:pPr>
      <w:bookmarkStart w:id="2396" w:name="_Toc342296435"/>
      <w:bookmarkStart w:id="2397" w:name="_Toc132619163"/>
      <w:bookmarkStart w:id="2398" w:name="_Toc241459676"/>
      <w:bookmarkStart w:id="2399" w:name="_Toc129798414"/>
      <w:bookmarkStart w:id="2400" w:name="_Toc109914479"/>
      <w:bookmarkStart w:id="2401" w:name="_Toc142385702"/>
      <w:bookmarkStart w:id="2402" w:name="_Toc144974610"/>
      <w:bookmarkStart w:id="2403" w:name="_Toc152045642"/>
      <w:bookmarkStart w:id="2404" w:name="_Toc152042420"/>
      <w:bookmarkStart w:id="2405" w:name="_Toc179632660"/>
      <w:r>
        <w:rPr>
          <w:sz w:val="22"/>
          <w:szCs w:val="28"/>
          <w:highlight w:val="none"/>
        </w:rPr>
        <w:t>4.2 履约担保</w:t>
      </w:r>
      <w:bookmarkEnd w:id="2396"/>
      <w:bookmarkEnd w:id="2397"/>
      <w:bookmarkEnd w:id="2398"/>
      <w:bookmarkEnd w:id="2399"/>
      <w:bookmarkEnd w:id="2400"/>
      <w:bookmarkEnd w:id="2401"/>
      <w:r>
        <w:rPr>
          <w:sz w:val="22"/>
          <w:szCs w:val="28"/>
          <w:highlight w:val="none"/>
        </w:rPr>
        <w:t xml:space="preserve"> </w:t>
      </w:r>
    </w:p>
    <w:p w14:paraId="744F052D">
      <w:pPr>
        <w:spacing w:after="160" w:line="278" w:lineRule="auto"/>
        <w:rPr>
          <w:sz w:val="22"/>
          <w:szCs w:val="28"/>
          <w:highlight w:val="none"/>
        </w:rPr>
      </w:pPr>
      <w:r>
        <w:rPr>
          <w:sz w:val="22"/>
          <w:szCs w:val="28"/>
          <w:highlight w:val="none"/>
        </w:rPr>
        <w:t xml:space="preserve">4.2.1 </w:t>
      </w:r>
      <w:r>
        <w:rPr>
          <w:rFonts w:hint="eastAsia"/>
          <w:sz w:val="22"/>
          <w:szCs w:val="28"/>
          <w:highlight w:val="none"/>
        </w:rPr>
        <w:t>履约担保的格式和金额</w:t>
      </w:r>
    </w:p>
    <w:p w14:paraId="04A02CBD">
      <w:pPr>
        <w:spacing w:after="160" w:line="278" w:lineRule="auto"/>
        <w:rPr>
          <w:sz w:val="22"/>
          <w:szCs w:val="28"/>
          <w:highlight w:val="none"/>
        </w:rPr>
      </w:pPr>
      <w:r>
        <w:rPr>
          <w:sz w:val="22"/>
          <w:szCs w:val="28"/>
          <w:highlight w:val="none"/>
        </w:rPr>
        <w:t xml:space="preserve">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      </w:t>
      </w:r>
      <w:r>
        <w:rPr>
          <w:rFonts w:hint="eastAsia"/>
          <w:sz w:val="22"/>
          <w:szCs w:val="28"/>
          <w:highlight w:val="none"/>
          <w:u w:val="single"/>
        </w:rPr>
        <w:t>/</w:t>
      </w:r>
      <w:r>
        <w:rPr>
          <w:sz w:val="22"/>
          <w:szCs w:val="28"/>
          <w:highlight w:val="none"/>
          <w:u w:val="single"/>
        </w:rPr>
        <w:t xml:space="preserve">    </w:t>
      </w:r>
      <w:r>
        <w:rPr>
          <w:sz w:val="22"/>
          <w:szCs w:val="28"/>
          <w:highlight w:val="none"/>
        </w:rPr>
        <w:t xml:space="preserve">  。履约担保是本合同的附件。</w:t>
      </w:r>
    </w:p>
    <w:p w14:paraId="2EE7D304">
      <w:pPr>
        <w:spacing w:after="160" w:line="278" w:lineRule="auto"/>
        <w:rPr>
          <w:sz w:val="22"/>
          <w:szCs w:val="28"/>
          <w:highlight w:val="none"/>
        </w:rPr>
      </w:pPr>
      <w:r>
        <w:rPr>
          <w:sz w:val="22"/>
          <w:szCs w:val="28"/>
          <w:highlight w:val="none"/>
        </w:rPr>
        <w:t xml:space="preserve">4.2.2 </w:t>
      </w:r>
      <w:r>
        <w:rPr>
          <w:rFonts w:hint="eastAsia"/>
          <w:sz w:val="22"/>
          <w:szCs w:val="28"/>
          <w:highlight w:val="none"/>
        </w:rPr>
        <w:t>履约担保的有效期</w:t>
      </w:r>
    </w:p>
    <w:p w14:paraId="1CBE9892">
      <w:pPr>
        <w:spacing w:after="160" w:line="278" w:lineRule="auto"/>
        <w:rPr>
          <w:sz w:val="22"/>
          <w:szCs w:val="28"/>
          <w:highlight w:val="none"/>
        </w:rPr>
      </w:pPr>
      <w:r>
        <w:rPr>
          <w:sz w:val="22"/>
          <w:szCs w:val="28"/>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0CBF0686">
      <w:pPr>
        <w:spacing w:after="160" w:line="278" w:lineRule="auto"/>
        <w:rPr>
          <w:sz w:val="22"/>
          <w:szCs w:val="28"/>
          <w:highlight w:val="none"/>
        </w:rPr>
      </w:pPr>
      <w:r>
        <w:rPr>
          <w:sz w:val="22"/>
          <w:szCs w:val="28"/>
          <w:highlight w:val="none"/>
        </w:rPr>
        <w:t xml:space="preserve">4.2.3 </w:t>
      </w:r>
      <w:r>
        <w:rPr>
          <w:rFonts w:hint="eastAsia"/>
          <w:sz w:val="22"/>
          <w:szCs w:val="28"/>
          <w:highlight w:val="none"/>
        </w:rPr>
        <w:t>履约担保的退还</w:t>
      </w:r>
    </w:p>
    <w:p w14:paraId="746C3013">
      <w:pPr>
        <w:spacing w:after="160" w:line="278" w:lineRule="auto"/>
        <w:rPr>
          <w:sz w:val="22"/>
          <w:szCs w:val="28"/>
          <w:highlight w:val="none"/>
        </w:rPr>
      </w:pPr>
      <w:r>
        <w:rPr>
          <w:sz w:val="22"/>
          <w:szCs w:val="28"/>
          <w:highlight w:val="none"/>
        </w:rPr>
        <w:t>履约担保应在监理人向承包人颁发（出具）工程接收证书之日后28天内退还给承包人。发包人不承担承包人与履约担保有关的任何利息或其它类似的费用或者收益。</w:t>
      </w:r>
    </w:p>
    <w:p w14:paraId="0906C207">
      <w:pPr>
        <w:spacing w:after="160" w:line="278" w:lineRule="auto"/>
        <w:rPr>
          <w:sz w:val="22"/>
          <w:szCs w:val="28"/>
          <w:highlight w:val="none"/>
        </w:rPr>
      </w:pPr>
      <w:r>
        <w:rPr>
          <w:sz w:val="22"/>
          <w:szCs w:val="28"/>
          <w:highlight w:val="none"/>
        </w:rPr>
        <w:t xml:space="preserve">4.2.4 </w:t>
      </w:r>
      <w:r>
        <w:rPr>
          <w:rFonts w:hint="eastAsia"/>
          <w:sz w:val="22"/>
          <w:szCs w:val="28"/>
          <w:highlight w:val="none"/>
        </w:rPr>
        <w:t>通知义务</w:t>
      </w:r>
    </w:p>
    <w:p w14:paraId="35936091">
      <w:pPr>
        <w:spacing w:after="160" w:line="278" w:lineRule="auto"/>
        <w:rPr>
          <w:sz w:val="22"/>
          <w:szCs w:val="28"/>
          <w:highlight w:val="none"/>
        </w:rPr>
      </w:pPr>
      <w:r>
        <w:rPr>
          <w:sz w:val="22"/>
          <w:szCs w:val="28"/>
          <w:highlight w:val="none"/>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78EBFE53">
      <w:pPr>
        <w:spacing w:after="160" w:line="278" w:lineRule="auto"/>
        <w:rPr>
          <w:sz w:val="22"/>
          <w:szCs w:val="28"/>
          <w:highlight w:val="none"/>
        </w:rPr>
      </w:pPr>
      <w:bookmarkStart w:id="2406" w:name="_Toc241459677"/>
      <w:bookmarkStart w:id="2407" w:name="_Toc109914480"/>
      <w:bookmarkStart w:id="2408" w:name="_Toc342296436"/>
      <w:bookmarkStart w:id="2409" w:name="_Toc142385703"/>
      <w:bookmarkStart w:id="2410" w:name="_Toc129798415"/>
      <w:bookmarkStart w:id="2411" w:name="_Toc132619164"/>
      <w:r>
        <w:rPr>
          <w:sz w:val="22"/>
          <w:szCs w:val="28"/>
          <w:highlight w:val="none"/>
        </w:rPr>
        <w:t>4.3 分包</w:t>
      </w:r>
      <w:bookmarkEnd w:id="2402"/>
      <w:bookmarkEnd w:id="2403"/>
      <w:bookmarkEnd w:id="2404"/>
      <w:bookmarkEnd w:id="2405"/>
      <w:bookmarkEnd w:id="2406"/>
      <w:bookmarkEnd w:id="2407"/>
      <w:bookmarkEnd w:id="2408"/>
      <w:bookmarkEnd w:id="2409"/>
      <w:bookmarkEnd w:id="2410"/>
      <w:bookmarkEnd w:id="2411"/>
      <w:r>
        <w:rPr>
          <w:sz w:val="22"/>
          <w:szCs w:val="28"/>
          <w:highlight w:val="none"/>
        </w:rPr>
        <w:t xml:space="preserve"> </w:t>
      </w:r>
    </w:p>
    <w:p w14:paraId="21A1FFB2">
      <w:pPr>
        <w:spacing w:after="160" w:line="278" w:lineRule="auto"/>
        <w:rPr>
          <w:sz w:val="22"/>
          <w:szCs w:val="28"/>
          <w:highlight w:val="none"/>
        </w:rPr>
      </w:pPr>
      <w:r>
        <w:rPr>
          <w:sz w:val="22"/>
          <w:szCs w:val="28"/>
          <w:highlight w:val="none"/>
        </w:rPr>
        <w:t>4.3.2发包人同意承包人分包的非主体、非关键性工作见投标函附录。除通用合同条款第4.3款的约定外，分包还应遵循以下约定：</w:t>
      </w:r>
    </w:p>
    <w:p w14:paraId="14BBCAFF">
      <w:pPr>
        <w:spacing w:after="160" w:line="278" w:lineRule="auto"/>
        <w:rPr>
          <w:sz w:val="22"/>
          <w:szCs w:val="28"/>
          <w:highlight w:val="none"/>
        </w:rPr>
      </w:pPr>
      <w:r>
        <w:rPr>
          <w:sz w:val="22"/>
          <w:szCs w:val="28"/>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25ED561">
      <w:pPr>
        <w:spacing w:after="160" w:line="278" w:lineRule="auto"/>
        <w:rPr>
          <w:sz w:val="22"/>
          <w:szCs w:val="28"/>
          <w:highlight w:val="none"/>
        </w:rPr>
      </w:pPr>
      <w:r>
        <w:rPr>
          <w:sz w:val="22"/>
          <w:szCs w:val="28"/>
          <w:highlight w:val="none"/>
        </w:rPr>
        <w:t>（2）发包人在工程量清单中给定暂估价的专业工程，包括从暂列金额开支的专业工程，达到依法应当招标的规模标准的，以及虽未达到规定的规模标准但合同中约定采用分包方式或者招标方式实施的，应由发包人和承包人以招标方式确定专业分包人。除项目审批部门有特别核准外，暂估价的专业工程的招标应当采用与施工总承包同样的招标方式。</w:t>
      </w:r>
    </w:p>
    <w:p w14:paraId="3678F699">
      <w:pPr>
        <w:spacing w:after="160" w:line="278" w:lineRule="auto"/>
        <w:rPr>
          <w:sz w:val="22"/>
          <w:szCs w:val="28"/>
          <w:highlight w:val="none"/>
        </w:rPr>
      </w:pPr>
      <w:r>
        <w:rPr>
          <w:sz w:val="22"/>
          <w:szCs w:val="28"/>
          <w:highlight w:val="none"/>
        </w:rPr>
        <w:t>（3）在相关分包合同签订并报送有关建设行政主管部门备案后7天内，承包人应当将一份副本提交给监理人，承包人应保障分包工作不得再次分包。</w:t>
      </w:r>
    </w:p>
    <w:p w14:paraId="5BBB992A">
      <w:pPr>
        <w:spacing w:after="160" w:line="278" w:lineRule="auto"/>
        <w:rPr>
          <w:sz w:val="22"/>
          <w:szCs w:val="28"/>
          <w:highlight w:val="none"/>
        </w:rPr>
      </w:pPr>
      <w:r>
        <w:rPr>
          <w:sz w:val="22"/>
          <w:szCs w:val="28"/>
          <w:highlight w:val="none"/>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0BF923A">
      <w:pPr>
        <w:spacing w:after="160" w:line="278" w:lineRule="auto"/>
        <w:rPr>
          <w:sz w:val="22"/>
          <w:szCs w:val="28"/>
          <w:highlight w:val="none"/>
        </w:rPr>
      </w:pPr>
      <w:bookmarkStart w:id="2412" w:name="_Toc152042422"/>
      <w:bookmarkStart w:id="2413" w:name="_Toc179632662"/>
      <w:bookmarkStart w:id="2414" w:name="_Toc144974612"/>
      <w:bookmarkStart w:id="2415" w:name="_Toc152045644"/>
      <w:r>
        <w:rPr>
          <w:sz w:val="22"/>
          <w:szCs w:val="28"/>
          <w:highlight w:val="none"/>
        </w:rPr>
        <w:t>（5）未经发包人和监理人审批同意的分包工程和分包人，发包人有权拒绝验收分包工程和支付相应款项，由此引起的承包人费用增加和（或）延误的工期由承包人承担。</w:t>
      </w:r>
    </w:p>
    <w:p w14:paraId="2E742CC7">
      <w:pPr>
        <w:spacing w:after="160" w:line="278" w:lineRule="auto"/>
        <w:rPr>
          <w:sz w:val="22"/>
          <w:szCs w:val="28"/>
          <w:highlight w:val="none"/>
        </w:rPr>
      </w:pPr>
      <w:r>
        <w:rPr>
          <w:rFonts w:hint="eastAsia"/>
          <w:sz w:val="22"/>
          <w:szCs w:val="28"/>
          <w:highlight w:val="none"/>
        </w:rPr>
        <w:t>（6）因分包人的原因导致工程违约或造成人身财产损害的，承包人应当承担连带责任。</w:t>
      </w:r>
    </w:p>
    <w:p w14:paraId="281CEFB5">
      <w:pPr>
        <w:spacing w:after="160" w:line="278" w:lineRule="auto"/>
        <w:rPr>
          <w:sz w:val="22"/>
          <w:szCs w:val="28"/>
          <w:highlight w:val="none"/>
        </w:rPr>
      </w:pPr>
      <w:bookmarkStart w:id="2416" w:name="_Toc132619165"/>
      <w:bookmarkStart w:id="2417" w:name="_Toc109914481"/>
      <w:bookmarkStart w:id="2418" w:name="_Toc142385704"/>
      <w:bookmarkStart w:id="2419" w:name="_Toc129798416"/>
      <w:bookmarkStart w:id="2420" w:name="_Toc342296437"/>
      <w:bookmarkStart w:id="2421" w:name="_Toc241459678"/>
      <w:r>
        <w:rPr>
          <w:sz w:val="22"/>
          <w:szCs w:val="28"/>
          <w:highlight w:val="none"/>
        </w:rPr>
        <w:t>4.5 承包人项目经理</w:t>
      </w:r>
      <w:bookmarkEnd w:id="2412"/>
      <w:bookmarkEnd w:id="2413"/>
      <w:bookmarkEnd w:id="2414"/>
      <w:bookmarkEnd w:id="2415"/>
      <w:bookmarkEnd w:id="2416"/>
      <w:bookmarkEnd w:id="2417"/>
      <w:bookmarkEnd w:id="2418"/>
      <w:bookmarkEnd w:id="2419"/>
      <w:bookmarkEnd w:id="2420"/>
      <w:bookmarkEnd w:id="2421"/>
    </w:p>
    <w:p w14:paraId="6F336321">
      <w:pPr>
        <w:spacing w:after="160" w:line="278" w:lineRule="auto"/>
        <w:rPr>
          <w:sz w:val="22"/>
          <w:szCs w:val="28"/>
          <w:highlight w:val="none"/>
        </w:rPr>
      </w:pPr>
      <w:r>
        <w:rPr>
          <w:sz w:val="22"/>
          <w:szCs w:val="28"/>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A2CFD7B">
      <w:pPr>
        <w:spacing w:after="160" w:line="278" w:lineRule="auto"/>
        <w:rPr>
          <w:sz w:val="22"/>
          <w:szCs w:val="28"/>
          <w:highlight w:val="none"/>
        </w:rPr>
      </w:pPr>
      <w:bookmarkStart w:id="2422" w:name="_Toc109914482"/>
      <w:bookmarkStart w:id="2423" w:name="_Toc132619166"/>
      <w:bookmarkStart w:id="2424" w:name="_Toc144974618"/>
      <w:bookmarkStart w:id="2425" w:name="_Toc152042428"/>
      <w:bookmarkStart w:id="2426" w:name="_Toc142385705"/>
      <w:bookmarkStart w:id="2427" w:name="_Toc152045650"/>
      <w:bookmarkStart w:id="2428" w:name="_Toc179632668"/>
      <w:bookmarkStart w:id="2429" w:name="_Toc241459679"/>
      <w:bookmarkStart w:id="2430" w:name="_Toc342296438"/>
      <w:bookmarkStart w:id="2431" w:name="_Toc129798417"/>
      <w:r>
        <w:rPr>
          <w:sz w:val="22"/>
          <w:szCs w:val="28"/>
          <w:highlight w:val="none"/>
        </w:rPr>
        <w:t>4.11 不利物质条件</w:t>
      </w:r>
      <w:bookmarkEnd w:id="2422"/>
      <w:bookmarkEnd w:id="2423"/>
      <w:bookmarkEnd w:id="2424"/>
      <w:bookmarkEnd w:id="2425"/>
      <w:bookmarkEnd w:id="2426"/>
      <w:bookmarkEnd w:id="2427"/>
      <w:bookmarkEnd w:id="2428"/>
      <w:bookmarkEnd w:id="2429"/>
      <w:bookmarkEnd w:id="2430"/>
      <w:bookmarkEnd w:id="2431"/>
    </w:p>
    <w:p w14:paraId="3C63196A">
      <w:pPr>
        <w:spacing w:after="160" w:line="278" w:lineRule="auto"/>
        <w:rPr>
          <w:sz w:val="22"/>
          <w:szCs w:val="28"/>
          <w:highlight w:val="none"/>
        </w:rPr>
      </w:pPr>
      <w:bookmarkStart w:id="2432" w:name="_Toc152045651"/>
      <w:bookmarkStart w:id="2433" w:name="_Toc179632669"/>
      <w:bookmarkStart w:id="2434" w:name="_Toc152042429"/>
      <w:bookmarkStart w:id="2435" w:name="_Toc144974619"/>
      <w:r>
        <w:rPr>
          <w:sz w:val="22"/>
          <w:szCs w:val="28"/>
          <w:highlight w:val="none"/>
        </w:rPr>
        <w:t>4.11.1不利物质条件的范围：</w:t>
      </w:r>
      <w:r>
        <w:rPr>
          <w:sz w:val="22"/>
          <w:szCs w:val="28"/>
          <w:highlight w:val="none"/>
          <w:u w:val="single"/>
        </w:rPr>
        <w:t>执行通用合同条款</w:t>
      </w:r>
      <w:r>
        <w:rPr>
          <w:sz w:val="22"/>
          <w:szCs w:val="28"/>
          <w:highlight w:val="none"/>
        </w:rPr>
        <w:t xml:space="preserve">。 </w:t>
      </w:r>
    </w:p>
    <w:p w14:paraId="1F1A0FC2">
      <w:pPr>
        <w:spacing w:after="160" w:line="278" w:lineRule="auto"/>
        <w:rPr>
          <w:sz w:val="22"/>
          <w:szCs w:val="28"/>
          <w:highlight w:val="none"/>
        </w:rPr>
      </w:pPr>
      <w:bookmarkStart w:id="2436" w:name="_Toc442365643"/>
      <w:bookmarkStart w:id="2437" w:name="_Toc241459680"/>
      <w:bookmarkStart w:id="2438" w:name="_Toc448758451"/>
      <w:bookmarkStart w:id="2439" w:name="_Toc132619167"/>
      <w:bookmarkStart w:id="2440" w:name="_Toc142385706"/>
      <w:bookmarkStart w:id="2441" w:name="_Toc342296439"/>
      <w:bookmarkStart w:id="2442" w:name="_Toc469660046"/>
      <w:bookmarkStart w:id="2443" w:name="_Toc109914483"/>
      <w:bookmarkStart w:id="2444" w:name="_Toc448758551"/>
      <w:bookmarkStart w:id="2445" w:name="_Toc129798418"/>
      <w:r>
        <w:rPr>
          <w:sz w:val="22"/>
          <w:szCs w:val="28"/>
          <w:highlight w:val="none"/>
        </w:rPr>
        <w:t>5. 材料和工程设备</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680C3082">
      <w:pPr>
        <w:spacing w:after="160" w:line="278" w:lineRule="auto"/>
        <w:rPr>
          <w:sz w:val="22"/>
          <w:szCs w:val="28"/>
          <w:highlight w:val="none"/>
        </w:rPr>
      </w:pPr>
      <w:bookmarkStart w:id="2446" w:name="_Toc142385707"/>
      <w:bookmarkStart w:id="2447" w:name="_Toc132619168"/>
      <w:bookmarkStart w:id="2448" w:name="_Toc144974620"/>
      <w:bookmarkStart w:id="2449" w:name="_Toc241459681"/>
      <w:bookmarkStart w:id="2450" w:name="_Toc152045652"/>
      <w:bookmarkStart w:id="2451" w:name="_Toc342296440"/>
      <w:bookmarkStart w:id="2452" w:name="_Toc179632670"/>
      <w:bookmarkStart w:id="2453" w:name="_Toc109914484"/>
      <w:bookmarkStart w:id="2454" w:name="_Toc129798419"/>
      <w:bookmarkStart w:id="2455" w:name="_Toc152042430"/>
      <w:r>
        <w:rPr>
          <w:sz w:val="22"/>
          <w:szCs w:val="28"/>
          <w:highlight w:val="none"/>
        </w:rPr>
        <w:t>5.1 承包人提供的材料和工程设备</w:t>
      </w:r>
      <w:bookmarkEnd w:id="2446"/>
      <w:bookmarkEnd w:id="2447"/>
      <w:bookmarkEnd w:id="2448"/>
      <w:bookmarkEnd w:id="2449"/>
      <w:bookmarkEnd w:id="2450"/>
      <w:bookmarkEnd w:id="2451"/>
      <w:bookmarkEnd w:id="2452"/>
      <w:bookmarkEnd w:id="2453"/>
      <w:bookmarkEnd w:id="2454"/>
      <w:bookmarkEnd w:id="2455"/>
    </w:p>
    <w:p w14:paraId="6DAD77A5">
      <w:pPr>
        <w:spacing w:after="160" w:line="278" w:lineRule="auto"/>
        <w:rPr>
          <w:sz w:val="22"/>
          <w:szCs w:val="28"/>
          <w:highlight w:val="none"/>
        </w:rPr>
      </w:pPr>
      <w:r>
        <w:rPr>
          <w:sz w:val="22"/>
          <w:szCs w:val="28"/>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14:paraId="143DDD42">
      <w:pPr>
        <w:spacing w:after="160" w:line="278" w:lineRule="auto"/>
        <w:rPr>
          <w:sz w:val="22"/>
          <w:szCs w:val="28"/>
          <w:highlight w:val="none"/>
        </w:rPr>
      </w:pPr>
      <w:r>
        <w:rPr>
          <w:sz w:val="22"/>
          <w:szCs w:val="28"/>
          <w:highlight w:val="none"/>
        </w:rPr>
        <w:t>5.1.2 承包人将由其提供的材料和工程设备的供货人及品种、规格、数量和供货时间等报送监理人审批的期限：材料和工程设备采购前15日内。</w:t>
      </w:r>
    </w:p>
    <w:p w14:paraId="365112D9">
      <w:pPr>
        <w:spacing w:after="160" w:line="278" w:lineRule="auto"/>
        <w:rPr>
          <w:sz w:val="22"/>
          <w:szCs w:val="28"/>
          <w:highlight w:val="none"/>
        </w:rPr>
      </w:pPr>
      <w:bookmarkStart w:id="2456" w:name="_Toc179632671"/>
      <w:bookmarkStart w:id="2457" w:name="_Toc132619169"/>
      <w:bookmarkStart w:id="2458" w:name="_Toc152042431"/>
      <w:bookmarkStart w:id="2459" w:name="_Toc241459682"/>
      <w:bookmarkStart w:id="2460" w:name="_Toc109914485"/>
      <w:bookmarkStart w:id="2461" w:name="_Toc342296441"/>
      <w:bookmarkStart w:id="2462" w:name="_Toc144974621"/>
      <w:bookmarkStart w:id="2463" w:name="_Toc142385708"/>
      <w:bookmarkStart w:id="2464" w:name="_Toc152045653"/>
      <w:bookmarkStart w:id="2465" w:name="_Toc129798420"/>
      <w:r>
        <w:rPr>
          <w:sz w:val="22"/>
          <w:szCs w:val="28"/>
          <w:highlight w:val="none"/>
        </w:rPr>
        <w:t>5.2 发包人提供的材料和工程设备</w:t>
      </w:r>
      <w:bookmarkEnd w:id="2456"/>
      <w:bookmarkEnd w:id="2457"/>
      <w:bookmarkEnd w:id="2458"/>
      <w:bookmarkEnd w:id="2459"/>
      <w:bookmarkEnd w:id="2460"/>
      <w:bookmarkEnd w:id="2461"/>
      <w:bookmarkEnd w:id="2462"/>
      <w:bookmarkEnd w:id="2463"/>
      <w:bookmarkEnd w:id="2464"/>
      <w:bookmarkEnd w:id="2465"/>
    </w:p>
    <w:p w14:paraId="28C7D321">
      <w:pPr>
        <w:spacing w:after="160" w:line="278" w:lineRule="auto"/>
        <w:rPr>
          <w:sz w:val="22"/>
          <w:szCs w:val="28"/>
          <w:highlight w:val="none"/>
        </w:rPr>
      </w:pPr>
      <w:r>
        <w:rPr>
          <w:sz w:val="22"/>
          <w:szCs w:val="28"/>
          <w:highlight w:val="none"/>
        </w:rPr>
        <w:t xml:space="preserve">5.2.1由发包人提供的材料和工程设备验收后，由承包人负责接收、运输和保管。 </w:t>
      </w:r>
    </w:p>
    <w:p w14:paraId="08CA0952">
      <w:pPr>
        <w:spacing w:after="160" w:line="278" w:lineRule="auto"/>
        <w:rPr>
          <w:sz w:val="22"/>
          <w:szCs w:val="28"/>
          <w:highlight w:val="none"/>
        </w:rPr>
      </w:pPr>
      <w:bookmarkStart w:id="2466" w:name="_Toc469660047"/>
      <w:bookmarkStart w:id="2467" w:name="_Toc241459683"/>
      <w:bookmarkStart w:id="2468" w:name="_Toc448758552"/>
      <w:bookmarkStart w:id="2469" w:name="_Toc144974624"/>
      <w:bookmarkStart w:id="2470" w:name="_Toc442365644"/>
      <w:bookmarkStart w:id="2471" w:name="_Toc142385709"/>
      <w:bookmarkStart w:id="2472" w:name="_Toc152045656"/>
      <w:bookmarkStart w:id="2473" w:name="_Toc152042434"/>
      <w:bookmarkStart w:id="2474" w:name="_Toc129798421"/>
      <w:bookmarkStart w:id="2475" w:name="_Toc342296442"/>
      <w:bookmarkStart w:id="2476" w:name="_Toc448758452"/>
      <w:bookmarkStart w:id="2477" w:name="_Toc132619170"/>
      <w:bookmarkStart w:id="2478" w:name="_Toc109914486"/>
      <w:bookmarkStart w:id="2479" w:name="_Toc179632674"/>
      <w:r>
        <w:rPr>
          <w:sz w:val="22"/>
          <w:szCs w:val="28"/>
          <w:highlight w:val="none"/>
        </w:rPr>
        <w:t>6. 施工设备和临时设施</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4FF8D329">
      <w:pPr>
        <w:spacing w:after="160" w:line="278" w:lineRule="auto"/>
        <w:rPr>
          <w:sz w:val="22"/>
          <w:szCs w:val="28"/>
          <w:highlight w:val="none"/>
        </w:rPr>
      </w:pPr>
      <w:bookmarkStart w:id="2480" w:name="_Toc129798422"/>
      <w:bookmarkStart w:id="2481" w:name="_Toc152045657"/>
      <w:bookmarkStart w:id="2482" w:name="_Toc109914487"/>
      <w:bookmarkStart w:id="2483" w:name="_Toc179632675"/>
      <w:bookmarkStart w:id="2484" w:name="_Toc152042435"/>
      <w:bookmarkStart w:id="2485" w:name="_Toc241459684"/>
      <w:bookmarkStart w:id="2486" w:name="_Toc142385710"/>
      <w:bookmarkStart w:id="2487" w:name="_Toc342296443"/>
      <w:bookmarkStart w:id="2488" w:name="_Toc132619171"/>
      <w:bookmarkStart w:id="2489" w:name="_Toc144974625"/>
      <w:r>
        <w:rPr>
          <w:sz w:val="22"/>
          <w:szCs w:val="28"/>
          <w:highlight w:val="none"/>
        </w:rPr>
        <w:t>6.1 承包人提供的施工设备和临时设施</w:t>
      </w:r>
      <w:bookmarkEnd w:id="2480"/>
      <w:bookmarkEnd w:id="2481"/>
      <w:bookmarkEnd w:id="2482"/>
      <w:bookmarkEnd w:id="2483"/>
      <w:bookmarkEnd w:id="2484"/>
      <w:bookmarkEnd w:id="2485"/>
      <w:bookmarkEnd w:id="2486"/>
      <w:bookmarkEnd w:id="2487"/>
      <w:bookmarkEnd w:id="2488"/>
      <w:bookmarkEnd w:id="2489"/>
    </w:p>
    <w:p w14:paraId="7CACB876">
      <w:pPr>
        <w:spacing w:after="160" w:line="278" w:lineRule="auto"/>
        <w:rPr>
          <w:sz w:val="22"/>
          <w:szCs w:val="28"/>
          <w:highlight w:val="none"/>
        </w:rPr>
      </w:pPr>
      <w:r>
        <w:rPr>
          <w:sz w:val="22"/>
          <w:szCs w:val="28"/>
          <w:highlight w:val="none"/>
        </w:rPr>
        <w:t xml:space="preserve">6.1.2发包人承担修建临时设施的费用的范围：施工现场不允许搭建临时设施。 </w:t>
      </w:r>
    </w:p>
    <w:p w14:paraId="6EA2D2F1">
      <w:pPr>
        <w:spacing w:after="160" w:line="278" w:lineRule="auto"/>
        <w:rPr>
          <w:sz w:val="22"/>
          <w:szCs w:val="28"/>
          <w:highlight w:val="none"/>
        </w:rPr>
      </w:pPr>
      <w:r>
        <w:rPr>
          <w:sz w:val="22"/>
          <w:szCs w:val="28"/>
          <w:highlight w:val="none"/>
        </w:rPr>
        <w:t xml:space="preserve">需要发包人办理申请手续和承担相关费用的临时占地：进场材料设备的检验检测费。 </w:t>
      </w:r>
    </w:p>
    <w:p w14:paraId="2AB2730D">
      <w:pPr>
        <w:spacing w:after="160" w:line="278" w:lineRule="auto"/>
        <w:rPr>
          <w:sz w:val="22"/>
          <w:szCs w:val="28"/>
          <w:highlight w:val="none"/>
        </w:rPr>
      </w:pPr>
      <w:bookmarkStart w:id="2490" w:name="_Toc179632676"/>
      <w:bookmarkStart w:id="2491" w:name="_Toc129798423"/>
      <w:bookmarkStart w:id="2492" w:name="_Toc152042436"/>
      <w:bookmarkStart w:id="2493" w:name="_Toc152045658"/>
      <w:bookmarkStart w:id="2494" w:name="_Toc142385711"/>
      <w:bookmarkStart w:id="2495" w:name="_Toc132619172"/>
      <w:bookmarkStart w:id="2496" w:name="_Toc109914488"/>
      <w:bookmarkStart w:id="2497" w:name="_Toc144974626"/>
      <w:bookmarkStart w:id="2498" w:name="_Toc241459685"/>
      <w:bookmarkStart w:id="2499" w:name="_Toc342296444"/>
      <w:r>
        <w:rPr>
          <w:sz w:val="22"/>
          <w:szCs w:val="28"/>
          <w:highlight w:val="none"/>
        </w:rPr>
        <w:t>6.2 发包人提供的施工设备和临时设施</w:t>
      </w:r>
      <w:bookmarkEnd w:id="2490"/>
      <w:bookmarkEnd w:id="2491"/>
      <w:bookmarkEnd w:id="2492"/>
      <w:bookmarkEnd w:id="2493"/>
      <w:bookmarkEnd w:id="2494"/>
      <w:bookmarkEnd w:id="2495"/>
      <w:bookmarkEnd w:id="2496"/>
      <w:bookmarkEnd w:id="2497"/>
      <w:bookmarkEnd w:id="2498"/>
      <w:bookmarkEnd w:id="2499"/>
    </w:p>
    <w:p w14:paraId="47DCE143">
      <w:pPr>
        <w:spacing w:after="160" w:line="278" w:lineRule="auto"/>
        <w:rPr>
          <w:sz w:val="22"/>
          <w:szCs w:val="28"/>
          <w:highlight w:val="none"/>
        </w:rPr>
      </w:pPr>
      <w:r>
        <w:rPr>
          <w:sz w:val="22"/>
          <w:szCs w:val="28"/>
          <w:highlight w:val="none"/>
        </w:rPr>
        <w:t>发包人提供的施工设备和临时设施：不提供。</w:t>
      </w:r>
    </w:p>
    <w:p w14:paraId="14F3182C">
      <w:pPr>
        <w:spacing w:after="160" w:line="278" w:lineRule="auto"/>
        <w:rPr>
          <w:sz w:val="22"/>
          <w:szCs w:val="28"/>
          <w:highlight w:val="none"/>
        </w:rPr>
      </w:pPr>
      <w:r>
        <w:rPr>
          <w:sz w:val="22"/>
          <w:szCs w:val="28"/>
          <w:highlight w:val="none"/>
        </w:rPr>
        <w:t>发包人提供的施工设备和临时设施的运行、维护、拆除、清运费用的承担人：</w:t>
      </w:r>
      <w:r>
        <w:rPr>
          <w:sz w:val="22"/>
          <w:szCs w:val="28"/>
          <w:highlight w:val="none"/>
          <w:u w:val="single"/>
        </w:rPr>
        <w:t xml:space="preserve"> /</w:t>
      </w:r>
      <w:r>
        <w:rPr>
          <w:sz w:val="22"/>
          <w:szCs w:val="28"/>
          <w:highlight w:val="none"/>
        </w:rPr>
        <w:t xml:space="preserve"> 。</w:t>
      </w:r>
    </w:p>
    <w:p w14:paraId="6067525E">
      <w:pPr>
        <w:spacing w:after="160" w:line="278" w:lineRule="auto"/>
        <w:rPr>
          <w:sz w:val="22"/>
          <w:szCs w:val="28"/>
          <w:highlight w:val="none"/>
        </w:rPr>
      </w:pPr>
      <w:bookmarkStart w:id="2500" w:name="_Toc152045660"/>
      <w:bookmarkStart w:id="2501" w:name="_Toc132619173"/>
      <w:bookmarkStart w:id="2502" w:name="_Toc129798424"/>
      <w:bookmarkStart w:id="2503" w:name="_Toc109914489"/>
      <w:bookmarkStart w:id="2504" w:name="_Toc144974628"/>
      <w:bookmarkStart w:id="2505" w:name="_Toc152042438"/>
      <w:bookmarkStart w:id="2506" w:name="_Toc142385712"/>
      <w:bookmarkStart w:id="2507" w:name="_Toc179632678"/>
      <w:bookmarkStart w:id="2508" w:name="_Toc342296445"/>
      <w:bookmarkStart w:id="2509" w:name="_Toc241459686"/>
      <w:r>
        <w:rPr>
          <w:sz w:val="22"/>
          <w:szCs w:val="28"/>
          <w:highlight w:val="none"/>
        </w:rPr>
        <w:t>6.4 施工设备和临时设施专用于合同工程</w:t>
      </w:r>
      <w:bookmarkEnd w:id="2500"/>
      <w:bookmarkEnd w:id="2501"/>
      <w:bookmarkEnd w:id="2502"/>
      <w:bookmarkEnd w:id="2503"/>
      <w:bookmarkEnd w:id="2504"/>
      <w:bookmarkEnd w:id="2505"/>
      <w:bookmarkEnd w:id="2506"/>
      <w:bookmarkEnd w:id="2507"/>
      <w:bookmarkEnd w:id="2508"/>
      <w:bookmarkEnd w:id="2509"/>
    </w:p>
    <w:p w14:paraId="3F2AE8FE">
      <w:pPr>
        <w:spacing w:after="160" w:line="278" w:lineRule="auto"/>
        <w:rPr>
          <w:sz w:val="22"/>
          <w:szCs w:val="28"/>
          <w:highlight w:val="none"/>
        </w:rPr>
      </w:pPr>
      <w:r>
        <w:rPr>
          <w:sz w:val="22"/>
          <w:szCs w:val="28"/>
          <w:highlight w:val="none"/>
        </w:rPr>
        <w:t>6.4.1除为专用合同条款第4.1.8项约定的其他独立承包人和监理人指示的他人提供条件外,承包人运入施工场地的所有施工设备以及在施工场地建设的临时设施仅限于用于合同工程。</w:t>
      </w:r>
    </w:p>
    <w:p w14:paraId="6E6407E8">
      <w:pPr>
        <w:spacing w:after="160" w:line="278" w:lineRule="auto"/>
        <w:rPr>
          <w:sz w:val="22"/>
          <w:szCs w:val="28"/>
          <w:highlight w:val="none"/>
        </w:rPr>
      </w:pPr>
      <w:bookmarkStart w:id="2510" w:name="_Toc342296446"/>
      <w:bookmarkStart w:id="2511" w:name="_Toc179632679"/>
      <w:bookmarkStart w:id="2512" w:name="_Toc448758553"/>
      <w:bookmarkStart w:id="2513" w:name="_Toc109914490"/>
      <w:bookmarkStart w:id="2514" w:name="_Toc448758453"/>
      <w:bookmarkStart w:id="2515" w:name="_Toc142385713"/>
      <w:bookmarkStart w:id="2516" w:name="_Toc129798425"/>
      <w:bookmarkStart w:id="2517" w:name="_Toc442365645"/>
      <w:bookmarkStart w:id="2518" w:name="_Toc152045661"/>
      <w:bookmarkStart w:id="2519" w:name="_Toc469660048"/>
      <w:bookmarkStart w:id="2520" w:name="_Toc132619174"/>
      <w:bookmarkStart w:id="2521" w:name="_Toc241459687"/>
      <w:bookmarkStart w:id="2522" w:name="_Toc144974629"/>
      <w:bookmarkStart w:id="2523" w:name="_Toc152042439"/>
      <w:r>
        <w:rPr>
          <w:sz w:val="22"/>
          <w:szCs w:val="28"/>
          <w:highlight w:val="none"/>
        </w:rPr>
        <w:t>7. 交通运输</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14:paraId="5E308BAB">
      <w:pPr>
        <w:spacing w:after="160" w:line="278" w:lineRule="auto"/>
        <w:rPr>
          <w:sz w:val="22"/>
          <w:szCs w:val="28"/>
          <w:highlight w:val="none"/>
        </w:rPr>
      </w:pPr>
      <w:bookmarkStart w:id="2524" w:name="_Toc144974630"/>
      <w:bookmarkStart w:id="2525" w:name="_Toc152045662"/>
      <w:bookmarkStart w:id="2526" w:name="_Toc109914491"/>
      <w:bookmarkStart w:id="2527" w:name="_Toc129798426"/>
      <w:bookmarkStart w:id="2528" w:name="_Toc142385714"/>
      <w:bookmarkStart w:id="2529" w:name="_Toc342296447"/>
      <w:bookmarkStart w:id="2530" w:name="_Toc241459688"/>
      <w:bookmarkStart w:id="2531" w:name="_Toc152042440"/>
      <w:bookmarkStart w:id="2532" w:name="_Toc179632680"/>
      <w:bookmarkStart w:id="2533" w:name="_Toc132619175"/>
      <w:r>
        <w:rPr>
          <w:sz w:val="22"/>
          <w:szCs w:val="28"/>
          <w:highlight w:val="none"/>
        </w:rPr>
        <w:t>7.1 道路通行权和场外设施</w:t>
      </w:r>
      <w:bookmarkEnd w:id="2524"/>
      <w:bookmarkEnd w:id="2525"/>
      <w:bookmarkEnd w:id="2526"/>
      <w:bookmarkEnd w:id="2527"/>
      <w:bookmarkEnd w:id="2528"/>
      <w:bookmarkEnd w:id="2529"/>
      <w:bookmarkEnd w:id="2530"/>
      <w:bookmarkEnd w:id="2531"/>
      <w:bookmarkEnd w:id="2532"/>
      <w:bookmarkEnd w:id="2533"/>
    </w:p>
    <w:p w14:paraId="2D4B0ED0">
      <w:pPr>
        <w:spacing w:after="160" w:line="278" w:lineRule="auto"/>
        <w:rPr>
          <w:sz w:val="22"/>
          <w:szCs w:val="28"/>
          <w:highlight w:val="none"/>
        </w:rPr>
      </w:pPr>
      <w:r>
        <w:rPr>
          <w:sz w:val="22"/>
          <w:szCs w:val="28"/>
          <w:highlight w:val="none"/>
        </w:rPr>
        <w:t>取得道路通行权、场外设施修建权的办理人</w:t>
      </w:r>
      <w:r>
        <w:rPr>
          <w:rFonts w:hint="eastAsia"/>
          <w:sz w:val="22"/>
          <w:szCs w:val="28"/>
          <w:highlight w:val="none"/>
        </w:rPr>
        <w:t>：</w:t>
      </w:r>
      <w:r>
        <w:rPr>
          <w:sz w:val="22"/>
          <w:szCs w:val="28"/>
          <w:highlight w:val="none"/>
          <w:u w:val="single"/>
        </w:rPr>
        <w:t>承包人</w:t>
      </w:r>
      <w:r>
        <w:rPr>
          <w:sz w:val="22"/>
          <w:szCs w:val="28"/>
          <w:highlight w:val="none"/>
        </w:rPr>
        <w:t>，其相关费用由发包人承担。</w:t>
      </w:r>
    </w:p>
    <w:p w14:paraId="0CA5E634">
      <w:pPr>
        <w:spacing w:after="160" w:line="278" w:lineRule="auto"/>
        <w:rPr>
          <w:sz w:val="22"/>
          <w:szCs w:val="28"/>
          <w:highlight w:val="none"/>
        </w:rPr>
      </w:pPr>
      <w:bookmarkStart w:id="2534" w:name="_Toc179632681"/>
      <w:bookmarkStart w:id="2535" w:name="_Toc241459689"/>
      <w:bookmarkStart w:id="2536" w:name="_Toc109914492"/>
      <w:bookmarkStart w:id="2537" w:name="_Toc342296448"/>
      <w:bookmarkStart w:id="2538" w:name="_Toc152042441"/>
      <w:bookmarkStart w:id="2539" w:name="_Toc129798427"/>
      <w:bookmarkStart w:id="2540" w:name="_Toc152045663"/>
      <w:bookmarkStart w:id="2541" w:name="_Toc142385715"/>
      <w:bookmarkStart w:id="2542" w:name="_Toc132619176"/>
      <w:bookmarkStart w:id="2543" w:name="_Toc144974631"/>
      <w:r>
        <w:rPr>
          <w:sz w:val="22"/>
          <w:szCs w:val="28"/>
          <w:highlight w:val="none"/>
        </w:rPr>
        <w:t>7.2 场内施工道路</w:t>
      </w:r>
      <w:bookmarkEnd w:id="2534"/>
      <w:bookmarkEnd w:id="2535"/>
      <w:bookmarkEnd w:id="2536"/>
      <w:bookmarkEnd w:id="2537"/>
      <w:bookmarkEnd w:id="2538"/>
      <w:bookmarkEnd w:id="2539"/>
      <w:bookmarkEnd w:id="2540"/>
      <w:bookmarkEnd w:id="2541"/>
      <w:bookmarkEnd w:id="2542"/>
      <w:bookmarkEnd w:id="2543"/>
    </w:p>
    <w:p w14:paraId="1E888DC3">
      <w:pPr>
        <w:spacing w:after="160" w:line="278" w:lineRule="auto"/>
        <w:rPr>
          <w:sz w:val="22"/>
          <w:szCs w:val="28"/>
          <w:highlight w:val="none"/>
        </w:rPr>
      </w:pPr>
      <w:r>
        <w:rPr>
          <w:sz w:val="22"/>
          <w:szCs w:val="28"/>
          <w:highlight w:val="none"/>
        </w:rPr>
        <w:t>7.2.1施工所需的场内临时道路和交通设施的修建、维护、养护和管理人：</w:t>
      </w:r>
      <w:r>
        <w:rPr>
          <w:sz w:val="22"/>
          <w:szCs w:val="28"/>
          <w:highlight w:val="none"/>
          <w:u w:val="single"/>
        </w:rPr>
        <w:t>承包人</w:t>
      </w:r>
      <w:r>
        <w:rPr>
          <w:sz w:val="22"/>
          <w:szCs w:val="28"/>
          <w:highlight w:val="none"/>
        </w:rPr>
        <w:t>，相关费用由承包人承担。</w:t>
      </w:r>
    </w:p>
    <w:p w14:paraId="06283643">
      <w:pPr>
        <w:spacing w:after="160" w:line="278" w:lineRule="auto"/>
        <w:rPr>
          <w:sz w:val="22"/>
          <w:szCs w:val="28"/>
          <w:highlight w:val="none"/>
        </w:rPr>
      </w:pPr>
      <w:r>
        <w:rPr>
          <w:sz w:val="22"/>
          <w:szCs w:val="28"/>
          <w:highlight w:val="none"/>
        </w:rPr>
        <w:t>7.2.2发包人和监理人有权无偿使用承包人修建的临时道路和交通设施，不需要交纳任何费用。</w:t>
      </w:r>
    </w:p>
    <w:p w14:paraId="361EF5BD">
      <w:pPr>
        <w:spacing w:after="160" w:line="278" w:lineRule="auto"/>
        <w:rPr>
          <w:sz w:val="22"/>
          <w:szCs w:val="28"/>
          <w:highlight w:val="none"/>
        </w:rPr>
      </w:pPr>
      <w:bookmarkStart w:id="2544" w:name="_Toc109914493"/>
      <w:bookmarkStart w:id="2545" w:name="_Toc142385716"/>
      <w:bookmarkStart w:id="2546" w:name="_Toc132619177"/>
      <w:bookmarkStart w:id="2547" w:name="_Toc152042443"/>
      <w:bookmarkStart w:id="2548" w:name="_Toc179632683"/>
      <w:bookmarkStart w:id="2549" w:name="_Toc144974633"/>
      <w:bookmarkStart w:id="2550" w:name="_Toc342296449"/>
      <w:bookmarkStart w:id="2551" w:name="_Toc129798428"/>
      <w:bookmarkStart w:id="2552" w:name="_Toc241459690"/>
      <w:bookmarkStart w:id="2553" w:name="_Toc152045665"/>
      <w:r>
        <w:rPr>
          <w:sz w:val="22"/>
          <w:szCs w:val="28"/>
          <w:highlight w:val="none"/>
        </w:rPr>
        <w:t>7.4 超大件和超重件的运输</w:t>
      </w:r>
      <w:bookmarkEnd w:id="2544"/>
      <w:bookmarkEnd w:id="2545"/>
      <w:bookmarkEnd w:id="2546"/>
      <w:bookmarkEnd w:id="2547"/>
      <w:bookmarkEnd w:id="2548"/>
      <w:bookmarkEnd w:id="2549"/>
      <w:bookmarkEnd w:id="2550"/>
      <w:bookmarkEnd w:id="2551"/>
      <w:bookmarkEnd w:id="2552"/>
      <w:bookmarkEnd w:id="2553"/>
    </w:p>
    <w:p w14:paraId="0C1104E3">
      <w:pPr>
        <w:spacing w:after="160" w:line="278" w:lineRule="auto"/>
        <w:rPr>
          <w:sz w:val="22"/>
          <w:szCs w:val="28"/>
          <w:highlight w:val="none"/>
        </w:rPr>
      </w:pPr>
      <w:bookmarkStart w:id="2554" w:name="_Toc152045666"/>
      <w:bookmarkStart w:id="2555" w:name="_Toc152042444"/>
      <w:bookmarkStart w:id="2556" w:name="_Toc144974634"/>
      <w:bookmarkStart w:id="2557" w:name="_Toc179632684"/>
      <w:r>
        <w:rPr>
          <w:sz w:val="22"/>
          <w:szCs w:val="28"/>
          <w:highlight w:val="none"/>
        </w:rPr>
        <w:t>运输超大件或超重件所需的道路和桥梁临时加固改造等费用的承担人：承包人承担。</w:t>
      </w:r>
    </w:p>
    <w:bookmarkEnd w:id="2554"/>
    <w:bookmarkEnd w:id="2555"/>
    <w:bookmarkEnd w:id="2556"/>
    <w:bookmarkEnd w:id="2557"/>
    <w:p w14:paraId="03FD6A22">
      <w:pPr>
        <w:spacing w:after="160" w:line="278" w:lineRule="auto"/>
        <w:rPr>
          <w:sz w:val="22"/>
          <w:szCs w:val="28"/>
          <w:highlight w:val="none"/>
        </w:rPr>
      </w:pPr>
      <w:bookmarkStart w:id="2558" w:name="_Toc109914494"/>
      <w:bookmarkStart w:id="2559" w:name="_Toc152042446"/>
      <w:bookmarkStart w:id="2560" w:name="_Toc448758554"/>
      <w:bookmarkStart w:id="2561" w:name="_Toc241459691"/>
      <w:bookmarkStart w:id="2562" w:name="_Toc179632686"/>
      <w:bookmarkStart w:id="2563" w:name="_Toc129798429"/>
      <w:bookmarkStart w:id="2564" w:name="_Toc342296450"/>
      <w:bookmarkStart w:id="2565" w:name="_Toc448758454"/>
      <w:bookmarkStart w:id="2566" w:name="_Toc144974636"/>
      <w:bookmarkStart w:id="2567" w:name="_Toc469660049"/>
      <w:bookmarkStart w:id="2568" w:name="_Toc132619178"/>
      <w:bookmarkStart w:id="2569" w:name="_Toc152045668"/>
      <w:bookmarkStart w:id="2570" w:name="_Toc442365646"/>
      <w:bookmarkStart w:id="2571" w:name="_Toc142385717"/>
      <w:r>
        <w:rPr>
          <w:sz w:val="22"/>
          <w:szCs w:val="28"/>
          <w:highlight w:val="none"/>
        </w:rPr>
        <w:t>8. 测量放线</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20912400">
      <w:pPr>
        <w:spacing w:after="160" w:line="278" w:lineRule="auto"/>
        <w:rPr>
          <w:sz w:val="22"/>
          <w:szCs w:val="28"/>
          <w:highlight w:val="none"/>
        </w:rPr>
      </w:pPr>
      <w:bookmarkStart w:id="2572" w:name="_Toc152042447"/>
      <w:bookmarkStart w:id="2573" w:name="_Toc152045669"/>
      <w:bookmarkStart w:id="2574" w:name="_Toc342296451"/>
      <w:bookmarkStart w:id="2575" w:name="_Toc179632687"/>
      <w:bookmarkStart w:id="2576" w:name="_Toc129798430"/>
      <w:bookmarkStart w:id="2577" w:name="_Toc109914495"/>
      <w:bookmarkStart w:id="2578" w:name="_Toc132619179"/>
      <w:bookmarkStart w:id="2579" w:name="_Toc241459692"/>
      <w:bookmarkStart w:id="2580" w:name="_Toc142385718"/>
      <w:bookmarkStart w:id="2581" w:name="_Toc144974637"/>
      <w:r>
        <w:rPr>
          <w:sz w:val="22"/>
          <w:szCs w:val="28"/>
          <w:highlight w:val="none"/>
        </w:rPr>
        <w:t>8.1 施工控制网</w:t>
      </w:r>
      <w:bookmarkEnd w:id="2572"/>
      <w:bookmarkEnd w:id="2573"/>
      <w:bookmarkEnd w:id="2574"/>
      <w:bookmarkEnd w:id="2575"/>
      <w:bookmarkEnd w:id="2576"/>
      <w:bookmarkEnd w:id="2577"/>
      <w:bookmarkEnd w:id="2578"/>
      <w:bookmarkEnd w:id="2579"/>
      <w:bookmarkEnd w:id="2580"/>
      <w:bookmarkEnd w:id="2581"/>
    </w:p>
    <w:p w14:paraId="45F43614">
      <w:pPr>
        <w:spacing w:after="160" w:line="278" w:lineRule="auto"/>
        <w:rPr>
          <w:sz w:val="22"/>
          <w:szCs w:val="28"/>
          <w:highlight w:val="none"/>
        </w:rPr>
      </w:pPr>
      <w:r>
        <w:rPr>
          <w:sz w:val="22"/>
          <w:szCs w:val="28"/>
          <w:highlight w:val="none"/>
        </w:rPr>
        <w:t xml:space="preserve">8.1.1发包人通过监理人提供测量基准点、基准线和水准点及其书面资料的期限： 合同签订后7日内 （如有）。 </w:t>
      </w:r>
    </w:p>
    <w:p w14:paraId="758DD82E">
      <w:pPr>
        <w:spacing w:after="160" w:line="278" w:lineRule="auto"/>
        <w:rPr>
          <w:sz w:val="22"/>
          <w:szCs w:val="28"/>
          <w:highlight w:val="none"/>
        </w:rPr>
      </w:pPr>
      <w:r>
        <w:rPr>
          <w:sz w:val="22"/>
          <w:szCs w:val="28"/>
          <w:highlight w:val="none"/>
        </w:rPr>
        <w:t xml:space="preserve">承包人测设施工控制网的要求：由承包人依据监理人提供的测量基准点、基准线和水准点以及国家的工程测量技术规范和合同要求的工程精度，测设自己的施工控制网  。 </w:t>
      </w:r>
    </w:p>
    <w:p w14:paraId="02F198F7">
      <w:pPr>
        <w:spacing w:after="160" w:line="278" w:lineRule="auto"/>
        <w:rPr>
          <w:sz w:val="22"/>
          <w:szCs w:val="28"/>
          <w:highlight w:val="none"/>
        </w:rPr>
      </w:pPr>
      <w:r>
        <w:rPr>
          <w:sz w:val="22"/>
          <w:szCs w:val="28"/>
          <w:highlight w:val="none"/>
        </w:rPr>
        <w:t xml:space="preserve">承包人将施工控制网资料报送监理人审批的期限：在收到监理人按照通用合同条款第11.1.1项发出的开工通知后7日内。 </w:t>
      </w:r>
    </w:p>
    <w:p w14:paraId="206A13E7">
      <w:pPr>
        <w:spacing w:after="160" w:line="278" w:lineRule="auto"/>
        <w:rPr>
          <w:sz w:val="22"/>
          <w:szCs w:val="28"/>
          <w:highlight w:val="none"/>
        </w:rPr>
      </w:pPr>
      <w:bookmarkStart w:id="2582" w:name="_Toc442365647"/>
      <w:bookmarkStart w:id="2583" w:name="_Toc179632691"/>
      <w:bookmarkStart w:id="2584" w:name="_Toc448758555"/>
      <w:bookmarkStart w:id="2585" w:name="_Toc142385719"/>
      <w:bookmarkStart w:id="2586" w:name="_Toc342296452"/>
      <w:bookmarkStart w:id="2587" w:name="_Toc448758455"/>
      <w:bookmarkStart w:id="2588" w:name="_Toc152042451"/>
      <w:bookmarkStart w:id="2589" w:name="_Toc241459693"/>
      <w:bookmarkStart w:id="2590" w:name="_Toc109914496"/>
      <w:bookmarkStart w:id="2591" w:name="_Toc144974641"/>
      <w:bookmarkStart w:id="2592" w:name="_Toc152045673"/>
      <w:bookmarkStart w:id="2593" w:name="_Toc469660050"/>
      <w:bookmarkStart w:id="2594" w:name="_Toc129798431"/>
      <w:bookmarkStart w:id="2595" w:name="_Toc132619180"/>
      <w:r>
        <w:rPr>
          <w:sz w:val="22"/>
          <w:szCs w:val="28"/>
          <w:highlight w:val="none"/>
        </w:rPr>
        <w:t>9. 施工安全、治安保卫和环境保护</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1AB8EF10">
      <w:pPr>
        <w:spacing w:after="160" w:line="278" w:lineRule="auto"/>
        <w:rPr>
          <w:sz w:val="22"/>
          <w:szCs w:val="28"/>
          <w:highlight w:val="none"/>
        </w:rPr>
      </w:pPr>
      <w:bookmarkStart w:id="2596" w:name="_Toc241459694"/>
      <w:bookmarkStart w:id="2597" w:name="_Toc109914497"/>
      <w:bookmarkStart w:id="2598" w:name="_Toc179632693"/>
      <w:bookmarkStart w:id="2599" w:name="_Toc132619181"/>
      <w:bookmarkStart w:id="2600" w:name="_Toc142385720"/>
      <w:bookmarkStart w:id="2601" w:name="_Toc129798432"/>
      <w:bookmarkStart w:id="2602" w:name="_Toc152042453"/>
      <w:bookmarkStart w:id="2603" w:name="_Toc342296453"/>
      <w:bookmarkStart w:id="2604" w:name="_Toc152045675"/>
      <w:bookmarkStart w:id="2605" w:name="_Toc144974643"/>
      <w:r>
        <w:rPr>
          <w:sz w:val="22"/>
          <w:szCs w:val="28"/>
          <w:highlight w:val="none"/>
        </w:rPr>
        <w:t>9.2 承包人的施工安全责任</w:t>
      </w:r>
      <w:bookmarkEnd w:id="2596"/>
      <w:bookmarkEnd w:id="2597"/>
      <w:bookmarkEnd w:id="2598"/>
      <w:bookmarkEnd w:id="2599"/>
      <w:bookmarkEnd w:id="2600"/>
      <w:bookmarkEnd w:id="2601"/>
      <w:bookmarkEnd w:id="2602"/>
      <w:bookmarkEnd w:id="2603"/>
      <w:bookmarkEnd w:id="2604"/>
      <w:bookmarkEnd w:id="2605"/>
    </w:p>
    <w:p w14:paraId="69C43EF9">
      <w:pPr>
        <w:spacing w:after="160" w:line="278" w:lineRule="auto"/>
        <w:rPr>
          <w:sz w:val="22"/>
          <w:szCs w:val="28"/>
          <w:highlight w:val="none"/>
        </w:rPr>
      </w:pPr>
      <w:r>
        <w:rPr>
          <w:sz w:val="22"/>
          <w:szCs w:val="28"/>
          <w:highlight w:val="none"/>
        </w:rPr>
        <w:t>9.2.1承包人向监理人报送施工安全措施计划的期限：在收到监理人按照通用合同条款第11.1.1项发出的开工通知后7日内。</w:t>
      </w:r>
    </w:p>
    <w:p w14:paraId="62FEAE5C">
      <w:pPr>
        <w:spacing w:after="160" w:line="278" w:lineRule="auto"/>
        <w:rPr>
          <w:sz w:val="22"/>
          <w:szCs w:val="28"/>
          <w:highlight w:val="none"/>
        </w:rPr>
      </w:pPr>
      <w:r>
        <w:rPr>
          <w:sz w:val="22"/>
          <w:szCs w:val="28"/>
          <w:highlight w:val="none"/>
        </w:rPr>
        <w:t>监理人收到承包人报送的施工安全措施计划后应当在7天内给予批复。</w:t>
      </w:r>
    </w:p>
    <w:p w14:paraId="78CDBD6F">
      <w:pPr>
        <w:spacing w:after="160" w:line="278" w:lineRule="auto"/>
        <w:rPr>
          <w:sz w:val="22"/>
          <w:szCs w:val="28"/>
          <w:highlight w:val="none"/>
        </w:rPr>
      </w:pPr>
      <w:r>
        <w:rPr>
          <w:rFonts w:hint="eastAsia"/>
          <w:sz w:val="22"/>
          <w:szCs w:val="28"/>
          <w:highlight w:val="none"/>
        </w:rPr>
        <w:t>9.2.</w:t>
      </w:r>
      <w:r>
        <w:rPr>
          <w:sz w:val="22"/>
          <w:szCs w:val="28"/>
          <w:highlight w:val="none"/>
        </w:rPr>
        <w:t>2</w:t>
      </w:r>
      <w:r>
        <w:rPr>
          <w:rFonts w:hint="eastAsia"/>
          <w:sz w:val="22"/>
          <w:szCs w:val="28"/>
          <w:highlight w:val="none"/>
        </w:rPr>
        <w:t xml:space="preserve"> 承包人应签署《施工安全协议书》（第七节），并严格按照第七节《施工安全协议书》中内容执行。</w:t>
      </w:r>
    </w:p>
    <w:p w14:paraId="4B61E70A">
      <w:pPr>
        <w:spacing w:after="160" w:line="278" w:lineRule="auto"/>
        <w:rPr>
          <w:sz w:val="22"/>
          <w:szCs w:val="28"/>
          <w:highlight w:val="none"/>
        </w:rPr>
      </w:pPr>
      <w:r>
        <w:rPr>
          <w:sz w:val="22"/>
          <w:szCs w:val="28"/>
          <w:highlight w:val="none"/>
        </w:rPr>
        <w:t>9.2.3施工场</w:t>
      </w:r>
      <w:r>
        <w:rPr>
          <w:rFonts w:hint="eastAsia"/>
          <w:sz w:val="22"/>
          <w:szCs w:val="28"/>
          <w:highlight w:val="none"/>
        </w:rPr>
        <w:t>安全</w:t>
      </w:r>
      <w:r>
        <w:rPr>
          <w:sz w:val="22"/>
          <w:szCs w:val="28"/>
          <w:highlight w:val="none"/>
        </w:rPr>
        <w:t>事件紧急预案的编制责任人：</w:t>
      </w:r>
      <w:r>
        <w:rPr>
          <w:sz w:val="22"/>
          <w:szCs w:val="28"/>
          <w:highlight w:val="none"/>
          <w:u w:val="single"/>
        </w:rPr>
        <w:t>承包人</w:t>
      </w:r>
      <w:r>
        <w:rPr>
          <w:sz w:val="22"/>
          <w:szCs w:val="28"/>
          <w:highlight w:val="none"/>
        </w:rPr>
        <w:t>。</w:t>
      </w:r>
    </w:p>
    <w:p w14:paraId="7694746F">
      <w:pPr>
        <w:spacing w:after="160" w:line="278" w:lineRule="auto"/>
        <w:rPr>
          <w:sz w:val="22"/>
          <w:szCs w:val="28"/>
          <w:highlight w:val="none"/>
        </w:rPr>
      </w:pPr>
      <w:bookmarkStart w:id="2606" w:name="_Toc142385721"/>
      <w:bookmarkStart w:id="2607" w:name="_Toc144974644"/>
      <w:bookmarkStart w:id="2608" w:name="_Toc132619182"/>
      <w:bookmarkStart w:id="2609" w:name="_Toc109914498"/>
      <w:bookmarkStart w:id="2610" w:name="_Toc241459695"/>
      <w:bookmarkStart w:id="2611" w:name="_Toc129798433"/>
      <w:bookmarkStart w:id="2612" w:name="_Toc152042454"/>
      <w:bookmarkStart w:id="2613" w:name="_Toc179632694"/>
      <w:bookmarkStart w:id="2614" w:name="_Toc342296454"/>
      <w:bookmarkStart w:id="2615" w:name="_Toc152045676"/>
      <w:r>
        <w:rPr>
          <w:sz w:val="22"/>
          <w:szCs w:val="28"/>
          <w:highlight w:val="none"/>
        </w:rPr>
        <w:t>9.3 治安保卫</w:t>
      </w:r>
      <w:bookmarkEnd w:id="2606"/>
      <w:bookmarkEnd w:id="2607"/>
      <w:bookmarkEnd w:id="2608"/>
      <w:bookmarkEnd w:id="2609"/>
      <w:bookmarkEnd w:id="2610"/>
      <w:bookmarkEnd w:id="2611"/>
      <w:bookmarkEnd w:id="2612"/>
      <w:bookmarkEnd w:id="2613"/>
      <w:bookmarkEnd w:id="2614"/>
      <w:bookmarkEnd w:id="2615"/>
    </w:p>
    <w:p w14:paraId="58383CC5">
      <w:pPr>
        <w:spacing w:after="160" w:line="278" w:lineRule="auto"/>
        <w:rPr>
          <w:sz w:val="22"/>
          <w:szCs w:val="28"/>
          <w:highlight w:val="none"/>
        </w:rPr>
      </w:pPr>
      <w:bookmarkStart w:id="2616" w:name="_Toc144974645"/>
      <w:bookmarkStart w:id="2617" w:name="_Toc152045677"/>
      <w:bookmarkStart w:id="2618" w:name="_Toc152042455"/>
      <w:bookmarkStart w:id="2619" w:name="_Toc179632695"/>
      <w:r>
        <w:rPr>
          <w:sz w:val="22"/>
          <w:szCs w:val="28"/>
          <w:highlight w:val="none"/>
        </w:rPr>
        <w:t>9.3.1承包人应当负责统一管理施工场地的治安保卫事项，履行合同工程的治安保卫职责。</w:t>
      </w:r>
    </w:p>
    <w:p w14:paraId="237D5541">
      <w:pPr>
        <w:spacing w:after="160" w:line="278" w:lineRule="auto"/>
        <w:rPr>
          <w:sz w:val="22"/>
          <w:szCs w:val="28"/>
          <w:highlight w:val="none"/>
        </w:rPr>
      </w:pPr>
      <w:r>
        <w:rPr>
          <w:sz w:val="22"/>
          <w:szCs w:val="28"/>
          <w:highlight w:val="none"/>
        </w:rPr>
        <w:t>9.3.3施工场地治安管理计划和突发治安事件紧急预案的编制责任人：</w:t>
      </w:r>
      <w:r>
        <w:rPr>
          <w:sz w:val="22"/>
          <w:szCs w:val="28"/>
          <w:highlight w:val="none"/>
          <w:u w:val="single"/>
        </w:rPr>
        <w:t>承包人</w:t>
      </w:r>
      <w:r>
        <w:rPr>
          <w:sz w:val="22"/>
          <w:szCs w:val="28"/>
          <w:highlight w:val="none"/>
        </w:rPr>
        <w:t>。</w:t>
      </w:r>
    </w:p>
    <w:bookmarkEnd w:id="2616"/>
    <w:bookmarkEnd w:id="2617"/>
    <w:bookmarkEnd w:id="2618"/>
    <w:bookmarkEnd w:id="2619"/>
    <w:p w14:paraId="5B2B0DF2">
      <w:pPr>
        <w:spacing w:after="160" w:line="278" w:lineRule="auto"/>
        <w:rPr>
          <w:sz w:val="22"/>
          <w:szCs w:val="28"/>
          <w:highlight w:val="none"/>
        </w:rPr>
      </w:pPr>
      <w:bookmarkStart w:id="2620" w:name="_Toc142385722"/>
      <w:bookmarkStart w:id="2621" w:name="_Toc241459696"/>
      <w:bookmarkStart w:id="2622" w:name="_Toc132619183"/>
      <w:bookmarkStart w:id="2623" w:name="_Toc129798434"/>
      <w:bookmarkStart w:id="2624" w:name="_Toc109914499"/>
      <w:bookmarkStart w:id="2625" w:name="_Toc342296455"/>
      <w:bookmarkStart w:id="2626" w:name="_Toc152045679"/>
      <w:bookmarkStart w:id="2627" w:name="_Toc179632697"/>
      <w:bookmarkStart w:id="2628" w:name="_Toc144974647"/>
      <w:bookmarkStart w:id="2629" w:name="_Toc152042457"/>
      <w:r>
        <w:rPr>
          <w:sz w:val="22"/>
          <w:szCs w:val="28"/>
          <w:highlight w:val="none"/>
        </w:rPr>
        <w:t>9.4 环境保护</w:t>
      </w:r>
      <w:bookmarkEnd w:id="2620"/>
      <w:bookmarkEnd w:id="2621"/>
      <w:bookmarkEnd w:id="2622"/>
      <w:bookmarkEnd w:id="2623"/>
      <w:bookmarkEnd w:id="2624"/>
      <w:bookmarkEnd w:id="2625"/>
    </w:p>
    <w:p w14:paraId="4BBAF450">
      <w:pPr>
        <w:spacing w:after="160" w:line="278" w:lineRule="auto"/>
        <w:rPr>
          <w:sz w:val="22"/>
          <w:szCs w:val="28"/>
          <w:highlight w:val="none"/>
        </w:rPr>
      </w:pPr>
      <w:r>
        <w:rPr>
          <w:sz w:val="22"/>
          <w:szCs w:val="28"/>
          <w:highlight w:val="none"/>
        </w:rPr>
        <w:t>9.4.2施工环保措施计划报送监理人审批的时间：在收到监理人按照通用合同条款第11.1.1项发出的开工通知后7日内。</w:t>
      </w:r>
    </w:p>
    <w:p w14:paraId="78E19703">
      <w:pPr>
        <w:spacing w:after="160" w:line="278" w:lineRule="auto"/>
        <w:rPr>
          <w:sz w:val="22"/>
          <w:szCs w:val="28"/>
          <w:highlight w:val="none"/>
        </w:rPr>
      </w:pPr>
      <w:r>
        <w:rPr>
          <w:sz w:val="22"/>
          <w:szCs w:val="28"/>
          <w:highlight w:val="none"/>
        </w:rPr>
        <w:t>监理人收到承包人报送的施工环保措施计划后应当在7天内给予批复。</w:t>
      </w:r>
    </w:p>
    <w:p w14:paraId="4B535AF5">
      <w:pPr>
        <w:spacing w:after="160" w:line="278" w:lineRule="auto"/>
        <w:rPr>
          <w:sz w:val="22"/>
          <w:szCs w:val="28"/>
          <w:highlight w:val="none"/>
        </w:rPr>
      </w:pPr>
      <w:bookmarkStart w:id="2630" w:name="_Toc469660051"/>
      <w:bookmarkStart w:id="2631" w:name="_Toc442365648"/>
      <w:bookmarkStart w:id="2632" w:name="_Toc448758556"/>
      <w:bookmarkStart w:id="2633" w:name="_Toc342296456"/>
      <w:bookmarkStart w:id="2634" w:name="_Toc448758456"/>
      <w:bookmarkStart w:id="2635" w:name="_Toc129798435"/>
      <w:bookmarkStart w:id="2636" w:name="_Toc109914500"/>
      <w:bookmarkStart w:id="2637" w:name="_Toc241459697"/>
      <w:bookmarkStart w:id="2638" w:name="_Toc132619184"/>
      <w:bookmarkStart w:id="2639" w:name="_Toc142385723"/>
      <w:r>
        <w:rPr>
          <w:sz w:val="22"/>
          <w:szCs w:val="28"/>
          <w:highlight w:val="none"/>
        </w:rPr>
        <w:t>10. 进度计划</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p>
    <w:p w14:paraId="4CCF7243">
      <w:pPr>
        <w:spacing w:after="160" w:line="278" w:lineRule="auto"/>
        <w:rPr>
          <w:sz w:val="22"/>
          <w:szCs w:val="28"/>
          <w:highlight w:val="none"/>
        </w:rPr>
      </w:pPr>
      <w:bookmarkStart w:id="2640" w:name="_Toc152045680"/>
      <w:bookmarkStart w:id="2641" w:name="_Toc109914501"/>
      <w:bookmarkStart w:id="2642" w:name="_Toc152042458"/>
      <w:bookmarkStart w:id="2643" w:name="_Toc342296457"/>
      <w:bookmarkStart w:id="2644" w:name="_Toc129798436"/>
      <w:bookmarkStart w:id="2645" w:name="_Toc241459698"/>
      <w:bookmarkStart w:id="2646" w:name="_Toc179632698"/>
      <w:bookmarkStart w:id="2647" w:name="_Toc142385724"/>
      <w:bookmarkStart w:id="2648" w:name="_Toc132619185"/>
      <w:bookmarkStart w:id="2649" w:name="_Toc144974648"/>
      <w:r>
        <w:rPr>
          <w:sz w:val="22"/>
          <w:szCs w:val="28"/>
          <w:highlight w:val="none"/>
        </w:rPr>
        <w:t>10.1 合同进度计划</w:t>
      </w:r>
      <w:bookmarkEnd w:id="2640"/>
      <w:bookmarkEnd w:id="2641"/>
      <w:bookmarkEnd w:id="2642"/>
      <w:bookmarkEnd w:id="2643"/>
      <w:bookmarkEnd w:id="2644"/>
      <w:bookmarkEnd w:id="2645"/>
      <w:bookmarkEnd w:id="2646"/>
      <w:bookmarkEnd w:id="2647"/>
      <w:bookmarkEnd w:id="2648"/>
      <w:bookmarkEnd w:id="2649"/>
    </w:p>
    <w:p w14:paraId="31B3B630">
      <w:pPr>
        <w:spacing w:after="160" w:line="278" w:lineRule="auto"/>
        <w:rPr>
          <w:sz w:val="22"/>
          <w:szCs w:val="28"/>
          <w:highlight w:val="none"/>
        </w:rPr>
      </w:pPr>
      <w:r>
        <w:rPr>
          <w:sz w:val="22"/>
          <w:szCs w:val="28"/>
          <w:highlight w:val="none"/>
        </w:rPr>
        <w:t>（1）承包人应当在收到监理人按照通用合同条款第11.1.1项发出的开工通知后7天内，编制详细的施工进度计划和施工方案说明并报送监理人。承包人编制施工进度计划和施工方案说明的内容：承包人应按投标阶段承诺的总进度计划关键线路目标，以及施工顺序和方法要点，向监理人提交更准确更详细的施工进度计划和施工方案， 施工进度计划中还应载明要求发包人组织设计人进行阶段性工程设计交底的时间。</w:t>
      </w:r>
    </w:p>
    <w:p w14:paraId="5DB3EC97">
      <w:pPr>
        <w:spacing w:after="160" w:line="278" w:lineRule="auto"/>
        <w:rPr>
          <w:sz w:val="22"/>
          <w:szCs w:val="28"/>
          <w:highlight w:val="none"/>
        </w:rPr>
      </w:pPr>
      <w:r>
        <w:rPr>
          <w:sz w:val="22"/>
          <w:szCs w:val="28"/>
          <w:highlight w:val="none"/>
        </w:rPr>
        <w:t>（2）监理人批复或对施工进度计划和施工方案说明提出修改意见的期限：自监理人收到承包人报送的相关进度计划和施工方案说明后14天内。</w:t>
      </w:r>
    </w:p>
    <w:p w14:paraId="14814C38">
      <w:pPr>
        <w:spacing w:after="160" w:line="278" w:lineRule="auto"/>
        <w:rPr>
          <w:sz w:val="22"/>
          <w:szCs w:val="28"/>
          <w:highlight w:val="none"/>
        </w:rPr>
      </w:pPr>
      <w:r>
        <w:rPr>
          <w:sz w:val="22"/>
          <w:szCs w:val="28"/>
          <w:highlight w:val="none"/>
        </w:rPr>
        <w:t xml:space="preserve">（3）承包人编制分阶段或分项施工进度计划和施工方案说明的内容： </w:t>
      </w:r>
      <w:r>
        <w:rPr>
          <w:sz w:val="22"/>
          <w:szCs w:val="28"/>
          <w:highlight w:val="none"/>
          <w:u w:val="single"/>
        </w:rPr>
        <w:t xml:space="preserve">      /     </w:t>
      </w:r>
      <w:r>
        <w:rPr>
          <w:sz w:val="22"/>
          <w:szCs w:val="28"/>
          <w:highlight w:val="none"/>
        </w:rPr>
        <w:t>。</w:t>
      </w:r>
    </w:p>
    <w:p w14:paraId="2F8F609B">
      <w:pPr>
        <w:spacing w:after="160" w:line="278" w:lineRule="auto"/>
        <w:rPr>
          <w:sz w:val="22"/>
          <w:szCs w:val="28"/>
          <w:highlight w:val="none"/>
        </w:rPr>
      </w:pPr>
      <w:r>
        <w:rPr>
          <w:sz w:val="22"/>
          <w:szCs w:val="28"/>
          <w:highlight w:val="none"/>
        </w:rPr>
        <w:t xml:space="preserve">承包人报送分阶段或分项施工进度计划和施工方案说明的期限： </w:t>
      </w:r>
      <w:r>
        <w:rPr>
          <w:sz w:val="22"/>
          <w:szCs w:val="28"/>
          <w:highlight w:val="none"/>
          <w:u w:val="single"/>
        </w:rPr>
        <w:t xml:space="preserve">         /  </w:t>
      </w:r>
      <w:r>
        <w:rPr>
          <w:sz w:val="22"/>
          <w:szCs w:val="28"/>
          <w:highlight w:val="none"/>
        </w:rPr>
        <w:t>。</w:t>
      </w:r>
    </w:p>
    <w:p w14:paraId="0F1471AC">
      <w:pPr>
        <w:spacing w:after="160" w:line="278" w:lineRule="auto"/>
        <w:rPr>
          <w:sz w:val="22"/>
          <w:szCs w:val="28"/>
          <w:highlight w:val="none"/>
        </w:rPr>
      </w:pPr>
      <w:r>
        <w:rPr>
          <w:sz w:val="22"/>
          <w:szCs w:val="28"/>
          <w:highlight w:val="none"/>
        </w:rPr>
        <w:t xml:space="preserve">（4）群体工程中单位工程分期进行施工的，承包人应按照发包人提供图纸及有关资料的时间，按单位工程编制进度计划和施工方案说明。群体工程中有关进度计划和施工方案说明的要求：       </w:t>
      </w:r>
      <w:r>
        <w:rPr>
          <w:sz w:val="22"/>
          <w:szCs w:val="28"/>
          <w:highlight w:val="none"/>
          <w:u w:val="single"/>
        </w:rPr>
        <w:t xml:space="preserve">                 /                 </w:t>
      </w:r>
      <w:r>
        <w:rPr>
          <w:sz w:val="22"/>
          <w:szCs w:val="28"/>
          <w:highlight w:val="none"/>
        </w:rPr>
        <w:t xml:space="preserve">     。</w:t>
      </w:r>
    </w:p>
    <w:p w14:paraId="49994203">
      <w:pPr>
        <w:spacing w:after="160" w:line="278" w:lineRule="auto"/>
        <w:rPr>
          <w:sz w:val="22"/>
          <w:szCs w:val="28"/>
          <w:highlight w:val="none"/>
        </w:rPr>
      </w:pPr>
      <w:bookmarkStart w:id="2650" w:name="_Toc241459699"/>
      <w:bookmarkStart w:id="2651" w:name="_Toc342296458"/>
      <w:bookmarkStart w:id="2652" w:name="_Toc129798437"/>
      <w:bookmarkStart w:id="2653" w:name="_Toc152042459"/>
      <w:bookmarkStart w:id="2654" w:name="_Toc144974649"/>
      <w:bookmarkStart w:id="2655" w:name="_Toc109914502"/>
      <w:bookmarkStart w:id="2656" w:name="_Toc152045681"/>
      <w:bookmarkStart w:id="2657" w:name="_Toc179632699"/>
      <w:bookmarkStart w:id="2658" w:name="_Toc132619186"/>
      <w:bookmarkStart w:id="2659" w:name="_Toc142385725"/>
      <w:r>
        <w:rPr>
          <w:sz w:val="22"/>
          <w:szCs w:val="28"/>
          <w:highlight w:val="none"/>
        </w:rPr>
        <w:t>10.2 合同进度计划的修订</w:t>
      </w:r>
      <w:bookmarkEnd w:id="2650"/>
      <w:bookmarkEnd w:id="2651"/>
      <w:bookmarkEnd w:id="2652"/>
      <w:bookmarkEnd w:id="2653"/>
      <w:bookmarkEnd w:id="2654"/>
      <w:bookmarkEnd w:id="2655"/>
      <w:bookmarkEnd w:id="2656"/>
      <w:bookmarkEnd w:id="2657"/>
      <w:bookmarkEnd w:id="2658"/>
      <w:bookmarkEnd w:id="2659"/>
    </w:p>
    <w:p w14:paraId="13D59375">
      <w:pPr>
        <w:spacing w:after="160" w:line="278" w:lineRule="auto"/>
        <w:rPr>
          <w:sz w:val="22"/>
          <w:szCs w:val="28"/>
          <w:highlight w:val="none"/>
        </w:rPr>
      </w:pPr>
      <w:r>
        <w:rPr>
          <w:sz w:val="22"/>
          <w:szCs w:val="28"/>
          <w:highlight w:val="none"/>
        </w:rPr>
        <w:t>（1）承包人报送修订合同进度计划申请报告和相关资料的期限： 合同签订后7日内。</w:t>
      </w:r>
    </w:p>
    <w:p w14:paraId="1F95EE4B">
      <w:pPr>
        <w:spacing w:after="160" w:line="278" w:lineRule="auto"/>
        <w:rPr>
          <w:sz w:val="22"/>
          <w:szCs w:val="28"/>
          <w:highlight w:val="none"/>
        </w:rPr>
      </w:pPr>
      <w:r>
        <w:rPr>
          <w:sz w:val="22"/>
          <w:szCs w:val="28"/>
          <w:highlight w:val="none"/>
        </w:rPr>
        <w:t>（2）监理人批复修订合同进度计划申请报告的期限： 收到承包人报送的修订合同进度计划申请报告和相关资料后7日内。</w:t>
      </w:r>
    </w:p>
    <w:p w14:paraId="11B36CC2">
      <w:pPr>
        <w:spacing w:after="160" w:line="278" w:lineRule="auto"/>
        <w:rPr>
          <w:sz w:val="22"/>
          <w:szCs w:val="28"/>
          <w:highlight w:val="none"/>
        </w:rPr>
      </w:pPr>
      <w:r>
        <w:rPr>
          <w:sz w:val="22"/>
          <w:szCs w:val="28"/>
          <w:highlight w:val="none"/>
        </w:rPr>
        <w:t>（3）监理人批复修订合同进度计划的期限：收到承包人报送的修订合同进度计划和相关资料后7日内。</w:t>
      </w:r>
    </w:p>
    <w:p w14:paraId="4DAFB126">
      <w:pPr>
        <w:spacing w:after="160" w:line="278" w:lineRule="auto"/>
        <w:rPr>
          <w:sz w:val="22"/>
          <w:szCs w:val="28"/>
          <w:highlight w:val="none"/>
        </w:rPr>
      </w:pPr>
      <w:bookmarkStart w:id="2660" w:name="_Toc132619187"/>
      <w:bookmarkStart w:id="2661" w:name="_Toc179632700"/>
      <w:bookmarkStart w:id="2662" w:name="_Toc152045682"/>
      <w:bookmarkStart w:id="2663" w:name="_Toc144974650"/>
      <w:bookmarkStart w:id="2664" w:name="_Toc109914503"/>
      <w:bookmarkStart w:id="2665" w:name="_Toc241459700"/>
      <w:bookmarkStart w:id="2666" w:name="_Toc342296459"/>
      <w:bookmarkStart w:id="2667" w:name="_Toc448758557"/>
      <w:bookmarkStart w:id="2668" w:name="_Toc442365649"/>
      <w:bookmarkStart w:id="2669" w:name="_Toc142385726"/>
      <w:bookmarkStart w:id="2670" w:name="_Toc152042460"/>
      <w:bookmarkStart w:id="2671" w:name="_Toc469660052"/>
      <w:bookmarkStart w:id="2672" w:name="_Toc448758457"/>
      <w:bookmarkStart w:id="2673" w:name="_Toc129798438"/>
      <w:r>
        <w:rPr>
          <w:sz w:val="22"/>
          <w:szCs w:val="28"/>
          <w:highlight w:val="none"/>
        </w:rPr>
        <w:t>11. 开工和竣工</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07B57B84">
      <w:pPr>
        <w:spacing w:after="160" w:line="278" w:lineRule="auto"/>
        <w:rPr>
          <w:sz w:val="22"/>
          <w:szCs w:val="28"/>
          <w:highlight w:val="none"/>
        </w:rPr>
      </w:pPr>
      <w:bookmarkStart w:id="2674" w:name="_Toc144974653"/>
      <w:bookmarkStart w:id="2675" w:name="_Toc152042463"/>
      <w:bookmarkStart w:id="2676" w:name="_Toc342296460"/>
      <w:bookmarkStart w:id="2677" w:name="_Toc142385727"/>
      <w:bookmarkStart w:id="2678" w:name="_Toc132619188"/>
      <w:bookmarkStart w:id="2679" w:name="_Toc109914504"/>
      <w:bookmarkStart w:id="2680" w:name="_Toc179632703"/>
      <w:bookmarkStart w:id="2681" w:name="_Toc152045685"/>
      <w:bookmarkStart w:id="2682" w:name="_Toc241459701"/>
      <w:bookmarkStart w:id="2683" w:name="_Toc129798439"/>
      <w:r>
        <w:rPr>
          <w:sz w:val="22"/>
          <w:szCs w:val="28"/>
          <w:highlight w:val="none"/>
        </w:rPr>
        <w:t>11.3 发包人的工期延误</w:t>
      </w:r>
      <w:bookmarkEnd w:id="2674"/>
      <w:bookmarkEnd w:id="2675"/>
      <w:bookmarkEnd w:id="2676"/>
      <w:bookmarkEnd w:id="2677"/>
      <w:bookmarkEnd w:id="2678"/>
      <w:bookmarkEnd w:id="2679"/>
      <w:bookmarkEnd w:id="2680"/>
      <w:bookmarkEnd w:id="2681"/>
      <w:bookmarkEnd w:id="2682"/>
      <w:bookmarkEnd w:id="2683"/>
    </w:p>
    <w:p w14:paraId="4300C081">
      <w:pPr>
        <w:spacing w:after="160" w:line="278" w:lineRule="auto"/>
        <w:rPr>
          <w:sz w:val="22"/>
          <w:szCs w:val="28"/>
          <w:highlight w:val="none"/>
        </w:rPr>
      </w:pPr>
      <w:r>
        <w:rPr>
          <w:sz w:val="22"/>
          <w:szCs w:val="28"/>
          <w:highlight w:val="none"/>
        </w:rPr>
        <w:t>(7) 因发包人原因不能按照监理人发出的开工通知中载明的开工日期开工。除发包人原因延期开工外，发包人造成工期延误的其他原因还包括：发包人和承包人双方共同认为必须延长工期的(以书面文件为准)等延误承包人关键线路工作的情况。</w:t>
      </w:r>
    </w:p>
    <w:p w14:paraId="77908652">
      <w:pPr>
        <w:spacing w:after="160" w:line="278" w:lineRule="auto"/>
        <w:rPr>
          <w:sz w:val="22"/>
          <w:szCs w:val="28"/>
          <w:highlight w:val="none"/>
        </w:rPr>
      </w:pPr>
      <w:bookmarkStart w:id="2684" w:name="_Toc142385728"/>
      <w:bookmarkStart w:id="2685" w:name="_Toc132619189"/>
      <w:bookmarkStart w:id="2686" w:name="_Toc129798440"/>
      <w:bookmarkStart w:id="2687" w:name="_Toc179632704"/>
      <w:bookmarkStart w:id="2688" w:name="_Toc152042464"/>
      <w:bookmarkStart w:id="2689" w:name="_Toc144974654"/>
      <w:bookmarkStart w:id="2690" w:name="_Toc241459702"/>
      <w:bookmarkStart w:id="2691" w:name="_Toc152045686"/>
      <w:bookmarkStart w:id="2692" w:name="_Toc109914505"/>
      <w:bookmarkStart w:id="2693" w:name="_Toc342296461"/>
      <w:r>
        <w:rPr>
          <w:sz w:val="22"/>
          <w:szCs w:val="28"/>
          <w:highlight w:val="none"/>
        </w:rPr>
        <w:t>11.4 异常恶劣的气候条件</w:t>
      </w:r>
      <w:bookmarkEnd w:id="2684"/>
      <w:bookmarkEnd w:id="2685"/>
      <w:bookmarkEnd w:id="2686"/>
      <w:bookmarkEnd w:id="2687"/>
      <w:bookmarkEnd w:id="2688"/>
      <w:bookmarkEnd w:id="2689"/>
      <w:bookmarkEnd w:id="2690"/>
      <w:bookmarkEnd w:id="2691"/>
      <w:bookmarkEnd w:id="2692"/>
      <w:bookmarkEnd w:id="2693"/>
    </w:p>
    <w:p w14:paraId="49F8A2EE">
      <w:pPr>
        <w:spacing w:after="160" w:line="278" w:lineRule="auto"/>
        <w:rPr>
          <w:sz w:val="22"/>
          <w:szCs w:val="28"/>
          <w:highlight w:val="none"/>
        </w:rPr>
      </w:pPr>
      <w:bookmarkStart w:id="2694" w:name="_Toc152045687"/>
      <w:bookmarkStart w:id="2695" w:name="_Toc144974655"/>
      <w:bookmarkStart w:id="2696" w:name="_Toc179632705"/>
      <w:bookmarkStart w:id="2697" w:name="_Toc152042465"/>
      <w:r>
        <w:rPr>
          <w:sz w:val="22"/>
          <w:szCs w:val="28"/>
          <w:highlight w:val="none"/>
        </w:rPr>
        <w:t>异常恶劣的气候条件的范围和标准：</w:t>
      </w:r>
      <w:r>
        <w:rPr>
          <w:rFonts w:hint="eastAsia"/>
          <w:sz w:val="22"/>
          <w:szCs w:val="28"/>
          <w:highlight w:val="none"/>
        </w:rPr>
        <w:t>暴雨橙色预警信号、大风黄色预警信号、沙尘暴橙色预警信号。由于恶劣的气候条件导致工期延误的，承包人有权要求发包人延长工期，但不增加费用 。</w:t>
      </w:r>
    </w:p>
    <w:p w14:paraId="3F43CCE5">
      <w:pPr>
        <w:spacing w:after="160" w:line="278" w:lineRule="auto"/>
        <w:rPr>
          <w:sz w:val="22"/>
          <w:szCs w:val="28"/>
          <w:highlight w:val="none"/>
        </w:rPr>
      </w:pPr>
      <w:bookmarkStart w:id="2698" w:name="_Toc241459703"/>
      <w:bookmarkStart w:id="2699" w:name="_Toc132619190"/>
      <w:bookmarkStart w:id="2700" w:name="_Toc342296462"/>
      <w:bookmarkStart w:id="2701" w:name="_Toc129798441"/>
      <w:bookmarkStart w:id="2702" w:name="_Toc142385729"/>
      <w:bookmarkStart w:id="2703" w:name="_Toc109914506"/>
      <w:r>
        <w:rPr>
          <w:sz w:val="22"/>
          <w:szCs w:val="28"/>
          <w:highlight w:val="none"/>
        </w:rPr>
        <w:t>11.5 承包人的工期延误</w:t>
      </w:r>
      <w:bookmarkEnd w:id="2694"/>
      <w:bookmarkEnd w:id="2695"/>
      <w:bookmarkEnd w:id="2696"/>
      <w:bookmarkEnd w:id="2697"/>
      <w:bookmarkEnd w:id="2698"/>
      <w:bookmarkEnd w:id="2699"/>
      <w:bookmarkEnd w:id="2700"/>
      <w:bookmarkEnd w:id="2701"/>
      <w:bookmarkEnd w:id="2702"/>
      <w:bookmarkEnd w:id="2703"/>
    </w:p>
    <w:p w14:paraId="1B40D5CC">
      <w:pPr>
        <w:spacing w:after="160" w:line="278" w:lineRule="auto"/>
        <w:rPr>
          <w:sz w:val="22"/>
          <w:szCs w:val="28"/>
          <w:highlight w:val="none"/>
        </w:rPr>
      </w:pPr>
      <w:bookmarkStart w:id="2704" w:name="_Toc144974656"/>
      <w:bookmarkStart w:id="2705" w:name="_Toc179632706"/>
      <w:bookmarkStart w:id="2706" w:name="_Toc152045688"/>
      <w:bookmarkStart w:id="2707" w:name="_Toc152042466"/>
      <w:r>
        <w:rPr>
          <w:sz w:val="22"/>
          <w:szCs w:val="28"/>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14:paraId="76EC7A55">
      <w:pPr>
        <w:spacing w:after="160" w:line="278" w:lineRule="auto"/>
        <w:rPr>
          <w:b/>
          <w:bCs/>
          <w:sz w:val="22"/>
          <w:szCs w:val="28"/>
          <w:highlight w:val="none"/>
        </w:rPr>
      </w:pPr>
      <w:r>
        <w:rPr>
          <w:rFonts w:hint="eastAsia"/>
          <w:b/>
          <w:bCs/>
          <w:sz w:val="22"/>
          <w:szCs w:val="28"/>
          <w:highlight w:val="none"/>
        </w:rPr>
        <w:t>本项目</w:t>
      </w:r>
      <w:r>
        <w:rPr>
          <w:rFonts w:hint="eastAsia"/>
          <w:b/>
          <w:bCs/>
          <w:sz w:val="22"/>
          <w:szCs w:val="28"/>
          <w:highlight w:val="none"/>
          <w:u w:val="single"/>
        </w:rPr>
        <w:t>2025年8月</w:t>
      </w:r>
      <w:r>
        <w:rPr>
          <w:rFonts w:hint="eastAsia"/>
          <w:b/>
          <w:bCs/>
          <w:sz w:val="22"/>
          <w:szCs w:val="28"/>
          <w:highlight w:val="none"/>
          <w:u w:val="single"/>
          <w:lang w:val="en-US" w:eastAsia="zh-CN"/>
        </w:rPr>
        <w:t>3</w:t>
      </w:r>
      <w:r>
        <w:rPr>
          <w:rFonts w:hint="eastAsia"/>
          <w:b/>
          <w:bCs/>
          <w:sz w:val="22"/>
          <w:szCs w:val="28"/>
          <w:highlight w:val="none"/>
          <w:u w:val="single"/>
          <w:lang w:val="en-US" w:eastAsia="zh-CN"/>
        </w:rPr>
        <w:t>1</w:t>
      </w:r>
      <w:r>
        <w:rPr>
          <w:rFonts w:hint="eastAsia"/>
          <w:b/>
          <w:bCs/>
          <w:sz w:val="22"/>
          <w:szCs w:val="28"/>
          <w:highlight w:val="none"/>
          <w:u w:val="single"/>
        </w:rPr>
        <w:t>日</w:t>
      </w:r>
      <w:r>
        <w:rPr>
          <w:rFonts w:hint="eastAsia"/>
          <w:b/>
          <w:bCs/>
          <w:sz w:val="22"/>
          <w:szCs w:val="28"/>
          <w:highlight w:val="none"/>
        </w:rPr>
        <w:t>前必须全部完工并移交给发包人。</w:t>
      </w:r>
    </w:p>
    <w:p w14:paraId="74AF4546">
      <w:pPr>
        <w:spacing w:after="160" w:line="278" w:lineRule="auto"/>
        <w:rPr>
          <w:sz w:val="22"/>
          <w:szCs w:val="28"/>
          <w:highlight w:val="none"/>
        </w:rPr>
      </w:pPr>
      <w:r>
        <w:rPr>
          <w:sz w:val="22"/>
          <w:szCs w:val="28"/>
          <w:highlight w:val="none"/>
        </w:rPr>
        <w:t>逾期竣工违约金的计算标准：</w:t>
      </w:r>
      <w:r>
        <w:rPr>
          <w:sz w:val="22"/>
          <w:szCs w:val="28"/>
          <w:highlight w:val="none"/>
          <w:u w:val="single"/>
        </w:rPr>
        <w:t>合同额的万分之二/天。</w:t>
      </w:r>
    </w:p>
    <w:p w14:paraId="6798A447">
      <w:pPr>
        <w:spacing w:after="160" w:line="278" w:lineRule="auto"/>
        <w:rPr>
          <w:sz w:val="22"/>
          <w:szCs w:val="28"/>
          <w:highlight w:val="none"/>
        </w:rPr>
      </w:pPr>
      <w:r>
        <w:rPr>
          <w:sz w:val="22"/>
          <w:szCs w:val="28"/>
          <w:highlight w:val="none"/>
        </w:rPr>
        <w:t>逾期竣工违约金的计算方法：</w:t>
      </w:r>
      <w:r>
        <w:rPr>
          <w:sz w:val="22"/>
          <w:szCs w:val="28"/>
          <w:highlight w:val="none"/>
          <w:u w:val="single"/>
        </w:rPr>
        <w:t>每延误一天，承包人应当向发包人赔偿合同额的万分之二/天整，不足一天按一天计。</w:t>
      </w:r>
      <w:r>
        <w:rPr>
          <w:sz w:val="22"/>
          <w:szCs w:val="28"/>
          <w:highlight w:val="none"/>
        </w:rPr>
        <w:t xml:space="preserve"> </w:t>
      </w:r>
    </w:p>
    <w:p w14:paraId="3FBB3440">
      <w:pPr>
        <w:spacing w:after="160" w:line="278" w:lineRule="auto"/>
        <w:rPr>
          <w:sz w:val="22"/>
          <w:szCs w:val="28"/>
          <w:highlight w:val="none"/>
        </w:rPr>
      </w:pPr>
      <w:r>
        <w:rPr>
          <w:sz w:val="22"/>
          <w:szCs w:val="28"/>
          <w:highlight w:val="none"/>
        </w:rPr>
        <w:t>逾期竣工违约金最高限额：</w:t>
      </w:r>
      <w:r>
        <w:rPr>
          <w:sz w:val="22"/>
          <w:szCs w:val="28"/>
          <w:highlight w:val="none"/>
          <w:u w:val="single"/>
        </w:rPr>
        <w:t>总额不超过合同结算价的百分之三</w:t>
      </w:r>
      <w:r>
        <w:rPr>
          <w:sz w:val="22"/>
          <w:szCs w:val="28"/>
          <w:highlight w:val="none"/>
        </w:rPr>
        <w:t>。</w:t>
      </w:r>
    </w:p>
    <w:p w14:paraId="5AC3952A">
      <w:pPr>
        <w:spacing w:after="160" w:line="278" w:lineRule="auto"/>
        <w:rPr>
          <w:sz w:val="22"/>
          <w:szCs w:val="28"/>
          <w:highlight w:val="none"/>
        </w:rPr>
      </w:pPr>
      <w:bookmarkStart w:id="2708" w:name="_Toc241459704"/>
      <w:bookmarkStart w:id="2709" w:name="_Toc129798442"/>
      <w:bookmarkStart w:id="2710" w:name="_Toc132619191"/>
      <w:bookmarkStart w:id="2711" w:name="_Toc109914507"/>
      <w:bookmarkStart w:id="2712" w:name="_Toc342296463"/>
      <w:bookmarkStart w:id="2713" w:name="_Toc142385730"/>
      <w:r>
        <w:rPr>
          <w:sz w:val="22"/>
          <w:szCs w:val="28"/>
          <w:highlight w:val="none"/>
        </w:rPr>
        <w:t>11.6</w:t>
      </w:r>
      <w:bookmarkEnd w:id="2704"/>
      <w:bookmarkStart w:id="2714" w:name="_Toc144974657"/>
      <w:r>
        <w:rPr>
          <w:sz w:val="22"/>
          <w:szCs w:val="28"/>
          <w:highlight w:val="none"/>
        </w:rPr>
        <w:t xml:space="preserve"> 工期提前</w:t>
      </w:r>
      <w:bookmarkEnd w:id="2705"/>
      <w:bookmarkEnd w:id="2706"/>
      <w:bookmarkEnd w:id="2707"/>
      <w:bookmarkEnd w:id="2708"/>
      <w:bookmarkEnd w:id="2709"/>
      <w:bookmarkEnd w:id="2710"/>
      <w:bookmarkEnd w:id="2711"/>
      <w:bookmarkEnd w:id="2712"/>
      <w:bookmarkEnd w:id="2713"/>
      <w:bookmarkEnd w:id="2714"/>
    </w:p>
    <w:p w14:paraId="5B933605">
      <w:pPr>
        <w:spacing w:after="160" w:line="278" w:lineRule="auto"/>
        <w:rPr>
          <w:sz w:val="22"/>
          <w:szCs w:val="28"/>
          <w:highlight w:val="none"/>
        </w:rPr>
      </w:pPr>
      <w:bookmarkStart w:id="2715" w:name="_Toc152045689"/>
      <w:bookmarkStart w:id="2716" w:name="_Toc152042467"/>
      <w:bookmarkStart w:id="2717" w:name="_Toc144974658"/>
      <w:bookmarkStart w:id="2718" w:name="_Toc179632707"/>
      <w:r>
        <w:rPr>
          <w:sz w:val="22"/>
          <w:szCs w:val="28"/>
          <w:highlight w:val="none"/>
        </w:rPr>
        <w:t xml:space="preserve">提前竣工的奖励办法：        </w:t>
      </w:r>
      <w:r>
        <w:rPr>
          <w:sz w:val="22"/>
          <w:szCs w:val="28"/>
          <w:highlight w:val="none"/>
          <w:u w:val="single"/>
        </w:rPr>
        <w:t xml:space="preserve">            /        </w:t>
      </w:r>
      <w:r>
        <w:rPr>
          <w:sz w:val="22"/>
          <w:szCs w:val="28"/>
          <w:highlight w:val="none"/>
        </w:rPr>
        <w:t xml:space="preserve">   。</w:t>
      </w:r>
    </w:p>
    <w:p w14:paraId="6C0EB66B">
      <w:pPr>
        <w:spacing w:after="160" w:line="278" w:lineRule="auto"/>
        <w:rPr>
          <w:sz w:val="22"/>
          <w:szCs w:val="28"/>
          <w:highlight w:val="none"/>
        </w:rPr>
      </w:pPr>
      <w:bookmarkStart w:id="2719" w:name="_Toc132619192"/>
      <w:bookmarkStart w:id="2720" w:name="_Toc342296464"/>
      <w:bookmarkStart w:id="2721" w:name="_Toc469660053"/>
      <w:bookmarkStart w:id="2722" w:name="_Toc109914508"/>
      <w:bookmarkStart w:id="2723" w:name="_Toc241484601"/>
      <w:bookmarkStart w:id="2724" w:name="_Toc129798443"/>
      <w:bookmarkStart w:id="2725" w:name="_Toc448758558"/>
      <w:bookmarkStart w:id="2726" w:name="_Toc142385731"/>
      <w:bookmarkStart w:id="2727" w:name="_Toc442365650"/>
      <w:bookmarkStart w:id="2728" w:name="_Toc241459705"/>
      <w:bookmarkStart w:id="2729" w:name="_Toc448758458"/>
      <w:r>
        <w:rPr>
          <w:sz w:val="22"/>
          <w:szCs w:val="28"/>
          <w:highlight w:val="none"/>
        </w:rPr>
        <w:t>12. 暂停施工</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447D29BC">
      <w:pPr>
        <w:spacing w:after="160" w:line="278" w:lineRule="auto"/>
        <w:rPr>
          <w:sz w:val="22"/>
          <w:szCs w:val="28"/>
          <w:highlight w:val="none"/>
        </w:rPr>
      </w:pPr>
      <w:bookmarkStart w:id="2730" w:name="_Toc109914509"/>
      <w:bookmarkStart w:id="2731" w:name="_Toc179632708"/>
      <w:bookmarkStart w:id="2732" w:name="_Toc152042468"/>
      <w:bookmarkStart w:id="2733" w:name="_Toc152045690"/>
      <w:bookmarkStart w:id="2734" w:name="_Toc132619193"/>
      <w:bookmarkStart w:id="2735" w:name="_Toc342296465"/>
      <w:bookmarkStart w:id="2736" w:name="_Toc241459706"/>
      <w:bookmarkStart w:id="2737" w:name="_Toc129798444"/>
      <w:bookmarkStart w:id="2738" w:name="_Toc142385732"/>
      <w:bookmarkStart w:id="2739" w:name="_Toc144974659"/>
      <w:r>
        <w:rPr>
          <w:sz w:val="22"/>
          <w:szCs w:val="28"/>
          <w:highlight w:val="none"/>
        </w:rPr>
        <w:t>12.1 承包人暂停施工的责任</w:t>
      </w:r>
      <w:bookmarkEnd w:id="2730"/>
      <w:bookmarkEnd w:id="2731"/>
      <w:bookmarkEnd w:id="2732"/>
      <w:bookmarkEnd w:id="2733"/>
      <w:bookmarkEnd w:id="2734"/>
      <w:bookmarkEnd w:id="2735"/>
      <w:bookmarkEnd w:id="2736"/>
      <w:bookmarkEnd w:id="2737"/>
      <w:bookmarkEnd w:id="2738"/>
      <w:bookmarkEnd w:id="2739"/>
    </w:p>
    <w:p w14:paraId="37773267">
      <w:pPr>
        <w:spacing w:after="160" w:line="278" w:lineRule="auto"/>
        <w:rPr>
          <w:sz w:val="22"/>
          <w:szCs w:val="28"/>
          <w:highlight w:val="none"/>
        </w:rPr>
      </w:pPr>
      <w:r>
        <w:rPr>
          <w:sz w:val="22"/>
          <w:szCs w:val="28"/>
          <w:highlight w:val="none"/>
        </w:rPr>
        <w:t xml:space="preserve">（5）承包人承担暂停施工责任的其他情形：  </w:t>
      </w:r>
      <w:r>
        <w:rPr>
          <w:sz w:val="22"/>
          <w:szCs w:val="28"/>
          <w:highlight w:val="none"/>
          <w:u w:val="single"/>
        </w:rPr>
        <w:t xml:space="preserve">      /           </w:t>
      </w:r>
      <w:r>
        <w:rPr>
          <w:sz w:val="22"/>
          <w:szCs w:val="28"/>
          <w:highlight w:val="none"/>
        </w:rPr>
        <w:t xml:space="preserve">      。</w:t>
      </w:r>
    </w:p>
    <w:p w14:paraId="071A3B34">
      <w:pPr>
        <w:spacing w:after="160" w:line="278" w:lineRule="auto"/>
        <w:rPr>
          <w:sz w:val="22"/>
          <w:szCs w:val="28"/>
          <w:highlight w:val="none"/>
        </w:rPr>
      </w:pPr>
      <w:bookmarkStart w:id="2740" w:name="_Toc129798445"/>
      <w:bookmarkStart w:id="2741" w:name="_Toc142385733"/>
      <w:bookmarkStart w:id="2742" w:name="_Toc109914510"/>
      <w:bookmarkStart w:id="2743" w:name="_Toc241459707"/>
      <w:bookmarkStart w:id="2744" w:name="_Toc342296466"/>
      <w:bookmarkStart w:id="2745" w:name="_Toc132619194"/>
      <w:r>
        <w:rPr>
          <w:sz w:val="22"/>
          <w:szCs w:val="28"/>
          <w:highlight w:val="none"/>
        </w:rPr>
        <w:t>12.4 暂停施工后的复工</w:t>
      </w:r>
      <w:bookmarkEnd w:id="2740"/>
      <w:bookmarkEnd w:id="2741"/>
      <w:bookmarkEnd w:id="2742"/>
      <w:bookmarkEnd w:id="2743"/>
      <w:bookmarkEnd w:id="2744"/>
      <w:bookmarkEnd w:id="2745"/>
    </w:p>
    <w:p w14:paraId="4BFD327A">
      <w:pPr>
        <w:spacing w:after="160" w:line="278" w:lineRule="auto"/>
        <w:rPr>
          <w:sz w:val="22"/>
          <w:szCs w:val="28"/>
          <w:highlight w:val="none"/>
        </w:rPr>
      </w:pPr>
      <w:r>
        <w:rPr>
          <w:sz w:val="22"/>
          <w:szCs w:val="28"/>
          <w:highlight w:val="none"/>
        </w:rPr>
        <w:t>12.4.3 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2EA8B06">
      <w:pPr>
        <w:spacing w:after="160" w:line="278" w:lineRule="auto"/>
        <w:rPr>
          <w:sz w:val="22"/>
          <w:szCs w:val="28"/>
          <w:highlight w:val="none"/>
        </w:rPr>
      </w:pPr>
      <w:r>
        <w:rPr>
          <w:sz w:val="22"/>
          <w:szCs w:val="28"/>
          <w:highlight w:val="none"/>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2746" w:name="_Toc152045695"/>
      <w:bookmarkStart w:id="2747" w:name="_Toc144974664"/>
      <w:bookmarkStart w:id="2748" w:name="_Toc241459708"/>
      <w:bookmarkStart w:id="2749" w:name="_Toc179632713"/>
      <w:bookmarkStart w:id="2750" w:name="_Toc152042473"/>
    </w:p>
    <w:p w14:paraId="19C620B5">
      <w:pPr>
        <w:spacing w:after="160" w:line="278" w:lineRule="auto"/>
        <w:rPr>
          <w:sz w:val="22"/>
          <w:szCs w:val="28"/>
          <w:highlight w:val="none"/>
        </w:rPr>
      </w:pPr>
      <w:bookmarkStart w:id="2751" w:name="_Toc142385734"/>
      <w:bookmarkStart w:id="2752" w:name="_Toc448758559"/>
      <w:bookmarkStart w:id="2753" w:name="_Toc342296467"/>
      <w:bookmarkStart w:id="2754" w:name="_Toc469660054"/>
      <w:bookmarkStart w:id="2755" w:name="_Toc129798446"/>
      <w:bookmarkStart w:id="2756" w:name="_Toc448758459"/>
      <w:bookmarkStart w:id="2757" w:name="_Toc109914511"/>
      <w:bookmarkStart w:id="2758" w:name="_Toc442365651"/>
      <w:bookmarkStart w:id="2759" w:name="_Toc132619195"/>
      <w:r>
        <w:rPr>
          <w:sz w:val="22"/>
          <w:szCs w:val="28"/>
          <w:highlight w:val="none"/>
        </w:rPr>
        <w:t>13. 工程质量</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Start w:id="2760" w:name="_Toc152045697"/>
      <w:bookmarkStart w:id="2761" w:name="_Toc179632715"/>
      <w:bookmarkStart w:id="2762" w:name="_Toc144974666"/>
      <w:bookmarkStart w:id="2763" w:name="_Toc152042475"/>
    </w:p>
    <w:p w14:paraId="1F0CB95B">
      <w:pPr>
        <w:spacing w:after="160" w:line="278" w:lineRule="auto"/>
        <w:rPr>
          <w:sz w:val="22"/>
          <w:szCs w:val="28"/>
          <w:highlight w:val="none"/>
        </w:rPr>
      </w:pPr>
      <w:bookmarkStart w:id="2764" w:name="_Toc142385735"/>
      <w:bookmarkStart w:id="2765" w:name="_Toc129798447"/>
      <w:bookmarkStart w:id="2766" w:name="_Toc241459709"/>
      <w:bookmarkStart w:id="2767" w:name="_Toc109914512"/>
      <w:bookmarkStart w:id="2768" w:name="_Toc132619196"/>
      <w:bookmarkStart w:id="2769" w:name="_Toc342296468"/>
      <w:r>
        <w:rPr>
          <w:sz w:val="22"/>
          <w:szCs w:val="28"/>
          <w:highlight w:val="none"/>
        </w:rPr>
        <w:t>13.2 承包人的质量管理</w:t>
      </w:r>
      <w:bookmarkEnd w:id="2760"/>
      <w:bookmarkEnd w:id="2761"/>
      <w:bookmarkEnd w:id="2762"/>
      <w:bookmarkEnd w:id="2763"/>
      <w:bookmarkEnd w:id="2764"/>
      <w:bookmarkEnd w:id="2765"/>
      <w:bookmarkEnd w:id="2766"/>
      <w:bookmarkEnd w:id="2767"/>
      <w:bookmarkEnd w:id="2768"/>
      <w:bookmarkEnd w:id="2769"/>
    </w:p>
    <w:p w14:paraId="4A38694E">
      <w:pPr>
        <w:spacing w:after="160" w:line="278" w:lineRule="auto"/>
        <w:rPr>
          <w:sz w:val="22"/>
          <w:szCs w:val="28"/>
          <w:highlight w:val="none"/>
        </w:rPr>
      </w:pPr>
      <w:bookmarkStart w:id="2770" w:name="_Toc144974667"/>
      <w:bookmarkStart w:id="2771" w:name="_Toc152045698"/>
      <w:bookmarkStart w:id="2772" w:name="_Toc152042476"/>
      <w:bookmarkStart w:id="2773" w:name="_Toc179632716"/>
      <w:r>
        <w:rPr>
          <w:sz w:val="22"/>
          <w:szCs w:val="28"/>
          <w:highlight w:val="none"/>
        </w:rPr>
        <w:t>13.2.1承包人向监理人提交工程质量保证措施文件的期限：合同签订后7日内 。</w:t>
      </w:r>
    </w:p>
    <w:p w14:paraId="1FE3264F">
      <w:pPr>
        <w:spacing w:after="160" w:line="278" w:lineRule="auto"/>
        <w:rPr>
          <w:sz w:val="22"/>
          <w:szCs w:val="28"/>
          <w:highlight w:val="none"/>
        </w:rPr>
      </w:pPr>
      <w:r>
        <w:rPr>
          <w:sz w:val="22"/>
          <w:szCs w:val="28"/>
          <w:highlight w:val="none"/>
        </w:rPr>
        <w:t>监理人审批工程质量保证措施文件的期限：收到承包人提交的工程质量保证措施文件7日内。</w:t>
      </w:r>
    </w:p>
    <w:p w14:paraId="1336BD4A">
      <w:pPr>
        <w:spacing w:after="160" w:line="278" w:lineRule="auto"/>
        <w:rPr>
          <w:sz w:val="22"/>
          <w:szCs w:val="28"/>
          <w:highlight w:val="none"/>
        </w:rPr>
      </w:pPr>
      <w:bookmarkStart w:id="2774" w:name="_Toc142385736"/>
      <w:bookmarkStart w:id="2775" w:name="_Toc129798448"/>
      <w:bookmarkStart w:id="2776" w:name="_Toc132619197"/>
      <w:bookmarkStart w:id="2777" w:name="_Toc109914513"/>
      <w:bookmarkStart w:id="2778" w:name="_Toc342296469"/>
      <w:bookmarkStart w:id="2779" w:name="_Toc241459710"/>
      <w:r>
        <w:rPr>
          <w:sz w:val="22"/>
          <w:szCs w:val="28"/>
          <w:highlight w:val="none"/>
        </w:rPr>
        <w:t>13.3 承包人的质量检查</w:t>
      </w:r>
      <w:bookmarkEnd w:id="2770"/>
      <w:bookmarkEnd w:id="2771"/>
      <w:bookmarkEnd w:id="2772"/>
      <w:bookmarkEnd w:id="2773"/>
      <w:bookmarkEnd w:id="2774"/>
      <w:bookmarkEnd w:id="2775"/>
      <w:bookmarkEnd w:id="2776"/>
      <w:bookmarkEnd w:id="2777"/>
      <w:bookmarkEnd w:id="2778"/>
      <w:bookmarkEnd w:id="2779"/>
    </w:p>
    <w:p w14:paraId="7362B094">
      <w:pPr>
        <w:spacing w:after="160" w:line="278" w:lineRule="auto"/>
        <w:rPr>
          <w:sz w:val="22"/>
          <w:szCs w:val="28"/>
          <w:highlight w:val="none"/>
        </w:rPr>
      </w:pPr>
      <w:bookmarkStart w:id="2780" w:name="_Toc179632717"/>
      <w:bookmarkStart w:id="2781" w:name="_Toc152042477"/>
      <w:bookmarkStart w:id="2782" w:name="_Toc152045699"/>
      <w:bookmarkStart w:id="2783" w:name="_Toc144974668"/>
      <w:r>
        <w:rPr>
          <w:sz w:val="22"/>
          <w:szCs w:val="28"/>
          <w:highlight w:val="none"/>
        </w:rPr>
        <w:t>承包人向监理人报送工程质量报表的期限：需监理人查验前48小时。</w:t>
      </w:r>
    </w:p>
    <w:bookmarkEnd w:id="2780"/>
    <w:bookmarkEnd w:id="2781"/>
    <w:bookmarkEnd w:id="2782"/>
    <w:bookmarkEnd w:id="2783"/>
    <w:p w14:paraId="073F996E">
      <w:pPr>
        <w:spacing w:after="160" w:line="278" w:lineRule="auto"/>
        <w:rPr>
          <w:sz w:val="22"/>
          <w:szCs w:val="28"/>
          <w:highlight w:val="none"/>
        </w:rPr>
      </w:pPr>
      <w:bookmarkStart w:id="2784" w:name="_Toc144974669"/>
      <w:bookmarkStart w:id="2785" w:name="_Toc152042478"/>
      <w:bookmarkStart w:id="2786" w:name="_Toc179632718"/>
      <w:bookmarkStart w:id="2787" w:name="_Toc152045700"/>
      <w:r>
        <w:rPr>
          <w:sz w:val="22"/>
          <w:szCs w:val="28"/>
          <w:highlight w:val="none"/>
        </w:rPr>
        <w:t>承包人向监理人报送工程质量报表的要求：表中至少包含：各方责任主体质量行为情况、第三方监测质量行为情况；重要部位、关键工序工程质量存在的主要问题及整改情况；材料进场验收及原材料试验情况。</w:t>
      </w:r>
    </w:p>
    <w:p w14:paraId="74127F3E">
      <w:pPr>
        <w:spacing w:after="160" w:line="278" w:lineRule="auto"/>
        <w:rPr>
          <w:sz w:val="22"/>
          <w:szCs w:val="28"/>
          <w:highlight w:val="none"/>
        </w:rPr>
      </w:pPr>
      <w:r>
        <w:rPr>
          <w:sz w:val="22"/>
          <w:szCs w:val="28"/>
          <w:highlight w:val="none"/>
        </w:rPr>
        <w:t>监理人审查工程质量报表的期限：收到工程质量报表后5日内。</w:t>
      </w:r>
    </w:p>
    <w:p w14:paraId="3487CC2A">
      <w:pPr>
        <w:spacing w:after="160" w:line="278" w:lineRule="auto"/>
        <w:rPr>
          <w:sz w:val="22"/>
          <w:szCs w:val="28"/>
          <w:highlight w:val="none"/>
        </w:rPr>
      </w:pPr>
      <w:bookmarkStart w:id="2788" w:name="_Toc129798449"/>
      <w:bookmarkStart w:id="2789" w:name="_Toc142385737"/>
      <w:bookmarkStart w:id="2790" w:name="_Toc241459711"/>
      <w:bookmarkStart w:id="2791" w:name="_Toc132619198"/>
      <w:bookmarkStart w:id="2792" w:name="_Toc109914514"/>
      <w:bookmarkStart w:id="2793" w:name="_Toc342296470"/>
      <w:r>
        <w:rPr>
          <w:sz w:val="22"/>
          <w:szCs w:val="28"/>
          <w:highlight w:val="none"/>
        </w:rPr>
        <w:t>13.4 监理人的质量检查</w:t>
      </w:r>
      <w:bookmarkEnd w:id="2788"/>
      <w:bookmarkEnd w:id="2789"/>
      <w:bookmarkEnd w:id="2790"/>
      <w:bookmarkEnd w:id="2791"/>
      <w:bookmarkEnd w:id="2792"/>
      <w:bookmarkEnd w:id="2793"/>
    </w:p>
    <w:p w14:paraId="69197C9D">
      <w:pPr>
        <w:spacing w:after="160" w:line="278" w:lineRule="auto"/>
        <w:rPr>
          <w:sz w:val="22"/>
          <w:szCs w:val="28"/>
          <w:highlight w:val="none"/>
        </w:rPr>
      </w:pPr>
      <w:r>
        <w:rPr>
          <w:sz w:val="22"/>
          <w:szCs w:val="28"/>
          <w:highlight w:val="none"/>
        </w:rPr>
        <w:t>承包人应当为监理人的检查和检验提供方便，监理人可以进行察看和查阅施工原始记录的其他地方包括：施工场地、承包人的现场试验场所、承包人的预制构件制作车间、承包人门窗制作车间等重要材料设备制作场地。</w:t>
      </w:r>
    </w:p>
    <w:p w14:paraId="5D5C150F">
      <w:pPr>
        <w:spacing w:after="160" w:line="278" w:lineRule="auto"/>
        <w:rPr>
          <w:sz w:val="22"/>
          <w:szCs w:val="28"/>
          <w:highlight w:val="none"/>
        </w:rPr>
      </w:pPr>
      <w:bookmarkStart w:id="2794" w:name="_Toc342296471"/>
      <w:bookmarkStart w:id="2795" w:name="_Toc142385738"/>
      <w:bookmarkStart w:id="2796" w:name="_Toc132619199"/>
      <w:bookmarkStart w:id="2797" w:name="_Toc129798450"/>
      <w:bookmarkStart w:id="2798" w:name="_Toc109914515"/>
      <w:bookmarkStart w:id="2799" w:name="_Toc241459712"/>
      <w:r>
        <w:rPr>
          <w:sz w:val="22"/>
          <w:szCs w:val="28"/>
          <w:highlight w:val="none"/>
        </w:rPr>
        <w:t>13.5 工程隐蔽部位覆盖前的检查</w:t>
      </w:r>
      <w:bookmarkEnd w:id="2784"/>
      <w:bookmarkEnd w:id="2785"/>
      <w:bookmarkEnd w:id="2786"/>
      <w:bookmarkEnd w:id="2787"/>
      <w:bookmarkEnd w:id="2794"/>
      <w:bookmarkEnd w:id="2795"/>
      <w:bookmarkEnd w:id="2796"/>
      <w:bookmarkEnd w:id="2797"/>
      <w:bookmarkEnd w:id="2798"/>
      <w:bookmarkEnd w:id="2799"/>
    </w:p>
    <w:p w14:paraId="0D596F32">
      <w:pPr>
        <w:spacing w:after="160" w:line="278" w:lineRule="auto"/>
        <w:rPr>
          <w:sz w:val="22"/>
          <w:szCs w:val="28"/>
          <w:highlight w:val="none"/>
        </w:rPr>
      </w:pPr>
      <w:r>
        <w:rPr>
          <w:sz w:val="22"/>
          <w:szCs w:val="28"/>
          <w:highlight w:val="none"/>
        </w:rPr>
        <w:t>13.5.1 监理人对工程隐蔽部位进行检查的期限：收到承包人的检查通知后12小时内。</w:t>
      </w:r>
    </w:p>
    <w:p w14:paraId="7F900AE3">
      <w:pPr>
        <w:spacing w:after="160" w:line="278" w:lineRule="auto"/>
        <w:rPr>
          <w:sz w:val="22"/>
          <w:szCs w:val="28"/>
          <w:highlight w:val="none"/>
        </w:rPr>
      </w:pPr>
      <w:bookmarkStart w:id="2800" w:name="_Toc241459713"/>
      <w:bookmarkStart w:id="2801" w:name="_Toc129798451"/>
      <w:bookmarkStart w:id="2802" w:name="_Toc342296472"/>
      <w:bookmarkStart w:id="2803" w:name="_Toc142385739"/>
      <w:bookmarkStart w:id="2804" w:name="_Toc132619200"/>
      <w:bookmarkStart w:id="2805" w:name="_Toc109914516"/>
      <w:bookmarkStart w:id="2806" w:name="_Toc152042484"/>
      <w:bookmarkStart w:id="2807" w:name="_Toc152045706"/>
      <w:bookmarkStart w:id="2808" w:name="_Toc144974675"/>
      <w:bookmarkStart w:id="2809" w:name="_Toc179632724"/>
      <w:r>
        <w:rPr>
          <w:sz w:val="22"/>
          <w:szCs w:val="28"/>
          <w:highlight w:val="none"/>
        </w:rPr>
        <w:t>13.7 质量争议</w:t>
      </w:r>
      <w:bookmarkEnd w:id="2800"/>
      <w:bookmarkEnd w:id="2801"/>
      <w:bookmarkEnd w:id="2802"/>
      <w:bookmarkEnd w:id="2803"/>
      <w:bookmarkEnd w:id="2804"/>
      <w:bookmarkEnd w:id="2805"/>
    </w:p>
    <w:p w14:paraId="3180A06A">
      <w:pPr>
        <w:spacing w:after="160" w:line="278" w:lineRule="auto"/>
        <w:rPr>
          <w:sz w:val="22"/>
          <w:szCs w:val="28"/>
          <w:highlight w:val="none"/>
        </w:rPr>
      </w:pPr>
      <w:r>
        <w:rPr>
          <w:sz w:val="22"/>
          <w:szCs w:val="28"/>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44FB69D">
      <w:pPr>
        <w:spacing w:after="160" w:line="278" w:lineRule="auto"/>
        <w:rPr>
          <w:sz w:val="22"/>
          <w:szCs w:val="28"/>
          <w:highlight w:val="none"/>
        </w:rPr>
      </w:pPr>
      <w:bookmarkStart w:id="2810" w:name="_Toc241459714"/>
      <w:bookmarkStart w:id="2811" w:name="_Toc109914517"/>
      <w:bookmarkStart w:id="2812" w:name="_Toc448758460"/>
      <w:bookmarkStart w:id="2813" w:name="_Toc469660055"/>
      <w:bookmarkStart w:id="2814" w:name="_Toc129798452"/>
      <w:bookmarkStart w:id="2815" w:name="_Toc142385740"/>
      <w:bookmarkStart w:id="2816" w:name="_Toc442365652"/>
      <w:bookmarkStart w:id="2817" w:name="_Toc132619201"/>
      <w:bookmarkStart w:id="2818" w:name="_Toc448758560"/>
      <w:bookmarkStart w:id="2819" w:name="_Toc342296473"/>
      <w:r>
        <w:rPr>
          <w:sz w:val="22"/>
          <w:szCs w:val="28"/>
          <w:highlight w:val="none"/>
        </w:rPr>
        <w:t>15. 变更</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14:paraId="4EC1D8B7">
      <w:pPr>
        <w:spacing w:after="160" w:line="278" w:lineRule="auto"/>
        <w:rPr>
          <w:sz w:val="22"/>
          <w:szCs w:val="28"/>
          <w:highlight w:val="none"/>
        </w:rPr>
      </w:pPr>
      <w:bookmarkStart w:id="2820" w:name="_Toc342296474"/>
      <w:bookmarkStart w:id="2821" w:name="_Toc129798453"/>
      <w:bookmarkStart w:id="2822" w:name="_Toc152042485"/>
      <w:bookmarkStart w:id="2823" w:name="_Toc179632725"/>
      <w:bookmarkStart w:id="2824" w:name="_Toc109914518"/>
      <w:bookmarkStart w:id="2825" w:name="_Toc152045707"/>
      <w:bookmarkStart w:id="2826" w:name="_Toc144974676"/>
      <w:bookmarkStart w:id="2827" w:name="_Toc142385741"/>
      <w:bookmarkStart w:id="2828" w:name="_Toc241459715"/>
      <w:bookmarkStart w:id="2829" w:name="_Toc132619202"/>
      <w:r>
        <w:rPr>
          <w:sz w:val="22"/>
          <w:szCs w:val="28"/>
          <w:highlight w:val="none"/>
        </w:rPr>
        <w:t>15.1 变更的范围和内容</w:t>
      </w:r>
      <w:bookmarkEnd w:id="2820"/>
      <w:bookmarkEnd w:id="2821"/>
      <w:bookmarkEnd w:id="2822"/>
      <w:bookmarkEnd w:id="2823"/>
      <w:bookmarkEnd w:id="2824"/>
      <w:bookmarkEnd w:id="2825"/>
      <w:bookmarkEnd w:id="2826"/>
      <w:bookmarkEnd w:id="2827"/>
      <w:bookmarkEnd w:id="2828"/>
      <w:bookmarkEnd w:id="2829"/>
    </w:p>
    <w:p w14:paraId="056A1608">
      <w:pPr>
        <w:spacing w:after="160" w:line="278" w:lineRule="auto"/>
        <w:rPr>
          <w:sz w:val="22"/>
          <w:szCs w:val="28"/>
          <w:highlight w:val="none"/>
        </w:rPr>
      </w:pPr>
      <w:r>
        <w:rPr>
          <w:sz w:val="22"/>
          <w:szCs w:val="28"/>
          <w:highlight w:val="none"/>
        </w:rPr>
        <w:t>应当进行变更的其他情形：</w:t>
      </w:r>
      <w:r>
        <w:rPr>
          <w:sz w:val="22"/>
          <w:szCs w:val="28"/>
          <w:highlight w:val="none"/>
          <w:u w:val="single"/>
        </w:rPr>
        <w:t>招标图纸和清单范围之外的工作内容。</w:t>
      </w:r>
    </w:p>
    <w:p w14:paraId="155BF83E">
      <w:pPr>
        <w:spacing w:after="160" w:line="278" w:lineRule="auto"/>
        <w:rPr>
          <w:sz w:val="22"/>
          <w:szCs w:val="28"/>
          <w:highlight w:val="none"/>
        </w:rPr>
      </w:pPr>
      <w:r>
        <w:rPr>
          <w:sz w:val="22"/>
          <w:szCs w:val="28"/>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4437BC96">
      <w:pPr>
        <w:spacing w:after="160" w:line="278" w:lineRule="auto"/>
        <w:rPr>
          <w:sz w:val="22"/>
          <w:szCs w:val="28"/>
          <w:highlight w:val="none"/>
        </w:rPr>
      </w:pPr>
      <w:bookmarkStart w:id="2830" w:name="_Toc342296475"/>
      <w:bookmarkStart w:id="2831" w:name="_Toc109914519"/>
      <w:bookmarkStart w:id="2832" w:name="_Toc132619203"/>
      <w:bookmarkStart w:id="2833" w:name="_Toc152042487"/>
      <w:bookmarkStart w:id="2834" w:name="_Toc129798454"/>
      <w:bookmarkStart w:id="2835" w:name="_Toc179632727"/>
      <w:bookmarkStart w:id="2836" w:name="_Toc142385742"/>
      <w:bookmarkStart w:id="2837" w:name="_Toc144974678"/>
      <w:bookmarkStart w:id="2838" w:name="_Toc152045709"/>
      <w:bookmarkStart w:id="2839" w:name="_Toc241459716"/>
      <w:r>
        <w:rPr>
          <w:sz w:val="22"/>
          <w:szCs w:val="28"/>
          <w:highlight w:val="none"/>
        </w:rPr>
        <w:t>15.3 变更程序</w:t>
      </w:r>
      <w:bookmarkEnd w:id="2830"/>
      <w:bookmarkEnd w:id="2831"/>
      <w:bookmarkEnd w:id="2832"/>
      <w:bookmarkEnd w:id="2833"/>
      <w:bookmarkEnd w:id="2834"/>
      <w:bookmarkEnd w:id="2835"/>
      <w:bookmarkEnd w:id="2836"/>
      <w:bookmarkEnd w:id="2837"/>
      <w:bookmarkEnd w:id="2838"/>
      <w:bookmarkEnd w:id="2839"/>
    </w:p>
    <w:p w14:paraId="38158C11">
      <w:pPr>
        <w:spacing w:after="160" w:line="278" w:lineRule="auto"/>
        <w:rPr>
          <w:sz w:val="22"/>
          <w:szCs w:val="28"/>
          <w:highlight w:val="none"/>
        </w:rPr>
      </w:pPr>
      <w:r>
        <w:rPr>
          <w:sz w:val="22"/>
          <w:szCs w:val="28"/>
          <w:highlight w:val="none"/>
        </w:rPr>
        <w:t xml:space="preserve">15.3.2 </w:t>
      </w:r>
      <w:r>
        <w:rPr>
          <w:rFonts w:hint="eastAsia"/>
          <w:sz w:val="22"/>
          <w:szCs w:val="28"/>
          <w:highlight w:val="none"/>
        </w:rPr>
        <w:t>变更估价</w:t>
      </w:r>
    </w:p>
    <w:p w14:paraId="57FA7344">
      <w:pPr>
        <w:spacing w:after="160" w:line="278" w:lineRule="auto"/>
        <w:rPr>
          <w:sz w:val="22"/>
          <w:szCs w:val="28"/>
          <w:highlight w:val="none"/>
        </w:rPr>
      </w:pPr>
      <w:r>
        <w:rPr>
          <w:sz w:val="22"/>
          <w:szCs w:val="28"/>
          <w:highlight w:val="none"/>
        </w:rPr>
        <w:t>（1）承包人提交变更报价书的期限：承包人收到变更指示或变更意向书后7日内。</w:t>
      </w:r>
    </w:p>
    <w:p w14:paraId="117A227C">
      <w:pPr>
        <w:spacing w:after="160" w:line="278" w:lineRule="auto"/>
        <w:rPr>
          <w:sz w:val="22"/>
          <w:szCs w:val="28"/>
          <w:highlight w:val="none"/>
        </w:rPr>
      </w:pPr>
      <w:r>
        <w:rPr>
          <w:sz w:val="22"/>
          <w:szCs w:val="28"/>
          <w:highlight w:val="none"/>
        </w:rPr>
        <w:t>（3）监理人商定或确定变更价格的期限：监理人收到承包人变更报价书后7日内。</w:t>
      </w:r>
    </w:p>
    <w:p w14:paraId="4B584A55">
      <w:pPr>
        <w:spacing w:after="160" w:line="278" w:lineRule="auto"/>
        <w:rPr>
          <w:sz w:val="22"/>
          <w:szCs w:val="28"/>
          <w:highlight w:val="none"/>
        </w:rPr>
      </w:pPr>
      <w:r>
        <w:rPr>
          <w:sz w:val="22"/>
          <w:szCs w:val="28"/>
          <w:highlight w:val="none"/>
        </w:rPr>
        <w:t>（4）收到变更指示后，如承包人未在规定的期限内提交变更报价书的，监理人可自行决定是否调整合同价款以及如果监理人决定调整合同价款时，相应调整的具体金额。</w:t>
      </w:r>
    </w:p>
    <w:p w14:paraId="74D628A7">
      <w:pPr>
        <w:spacing w:after="160" w:line="278" w:lineRule="auto"/>
        <w:rPr>
          <w:sz w:val="22"/>
          <w:szCs w:val="28"/>
          <w:highlight w:val="none"/>
        </w:rPr>
      </w:pPr>
      <w:bookmarkStart w:id="2840" w:name="_Toc342296476"/>
      <w:bookmarkStart w:id="2841" w:name="_Toc152045710"/>
      <w:bookmarkStart w:id="2842" w:name="_Toc241459717"/>
      <w:bookmarkStart w:id="2843" w:name="_Toc142385743"/>
      <w:bookmarkStart w:id="2844" w:name="_Toc132619204"/>
      <w:bookmarkStart w:id="2845" w:name="_Toc152042488"/>
      <w:bookmarkStart w:id="2846" w:name="_Toc129798455"/>
      <w:bookmarkStart w:id="2847" w:name="_Toc144974679"/>
      <w:bookmarkStart w:id="2848" w:name="_Toc179632728"/>
      <w:bookmarkStart w:id="2849" w:name="_Toc109914520"/>
      <w:r>
        <w:rPr>
          <w:sz w:val="22"/>
          <w:szCs w:val="28"/>
          <w:highlight w:val="none"/>
        </w:rPr>
        <w:t>15.4 变更的估价原则</w:t>
      </w:r>
      <w:bookmarkEnd w:id="2840"/>
      <w:bookmarkEnd w:id="2841"/>
      <w:bookmarkEnd w:id="2842"/>
      <w:bookmarkEnd w:id="2843"/>
      <w:bookmarkEnd w:id="2844"/>
      <w:bookmarkEnd w:id="2845"/>
      <w:bookmarkEnd w:id="2846"/>
      <w:bookmarkEnd w:id="2847"/>
      <w:bookmarkEnd w:id="2848"/>
      <w:bookmarkEnd w:id="2849"/>
    </w:p>
    <w:p w14:paraId="3A3D1D95">
      <w:pPr>
        <w:spacing w:after="160" w:line="278" w:lineRule="auto"/>
        <w:rPr>
          <w:sz w:val="22"/>
          <w:szCs w:val="28"/>
          <w:highlight w:val="none"/>
        </w:rPr>
      </w:pPr>
      <w:r>
        <w:rPr>
          <w:sz w:val="22"/>
          <w:szCs w:val="28"/>
          <w:highlight w:val="none"/>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724A434A">
      <w:pPr>
        <w:spacing w:after="160" w:line="278" w:lineRule="auto"/>
        <w:rPr>
          <w:sz w:val="22"/>
          <w:szCs w:val="28"/>
          <w:highlight w:val="none"/>
        </w:rPr>
      </w:pPr>
      <w:r>
        <w:rPr>
          <w:sz w:val="22"/>
          <w:szCs w:val="28"/>
          <w:highlight w:val="none"/>
        </w:rPr>
        <w:t>15.4.5 合同协议书约定采用单价合同形式时，因非承包人原因引起已标价工程量清单中列明的工程量发生增减，且单个子目工程量变化幅度在</w:t>
      </w:r>
      <w:r>
        <w:rPr>
          <w:sz w:val="22"/>
          <w:szCs w:val="28"/>
          <w:highlight w:val="none"/>
          <w:u w:val="single"/>
        </w:rPr>
        <w:t xml:space="preserve">   /   </w:t>
      </w:r>
      <w:r>
        <w:rPr>
          <w:sz w:val="22"/>
          <w:szCs w:val="28"/>
          <w:highlight w:val="none"/>
        </w:rPr>
        <w:t>%以内（含）时，应执行已标价工程量清单中列明的该子目的单价；单个子目工程量变化幅度在</w:t>
      </w:r>
      <w:r>
        <w:rPr>
          <w:sz w:val="22"/>
          <w:szCs w:val="28"/>
          <w:highlight w:val="none"/>
          <w:u w:val="single"/>
        </w:rPr>
        <w:t xml:space="preserve">   /   </w:t>
      </w:r>
      <w:r>
        <w:rPr>
          <w:sz w:val="22"/>
          <w:szCs w:val="28"/>
          <w:highlight w:val="none"/>
        </w:rPr>
        <w:t xml:space="preserve">%以外（不含），且导致分部分项工程费总额变化幅度超过  </w:t>
      </w:r>
      <w:r>
        <w:rPr>
          <w:sz w:val="22"/>
          <w:szCs w:val="28"/>
          <w:highlight w:val="none"/>
          <w:u w:val="single"/>
        </w:rPr>
        <w:t xml:space="preserve">  /   </w:t>
      </w:r>
      <w:r>
        <w:rPr>
          <w:sz w:val="22"/>
          <w:szCs w:val="28"/>
          <w:highlight w:val="none"/>
        </w:rPr>
        <w:t xml:space="preserve"> %时，由承包人提出并由监理人按第3.5款商定或确定新的单价，该子目按修正后的新的单价计价。</w:t>
      </w:r>
    </w:p>
    <w:p w14:paraId="4202433C">
      <w:pPr>
        <w:spacing w:after="160" w:line="278" w:lineRule="auto"/>
        <w:rPr>
          <w:sz w:val="22"/>
          <w:szCs w:val="28"/>
          <w:highlight w:val="none"/>
        </w:rPr>
      </w:pPr>
      <w:r>
        <w:rPr>
          <w:sz w:val="22"/>
          <w:szCs w:val="28"/>
          <w:highlight w:val="none"/>
        </w:rPr>
        <w:t xml:space="preserve">5.4.6 因变更引起价格调整的其他处理方式： </w:t>
      </w:r>
      <w:r>
        <w:rPr>
          <w:sz w:val="22"/>
          <w:szCs w:val="28"/>
          <w:highlight w:val="none"/>
          <w:u w:val="single"/>
        </w:rPr>
        <w:t xml:space="preserve">            /        </w:t>
      </w:r>
      <w:r>
        <w:rPr>
          <w:sz w:val="22"/>
          <w:szCs w:val="28"/>
          <w:highlight w:val="none"/>
        </w:rPr>
        <w:t xml:space="preserve">    。</w:t>
      </w:r>
    </w:p>
    <w:p w14:paraId="68BD38F5">
      <w:pPr>
        <w:spacing w:after="160" w:line="278" w:lineRule="auto"/>
        <w:rPr>
          <w:sz w:val="22"/>
          <w:szCs w:val="28"/>
          <w:highlight w:val="none"/>
        </w:rPr>
      </w:pPr>
      <w:bookmarkStart w:id="2850" w:name="_Toc129798456"/>
      <w:bookmarkStart w:id="2851" w:name="_Toc144974680"/>
      <w:bookmarkStart w:id="2852" w:name="_Toc132619205"/>
      <w:bookmarkStart w:id="2853" w:name="_Toc179632729"/>
      <w:bookmarkStart w:id="2854" w:name="_Toc241459718"/>
      <w:bookmarkStart w:id="2855" w:name="_Toc152042489"/>
      <w:bookmarkStart w:id="2856" w:name="_Toc142385744"/>
      <w:bookmarkStart w:id="2857" w:name="_Toc109914521"/>
      <w:bookmarkStart w:id="2858" w:name="_Toc152045711"/>
      <w:bookmarkStart w:id="2859" w:name="_Toc342296477"/>
      <w:r>
        <w:rPr>
          <w:sz w:val="22"/>
          <w:szCs w:val="28"/>
          <w:highlight w:val="none"/>
        </w:rPr>
        <w:t>15.5 承包人的合理化建议</w:t>
      </w:r>
      <w:bookmarkEnd w:id="2850"/>
      <w:bookmarkEnd w:id="2851"/>
      <w:bookmarkEnd w:id="2852"/>
      <w:bookmarkEnd w:id="2853"/>
      <w:bookmarkEnd w:id="2854"/>
      <w:bookmarkEnd w:id="2855"/>
      <w:bookmarkEnd w:id="2856"/>
      <w:bookmarkEnd w:id="2857"/>
      <w:bookmarkEnd w:id="2858"/>
      <w:bookmarkEnd w:id="2859"/>
    </w:p>
    <w:p w14:paraId="057CCF9B">
      <w:pPr>
        <w:spacing w:after="160" w:line="278" w:lineRule="auto"/>
        <w:rPr>
          <w:sz w:val="22"/>
          <w:szCs w:val="28"/>
          <w:highlight w:val="none"/>
        </w:rPr>
      </w:pPr>
      <w:r>
        <w:rPr>
          <w:sz w:val="22"/>
          <w:szCs w:val="28"/>
          <w:highlight w:val="none"/>
        </w:rPr>
        <w:t xml:space="preserve">15.5.2对承包人提出合理化建议的奖励方法：  </w:t>
      </w:r>
      <w:r>
        <w:rPr>
          <w:sz w:val="22"/>
          <w:szCs w:val="28"/>
          <w:highlight w:val="none"/>
          <w:u w:val="single"/>
        </w:rPr>
        <w:t xml:space="preserve">       /            </w:t>
      </w:r>
      <w:r>
        <w:rPr>
          <w:sz w:val="22"/>
          <w:szCs w:val="28"/>
          <w:highlight w:val="none"/>
        </w:rPr>
        <w:t xml:space="preserve">     。</w:t>
      </w:r>
    </w:p>
    <w:p w14:paraId="29E5F547">
      <w:pPr>
        <w:spacing w:after="160" w:line="278" w:lineRule="auto"/>
        <w:rPr>
          <w:sz w:val="22"/>
          <w:szCs w:val="28"/>
          <w:highlight w:val="none"/>
        </w:rPr>
      </w:pPr>
      <w:bookmarkStart w:id="2860" w:name="_Toc144974683"/>
      <w:bookmarkStart w:id="2861" w:name="_Toc132619206"/>
      <w:bookmarkStart w:id="2862" w:name="_Toc129798457"/>
      <w:bookmarkStart w:id="2863" w:name="_Toc152045714"/>
      <w:bookmarkStart w:id="2864" w:name="_Toc241459719"/>
      <w:bookmarkStart w:id="2865" w:name="_Toc342296478"/>
      <w:bookmarkStart w:id="2866" w:name="_Toc179632732"/>
      <w:bookmarkStart w:id="2867" w:name="_Toc152042492"/>
      <w:bookmarkStart w:id="2868" w:name="_Toc109914522"/>
      <w:bookmarkStart w:id="2869" w:name="_Toc142385745"/>
      <w:r>
        <w:rPr>
          <w:sz w:val="22"/>
          <w:szCs w:val="28"/>
          <w:highlight w:val="none"/>
        </w:rPr>
        <w:t>15.8 暂估价</w:t>
      </w:r>
      <w:bookmarkEnd w:id="2860"/>
      <w:bookmarkEnd w:id="2861"/>
      <w:bookmarkEnd w:id="2862"/>
      <w:bookmarkEnd w:id="2863"/>
      <w:bookmarkEnd w:id="2864"/>
      <w:bookmarkEnd w:id="2865"/>
      <w:bookmarkEnd w:id="2866"/>
      <w:bookmarkEnd w:id="2867"/>
      <w:bookmarkEnd w:id="2868"/>
      <w:bookmarkEnd w:id="2869"/>
    </w:p>
    <w:p w14:paraId="4E8018BC">
      <w:pPr>
        <w:spacing w:after="160" w:line="278" w:lineRule="auto"/>
        <w:rPr>
          <w:sz w:val="22"/>
          <w:szCs w:val="28"/>
          <w:highlight w:val="none"/>
        </w:rPr>
      </w:pPr>
      <w:r>
        <w:rPr>
          <w:sz w:val="22"/>
          <w:szCs w:val="28"/>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47D00F54">
      <w:pPr>
        <w:spacing w:after="160" w:line="278" w:lineRule="auto"/>
        <w:rPr>
          <w:sz w:val="22"/>
          <w:szCs w:val="28"/>
          <w:highlight w:val="none"/>
        </w:rPr>
      </w:pPr>
      <w:r>
        <w:rPr>
          <w:sz w:val="22"/>
          <w:szCs w:val="28"/>
          <w:highlight w:val="none"/>
        </w:rPr>
        <w:t>（1）在任何招标工作启动前，承包人应当提前至少 7 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 3 天内给予批准或者提出修改意见。承包人应当严格按照经过发包人批准的招标工作计划开展招标工作。</w:t>
      </w:r>
    </w:p>
    <w:p w14:paraId="4EC7D08F">
      <w:pPr>
        <w:spacing w:after="160" w:line="278" w:lineRule="auto"/>
        <w:rPr>
          <w:sz w:val="22"/>
          <w:szCs w:val="28"/>
          <w:highlight w:val="none"/>
        </w:rPr>
      </w:pPr>
      <w:r>
        <w:rPr>
          <w:sz w:val="22"/>
          <w:szCs w:val="28"/>
          <w:highlight w:val="none"/>
        </w:rPr>
        <w:t>（2）承包人应当在发出招标公告（或者资格预审公告或者投标邀请书）、资格预审文件和招标文件前至少 7 天，分别将相关文件通过监理人报请发包人审批，发包人应当在监理人收到承包人报送的相关文件后 3 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06AE5B76">
      <w:pPr>
        <w:spacing w:after="160" w:line="278" w:lineRule="auto"/>
        <w:rPr>
          <w:sz w:val="22"/>
          <w:szCs w:val="28"/>
          <w:highlight w:val="none"/>
        </w:rPr>
      </w:pPr>
      <w:r>
        <w:rPr>
          <w:sz w:val="22"/>
          <w:szCs w:val="28"/>
          <w:highlight w:val="none"/>
        </w:rPr>
        <w:t>（3）如果发、承包任何一方委派评标代表，评标委员会应当由七人以上单数构成。</w:t>
      </w:r>
    </w:p>
    <w:p w14:paraId="2E27E78E">
      <w:pPr>
        <w:spacing w:after="160" w:line="278" w:lineRule="auto"/>
        <w:rPr>
          <w:sz w:val="22"/>
          <w:szCs w:val="28"/>
          <w:highlight w:val="none"/>
        </w:rPr>
      </w:pPr>
      <w:r>
        <w:rPr>
          <w:sz w:val="22"/>
          <w:szCs w:val="28"/>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0E86DE6F">
      <w:pPr>
        <w:spacing w:after="160" w:line="278" w:lineRule="auto"/>
        <w:rPr>
          <w:sz w:val="22"/>
          <w:szCs w:val="28"/>
          <w:highlight w:val="none"/>
        </w:rPr>
      </w:pPr>
      <w:r>
        <w:rPr>
          <w:sz w:val="22"/>
          <w:szCs w:val="28"/>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30CDA1C8">
      <w:pPr>
        <w:spacing w:after="160" w:line="278" w:lineRule="auto"/>
        <w:rPr>
          <w:sz w:val="22"/>
          <w:szCs w:val="28"/>
          <w:highlight w:val="none"/>
        </w:rPr>
      </w:pPr>
      <w:r>
        <w:rPr>
          <w:sz w:val="22"/>
          <w:szCs w:val="28"/>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A8D6B66">
      <w:pPr>
        <w:spacing w:after="160" w:line="278" w:lineRule="auto"/>
        <w:rPr>
          <w:sz w:val="22"/>
          <w:szCs w:val="28"/>
          <w:highlight w:val="none"/>
        </w:rPr>
      </w:pPr>
      <w:r>
        <w:rPr>
          <w:sz w:val="22"/>
          <w:szCs w:val="28"/>
          <w:highlight w:val="none"/>
        </w:rPr>
        <w:t>（7）承包人与专业分包人或者专项供应商订立合同前 10 天，应当将准备用于正式签订的合同文件通过监理人报发包人审核，发包人应当在监理人收到相关文件后 7 天内给予批准或者提出修改意见，承包人应当按照发包人批准的合同文件签订相关合同，合同订立后  7 天内，承包人应当将其中的两份副本报送监理人，其中一份由监理人报发包人留存。</w:t>
      </w:r>
    </w:p>
    <w:p w14:paraId="45593A74">
      <w:pPr>
        <w:spacing w:after="160" w:line="278" w:lineRule="auto"/>
        <w:rPr>
          <w:sz w:val="22"/>
          <w:szCs w:val="28"/>
          <w:highlight w:val="none"/>
        </w:rPr>
      </w:pPr>
      <w:r>
        <w:rPr>
          <w:sz w:val="22"/>
          <w:szCs w:val="28"/>
          <w:highlight w:val="none"/>
        </w:rPr>
        <w:t>（8）发包人对承包人报送文件进行审批或提出的修改意见应当合理，并符合现行有关法律法规的规定。</w:t>
      </w:r>
    </w:p>
    <w:p w14:paraId="0491C16A">
      <w:pPr>
        <w:spacing w:after="160" w:line="278" w:lineRule="auto"/>
        <w:rPr>
          <w:sz w:val="22"/>
          <w:szCs w:val="28"/>
          <w:highlight w:val="none"/>
        </w:rPr>
      </w:pPr>
      <w:r>
        <w:rPr>
          <w:sz w:val="22"/>
          <w:szCs w:val="28"/>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556D2767">
      <w:pPr>
        <w:spacing w:after="160" w:line="278" w:lineRule="auto"/>
        <w:rPr>
          <w:sz w:val="22"/>
          <w:szCs w:val="28"/>
          <w:highlight w:val="none"/>
        </w:rPr>
      </w:pPr>
      <w:r>
        <w:rPr>
          <w:sz w:val="22"/>
          <w:szCs w:val="28"/>
          <w:highlight w:val="none"/>
        </w:rPr>
        <w:t>15.8.3发包人在工程量清单中给定暂估价的专业工程不属于依法必须招标的范围或者未达到依法必须招标的规模标准的，其最终价格的估价人为：发包人或者按照下列约定：</w:t>
      </w:r>
      <w:r>
        <w:rPr>
          <w:rFonts w:hint="eastAsia"/>
          <w:sz w:val="22"/>
          <w:szCs w:val="28"/>
          <w:highlight w:val="none"/>
        </w:rPr>
        <w:t xml:space="preserve"> </w:t>
      </w:r>
      <w:r>
        <w:rPr>
          <w:sz w:val="22"/>
          <w:szCs w:val="28"/>
          <w:highlight w:val="none"/>
        </w:rPr>
        <w:t>/</w:t>
      </w:r>
      <w:r>
        <w:rPr>
          <w:rFonts w:hint="eastAsia"/>
          <w:sz w:val="22"/>
          <w:szCs w:val="28"/>
          <w:highlight w:val="none"/>
        </w:rPr>
        <w:t xml:space="preserve"> </w:t>
      </w:r>
      <w:r>
        <w:rPr>
          <w:sz w:val="22"/>
          <w:szCs w:val="28"/>
          <w:highlight w:val="none"/>
        </w:rPr>
        <w:t>。</w:t>
      </w:r>
    </w:p>
    <w:p w14:paraId="466165F4">
      <w:pPr>
        <w:spacing w:after="160" w:line="278" w:lineRule="auto"/>
        <w:rPr>
          <w:sz w:val="22"/>
          <w:szCs w:val="28"/>
          <w:highlight w:val="none"/>
        </w:rPr>
      </w:pPr>
      <w:bookmarkStart w:id="2870" w:name="_Toc142385746"/>
      <w:bookmarkStart w:id="2871" w:name="_Toc469660056"/>
      <w:bookmarkStart w:id="2872" w:name="_Toc179632733"/>
      <w:bookmarkStart w:id="2873" w:name="_Toc144974684"/>
      <w:bookmarkStart w:id="2874" w:name="_Toc129798458"/>
      <w:bookmarkStart w:id="2875" w:name="_Toc109914523"/>
      <w:bookmarkStart w:id="2876" w:name="_Toc448758461"/>
      <w:bookmarkStart w:id="2877" w:name="_Toc442365653"/>
      <w:bookmarkStart w:id="2878" w:name="_Toc448758561"/>
      <w:bookmarkStart w:id="2879" w:name="_Toc152045715"/>
      <w:bookmarkStart w:id="2880" w:name="_Toc241459720"/>
      <w:bookmarkStart w:id="2881" w:name="_Toc342296479"/>
      <w:bookmarkStart w:id="2882" w:name="_Toc132619207"/>
      <w:bookmarkStart w:id="2883" w:name="_Toc152042493"/>
      <w:r>
        <w:rPr>
          <w:sz w:val="22"/>
          <w:szCs w:val="28"/>
          <w:highlight w:val="none"/>
        </w:rPr>
        <w:t>16. 价格调整</w:t>
      </w:r>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14:paraId="50D44E4D">
      <w:pPr>
        <w:spacing w:after="160" w:line="278" w:lineRule="auto"/>
        <w:rPr>
          <w:sz w:val="22"/>
          <w:szCs w:val="28"/>
          <w:highlight w:val="none"/>
        </w:rPr>
      </w:pPr>
      <w:bookmarkStart w:id="2884" w:name="_Toc144974685"/>
      <w:bookmarkStart w:id="2885" w:name="_Toc132619208"/>
      <w:bookmarkStart w:id="2886" w:name="_Toc152045716"/>
      <w:bookmarkStart w:id="2887" w:name="_Toc179632734"/>
      <w:bookmarkStart w:id="2888" w:name="_Toc142385747"/>
      <w:bookmarkStart w:id="2889" w:name="_Toc109914524"/>
      <w:bookmarkStart w:id="2890" w:name="_Toc241459721"/>
      <w:bookmarkStart w:id="2891" w:name="_Toc152042494"/>
      <w:bookmarkStart w:id="2892" w:name="_Toc342296480"/>
      <w:bookmarkStart w:id="2893" w:name="_Toc129798459"/>
      <w:r>
        <w:rPr>
          <w:sz w:val="22"/>
          <w:szCs w:val="28"/>
          <w:highlight w:val="none"/>
        </w:rPr>
        <w:t>16.1 物价波动引起的价格调整</w:t>
      </w:r>
      <w:bookmarkEnd w:id="2884"/>
      <w:bookmarkEnd w:id="2885"/>
      <w:bookmarkEnd w:id="2886"/>
      <w:bookmarkEnd w:id="2887"/>
      <w:bookmarkEnd w:id="2888"/>
      <w:bookmarkEnd w:id="2889"/>
      <w:bookmarkEnd w:id="2890"/>
      <w:bookmarkEnd w:id="2891"/>
      <w:bookmarkEnd w:id="2892"/>
      <w:bookmarkEnd w:id="2893"/>
    </w:p>
    <w:p w14:paraId="61FD9558">
      <w:pPr>
        <w:spacing w:after="160" w:line="278" w:lineRule="auto"/>
        <w:rPr>
          <w:sz w:val="22"/>
          <w:szCs w:val="28"/>
          <w:highlight w:val="none"/>
        </w:rPr>
      </w:pPr>
      <w:r>
        <w:rPr>
          <w:sz w:val="22"/>
          <w:szCs w:val="28"/>
          <w:highlight w:val="none"/>
        </w:rPr>
        <w:t>物价波动引起的价格调整方法：采用造价信息调整价格差额，具体约定如下。</w:t>
      </w:r>
    </w:p>
    <w:p w14:paraId="33B142F8">
      <w:pPr>
        <w:spacing w:after="160" w:line="278" w:lineRule="auto"/>
        <w:rPr>
          <w:sz w:val="22"/>
          <w:szCs w:val="28"/>
          <w:highlight w:val="none"/>
        </w:rPr>
      </w:pPr>
      <w:r>
        <w:rPr>
          <w:sz w:val="22"/>
          <w:szCs w:val="28"/>
          <w:highlight w:val="none"/>
        </w:rPr>
        <w:t>（1）风险范围：</w:t>
      </w:r>
    </w:p>
    <w:p w14:paraId="68BB888B">
      <w:pPr>
        <w:spacing w:after="160" w:line="278" w:lineRule="auto"/>
        <w:rPr>
          <w:sz w:val="22"/>
          <w:szCs w:val="28"/>
          <w:highlight w:val="none"/>
        </w:rPr>
      </w:pPr>
      <w:r>
        <w:rPr>
          <w:sz w:val="22"/>
          <w:szCs w:val="28"/>
          <w:highlight w:val="none"/>
        </w:rPr>
        <w:t>本工程人工、预拌混凝土、钢筋、木材、电线、电缆市场价格的涨落在±5%（含±5%）以内的风险，以及其他材料和机械使用费价格变化的全部风险。</w:t>
      </w:r>
    </w:p>
    <w:p w14:paraId="3A46073D">
      <w:pPr>
        <w:spacing w:after="160" w:line="278" w:lineRule="auto"/>
        <w:rPr>
          <w:sz w:val="22"/>
          <w:szCs w:val="28"/>
          <w:highlight w:val="none"/>
        </w:rPr>
      </w:pPr>
      <w:r>
        <w:rPr>
          <w:sz w:val="22"/>
          <w:szCs w:val="28"/>
          <w:highlight w:val="none"/>
        </w:rPr>
        <w:t>(2）市场价格变化幅度确定的原则：</w:t>
      </w:r>
    </w:p>
    <w:p w14:paraId="32CD60B0">
      <w:pPr>
        <w:spacing w:after="160" w:line="278" w:lineRule="auto"/>
        <w:rPr>
          <w:sz w:val="22"/>
          <w:szCs w:val="28"/>
          <w:highlight w:val="none"/>
        </w:rPr>
      </w:pPr>
      <w:r>
        <w:rPr>
          <w:sz w:val="22"/>
          <w:szCs w:val="28"/>
          <w:highlight w:val="none"/>
        </w:rPr>
        <w:t>a）以本市建设工程造价管理机构施工当期发布的《北京工程造价信息》中的市场信息价格 （以下简称造价信息价格）为依据，造价信息价格中有上、下限的，以下限为准，造价信息价格中没有的，按发包人、承包人共同确认的市场价格为准；</w:t>
      </w:r>
    </w:p>
    <w:p w14:paraId="626BE4C4">
      <w:pPr>
        <w:spacing w:after="160" w:line="278" w:lineRule="auto"/>
        <w:rPr>
          <w:sz w:val="22"/>
          <w:szCs w:val="28"/>
          <w:highlight w:val="none"/>
        </w:rPr>
      </w:pPr>
      <w:r>
        <w:rPr>
          <w:sz w:val="22"/>
          <w:szCs w:val="28"/>
          <w:highlight w:val="none"/>
        </w:rPr>
        <w:t>b) 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14:paraId="02C365E9">
      <w:pPr>
        <w:spacing w:after="160" w:line="278" w:lineRule="auto"/>
        <w:rPr>
          <w:sz w:val="22"/>
          <w:szCs w:val="28"/>
          <w:highlight w:val="none"/>
        </w:rPr>
      </w:pPr>
      <w:r>
        <w:rPr>
          <w:sz w:val="22"/>
          <w:szCs w:val="28"/>
          <w:highlight w:val="none"/>
        </w:rPr>
        <w:t>变化幅度的确定：</w:t>
      </w:r>
    </w:p>
    <w:p w14:paraId="34690661">
      <w:pPr>
        <w:spacing w:after="160" w:line="278" w:lineRule="auto"/>
        <w:rPr>
          <w:sz w:val="22"/>
          <w:szCs w:val="28"/>
          <w:highlight w:val="none"/>
        </w:rPr>
      </w:pPr>
      <w:r>
        <w:rPr>
          <w:sz w:val="22"/>
          <w:szCs w:val="28"/>
          <w:highlight w:val="none"/>
        </w:rPr>
        <w:t>当报价≤基价时，变化幅度=（施工期价-基价）/基价。</w:t>
      </w:r>
    </w:p>
    <w:p w14:paraId="36AB3E5F">
      <w:pPr>
        <w:spacing w:after="160" w:line="278" w:lineRule="auto"/>
        <w:rPr>
          <w:sz w:val="22"/>
          <w:szCs w:val="28"/>
          <w:highlight w:val="none"/>
        </w:rPr>
      </w:pPr>
      <w:r>
        <w:rPr>
          <w:sz w:val="22"/>
          <w:szCs w:val="28"/>
          <w:highlight w:val="none"/>
        </w:rPr>
        <w:t>当报价＞基价时，变化幅度=（施工期价-报价）/报价。</w:t>
      </w:r>
    </w:p>
    <w:p w14:paraId="39DF2605">
      <w:pPr>
        <w:spacing w:after="160" w:line="278" w:lineRule="auto"/>
        <w:rPr>
          <w:sz w:val="22"/>
          <w:szCs w:val="28"/>
          <w:highlight w:val="none"/>
        </w:rPr>
      </w:pPr>
      <w:r>
        <w:rPr>
          <w:sz w:val="22"/>
          <w:szCs w:val="28"/>
          <w:highlight w:val="none"/>
        </w:rPr>
        <w:t>注：以下关于“基价、施工期价、报价”的定义仅适用于本工程</w:t>
      </w:r>
    </w:p>
    <w:p w14:paraId="33893FEA">
      <w:pPr>
        <w:spacing w:after="160" w:line="278" w:lineRule="auto"/>
        <w:rPr>
          <w:sz w:val="22"/>
          <w:szCs w:val="28"/>
          <w:highlight w:val="none"/>
        </w:rPr>
      </w:pPr>
      <w:r>
        <w:rPr>
          <w:sz w:val="22"/>
          <w:szCs w:val="28"/>
          <w:highlight w:val="none"/>
        </w:rPr>
        <w:t>基价：指开标之日前一月的北京市建设工程造价管理机构发布的《北京工程造价信息》中的市场信息价格。</w:t>
      </w:r>
    </w:p>
    <w:p w14:paraId="44502DD0">
      <w:pPr>
        <w:spacing w:after="160" w:line="278" w:lineRule="auto"/>
        <w:rPr>
          <w:sz w:val="22"/>
          <w:szCs w:val="28"/>
          <w:highlight w:val="none"/>
        </w:rPr>
      </w:pPr>
      <w:r>
        <w:rPr>
          <w:sz w:val="22"/>
          <w:szCs w:val="28"/>
          <w:highlight w:val="none"/>
        </w:rPr>
        <w:t>报价：指投标人的投标文件中“工程量清单综合单价分析表”中的报价。</w:t>
      </w:r>
    </w:p>
    <w:p w14:paraId="3F018703">
      <w:pPr>
        <w:spacing w:after="160" w:line="278" w:lineRule="auto"/>
        <w:rPr>
          <w:sz w:val="22"/>
          <w:szCs w:val="28"/>
          <w:highlight w:val="none"/>
        </w:rPr>
      </w:pPr>
      <w:r>
        <w:rPr>
          <w:sz w:val="22"/>
          <w:szCs w:val="28"/>
          <w:highlight w:val="none"/>
        </w:rPr>
        <w:t>(3) 各项合同风险范围之外物价波动引起的价格调整方法</w:t>
      </w:r>
    </w:p>
    <w:p w14:paraId="7D414552">
      <w:pPr>
        <w:spacing w:after="160" w:line="278" w:lineRule="auto"/>
        <w:rPr>
          <w:sz w:val="22"/>
          <w:szCs w:val="28"/>
          <w:highlight w:val="none"/>
        </w:rPr>
      </w:pPr>
      <w:r>
        <w:rPr>
          <w:sz w:val="22"/>
          <w:szCs w:val="28"/>
          <w:highlight w:val="none"/>
        </w:rPr>
        <w:t>a）人工、预拌混凝土、钢筋、木材、电线、电缆价格的变化幅度大于</w:t>
      </w:r>
      <w:r>
        <w:rPr>
          <w:sz w:val="22"/>
          <w:szCs w:val="28"/>
          <w:highlight w:val="none"/>
          <w:u w:val="single"/>
        </w:rPr>
        <w:t>±5%</w:t>
      </w:r>
      <w:r>
        <w:rPr>
          <w:sz w:val="22"/>
          <w:szCs w:val="28"/>
          <w:highlight w:val="none"/>
        </w:rPr>
        <w:t>（含±5%）时，应当计算超过部分的价差，其价差由发包人承担或受益，差价仅计取税金。</w:t>
      </w:r>
    </w:p>
    <w:p w14:paraId="093E78B7">
      <w:pPr>
        <w:spacing w:after="160" w:line="278" w:lineRule="auto"/>
        <w:rPr>
          <w:sz w:val="22"/>
          <w:szCs w:val="28"/>
          <w:highlight w:val="none"/>
        </w:rPr>
      </w:pPr>
      <w:r>
        <w:rPr>
          <w:sz w:val="22"/>
          <w:szCs w:val="28"/>
          <w:highlight w:val="none"/>
        </w:rPr>
        <w:t>b) 如合同规定的调整情况发生，承包人应当于每月15日将调整原因、金额以书面形式通知发包人及监理人，经监理人、发包人确认调整金额后将其作为追加合同价款，与工程进度同期同比例支付；发包人收到承包人通知后14天内未予确认也未提出异议的，视为已经同意该项调整</w:t>
      </w:r>
      <w:r>
        <w:rPr>
          <w:rFonts w:hint="eastAsia"/>
          <w:sz w:val="22"/>
          <w:szCs w:val="28"/>
          <w:highlight w:val="none"/>
        </w:rPr>
        <w:t>；</w:t>
      </w:r>
      <w:r>
        <w:rPr>
          <w:sz w:val="22"/>
          <w:szCs w:val="28"/>
          <w:highlight w:val="none"/>
        </w:rPr>
        <w:t>如材料价格变化大于</w:t>
      </w:r>
      <w:r>
        <w:rPr>
          <w:rFonts w:hint="eastAsia"/>
          <w:sz w:val="22"/>
          <w:szCs w:val="28"/>
          <w:highlight w:val="none"/>
        </w:rPr>
        <w:t>-</w:t>
      </w:r>
      <w:r>
        <w:rPr>
          <w:sz w:val="22"/>
          <w:szCs w:val="28"/>
          <w:highlight w:val="none"/>
        </w:rPr>
        <w:t>5</w:t>
      </w:r>
      <w:r>
        <w:rPr>
          <w:rFonts w:hint="eastAsia"/>
          <w:sz w:val="22"/>
          <w:szCs w:val="28"/>
          <w:highlight w:val="none"/>
        </w:rPr>
        <w:t>%时，由发包人或发包人责成承包人计算调整金额，</w:t>
      </w:r>
      <w:r>
        <w:rPr>
          <w:sz w:val="22"/>
          <w:szCs w:val="28"/>
          <w:highlight w:val="none"/>
        </w:rPr>
        <w:t>承包人</w:t>
      </w:r>
      <w:r>
        <w:rPr>
          <w:rFonts w:hint="eastAsia"/>
          <w:sz w:val="22"/>
          <w:szCs w:val="28"/>
          <w:highlight w:val="none"/>
        </w:rPr>
        <w:t>收到</w:t>
      </w:r>
      <w:r>
        <w:rPr>
          <w:sz w:val="22"/>
          <w:szCs w:val="28"/>
          <w:highlight w:val="none"/>
        </w:rPr>
        <w:t>通知后14天内未予确认也未提出异议的，视为已经同意该项调整。</w:t>
      </w:r>
    </w:p>
    <w:p w14:paraId="010E5D41">
      <w:pPr>
        <w:spacing w:after="160" w:line="278" w:lineRule="auto"/>
        <w:rPr>
          <w:sz w:val="22"/>
          <w:szCs w:val="28"/>
          <w:highlight w:val="none"/>
        </w:rPr>
      </w:pPr>
      <w:r>
        <w:rPr>
          <w:sz w:val="22"/>
          <w:szCs w:val="28"/>
          <w:highlight w:val="none"/>
        </w:rPr>
        <w:t>c）当合同规定的调整合同价款的调整情况发生后，承包人未在规定的时间内通知发包人、监理人，或者未在规定的时间内提出调整报告，发包人可以根据有关资料，决定是否调整和调整的金额，并经监理人书面通知承包人。</w:t>
      </w:r>
    </w:p>
    <w:p w14:paraId="6A96290F">
      <w:pPr>
        <w:spacing w:after="160" w:line="278" w:lineRule="auto"/>
        <w:rPr>
          <w:sz w:val="22"/>
          <w:szCs w:val="28"/>
          <w:highlight w:val="none"/>
        </w:rPr>
      </w:pPr>
      <w:r>
        <w:rPr>
          <w:sz w:val="22"/>
          <w:szCs w:val="28"/>
          <w:highlight w:val="none"/>
        </w:rPr>
        <w:t>d）工程量按调整期内完成的相应工程量计算。</w:t>
      </w:r>
    </w:p>
    <w:p w14:paraId="7E1182C7">
      <w:pPr>
        <w:spacing w:after="160" w:line="278" w:lineRule="auto"/>
        <w:rPr>
          <w:sz w:val="22"/>
          <w:szCs w:val="28"/>
          <w:highlight w:val="none"/>
        </w:rPr>
      </w:pPr>
      <w:r>
        <w:rPr>
          <w:sz w:val="22"/>
          <w:szCs w:val="28"/>
          <w:highlight w:val="none"/>
        </w:rPr>
        <w:t>其他约定：</w:t>
      </w:r>
    </w:p>
    <w:p w14:paraId="3A443D0D">
      <w:pPr>
        <w:spacing w:after="160" w:line="278" w:lineRule="auto"/>
        <w:rPr>
          <w:sz w:val="22"/>
          <w:szCs w:val="28"/>
          <w:highlight w:val="none"/>
        </w:rPr>
      </w:pPr>
      <w:r>
        <w:rPr>
          <w:sz w:val="22"/>
          <w:szCs w:val="28"/>
          <w:highlight w:val="none"/>
        </w:rPr>
        <w:t>1)在发、承包双方履行合同过程中，当国家的法律、法规、规章及政策发生变化，国家或省级、行业建设主管部门或其授权的工程造价管理机构据此发布工程造价调整文件，工程价款应当进行调整。</w:t>
      </w:r>
    </w:p>
    <w:p w14:paraId="2A3668E0">
      <w:pPr>
        <w:spacing w:after="160" w:line="278" w:lineRule="auto"/>
        <w:rPr>
          <w:sz w:val="22"/>
          <w:szCs w:val="28"/>
          <w:highlight w:val="none"/>
        </w:rPr>
      </w:pPr>
      <w:r>
        <w:rPr>
          <w:sz w:val="22"/>
          <w:szCs w:val="28"/>
          <w:highlight w:val="none"/>
        </w:rPr>
        <w:t>2)当施工中施工图纸(含设计变更)与工程量清单项目特征描述不一致时，发、承包双方按实际施工的项目特征重新确定综合单价。</w:t>
      </w:r>
    </w:p>
    <w:p w14:paraId="0C0DDB18">
      <w:pPr>
        <w:spacing w:after="160" w:line="278" w:lineRule="auto"/>
        <w:rPr>
          <w:sz w:val="22"/>
          <w:szCs w:val="28"/>
          <w:highlight w:val="none"/>
        </w:rPr>
      </w:pPr>
      <w:r>
        <w:rPr>
          <w:sz w:val="22"/>
          <w:szCs w:val="28"/>
          <w:highlight w:val="none"/>
        </w:rPr>
        <w:t>3）因地质条件引起施工工艺的改变，按照新工艺进行调整。</w:t>
      </w:r>
    </w:p>
    <w:p w14:paraId="649BDDA7">
      <w:pPr>
        <w:spacing w:after="160" w:line="278" w:lineRule="auto"/>
        <w:rPr>
          <w:sz w:val="22"/>
          <w:szCs w:val="28"/>
          <w:highlight w:val="none"/>
        </w:rPr>
      </w:pPr>
      <w:r>
        <w:rPr>
          <w:sz w:val="22"/>
          <w:szCs w:val="28"/>
          <w:highlight w:val="none"/>
        </w:rPr>
        <w:t>4）发包人不接受承包人基于任何工作子目单价在投标时的组价不当（包括但不限于工作子目对应的工作内容理解的偏差、工料机消耗量水平的确定、生产要素市场价格的判断、取费等）或任何其他差错而主张的任何损失或索赔。</w:t>
      </w:r>
    </w:p>
    <w:p w14:paraId="2333CAAE">
      <w:pPr>
        <w:spacing w:after="160" w:line="278" w:lineRule="auto"/>
        <w:rPr>
          <w:sz w:val="22"/>
          <w:szCs w:val="28"/>
          <w:highlight w:val="none"/>
        </w:rPr>
      </w:pPr>
      <w:bookmarkStart w:id="2894" w:name="_Toc448758562"/>
      <w:bookmarkStart w:id="2895" w:name="_Toc152042497"/>
      <w:bookmarkStart w:id="2896" w:name="_Toc442365654"/>
      <w:bookmarkStart w:id="2897" w:name="_Toc152045718"/>
      <w:bookmarkStart w:id="2898" w:name="_Toc469660057"/>
      <w:bookmarkStart w:id="2899" w:name="_Toc142385748"/>
      <w:bookmarkStart w:id="2900" w:name="_Toc448758462"/>
      <w:bookmarkStart w:id="2901" w:name="_Toc241459722"/>
      <w:bookmarkStart w:id="2902" w:name="_Toc179632736"/>
      <w:bookmarkStart w:id="2903" w:name="_Toc342296481"/>
      <w:bookmarkStart w:id="2904" w:name="_Toc109914525"/>
      <w:bookmarkStart w:id="2905" w:name="_Toc144974689"/>
      <w:bookmarkStart w:id="2906" w:name="_Toc129798460"/>
      <w:bookmarkStart w:id="2907" w:name="_Toc132619209"/>
      <w:r>
        <w:rPr>
          <w:sz w:val="22"/>
          <w:szCs w:val="28"/>
          <w:highlight w:val="none"/>
        </w:rPr>
        <w:t>17. 计量与支付</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p>
    <w:p w14:paraId="028F6B36">
      <w:pPr>
        <w:spacing w:after="160" w:line="278" w:lineRule="auto"/>
        <w:rPr>
          <w:sz w:val="22"/>
          <w:szCs w:val="28"/>
          <w:highlight w:val="none"/>
        </w:rPr>
      </w:pPr>
      <w:bookmarkStart w:id="2908" w:name="_Toc179632737"/>
      <w:bookmarkStart w:id="2909" w:name="_Toc342296482"/>
      <w:bookmarkStart w:id="2910" w:name="_Toc142385749"/>
      <w:bookmarkStart w:id="2911" w:name="_Toc144974690"/>
      <w:bookmarkStart w:id="2912" w:name="_Toc132619210"/>
      <w:bookmarkStart w:id="2913" w:name="_Toc109914526"/>
      <w:bookmarkStart w:id="2914" w:name="_Toc241459723"/>
      <w:bookmarkStart w:id="2915" w:name="_Toc152042498"/>
      <w:bookmarkStart w:id="2916" w:name="_Toc129798461"/>
      <w:bookmarkStart w:id="2917" w:name="_Toc152045719"/>
      <w:r>
        <w:rPr>
          <w:sz w:val="22"/>
          <w:szCs w:val="28"/>
          <w:highlight w:val="none"/>
        </w:rPr>
        <w:t>17.1 计量</w:t>
      </w:r>
      <w:bookmarkEnd w:id="2908"/>
      <w:bookmarkEnd w:id="2909"/>
      <w:bookmarkEnd w:id="2910"/>
      <w:bookmarkEnd w:id="2911"/>
      <w:bookmarkEnd w:id="2912"/>
      <w:bookmarkEnd w:id="2913"/>
      <w:bookmarkEnd w:id="2914"/>
      <w:bookmarkEnd w:id="2915"/>
      <w:bookmarkEnd w:id="2916"/>
      <w:bookmarkEnd w:id="2917"/>
    </w:p>
    <w:p w14:paraId="3583DBAB">
      <w:pPr>
        <w:spacing w:after="160" w:line="278" w:lineRule="auto"/>
        <w:rPr>
          <w:sz w:val="22"/>
          <w:szCs w:val="28"/>
          <w:highlight w:val="none"/>
        </w:rPr>
      </w:pPr>
      <w:r>
        <w:rPr>
          <w:sz w:val="22"/>
          <w:szCs w:val="28"/>
          <w:highlight w:val="none"/>
        </w:rPr>
        <w:t xml:space="preserve">17.1.2 </w:t>
      </w:r>
      <w:r>
        <w:rPr>
          <w:rFonts w:hint="eastAsia"/>
          <w:sz w:val="22"/>
          <w:szCs w:val="28"/>
          <w:highlight w:val="none"/>
        </w:rPr>
        <w:t>计量方法</w:t>
      </w:r>
    </w:p>
    <w:p w14:paraId="64FA502D">
      <w:pPr>
        <w:spacing w:after="160" w:line="278" w:lineRule="auto"/>
        <w:rPr>
          <w:sz w:val="22"/>
          <w:szCs w:val="28"/>
          <w:highlight w:val="none"/>
        </w:rPr>
      </w:pPr>
      <w:r>
        <w:rPr>
          <w:sz w:val="22"/>
          <w:szCs w:val="28"/>
          <w:highlight w:val="none"/>
        </w:rPr>
        <w:t>工程量计算规则执行国家标准《建设工程工程量清单计价规范》（GB50500</w:t>
      </w:r>
      <w:r>
        <w:rPr>
          <w:rFonts w:hint="eastAsia"/>
          <w:sz w:val="22"/>
          <w:szCs w:val="28"/>
          <w:highlight w:val="none"/>
        </w:rPr>
        <w:t>-2016</w:t>
      </w:r>
      <w:r>
        <w:rPr>
          <w:sz w:val="22"/>
          <w:szCs w:val="28"/>
          <w:highlight w:val="none"/>
        </w:rPr>
        <w:t>）或其适用的修订版本。除合同另有约定外，承包人实际完成的工程量按约定的工程量计算规则和有合同约束力的图纸进行计量。</w:t>
      </w:r>
    </w:p>
    <w:p w14:paraId="67E1CBB0">
      <w:pPr>
        <w:spacing w:after="160" w:line="278" w:lineRule="auto"/>
        <w:rPr>
          <w:sz w:val="22"/>
          <w:szCs w:val="28"/>
          <w:highlight w:val="none"/>
        </w:rPr>
      </w:pPr>
      <w:r>
        <w:rPr>
          <w:sz w:val="22"/>
          <w:szCs w:val="28"/>
          <w:highlight w:val="none"/>
        </w:rPr>
        <w:t xml:space="preserve">17.1.3 </w:t>
      </w:r>
      <w:r>
        <w:rPr>
          <w:rFonts w:hint="eastAsia"/>
          <w:sz w:val="22"/>
          <w:szCs w:val="28"/>
          <w:highlight w:val="none"/>
        </w:rPr>
        <w:t>计量周期</w:t>
      </w:r>
    </w:p>
    <w:p w14:paraId="33EDE1F2">
      <w:pPr>
        <w:spacing w:after="160" w:line="278" w:lineRule="auto"/>
        <w:rPr>
          <w:sz w:val="22"/>
          <w:szCs w:val="28"/>
          <w:highlight w:val="none"/>
        </w:rPr>
      </w:pPr>
      <w:r>
        <w:rPr>
          <w:sz w:val="22"/>
          <w:szCs w:val="28"/>
          <w:highlight w:val="none"/>
        </w:rPr>
        <w:t>（1）本合同的计量周期为月，每月</w:t>
      </w:r>
      <w:r>
        <w:rPr>
          <w:sz w:val="22"/>
          <w:szCs w:val="28"/>
          <w:highlight w:val="none"/>
          <w:u w:val="single"/>
        </w:rPr>
        <w:t xml:space="preserve"> 25 日</w:t>
      </w:r>
      <w:r>
        <w:rPr>
          <w:sz w:val="22"/>
          <w:szCs w:val="28"/>
          <w:highlight w:val="none"/>
        </w:rPr>
        <w:t>为当月计量截止日期（不含当日）和下月计量起始日期（含当日）。</w:t>
      </w:r>
    </w:p>
    <w:p w14:paraId="1F0380CA">
      <w:pPr>
        <w:spacing w:after="160" w:line="278" w:lineRule="auto"/>
        <w:rPr>
          <w:sz w:val="22"/>
          <w:szCs w:val="28"/>
          <w:highlight w:val="none"/>
        </w:rPr>
      </w:pPr>
      <w:r>
        <w:rPr>
          <w:sz w:val="22"/>
          <w:szCs w:val="28"/>
          <w:highlight w:val="none"/>
        </w:rPr>
        <w:t>（2）本合同 采用</w:t>
      </w:r>
      <w:r>
        <w:rPr>
          <w:rFonts w:hint="eastAsia"/>
          <w:sz w:val="22"/>
          <w:szCs w:val="28"/>
          <w:highlight w:val="none"/>
        </w:rPr>
        <w:t xml:space="preserve"> </w:t>
      </w:r>
      <w:r>
        <w:rPr>
          <w:rFonts w:hint="eastAsia"/>
          <w:sz w:val="22"/>
          <w:szCs w:val="28"/>
          <w:highlight w:val="none"/>
          <w:u w:val="single"/>
        </w:rPr>
        <w:t>固定单</w:t>
      </w:r>
      <w:r>
        <w:rPr>
          <w:sz w:val="22"/>
          <w:szCs w:val="28"/>
          <w:highlight w:val="none"/>
          <w:u w:val="single"/>
        </w:rPr>
        <w:t>价</w:t>
      </w:r>
      <w:r>
        <w:rPr>
          <w:rFonts w:hint="eastAsia"/>
          <w:sz w:val="22"/>
          <w:szCs w:val="28"/>
          <w:highlight w:val="none"/>
        </w:rPr>
        <w:t xml:space="preserve"> </w:t>
      </w:r>
      <w:r>
        <w:rPr>
          <w:sz w:val="22"/>
          <w:szCs w:val="28"/>
          <w:highlight w:val="none"/>
        </w:rPr>
        <w:t>合同形式</w:t>
      </w:r>
      <w:r>
        <w:rPr>
          <w:rFonts w:hint="eastAsia"/>
          <w:sz w:val="22"/>
          <w:szCs w:val="28"/>
          <w:highlight w:val="none"/>
        </w:rPr>
        <w:t xml:space="preserve"> </w:t>
      </w:r>
      <w:r>
        <w:rPr>
          <w:sz w:val="22"/>
          <w:szCs w:val="28"/>
          <w:highlight w:val="none"/>
        </w:rPr>
        <w:t>通用合同条款本项约定的单价子目计量。总价子目计量方法按专用合同条款第17.1.5项总价子目的计量--支付分解报告（支付分解报告/按实际完成工程量计量）。</w:t>
      </w:r>
      <w:r>
        <w:rPr>
          <w:rFonts w:hint="eastAsia"/>
          <w:sz w:val="22"/>
          <w:szCs w:val="28"/>
          <w:highlight w:val="none"/>
        </w:rPr>
        <w:t>包括但不限于完成设计图纸及招标清单内所含内容，单项清单项工程量增加6%以内不作调整，减项及工程量减少按实调减，超出图纸及清单内增加工程量6%以内不作调整，减项及工程量减少按实调减。</w:t>
      </w:r>
    </w:p>
    <w:p w14:paraId="050DA6C7">
      <w:pPr>
        <w:spacing w:after="160" w:line="278" w:lineRule="auto"/>
        <w:rPr>
          <w:sz w:val="22"/>
          <w:szCs w:val="28"/>
          <w:highlight w:val="none"/>
        </w:rPr>
      </w:pPr>
      <w:r>
        <w:rPr>
          <w:sz w:val="22"/>
          <w:szCs w:val="28"/>
          <w:highlight w:val="none"/>
        </w:rPr>
        <w:t xml:space="preserve">17.1.5 </w:t>
      </w:r>
      <w:r>
        <w:rPr>
          <w:rFonts w:hint="eastAsia"/>
          <w:sz w:val="22"/>
          <w:szCs w:val="28"/>
          <w:highlight w:val="none"/>
        </w:rPr>
        <w:t>总价子目的计量</w:t>
      </w:r>
      <w:r>
        <w:rPr>
          <w:sz w:val="22"/>
          <w:szCs w:val="28"/>
          <w:highlight w:val="none"/>
        </w:rPr>
        <w:t>—</w:t>
      </w:r>
      <w:r>
        <w:rPr>
          <w:rFonts w:hint="eastAsia"/>
          <w:sz w:val="22"/>
          <w:szCs w:val="28"/>
          <w:highlight w:val="none"/>
        </w:rPr>
        <w:t>支付分解报告</w:t>
      </w:r>
    </w:p>
    <w:p w14:paraId="3935802C">
      <w:pPr>
        <w:spacing w:after="160" w:line="278" w:lineRule="auto"/>
        <w:rPr>
          <w:sz w:val="22"/>
          <w:szCs w:val="28"/>
          <w:highlight w:val="none"/>
        </w:rPr>
      </w:pPr>
      <w:r>
        <w:rPr>
          <w:sz w:val="22"/>
          <w:szCs w:val="28"/>
          <w:highlight w:val="none"/>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3B0F47F1">
      <w:pPr>
        <w:spacing w:after="160" w:line="278" w:lineRule="auto"/>
        <w:rPr>
          <w:sz w:val="22"/>
          <w:szCs w:val="28"/>
          <w:highlight w:val="none"/>
        </w:rPr>
      </w:pPr>
      <w:r>
        <w:rPr>
          <w:sz w:val="22"/>
          <w:szCs w:val="28"/>
          <w:highlight w:val="none"/>
        </w:rPr>
        <w:t>（1）总价子目的价格调整方法：</w:t>
      </w:r>
      <w:r>
        <w:rPr>
          <w:rFonts w:hint="eastAsia"/>
          <w:sz w:val="22"/>
          <w:szCs w:val="28"/>
          <w:highlight w:val="none"/>
        </w:rPr>
        <w:t>因非承包人原因引起已标价工程量清单中某个子目工程量变化幅度超过 15%(不含)且承包人或监理人认为该变化引起相关措施项目发生变化的承包人或监理人要求承包人针对措施项目的变化提交施工调整方案及价格调整报告,监理人批准后确定需调整的措施项目价款</w:t>
      </w:r>
      <w:r>
        <w:rPr>
          <w:sz w:val="22"/>
          <w:szCs w:val="28"/>
          <w:highlight w:val="none"/>
        </w:rPr>
        <w:t>。</w:t>
      </w:r>
    </w:p>
    <w:p w14:paraId="2F5E8008">
      <w:pPr>
        <w:spacing w:after="160" w:line="278" w:lineRule="auto"/>
        <w:rPr>
          <w:sz w:val="22"/>
          <w:szCs w:val="28"/>
          <w:highlight w:val="none"/>
        </w:rPr>
      </w:pPr>
      <w:r>
        <w:rPr>
          <w:sz w:val="22"/>
          <w:szCs w:val="28"/>
          <w:highlight w:val="none"/>
        </w:rPr>
        <w:t>（2）列入每月进度付款申请单中各总价子目的价值为有合同约束力的支付分解表中对应月份的总价子目总价值。</w:t>
      </w:r>
    </w:p>
    <w:p w14:paraId="0BB672F1">
      <w:pPr>
        <w:spacing w:after="160" w:line="278" w:lineRule="auto"/>
        <w:rPr>
          <w:sz w:val="22"/>
          <w:szCs w:val="28"/>
          <w:highlight w:val="none"/>
        </w:rPr>
      </w:pPr>
      <w:r>
        <w:rPr>
          <w:sz w:val="22"/>
          <w:szCs w:val="28"/>
          <w:highlight w:val="none"/>
        </w:rPr>
        <w:t>（3）监理人根据有合同约束力的支付分解表复核列入每月进度付款申请单中的总价子目的总价值。</w:t>
      </w:r>
    </w:p>
    <w:p w14:paraId="09616D3E">
      <w:pPr>
        <w:spacing w:after="160" w:line="278" w:lineRule="auto"/>
        <w:rPr>
          <w:sz w:val="22"/>
          <w:szCs w:val="28"/>
          <w:highlight w:val="none"/>
        </w:rPr>
      </w:pPr>
      <w:r>
        <w:rPr>
          <w:sz w:val="22"/>
          <w:szCs w:val="28"/>
          <w:highlight w:val="none"/>
        </w:rPr>
        <w:t>（4）除按照第15条约定的变更外，在竣工结算时总价子目的工程量不应当重新计量，签约合同价所基于的工程量即是用于竣工结算的最终工程量。</w:t>
      </w:r>
    </w:p>
    <w:p w14:paraId="253AD709">
      <w:pPr>
        <w:spacing w:after="160" w:line="278" w:lineRule="auto"/>
        <w:rPr>
          <w:sz w:val="22"/>
          <w:szCs w:val="28"/>
          <w:highlight w:val="none"/>
        </w:rPr>
      </w:pPr>
      <w:bookmarkStart w:id="2918" w:name="_Toc144974691"/>
      <w:bookmarkStart w:id="2919" w:name="_Toc152042499"/>
      <w:bookmarkStart w:id="2920" w:name="_Toc179632738"/>
      <w:bookmarkStart w:id="2921" w:name="_Toc152045720"/>
      <w:r>
        <w:rPr>
          <w:sz w:val="22"/>
          <w:szCs w:val="28"/>
          <w:highlight w:val="none"/>
        </w:rPr>
        <w:t xml:space="preserve">17.1.5 </w:t>
      </w:r>
      <w:r>
        <w:rPr>
          <w:rFonts w:hint="eastAsia"/>
          <w:sz w:val="22"/>
          <w:szCs w:val="28"/>
          <w:highlight w:val="none"/>
        </w:rPr>
        <w:t>总价</w:t>
      </w:r>
      <w:r>
        <w:rPr>
          <w:sz w:val="22"/>
          <w:szCs w:val="28"/>
          <w:highlight w:val="none"/>
        </w:rPr>
        <w:t>子目</w:t>
      </w:r>
      <w:r>
        <w:rPr>
          <w:rFonts w:hint="eastAsia"/>
          <w:sz w:val="22"/>
          <w:szCs w:val="28"/>
          <w:highlight w:val="none"/>
        </w:rPr>
        <w:t>的计量</w:t>
      </w:r>
      <w:r>
        <w:rPr>
          <w:sz w:val="22"/>
          <w:szCs w:val="28"/>
          <w:highlight w:val="none"/>
        </w:rPr>
        <w:t>--</w:t>
      </w:r>
      <w:r>
        <w:rPr>
          <w:rFonts w:hint="eastAsia"/>
          <w:sz w:val="22"/>
          <w:szCs w:val="28"/>
          <w:highlight w:val="none"/>
        </w:rPr>
        <w:t>按实际完成工程量计量</w:t>
      </w:r>
    </w:p>
    <w:p w14:paraId="4835465A">
      <w:pPr>
        <w:spacing w:after="160" w:line="278" w:lineRule="auto"/>
        <w:rPr>
          <w:sz w:val="22"/>
          <w:szCs w:val="28"/>
          <w:highlight w:val="none"/>
        </w:rPr>
      </w:pPr>
      <w:r>
        <w:rPr>
          <w:sz w:val="22"/>
          <w:szCs w:val="28"/>
          <w:highlight w:val="none"/>
        </w:rPr>
        <w:t>（1）总价子目的价格调整方法：因非承包人原因引起已标价工程量清单中某个子目工程量变化，且承包人或监理人认为该变化引起相关措施项目发生变化的，承包人或监理人要求承包人针对措施项目的变化提交施工调整方案及价格调整报告，监理人批准后确定需调整的措施项目价款。总价子目的计量和支付应以总价为基础，对承包人实际完成的工程量进行计量，是进行工程目标管理和控制进度款支付的依据。</w:t>
      </w:r>
    </w:p>
    <w:p w14:paraId="5E78287D">
      <w:pPr>
        <w:spacing w:after="160" w:line="278" w:lineRule="auto"/>
        <w:rPr>
          <w:sz w:val="22"/>
          <w:szCs w:val="28"/>
          <w:highlight w:val="none"/>
        </w:rPr>
      </w:pPr>
      <w:r>
        <w:rPr>
          <w:sz w:val="22"/>
          <w:szCs w:val="28"/>
          <w:highlight w:val="none"/>
        </w:rPr>
        <w:t>（2）承包人在专用合同条款第17.1.3（1）目约定的每月计量截止日期后，对已完成的分部分项工程和单价措施项目的子目，按照专用合同条款第17.1.2项约定的计量方法进行计量，对已完成的总价措施项目的相关子目，按其总价构成、费用性质和实际发生比例进行计量，向监理人提交进度付款申请单、已完成工程量报表和有关计量资料。</w:t>
      </w:r>
    </w:p>
    <w:p w14:paraId="65065BC8">
      <w:pPr>
        <w:spacing w:after="160" w:line="278" w:lineRule="auto"/>
        <w:rPr>
          <w:sz w:val="22"/>
          <w:szCs w:val="28"/>
          <w:highlight w:val="none"/>
        </w:rPr>
      </w:pPr>
      <w:r>
        <w:rPr>
          <w:sz w:val="22"/>
          <w:szCs w:val="28"/>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EDB62DC">
      <w:pPr>
        <w:spacing w:after="160" w:line="278" w:lineRule="auto"/>
        <w:rPr>
          <w:sz w:val="22"/>
          <w:szCs w:val="28"/>
          <w:highlight w:val="none"/>
        </w:rPr>
      </w:pPr>
      <w:r>
        <w:rPr>
          <w:sz w:val="22"/>
          <w:szCs w:val="28"/>
          <w:highlight w:val="none"/>
        </w:rPr>
        <w:t>（4）监理人应在收到承包人提交的工程量报表后的7天内进行复核，监理人未在约定时间内复核的，承包人提交的工程量报表中的工程量视为承包人实际完成的工程量，据此计算工程价款。</w:t>
      </w:r>
    </w:p>
    <w:p w14:paraId="757AB37F">
      <w:pPr>
        <w:spacing w:after="160" w:line="278" w:lineRule="auto"/>
        <w:rPr>
          <w:sz w:val="22"/>
          <w:szCs w:val="28"/>
          <w:highlight w:val="none"/>
        </w:rPr>
      </w:pPr>
      <w:r>
        <w:rPr>
          <w:sz w:val="22"/>
          <w:szCs w:val="28"/>
          <w:highlight w:val="none"/>
        </w:rPr>
        <w:t>（5）除按照第15条约定的变更外，在竣工结算时总价子目的工程量不应当重新计量，签约合同价所基于的工程量即是用于竣工结算的最终工程量。</w:t>
      </w:r>
    </w:p>
    <w:p w14:paraId="5A7D4958">
      <w:pPr>
        <w:spacing w:after="160" w:line="278" w:lineRule="auto"/>
        <w:rPr>
          <w:sz w:val="22"/>
          <w:szCs w:val="28"/>
          <w:highlight w:val="none"/>
        </w:rPr>
      </w:pPr>
      <w:bookmarkStart w:id="2922" w:name="_Toc109914527"/>
      <w:bookmarkStart w:id="2923" w:name="_Toc342296483"/>
      <w:bookmarkStart w:id="2924" w:name="_Toc132619211"/>
      <w:bookmarkStart w:id="2925" w:name="_Toc142385750"/>
      <w:bookmarkStart w:id="2926" w:name="_Toc129798462"/>
      <w:bookmarkStart w:id="2927" w:name="_Toc241459724"/>
      <w:r>
        <w:rPr>
          <w:sz w:val="22"/>
          <w:szCs w:val="28"/>
          <w:highlight w:val="none"/>
        </w:rPr>
        <w:t>17.2 预付款</w:t>
      </w:r>
      <w:bookmarkEnd w:id="2918"/>
      <w:bookmarkEnd w:id="2919"/>
      <w:bookmarkEnd w:id="2920"/>
      <w:bookmarkEnd w:id="2921"/>
      <w:bookmarkEnd w:id="2922"/>
      <w:bookmarkEnd w:id="2923"/>
      <w:bookmarkEnd w:id="2924"/>
      <w:bookmarkEnd w:id="2925"/>
      <w:bookmarkEnd w:id="2926"/>
      <w:bookmarkEnd w:id="2927"/>
    </w:p>
    <w:p w14:paraId="5792F51D">
      <w:pPr>
        <w:spacing w:after="160" w:line="278" w:lineRule="auto"/>
        <w:rPr>
          <w:sz w:val="22"/>
          <w:szCs w:val="28"/>
          <w:highlight w:val="none"/>
        </w:rPr>
      </w:pPr>
      <w:r>
        <w:rPr>
          <w:sz w:val="22"/>
          <w:szCs w:val="28"/>
          <w:highlight w:val="none"/>
        </w:rPr>
        <w:t xml:space="preserve">17.2.1 </w:t>
      </w:r>
      <w:r>
        <w:rPr>
          <w:rFonts w:hint="eastAsia"/>
          <w:sz w:val="22"/>
          <w:szCs w:val="28"/>
          <w:highlight w:val="none"/>
        </w:rPr>
        <w:t>预付款</w:t>
      </w:r>
    </w:p>
    <w:p w14:paraId="72D460B9">
      <w:pPr>
        <w:spacing w:after="160" w:line="278" w:lineRule="auto"/>
        <w:rPr>
          <w:sz w:val="22"/>
          <w:szCs w:val="28"/>
          <w:highlight w:val="none"/>
        </w:rPr>
      </w:pPr>
      <w:r>
        <w:rPr>
          <w:rFonts w:hint="eastAsia"/>
          <w:sz w:val="22"/>
          <w:szCs w:val="28"/>
          <w:highlight w:val="none"/>
        </w:rPr>
        <w:t>（</w:t>
      </w:r>
      <w:r>
        <w:rPr>
          <w:sz w:val="22"/>
          <w:szCs w:val="28"/>
          <w:highlight w:val="none"/>
        </w:rPr>
        <w:t>1</w:t>
      </w:r>
      <w:r>
        <w:rPr>
          <w:rFonts w:hint="eastAsia"/>
          <w:sz w:val="22"/>
          <w:szCs w:val="28"/>
          <w:highlight w:val="none"/>
        </w:rPr>
        <w:t>）预付款额度</w:t>
      </w:r>
    </w:p>
    <w:p w14:paraId="2CA041CA">
      <w:pPr>
        <w:spacing w:after="160" w:line="278" w:lineRule="auto"/>
        <w:rPr>
          <w:sz w:val="22"/>
          <w:szCs w:val="28"/>
          <w:highlight w:val="none"/>
        </w:rPr>
      </w:pPr>
      <w:r>
        <w:rPr>
          <w:rFonts w:hint="eastAsia"/>
          <w:sz w:val="22"/>
          <w:szCs w:val="28"/>
          <w:highlight w:val="none"/>
        </w:rPr>
        <w:t>预付款额度：</w:t>
      </w:r>
      <w:r>
        <w:rPr>
          <w:rFonts w:hint="eastAsia"/>
          <w:sz w:val="22"/>
          <w:szCs w:val="28"/>
          <w:highlight w:val="none"/>
          <w:u w:val="single"/>
        </w:rPr>
        <w:t>合同额扣除暂列金（含税）后的50%</w:t>
      </w:r>
    </w:p>
    <w:p w14:paraId="5220CC40">
      <w:pPr>
        <w:spacing w:after="160" w:line="278" w:lineRule="auto"/>
        <w:rPr>
          <w:sz w:val="22"/>
          <w:szCs w:val="28"/>
          <w:highlight w:val="none"/>
        </w:rPr>
      </w:pPr>
      <w:r>
        <w:rPr>
          <w:rFonts w:hint="eastAsia"/>
          <w:sz w:val="22"/>
          <w:szCs w:val="28"/>
          <w:highlight w:val="none"/>
        </w:rPr>
        <w:t>其中包含：</w:t>
      </w:r>
    </w:p>
    <w:p w14:paraId="3E59ACE8">
      <w:pPr>
        <w:spacing w:after="160" w:line="278" w:lineRule="auto"/>
        <w:rPr>
          <w:sz w:val="22"/>
          <w:szCs w:val="28"/>
          <w:highlight w:val="none"/>
          <w:u w:val="single"/>
        </w:rPr>
      </w:pPr>
      <w:r>
        <w:rPr>
          <w:sz w:val="22"/>
          <w:szCs w:val="28"/>
          <w:highlight w:val="none"/>
          <w:u w:val="single"/>
        </w:rPr>
        <w:t>措施项目部分预付款额度：</w:t>
      </w:r>
      <w:r>
        <w:rPr>
          <w:rFonts w:hint="eastAsia"/>
          <w:sz w:val="22"/>
          <w:szCs w:val="28"/>
          <w:highlight w:val="none"/>
          <w:u w:val="single"/>
        </w:rPr>
        <w:t xml:space="preserve">(措施项目费-安全文明施工费)×30% </w:t>
      </w:r>
      <w:r>
        <w:rPr>
          <w:sz w:val="22"/>
          <w:szCs w:val="28"/>
          <w:highlight w:val="none"/>
          <w:u w:val="single"/>
        </w:rPr>
        <w:t xml:space="preserve">。 </w:t>
      </w:r>
    </w:p>
    <w:p w14:paraId="6FC9C0D3">
      <w:pPr>
        <w:spacing w:after="160" w:line="278" w:lineRule="auto"/>
        <w:rPr>
          <w:sz w:val="22"/>
          <w:szCs w:val="28"/>
          <w:highlight w:val="none"/>
          <w:u w:val="single"/>
        </w:rPr>
      </w:pPr>
      <w:bookmarkStart w:id="2928" w:name="OLE_LINK18"/>
      <w:bookmarkStart w:id="2929" w:name="OLE_LINK12"/>
      <w:r>
        <w:rPr>
          <w:sz w:val="22"/>
          <w:szCs w:val="28"/>
          <w:highlight w:val="none"/>
          <w:u w:val="single"/>
        </w:rPr>
        <w:t>安全文明施工费用预付额度</w:t>
      </w:r>
      <w:bookmarkEnd w:id="2928"/>
      <w:bookmarkEnd w:id="2929"/>
      <w:r>
        <w:rPr>
          <w:sz w:val="22"/>
          <w:szCs w:val="28"/>
          <w:highlight w:val="none"/>
          <w:u w:val="single"/>
        </w:rPr>
        <w:t>：</w:t>
      </w:r>
      <w:r>
        <w:rPr>
          <w:rFonts w:hint="eastAsia"/>
          <w:sz w:val="22"/>
          <w:szCs w:val="28"/>
          <w:highlight w:val="none"/>
          <w:u w:val="single"/>
        </w:rPr>
        <w:t>全部安全文明施工费总额的100%</w:t>
      </w:r>
      <w:r>
        <w:rPr>
          <w:sz w:val="22"/>
          <w:szCs w:val="28"/>
          <w:highlight w:val="none"/>
          <w:u w:val="single"/>
        </w:rPr>
        <w:t>。</w:t>
      </w:r>
    </w:p>
    <w:p w14:paraId="22A80813">
      <w:pPr>
        <w:spacing w:after="160" w:line="278" w:lineRule="auto"/>
        <w:rPr>
          <w:sz w:val="22"/>
          <w:szCs w:val="28"/>
          <w:highlight w:val="none"/>
        </w:rPr>
      </w:pPr>
      <w:r>
        <w:rPr>
          <w:sz w:val="22"/>
          <w:szCs w:val="28"/>
          <w:highlight w:val="none"/>
        </w:rPr>
        <w:t>预付款预付办法：</w:t>
      </w:r>
      <w:r>
        <w:rPr>
          <w:rFonts w:hint="eastAsia"/>
          <w:sz w:val="22"/>
          <w:szCs w:val="28"/>
          <w:highlight w:val="none"/>
          <w:u w:val="single"/>
        </w:rPr>
        <w:t>在收到承包人的正式发票后，发包人一次性向承包人支付预付款</w:t>
      </w:r>
      <w:r>
        <w:rPr>
          <w:sz w:val="22"/>
          <w:szCs w:val="28"/>
          <w:highlight w:val="none"/>
          <w:u w:val="single"/>
        </w:rPr>
        <w:t>。</w:t>
      </w:r>
      <w:r>
        <w:rPr>
          <w:sz w:val="22"/>
          <w:szCs w:val="28"/>
          <w:highlight w:val="none"/>
        </w:rPr>
        <w:t xml:space="preserve">                           </w:t>
      </w:r>
    </w:p>
    <w:p w14:paraId="5154836D">
      <w:pPr>
        <w:spacing w:after="160" w:line="278" w:lineRule="auto"/>
        <w:rPr>
          <w:sz w:val="22"/>
          <w:szCs w:val="28"/>
          <w:highlight w:val="none"/>
          <w:u w:val="single"/>
        </w:rPr>
      </w:pPr>
      <w:r>
        <w:rPr>
          <w:sz w:val="22"/>
          <w:szCs w:val="28"/>
          <w:highlight w:val="none"/>
        </w:rPr>
        <w:t>预付款的支付时间：</w:t>
      </w:r>
      <w:r>
        <w:rPr>
          <w:rFonts w:hint="eastAsia"/>
          <w:sz w:val="22"/>
          <w:szCs w:val="28"/>
          <w:highlight w:val="none"/>
          <w:u w:val="single"/>
        </w:rPr>
        <w:t>合同签订并收到承包人开具的正式的税务发票（普票或专票均可）后</w:t>
      </w:r>
      <w:r>
        <w:rPr>
          <w:sz w:val="22"/>
          <w:szCs w:val="28"/>
          <w:highlight w:val="none"/>
          <w:u w:val="single"/>
        </w:rPr>
        <w:t>。</w:t>
      </w:r>
    </w:p>
    <w:p w14:paraId="1928B58D">
      <w:pPr>
        <w:spacing w:after="160" w:line="278" w:lineRule="auto"/>
        <w:rPr>
          <w:sz w:val="22"/>
          <w:szCs w:val="28"/>
          <w:highlight w:val="none"/>
          <w:u w:val="single"/>
        </w:rPr>
      </w:pPr>
      <w:r>
        <w:rPr>
          <w:sz w:val="22"/>
          <w:szCs w:val="28"/>
          <w:highlight w:val="none"/>
          <w:u w:val="single"/>
        </w:rPr>
        <w:t>安全文明施工费用的预付不受上述预付办法和支付时间约定的制约，发包人应当在不迟于通用合同条款第11.1.1项约定的开工日期前的7天内将安全文明施工费用的预付款一次性拨付给承包人。</w:t>
      </w:r>
    </w:p>
    <w:p w14:paraId="7429D27B">
      <w:pPr>
        <w:spacing w:after="160" w:line="278" w:lineRule="auto"/>
        <w:rPr>
          <w:sz w:val="22"/>
          <w:szCs w:val="28"/>
          <w:highlight w:val="none"/>
        </w:rPr>
      </w:pPr>
      <w:r>
        <w:rPr>
          <w:sz w:val="22"/>
          <w:szCs w:val="28"/>
          <w:highlight w:val="none"/>
        </w:rPr>
        <w:t>发包人逾期支付合同约定的预付款，除承担通用合同条款第22.2款约定的违约责任外，还应向承包人支付按专用合同条款第17.3.3(2)目约定的标准和方法计算的逾期付款违约金。</w:t>
      </w:r>
    </w:p>
    <w:p w14:paraId="1E3F5F5C">
      <w:pPr>
        <w:spacing w:after="160" w:line="278" w:lineRule="auto"/>
        <w:rPr>
          <w:sz w:val="22"/>
          <w:szCs w:val="28"/>
          <w:highlight w:val="none"/>
        </w:rPr>
      </w:pPr>
      <w:r>
        <w:rPr>
          <w:sz w:val="22"/>
          <w:szCs w:val="28"/>
          <w:highlight w:val="none"/>
        </w:rPr>
        <w:t xml:space="preserve">17.2.2 </w:t>
      </w:r>
      <w:r>
        <w:rPr>
          <w:rFonts w:hint="eastAsia"/>
          <w:sz w:val="22"/>
          <w:szCs w:val="28"/>
          <w:highlight w:val="none"/>
        </w:rPr>
        <w:t>预付款保函</w:t>
      </w:r>
    </w:p>
    <w:p w14:paraId="7301AA6B">
      <w:pPr>
        <w:spacing w:after="160" w:line="278" w:lineRule="auto"/>
        <w:rPr>
          <w:sz w:val="22"/>
          <w:szCs w:val="28"/>
          <w:highlight w:val="none"/>
        </w:rPr>
      </w:pPr>
      <w:r>
        <w:rPr>
          <w:sz w:val="22"/>
          <w:szCs w:val="28"/>
          <w:highlight w:val="none"/>
        </w:rPr>
        <w:t xml:space="preserve">预付款保函的金额与预付款金额相同。预付款保函的提交时间：  </w:t>
      </w:r>
      <w:r>
        <w:rPr>
          <w:sz w:val="22"/>
          <w:szCs w:val="28"/>
          <w:highlight w:val="none"/>
          <w:u w:val="single"/>
        </w:rPr>
        <w:t xml:space="preserve">      /      </w:t>
      </w:r>
      <w:r>
        <w:rPr>
          <w:sz w:val="22"/>
          <w:szCs w:val="28"/>
          <w:highlight w:val="none"/>
        </w:rPr>
        <w:t xml:space="preserve">    。</w:t>
      </w:r>
    </w:p>
    <w:p w14:paraId="71D95BBB">
      <w:pPr>
        <w:spacing w:after="160" w:line="278" w:lineRule="auto"/>
        <w:rPr>
          <w:sz w:val="22"/>
          <w:szCs w:val="28"/>
          <w:highlight w:val="none"/>
        </w:rPr>
      </w:pPr>
      <w:r>
        <w:rPr>
          <w:sz w:val="22"/>
          <w:szCs w:val="28"/>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1A1DF811">
      <w:pPr>
        <w:spacing w:after="160" w:line="278" w:lineRule="auto"/>
        <w:rPr>
          <w:sz w:val="22"/>
          <w:szCs w:val="28"/>
          <w:highlight w:val="none"/>
        </w:rPr>
      </w:pPr>
      <w:bookmarkStart w:id="2930" w:name="_Toc241459725"/>
      <w:bookmarkStart w:id="2931" w:name="_Toc109914528"/>
      <w:bookmarkStart w:id="2932" w:name="_Toc342296484"/>
      <w:bookmarkStart w:id="2933" w:name="_Toc179632739"/>
      <w:bookmarkStart w:id="2934" w:name="_Toc132619212"/>
      <w:bookmarkStart w:id="2935" w:name="_Toc152045721"/>
      <w:bookmarkStart w:id="2936" w:name="_Toc144974692"/>
      <w:bookmarkStart w:id="2937" w:name="_Toc152042500"/>
      <w:bookmarkStart w:id="2938" w:name="_Toc142385751"/>
      <w:bookmarkStart w:id="2939" w:name="_Toc129798463"/>
      <w:r>
        <w:rPr>
          <w:sz w:val="22"/>
          <w:szCs w:val="28"/>
          <w:highlight w:val="none"/>
        </w:rPr>
        <w:t>17.3 工程进度付款</w:t>
      </w:r>
      <w:bookmarkEnd w:id="2930"/>
      <w:bookmarkEnd w:id="2931"/>
      <w:bookmarkEnd w:id="2932"/>
      <w:bookmarkEnd w:id="2933"/>
      <w:bookmarkEnd w:id="2934"/>
      <w:bookmarkEnd w:id="2935"/>
      <w:bookmarkEnd w:id="2936"/>
      <w:bookmarkEnd w:id="2937"/>
      <w:bookmarkEnd w:id="2938"/>
      <w:bookmarkEnd w:id="2939"/>
    </w:p>
    <w:p w14:paraId="3076FEDC">
      <w:pPr>
        <w:spacing w:after="160" w:line="278" w:lineRule="auto"/>
        <w:rPr>
          <w:sz w:val="22"/>
          <w:szCs w:val="28"/>
          <w:highlight w:val="none"/>
        </w:rPr>
      </w:pPr>
      <w:r>
        <w:rPr>
          <w:sz w:val="22"/>
          <w:szCs w:val="28"/>
          <w:highlight w:val="none"/>
        </w:rPr>
        <w:t>17.3.2</w:t>
      </w:r>
      <w:r>
        <w:rPr>
          <w:rFonts w:hint="eastAsia"/>
          <w:sz w:val="22"/>
          <w:szCs w:val="28"/>
          <w:highlight w:val="none"/>
        </w:rPr>
        <w:t>进度付款申请单</w:t>
      </w:r>
    </w:p>
    <w:p w14:paraId="0860DE18">
      <w:pPr>
        <w:spacing w:after="160" w:line="278" w:lineRule="auto"/>
        <w:rPr>
          <w:sz w:val="22"/>
          <w:szCs w:val="28"/>
          <w:highlight w:val="none"/>
        </w:rPr>
      </w:pPr>
      <w:r>
        <w:rPr>
          <w:sz w:val="22"/>
          <w:szCs w:val="28"/>
          <w:highlight w:val="none"/>
        </w:rPr>
        <w:t>进度付款申请单的份数：</w:t>
      </w:r>
      <w:r>
        <w:rPr>
          <w:sz w:val="22"/>
          <w:szCs w:val="28"/>
          <w:highlight w:val="none"/>
          <w:u w:val="single"/>
        </w:rPr>
        <w:t>一式五份。</w:t>
      </w:r>
    </w:p>
    <w:p w14:paraId="664443A9">
      <w:pPr>
        <w:spacing w:after="160" w:line="278" w:lineRule="auto"/>
        <w:rPr>
          <w:sz w:val="22"/>
          <w:szCs w:val="28"/>
          <w:highlight w:val="none"/>
        </w:rPr>
      </w:pPr>
      <w:r>
        <w:rPr>
          <w:sz w:val="22"/>
          <w:szCs w:val="28"/>
          <w:highlight w:val="none"/>
        </w:rPr>
        <w:t xml:space="preserve">进度付款申请单的内容：按照发包人规定的格式和内容填写，应包括但不限于如下内容（1）付款次数或编号；（2）截至本次付款周期末已实施工程的价款；（3）变更金额；（4）索赔金额；（5）本次应支付的预付款和（或）应抵扣的预付款；（6）本次扣减的质量保证金；（7）根据合同增加和扣减的其他金额。 </w:t>
      </w:r>
    </w:p>
    <w:p w14:paraId="0A20CABA">
      <w:pPr>
        <w:spacing w:after="160" w:line="278" w:lineRule="auto"/>
        <w:rPr>
          <w:sz w:val="22"/>
          <w:szCs w:val="28"/>
          <w:highlight w:val="none"/>
        </w:rPr>
      </w:pPr>
      <w:r>
        <w:rPr>
          <w:sz w:val="22"/>
          <w:szCs w:val="28"/>
          <w:highlight w:val="none"/>
        </w:rPr>
        <w:t>17.3.3</w:t>
      </w:r>
      <w:r>
        <w:rPr>
          <w:rFonts w:hint="eastAsia"/>
          <w:sz w:val="22"/>
          <w:szCs w:val="28"/>
          <w:highlight w:val="none"/>
        </w:rPr>
        <w:t>进度付款证书和支付时间</w:t>
      </w:r>
    </w:p>
    <w:p w14:paraId="6E8C03C7">
      <w:pPr>
        <w:spacing w:after="160" w:line="278" w:lineRule="auto"/>
        <w:rPr>
          <w:sz w:val="22"/>
          <w:szCs w:val="28"/>
          <w:highlight w:val="none"/>
        </w:rPr>
      </w:pPr>
      <w:r>
        <w:rPr>
          <w:sz w:val="22"/>
          <w:szCs w:val="28"/>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3E239C55">
      <w:pPr>
        <w:spacing w:after="160" w:line="278" w:lineRule="auto"/>
        <w:rPr>
          <w:sz w:val="22"/>
          <w:szCs w:val="28"/>
          <w:highlight w:val="none"/>
        </w:rPr>
      </w:pPr>
      <w:r>
        <w:rPr>
          <w:sz w:val="22"/>
          <w:szCs w:val="28"/>
          <w:highlight w:val="none"/>
        </w:rPr>
        <w:t>逾期付款违约金的计算标准为：</w:t>
      </w:r>
      <w:r>
        <w:rPr>
          <w:sz w:val="22"/>
          <w:szCs w:val="28"/>
          <w:highlight w:val="none"/>
          <w:u w:val="single"/>
        </w:rPr>
        <w:t xml:space="preserve">  </w:t>
      </w:r>
      <w:r>
        <w:rPr>
          <w:rFonts w:hint="eastAsia"/>
          <w:sz w:val="22"/>
          <w:szCs w:val="28"/>
          <w:highlight w:val="none"/>
          <w:u w:val="single"/>
        </w:rPr>
        <w:t>按当期银行存款利率计算</w:t>
      </w:r>
      <w:r>
        <w:rPr>
          <w:sz w:val="22"/>
          <w:szCs w:val="28"/>
          <w:highlight w:val="none"/>
          <w:u w:val="single"/>
        </w:rPr>
        <w:t xml:space="preserve">     </w:t>
      </w:r>
      <w:r>
        <w:rPr>
          <w:sz w:val="22"/>
          <w:szCs w:val="28"/>
          <w:highlight w:val="none"/>
        </w:rPr>
        <w:t xml:space="preserve">   。</w:t>
      </w:r>
    </w:p>
    <w:p w14:paraId="638C41D5">
      <w:pPr>
        <w:spacing w:after="160" w:line="278" w:lineRule="auto"/>
        <w:rPr>
          <w:sz w:val="22"/>
          <w:szCs w:val="28"/>
          <w:highlight w:val="none"/>
        </w:rPr>
      </w:pPr>
      <w:r>
        <w:rPr>
          <w:sz w:val="22"/>
          <w:szCs w:val="28"/>
          <w:highlight w:val="none"/>
        </w:rPr>
        <w:t>逾期付款违约金的计算方法为：</w:t>
      </w:r>
      <w:r>
        <w:rPr>
          <w:sz w:val="22"/>
          <w:szCs w:val="28"/>
          <w:highlight w:val="none"/>
          <w:u w:val="single"/>
        </w:rPr>
        <w:t xml:space="preserve">  执行通用条款  </w:t>
      </w:r>
      <w:r>
        <w:rPr>
          <w:sz w:val="22"/>
          <w:szCs w:val="28"/>
          <w:highlight w:val="none"/>
        </w:rPr>
        <w:t xml:space="preserve">                。</w:t>
      </w:r>
    </w:p>
    <w:p w14:paraId="6A1E45D7">
      <w:pPr>
        <w:spacing w:after="160" w:line="278" w:lineRule="auto"/>
        <w:rPr>
          <w:sz w:val="22"/>
          <w:szCs w:val="28"/>
          <w:highlight w:val="none"/>
        </w:rPr>
      </w:pPr>
      <w:r>
        <w:rPr>
          <w:sz w:val="22"/>
          <w:szCs w:val="28"/>
          <w:highlight w:val="none"/>
        </w:rPr>
        <w:t>（4）进度付款支付方法</w:t>
      </w:r>
      <w:r>
        <w:rPr>
          <w:rFonts w:hint="eastAsia"/>
          <w:sz w:val="22"/>
          <w:szCs w:val="28"/>
          <w:highlight w:val="none"/>
        </w:rPr>
        <w:t>：项目发包人按照上述约定及流程办理工程款支付审核应视为项目发包人按合同约定支付工程款，履行了工程款支付义务</w:t>
      </w:r>
      <w:r>
        <w:rPr>
          <w:sz w:val="22"/>
          <w:szCs w:val="28"/>
          <w:highlight w:val="none"/>
        </w:rPr>
        <w:t>。</w:t>
      </w:r>
    </w:p>
    <w:p w14:paraId="213856C4">
      <w:pPr>
        <w:spacing w:after="160" w:line="278" w:lineRule="auto"/>
        <w:rPr>
          <w:sz w:val="22"/>
          <w:szCs w:val="28"/>
          <w:highlight w:val="none"/>
          <w:u w:val="single"/>
        </w:rPr>
      </w:pPr>
      <w:r>
        <w:rPr>
          <w:sz w:val="22"/>
          <w:szCs w:val="28"/>
          <w:highlight w:val="none"/>
          <w:u w:val="single"/>
        </w:rPr>
        <w:t>工程进度款支付比例：</w:t>
      </w:r>
      <w:r>
        <w:rPr>
          <w:rFonts w:hint="eastAsia"/>
          <w:sz w:val="22"/>
          <w:szCs w:val="28"/>
          <w:highlight w:val="none"/>
          <w:u w:val="single"/>
        </w:rPr>
        <w:t>竣工验收合格后支付至合同总价的80%，之后按最终竣工决算金额结清尾款。合同总价的3%作为履约保证金（保函形式），待工程缺陷责任期结束后返还</w:t>
      </w:r>
      <w:r>
        <w:rPr>
          <w:sz w:val="22"/>
          <w:szCs w:val="28"/>
          <w:highlight w:val="none"/>
          <w:u w:val="single"/>
        </w:rPr>
        <w:t>。</w:t>
      </w:r>
    </w:p>
    <w:p w14:paraId="1F79A17D">
      <w:pPr>
        <w:spacing w:after="160" w:line="278" w:lineRule="auto"/>
        <w:rPr>
          <w:rFonts w:ascii="Times New Roman" w:hAnsi="Times New Roman" w:eastAsia="宋体" w:cs="Times New Roman"/>
          <w:sz w:val="22"/>
          <w:szCs w:val="28"/>
          <w:highlight w:val="none"/>
          <w:u w:val="single"/>
        </w:rPr>
      </w:pPr>
      <w:r>
        <w:rPr>
          <w:rFonts w:hint="eastAsia" w:ascii="Times New Roman" w:hAnsi="Times New Roman" w:eastAsia="宋体" w:cs="Times New Roman"/>
          <w:sz w:val="22"/>
          <w:szCs w:val="28"/>
          <w:highlight w:val="none"/>
          <w:u w:val="single"/>
        </w:rPr>
        <w:t>如财政资金到位时间晚于工程竣工验收时间或项目结算审计时间，可一次性支付剩余款项。</w:t>
      </w:r>
    </w:p>
    <w:p w14:paraId="0803C454">
      <w:pPr>
        <w:spacing w:after="160" w:line="278" w:lineRule="auto"/>
        <w:rPr>
          <w:sz w:val="22"/>
          <w:szCs w:val="28"/>
          <w:highlight w:val="none"/>
        </w:rPr>
      </w:pPr>
      <w:r>
        <w:rPr>
          <w:rFonts w:hint="eastAsia"/>
          <w:sz w:val="22"/>
          <w:szCs w:val="28"/>
          <w:highlight w:val="none"/>
        </w:rPr>
        <w:t>（5）承包人申报的竣工结算价格要合理，不能虚报。若发包人审核或审计机构审核后审减额超过结算价10%的，超过10%部分所发生的审计费用由承包人承担，承包人同意发包人从最终结算价款中直接扣除。</w:t>
      </w:r>
    </w:p>
    <w:p w14:paraId="74A33810">
      <w:pPr>
        <w:spacing w:after="160" w:line="278" w:lineRule="auto"/>
        <w:rPr>
          <w:sz w:val="22"/>
          <w:szCs w:val="28"/>
          <w:highlight w:val="none"/>
        </w:rPr>
      </w:pPr>
      <w:bookmarkStart w:id="2940" w:name="_Toc152042501"/>
      <w:bookmarkStart w:id="2941" w:name="_Toc152045722"/>
      <w:bookmarkStart w:id="2942" w:name="_Toc179632740"/>
      <w:bookmarkStart w:id="2943" w:name="_Toc144974693"/>
      <w:r>
        <w:rPr>
          <w:sz w:val="22"/>
          <w:szCs w:val="28"/>
          <w:highlight w:val="none"/>
        </w:rPr>
        <w:t xml:space="preserve">17.3.5 </w:t>
      </w:r>
      <w:r>
        <w:rPr>
          <w:rFonts w:hint="eastAsia"/>
          <w:sz w:val="22"/>
          <w:szCs w:val="28"/>
          <w:highlight w:val="none"/>
        </w:rPr>
        <w:t>临时付款证书</w:t>
      </w:r>
    </w:p>
    <w:p w14:paraId="353AB152">
      <w:pPr>
        <w:spacing w:after="160" w:line="278" w:lineRule="auto"/>
        <w:rPr>
          <w:sz w:val="22"/>
          <w:szCs w:val="28"/>
          <w:highlight w:val="none"/>
        </w:rPr>
      </w:pPr>
      <w:r>
        <w:rPr>
          <w:sz w:val="22"/>
          <w:szCs w:val="28"/>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35EB0354">
      <w:pPr>
        <w:spacing w:after="160" w:line="278" w:lineRule="auto"/>
        <w:rPr>
          <w:sz w:val="22"/>
          <w:szCs w:val="28"/>
          <w:highlight w:val="none"/>
        </w:rPr>
      </w:pPr>
      <w:r>
        <w:rPr>
          <w:sz w:val="22"/>
          <w:szCs w:val="28"/>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8689312">
      <w:pPr>
        <w:spacing w:after="160" w:line="278" w:lineRule="auto"/>
        <w:rPr>
          <w:sz w:val="22"/>
          <w:szCs w:val="28"/>
          <w:highlight w:val="none"/>
        </w:rPr>
      </w:pPr>
      <w:r>
        <w:rPr>
          <w:sz w:val="22"/>
          <w:szCs w:val="28"/>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bookmarkEnd w:id="2940"/>
    <w:bookmarkEnd w:id="2941"/>
    <w:bookmarkEnd w:id="2942"/>
    <w:bookmarkEnd w:id="2943"/>
    <w:p w14:paraId="7D2B5AC6">
      <w:pPr>
        <w:spacing w:after="160" w:line="278" w:lineRule="auto"/>
        <w:rPr>
          <w:rFonts w:hint="eastAsia" w:ascii="宋体" w:hAnsi="宋体"/>
          <w:sz w:val="22"/>
          <w:szCs w:val="28"/>
          <w:highlight w:val="none"/>
        </w:rPr>
      </w:pPr>
      <w:bookmarkStart w:id="2944" w:name="_Toc142385752"/>
      <w:bookmarkStart w:id="2945" w:name="_Toc342296485"/>
      <w:bookmarkStart w:id="2946" w:name="_Toc109914529"/>
      <w:bookmarkStart w:id="2947" w:name="_Toc241459726"/>
      <w:bookmarkStart w:id="2948" w:name="_Toc129798464"/>
      <w:bookmarkStart w:id="2949" w:name="_Toc132619213"/>
      <w:bookmarkStart w:id="2950" w:name="_Toc152042502"/>
      <w:bookmarkStart w:id="2951" w:name="_Toc179632741"/>
      <w:bookmarkStart w:id="2952" w:name="_Toc144974694"/>
      <w:bookmarkStart w:id="2953" w:name="_Toc152045723"/>
      <w:r>
        <w:rPr>
          <w:rFonts w:ascii="宋体" w:hAnsi="宋体"/>
          <w:sz w:val="22"/>
          <w:szCs w:val="28"/>
          <w:highlight w:val="none"/>
        </w:rPr>
        <w:t xml:space="preserve">17.4 </w:t>
      </w:r>
      <w:r>
        <w:rPr>
          <w:rFonts w:hint="eastAsia" w:ascii="宋体" w:hAnsi="宋体"/>
          <w:sz w:val="22"/>
          <w:szCs w:val="28"/>
          <w:highlight w:val="none"/>
        </w:rPr>
        <w:t>履约</w:t>
      </w:r>
      <w:r>
        <w:rPr>
          <w:rFonts w:ascii="宋体" w:hAnsi="宋体"/>
          <w:sz w:val="22"/>
          <w:szCs w:val="28"/>
          <w:highlight w:val="none"/>
        </w:rPr>
        <w:t>保证金</w:t>
      </w:r>
      <w:bookmarkEnd w:id="2944"/>
      <w:bookmarkEnd w:id="2945"/>
      <w:bookmarkEnd w:id="2946"/>
      <w:bookmarkEnd w:id="2947"/>
      <w:bookmarkEnd w:id="2948"/>
      <w:bookmarkEnd w:id="2949"/>
    </w:p>
    <w:p w14:paraId="6613D428">
      <w:pPr>
        <w:spacing w:after="160" w:line="278" w:lineRule="auto"/>
        <w:rPr>
          <w:sz w:val="22"/>
          <w:szCs w:val="28"/>
          <w:highlight w:val="none"/>
        </w:rPr>
      </w:pPr>
      <w:r>
        <w:rPr>
          <w:rFonts w:ascii="宋体" w:hAnsi="宋体"/>
          <w:sz w:val="22"/>
          <w:szCs w:val="28"/>
          <w:highlight w:val="none"/>
        </w:rPr>
        <w:t>17.4.1</w:t>
      </w:r>
      <w:r>
        <w:rPr>
          <w:rFonts w:hint="eastAsia" w:ascii="宋体" w:hAnsi="宋体"/>
          <w:sz w:val="22"/>
          <w:szCs w:val="28"/>
          <w:highlight w:val="none"/>
        </w:rPr>
        <w:t>履约保证金应在结算审定3</w:t>
      </w:r>
      <w:r>
        <w:rPr>
          <w:rFonts w:ascii="宋体" w:hAnsi="宋体"/>
          <w:sz w:val="22"/>
          <w:szCs w:val="28"/>
          <w:highlight w:val="none"/>
        </w:rPr>
        <w:t>0</w:t>
      </w:r>
      <w:r>
        <w:rPr>
          <w:rFonts w:hint="eastAsia" w:ascii="宋体" w:hAnsi="宋体"/>
          <w:sz w:val="22"/>
          <w:szCs w:val="28"/>
          <w:highlight w:val="none"/>
        </w:rPr>
        <w:t>日内由承包方缴纳，金额为合同总价的3</w:t>
      </w:r>
      <w:r>
        <w:rPr>
          <w:rFonts w:ascii="宋体" w:hAnsi="宋体"/>
          <w:sz w:val="22"/>
          <w:szCs w:val="28"/>
          <w:highlight w:val="none"/>
        </w:rPr>
        <w:t>%</w:t>
      </w:r>
      <w:r>
        <w:rPr>
          <w:rFonts w:hint="eastAsia" w:ascii="宋体" w:hAnsi="宋体"/>
          <w:sz w:val="22"/>
          <w:szCs w:val="28"/>
          <w:highlight w:val="none"/>
        </w:rPr>
        <w:t>。履约</w:t>
      </w:r>
      <w:r>
        <w:rPr>
          <w:rFonts w:ascii="宋体" w:hAnsi="宋体"/>
          <w:sz w:val="22"/>
          <w:szCs w:val="28"/>
          <w:highlight w:val="none"/>
        </w:rPr>
        <w:t>保证金</w:t>
      </w:r>
      <w:r>
        <w:rPr>
          <w:rFonts w:hint="eastAsia" w:ascii="宋体" w:hAnsi="宋体"/>
          <w:sz w:val="22"/>
          <w:szCs w:val="28"/>
          <w:highlight w:val="none"/>
        </w:rPr>
        <w:t>返还时间为验收合格后2年，不计利息。若涉及保修责任，参照第1</w:t>
      </w:r>
      <w:r>
        <w:rPr>
          <w:rFonts w:ascii="宋体" w:hAnsi="宋体"/>
          <w:sz w:val="22"/>
          <w:szCs w:val="28"/>
          <w:highlight w:val="none"/>
        </w:rPr>
        <w:t>9.7</w:t>
      </w:r>
      <w:r>
        <w:rPr>
          <w:rFonts w:hint="eastAsia" w:ascii="宋体" w:hAnsi="宋体"/>
          <w:sz w:val="22"/>
          <w:szCs w:val="28"/>
          <w:highlight w:val="none"/>
        </w:rPr>
        <w:t>条款执行。</w:t>
      </w:r>
    </w:p>
    <w:p w14:paraId="5C971611">
      <w:pPr>
        <w:spacing w:after="160" w:line="278" w:lineRule="auto"/>
        <w:rPr>
          <w:sz w:val="22"/>
          <w:szCs w:val="28"/>
          <w:highlight w:val="none"/>
        </w:rPr>
      </w:pPr>
      <w:bookmarkStart w:id="2954" w:name="_Toc132619214"/>
      <w:bookmarkStart w:id="2955" w:name="_Toc129798465"/>
      <w:bookmarkStart w:id="2956" w:name="_Toc109914530"/>
      <w:bookmarkStart w:id="2957" w:name="_Toc342296486"/>
      <w:bookmarkStart w:id="2958" w:name="_Toc142385753"/>
      <w:bookmarkStart w:id="2959" w:name="_Toc241459727"/>
      <w:r>
        <w:rPr>
          <w:sz w:val="22"/>
          <w:szCs w:val="28"/>
          <w:highlight w:val="none"/>
        </w:rPr>
        <w:t>17.5 竣工结算</w:t>
      </w:r>
      <w:bookmarkEnd w:id="2950"/>
      <w:bookmarkEnd w:id="2951"/>
      <w:bookmarkEnd w:id="2952"/>
      <w:bookmarkEnd w:id="2953"/>
      <w:bookmarkEnd w:id="2954"/>
      <w:bookmarkEnd w:id="2955"/>
      <w:bookmarkEnd w:id="2956"/>
      <w:bookmarkEnd w:id="2957"/>
      <w:bookmarkEnd w:id="2958"/>
      <w:bookmarkEnd w:id="2959"/>
    </w:p>
    <w:p w14:paraId="0C6E3068">
      <w:pPr>
        <w:spacing w:after="160" w:line="278" w:lineRule="auto"/>
        <w:rPr>
          <w:sz w:val="22"/>
          <w:szCs w:val="28"/>
          <w:highlight w:val="none"/>
        </w:rPr>
      </w:pPr>
      <w:bookmarkStart w:id="2960" w:name="_Toc179632742"/>
      <w:bookmarkStart w:id="2961" w:name="_Toc144974695"/>
      <w:bookmarkStart w:id="2962" w:name="_Toc152042503"/>
      <w:bookmarkStart w:id="2963" w:name="_Toc152045724"/>
      <w:r>
        <w:rPr>
          <w:sz w:val="22"/>
          <w:szCs w:val="28"/>
          <w:highlight w:val="none"/>
        </w:rPr>
        <w:t>17.5.1</w:t>
      </w:r>
      <w:r>
        <w:rPr>
          <w:rFonts w:hint="eastAsia"/>
          <w:sz w:val="22"/>
          <w:szCs w:val="28"/>
          <w:highlight w:val="none"/>
        </w:rPr>
        <w:t>竣工付款申请单</w:t>
      </w:r>
    </w:p>
    <w:p w14:paraId="068ADDDF">
      <w:pPr>
        <w:spacing w:after="160" w:line="278" w:lineRule="auto"/>
        <w:rPr>
          <w:sz w:val="22"/>
          <w:szCs w:val="28"/>
          <w:highlight w:val="none"/>
        </w:rPr>
      </w:pPr>
      <w:r>
        <w:rPr>
          <w:sz w:val="22"/>
          <w:szCs w:val="28"/>
          <w:highlight w:val="none"/>
        </w:rPr>
        <w:t>承包人提交竣工付款申请单的份数：</w:t>
      </w:r>
      <w:r>
        <w:rPr>
          <w:sz w:val="22"/>
          <w:szCs w:val="28"/>
          <w:highlight w:val="none"/>
          <w:u w:val="single"/>
        </w:rPr>
        <w:t>一式五份</w:t>
      </w:r>
      <w:r>
        <w:rPr>
          <w:sz w:val="22"/>
          <w:szCs w:val="28"/>
          <w:highlight w:val="none"/>
        </w:rPr>
        <w:t>。</w:t>
      </w:r>
    </w:p>
    <w:p w14:paraId="31B73960">
      <w:pPr>
        <w:spacing w:after="160" w:line="278" w:lineRule="auto"/>
        <w:rPr>
          <w:sz w:val="22"/>
          <w:szCs w:val="28"/>
          <w:highlight w:val="none"/>
        </w:rPr>
      </w:pPr>
      <w:r>
        <w:rPr>
          <w:sz w:val="22"/>
          <w:szCs w:val="28"/>
          <w:highlight w:val="none"/>
        </w:rPr>
        <w:t>承包人提交竣工付款申请单的期限：</w:t>
      </w:r>
      <w:r>
        <w:rPr>
          <w:rFonts w:hint="eastAsia"/>
          <w:sz w:val="22"/>
          <w:szCs w:val="28"/>
          <w:highlight w:val="none"/>
        </w:rPr>
        <w:t>工程</w:t>
      </w:r>
      <w:r>
        <w:rPr>
          <w:sz w:val="22"/>
          <w:szCs w:val="28"/>
          <w:highlight w:val="none"/>
        </w:rPr>
        <w:t>竣工后</w:t>
      </w:r>
      <w:r>
        <w:rPr>
          <w:rFonts w:hint="eastAsia"/>
          <w:sz w:val="22"/>
          <w:szCs w:val="28"/>
          <w:highlight w:val="none"/>
        </w:rPr>
        <w:t>28日内提交结算报告及完整的结算资料。</w:t>
      </w:r>
    </w:p>
    <w:p w14:paraId="5092A5A1">
      <w:pPr>
        <w:spacing w:after="160" w:line="278" w:lineRule="auto"/>
        <w:rPr>
          <w:sz w:val="22"/>
          <w:szCs w:val="28"/>
          <w:highlight w:val="none"/>
        </w:rPr>
      </w:pPr>
      <w:r>
        <w:rPr>
          <w:sz w:val="22"/>
          <w:szCs w:val="28"/>
          <w:highlight w:val="none"/>
        </w:rPr>
        <w:t>竣工付款申请单的内容：按照发包人规定的格式和内容填写，应包括但不限于竣工结算合同总价、已支付的工程价款、应扣回的预付款、应扣留的质量保证金、应支付的竣工付款金额、工程变更、工程洽商、现场签证等。</w:t>
      </w:r>
    </w:p>
    <w:p w14:paraId="5919B049">
      <w:pPr>
        <w:spacing w:after="160" w:line="278" w:lineRule="auto"/>
        <w:rPr>
          <w:sz w:val="22"/>
          <w:szCs w:val="28"/>
          <w:highlight w:val="none"/>
        </w:rPr>
      </w:pPr>
      <w:r>
        <w:rPr>
          <w:sz w:val="22"/>
          <w:szCs w:val="28"/>
          <w:highlight w:val="none"/>
        </w:rPr>
        <w:t xml:space="preserve">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   </w:t>
      </w:r>
    </w:p>
    <w:p w14:paraId="4FE933BE">
      <w:pPr>
        <w:spacing w:after="160" w:line="278" w:lineRule="auto"/>
        <w:rPr>
          <w:sz w:val="22"/>
          <w:szCs w:val="28"/>
          <w:highlight w:val="none"/>
        </w:rPr>
      </w:pPr>
      <w:r>
        <w:rPr>
          <w:sz w:val="22"/>
          <w:szCs w:val="28"/>
          <w:highlight w:val="none"/>
        </w:rPr>
        <w:t>不管通用合同条款17.5.2项如何约定，发包人和承包人应当在监理人颁发（出具）工程接收证书</w:t>
      </w:r>
      <w:r>
        <w:rPr>
          <w:rFonts w:hint="eastAsia"/>
          <w:sz w:val="22"/>
          <w:szCs w:val="28"/>
          <w:highlight w:val="none"/>
        </w:rPr>
        <w:t>且验收通过后</w:t>
      </w:r>
      <w:r>
        <w:rPr>
          <w:sz w:val="22"/>
          <w:szCs w:val="28"/>
          <w:highlight w:val="none"/>
        </w:rPr>
        <w:t>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0B207ACE">
      <w:pPr>
        <w:spacing w:after="160" w:line="278" w:lineRule="auto"/>
        <w:rPr>
          <w:sz w:val="22"/>
          <w:szCs w:val="28"/>
          <w:highlight w:val="none"/>
        </w:rPr>
      </w:pPr>
      <w:bookmarkStart w:id="2964" w:name="_Toc132619215"/>
      <w:bookmarkStart w:id="2965" w:name="_Toc142385754"/>
      <w:bookmarkStart w:id="2966" w:name="_Toc129798466"/>
      <w:bookmarkStart w:id="2967" w:name="_Toc241459728"/>
      <w:bookmarkStart w:id="2968" w:name="_Toc342296487"/>
      <w:bookmarkStart w:id="2969" w:name="_Toc109914531"/>
      <w:r>
        <w:rPr>
          <w:sz w:val="22"/>
          <w:szCs w:val="28"/>
          <w:highlight w:val="none"/>
        </w:rPr>
        <w:t>17.6 最终结清</w:t>
      </w:r>
      <w:bookmarkEnd w:id="2960"/>
      <w:bookmarkEnd w:id="2961"/>
      <w:bookmarkEnd w:id="2962"/>
      <w:bookmarkEnd w:id="2963"/>
      <w:bookmarkEnd w:id="2964"/>
      <w:bookmarkEnd w:id="2965"/>
      <w:bookmarkEnd w:id="2966"/>
      <w:bookmarkEnd w:id="2967"/>
      <w:bookmarkEnd w:id="2968"/>
      <w:bookmarkEnd w:id="2969"/>
    </w:p>
    <w:p w14:paraId="7650E046">
      <w:pPr>
        <w:spacing w:after="160" w:line="278" w:lineRule="auto"/>
        <w:rPr>
          <w:sz w:val="22"/>
          <w:szCs w:val="28"/>
          <w:highlight w:val="none"/>
        </w:rPr>
      </w:pPr>
      <w:r>
        <w:rPr>
          <w:sz w:val="22"/>
          <w:szCs w:val="28"/>
          <w:highlight w:val="none"/>
        </w:rPr>
        <w:t>17.6.1</w:t>
      </w:r>
      <w:r>
        <w:rPr>
          <w:rFonts w:hint="eastAsia"/>
          <w:sz w:val="22"/>
          <w:szCs w:val="28"/>
          <w:highlight w:val="none"/>
        </w:rPr>
        <w:t>最终结清申请单</w:t>
      </w:r>
    </w:p>
    <w:p w14:paraId="01A166BA">
      <w:pPr>
        <w:spacing w:after="160" w:line="278" w:lineRule="auto"/>
        <w:rPr>
          <w:sz w:val="22"/>
          <w:szCs w:val="28"/>
          <w:highlight w:val="none"/>
        </w:rPr>
      </w:pPr>
      <w:r>
        <w:rPr>
          <w:sz w:val="22"/>
          <w:szCs w:val="28"/>
          <w:highlight w:val="none"/>
        </w:rPr>
        <w:t>承包人提交最终结清申请单的份数：</w:t>
      </w:r>
      <w:r>
        <w:rPr>
          <w:sz w:val="22"/>
          <w:szCs w:val="28"/>
          <w:highlight w:val="none"/>
          <w:u w:val="single"/>
        </w:rPr>
        <w:t>一式五份</w:t>
      </w:r>
      <w:r>
        <w:rPr>
          <w:sz w:val="22"/>
          <w:szCs w:val="28"/>
          <w:highlight w:val="none"/>
        </w:rPr>
        <w:t>。</w:t>
      </w:r>
    </w:p>
    <w:p w14:paraId="7D20B18B">
      <w:pPr>
        <w:spacing w:after="160" w:line="278" w:lineRule="auto"/>
        <w:rPr>
          <w:sz w:val="22"/>
          <w:szCs w:val="28"/>
          <w:highlight w:val="none"/>
        </w:rPr>
      </w:pPr>
      <w:r>
        <w:rPr>
          <w:sz w:val="22"/>
          <w:szCs w:val="28"/>
          <w:highlight w:val="none"/>
        </w:rPr>
        <w:t>承包人提交最终结清申请单的期限：</w:t>
      </w:r>
      <w:r>
        <w:rPr>
          <w:sz w:val="22"/>
          <w:szCs w:val="28"/>
          <w:highlight w:val="none"/>
          <w:u w:val="single"/>
        </w:rPr>
        <w:t>在缺陷责任期终止证书颁发后28日内</w:t>
      </w:r>
      <w:r>
        <w:rPr>
          <w:sz w:val="22"/>
          <w:szCs w:val="28"/>
          <w:highlight w:val="none"/>
        </w:rPr>
        <w:t>。</w:t>
      </w:r>
    </w:p>
    <w:p w14:paraId="516210E6">
      <w:pPr>
        <w:spacing w:after="160" w:line="278" w:lineRule="auto"/>
        <w:rPr>
          <w:sz w:val="22"/>
          <w:szCs w:val="28"/>
          <w:highlight w:val="none"/>
        </w:rPr>
      </w:pPr>
      <w:bookmarkStart w:id="2970" w:name="_Toc129798467"/>
      <w:bookmarkStart w:id="2971" w:name="_Toc152042504"/>
      <w:bookmarkStart w:id="2972" w:name="_Toc469660058"/>
      <w:bookmarkStart w:id="2973" w:name="_Toc442365655"/>
      <w:bookmarkStart w:id="2974" w:name="_Toc142385755"/>
      <w:bookmarkStart w:id="2975" w:name="_Toc448758563"/>
      <w:bookmarkStart w:id="2976" w:name="_Toc109914532"/>
      <w:bookmarkStart w:id="2977" w:name="_Toc144974696"/>
      <w:bookmarkStart w:id="2978" w:name="_Toc448758463"/>
      <w:bookmarkStart w:id="2979" w:name="_Toc179632743"/>
      <w:bookmarkStart w:id="2980" w:name="_Toc152045725"/>
      <w:bookmarkStart w:id="2981" w:name="_Toc342296488"/>
      <w:bookmarkStart w:id="2982" w:name="_Toc132619216"/>
      <w:bookmarkStart w:id="2983" w:name="_Toc241459729"/>
      <w:r>
        <w:rPr>
          <w:sz w:val="22"/>
          <w:szCs w:val="28"/>
          <w:highlight w:val="none"/>
        </w:rPr>
        <w:t>18. 竣工验收</w:t>
      </w:r>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14:paraId="6A5A6F72">
      <w:pPr>
        <w:spacing w:after="160" w:line="278" w:lineRule="auto"/>
        <w:rPr>
          <w:sz w:val="22"/>
          <w:szCs w:val="28"/>
          <w:highlight w:val="none"/>
        </w:rPr>
      </w:pPr>
      <w:bookmarkStart w:id="2984" w:name="_Toc132619217"/>
      <w:bookmarkStart w:id="2985" w:name="_Toc179632745"/>
      <w:bookmarkStart w:id="2986" w:name="_Toc142385756"/>
      <w:bookmarkStart w:id="2987" w:name="_Toc152045727"/>
      <w:bookmarkStart w:id="2988" w:name="_Toc152042506"/>
      <w:bookmarkStart w:id="2989" w:name="_Toc144974698"/>
      <w:bookmarkStart w:id="2990" w:name="_Toc342296489"/>
      <w:bookmarkStart w:id="2991" w:name="_Toc129798468"/>
      <w:bookmarkStart w:id="2992" w:name="_Toc241459730"/>
      <w:bookmarkStart w:id="2993" w:name="_Toc109914533"/>
      <w:r>
        <w:rPr>
          <w:sz w:val="22"/>
          <w:szCs w:val="28"/>
          <w:highlight w:val="none"/>
        </w:rPr>
        <w:t>18.2 竣工验收申请报告</w:t>
      </w:r>
      <w:bookmarkEnd w:id="2984"/>
      <w:bookmarkEnd w:id="2985"/>
      <w:bookmarkEnd w:id="2986"/>
      <w:bookmarkEnd w:id="2987"/>
      <w:bookmarkEnd w:id="2988"/>
      <w:bookmarkEnd w:id="2989"/>
      <w:bookmarkEnd w:id="2990"/>
      <w:bookmarkEnd w:id="2991"/>
      <w:bookmarkEnd w:id="2992"/>
      <w:bookmarkEnd w:id="2993"/>
    </w:p>
    <w:p w14:paraId="5908E18E">
      <w:pPr>
        <w:spacing w:after="160" w:line="278" w:lineRule="auto"/>
        <w:rPr>
          <w:sz w:val="22"/>
          <w:szCs w:val="28"/>
          <w:highlight w:val="none"/>
        </w:rPr>
      </w:pPr>
      <w:r>
        <w:rPr>
          <w:sz w:val="22"/>
          <w:szCs w:val="28"/>
          <w:highlight w:val="none"/>
        </w:rPr>
        <w:t>（2）承包人负责整理和提交的竣工验收资料应当符合工程所在地建设行政主管部门和（或）城市建设档案管理机构有关施工资料的要求，具体内容包括：除监理人同意列入缺陷责任期内完成的尾工（甩项）工程和缺陷修补工作外，合同范围内的全部单位工程以及有关工作，包括合同要求的试验，试运行以及检验和验收均已完成，并符合合同要求；已按合同约定的内容和份数备齐了符合要求的竣工资料；已按监理人的要求编制了在缺陷责任期内完成的尾工（甩项）工程和缺陷修补工作清单以及相应施工计划；监理人要求在竣工验收前应完成的其他工作；监理人要求提交的竣工验收资料清单；由监理人确认的工程相关项目管理系统电子版竣工验收资料。归档要求及范围详见发包方要求。</w:t>
      </w:r>
    </w:p>
    <w:p w14:paraId="132E8599">
      <w:pPr>
        <w:spacing w:after="160" w:line="278" w:lineRule="auto"/>
        <w:rPr>
          <w:sz w:val="22"/>
          <w:szCs w:val="28"/>
          <w:highlight w:val="none"/>
        </w:rPr>
      </w:pPr>
      <w:r>
        <w:rPr>
          <w:sz w:val="22"/>
          <w:szCs w:val="28"/>
          <w:highlight w:val="none"/>
        </w:rPr>
        <w:t>竣工验收资料的份数：</w:t>
      </w:r>
      <w:r>
        <w:rPr>
          <w:sz w:val="22"/>
          <w:szCs w:val="28"/>
          <w:highlight w:val="none"/>
          <w:u w:val="single"/>
        </w:rPr>
        <w:t>6套竣工图及2套工程档案资料</w:t>
      </w:r>
      <w:r>
        <w:rPr>
          <w:sz w:val="22"/>
          <w:szCs w:val="28"/>
          <w:highlight w:val="none"/>
        </w:rPr>
        <w:t>。</w:t>
      </w:r>
    </w:p>
    <w:p w14:paraId="02DF5594">
      <w:pPr>
        <w:spacing w:after="160" w:line="278" w:lineRule="auto"/>
        <w:rPr>
          <w:sz w:val="22"/>
          <w:szCs w:val="28"/>
          <w:highlight w:val="none"/>
        </w:rPr>
      </w:pPr>
      <w:bookmarkStart w:id="2994" w:name="_Toc152045728"/>
      <w:bookmarkStart w:id="2995" w:name="_Toc152042507"/>
      <w:bookmarkStart w:id="2996" w:name="_Toc144974699"/>
      <w:bookmarkStart w:id="2997" w:name="_Toc179632746"/>
      <w:r>
        <w:rPr>
          <w:sz w:val="22"/>
          <w:szCs w:val="28"/>
          <w:highlight w:val="none"/>
        </w:rPr>
        <w:t>竣工验收资料的费用支付方式：已包含在合同价款中，由承包人承担。</w:t>
      </w:r>
    </w:p>
    <w:p w14:paraId="3B52B5B5">
      <w:pPr>
        <w:spacing w:after="160" w:line="278" w:lineRule="auto"/>
        <w:rPr>
          <w:sz w:val="22"/>
          <w:szCs w:val="28"/>
          <w:highlight w:val="none"/>
        </w:rPr>
      </w:pPr>
      <w:bookmarkStart w:id="2998" w:name="_Toc132619218"/>
      <w:bookmarkStart w:id="2999" w:name="_Toc109914534"/>
      <w:bookmarkStart w:id="3000" w:name="_Toc241459731"/>
      <w:bookmarkStart w:id="3001" w:name="_Toc129798469"/>
      <w:bookmarkStart w:id="3002" w:name="_Toc342296490"/>
      <w:bookmarkStart w:id="3003" w:name="_Toc142385757"/>
      <w:r>
        <w:rPr>
          <w:sz w:val="22"/>
          <w:szCs w:val="28"/>
          <w:highlight w:val="none"/>
        </w:rPr>
        <w:t>18.3 验 收</w:t>
      </w:r>
      <w:bookmarkEnd w:id="2994"/>
      <w:bookmarkEnd w:id="2995"/>
      <w:bookmarkEnd w:id="2996"/>
      <w:bookmarkEnd w:id="2997"/>
      <w:bookmarkEnd w:id="2998"/>
      <w:bookmarkEnd w:id="2999"/>
      <w:bookmarkEnd w:id="3000"/>
      <w:bookmarkEnd w:id="3001"/>
      <w:bookmarkEnd w:id="3002"/>
      <w:bookmarkEnd w:id="3003"/>
    </w:p>
    <w:p w14:paraId="2B1C4C06">
      <w:pPr>
        <w:spacing w:after="160" w:line="278" w:lineRule="auto"/>
        <w:rPr>
          <w:sz w:val="22"/>
          <w:szCs w:val="28"/>
          <w:highlight w:val="none"/>
        </w:rPr>
      </w:pPr>
      <w:r>
        <w:rPr>
          <w:sz w:val="22"/>
          <w:szCs w:val="28"/>
          <w:highlight w:val="none"/>
        </w:rPr>
        <w:t>18.3.5经验收合格的工程, 实际竣工日期为承包人按照第18.2款提交竣工验收申请报告或按照本款重新提交竣工验收申请报告的日期（以两者中时间在后者为准）。</w:t>
      </w:r>
    </w:p>
    <w:p w14:paraId="58ACDB44">
      <w:pPr>
        <w:spacing w:after="160" w:line="278" w:lineRule="auto"/>
        <w:rPr>
          <w:sz w:val="22"/>
          <w:szCs w:val="28"/>
          <w:highlight w:val="none"/>
        </w:rPr>
      </w:pPr>
      <w:bookmarkStart w:id="3004" w:name="_Toc109914535"/>
      <w:bookmarkStart w:id="3005" w:name="_Toc132619219"/>
      <w:bookmarkStart w:id="3006" w:name="_Toc342296491"/>
      <w:bookmarkStart w:id="3007" w:name="_Toc144974701"/>
      <w:bookmarkStart w:id="3008" w:name="_Toc179632748"/>
      <w:bookmarkStart w:id="3009" w:name="_Toc241459732"/>
      <w:bookmarkStart w:id="3010" w:name="_Toc142385758"/>
      <w:bookmarkStart w:id="3011" w:name="_Toc152042509"/>
      <w:bookmarkStart w:id="3012" w:name="_Toc152045730"/>
      <w:bookmarkStart w:id="3013" w:name="_Toc129798470"/>
      <w:r>
        <w:rPr>
          <w:sz w:val="22"/>
          <w:szCs w:val="28"/>
          <w:highlight w:val="none"/>
        </w:rPr>
        <w:t>18.5 施工期运行</w:t>
      </w:r>
      <w:bookmarkEnd w:id="3004"/>
      <w:bookmarkEnd w:id="3005"/>
      <w:bookmarkEnd w:id="3006"/>
      <w:bookmarkEnd w:id="3007"/>
      <w:bookmarkEnd w:id="3008"/>
      <w:bookmarkEnd w:id="3009"/>
      <w:bookmarkEnd w:id="3010"/>
      <w:bookmarkEnd w:id="3011"/>
      <w:bookmarkEnd w:id="3012"/>
      <w:bookmarkEnd w:id="3013"/>
    </w:p>
    <w:p w14:paraId="1AF4C204">
      <w:pPr>
        <w:spacing w:after="160" w:line="278" w:lineRule="auto"/>
        <w:rPr>
          <w:sz w:val="22"/>
          <w:szCs w:val="28"/>
          <w:highlight w:val="none"/>
        </w:rPr>
      </w:pPr>
      <w:bookmarkStart w:id="3014" w:name="_Toc144974702"/>
      <w:bookmarkStart w:id="3015" w:name="_Toc152045731"/>
      <w:bookmarkStart w:id="3016" w:name="_Toc179632749"/>
      <w:bookmarkStart w:id="3017" w:name="_Toc152042510"/>
      <w:r>
        <w:rPr>
          <w:sz w:val="22"/>
          <w:szCs w:val="28"/>
          <w:highlight w:val="none"/>
        </w:rPr>
        <w:t xml:space="preserve">18.5.1需要施工期运行的单位工程或设备安装工程： </w:t>
      </w:r>
      <w:r>
        <w:rPr>
          <w:sz w:val="22"/>
          <w:szCs w:val="28"/>
          <w:highlight w:val="none"/>
          <w:u w:val="single"/>
        </w:rPr>
        <w:t xml:space="preserve">    /    </w:t>
      </w:r>
      <w:r>
        <w:rPr>
          <w:sz w:val="22"/>
          <w:szCs w:val="28"/>
          <w:highlight w:val="none"/>
        </w:rPr>
        <w:t xml:space="preserve">  。</w:t>
      </w:r>
    </w:p>
    <w:p w14:paraId="5A87D248">
      <w:pPr>
        <w:spacing w:after="160" w:line="278" w:lineRule="auto"/>
        <w:rPr>
          <w:sz w:val="22"/>
          <w:szCs w:val="28"/>
          <w:highlight w:val="none"/>
        </w:rPr>
      </w:pPr>
      <w:bookmarkStart w:id="3018" w:name="_Toc342296492"/>
      <w:bookmarkStart w:id="3019" w:name="_Toc142385759"/>
      <w:bookmarkStart w:id="3020" w:name="_Toc109914536"/>
      <w:bookmarkStart w:id="3021" w:name="_Toc129798471"/>
      <w:bookmarkStart w:id="3022" w:name="_Toc241459733"/>
      <w:bookmarkStart w:id="3023" w:name="_Toc132619220"/>
      <w:r>
        <w:rPr>
          <w:sz w:val="22"/>
          <w:szCs w:val="28"/>
          <w:highlight w:val="none"/>
        </w:rPr>
        <w:t>18.6 试运行</w:t>
      </w:r>
      <w:bookmarkEnd w:id="3014"/>
      <w:bookmarkEnd w:id="3015"/>
      <w:bookmarkEnd w:id="3016"/>
      <w:bookmarkEnd w:id="3017"/>
      <w:bookmarkEnd w:id="3018"/>
      <w:bookmarkEnd w:id="3019"/>
      <w:bookmarkEnd w:id="3020"/>
      <w:bookmarkEnd w:id="3021"/>
      <w:bookmarkEnd w:id="3022"/>
      <w:bookmarkEnd w:id="3023"/>
    </w:p>
    <w:p w14:paraId="393AFB45">
      <w:pPr>
        <w:spacing w:after="160" w:line="278" w:lineRule="auto"/>
        <w:rPr>
          <w:sz w:val="22"/>
          <w:szCs w:val="28"/>
          <w:highlight w:val="none"/>
        </w:rPr>
      </w:pPr>
      <w:bookmarkStart w:id="3024" w:name="_Toc152045732"/>
      <w:bookmarkStart w:id="3025" w:name="_Toc179632750"/>
      <w:bookmarkStart w:id="3026" w:name="_Toc144974703"/>
      <w:bookmarkStart w:id="3027" w:name="_Toc152042511"/>
      <w:r>
        <w:rPr>
          <w:sz w:val="22"/>
          <w:szCs w:val="28"/>
          <w:highlight w:val="none"/>
        </w:rPr>
        <w:t>18.6.1工程及工程设备试运行的组织与费用承担</w:t>
      </w:r>
    </w:p>
    <w:p w14:paraId="0EC52AF3">
      <w:pPr>
        <w:spacing w:after="160" w:line="278" w:lineRule="auto"/>
        <w:rPr>
          <w:sz w:val="22"/>
          <w:szCs w:val="28"/>
          <w:highlight w:val="none"/>
        </w:rPr>
      </w:pPr>
      <w:r>
        <w:rPr>
          <w:sz w:val="22"/>
          <w:szCs w:val="28"/>
          <w:highlight w:val="none"/>
        </w:rPr>
        <w:t>（1）工程设备安装具备单机无负荷试运行条件，由承包人组织试运行，费用由承包人承担。</w:t>
      </w:r>
    </w:p>
    <w:p w14:paraId="1F9006BB">
      <w:pPr>
        <w:spacing w:after="160" w:line="278" w:lineRule="auto"/>
        <w:rPr>
          <w:sz w:val="22"/>
          <w:szCs w:val="28"/>
          <w:highlight w:val="none"/>
        </w:rPr>
      </w:pPr>
      <w:r>
        <w:rPr>
          <w:sz w:val="22"/>
          <w:szCs w:val="28"/>
          <w:highlight w:val="none"/>
        </w:rPr>
        <w:t>（2） 工程设备安装具备无负荷联动试运行条件，由发包人组织试运行，费用由发包人承担。</w:t>
      </w:r>
    </w:p>
    <w:p w14:paraId="39EF9992">
      <w:pPr>
        <w:spacing w:after="160" w:line="278" w:lineRule="auto"/>
        <w:rPr>
          <w:sz w:val="22"/>
          <w:szCs w:val="28"/>
          <w:highlight w:val="none"/>
        </w:rPr>
      </w:pPr>
      <w:r>
        <w:rPr>
          <w:sz w:val="22"/>
          <w:szCs w:val="28"/>
          <w:highlight w:val="none"/>
        </w:rPr>
        <w:t>（3）投料试运行应在工程竣工验收后由发包人负责，如发包人要求在工程竣工验收前进行或需要承包人配合时，应征得承包人同意，另行签订补充协议。</w:t>
      </w:r>
    </w:p>
    <w:p w14:paraId="58EEB320">
      <w:pPr>
        <w:spacing w:after="160" w:line="278" w:lineRule="auto"/>
        <w:rPr>
          <w:sz w:val="22"/>
          <w:szCs w:val="28"/>
          <w:highlight w:val="none"/>
        </w:rPr>
      </w:pPr>
      <w:bookmarkStart w:id="3028" w:name="_Toc342296493"/>
      <w:bookmarkStart w:id="3029" w:name="_Toc142385760"/>
      <w:bookmarkStart w:id="3030" w:name="_Toc109914537"/>
      <w:bookmarkStart w:id="3031" w:name="_Toc129798472"/>
      <w:bookmarkStart w:id="3032" w:name="_Toc241459734"/>
      <w:bookmarkStart w:id="3033" w:name="_Toc132619221"/>
      <w:r>
        <w:rPr>
          <w:sz w:val="22"/>
          <w:szCs w:val="28"/>
          <w:highlight w:val="none"/>
        </w:rPr>
        <w:t>18.7 竣工清场</w:t>
      </w:r>
      <w:bookmarkEnd w:id="3024"/>
      <w:bookmarkEnd w:id="3025"/>
      <w:bookmarkEnd w:id="3026"/>
      <w:bookmarkEnd w:id="3027"/>
      <w:bookmarkEnd w:id="3028"/>
      <w:bookmarkEnd w:id="3029"/>
      <w:bookmarkEnd w:id="3030"/>
      <w:bookmarkEnd w:id="3031"/>
      <w:bookmarkEnd w:id="3032"/>
      <w:bookmarkEnd w:id="3033"/>
    </w:p>
    <w:p w14:paraId="104858FD">
      <w:pPr>
        <w:spacing w:after="160" w:line="278" w:lineRule="auto"/>
        <w:rPr>
          <w:sz w:val="22"/>
          <w:szCs w:val="28"/>
          <w:highlight w:val="none"/>
        </w:rPr>
      </w:pPr>
      <w:r>
        <w:rPr>
          <w:sz w:val="22"/>
          <w:szCs w:val="28"/>
          <w:highlight w:val="none"/>
        </w:rPr>
        <w:t>18.7.1监理人颁发（出具）工程接收证书后，承包人负责按照通用合同条款本项约定的要求对施工场地进行清理并承担相关费用，直至监理人检验合格为止。</w:t>
      </w:r>
    </w:p>
    <w:p w14:paraId="677EABD9">
      <w:pPr>
        <w:spacing w:after="160" w:line="278" w:lineRule="auto"/>
        <w:rPr>
          <w:sz w:val="22"/>
          <w:szCs w:val="28"/>
          <w:highlight w:val="none"/>
        </w:rPr>
      </w:pPr>
      <w:bookmarkStart w:id="3034" w:name="_Toc109914538"/>
      <w:bookmarkStart w:id="3035" w:name="_Toc179632751"/>
      <w:bookmarkStart w:id="3036" w:name="_Toc129798473"/>
      <w:bookmarkStart w:id="3037" w:name="_Toc142385761"/>
      <w:bookmarkStart w:id="3038" w:name="_Toc144974704"/>
      <w:bookmarkStart w:id="3039" w:name="_Toc152045733"/>
      <w:bookmarkStart w:id="3040" w:name="_Toc342296494"/>
      <w:bookmarkStart w:id="3041" w:name="_Toc241459735"/>
      <w:bookmarkStart w:id="3042" w:name="_Toc152042512"/>
      <w:bookmarkStart w:id="3043" w:name="_Toc132619222"/>
      <w:r>
        <w:rPr>
          <w:sz w:val="22"/>
          <w:szCs w:val="28"/>
          <w:highlight w:val="none"/>
        </w:rPr>
        <w:t>18.8 施工队伍的撤离</w:t>
      </w:r>
      <w:bookmarkEnd w:id="3034"/>
      <w:bookmarkEnd w:id="3035"/>
      <w:bookmarkEnd w:id="3036"/>
      <w:bookmarkEnd w:id="3037"/>
      <w:bookmarkEnd w:id="3038"/>
      <w:bookmarkEnd w:id="3039"/>
      <w:bookmarkEnd w:id="3040"/>
      <w:bookmarkEnd w:id="3041"/>
      <w:bookmarkEnd w:id="3042"/>
      <w:bookmarkEnd w:id="3043"/>
    </w:p>
    <w:p w14:paraId="2B700A54">
      <w:pPr>
        <w:spacing w:after="160" w:line="278" w:lineRule="auto"/>
        <w:rPr>
          <w:sz w:val="22"/>
          <w:szCs w:val="28"/>
          <w:highlight w:val="none"/>
        </w:rPr>
      </w:pPr>
      <w:bookmarkStart w:id="3044" w:name="_Toc152045734"/>
      <w:bookmarkStart w:id="3045" w:name="_Toc152042513"/>
      <w:bookmarkStart w:id="3046" w:name="_Toc144974705"/>
      <w:bookmarkStart w:id="3047" w:name="_Toc179632752"/>
      <w:r>
        <w:rPr>
          <w:sz w:val="22"/>
          <w:szCs w:val="28"/>
          <w:highlight w:val="none"/>
        </w:rPr>
        <w:t>承包人按照通用合同条款第18.8款约定撤离施工场地（现场）时，监理人和承包人应当办理永久工程和施工场地移交手续，移交手续以书面方式出具，并分别经过发包人、监理人和承包人的签认。</w:t>
      </w:r>
    </w:p>
    <w:p w14:paraId="31AACDEE">
      <w:pPr>
        <w:spacing w:after="160" w:line="278" w:lineRule="auto"/>
        <w:rPr>
          <w:sz w:val="22"/>
          <w:szCs w:val="28"/>
          <w:highlight w:val="none"/>
        </w:rPr>
      </w:pPr>
      <w:r>
        <w:rPr>
          <w:sz w:val="22"/>
          <w:szCs w:val="28"/>
          <w:highlight w:val="none"/>
        </w:rPr>
        <w:t>缺陷责任期满时，承包人可以继续在施工场地保留的人员和施工设备以及最终撤离的期限：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60873D7">
      <w:pPr>
        <w:spacing w:after="160" w:line="278" w:lineRule="auto"/>
        <w:rPr>
          <w:sz w:val="22"/>
          <w:szCs w:val="28"/>
          <w:highlight w:val="none"/>
        </w:rPr>
      </w:pPr>
      <w:bookmarkStart w:id="3048" w:name="_Toc132619223"/>
      <w:bookmarkStart w:id="3049" w:name="_Toc241459736"/>
      <w:bookmarkStart w:id="3050" w:name="_Toc109914539"/>
      <w:bookmarkStart w:id="3051" w:name="_Toc129798474"/>
      <w:bookmarkStart w:id="3052" w:name="_Toc142385762"/>
      <w:bookmarkStart w:id="3053" w:name="_Toc342296495"/>
      <w:r>
        <w:rPr>
          <w:sz w:val="22"/>
          <w:szCs w:val="28"/>
          <w:highlight w:val="none"/>
        </w:rPr>
        <w:t>18.9 中间验收</w:t>
      </w:r>
      <w:bookmarkEnd w:id="3048"/>
      <w:bookmarkEnd w:id="3049"/>
      <w:bookmarkEnd w:id="3050"/>
      <w:bookmarkEnd w:id="3051"/>
      <w:bookmarkEnd w:id="3052"/>
      <w:bookmarkEnd w:id="3053"/>
    </w:p>
    <w:p w14:paraId="70A5FEAF">
      <w:pPr>
        <w:spacing w:after="160" w:line="278" w:lineRule="auto"/>
        <w:rPr>
          <w:sz w:val="22"/>
          <w:szCs w:val="28"/>
          <w:highlight w:val="none"/>
        </w:rPr>
      </w:pPr>
      <w:r>
        <w:rPr>
          <w:sz w:val="22"/>
          <w:szCs w:val="28"/>
          <w:highlight w:val="none"/>
        </w:rPr>
        <w:t>本工程需要进行中间验收的部位如下：</w:t>
      </w:r>
      <w:r>
        <w:rPr>
          <w:sz w:val="22"/>
          <w:szCs w:val="28"/>
          <w:highlight w:val="none"/>
          <w:u w:val="single"/>
        </w:rPr>
        <w:t xml:space="preserve">   /    </w:t>
      </w:r>
      <w:r>
        <w:rPr>
          <w:sz w:val="22"/>
          <w:szCs w:val="28"/>
          <w:highlight w:val="none"/>
        </w:rPr>
        <w:t>。</w:t>
      </w:r>
    </w:p>
    <w:p w14:paraId="51A982A9">
      <w:pPr>
        <w:spacing w:after="160" w:line="278" w:lineRule="auto"/>
        <w:rPr>
          <w:sz w:val="22"/>
          <w:szCs w:val="28"/>
          <w:highlight w:val="none"/>
        </w:rPr>
      </w:pPr>
      <w:r>
        <w:rPr>
          <w:sz w:val="22"/>
          <w:szCs w:val="28"/>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sz w:val="22"/>
          <w:szCs w:val="28"/>
          <w:highlight w:val="none"/>
          <w:u w:val="single"/>
        </w:rPr>
        <w:t xml:space="preserve">      /      </w:t>
      </w:r>
      <w:r>
        <w:rPr>
          <w:sz w:val="22"/>
          <w:szCs w:val="28"/>
          <w:highlight w:val="none"/>
        </w:rPr>
        <w:t>期限内进行修改后重新验收。</w:t>
      </w:r>
    </w:p>
    <w:p w14:paraId="7B3B2DEB">
      <w:pPr>
        <w:spacing w:after="160" w:line="278" w:lineRule="auto"/>
        <w:rPr>
          <w:sz w:val="22"/>
          <w:szCs w:val="28"/>
          <w:highlight w:val="none"/>
        </w:rPr>
      </w:pPr>
      <w:r>
        <w:rPr>
          <w:sz w:val="22"/>
          <w:szCs w:val="28"/>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D7A36C3">
      <w:pPr>
        <w:spacing w:after="160" w:line="278" w:lineRule="auto"/>
        <w:rPr>
          <w:sz w:val="22"/>
          <w:szCs w:val="28"/>
          <w:highlight w:val="none"/>
        </w:rPr>
      </w:pPr>
      <w:r>
        <w:rPr>
          <w:sz w:val="22"/>
          <w:szCs w:val="28"/>
          <w:highlight w:val="none"/>
        </w:rPr>
        <w:t>经监理人验收后工程质量符合约定的验收标准，但验收24小时后监理人仍不在验收记录上签字的，视为监理人已经认可验收记录，承包人可继续施工。</w:t>
      </w:r>
    </w:p>
    <w:p w14:paraId="23107D31">
      <w:pPr>
        <w:spacing w:after="160" w:line="278" w:lineRule="auto"/>
        <w:rPr>
          <w:sz w:val="22"/>
          <w:szCs w:val="28"/>
          <w:highlight w:val="none"/>
        </w:rPr>
      </w:pPr>
      <w:bookmarkStart w:id="3054" w:name="_Toc448758564"/>
      <w:bookmarkStart w:id="3055" w:name="_Toc129798475"/>
      <w:bookmarkStart w:id="3056" w:name="_Toc109914540"/>
      <w:bookmarkStart w:id="3057" w:name="_Toc342296496"/>
      <w:bookmarkStart w:id="3058" w:name="_Toc448758464"/>
      <w:bookmarkStart w:id="3059" w:name="_Toc469660059"/>
      <w:bookmarkStart w:id="3060" w:name="_Toc132619224"/>
      <w:bookmarkStart w:id="3061" w:name="_Toc442365656"/>
      <w:bookmarkStart w:id="3062" w:name="_Toc241459737"/>
      <w:bookmarkStart w:id="3063" w:name="_Toc142385763"/>
      <w:r>
        <w:rPr>
          <w:sz w:val="22"/>
          <w:szCs w:val="28"/>
          <w:highlight w:val="none"/>
        </w:rPr>
        <w:t>19. 缺陷责任与保修责任</w:t>
      </w:r>
      <w:bookmarkEnd w:id="3044"/>
      <w:bookmarkEnd w:id="3045"/>
      <w:bookmarkEnd w:id="3046"/>
      <w:bookmarkEnd w:id="3047"/>
      <w:bookmarkEnd w:id="3054"/>
      <w:bookmarkEnd w:id="3055"/>
      <w:bookmarkEnd w:id="3056"/>
      <w:bookmarkEnd w:id="3057"/>
      <w:bookmarkEnd w:id="3058"/>
      <w:bookmarkEnd w:id="3059"/>
      <w:bookmarkEnd w:id="3060"/>
      <w:bookmarkEnd w:id="3061"/>
      <w:bookmarkEnd w:id="3062"/>
      <w:bookmarkEnd w:id="3063"/>
    </w:p>
    <w:p w14:paraId="4D5AD4FC">
      <w:pPr>
        <w:spacing w:after="160" w:line="278" w:lineRule="auto"/>
        <w:rPr>
          <w:sz w:val="22"/>
          <w:szCs w:val="28"/>
          <w:highlight w:val="none"/>
        </w:rPr>
      </w:pPr>
      <w:bookmarkStart w:id="3064" w:name="_Toc152045741"/>
      <w:bookmarkStart w:id="3065" w:name="_Toc152042520"/>
      <w:bookmarkStart w:id="3066" w:name="_Toc241459738"/>
      <w:bookmarkStart w:id="3067" w:name="_Toc342296497"/>
      <w:bookmarkStart w:id="3068" w:name="_Toc179632759"/>
      <w:bookmarkStart w:id="3069" w:name="_Toc109914541"/>
      <w:bookmarkStart w:id="3070" w:name="_Toc144974712"/>
      <w:bookmarkStart w:id="3071" w:name="_Toc129798476"/>
      <w:bookmarkStart w:id="3072" w:name="_Toc142385764"/>
      <w:bookmarkStart w:id="3073" w:name="_Toc132619225"/>
      <w:r>
        <w:rPr>
          <w:sz w:val="22"/>
          <w:szCs w:val="28"/>
          <w:highlight w:val="none"/>
        </w:rPr>
        <w:t>19.7 保修责任</w:t>
      </w:r>
      <w:bookmarkEnd w:id="3064"/>
      <w:bookmarkEnd w:id="3065"/>
      <w:bookmarkEnd w:id="3066"/>
      <w:bookmarkEnd w:id="3067"/>
      <w:bookmarkEnd w:id="3068"/>
      <w:bookmarkEnd w:id="3069"/>
      <w:bookmarkEnd w:id="3070"/>
      <w:bookmarkEnd w:id="3071"/>
      <w:bookmarkEnd w:id="3072"/>
      <w:bookmarkEnd w:id="3073"/>
    </w:p>
    <w:p w14:paraId="2625FFF3">
      <w:pPr>
        <w:spacing w:after="160" w:line="278" w:lineRule="auto"/>
        <w:rPr>
          <w:sz w:val="22"/>
          <w:szCs w:val="28"/>
          <w:highlight w:val="none"/>
        </w:rPr>
      </w:pPr>
      <w:r>
        <w:rPr>
          <w:sz w:val="22"/>
          <w:szCs w:val="28"/>
          <w:highlight w:val="none"/>
        </w:rPr>
        <w:t>（1）工程质量保修范围：</w:t>
      </w:r>
      <w:r>
        <w:rPr>
          <w:rFonts w:hint="eastAsia"/>
          <w:sz w:val="22"/>
          <w:szCs w:val="28"/>
          <w:highlight w:val="none"/>
          <w:u w:val="single"/>
        </w:rPr>
        <w:t>由施工单位负责实施的所有项目</w:t>
      </w:r>
      <w:r>
        <w:rPr>
          <w:sz w:val="22"/>
          <w:szCs w:val="28"/>
          <w:highlight w:val="none"/>
          <w:u w:val="single"/>
        </w:rPr>
        <w:t>。</w:t>
      </w:r>
    </w:p>
    <w:p w14:paraId="181F70F3">
      <w:pPr>
        <w:spacing w:after="160" w:line="278" w:lineRule="auto"/>
        <w:rPr>
          <w:sz w:val="22"/>
          <w:szCs w:val="28"/>
          <w:highlight w:val="none"/>
        </w:rPr>
      </w:pPr>
      <w:r>
        <w:rPr>
          <w:sz w:val="22"/>
          <w:szCs w:val="28"/>
          <w:highlight w:val="none"/>
        </w:rPr>
        <w:t>（2）工程质量保修期限：根据《建设工程质量管理条例》的规定，供热与供冷系统，为两个采暖期、供冷期；电气管线、给排水管道、设备安装和装修工程为两年；其他工程的保修期限为两年。</w:t>
      </w:r>
      <w:r>
        <w:rPr>
          <w:rFonts w:hint="eastAsia"/>
          <w:sz w:val="22"/>
          <w:szCs w:val="28"/>
          <w:highlight w:val="none"/>
        </w:rPr>
        <w:t>本项目供热部分质保期2个采暖期，防水部分质保期5年，</w:t>
      </w:r>
      <w:r>
        <w:rPr>
          <w:sz w:val="22"/>
          <w:szCs w:val="28"/>
          <w:highlight w:val="none"/>
        </w:rPr>
        <w:t>建设工程的保修期，自竣工验收合格之日起计算。</w:t>
      </w:r>
    </w:p>
    <w:p w14:paraId="71D8CFF9">
      <w:pPr>
        <w:spacing w:after="160" w:line="278" w:lineRule="auto"/>
        <w:rPr>
          <w:sz w:val="22"/>
          <w:szCs w:val="28"/>
          <w:highlight w:val="none"/>
        </w:rPr>
      </w:pPr>
      <w:r>
        <w:rPr>
          <w:sz w:val="22"/>
          <w:szCs w:val="28"/>
          <w:highlight w:val="none"/>
        </w:rPr>
        <w:t>（3）工程质量保修责任：缺陷责任期内，由承包人原因造成的缺陷，承包人应负责维修，并承担鉴定及维修费用。并承担鉴定及维修费用。如承包人不维修</w:t>
      </w:r>
      <w:r>
        <w:rPr>
          <w:rFonts w:hint="eastAsia"/>
          <w:sz w:val="22"/>
          <w:szCs w:val="28"/>
          <w:highlight w:val="none"/>
        </w:rPr>
        <w:t>或</w:t>
      </w:r>
      <w:r>
        <w:rPr>
          <w:sz w:val="22"/>
          <w:szCs w:val="28"/>
          <w:highlight w:val="none"/>
        </w:rPr>
        <w:t>不承担费用，发包人可扣除保证金，并由承包人承担违约责任，保证金不足以支付维修费用的，承包人仍应承担全部差额。承包人维修并承担相应费用后，不免除对工程的一般损失赔偿责任。</w:t>
      </w:r>
    </w:p>
    <w:p w14:paraId="78FA3A51">
      <w:pPr>
        <w:spacing w:after="160" w:line="278" w:lineRule="auto"/>
        <w:rPr>
          <w:sz w:val="22"/>
          <w:szCs w:val="28"/>
          <w:highlight w:val="none"/>
        </w:rPr>
      </w:pPr>
      <w:r>
        <w:rPr>
          <w:sz w:val="22"/>
          <w:szCs w:val="28"/>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0022150">
      <w:pPr>
        <w:spacing w:after="160" w:line="278" w:lineRule="auto"/>
        <w:rPr>
          <w:sz w:val="22"/>
          <w:szCs w:val="28"/>
          <w:highlight w:val="none"/>
        </w:rPr>
      </w:pPr>
      <w:bookmarkStart w:id="3074" w:name="_Toc342296498"/>
      <w:bookmarkStart w:id="3075" w:name="_Toc144974713"/>
      <w:bookmarkStart w:id="3076" w:name="_Toc241459739"/>
      <w:bookmarkStart w:id="3077" w:name="_Toc179632760"/>
      <w:bookmarkStart w:id="3078" w:name="_Toc152042521"/>
      <w:bookmarkStart w:id="3079" w:name="_Toc152045742"/>
      <w:bookmarkStart w:id="3080" w:name="_Toc469660060"/>
      <w:bookmarkStart w:id="3081" w:name="_Toc448758565"/>
      <w:bookmarkStart w:id="3082" w:name="_Toc129798477"/>
      <w:bookmarkStart w:id="3083" w:name="_Toc109914542"/>
      <w:bookmarkStart w:id="3084" w:name="_Toc142385765"/>
      <w:bookmarkStart w:id="3085" w:name="_Toc442365657"/>
      <w:bookmarkStart w:id="3086" w:name="_Toc448758465"/>
      <w:bookmarkStart w:id="3087" w:name="_Toc132619226"/>
      <w:r>
        <w:rPr>
          <w:sz w:val="22"/>
          <w:szCs w:val="28"/>
          <w:highlight w:val="none"/>
        </w:rPr>
        <w:t>20. 保险</w:t>
      </w:r>
      <w:bookmarkEnd w:id="3074"/>
      <w:bookmarkEnd w:id="3075"/>
      <w:bookmarkEnd w:id="3076"/>
      <w:bookmarkEnd w:id="3077"/>
      <w:bookmarkEnd w:id="3078"/>
      <w:bookmarkEnd w:id="3079"/>
      <w:r>
        <w:rPr>
          <w:sz w:val="22"/>
          <w:szCs w:val="28"/>
          <w:highlight w:val="none"/>
        </w:rPr>
        <w:t xml:space="preserve"> （本项目不适用）</w:t>
      </w:r>
      <w:bookmarkEnd w:id="3080"/>
      <w:bookmarkEnd w:id="3081"/>
      <w:bookmarkEnd w:id="3082"/>
      <w:bookmarkEnd w:id="3083"/>
      <w:bookmarkEnd w:id="3084"/>
      <w:bookmarkEnd w:id="3085"/>
      <w:bookmarkEnd w:id="3086"/>
      <w:bookmarkEnd w:id="3087"/>
    </w:p>
    <w:p w14:paraId="15284B47">
      <w:pPr>
        <w:spacing w:after="160" w:line="278" w:lineRule="auto"/>
        <w:rPr>
          <w:sz w:val="22"/>
          <w:szCs w:val="28"/>
          <w:highlight w:val="none"/>
        </w:rPr>
      </w:pPr>
      <w:bookmarkStart w:id="3088" w:name="_Toc241459740"/>
      <w:bookmarkStart w:id="3089" w:name="_Toc152042522"/>
      <w:bookmarkStart w:id="3090" w:name="_Toc342296499"/>
      <w:bookmarkStart w:id="3091" w:name="_Toc109914543"/>
      <w:bookmarkStart w:id="3092" w:name="_Toc179632761"/>
      <w:bookmarkStart w:id="3093" w:name="_Toc132619227"/>
      <w:bookmarkStart w:id="3094" w:name="_Toc142385766"/>
      <w:bookmarkStart w:id="3095" w:name="_Toc152045743"/>
      <w:bookmarkStart w:id="3096" w:name="_Toc129798478"/>
      <w:bookmarkStart w:id="3097" w:name="_Toc144974714"/>
      <w:r>
        <w:rPr>
          <w:sz w:val="22"/>
          <w:szCs w:val="28"/>
          <w:highlight w:val="none"/>
        </w:rPr>
        <w:t>20.1 工程保险</w:t>
      </w:r>
      <w:bookmarkEnd w:id="3088"/>
      <w:bookmarkEnd w:id="3089"/>
      <w:bookmarkEnd w:id="3090"/>
      <w:bookmarkEnd w:id="3091"/>
      <w:bookmarkEnd w:id="3092"/>
      <w:bookmarkEnd w:id="3093"/>
      <w:bookmarkEnd w:id="3094"/>
      <w:bookmarkEnd w:id="3095"/>
      <w:bookmarkEnd w:id="3096"/>
      <w:bookmarkEnd w:id="3097"/>
    </w:p>
    <w:p w14:paraId="39AF7AF6">
      <w:pPr>
        <w:spacing w:after="160" w:line="278" w:lineRule="auto"/>
        <w:rPr>
          <w:sz w:val="22"/>
          <w:szCs w:val="28"/>
          <w:highlight w:val="none"/>
        </w:rPr>
      </w:pPr>
      <w:bookmarkStart w:id="3098" w:name="_Toc179632762"/>
      <w:bookmarkStart w:id="3099" w:name="_Toc152042523"/>
      <w:bookmarkStart w:id="3100" w:name="_Toc144974715"/>
      <w:bookmarkStart w:id="3101" w:name="_Toc152045744"/>
      <w:r>
        <w:rPr>
          <w:sz w:val="22"/>
          <w:szCs w:val="28"/>
          <w:highlight w:val="none"/>
        </w:rPr>
        <w:t>本工程</w:t>
      </w:r>
      <w:r>
        <w:rPr>
          <w:sz w:val="22"/>
          <w:szCs w:val="28"/>
          <w:highlight w:val="none"/>
          <w:u w:val="single"/>
        </w:rPr>
        <w:t xml:space="preserve">         (投保/不投保)</w:t>
      </w:r>
      <w:r>
        <w:rPr>
          <w:sz w:val="22"/>
          <w:szCs w:val="28"/>
          <w:highlight w:val="none"/>
        </w:rPr>
        <w:t>工程保险。投保工程保险时，险种为：</w:t>
      </w:r>
      <w:r>
        <w:rPr>
          <w:sz w:val="22"/>
          <w:szCs w:val="28"/>
          <w:highlight w:val="none"/>
          <w:u w:val="single"/>
        </w:rPr>
        <w:t xml:space="preserve">               </w:t>
      </w:r>
      <w:r>
        <w:rPr>
          <w:sz w:val="22"/>
          <w:szCs w:val="28"/>
          <w:highlight w:val="none"/>
        </w:rPr>
        <w:t xml:space="preserve">  ，并符合以下约定。</w:t>
      </w:r>
    </w:p>
    <w:p w14:paraId="04023FC0">
      <w:pPr>
        <w:spacing w:after="160" w:line="278" w:lineRule="auto"/>
        <w:rPr>
          <w:sz w:val="22"/>
          <w:szCs w:val="28"/>
          <w:highlight w:val="none"/>
        </w:rPr>
      </w:pPr>
      <w:r>
        <w:rPr>
          <w:sz w:val="22"/>
          <w:szCs w:val="28"/>
          <w:highlight w:val="none"/>
        </w:rPr>
        <w:t>（1）投保人：</w:t>
      </w:r>
      <w:r>
        <w:rPr>
          <w:sz w:val="22"/>
          <w:szCs w:val="28"/>
          <w:highlight w:val="none"/>
          <w:u w:val="single"/>
        </w:rPr>
        <w:t xml:space="preserve">                                 </w:t>
      </w:r>
      <w:r>
        <w:rPr>
          <w:sz w:val="22"/>
          <w:szCs w:val="28"/>
          <w:highlight w:val="none"/>
        </w:rPr>
        <w:t xml:space="preserve">                             。</w:t>
      </w:r>
    </w:p>
    <w:p w14:paraId="6CAD6FC0">
      <w:pPr>
        <w:spacing w:after="160" w:line="278" w:lineRule="auto"/>
        <w:rPr>
          <w:sz w:val="22"/>
          <w:szCs w:val="28"/>
          <w:highlight w:val="none"/>
        </w:rPr>
      </w:pPr>
      <w:r>
        <w:rPr>
          <w:sz w:val="22"/>
          <w:szCs w:val="28"/>
          <w:highlight w:val="none"/>
        </w:rPr>
        <w:t>（2）投保内容：</w:t>
      </w:r>
      <w:r>
        <w:rPr>
          <w:sz w:val="22"/>
          <w:szCs w:val="28"/>
          <w:highlight w:val="none"/>
          <w:u w:val="single"/>
        </w:rPr>
        <w:t xml:space="preserve">                                     </w:t>
      </w:r>
      <w:r>
        <w:rPr>
          <w:sz w:val="22"/>
          <w:szCs w:val="28"/>
          <w:highlight w:val="none"/>
        </w:rPr>
        <w:t xml:space="preserve">                       。</w:t>
      </w:r>
    </w:p>
    <w:p w14:paraId="60C7D0A1">
      <w:pPr>
        <w:spacing w:after="160" w:line="278" w:lineRule="auto"/>
        <w:rPr>
          <w:sz w:val="22"/>
          <w:szCs w:val="28"/>
          <w:highlight w:val="none"/>
        </w:rPr>
      </w:pPr>
      <w:r>
        <w:rPr>
          <w:sz w:val="22"/>
          <w:szCs w:val="28"/>
          <w:highlight w:val="none"/>
        </w:rPr>
        <w:t>（3）保险费率：由投保人与合同双方同意的保险人商定。</w:t>
      </w:r>
    </w:p>
    <w:p w14:paraId="0D114E56">
      <w:pPr>
        <w:spacing w:after="160" w:line="278" w:lineRule="auto"/>
        <w:rPr>
          <w:sz w:val="22"/>
          <w:szCs w:val="28"/>
          <w:highlight w:val="none"/>
        </w:rPr>
      </w:pPr>
      <w:r>
        <w:rPr>
          <w:sz w:val="22"/>
          <w:szCs w:val="28"/>
          <w:highlight w:val="none"/>
        </w:rPr>
        <w:t xml:space="preserve">（4）保险金额： </w:t>
      </w:r>
      <w:r>
        <w:rPr>
          <w:sz w:val="22"/>
          <w:szCs w:val="28"/>
          <w:highlight w:val="none"/>
          <w:u w:val="single"/>
        </w:rPr>
        <w:t xml:space="preserve">                         </w:t>
      </w:r>
      <w:r>
        <w:rPr>
          <w:sz w:val="22"/>
          <w:szCs w:val="28"/>
          <w:highlight w:val="none"/>
        </w:rPr>
        <w:t xml:space="preserve">                                  。</w:t>
      </w:r>
    </w:p>
    <w:p w14:paraId="2CBB05A7">
      <w:pPr>
        <w:spacing w:after="160" w:line="278" w:lineRule="auto"/>
        <w:rPr>
          <w:sz w:val="22"/>
          <w:szCs w:val="28"/>
          <w:highlight w:val="none"/>
        </w:rPr>
      </w:pPr>
      <w:r>
        <w:rPr>
          <w:sz w:val="22"/>
          <w:szCs w:val="28"/>
          <w:highlight w:val="none"/>
        </w:rPr>
        <w:t xml:space="preserve">（5）保险期限：   </w:t>
      </w:r>
      <w:r>
        <w:rPr>
          <w:sz w:val="22"/>
          <w:szCs w:val="28"/>
          <w:highlight w:val="none"/>
          <w:u w:val="single"/>
        </w:rPr>
        <w:t xml:space="preserve">                          </w:t>
      </w:r>
      <w:r>
        <w:rPr>
          <w:sz w:val="22"/>
          <w:szCs w:val="28"/>
          <w:highlight w:val="none"/>
        </w:rPr>
        <w:t xml:space="preserve">                               。</w:t>
      </w:r>
    </w:p>
    <w:bookmarkEnd w:id="3098"/>
    <w:bookmarkEnd w:id="3099"/>
    <w:bookmarkEnd w:id="3100"/>
    <w:bookmarkEnd w:id="3101"/>
    <w:p w14:paraId="1ECA1D8C">
      <w:pPr>
        <w:spacing w:after="160" w:line="278" w:lineRule="auto"/>
        <w:rPr>
          <w:sz w:val="22"/>
          <w:szCs w:val="28"/>
          <w:highlight w:val="none"/>
        </w:rPr>
      </w:pPr>
      <w:bookmarkStart w:id="3102" w:name="_Toc342296500"/>
      <w:bookmarkStart w:id="3103" w:name="_Toc152045746"/>
      <w:bookmarkStart w:id="3104" w:name="_Toc109914544"/>
      <w:bookmarkStart w:id="3105" w:name="_Toc152042525"/>
      <w:bookmarkStart w:id="3106" w:name="_Toc142385767"/>
      <w:bookmarkStart w:id="3107" w:name="_Toc132619228"/>
      <w:bookmarkStart w:id="3108" w:name="_Toc241459741"/>
      <w:bookmarkStart w:id="3109" w:name="_Toc129798479"/>
      <w:bookmarkStart w:id="3110" w:name="_Toc179632764"/>
      <w:bookmarkStart w:id="3111" w:name="_Toc144974717"/>
      <w:r>
        <w:rPr>
          <w:sz w:val="22"/>
          <w:szCs w:val="28"/>
          <w:highlight w:val="none"/>
        </w:rPr>
        <w:t>20.4 第三者责任险</w:t>
      </w:r>
      <w:bookmarkEnd w:id="3102"/>
      <w:bookmarkEnd w:id="3103"/>
      <w:bookmarkEnd w:id="3104"/>
      <w:bookmarkEnd w:id="3105"/>
      <w:bookmarkEnd w:id="3106"/>
      <w:bookmarkEnd w:id="3107"/>
      <w:bookmarkEnd w:id="3108"/>
      <w:bookmarkEnd w:id="3109"/>
      <w:bookmarkEnd w:id="3110"/>
      <w:bookmarkEnd w:id="3111"/>
    </w:p>
    <w:p w14:paraId="353E2A9D">
      <w:pPr>
        <w:spacing w:after="160" w:line="278" w:lineRule="auto"/>
        <w:rPr>
          <w:sz w:val="22"/>
          <w:szCs w:val="28"/>
          <w:highlight w:val="none"/>
        </w:rPr>
      </w:pPr>
      <w:r>
        <w:rPr>
          <w:sz w:val="22"/>
          <w:szCs w:val="28"/>
          <w:highlight w:val="none"/>
        </w:rPr>
        <w:t xml:space="preserve">20.4.2保险金额： </w:t>
      </w:r>
      <w:r>
        <w:rPr>
          <w:sz w:val="22"/>
          <w:szCs w:val="28"/>
          <w:highlight w:val="none"/>
          <w:u w:val="single"/>
        </w:rPr>
        <w:t xml:space="preserve">                             </w:t>
      </w:r>
      <w:r>
        <w:rPr>
          <w:sz w:val="22"/>
          <w:szCs w:val="28"/>
          <w:highlight w:val="none"/>
        </w:rPr>
        <w:t>，保险费率由承包人与发包人同意的保险人商定，相关保险费由</w:t>
      </w:r>
      <w:r>
        <w:rPr>
          <w:sz w:val="22"/>
          <w:szCs w:val="28"/>
          <w:highlight w:val="none"/>
          <w:u w:val="single"/>
        </w:rPr>
        <w:t xml:space="preserve">             </w:t>
      </w:r>
      <w:r>
        <w:rPr>
          <w:sz w:val="22"/>
          <w:szCs w:val="28"/>
          <w:highlight w:val="none"/>
        </w:rPr>
        <w:t>承担。</w:t>
      </w:r>
    </w:p>
    <w:p w14:paraId="2DA40826">
      <w:pPr>
        <w:spacing w:after="160" w:line="278" w:lineRule="auto"/>
        <w:rPr>
          <w:sz w:val="22"/>
          <w:szCs w:val="28"/>
          <w:highlight w:val="none"/>
        </w:rPr>
      </w:pPr>
      <w:bookmarkStart w:id="3112" w:name="_Toc241459742"/>
      <w:bookmarkStart w:id="3113" w:name="_Toc129798480"/>
      <w:bookmarkStart w:id="3114" w:name="_Toc342296501"/>
      <w:bookmarkStart w:id="3115" w:name="_Toc132619229"/>
      <w:bookmarkStart w:id="3116" w:name="_Toc144974718"/>
      <w:bookmarkStart w:id="3117" w:name="_Toc152042526"/>
      <w:bookmarkStart w:id="3118" w:name="_Toc109914545"/>
      <w:bookmarkStart w:id="3119" w:name="_Toc142385768"/>
      <w:bookmarkStart w:id="3120" w:name="_Toc179632765"/>
      <w:bookmarkStart w:id="3121" w:name="_Toc152045747"/>
      <w:r>
        <w:rPr>
          <w:sz w:val="22"/>
          <w:szCs w:val="28"/>
          <w:highlight w:val="none"/>
        </w:rPr>
        <w:t>20.5 其他保险</w:t>
      </w:r>
      <w:bookmarkEnd w:id="3112"/>
      <w:bookmarkEnd w:id="3113"/>
      <w:bookmarkEnd w:id="3114"/>
      <w:bookmarkEnd w:id="3115"/>
      <w:bookmarkEnd w:id="3116"/>
      <w:bookmarkEnd w:id="3117"/>
      <w:bookmarkEnd w:id="3118"/>
      <w:bookmarkEnd w:id="3119"/>
      <w:bookmarkEnd w:id="3120"/>
      <w:bookmarkEnd w:id="3121"/>
    </w:p>
    <w:p w14:paraId="4D247427">
      <w:pPr>
        <w:spacing w:after="160" w:line="278" w:lineRule="auto"/>
        <w:rPr>
          <w:sz w:val="22"/>
          <w:szCs w:val="28"/>
          <w:highlight w:val="none"/>
        </w:rPr>
      </w:pPr>
      <w:r>
        <w:rPr>
          <w:sz w:val="22"/>
          <w:szCs w:val="28"/>
          <w:highlight w:val="none"/>
        </w:rPr>
        <w:t xml:space="preserve">承包人应为其施工设备、进场材料和工程设备等办理的保险：                    </w:t>
      </w:r>
    </w:p>
    <w:p w14:paraId="479115E5">
      <w:pPr>
        <w:spacing w:after="160" w:line="278" w:lineRule="auto"/>
        <w:rPr>
          <w:sz w:val="22"/>
          <w:szCs w:val="28"/>
          <w:highlight w:val="none"/>
        </w:rPr>
      </w:pPr>
      <w:r>
        <w:rPr>
          <w:sz w:val="22"/>
          <w:szCs w:val="28"/>
          <w:highlight w:val="none"/>
        </w:rPr>
        <w:t xml:space="preserve">                                                                          。</w:t>
      </w:r>
    </w:p>
    <w:p w14:paraId="7B6A4316">
      <w:pPr>
        <w:spacing w:after="160" w:line="278" w:lineRule="auto"/>
        <w:rPr>
          <w:sz w:val="22"/>
          <w:szCs w:val="28"/>
          <w:highlight w:val="none"/>
        </w:rPr>
      </w:pPr>
      <w:bookmarkStart w:id="3122" w:name="_Toc142385769"/>
      <w:bookmarkStart w:id="3123" w:name="_Toc152042527"/>
      <w:bookmarkStart w:id="3124" w:name="_Toc144974719"/>
      <w:bookmarkStart w:id="3125" w:name="_Toc241459743"/>
      <w:bookmarkStart w:id="3126" w:name="_Toc129798481"/>
      <w:bookmarkStart w:id="3127" w:name="_Toc152045748"/>
      <w:bookmarkStart w:id="3128" w:name="_Toc179632766"/>
      <w:bookmarkStart w:id="3129" w:name="_Toc132619230"/>
      <w:bookmarkStart w:id="3130" w:name="_Toc342296502"/>
      <w:bookmarkStart w:id="3131" w:name="_Toc109914546"/>
      <w:r>
        <w:rPr>
          <w:sz w:val="22"/>
          <w:szCs w:val="28"/>
          <w:highlight w:val="none"/>
        </w:rPr>
        <w:t>20.6 对各项保险的一般要求</w:t>
      </w:r>
      <w:bookmarkEnd w:id="3122"/>
      <w:bookmarkEnd w:id="3123"/>
      <w:bookmarkEnd w:id="3124"/>
      <w:bookmarkEnd w:id="3125"/>
      <w:bookmarkEnd w:id="3126"/>
      <w:bookmarkEnd w:id="3127"/>
      <w:bookmarkEnd w:id="3128"/>
      <w:bookmarkEnd w:id="3129"/>
      <w:bookmarkEnd w:id="3130"/>
      <w:bookmarkEnd w:id="3131"/>
    </w:p>
    <w:p w14:paraId="45D65BE3">
      <w:pPr>
        <w:spacing w:after="160" w:line="278" w:lineRule="auto"/>
        <w:rPr>
          <w:sz w:val="22"/>
          <w:szCs w:val="28"/>
          <w:highlight w:val="none"/>
        </w:rPr>
      </w:pPr>
      <w:r>
        <w:rPr>
          <w:sz w:val="22"/>
          <w:szCs w:val="28"/>
          <w:highlight w:val="none"/>
        </w:rPr>
        <w:t>20.6.1</w:t>
      </w:r>
      <w:r>
        <w:rPr>
          <w:rFonts w:hint="eastAsia"/>
          <w:sz w:val="22"/>
          <w:szCs w:val="28"/>
          <w:highlight w:val="none"/>
        </w:rPr>
        <w:t>保险凭证</w:t>
      </w:r>
    </w:p>
    <w:p w14:paraId="63BE9605">
      <w:pPr>
        <w:spacing w:after="160" w:line="278" w:lineRule="auto"/>
        <w:rPr>
          <w:sz w:val="22"/>
          <w:szCs w:val="28"/>
          <w:highlight w:val="none"/>
        </w:rPr>
      </w:pPr>
      <w:r>
        <w:rPr>
          <w:sz w:val="22"/>
          <w:szCs w:val="28"/>
          <w:highlight w:val="none"/>
        </w:rPr>
        <w:t xml:space="preserve">承包人向发包人提交各项保险生效的证据和保险单副本的期限：                 </w:t>
      </w:r>
    </w:p>
    <w:p w14:paraId="40A3389C">
      <w:pPr>
        <w:spacing w:after="160" w:line="278" w:lineRule="auto"/>
        <w:rPr>
          <w:sz w:val="22"/>
          <w:szCs w:val="28"/>
          <w:highlight w:val="none"/>
        </w:rPr>
      </w:pPr>
      <w:r>
        <w:rPr>
          <w:sz w:val="22"/>
          <w:szCs w:val="28"/>
          <w:highlight w:val="none"/>
        </w:rPr>
        <w:t xml:space="preserve">                                                                              。</w:t>
      </w:r>
    </w:p>
    <w:p w14:paraId="4E8D364F">
      <w:pPr>
        <w:spacing w:after="160" w:line="278" w:lineRule="auto"/>
        <w:rPr>
          <w:sz w:val="22"/>
          <w:szCs w:val="28"/>
          <w:highlight w:val="none"/>
        </w:rPr>
      </w:pPr>
      <w:r>
        <w:rPr>
          <w:sz w:val="22"/>
          <w:szCs w:val="28"/>
          <w:highlight w:val="none"/>
        </w:rPr>
        <w:t>20.6.4</w:t>
      </w:r>
      <w:r>
        <w:rPr>
          <w:rFonts w:hint="eastAsia"/>
          <w:sz w:val="22"/>
          <w:szCs w:val="28"/>
          <w:highlight w:val="none"/>
        </w:rPr>
        <w:t>保险金不足的补偿</w:t>
      </w:r>
    </w:p>
    <w:p w14:paraId="033DB387">
      <w:pPr>
        <w:spacing w:after="160" w:line="278" w:lineRule="auto"/>
        <w:rPr>
          <w:sz w:val="22"/>
          <w:szCs w:val="28"/>
          <w:highlight w:val="none"/>
        </w:rPr>
      </w:pPr>
      <w:r>
        <w:rPr>
          <w:sz w:val="22"/>
          <w:szCs w:val="28"/>
          <w:highlight w:val="none"/>
        </w:rPr>
        <w:t xml:space="preserve">保险金不足以补偿损失时，承包人和发包人负责补偿的责任分摊：               </w:t>
      </w:r>
    </w:p>
    <w:p w14:paraId="673143F8">
      <w:pPr>
        <w:spacing w:after="160" w:line="278" w:lineRule="auto"/>
        <w:rPr>
          <w:sz w:val="22"/>
          <w:szCs w:val="28"/>
          <w:highlight w:val="none"/>
        </w:rPr>
      </w:pPr>
      <w:r>
        <w:rPr>
          <w:sz w:val="22"/>
          <w:szCs w:val="28"/>
          <w:highlight w:val="none"/>
        </w:rPr>
        <w:t xml:space="preserve">                                                                              。</w:t>
      </w:r>
    </w:p>
    <w:p w14:paraId="3A00FE25">
      <w:pPr>
        <w:spacing w:after="160" w:line="278" w:lineRule="auto"/>
        <w:rPr>
          <w:sz w:val="22"/>
          <w:szCs w:val="28"/>
          <w:highlight w:val="none"/>
        </w:rPr>
      </w:pPr>
      <w:bookmarkStart w:id="3132" w:name="_Toc179632767"/>
      <w:bookmarkStart w:id="3133" w:name="_Toc448758566"/>
      <w:bookmarkStart w:id="3134" w:name="_Toc132619231"/>
      <w:bookmarkStart w:id="3135" w:name="_Toc142385770"/>
      <w:bookmarkStart w:id="3136" w:name="_Toc241459744"/>
      <w:bookmarkStart w:id="3137" w:name="_Toc448758466"/>
      <w:bookmarkStart w:id="3138" w:name="_Toc342296503"/>
      <w:bookmarkStart w:id="3139" w:name="_Toc144974720"/>
      <w:bookmarkStart w:id="3140" w:name="_Toc442365658"/>
      <w:bookmarkStart w:id="3141" w:name="_Toc152045749"/>
      <w:bookmarkStart w:id="3142" w:name="_Toc469660061"/>
      <w:bookmarkStart w:id="3143" w:name="_Toc109914547"/>
      <w:bookmarkStart w:id="3144" w:name="_Toc152042528"/>
      <w:bookmarkStart w:id="3145" w:name="_Toc129798482"/>
      <w:r>
        <w:rPr>
          <w:sz w:val="22"/>
          <w:szCs w:val="28"/>
          <w:highlight w:val="none"/>
        </w:rPr>
        <w:t>21. 不可抗力</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14:paraId="6A8610ED">
      <w:pPr>
        <w:spacing w:after="160" w:line="278" w:lineRule="auto"/>
        <w:rPr>
          <w:sz w:val="22"/>
          <w:szCs w:val="28"/>
          <w:highlight w:val="none"/>
        </w:rPr>
      </w:pPr>
      <w:bookmarkStart w:id="3146" w:name="_Toc132619232"/>
      <w:bookmarkStart w:id="3147" w:name="_Toc152042529"/>
      <w:bookmarkStart w:id="3148" w:name="_Toc342296504"/>
      <w:bookmarkStart w:id="3149" w:name="_Toc142385771"/>
      <w:bookmarkStart w:id="3150" w:name="_Toc109914548"/>
      <w:bookmarkStart w:id="3151" w:name="_Toc144974721"/>
      <w:bookmarkStart w:id="3152" w:name="_Toc241459745"/>
      <w:bookmarkStart w:id="3153" w:name="_Toc152045750"/>
      <w:bookmarkStart w:id="3154" w:name="_Toc129798483"/>
      <w:bookmarkStart w:id="3155" w:name="_Toc179632768"/>
      <w:r>
        <w:rPr>
          <w:sz w:val="22"/>
          <w:szCs w:val="28"/>
          <w:highlight w:val="none"/>
        </w:rPr>
        <w:t>21.1 不可抗力的确认</w:t>
      </w:r>
      <w:bookmarkEnd w:id="3146"/>
      <w:bookmarkEnd w:id="3147"/>
      <w:bookmarkEnd w:id="3148"/>
      <w:bookmarkEnd w:id="3149"/>
      <w:bookmarkEnd w:id="3150"/>
      <w:bookmarkEnd w:id="3151"/>
      <w:bookmarkEnd w:id="3152"/>
      <w:bookmarkEnd w:id="3153"/>
      <w:bookmarkEnd w:id="3154"/>
      <w:bookmarkEnd w:id="3155"/>
    </w:p>
    <w:p w14:paraId="3C9B35F7">
      <w:pPr>
        <w:spacing w:after="160" w:line="278" w:lineRule="auto"/>
        <w:rPr>
          <w:sz w:val="22"/>
          <w:szCs w:val="28"/>
          <w:highlight w:val="none"/>
        </w:rPr>
      </w:pPr>
      <w:r>
        <w:rPr>
          <w:sz w:val="22"/>
          <w:szCs w:val="28"/>
          <w:highlight w:val="none"/>
        </w:rPr>
        <w:t>21.1.1通用合同条款第21.1.1项约定的不可抗力以外的其他情形：</w:t>
      </w:r>
      <w:r>
        <w:rPr>
          <w:sz w:val="22"/>
          <w:szCs w:val="28"/>
          <w:highlight w:val="none"/>
          <w:u w:val="single"/>
        </w:rPr>
        <w:t xml:space="preserve">        /     </w:t>
      </w:r>
      <w:r>
        <w:rPr>
          <w:sz w:val="22"/>
          <w:szCs w:val="28"/>
          <w:highlight w:val="none"/>
        </w:rPr>
        <w:t>。</w:t>
      </w:r>
    </w:p>
    <w:p w14:paraId="5C4D7E86">
      <w:pPr>
        <w:spacing w:after="160" w:line="278" w:lineRule="auto"/>
        <w:rPr>
          <w:sz w:val="22"/>
          <w:szCs w:val="28"/>
          <w:highlight w:val="none"/>
        </w:rPr>
      </w:pPr>
      <w:r>
        <w:rPr>
          <w:sz w:val="22"/>
          <w:szCs w:val="28"/>
          <w:highlight w:val="none"/>
        </w:rPr>
        <w:t>不可抗力的等级范围约定：烈度7度（不含7度）以上地震，10级以上（不含10级）台风，日雨量60mm以上暴雨（以国家县（市）级以上气象局（台）、地震局（台）等专门机构公布为准），以及县市级以上政府公告不允许在本场地施工的时段。</w:t>
      </w:r>
    </w:p>
    <w:p w14:paraId="3B96EB33">
      <w:pPr>
        <w:spacing w:after="160" w:line="278" w:lineRule="auto"/>
        <w:rPr>
          <w:sz w:val="22"/>
          <w:szCs w:val="28"/>
          <w:highlight w:val="none"/>
        </w:rPr>
      </w:pPr>
      <w:bookmarkStart w:id="3156" w:name="_Toc109914549"/>
      <w:bookmarkStart w:id="3157" w:name="_Toc152042531"/>
      <w:bookmarkStart w:id="3158" w:name="_Toc144974723"/>
      <w:bookmarkStart w:id="3159" w:name="_Toc179632770"/>
      <w:bookmarkStart w:id="3160" w:name="_Toc241459746"/>
      <w:bookmarkStart w:id="3161" w:name="_Toc152045752"/>
      <w:bookmarkStart w:id="3162" w:name="_Toc132619233"/>
      <w:bookmarkStart w:id="3163" w:name="_Toc142385772"/>
      <w:bookmarkStart w:id="3164" w:name="_Toc129798484"/>
      <w:bookmarkStart w:id="3165" w:name="_Toc342296505"/>
      <w:r>
        <w:rPr>
          <w:sz w:val="22"/>
          <w:szCs w:val="28"/>
          <w:highlight w:val="none"/>
        </w:rPr>
        <w:t>21.3 不可抗力后果及其处理</w:t>
      </w:r>
      <w:bookmarkEnd w:id="3156"/>
      <w:bookmarkEnd w:id="3157"/>
      <w:bookmarkEnd w:id="3158"/>
      <w:bookmarkEnd w:id="3159"/>
      <w:bookmarkEnd w:id="3160"/>
      <w:bookmarkEnd w:id="3161"/>
      <w:bookmarkEnd w:id="3162"/>
      <w:bookmarkEnd w:id="3163"/>
      <w:bookmarkEnd w:id="3164"/>
      <w:bookmarkEnd w:id="3165"/>
    </w:p>
    <w:p w14:paraId="2D3113CE">
      <w:pPr>
        <w:spacing w:after="160" w:line="278" w:lineRule="auto"/>
        <w:rPr>
          <w:sz w:val="22"/>
          <w:szCs w:val="28"/>
          <w:highlight w:val="none"/>
        </w:rPr>
      </w:pPr>
      <w:r>
        <w:rPr>
          <w:sz w:val="22"/>
          <w:szCs w:val="28"/>
          <w:highlight w:val="none"/>
        </w:rPr>
        <w:t>21.3.1</w:t>
      </w:r>
      <w:r>
        <w:rPr>
          <w:rFonts w:hint="eastAsia"/>
          <w:sz w:val="22"/>
          <w:szCs w:val="28"/>
          <w:highlight w:val="none"/>
        </w:rPr>
        <w:t>不可抗力造成损害的责任</w:t>
      </w:r>
    </w:p>
    <w:p w14:paraId="24BFDFFB">
      <w:pPr>
        <w:spacing w:after="160" w:line="278" w:lineRule="auto"/>
        <w:rPr>
          <w:sz w:val="22"/>
          <w:szCs w:val="28"/>
          <w:highlight w:val="none"/>
        </w:rPr>
      </w:pPr>
      <w:r>
        <w:rPr>
          <w:sz w:val="22"/>
          <w:szCs w:val="28"/>
          <w:highlight w:val="none"/>
        </w:rPr>
        <w:t xml:space="preserve">不可抗力导致的人员伤亡、财产损失、费用增加和（或）工期延误等后果，由合同双方按通用合同条款第21.3.1项约定的原则承担。                                                                      </w:t>
      </w:r>
    </w:p>
    <w:p w14:paraId="51B66B47">
      <w:pPr>
        <w:spacing w:after="160" w:line="278" w:lineRule="auto"/>
        <w:rPr>
          <w:sz w:val="22"/>
          <w:szCs w:val="28"/>
          <w:highlight w:val="none"/>
        </w:rPr>
      </w:pPr>
      <w:bookmarkStart w:id="3166" w:name="_Toc469660062"/>
      <w:bookmarkStart w:id="3167" w:name="_Toc129798485"/>
      <w:bookmarkStart w:id="3168" w:name="_Toc448758567"/>
      <w:bookmarkStart w:id="3169" w:name="_Toc144974732"/>
      <w:bookmarkStart w:id="3170" w:name="_Toc142385773"/>
      <w:bookmarkStart w:id="3171" w:name="_Toc179632780"/>
      <w:bookmarkStart w:id="3172" w:name="_Toc448758467"/>
      <w:bookmarkStart w:id="3173" w:name="_Toc152045762"/>
      <w:bookmarkStart w:id="3174" w:name="_Toc442365659"/>
      <w:bookmarkStart w:id="3175" w:name="_Toc342296506"/>
      <w:bookmarkStart w:id="3176" w:name="_Toc241459747"/>
      <w:bookmarkStart w:id="3177" w:name="_Toc109914550"/>
      <w:bookmarkStart w:id="3178" w:name="_Toc132619234"/>
      <w:bookmarkStart w:id="3179" w:name="_Toc152042541"/>
      <w:r>
        <w:rPr>
          <w:sz w:val="22"/>
          <w:szCs w:val="28"/>
          <w:highlight w:val="none"/>
        </w:rPr>
        <w:t>24. 争议的解决</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14:paraId="4D69EACA">
      <w:pPr>
        <w:spacing w:after="160" w:line="278" w:lineRule="auto"/>
        <w:rPr>
          <w:sz w:val="22"/>
          <w:szCs w:val="28"/>
          <w:highlight w:val="none"/>
        </w:rPr>
      </w:pPr>
      <w:bookmarkStart w:id="3180" w:name="_Toc152042542"/>
      <w:bookmarkStart w:id="3181" w:name="_Toc241459748"/>
      <w:bookmarkStart w:id="3182" w:name="_Toc144974733"/>
      <w:bookmarkStart w:id="3183" w:name="_Toc142385774"/>
      <w:bookmarkStart w:id="3184" w:name="_Toc179632781"/>
      <w:bookmarkStart w:id="3185" w:name="_Toc342296507"/>
      <w:bookmarkStart w:id="3186" w:name="_Toc109914551"/>
      <w:bookmarkStart w:id="3187" w:name="_Toc152045763"/>
      <w:bookmarkStart w:id="3188" w:name="_Toc129798486"/>
      <w:bookmarkStart w:id="3189" w:name="_Toc132619235"/>
      <w:r>
        <w:rPr>
          <w:sz w:val="22"/>
          <w:szCs w:val="28"/>
          <w:highlight w:val="none"/>
        </w:rPr>
        <w:t>24.1 争议的解决方式</w:t>
      </w:r>
      <w:bookmarkEnd w:id="3180"/>
      <w:bookmarkEnd w:id="3181"/>
      <w:bookmarkEnd w:id="3182"/>
      <w:bookmarkEnd w:id="3183"/>
      <w:bookmarkEnd w:id="3184"/>
      <w:bookmarkEnd w:id="3185"/>
      <w:bookmarkEnd w:id="3186"/>
      <w:bookmarkEnd w:id="3187"/>
      <w:bookmarkEnd w:id="3188"/>
      <w:bookmarkEnd w:id="3189"/>
    </w:p>
    <w:p w14:paraId="19695B86">
      <w:pPr>
        <w:spacing w:after="160" w:line="278" w:lineRule="auto"/>
        <w:rPr>
          <w:sz w:val="22"/>
          <w:szCs w:val="28"/>
          <w:highlight w:val="none"/>
        </w:rPr>
      </w:pPr>
      <w:bookmarkStart w:id="3190" w:name="_Toc152045764"/>
      <w:bookmarkStart w:id="3191" w:name="_Toc179632782"/>
      <w:bookmarkStart w:id="3192" w:name="_Toc144974734"/>
      <w:bookmarkStart w:id="3193" w:name="_Toc152042543"/>
      <w:r>
        <w:rPr>
          <w:sz w:val="22"/>
          <w:szCs w:val="28"/>
          <w:highlight w:val="none"/>
        </w:rPr>
        <w:t xml:space="preserve">因本合同引起的或与本合同有关的任何争议，合同双方友好协商不成、不愿提请争议组评审或者不愿接受争议评审组意见的，选择下列第 </w:t>
      </w:r>
      <w:r>
        <w:rPr>
          <w:rFonts w:hint="eastAsia"/>
          <w:sz w:val="22"/>
          <w:szCs w:val="28"/>
          <w:highlight w:val="none"/>
        </w:rPr>
        <w:t>2</w:t>
      </w:r>
      <w:r>
        <w:rPr>
          <w:sz w:val="22"/>
          <w:szCs w:val="28"/>
          <w:highlight w:val="none"/>
        </w:rPr>
        <w:t xml:space="preserve"> 种方式解决：</w:t>
      </w:r>
    </w:p>
    <w:p w14:paraId="08654972">
      <w:pPr>
        <w:spacing w:after="160" w:line="278" w:lineRule="auto"/>
        <w:rPr>
          <w:sz w:val="22"/>
          <w:szCs w:val="28"/>
          <w:highlight w:val="none"/>
        </w:rPr>
      </w:pPr>
      <w:r>
        <w:rPr>
          <w:sz w:val="22"/>
          <w:szCs w:val="28"/>
          <w:highlight w:val="none"/>
        </w:rPr>
        <w:t>（</w:t>
      </w:r>
      <w:r>
        <w:rPr>
          <w:rFonts w:hint="eastAsia"/>
          <w:sz w:val="22"/>
          <w:szCs w:val="28"/>
          <w:highlight w:val="none"/>
        </w:rPr>
        <w:t>1</w:t>
      </w:r>
      <w:r>
        <w:rPr>
          <w:sz w:val="22"/>
          <w:szCs w:val="28"/>
          <w:highlight w:val="none"/>
        </w:rPr>
        <w:t>）提请 北京仲裁委员会按照该会仲裁规则进行仲裁，仲裁裁决是终局的，对合同双方均有约束力。</w:t>
      </w:r>
    </w:p>
    <w:p w14:paraId="2D4DF141">
      <w:pPr>
        <w:spacing w:after="160" w:line="278" w:lineRule="auto"/>
        <w:rPr>
          <w:sz w:val="22"/>
          <w:szCs w:val="28"/>
          <w:highlight w:val="none"/>
        </w:rPr>
      </w:pPr>
      <w:r>
        <w:rPr>
          <w:sz w:val="22"/>
          <w:szCs w:val="28"/>
          <w:highlight w:val="none"/>
        </w:rPr>
        <w:t>（</w:t>
      </w:r>
      <w:r>
        <w:rPr>
          <w:rFonts w:hint="eastAsia"/>
          <w:sz w:val="22"/>
          <w:szCs w:val="28"/>
          <w:highlight w:val="none"/>
        </w:rPr>
        <w:t>2</w:t>
      </w:r>
      <w:r>
        <w:rPr>
          <w:sz w:val="22"/>
          <w:szCs w:val="28"/>
          <w:highlight w:val="none"/>
        </w:rPr>
        <w:t>）向</w:t>
      </w:r>
      <w:r>
        <w:rPr>
          <w:rFonts w:hint="eastAsia"/>
          <w:sz w:val="22"/>
          <w:szCs w:val="28"/>
          <w:highlight w:val="none"/>
        </w:rPr>
        <w:t>房山区</w:t>
      </w:r>
      <w:r>
        <w:rPr>
          <w:sz w:val="22"/>
          <w:szCs w:val="28"/>
          <w:highlight w:val="none"/>
        </w:rPr>
        <w:t>人民法院提起诉讼。</w:t>
      </w:r>
    </w:p>
    <w:bookmarkEnd w:id="3190"/>
    <w:bookmarkEnd w:id="3191"/>
    <w:bookmarkEnd w:id="3192"/>
    <w:bookmarkEnd w:id="3193"/>
    <w:p w14:paraId="018CF34F">
      <w:pPr>
        <w:spacing w:after="160" w:line="278" w:lineRule="auto"/>
        <w:rPr>
          <w:sz w:val="22"/>
          <w:szCs w:val="28"/>
          <w:highlight w:val="none"/>
        </w:rPr>
      </w:pPr>
      <w:bookmarkStart w:id="3194" w:name="_Toc179632783"/>
      <w:bookmarkStart w:id="3195" w:name="_Toc132619236"/>
      <w:bookmarkStart w:id="3196" w:name="_Toc241459749"/>
      <w:bookmarkStart w:id="3197" w:name="_Toc109914552"/>
      <w:bookmarkStart w:id="3198" w:name="_Toc144974735"/>
      <w:bookmarkStart w:id="3199" w:name="_Toc129798487"/>
      <w:bookmarkStart w:id="3200" w:name="_Toc152042544"/>
      <w:bookmarkStart w:id="3201" w:name="_Toc342296508"/>
      <w:bookmarkStart w:id="3202" w:name="_Toc152045765"/>
      <w:bookmarkStart w:id="3203" w:name="_Toc142385775"/>
      <w:r>
        <w:rPr>
          <w:sz w:val="22"/>
          <w:szCs w:val="28"/>
          <w:highlight w:val="none"/>
        </w:rPr>
        <w:t>24.3 争议评审</w:t>
      </w:r>
      <w:bookmarkEnd w:id="3194"/>
      <w:bookmarkEnd w:id="3195"/>
      <w:bookmarkEnd w:id="3196"/>
      <w:bookmarkEnd w:id="3197"/>
      <w:bookmarkEnd w:id="3198"/>
      <w:bookmarkEnd w:id="3199"/>
      <w:bookmarkEnd w:id="3200"/>
      <w:bookmarkEnd w:id="3201"/>
      <w:bookmarkEnd w:id="3202"/>
      <w:bookmarkEnd w:id="3203"/>
    </w:p>
    <w:p w14:paraId="6A17A3CE">
      <w:pPr>
        <w:spacing w:after="160" w:line="278" w:lineRule="auto"/>
        <w:rPr>
          <w:sz w:val="22"/>
          <w:szCs w:val="28"/>
          <w:highlight w:val="none"/>
        </w:rPr>
      </w:pPr>
      <w:r>
        <w:rPr>
          <w:sz w:val="22"/>
          <w:szCs w:val="28"/>
          <w:highlight w:val="none"/>
        </w:rPr>
        <w:t>24.3.4争议评审组邀请合同双方代表人和有关人员举行调查会的期限：14日内。</w:t>
      </w:r>
    </w:p>
    <w:p w14:paraId="2B728895">
      <w:pPr>
        <w:spacing w:after="160" w:line="278" w:lineRule="auto"/>
        <w:rPr>
          <w:sz w:val="22"/>
          <w:szCs w:val="28"/>
          <w:highlight w:val="none"/>
        </w:rPr>
      </w:pPr>
      <w:r>
        <w:rPr>
          <w:sz w:val="22"/>
          <w:szCs w:val="28"/>
          <w:highlight w:val="none"/>
        </w:rPr>
        <w:t>24.3.5争议评审组在调查会后作出争议评审意见的期限：14日内。</w:t>
      </w:r>
    </w:p>
    <w:p w14:paraId="3A0B4F20">
      <w:pPr>
        <w:spacing w:after="160" w:line="278" w:lineRule="auto"/>
        <w:rPr>
          <w:sz w:val="22"/>
          <w:szCs w:val="28"/>
          <w:highlight w:val="none"/>
        </w:rPr>
      </w:pPr>
    </w:p>
    <w:p w14:paraId="5C56A352">
      <w:pPr>
        <w:spacing w:after="160" w:line="278" w:lineRule="auto"/>
        <w:rPr>
          <w:sz w:val="22"/>
          <w:szCs w:val="28"/>
          <w:highlight w:val="none"/>
        </w:rPr>
      </w:pPr>
      <w:bookmarkStart w:id="3204" w:name="_Toc142385776"/>
      <w:bookmarkStart w:id="3205" w:name="_Toc129798488"/>
      <w:bookmarkStart w:id="3206" w:name="_Toc17524"/>
      <w:bookmarkStart w:id="3207" w:name="_Toc12149"/>
      <w:bookmarkStart w:id="3208" w:name="_Toc109914553"/>
      <w:bookmarkStart w:id="3209" w:name="_Toc132619237"/>
      <w:bookmarkStart w:id="3210" w:name="OLE_LINK31"/>
      <w:bookmarkStart w:id="3211" w:name="OLE_LINK32"/>
      <w:r>
        <w:rPr>
          <w:rFonts w:hint="eastAsia"/>
          <w:sz w:val="22"/>
          <w:szCs w:val="28"/>
          <w:highlight w:val="none"/>
        </w:rPr>
        <w:t>25．其他</w:t>
      </w:r>
      <w:bookmarkEnd w:id="3204"/>
      <w:bookmarkEnd w:id="3205"/>
      <w:bookmarkEnd w:id="3206"/>
      <w:bookmarkEnd w:id="3207"/>
      <w:bookmarkEnd w:id="3208"/>
      <w:bookmarkEnd w:id="3209"/>
    </w:p>
    <w:p w14:paraId="2FC31F4B">
      <w:pPr>
        <w:spacing w:after="160" w:line="278" w:lineRule="auto"/>
        <w:rPr>
          <w:sz w:val="22"/>
          <w:szCs w:val="28"/>
          <w:highlight w:val="none"/>
        </w:rPr>
      </w:pPr>
      <w:bookmarkStart w:id="3212" w:name="_Toc22737"/>
      <w:bookmarkStart w:id="3213" w:name="_Toc132619238"/>
      <w:bookmarkStart w:id="3214" w:name="_Toc5847"/>
      <w:bookmarkStart w:id="3215" w:name="_Toc129798489"/>
      <w:bookmarkStart w:id="3216" w:name="_Toc142385777"/>
      <w:bookmarkStart w:id="3217" w:name="_Toc109914554"/>
      <w:r>
        <w:rPr>
          <w:rFonts w:hint="eastAsia"/>
          <w:sz w:val="22"/>
          <w:szCs w:val="28"/>
          <w:highlight w:val="none"/>
        </w:rPr>
        <w:t>施工单位应注意事项</w:t>
      </w:r>
      <w:bookmarkEnd w:id="3212"/>
      <w:bookmarkEnd w:id="3213"/>
      <w:bookmarkEnd w:id="3214"/>
      <w:bookmarkEnd w:id="3215"/>
      <w:bookmarkEnd w:id="3216"/>
      <w:bookmarkEnd w:id="3217"/>
      <w:r>
        <w:rPr>
          <w:rFonts w:hint="eastAsia"/>
          <w:sz w:val="22"/>
          <w:szCs w:val="28"/>
          <w:highlight w:val="none"/>
        </w:rPr>
        <w:t xml:space="preserve">   </w:t>
      </w:r>
    </w:p>
    <w:p w14:paraId="766D74B6">
      <w:pPr>
        <w:spacing w:after="160" w:line="278" w:lineRule="auto"/>
        <w:rPr>
          <w:sz w:val="22"/>
          <w:szCs w:val="28"/>
          <w:highlight w:val="none"/>
        </w:rPr>
      </w:pPr>
      <w:r>
        <w:rPr>
          <w:rFonts w:hint="eastAsia"/>
          <w:sz w:val="22"/>
          <w:szCs w:val="28"/>
          <w:highlight w:val="none"/>
        </w:rPr>
        <w:t>施工过程中可能会对周边设备及器具进行移位，以现场踏勘为准，此项内容已投标报价中综合考虑，不再单独计取。</w:t>
      </w:r>
    </w:p>
    <w:bookmarkEnd w:id="3210"/>
    <w:bookmarkEnd w:id="3211"/>
    <w:p w14:paraId="5DE5EDAC">
      <w:pPr>
        <w:spacing w:after="160" w:line="278" w:lineRule="auto"/>
        <w:rPr>
          <w:sz w:val="22"/>
          <w:szCs w:val="28"/>
          <w:highlight w:val="none"/>
        </w:rPr>
      </w:pPr>
    </w:p>
    <w:p w14:paraId="72E19EED">
      <w:pPr>
        <w:spacing w:after="160" w:line="278" w:lineRule="auto"/>
        <w:rPr>
          <w:sz w:val="22"/>
          <w:szCs w:val="28"/>
          <w:highlight w:val="none"/>
        </w:rPr>
        <w:sectPr>
          <w:headerReference r:id="rId21" w:type="default"/>
          <w:headerReference r:id="rId22" w:type="even"/>
          <w:footerReference r:id="rId23" w:type="even"/>
          <w:pgSz w:w="11906" w:h="16838"/>
          <w:pgMar w:top="1440" w:right="1797" w:bottom="1440" w:left="1797" w:header="851" w:footer="992" w:gutter="0"/>
          <w:cols w:space="720" w:num="1"/>
          <w:docGrid w:linePitch="312" w:charSpace="0"/>
        </w:sectPr>
      </w:pPr>
    </w:p>
    <w:p w14:paraId="12C497E4">
      <w:pPr>
        <w:spacing w:after="160" w:line="278" w:lineRule="auto"/>
        <w:rPr>
          <w:b/>
          <w:bCs/>
          <w:sz w:val="28"/>
          <w:szCs w:val="36"/>
          <w:highlight w:val="none"/>
        </w:rPr>
      </w:pPr>
      <w:r>
        <w:rPr>
          <w:b/>
          <w:bCs/>
          <w:sz w:val="28"/>
          <w:szCs w:val="36"/>
          <w:highlight w:val="none"/>
        </w:rPr>
        <w:t>第</w:t>
      </w:r>
      <w:r>
        <w:rPr>
          <w:rFonts w:hint="eastAsia"/>
          <w:b/>
          <w:bCs/>
          <w:sz w:val="28"/>
          <w:szCs w:val="36"/>
          <w:highlight w:val="none"/>
        </w:rPr>
        <w:t>四节 工程质量保修书</w:t>
      </w:r>
    </w:p>
    <w:p w14:paraId="32E748E2">
      <w:pPr>
        <w:spacing w:after="160" w:line="278" w:lineRule="auto"/>
        <w:rPr>
          <w:sz w:val="22"/>
          <w:szCs w:val="28"/>
          <w:highlight w:val="none"/>
        </w:rPr>
      </w:pPr>
    </w:p>
    <w:p w14:paraId="6B9F7E87">
      <w:pPr>
        <w:spacing w:after="160" w:line="278" w:lineRule="auto"/>
        <w:jc w:val="center"/>
        <w:rPr>
          <w:b/>
          <w:bCs/>
          <w:sz w:val="28"/>
          <w:szCs w:val="36"/>
          <w:highlight w:val="none"/>
        </w:rPr>
      </w:pPr>
      <w:r>
        <w:rPr>
          <w:rFonts w:hint="eastAsia"/>
          <w:b/>
          <w:bCs/>
          <w:sz w:val="28"/>
          <w:szCs w:val="36"/>
          <w:highlight w:val="none"/>
        </w:rPr>
        <w:t>工程质量保修书</w:t>
      </w:r>
    </w:p>
    <w:p w14:paraId="6182D0DD">
      <w:pPr>
        <w:spacing w:after="160" w:line="278" w:lineRule="auto"/>
        <w:rPr>
          <w:sz w:val="22"/>
          <w:szCs w:val="28"/>
          <w:highlight w:val="none"/>
        </w:rPr>
      </w:pPr>
    </w:p>
    <w:p w14:paraId="2A1CF0D2">
      <w:pPr>
        <w:spacing w:after="160" w:line="278" w:lineRule="auto"/>
        <w:rPr>
          <w:sz w:val="22"/>
          <w:szCs w:val="28"/>
          <w:highlight w:val="none"/>
        </w:rPr>
      </w:pPr>
      <w:r>
        <w:rPr>
          <w:rFonts w:hint="eastAsia"/>
          <w:sz w:val="22"/>
          <w:szCs w:val="28"/>
          <w:highlight w:val="none"/>
        </w:rPr>
        <w:t xml:space="preserve">建设单位： </w:t>
      </w:r>
    </w:p>
    <w:p w14:paraId="417CC52E">
      <w:pPr>
        <w:spacing w:after="160" w:line="278" w:lineRule="auto"/>
        <w:rPr>
          <w:sz w:val="22"/>
          <w:szCs w:val="28"/>
          <w:highlight w:val="none"/>
        </w:rPr>
      </w:pPr>
      <w:r>
        <w:rPr>
          <w:rFonts w:hint="eastAsia"/>
          <w:sz w:val="22"/>
          <w:szCs w:val="28"/>
          <w:highlight w:val="none"/>
        </w:rPr>
        <w:t xml:space="preserve">承 包 人：                     </w:t>
      </w:r>
    </w:p>
    <w:p w14:paraId="39348ED2">
      <w:pPr>
        <w:spacing w:after="160" w:line="278" w:lineRule="auto"/>
        <w:rPr>
          <w:sz w:val="22"/>
          <w:szCs w:val="28"/>
          <w:highlight w:val="none"/>
        </w:rPr>
      </w:pPr>
      <w:r>
        <w:rPr>
          <w:rFonts w:hint="eastAsia"/>
          <w:sz w:val="22"/>
          <w:szCs w:val="28"/>
          <w:highlight w:val="none"/>
        </w:rPr>
        <w:t>为保证</w:t>
      </w:r>
      <w:r>
        <w:rPr>
          <w:rFonts w:hint="eastAsia"/>
          <w:sz w:val="22"/>
          <w:szCs w:val="28"/>
          <w:highlight w:val="none"/>
          <w:u w:val="single"/>
        </w:rPr>
        <w:t xml:space="preserve">                   </w:t>
      </w:r>
      <w:r>
        <w:rPr>
          <w:rFonts w:hint="eastAsia"/>
          <w:sz w:val="22"/>
          <w:szCs w:val="28"/>
          <w:highlight w:val="none"/>
        </w:rPr>
        <w:t>在合理使用期限内正常使用，经甲、乙双方协商一致并签定本工程质量保修书。承包人在质量保修期内按照《建设工程质量管理条例》、《房屋建筑工程质量保修办法》和国家、北京市有关管理规定承担工程质量保修责任。</w:t>
      </w:r>
    </w:p>
    <w:p w14:paraId="6EFB1DCE">
      <w:pPr>
        <w:spacing w:after="160" w:line="278" w:lineRule="auto"/>
        <w:rPr>
          <w:sz w:val="22"/>
          <w:szCs w:val="28"/>
          <w:highlight w:val="none"/>
        </w:rPr>
      </w:pPr>
      <w:bookmarkStart w:id="3218" w:name="_Toc109914556"/>
      <w:bookmarkStart w:id="3219" w:name="_Toc132619239"/>
      <w:bookmarkStart w:id="3220" w:name="_Toc129798491"/>
      <w:bookmarkStart w:id="3221" w:name="_Toc142385778"/>
      <w:bookmarkStart w:id="3222" w:name="_Toc115802048"/>
      <w:r>
        <w:rPr>
          <w:rFonts w:hint="eastAsia"/>
          <w:sz w:val="22"/>
          <w:szCs w:val="28"/>
          <w:highlight w:val="none"/>
        </w:rPr>
        <w:t>一、工程质量保修范围和内容</w:t>
      </w:r>
      <w:bookmarkEnd w:id="3218"/>
      <w:bookmarkEnd w:id="3219"/>
      <w:bookmarkEnd w:id="3220"/>
      <w:bookmarkEnd w:id="3221"/>
      <w:bookmarkEnd w:id="3222"/>
    </w:p>
    <w:p w14:paraId="04AF3ED2">
      <w:pPr>
        <w:spacing w:after="160" w:line="278" w:lineRule="auto"/>
        <w:rPr>
          <w:sz w:val="22"/>
          <w:szCs w:val="28"/>
          <w:highlight w:val="none"/>
        </w:rPr>
      </w:pPr>
      <w:r>
        <w:rPr>
          <w:rFonts w:hint="eastAsia"/>
          <w:sz w:val="22"/>
          <w:szCs w:val="28"/>
          <w:highlight w:val="none"/>
        </w:rPr>
        <w:t>质量保修范围包括： 根据清单及洽商范围内所有相关内容。</w:t>
      </w:r>
    </w:p>
    <w:p w14:paraId="71D273F3">
      <w:pPr>
        <w:spacing w:after="160" w:line="278" w:lineRule="auto"/>
        <w:rPr>
          <w:sz w:val="22"/>
          <w:szCs w:val="28"/>
          <w:highlight w:val="none"/>
        </w:rPr>
      </w:pPr>
      <w:r>
        <w:rPr>
          <w:rFonts w:hint="eastAsia"/>
          <w:sz w:val="22"/>
          <w:szCs w:val="28"/>
          <w:highlight w:val="none"/>
        </w:rPr>
        <w:t>具体质量保修内容双方约定如下:</w:t>
      </w:r>
    </w:p>
    <w:p w14:paraId="5B2FC378">
      <w:pPr>
        <w:spacing w:after="160" w:line="278" w:lineRule="auto"/>
        <w:rPr>
          <w:sz w:val="22"/>
          <w:szCs w:val="28"/>
          <w:highlight w:val="none"/>
        </w:rPr>
      </w:pPr>
      <w:r>
        <w:rPr>
          <w:rFonts w:hint="eastAsia"/>
          <w:sz w:val="22"/>
          <w:szCs w:val="28"/>
          <w:highlight w:val="none"/>
        </w:rPr>
        <w:t xml:space="preserve">承包人在施工过程中所实际发生的全部施工内容。                        </w:t>
      </w:r>
    </w:p>
    <w:p w14:paraId="3D7C682E">
      <w:pPr>
        <w:spacing w:after="160" w:line="278" w:lineRule="auto"/>
        <w:rPr>
          <w:sz w:val="22"/>
          <w:szCs w:val="28"/>
          <w:highlight w:val="none"/>
        </w:rPr>
      </w:pPr>
      <w:bookmarkStart w:id="3223" w:name="_Toc129798492"/>
      <w:bookmarkStart w:id="3224" w:name="_Toc109914557"/>
      <w:bookmarkStart w:id="3225" w:name="_Toc132619240"/>
      <w:bookmarkStart w:id="3226" w:name="_Toc142385779"/>
      <w:bookmarkStart w:id="3227" w:name="_Toc115802049"/>
      <w:r>
        <w:rPr>
          <w:rFonts w:hint="eastAsia"/>
          <w:sz w:val="22"/>
          <w:szCs w:val="28"/>
          <w:highlight w:val="none"/>
        </w:rPr>
        <w:t>二、质量保修期</w:t>
      </w:r>
      <w:bookmarkEnd w:id="3223"/>
      <w:bookmarkEnd w:id="3224"/>
      <w:bookmarkEnd w:id="3225"/>
      <w:bookmarkEnd w:id="3226"/>
      <w:bookmarkEnd w:id="3227"/>
    </w:p>
    <w:p w14:paraId="69B22860">
      <w:pPr>
        <w:spacing w:after="160" w:line="278" w:lineRule="auto"/>
        <w:rPr>
          <w:sz w:val="22"/>
          <w:szCs w:val="28"/>
          <w:highlight w:val="none"/>
        </w:rPr>
      </w:pPr>
      <w:r>
        <w:rPr>
          <w:rFonts w:hint="eastAsia"/>
          <w:sz w:val="22"/>
          <w:szCs w:val="28"/>
          <w:highlight w:val="none"/>
        </w:rPr>
        <w:t>本工程质量保修期限从本工程竣工验收合格之日（颁发竣工验收证书之日）起计算。双方根据国家有关规定，约定供热部分质保期2个采暖期，防水部分质量保修期限为5年。</w:t>
      </w:r>
    </w:p>
    <w:p w14:paraId="7E54AC6F">
      <w:pPr>
        <w:spacing w:after="160" w:line="278" w:lineRule="auto"/>
        <w:rPr>
          <w:sz w:val="22"/>
          <w:szCs w:val="28"/>
          <w:highlight w:val="none"/>
        </w:rPr>
      </w:pPr>
      <w:bookmarkStart w:id="3228" w:name="_Toc115802050"/>
      <w:bookmarkStart w:id="3229" w:name="_Toc109914558"/>
      <w:bookmarkStart w:id="3230" w:name="_Toc142385780"/>
      <w:bookmarkStart w:id="3231" w:name="_Toc132619241"/>
      <w:bookmarkStart w:id="3232" w:name="_Toc129798493"/>
      <w:r>
        <w:rPr>
          <w:rFonts w:hint="eastAsia"/>
          <w:sz w:val="22"/>
          <w:szCs w:val="28"/>
          <w:highlight w:val="none"/>
        </w:rPr>
        <w:t>三、质量保修责任</w:t>
      </w:r>
      <w:bookmarkEnd w:id="3228"/>
      <w:bookmarkEnd w:id="3229"/>
      <w:bookmarkEnd w:id="3230"/>
      <w:bookmarkEnd w:id="3231"/>
      <w:bookmarkEnd w:id="3232"/>
    </w:p>
    <w:p w14:paraId="6AA4A076">
      <w:pPr>
        <w:spacing w:after="160" w:line="278" w:lineRule="auto"/>
        <w:rPr>
          <w:sz w:val="22"/>
          <w:szCs w:val="28"/>
          <w:highlight w:val="none"/>
        </w:rPr>
      </w:pPr>
      <w:r>
        <w:rPr>
          <w:rFonts w:hint="eastAsia"/>
          <w:sz w:val="22"/>
          <w:szCs w:val="28"/>
          <w:highlight w:val="none"/>
        </w:rPr>
        <w:t>1、本工程在保修期限出现质量缺陷，建设单位应当向承包人发出保修通知。承包人接到保修通知后24小时内，应当到现场核查情况并派人修理。承包人不在约定期限内派人修理，建设单位可委托其他人员修理，修理费用从承包人质量保留金内支付。</w:t>
      </w:r>
    </w:p>
    <w:p w14:paraId="4A4BABE1">
      <w:pPr>
        <w:spacing w:after="160" w:line="278" w:lineRule="auto"/>
        <w:rPr>
          <w:sz w:val="22"/>
          <w:szCs w:val="28"/>
          <w:highlight w:val="none"/>
        </w:rPr>
      </w:pPr>
      <w:r>
        <w:rPr>
          <w:rFonts w:hint="eastAsia"/>
          <w:sz w:val="22"/>
          <w:szCs w:val="28"/>
          <w:highlight w:val="none"/>
        </w:rPr>
        <w:t>2、发生紧急抢修事故（龙骨、支架脱落、玻璃爆裂等），承包人接到事故通知后，应立即到达事故现场抢修。非承包人施工质量引起的事故，抢修费用由责任人承担。</w:t>
      </w:r>
    </w:p>
    <w:p w14:paraId="01180283">
      <w:pPr>
        <w:spacing w:after="160" w:line="278" w:lineRule="auto"/>
        <w:rPr>
          <w:sz w:val="22"/>
          <w:szCs w:val="28"/>
          <w:highlight w:val="none"/>
        </w:rPr>
      </w:pPr>
      <w:r>
        <w:rPr>
          <w:rFonts w:hint="eastAsia"/>
          <w:sz w:val="22"/>
          <w:szCs w:val="28"/>
          <w:highlight w:val="none"/>
        </w:rPr>
        <w:t>3、在国家规定的工程合理使用期限内，承包人确保工程的质量。因承包人原因致使工程在合理使用期限内造成人身和财产损害的，承包人应承担损害赔偿责任。</w:t>
      </w:r>
    </w:p>
    <w:p w14:paraId="57CF71E4">
      <w:pPr>
        <w:spacing w:after="160" w:line="278" w:lineRule="auto"/>
        <w:rPr>
          <w:sz w:val="22"/>
          <w:szCs w:val="28"/>
          <w:highlight w:val="none"/>
        </w:rPr>
      </w:pPr>
      <w:bookmarkStart w:id="3233" w:name="_Toc115802051"/>
      <w:bookmarkStart w:id="3234" w:name="_Toc109914559"/>
      <w:bookmarkStart w:id="3235" w:name="_Toc132619242"/>
      <w:bookmarkStart w:id="3236" w:name="_Toc129798494"/>
      <w:bookmarkStart w:id="3237" w:name="_Toc142385781"/>
      <w:r>
        <w:rPr>
          <w:rFonts w:hint="eastAsia"/>
          <w:sz w:val="22"/>
          <w:szCs w:val="28"/>
          <w:highlight w:val="none"/>
        </w:rPr>
        <w:t>四、</w:t>
      </w:r>
      <w:bookmarkEnd w:id="3233"/>
      <w:r>
        <w:rPr>
          <w:rFonts w:hint="eastAsia"/>
          <w:sz w:val="22"/>
          <w:szCs w:val="28"/>
          <w:highlight w:val="none"/>
        </w:rPr>
        <w:t>质量保证金金额及支付</w:t>
      </w:r>
      <w:bookmarkEnd w:id="3234"/>
      <w:bookmarkEnd w:id="3235"/>
      <w:bookmarkEnd w:id="3236"/>
      <w:bookmarkEnd w:id="3237"/>
    </w:p>
    <w:p w14:paraId="60F9B486">
      <w:pPr>
        <w:spacing w:after="160" w:line="278" w:lineRule="auto"/>
        <w:rPr>
          <w:sz w:val="22"/>
          <w:szCs w:val="28"/>
          <w:highlight w:val="none"/>
        </w:rPr>
      </w:pPr>
      <w:r>
        <w:rPr>
          <w:rFonts w:hint="eastAsia"/>
          <w:sz w:val="22"/>
          <w:szCs w:val="28"/>
          <w:highlight w:val="none"/>
        </w:rPr>
        <w:t>1、本工程约定的工程质量保修金为本工程竣工决算金额的3%。</w:t>
      </w:r>
    </w:p>
    <w:p w14:paraId="486150D2">
      <w:pPr>
        <w:spacing w:after="160" w:line="278" w:lineRule="auto"/>
        <w:rPr>
          <w:sz w:val="22"/>
          <w:szCs w:val="28"/>
          <w:highlight w:val="none"/>
        </w:rPr>
      </w:pPr>
      <w:r>
        <w:rPr>
          <w:rFonts w:hint="eastAsia"/>
          <w:sz w:val="22"/>
          <w:szCs w:val="28"/>
          <w:highlight w:val="none"/>
        </w:rPr>
        <w:t>2、在承包人已经完成本合同所规定的保修义务，并已得到建设单位向承包人颁发的保修责任终止证书之日后56天内，建设单位将剩余的质量保证金金额全部支付给承包人。</w:t>
      </w:r>
      <w:bookmarkStart w:id="3238" w:name="_Toc115802053"/>
    </w:p>
    <w:p w14:paraId="47CFB230">
      <w:pPr>
        <w:spacing w:after="160" w:line="278" w:lineRule="auto"/>
        <w:rPr>
          <w:sz w:val="22"/>
          <w:szCs w:val="28"/>
          <w:highlight w:val="none"/>
        </w:rPr>
      </w:pPr>
      <w:bookmarkStart w:id="3239" w:name="_Toc129798495"/>
      <w:bookmarkStart w:id="3240" w:name="_Toc109914560"/>
      <w:bookmarkStart w:id="3241" w:name="_Toc132619243"/>
      <w:bookmarkStart w:id="3242" w:name="_Toc142385782"/>
      <w:r>
        <w:rPr>
          <w:rFonts w:hint="eastAsia"/>
          <w:sz w:val="22"/>
          <w:szCs w:val="28"/>
          <w:highlight w:val="none"/>
        </w:rPr>
        <w:t>五、其他</w:t>
      </w:r>
      <w:bookmarkEnd w:id="3238"/>
      <w:bookmarkEnd w:id="3239"/>
      <w:bookmarkEnd w:id="3240"/>
      <w:bookmarkEnd w:id="3241"/>
      <w:bookmarkEnd w:id="3242"/>
    </w:p>
    <w:p w14:paraId="7229526B">
      <w:pPr>
        <w:spacing w:after="160" w:line="278" w:lineRule="auto"/>
        <w:rPr>
          <w:sz w:val="22"/>
          <w:szCs w:val="28"/>
          <w:highlight w:val="none"/>
        </w:rPr>
      </w:pPr>
      <w:r>
        <w:rPr>
          <w:rFonts w:hint="eastAsia"/>
          <w:sz w:val="22"/>
          <w:szCs w:val="28"/>
          <w:highlight w:val="none"/>
        </w:rPr>
        <w:t>双方约定的其他工程质量保修事项：如果国家和项目发包人对该工程的质量保修有特殊要求时则按特殊要求执行。</w:t>
      </w:r>
    </w:p>
    <w:p w14:paraId="70E4DFDE">
      <w:pPr>
        <w:spacing w:after="160" w:line="278" w:lineRule="auto"/>
        <w:rPr>
          <w:sz w:val="22"/>
          <w:szCs w:val="28"/>
          <w:highlight w:val="none"/>
        </w:rPr>
      </w:pPr>
      <w:r>
        <w:rPr>
          <w:rFonts w:hint="eastAsia"/>
          <w:sz w:val="22"/>
          <w:szCs w:val="28"/>
          <w:highlight w:val="none"/>
        </w:rPr>
        <w:t xml:space="preserve">       </w:t>
      </w:r>
    </w:p>
    <w:p w14:paraId="0A4106AF">
      <w:pPr>
        <w:spacing w:after="160" w:line="278" w:lineRule="auto"/>
        <w:rPr>
          <w:sz w:val="22"/>
          <w:szCs w:val="28"/>
          <w:highlight w:val="none"/>
        </w:rPr>
      </w:pPr>
    </w:p>
    <w:p w14:paraId="0505507E">
      <w:pPr>
        <w:spacing w:after="160" w:line="278" w:lineRule="auto"/>
        <w:rPr>
          <w:sz w:val="22"/>
          <w:szCs w:val="28"/>
          <w:highlight w:val="none"/>
        </w:rPr>
      </w:pPr>
    </w:p>
    <w:p w14:paraId="5CB155B7">
      <w:pPr>
        <w:spacing w:after="160" w:line="278" w:lineRule="auto"/>
        <w:rPr>
          <w:sz w:val="22"/>
          <w:szCs w:val="28"/>
          <w:highlight w:val="none"/>
        </w:rPr>
      </w:pPr>
      <w:r>
        <w:rPr>
          <w:rFonts w:hint="eastAsia"/>
          <w:sz w:val="22"/>
          <w:szCs w:val="28"/>
          <w:highlight w:val="none"/>
        </w:rPr>
        <w:t>（此页无正文）</w:t>
      </w:r>
    </w:p>
    <w:p w14:paraId="22505BE3">
      <w:pPr>
        <w:spacing w:after="160" w:line="278" w:lineRule="auto"/>
        <w:rPr>
          <w:sz w:val="22"/>
          <w:szCs w:val="28"/>
          <w:highlight w:val="none"/>
        </w:rPr>
      </w:pPr>
    </w:p>
    <w:p w14:paraId="50BA009E">
      <w:pPr>
        <w:spacing w:after="160" w:line="278" w:lineRule="auto"/>
        <w:rPr>
          <w:sz w:val="22"/>
          <w:szCs w:val="28"/>
          <w:highlight w:val="none"/>
        </w:rPr>
      </w:pPr>
      <w:r>
        <w:rPr>
          <w:sz w:val="22"/>
          <w:szCs w:val="28"/>
          <w:highlight w:val="none"/>
        </w:rPr>
        <w:t>发包人：               （盖单位章） 承包人：</w:t>
      </w:r>
      <w:r>
        <w:rPr>
          <w:rFonts w:hint="eastAsia"/>
          <w:sz w:val="22"/>
          <w:szCs w:val="28"/>
          <w:highlight w:val="none"/>
        </w:rPr>
        <w:t xml:space="preserve">            </w:t>
      </w:r>
      <w:r>
        <w:rPr>
          <w:sz w:val="22"/>
          <w:szCs w:val="28"/>
          <w:highlight w:val="none"/>
        </w:rPr>
        <w:t>（盖单位章）</w:t>
      </w:r>
    </w:p>
    <w:p w14:paraId="5C89BD35">
      <w:pPr>
        <w:spacing w:after="160" w:line="278" w:lineRule="auto"/>
        <w:rPr>
          <w:sz w:val="22"/>
          <w:szCs w:val="28"/>
          <w:highlight w:val="none"/>
        </w:rPr>
      </w:pPr>
    </w:p>
    <w:p w14:paraId="3596A630">
      <w:pPr>
        <w:spacing w:after="160" w:line="278" w:lineRule="auto"/>
        <w:rPr>
          <w:sz w:val="22"/>
          <w:szCs w:val="28"/>
          <w:highlight w:val="none"/>
        </w:rPr>
      </w:pPr>
      <w:r>
        <w:rPr>
          <w:sz w:val="22"/>
          <w:szCs w:val="28"/>
          <w:highlight w:val="none"/>
        </w:rPr>
        <w:t>法定代表人或其                      法定代表人或其</w:t>
      </w:r>
    </w:p>
    <w:p w14:paraId="38CBB7BC">
      <w:pPr>
        <w:spacing w:after="160" w:line="278" w:lineRule="auto"/>
        <w:rPr>
          <w:sz w:val="22"/>
          <w:szCs w:val="28"/>
          <w:highlight w:val="none"/>
        </w:rPr>
      </w:pPr>
      <w:r>
        <w:rPr>
          <w:sz w:val="22"/>
          <w:szCs w:val="28"/>
          <w:highlight w:val="none"/>
        </w:rPr>
        <w:t>委托代理人：              （签字）  委托代理人：                   （签字）</w:t>
      </w:r>
    </w:p>
    <w:p w14:paraId="28EE67D4">
      <w:pPr>
        <w:spacing w:after="160" w:line="278" w:lineRule="auto"/>
        <w:rPr>
          <w:sz w:val="22"/>
          <w:szCs w:val="28"/>
          <w:highlight w:val="none"/>
        </w:rPr>
      </w:pPr>
    </w:p>
    <w:p w14:paraId="7DBEFA37">
      <w:pPr>
        <w:spacing w:after="160" w:line="278" w:lineRule="auto"/>
        <w:rPr>
          <w:sz w:val="22"/>
          <w:szCs w:val="28"/>
          <w:highlight w:val="none"/>
        </w:rPr>
      </w:pPr>
      <w:r>
        <w:rPr>
          <w:sz w:val="22"/>
          <w:szCs w:val="28"/>
          <w:highlight w:val="none"/>
        </w:rPr>
        <w:t xml:space="preserve">        年      月   </w:t>
      </w:r>
      <w:r>
        <w:rPr>
          <w:rFonts w:hint="eastAsia"/>
          <w:sz w:val="22"/>
          <w:szCs w:val="28"/>
          <w:highlight w:val="none"/>
        </w:rPr>
        <w:t xml:space="preserve">   </w:t>
      </w:r>
      <w:r>
        <w:rPr>
          <w:sz w:val="22"/>
          <w:szCs w:val="28"/>
          <w:highlight w:val="none"/>
        </w:rPr>
        <w:t xml:space="preserve"> 日      </w:t>
      </w:r>
      <w:r>
        <w:rPr>
          <w:rFonts w:hint="eastAsia"/>
          <w:sz w:val="22"/>
          <w:szCs w:val="28"/>
          <w:highlight w:val="none"/>
        </w:rPr>
        <w:t xml:space="preserve"> </w:t>
      </w:r>
      <w:r>
        <w:rPr>
          <w:sz w:val="22"/>
          <w:szCs w:val="28"/>
          <w:highlight w:val="none"/>
        </w:rPr>
        <w:t xml:space="preserve">      年     月      日</w:t>
      </w:r>
    </w:p>
    <w:p w14:paraId="44B71889">
      <w:pPr>
        <w:spacing w:after="160" w:line="278" w:lineRule="auto"/>
        <w:rPr>
          <w:sz w:val="22"/>
          <w:szCs w:val="28"/>
          <w:highlight w:val="none"/>
        </w:rPr>
      </w:pPr>
    </w:p>
    <w:p w14:paraId="7E69ED64">
      <w:pPr>
        <w:spacing w:after="160" w:line="278" w:lineRule="auto"/>
        <w:rPr>
          <w:sz w:val="22"/>
          <w:szCs w:val="28"/>
          <w:highlight w:val="none"/>
        </w:rPr>
      </w:pPr>
      <w:r>
        <w:rPr>
          <w:sz w:val="22"/>
          <w:szCs w:val="28"/>
          <w:highlight w:val="none"/>
        </w:rPr>
        <w:t xml:space="preserve">签约地点： </w:t>
      </w:r>
      <w:r>
        <w:rPr>
          <w:rFonts w:hint="eastAsia"/>
          <w:sz w:val="22"/>
          <w:szCs w:val="28"/>
          <w:highlight w:val="none"/>
        </w:rPr>
        <w:t xml:space="preserve"> </w:t>
      </w:r>
      <w:r>
        <w:rPr>
          <w:sz w:val="22"/>
          <w:szCs w:val="28"/>
          <w:highlight w:val="none"/>
        </w:rPr>
        <w:t xml:space="preserve">             </w:t>
      </w:r>
    </w:p>
    <w:p w14:paraId="028F4829">
      <w:pPr>
        <w:spacing w:after="160" w:line="278" w:lineRule="auto"/>
        <w:rPr>
          <w:sz w:val="22"/>
          <w:szCs w:val="28"/>
          <w:highlight w:val="none"/>
        </w:rPr>
      </w:pPr>
      <w:r>
        <w:rPr>
          <w:sz w:val="22"/>
          <w:szCs w:val="28"/>
          <w:highlight w:val="none"/>
        </w:rPr>
        <w:br w:type="page"/>
      </w:r>
    </w:p>
    <w:p w14:paraId="62915256">
      <w:pPr>
        <w:spacing w:after="160" w:line="278" w:lineRule="auto"/>
        <w:rPr>
          <w:b/>
          <w:bCs/>
          <w:sz w:val="28"/>
          <w:szCs w:val="36"/>
          <w:highlight w:val="none"/>
        </w:rPr>
      </w:pPr>
      <w:r>
        <w:rPr>
          <w:b/>
          <w:bCs/>
          <w:sz w:val="28"/>
          <w:szCs w:val="36"/>
          <w:highlight w:val="none"/>
        </w:rPr>
        <w:t>第</w:t>
      </w:r>
      <w:r>
        <w:rPr>
          <w:rFonts w:hint="eastAsia"/>
          <w:b/>
          <w:bCs/>
          <w:sz w:val="28"/>
          <w:szCs w:val="36"/>
          <w:highlight w:val="none"/>
        </w:rPr>
        <w:t>五节 工程建设项目廉政责任书</w:t>
      </w:r>
    </w:p>
    <w:p w14:paraId="3559B7F6">
      <w:pPr>
        <w:spacing w:after="160" w:line="278" w:lineRule="auto"/>
        <w:jc w:val="center"/>
        <w:rPr>
          <w:b/>
          <w:bCs/>
          <w:sz w:val="28"/>
          <w:szCs w:val="36"/>
          <w:highlight w:val="none"/>
        </w:rPr>
      </w:pPr>
      <w:r>
        <w:rPr>
          <w:rFonts w:hint="eastAsia"/>
          <w:b/>
          <w:bCs/>
          <w:sz w:val="28"/>
          <w:szCs w:val="36"/>
          <w:highlight w:val="none"/>
        </w:rPr>
        <w:t>工程建设项目廉政责任书</w:t>
      </w:r>
    </w:p>
    <w:p w14:paraId="2A55095B">
      <w:pPr>
        <w:spacing w:after="160" w:line="278" w:lineRule="auto"/>
        <w:rPr>
          <w:sz w:val="22"/>
          <w:szCs w:val="28"/>
          <w:highlight w:val="none"/>
        </w:rPr>
      </w:pPr>
    </w:p>
    <w:p w14:paraId="04BCCF3A">
      <w:pPr>
        <w:spacing w:after="160" w:line="278" w:lineRule="auto"/>
        <w:rPr>
          <w:sz w:val="22"/>
          <w:szCs w:val="28"/>
          <w:highlight w:val="none"/>
        </w:rPr>
      </w:pPr>
      <w:r>
        <w:rPr>
          <w:rFonts w:hint="eastAsia"/>
          <w:sz w:val="22"/>
          <w:szCs w:val="28"/>
          <w:highlight w:val="none"/>
        </w:rPr>
        <w:t xml:space="preserve">工程项目名称： </w:t>
      </w:r>
    </w:p>
    <w:p w14:paraId="52794416">
      <w:pPr>
        <w:spacing w:after="160" w:line="278" w:lineRule="auto"/>
        <w:rPr>
          <w:sz w:val="22"/>
          <w:szCs w:val="28"/>
          <w:highlight w:val="none"/>
        </w:rPr>
      </w:pPr>
      <w:r>
        <w:rPr>
          <w:rFonts w:hint="eastAsia"/>
          <w:sz w:val="22"/>
          <w:szCs w:val="28"/>
          <w:highlight w:val="none"/>
        </w:rPr>
        <w:t xml:space="preserve">工程项目地址： </w:t>
      </w:r>
    </w:p>
    <w:p w14:paraId="546EB7C1">
      <w:pPr>
        <w:spacing w:after="160" w:line="278" w:lineRule="auto"/>
        <w:rPr>
          <w:sz w:val="22"/>
          <w:szCs w:val="28"/>
          <w:highlight w:val="none"/>
        </w:rPr>
      </w:pPr>
      <w:r>
        <w:rPr>
          <w:rFonts w:hint="eastAsia"/>
          <w:sz w:val="22"/>
          <w:szCs w:val="28"/>
          <w:highlight w:val="none"/>
        </w:rPr>
        <w:t xml:space="preserve">发包人（甲方）： </w:t>
      </w:r>
    </w:p>
    <w:p w14:paraId="5D95B0B4">
      <w:pPr>
        <w:spacing w:after="160" w:line="278" w:lineRule="auto"/>
        <w:rPr>
          <w:sz w:val="22"/>
          <w:szCs w:val="28"/>
          <w:highlight w:val="none"/>
        </w:rPr>
      </w:pPr>
      <w:r>
        <w:rPr>
          <w:rFonts w:hint="eastAsia"/>
          <w:sz w:val="22"/>
          <w:szCs w:val="28"/>
          <w:highlight w:val="none"/>
        </w:rPr>
        <w:t xml:space="preserve">承包人（乙方）：           </w:t>
      </w:r>
      <w:r>
        <w:rPr>
          <w:sz w:val="22"/>
          <w:szCs w:val="28"/>
          <w:highlight w:val="none"/>
        </w:rPr>
        <w:t xml:space="preserve">    </w:t>
      </w:r>
      <w:r>
        <w:rPr>
          <w:rFonts w:hint="eastAsia"/>
          <w:sz w:val="22"/>
          <w:szCs w:val="28"/>
          <w:highlight w:val="none"/>
        </w:rPr>
        <w:t xml:space="preserve">       </w:t>
      </w:r>
    </w:p>
    <w:p w14:paraId="46C0B899">
      <w:pPr>
        <w:spacing w:after="160" w:line="278" w:lineRule="auto"/>
        <w:rPr>
          <w:sz w:val="22"/>
          <w:szCs w:val="28"/>
          <w:highlight w:val="none"/>
        </w:rPr>
      </w:pPr>
      <w:r>
        <w:rPr>
          <w:rFonts w:hint="eastAsia"/>
          <w:sz w:val="22"/>
          <w:szCs w:val="28"/>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C8A8D7">
      <w:pPr>
        <w:spacing w:after="160" w:line="278" w:lineRule="auto"/>
        <w:rPr>
          <w:sz w:val="22"/>
          <w:szCs w:val="28"/>
          <w:highlight w:val="none"/>
        </w:rPr>
      </w:pPr>
      <w:r>
        <w:rPr>
          <w:rFonts w:hint="eastAsia"/>
          <w:sz w:val="22"/>
          <w:szCs w:val="28"/>
          <w:highlight w:val="none"/>
        </w:rPr>
        <w:t>第一条  甲乙双方的责任</w:t>
      </w:r>
    </w:p>
    <w:p w14:paraId="65B482D8">
      <w:pPr>
        <w:spacing w:after="160" w:line="278" w:lineRule="auto"/>
        <w:rPr>
          <w:sz w:val="22"/>
          <w:szCs w:val="28"/>
          <w:highlight w:val="none"/>
        </w:rPr>
      </w:pPr>
      <w:r>
        <w:rPr>
          <w:rFonts w:hint="eastAsia"/>
          <w:sz w:val="22"/>
          <w:szCs w:val="28"/>
          <w:highlight w:val="none"/>
        </w:rPr>
        <w:t>（一）应严格遵守国家关于市场准入、项目招标投标、工程建设、施工安装和市场活动的有关法律、法规，相关政策，以及廉政建设的各项规定。</w:t>
      </w:r>
    </w:p>
    <w:p w14:paraId="33288522">
      <w:pPr>
        <w:spacing w:after="160" w:line="278" w:lineRule="auto"/>
        <w:rPr>
          <w:sz w:val="22"/>
          <w:szCs w:val="28"/>
          <w:highlight w:val="none"/>
        </w:rPr>
      </w:pPr>
      <w:r>
        <w:rPr>
          <w:rFonts w:hint="eastAsia"/>
          <w:sz w:val="22"/>
          <w:szCs w:val="28"/>
          <w:highlight w:val="none"/>
        </w:rPr>
        <w:t>（二）严格执行建设工程项目承发包合同文件，自觉按合同办事。</w:t>
      </w:r>
    </w:p>
    <w:p w14:paraId="0DF937E9">
      <w:pPr>
        <w:spacing w:after="160" w:line="278" w:lineRule="auto"/>
        <w:rPr>
          <w:sz w:val="22"/>
          <w:szCs w:val="28"/>
          <w:highlight w:val="none"/>
        </w:rPr>
      </w:pPr>
      <w:r>
        <w:rPr>
          <w:rFonts w:hint="eastAsia"/>
          <w:sz w:val="22"/>
          <w:szCs w:val="28"/>
          <w:highlight w:val="none"/>
        </w:rPr>
        <w:t>（三）业务活动必须坚持公开、公平、公正、诚信、透明的原则（除法律法规另有规定者外），不得为获取不正当的利益，损害国家、集体和对方利益，不得违反工程建设管理、施工安装的规章制度。</w:t>
      </w:r>
    </w:p>
    <w:p w14:paraId="47BB6EBD">
      <w:pPr>
        <w:spacing w:after="160" w:line="278" w:lineRule="auto"/>
        <w:rPr>
          <w:sz w:val="22"/>
          <w:szCs w:val="28"/>
          <w:highlight w:val="none"/>
        </w:rPr>
      </w:pPr>
      <w:r>
        <w:rPr>
          <w:rFonts w:hint="eastAsia"/>
          <w:sz w:val="22"/>
          <w:szCs w:val="28"/>
          <w:highlight w:val="none"/>
        </w:rPr>
        <w:t xml:space="preserve">    （四）发现对方在业务活动中有违规、违纪、违法行为的，应及时提醒对方，情节严重的，应向其上级主管部门或纪检监察、司法等有关机关举报。</w:t>
      </w:r>
    </w:p>
    <w:p w14:paraId="14FB8462">
      <w:pPr>
        <w:spacing w:after="160" w:line="278" w:lineRule="auto"/>
        <w:rPr>
          <w:sz w:val="22"/>
          <w:szCs w:val="28"/>
          <w:highlight w:val="none"/>
        </w:rPr>
      </w:pPr>
      <w:r>
        <w:rPr>
          <w:rFonts w:hint="eastAsia"/>
          <w:sz w:val="22"/>
          <w:szCs w:val="28"/>
          <w:highlight w:val="none"/>
        </w:rPr>
        <w:t>第二条 甲方的责任</w:t>
      </w:r>
    </w:p>
    <w:p w14:paraId="77A70AD2">
      <w:pPr>
        <w:spacing w:after="160" w:line="278" w:lineRule="auto"/>
        <w:rPr>
          <w:sz w:val="22"/>
          <w:szCs w:val="28"/>
          <w:highlight w:val="none"/>
        </w:rPr>
      </w:pPr>
      <w:r>
        <w:rPr>
          <w:rFonts w:hint="eastAsia"/>
          <w:sz w:val="22"/>
          <w:szCs w:val="28"/>
          <w:highlight w:val="none"/>
        </w:rPr>
        <w:t>甲方的领导和从事该建设工程项目的工作人员，在工程建设的事前、事中、事后应遵守以下规定：</w:t>
      </w:r>
    </w:p>
    <w:p w14:paraId="7D10143E">
      <w:pPr>
        <w:spacing w:after="160" w:line="278" w:lineRule="auto"/>
        <w:rPr>
          <w:sz w:val="22"/>
          <w:szCs w:val="28"/>
          <w:highlight w:val="none"/>
        </w:rPr>
      </w:pPr>
      <w:r>
        <w:rPr>
          <w:rFonts w:hint="eastAsia"/>
          <w:sz w:val="22"/>
          <w:szCs w:val="28"/>
          <w:highlight w:val="none"/>
        </w:rPr>
        <w:t>（一）不准向乙方和相关单位索要或接受回扣、礼金、有价证券、贵重物品和好处费、感谢费等。</w:t>
      </w:r>
    </w:p>
    <w:p w14:paraId="092C5BFD">
      <w:pPr>
        <w:spacing w:after="160" w:line="278" w:lineRule="auto"/>
        <w:rPr>
          <w:sz w:val="22"/>
          <w:szCs w:val="28"/>
          <w:highlight w:val="none"/>
        </w:rPr>
      </w:pPr>
      <w:r>
        <w:rPr>
          <w:rFonts w:hint="eastAsia"/>
          <w:sz w:val="22"/>
          <w:szCs w:val="28"/>
          <w:highlight w:val="none"/>
        </w:rPr>
        <w:t>（二）不准在乙方和相关单位报销任何应由甲方或个人支付的费用。</w:t>
      </w:r>
    </w:p>
    <w:p w14:paraId="73C12F5E">
      <w:pPr>
        <w:spacing w:after="160" w:line="278" w:lineRule="auto"/>
        <w:rPr>
          <w:sz w:val="22"/>
          <w:szCs w:val="28"/>
          <w:highlight w:val="none"/>
        </w:rPr>
      </w:pPr>
      <w:r>
        <w:rPr>
          <w:rFonts w:hint="eastAsia"/>
          <w:sz w:val="22"/>
          <w:szCs w:val="28"/>
          <w:highlight w:val="none"/>
        </w:rPr>
        <w:t>（三）不准要求、暗示或接受乙方和相关单位为个人装修住房、婚丧嫁娶、配偶子女的工作安排以及出国（境）、旅游等提供方便。</w:t>
      </w:r>
    </w:p>
    <w:p w14:paraId="011D4B4D">
      <w:pPr>
        <w:spacing w:after="160" w:line="278" w:lineRule="auto"/>
        <w:rPr>
          <w:sz w:val="22"/>
          <w:szCs w:val="28"/>
          <w:highlight w:val="none"/>
        </w:rPr>
      </w:pPr>
      <w:r>
        <w:rPr>
          <w:rFonts w:hint="eastAsia"/>
          <w:sz w:val="22"/>
          <w:szCs w:val="28"/>
          <w:highlight w:val="none"/>
        </w:rPr>
        <w:t>（四）不准参加有可能影响公正执行公务的乙方和相关单位的宴请、健身、娱乐等活动。</w:t>
      </w:r>
    </w:p>
    <w:p w14:paraId="7F0FB571">
      <w:pPr>
        <w:spacing w:after="160" w:line="278" w:lineRule="auto"/>
        <w:rPr>
          <w:sz w:val="22"/>
          <w:szCs w:val="28"/>
          <w:highlight w:val="none"/>
        </w:rPr>
      </w:pPr>
      <w:r>
        <w:rPr>
          <w:rFonts w:hint="eastAsia"/>
          <w:sz w:val="22"/>
          <w:szCs w:val="28"/>
          <w:highlight w:val="none"/>
        </w:rPr>
        <w:t>（五）不准向乙方介绍或为配偶、子女、亲属参与同甲方项目工程施工合同有关的设备、材料工程分包、劳务等经济活动。不得以任何理由要求乙方和相关单位推荐分包单位和要求乙方购买项目工程施工合同约定以外的材料、设备等。</w:t>
      </w:r>
    </w:p>
    <w:p w14:paraId="029E6EF9">
      <w:pPr>
        <w:spacing w:after="160" w:line="278" w:lineRule="auto"/>
        <w:rPr>
          <w:sz w:val="22"/>
          <w:szCs w:val="28"/>
          <w:highlight w:val="none"/>
        </w:rPr>
      </w:pPr>
      <w:r>
        <w:rPr>
          <w:rFonts w:hint="eastAsia"/>
          <w:sz w:val="22"/>
          <w:szCs w:val="28"/>
          <w:highlight w:val="none"/>
        </w:rPr>
        <w:t>第三条 乙方的责任</w:t>
      </w:r>
    </w:p>
    <w:p w14:paraId="1547F9CD">
      <w:pPr>
        <w:spacing w:after="160" w:line="278" w:lineRule="auto"/>
        <w:rPr>
          <w:sz w:val="22"/>
          <w:szCs w:val="28"/>
          <w:highlight w:val="none"/>
        </w:rPr>
      </w:pPr>
      <w:r>
        <w:rPr>
          <w:rFonts w:hint="eastAsia"/>
          <w:sz w:val="22"/>
          <w:szCs w:val="28"/>
          <w:highlight w:val="none"/>
        </w:rPr>
        <w:t>应与甲方保持正常的业务交往，按照有关法律法规和程序开展业务工作，严格执行工程建设的有关方针、政策，尤其是有关建筑施工安装的强制性标准和规范，并遵守以下规定：</w:t>
      </w:r>
    </w:p>
    <w:p w14:paraId="57C75FC4">
      <w:pPr>
        <w:spacing w:after="160" w:line="278" w:lineRule="auto"/>
        <w:rPr>
          <w:sz w:val="22"/>
          <w:szCs w:val="28"/>
          <w:highlight w:val="none"/>
        </w:rPr>
      </w:pPr>
      <w:r>
        <w:rPr>
          <w:rFonts w:hint="eastAsia"/>
          <w:sz w:val="22"/>
          <w:szCs w:val="28"/>
          <w:highlight w:val="none"/>
        </w:rPr>
        <w:t>（一）不准以任何理由向甲方、相关单位及其工作人员索要、接受或赠送礼金、有价证券、贵重物品和回扣、好处费、感谢费等。</w:t>
      </w:r>
    </w:p>
    <w:p w14:paraId="4D591208">
      <w:pPr>
        <w:spacing w:after="160" w:line="278" w:lineRule="auto"/>
        <w:rPr>
          <w:sz w:val="22"/>
          <w:szCs w:val="28"/>
          <w:highlight w:val="none"/>
        </w:rPr>
      </w:pPr>
      <w:r>
        <w:rPr>
          <w:rFonts w:hint="eastAsia"/>
          <w:sz w:val="22"/>
          <w:szCs w:val="28"/>
          <w:highlight w:val="none"/>
        </w:rPr>
        <w:t>（二）不准以任何理由为甲方和相关单位报销应由对方或个人支付的费用。</w:t>
      </w:r>
    </w:p>
    <w:p w14:paraId="243DECE2">
      <w:pPr>
        <w:spacing w:after="160" w:line="278" w:lineRule="auto"/>
        <w:rPr>
          <w:sz w:val="22"/>
          <w:szCs w:val="28"/>
          <w:highlight w:val="none"/>
        </w:rPr>
      </w:pPr>
      <w:r>
        <w:rPr>
          <w:rFonts w:hint="eastAsia"/>
          <w:sz w:val="22"/>
          <w:szCs w:val="28"/>
          <w:highlight w:val="none"/>
        </w:rPr>
        <w:t>（三）不准接受或暗示为甲方、相关单位或个人装修住房、婚丧嫁娶、配偶子女的工作安排以及出国（境）、旅游等提供方便。</w:t>
      </w:r>
    </w:p>
    <w:p w14:paraId="3B058FA9">
      <w:pPr>
        <w:spacing w:after="160" w:line="278" w:lineRule="auto"/>
        <w:rPr>
          <w:sz w:val="22"/>
          <w:szCs w:val="28"/>
          <w:highlight w:val="none"/>
        </w:rPr>
      </w:pPr>
      <w:r>
        <w:rPr>
          <w:rFonts w:hint="eastAsia"/>
          <w:sz w:val="22"/>
          <w:szCs w:val="28"/>
          <w:highlight w:val="none"/>
        </w:rPr>
        <w:t>（四）不准以任何理由为甲方、相关单位或个人组织有可能影响公正执行公务的宴请、健身、娱乐等活动。</w:t>
      </w:r>
    </w:p>
    <w:p w14:paraId="19836471">
      <w:pPr>
        <w:spacing w:after="160" w:line="278" w:lineRule="auto"/>
        <w:rPr>
          <w:sz w:val="22"/>
          <w:szCs w:val="28"/>
          <w:highlight w:val="none"/>
        </w:rPr>
      </w:pPr>
      <w:r>
        <w:rPr>
          <w:rFonts w:hint="eastAsia"/>
          <w:sz w:val="22"/>
          <w:szCs w:val="28"/>
          <w:highlight w:val="none"/>
        </w:rPr>
        <w:t xml:space="preserve">第四条  违约责任 </w:t>
      </w:r>
    </w:p>
    <w:p w14:paraId="0EE026A5">
      <w:pPr>
        <w:spacing w:after="160" w:line="278" w:lineRule="auto"/>
        <w:rPr>
          <w:sz w:val="22"/>
          <w:szCs w:val="28"/>
          <w:highlight w:val="none"/>
        </w:rPr>
      </w:pPr>
      <w:r>
        <w:rPr>
          <w:rFonts w:hint="eastAsia"/>
          <w:sz w:val="22"/>
          <w:szCs w:val="28"/>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0154A72">
      <w:pPr>
        <w:spacing w:after="160" w:line="278" w:lineRule="auto"/>
        <w:rPr>
          <w:sz w:val="22"/>
          <w:szCs w:val="28"/>
          <w:highlight w:val="none"/>
        </w:rPr>
      </w:pPr>
      <w:r>
        <w:rPr>
          <w:rFonts w:hint="eastAsia"/>
          <w:sz w:val="22"/>
          <w:szCs w:val="28"/>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5CE7BB7">
      <w:pPr>
        <w:spacing w:after="160" w:line="278" w:lineRule="auto"/>
        <w:rPr>
          <w:sz w:val="22"/>
          <w:szCs w:val="28"/>
          <w:highlight w:val="none"/>
        </w:rPr>
      </w:pPr>
      <w:r>
        <w:rPr>
          <w:rFonts w:hint="eastAsia"/>
          <w:sz w:val="22"/>
          <w:szCs w:val="28"/>
          <w:highlight w:val="none"/>
        </w:rPr>
        <w:t xml:space="preserve">    第五条  本责任书作为工程施工合同的附件，与工程施工合同具有同等法律效力。经双方签署后立即生效。</w:t>
      </w:r>
    </w:p>
    <w:p w14:paraId="2263D1A8">
      <w:pPr>
        <w:spacing w:after="160" w:line="278" w:lineRule="auto"/>
        <w:rPr>
          <w:sz w:val="22"/>
          <w:szCs w:val="28"/>
          <w:highlight w:val="none"/>
        </w:rPr>
      </w:pPr>
      <w:r>
        <w:rPr>
          <w:rFonts w:hint="eastAsia"/>
          <w:sz w:val="22"/>
          <w:szCs w:val="28"/>
          <w:highlight w:val="none"/>
        </w:rPr>
        <w:t>第六条  本责任书的有效期为双方签署之日起至该工程项目竣工验收合格时止。</w:t>
      </w:r>
    </w:p>
    <w:p w14:paraId="03446CD8">
      <w:pPr>
        <w:spacing w:after="160" w:line="278" w:lineRule="auto"/>
        <w:rPr>
          <w:sz w:val="22"/>
          <w:szCs w:val="28"/>
          <w:highlight w:val="none"/>
        </w:rPr>
      </w:pPr>
    </w:p>
    <w:p w14:paraId="4CC34199">
      <w:pPr>
        <w:spacing w:after="160" w:line="278" w:lineRule="auto"/>
        <w:rPr>
          <w:sz w:val="22"/>
          <w:szCs w:val="28"/>
          <w:highlight w:val="none"/>
        </w:rPr>
      </w:pPr>
      <w:r>
        <w:rPr>
          <w:rFonts w:hint="eastAsia"/>
          <w:sz w:val="22"/>
          <w:szCs w:val="28"/>
          <w:highlight w:val="none"/>
        </w:rPr>
        <w:t>甲方单位：（盖章）                         乙方单位：</w:t>
      </w:r>
      <w:r>
        <w:rPr>
          <w:sz w:val="22"/>
          <w:szCs w:val="28"/>
          <w:highlight w:val="none"/>
        </w:rPr>
        <w:t xml:space="preserve"> </w:t>
      </w:r>
    </w:p>
    <w:p w14:paraId="3EA1431C">
      <w:pPr>
        <w:spacing w:after="160" w:line="278" w:lineRule="auto"/>
        <w:rPr>
          <w:sz w:val="22"/>
          <w:szCs w:val="28"/>
          <w:highlight w:val="none"/>
        </w:rPr>
      </w:pPr>
    </w:p>
    <w:p w14:paraId="0A46BCA8">
      <w:pPr>
        <w:spacing w:after="160" w:line="278" w:lineRule="auto"/>
        <w:rPr>
          <w:sz w:val="22"/>
          <w:szCs w:val="28"/>
          <w:highlight w:val="none"/>
        </w:rPr>
      </w:pPr>
      <w:r>
        <w:rPr>
          <w:rFonts w:hint="eastAsia"/>
          <w:sz w:val="22"/>
          <w:szCs w:val="28"/>
          <w:highlight w:val="none"/>
        </w:rPr>
        <w:t>法定代表人或委托代理人（签字或盖章）：    法定代表人或委托代理人（签字或盖章）：</w:t>
      </w:r>
    </w:p>
    <w:p w14:paraId="27E1C1E6">
      <w:pPr>
        <w:spacing w:after="160" w:line="278" w:lineRule="auto"/>
        <w:rPr>
          <w:sz w:val="22"/>
          <w:szCs w:val="28"/>
          <w:highlight w:val="none"/>
        </w:rPr>
      </w:pPr>
    </w:p>
    <w:p w14:paraId="154FA621">
      <w:pPr>
        <w:spacing w:after="160" w:line="278" w:lineRule="auto"/>
        <w:rPr>
          <w:sz w:val="22"/>
          <w:szCs w:val="28"/>
          <w:highlight w:val="none"/>
        </w:rPr>
      </w:pPr>
    </w:p>
    <w:p w14:paraId="6120571E">
      <w:pPr>
        <w:spacing w:after="160" w:line="278" w:lineRule="auto"/>
        <w:rPr>
          <w:sz w:val="22"/>
          <w:szCs w:val="28"/>
          <w:highlight w:val="none"/>
        </w:rPr>
      </w:pPr>
      <w:r>
        <w:rPr>
          <w:rFonts w:hint="eastAsia"/>
          <w:sz w:val="22"/>
          <w:szCs w:val="28"/>
          <w:highlight w:val="none"/>
        </w:rPr>
        <w:t xml:space="preserve">地址： </w:t>
      </w:r>
      <w:r>
        <w:rPr>
          <w:sz w:val="22"/>
          <w:szCs w:val="28"/>
          <w:highlight w:val="none"/>
        </w:rPr>
        <w:t xml:space="preserve">                      </w:t>
      </w:r>
      <w:r>
        <w:rPr>
          <w:rFonts w:hint="eastAsia"/>
          <w:sz w:val="22"/>
          <w:szCs w:val="28"/>
          <w:highlight w:val="none"/>
        </w:rPr>
        <w:t xml:space="preserve">             地址：</w:t>
      </w:r>
      <w:r>
        <w:rPr>
          <w:sz w:val="22"/>
          <w:szCs w:val="28"/>
          <w:highlight w:val="none"/>
        </w:rPr>
        <w:t xml:space="preserve"> </w:t>
      </w:r>
    </w:p>
    <w:p w14:paraId="532EBD04">
      <w:pPr>
        <w:spacing w:after="160" w:line="278" w:lineRule="auto"/>
        <w:rPr>
          <w:sz w:val="22"/>
          <w:szCs w:val="28"/>
          <w:highlight w:val="none"/>
        </w:rPr>
      </w:pPr>
    </w:p>
    <w:p w14:paraId="3CD9FA3F">
      <w:pPr>
        <w:spacing w:after="160" w:line="278" w:lineRule="auto"/>
        <w:rPr>
          <w:sz w:val="22"/>
          <w:szCs w:val="28"/>
          <w:highlight w:val="none"/>
        </w:rPr>
      </w:pPr>
      <w:r>
        <w:rPr>
          <w:rFonts w:hint="eastAsia"/>
          <w:sz w:val="22"/>
          <w:szCs w:val="28"/>
          <w:highlight w:val="none"/>
        </w:rPr>
        <w:t>电话：                                    电话：</w:t>
      </w:r>
    </w:p>
    <w:p w14:paraId="77055916">
      <w:pPr>
        <w:spacing w:after="160" w:line="278" w:lineRule="auto"/>
        <w:rPr>
          <w:highlight w:val="none"/>
        </w:rPr>
      </w:pPr>
      <w:r>
        <w:rPr>
          <w:rFonts w:hint="eastAsia"/>
          <w:sz w:val="22"/>
          <w:szCs w:val="28"/>
          <w:highlight w:val="none"/>
        </w:rPr>
        <w:t xml:space="preserve">年    月  </w:t>
      </w:r>
      <w:r>
        <w:rPr>
          <w:sz w:val="22"/>
          <w:szCs w:val="28"/>
          <w:highlight w:val="none"/>
        </w:rPr>
        <w:t xml:space="preserve"> </w:t>
      </w:r>
      <w:r>
        <w:rPr>
          <w:rFonts w:hint="eastAsia"/>
          <w:sz w:val="22"/>
          <w:szCs w:val="28"/>
          <w:highlight w:val="none"/>
        </w:rPr>
        <w:t xml:space="preserve"> 日                                 年    月  </w:t>
      </w:r>
      <w:r>
        <w:rPr>
          <w:sz w:val="22"/>
          <w:szCs w:val="28"/>
          <w:highlight w:val="none"/>
        </w:rPr>
        <w:t xml:space="preserve"> </w:t>
      </w:r>
      <w:r>
        <w:rPr>
          <w:rFonts w:hint="eastAsia"/>
          <w:sz w:val="22"/>
          <w:szCs w:val="28"/>
          <w:highlight w:val="none"/>
        </w:rPr>
        <w:t xml:space="preserve"> 日</w:t>
      </w:r>
    </w:p>
    <w:p w14:paraId="28981BC1">
      <w:pPr>
        <w:spacing w:after="160" w:line="278" w:lineRule="auto"/>
        <w:rPr>
          <w:highlight w:val="none"/>
        </w:rPr>
      </w:pPr>
    </w:p>
    <w:p w14:paraId="4EB1F701">
      <w:pPr>
        <w:spacing w:after="160" w:line="278" w:lineRule="auto"/>
        <w:rPr>
          <w:highlight w:val="none"/>
        </w:rPr>
      </w:pPr>
    </w:p>
    <w:p w14:paraId="4341337C">
      <w:pPr>
        <w:spacing w:after="160" w:line="278" w:lineRule="auto"/>
        <w:rPr>
          <w:highlight w:val="none"/>
        </w:rPr>
      </w:pPr>
    </w:p>
    <w:p w14:paraId="36807637">
      <w:pPr>
        <w:spacing w:after="160" w:line="278" w:lineRule="auto"/>
        <w:rPr>
          <w:highlight w:val="none"/>
        </w:rPr>
      </w:pPr>
    </w:p>
    <w:p w14:paraId="5A532B51">
      <w:pPr>
        <w:spacing w:after="160" w:line="278" w:lineRule="auto"/>
        <w:rPr>
          <w:highlight w:val="none"/>
        </w:rPr>
        <w:sectPr>
          <w:headerReference r:id="rId24" w:type="default"/>
          <w:footerReference r:id="rId25" w:type="default"/>
          <w:pgSz w:w="11906" w:h="16838"/>
          <w:pgMar w:top="1440" w:right="1486" w:bottom="1440" w:left="1800" w:header="851" w:footer="992" w:gutter="0"/>
          <w:cols w:space="720" w:num="1"/>
          <w:titlePg/>
          <w:docGrid w:type="lines" w:linePitch="312" w:charSpace="0"/>
        </w:sectPr>
      </w:pPr>
    </w:p>
    <w:p w14:paraId="0270161D">
      <w:pPr>
        <w:spacing w:after="160" w:line="278" w:lineRule="auto"/>
        <w:rPr>
          <w:highlight w:val="none"/>
        </w:rPr>
      </w:pPr>
    </w:p>
    <w:p w14:paraId="583883D4">
      <w:pPr>
        <w:spacing w:after="160" w:line="278" w:lineRule="auto"/>
        <w:rPr>
          <w:b/>
          <w:bCs/>
          <w:sz w:val="24"/>
          <w:szCs w:val="32"/>
          <w:highlight w:val="none"/>
        </w:rPr>
      </w:pPr>
      <w:r>
        <w:rPr>
          <w:b/>
          <w:bCs/>
          <w:sz w:val="24"/>
          <w:szCs w:val="32"/>
          <w:highlight w:val="none"/>
        </w:rPr>
        <w:t>第</w:t>
      </w:r>
      <w:r>
        <w:rPr>
          <w:rFonts w:hint="eastAsia"/>
          <w:b/>
          <w:bCs/>
          <w:sz w:val="24"/>
          <w:szCs w:val="32"/>
          <w:highlight w:val="none"/>
        </w:rPr>
        <w:t>六节 中标通知书</w:t>
      </w:r>
    </w:p>
    <w:p w14:paraId="25CDBAE0">
      <w:pPr>
        <w:spacing w:after="160" w:line="278" w:lineRule="auto"/>
        <w:rPr>
          <w:b/>
          <w:bCs/>
          <w:sz w:val="24"/>
          <w:szCs w:val="32"/>
          <w:highlight w:val="none"/>
        </w:rPr>
      </w:pPr>
    </w:p>
    <w:p w14:paraId="7299C598">
      <w:pPr>
        <w:spacing w:after="160" w:line="278" w:lineRule="auto"/>
        <w:rPr>
          <w:b/>
          <w:bCs/>
          <w:sz w:val="24"/>
          <w:szCs w:val="32"/>
          <w:highlight w:val="none"/>
        </w:rPr>
      </w:pPr>
      <w:r>
        <w:rPr>
          <w:b/>
          <w:bCs/>
          <w:sz w:val="24"/>
          <w:szCs w:val="32"/>
          <w:highlight w:val="none"/>
        </w:rPr>
        <w:t>第</w:t>
      </w:r>
      <w:r>
        <w:rPr>
          <w:rFonts w:hint="eastAsia"/>
          <w:b/>
          <w:bCs/>
          <w:sz w:val="24"/>
          <w:szCs w:val="32"/>
          <w:highlight w:val="none"/>
        </w:rPr>
        <w:t>七节 施工安全协议书</w:t>
      </w:r>
    </w:p>
    <w:p w14:paraId="0A69FA67">
      <w:pPr>
        <w:spacing w:after="160" w:line="278" w:lineRule="auto"/>
        <w:jc w:val="center"/>
        <w:rPr>
          <w:sz w:val="24"/>
          <w:szCs w:val="32"/>
          <w:highlight w:val="none"/>
        </w:rPr>
      </w:pPr>
    </w:p>
    <w:p w14:paraId="180F4055">
      <w:pPr>
        <w:spacing w:after="160" w:line="278" w:lineRule="auto"/>
        <w:jc w:val="center"/>
        <w:rPr>
          <w:sz w:val="24"/>
          <w:szCs w:val="32"/>
          <w:highlight w:val="none"/>
        </w:rPr>
      </w:pPr>
      <w:r>
        <w:rPr>
          <w:sz w:val="24"/>
          <w:szCs w:val="32"/>
          <w:highlight w:val="none"/>
        </w:rPr>
        <w:t>工程施工安全协议书</w:t>
      </w:r>
    </w:p>
    <w:p w14:paraId="45717850">
      <w:pPr>
        <w:widowControl/>
        <w:adjustRightInd w:val="0"/>
        <w:snapToGrid w:val="0"/>
        <w:spacing w:after="160" w:line="480" w:lineRule="exact"/>
        <w:ind w:firstLine="567"/>
        <w:rPr>
          <w:rFonts w:ascii="宋体"/>
          <w:snapToGrid w:val="0"/>
          <w:kern w:val="28"/>
          <w:sz w:val="28"/>
          <w:szCs w:val="20"/>
          <w:highlight w:val="none"/>
        </w:rPr>
      </w:pPr>
    </w:p>
    <w:p w14:paraId="51285583">
      <w:pPr>
        <w:spacing w:after="160" w:line="278" w:lineRule="auto"/>
        <w:rPr>
          <w:highlight w:val="none"/>
        </w:rPr>
      </w:pPr>
      <w:r>
        <w:rPr>
          <w:highlight w:val="none"/>
        </w:rPr>
        <w:t>为贯彻</w:t>
      </w:r>
      <w:r>
        <w:rPr>
          <w:rFonts w:hint="eastAsia"/>
          <w:highlight w:val="none"/>
        </w:rPr>
        <w:t>“</w:t>
      </w:r>
      <w:r>
        <w:rPr>
          <w:highlight w:val="none"/>
        </w:rPr>
        <w:t>安全第一，预防为主</w:t>
      </w:r>
      <w:r>
        <w:rPr>
          <w:rFonts w:hint="eastAsia"/>
          <w:highlight w:val="none"/>
        </w:rPr>
        <w:t>”</w:t>
      </w:r>
      <w:r>
        <w:rPr>
          <w:highlight w:val="none"/>
        </w:rPr>
        <w:t>方针，明确双方的安全责任，确保施工中人身、</w:t>
      </w:r>
      <w:r>
        <w:rPr>
          <w:rFonts w:hint="eastAsia"/>
          <w:highlight w:val="none"/>
        </w:rPr>
        <w:t>机械</w:t>
      </w:r>
      <w:r>
        <w:rPr>
          <w:highlight w:val="none"/>
        </w:rPr>
        <w:t>和设备安全，根据国家有关法律法规，经双方协商一致签订本协议。</w:t>
      </w:r>
    </w:p>
    <w:p w14:paraId="3999FE06">
      <w:pPr>
        <w:spacing w:after="160" w:line="278" w:lineRule="auto"/>
        <w:rPr>
          <w:highlight w:val="none"/>
        </w:rPr>
      </w:pPr>
      <w:r>
        <w:rPr>
          <w:rFonts w:hint="eastAsia"/>
          <w:highlight w:val="none"/>
        </w:rPr>
        <w:t xml:space="preserve">第一条 </w:t>
      </w:r>
      <w:r>
        <w:rPr>
          <w:highlight w:val="none"/>
        </w:rPr>
        <w:t>工程项目：</w:t>
      </w:r>
      <w:r>
        <w:rPr>
          <w:rFonts w:hint="eastAsia"/>
          <w:highlight w:val="none"/>
        </w:rPr>
        <w:t xml:space="preserve"> </w:t>
      </w:r>
    </w:p>
    <w:p w14:paraId="4F620154">
      <w:pPr>
        <w:spacing w:after="160" w:line="278" w:lineRule="auto"/>
        <w:rPr>
          <w:highlight w:val="none"/>
        </w:rPr>
      </w:pPr>
      <w:r>
        <w:rPr>
          <w:rFonts w:hint="eastAsia"/>
          <w:highlight w:val="none"/>
        </w:rPr>
        <w:t>第二</w:t>
      </w:r>
      <w:r>
        <w:rPr>
          <w:highlight w:val="none"/>
        </w:rPr>
        <w:t>条 施工地址：</w:t>
      </w:r>
    </w:p>
    <w:p w14:paraId="4BAE77AB">
      <w:pPr>
        <w:spacing w:after="160" w:line="278" w:lineRule="auto"/>
        <w:rPr>
          <w:highlight w:val="none"/>
        </w:rPr>
      </w:pPr>
      <w:r>
        <w:rPr>
          <w:highlight w:val="none"/>
        </w:rPr>
        <w:t>第三条</w:t>
      </w:r>
      <w:r>
        <w:rPr>
          <w:rFonts w:hint="eastAsia"/>
          <w:highlight w:val="none"/>
        </w:rPr>
        <w:t xml:space="preserve"> </w:t>
      </w:r>
      <w:r>
        <w:rPr>
          <w:highlight w:val="none"/>
        </w:rPr>
        <w:t>甲方安全责任</w:t>
      </w:r>
    </w:p>
    <w:p w14:paraId="068D6583">
      <w:pPr>
        <w:spacing w:after="160" w:line="278" w:lineRule="auto"/>
        <w:rPr>
          <w:highlight w:val="none"/>
        </w:rPr>
      </w:pPr>
      <w:r>
        <w:rPr>
          <w:highlight w:val="none"/>
        </w:rPr>
        <w:t>1、开工前甲方对乙方进行施工安全技术交底，并应有书面记录或资料。</w:t>
      </w:r>
    </w:p>
    <w:p w14:paraId="37B7217B">
      <w:pPr>
        <w:spacing w:after="160" w:line="278" w:lineRule="auto"/>
        <w:rPr>
          <w:highlight w:val="none"/>
        </w:rPr>
      </w:pPr>
      <w:r>
        <w:rPr>
          <w:highlight w:val="none"/>
        </w:rPr>
        <w:t>2、甲方应要求乙方制定施工安全措施，在开始施工前报甲方备案。</w:t>
      </w:r>
    </w:p>
    <w:p w14:paraId="09F5E0BE">
      <w:pPr>
        <w:spacing w:after="160" w:line="278" w:lineRule="auto"/>
        <w:rPr>
          <w:highlight w:val="none"/>
        </w:rPr>
      </w:pPr>
      <w:r>
        <w:rPr>
          <w:highlight w:val="none"/>
        </w:rPr>
        <w:t>3、甲方有协助乙方搞好安全生产、防火管理以及督促检查的义务。甲方有权检查督促乙方执行有关安全生产方面的工作规定，对乙方不符合安全文明施工的行为进行制止、纠正并发出安全整改通知书，直至清退出场。</w:t>
      </w:r>
    </w:p>
    <w:p w14:paraId="2C02217E">
      <w:pPr>
        <w:spacing w:after="160" w:line="278" w:lineRule="auto"/>
        <w:rPr>
          <w:highlight w:val="none"/>
        </w:rPr>
      </w:pPr>
      <w:r>
        <w:rPr>
          <w:highlight w:val="none"/>
        </w:rPr>
        <w:t>4、甲方指派</w:t>
      </w:r>
      <w:r>
        <w:rPr>
          <w:rFonts w:hint="eastAsia"/>
          <w:highlight w:val="none"/>
        </w:rPr>
        <w:t xml:space="preserve">     </w:t>
      </w:r>
      <w:r>
        <w:rPr>
          <w:highlight w:val="none"/>
        </w:rPr>
        <w:t>同志负责与乙方联系安全生产方面的工作。</w:t>
      </w:r>
    </w:p>
    <w:p w14:paraId="6A7FE969">
      <w:pPr>
        <w:spacing w:after="160" w:line="278" w:lineRule="auto"/>
        <w:rPr>
          <w:highlight w:val="none"/>
        </w:rPr>
      </w:pPr>
      <w:r>
        <w:rPr>
          <w:highlight w:val="none"/>
        </w:rPr>
        <w:t>5、甲方负责签发工作票，对工作票所填写的安全措施是否正确完备负责，并履行工作票许可手续。</w:t>
      </w:r>
    </w:p>
    <w:p w14:paraId="39385853">
      <w:pPr>
        <w:spacing w:after="160" w:line="278" w:lineRule="auto"/>
        <w:rPr>
          <w:highlight w:val="none"/>
        </w:rPr>
      </w:pPr>
      <w:r>
        <w:rPr>
          <w:highlight w:val="none"/>
        </w:rPr>
        <w:t>6、甲方有权对乙方参与施工的人员进行安全技术知识和安全工作规程的抽考。</w:t>
      </w:r>
    </w:p>
    <w:p w14:paraId="6A4DAEE4">
      <w:pPr>
        <w:spacing w:after="160" w:line="278" w:lineRule="auto"/>
        <w:rPr>
          <w:highlight w:val="none"/>
        </w:rPr>
      </w:pPr>
      <w:r>
        <w:rPr>
          <w:highlight w:val="none"/>
        </w:rPr>
        <w:t>7、乙方在施工中发生的</w:t>
      </w:r>
      <w:r>
        <w:rPr>
          <w:rFonts w:hint="eastAsia"/>
          <w:highlight w:val="none"/>
        </w:rPr>
        <w:t>任何</w:t>
      </w:r>
      <w:r>
        <w:rPr>
          <w:highlight w:val="none"/>
        </w:rPr>
        <w:t>事故，甲方有责任负责调查、统计上报。乙方在施工中如发生国务院《</w:t>
      </w:r>
      <w:r>
        <w:rPr>
          <w:rFonts w:hint="eastAsia"/>
          <w:highlight w:val="none"/>
        </w:rPr>
        <w:t>生产安全事故报告和调查处理条例</w:t>
      </w:r>
      <w:r>
        <w:rPr>
          <w:highlight w:val="none"/>
        </w:rPr>
        <w:t>》所规定的</w:t>
      </w:r>
      <w:r>
        <w:rPr>
          <w:rFonts w:hint="eastAsia"/>
          <w:highlight w:val="none"/>
        </w:rPr>
        <w:t>特别重大</w:t>
      </w:r>
      <w:r>
        <w:rPr>
          <w:highlight w:val="none"/>
        </w:rPr>
        <w:t>事故，甲方有权督促乙方立即通知当地政府和公安部门，要求派人保护现场；并有权要求乙方提供事故调查书面结论及处理意见。</w:t>
      </w:r>
    </w:p>
    <w:p w14:paraId="3F8F3302">
      <w:pPr>
        <w:spacing w:after="160" w:line="278" w:lineRule="auto"/>
        <w:rPr>
          <w:highlight w:val="none"/>
        </w:rPr>
      </w:pPr>
      <w:r>
        <w:rPr>
          <w:highlight w:val="none"/>
        </w:rPr>
        <w:t>8、甲方不得要求乙方违反安全管理规定进行施工。因甲方原因导致的事故由甲方承担责任。</w:t>
      </w:r>
    </w:p>
    <w:p w14:paraId="564F76F8">
      <w:pPr>
        <w:spacing w:after="160" w:line="278" w:lineRule="auto"/>
        <w:rPr>
          <w:highlight w:val="none"/>
        </w:rPr>
      </w:pPr>
      <w:r>
        <w:rPr>
          <w:highlight w:val="none"/>
        </w:rPr>
        <w:t>9、发生以下情况停工整顿，因停工造成的违约责任由乙方承担：</w:t>
      </w:r>
    </w:p>
    <w:p w14:paraId="435F0A71">
      <w:pPr>
        <w:spacing w:after="160" w:line="278" w:lineRule="auto"/>
        <w:rPr>
          <w:highlight w:val="none"/>
        </w:rPr>
      </w:pPr>
      <w:r>
        <w:rPr>
          <w:highlight w:val="none"/>
        </w:rPr>
        <w:t>（1）人身伤亡事故；</w:t>
      </w:r>
    </w:p>
    <w:p w14:paraId="6D8D10A3">
      <w:pPr>
        <w:spacing w:after="160" w:line="278" w:lineRule="auto"/>
        <w:rPr>
          <w:highlight w:val="none"/>
        </w:rPr>
      </w:pPr>
      <w:r>
        <w:rPr>
          <w:highlight w:val="none"/>
        </w:rPr>
        <w:t>（2）发生施工机械、生产主设备严重损坏事故；</w:t>
      </w:r>
    </w:p>
    <w:p w14:paraId="7321D5AC">
      <w:pPr>
        <w:spacing w:after="160" w:line="278" w:lineRule="auto"/>
        <w:rPr>
          <w:highlight w:val="none"/>
        </w:rPr>
      </w:pPr>
      <w:r>
        <w:rPr>
          <w:highlight w:val="none"/>
        </w:rPr>
        <w:t>（3）发生</w:t>
      </w:r>
      <w:r>
        <w:rPr>
          <w:rFonts w:hint="eastAsia"/>
          <w:highlight w:val="none"/>
        </w:rPr>
        <w:t>工地</w:t>
      </w:r>
      <w:r>
        <w:rPr>
          <w:highlight w:val="none"/>
        </w:rPr>
        <w:t>火灾事故；</w:t>
      </w:r>
    </w:p>
    <w:p w14:paraId="7E2AACD3">
      <w:pPr>
        <w:spacing w:after="160" w:line="278" w:lineRule="auto"/>
        <w:rPr>
          <w:highlight w:val="none"/>
        </w:rPr>
      </w:pPr>
      <w:r>
        <w:rPr>
          <w:highlight w:val="none"/>
        </w:rPr>
        <w:t>（4）发生违章作业、冒险作业不听劝告的；</w:t>
      </w:r>
    </w:p>
    <w:p w14:paraId="579ED506">
      <w:pPr>
        <w:spacing w:after="160" w:line="278" w:lineRule="auto"/>
        <w:rPr>
          <w:highlight w:val="none"/>
        </w:rPr>
      </w:pPr>
      <w:r>
        <w:rPr>
          <w:highlight w:val="none"/>
        </w:rPr>
        <w:t>（5）施工现场脏、乱、差，不能满足安全和文明施工要求的。</w:t>
      </w:r>
    </w:p>
    <w:p w14:paraId="0A2DEA5E">
      <w:pPr>
        <w:spacing w:after="160" w:line="278" w:lineRule="auto"/>
        <w:rPr>
          <w:highlight w:val="none"/>
        </w:rPr>
      </w:pPr>
      <w:r>
        <w:rPr>
          <w:highlight w:val="none"/>
        </w:rPr>
        <w:t>第四条 乙方安全责任</w:t>
      </w:r>
    </w:p>
    <w:p w14:paraId="31F96F84">
      <w:pPr>
        <w:spacing w:after="160" w:line="278" w:lineRule="auto"/>
        <w:rPr>
          <w:highlight w:val="none"/>
        </w:rPr>
      </w:pPr>
      <w:r>
        <w:rPr>
          <w:highlight w:val="none"/>
        </w:rPr>
        <w:t>乙方作为工程项目的承包单位，对工程施工过程中发生的人身伤害、设备损坏事故承担安全责任。</w:t>
      </w:r>
    </w:p>
    <w:p w14:paraId="1013A420">
      <w:pPr>
        <w:spacing w:after="160" w:line="278" w:lineRule="auto"/>
        <w:rPr>
          <w:highlight w:val="none"/>
        </w:rPr>
      </w:pPr>
      <w:r>
        <w:rPr>
          <w:rFonts w:hint="eastAsia"/>
          <w:highlight w:val="none"/>
        </w:rPr>
        <w:t>乙方作为施工总承包单位是工程施工安全第一责任人。</w:t>
      </w:r>
      <w:r>
        <w:rPr>
          <w:highlight w:val="none"/>
        </w:rPr>
        <w:t>乙方应切实履行以下安全责任：</w:t>
      </w:r>
    </w:p>
    <w:p w14:paraId="1CAD0B66">
      <w:pPr>
        <w:spacing w:after="160" w:line="278" w:lineRule="auto"/>
        <w:rPr>
          <w:highlight w:val="none"/>
        </w:rPr>
      </w:pPr>
      <w:r>
        <w:rPr>
          <w:highlight w:val="none"/>
        </w:rPr>
        <w:t>1、乙方所提供的承包工程要求的相关资质证明材料应真实、合法、有效。</w:t>
      </w:r>
    </w:p>
    <w:p w14:paraId="32567239">
      <w:pPr>
        <w:spacing w:after="160" w:line="278" w:lineRule="auto"/>
        <w:rPr>
          <w:highlight w:val="none"/>
        </w:rPr>
      </w:pPr>
      <w:r>
        <w:rPr>
          <w:highlight w:val="none"/>
        </w:rPr>
        <w:t>2、乙方必须贯彻执行国家有关安全生产的法律法规，必须制定相应的安全管理制度</w:t>
      </w:r>
      <w:r>
        <w:rPr>
          <w:rFonts w:hint="eastAsia"/>
          <w:highlight w:val="none"/>
        </w:rPr>
        <w:t>。</w:t>
      </w:r>
    </w:p>
    <w:p w14:paraId="55E31F5E">
      <w:pPr>
        <w:spacing w:after="160" w:line="278" w:lineRule="auto"/>
        <w:rPr>
          <w:highlight w:val="none"/>
        </w:rPr>
      </w:pPr>
      <w:r>
        <w:rPr>
          <w:highlight w:val="none"/>
        </w:rPr>
        <w:t>3、现场施工应遵守国家和地方关于劳动安全，劳务用工法律法规及规章制度，保证其用工的合法性。乙方必须按国家有关规定，为施工人员进行人身保险，配备合格的劳动防护用品、安全用具。</w:t>
      </w:r>
    </w:p>
    <w:p w14:paraId="1DB9796C">
      <w:pPr>
        <w:spacing w:after="160" w:line="278" w:lineRule="auto"/>
        <w:rPr>
          <w:highlight w:val="none"/>
        </w:rPr>
      </w:pPr>
      <w:r>
        <w:rPr>
          <w:highlight w:val="none"/>
        </w:rPr>
        <w:t>4、施工期间，乙方应设有专职安监人员（少于30人者设兼职）。乙方指派</w:t>
      </w:r>
      <w:r>
        <w:rPr>
          <w:rFonts w:hint="eastAsia"/>
          <w:highlight w:val="none"/>
        </w:rPr>
        <w:t xml:space="preserve">     （身份证号码</w:t>
      </w:r>
      <w:r>
        <w:rPr>
          <w:highlight w:val="none"/>
        </w:rPr>
        <w:t xml:space="preserve">         </w:t>
      </w:r>
      <w:r>
        <w:rPr>
          <w:rFonts w:hint="eastAsia"/>
          <w:highlight w:val="none"/>
        </w:rPr>
        <w:t>）</w:t>
      </w:r>
      <w:r>
        <w:rPr>
          <w:highlight w:val="none"/>
        </w:rPr>
        <w:t>作为</w:t>
      </w:r>
      <w:r>
        <w:rPr>
          <w:rFonts w:hint="eastAsia"/>
          <w:highlight w:val="none"/>
        </w:rPr>
        <w:t>现场专职安全员</w:t>
      </w:r>
      <w:r>
        <w:rPr>
          <w:highlight w:val="none"/>
        </w:rPr>
        <w:t>。</w:t>
      </w:r>
      <w:r>
        <w:rPr>
          <w:rFonts w:hint="eastAsia"/>
          <w:highlight w:val="none"/>
        </w:rPr>
        <w:t>承包方安全员要求施工驻场，技术员要求驻场。</w:t>
      </w:r>
    </w:p>
    <w:p w14:paraId="21EE952C">
      <w:pPr>
        <w:spacing w:after="160" w:line="278" w:lineRule="auto"/>
        <w:rPr>
          <w:highlight w:val="none"/>
        </w:rPr>
      </w:pPr>
      <w:r>
        <w:rPr>
          <w:highlight w:val="none"/>
        </w:rPr>
        <w:t>5、乙方一切施工活动，必须编制安全施工措施，施工前对全体施工人员进行全面的安全技术交底，并在整个施工过程正确、完整地执行，无措施或未交底严禁施工。</w:t>
      </w:r>
    </w:p>
    <w:p w14:paraId="44583118">
      <w:pPr>
        <w:spacing w:after="160" w:line="278" w:lineRule="auto"/>
        <w:rPr>
          <w:highlight w:val="none"/>
        </w:rPr>
      </w:pPr>
      <w:r>
        <w:rPr>
          <w:highlight w:val="none"/>
        </w:rPr>
        <w:t>6、乙方用于本工程项目的施工机械、工器具及安全防护用具的数量和质量必须满足施工需要，并经有资质检验单位检验符合安全规定，乙方对因使用工器具不当所造成的人员伤害及设备损坏负责。</w:t>
      </w:r>
    </w:p>
    <w:p w14:paraId="6BD4FEC1">
      <w:pPr>
        <w:spacing w:after="160" w:line="278" w:lineRule="auto"/>
        <w:rPr>
          <w:highlight w:val="none"/>
        </w:rPr>
      </w:pPr>
      <w:r>
        <w:rPr>
          <w:highlight w:val="none"/>
        </w:rPr>
        <w:t>7、开工前，乙方应组织全体施工人员进行安全教育，并将参加安全教育人员名单（包括临时增补或调换人员）与考试成绩报给甲方备案。特种作业人员必须有有关部门核发的合格有效的上岗资格证书。</w:t>
      </w:r>
    </w:p>
    <w:p w14:paraId="43048DF2">
      <w:pPr>
        <w:spacing w:after="160" w:line="278" w:lineRule="auto"/>
        <w:rPr>
          <w:highlight w:val="none"/>
        </w:rPr>
      </w:pPr>
      <w:r>
        <w:rPr>
          <w:highlight w:val="none"/>
        </w:rPr>
        <w:t>开工前，乙方应到甲方办理临时出入证并佩戴出入证进入施工现场，出入证严禁转借他人。</w:t>
      </w:r>
    </w:p>
    <w:p w14:paraId="6AD28B53">
      <w:pPr>
        <w:spacing w:after="160" w:line="278" w:lineRule="auto"/>
        <w:rPr>
          <w:highlight w:val="none"/>
        </w:rPr>
      </w:pPr>
      <w:r>
        <w:rPr>
          <w:highlight w:val="none"/>
        </w:rPr>
        <w:t>8、开工前，乙方应组织人员对施工区域、作业环境进行检查，确认符合安全要求，一经开工，就表示乙方已确认施工现场、作业环境符合安全要求并处于安全状态。</w:t>
      </w:r>
    </w:p>
    <w:p w14:paraId="09F71AE0">
      <w:pPr>
        <w:spacing w:after="160" w:line="278" w:lineRule="auto"/>
        <w:rPr>
          <w:highlight w:val="none"/>
        </w:rPr>
      </w:pPr>
      <w:r>
        <w:rPr>
          <w:highlight w:val="none"/>
        </w:rPr>
        <w:t>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14:paraId="7FEB45F1">
      <w:pPr>
        <w:spacing w:after="160" w:line="278" w:lineRule="auto"/>
        <w:rPr>
          <w:highlight w:val="none"/>
        </w:rPr>
      </w:pPr>
      <w:r>
        <w:rPr>
          <w:highlight w:val="none"/>
        </w:rPr>
        <w:t>10、乙方施工过程中需使用电、水源，应事先与甲方取得联系，不得私拉乱接。中断作业或遇故障应立即切断有关开关。</w:t>
      </w:r>
    </w:p>
    <w:p w14:paraId="688C319B">
      <w:pPr>
        <w:spacing w:after="160" w:line="278" w:lineRule="auto"/>
        <w:rPr>
          <w:highlight w:val="none"/>
        </w:rPr>
      </w:pPr>
      <w:r>
        <w:rPr>
          <w:highlight w:val="none"/>
        </w:rPr>
        <w:t>11、乙方施工过程中应做到工完、料尽、场地清，确保安全文明施工。</w:t>
      </w:r>
    </w:p>
    <w:p w14:paraId="40097352">
      <w:pPr>
        <w:spacing w:after="160" w:line="278" w:lineRule="auto"/>
        <w:rPr>
          <w:highlight w:val="none"/>
        </w:rPr>
      </w:pPr>
      <w:r>
        <w:rPr>
          <w:highlight w:val="none"/>
        </w:rPr>
        <w:t>12、乙方必须接受甲方的监督、检查，对甲方提出的安全整改意见必须及时整改。</w:t>
      </w:r>
    </w:p>
    <w:p w14:paraId="478886F7">
      <w:pPr>
        <w:spacing w:after="160" w:line="278" w:lineRule="auto"/>
        <w:rPr>
          <w:highlight w:val="none"/>
        </w:rPr>
      </w:pPr>
      <w:r>
        <w:rPr>
          <w:highlight w:val="none"/>
        </w:rPr>
        <w:t>13、乙方施工过程中发生人生伤亡、</w:t>
      </w:r>
      <w:r>
        <w:rPr>
          <w:rFonts w:hint="eastAsia"/>
          <w:highlight w:val="none"/>
        </w:rPr>
        <w:t>任何</w:t>
      </w:r>
      <w:r>
        <w:rPr>
          <w:highlight w:val="none"/>
        </w:rPr>
        <w:t>事故，应立即报告甲方，并积极配合调查。</w:t>
      </w:r>
    </w:p>
    <w:p w14:paraId="50D3FED8">
      <w:pPr>
        <w:spacing w:after="160" w:line="278" w:lineRule="auto"/>
        <w:rPr>
          <w:highlight w:val="none"/>
        </w:rPr>
      </w:pPr>
      <w:r>
        <w:rPr>
          <w:highlight w:val="none"/>
        </w:rPr>
        <w:t>乙方应执行国务院</w:t>
      </w:r>
      <w:r>
        <w:rPr>
          <w:rFonts w:hint="eastAsia"/>
          <w:highlight w:val="none"/>
        </w:rPr>
        <w:t>《生产安全事故报告和调查处理条例》</w:t>
      </w:r>
      <w:r>
        <w:rPr>
          <w:highlight w:val="none"/>
        </w:rPr>
        <w:t>。对人员在施工中发生的人身伤亡事故，还必须立即用电话、电传或电报等向事故所在地的政府安全管理部门、公安部门报告，按规定组织调查处理，并由乙方统计上报；如发生国务院</w:t>
      </w:r>
      <w:r>
        <w:rPr>
          <w:rFonts w:hint="eastAsia"/>
          <w:highlight w:val="none"/>
        </w:rPr>
        <w:t>《生产安全事故报告和调查处理条例》</w:t>
      </w:r>
      <w:r>
        <w:rPr>
          <w:highlight w:val="none"/>
        </w:rPr>
        <w:t>所规定的特大事故，还应立即通知当地政府、公安部门，并要求派人保护现场。</w:t>
      </w:r>
    </w:p>
    <w:p w14:paraId="6C5715CF">
      <w:pPr>
        <w:spacing w:after="160" w:line="278" w:lineRule="auto"/>
        <w:rPr>
          <w:highlight w:val="none"/>
        </w:rPr>
      </w:pPr>
      <w:r>
        <w:rPr>
          <w:highlight w:val="none"/>
        </w:rPr>
        <w:t>乙方应将事故调查组的事故调查报告及乙方事故处理意见提交甲方备案。</w:t>
      </w:r>
    </w:p>
    <w:p w14:paraId="5BE37877">
      <w:pPr>
        <w:spacing w:after="160" w:line="278" w:lineRule="auto"/>
        <w:rPr>
          <w:highlight w:val="none"/>
        </w:rPr>
      </w:pPr>
      <w:r>
        <w:rPr>
          <w:highlight w:val="none"/>
        </w:rPr>
        <w:t>第五条 甲乙双方联系方式及响应时间</w:t>
      </w:r>
    </w:p>
    <w:p w14:paraId="7D48B4A7">
      <w:pPr>
        <w:spacing w:after="160" w:line="278" w:lineRule="auto"/>
        <w:rPr>
          <w:highlight w:val="none"/>
        </w:rPr>
      </w:pPr>
      <w:r>
        <w:rPr>
          <w:highlight w:val="none"/>
        </w:rPr>
        <w:t>甲乙双方应以工作联系单、传真、电传等书面形式送达对方。双方在接到对方的书面联系时，应于4小时内予以响应。</w:t>
      </w:r>
    </w:p>
    <w:p w14:paraId="3F3E9A98">
      <w:pPr>
        <w:spacing w:after="160" w:line="278" w:lineRule="auto"/>
        <w:rPr>
          <w:highlight w:val="none"/>
        </w:rPr>
      </w:pPr>
      <w:r>
        <w:rPr>
          <w:highlight w:val="none"/>
        </w:rPr>
        <w:t>第六条 施工安全保证金</w:t>
      </w:r>
    </w:p>
    <w:p w14:paraId="7E5262C1">
      <w:pPr>
        <w:spacing w:after="160" w:line="278" w:lineRule="auto"/>
        <w:rPr>
          <w:highlight w:val="none"/>
        </w:rPr>
      </w:pPr>
      <w:r>
        <w:rPr>
          <w:rFonts w:hint="eastAsia"/>
          <w:highlight w:val="none"/>
        </w:rPr>
        <w:t>甲乙双方约定</w:t>
      </w:r>
      <w:r>
        <w:rPr>
          <w:highlight w:val="none"/>
        </w:rPr>
        <w:t>工程款的10%作为安全保证金。乙方在施工过程中未发生人身重伤</w:t>
      </w:r>
      <w:r>
        <w:rPr>
          <w:rFonts w:hint="eastAsia"/>
          <w:highlight w:val="none"/>
        </w:rPr>
        <w:t>及任何</w:t>
      </w:r>
      <w:r>
        <w:rPr>
          <w:highlight w:val="none"/>
        </w:rPr>
        <w:t>事故，于工程竣工验收后将该保证金全额退还；若施工过程中发生下列有乙方责任的安全事故，扣除相应数额的安全保证金：</w:t>
      </w:r>
    </w:p>
    <w:p w14:paraId="29B83FD1">
      <w:pPr>
        <w:spacing w:after="160" w:line="278" w:lineRule="auto"/>
        <w:rPr>
          <w:highlight w:val="none"/>
        </w:rPr>
      </w:pPr>
      <w:r>
        <w:rPr>
          <w:highlight w:val="none"/>
        </w:rPr>
        <w:t>（1）发生人身死亡事故，扣除全部安全保证金；</w:t>
      </w:r>
    </w:p>
    <w:p w14:paraId="43C8AE29">
      <w:pPr>
        <w:spacing w:after="160" w:line="278" w:lineRule="auto"/>
        <w:rPr>
          <w:highlight w:val="none"/>
        </w:rPr>
      </w:pPr>
      <w:r>
        <w:rPr>
          <w:highlight w:val="none"/>
        </w:rPr>
        <w:t>（2）发生人身重伤事故，扣除50%安全保证金；</w:t>
      </w:r>
    </w:p>
    <w:p w14:paraId="5944534B">
      <w:pPr>
        <w:spacing w:after="160" w:line="278" w:lineRule="auto"/>
        <w:rPr>
          <w:highlight w:val="none"/>
        </w:rPr>
      </w:pPr>
      <w:r>
        <w:rPr>
          <w:highlight w:val="none"/>
        </w:rPr>
        <w:t>（3）乙方人员发生违章行为的经济处罚，按处罚规定从安全保证金内扣除。</w:t>
      </w:r>
    </w:p>
    <w:p w14:paraId="38C4A800">
      <w:pPr>
        <w:spacing w:after="160" w:line="278" w:lineRule="auto"/>
        <w:rPr>
          <w:highlight w:val="none"/>
        </w:rPr>
      </w:pPr>
      <w:r>
        <w:rPr>
          <w:highlight w:val="none"/>
        </w:rPr>
        <w:t>第七条 违约责任</w:t>
      </w:r>
    </w:p>
    <w:p w14:paraId="05851F75">
      <w:pPr>
        <w:spacing w:after="160" w:line="278" w:lineRule="auto"/>
        <w:rPr>
          <w:highlight w:val="none"/>
        </w:rPr>
      </w:pPr>
      <w:r>
        <w:rPr>
          <w:highlight w:val="none"/>
        </w:rPr>
        <w:t>1、由于甲方或乙方责任造成对方或第三方的人身伤害、设备损坏等财产损失，由责任方承担相应责任，并赔偿对方或第三方因此造成的全部损失。</w:t>
      </w:r>
    </w:p>
    <w:p w14:paraId="57BBA117">
      <w:pPr>
        <w:spacing w:after="160" w:line="278" w:lineRule="auto"/>
        <w:rPr>
          <w:highlight w:val="none"/>
        </w:rPr>
      </w:pPr>
      <w:r>
        <w:rPr>
          <w:highlight w:val="none"/>
        </w:rPr>
        <w:t>2、合同履行中，发现乙方提供的有关资质材料无效，甲方有权解除合同，并由乙方承担由此造成的一切损失。</w:t>
      </w:r>
    </w:p>
    <w:p w14:paraId="45E46A17">
      <w:pPr>
        <w:spacing w:after="160" w:line="278" w:lineRule="auto"/>
        <w:rPr>
          <w:highlight w:val="none"/>
        </w:rPr>
      </w:pPr>
      <w:r>
        <w:rPr>
          <w:highlight w:val="none"/>
        </w:rPr>
        <w:t>3、发现乙方现场作业人员有违章行为的，</w:t>
      </w:r>
      <w:r>
        <w:rPr>
          <w:rFonts w:hint="eastAsia"/>
          <w:highlight w:val="none"/>
        </w:rPr>
        <w:t>造成经济损失或人员伤害的</w:t>
      </w:r>
      <w:r>
        <w:rPr>
          <w:highlight w:val="none"/>
        </w:rPr>
        <w:t>，承担相应的违约金。</w:t>
      </w:r>
    </w:p>
    <w:p w14:paraId="5EF1510D">
      <w:pPr>
        <w:spacing w:after="160" w:line="278" w:lineRule="auto"/>
        <w:rPr>
          <w:highlight w:val="none"/>
        </w:rPr>
      </w:pPr>
      <w:r>
        <w:rPr>
          <w:highlight w:val="none"/>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6E7D2D49">
      <w:pPr>
        <w:spacing w:after="160" w:line="278" w:lineRule="auto"/>
        <w:rPr>
          <w:highlight w:val="none"/>
        </w:rPr>
      </w:pPr>
      <w:r>
        <w:rPr>
          <w:highlight w:val="none"/>
        </w:rPr>
        <w:t>5、乙方人员安全工作规程抽考不合格，乙方应承担50元/人次的违约责任；特种人员无证上岗乙方应承担100元/人次的违约责任。</w:t>
      </w:r>
    </w:p>
    <w:p w14:paraId="2E2D2F9A">
      <w:pPr>
        <w:spacing w:after="160" w:line="278" w:lineRule="auto"/>
        <w:rPr>
          <w:highlight w:val="none"/>
        </w:rPr>
      </w:pPr>
      <w:r>
        <w:rPr>
          <w:highlight w:val="none"/>
        </w:rPr>
        <w:t>6、乙方使用甲方提供的设施设备、工器具等造成损坏的，应照价赔偿。</w:t>
      </w:r>
    </w:p>
    <w:p w14:paraId="0D88F7B8">
      <w:pPr>
        <w:spacing w:after="160" w:line="278" w:lineRule="auto"/>
        <w:rPr>
          <w:highlight w:val="none"/>
        </w:rPr>
      </w:pPr>
      <w:r>
        <w:rPr>
          <w:highlight w:val="none"/>
        </w:rPr>
        <w:t>7、乙方人员无故到其他生产区域或擅自动用甲方的设施设备等，乙方按100元至500元/人次承担违约责任。</w:t>
      </w:r>
    </w:p>
    <w:p w14:paraId="55938C6C">
      <w:pPr>
        <w:spacing w:after="160" w:line="278" w:lineRule="auto"/>
        <w:rPr>
          <w:highlight w:val="none"/>
        </w:rPr>
      </w:pPr>
      <w:r>
        <w:rPr>
          <w:highlight w:val="none"/>
        </w:rPr>
        <w:t>8、乙方对甲方提出的安全整改意见不及时整改的，每逾期一天，乙方按200元至1000元/天承担违约责任。</w:t>
      </w:r>
    </w:p>
    <w:p w14:paraId="341F4DDB">
      <w:pPr>
        <w:spacing w:after="160" w:line="278" w:lineRule="auto"/>
        <w:rPr>
          <w:highlight w:val="none"/>
        </w:rPr>
      </w:pPr>
      <w:r>
        <w:rPr>
          <w:highlight w:val="none"/>
        </w:rPr>
        <w:t>9、施工过程中发生人身伤亡事故有隐瞒行为的，除接受政府有关部门处理外，过错方应承担3000元至10000元/次的违约责任。</w:t>
      </w:r>
    </w:p>
    <w:p w14:paraId="64D15F77">
      <w:pPr>
        <w:spacing w:after="160" w:line="278" w:lineRule="auto"/>
        <w:rPr>
          <w:highlight w:val="none"/>
        </w:rPr>
      </w:pPr>
      <w:r>
        <w:rPr>
          <w:highlight w:val="none"/>
        </w:rPr>
        <w:t>第八条 甲乙双方约定的其他事项：无</w:t>
      </w:r>
    </w:p>
    <w:p w14:paraId="4F0630A8">
      <w:pPr>
        <w:spacing w:after="160" w:line="278" w:lineRule="auto"/>
        <w:rPr>
          <w:highlight w:val="none"/>
        </w:rPr>
      </w:pPr>
      <w:r>
        <w:rPr>
          <w:highlight w:val="none"/>
        </w:rPr>
        <w:t>第九条 本协议执行过程中，如发生争议，由双方协商、调解解决；若经协商、调解不能解决争议的，任何一方可以向</w:t>
      </w:r>
      <w:r>
        <w:rPr>
          <w:rFonts w:hint="eastAsia"/>
          <w:highlight w:val="none"/>
        </w:rPr>
        <w:t>施工地</w:t>
      </w:r>
      <w:r>
        <w:rPr>
          <w:highlight w:val="none"/>
        </w:rPr>
        <w:t>人民法院提起诉讼。</w:t>
      </w:r>
    </w:p>
    <w:p w14:paraId="139B640A">
      <w:pPr>
        <w:spacing w:after="160" w:line="278" w:lineRule="auto"/>
        <w:rPr>
          <w:highlight w:val="none"/>
        </w:rPr>
      </w:pPr>
      <w:r>
        <w:rPr>
          <w:highlight w:val="none"/>
        </w:rPr>
        <w:t>第十条 甲乙双方必须严格执行本协议，本协议的法律效力独立于主合同。</w:t>
      </w:r>
    </w:p>
    <w:p w14:paraId="404C0A4B">
      <w:pPr>
        <w:spacing w:after="160" w:line="278" w:lineRule="auto"/>
        <w:rPr>
          <w:highlight w:val="none"/>
        </w:rPr>
      </w:pPr>
      <w:r>
        <w:rPr>
          <w:highlight w:val="none"/>
        </w:rPr>
        <w:t>第十一条 本协议有效期限：自</w:t>
      </w:r>
      <w:r>
        <w:rPr>
          <w:rFonts w:hint="eastAsia"/>
          <w:highlight w:val="none"/>
        </w:rPr>
        <w:t>工程项目开工施工单位进场日</w:t>
      </w:r>
      <w:r>
        <w:rPr>
          <w:highlight w:val="none"/>
        </w:rPr>
        <w:t>起至</w:t>
      </w:r>
      <w:r>
        <w:rPr>
          <w:rFonts w:hint="eastAsia"/>
          <w:highlight w:val="none"/>
        </w:rPr>
        <w:t>项目完工验收合格日</w:t>
      </w:r>
      <w:r>
        <w:rPr>
          <w:highlight w:val="none"/>
        </w:rPr>
        <w:t>止。</w:t>
      </w:r>
    </w:p>
    <w:p w14:paraId="2FEEF31D">
      <w:pPr>
        <w:spacing w:after="160" w:line="278" w:lineRule="auto"/>
        <w:rPr>
          <w:highlight w:val="none"/>
        </w:rPr>
      </w:pPr>
      <w:r>
        <w:rPr>
          <w:highlight w:val="none"/>
        </w:rPr>
        <w:t>第十二条 本协议经双方法定代表人或委托代理人签字盖章后生效。</w:t>
      </w:r>
    </w:p>
    <w:p w14:paraId="7D416741">
      <w:pPr>
        <w:spacing w:after="160" w:line="278" w:lineRule="auto"/>
        <w:rPr>
          <w:highlight w:val="none"/>
        </w:rPr>
      </w:pPr>
      <w:r>
        <w:rPr>
          <w:highlight w:val="none"/>
        </w:rPr>
        <w:t>第十三条 本协议一式</w:t>
      </w:r>
      <w:r>
        <w:rPr>
          <w:rFonts w:hint="eastAsia"/>
          <w:highlight w:val="none"/>
        </w:rPr>
        <w:t>四</w:t>
      </w:r>
      <w:r>
        <w:rPr>
          <w:highlight w:val="none"/>
        </w:rPr>
        <w:t>份，甲乙双方各执</w:t>
      </w:r>
      <w:r>
        <w:rPr>
          <w:rFonts w:hint="eastAsia"/>
          <w:highlight w:val="none"/>
        </w:rPr>
        <w:t>两</w:t>
      </w:r>
      <w:r>
        <w:rPr>
          <w:highlight w:val="none"/>
        </w:rPr>
        <w:t>份。</w:t>
      </w:r>
    </w:p>
    <w:p w14:paraId="2B58B30D">
      <w:pPr>
        <w:spacing w:after="160" w:line="278" w:lineRule="auto"/>
        <w:rPr>
          <w:highlight w:val="none"/>
        </w:rPr>
      </w:pPr>
      <w:r>
        <w:rPr>
          <w:highlight w:val="none"/>
        </w:rPr>
        <w:t>第十四条 本协议签订地点在甲方</w:t>
      </w:r>
      <w:r>
        <w:rPr>
          <w:rFonts w:hint="eastAsia"/>
          <w:highlight w:val="none"/>
        </w:rPr>
        <w:t>办公场地</w:t>
      </w:r>
      <w:r>
        <w:rPr>
          <w:highlight w:val="none"/>
        </w:rPr>
        <w:t>。</w:t>
      </w:r>
    </w:p>
    <w:p w14:paraId="5800A628">
      <w:pPr>
        <w:spacing w:after="160" w:line="278" w:lineRule="auto"/>
        <w:rPr>
          <w:highlight w:val="none"/>
        </w:rPr>
      </w:pPr>
    </w:p>
    <w:p w14:paraId="2A96EB2A">
      <w:pPr>
        <w:spacing w:after="160" w:line="278" w:lineRule="auto"/>
        <w:rPr>
          <w:highlight w:val="none"/>
        </w:rPr>
      </w:pPr>
      <w:r>
        <w:rPr>
          <w:highlight w:val="none"/>
        </w:rPr>
        <w:t xml:space="preserve">  甲方：                                          </w:t>
      </w:r>
      <w:r>
        <w:rPr>
          <w:rFonts w:hint="eastAsia"/>
          <w:highlight w:val="none"/>
        </w:rPr>
        <w:t xml:space="preserve">   </w:t>
      </w:r>
      <w:r>
        <w:rPr>
          <w:highlight w:val="none"/>
        </w:rPr>
        <w:t>乙方：</w:t>
      </w:r>
      <w:r>
        <w:rPr>
          <w:rFonts w:hint="eastAsia"/>
          <w:highlight w:val="none"/>
        </w:rPr>
        <w:t xml:space="preserve">                                               </w:t>
      </w:r>
    </w:p>
    <w:p w14:paraId="6881A2CA">
      <w:pPr>
        <w:spacing w:after="160" w:line="278" w:lineRule="auto"/>
        <w:rPr>
          <w:highlight w:val="none"/>
        </w:rPr>
      </w:pPr>
      <w:r>
        <w:rPr>
          <w:rFonts w:hint="eastAsia"/>
          <w:highlight w:val="none"/>
        </w:rPr>
        <w:t xml:space="preserve">                               乙方分包:</w:t>
      </w:r>
      <w:r>
        <w:rPr>
          <w:highlight w:val="none"/>
        </w:rPr>
        <w:t xml:space="preserve">  </w:t>
      </w:r>
      <w:r>
        <w:rPr>
          <w:rFonts w:hint="eastAsia"/>
          <w:highlight w:val="none"/>
        </w:rPr>
        <w:t xml:space="preserve"> </w:t>
      </w:r>
      <w:r>
        <w:rPr>
          <w:highlight w:val="none"/>
        </w:rPr>
        <w:t xml:space="preserve">          </w:t>
      </w:r>
    </w:p>
    <w:p w14:paraId="2CCB6288">
      <w:pPr>
        <w:spacing w:after="160" w:line="278" w:lineRule="auto"/>
        <w:rPr>
          <w:highlight w:val="none"/>
        </w:rPr>
      </w:pPr>
      <w:r>
        <w:rPr>
          <w:highlight w:val="none"/>
        </w:rPr>
        <w:t>联系电话：                                   </w:t>
      </w:r>
      <w:r>
        <w:rPr>
          <w:rFonts w:hint="eastAsia"/>
          <w:highlight w:val="none"/>
        </w:rPr>
        <w:t xml:space="preserve"> </w:t>
      </w:r>
      <w:r>
        <w:rPr>
          <w:highlight w:val="none"/>
        </w:rPr>
        <w:t xml:space="preserve"> </w:t>
      </w:r>
      <w:r>
        <w:rPr>
          <w:rFonts w:hint="eastAsia"/>
          <w:highlight w:val="none"/>
        </w:rPr>
        <w:t xml:space="preserve">  </w:t>
      </w:r>
      <w:r>
        <w:rPr>
          <w:highlight w:val="none"/>
        </w:rPr>
        <w:t>联系电话：</w:t>
      </w:r>
      <w:r>
        <w:rPr>
          <w:rFonts w:hint="eastAsia"/>
          <w:highlight w:val="none"/>
        </w:rPr>
        <w:t xml:space="preserve"> </w:t>
      </w:r>
    </w:p>
    <w:p w14:paraId="22F0DED1">
      <w:pPr>
        <w:spacing w:after="160" w:line="278" w:lineRule="auto"/>
        <w:rPr>
          <w:highlight w:val="none"/>
        </w:rPr>
      </w:pPr>
      <w:r>
        <w:rPr>
          <w:highlight w:val="none"/>
        </w:rPr>
        <w:t> </w:t>
      </w:r>
    </w:p>
    <w:p w14:paraId="194A88D2">
      <w:pPr>
        <w:spacing w:after="160" w:line="278" w:lineRule="auto"/>
        <w:rPr>
          <w:highlight w:val="none"/>
        </w:rPr>
      </w:pPr>
      <w:r>
        <w:rPr>
          <w:highlight w:val="none"/>
        </w:rPr>
        <w:t>签订时间：     年</w:t>
      </w:r>
      <w:r>
        <w:rPr>
          <w:rFonts w:hint="eastAsia"/>
          <w:highlight w:val="none"/>
        </w:rPr>
        <w:t xml:space="preserve"> </w:t>
      </w:r>
      <w:r>
        <w:rPr>
          <w:highlight w:val="none"/>
        </w:rPr>
        <w:t xml:space="preserve">   </w:t>
      </w:r>
      <w:r>
        <w:rPr>
          <w:rFonts w:hint="eastAsia"/>
          <w:highlight w:val="none"/>
        </w:rPr>
        <w:t xml:space="preserve"> </w:t>
      </w:r>
      <w:r>
        <w:rPr>
          <w:highlight w:val="none"/>
        </w:rPr>
        <w:t>月</w:t>
      </w:r>
      <w:r>
        <w:rPr>
          <w:rFonts w:hint="eastAsia"/>
          <w:highlight w:val="none"/>
        </w:rPr>
        <w:t xml:space="preserve"> </w:t>
      </w:r>
      <w:r>
        <w:rPr>
          <w:highlight w:val="none"/>
        </w:rPr>
        <w:t xml:space="preserve">  </w:t>
      </w:r>
      <w:r>
        <w:rPr>
          <w:rFonts w:hint="eastAsia"/>
          <w:highlight w:val="none"/>
        </w:rPr>
        <w:t xml:space="preserve"> </w:t>
      </w:r>
      <w:r>
        <w:rPr>
          <w:highlight w:val="none"/>
        </w:rPr>
        <w:t>日</w:t>
      </w:r>
    </w:p>
    <w:p w14:paraId="06F15C48">
      <w:pPr>
        <w:spacing w:after="160" w:line="278" w:lineRule="auto"/>
        <w:rPr>
          <w:highlight w:val="none"/>
        </w:rPr>
      </w:pPr>
    </w:p>
    <w:p w14:paraId="0456E983">
      <w:pPr>
        <w:widowControl/>
        <w:jc w:val="left"/>
        <w:rPr>
          <w:rFonts w:ascii="宋体" w:hAnsi="宋体"/>
          <w:b/>
          <w:sz w:val="24"/>
          <w:highlight w:val="none"/>
        </w:rPr>
      </w:pPr>
    </w:p>
    <w:p w14:paraId="1F6B0CA5">
      <w:pPr>
        <w:spacing w:line="360" w:lineRule="auto"/>
        <w:jc w:val="center"/>
        <w:outlineLvl w:val="0"/>
        <w:rPr>
          <w:b/>
          <w:sz w:val="36"/>
          <w:szCs w:val="36"/>
          <w:highlight w:val="none"/>
        </w:rPr>
      </w:pPr>
      <w:r>
        <w:rPr>
          <w:b/>
          <w:sz w:val="36"/>
          <w:szCs w:val="36"/>
          <w:highlight w:val="none"/>
        </w:rPr>
        <w:br w:type="page"/>
      </w:r>
      <w:bookmarkStart w:id="3243" w:name="_Toc25957"/>
      <w:bookmarkStart w:id="3244" w:name="_Toc14495"/>
      <w:r>
        <w:rPr>
          <w:b/>
          <w:sz w:val="36"/>
          <w:szCs w:val="36"/>
          <w:highlight w:val="none"/>
        </w:rPr>
        <w:t>第六章   响应文件格式</w:t>
      </w:r>
      <w:bookmarkEnd w:id="3243"/>
      <w:bookmarkEnd w:id="3244"/>
    </w:p>
    <w:p w14:paraId="37B8E0FA">
      <w:pPr>
        <w:widowControl/>
        <w:spacing w:line="360" w:lineRule="auto"/>
        <w:jc w:val="left"/>
        <w:rPr>
          <w:b/>
          <w:sz w:val="24"/>
          <w:highlight w:val="none"/>
        </w:rPr>
      </w:pPr>
    </w:p>
    <w:p w14:paraId="0C1FD2F9">
      <w:pPr>
        <w:widowControl/>
        <w:spacing w:line="360" w:lineRule="auto"/>
        <w:jc w:val="left"/>
        <w:rPr>
          <w:b/>
          <w:sz w:val="24"/>
          <w:highlight w:val="none"/>
        </w:rPr>
      </w:pPr>
    </w:p>
    <w:p w14:paraId="5D243150">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279D0F20">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10AC7C22">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694C1164">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28EDB5E7">
      <w:pPr>
        <w:tabs>
          <w:tab w:val="left" w:pos="900"/>
          <w:tab w:val="left" w:pos="1980"/>
        </w:tabs>
        <w:snapToGrid w:val="0"/>
        <w:spacing w:line="360" w:lineRule="auto"/>
        <w:ind w:left="142"/>
        <w:rPr>
          <w:sz w:val="24"/>
          <w:highlight w:val="none"/>
        </w:rPr>
      </w:pPr>
    </w:p>
    <w:p w14:paraId="6A9A289B">
      <w:pPr>
        <w:widowControl/>
        <w:jc w:val="left"/>
        <w:rPr>
          <w:sz w:val="24"/>
          <w:highlight w:val="none"/>
        </w:rPr>
      </w:pPr>
      <w:r>
        <w:rPr>
          <w:sz w:val="24"/>
          <w:highlight w:val="none"/>
        </w:rPr>
        <w:br w:type="page"/>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0ED4C5C4">
      <w:pPr>
        <w:rPr>
          <w:b/>
          <w:spacing w:val="20"/>
          <w:szCs w:val="21"/>
          <w:highlight w:val="none"/>
        </w:rPr>
      </w:pPr>
    </w:p>
    <w:p w14:paraId="38932910">
      <w:pPr>
        <w:rPr>
          <w:b/>
          <w:sz w:val="24"/>
          <w:highlight w:val="none"/>
        </w:rPr>
      </w:pPr>
      <w:r>
        <w:rPr>
          <w:b/>
          <w:spacing w:val="20"/>
          <w:sz w:val="24"/>
          <w:highlight w:val="none"/>
        </w:rPr>
        <w:t>响应文件</w:t>
      </w:r>
      <w:r>
        <w:rPr>
          <w:b/>
          <w:sz w:val="24"/>
          <w:highlight w:val="none"/>
        </w:rPr>
        <w:t>封面（非实质性格式）</w:t>
      </w:r>
    </w:p>
    <w:p w14:paraId="1C3EFBE1">
      <w:pPr>
        <w:jc w:val="center"/>
        <w:rPr>
          <w:rFonts w:hint="eastAsia"/>
          <w:szCs w:val="21"/>
          <w:highlight w:val="none"/>
        </w:rPr>
      </w:pPr>
    </w:p>
    <w:p w14:paraId="61E95C7A">
      <w:pPr>
        <w:jc w:val="center"/>
        <w:rPr>
          <w:szCs w:val="21"/>
          <w:highlight w:val="none"/>
        </w:rPr>
      </w:pPr>
    </w:p>
    <w:p w14:paraId="69876F0F">
      <w:pPr>
        <w:jc w:val="center"/>
        <w:rPr>
          <w:b/>
          <w:spacing w:val="60"/>
          <w:sz w:val="84"/>
          <w:szCs w:val="84"/>
          <w:highlight w:val="none"/>
        </w:rPr>
      </w:pPr>
      <w:r>
        <w:rPr>
          <w:b/>
          <w:spacing w:val="60"/>
          <w:sz w:val="84"/>
          <w:szCs w:val="84"/>
          <w:highlight w:val="none"/>
        </w:rPr>
        <w:t>响 应 文 件</w:t>
      </w:r>
    </w:p>
    <w:p w14:paraId="30B93DDE">
      <w:pPr>
        <w:jc w:val="center"/>
        <w:rPr>
          <w:b/>
          <w:spacing w:val="60"/>
          <w:sz w:val="52"/>
          <w:szCs w:val="52"/>
          <w:highlight w:val="none"/>
        </w:rPr>
      </w:pPr>
    </w:p>
    <w:p w14:paraId="472BE0AB">
      <w:pPr>
        <w:ind w:firstLine="542" w:firstLineChars="150"/>
        <w:rPr>
          <w:b/>
          <w:spacing w:val="20"/>
          <w:sz w:val="32"/>
          <w:szCs w:val="32"/>
          <w:highlight w:val="none"/>
        </w:rPr>
      </w:pPr>
    </w:p>
    <w:p w14:paraId="4AB71D4B">
      <w:pPr>
        <w:ind w:firstLine="542" w:firstLineChars="150"/>
        <w:rPr>
          <w:b/>
          <w:spacing w:val="20"/>
          <w:sz w:val="32"/>
          <w:szCs w:val="32"/>
          <w:highlight w:val="none"/>
        </w:rPr>
      </w:pPr>
    </w:p>
    <w:p w14:paraId="66D38DE2">
      <w:pPr>
        <w:ind w:firstLine="542" w:firstLineChars="150"/>
        <w:rPr>
          <w:b/>
          <w:spacing w:val="20"/>
          <w:sz w:val="32"/>
          <w:szCs w:val="32"/>
          <w:highlight w:val="none"/>
        </w:rPr>
      </w:pPr>
      <w:r>
        <w:rPr>
          <w:b/>
          <w:spacing w:val="20"/>
          <w:sz w:val="32"/>
          <w:szCs w:val="32"/>
          <w:highlight w:val="none"/>
        </w:rPr>
        <w:t>项目名称:</w:t>
      </w:r>
    </w:p>
    <w:p w14:paraId="69749526">
      <w:pPr>
        <w:ind w:firstLine="542" w:firstLineChars="150"/>
        <w:rPr>
          <w:b/>
          <w:spacing w:val="20"/>
          <w:sz w:val="32"/>
          <w:szCs w:val="32"/>
          <w:highlight w:val="none"/>
        </w:rPr>
      </w:pPr>
      <w:r>
        <w:rPr>
          <w:b/>
          <w:spacing w:val="20"/>
          <w:sz w:val="32"/>
          <w:szCs w:val="32"/>
          <w:highlight w:val="none"/>
        </w:rPr>
        <w:t>项目编号/包号：</w:t>
      </w:r>
    </w:p>
    <w:p w14:paraId="61072779">
      <w:pPr>
        <w:ind w:firstLine="542" w:firstLineChars="150"/>
        <w:rPr>
          <w:b/>
          <w:spacing w:val="20"/>
          <w:sz w:val="32"/>
          <w:szCs w:val="32"/>
          <w:highlight w:val="none"/>
        </w:rPr>
      </w:pPr>
    </w:p>
    <w:p w14:paraId="6147B89C">
      <w:pPr>
        <w:ind w:firstLine="542" w:firstLineChars="150"/>
        <w:rPr>
          <w:b/>
          <w:spacing w:val="20"/>
          <w:sz w:val="32"/>
          <w:szCs w:val="32"/>
          <w:highlight w:val="none"/>
        </w:rPr>
      </w:pPr>
    </w:p>
    <w:p w14:paraId="4F8E34AB">
      <w:pPr>
        <w:jc w:val="center"/>
        <w:rPr>
          <w:b/>
          <w:sz w:val="32"/>
          <w:szCs w:val="32"/>
          <w:highlight w:val="none"/>
        </w:rPr>
      </w:pPr>
    </w:p>
    <w:p w14:paraId="53A8EB26">
      <w:pPr>
        <w:jc w:val="center"/>
        <w:rPr>
          <w:b/>
          <w:sz w:val="32"/>
          <w:szCs w:val="32"/>
          <w:highlight w:val="none"/>
        </w:rPr>
      </w:pPr>
    </w:p>
    <w:p w14:paraId="6E4D01A3">
      <w:pPr>
        <w:jc w:val="center"/>
        <w:rPr>
          <w:b/>
          <w:sz w:val="32"/>
          <w:szCs w:val="32"/>
          <w:highlight w:val="none"/>
        </w:rPr>
      </w:pPr>
    </w:p>
    <w:p w14:paraId="1363F595">
      <w:pPr>
        <w:jc w:val="center"/>
        <w:rPr>
          <w:b/>
          <w:spacing w:val="20"/>
          <w:sz w:val="32"/>
          <w:szCs w:val="32"/>
          <w:highlight w:val="none"/>
        </w:rPr>
      </w:pPr>
    </w:p>
    <w:p w14:paraId="5406D300">
      <w:pPr>
        <w:jc w:val="center"/>
        <w:rPr>
          <w:b/>
          <w:spacing w:val="20"/>
          <w:sz w:val="32"/>
          <w:szCs w:val="32"/>
          <w:highlight w:val="none"/>
        </w:rPr>
      </w:pPr>
    </w:p>
    <w:p w14:paraId="02BAA45C">
      <w:pPr>
        <w:jc w:val="center"/>
        <w:rPr>
          <w:b/>
          <w:spacing w:val="20"/>
          <w:sz w:val="32"/>
          <w:szCs w:val="32"/>
          <w:highlight w:val="none"/>
        </w:rPr>
      </w:pPr>
    </w:p>
    <w:p w14:paraId="332E99E8">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022C9F84">
      <w:pPr>
        <w:jc w:val="center"/>
        <w:rPr>
          <w:b/>
          <w:sz w:val="32"/>
          <w:szCs w:val="32"/>
          <w:highlight w:val="none"/>
        </w:rPr>
      </w:pPr>
    </w:p>
    <w:p w14:paraId="0CB7787F">
      <w:pPr>
        <w:rPr>
          <w:b/>
          <w:highlight w:val="none"/>
        </w:rPr>
      </w:pPr>
      <w:r>
        <w:rPr>
          <w:b/>
          <w:spacing w:val="20"/>
          <w:sz w:val="32"/>
          <w:szCs w:val="32"/>
          <w:highlight w:val="none"/>
        </w:rPr>
        <w:br w:type="page"/>
      </w:r>
    </w:p>
    <w:p w14:paraId="6F5EA88A">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147C772A">
      <w:pPr>
        <w:spacing w:line="360" w:lineRule="auto"/>
        <w:outlineLvl w:val="2"/>
        <w:rPr>
          <w:sz w:val="24"/>
          <w:highlight w:val="none"/>
        </w:rPr>
      </w:pPr>
      <w:r>
        <w:rPr>
          <w:sz w:val="24"/>
          <w:highlight w:val="none"/>
        </w:rPr>
        <w:t>1-1营业执照等证明文件</w:t>
      </w:r>
    </w:p>
    <w:p w14:paraId="0B1C05E7">
      <w:pPr>
        <w:tabs>
          <w:tab w:val="left" w:pos="1080"/>
        </w:tabs>
        <w:snapToGrid w:val="0"/>
        <w:rPr>
          <w:sz w:val="24"/>
          <w:highlight w:val="none"/>
        </w:rPr>
      </w:pPr>
    </w:p>
    <w:p w14:paraId="0D9DA97C">
      <w:pPr>
        <w:widowControl/>
        <w:jc w:val="left"/>
        <w:outlineLvl w:val="2"/>
        <w:rPr>
          <w:bCs/>
          <w:highlight w:val="none"/>
        </w:rPr>
      </w:pPr>
      <w:r>
        <w:rPr>
          <w:sz w:val="24"/>
          <w:highlight w:val="none"/>
        </w:rPr>
        <w:br w:type="page"/>
      </w:r>
      <w:r>
        <w:rPr>
          <w:rFonts w:hint="eastAsia" w:ascii="宋体" w:hAnsi="宋体" w:cs="宋体"/>
          <w:sz w:val="24"/>
          <w:highlight w:val="none"/>
        </w:rPr>
        <w:t>1-2 供应商资格声明书</w:t>
      </w:r>
    </w:p>
    <w:p w14:paraId="48770607">
      <w:pPr>
        <w:jc w:val="center"/>
        <w:rPr>
          <w:b/>
          <w:sz w:val="36"/>
          <w:szCs w:val="36"/>
          <w:highlight w:val="none"/>
        </w:rPr>
      </w:pPr>
      <w:r>
        <w:rPr>
          <w:rFonts w:hint="eastAsia"/>
          <w:b/>
          <w:sz w:val="36"/>
          <w:szCs w:val="36"/>
          <w:highlight w:val="none"/>
        </w:rPr>
        <w:t>供应商资格声明书</w:t>
      </w:r>
    </w:p>
    <w:p w14:paraId="31724CEE">
      <w:pPr>
        <w:tabs>
          <w:tab w:val="left" w:pos="5580"/>
        </w:tabs>
        <w:spacing w:line="360" w:lineRule="auto"/>
        <w:rPr>
          <w:sz w:val="24"/>
          <w:highlight w:val="none"/>
        </w:rPr>
      </w:pPr>
    </w:p>
    <w:p w14:paraId="61E3A8A4">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7B008ABB">
      <w:pPr>
        <w:spacing w:line="360" w:lineRule="auto"/>
        <w:ind w:firstLine="480" w:firstLineChars="200"/>
        <w:rPr>
          <w:sz w:val="24"/>
          <w:highlight w:val="none"/>
        </w:rPr>
      </w:pPr>
      <w:r>
        <w:rPr>
          <w:sz w:val="24"/>
          <w:highlight w:val="none"/>
        </w:rPr>
        <w:t>在参与本次项目磋商中，我单位承诺：</w:t>
      </w:r>
    </w:p>
    <w:p w14:paraId="6FD17D68">
      <w:pPr>
        <w:numPr>
          <w:ilvl w:val="0"/>
          <w:numId w:val="30"/>
        </w:numPr>
        <w:spacing w:line="360" w:lineRule="auto"/>
        <w:ind w:left="1134"/>
        <w:rPr>
          <w:sz w:val="24"/>
          <w:szCs w:val="22"/>
          <w:highlight w:val="none"/>
        </w:rPr>
      </w:pPr>
      <w:r>
        <w:rPr>
          <w:sz w:val="24"/>
          <w:szCs w:val="22"/>
          <w:highlight w:val="none"/>
        </w:rPr>
        <w:t>具有良好的商业信誉和健全的财务会计制度；</w:t>
      </w:r>
    </w:p>
    <w:p w14:paraId="4C3B2330">
      <w:pPr>
        <w:numPr>
          <w:ilvl w:val="0"/>
          <w:numId w:val="30"/>
        </w:numPr>
        <w:spacing w:line="360" w:lineRule="auto"/>
        <w:ind w:left="1134"/>
        <w:rPr>
          <w:sz w:val="24"/>
          <w:szCs w:val="22"/>
          <w:highlight w:val="none"/>
        </w:rPr>
      </w:pPr>
      <w:r>
        <w:rPr>
          <w:sz w:val="24"/>
          <w:szCs w:val="22"/>
          <w:highlight w:val="none"/>
        </w:rPr>
        <w:t>具有履行合同所必需的设备和专业技术能力；</w:t>
      </w:r>
    </w:p>
    <w:p w14:paraId="769A73BF">
      <w:pPr>
        <w:numPr>
          <w:ilvl w:val="0"/>
          <w:numId w:val="30"/>
        </w:numPr>
        <w:spacing w:line="360" w:lineRule="auto"/>
        <w:ind w:left="1134"/>
        <w:rPr>
          <w:sz w:val="24"/>
          <w:szCs w:val="22"/>
          <w:highlight w:val="none"/>
        </w:rPr>
      </w:pPr>
      <w:r>
        <w:rPr>
          <w:sz w:val="24"/>
          <w:szCs w:val="22"/>
          <w:highlight w:val="none"/>
        </w:rPr>
        <w:t>有依法缴纳税收和社会保障资金的良好记录；</w:t>
      </w:r>
    </w:p>
    <w:p w14:paraId="2A195F2B">
      <w:pPr>
        <w:numPr>
          <w:ilvl w:val="0"/>
          <w:numId w:val="30"/>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ED9082E">
      <w:pPr>
        <w:numPr>
          <w:ilvl w:val="0"/>
          <w:numId w:val="30"/>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597089D4">
      <w:pPr>
        <w:numPr>
          <w:ilvl w:val="0"/>
          <w:numId w:val="30"/>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6DA170D5">
      <w:pPr>
        <w:numPr>
          <w:ilvl w:val="0"/>
          <w:numId w:val="30"/>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42B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EDDDBAE">
            <w:pPr>
              <w:jc w:val="center"/>
              <w:rPr>
                <w:sz w:val="24"/>
                <w:highlight w:val="none"/>
              </w:rPr>
            </w:pPr>
            <w:r>
              <w:rPr>
                <w:sz w:val="24"/>
                <w:highlight w:val="none"/>
              </w:rPr>
              <w:t>序号</w:t>
            </w:r>
          </w:p>
        </w:tc>
        <w:tc>
          <w:tcPr>
            <w:tcW w:w="4574" w:type="dxa"/>
            <w:noWrap w:val="0"/>
            <w:vAlign w:val="center"/>
          </w:tcPr>
          <w:p w14:paraId="5C83779C">
            <w:pPr>
              <w:jc w:val="center"/>
              <w:rPr>
                <w:sz w:val="24"/>
                <w:highlight w:val="none"/>
              </w:rPr>
            </w:pPr>
            <w:r>
              <w:rPr>
                <w:sz w:val="24"/>
                <w:highlight w:val="none"/>
              </w:rPr>
              <w:t>单位名称</w:t>
            </w:r>
          </w:p>
        </w:tc>
        <w:tc>
          <w:tcPr>
            <w:tcW w:w="2976" w:type="dxa"/>
            <w:noWrap w:val="0"/>
            <w:vAlign w:val="center"/>
          </w:tcPr>
          <w:p w14:paraId="0F308F03">
            <w:pPr>
              <w:jc w:val="center"/>
              <w:rPr>
                <w:sz w:val="24"/>
                <w:highlight w:val="none"/>
              </w:rPr>
            </w:pPr>
            <w:r>
              <w:rPr>
                <w:sz w:val="24"/>
                <w:highlight w:val="none"/>
              </w:rPr>
              <w:t>相互关系</w:t>
            </w:r>
          </w:p>
        </w:tc>
      </w:tr>
      <w:tr w14:paraId="5497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C65AA9F">
            <w:pPr>
              <w:jc w:val="center"/>
              <w:rPr>
                <w:sz w:val="24"/>
                <w:highlight w:val="none"/>
              </w:rPr>
            </w:pPr>
            <w:r>
              <w:rPr>
                <w:sz w:val="24"/>
                <w:highlight w:val="none"/>
              </w:rPr>
              <w:t>1</w:t>
            </w:r>
          </w:p>
        </w:tc>
        <w:tc>
          <w:tcPr>
            <w:tcW w:w="4574" w:type="dxa"/>
            <w:noWrap w:val="0"/>
            <w:vAlign w:val="center"/>
          </w:tcPr>
          <w:p w14:paraId="54CE5D1F">
            <w:pPr>
              <w:jc w:val="center"/>
              <w:rPr>
                <w:sz w:val="24"/>
                <w:highlight w:val="none"/>
              </w:rPr>
            </w:pPr>
          </w:p>
        </w:tc>
        <w:tc>
          <w:tcPr>
            <w:tcW w:w="2976" w:type="dxa"/>
            <w:noWrap w:val="0"/>
            <w:vAlign w:val="center"/>
          </w:tcPr>
          <w:p w14:paraId="13AEB46D">
            <w:pPr>
              <w:jc w:val="center"/>
              <w:rPr>
                <w:sz w:val="24"/>
                <w:highlight w:val="none"/>
              </w:rPr>
            </w:pPr>
          </w:p>
        </w:tc>
      </w:tr>
      <w:tr w14:paraId="71DF9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CB25B30">
            <w:pPr>
              <w:jc w:val="center"/>
              <w:rPr>
                <w:sz w:val="24"/>
                <w:highlight w:val="none"/>
              </w:rPr>
            </w:pPr>
            <w:r>
              <w:rPr>
                <w:sz w:val="24"/>
                <w:highlight w:val="none"/>
              </w:rPr>
              <w:t>2</w:t>
            </w:r>
          </w:p>
        </w:tc>
        <w:tc>
          <w:tcPr>
            <w:tcW w:w="4574" w:type="dxa"/>
            <w:noWrap w:val="0"/>
            <w:vAlign w:val="center"/>
          </w:tcPr>
          <w:p w14:paraId="6B199509">
            <w:pPr>
              <w:jc w:val="center"/>
              <w:rPr>
                <w:sz w:val="24"/>
                <w:highlight w:val="none"/>
              </w:rPr>
            </w:pPr>
          </w:p>
        </w:tc>
        <w:tc>
          <w:tcPr>
            <w:tcW w:w="2976" w:type="dxa"/>
            <w:noWrap w:val="0"/>
            <w:vAlign w:val="center"/>
          </w:tcPr>
          <w:p w14:paraId="3A109112">
            <w:pPr>
              <w:jc w:val="center"/>
              <w:rPr>
                <w:sz w:val="24"/>
                <w:highlight w:val="none"/>
              </w:rPr>
            </w:pPr>
          </w:p>
        </w:tc>
      </w:tr>
      <w:tr w14:paraId="5AA8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72C6574">
            <w:pPr>
              <w:jc w:val="center"/>
              <w:rPr>
                <w:sz w:val="24"/>
                <w:highlight w:val="none"/>
              </w:rPr>
            </w:pPr>
            <w:r>
              <w:rPr>
                <w:sz w:val="24"/>
                <w:highlight w:val="none"/>
              </w:rPr>
              <w:t>…</w:t>
            </w:r>
          </w:p>
        </w:tc>
        <w:tc>
          <w:tcPr>
            <w:tcW w:w="4574" w:type="dxa"/>
            <w:noWrap w:val="0"/>
            <w:vAlign w:val="center"/>
          </w:tcPr>
          <w:p w14:paraId="2612113B">
            <w:pPr>
              <w:jc w:val="center"/>
              <w:rPr>
                <w:sz w:val="24"/>
                <w:highlight w:val="none"/>
              </w:rPr>
            </w:pPr>
          </w:p>
        </w:tc>
        <w:tc>
          <w:tcPr>
            <w:tcW w:w="2976" w:type="dxa"/>
            <w:noWrap w:val="0"/>
            <w:vAlign w:val="center"/>
          </w:tcPr>
          <w:p w14:paraId="30A4E50C">
            <w:pPr>
              <w:jc w:val="center"/>
              <w:rPr>
                <w:sz w:val="24"/>
                <w:highlight w:val="none"/>
              </w:rPr>
            </w:pPr>
          </w:p>
        </w:tc>
      </w:tr>
    </w:tbl>
    <w:p w14:paraId="53CC3DF6">
      <w:pPr>
        <w:rPr>
          <w:highlight w:val="none"/>
        </w:rPr>
      </w:pPr>
    </w:p>
    <w:p w14:paraId="749BAC79">
      <w:pPr>
        <w:ind w:firstLine="480" w:firstLineChars="200"/>
        <w:rPr>
          <w:sz w:val="24"/>
          <w:szCs w:val="22"/>
          <w:highlight w:val="none"/>
        </w:rPr>
      </w:pPr>
      <w:r>
        <w:rPr>
          <w:sz w:val="24"/>
          <w:highlight w:val="none"/>
        </w:rPr>
        <w:t>上述声明真实有效，否则我方负全部责任。</w:t>
      </w:r>
    </w:p>
    <w:p w14:paraId="7B430309">
      <w:pPr>
        <w:spacing w:line="360" w:lineRule="auto"/>
        <w:rPr>
          <w:sz w:val="24"/>
          <w:highlight w:val="none"/>
        </w:rPr>
      </w:pPr>
    </w:p>
    <w:p w14:paraId="5E273429">
      <w:pPr>
        <w:autoSpaceDE w:val="0"/>
        <w:autoSpaceDN w:val="0"/>
        <w:adjustRightInd w:val="0"/>
        <w:snapToGrid w:val="0"/>
        <w:spacing w:before="25" w:after="25" w:line="360" w:lineRule="auto"/>
        <w:ind w:right="360"/>
        <w:jc w:val="righ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1087A6FB">
      <w:pPr>
        <w:spacing w:line="360" w:lineRule="auto"/>
        <w:ind w:right="360" w:firstLine="480"/>
        <w:jc w:val="right"/>
        <w:rPr>
          <w:sz w:val="24"/>
          <w:highlight w:val="none"/>
        </w:rPr>
      </w:pPr>
      <w:r>
        <w:rPr>
          <w:sz w:val="24"/>
          <w:szCs w:val="20"/>
          <w:highlight w:val="none"/>
        </w:rPr>
        <w:t xml:space="preserve">日期：____年____月____日   </w:t>
      </w:r>
    </w:p>
    <w:p w14:paraId="2A9398F0">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3631A851">
      <w:pPr>
        <w:tabs>
          <w:tab w:val="left" w:pos="5580"/>
        </w:tabs>
        <w:spacing w:line="360" w:lineRule="auto"/>
        <w:rPr>
          <w:sz w:val="24"/>
          <w:highlight w:val="none"/>
        </w:rPr>
        <w:sectPr>
          <w:headerReference r:id="rId26" w:type="default"/>
          <w:footerReference r:id="rId27" w:type="default"/>
          <w:pgSz w:w="11907" w:h="16840"/>
          <w:pgMar w:top="1418" w:right="1134" w:bottom="1418" w:left="1701" w:header="851" w:footer="851" w:gutter="0"/>
          <w:cols w:space="720" w:num="1"/>
          <w:docGrid w:linePitch="462" w:charSpace="0"/>
        </w:sectPr>
      </w:pPr>
    </w:p>
    <w:p w14:paraId="5AA33977">
      <w:pPr>
        <w:tabs>
          <w:tab w:val="left" w:pos="360"/>
        </w:tabs>
        <w:snapToGrid w:val="0"/>
        <w:spacing w:line="360" w:lineRule="auto"/>
        <w:outlineLvl w:val="1"/>
        <w:rPr>
          <w:sz w:val="24"/>
          <w:highlight w:val="none"/>
        </w:rPr>
      </w:pPr>
      <w:r>
        <w:rPr>
          <w:sz w:val="24"/>
          <w:highlight w:val="none"/>
        </w:rPr>
        <w:t>2 落实政府采购政策需满足的资格要求（如有）</w:t>
      </w:r>
    </w:p>
    <w:p w14:paraId="60137DAD">
      <w:pPr>
        <w:spacing w:line="360" w:lineRule="auto"/>
        <w:outlineLvl w:val="2"/>
        <w:rPr>
          <w:rFonts w:hint="eastAsia"/>
          <w:sz w:val="24"/>
          <w:szCs w:val="20"/>
          <w:highlight w:val="none"/>
        </w:rPr>
      </w:pPr>
      <w:r>
        <w:rPr>
          <w:sz w:val="24"/>
          <w:szCs w:val="20"/>
          <w:highlight w:val="none"/>
        </w:rPr>
        <w:t>2-1中小企业</w:t>
      </w:r>
      <w:r>
        <w:rPr>
          <w:rFonts w:hint="eastAsia"/>
          <w:sz w:val="24"/>
          <w:szCs w:val="20"/>
          <w:highlight w:val="none"/>
        </w:rPr>
        <w:t>证明文件</w:t>
      </w:r>
    </w:p>
    <w:p w14:paraId="7DE643E2">
      <w:pPr>
        <w:tabs>
          <w:tab w:val="left" w:pos="5580"/>
        </w:tabs>
        <w:spacing w:line="360" w:lineRule="auto"/>
        <w:rPr>
          <w:sz w:val="24"/>
          <w:highlight w:val="none"/>
        </w:rPr>
      </w:pPr>
    </w:p>
    <w:p w14:paraId="5F1489C0">
      <w:pPr>
        <w:tabs>
          <w:tab w:val="left" w:pos="5580"/>
        </w:tabs>
        <w:spacing w:line="360" w:lineRule="auto"/>
        <w:rPr>
          <w:sz w:val="24"/>
          <w:highlight w:val="none"/>
        </w:rPr>
      </w:pPr>
      <w:r>
        <w:rPr>
          <w:sz w:val="24"/>
          <w:highlight w:val="none"/>
        </w:rPr>
        <w:t>说明：</w:t>
      </w:r>
    </w:p>
    <w:p w14:paraId="3E9D4150">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sz w:val="24"/>
          <w:highlight w:val="none"/>
        </w:rPr>
        <w:t>否则不享受相关中小企业扶持政策。</w:t>
      </w:r>
    </w:p>
    <w:p w14:paraId="6C8A8855">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58A2D57F">
      <w:pPr>
        <w:tabs>
          <w:tab w:val="left" w:pos="5580"/>
        </w:tabs>
        <w:spacing w:line="360" w:lineRule="auto"/>
        <w:rPr>
          <w:rFonts w:hint="eastAsia"/>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D207566">
      <w:pPr>
        <w:tabs>
          <w:tab w:val="left" w:pos="5580"/>
        </w:tabs>
        <w:spacing w:line="360" w:lineRule="auto"/>
        <w:rPr>
          <w:rFonts w:hint="eastAsia"/>
          <w:sz w:val="24"/>
          <w:highlight w:val="none"/>
        </w:rPr>
      </w:pPr>
      <w:r>
        <w:rPr>
          <w:sz w:val="24"/>
          <w:highlight w:val="none"/>
        </w:rPr>
        <w:t>（4）</w:t>
      </w:r>
      <w:r>
        <w:rPr>
          <w:rFonts w:hint="eastAsia"/>
          <w:sz w:val="24"/>
          <w:highlight w:val="none"/>
        </w:rPr>
        <w:t>中小企业声明函填写注意事项 1）《中小企业声明函》由参加政府采购活动的供应</w:t>
      </w:r>
    </w:p>
    <w:p w14:paraId="36A51505">
      <w:pPr>
        <w:tabs>
          <w:tab w:val="left" w:pos="5580"/>
        </w:tabs>
        <w:spacing w:line="360" w:lineRule="auto"/>
        <w:rPr>
          <w:rFonts w:hint="eastAsia"/>
          <w:sz w:val="24"/>
          <w:highlight w:val="none"/>
        </w:rPr>
      </w:pPr>
      <w:r>
        <w:rPr>
          <w:rFonts w:hint="eastAsia"/>
          <w:sz w:val="24"/>
          <w:highlight w:val="none"/>
        </w:rPr>
        <w:t>商出具。联合体参与的，《中小企业声明函》可由牵头人出具。</w:t>
      </w:r>
    </w:p>
    <w:p w14:paraId="2BE37983">
      <w:pPr>
        <w:tabs>
          <w:tab w:val="left" w:pos="5580"/>
        </w:tabs>
        <w:spacing w:line="360" w:lineRule="auto"/>
        <w:rPr>
          <w:rFonts w:hint="eastAsia"/>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C393E2B">
      <w:pPr>
        <w:tabs>
          <w:tab w:val="left" w:pos="5580"/>
        </w:tabs>
        <w:spacing w:line="360" w:lineRule="auto"/>
        <w:rPr>
          <w:rFonts w:hint="eastAsia"/>
          <w:sz w:val="24"/>
          <w:highlight w:val="none"/>
        </w:rPr>
      </w:pPr>
      <w:r>
        <w:rPr>
          <w:rFonts w:hint="eastAsia"/>
          <w:sz w:val="24"/>
          <w:highlight w:val="none"/>
        </w:rPr>
        <w:t>3）对于多标的采购项目，供应商应充分、准确地了解所提供货物的制造企业、提供服</w:t>
      </w:r>
    </w:p>
    <w:p w14:paraId="4A7CABB2">
      <w:pPr>
        <w:tabs>
          <w:tab w:val="left" w:pos="5580"/>
        </w:tabs>
        <w:spacing w:line="360" w:lineRule="auto"/>
        <w:rPr>
          <w:rFonts w:hint="eastAsia"/>
          <w:sz w:val="24"/>
          <w:highlight w:val="none"/>
        </w:rPr>
      </w:pPr>
      <w:r>
        <w:rPr>
          <w:rFonts w:hint="eastAsia"/>
          <w:sz w:val="24"/>
          <w:highlight w:val="none"/>
        </w:rPr>
        <w:t>务的承接企业信息。对相关情况了解不清楚的，不建议填报本声明函。</w:t>
      </w:r>
    </w:p>
    <w:p w14:paraId="7FA2F758">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3730FE7">
      <w:pPr>
        <w:widowControl/>
        <w:jc w:val="left"/>
        <w:outlineLvl w:val="2"/>
        <w:rPr>
          <w:sz w:val="24"/>
          <w:highlight w:val="none"/>
        </w:rPr>
      </w:pPr>
      <w:r>
        <w:rPr>
          <w:sz w:val="24"/>
          <w:highlight w:val="none"/>
        </w:rPr>
        <w:br w:type="page"/>
      </w:r>
      <w:r>
        <w:rPr>
          <w:rFonts w:hint="eastAsia"/>
          <w:b/>
          <w:bCs/>
          <w:sz w:val="24"/>
          <w:highlight w:val="none"/>
        </w:rPr>
        <w:t>2-1-1  中小企业声明函及残疾人福利性单位声明函格式</w:t>
      </w:r>
    </w:p>
    <w:p w14:paraId="47BB84BF">
      <w:pPr>
        <w:spacing w:before="240" w:beforeLines="100" w:after="240" w:afterLines="100" w:line="360" w:lineRule="auto"/>
        <w:jc w:val="center"/>
        <w:rPr>
          <w:b/>
          <w:sz w:val="36"/>
          <w:szCs w:val="36"/>
          <w:highlight w:val="none"/>
        </w:rPr>
      </w:pPr>
      <w:r>
        <w:rPr>
          <w:b/>
          <w:bCs/>
          <w:sz w:val="36"/>
          <w:szCs w:val="36"/>
          <w:highlight w:val="none"/>
        </w:rPr>
        <w:t>中小企业声明函（货物）格式</w:t>
      </w:r>
    </w:p>
    <w:p w14:paraId="5295237E">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w:t>
      </w:r>
      <w:r>
        <w:rPr>
          <w:spacing w:val="6"/>
          <w:sz w:val="24"/>
          <w:highlight w:val="none"/>
          <w:u w:val="single"/>
        </w:rPr>
        <w:t>（单位名称）</w:t>
      </w:r>
      <w:r>
        <w:rPr>
          <w:rFonts w:hint="eastAsia"/>
          <w:spacing w:val="6"/>
          <w:sz w:val="24"/>
          <w:highlight w:val="none"/>
          <w:u w:val="single"/>
          <w:lang w:val="en-US" w:eastAsia="zh-CN"/>
        </w:rPr>
        <w:t xml:space="preserve"> </w:t>
      </w:r>
      <w:r>
        <w:rPr>
          <w:spacing w:val="6"/>
          <w:sz w:val="24"/>
          <w:highlight w:val="none"/>
        </w:rPr>
        <w:t>的</w:t>
      </w:r>
      <w:r>
        <w:rPr>
          <w:spacing w:val="6"/>
          <w:sz w:val="24"/>
          <w:highlight w:val="none"/>
          <w:u w:val="single"/>
        </w:rPr>
        <w:t>（项目名称）</w:t>
      </w:r>
      <w:r>
        <w:rPr>
          <w:rFonts w:hint="eastAsia"/>
          <w:spacing w:val="6"/>
          <w:sz w:val="24"/>
          <w:highlight w:val="none"/>
          <w:u w:val="single"/>
          <w:lang w:val="en-US" w:eastAsia="zh-CN"/>
        </w:rPr>
        <w:t xml:space="preserve"> </w:t>
      </w:r>
      <w:r>
        <w:rPr>
          <w:spacing w:val="6"/>
          <w:sz w:val="24"/>
          <w:highlight w:val="none"/>
        </w:rPr>
        <w:t>采购活动，提供的货物全部由符合政策要求的中小企业制造。相关企业（含联合体中的中小企业、签订分包意向协议的中小企业）的具体情况如下：</w:t>
      </w:r>
    </w:p>
    <w:p w14:paraId="22422C76">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4291A0B3">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764E8550">
      <w:pPr>
        <w:spacing w:line="360" w:lineRule="auto"/>
        <w:ind w:firstLine="504"/>
        <w:rPr>
          <w:spacing w:val="6"/>
          <w:sz w:val="24"/>
          <w:highlight w:val="none"/>
        </w:rPr>
      </w:pPr>
      <w:r>
        <w:rPr>
          <w:spacing w:val="6"/>
          <w:sz w:val="24"/>
          <w:highlight w:val="none"/>
        </w:rPr>
        <w:t>……</w:t>
      </w:r>
    </w:p>
    <w:p w14:paraId="0142BA5B">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126C8CEE">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7047409C">
      <w:pPr>
        <w:spacing w:line="360" w:lineRule="auto"/>
        <w:ind w:firstLine="504"/>
        <w:rPr>
          <w:spacing w:val="6"/>
          <w:sz w:val="24"/>
          <w:highlight w:val="none"/>
        </w:rPr>
      </w:pPr>
    </w:p>
    <w:p w14:paraId="71312E67">
      <w:pPr>
        <w:spacing w:line="360" w:lineRule="auto"/>
        <w:ind w:right="360" w:firstLine="480"/>
        <w:jc w:val="right"/>
        <w:rPr>
          <w:sz w:val="24"/>
          <w:highlight w:val="none"/>
        </w:rPr>
      </w:pPr>
      <w:r>
        <w:rPr>
          <w:sz w:val="24"/>
          <w:highlight w:val="none"/>
        </w:rPr>
        <w:t>企业名称（盖章）：______</w:t>
      </w:r>
    </w:p>
    <w:p w14:paraId="34D6F959">
      <w:pPr>
        <w:spacing w:line="360" w:lineRule="auto"/>
        <w:ind w:right="360" w:firstLine="480"/>
        <w:jc w:val="right"/>
        <w:rPr>
          <w:sz w:val="24"/>
          <w:highlight w:val="none"/>
        </w:rPr>
      </w:pPr>
      <w:r>
        <w:rPr>
          <w:sz w:val="24"/>
          <w:highlight w:val="none"/>
        </w:rPr>
        <w:t>日 期：______</w:t>
      </w:r>
    </w:p>
    <w:p w14:paraId="5C50F951">
      <w:pPr>
        <w:spacing w:line="360" w:lineRule="auto"/>
        <w:ind w:right="360" w:firstLine="480"/>
        <w:jc w:val="right"/>
        <w:rPr>
          <w:sz w:val="24"/>
          <w:highlight w:val="none"/>
        </w:rPr>
      </w:pPr>
    </w:p>
    <w:p w14:paraId="56971D7B">
      <w:pPr>
        <w:spacing w:line="360" w:lineRule="auto"/>
        <w:ind w:right="360" w:firstLine="480"/>
        <w:jc w:val="right"/>
        <w:rPr>
          <w:sz w:val="24"/>
          <w:highlight w:val="none"/>
        </w:rPr>
      </w:pPr>
    </w:p>
    <w:tbl>
      <w:tblPr>
        <w:tblStyle w:val="6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6C4CE0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36B6B56A">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21E836D4">
      <w:pPr>
        <w:autoSpaceDE w:val="0"/>
        <w:autoSpaceDN w:val="0"/>
        <w:adjustRightInd w:val="0"/>
        <w:ind w:firstLine="420"/>
        <w:jc w:val="left"/>
        <w:rPr>
          <w:sz w:val="24"/>
          <w:highlight w:val="none"/>
        </w:rPr>
      </w:pPr>
    </w:p>
    <w:p w14:paraId="0E4D0FAB">
      <w:pPr>
        <w:spacing w:line="360" w:lineRule="auto"/>
        <w:rPr>
          <w:sz w:val="24"/>
          <w:highlight w:val="none"/>
        </w:rPr>
      </w:pPr>
    </w:p>
    <w:p w14:paraId="35596A63">
      <w:pPr>
        <w:spacing w:before="240" w:beforeLines="100" w:after="240" w:afterLines="100" w:line="360" w:lineRule="auto"/>
        <w:jc w:val="center"/>
        <w:rPr>
          <w:b/>
          <w:bCs/>
          <w:sz w:val="36"/>
          <w:szCs w:val="36"/>
          <w:highlight w:val="none"/>
        </w:rPr>
      </w:pPr>
      <w:r>
        <w:rPr>
          <w:sz w:val="24"/>
          <w:highlight w:val="none"/>
        </w:rPr>
        <w:br w:type="page"/>
      </w:r>
      <w:r>
        <w:rPr>
          <w:b/>
          <w:bCs/>
          <w:sz w:val="36"/>
          <w:szCs w:val="36"/>
          <w:highlight w:val="none"/>
        </w:rPr>
        <w:t>中小企业声明函（工程、服务）格式</w:t>
      </w:r>
    </w:p>
    <w:p w14:paraId="7F4FA027">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w:t>
      </w:r>
      <w:r>
        <w:rPr>
          <w:spacing w:val="6"/>
          <w:sz w:val="24"/>
          <w:highlight w:val="none"/>
          <w:u w:val="single"/>
        </w:rPr>
        <w:t>（单位名称）</w:t>
      </w:r>
      <w:r>
        <w:rPr>
          <w:spacing w:val="6"/>
          <w:sz w:val="24"/>
          <w:highlight w:val="none"/>
        </w:rPr>
        <w:t>的</w:t>
      </w:r>
      <w:r>
        <w:rPr>
          <w:spacing w:val="6"/>
          <w:sz w:val="24"/>
          <w:highlight w:val="none"/>
          <w:u w:val="single"/>
        </w:rPr>
        <w:t>（项目名称）</w:t>
      </w:r>
      <w:r>
        <w:rPr>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C4C99B3">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3179D3F8">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7BCE1F86">
      <w:pPr>
        <w:spacing w:line="360" w:lineRule="auto"/>
        <w:ind w:firstLine="504"/>
        <w:rPr>
          <w:spacing w:val="6"/>
          <w:sz w:val="24"/>
          <w:highlight w:val="none"/>
        </w:rPr>
      </w:pPr>
    </w:p>
    <w:p w14:paraId="764863E1">
      <w:pPr>
        <w:spacing w:line="360" w:lineRule="auto"/>
        <w:ind w:firstLine="504"/>
        <w:rPr>
          <w:spacing w:val="6"/>
          <w:sz w:val="24"/>
          <w:highlight w:val="none"/>
        </w:rPr>
      </w:pPr>
      <w:r>
        <w:rPr>
          <w:spacing w:val="6"/>
          <w:sz w:val="24"/>
          <w:highlight w:val="none"/>
        </w:rPr>
        <w:t>……</w:t>
      </w:r>
    </w:p>
    <w:p w14:paraId="252C85F7">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03359D5">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29D51F5A">
      <w:pPr>
        <w:spacing w:line="360" w:lineRule="auto"/>
        <w:ind w:right="360" w:firstLine="480"/>
        <w:jc w:val="right"/>
        <w:rPr>
          <w:sz w:val="24"/>
          <w:highlight w:val="none"/>
        </w:rPr>
      </w:pPr>
    </w:p>
    <w:p w14:paraId="02550364">
      <w:pPr>
        <w:spacing w:line="360" w:lineRule="auto"/>
        <w:ind w:right="360" w:firstLine="480"/>
        <w:jc w:val="right"/>
        <w:rPr>
          <w:sz w:val="24"/>
          <w:highlight w:val="none"/>
        </w:rPr>
      </w:pPr>
      <w:r>
        <w:rPr>
          <w:sz w:val="24"/>
          <w:highlight w:val="none"/>
        </w:rPr>
        <w:t>企业名称（盖章）：______</w:t>
      </w:r>
    </w:p>
    <w:p w14:paraId="6820FA16">
      <w:pPr>
        <w:spacing w:line="360" w:lineRule="auto"/>
        <w:ind w:right="360" w:firstLine="480"/>
        <w:jc w:val="right"/>
        <w:rPr>
          <w:sz w:val="24"/>
          <w:highlight w:val="none"/>
        </w:rPr>
      </w:pPr>
      <w:r>
        <w:rPr>
          <w:sz w:val="24"/>
          <w:highlight w:val="none"/>
        </w:rPr>
        <w:t>日 期：______</w:t>
      </w:r>
    </w:p>
    <w:p w14:paraId="2BF08F21">
      <w:pPr>
        <w:adjustRightInd w:val="0"/>
        <w:snapToGrid w:val="0"/>
        <w:jc w:val="left"/>
        <w:rPr>
          <w:sz w:val="24"/>
          <w:szCs w:val="21"/>
          <w:highlight w:val="none"/>
        </w:rPr>
      </w:pPr>
    </w:p>
    <w:p w14:paraId="78FB4589">
      <w:pPr>
        <w:adjustRightInd w:val="0"/>
        <w:snapToGrid w:val="0"/>
        <w:jc w:val="left"/>
        <w:rPr>
          <w:sz w:val="24"/>
          <w:szCs w:val="21"/>
          <w:highlight w:val="none"/>
        </w:rPr>
      </w:pPr>
    </w:p>
    <w:tbl>
      <w:tblPr>
        <w:tblStyle w:val="6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71F41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8F45059">
            <w:pPr>
              <w:adjustRightInd w:val="0"/>
              <w:snapToGrid w:val="0"/>
              <w:jc w:val="left"/>
              <w:rPr>
                <w:szCs w:val="21"/>
                <w:highlight w:val="none"/>
              </w:rPr>
            </w:pPr>
            <w:r>
              <w:rPr>
                <w:szCs w:val="21"/>
                <w:highlight w:val="none"/>
                <w:vertAlign w:val="superscript"/>
              </w:rPr>
              <w:t>1</w:t>
            </w:r>
            <w:r>
              <w:rPr>
                <w:szCs w:val="21"/>
                <w:highlight w:val="none"/>
              </w:rPr>
              <w:t>从业人员、营业收入、资产总额填报上一年度数据，无上一年度数据的新成立企业可不填报。</w:t>
            </w:r>
          </w:p>
        </w:tc>
      </w:tr>
    </w:tbl>
    <w:p w14:paraId="6B878FA4">
      <w:pPr>
        <w:adjustRightInd w:val="0"/>
        <w:snapToGrid w:val="0"/>
        <w:jc w:val="left"/>
        <w:rPr>
          <w:szCs w:val="21"/>
          <w:highlight w:val="none"/>
          <w:vertAlign w:val="superscript"/>
        </w:rPr>
      </w:pPr>
    </w:p>
    <w:p w14:paraId="131ECCEE">
      <w:pPr>
        <w:spacing w:line="360" w:lineRule="auto"/>
        <w:ind w:right="360" w:firstLine="480"/>
        <w:jc w:val="right"/>
        <w:rPr>
          <w:sz w:val="24"/>
          <w:highlight w:val="none"/>
        </w:rPr>
      </w:pPr>
    </w:p>
    <w:p w14:paraId="2A2823ED">
      <w:pPr>
        <w:spacing w:line="360" w:lineRule="auto"/>
        <w:ind w:right="360" w:firstLine="480"/>
        <w:jc w:val="right"/>
        <w:rPr>
          <w:sz w:val="24"/>
          <w:highlight w:val="none"/>
        </w:rPr>
      </w:pPr>
    </w:p>
    <w:p w14:paraId="7F3E8EBF">
      <w:pPr>
        <w:spacing w:line="360" w:lineRule="auto"/>
        <w:rPr>
          <w:sz w:val="24"/>
          <w:szCs w:val="20"/>
          <w:highlight w:val="none"/>
        </w:rPr>
      </w:pPr>
      <w:r>
        <w:rPr>
          <w:sz w:val="24"/>
          <w:szCs w:val="20"/>
          <w:highlight w:val="none"/>
        </w:rPr>
        <w:br w:type="page"/>
      </w:r>
    </w:p>
    <w:p w14:paraId="3F0DCFBB">
      <w:pPr>
        <w:spacing w:before="240" w:beforeLines="100" w:after="240" w:afterLines="100" w:line="360" w:lineRule="auto"/>
        <w:jc w:val="center"/>
        <w:rPr>
          <w:b/>
          <w:sz w:val="36"/>
          <w:szCs w:val="36"/>
          <w:highlight w:val="none"/>
        </w:rPr>
      </w:pPr>
      <w:r>
        <w:rPr>
          <w:b/>
          <w:bCs/>
          <w:sz w:val="36"/>
          <w:szCs w:val="36"/>
          <w:highlight w:val="none"/>
        </w:rPr>
        <w:t>残疾人福利性单位声明函格式</w:t>
      </w:r>
      <w:r>
        <w:rPr>
          <w:b/>
          <w:sz w:val="36"/>
          <w:szCs w:val="36"/>
          <w:highlight w:val="none"/>
        </w:rPr>
        <w:t xml:space="preserve">       </w:t>
      </w:r>
    </w:p>
    <w:p w14:paraId="610A902E">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2A28FF2E">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63F8FE54">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2E6F390">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48B79E8A">
      <w:pPr>
        <w:spacing w:line="588" w:lineRule="exact"/>
        <w:ind w:firstLine="504" w:firstLineChars="200"/>
        <w:rPr>
          <w:spacing w:val="6"/>
          <w:sz w:val="24"/>
          <w:highlight w:val="none"/>
        </w:rPr>
      </w:pPr>
    </w:p>
    <w:p w14:paraId="30E7C1A6">
      <w:pPr>
        <w:spacing w:line="588" w:lineRule="exact"/>
        <w:ind w:firstLine="504" w:firstLineChars="200"/>
        <w:rPr>
          <w:spacing w:val="6"/>
          <w:sz w:val="24"/>
          <w:highlight w:val="none"/>
        </w:rPr>
      </w:pPr>
    </w:p>
    <w:p w14:paraId="1EB6BD37">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367838F2">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298B6F90">
      <w:pPr>
        <w:widowControl/>
        <w:jc w:val="left"/>
        <w:rPr>
          <w:sz w:val="24"/>
          <w:szCs w:val="20"/>
          <w:highlight w:val="none"/>
        </w:rPr>
      </w:pPr>
      <w:r>
        <w:rPr>
          <w:sz w:val="24"/>
          <w:szCs w:val="20"/>
          <w:highlight w:val="none"/>
        </w:rPr>
        <w:br w:type="page"/>
      </w:r>
    </w:p>
    <w:p w14:paraId="1E6CB5FC">
      <w:pPr>
        <w:spacing w:line="360" w:lineRule="auto"/>
        <w:outlineLvl w:val="2"/>
        <w:rPr>
          <w:sz w:val="24"/>
          <w:szCs w:val="20"/>
          <w:highlight w:val="none"/>
        </w:rPr>
      </w:pPr>
      <w:r>
        <w:rPr>
          <w:sz w:val="24"/>
          <w:szCs w:val="20"/>
          <w:highlight w:val="none"/>
        </w:rPr>
        <w:t>2-1-</w:t>
      </w:r>
      <w:r>
        <w:rPr>
          <w:rFonts w:hint="eastAsia"/>
          <w:sz w:val="24"/>
          <w:szCs w:val="20"/>
          <w:highlight w:val="none"/>
        </w:rPr>
        <w:t>2</w:t>
      </w:r>
      <w:r>
        <w:rPr>
          <w:sz w:val="24"/>
          <w:szCs w:val="20"/>
          <w:highlight w:val="none"/>
        </w:rPr>
        <w:t>拟分包情况说明及分包意向协议</w:t>
      </w:r>
    </w:p>
    <w:p w14:paraId="557BC96B">
      <w:pPr>
        <w:autoSpaceDE w:val="0"/>
        <w:autoSpaceDN w:val="0"/>
        <w:adjustRightInd w:val="0"/>
        <w:jc w:val="center"/>
        <w:rPr>
          <w:sz w:val="30"/>
          <w:szCs w:val="30"/>
          <w:highlight w:val="none"/>
        </w:rPr>
      </w:pPr>
    </w:p>
    <w:p w14:paraId="6B867579">
      <w:pPr>
        <w:autoSpaceDE w:val="0"/>
        <w:autoSpaceDN w:val="0"/>
        <w:adjustRightInd w:val="0"/>
        <w:spacing w:line="360" w:lineRule="auto"/>
        <w:jc w:val="center"/>
        <w:rPr>
          <w:b/>
          <w:sz w:val="36"/>
          <w:szCs w:val="36"/>
          <w:highlight w:val="none"/>
        </w:rPr>
      </w:pPr>
      <w:r>
        <w:rPr>
          <w:rFonts w:hint="eastAsia"/>
          <w:b/>
          <w:sz w:val="36"/>
          <w:szCs w:val="36"/>
          <w:highlight w:val="none"/>
        </w:rPr>
        <w:t>拟分包情况说明</w:t>
      </w:r>
    </w:p>
    <w:p w14:paraId="5DC03701">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2C400926">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6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1205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87A2086">
            <w:pPr>
              <w:pStyle w:val="273"/>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FC74E1A">
            <w:pPr>
              <w:pStyle w:val="273"/>
              <w:jc w:val="center"/>
              <w:rPr>
                <w:sz w:val="24"/>
                <w:highlight w:val="none"/>
              </w:rPr>
            </w:pPr>
            <w:r>
              <w:rPr>
                <w:rFonts w:hint="eastAsia"/>
                <w:sz w:val="24"/>
                <w:highlight w:val="none"/>
              </w:rPr>
              <w:t>分包承担</w:t>
            </w:r>
          </w:p>
          <w:p w14:paraId="6116B590">
            <w:pPr>
              <w:pStyle w:val="273"/>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C44871">
            <w:pPr>
              <w:pStyle w:val="273"/>
              <w:jc w:val="center"/>
              <w:rPr>
                <w:sz w:val="24"/>
                <w:highlight w:val="none"/>
                <w:lang w:eastAsia="zh-CN"/>
              </w:rPr>
            </w:pPr>
            <w:r>
              <w:rPr>
                <w:rFonts w:hint="eastAsia"/>
                <w:sz w:val="24"/>
                <w:highlight w:val="none"/>
                <w:lang w:eastAsia="zh-CN"/>
              </w:rPr>
              <w:t>分包承担</w:t>
            </w:r>
          </w:p>
          <w:p w14:paraId="31972D31">
            <w:pPr>
              <w:pStyle w:val="273"/>
              <w:jc w:val="center"/>
              <w:rPr>
                <w:sz w:val="24"/>
                <w:highlight w:val="none"/>
                <w:lang w:eastAsia="zh-CN"/>
              </w:rPr>
            </w:pPr>
            <w:r>
              <w:rPr>
                <w:rFonts w:hint="eastAsia"/>
                <w:sz w:val="24"/>
                <w:highlight w:val="none"/>
                <w:lang w:eastAsia="zh-CN"/>
              </w:rPr>
              <w:t>主体类型</w:t>
            </w:r>
          </w:p>
          <w:p w14:paraId="5F13E1B1">
            <w:pPr>
              <w:pStyle w:val="273"/>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866A71">
            <w:pPr>
              <w:pStyle w:val="273"/>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99691A4">
            <w:pPr>
              <w:pStyle w:val="273"/>
              <w:jc w:val="center"/>
              <w:rPr>
                <w:sz w:val="24"/>
                <w:highlight w:val="none"/>
              </w:rPr>
            </w:pPr>
            <w:r>
              <w:rPr>
                <w:rFonts w:hint="eastAsia"/>
                <w:sz w:val="24"/>
                <w:highlight w:val="none"/>
              </w:rPr>
              <w:t>拟分包</w:t>
            </w:r>
          </w:p>
          <w:p w14:paraId="72CB1125">
            <w:pPr>
              <w:pStyle w:val="273"/>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6E94490">
            <w:pPr>
              <w:pStyle w:val="273"/>
              <w:jc w:val="center"/>
              <w:rPr>
                <w:sz w:val="24"/>
                <w:highlight w:val="none"/>
                <w:lang w:eastAsia="zh-CN"/>
              </w:rPr>
            </w:pPr>
            <w:r>
              <w:rPr>
                <w:rFonts w:hint="eastAsia"/>
                <w:sz w:val="24"/>
                <w:highlight w:val="none"/>
                <w:lang w:eastAsia="zh-CN"/>
              </w:rPr>
              <w:t>拟分包</w:t>
            </w:r>
          </w:p>
          <w:p w14:paraId="28E3B890">
            <w:pPr>
              <w:pStyle w:val="273"/>
              <w:jc w:val="center"/>
              <w:rPr>
                <w:sz w:val="24"/>
                <w:highlight w:val="none"/>
                <w:lang w:eastAsia="zh-CN"/>
              </w:rPr>
            </w:pPr>
            <w:r>
              <w:rPr>
                <w:rFonts w:hint="eastAsia"/>
                <w:sz w:val="24"/>
                <w:highlight w:val="none"/>
                <w:lang w:eastAsia="zh-CN"/>
              </w:rPr>
              <w:t>合同金额</w:t>
            </w:r>
          </w:p>
          <w:p w14:paraId="499089DA">
            <w:pPr>
              <w:pStyle w:val="273"/>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92A37D2">
            <w:pPr>
              <w:pStyle w:val="273"/>
              <w:jc w:val="center"/>
              <w:rPr>
                <w:sz w:val="24"/>
                <w:highlight w:val="none"/>
                <w:lang w:eastAsia="zh-CN"/>
              </w:rPr>
            </w:pPr>
            <w:r>
              <w:rPr>
                <w:rFonts w:hint="eastAsia"/>
                <w:sz w:val="24"/>
                <w:highlight w:val="none"/>
                <w:lang w:eastAsia="zh-CN"/>
              </w:rPr>
              <w:t>占</w:t>
            </w:r>
            <w:r>
              <w:rPr>
                <w:spacing w:val="-8"/>
                <w:sz w:val="24"/>
                <w:szCs w:val="24"/>
                <w:highlight w:val="none"/>
                <w:lang w:eastAsia="zh-CN"/>
              </w:rPr>
              <w:t>该采购包</w:t>
            </w:r>
          </w:p>
          <w:p w14:paraId="0FA03093">
            <w:pPr>
              <w:pStyle w:val="273"/>
              <w:jc w:val="center"/>
              <w:rPr>
                <w:b/>
                <w:sz w:val="24"/>
                <w:highlight w:val="none"/>
                <w:lang w:eastAsia="zh-CN"/>
              </w:rPr>
            </w:pPr>
            <w:r>
              <w:rPr>
                <w:rFonts w:hint="eastAsia"/>
                <w:b/>
                <w:sz w:val="24"/>
                <w:highlight w:val="none"/>
                <w:lang w:eastAsia="zh-CN"/>
              </w:rPr>
              <w:t>合同金额的</w:t>
            </w:r>
          </w:p>
          <w:p w14:paraId="31CE7903">
            <w:pPr>
              <w:pStyle w:val="273"/>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57252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F270825">
            <w:pPr>
              <w:pStyle w:val="273"/>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6804504">
            <w:pPr>
              <w:pStyle w:val="273"/>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33C2A26">
            <w:pPr>
              <w:pStyle w:val="273"/>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0E3F0D18">
            <w:pPr>
              <w:pStyle w:val="273"/>
              <w:tabs>
                <w:tab w:val="left" w:pos="235"/>
              </w:tabs>
              <w:ind w:left="1" w:leftChars="-43" w:hanging="91" w:hangingChars="38"/>
              <w:jc w:val="center"/>
              <w:rPr>
                <w:rFonts w:hint="eastAsia"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08E99027">
            <w:pPr>
              <w:pStyle w:val="273"/>
              <w:tabs>
                <w:tab w:val="left" w:pos="235"/>
              </w:tabs>
              <w:ind w:left="1" w:leftChars="-43" w:hanging="91" w:hangingChars="38"/>
              <w:jc w:val="center"/>
              <w:rPr>
                <w:rFonts w:hint="eastAsia"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79FE7E">
            <w:pPr>
              <w:pStyle w:val="273"/>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662B68C">
            <w:pPr>
              <w:pStyle w:val="273"/>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DFBBF0C">
            <w:pPr>
              <w:pStyle w:val="273"/>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9A1A665">
            <w:pPr>
              <w:pStyle w:val="273"/>
              <w:jc w:val="center"/>
              <w:rPr>
                <w:rFonts w:ascii="Times New Roman"/>
                <w:sz w:val="30"/>
                <w:highlight w:val="none"/>
                <w:lang w:eastAsia="zh-CN"/>
              </w:rPr>
            </w:pPr>
          </w:p>
        </w:tc>
      </w:tr>
      <w:tr w14:paraId="7C3A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C7C6B10">
            <w:pPr>
              <w:pStyle w:val="273"/>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31FB4F4">
            <w:pPr>
              <w:pStyle w:val="273"/>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C631269">
            <w:pPr>
              <w:pStyle w:val="273"/>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3D9B480D">
            <w:pPr>
              <w:pStyle w:val="273"/>
              <w:tabs>
                <w:tab w:val="left" w:pos="235"/>
              </w:tabs>
              <w:ind w:left="1" w:leftChars="-43" w:hanging="91" w:hangingChars="38"/>
              <w:jc w:val="center"/>
              <w:rPr>
                <w:rFonts w:hint="eastAsia"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4B04FC83">
            <w:pPr>
              <w:pStyle w:val="273"/>
              <w:tabs>
                <w:tab w:val="left" w:pos="235"/>
              </w:tabs>
              <w:ind w:left="1" w:leftChars="-43" w:hanging="91" w:hangingChars="38"/>
              <w:jc w:val="center"/>
              <w:rPr>
                <w:rFonts w:hint="eastAsia"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CD8C91">
            <w:pPr>
              <w:pStyle w:val="273"/>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A6D4C18">
            <w:pPr>
              <w:pStyle w:val="273"/>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58357C7">
            <w:pPr>
              <w:pStyle w:val="273"/>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4D81301">
            <w:pPr>
              <w:pStyle w:val="273"/>
              <w:jc w:val="center"/>
              <w:rPr>
                <w:rFonts w:ascii="Times New Roman"/>
                <w:sz w:val="30"/>
                <w:highlight w:val="none"/>
                <w:lang w:eastAsia="zh-CN"/>
              </w:rPr>
            </w:pPr>
          </w:p>
        </w:tc>
      </w:tr>
      <w:tr w14:paraId="7FDF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B9F8542">
            <w:pPr>
              <w:pStyle w:val="273"/>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168BBA5">
            <w:pPr>
              <w:pStyle w:val="273"/>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981BC86">
            <w:pPr>
              <w:pStyle w:val="273"/>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EF9A21">
            <w:pPr>
              <w:pStyle w:val="273"/>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F59760C">
            <w:pPr>
              <w:pStyle w:val="273"/>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BECB351">
            <w:pPr>
              <w:pStyle w:val="273"/>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921EE68">
            <w:pPr>
              <w:pStyle w:val="273"/>
              <w:jc w:val="center"/>
              <w:rPr>
                <w:rFonts w:ascii="Times New Roman"/>
                <w:sz w:val="30"/>
                <w:highlight w:val="none"/>
              </w:rPr>
            </w:pPr>
          </w:p>
        </w:tc>
      </w:tr>
      <w:tr w14:paraId="4BB5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55169889">
            <w:pPr>
              <w:pStyle w:val="273"/>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74473701">
            <w:pPr>
              <w:pStyle w:val="273"/>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965EED5">
            <w:pPr>
              <w:pStyle w:val="273"/>
              <w:jc w:val="center"/>
              <w:rPr>
                <w:rFonts w:ascii="Times New Roman"/>
                <w:sz w:val="30"/>
                <w:highlight w:val="none"/>
              </w:rPr>
            </w:pPr>
          </w:p>
        </w:tc>
      </w:tr>
    </w:tbl>
    <w:p w14:paraId="148D9A67">
      <w:pPr>
        <w:adjustRightInd w:val="0"/>
        <w:snapToGrid w:val="0"/>
        <w:spacing w:line="360" w:lineRule="auto"/>
        <w:jc w:val="left"/>
        <w:rPr>
          <w:sz w:val="24"/>
          <w:highlight w:val="none"/>
        </w:rPr>
      </w:pPr>
    </w:p>
    <w:p w14:paraId="342E76FB">
      <w:pPr>
        <w:autoSpaceDE w:val="0"/>
        <w:autoSpaceDN w:val="0"/>
        <w:adjustRightInd w:val="0"/>
        <w:snapToGrid w:val="0"/>
        <w:spacing w:before="25" w:after="25" w:line="360" w:lineRule="auto"/>
        <w:jc w:val="righ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1A88926C">
      <w:pPr>
        <w:spacing w:line="360" w:lineRule="auto"/>
        <w:ind w:right="-57" w:firstLine="480"/>
        <w:jc w:val="right"/>
        <w:rPr>
          <w:sz w:val="24"/>
          <w:highlight w:val="none"/>
        </w:rPr>
      </w:pPr>
      <w:r>
        <w:rPr>
          <w:sz w:val="24"/>
          <w:szCs w:val="20"/>
          <w:highlight w:val="none"/>
        </w:rPr>
        <w:t>日期：</w:t>
      </w:r>
      <w:r>
        <w:rPr>
          <w:sz w:val="24"/>
          <w:highlight w:val="none"/>
        </w:rPr>
        <w:t>___</w:t>
      </w:r>
      <w:r>
        <w:rPr>
          <w:sz w:val="24"/>
          <w:szCs w:val="20"/>
          <w:highlight w:val="none"/>
        </w:rPr>
        <w:t>年</w:t>
      </w:r>
      <w:r>
        <w:rPr>
          <w:sz w:val="24"/>
          <w:highlight w:val="none"/>
        </w:rPr>
        <w:t>___</w:t>
      </w:r>
      <w:r>
        <w:rPr>
          <w:sz w:val="24"/>
          <w:szCs w:val="20"/>
          <w:highlight w:val="none"/>
        </w:rPr>
        <w:t>月</w:t>
      </w:r>
      <w:r>
        <w:rPr>
          <w:sz w:val="24"/>
          <w:highlight w:val="none"/>
        </w:rPr>
        <w:t>___</w:t>
      </w:r>
      <w:r>
        <w:rPr>
          <w:sz w:val="24"/>
          <w:szCs w:val="20"/>
          <w:highlight w:val="none"/>
        </w:rPr>
        <w:t>日</w:t>
      </w:r>
    </w:p>
    <w:p w14:paraId="3FC42AE0">
      <w:pPr>
        <w:adjustRightInd w:val="0"/>
        <w:snapToGrid w:val="0"/>
        <w:spacing w:line="360" w:lineRule="auto"/>
        <w:jc w:val="left"/>
        <w:rPr>
          <w:sz w:val="24"/>
          <w:highlight w:val="none"/>
        </w:rPr>
      </w:pPr>
      <w:r>
        <w:rPr>
          <w:sz w:val="24"/>
          <w:highlight w:val="none"/>
        </w:rPr>
        <w:t>说明：</w:t>
      </w:r>
    </w:p>
    <w:p w14:paraId="57144DB5">
      <w:pPr>
        <w:pStyle w:val="23"/>
        <w:numPr>
          <w:ilvl w:val="0"/>
          <w:numId w:val="31"/>
        </w:numPr>
        <w:kinsoku w:val="0"/>
        <w:overflowPunct w:val="0"/>
        <w:adjustRightInd w:val="0"/>
        <w:spacing w:before="154" w:line="360" w:lineRule="auto"/>
        <w:ind w:right="17"/>
        <w:rPr>
          <w:rFonts w:hint="eastAsia"/>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197D41D8">
      <w:pPr>
        <w:pStyle w:val="23"/>
        <w:kinsoku w:val="0"/>
        <w:overflowPunct w:val="0"/>
        <w:adjustRightInd w:val="0"/>
        <w:spacing w:before="154" w:line="360" w:lineRule="auto"/>
        <w:ind w:right="17"/>
        <w:rPr>
          <w:rFonts w:hint="eastAsia"/>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1D986549">
      <w:pPr>
        <w:pStyle w:val="23"/>
        <w:kinsoku w:val="0"/>
        <w:overflowPunct w:val="0"/>
        <w:adjustRightInd w:val="0"/>
        <w:spacing w:before="48" w:line="360" w:lineRule="auto"/>
        <w:rPr>
          <w:rFonts w:hint="eastAsia"/>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5D7E2E1A">
      <w:pPr>
        <w:autoSpaceDE w:val="0"/>
        <w:autoSpaceDN w:val="0"/>
        <w:adjustRightInd w:val="0"/>
        <w:spacing w:line="360" w:lineRule="auto"/>
        <w:jc w:val="center"/>
        <w:rPr>
          <w:b/>
          <w:sz w:val="36"/>
          <w:szCs w:val="36"/>
          <w:highlight w:val="none"/>
        </w:rPr>
      </w:pPr>
      <w:r>
        <w:rPr>
          <w:sz w:val="30"/>
          <w:szCs w:val="30"/>
          <w:highlight w:val="none"/>
        </w:rPr>
        <w:br w:type="page"/>
      </w:r>
      <w:r>
        <w:rPr>
          <w:rFonts w:hint="eastAsia"/>
          <w:b/>
          <w:sz w:val="36"/>
          <w:szCs w:val="36"/>
          <w:highlight w:val="none"/>
        </w:rPr>
        <w:t>分包意向协议（实质性格式）</w:t>
      </w:r>
    </w:p>
    <w:p w14:paraId="0D74E8ED">
      <w:pPr>
        <w:adjustRightInd w:val="0"/>
        <w:snapToGrid w:val="0"/>
        <w:spacing w:line="360" w:lineRule="auto"/>
        <w:ind w:firstLine="480" w:firstLineChars="200"/>
        <w:jc w:val="left"/>
        <w:rPr>
          <w:sz w:val="24"/>
          <w:highlight w:val="none"/>
        </w:rPr>
      </w:pPr>
      <w:r>
        <w:rPr>
          <w:sz w:val="24"/>
          <w:highlight w:val="none"/>
        </w:rPr>
        <w:t>甲方（供应商）：______</w:t>
      </w:r>
    </w:p>
    <w:p w14:paraId="6B89546C">
      <w:pPr>
        <w:adjustRightInd w:val="0"/>
        <w:snapToGrid w:val="0"/>
        <w:spacing w:line="360" w:lineRule="auto"/>
        <w:ind w:firstLine="480" w:firstLineChars="200"/>
        <w:jc w:val="left"/>
        <w:rPr>
          <w:sz w:val="24"/>
          <w:highlight w:val="none"/>
        </w:rPr>
      </w:pPr>
      <w:r>
        <w:rPr>
          <w:sz w:val="24"/>
          <w:highlight w:val="none"/>
        </w:rPr>
        <w:t>乙方（拟分包单位）：______</w:t>
      </w:r>
    </w:p>
    <w:p w14:paraId="1CEB5038">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0ED9F14C">
      <w:pPr>
        <w:adjustRightInd w:val="0"/>
        <w:snapToGrid w:val="0"/>
        <w:spacing w:line="360" w:lineRule="auto"/>
        <w:ind w:firstLine="480" w:firstLineChars="200"/>
        <w:jc w:val="left"/>
        <w:rPr>
          <w:sz w:val="24"/>
          <w:highlight w:val="none"/>
        </w:rPr>
      </w:pPr>
      <w:r>
        <w:rPr>
          <w:sz w:val="24"/>
          <w:highlight w:val="none"/>
        </w:rPr>
        <w:t>1.分包内容：______。</w:t>
      </w:r>
    </w:p>
    <w:p w14:paraId="027157EA">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42DB4CE5">
      <w:pPr>
        <w:adjustRightInd w:val="0"/>
        <w:snapToGrid w:val="0"/>
        <w:spacing w:line="360" w:lineRule="auto"/>
        <w:ind w:firstLine="480" w:firstLineChars="200"/>
        <w:jc w:val="left"/>
        <w:rPr>
          <w:bCs/>
          <w:sz w:val="24"/>
          <w:highlight w:val="none"/>
        </w:rPr>
      </w:pPr>
      <w:r>
        <w:rPr>
          <w:sz w:val="24"/>
          <w:highlight w:val="none"/>
        </w:rPr>
        <w:t>乙方承诺将在上述情况下与甲方签订分包合同。</w:t>
      </w:r>
    </w:p>
    <w:p w14:paraId="6D0C5092">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7ADA0E83">
      <w:pPr>
        <w:spacing w:line="360" w:lineRule="auto"/>
        <w:ind w:firstLine="471"/>
        <w:rPr>
          <w:b/>
          <w:sz w:val="24"/>
          <w:highlight w:val="none"/>
        </w:rPr>
      </w:pPr>
    </w:p>
    <w:p w14:paraId="15E999DF">
      <w:pPr>
        <w:spacing w:line="360" w:lineRule="auto"/>
        <w:ind w:firstLine="471"/>
        <w:rPr>
          <w:b/>
          <w:sz w:val="24"/>
          <w:highlight w:val="none"/>
        </w:rPr>
      </w:pPr>
      <w:r>
        <w:rPr>
          <w:sz w:val="24"/>
          <w:highlight w:val="none"/>
        </w:rPr>
        <w:t>甲方（盖章）：______                     乙方（盖章）：______</w:t>
      </w:r>
    </w:p>
    <w:p w14:paraId="501F399B">
      <w:pPr>
        <w:spacing w:line="360" w:lineRule="auto"/>
        <w:ind w:left="480"/>
        <w:jc w:val="right"/>
        <w:rPr>
          <w:sz w:val="24"/>
          <w:highlight w:val="none"/>
        </w:rPr>
      </w:pPr>
    </w:p>
    <w:p w14:paraId="496A24C0">
      <w:pPr>
        <w:wordWrap w:val="0"/>
        <w:spacing w:line="360" w:lineRule="auto"/>
        <w:ind w:left="480"/>
        <w:jc w:val="right"/>
        <w:rPr>
          <w:b/>
          <w:sz w:val="24"/>
          <w:highlight w:val="none"/>
        </w:rPr>
      </w:pPr>
      <w:r>
        <w:rPr>
          <w:sz w:val="24"/>
          <w:szCs w:val="20"/>
          <w:highlight w:val="none"/>
        </w:rPr>
        <w:t>日期：</w:t>
      </w:r>
      <w:r>
        <w:rPr>
          <w:sz w:val="24"/>
          <w:highlight w:val="none"/>
        </w:rPr>
        <w:t>______</w:t>
      </w:r>
      <w:r>
        <w:rPr>
          <w:sz w:val="24"/>
          <w:szCs w:val="20"/>
          <w:highlight w:val="none"/>
        </w:rPr>
        <w:t>年</w:t>
      </w:r>
      <w:r>
        <w:rPr>
          <w:sz w:val="24"/>
          <w:highlight w:val="none"/>
        </w:rPr>
        <w:t>______</w:t>
      </w:r>
      <w:r>
        <w:rPr>
          <w:sz w:val="24"/>
          <w:szCs w:val="20"/>
          <w:highlight w:val="none"/>
        </w:rPr>
        <w:t>月</w:t>
      </w:r>
      <w:r>
        <w:rPr>
          <w:sz w:val="24"/>
          <w:highlight w:val="none"/>
        </w:rPr>
        <w:t>______</w:t>
      </w:r>
      <w:r>
        <w:rPr>
          <w:sz w:val="24"/>
          <w:szCs w:val="20"/>
          <w:highlight w:val="none"/>
        </w:rPr>
        <w:t xml:space="preserve">日   </w:t>
      </w:r>
    </w:p>
    <w:p w14:paraId="72F44985">
      <w:pPr>
        <w:tabs>
          <w:tab w:val="left" w:pos="8280"/>
        </w:tabs>
        <w:spacing w:line="360" w:lineRule="auto"/>
        <w:ind w:firstLine="480"/>
        <w:rPr>
          <w:sz w:val="24"/>
          <w:highlight w:val="none"/>
        </w:rPr>
      </w:pPr>
    </w:p>
    <w:p w14:paraId="7D3B3EF2">
      <w:pPr>
        <w:tabs>
          <w:tab w:val="left" w:pos="8280"/>
        </w:tabs>
        <w:spacing w:line="360" w:lineRule="auto"/>
        <w:rPr>
          <w:sz w:val="24"/>
          <w:highlight w:val="none"/>
        </w:rPr>
        <w:sectPr>
          <w:headerReference r:id="rId29" w:type="first"/>
          <w:footerReference r:id="rId31" w:type="first"/>
          <w:headerReference r:id="rId28" w:type="even"/>
          <w:footerReference r:id="rId30" w:type="even"/>
          <w:pgSz w:w="11907" w:h="16840"/>
          <w:pgMar w:top="1418" w:right="1134" w:bottom="1418" w:left="1701" w:header="851" w:footer="851" w:gutter="0"/>
          <w:cols w:space="720" w:num="1"/>
          <w:docGrid w:linePitch="462" w:charSpace="0"/>
        </w:sectPr>
      </w:pPr>
      <w:r>
        <w:rPr>
          <w:sz w:val="24"/>
          <w:highlight w:val="none"/>
        </w:rPr>
        <w:t>说明：</w:t>
      </w:r>
      <w:r>
        <w:rPr>
          <w:rFonts w:hint="eastAsia"/>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电子件，否则</w:t>
      </w:r>
      <w:r>
        <w:rPr>
          <w:rFonts w:hint="eastAsia"/>
          <w:b/>
          <w:bCs/>
          <w:sz w:val="24"/>
          <w:highlight w:val="none"/>
        </w:rPr>
        <w:t>响应无效</w:t>
      </w:r>
      <w:r>
        <w:rPr>
          <w:rFonts w:hint="eastAsia"/>
          <w:sz w:val="24"/>
          <w:highlight w:val="none"/>
        </w:rPr>
        <w:t>。</w:t>
      </w:r>
    </w:p>
    <w:p w14:paraId="6344D0E9">
      <w:pPr>
        <w:spacing w:line="360" w:lineRule="auto"/>
        <w:outlineLvl w:val="2"/>
        <w:rPr>
          <w:sz w:val="24"/>
          <w:szCs w:val="20"/>
          <w:highlight w:val="none"/>
        </w:rPr>
      </w:pPr>
      <w:r>
        <w:rPr>
          <w:sz w:val="24"/>
          <w:szCs w:val="20"/>
          <w:highlight w:val="none"/>
        </w:rPr>
        <w:t xml:space="preserve">2-2 </w:t>
      </w:r>
      <w:r>
        <w:rPr>
          <w:sz w:val="24"/>
          <w:highlight w:val="none"/>
        </w:rPr>
        <w:t>其它落实政府采购政策的资格要求</w:t>
      </w:r>
      <w:r>
        <w:rPr>
          <w:sz w:val="24"/>
          <w:szCs w:val="20"/>
          <w:highlight w:val="none"/>
        </w:rPr>
        <w:t>（如有）</w:t>
      </w:r>
    </w:p>
    <w:p w14:paraId="4B259AFF">
      <w:pPr>
        <w:widowControl/>
        <w:jc w:val="left"/>
        <w:rPr>
          <w:sz w:val="24"/>
          <w:highlight w:val="none"/>
        </w:rPr>
      </w:pPr>
    </w:p>
    <w:p w14:paraId="1D957C83">
      <w:pPr>
        <w:widowControl/>
        <w:jc w:val="left"/>
        <w:rPr>
          <w:sz w:val="24"/>
          <w:highlight w:val="none"/>
        </w:rPr>
      </w:pPr>
      <w:r>
        <w:rPr>
          <w:sz w:val="24"/>
          <w:highlight w:val="none"/>
        </w:rPr>
        <w:br w:type="page"/>
      </w:r>
    </w:p>
    <w:p w14:paraId="5ABDBD06">
      <w:pPr>
        <w:tabs>
          <w:tab w:val="left" w:pos="360"/>
        </w:tabs>
        <w:snapToGrid w:val="0"/>
        <w:spacing w:line="360" w:lineRule="auto"/>
        <w:outlineLvl w:val="1"/>
        <w:rPr>
          <w:sz w:val="24"/>
          <w:highlight w:val="none"/>
        </w:rPr>
      </w:pPr>
      <w:r>
        <w:rPr>
          <w:sz w:val="24"/>
          <w:highlight w:val="none"/>
        </w:rPr>
        <w:t>3 本项目的特定资格要求（如有）</w:t>
      </w:r>
    </w:p>
    <w:p w14:paraId="121728CF">
      <w:pPr>
        <w:spacing w:line="360" w:lineRule="auto"/>
        <w:outlineLvl w:val="2"/>
        <w:rPr>
          <w:sz w:val="24"/>
          <w:szCs w:val="20"/>
          <w:highlight w:val="none"/>
        </w:rPr>
      </w:pPr>
      <w:r>
        <w:rPr>
          <w:sz w:val="24"/>
          <w:szCs w:val="20"/>
          <w:highlight w:val="none"/>
        </w:rPr>
        <w:t>3-1联合协议（如有）</w:t>
      </w:r>
    </w:p>
    <w:p w14:paraId="431DBBC3">
      <w:pPr>
        <w:autoSpaceDE w:val="0"/>
        <w:autoSpaceDN w:val="0"/>
        <w:adjustRightInd w:val="0"/>
        <w:spacing w:line="360" w:lineRule="auto"/>
        <w:jc w:val="center"/>
        <w:rPr>
          <w:b/>
          <w:sz w:val="36"/>
          <w:szCs w:val="36"/>
          <w:highlight w:val="none"/>
        </w:rPr>
      </w:pPr>
      <w:r>
        <w:rPr>
          <w:rFonts w:hint="eastAsia"/>
          <w:b/>
          <w:sz w:val="36"/>
          <w:szCs w:val="36"/>
          <w:highlight w:val="none"/>
        </w:rPr>
        <w:t>联合协议</w:t>
      </w:r>
    </w:p>
    <w:p w14:paraId="1B033FEC">
      <w:pPr>
        <w:spacing w:line="360" w:lineRule="auto"/>
        <w:ind w:firstLine="828" w:firstLineChars="345"/>
        <w:rPr>
          <w:bCs/>
          <w:highlight w:val="none"/>
        </w:rPr>
      </w:pPr>
      <w:r>
        <w:rPr>
          <w:sz w:val="24"/>
          <w:highlight w:val="none"/>
        </w:rPr>
        <w:t>______</w:t>
      </w:r>
      <w:r>
        <w:rPr>
          <w:bCs/>
          <w:sz w:val="24"/>
          <w:highlight w:val="none"/>
        </w:rPr>
        <w:t xml:space="preserve"> 、</w:t>
      </w:r>
      <w:r>
        <w:rPr>
          <w:sz w:val="24"/>
          <w:highlight w:val="none"/>
        </w:rPr>
        <w:t>______</w:t>
      </w:r>
      <w:r>
        <w:rPr>
          <w:bCs/>
          <w:sz w:val="24"/>
          <w:highlight w:val="none"/>
        </w:rPr>
        <w:t>及</w:t>
      </w:r>
      <w:r>
        <w:rPr>
          <w:sz w:val="24"/>
          <w:highlight w:val="none"/>
        </w:rPr>
        <w:t>______</w:t>
      </w:r>
      <w:r>
        <w:rPr>
          <w:bCs/>
          <w:sz w:val="24"/>
          <w:highlight w:val="none"/>
        </w:rPr>
        <w:t>就“</w:t>
      </w:r>
      <w:r>
        <w:rPr>
          <w:sz w:val="24"/>
          <w:highlight w:val="none"/>
        </w:rPr>
        <w:t>______</w:t>
      </w:r>
      <w:r>
        <w:rPr>
          <w:bCs/>
          <w:sz w:val="24"/>
          <w:highlight w:val="none"/>
        </w:rPr>
        <w:t>（项目名称）</w:t>
      </w:r>
      <w:r>
        <w:rPr>
          <w:sz w:val="24"/>
          <w:highlight w:val="none"/>
        </w:rPr>
        <w:t>” ______包</w:t>
      </w:r>
      <w:r>
        <w:rPr>
          <w:bCs/>
          <w:sz w:val="24"/>
          <w:highlight w:val="none"/>
        </w:rPr>
        <w:t>采购项目的磋商事宜，经各方充分协商一致，达成如下协议：</w:t>
      </w:r>
    </w:p>
    <w:p w14:paraId="7FFACCDC">
      <w:pPr>
        <w:numPr>
          <w:ilvl w:val="0"/>
          <w:numId w:val="32"/>
        </w:numPr>
        <w:spacing w:line="360" w:lineRule="auto"/>
        <w:rPr>
          <w:bCs/>
          <w:sz w:val="24"/>
          <w:highlight w:val="none"/>
        </w:rPr>
      </w:pPr>
      <w:r>
        <w:rPr>
          <w:bCs/>
          <w:sz w:val="24"/>
          <w:highlight w:val="none"/>
        </w:rPr>
        <w:t>由</w:t>
      </w:r>
      <w:r>
        <w:rPr>
          <w:sz w:val="24"/>
          <w:highlight w:val="none"/>
        </w:rPr>
        <w:t>____</w:t>
      </w:r>
      <w:r>
        <w:rPr>
          <w:bCs/>
          <w:sz w:val="24"/>
          <w:highlight w:val="none"/>
        </w:rPr>
        <w:t>__</w:t>
      </w:r>
      <w:r>
        <w:rPr>
          <w:sz w:val="24"/>
          <w:highlight w:val="none"/>
        </w:rPr>
        <w:t>__</w:t>
      </w:r>
      <w:r>
        <w:rPr>
          <w:bCs/>
          <w:sz w:val="24"/>
          <w:highlight w:val="none"/>
        </w:rPr>
        <w:t>牵头，</w:t>
      </w:r>
      <w:r>
        <w:rPr>
          <w:sz w:val="24"/>
          <w:highlight w:val="none"/>
        </w:rPr>
        <w:t>___</w:t>
      </w:r>
      <w:r>
        <w:rPr>
          <w:bCs/>
          <w:sz w:val="24"/>
          <w:highlight w:val="none"/>
        </w:rPr>
        <w:t>__</w:t>
      </w:r>
      <w:r>
        <w:rPr>
          <w:sz w:val="24"/>
          <w:highlight w:val="none"/>
        </w:rPr>
        <w:t>___</w:t>
      </w:r>
      <w:r>
        <w:rPr>
          <w:bCs/>
          <w:sz w:val="24"/>
          <w:highlight w:val="none"/>
        </w:rPr>
        <w:t>、</w:t>
      </w:r>
      <w:r>
        <w:rPr>
          <w:sz w:val="24"/>
          <w:highlight w:val="none"/>
        </w:rPr>
        <w:t>___</w:t>
      </w:r>
      <w:r>
        <w:rPr>
          <w:bCs/>
          <w:sz w:val="24"/>
          <w:highlight w:val="none"/>
        </w:rPr>
        <w:t>__</w:t>
      </w:r>
      <w:r>
        <w:rPr>
          <w:sz w:val="24"/>
          <w:highlight w:val="none"/>
        </w:rPr>
        <w:t>___</w:t>
      </w:r>
      <w:r>
        <w:rPr>
          <w:bCs/>
          <w:sz w:val="24"/>
          <w:highlight w:val="none"/>
        </w:rPr>
        <w:t>参加，组成联合体共同进行采购项目的磋商工作。</w:t>
      </w:r>
    </w:p>
    <w:p w14:paraId="2784993B">
      <w:pPr>
        <w:numPr>
          <w:ilvl w:val="0"/>
          <w:numId w:val="32"/>
        </w:numPr>
        <w:spacing w:line="360" w:lineRule="auto"/>
        <w:rPr>
          <w:bCs/>
          <w:sz w:val="24"/>
          <w:highlight w:val="none"/>
        </w:rPr>
      </w:pPr>
      <w:r>
        <w:rPr>
          <w:bCs/>
          <w:sz w:val="24"/>
          <w:highlight w:val="none"/>
        </w:rPr>
        <w:t>联合体成交后，联合体各方共同与采购人签订合同，就</w:t>
      </w:r>
      <w:r>
        <w:rPr>
          <w:sz w:val="24"/>
          <w:szCs w:val="20"/>
          <w:highlight w:val="none"/>
        </w:rPr>
        <w:t>采购合同约定的事项</w:t>
      </w:r>
      <w:r>
        <w:rPr>
          <w:bCs/>
          <w:sz w:val="24"/>
          <w:highlight w:val="none"/>
        </w:rPr>
        <w:t>对采购人承担连带责任。</w:t>
      </w:r>
    </w:p>
    <w:p w14:paraId="0C14098A">
      <w:pPr>
        <w:numPr>
          <w:ilvl w:val="0"/>
          <w:numId w:val="32"/>
        </w:numPr>
        <w:spacing w:line="360" w:lineRule="auto"/>
        <w:rPr>
          <w:bCs/>
          <w:sz w:val="24"/>
          <w:highlight w:val="none"/>
        </w:rPr>
      </w:pPr>
      <w:r>
        <w:rPr>
          <w:bCs/>
          <w:sz w:val="24"/>
          <w:highlight w:val="none"/>
        </w:rPr>
        <w:t>联合体各方均同意由牵头人代表其他联合体成员单位按竞争性磋商文件要求出具《授权委托书》。</w:t>
      </w:r>
    </w:p>
    <w:p w14:paraId="3CAF68C2">
      <w:pPr>
        <w:numPr>
          <w:ilvl w:val="0"/>
          <w:numId w:val="32"/>
        </w:numPr>
        <w:spacing w:line="360" w:lineRule="auto"/>
        <w:rPr>
          <w:bCs/>
          <w:sz w:val="24"/>
          <w:highlight w:val="none"/>
        </w:rPr>
      </w:pPr>
      <w:r>
        <w:rPr>
          <w:bCs/>
          <w:sz w:val="24"/>
          <w:highlight w:val="none"/>
        </w:rPr>
        <w:t>牵头人为项目的总负责单位；组织各参加方进行项目实施工作。</w:t>
      </w:r>
    </w:p>
    <w:p w14:paraId="704CF69F">
      <w:pPr>
        <w:numPr>
          <w:ilvl w:val="0"/>
          <w:numId w:val="32"/>
        </w:numPr>
        <w:spacing w:line="360" w:lineRule="auto"/>
        <w:rPr>
          <w:bCs/>
          <w:sz w:val="24"/>
          <w:highlight w:val="none"/>
        </w:rPr>
      </w:pPr>
      <w:r>
        <w:rPr>
          <w:sz w:val="24"/>
          <w:highlight w:val="none"/>
        </w:rPr>
        <w:t>______</w:t>
      </w:r>
      <w:r>
        <w:rPr>
          <w:bCs/>
          <w:sz w:val="24"/>
          <w:highlight w:val="none"/>
        </w:rPr>
        <w:t>负责</w:t>
      </w:r>
      <w:r>
        <w:rPr>
          <w:sz w:val="24"/>
          <w:highlight w:val="none"/>
        </w:rPr>
        <w:t>______</w:t>
      </w:r>
      <w:r>
        <w:rPr>
          <w:bCs/>
          <w:sz w:val="24"/>
          <w:highlight w:val="none"/>
        </w:rPr>
        <w:t>，具体工作范围、内容以响应文件及合同为准。</w:t>
      </w:r>
    </w:p>
    <w:p w14:paraId="0BED38DF">
      <w:pPr>
        <w:numPr>
          <w:ilvl w:val="0"/>
          <w:numId w:val="32"/>
        </w:numPr>
        <w:spacing w:line="360" w:lineRule="auto"/>
        <w:rPr>
          <w:bCs/>
          <w:sz w:val="24"/>
          <w:highlight w:val="none"/>
        </w:rPr>
      </w:pPr>
      <w:r>
        <w:rPr>
          <w:sz w:val="24"/>
          <w:highlight w:val="none"/>
        </w:rPr>
        <w:t>______</w:t>
      </w:r>
      <w:r>
        <w:rPr>
          <w:bCs/>
          <w:sz w:val="24"/>
          <w:highlight w:val="none"/>
        </w:rPr>
        <w:t>负责</w:t>
      </w:r>
      <w:r>
        <w:rPr>
          <w:sz w:val="24"/>
          <w:highlight w:val="none"/>
        </w:rPr>
        <w:t>______</w:t>
      </w:r>
      <w:r>
        <w:rPr>
          <w:bCs/>
          <w:sz w:val="24"/>
          <w:highlight w:val="none"/>
        </w:rPr>
        <w:t>，具体工作范围、内容以响应文件及合同为准。</w:t>
      </w:r>
    </w:p>
    <w:p w14:paraId="11234E98">
      <w:pPr>
        <w:numPr>
          <w:ilvl w:val="0"/>
          <w:numId w:val="32"/>
        </w:numPr>
        <w:spacing w:line="360" w:lineRule="auto"/>
        <w:rPr>
          <w:bCs/>
          <w:sz w:val="24"/>
          <w:highlight w:val="none"/>
        </w:rPr>
      </w:pPr>
      <w:r>
        <w:rPr>
          <w:sz w:val="24"/>
          <w:highlight w:val="none"/>
        </w:rPr>
        <w:t>______</w:t>
      </w:r>
      <w:r>
        <w:rPr>
          <w:bCs/>
          <w:sz w:val="24"/>
          <w:highlight w:val="none"/>
        </w:rPr>
        <w:t>负责</w:t>
      </w:r>
      <w:r>
        <w:rPr>
          <w:sz w:val="24"/>
          <w:highlight w:val="none"/>
        </w:rPr>
        <w:t>______</w:t>
      </w:r>
      <w:r>
        <w:rPr>
          <w:bCs/>
          <w:sz w:val="24"/>
          <w:highlight w:val="none"/>
        </w:rPr>
        <w:t>（如有），具体工作范围、内容以响应文件及合同为准。</w:t>
      </w:r>
    </w:p>
    <w:p w14:paraId="7CEEF51E">
      <w:pPr>
        <w:numPr>
          <w:ilvl w:val="0"/>
          <w:numId w:val="32"/>
        </w:numPr>
        <w:spacing w:line="360" w:lineRule="auto"/>
        <w:rPr>
          <w:sz w:val="24"/>
          <w:highlight w:val="none"/>
        </w:rPr>
      </w:pPr>
      <w:r>
        <w:rPr>
          <w:sz w:val="24"/>
          <w:highlight w:val="none"/>
        </w:rPr>
        <w:t>本项目联合协议合同总额为______元，联合体各成员按照如下比例分摊（按联合体成员分别列明）：</w:t>
      </w:r>
    </w:p>
    <w:p w14:paraId="3A10566A">
      <w:pPr>
        <w:tabs>
          <w:tab w:val="left" w:pos="720"/>
          <w:tab w:val="left" w:pos="900"/>
        </w:tabs>
        <w:spacing w:line="360" w:lineRule="auto"/>
        <w:ind w:left="851"/>
        <w:rPr>
          <w:sz w:val="24"/>
          <w:szCs w:val="20"/>
          <w:highlight w:val="none"/>
        </w:rPr>
      </w:pPr>
      <w:r>
        <w:rPr>
          <w:sz w:val="24"/>
          <w:szCs w:val="20"/>
          <w:highlight w:val="none"/>
        </w:rPr>
        <w:t>（1）</w:t>
      </w:r>
      <w:r>
        <w:rPr>
          <w:sz w:val="24"/>
          <w:highlight w:val="none"/>
        </w:rPr>
        <w:t>______</w:t>
      </w:r>
      <w:r>
        <w:rPr>
          <w:sz w:val="24"/>
          <w:szCs w:val="20"/>
          <w:highlight w:val="none"/>
        </w:rPr>
        <w:t>为□大型企业□中型企业、□小微企业（包含监狱企业、残疾人福利性单位）、□其他，合同金额为</w:t>
      </w:r>
      <w:r>
        <w:rPr>
          <w:sz w:val="24"/>
          <w:highlight w:val="none"/>
        </w:rPr>
        <w:t>______</w:t>
      </w:r>
      <w:r>
        <w:rPr>
          <w:sz w:val="24"/>
          <w:szCs w:val="20"/>
          <w:highlight w:val="none"/>
        </w:rPr>
        <w:t>元；</w:t>
      </w:r>
    </w:p>
    <w:p w14:paraId="00D4677E">
      <w:pPr>
        <w:tabs>
          <w:tab w:val="left" w:pos="720"/>
          <w:tab w:val="left" w:pos="900"/>
        </w:tabs>
        <w:spacing w:line="360" w:lineRule="auto"/>
        <w:ind w:left="851"/>
        <w:rPr>
          <w:sz w:val="24"/>
          <w:szCs w:val="20"/>
          <w:highlight w:val="none"/>
        </w:rPr>
      </w:pPr>
      <w:r>
        <w:rPr>
          <w:sz w:val="24"/>
          <w:szCs w:val="20"/>
          <w:highlight w:val="none"/>
        </w:rPr>
        <w:t>（2）</w:t>
      </w:r>
      <w:r>
        <w:rPr>
          <w:sz w:val="24"/>
          <w:highlight w:val="none"/>
        </w:rPr>
        <w:t>______</w:t>
      </w:r>
      <w:r>
        <w:rPr>
          <w:sz w:val="24"/>
          <w:szCs w:val="20"/>
          <w:highlight w:val="none"/>
        </w:rPr>
        <w:t>为□大型企业□中型企业、□小微企业（包含监狱企业、残疾人福利性单位）、□其他，合同金额为</w:t>
      </w:r>
      <w:r>
        <w:rPr>
          <w:sz w:val="24"/>
          <w:highlight w:val="none"/>
        </w:rPr>
        <w:t>______</w:t>
      </w:r>
      <w:r>
        <w:rPr>
          <w:sz w:val="24"/>
          <w:szCs w:val="20"/>
          <w:highlight w:val="none"/>
        </w:rPr>
        <w:t>元；</w:t>
      </w:r>
    </w:p>
    <w:p w14:paraId="2ED51DBD">
      <w:pPr>
        <w:tabs>
          <w:tab w:val="left" w:pos="720"/>
          <w:tab w:val="left" w:pos="900"/>
        </w:tabs>
        <w:spacing w:line="360" w:lineRule="auto"/>
        <w:ind w:left="851"/>
        <w:rPr>
          <w:sz w:val="24"/>
          <w:szCs w:val="20"/>
          <w:highlight w:val="none"/>
        </w:rPr>
      </w:pPr>
      <w:r>
        <w:rPr>
          <w:sz w:val="24"/>
          <w:szCs w:val="20"/>
          <w:highlight w:val="none"/>
        </w:rPr>
        <w:t>（…）</w:t>
      </w:r>
      <w:r>
        <w:rPr>
          <w:sz w:val="24"/>
          <w:highlight w:val="none"/>
        </w:rPr>
        <w:t>______</w:t>
      </w:r>
      <w:r>
        <w:rPr>
          <w:sz w:val="24"/>
          <w:szCs w:val="20"/>
          <w:highlight w:val="none"/>
        </w:rPr>
        <w:t>为□大型企业□中型企业、□小微企业（包含监狱企业、残疾人福利性单位）、□其他，合同金额为</w:t>
      </w:r>
      <w:r>
        <w:rPr>
          <w:sz w:val="24"/>
          <w:highlight w:val="none"/>
        </w:rPr>
        <w:t>______</w:t>
      </w:r>
      <w:r>
        <w:rPr>
          <w:sz w:val="24"/>
          <w:szCs w:val="20"/>
          <w:highlight w:val="none"/>
        </w:rPr>
        <w:t>元。</w:t>
      </w:r>
    </w:p>
    <w:p w14:paraId="0F894B86">
      <w:pPr>
        <w:numPr>
          <w:ilvl w:val="0"/>
          <w:numId w:val="32"/>
        </w:numPr>
        <w:tabs>
          <w:tab w:val="left" w:pos="993"/>
        </w:tabs>
        <w:spacing w:line="360" w:lineRule="auto"/>
        <w:rPr>
          <w:bCs/>
          <w:sz w:val="24"/>
          <w:highlight w:val="none"/>
        </w:rPr>
      </w:pPr>
      <w:r>
        <w:rPr>
          <w:sz w:val="24"/>
          <w:szCs w:val="20"/>
          <w:highlight w:val="none"/>
        </w:rPr>
        <w:t>以联合体形式参加政府采购活动的，联合体各方不得再单独参加或者与其他供应商另外组成联合体参加同一合同项下的政府采购活动。</w:t>
      </w:r>
    </w:p>
    <w:p w14:paraId="656BC89F">
      <w:pPr>
        <w:numPr>
          <w:ilvl w:val="0"/>
          <w:numId w:val="32"/>
        </w:numPr>
        <w:spacing w:line="360" w:lineRule="auto"/>
        <w:rPr>
          <w:bCs/>
          <w:sz w:val="24"/>
          <w:highlight w:val="none"/>
        </w:rPr>
      </w:pPr>
      <w:r>
        <w:rPr>
          <w:bCs/>
          <w:sz w:val="24"/>
          <w:highlight w:val="none"/>
        </w:rPr>
        <w:t>其他约定（如有）：</w:t>
      </w:r>
      <w:r>
        <w:rPr>
          <w:sz w:val="24"/>
          <w:highlight w:val="none"/>
        </w:rPr>
        <w:t>______</w:t>
      </w:r>
      <w:r>
        <w:rPr>
          <w:rFonts w:hint="eastAsia"/>
          <w:sz w:val="24"/>
          <w:highlight w:val="none"/>
        </w:rPr>
        <w:t>。</w:t>
      </w:r>
    </w:p>
    <w:p w14:paraId="4921A4DA">
      <w:pPr>
        <w:tabs>
          <w:tab w:val="left" w:pos="780"/>
        </w:tabs>
        <w:spacing w:line="360" w:lineRule="auto"/>
        <w:ind w:left="180" w:firstLine="480" w:firstLineChars="200"/>
        <w:rPr>
          <w:b/>
          <w:sz w:val="24"/>
          <w:highlight w:val="none"/>
        </w:rPr>
      </w:pPr>
      <w:r>
        <w:rPr>
          <w:bCs/>
          <w:sz w:val="24"/>
          <w:highlight w:val="none"/>
        </w:rPr>
        <w:t>本协议自各方盖章后生效，采购合同履行完毕后自动失效。如未成交，本协议自动终止。</w:t>
      </w:r>
    </w:p>
    <w:p w14:paraId="342FB2E7">
      <w:pPr>
        <w:spacing w:line="360" w:lineRule="auto"/>
        <w:ind w:firstLine="471"/>
        <w:rPr>
          <w:sz w:val="24"/>
          <w:highlight w:val="none"/>
        </w:rPr>
      </w:pPr>
      <w:r>
        <w:rPr>
          <w:sz w:val="24"/>
          <w:highlight w:val="none"/>
        </w:rPr>
        <w:br w:type="page"/>
      </w:r>
    </w:p>
    <w:p w14:paraId="1277D344">
      <w:pPr>
        <w:spacing w:line="360" w:lineRule="auto"/>
        <w:ind w:firstLine="471"/>
        <w:rPr>
          <w:sz w:val="24"/>
          <w:highlight w:val="none"/>
        </w:rPr>
      </w:pPr>
      <w:r>
        <w:rPr>
          <w:rFonts w:hint="eastAsia"/>
          <w:sz w:val="24"/>
          <w:highlight w:val="none"/>
        </w:rPr>
        <w:t>联合体</w:t>
      </w:r>
      <w:r>
        <w:rPr>
          <w:sz w:val="24"/>
          <w:highlight w:val="none"/>
        </w:rPr>
        <w:t>牵头人</w:t>
      </w:r>
      <w:r>
        <w:rPr>
          <w:rFonts w:hint="eastAsia"/>
          <w:sz w:val="24"/>
          <w:highlight w:val="none"/>
        </w:rPr>
        <w:t>名称：</w:t>
      </w:r>
      <w:r>
        <w:rPr>
          <w:sz w:val="24"/>
          <w:szCs w:val="20"/>
          <w:highlight w:val="none"/>
        </w:rPr>
        <w:t>______</w:t>
      </w:r>
      <w:r>
        <w:rPr>
          <w:sz w:val="24"/>
          <w:highlight w:val="none"/>
        </w:rPr>
        <w:tab/>
      </w:r>
      <w:r>
        <w:rPr>
          <w:sz w:val="24"/>
          <w:highlight w:val="none"/>
        </w:rPr>
        <w:tab/>
      </w:r>
      <w:r>
        <w:rPr>
          <w:sz w:val="24"/>
          <w:highlight w:val="none"/>
        </w:rPr>
        <w:tab/>
      </w:r>
      <w:r>
        <w:rPr>
          <w:sz w:val="24"/>
          <w:highlight w:val="none"/>
        </w:rPr>
        <w:tab/>
      </w:r>
      <w:r>
        <w:rPr>
          <w:sz w:val="24"/>
          <w:highlight w:val="none"/>
        </w:rPr>
        <w:tab/>
      </w:r>
      <w:r>
        <w:rPr>
          <w:sz w:val="24"/>
          <w:highlight w:val="none"/>
        </w:rPr>
        <w:t xml:space="preserve"> </w:t>
      </w:r>
      <w:r>
        <w:rPr>
          <w:rFonts w:hint="eastAsia"/>
          <w:sz w:val="24"/>
          <w:highlight w:val="none"/>
        </w:rPr>
        <w:t>联合体成员名称</w:t>
      </w:r>
      <w:r>
        <w:rPr>
          <w:sz w:val="24"/>
          <w:highlight w:val="none"/>
        </w:rPr>
        <w:t>：</w:t>
      </w:r>
      <w:r>
        <w:rPr>
          <w:sz w:val="24"/>
          <w:szCs w:val="20"/>
          <w:highlight w:val="none"/>
        </w:rPr>
        <w:t>______</w:t>
      </w:r>
    </w:p>
    <w:p w14:paraId="4D132927">
      <w:pPr>
        <w:spacing w:line="360" w:lineRule="auto"/>
        <w:ind w:firstLine="471"/>
        <w:rPr>
          <w:sz w:val="24"/>
          <w:highlight w:val="none"/>
        </w:rPr>
      </w:pPr>
      <w:r>
        <w:rPr>
          <w:sz w:val="24"/>
          <w:highlight w:val="none"/>
        </w:rPr>
        <w:t>盖章：</w:t>
      </w:r>
      <w:r>
        <w:rPr>
          <w:sz w:val="24"/>
          <w:szCs w:val="20"/>
          <w:highlight w:val="none"/>
        </w:rPr>
        <w:t>______</w:t>
      </w:r>
      <w:r>
        <w:rPr>
          <w:sz w:val="24"/>
          <w:highlight w:val="none"/>
        </w:rPr>
        <w:t xml:space="preserve">                           盖章：</w:t>
      </w:r>
      <w:r>
        <w:rPr>
          <w:sz w:val="24"/>
          <w:szCs w:val="20"/>
          <w:highlight w:val="none"/>
        </w:rPr>
        <w:t>______</w:t>
      </w:r>
    </w:p>
    <w:p w14:paraId="4C9DADF2">
      <w:pPr>
        <w:spacing w:line="360" w:lineRule="auto"/>
        <w:ind w:firstLine="471"/>
        <w:rPr>
          <w:sz w:val="24"/>
          <w:highlight w:val="none"/>
        </w:rPr>
      </w:pPr>
    </w:p>
    <w:p w14:paraId="0CC9D94D">
      <w:pPr>
        <w:spacing w:line="360" w:lineRule="auto"/>
        <w:ind w:firstLine="471"/>
        <w:rPr>
          <w:sz w:val="24"/>
          <w:highlight w:val="none"/>
        </w:rPr>
      </w:pPr>
    </w:p>
    <w:p w14:paraId="41CA1A4C">
      <w:pPr>
        <w:spacing w:line="360" w:lineRule="auto"/>
        <w:ind w:firstLine="471"/>
        <w:rPr>
          <w:sz w:val="24"/>
          <w:highlight w:val="none"/>
        </w:rPr>
      </w:pPr>
      <w:r>
        <w:rPr>
          <w:rFonts w:hint="eastAsia"/>
          <w:sz w:val="24"/>
          <w:highlight w:val="none"/>
        </w:rPr>
        <w:t>联合体成员名称</w:t>
      </w:r>
      <w:r>
        <w:rPr>
          <w:sz w:val="24"/>
          <w:highlight w:val="none"/>
        </w:rPr>
        <w:t>：</w:t>
      </w:r>
      <w:r>
        <w:rPr>
          <w:sz w:val="24"/>
          <w:szCs w:val="20"/>
          <w:highlight w:val="none"/>
        </w:rPr>
        <w:t>______</w:t>
      </w:r>
    </w:p>
    <w:p w14:paraId="139E46DB">
      <w:pPr>
        <w:widowControl/>
        <w:ind w:firstLine="480" w:firstLineChars="200"/>
        <w:jc w:val="left"/>
        <w:rPr>
          <w:sz w:val="24"/>
          <w:highlight w:val="none"/>
        </w:rPr>
      </w:pPr>
      <w:r>
        <w:rPr>
          <w:sz w:val="24"/>
          <w:highlight w:val="none"/>
        </w:rPr>
        <w:t>盖章：</w:t>
      </w:r>
      <w:r>
        <w:rPr>
          <w:sz w:val="24"/>
          <w:szCs w:val="20"/>
          <w:highlight w:val="none"/>
        </w:rPr>
        <w:t>______</w:t>
      </w:r>
      <w:r>
        <w:rPr>
          <w:sz w:val="24"/>
          <w:highlight w:val="none"/>
        </w:rPr>
        <w:t xml:space="preserve">         </w:t>
      </w:r>
    </w:p>
    <w:p w14:paraId="69717D9B">
      <w:pPr>
        <w:spacing w:line="360" w:lineRule="auto"/>
        <w:ind w:left="480"/>
        <w:jc w:val="right"/>
        <w:rPr>
          <w:sz w:val="24"/>
          <w:highlight w:val="none"/>
        </w:rPr>
      </w:pPr>
    </w:p>
    <w:p w14:paraId="52DF8F9F">
      <w:pPr>
        <w:spacing w:line="360" w:lineRule="auto"/>
        <w:ind w:left="480"/>
        <w:jc w:val="right"/>
        <w:rPr>
          <w:sz w:val="24"/>
          <w:highlight w:val="none"/>
        </w:rPr>
      </w:pPr>
      <w:r>
        <w:rPr>
          <w:sz w:val="24"/>
          <w:szCs w:val="20"/>
          <w:highlight w:val="none"/>
        </w:rPr>
        <w:t>日期：</w:t>
      </w:r>
      <w:r>
        <w:rPr>
          <w:sz w:val="24"/>
          <w:highlight w:val="none"/>
        </w:rPr>
        <w:t>______</w:t>
      </w:r>
      <w:r>
        <w:rPr>
          <w:sz w:val="24"/>
          <w:szCs w:val="20"/>
          <w:highlight w:val="none"/>
        </w:rPr>
        <w:t>年</w:t>
      </w:r>
      <w:r>
        <w:rPr>
          <w:sz w:val="24"/>
          <w:highlight w:val="none"/>
        </w:rPr>
        <w:t>______</w:t>
      </w:r>
      <w:r>
        <w:rPr>
          <w:sz w:val="24"/>
          <w:szCs w:val="20"/>
          <w:highlight w:val="none"/>
        </w:rPr>
        <w:t>月</w:t>
      </w:r>
      <w:r>
        <w:rPr>
          <w:sz w:val="24"/>
          <w:highlight w:val="none"/>
        </w:rPr>
        <w:t>______</w:t>
      </w:r>
      <w:r>
        <w:rPr>
          <w:sz w:val="24"/>
          <w:szCs w:val="20"/>
          <w:highlight w:val="none"/>
        </w:rPr>
        <w:t>日</w:t>
      </w:r>
    </w:p>
    <w:p w14:paraId="57241A69">
      <w:pPr>
        <w:spacing w:line="360" w:lineRule="auto"/>
        <w:ind w:left="480"/>
        <w:jc w:val="right"/>
        <w:rPr>
          <w:b/>
          <w:sz w:val="24"/>
          <w:highlight w:val="none"/>
        </w:rPr>
      </w:pPr>
    </w:p>
    <w:p w14:paraId="479AC1B2">
      <w:pPr>
        <w:tabs>
          <w:tab w:val="left" w:pos="8280"/>
        </w:tabs>
        <w:spacing w:line="360" w:lineRule="auto"/>
        <w:ind w:firstLine="480"/>
        <w:rPr>
          <w:sz w:val="24"/>
          <w:highlight w:val="none"/>
        </w:rPr>
      </w:pPr>
    </w:p>
    <w:p w14:paraId="270B19DA">
      <w:pPr>
        <w:tabs>
          <w:tab w:val="left" w:pos="8280"/>
        </w:tabs>
        <w:spacing w:line="360" w:lineRule="auto"/>
        <w:ind w:firstLine="480"/>
        <w:rPr>
          <w:sz w:val="24"/>
          <w:highlight w:val="none"/>
        </w:rPr>
      </w:pPr>
    </w:p>
    <w:p w14:paraId="3482071D">
      <w:pPr>
        <w:spacing w:line="360" w:lineRule="auto"/>
        <w:ind w:left="719" w:leftChars="228" w:hanging="240" w:hangingChars="100"/>
        <w:rPr>
          <w:sz w:val="24"/>
          <w:highlight w:val="none"/>
        </w:rPr>
      </w:pPr>
      <w:r>
        <w:rPr>
          <w:sz w:val="24"/>
          <w:highlight w:val="none"/>
        </w:rPr>
        <w:t>注：</w:t>
      </w:r>
    </w:p>
    <w:p w14:paraId="36110EDE">
      <w:pPr>
        <w:spacing w:line="360" w:lineRule="auto"/>
        <w:ind w:left="719" w:leftChars="228" w:hanging="240" w:hangingChars="100"/>
        <w:rPr>
          <w:rFonts w:hint="eastAsia"/>
          <w:sz w:val="24"/>
          <w:highlight w:val="none"/>
        </w:rPr>
      </w:pPr>
      <w:r>
        <w:rPr>
          <w:rFonts w:hint="eastAsia"/>
          <w:sz w:val="24"/>
          <w:highlight w:val="none"/>
        </w:rPr>
        <w:t>1.如本项目 (包) 接受供应商以联合体形式参加采购活动，且供应商以联合体形式参与时，须提供《联合协议》，否则</w:t>
      </w:r>
      <w:r>
        <w:rPr>
          <w:rFonts w:hint="eastAsia"/>
          <w:b/>
          <w:bCs/>
          <w:sz w:val="24"/>
          <w:highlight w:val="none"/>
        </w:rPr>
        <w:t>响应无效</w:t>
      </w:r>
      <w:r>
        <w:rPr>
          <w:rFonts w:hint="eastAsia"/>
          <w:sz w:val="24"/>
          <w:highlight w:val="none"/>
        </w:rPr>
        <w:t>。</w:t>
      </w:r>
    </w:p>
    <w:p w14:paraId="3A5DE82F">
      <w:pPr>
        <w:spacing w:line="360" w:lineRule="auto"/>
        <w:ind w:left="719" w:leftChars="228" w:hanging="240" w:hangingChars="100"/>
        <w:rPr>
          <w:sz w:val="24"/>
          <w:highlight w:val="none"/>
        </w:rPr>
      </w:pPr>
      <w:r>
        <w:rPr>
          <w:rFonts w:hint="eastAsia"/>
          <w:sz w:val="24"/>
          <w:highlight w:val="none"/>
        </w:rPr>
        <w:t>2.联合体各方成员需在本协议上共同盖章。</w:t>
      </w:r>
    </w:p>
    <w:p w14:paraId="38829B18">
      <w:pPr>
        <w:widowControl/>
        <w:jc w:val="left"/>
        <w:rPr>
          <w:sz w:val="24"/>
          <w:highlight w:val="none"/>
        </w:rPr>
      </w:pPr>
      <w:r>
        <w:rPr>
          <w:sz w:val="24"/>
          <w:highlight w:val="none"/>
        </w:rPr>
        <w:br w:type="page"/>
      </w:r>
    </w:p>
    <w:p w14:paraId="78785141">
      <w:pPr>
        <w:spacing w:line="360" w:lineRule="auto"/>
        <w:outlineLvl w:val="2"/>
        <w:rPr>
          <w:sz w:val="24"/>
          <w:szCs w:val="20"/>
          <w:highlight w:val="none"/>
        </w:rPr>
      </w:pPr>
      <w:r>
        <w:rPr>
          <w:sz w:val="24"/>
          <w:szCs w:val="20"/>
          <w:highlight w:val="none"/>
        </w:rPr>
        <w:t>3-2其他特定资格要求</w:t>
      </w:r>
    </w:p>
    <w:p w14:paraId="0BA08B6D">
      <w:pPr>
        <w:tabs>
          <w:tab w:val="left" w:pos="5580"/>
        </w:tabs>
        <w:spacing w:line="360" w:lineRule="auto"/>
        <w:ind w:firstLine="360" w:firstLineChars="150"/>
        <w:rPr>
          <w:sz w:val="24"/>
          <w:highlight w:val="none"/>
        </w:rPr>
      </w:pPr>
      <w:r>
        <w:rPr>
          <w:rFonts w:hint="eastAsia"/>
          <w:sz w:val="24"/>
          <w:highlight w:val="none"/>
        </w:rPr>
        <w:t>详见第一章要求</w:t>
      </w:r>
    </w:p>
    <w:p w14:paraId="75CD6E65">
      <w:pPr>
        <w:widowControl/>
        <w:jc w:val="left"/>
        <w:rPr>
          <w:sz w:val="24"/>
          <w:szCs w:val="20"/>
          <w:highlight w:val="none"/>
        </w:rPr>
      </w:pPr>
      <w:r>
        <w:rPr>
          <w:sz w:val="24"/>
          <w:szCs w:val="20"/>
          <w:highlight w:val="none"/>
        </w:rPr>
        <w:br w:type="page"/>
      </w:r>
    </w:p>
    <w:p w14:paraId="2E82D4E3">
      <w:pPr>
        <w:tabs>
          <w:tab w:val="left" w:pos="360"/>
        </w:tabs>
        <w:snapToGrid w:val="0"/>
        <w:spacing w:line="360" w:lineRule="auto"/>
        <w:outlineLvl w:val="1"/>
        <w:rPr>
          <w:sz w:val="24"/>
          <w:highlight w:val="none"/>
        </w:rPr>
      </w:pPr>
      <w:r>
        <w:rPr>
          <w:sz w:val="24"/>
          <w:highlight w:val="none"/>
        </w:rPr>
        <w:t>4 磋商保证金凭证/交款单据电子件</w:t>
      </w:r>
    </w:p>
    <w:p w14:paraId="188404D0">
      <w:pPr>
        <w:widowControl/>
        <w:jc w:val="left"/>
        <w:rPr>
          <w:b/>
          <w:sz w:val="24"/>
          <w:highlight w:val="none"/>
        </w:rPr>
      </w:pPr>
      <w:r>
        <w:rPr>
          <w:b/>
          <w:sz w:val="24"/>
          <w:highlight w:val="none"/>
        </w:rPr>
        <w:br w:type="page"/>
      </w:r>
    </w:p>
    <w:p w14:paraId="6E19EAF9">
      <w:pPr>
        <w:tabs>
          <w:tab w:val="left" w:pos="360"/>
        </w:tabs>
        <w:snapToGrid w:val="0"/>
        <w:spacing w:line="360" w:lineRule="auto"/>
        <w:outlineLvl w:val="1"/>
        <w:rPr>
          <w:sz w:val="24"/>
          <w:highlight w:val="none"/>
        </w:rPr>
      </w:pPr>
      <w:bookmarkStart w:id="3245" w:name="_Hlt520274121"/>
      <w:bookmarkEnd w:id="3245"/>
      <w:bookmarkStart w:id="3246" w:name="_Hlt520350918"/>
      <w:bookmarkEnd w:id="3246"/>
      <w:bookmarkStart w:id="3247" w:name="_Hlt520274393"/>
      <w:bookmarkEnd w:id="3247"/>
      <w:bookmarkStart w:id="3248" w:name="_Hlt520271212"/>
      <w:bookmarkEnd w:id="3248"/>
      <w:bookmarkStart w:id="3249" w:name="_Hlt520274407"/>
      <w:bookmarkEnd w:id="3249"/>
      <w:bookmarkStart w:id="3250" w:name="_Hlt520343392"/>
      <w:bookmarkEnd w:id="3250"/>
      <w:bookmarkStart w:id="3251" w:name="_Hlt520343000"/>
      <w:bookmarkEnd w:id="3251"/>
      <w:bookmarkStart w:id="3252" w:name="_Hlt520355504"/>
      <w:bookmarkEnd w:id="3252"/>
      <w:bookmarkStart w:id="3253" w:name="_Hlt520274065"/>
      <w:bookmarkEnd w:id="3253"/>
      <w:bookmarkStart w:id="3254" w:name="_Hlt520273711"/>
      <w:bookmarkEnd w:id="3254"/>
      <w:bookmarkStart w:id="3255" w:name="_Toc480942349"/>
      <w:bookmarkStart w:id="3256" w:name="_Ref467988698"/>
      <w:bookmarkStart w:id="3257" w:name="_Toc142311058"/>
      <w:bookmarkStart w:id="3258" w:name="_Toc150480794"/>
      <w:bookmarkStart w:id="3259" w:name="_Toc226337252"/>
      <w:bookmarkStart w:id="3260" w:name="_Toc226309800"/>
      <w:bookmarkStart w:id="3261" w:name="_Toc195842921"/>
      <w:bookmarkStart w:id="3262" w:name="_Toc150774761"/>
      <w:bookmarkStart w:id="3263" w:name="_Toc520356217"/>
      <w:bookmarkStart w:id="3264" w:name="_Toc127151556"/>
      <w:bookmarkStart w:id="3265" w:name="_Toc226965829"/>
      <w:bookmarkStart w:id="3266" w:name="_Toc226965746"/>
      <w:r>
        <w:rPr>
          <w:sz w:val="24"/>
          <w:highlight w:val="none"/>
        </w:rPr>
        <w:t xml:space="preserve">5  </w:t>
      </w:r>
      <w:bookmarkEnd w:id="3255"/>
      <w:bookmarkEnd w:id="3256"/>
      <w:r>
        <w:rPr>
          <w:sz w:val="24"/>
          <w:highlight w:val="none"/>
        </w:rPr>
        <w:t>响应书</w:t>
      </w:r>
      <w:bookmarkEnd w:id="3257"/>
      <w:bookmarkEnd w:id="3258"/>
      <w:bookmarkEnd w:id="3259"/>
      <w:bookmarkEnd w:id="3260"/>
      <w:bookmarkEnd w:id="3261"/>
      <w:bookmarkEnd w:id="3262"/>
      <w:bookmarkEnd w:id="3263"/>
      <w:bookmarkEnd w:id="3264"/>
      <w:bookmarkEnd w:id="3265"/>
      <w:bookmarkEnd w:id="3266"/>
      <w:r>
        <w:rPr>
          <w:spacing w:val="-3"/>
          <w:sz w:val="24"/>
          <w:highlight w:val="none"/>
        </w:rPr>
        <w:t>（实质性格式）</w:t>
      </w:r>
    </w:p>
    <w:p w14:paraId="067E2F4A">
      <w:pPr>
        <w:tabs>
          <w:tab w:val="left" w:pos="5580"/>
        </w:tabs>
        <w:spacing w:line="360" w:lineRule="auto"/>
        <w:rPr>
          <w:sz w:val="24"/>
          <w:highlight w:val="none"/>
        </w:rPr>
      </w:pPr>
    </w:p>
    <w:p w14:paraId="497360F9">
      <w:pPr>
        <w:spacing w:line="360" w:lineRule="auto"/>
        <w:jc w:val="center"/>
        <w:rPr>
          <w:b/>
          <w:sz w:val="36"/>
          <w:szCs w:val="36"/>
          <w:highlight w:val="none"/>
        </w:rPr>
      </w:pPr>
      <w:r>
        <w:rPr>
          <w:rFonts w:hint="eastAsia"/>
          <w:b/>
          <w:sz w:val="36"/>
          <w:szCs w:val="36"/>
          <w:highlight w:val="none"/>
        </w:rPr>
        <w:t>响应书</w:t>
      </w:r>
    </w:p>
    <w:p w14:paraId="05BBE97C">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313CA9E3">
      <w:pPr>
        <w:tabs>
          <w:tab w:val="left" w:pos="5580"/>
        </w:tabs>
        <w:spacing w:line="360" w:lineRule="auto"/>
        <w:rPr>
          <w:sz w:val="24"/>
          <w:szCs w:val="20"/>
          <w:highlight w:val="none"/>
        </w:rPr>
      </w:pPr>
    </w:p>
    <w:p w14:paraId="42F8EC19">
      <w:pPr>
        <w:tabs>
          <w:tab w:val="left" w:pos="5580"/>
        </w:tabs>
        <w:spacing w:line="360" w:lineRule="auto"/>
        <w:ind w:firstLine="408"/>
        <w:rPr>
          <w:sz w:val="24"/>
          <w:szCs w:val="20"/>
          <w:highlight w:val="none"/>
        </w:rPr>
      </w:pPr>
      <w:r>
        <w:rPr>
          <w:sz w:val="24"/>
          <w:szCs w:val="20"/>
          <w:highlight w:val="none"/>
        </w:rPr>
        <w:t>我方参加你方就</w:t>
      </w:r>
      <w:r>
        <w:rPr>
          <w:sz w:val="24"/>
          <w:highlight w:val="none"/>
        </w:rPr>
        <w:t>______</w:t>
      </w:r>
      <w:r>
        <w:rPr>
          <w:sz w:val="24"/>
          <w:szCs w:val="20"/>
          <w:highlight w:val="none"/>
        </w:rPr>
        <w:t>（项目名称，项目编号/包号）组织的采购活动，并对此项目进行磋商。</w:t>
      </w:r>
    </w:p>
    <w:p w14:paraId="33C3FEDF">
      <w:pPr>
        <w:tabs>
          <w:tab w:val="left" w:pos="5580"/>
        </w:tabs>
        <w:spacing w:line="360" w:lineRule="auto"/>
        <w:ind w:firstLine="408"/>
        <w:rPr>
          <w:sz w:val="24"/>
          <w:szCs w:val="20"/>
          <w:highlight w:val="none"/>
        </w:rPr>
      </w:pPr>
      <w:r>
        <w:rPr>
          <w:sz w:val="24"/>
          <w:szCs w:val="20"/>
          <w:highlight w:val="none"/>
        </w:rPr>
        <w:t>1. 我方</w:t>
      </w:r>
      <w:r>
        <w:rPr>
          <w:sz w:val="24"/>
          <w:highlight w:val="none"/>
        </w:rPr>
        <w:t>已详细审查全部竞争性磋商文件</w:t>
      </w:r>
      <w:r>
        <w:rPr>
          <w:sz w:val="24"/>
          <w:szCs w:val="20"/>
          <w:highlight w:val="none"/>
        </w:rPr>
        <w:t>，自愿参与磋商并承诺如下：</w:t>
      </w:r>
    </w:p>
    <w:p w14:paraId="5E7B43E3">
      <w:pPr>
        <w:tabs>
          <w:tab w:val="left" w:pos="720"/>
          <w:tab w:val="left" w:pos="900"/>
        </w:tabs>
        <w:spacing w:line="360" w:lineRule="auto"/>
        <w:ind w:left="360" w:firstLine="72" w:firstLineChars="30"/>
        <w:rPr>
          <w:sz w:val="24"/>
          <w:szCs w:val="20"/>
          <w:highlight w:val="none"/>
        </w:rPr>
      </w:pPr>
      <w:r>
        <w:rPr>
          <w:sz w:val="24"/>
          <w:szCs w:val="20"/>
          <w:highlight w:val="none"/>
        </w:rPr>
        <w:t>（1）本响应有效期为自响应文件提交截止之日起</w:t>
      </w:r>
      <w:r>
        <w:rPr>
          <w:sz w:val="24"/>
          <w:highlight w:val="none"/>
        </w:rPr>
        <w:t>______</w:t>
      </w:r>
      <w:r>
        <w:rPr>
          <w:sz w:val="24"/>
          <w:szCs w:val="20"/>
          <w:highlight w:val="none"/>
        </w:rPr>
        <w:t>个日历日。</w:t>
      </w:r>
    </w:p>
    <w:p w14:paraId="445F07BF">
      <w:pPr>
        <w:tabs>
          <w:tab w:val="left" w:pos="720"/>
          <w:tab w:val="left" w:pos="900"/>
        </w:tabs>
        <w:spacing w:line="360" w:lineRule="auto"/>
        <w:ind w:left="360" w:firstLine="72" w:firstLineChars="30"/>
        <w:rPr>
          <w:sz w:val="24"/>
          <w:szCs w:val="20"/>
          <w:highlight w:val="none"/>
        </w:rPr>
      </w:pPr>
      <w:r>
        <w:rPr>
          <w:sz w:val="24"/>
          <w:szCs w:val="20"/>
          <w:highlight w:val="none"/>
        </w:rPr>
        <w:t>（2）除合同条款及采购需求偏离表列出的偏离外，我方响应竞争性磋商文件的全部要求。</w:t>
      </w:r>
    </w:p>
    <w:p w14:paraId="36D9238F">
      <w:pPr>
        <w:tabs>
          <w:tab w:val="left" w:pos="5580"/>
        </w:tabs>
        <w:spacing w:line="360" w:lineRule="auto"/>
        <w:ind w:firstLine="420" w:firstLineChars="175"/>
        <w:rPr>
          <w:sz w:val="24"/>
          <w:szCs w:val="20"/>
          <w:highlight w:val="none"/>
        </w:rPr>
      </w:pPr>
      <w:r>
        <w:rPr>
          <w:sz w:val="24"/>
          <w:szCs w:val="20"/>
          <w:highlight w:val="none"/>
        </w:rPr>
        <w:t>（3）我方已提供的全部文件资料是真实、准确的，并对此承担一切法律后果。</w:t>
      </w:r>
    </w:p>
    <w:p w14:paraId="428F216D">
      <w:pPr>
        <w:tabs>
          <w:tab w:val="left" w:pos="5580"/>
        </w:tabs>
        <w:spacing w:line="360" w:lineRule="auto"/>
        <w:ind w:firstLine="420" w:firstLineChars="175"/>
        <w:rPr>
          <w:sz w:val="24"/>
          <w:highlight w:val="none"/>
        </w:rPr>
      </w:pPr>
      <w:r>
        <w:rPr>
          <w:sz w:val="24"/>
          <w:szCs w:val="20"/>
          <w:highlight w:val="none"/>
        </w:rPr>
        <w:t>（4）如我方成交，我方将在法律规定的期限内与你方签订合同，按照竞争性磋商文件要求提交履约保证金，并在合同约定的期限内完成合同规定的全部义务。</w:t>
      </w:r>
    </w:p>
    <w:p w14:paraId="2734434A">
      <w:pPr>
        <w:spacing w:line="360" w:lineRule="auto"/>
        <w:ind w:left="420"/>
        <w:rPr>
          <w:sz w:val="24"/>
          <w:highlight w:val="none"/>
        </w:rPr>
      </w:pPr>
      <w:r>
        <w:rPr>
          <w:sz w:val="24"/>
          <w:highlight w:val="none"/>
        </w:rPr>
        <w:t>2. 其他补充条款（如有）：______。</w:t>
      </w:r>
    </w:p>
    <w:p w14:paraId="7E8AE192">
      <w:pPr>
        <w:spacing w:line="360" w:lineRule="auto"/>
        <w:ind w:firstLine="480" w:firstLineChars="200"/>
        <w:rPr>
          <w:sz w:val="24"/>
          <w:highlight w:val="none"/>
        </w:rPr>
      </w:pPr>
      <w:r>
        <w:rPr>
          <w:sz w:val="24"/>
          <w:highlight w:val="none"/>
        </w:rPr>
        <w:t>与本磋商有关的一切正式往来信函请寄：</w:t>
      </w:r>
    </w:p>
    <w:p w14:paraId="3625D272">
      <w:pPr>
        <w:tabs>
          <w:tab w:val="left" w:pos="5580"/>
        </w:tabs>
        <w:spacing w:line="360" w:lineRule="auto"/>
        <w:ind w:left="420"/>
        <w:rPr>
          <w:sz w:val="24"/>
          <w:szCs w:val="20"/>
          <w:highlight w:val="none"/>
        </w:rPr>
      </w:pPr>
    </w:p>
    <w:p w14:paraId="02B729BA">
      <w:pPr>
        <w:tabs>
          <w:tab w:val="left" w:pos="5580"/>
        </w:tabs>
        <w:spacing w:line="360" w:lineRule="auto"/>
        <w:ind w:left="420"/>
        <w:rPr>
          <w:sz w:val="24"/>
          <w:szCs w:val="20"/>
          <w:highlight w:val="none"/>
        </w:rPr>
      </w:pPr>
      <w:r>
        <w:rPr>
          <w:sz w:val="24"/>
          <w:szCs w:val="20"/>
          <w:highlight w:val="none"/>
        </w:rPr>
        <w:t>地址</w:t>
      </w:r>
      <w:r>
        <w:rPr>
          <w:bCs/>
          <w:sz w:val="24"/>
          <w:highlight w:val="none"/>
        </w:rPr>
        <w:t>_________________________</w:t>
      </w:r>
      <w:r>
        <w:rPr>
          <w:sz w:val="24"/>
          <w:szCs w:val="20"/>
          <w:highlight w:val="none"/>
        </w:rPr>
        <w:t xml:space="preserve">      传   真</w:t>
      </w:r>
      <w:r>
        <w:rPr>
          <w:bCs/>
          <w:sz w:val="24"/>
          <w:highlight w:val="none"/>
        </w:rPr>
        <w:t>_________________________</w:t>
      </w:r>
    </w:p>
    <w:p w14:paraId="32DD5B2C">
      <w:pPr>
        <w:tabs>
          <w:tab w:val="left" w:pos="5580"/>
        </w:tabs>
        <w:spacing w:line="360" w:lineRule="auto"/>
        <w:ind w:left="420"/>
        <w:rPr>
          <w:sz w:val="24"/>
          <w:szCs w:val="20"/>
          <w:highlight w:val="none"/>
        </w:rPr>
      </w:pPr>
      <w:r>
        <w:rPr>
          <w:sz w:val="24"/>
          <w:szCs w:val="20"/>
          <w:highlight w:val="none"/>
        </w:rPr>
        <w:t>电话</w:t>
      </w:r>
      <w:r>
        <w:rPr>
          <w:bCs/>
          <w:sz w:val="24"/>
          <w:highlight w:val="none"/>
        </w:rPr>
        <w:t>_________________________</w:t>
      </w:r>
      <w:r>
        <w:rPr>
          <w:sz w:val="24"/>
          <w:szCs w:val="20"/>
          <w:highlight w:val="none"/>
        </w:rPr>
        <w:t xml:space="preserve">      电子函件</w:t>
      </w:r>
      <w:r>
        <w:rPr>
          <w:bCs/>
          <w:sz w:val="24"/>
          <w:highlight w:val="none"/>
        </w:rPr>
        <w:t>_________________________</w:t>
      </w:r>
    </w:p>
    <w:p w14:paraId="02269DD8">
      <w:pPr>
        <w:tabs>
          <w:tab w:val="left" w:pos="5580"/>
        </w:tabs>
        <w:spacing w:line="360" w:lineRule="auto"/>
        <w:ind w:left="420"/>
        <w:rPr>
          <w:sz w:val="24"/>
          <w:szCs w:val="20"/>
          <w:highlight w:val="none"/>
        </w:rPr>
      </w:pPr>
    </w:p>
    <w:p w14:paraId="3B652212">
      <w:pPr>
        <w:tabs>
          <w:tab w:val="left" w:pos="5580"/>
        </w:tabs>
        <w:spacing w:line="360" w:lineRule="auto"/>
        <w:ind w:left="420"/>
        <w:rPr>
          <w:sz w:val="24"/>
          <w:szCs w:val="20"/>
          <w:highlight w:val="none"/>
        </w:rPr>
      </w:pPr>
    </w:p>
    <w:p w14:paraId="0B4B251C">
      <w:pPr>
        <w:tabs>
          <w:tab w:val="left" w:pos="5580"/>
        </w:tabs>
        <w:spacing w:line="360" w:lineRule="auto"/>
        <w:ind w:left="420"/>
        <w:rPr>
          <w:sz w:val="24"/>
          <w:szCs w:val="20"/>
          <w:highlight w:val="none"/>
        </w:rPr>
      </w:pPr>
    </w:p>
    <w:p w14:paraId="7925F484">
      <w:pPr>
        <w:autoSpaceDE w:val="0"/>
        <w:autoSpaceDN w:val="0"/>
        <w:adjustRightInd w:val="0"/>
        <w:snapToGrid w:val="0"/>
        <w:spacing w:before="25" w:after="25" w:line="360" w:lineRule="auto"/>
        <w:ind w:right="360" w:firstLine="360" w:firstLineChars="150"/>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20B2367E">
      <w:pPr>
        <w:tabs>
          <w:tab w:val="left" w:pos="5580"/>
        </w:tabs>
        <w:spacing w:line="360" w:lineRule="auto"/>
        <w:ind w:firstLine="360" w:firstLineChars="150"/>
        <w:rPr>
          <w:sz w:val="24"/>
          <w:szCs w:val="20"/>
          <w:highlight w:val="none"/>
        </w:rPr>
      </w:pPr>
      <w:r>
        <w:rPr>
          <w:sz w:val="24"/>
          <w:szCs w:val="20"/>
          <w:highlight w:val="none"/>
        </w:rPr>
        <w:t xml:space="preserve">日期：____年____月____日  </w:t>
      </w:r>
    </w:p>
    <w:p w14:paraId="73BA8BAD">
      <w:pPr>
        <w:spacing w:after="240" w:afterLines="100" w:line="360" w:lineRule="auto"/>
        <w:jc w:val="center"/>
        <w:outlineLvl w:val="2"/>
        <w:rPr>
          <w:rFonts w:hint="eastAsia" w:ascii="宋体" w:hAnsi="宋体"/>
          <w:b/>
          <w:sz w:val="28"/>
          <w:szCs w:val="28"/>
          <w:highlight w:val="none"/>
        </w:rPr>
      </w:pPr>
      <w:r>
        <w:rPr>
          <w:sz w:val="24"/>
          <w:szCs w:val="20"/>
          <w:highlight w:val="none"/>
        </w:rPr>
        <w:br w:type="page"/>
      </w:r>
      <w:bookmarkStart w:id="3267" w:name="_Toc166339258"/>
      <w:r>
        <w:rPr>
          <w:rFonts w:hint="eastAsia" w:ascii="宋体" w:hAnsi="宋体"/>
          <w:b/>
          <w:sz w:val="24"/>
          <w:highlight w:val="none"/>
        </w:rPr>
        <w:t>响应书附录</w:t>
      </w:r>
      <w:bookmarkEnd w:id="3267"/>
    </w:p>
    <w:tbl>
      <w:tblPr>
        <w:tblStyle w:val="6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3543"/>
        <w:gridCol w:w="1816"/>
        <w:gridCol w:w="1721"/>
      </w:tblGrid>
      <w:tr w14:paraId="14C8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jc w:val="center"/>
        </w:trPr>
        <w:tc>
          <w:tcPr>
            <w:tcW w:w="1894" w:type="dxa"/>
            <w:noWrap w:val="0"/>
            <w:vAlign w:val="center"/>
          </w:tcPr>
          <w:p w14:paraId="74997F5E">
            <w:pPr>
              <w:widowControl/>
              <w:adjustRightInd w:val="0"/>
              <w:jc w:val="center"/>
              <w:rPr>
                <w:rFonts w:hint="eastAsia" w:ascii="宋体" w:hAnsi="宋体"/>
                <w:kern w:val="0"/>
                <w:sz w:val="24"/>
                <w:highlight w:val="none"/>
                <w:lang w:eastAsia="en-US" w:bidi="en-US"/>
              </w:rPr>
            </w:pPr>
            <w:r>
              <w:rPr>
                <w:rFonts w:ascii="宋体" w:hAnsi="宋体"/>
                <w:kern w:val="0"/>
                <w:sz w:val="24"/>
                <w:highlight w:val="none"/>
                <w:lang w:eastAsia="en-US" w:bidi="en-US"/>
              </w:rPr>
              <w:t>工程名称</w:t>
            </w:r>
          </w:p>
        </w:tc>
        <w:tc>
          <w:tcPr>
            <w:tcW w:w="7080" w:type="dxa"/>
            <w:gridSpan w:val="3"/>
            <w:noWrap w:val="0"/>
            <w:vAlign w:val="center"/>
          </w:tcPr>
          <w:p w14:paraId="43E3F8CD">
            <w:pPr>
              <w:widowControl/>
              <w:adjustRightInd w:val="0"/>
              <w:ind w:firstLine="480" w:firstLineChars="200"/>
              <w:jc w:val="center"/>
              <w:rPr>
                <w:rFonts w:hint="eastAsia" w:ascii="宋体" w:hAnsi="宋体"/>
                <w:kern w:val="0"/>
                <w:sz w:val="24"/>
                <w:highlight w:val="none"/>
                <w:lang w:eastAsia="en-US" w:bidi="en-US"/>
              </w:rPr>
            </w:pPr>
          </w:p>
        </w:tc>
      </w:tr>
      <w:tr w14:paraId="633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894" w:type="dxa"/>
            <w:noWrap w:val="0"/>
            <w:vAlign w:val="center"/>
          </w:tcPr>
          <w:p w14:paraId="553F9357">
            <w:pPr>
              <w:widowControl/>
              <w:adjustRightInd w:val="0"/>
              <w:jc w:val="center"/>
              <w:rPr>
                <w:rFonts w:hint="eastAsia" w:ascii="宋体" w:hAnsi="宋体"/>
                <w:kern w:val="0"/>
                <w:sz w:val="24"/>
                <w:highlight w:val="none"/>
                <w:lang w:eastAsia="en-US" w:bidi="en-US"/>
              </w:rPr>
            </w:pPr>
            <w:r>
              <w:rPr>
                <w:rFonts w:ascii="宋体" w:hAnsi="宋体"/>
                <w:kern w:val="0"/>
                <w:sz w:val="24"/>
                <w:highlight w:val="none"/>
                <w:lang w:eastAsia="en-US" w:bidi="en-US"/>
              </w:rPr>
              <w:t>供应商名称</w:t>
            </w:r>
          </w:p>
        </w:tc>
        <w:tc>
          <w:tcPr>
            <w:tcW w:w="7080" w:type="dxa"/>
            <w:gridSpan w:val="3"/>
            <w:noWrap w:val="0"/>
            <w:vAlign w:val="center"/>
          </w:tcPr>
          <w:p w14:paraId="79A21481">
            <w:pPr>
              <w:widowControl/>
              <w:adjustRightInd w:val="0"/>
              <w:ind w:firstLine="480" w:firstLineChars="200"/>
              <w:jc w:val="center"/>
              <w:rPr>
                <w:rFonts w:hint="eastAsia" w:ascii="宋体" w:hAnsi="宋体"/>
                <w:kern w:val="0"/>
                <w:sz w:val="24"/>
                <w:highlight w:val="none"/>
                <w:lang w:eastAsia="en-US" w:bidi="en-US"/>
              </w:rPr>
            </w:pPr>
          </w:p>
        </w:tc>
      </w:tr>
      <w:tr w14:paraId="78AB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894" w:type="dxa"/>
            <w:noWrap w:val="0"/>
            <w:vAlign w:val="center"/>
          </w:tcPr>
          <w:p w14:paraId="5BF3C018">
            <w:pPr>
              <w:widowControl/>
              <w:adjustRightInd w:val="0"/>
              <w:jc w:val="center"/>
              <w:rPr>
                <w:rFonts w:hint="eastAsia" w:ascii="宋体" w:hAnsi="宋体"/>
                <w:kern w:val="0"/>
                <w:sz w:val="24"/>
                <w:highlight w:val="none"/>
                <w:lang w:bidi="en-US"/>
              </w:rPr>
            </w:pPr>
            <w:r>
              <w:rPr>
                <w:rFonts w:ascii="宋体" w:hAnsi="宋体"/>
                <w:kern w:val="0"/>
                <w:sz w:val="24"/>
                <w:highlight w:val="none"/>
                <w:lang w:eastAsia="en-US" w:bidi="en-US"/>
              </w:rPr>
              <w:t>总工期</w:t>
            </w:r>
          </w:p>
        </w:tc>
        <w:tc>
          <w:tcPr>
            <w:tcW w:w="7080" w:type="dxa"/>
            <w:gridSpan w:val="3"/>
            <w:noWrap w:val="0"/>
            <w:vAlign w:val="center"/>
          </w:tcPr>
          <w:p w14:paraId="51B88989">
            <w:pPr>
              <w:widowControl/>
              <w:adjustRightInd w:val="0"/>
              <w:ind w:firstLine="720" w:firstLineChars="300"/>
              <w:rPr>
                <w:rFonts w:hint="eastAsia" w:ascii="宋体" w:hAnsi="宋体"/>
                <w:kern w:val="0"/>
                <w:sz w:val="24"/>
                <w:highlight w:val="none"/>
                <w:lang w:eastAsia="en-US" w:bidi="en-US"/>
              </w:rPr>
            </w:pPr>
            <w:r>
              <w:rPr>
                <w:rFonts w:ascii="宋体" w:hAnsi="宋体"/>
                <w:kern w:val="0"/>
                <w:sz w:val="24"/>
                <w:highlight w:val="none"/>
                <w:lang w:eastAsia="en-US" w:bidi="en-US"/>
              </w:rPr>
              <w:t>日历天</w:t>
            </w:r>
          </w:p>
        </w:tc>
      </w:tr>
      <w:tr w14:paraId="4D12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894" w:type="dxa"/>
            <w:noWrap w:val="0"/>
            <w:vAlign w:val="center"/>
          </w:tcPr>
          <w:p w14:paraId="0324103A">
            <w:pPr>
              <w:widowControl/>
              <w:adjustRightInd w:val="0"/>
              <w:jc w:val="center"/>
              <w:rPr>
                <w:rFonts w:hint="eastAsia" w:ascii="宋体" w:hAnsi="宋体"/>
                <w:kern w:val="0"/>
                <w:sz w:val="24"/>
                <w:highlight w:val="none"/>
                <w:lang w:bidi="en-US"/>
              </w:rPr>
            </w:pPr>
            <w:r>
              <w:rPr>
                <w:rFonts w:hint="eastAsia" w:ascii="宋体" w:hAnsi="宋体"/>
                <w:kern w:val="0"/>
                <w:sz w:val="24"/>
                <w:highlight w:val="none"/>
                <w:lang w:bidi="en-US"/>
              </w:rPr>
              <w:t>施工现场安全生产标准化管理目标等级</w:t>
            </w:r>
          </w:p>
        </w:tc>
        <w:tc>
          <w:tcPr>
            <w:tcW w:w="3543" w:type="dxa"/>
            <w:noWrap w:val="0"/>
            <w:vAlign w:val="center"/>
          </w:tcPr>
          <w:p w14:paraId="4ED877B7">
            <w:pPr>
              <w:widowControl/>
              <w:adjustRightInd w:val="0"/>
              <w:ind w:firstLine="840" w:firstLineChars="350"/>
              <w:jc w:val="left"/>
              <w:rPr>
                <w:rFonts w:hint="eastAsia" w:ascii="宋体" w:hAnsi="宋体"/>
                <w:kern w:val="0"/>
                <w:sz w:val="24"/>
                <w:highlight w:val="none"/>
                <w:lang w:bidi="en-US"/>
              </w:rPr>
            </w:pPr>
          </w:p>
        </w:tc>
        <w:tc>
          <w:tcPr>
            <w:tcW w:w="1816" w:type="dxa"/>
            <w:noWrap w:val="0"/>
            <w:vAlign w:val="center"/>
          </w:tcPr>
          <w:p w14:paraId="3FD3AA77">
            <w:pPr>
              <w:widowControl/>
              <w:adjustRightInd w:val="0"/>
              <w:jc w:val="center"/>
              <w:rPr>
                <w:rFonts w:hint="eastAsia" w:ascii="宋体" w:hAnsi="宋体"/>
                <w:kern w:val="0"/>
                <w:sz w:val="24"/>
                <w:szCs w:val="28"/>
                <w:highlight w:val="none"/>
                <w:lang w:eastAsia="en-US" w:bidi="en-US"/>
              </w:rPr>
            </w:pPr>
            <w:r>
              <w:rPr>
                <w:rFonts w:ascii="宋体" w:hAnsi="宋体"/>
                <w:kern w:val="0"/>
                <w:sz w:val="24"/>
                <w:szCs w:val="28"/>
                <w:highlight w:val="none"/>
                <w:lang w:eastAsia="en-US" w:bidi="en-US"/>
              </w:rPr>
              <w:t>工程质量</w:t>
            </w:r>
          </w:p>
          <w:p w14:paraId="4EBBDBB6">
            <w:pPr>
              <w:widowControl/>
              <w:adjustRightInd w:val="0"/>
              <w:jc w:val="center"/>
              <w:rPr>
                <w:rFonts w:hint="eastAsia" w:ascii="宋体" w:hAnsi="宋体"/>
                <w:kern w:val="0"/>
                <w:sz w:val="24"/>
                <w:szCs w:val="28"/>
                <w:highlight w:val="none"/>
                <w:u w:val="single"/>
                <w:lang w:eastAsia="en-US" w:bidi="en-US"/>
              </w:rPr>
            </w:pPr>
            <w:r>
              <w:rPr>
                <w:rFonts w:hint="eastAsia" w:ascii="宋体" w:hAnsi="宋体"/>
                <w:kern w:val="0"/>
                <w:sz w:val="24"/>
                <w:szCs w:val="28"/>
                <w:highlight w:val="none"/>
                <w:lang w:bidi="en-US"/>
              </w:rPr>
              <w:t>标准</w:t>
            </w:r>
          </w:p>
        </w:tc>
        <w:tc>
          <w:tcPr>
            <w:tcW w:w="1721" w:type="dxa"/>
            <w:noWrap w:val="0"/>
            <w:vAlign w:val="center"/>
          </w:tcPr>
          <w:p w14:paraId="75865D3A">
            <w:pPr>
              <w:widowControl/>
              <w:adjustRightInd w:val="0"/>
              <w:jc w:val="center"/>
              <w:rPr>
                <w:rFonts w:hint="eastAsia" w:ascii="宋体" w:hAnsi="宋体"/>
                <w:kern w:val="0"/>
                <w:sz w:val="24"/>
                <w:highlight w:val="none"/>
                <w:lang w:eastAsia="en-US" w:bidi="en-US"/>
              </w:rPr>
            </w:pPr>
          </w:p>
        </w:tc>
      </w:tr>
      <w:tr w14:paraId="2CE3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894" w:type="dxa"/>
            <w:noWrap w:val="0"/>
            <w:vAlign w:val="center"/>
          </w:tcPr>
          <w:p w14:paraId="06872FA3">
            <w:pPr>
              <w:widowControl/>
              <w:jc w:val="center"/>
              <w:rPr>
                <w:rFonts w:hint="eastAsia" w:ascii="宋体" w:hAnsi="宋体"/>
                <w:kern w:val="0"/>
                <w:sz w:val="24"/>
                <w:highlight w:val="none"/>
                <w:lang w:eastAsia="en-US" w:bidi="en-US"/>
              </w:rPr>
            </w:pPr>
            <w:r>
              <w:rPr>
                <w:rFonts w:ascii="宋体" w:hAnsi="宋体"/>
                <w:kern w:val="0"/>
                <w:sz w:val="24"/>
                <w:highlight w:val="none"/>
                <w:lang w:eastAsia="en-US" w:bidi="en-US"/>
              </w:rPr>
              <w:t>项目经理姓名</w:t>
            </w:r>
          </w:p>
        </w:tc>
        <w:tc>
          <w:tcPr>
            <w:tcW w:w="3543" w:type="dxa"/>
            <w:noWrap w:val="0"/>
            <w:vAlign w:val="center"/>
          </w:tcPr>
          <w:p w14:paraId="53A469D5">
            <w:pPr>
              <w:widowControl/>
              <w:ind w:firstLine="840" w:firstLineChars="350"/>
              <w:jc w:val="center"/>
              <w:rPr>
                <w:rFonts w:hint="eastAsia" w:ascii="宋体" w:hAnsi="宋体"/>
                <w:kern w:val="0"/>
                <w:sz w:val="24"/>
                <w:highlight w:val="none"/>
                <w:lang w:eastAsia="en-US" w:bidi="en-US"/>
              </w:rPr>
            </w:pPr>
          </w:p>
        </w:tc>
        <w:tc>
          <w:tcPr>
            <w:tcW w:w="1816" w:type="dxa"/>
            <w:noWrap w:val="0"/>
            <w:vAlign w:val="center"/>
          </w:tcPr>
          <w:p w14:paraId="106DA579">
            <w:pPr>
              <w:widowControl/>
              <w:adjustRightInd w:val="0"/>
              <w:jc w:val="center"/>
              <w:rPr>
                <w:rFonts w:hint="eastAsia" w:ascii="宋体" w:hAnsi="宋体"/>
                <w:kern w:val="0"/>
                <w:sz w:val="24"/>
                <w:szCs w:val="28"/>
                <w:highlight w:val="none"/>
                <w:lang w:eastAsia="en-US" w:bidi="en-US"/>
              </w:rPr>
            </w:pPr>
          </w:p>
        </w:tc>
        <w:tc>
          <w:tcPr>
            <w:tcW w:w="1721" w:type="dxa"/>
            <w:noWrap w:val="0"/>
            <w:vAlign w:val="center"/>
          </w:tcPr>
          <w:p w14:paraId="286A9D2D">
            <w:pPr>
              <w:widowControl/>
              <w:adjustRightInd w:val="0"/>
              <w:jc w:val="center"/>
              <w:rPr>
                <w:rFonts w:hint="eastAsia" w:ascii="宋体" w:hAnsi="宋体"/>
                <w:kern w:val="0"/>
                <w:sz w:val="24"/>
                <w:highlight w:val="none"/>
                <w:u w:val="single"/>
                <w:lang w:bidi="en-US"/>
              </w:rPr>
            </w:pPr>
          </w:p>
        </w:tc>
      </w:tr>
      <w:tr w14:paraId="7F48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94" w:type="dxa"/>
            <w:noWrap w:val="0"/>
            <w:vAlign w:val="center"/>
          </w:tcPr>
          <w:p w14:paraId="0D437BB0">
            <w:pPr>
              <w:widowControl/>
              <w:adjustRightInd w:val="0"/>
              <w:ind w:right="-105" w:rightChars="-50"/>
              <w:rPr>
                <w:rFonts w:hint="eastAsia" w:ascii="宋体" w:hAnsi="宋体"/>
                <w:kern w:val="0"/>
                <w:sz w:val="24"/>
                <w:highlight w:val="none"/>
                <w:lang w:bidi="en-US"/>
              </w:rPr>
            </w:pPr>
            <w:r>
              <w:rPr>
                <w:rFonts w:ascii="宋体" w:hAnsi="宋体"/>
                <w:kern w:val="0"/>
                <w:sz w:val="24"/>
                <w:highlight w:val="none"/>
                <w:lang w:bidi="en-US"/>
              </w:rPr>
              <w:t>报价总金额</w:t>
            </w:r>
          </w:p>
          <w:p w14:paraId="7E01DFDB">
            <w:pPr>
              <w:widowControl/>
              <w:adjustRightInd w:val="0"/>
              <w:ind w:right="-105" w:rightChars="-50"/>
              <w:rPr>
                <w:rFonts w:hint="eastAsia" w:ascii="宋体" w:hAnsi="宋体"/>
                <w:kern w:val="0"/>
                <w:sz w:val="24"/>
                <w:highlight w:val="none"/>
                <w:lang w:bidi="en-US"/>
              </w:rPr>
            </w:pPr>
            <w:r>
              <w:rPr>
                <w:rFonts w:ascii="宋体" w:hAnsi="宋体"/>
                <w:kern w:val="0"/>
                <w:sz w:val="24"/>
                <w:highlight w:val="none"/>
                <w:lang w:bidi="en-US"/>
              </w:rPr>
              <w:t>（大写</w:t>
            </w:r>
            <w:r>
              <w:rPr>
                <w:rFonts w:hint="eastAsia" w:ascii="宋体" w:hAnsi="宋体"/>
                <w:kern w:val="0"/>
                <w:sz w:val="24"/>
                <w:highlight w:val="none"/>
                <w:lang w:bidi="en-US"/>
              </w:rPr>
              <w:t>及小写</w:t>
            </w:r>
            <w:r>
              <w:rPr>
                <w:rFonts w:ascii="宋体" w:hAnsi="宋体"/>
                <w:kern w:val="0"/>
                <w:sz w:val="24"/>
                <w:highlight w:val="none"/>
                <w:lang w:bidi="en-US"/>
              </w:rPr>
              <w:t>）</w:t>
            </w:r>
          </w:p>
        </w:tc>
        <w:tc>
          <w:tcPr>
            <w:tcW w:w="3543" w:type="dxa"/>
            <w:noWrap w:val="0"/>
            <w:vAlign w:val="center"/>
          </w:tcPr>
          <w:p w14:paraId="526EE156">
            <w:pPr>
              <w:widowControl/>
              <w:adjustRightInd w:val="0"/>
              <w:ind w:firstLine="480" w:firstLineChars="200"/>
              <w:jc w:val="center"/>
              <w:rPr>
                <w:rFonts w:hint="eastAsia" w:ascii="宋体" w:hAnsi="宋体"/>
                <w:kern w:val="0"/>
                <w:sz w:val="24"/>
                <w:highlight w:val="none"/>
                <w:lang w:bidi="en-US"/>
              </w:rPr>
            </w:pPr>
          </w:p>
        </w:tc>
        <w:tc>
          <w:tcPr>
            <w:tcW w:w="3537" w:type="dxa"/>
            <w:gridSpan w:val="2"/>
            <w:noWrap w:val="0"/>
            <w:vAlign w:val="center"/>
          </w:tcPr>
          <w:p w14:paraId="5C9FA523">
            <w:pPr>
              <w:widowControl/>
              <w:adjustRightInd w:val="0"/>
              <w:ind w:firstLine="480" w:firstLineChars="200"/>
              <w:jc w:val="center"/>
              <w:rPr>
                <w:rFonts w:hint="eastAsia" w:ascii="宋体" w:hAnsi="宋体"/>
                <w:kern w:val="0"/>
                <w:sz w:val="24"/>
                <w:highlight w:val="none"/>
                <w:lang w:eastAsia="en-US" w:bidi="en-US"/>
              </w:rPr>
            </w:pPr>
            <w:r>
              <w:rPr>
                <w:rFonts w:ascii="宋体" w:hAnsi="宋体"/>
                <w:kern w:val="0"/>
                <w:sz w:val="24"/>
                <w:highlight w:val="none"/>
                <w:lang w:eastAsia="en-US" w:bidi="en-US"/>
              </w:rPr>
              <w:t>￥</w:t>
            </w:r>
          </w:p>
        </w:tc>
      </w:tr>
      <w:tr w14:paraId="11EB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1894" w:type="dxa"/>
            <w:noWrap w:val="0"/>
            <w:vAlign w:val="center"/>
          </w:tcPr>
          <w:p w14:paraId="7BF5E1D4">
            <w:pPr>
              <w:widowControl/>
              <w:adjustRightInd w:val="0"/>
              <w:jc w:val="center"/>
              <w:rPr>
                <w:rFonts w:hint="eastAsia" w:ascii="宋体" w:hAnsi="宋体"/>
                <w:kern w:val="0"/>
                <w:sz w:val="24"/>
                <w:highlight w:val="none"/>
                <w:lang w:bidi="en-US"/>
              </w:rPr>
            </w:pPr>
            <w:r>
              <w:rPr>
                <w:rFonts w:ascii="宋体" w:hAnsi="宋体"/>
                <w:kern w:val="0"/>
                <w:sz w:val="24"/>
                <w:highlight w:val="none"/>
                <w:lang w:bidi="en-US"/>
              </w:rPr>
              <w:t>对报价中需要说明的问题</w:t>
            </w:r>
          </w:p>
        </w:tc>
        <w:tc>
          <w:tcPr>
            <w:tcW w:w="7080" w:type="dxa"/>
            <w:gridSpan w:val="3"/>
            <w:noWrap w:val="0"/>
            <w:vAlign w:val="center"/>
          </w:tcPr>
          <w:p w14:paraId="1F0A6B30">
            <w:pPr>
              <w:widowControl/>
              <w:adjustRightInd w:val="0"/>
              <w:jc w:val="left"/>
              <w:rPr>
                <w:rFonts w:hint="eastAsia" w:ascii="宋体" w:hAnsi="宋体"/>
                <w:kern w:val="0"/>
                <w:sz w:val="24"/>
                <w:highlight w:val="none"/>
                <w:lang w:bidi="en-US"/>
              </w:rPr>
            </w:pPr>
            <w:r>
              <w:rPr>
                <w:rFonts w:ascii="宋体" w:hAnsi="宋体"/>
                <w:kern w:val="0"/>
                <w:sz w:val="24"/>
                <w:highlight w:val="none"/>
                <w:lang w:bidi="en-US"/>
              </w:rPr>
              <w:t>其中：</w:t>
            </w:r>
            <w:r>
              <w:rPr>
                <w:rFonts w:ascii="宋体" w:hAnsi="宋体" w:cs="宋体"/>
                <w:sz w:val="24"/>
                <w:highlight w:val="none"/>
              </w:rPr>
              <w:t>安全文明施工费(含税)</w:t>
            </w:r>
            <w:r>
              <w:rPr>
                <w:rFonts w:hint="eastAsia" w:ascii="宋体" w:hAnsi="宋体" w:cs="宋体"/>
                <w:sz w:val="24"/>
                <w:highlight w:val="none"/>
              </w:rPr>
              <w:t>：</w:t>
            </w:r>
            <w:r>
              <w:rPr>
                <w:rFonts w:ascii="宋体" w:hAnsi="宋体"/>
                <w:kern w:val="0"/>
                <w:sz w:val="24"/>
                <w:highlight w:val="none"/>
                <w:u w:val="single"/>
                <w:lang w:bidi="en-US"/>
              </w:rPr>
              <w:t xml:space="preserve">               </w:t>
            </w:r>
            <w:r>
              <w:rPr>
                <w:rFonts w:ascii="宋体" w:hAnsi="宋体"/>
                <w:kern w:val="0"/>
                <w:sz w:val="24"/>
                <w:highlight w:val="none"/>
                <w:lang w:bidi="en-US"/>
              </w:rPr>
              <w:t>元</w:t>
            </w:r>
          </w:p>
          <w:p w14:paraId="1C2A0520">
            <w:pPr>
              <w:widowControl/>
              <w:adjustRightInd w:val="0"/>
              <w:ind w:firstLine="720" w:firstLineChars="300"/>
              <w:jc w:val="left"/>
              <w:rPr>
                <w:rFonts w:hint="eastAsia" w:ascii="宋体" w:hAnsi="宋体" w:cs="宋体"/>
                <w:sz w:val="24"/>
                <w:highlight w:val="none"/>
              </w:rPr>
            </w:pPr>
            <w:r>
              <w:rPr>
                <w:rFonts w:ascii="宋体" w:hAnsi="宋体" w:cs="宋体"/>
                <w:sz w:val="24"/>
                <w:highlight w:val="none"/>
              </w:rPr>
              <w:t>赶工增加费(含税)</w:t>
            </w:r>
            <w:r>
              <w:rPr>
                <w:rFonts w:hint="eastAsia" w:ascii="宋体" w:hAnsi="宋体" w:cs="宋体"/>
                <w:sz w:val="24"/>
                <w:highlight w:val="none"/>
              </w:rPr>
              <w:t>：</w:t>
            </w:r>
            <w:r>
              <w:rPr>
                <w:rFonts w:ascii="宋体" w:hAnsi="宋体"/>
                <w:kern w:val="0"/>
                <w:sz w:val="24"/>
                <w:highlight w:val="none"/>
                <w:u w:val="single"/>
                <w:lang w:bidi="en-US"/>
              </w:rPr>
              <w:t xml:space="preserve">               </w:t>
            </w:r>
            <w:r>
              <w:rPr>
                <w:rFonts w:ascii="宋体" w:hAnsi="宋体"/>
                <w:kern w:val="0"/>
                <w:sz w:val="24"/>
                <w:highlight w:val="none"/>
                <w:lang w:bidi="en-US"/>
              </w:rPr>
              <w:t>元</w:t>
            </w:r>
          </w:p>
          <w:p w14:paraId="4CDB2139">
            <w:pPr>
              <w:widowControl/>
              <w:adjustRightInd w:val="0"/>
              <w:ind w:firstLine="720" w:firstLineChars="300"/>
              <w:jc w:val="left"/>
              <w:rPr>
                <w:rFonts w:hint="eastAsia" w:ascii="宋体" w:hAnsi="宋体"/>
                <w:kern w:val="0"/>
                <w:sz w:val="24"/>
                <w:highlight w:val="none"/>
                <w:lang w:bidi="en-US"/>
              </w:rPr>
            </w:pPr>
            <w:r>
              <w:rPr>
                <w:rFonts w:hint="eastAsia" w:ascii="宋体" w:hAnsi="宋体" w:cs="宋体"/>
                <w:sz w:val="24"/>
                <w:highlight w:val="none"/>
              </w:rPr>
              <w:t>专业工程</w:t>
            </w:r>
            <w:r>
              <w:rPr>
                <w:rFonts w:ascii="宋体" w:hAnsi="宋体" w:cs="宋体"/>
                <w:sz w:val="24"/>
                <w:highlight w:val="none"/>
              </w:rPr>
              <w:t>暂估价（含税）</w:t>
            </w:r>
            <w:r>
              <w:rPr>
                <w:rFonts w:hint="eastAsia" w:ascii="宋体" w:hAnsi="宋体" w:cs="宋体"/>
                <w:sz w:val="24"/>
                <w:highlight w:val="none"/>
              </w:rPr>
              <w:t>：</w:t>
            </w:r>
            <w:r>
              <w:rPr>
                <w:rFonts w:ascii="宋体" w:hAnsi="宋体"/>
                <w:kern w:val="0"/>
                <w:sz w:val="24"/>
                <w:highlight w:val="none"/>
                <w:u w:val="single"/>
                <w:lang w:bidi="en-US"/>
              </w:rPr>
              <w:t xml:space="preserve">                </w:t>
            </w:r>
            <w:r>
              <w:rPr>
                <w:rFonts w:ascii="宋体" w:hAnsi="宋体"/>
                <w:kern w:val="0"/>
                <w:sz w:val="24"/>
                <w:highlight w:val="none"/>
                <w:lang w:bidi="en-US"/>
              </w:rPr>
              <w:t>元</w:t>
            </w:r>
          </w:p>
          <w:p w14:paraId="4740CEF9">
            <w:pPr>
              <w:widowControl/>
              <w:adjustRightInd w:val="0"/>
              <w:ind w:firstLine="720" w:firstLineChars="300"/>
              <w:jc w:val="left"/>
              <w:rPr>
                <w:rFonts w:hint="eastAsia" w:ascii="宋体" w:hAnsi="宋体"/>
                <w:kern w:val="0"/>
                <w:sz w:val="24"/>
                <w:highlight w:val="none"/>
                <w:u w:val="single"/>
                <w:lang w:bidi="en-US"/>
              </w:rPr>
            </w:pPr>
            <w:r>
              <w:rPr>
                <w:rFonts w:ascii="宋体" w:hAnsi="宋体" w:cs="宋体"/>
                <w:sz w:val="24"/>
                <w:highlight w:val="none"/>
              </w:rPr>
              <w:t>暂列金额（不</w:t>
            </w:r>
            <w:r>
              <w:rPr>
                <w:rFonts w:hint="eastAsia" w:ascii="宋体" w:hAnsi="宋体" w:cs="宋体"/>
                <w:sz w:val="24"/>
                <w:highlight w:val="none"/>
              </w:rPr>
              <w:t>含</w:t>
            </w:r>
            <w:r>
              <w:rPr>
                <w:rFonts w:ascii="宋体" w:hAnsi="宋体" w:cs="宋体"/>
                <w:sz w:val="24"/>
                <w:highlight w:val="none"/>
              </w:rPr>
              <w:t>计日工部分）（含税）</w:t>
            </w:r>
            <w:r>
              <w:rPr>
                <w:rFonts w:ascii="宋体" w:hAnsi="宋体"/>
                <w:kern w:val="0"/>
                <w:sz w:val="24"/>
                <w:highlight w:val="none"/>
                <w:u w:val="single"/>
                <w:lang w:bidi="en-US"/>
              </w:rPr>
              <w:t xml:space="preserve">           </w:t>
            </w:r>
            <w:r>
              <w:rPr>
                <w:rFonts w:ascii="宋体" w:hAnsi="宋体"/>
                <w:kern w:val="0"/>
                <w:sz w:val="24"/>
                <w:highlight w:val="none"/>
                <w:lang w:bidi="en-US"/>
              </w:rPr>
              <w:t>元</w:t>
            </w:r>
          </w:p>
        </w:tc>
      </w:tr>
      <w:tr w14:paraId="127E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94" w:type="dxa"/>
            <w:noWrap w:val="0"/>
            <w:vAlign w:val="center"/>
          </w:tcPr>
          <w:p w14:paraId="1F23042C">
            <w:pPr>
              <w:widowControl/>
              <w:adjustRightInd w:val="0"/>
              <w:jc w:val="center"/>
              <w:rPr>
                <w:rFonts w:hint="eastAsia" w:ascii="宋体" w:hAnsi="宋体"/>
                <w:kern w:val="0"/>
                <w:sz w:val="24"/>
                <w:highlight w:val="none"/>
                <w:lang w:eastAsia="en-US" w:bidi="en-US"/>
              </w:rPr>
            </w:pPr>
            <w:r>
              <w:rPr>
                <w:rFonts w:ascii="宋体" w:hAnsi="宋体"/>
                <w:kern w:val="0"/>
                <w:sz w:val="24"/>
                <w:highlight w:val="none"/>
                <w:lang w:eastAsia="en-US" w:bidi="en-US"/>
              </w:rPr>
              <w:t>备  注</w:t>
            </w:r>
          </w:p>
        </w:tc>
        <w:tc>
          <w:tcPr>
            <w:tcW w:w="7080" w:type="dxa"/>
            <w:gridSpan w:val="3"/>
            <w:noWrap w:val="0"/>
            <w:vAlign w:val="center"/>
          </w:tcPr>
          <w:p w14:paraId="78E63B52">
            <w:pPr>
              <w:widowControl/>
              <w:adjustRightInd w:val="0"/>
              <w:spacing w:line="360" w:lineRule="auto"/>
              <w:jc w:val="left"/>
              <w:rPr>
                <w:rFonts w:hint="eastAsia" w:ascii="宋体" w:hAnsi="宋体"/>
                <w:kern w:val="0"/>
                <w:sz w:val="24"/>
                <w:highlight w:val="none"/>
                <w:u w:val="single"/>
                <w:lang w:bidi="en-US"/>
              </w:rPr>
            </w:pPr>
            <w:r>
              <w:rPr>
                <w:rFonts w:hint="eastAsia" w:ascii="宋体" w:hAnsi="宋体"/>
                <w:sz w:val="24"/>
                <w:highlight w:val="none"/>
              </w:rPr>
              <w:t>在履行合同过程中，工程计价按照第一次报价的已标价工程量清单中的单价执行，在工程竣工结算时按照最终报价相较于第一次报价的优惠比例（计算优惠比例时，一次报价及最终报价均应扣除暂估价、暂列金的含工程税价格)，计算竣工结算合同总价。</w:t>
            </w:r>
          </w:p>
        </w:tc>
      </w:tr>
    </w:tbl>
    <w:p w14:paraId="017F844B">
      <w:pPr>
        <w:tabs>
          <w:tab w:val="left" w:leader="underscore" w:pos="2880"/>
          <w:tab w:val="left" w:leader="underscore" w:pos="5400"/>
        </w:tabs>
        <w:spacing w:before="120" w:beforeLines="50" w:line="360" w:lineRule="auto"/>
        <w:ind w:firstLine="426" w:firstLineChars="177"/>
        <w:jc w:val="left"/>
        <w:rPr>
          <w:rFonts w:hint="eastAsia" w:ascii="宋体" w:hAnsi="宋体" w:cs="Arial"/>
          <w:b/>
          <w:sz w:val="24"/>
          <w:highlight w:val="none"/>
        </w:rPr>
      </w:pPr>
      <w:r>
        <w:rPr>
          <w:rFonts w:hint="eastAsia" w:ascii="宋体" w:hAnsi="宋体" w:cs="Arial"/>
          <w:b/>
          <w:sz w:val="24"/>
          <w:highlight w:val="none"/>
        </w:rPr>
        <w:t>供应商</w:t>
      </w:r>
      <w:r>
        <w:rPr>
          <w:rFonts w:ascii="宋体" w:hAnsi="宋体" w:cs="Arial"/>
          <w:b/>
          <w:sz w:val="24"/>
          <w:highlight w:val="none"/>
        </w:rPr>
        <w:t>：       （盖单位章）</w:t>
      </w:r>
    </w:p>
    <w:p w14:paraId="7A946AFA">
      <w:pPr>
        <w:tabs>
          <w:tab w:val="left" w:leader="underscore" w:pos="2880"/>
          <w:tab w:val="left" w:leader="underscore" w:pos="5400"/>
        </w:tabs>
        <w:spacing w:line="360" w:lineRule="auto"/>
        <w:ind w:firstLine="426" w:firstLineChars="177"/>
        <w:jc w:val="left"/>
        <w:rPr>
          <w:rFonts w:hint="eastAsia" w:ascii="宋体" w:hAnsi="宋体" w:cs="Arial"/>
          <w:b/>
          <w:sz w:val="24"/>
          <w:highlight w:val="none"/>
        </w:rPr>
      </w:pPr>
      <w:r>
        <w:rPr>
          <w:rFonts w:ascii="宋体" w:hAnsi="宋体" w:cs="Arial"/>
          <w:b/>
          <w:sz w:val="24"/>
          <w:highlight w:val="none"/>
        </w:rPr>
        <w:t>法定代表人或其委托代理人：（签字或盖章）</w:t>
      </w:r>
    </w:p>
    <w:p w14:paraId="228E4424">
      <w:pPr>
        <w:tabs>
          <w:tab w:val="left" w:pos="5580"/>
        </w:tabs>
        <w:spacing w:line="360" w:lineRule="auto"/>
        <w:ind w:left="420"/>
        <w:jc w:val="left"/>
        <w:rPr>
          <w:sz w:val="24"/>
          <w:szCs w:val="20"/>
          <w:highlight w:val="none"/>
        </w:rPr>
      </w:pPr>
      <w:r>
        <w:rPr>
          <w:rFonts w:ascii="宋体" w:hAnsi="宋体" w:cs="Arial"/>
          <w:b/>
          <w:sz w:val="24"/>
          <w:highlight w:val="none"/>
        </w:rPr>
        <w:t>日期：    年    月    日</w:t>
      </w:r>
    </w:p>
    <w:p w14:paraId="1EFC53E1">
      <w:pPr>
        <w:widowControl/>
        <w:jc w:val="left"/>
        <w:rPr>
          <w:b/>
          <w:sz w:val="24"/>
          <w:szCs w:val="20"/>
          <w:highlight w:val="none"/>
        </w:rPr>
      </w:pPr>
      <w:r>
        <w:rPr>
          <w:b/>
          <w:sz w:val="24"/>
          <w:szCs w:val="20"/>
          <w:highlight w:val="none"/>
        </w:rPr>
        <w:br w:type="page"/>
      </w:r>
    </w:p>
    <w:p w14:paraId="75010BDF">
      <w:pPr>
        <w:tabs>
          <w:tab w:val="left" w:pos="360"/>
        </w:tabs>
        <w:snapToGrid w:val="0"/>
        <w:spacing w:line="360" w:lineRule="auto"/>
        <w:outlineLvl w:val="1"/>
        <w:rPr>
          <w:sz w:val="24"/>
          <w:highlight w:val="none"/>
        </w:rPr>
      </w:pPr>
      <w:bookmarkStart w:id="3268" w:name="_Hlt520356243"/>
      <w:bookmarkEnd w:id="3268"/>
      <w:bookmarkStart w:id="3269" w:name="_Hlt520355938"/>
      <w:bookmarkEnd w:id="3269"/>
      <w:bookmarkStart w:id="3270" w:name="_Toc264969247"/>
      <w:bookmarkStart w:id="3271" w:name="_Toc265228395"/>
      <w:bookmarkStart w:id="3272" w:name="_Toc127151557"/>
      <w:bookmarkStart w:id="3273" w:name="_Ref467988705"/>
      <w:bookmarkStart w:id="3274" w:name="_Toc480942350"/>
      <w:bookmarkStart w:id="3275" w:name="_Toc142311059"/>
      <w:bookmarkStart w:id="3276" w:name="_Toc226965747"/>
      <w:bookmarkStart w:id="3277" w:name="_Toc305158899"/>
      <w:bookmarkStart w:id="3278" w:name="_Toc195842922"/>
      <w:bookmarkStart w:id="3279" w:name="_Toc150774762"/>
      <w:bookmarkStart w:id="3280" w:name="_Toc520356218"/>
      <w:bookmarkStart w:id="3281" w:name="_Toc305158825"/>
      <w:bookmarkStart w:id="3282" w:name="_Toc150480795"/>
      <w:bookmarkStart w:id="3283" w:name="_Toc226337253"/>
      <w:bookmarkStart w:id="3284" w:name="_Toc226309801"/>
      <w:bookmarkStart w:id="3285" w:name="_Toc226965830"/>
      <w:r>
        <w:rPr>
          <w:sz w:val="24"/>
          <w:highlight w:val="none"/>
        </w:rPr>
        <w:t>6  授权委托书</w:t>
      </w:r>
      <w:r>
        <w:rPr>
          <w:spacing w:val="-2"/>
          <w:sz w:val="24"/>
          <w:highlight w:val="none"/>
        </w:rPr>
        <w:t>（实质性格式）</w:t>
      </w:r>
    </w:p>
    <w:p w14:paraId="4593D850">
      <w:pPr>
        <w:autoSpaceDE w:val="0"/>
        <w:autoSpaceDN w:val="0"/>
        <w:adjustRightInd w:val="0"/>
        <w:spacing w:line="360" w:lineRule="auto"/>
        <w:jc w:val="center"/>
        <w:rPr>
          <w:b/>
          <w:sz w:val="36"/>
          <w:szCs w:val="36"/>
          <w:highlight w:val="none"/>
        </w:rPr>
      </w:pPr>
      <w:r>
        <w:rPr>
          <w:rFonts w:hint="eastAsia"/>
          <w:b/>
          <w:sz w:val="36"/>
          <w:szCs w:val="36"/>
          <w:highlight w:val="none"/>
        </w:rPr>
        <w:t>授权委托书</w:t>
      </w:r>
    </w:p>
    <w:p w14:paraId="7889BBEB">
      <w:pPr>
        <w:spacing w:line="360" w:lineRule="auto"/>
        <w:ind w:firstLine="420"/>
        <w:rPr>
          <w:sz w:val="24"/>
          <w:szCs w:val="20"/>
          <w:highlight w:val="none"/>
        </w:rPr>
      </w:pPr>
      <w:r>
        <w:rPr>
          <w:sz w:val="24"/>
          <w:szCs w:val="20"/>
          <w:highlight w:val="none"/>
        </w:rPr>
        <w:t>本人____（姓名）系____（供应商名称）的法定代表人（单位负责人），现委托_____ （姓名）为我方代理人。代理人根据授权，以我方名义签署、澄清确认、</w:t>
      </w:r>
      <w:r>
        <w:rPr>
          <w:rFonts w:hint="eastAsia"/>
          <w:sz w:val="24"/>
          <w:szCs w:val="20"/>
          <w:highlight w:val="none"/>
        </w:rPr>
        <w:t>提</w:t>
      </w:r>
      <w:r>
        <w:rPr>
          <w:sz w:val="24"/>
          <w:szCs w:val="20"/>
          <w:highlight w:val="none"/>
        </w:rPr>
        <w:t>交、撤回、修改____（项目名称）响应文件和处理有关事宜，其法律后果由我方承担。</w:t>
      </w:r>
    </w:p>
    <w:p w14:paraId="6CCA4F99">
      <w:pPr>
        <w:spacing w:line="360" w:lineRule="auto"/>
        <w:ind w:firstLine="420"/>
        <w:rPr>
          <w:sz w:val="24"/>
          <w:szCs w:val="20"/>
          <w:highlight w:val="none"/>
        </w:rPr>
      </w:pPr>
      <w:r>
        <w:rPr>
          <w:sz w:val="24"/>
          <w:szCs w:val="20"/>
          <w:highlight w:val="none"/>
        </w:rPr>
        <w:t>委托期限：自本授权委托书签署之日起至响应有效期届满之日止。</w:t>
      </w:r>
    </w:p>
    <w:p w14:paraId="0DE30FA4">
      <w:pPr>
        <w:spacing w:line="360" w:lineRule="auto"/>
        <w:ind w:firstLine="420"/>
        <w:rPr>
          <w:sz w:val="24"/>
          <w:szCs w:val="20"/>
          <w:highlight w:val="none"/>
        </w:rPr>
      </w:pPr>
      <w:r>
        <w:rPr>
          <w:sz w:val="24"/>
          <w:szCs w:val="20"/>
          <w:highlight w:val="none"/>
        </w:rPr>
        <w:t>代理人无转委托权。</w:t>
      </w:r>
      <w:r>
        <w:rPr>
          <w:sz w:val="24"/>
          <w:szCs w:val="20"/>
          <w:highlight w:val="none"/>
        </w:rPr>
        <w:cr/>
      </w:r>
    </w:p>
    <w:p w14:paraId="35AC621F">
      <w:pPr>
        <w:spacing w:line="360" w:lineRule="auto"/>
        <w:rPr>
          <w:sz w:val="24"/>
          <w:highlight w:val="none"/>
          <w:lang w:val="zh-CN"/>
        </w:rPr>
      </w:pPr>
      <w:r>
        <w:rPr>
          <w:sz w:val="24"/>
          <w:highlight w:val="none"/>
        </w:rPr>
        <w:t>供应商名称（加盖公章）</w:t>
      </w:r>
      <w:r>
        <w:rPr>
          <w:sz w:val="24"/>
          <w:highlight w:val="none"/>
          <w:lang w:val="zh-CN"/>
        </w:rPr>
        <w:t>：</w:t>
      </w:r>
      <w:r>
        <w:rPr>
          <w:sz w:val="24"/>
          <w:szCs w:val="20"/>
          <w:highlight w:val="none"/>
        </w:rPr>
        <w:t>______________</w:t>
      </w:r>
    </w:p>
    <w:p w14:paraId="23E4CE95">
      <w:pPr>
        <w:spacing w:line="360" w:lineRule="auto"/>
        <w:rPr>
          <w:sz w:val="24"/>
          <w:szCs w:val="20"/>
          <w:highlight w:val="none"/>
        </w:rPr>
      </w:pPr>
      <w:r>
        <w:rPr>
          <w:sz w:val="24"/>
          <w:szCs w:val="20"/>
          <w:highlight w:val="none"/>
        </w:rPr>
        <w:t>法定代表人（单位负责人）（签字或</w:t>
      </w:r>
      <w:r>
        <w:rPr>
          <w:rFonts w:hint="eastAsia"/>
          <w:sz w:val="24"/>
          <w:szCs w:val="20"/>
          <w:highlight w:val="none"/>
        </w:rPr>
        <w:t>签章</w:t>
      </w:r>
      <w:r>
        <w:rPr>
          <w:sz w:val="24"/>
          <w:szCs w:val="20"/>
          <w:highlight w:val="none"/>
        </w:rPr>
        <w:t>）：______________</w:t>
      </w:r>
    </w:p>
    <w:p w14:paraId="3228992F">
      <w:pPr>
        <w:autoSpaceDE w:val="0"/>
        <w:autoSpaceDN w:val="0"/>
        <w:adjustRightInd w:val="0"/>
        <w:snapToGrid w:val="0"/>
        <w:spacing w:line="360" w:lineRule="auto"/>
        <w:rPr>
          <w:sz w:val="24"/>
          <w:highlight w:val="none"/>
          <w:lang w:val="zh-CN"/>
        </w:rPr>
      </w:pPr>
      <w:r>
        <w:rPr>
          <w:sz w:val="24"/>
          <w:highlight w:val="none"/>
        </w:rPr>
        <w:t>委托代理人（签字</w:t>
      </w:r>
      <w:r>
        <w:rPr>
          <w:rFonts w:hint="eastAsia" w:ascii="宋体" w:hAnsi="宋体"/>
          <w:sz w:val="24"/>
          <w:szCs w:val="20"/>
          <w:highlight w:val="none"/>
        </w:rPr>
        <w:t>或签章</w:t>
      </w:r>
      <w:r>
        <w:rPr>
          <w:sz w:val="24"/>
          <w:highlight w:val="none"/>
        </w:rPr>
        <w:t>）：</w:t>
      </w:r>
      <w:r>
        <w:rPr>
          <w:sz w:val="24"/>
          <w:szCs w:val="20"/>
          <w:highlight w:val="none"/>
        </w:rPr>
        <w:t>______________</w:t>
      </w:r>
      <w:r>
        <w:rPr>
          <w:sz w:val="24"/>
          <w:highlight w:val="none"/>
          <w:lang w:val="zh-CN"/>
        </w:rPr>
        <w:t xml:space="preserve">        </w:t>
      </w:r>
    </w:p>
    <w:p w14:paraId="63962EE1">
      <w:pPr>
        <w:autoSpaceDE w:val="0"/>
        <w:autoSpaceDN w:val="0"/>
        <w:adjustRightInd w:val="0"/>
        <w:snapToGrid w:val="0"/>
        <w:spacing w:line="360" w:lineRule="auto"/>
        <w:rPr>
          <w:sz w:val="24"/>
          <w:highlight w:val="none"/>
          <w:lang w:val="zh-CN"/>
        </w:rPr>
      </w:pPr>
      <w:r>
        <w:rPr>
          <w:sz w:val="24"/>
          <w:highlight w:val="none"/>
        </w:rPr>
        <w:t>日期：</w:t>
      </w:r>
      <w:r>
        <w:rPr>
          <w:sz w:val="24"/>
          <w:szCs w:val="20"/>
          <w:highlight w:val="none"/>
        </w:rPr>
        <w:t>____</w:t>
      </w:r>
      <w:r>
        <w:rPr>
          <w:sz w:val="24"/>
          <w:highlight w:val="none"/>
        </w:rPr>
        <w:t>年</w:t>
      </w:r>
      <w:r>
        <w:rPr>
          <w:sz w:val="24"/>
          <w:szCs w:val="20"/>
          <w:highlight w:val="none"/>
        </w:rPr>
        <w:t>____</w:t>
      </w:r>
      <w:r>
        <w:rPr>
          <w:sz w:val="24"/>
          <w:highlight w:val="none"/>
        </w:rPr>
        <w:t>月</w:t>
      </w:r>
      <w:r>
        <w:rPr>
          <w:sz w:val="24"/>
          <w:szCs w:val="20"/>
          <w:highlight w:val="none"/>
        </w:rPr>
        <w:t>____</w:t>
      </w:r>
      <w:r>
        <w:rPr>
          <w:sz w:val="24"/>
          <w:highlight w:val="none"/>
        </w:rPr>
        <w:t>日</w:t>
      </w:r>
    </w:p>
    <w:p w14:paraId="2A835AC3">
      <w:pPr>
        <w:tabs>
          <w:tab w:val="left" w:pos="5580"/>
        </w:tabs>
        <w:spacing w:line="360" w:lineRule="auto"/>
        <w:ind w:firstLine="480" w:firstLineChars="200"/>
        <w:rPr>
          <w:sz w:val="24"/>
          <w:szCs w:val="20"/>
          <w:highlight w:val="none"/>
        </w:rPr>
      </w:pPr>
    </w:p>
    <w:p w14:paraId="761BAD9A">
      <w:pPr>
        <w:pStyle w:val="23"/>
        <w:spacing w:before="79" w:line="219" w:lineRule="auto"/>
        <w:ind w:left="141"/>
        <w:rPr>
          <w:highlight w:val="none"/>
        </w:rPr>
      </w:pPr>
      <w:r>
        <w:rPr>
          <w:spacing w:val="-4"/>
          <w:highlight w:val="none"/>
        </w:rPr>
        <w:t>附：法定代表人及委托代理人身份证明文件电子件：</w:t>
      </w:r>
    </w:p>
    <w:p w14:paraId="26F0DFB8">
      <w:pPr>
        <w:tabs>
          <w:tab w:val="left" w:pos="5580"/>
        </w:tabs>
        <w:spacing w:line="360" w:lineRule="auto"/>
        <w:jc w:val="left"/>
        <w:rPr>
          <w:sz w:val="24"/>
          <w:szCs w:val="20"/>
          <w:highlight w:val="none"/>
        </w:rPr>
      </w:pPr>
      <w:r>
        <w:rPr>
          <w:position w:val="-47"/>
          <w:highlight w:val="none"/>
          <w:lang/>
        </w:rPr>
        <w:drawing>
          <wp:inline distT="0" distB="0" distL="114300" distR="114300">
            <wp:extent cx="5279390" cy="1506855"/>
            <wp:effectExtent l="0" t="0" r="3810" b="4445"/>
            <wp:docPr id="3" name="IM 178"/>
            <wp:cNvGraphicFramePr/>
            <a:graphic xmlns:a="http://schemas.openxmlformats.org/drawingml/2006/main">
              <a:graphicData uri="http://schemas.openxmlformats.org/drawingml/2006/picture">
                <pic:pic xmlns:pic="http://schemas.openxmlformats.org/drawingml/2006/picture">
                  <pic:nvPicPr>
                    <pic:cNvPr id="3" name="IM 178"/>
                    <pic:cNvPicPr/>
                  </pic:nvPicPr>
                  <pic:blipFill>
                    <a:blip r:embed="rId42"/>
                    <a:stretch>
                      <a:fillRect/>
                    </a:stretch>
                  </pic:blipFill>
                  <pic:spPr>
                    <a:xfrm>
                      <a:off x="0" y="0"/>
                      <a:ext cx="5279390" cy="1506855"/>
                    </a:xfrm>
                    <a:prstGeom prst="rect">
                      <a:avLst/>
                    </a:prstGeom>
                    <a:noFill/>
                    <a:ln>
                      <a:noFill/>
                    </a:ln>
                  </pic:spPr>
                </pic:pic>
              </a:graphicData>
            </a:graphic>
          </wp:inline>
        </w:drawing>
      </w:r>
    </w:p>
    <w:p w14:paraId="261F2144">
      <w:pPr>
        <w:tabs>
          <w:tab w:val="left" w:pos="5580"/>
        </w:tabs>
        <w:spacing w:line="360" w:lineRule="auto"/>
        <w:jc w:val="left"/>
        <w:rPr>
          <w:sz w:val="24"/>
          <w:szCs w:val="20"/>
          <w:highlight w:val="none"/>
        </w:rPr>
      </w:pPr>
      <w:r>
        <w:rPr>
          <w:sz w:val="24"/>
          <w:szCs w:val="20"/>
          <w:highlight w:val="none"/>
        </w:rPr>
        <w:t>说明：</w:t>
      </w:r>
    </w:p>
    <w:p w14:paraId="183287D4">
      <w:pPr>
        <w:widowControl/>
        <w:spacing w:line="360" w:lineRule="auto"/>
        <w:jc w:val="left"/>
        <w:rPr>
          <w:rFonts w:hint="eastAsia"/>
          <w:sz w:val="24"/>
          <w:highlight w:val="none"/>
        </w:rPr>
      </w:pPr>
      <w:r>
        <w:rPr>
          <w:rFonts w:hint="eastAsia"/>
          <w:sz w:val="24"/>
          <w:highlight w:val="none"/>
        </w:rPr>
        <w:t>1.若供应商为事业单位或其他组织或分支机构，则法定代表人(单位负责人)处的签署人可为单位负责人。</w:t>
      </w:r>
    </w:p>
    <w:p w14:paraId="591D7257">
      <w:pPr>
        <w:widowControl/>
        <w:spacing w:line="360" w:lineRule="auto"/>
        <w:jc w:val="left"/>
        <w:rPr>
          <w:rFonts w:hint="eastAsia"/>
          <w:sz w:val="24"/>
          <w:highlight w:val="none"/>
        </w:rPr>
      </w:pPr>
      <w:r>
        <w:rPr>
          <w:rFonts w:hint="eastAsia"/>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116A5ED8">
      <w:pPr>
        <w:widowControl/>
        <w:spacing w:line="360" w:lineRule="auto"/>
        <w:jc w:val="left"/>
        <w:rPr>
          <w:rFonts w:hint="eastAsia"/>
          <w:sz w:val="24"/>
          <w:highlight w:val="none"/>
        </w:rPr>
      </w:pPr>
      <w:r>
        <w:rPr>
          <w:rFonts w:hint="eastAsia"/>
          <w:sz w:val="24"/>
          <w:highlight w:val="none"/>
        </w:rPr>
        <w:t>3.供应商为自然人的情形，可不提供本《授权委托书》。</w:t>
      </w:r>
    </w:p>
    <w:p w14:paraId="64418499">
      <w:pPr>
        <w:widowControl/>
        <w:spacing w:line="360" w:lineRule="auto"/>
        <w:jc w:val="left"/>
        <w:rPr>
          <w:sz w:val="30"/>
          <w:szCs w:val="30"/>
          <w:highlight w:val="none"/>
        </w:rPr>
      </w:pPr>
      <w:r>
        <w:rPr>
          <w:rFonts w:hint="eastAsia"/>
          <w:sz w:val="24"/>
          <w:highlight w:val="none"/>
        </w:rPr>
        <w:t>4.供应商应随本《授权委托书》同时提供法定代表人 (单位负责人)及委托代理人的有效的身份证、护照等身份证明文件电子件。提供身份证的，应同时提供身份证</w:t>
      </w:r>
      <w:r>
        <w:rPr>
          <w:rFonts w:hint="eastAsia"/>
          <w:b/>
          <w:bCs/>
          <w:sz w:val="24"/>
          <w:highlight w:val="none"/>
        </w:rPr>
        <w:t>双面</w:t>
      </w:r>
      <w:r>
        <w:rPr>
          <w:rFonts w:hint="eastAsia"/>
          <w:sz w:val="24"/>
          <w:highlight w:val="none"/>
        </w:rPr>
        <w:t>电子件。</w:t>
      </w:r>
      <w:r>
        <w:rPr>
          <w:sz w:val="30"/>
          <w:szCs w:val="30"/>
          <w:highlight w:val="none"/>
        </w:rPr>
        <w:br w:type="page"/>
      </w:r>
    </w:p>
    <w:p w14:paraId="1D007B9E">
      <w:pPr>
        <w:autoSpaceDE w:val="0"/>
        <w:autoSpaceDN w:val="0"/>
        <w:adjustRightInd w:val="0"/>
        <w:spacing w:line="360" w:lineRule="auto"/>
        <w:jc w:val="center"/>
        <w:rPr>
          <w:b/>
          <w:sz w:val="36"/>
          <w:szCs w:val="36"/>
          <w:highlight w:val="none"/>
        </w:rPr>
      </w:pPr>
      <w:r>
        <w:rPr>
          <w:rFonts w:hint="eastAsia"/>
          <w:b/>
          <w:sz w:val="36"/>
          <w:szCs w:val="36"/>
          <w:highlight w:val="none"/>
        </w:rPr>
        <w:t>法定代表人（单位负责人）身份证明</w:t>
      </w:r>
    </w:p>
    <w:p w14:paraId="79F51AD5">
      <w:pPr>
        <w:kinsoku w:val="0"/>
        <w:overflowPunct w:val="0"/>
        <w:spacing w:line="200" w:lineRule="exact"/>
        <w:rPr>
          <w:sz w:val="20"/>
          <w:szCs w:val="20"/>
          <w:highlight w:val="none"/>
        </w:rPr>
      </w:pPr>
    </w:p>
    <w:p w14:paraId="70025E80">
      <w:pPr>
        <w:tabs>
          <w:tab w:val="left" w:pos="5580"/>
        </w:tabs>
        <w:spacing w:line="360" w:lineRule="auto"/>
        <w:rPr>
          <w:sz w:val="24"/>
          <w:highlight w:val="none"/>
        </w:rPr>
      </w:pPr>
      <w:r>
        <w:rPr>
          <w:sz w:val="24"/>
          <w:highlight w:val="none"/>
        </w:rPr>
        <w:t>致：</w:t>
      </w:r>
      <w:r>
        <w:rPr>
          <w:sz w:val="24"/>
          <w:szCs w:val="20"/>
          <w:highlight w:val="none"/>
        </w:rPr>
        <w:t>____</w:t>
      </w:r>
      <w:r>
        <w:rPr>
          <w:sz w:val="24"/>
          <w:highlight w:val="none"/>
        </w:rPr>
        <w:t>（采购人或采购代理机构）</w:t>
      </w:r>
    </w:p>
    <w:p w14:paraId="79BC8E55">
      <w:pPr>
        <w:pStyle w:val="23"/>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6BE67259">
      <w:pPr>
        <w:pStyle w:val="23"/>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szCs w:val="20"/>
          <w:highlight w:val="none"/>
        </w:rPr>
        <w:t>____</w:t>
      </w:r>
      <w:r>
        <w:rPr>
          <w:rFonts w:ascii="Times New Roman" w:hAnsi="Times New Roman"/>
          <w:highlight w:val="none"/>
        </w:rPr>
        <w:t>性别：</w:t>
      </w:r>
      <w:r>
        <w:rPr>
          <w:rFonts w:ascii="Times New Roman" w:hAnsi="Times New Roman"/>
          <w:szCs w:val="20"/>
          <w:highlight w:val="none"/>
        </w:rPr>
        <w:t>____</w:t>
      </w:r>
      <w:r>
        <w:rPr>
          <w:rFonts w:ascii="Times New Roman" w:hAnsi="Times New Roman"/>
          <w:highlight w:val="none"/>
        </w:rPr>
        <w:t>年龄：</w:t>
      </w:r>
      <w:r>
        <w:rPr>
          <w:rFonts w:ascii="Times New Roman" w:hAnsi="Times New Roman"/>
          <w:szCs w:val="20"/>
          <w:highlight w:val="none"/>
        </w:rPr>
        <w:t>____</w:t>
      </w:r>
      <w:r>
        <w:rPr>
          <w:rFonts w:ascii="Times New Roman" w:hAnsi="Times New Roman"/>
          <w:highlight w:val="none"/>
        </w:rPr>
        <w:t>职务：</w:t>
      </w:r>
      <w:r>
        <w:rPr>
          <w:rFonts w:ascii="Times New Roman" w:hAnsi="Times New Roman"/>
          <w:szCs w:val="20"/>
          <w:highlight w:val="none"/>
        </w:rPr>
        <w:t>____</w:t>
      </w:r>
    </w:p>
    <w:p w14:paraId="5B990B81">
      <w:pPr>
        <w:pStyle w:val="23"/>
        <w:tabs>
          <w:tab w:val="left" w:pos="2412"/>
          <w:tab w:val="left" w:pos="3883"/>
          <w:tab w:val="left" w:pos="5352"/>
          <w:tab w:val="left" w:pos="6821"/>
        </w:tabs>
        <w:kinsoku w:val="0"/>
        <w:overflowPunct w:val="0"/>
        <w:spacing w:line="335" w:lineRule="exact"/>
        <w:rPr>
          <w:rFonts w:ascii="Times New Roman" w:hAnsi="Times New Roman"/>
          <w:highlight w:val="none"/>
        </w:rPr>
      </w:pPr>
    </w:p>
    <w:p w14:paraId="646AE251">
      <w:pPr>
        <w:pStyle w:val="23"/>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szCs w:val="20"/>
          <w:highlight w:val="none"/>
        </w:rPr>
        <w:t>__________</w:t>
      </w:r>
      <w:r>
        <w:rPr>
          <w:rFonts w:ascii="Times New Roman" w:hAnsi="Times New Roman"/>
          <w:highlight w:val="none"/>
        </w:rPr>
        <w:t>（供应商名称）的法定代表人（单位负责人）。</w:t>
      </w:r>
    </w:p>
    <w:p w14:paraId="406A7E5C">
      <w:pPr>
        <w:pStyle w:val="23"/>
        <w:tabs>
          <w:tab w:val="left" w:pos="2412"/>
          <w:tab w:val="left" w:pos="3883"/>
          <w:tab w:val="left" w:pos="5352"/>
          <w:tab w:val="left" w:pos="6821"/>
        </w:tabs>
        <w:kinsoku w:val="0"/>
        <w:overflowPunct w:val="0"/>
        <w:spacing w:line="335" w:lineRule="exact"/>
        <w:rPr>
          <w:rFonts w:ascii="Times New Roman" w:hAnsi="Times New Roman"/>
          <w:highlight w:val="none"/>
        </w:rPr>
      </w:pPr>
    </w:p>
    <w:p w14:paraId="036AD5F8">
      <w:pPr>
        <w:pStyle w:val="23"/>
        <w:tabs>
          <w:tab w:val="left" w:pos="2412"/>
          <w:tab w:val="left" w:pos="3883"/>
          <w:tab w:val="left" w:pos="5352"/>
          <w:tab w:val="left" w:pos="6821"/>
        </w:tabs>
        <w:kinsoku w:val="0"/>
        <w:overflowPunct w:val="0"/>
        <w:spacing w:line="335" w:lineRule="exact"/>
        <w:rPr>
          <w:rFonts w:ascii="Times New Roman" w:hAnsi="Times New Roman"/>
          <w:highlight w:val="none"/>
        </w:rPr>
      </w:pPr>
    </w:p>
    <w:p w14:paraId="3891145E">
      <w:pPr>
        <w:pStyle w:val="23"/>
        <w:tabs>
          <w:tab w:val="left" w:pos="2412"/>
          <w:tab w:val="left" w:pos="3883"/>
          <w:tab w:val="left" w:pos="5352"/>
          <w:tab w:val="left" w:pos="6821"/>
        </w:tabs>
        <w:kinsoku w:val="0"/>
        <w:overflowPunct w:val="0"/>
        <w:spacing w:line="335" w:lineRule="exact"/>
        <w:rPr>
          <w:rFonts w:ascii="Times New Roman" w:hAnsi="Times New Roman"/>
          <w:highlight w:val="none"/>
        </w:rPr>
      </w:pPr>
    </w:p>
    <w:p w14:paraId="1A40E38E">
      <w:pPr>
        <w:pStyle w:val="23"/>
        <w:kinsoku w:val="0"/>
        <w:overflowPunct w:val="0"/>
        <w:spacing w:line="583" w:lineRule="auto"/>
        <w:ind w:right="-46"/>
        <w:rPr>
          <w:rFonts w:hint="eastAsia"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）身份证、护照等身份证明文件电子件：</w:t>
      </w:r>
    </w:p>
    <w:p w14:paraId="439D557A">
      <w:pPr>
        <w:pStyle w:val="23"/>
        <w:kinsoku w:val="0"/>
        <w:overflowPunct w:val="0"/>
        <w:spacing w:line="583" w:lineRule="auto"/>
        <w:ind w:right="-46"/>
        <w:rPr>
          <w:rFonts w:ascii="Times New Roman" w:hAnsi="Times New Roman"/>
          <w:spacing w:val="-3"/>
          <w:highlight w:val="none"/>
        </w:rPr>
      </w:pPr>
      <w:r>
        <w:rPr>
          <w:position w:val="-47"/>
          <w:highlight w:val="none"/>
          <w:lang/>
        </w:rPr>
        <w:drawing>
          <wp:inline distT="0" distB="0" distL="114300" distR="114300">
            <wp:extent cx="5279390" cy="1506855"/>
            <wp:effectExtent l="0" t="0" r="3810" b="4445"/>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42"/>
                    <a:stretch>
                      <a:fillRect/>
                    </a:stretch>
                  </pic:blipFill>
                  <pic:spPr>
                    <a:xfrm>
                      <a:off x="0" y="0"/>
                      <a:ext cx="5279390" cy="1506855"/>
                    </a:xfrm>
                    <a:prstGeom prst="rect">
                      <a:avLst/>
                    </a:prstGeom>
                    <a:noFill/>
                    <a:ln>
                      <a:noFill/>
                    </a:ln>
                  </pic:spPr>
                </pic:pic>
              </a:graphicData>
            </a:graphic>
          </wp:inline>
        </w:drawing>
      </w:r>
    </w:p>
    <w:p w14:paraId="0F1F61D2">
      <w:pPr>
        <w:pStyle w:val="23"/>
        <w:kinsoku w:val="0"/>
        <w:overflowPunct w:val="0"/>
        <w:spacing w:line="583" w:lineRule="auto"/>
        <w:ind w:right="4305"/>
        <w:rPr>
          <w:rFonts w:ascii="Times New Roman" w:hAnsi="Times New Roman"/>
          <w:spacing w:val="-3"/>
          <w:highlight w:val="none"/>
        </w:rPr>
      </w:pPr>
    </w:p>
    <w:p w14:paraId="4E260E48">
      <w:pPr>
        <w:pStyle w:val="23"/>
        <w:kinsoku w:val="0"/>
        <w:overflowPunct w:val="0"/>
        <w:spacing w:line="583" w:lineRule="auto"/>
        <w:ind w:right="4305"/>
        <w:rPr>
          <w:rFonts w:ascii="Times New Roman" w:hAnsi="Times New Roman"/>
          <w:spacing w:val="-3"/>
          <w:highlight w:val="none"/>
        </w:rPr>
      </w:pPr>
    </w:p>
    <w:p w14:paraId="503C8661">
      <w:pPr>
        <w:autoSpaceDE w:val="0"/>
        <w:autoSpaceDN w:val="0"/>
        <w:adjustRightInd w:val="0"/>
        <w:snapToGrid w:val="0"/>
        <w:spacing w:line="360" w:lineRule="auto"/>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21493264">
      <w:pPr>
        <w:autoSpaceDE w:val="0"/>
        <w:autoSpaceDN w:val="0"/>
        <w:adjustRightInd w:val="0"/>
        <w:snapToGrid w:val="0"/>
        <w:spacing w:line="360" w:lineRule="auto"/>
        <w:rPr>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sz w:val="24"/>
          <w:szCs w:val="20"/>
          <w:highlight w:val="none"/>
        </w:rPr>
        <w:t>或签章</w:t>
      </w:r>
      <w:r>
        <w:rPr>
          <w:spacing w:val="-3"/>
          <w:sz w:val="24"/>
          <w:highlight w:val="none"/>
        </w:rPr>
        <w:t>）：</w:t>
      </w:r>
      <w:r>
        <w:rPr>
          <w:sz w:val="24"/>
          <w:highlight w:val="none"/>
        </w:rPr>
        <w:t>______</w:t>
      </w:r>
    </w:p>
    <w:p w14:paraId="7B51CF7E">
      <w:pPr>
        <w:autoSpaceDE w:val="0"/>
        <w:autoSpaceDN w:val="0"/>
        <w:adjustRightInd w:val="0"/>
        <w:snapToGrid w:val="0"/>
        <w:spacing w:line="360" w:lineRule="auto"/>
        <w:rPr>
          <w:sz w:val="24"/>
          <w:highlight w:val="none"/>
          <w:lang w:val="zh-CN"/>
        </w:rPr>
      </w:pPr>
      <w:r>
        <w:rPr>
          <w:sz w:val="24"/>
          <w:highlight w:val="none"/>
        </w:rPr>
        <w:t>日期：</w:t>
      </w:r>
      <w:r>
        <w:rPr>
          <w:sz w:val="24"/>
          <w:szCs w:val="20"/>
          <w:highlight w:val="none"/>
        </w:rPr>
        <w:t>____年____月____日</w:t>
      </w:r>
    </w:p>
    <w:p w14:paraId="6CA7AE71">
      <w:pPr>
        <w:widowControl/>
        <w:jc w:val="left"/>
        <w:rPr>
          <w:i/>
          <w:sz w:val="24"/>
          <w:szCs w:val="20"/>
          <w:highlight w:val="none"/>
          <w:u w:val="single"/>
        </w:rPr>
      </w:pPr>
    </w:p>
    <w:p w14:paraId="004113E7">
      <w:pPr>
        <w:widowControl/>
        <w:jc w:val="left"/>
        <w:rPr>
          <w:sz w:val="24"/>
          <w:szCs w:val="20"/>
          <w:highlight w:val="none"/>
        </w:rPr>
      </w:pPr>
      <w:r>
        <w:rPr>
          <w:sz w:val="24"/>
          <w:szCs w:val="20"/>
          <w:highlight w:val="none"/>
        </w:rPr>
        <w:br w:type="page"/>
      </w:r>
    </w:p>
    <w:p w14:paraId="2383E871">
      <w:pPr>
        <w:tabs>
          <w:tab w:val="left" w:pos="360"/>
        </w:tabs>
        <w:snapToGrid w:val="0"/>
        <w:spacing w:line="360" w:lineRule="auto"/>
        <w:outlineLvl w:val="1"/>
        <w:rPr>
          <w:sz w:val="24"/>
          <w:highlight w:val="none"/>
        </w:rPr>
      </w:pPr>
      <w:r>
        <w:rPr>
          <w:sz w:val="24"/>
          <w:highlight w:val="none"/>
        </w:rPr>
        <w:t>7  报价一览表</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p>
    <w:p w14:paraId="4A36ED6E">
      <w:pPr>
        <w:spacing w:line="360" w:lineRule="exact"/>
        <w:jc w:val="center"/>
        <w:rPr>
          <w:b/>
          <w:sz w:val="36"/>
          <w:szCs w:val="36"/>
          <w:highlight w:val="none"/>
        </w:rPr>
      </w:pPr>
      <w:bookmarkStart w:id="3286" w:name="_Toc164608827"/>
      <w:bookmarkStart w:id="3287" w:name="_Toc305158900"/>
      <w:bookmarkStart w:id="3288" w:name="_Toc226965748"/>
      <w:bookmarkStart w:id="3289" w:name="_Toc226337254"/>
      <w:bookmarkStart w:id="3290" w:name="_Toc305158826"/>
      <w:bookmarkStart w:id="3291" w:name="_Toc226965831"/>
      <w:bookmarkStart w:id="3292" w:name="_Toc195842923"/>
      <w:bookmarkStart w:id="3293" w:name="_Toc264969248"/>
      <w:bookmarkStart w:id="3294" w:name="_Toc265228396"/>
      <w:bookmarkStart w:id="3295" w:name="_Toc164608672"/>
      <w:bookmarkStart w:id="3296" w:name="_Toc226309802"/>
      <w:r>
        <w:rPr>
          <w:rFonts w:hint="eastAsia"/>
          <w:b/>
          <w:sz w:val="36"/>
          <w:szCs w:val="36"/>
          <w:highlight w:val="none"/>
        </w:rPr>
        <w:t>报价一览表</w:t>
      </w:r>
      <w:bookmarkEnd w:id="3286"/>
      <w:bookmarkEnd w:id="3287"/>
      <w:bookmarkEnd w:id="3288"/>
      <w:bookmarkEnd w:id="3289"/>
      <w:bookmarkEnd w:id="3290"/>
      <w:bookmarkEnd w:id="3291"/>
      <w:bookmarkEnd w:id="3292"/>
      <w:bookmarkEnd w:id="3293"/>
      <w:bookmarkEnd w:id="3294"/>
      <w:bookmarkEnd w:id="3295"/>
      <w:bookmarkEnd w:id="3296"/>
    </w:p>
    <w:p w14:paraId="50CD3C68">
      <w:pPr>
        <w:tabs>
          <w:tab w:val="left" w:pos="1800"/>
          <w:tab w:val="left" w:pos="5580"/>
        </w:tabs>
        <w:spacing w:line="360" w:lineRule="auto"/>
        <w:jc w:val="left"/>
        <w:rPr>
          <w:sz w:val="24"/>
          <w:highlight w:val="none"/>
        </w:rPr>
      </w:pPr>
    </w:p>
    <w:p w14:paraId="750605CF">
      <w:pPr>
        <w:tabs>
          <w:tab w:val="left" w:pos="1800"/>
          <w:tab w:val="left" w:pos="5580"/>
        </w:tabs>
        <w:spacing w:line="360" w:lineRule="auto"/>
        <w:ind w:firstLine="240" w:firstLineChars="100"/>
        <w:jc w:val="left"/>
        <w:rPr>
          <w:sz w:val="24"/>
          <w:highlight w:val="none"/>
          <w:u w:val="single"/>
        </w:rPr>
      </w:pPr>
      <w:r>
        <w:rPr>
          <w:sz w:val="24"/>
          <w:highlight w:val="none"/>
        </w:rPr>
        <w:t xml:space="preserve">项目编号：___________     </w:t>
      </w:r>
      <w:r>
        <w:rPr>
          <w:rFonts w:hint="eastAsia"/>
          <w:sz w:val="24"/>
          <w:highlight w:val="none"/>
        </w:rPr>
        <w:t xml:space="preserve">               </w:t>
      </w:r>
      <w:r>
        <w:rPr>
          <w:sz w:val="24"/>
          <w:highlight w:val="none"/>
        </w:rPr>
        <w:t>项目名称：___________</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2"/>
        <w:gridCol w:w="3560"/>
        <w:gridCol w:w="2251"/>
        <w:gridCol w:w="2369"/>
      </w:tblGrid>
      <w:tr w14:paraId="0D6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31" w:hRule="atLeast"/>
          <w:jc w:val="center"/>
        </w:trPr>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14:paraId="60A487A3">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6BCCEFB9">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21917BFD">
            <w:pPr>
              <w:tabs>
                <w:tab w:val="left" w:pos="5580"/>
              </w:tabs>
              <w:jc w:val="center"/>
              <w:rPr>
                <w:b/>
                <w:sz w:val="24"/>
                <w:highlight w:val="none"/>
              </w:rPr>
            </w:pPr>
            <w:r>
              <w:rPr>
                <w:rFonts w:hint="eastAsia"/>
                <w:b/>
                <w:sz w:val="24"/>
                <w:highlight w:val="none"/>
              </w:rPr>
              <w:t>报价</w:t>
            </w:r>
          </w:p>
        </w:tc>
      </w:tr>
      <w:tr w14:paraId="6E6D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4" w:hRule="atLeast"/>
          <w:jc w:val="center"/>
        </w:trPr>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BD32BFA">
            <w:pPr>
              <w:widowControl/>
              <w:jc w:val="center"/>
              <w:rPr>
                <w:b/>
                <w:sz w:val="24"/>
                <w:highlight w:val="none"/>
              </w:rPr>
            </w:pPr>
          </w:p>
        </w:tc>
        <w:tc>
          <w:tcPr>
            <w:tcW w:w="1960" w:type="pct"/>
            <w:vMerge w:val="continue"/>
            <w:tcBorders>
              <w:top w:val="single" w:color="auto" w:sz="4" w:space="0"/>
              <w:left w:val="single" w:color="auto" w:sz="4" w:space="0"/>
              <w:bottom w:val="single" w:color="auto" w:sz="4" w:space="0"/>
              <w:right w:val="single" w:color="auto" w:sz="4" w:space="0"/>
            </w:tcBorders>
            <w:noWrap w:val="0"/>
            <w:vAlign w:val="center"/>
          </w:tcPr>
          <w:p w14:paraId="666448C2">
            <w:pPr>
              <w:widowControl/>
              <w:jc w:val="center"/>
              <w:rPr>
                <w:b/>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B97C6A1">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DAF0B0C">
            <w:pPr>
              <w:tabs>
                <w:tab w:val="left" w:pos="5580"/>
              </w:tabs>
              <w:jc w:val="center"/>
              <w:rPr>
                <w:b/>
                <w:sz w:val="24"/>
                <w:highlight w:val="none"/>
              </w:rPr>
            </w:pPr>
            <w:r>
              <w:rPr>
                <w:rFonts w:hint="eastAsia"/>
                <w:b/>
                <w:sz w:val="24"/>
                <w:highlight w:val="none"/>
              </w:rPr>
              <w:t>小写</w:t>
            </w:r>
          </w:p>
        </w:tc>
      </w:tr>
      <w:tr w14:paraId="5952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76" w:hRule="atLeast"/>
          <w:jc w:val="center"/>
        </w:trPr>
        <w:tc>
          <w:tcPr>
            <w:tcW w:w="497" w:type="pct"/>
            <w:tcBorders>
              <w:top w:val="single" w:color="auto" w:sz="4" w:space="0"/>
              <w:left w:val="single" w:color="auto" w:sz="4" w:space="0"/>
              <w:bottom w:val="single" w:color="auto" w:sz="4" w:space="0"/>
              <w:right w:val="single" w:color="auto" w:sz="4" w:space="0"/>
            </w:tcBorders>
            <w:noWrap w:val="0"/>
            <w:vAlign w:val="center"/>
          </w:tcPr>
          <w:p w14:paraId="4FBC2027">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62781FD7">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FB8A500">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39B9E682">
            <w:pPr>
              <w:tabs>
                <w:tab w:val="left" w:pos="5580"/>
              </w:tabs>
              <w:jc w:val="center"/>
              <w:rPr>
                <w:sz w:val="24"/>
                <w:highlight w:val="none"/>
              </w:rPr>
            </w:pPr>
          </w:p>
        </w:tc>
      </w:tr>
    </w:tbl>
    <w:p w14:paraId="0FDB7A47">
      <w:pPr>
        <w:autoSpaceDE w:val="0"/>
        <w:autoSpaceDN w:val="0"/>
        <w:adjustRightInd w:val="0"/>
        <w:jc w:val="left"/>
        <w:rPr>
          <w:kern w:val="0"/>
          <w:sz w:val="24"/>
          <w:highlight w:val="none"/>
        </w:rPr>
      </w:pPr>
    </w:p>
    <w:p w14:paraId="36E4494E">
      <w:pPr>
        <w:autoSpaceDE w:val="0"/>
        <w:autoSpaceDN w:val="0"/>
        <w:adjustRightInd w:val="0"/>
        <w:jc w:val="left"/>
        <w:rPr>
          <w:sz w:val="24"/>
          <w:szCs w:val="20"/>
          <w:highlight w:val="none"/>
        </w:rPr>
      </w:pPr>
      <w:r>
        <w:rPr>
          <w:kern w:val="0"/>
          <w:sz w:val="24"/>
          <w:highlight w:val="none"/>
        </w:rPr>
        <w:t>注：1</w:t>
      </w:r>
      <w:r>
        <w:rPr>
          <w:sz w:val="24"/>
          <w:szCs w:val="20"/>
          <w:highlight w:val="none"/>
        </w:rPr>
        <w:t>.此表中，每包的报价应和《分项报价表》中的总价相一致。</w:t>
      </w:r>
    </w:p>
    <w:p w14:paraId="3B6B994B">
      <w:pPr>
        <w:tabs>
          <w:tab w:val="left" w:pos="5580"/>
        </w:tabs>
        <w:ind w:firstLine="480" w:firstLineChars="200"/>
        <w:rPr>
          <w:sz w:val="24"/>
          <w:szCs w:val="20"/>
          <w:highlight w:val="none"/>
        </w:rPr>
      </w:pPr>
      <w:r>
        <w:rPr>
          <w:sz w:val="24"/>
          <w:szCs w:val="20"/>
          <w:highlight w:val="none"/>
        </w:rPr>
        <w:t>2.本表必须按包分别填写。</w:t>
      </w:r>
    </w:p>
    <w:p w14:paraId="5E950DC5">
      <w:pPr>
        <w:tabs>
          <w:tab w:val="left" w:pos="5580"/>
        </w:tabs>
        <w:ind w:firstLine="480" w:firstLineChars="200"/>
        <w:rPr>
          <w:sz w:val="24"/>
          <w:szCs w:val="20"/>
          <w:highlight w:val="none"/>
        </w:rPr>
      </w:pPr>
    </w:p>
    <w:p w14:paraId="63FC4355">
      <w:pPr>
        <w:autoSpaceDE w:val="0"/>
        <w:autoSpaceDN w:val="0"/>
        <w:adjustRightInd w:val="0"/>
        <w:snapToGrid w:val="0"/>
        <w:spacing w:before="25" w:after="25" w:line="360" w:lineRule="auto"/>
        <w:rPr>
          <w:sz w:val="24"/>
          <w:highlight w:val="none"/>
          <w:lang w:val="zh-CN"/>
        </w:rPr>
      </w:pPr>
    </w:p>
    <w:p w14:paraId="0C195EEF">
      <w:pPr>
        <w:autoSpaceDE w:val="0"/>
        <w:autoSpaceDN w:val="0"/>
        <w:adjustRightInd w:val="0"/>
        <w:snapToGrid w:val="0"/>
        <w:spacing w:before="25" w:after="25" w:line="360" w:lineRule="auto"/>
        <w:rPr>
          <w:sz w:val="24"/>
          <w:highlight w:val="none"/>
          <w:lang w:val="zh-CN"/>
        </w:rPr>
      </w:pPr>
      <w:r>
        <w:rPr>
          <w:sz w:val="24"/>
          <w:highlight w:val="none"/>
          <w:lang w:val="zh-CN"/>
        </w:rPr>
        <w:t xml:space="preserve">   </w:t>
      </w:r>
    </w:p>
    <w:p w14:paraId="4FA1D8A9">
      <w:pPr>
        <w:autoSpaceDE w:val="0"/>
        <w:autoSpaceDN w:val="0"/>
        <w:adjustRightInd w:val="0"/>
        <w:snapToGrid w:val="0"/>
        <w:spacing w:before="25" w:after="25" w:line="360" w:lineRule="auto"/>
        <w:rPr>
          <w:sz w:val="24"/>
          <w:highlight w:val="none"/>
          <w:lang w:val="zh-CN"/>
        </w:rPr>
      </w:pPr>
      <w:r>
        <w:rPr>
          <w:sz w:val="24"/>
          <w:highlight w:val="none"/>
        </w:rPr>
        <w:t>供应商名称（加盖公章）</w:t>
      </w:r>
      <w:r>
        <w:rPr>
          <w:sz w:val="24"/>
          <w:highlight w:val="none"/>
          <w:lang w:val="zh-CN"/>
        </w:rPr>
        <w:t>：</w:t>
      </w:r>
      <w:r>
        <w:rPr>
          <w:sz w:val="24"/>
          <w:highlight w:val="none"/>
        </w:rPr>
        <w:t>___________</w:t>
      </w:r>
    </w:p>
    <w:p w14:paraId="128F4B40">
      <w:pPr>
        <w:autoSpaceDE w:val="0"/>
        <w:autoSpaceDN w:val="0"/>
        <w:adjustRightInd w:val="0"/>
        <w:snapToGrid w:val="0"/>
        <w:spacing w:line="360" w:lineRule="auto"/>
        <w:rPr>
          <w:sz w:val="24"/>
          <w:highlight w:val="none"/>
          <w:lang w:val="zh-CN"/>
        </w:rPr>
      </w:pPr>
      <w:r>
        <w:rPr>
          <w:sz w:val="24"/>
          <w:highlight w:val="none"/>
        </w:rPr>
        <w:t>日期：</w:t>
      </w:r>
      <w:r>
        <w:rPr>
          <w:sz w:val="24"/>
          <w:szCs w:val="20"/>
          <w:highlight w:val="none"/>
        </w:rPr>
        <w:t>____年____月____日</w:t>
      </w:r>
    </w:p>
    <w:p w14:paraId="0E121C71">
      <w:pPr>
        <w:autoSpaceDE w:val="0"/>
        <w:autoSpaceDN w:val="0"/>
        <w:adjustRightInd w:val="0"/>
        <w:snapToGrid w:val="0"/>
        <w:spacing w:before="25" w:after="25" w:line="360" w:lineRule="auto"/>
        <w:rPr>
          <w:sz w:val="24"/>
          <w:szCs w:val="20"/>
          <w:highlight w:val="none"/>
        </w:rPr>
        <w:sectPr>
          <w:headerReference r:id="rId33" w:type="first"/>
          <w:footerReference r:id="rId35" w:type="first"/>
          <w:headerReference r:id="rId32" w:type="even"/>
          <w:footerReference r:id="rId34" w:type="even"/>
          <w:pgSz w:w="11907" w:h="16840"/>
          <w:pgMar w:top="1418" w:right="1134" w:bottom="1418" w:left="1701" w:header="851" w:footer="851" w:gutter="0"/>
          <w:cols w:space="720" w:num="1"/>
          <w:docGrid w:linePitch="462" w:charSpace="0"/>
        </w:sectPr>
      </w:pPr>
      <w:r>
        <w:rPr>
          <w:sz w:val="24"/>
          <w:szCs w:val="20"/>
          <w:highlight w:val="none"/>
        </w:rPr>
        <w:t xml:space="preserve">  </w:t>
      </w:r>
    </w:p>
    <w:p w14:paraId="5867F489">
      <w:pPr>
        <w:tabs>
          <w:tab w:val="left" w:pos="360"/>
        </w:tabs>
        <w:snapToGrid w:val="0"/>
        <w:spacing w:line="360" w:lineRule="auto"/>
        <w:outlineLvl w:val="1"/>
        <w:rPr>
          <w:sz w:val="24"/>
          <w:szCs w:val="20"/>
          <w:highlight w:val="none"/>
        </w:rPr>
      </w:pPr>
      <w:bookmarkStart w:id="3297" w:name="_Toc195842927"/>
      <w:bookmarkStart w:id="3298" w:name="_Toc150774765"/>
      <w:bookmarkStart w:id="3299" w:name="_Toc264969252"/>
      <w:bookmarkStart w:id="3300" w:name="_Toc226309806"/>
      <w:bookmarkStart w:id="3301" w:name="_Toc226337258"/>
      <w:bookmarkStart w:id="3302" w:name="_Toc142311062"/>
      <w:bookmarkStart w:id="3303" w:name="_Toc150480798"/>
      <w:bookmarkStart w:id="3304" w:name="_Toc265228400"/>
      <w:bookmarkStart w:id="3305" w:name="_Toc226965835"/>
      <w:bookmarkStart w:id="3306" w:name="_Toc127151562"/>
      <w:bookmarkStart w:id="3307" w:name="_Toc305158830"/>
      <w:bookmarkStart w:id="3308" w:name="_Toc305158904"/>
      <w:bookmarkStart w:id="3309" w:name="_Toc226965752"/>
      <w:bookmarkStart w:id="3310" w:name="_Toc305158829"/>
      <w:bookmarkStart w:id="3311" w:name="_Toc226309805"/>
      <w:bookmarkStart w:id="3312" w:name="_Toc264969251"/>
      <w:bookmarkStart w:id="3313" w:name="_Toc150480797"/>
      <w:bookmarkStart w:id="3314" w:name="_Toc150774764"/>
      <w:bookmarkStart w:id="3315" w:name="_Toc226965834"/>
      <w:bookmarkStart w:id="3316" w:name="_Toc195842926"/>
      <w:bookmarkStart w:id="3317" w:name="_Toc142311061"/>
      <w:bookmarkStart w:id="3318" w:name="_Toc265228399"/>
      <w:bookmarkStart w:id="3319" w:name="_Toc305158903"/>
      <w:bookmarkStart w:id="3320" w:name="_Toc226965751"/>
      <w:bookmarkStart w:id="3321" w:name="_Toc226337257"/>
      <w:bookmarkStart w:id="3322" w:name="_Toc127151561"/>
      <w:r>
        <w:rPr>
          <w:rFonts w:hint="eastAsia"/>
          <w:sz w:val="24"/>
          <w:highlight w:val="none"/>
        </w:rPr>
        <w:t>8</w:t>
      </w:r>
      <w:r>
        <w:rPr>
          <w:sz w:val="24"/>
          <w:highlight w:val="none"/>
        </w:rPr>
        <w:t xml:space="preserve">  合同条款偏离表</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r>
        <w:rPr>
          <w:spacing w:val="-2"/>
          <w:sz w:val="24"/>
          <w:highlight w:val="none"/>
        </w:rPr>
        <w:t>（实质性格式）</w:t>
      </w:r>
    </w:p>
    <w:p w14:paraId="7F22405C">
      <w:pPr>
        <w:spacing w:line="360" w:lineRule="auto"/>
        <w:rPr>
          <w:sz w:val="24"/>
          <w:szCs w:val="20"/>
          <w:highlight w:val="none"/>
        </w:rPr>
      </w:pPr>
    </w:p>
    <w:p w14:paraId="6804A523">
      <w:pPr>
        <w:tabs>
          <w:tab w:val="left" w:pos="2775"/>
          <w:tab w:val="center" w:pos="4153"/>
        </w:tabs>
        <w:autoSpaceDE w:val="0"/>
        <w:autoSpaceDN w:val="0"/>
        <w:adjustRightInd w:val="0"/>
        <w:spacing w:line="360" w:lineRule="auto"/>
        <w:jc w:val="left"/>
        <w:rPr>
          <w:b/>
          <w:sz w:val="36"/>
          <w:szCs w:val="36"/>
          <w:highlight w:val="none"/>
        </w:rPr>
      </w:pPr>
      <w:r>
        <w:rPr>
          <w:sz w:val="36"/>
          <w:szCs w:val="36"/>
          <w:highlight w:val="none"/>
        </w:rPr>
        <w:tab/>
      </w:r>
      <w:r>
        <w:rPr>
          <w:b/>
          <w:sz w:val="36"/>
          <w:szCs w:val="36"/>
          <w:highlight w:val="none"/>
        </w:rPr>
        <w:tab/>
      </w:r>
      <w:r>
        <w:rPr>
          <w:rFonts w:hint="eastAsia"/>
          <w:b/>
          <w:sz w:val="36"/>
          <w:szCs w:val="36"/>
          <w:highlight w:val="none"/>
        </w:rPr>
        <w:t>合同条款偏离表</w:t>
      </w:r>
    </w:p>
    <w:p w14:paraId="7F250549">
      <w:pPr>
        <w:spacing w:line="360" w:lineRule="auto"/>
        <w:rPr>
          <w:sz w:val="24"/>
          <w:szCs w:val="20"/>
          <w:highlight w:val="none"/>
        </w:rPr>
      </w:pPr>
    </w:p>
    <w:p w14:paraId="03D27581">
      <w:pPr>
        <w:tabs>
          <w:tab w:val="left" w:pos="1800"/>
          <w:tab w:val="left" w:pos="5580"/>
        </w:tabs>
        <w:spacing w:line="360" w:lineRule="auto"/>
        <w:ind w:firstLine="360" w:firstLineChars="150"/>
        <w:jc w:val="left"/>
        <w:rPr>
          <w:sz w:val="24"/>
          <w:highlight w:val="none"/>
        </w:rPr>
      </w:pPr>
      <w:r>
        <w:rPr>
          <w:sz w:val="24"/>
          <w:highlight w:val="none"/>
        </w:rPr>
        <w:t>项目编号/包号：_______________     项目名称：_______________</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42"/>
        <w:gridCol w:w="1648"/>
        <w:gridCol w:w="1923"/>
        <w:gridCol w:w="2352"/>
        <w:gridCol w:w="771"/>
      </w:tblGrid>
      <w:tr w14:paraId="6570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5A27B85E">
            <w:pPr>
              <w:adjustRightInd w:val="0"/>
              <w:snapToGrid w:val="0"/>
              <w:jc w:val="center"/>
              <w:rPr>
                <w:sz w:val="24"/>
                <w:highlight w:val="none"/>
              </w:rPr>
            </w:pPr>
            <w:r>
              <w:rPr>
                <w:sz w:val="24"/>
                <w:highlight w:val="none"/>
              </w:rPr>
              <w:t>序号</w:t>
            </w:r>
          </w:p>
        </w:tc>
        <w:tc>
          <w:tcPr>
            <w:tcW w:w="1575" w:type="dxa"/>
            <w:noWrap w:val="0"/>
            <w:vAlign w:val="center"/>
          </w:tcPr>
          <w:p w14:paraId="0D8E1113">
            <w:pPr>
              <w:adjustRightInd w:val="0"/>
              <w:snapToGrid w:val="0"/>
              <w:jc w:val="center"/>
              <w:rPr>
                <w:sz w:val="24"/>
                <w:highlight w:val="none"/>
              </w:rPr>
            </w:pPr>
            <w:r>
              <w:rPr>
                <w:sz w:val="24"/>
                <w:szCs w:val="21"/>
                <w:highlight w:val="none"/>
              </w:rPr>
              <w:t>竞争性磋商文件</w:t>
            </w:r>
            <w:r>
              <w:rPr>
                <w:sz w:val="24"/>
                <w:highlight w:val="none"/>
              </w:rPr>
              <w:t>条目号（页码）</w:t>
            </w:r>
          </w:p>
        </w:tc>
        <w:tc>
          <w:tcPr>
            <w:tcW w:w="1695" w:type="dxa"/>
            <w:noWrap w:val="0"/>
            <w:vAlign w:val="center"/>
          </w:tcPr>
          <w:p w14:paraId="34ADDD36">
            <w:pPr>
              <w:adjustRightInd w:val="0"/>
              <w:snapToGrid w:val="0"/>
              <w:jc w:val="center"/>
              <w:rPr>
                <w:sz w:val="24"/>
                <w:highlight w:val="none"/>
              </w:rPr>
            </w:pPr>
            <w:r>
              <w:rPr>
                <w:sz w:val="24"/>
                <w:szCs w:val="21"/>
                <w:highlight w:val="none"/>
              </w:rPr>
              <w:t>竞争性磋商文件</w:t>
            </w:r>
            <w:r>
              <w:rPr>
                <w:sz w:val="24"/>
                <w:highlight w:val="none"/>
              </w:rPr>
              <w:t>要求</w:t>
            </w:r>
          </w:p>
        </w:tc>
        <w:tc>
          <w:tcPr>
            <w:tcW w:w="1981" w:type="dxa"/>
            <w:noWrap w:val="0"/>
            <w:vAlign w:val="center"/>
          </w:tcPr>
          <w:p w14:paraId="0C4547EB">
            <w:pPr>
              <w:adjustRightInd w:val="0"/>
              <w:snapToGrid w:val="0"/>
              <w:jc w:val="center"/>
              <w:rPr>
                <w:sz w:val="24"/>
                <w:highlight w:val="none"/>
              </w:rPr>
            </w:pPr>
            <w:r>
              <w:rPr>
                <w:sz w:val="24"/>
                <w:highlight w:val="none"/>
              </w:rPr>
              <w:t>响应文件内容</w:t>
            </w:r>
          </w:p>
        </w:tc>
        <w:tc>
          <w:tcPr>
            <w:tcW w:w="2427" w:type="dxa"/>
            <w:noWrap w:val="0"/>
            <w:vAlign w:val="center"/>
          </w:tcPr>
          <w:p w14:paraId="65C5F471">
            <w:pPr>
              <w:adjustRightInd w:val="0"/>
              <w:snapToGrid w:val="0"/>
              <w:jc w:val="center"/>
              <w:rPr>
                <w:sz w:val="24"/>
                <w:highlight w:val="none"/>
              </w:rPr>
            </w:pPr>
            <w:r>
              <w:rPr>
                <w:sz w:val="24"/>
                <w:highlight w:val="none"/>
              </w:rPr>
              <w:t>偏离情况</w:t>
            </w:r>
          </w:p>
        </w:tc>
        <w:tc>
          <w:tcPr>
            <w:tcW w:w="783" w:type="dxa"/>
            <w:noWrap w:val="0"/>
            <w:vAlign w:val="center"/>
          </w:tcPr>
          <w:p w14:paraId="25DCFBBF">
            <w:pPr>
              <w:adjustRightInd w:val="0"/>
              <w:snapToGrid w:val="0"/>
              <w:jc w:val="center"/>
              <w:rPr>
                <w:sz w:val="24"/>
                <w:highlight w:val="none"/>
              </w:rPr>
            </w:pPr>
            <w:r>
              <w:rPr>
                <w:sz w:val="24"/>
                <w:highlight w:val="none"/>
              </w:rPr>
              <w:t>说明</w:t>
            </w:r>
          </w:p>
        </w:tc>
      </w:tr>
      <w:tr w14:paraId="1119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0F9FF014">
            <w:pPr>
              <w:adjustRightInd w:val="0"/>
              <w:snapToGrid w:val="0"/>
              <w:rPr>
                <w:rFonts w:hint="eastAsia"/>
                <w:sz w:val="24"/>
                <w:highlight w:val="none"/>
              </w:rPr>
            </w:pPr>
            <w:r>
              <w:rPr>
                <w:rFonts w:hint="eastAsia"/>
                <w:b/>
                <w:bCs/>
                <w:sz w:val="24"/>
                <w:highlight w:val="none"/>
              </w:rPr>
              <w:t>对本项目合同条款的偏离情况</w:t>
            </w:r>
            <w:r>
              <w:rPr>
                <w:rFonts w:hint="eastAsia"/>
                <w:sz w:val="24"/>
                <w:highlight w:val="none"/>
              </w:rPr>
              <w:t>（应进行选择，未选择</w:t>
            </w:r>
            <w:r>
              <w:rPr>
                <w:rFonts w:hint="eastAsia"/>
                <w:b/>
                <w:bCs/>
                <w:sz w:val="24"/>
                <w:highlight w:val="none"/>
              </w:rPr>
              <w:t>响应无效</w:t>
            </w:r>
            <w:r>
              <w:rPr>
                <w:rFonts w:hint="eastAsia"/>
                <w:sz w:val="24"/>
                <w:highlight w:val="none"/>
              </w:rPr>
              <w:t>）：</w:t>
            </w:r>
          </w:p>
          <w:p w14:paraId="1DC748DC">
            <w:pPr>
              <w:adjustRightInd w:val="0"/>
              <w:snapToGrid w:val="0"/>
              <w:rPr>
                <w:rFonts w:hint="eastAsia"/>
                <w:sz w:val="24"/>
                <w:highlight w:val="none"/>
              </w:rPr>
            </w:pPr>
            <w:r>
              <w:rPr>
                <w:rFonts w:hint="eastAsia"/>
                <w:b/>
                <w:bCs/>
                <w:sz w:val="24"/>
                <w:highlight w:val="none"/>
              </w:rPr>
              <w:t>口无偏离</w:t>
            </w:r>
            <w:r>
              <w:rPr>
                <w:rFonts w:hint="eastAsia"/>
                <w:sz w:val="24"/>
                <w:highlight w:val="none"/>
              </w:rPr>
              <w:t>（如无偏离，仅选择无偏离即可；无偏离即为对合同条款中的所有要求，均视 作供应商已对之理解和响应。）</w:t>
            </w:r>
          </w:p>
          <w:p w14:paraId="169AC5BB">
            <w:pPr>
              <w:adjustRightInd w:val="0"/>
              <w:snapToGrid w:val="0"/>
              <w:rPr>
                <w:sz w:val="24"/>
                <w:highlight w:val="none"/>
              </w:rPr>
            </w:pPr>
            <w:r>
              <w:rPr>
                <w:rFonts w:hint="eastAsia"/>
                <w:b/>
                <w:bCs/>
                <w:sz w:val="24"/>
                <w:highlight w:val="none"/>
              </w:rPr>
              <w:t>口有偏离</w:t>
            </w:r>
            <w:r>
              <w:rPr>
                <w:rFonts w:hint="eastAsia"/>
                <w:sz w:val="24"/>
                <w:highlight w:val="none"/>
              </w:rPr>
              <w:t>（如有偏离，则应在本表中对负偏离项逐一列明，否则</w:t>
            </w:r>
            <w:r>
              <w:rPr>
                <w:rFonts w:hint="eastAsia"/>
                <w:b/>
                <w:bCs/>
                <w:sz w:val="24"/>
                <w:highlight w:val="none"/>
              </w:rPr>
              <w:t>响应无效</w:t>
            </w:r>
            <w:r>
              <w:rPr>
                <w:rFonts w:hint="eastAsia"/>
                <w:sz w:val="24"/>
                <w:highlight w:val="none"/>
              </w:rPr>
              <w:t>；对合同条款 中的所有要求，除本表列明的偏离外，均视作供应商已对之理解和响应。）</w:t>
            </w:r>
          </w:p>
        </w:tc>
      </w:tr>
      <w:tr w14:paraId="3902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010B2FC">
            <w:pPr>
              <w:adjustRightInd w:val="0"/>
              <w:snapToGrid w:val="0"/>
              <w:jc w:val="center"/>
              <w:rPr>
                <w:sz w:val="24"/>
                <w:highlight w:val="none"/>
              </w:rPr>
            </w:pPr>
          </w:p>
        </w:tc>
        <w:tc>
          <w:tcPr>
            <w:tcW w:w="1575" w:type="dxa"/>
            <w:noWrap w:val="0"/>
            <w:vAlign w:val="center"/>
          </w:tcPr>
          <w:p w14:paraId="18B2311C">
            <w:pPr>
              <w:adjustRightInd w:val="0"/>
              <w:snapToGrid w:val="0"/>
              <w:jc w:val="center"/>
              <w:rPr>
                <w:sz w:val="24"/>
                <w:highlight w:val="none"/>
              </w:rPr>
            </w:pPr>
          </w:p>
        </w:tc>
        <w:tc>
          <w:tcPr>
            <w:tcW w:w="1695" w:type="dxa"/>
            <w:noWrap w:val="0"/>
            <w:vAlign w:val="center"/>
          </w:tcPr>
          <w:p w14:paraId="257523A8">
            <w:pPr>
              <w:adjustRightInd w:val="0"/>
              <w:snapToGrid w:val="0"/>
              <w:jc w:val="center"/>
              <w:rPr>
                <w:sz w:val="24"/>
                <w:highlight w:val="none"/>
              </w:rPr>
            </w:pPr>
          </w:p>
        </w:tc>
        <w:tc>
          <w:tcPr>
            <w:tcW w:w="1981" w:type="dxa"/>
            <w:noWrap w:val="0"/>
            <w:vAlign w:val="center"/>
          </w:tcPr>
          <w:p w14:paraId="144583DF">
            <w:pPr>
              <w:adjustRightInd w:val="0"/>
              <w:snapToGrid w:val="0"/>
              <w:jc w:val="center"/>
              <w:rPr>
                <w:sz w:val="24"/>
                <w:highlight w:val="none"/>
              </w:rPr>
            </w:pPr>
          </w:p>
        </w:tc>
        <w:tc>
          <w:tcPr>
            <w:tcW w:w="2427" w:type="dxa"/>
            <w:noWrap w:val="0"/>
            <w:vAlign w:val="center"/>
          </w:tcPr>
          <w:p w14:paraId="5F15391E">
            <w:pPr>
              <w:adjustRightInd w:val="0"/>
              <w:snapToGrid w:val="0"/>
              <w:jc w:val="center"/>
              <w:rPr>
                <w:sz w:val="24"/>
                <w:highlight w:val="none"/>
              </w:rPr>
            </w:pPr>
          </w:p>
        </w:tc>
        <w:tc>
          <w:tcPr>
            <w:tcW w:w="783" w:type="dxa"/>
            <w:noWrap w:val="0"/>
            <w:vAlign w:val="center"/>
          </w:tcPr>
          <w:p w14:paraId="36E6C9DD">
            <w:pPr>
              <w:adjustRightInd w:val="0"/>
              <w:snapToGrid w:val="0"/>
              <w:jc w:val="center"/>
              <w:rPr>
                <w:sz w:val="24"/>
                <w:highlight w:val="none"/>
              </w:rPr>
            </w:pPr>
          </w:p>
        </w:tc>
      </w:tr>
      <w:tr w14:paraId="0683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97059F5">
            <w:pPr>
              <w:adjustRightInd w:val="0"/>
              <w:snapToGrid w:val="0"/>
              <w:jc w:val="center"/>
              <w:rPr>
                <w:sz w:val="24"/>
                <w:highlight w:val="none"/>
              </w:rPr>
            </w:pPr>
          </w:p>
        </w:tc>
        <w:tc>
          <w:tcPr>
            <w:tcW w:w="1575" w:type="dxa"/>
            <w:noWrap w:val="0"/>
            <w:vAlign w:val="center"/>
          </w:tcPr>
          <w:p w14:paraId="29CBB093">
            <w:pPr>
              <w:adjustRightInd w:val="0"/>
              <w:snapToGrid w:val="0"/>
              <w:jc w:val="center"/>
              <w:rPr>
                <w:sz w:val="24"/>
                <w:highlight w:val="none"/>
              </w:rPr>
            </w:pPr>
          </w:p>
        </w:tc>
        <w:tc>
          <w:tcPr>
            <w:tcW w:w="1695" w:type="dxa"/>
            <w:noWrap w:val="0"/>
            <w:vAlign w:val="center"/>
          </w:tcPr>
          <w:p w14:paraId="06A1C163">
            <w:pPr>
              <w:adjustRightInd w:val="0"/>
              <w:snapToGrid w:val="0"/>
              <w:jc w:val="center"/>
              <w:rPr>
                <w:sz w:val="24"/>
                <w:highlight w:val="none"/>
              </w:rPr>
            </w:pPr>
          </w:p>
        </w:tc>
        <w:tc>
          <w:tcPr>
            <w:tcW w:w="1981" w:type="dxa"/>
            <w:noWrap w:val="0"/>
            <w:vAlign w:val="center"/>
          </w:tcPr>
          <w:p w14:paraId="41E13B81">
            <w:pPr>
              <w:adjustRightInd w:val="0"/>
              <w:snapToGrid w:val="0"/>
              <w:jc w:val="center"/>
              <w:rPr>
                <w:sz w:val="24"/>
                <w:highlight w:val="none"/>
              </w:rPr>
            </w:pPr>
          </w:p>
        </w:tc>
        <w:tc>
          <w:tcPr>
            <w:tcW w:w="2427" w:type="dxa"/>
            <w:noWrap w:val="0"/>
            <w:vAlign w:val="center"/>
          </w:tcPr>
          <w:p w14:paraId="31FED34A">
            <w:pPr>
              <w:adjustRightInd w:val="0"/>
              <w:snapToGrid w:val="0"/>
              <w:jc w:val="center"/>
              <w:rPr>
                <w:sz w:val="24"/>
                <w:highlight w:val="none"/>
              </w:rPr>
            </w:pPr>
          </w:p>
        </w:tc>
        <w:tc>
          <w:tcPr>
            <w:tcW w:w="783" w:type="dxa"/>
            <w:noWrap w:val="0"/>
            <w:vAlign w:val="center"/>
          </w:tcPr>
          <w:p w14:paraId="314551E4">
            <w:pPr>
              <w:adjustRightInd w:val="0"/>
              <w:snapToGrid w:val="0"/>
              <w:jc w:val="center"/>
              <w:rPr>
                <w:sz w:val="24"/>
                <w:highlight w:val="none"/>
              </w:rPr>
            </w:pPr>
          </w:p>
        </w:tc>
      </w:tr>
      <w:tr w14:paraId="2574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9A6130C">
            <w:pPr>
              <w:adjustRightInd w:val="0"/>
              <w:snapToGrid w:val="0"/>
              <w:jc w:val="center"/>
              <w:rPr>
                <w:sz w:val="24"/>
                <w:highlight w:val="none"/>
              </w:rPr>
            </w:pPr>
          </w:p>
        </w:tc>
        <w:tc>
          <w:tcPr>
            <w:tcW w:w="1575" w:type="dxa"/>
            <w:noWrap w:val="0"/>
            <w:vAlign w:val="center"/>
          </w:tcPr>
          <w:p w14:paraId="316EBEE4">
            <w:pPr>
              <w:adjustRightInd w:val="0"/>
              <w:snapToGrid w:val="0"/>
              <w:jc w:val="center"/>
              <w:rPr>
                <w:sz w:val="24"/>
                <w:highlight w:val="none"/>
              </w:rPr>
            </w:pPr>
          </w:p>
        </w:tc>
        <w:tc>
          <w:tcPr>
            <w:tcW w:w="1695" w:type="dxa"/>
            <w:noWrap w:val="0"/>
            <w:vAlign w:val="center"/>
          </w:tcPr>
          <w:p w14:paraId="1498F17E">
            <w:pPr>
              <w:adjustRightInd w:val="0"/>
              <w:snapToGrid w:val="0"/>
              <w:jc w:val="center"/>
              <w:rPr>
                <w:sz w:val="24"/>
                <w:highlight w:val="none"/>
              </w:rPr>
            </w:pPr>
          </w:p>
        </w:tc>
        <w:tc>
          <w:tcPr>
            <w:tcW w:w="1981" w:type="dxa"/>
            <w:noWrap w:val="0"/>
            <w:vAlign w:val="center"/>
          </w:tcPr>
          <w:p w14:paraId="67B6AAC3">
            <w:pPr>
              <w:adjustRightInd w:val="0"/>
              <w:snapToGrid w:val="0"/>
              <w:jc w:val="center"/>
              <w:rPr>
                <w:sz w:val="24"/>
                <w:highlight w:val="none"/>
              </w:rPr>
            </w:pPr>
          </w:p>
        </w:tc>
        <w:tc>
          <w:tcPr>
            <w:tcW w:w="2427" w:type="dxa"/>
            <w:noWrap w:val="0"/>
            <w:vAlign w:val="center"/>
          </w:tcPr>
          <w:p w14:paraId="72C7ABAD">
            <w:pPr>
              <w:adjustRightInd w:val="0"/>
              <w:snapToGrid w:val="0"/>
              <w:jc w:val="center"/>
              <w:rPr>
                <w:sz w:val="24"/>
                <w:highlight w:val="none"/>
              </w:rPr>
            </w:pPr>
          </w:p>
        </w:tc>
        <w:tc>
          <w:tcPr>
            <w:tcW w:w="783" w:type="dxa"/>
            <w:noWrap w:val="0"/>
            <w:vAlign w:val="center"/>
          </w:tcPr>
          <w:p w14:paraId="217DE927">
            <w:pPr>
              <w:adjustRightInd w:val="0"/>
              <w:snapToGrid w:val="0"/>
              <w:jc w:val="center"/>
              <w:rPr>
                <w:sz w:val="24"/>
                <w:highlight w:val="none"/>
              </w:rPr>
            </w:pPr>
          </w:p>
        </w:tc>
      </w:tr>
      <w:tr w14:paraId="2C8D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E6C552E">
            <w:pPr>
              <w:adjustRightInd w:val="0"/>
              <w:snapToGrid w:val="0"/>
              <w:jc w:val="center"/>
              <w:rPr>
                <w:sz w:val="24"/>
                <w:highlight w:val="none"/>
              </w:rPr>
            </w:pPr>
          </w:p>
        </w:tc>
        <w:tc>
          <w:tcPr>
            <w:tcW w:w="1575" w:type="dxa"/>
            <w:noWrap w:val="0"/>
            <w:vAlign w:val="center"/>
          </w:tcPr>
          <w:p w14:paraId="605BDBB8">
            <w:pPr>
              <w:adjustRightInd w:val="0"/>
              <w:snapToGrid w:val="0"/>
              <w:jc w:val="center"/>
              <w:rPr>
                <w:sz w:val="24"/>
                <w:highlight w:val="none"/>
              </w:rPr>
            </w:pPr>
          </w:p>
        </w:tc>
        <w:tc>
          <w:tcPr>
            <w:tcW w:w="1695" w:type="dxa"/>
            <w:noWrap w:val="0"/>
            <w:vAlign w:val="center"/>
          </w:tcPr>
          <w:p w14:paraId="3304EE83">
            <w:pPr>
              <w:adjustRightInd w:val="0"/>
              <w:snapToGrid w:val="0"/>
              <w:jc w:val="center"/>
              <w:rPr>
                <w:sz w:val="24"/>
                <w:highlight w:val="none"/>
              </w:rPr>
            </w:pPr>
          </w:p>
        </w:tc>
        <w:tc>
          <w:tcPr>
            <w:tcW w:w="1981" w:type="dxa"/>
            <w:noWrap w:val="0"/>
            <w:vAlign w:val="center"/>
          </w:tcPr>
          <w:p w14:paraId="554CC72C">
            <w:pPr>
              <w:adjustRightInd w:val="0"/>
              <w:snapToGrid w:val="0"/>
              <w:jc w:val="center"/>
              <w:rPr>
                <w:sz w:val="24"/>
                <w:highlight w:val="none"/>
              </w:rPr>
            </w:pPr>
          </w:p>
        </w:tc>
        <w:tc>
          <w:tcPr>
            <w:tcW w:w="2427" w:type="dxa"/>
            <w:noWrap w:val="0"/>
            <w:vAlign w:val="center"/>
          </w:tcPr>
          <w:p w14:paraId="33C93C2B">
            <w:pPr>
              <w:adjustRightInd w:val="0"/>
              <w:snapToGrid w:val="0"/>
              <w:jc w:val="center"/>
              <w:rPr>
                <w:sz w:val="24"/>
                <w:highlight w:val="none"/>
              </w:rPr>
            </w:pPr>
          </w:p>
        </w:tc>
        <w:tc>
          <w:tcPr>
            <w:tcW w:w="783" w:type="dxa"/>
            <w:noWrap w:val="0"/>
            <w:vAlign w:val="center"/>
          </w:tcPr>
          <w:p w14:paraId="299B03A3">
            <w:pPr>
              <w:adjustRightInd w:val="0"/>
              <w:snapToGrid w:val="0"/>
              <w:jc w:val="center"/>
              <w:rPr>
                <w:sz w:val="24"/>
                <w:highlight w:val="none"/>
              </w:rPr>
            </w:pPr>
          </w:p>
        </w:tc>
      </w:tr>
      <w:tr w14:paraId="6DED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5A89FA83">
            <w:pPr>
              <w:adjustRightInd w:val="0"/>
              <w:snapToGrid w:val="0"/>
              <w:jc w:val="center"/>
              <w:rPr>
                <w:sz w:val="24"/>
                <w:highlight w:val="none"/>
              </w:rPr>
            </w:pPr>
          </w:p>
        </w:tc>
        <w:tc>
          <w:tcPr>
            <w:tcW w:w="1575" w:type="dxa"/>
            <w:noWrap w:val="0"/>
            <w:vAlign w:val="center"/>
          </w:tcPr>
          <w:p w14:paraId="31BE82DA">
            <w:pPr>
              <w:adjustRightInd w:val="0"/>
              <w:snapToGrid w:val="0"/>
              <w:jc w:val="center"/>
              <w:rPr>
                <w:sz w:val="24"/>
                <w:highlight w:val="none"/>
              </w:rPr>
            </w:pPr>
          </w:p>
        </w:tc>
        <w:tc>
          <w:tcPr>
            <w:tcW w:w="1695" w:type="dxa"/>
            <w:noWrap w:val="0"/>
            <w:vAlign w:val="center"/>
          </w:tcPr>
          <w:p w14:paraId="595017EF">
            <w:pPr>
              <w:adjustRightInd w:val="0"/>
              <w:snapToGrid w:val="0"/>
              <w:jc w:val="center"/>
              <w:rPr>
                <w:sz w:val="24"/>
                <w:highlight w:val="none"/>
              </w:rPr>
            </w:pPr>
          </w:p>
        </w:tc>
        <w:tc>
          <w:tcPr>
            <w:tcW w:w="1981" w:type="dxa"/>
            <w:noWrap w:val="0"/>
            <w:vAlign w:val="center"/>
          </w:tcPr>
          <w:p w14:paraId="38547B1F">
            <w:pPr>
              <w:adjustRightInd w:val="0"/>
              <w:snapToGrid w:val="0"/>
              <w:jc w:val="center"/>
              <w:rPr>
                <w:sz w:val="24"/>
                <w:highlight w:val="none"/>
              </w:rPr>
            </w:pPr>
          </w:p>
        </w:tc>
        <w:tc>
          <w:tcPr>
            <w:tcW w:w="2427" w:type="dxa"/>
            <w:noWrap w:val="0"/>
            <w:vAlign w:val="center"/>
          </w:tcPr>
          <w:p w14:paraId="5D0F5331">
            <w:pPr>
              <w:adjustRightInd w:val="0"/>
              <w:snapToGrid w:val="0"/>
              <w:jc w:val="center"/>
              <w:rPr>
                <w:sz w:val="24"/>
                <w:highlight w:val="none"/>
              </w:rPr>
            </w:pPr>
          </w:p>
        </w:tc>
        <w:tc>
          <w:tcPr>
            <w:tcW w:w="783" w:type="dxa"/>
            <w:noWrap w:val="0"/>
            <w:vAlign w:val="center"/>
          </w:tcPr>
          <w:p w14:paraId="0B4E497D">
            <w:pPr>
              <w:adjustRightInd w:val="0"/>
              <w:snapToGrid w:val="0"/>
              <w:jc w:val="center"/>
              <w:rPr>
                <w:sz w:val="24"/>
                <w:highlight w:val="none"/>
              </w:rPr>
            </w:pPr>
          </w:p>
        </w:tc>
      </w:tr>
    </w:tbl>
    <w:p w14:paraId="023A0394">
      <w:pPr>
        <w:tabs>
          <w:tab w:val="left" w:pos="1800"/>
          <w:tab w:val="left" w:pos="5580"/>
        </w:tabs>
        <w:jc w:val="left"/>
        <w:rPr>
          <w:sz w:val="24"/>
          <w:highlight w:val="none"/>
        </w:rPr>
      </w:pPr>
    </w:p>
    <w:p w14:paraId="0A55CD2E">
      <w:pPr>
        <w:tabs>
          <w:tab w:val="left" w:pos="1800"/>
          <w:tab w:val="left" w:pos="5580"/>
        </w:tabs>
        <w:jc w:val="left"/>
        <w:rPr>
          <w:sz w:val="24"/>
          <w:highlight w:val="none"/>
        </w:rPr>
      </w:pPr>
      <w:r>
        <w:rPr>
          <w:rFonts w:hint="eastAsia"/>
          <w:sz w:val="24"/>
          <w:highlight w:val="none"/>
        </w:rPr>
        <w:t>注：“偏离情况”列应据实填写“正偏离”或“负偏离”。</w:t>
      </w:r>
    </w:p>
    <w:p w14:paraId="5DD89302">
      <w:pPr>
        <w:spacing w:line="360" w:lineRule="auto"/>
        <w:rPr>
          <w:sz w:val="24"/>
          <w:szCs w:val="20"/>
          <w:highlight w:val="none"/>
        </w:rPr>
      </w:pPr>
    </w:p>
    <w:p w14:paraId="3E6030DE">
      <w:pPr>
        <w:autoSpaceDE w:val="0"/>
        <w:autoSpaceDN w:val="0"/>
        <w:adjustRightInd w:val="0"/>
        <w:snapToGrid w:val="0"/>
        <w:spacing w:before="25" w:after="25" w:line="360" w:lineRule="auto"/>
        <w:rPr>
          <w:sz w:val="24"/>
          <w:highlight w:val="none"/>
          <w:lang w:val="zh-CN"/>
        </w:rPr>
      </w:pPr>
      <w:r>
        <w:rPr>
          <w:sz w:val="24"/>
          <w:highlight w:val="none"/>
        </w:rPr>
        <w:t>供应商名称（加盖公章）</w:t>
      </w:r>
      <w:r>
        <w:rPr>
          <w:sz w:val="24"/>
          <w:highlight w:val="none"/>
          <w:lang w:val="zh-CN"/>
        </w:rPr>
        <w:t>：</w:t>
      </w:r>
      <w:r>
        <w:rPr>
          <w:sz w:val="24"/>
          <w:highlight w:val="none"/>
        </w:rPr>
        <w:t>_______________</w:t>
      </w:r>
    </w:p>
    <w:p w14:paraId="07114362">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日期：____年____月____日    </w:t>
      </w:r>
    </w:p>
    <w:p w14:paraId="7A3E672A">
      <w:pPr>
        <w:tabs>
          <w:tab w:val="left" w:pos="360"/>
        </w:tabs>
        <w:snapToGrid w:val="0"/>
        <w:spacing w:line="360" w:lineRule="auto"/>
        <w:outlineLvl w:val="1"/>
        <w:rPr>
          <w:sz w:val="24"/>
          <w:szCs w:val="20"/>
          <w:highlight w:val="none"/>
        </w:rPr>
      </w:pPr>
      <w:r>
        <w:rPr>
          <w:sz w:val="24"/>
          <w:szCs w:val="20"/>
          <w:highlight w:val="none"/>
        </w:rPr>
        <w:br w:type="page"/>
      </w:r>
      <w:r>
        <w:rPr>
          <w:rFonts w:hint="eastAsia"/>
          <w:sz w:val="24"/>
          <w:highlight w:val="none"/>
        </w:rPr>
        <w:t>9</w:t>
      </w:r>
      <w:r>
        <w:rPr>
          <w:sz w:val="24"/>
          <w:highlight w:val="none"/>
        </w:rPr>
        <w:t xml:space="preserve">  </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r>
        <w:rPr>
          <w:sz w:val="24"/>
          <w:highlight w:val="none"/>
        </w:rPr>
        <w:t>采购需求偏离表</w:t>
      </w:r>
      <w:r>
        <w:rPr>
          <w:spacing w:val="-1"/>
          <w:sz w:val="24"/>
          <w:highlight w:val="none"/>
        </w:rPr>
        <w:t>（实质性格式）</w:t>
      </w:r>
    </w:p>
    <w:p w14:paraId="45ADE8B0">
      <w:pPr>
        <w:autoSpaceDE w:val="0"/>
        <w:autoSpaceDN w:val="0"/>
        <w:adjustRightInd w:val="0"/>
        <w:spacing w:line="360" w:lineRule="auto"/>
        <w:jc w:val="center"/>
        <w:rPr>
          <w:b/>
          <w:sz w:val="36"/>
          <w:szCs w:val="36"/>
          <w:highlight w:val="none"/>
        </w:rPr>
      </w:pPr>
      <w:r>
        <w:rPr>
          <w:rFonts w:hint="eastAsia"/>
          <w:b/>
          <w:sz w:val="36"/>
          <w:szCs w:val="36"/>
          <w:highlight w:val="none"/>
        </w:rPr>
        <w:t>采购需求偏离表</w:t>
      </w:r>
    </w:p>
    <w:p w14:paraId="472E29D0">
      <w:pPr>
        <w:tabs>
          <w:tab w:val="left" w:pos="1800"/>
          <w:tab w:val="left" w:pos="5580"/>
        </w:tabs>
        <w:spacing w:line="360" w:lineRule="auto"/>
        <w:ind w:firstLine="360" w:firstLineChars="150"/>
        <w:jc w:val="left"/>
        <w:rPr>
          <w:sz w:val="24"/>
          <w:highlight w:val="none"/>
        </w:rPr>
      </w:pPr>
      <w:r>
        <w:rPr>
          <w:sz w:val="24"/>
          <w:highlight w:val="none"/>
        </w:rPr>
        <w:t>项目编号/包号：_______________     项目名称：_______________</w:t>
      </w:r>
    </w:p>
    <w:tbl>
      <w:tblPr>
        <w:tblStyle w:val="6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D1D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FEF27C5">
            <w:pPr>
              <w:adjustRightInd w:val="0"/>
              <w:snapToGrid w:val="0"/>
              <w:jc w:val="center"/>
              <w:rPr>
                <w:sz w:val="24"/>
                <w:highlight w:val="none"/>
              </w:rPr>
            </w:pPr>
            <w:r>
              <w:rPr>
                <w:sz w:val="24"/>
                <w:highlight w:val="none"/>
              </w:rPr>
              <w:t>序号</w:t>
            </w:r>
          </w:p>
        </w:tc>
        <w:tc>
          <w:tcPr>
            <w:tcW w:w="1482" w:type="dxa"/>
            <w:noWrap w:val="0"/>
            <w:vAlign w:val="center"/>
          </w:tcPr>
          <w:p w14:paraId="3A0C6CB4">
            <w:pPr>
              <w:adjustRightInd w:val="0"/>
              <w:snapToGrid w:val="0"/>
              <w:jc w:val="center"/>
              <w:rPr>
                <w:sz w:val="24"/>
                <w:highlight w:val="none"/>
              </w:rPr>
            </w:pPr>
            <w:r>
              <w:rPr>
                <w:sz w:val="24"/>
                <w:highlight w:val="none"/>
              </w:rPr>
              <w:t>竞争性磋商文件条目号(页码)</w:t>
            </w:r>
          </w:p>
        </w:tc>
        <w:tc>
          <w:tcPr>
            <w:tcW w:w="2384" w:type="dxa"/>
            <w:noWrap w:val="0"/>
            <w:vAlign w:val="center"/>
          </w:tcPr>
          <w:p w14:paraId="6034F10A">
            <w:pPr>
              <w:adjustRightInd w:val="0"/>
              <w:snapToGrid w:val="0"/>
              <w:jc w:val="center"/>
              <w:rPr>
                <w:sz w:val="24"/>
                <w:highlight w:val="none"/>
              </w:rPr>
            </w:pPr>
            <w:r>
              <w:rPr>
                <w:sz w:val="24"/>
                <w:highlight w:val="none"/>
              </w:rPr>
              <w:t>竞争性磋商文件要求</w:t>
            </w:r>
          </w:p>
        </w:tc>
        <w:tc>
          <w:tcPr>
            <w:tcW w:w="2126" w:type="dxa"/>
            <w:noWrap w:val="0"/>
            <w:vAlign w:val="center"/>
          </w:tcPr>
          <w:p w14:paraId="488FB863">
            <w:pPr>
              <w:adjustRightInd w:val="0"/>
              <w:snapToGrid w:val="0"/>
              <w:jc w:val="center"/>
              <w:rPr>
                <w:sz w:val="24"/>
                <w:highlight w:val="none"/>
              </w:rPr>
            </w:pPr>
            <w:r>
              <w:rPr>
                <w:sz w:val="24"/>
                <w:highlight w:val="none"/>
              </w:rPr>
              <w:t>响应内容</w:t>
            </w:r>
          </w:p>
        </w:tc>
        <w:tc>
          <w:tcPr>
            <w:tcW w:w="1875" w:type="dxa"/>
            <w:noWrap w:val="0"/>
            <w:vAlign w:val="center"/>
          </w:tcPr>
          <w:p w14:paraId="5A0562E7">
            <w:pPr>
              <w:adjustRightInd w:val="0"/>
              <w:snapToGrid w:val="0"/>
              <w:jc w:val="center"/>
              <w:rPr>
                <w:sz w:val="24"/>
                <w:highlight w:val="none"/>
              </w:rPr>
            </w:pPr>
            <w:r>
              <w:rPr>
                <w:sz w:val="24"/>
                <w:highlight w:val="none"/>
              </w:rPr>
              <w:t>偏离情况</w:t>
            </w:r>
          </w:p>
        </w:tc>
        <w:tc>
          <w:tcPr>
            <w:tcW w:w="1009" w:type="dxa"/>
            <w:noWrap w:val="0"/>
            <w:vAlign w:val="center"/>
          </w:tcPr>
          <w:p w14:paraId="794D4560">
            <w:pPr>
              <w:adjustRightInd w:val="0"/>
              <w:snapToGrid w:val="0"/>
              <w:jc w:val="center"/>
              <w:rPr>
                <w:sz w:val="24"/>
                <w:highlight w:val="none"/>
              </w:rPr>
            </w:pPr>
            <w:r>
              <w:rPr>
                <w:sz w:val="24"/>
                <w:highlight w:val="none"/>
              </w:rPr>
              <w:t>说明</w:t>
            </w:r>
          </w:p>
        </w:tc>
      </w:tr>
      <w:tr w14:paraId="0C6E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AB6B7A0">
            <w:pPr>
              <w:adjustRightInd w:val="0"/>
              <w:snapToGrid w:val="0"/>
              <w:jc w:val="center"/>
              <w:rPr>
                <w:sz w:val="24"/>
                <w:highlight w:val="none"/>
              </w:rPr>
            </w:pPr>
          </w:p>
        </w:tc>
        <w:tc>
          <w:tcPr>
            <w:tcW w:w="1482" w:type="dxa"/>
            <w:noWrap w:val="0"/>
            <w:vAlign w:val="center"/>
          </w:tcPr>
          <w:p w14:paraId="2722C35B">
            <w:pPr>
              <w:adjustRightInd w:val="0"/>
              <w:snapToGrid w:val="0"/>
              <w:jc w:val="center"/>
              <w:rPr>
                <w:sz w:val="24"/>
                <w:highlight w:val="none"/>
              </w:rPr>
            </w:pPr>
          </w:p>
        </w:tc>
        <w:tc>
          <w:tcPr>
            <w:tcW w:w="2384" w:type="dxa"/>
            <w:noWrap w:val="0"/>
            <w:vAlign w:val="center"/>
          </w:tcPr>
          <w:p w14:paraId="346A0444">
            <w:pPr>
              <w:adjustRightInd w:val="0"/>
              <w:snapToGrid w:val="0"/>
              <w:jc w:val="center"/>
              <w:rPr>
                <w:sz w:val="24"/>
                <w:highlight w:val="none"/>
              </w:rPr>
            </w:pPr>
          </w:p>
        </w:tc>
        <w:tc>
          <w:tcPr>
            <w:tcW w:w="2126" w:type="dxa"/>
            <w:noWrap w:val="0"/>
            <w:vAlign w:val="center"/>
          </w:tcPr>
          <w:p w14:paraId="225940E1">
            <w:pPr>
              <w:adjustRightInd w:val="0"/>
              <w:snapToGrid w:val="0"/>
              <w:jc w:val="center"/>
              <w:rPr>
                <w:sz w:val="24"/>
                <w:highlight w:val="none"/>
              </w:rPr>
            </w:pPr>
          </w:p>
        </w:tc>
        <w:tc>
          <w:tcPr>
            <w:tcW w:w="1875" w:type="dxa"/>
            <w:noWrap w:val="0"/>
            <w:vAlign w:val="center"/>
          </w:tcPr>
          <w:p w14:paraId="00C0BC21">
            <w:pPr>
              <w:adjustRightInd w:val="0"/>
              <w:snapToGrid w:val="0"/>
              <w:jc w:val="center"/>
              <w:rPr>
                <w:sz w:val="24"/>
                <w:highlight w:val="none"/>
              </w:rPr>
            </w:pPr>
          </w:p>
        </w:tc>
        <w:tc>
          <w:tcPr>
            <w:tcW w:w="1009" w:type="dxa"/>
            <w:noWrap w:val="0"/>
            <w:vAlign w:val="center"/>
          </w:tcPr>
          <w:p w14:paraId="553267B1">
            <w:pPr>
              <w:adjustRightInd w:val="0"/>
              <w:snapToGrid w:val="0"/>
              <w:jc w:val="center"/>
              <w:rPr>
                <w:sz w:val="24"/>
                <w:highlight w:val="none"/>
              </w:rPr>
            </w:pPr>
          </w:p>
        </w:tc>
      </w:tr>
      <w:tr w14:paraId="15BA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AC942AA">
            <w:pPr>
              <w:adjustRightInd w:val="0"/>
              <w:snapToGrid w:val="0"/>
              <w:jc w:val="center"/>
              <w:rPr>
                <w:sz w:val="24"/>
                <w:highlight w:val="none"/>
              </w:rPr>
            </w:pPr>
          </w:p>
        </w:tc>
        <w:tc>
          <w:tcPr>
            <w:tcW w:w="1482" w:type="dxa"/>
            <w:noWrap w:val="0"/>
            <w:vAlign w:val="center"/>
          </w:tcPr>
          <w:p w14:paraId="24CB36F1">
            <w:pPr>
              <w:adjustRightInd w:val="0"/>
              <w:snapToGrid w:val="0"/>
              <w:jc w:val="center"/>
              <w:rPr>
                <w:sz w:val="24"/>
                <w:highlight w:val="none"/>
              </w:rPr>
            </w:pPr>
          </w:p>
        </w:tc>
        <w:tc>
          <w:tcPr>
            <w:tcW w:w="2384" w:type="dxa"/>
            <w:noWrap w:val="0"/>
            <w:vAlign w:val="center"/>
          </w:tcPr>
          <w:p w14:paraId="5805EE7E">
            <w:pPr>
              <w:adjustRightInd w:val="0"/>
              <w:snapToGrid w:val="0"/>
              <w:jc w:val="center"/>
              <w:rPr>
                <w:sz w:val="24"/>
                <w:highlight w:val="none"/>
              </w:rPr>
            </w:pPr>
          </w:p>
        </w:tc>
        <w:tc>
          <w:tcPr>
            <w:tcW w:w="2126" w:type="dxa"/>
            <w:noWrap w:val="0"/>
            <w:vAlign w:val="center"/>
          </w:tcPr>
          <w:p w14:paraId="70C85879">
            <w:pPr>
              <w:adjustRightInd w:val="0"/>
              <w:snapToGrid w:val="0"/>
              <w:jc w:val="center"/>
              <w:rPr>
                <w:sz w:val="24"/>
                <w:highlight w:val="none"/>
              </w:rPr>
            </w:pPr>
          </w:p>
        </w:tc>
        <w:tc>
          <w:tcPr>
            <w:tcW w:w="1875" w:type="dxa"/>
            <w:noWrap w:val="0"/>
            <w:vAlign w:val="center"/>
          </w:tcPr>
          <w:p w14:paraId="3072D116">
            <w:pPr>
              <w:adjustRightInd w:val="0"/>
              <w:snapToGrid w:val="0"/>
              <w:jc w:val="center"/>
              <w:rPr>
                <w:sz w:val="24"/>
                <w:highlight w:val="none"/>
              </w:rPr>
            </w:pPr>
          </w:p>
        </w:tc>
        <w:tc>
          <w:tcPr>
            <w:tcW w:w="1009" w:type="dxa"/>
            <w:noWrap w:val="0"/>
            <w:vAlign w:val="center"/>
          </w:tcPr>
          <w:p w14:paraId="2D571ADE">
            <w:pPr>
              <w:adjustRightInd w:val="0"/>
              <w:snapToGrid w:val="0"/>
              <w:jc w:val="center"/>
              <w:rPr>
                <w:sz w:val="24"/>
                <w:highlight w:val="none"/>
              </w:rPr>
            </w:pPr>
          </w:p>
        </w:tc>
      </w:tr>
      <w:tr w14:paraId="2A20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E144634">
            <w:pPr>
              <w:adjustRightInd w:val="0"/>
              <w:snapToGrid w:val="0"/>
              <w:jc w:val="center"/>
              <w:rPr>
                <w:sz w:val="24"/>
                <w:highlight w:val="none"/>
              </w:rPr>
            </w:pPr>
          </w:p>
        </w:tc>
        <w:tc>
          <w:tcPr>
            <w:tcW w:w="1482" w:type="dxa"/>
            <w:noWrap w:val="0"/>
            <w:vAlign w:val="center"/>
          </w:tcPr>
          <w:p w14:paraId="0AB10CB4">
            <w:pPr>
              <w:adjustRightInd w:val="0"/>
              <w:snapToGrid w:val="0"/>
              <w:jc w:val="center"/>
              <w:rPr>
                <w:sz w:val="24"/>
                <w:highlight w:val="none"/>
              </w:rPr>
            </w:pPr>
          </w:p>
        </w:tc>
        <w:tc>
          <w:tcPr>
            <w:tcW w:w="2384" w:type="dxa"/>
            <w:noWrap w:val="0"/>
            <w:vAlign w:val="center"/>
          </w:tcPr>
          <w:p w14:paraId="741B7299">
            <w:pPr>
              <w:adjustRightInd w:val="0"/>
              <w:snapToGrid w:val="0"/>
              <w:jc w:val="center"/>
              <w:rPr>
                <w:sz w:val="24"/>
                <w:highlight w:val="none"/>
              </w:rPr>
            </w:pPr>
          </w:p>
        </w:tc>
        <w:tc>
          <w:tcPr>
            <w:tcW w:w="2126" w:type="dxa"/>
            <w:noWrap w:val="0"/>
            <w:vAlign w:val="center"/>
          </w:tcPr>
          <w:p w14:paraId="66ABF870">
            <w:pPr>
              <w:adjustRightInd w:val="0"/>
              <w:snapToGrid w:val="0"/>
              <w:jc w:val="center"/>
              <w:rPr>
                <w:sz w:val="24"/>
                <w:highlight w:val="none"/>
              </w:rPr>
            </w:pPr>
          </w:p>
        </w:tc>
        <w:tc>
          <w:tcPr>
            <w:tcW w:w="1875" w:type="dxa"/>
            <w:noWrap w:val="0"/>
            <w:vAlign w:val="center"/>
          </w:tcPr>
          <w:p w14:paraId="31C0A29E">
            <w:pPr>
              <w:adjustRightInd w:val="0"/>
              <w:snapToGrid w:val="0"/>
              <w:jc w:val="center"/>
              <w:rPr>
                <w:sz w:val="24"/>
                <w:highlight w:val="none"/>
              </w:rPr>
            </w:pPr>
          </w:p>
        </w:tc>
        <w:tc>
          <w:tcPr>
            <w:tcW w:w="1009" w:type="dxa"/>
            <w:noWrap w:val="0"/>
            <w:vAlign w:val="center"/>
          </w:tcPr>
          <w:p w14:paraId="78060238">
            <w:pPr>
              <w:adjustRightInd w:val="0"/>
              <w:snapToGrid w:val="0"/>
              <w:jc w:val="center"/>
              <w:rPr>
                <w:sz w:val="24"/>
                <w:highlight w:val="none"/>
              </w:rPr>
            </w:pPr>
          </w:p>
        </w:tc>
      </w:tr>
      <w:tr w14:paraId="5FB7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95FC4A">
            <w:pPr>
              <w:adjustRightInd w:val="0"/>
              <w:snapToGrid w:val="0"/>
              <w:jc w:val="center"/>
              <w:rPr>
                <w:sz w:val="24"/>
                <w:highlight w:val="none"/>
              </w:rPr>
            </w:pPr>
          </w:p>
        </w:tc>
        <w:tc>
          <w:tcPr>
            <w:tcW w:w="1482" w:type="dxa"/>
            <w:noWrap w:val="0"/>
            <w:vAlign w:val="center"/>
          </w:tcPr>
          <w:p w14:paraId="0984594F">
            <w:pPr>
              <w:adjustRightInd w:val="0"/>
              <w:snapToGrid w:val="0"/>
              <w:jc w:val="center"/>
              <w:rPr>
                <w:sz w:val="24"/>
                <w:highlight w:val="none"/>
              </w:rPr>
            </w:pPr>
          </w:p>
        </w:tc>
        <w:tc>
          <w:tcPr>
            <w:tcW w:w="2384" w:type="dxa"/>
            <w:noWrap w:val="0"/>
            <w:vAlign w:val="center"/>
          </w:tcPr>
          <w:p w14:paraId="6A849C6E">
            <w:pPr>
              <w:adjustRightInd w:val="0"/>
              <w:snapToGrid w:val="0"/>
              <w:jc w:val="center"/>
              <w:rPr>
                <w:sz w:val="24"/>
                <w:highlight w:val="none"/>
              </w:rPr>
            </w:pPr>
          </w:p>
        </w:tc>
        <w:tc>
          <w:tcPr>
            <w:tcW w:w="2126" w:type="dxa"/>
            <w:noWrap w:val="0"/>
            <w:vAlign w:val="center"/>
          </w:tcPr>
          <w:p w14:paraId="57A190A8">
            <w:pPr>
              <w:adjustRightInd w:val="0"/>
              <w:snapToGrid w:val="0"/>
              <w:jc w:val="center"/>
              <w:rPr>
                <w:sz w:val="24"/>
                <w:highlight w:val="none"/>
              </w:rPr>
            </w:pPr>
          </w:p>
        </w:tc>
        <w:tc>
          <w:tcPr>
            <w:tcW w:w="1875" w:type="dxa"/>
            <w:noWrap w:val="0"/>
            <w:vAlign w:val="center"/>
          </w:tcPr>
          <w:p w14:paraId="4366A122">
            <w:pPr>
              <w:adjustRightInd w:val="0"/>
              <w:snapToGrid w:val="0"/>
              <w:jc w:val="center"/>
              <w:rPr>
                <w:sz w:val="24"/>
                <w:highlight w:val="none"/>
              </w:rPr>
            </w:pPr>
          </w:p>
        </w:tc>
        <w:tc>
          <w:tcPr>
            <w:tcW w:w="1009" w:type="dxa"/>
            <w:noWrap w:val="0"/>
            <w:vAlign w:val="center"/>
          </w:tcPr>
          <w:p w14:paraId="11600A28">
            <w:pPr>
              <w:adjustRightInd w:val="0"/>
              <w:snapToGrid w:val="0"/>
              <w:jc w:val="center"/>
              <w:rPr>
                <w:sz w:val="24"/>
                <w:highlight w:val="none"/>
              </w:rPr>
            </w:pPr>
          </w:p>
        </w:tc>
      </w:tr>
      <w:tr w14:paraId="35DC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40D49C">
            <w:pPr>
              <w:adjustRightInd w:val="0"/>
              <w:snapToGrid w:val="0"/>
              <w:jc w:val="center"/>
              <w:rPr>
                <w:sz w:val="24"/>
                <w:highlight w:val="none"/>
              </w:rPr>
            </w:pPr>
          </w:p>
        </w:tc>
        <w:tc>
          <w:tcPr>
            <w:tcW w:w="1482" w:type="dxa"/>
            <w:noWrap w:val="0"/>
            <w:vAlign w:val="center"/>
          </w:tcPr>
          <w:p w14:paraId="3D2C051D">
            <w:pPr>
              <w:adjustRightInd w:val="0"/>
              <w:snapToGrid w:val="0"/>
              <w:jc w:val="center"/>
              <w:rPr>
                <w:sz w:val="24"/>
                <w:highlight w:val="none"/>
              </w:rPr>
            </w:pPr>
          </w:p>
        </w:tc>
        <w:tc>
          <w:tcPr>
            <w:tcW w:w="2384" w:type="dxa"/>
            <w:noWrap w:val="0"/>
            <w:vAlign w:val="center"/>
          </w:tcPr>
          <w:p w14:paraId="5BBEC8D4">
            <w:pPr>
              <w:adjustRightInd w:val="0"/>
              <w:snapToGrid w:val="0"/>
              <w:jc w:val="center"/>
              <w:rPr>
                <w:sz w:val="24"/>
                <w:highlight w:val="none"/>
              </w:rPr>
            </w:pPr>
          </w:p>
        </w:tc>
        <w:tc>
          <w:tcPr>
            <w:tcW w:w="2126" w:type="dxa"/>
            <w:noWrap w:val="0"/>
            <w:vAlign w:val="center"/>
          </w:tcPr>
          <w:p w14:paraId="11C1A4E8">
            <w:pPr>
              <w:adjustRightInd w:val="0"/>
              <w:snapToGrid w:val="0"/>
              <w:jc w:val="center"/>
              <w:rPr>
                <w:sz w:val="24"/>
                <w:highlight w:val="none"/>
              </w:rPr>
            </w:pPr>
          </w:p>
        </w:tc>
        <w:tc>
          <w:tcPr>
            <w:tcW w:w="1875" w:type="dxa"/>
            <w:noWrap w:val="0"/>
            <w:vAlign w:val="center"/>
          </w:tcPr>
          <w:p w14:paraId="597318A9">
            <w:pPr>
              <w:adjustRightInd w:val="0"/>
              <w:snapToGrid w:val="0"/>
              <w:jc w:val="center"/>
              <w:rPr>
                <w:sz w:val="24"/>
                <w:highlight w:val="none"/>
              </w:rPr>
            </w:pPr>
          </w:p>
        </w:tc>
        <w:tc>
          <w:tcPr>
            <w:tcW w:w="1009" w:type="dxa"/>
            <w:noWrap w:val="0"/>
            <w:vAlign w:val="center"/>
          </w:tcPr>
          <w:p w14:paraId="035C12E2">
            <w:pPr>
              <w:adjustRightInd w:val="0"/>
              <w:snapToGrid w:val="0"/>
              <w:jc w:val="center"/>
              <w:rPr>
                <w:sz w:val="24"/>
                <w:highlight w:val="none"/>
              </w:rPr>
            </w:pPr>
          </w:p>
        </w:tc>
      </w:tr>
      <w:tr w14:paraId="3CFE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773484F">
            <w:pPr>
              <w:adjustRightInd w:val="0"/>
              <w:snapToGrid w:val="0"/>
              <w:jc w:val="center"/>
              <w:rPr>
                <w:sz w:val="24"/>
                <w:highlight w:val="none"/>
              </w:rPr>
            </w:pPr>
          </w:p>
        </w:tc>
        <w:tc>
          <w:tcPr>
            <w:tcW w:w="1482" w:type="dxa"/>
            <w:noWrap w:val="0"/>
            <w:vAlign w:val="center"/>
          </w:tcPr>
          <w:p w14:paraId="4AC5414A">
            <w:pPr>
              <w:adjustRightInd w:val="0"/>
              <w:snapToGrid w:val="0"/>
              <w:jc w:val="center"/>
              <w:rPr>
                <w:sz w:val="24"/>
                <w:highlight w:val="none"/>
              </w:rPr>
            </w:pPr>
          </w:p>
        </w:tc>
        <w:tc>
          <w:tcPr>
            <w:tcW w:w="2384" w:type="dxa"/>
            <w:noWrap w:val="0"/>
            <w:vAlign w:val="center"/>
          </w:tcPr>
          <w:p w14:paraId="6479FBE3">
            <w:pPr>
              <w:adjustRightInd w:val="0"/>
              <w:snapToGrid w:val="0"/>
              <w:jc w:val="center"/>
              <w:rPr>
                <w:sz w:val="24"/>
                <w:highlight w:val="none"/>
              </w:rPr>
            </w:pPr>
          </w:p>
        </w:tc>
        <w:tc>
          <w:tcPr>
            <w:tcW w:w="2126" w:type="dxa"/>
            <w:noWrap w:val="0"/>
            <w:vAlign w:val="center"/>
          </w:tcPr>
          <w:p w14:paraId="1E73E4F7">
            <w:pPr>
              <w:adjustRightInd w:val="0"/>
              <w:snapToGrid w:val="0"/>
              <w:jc w:val="center"/>
              <w:rPr>
                <w:sz w:val="24"/>
                <w:highlight w:val="none"/>
              </w:rPr>
            </w:pPr>
          </w:p>
        </w:tc>
        <w:tc>
          <w:tcPr>
            <w:tcW w:w="1875" w:type="dxa"/>
            <w:noWrap w:val="0"/>
            <w:vAlign w:val="center"/>
          </w:tcPr>
          <w:p w14:paraId="77BE51EF">
            <w:pPr>
              <w:adjustRightInd w:val="0"/>
              <w:snapToGrid w:val="0"/>
              <w:jc w:val="center"/>
              <w:rPr>
                <w:sz w:val="24"/>
                <w:highlight w:val="none"/>
              </w:rPr>
            </w:pPr>
          </w:p>
        </w:tc>
        <w:tc>
          <w:tcPr>
            <w:tcW w:w="1009" w:type="dxa"/>
            <w:noWrap w:val="0"/>
            <w:vAlign w:val="center"/>
          </w:tcPr>
          <w:p w14:paraId="1AEA714D">
            <w:pPr>
              <w:adjustRightInd w:val="0"/>
              <w:snapToGrid w:val="0"/>
              <w:jc w:val="center"/>
              <w:rPr>
                <w:sz w:val="24"/>
                <w:highlight w:val="none"/>
              </w:rPr>
            </w:pPr>
          </w:p>
        </w:tc>
      </w:tr>
    </w:tbl>
    <w:p w14:paraId="2E1625A0">
      <w:pPr>
        <w:tabs>
          <w:tab w:val="left" w:pos="1800"/>
          <w:tab w:val="left" w:pos="5580"/>
        </w:tabs>
        <w:spacing w:line="360" w:lineRule="auto"/>
        <w:ind w:firstLine="360" w:firstLineChars="150"/>
        <w:jc w:val="left"/>
        <w:rPr>
          <w:sz w:val="24"/>
          <w:highlight w:val="none"/>
          <w:u w:val="single"/>
        </w:rPr>
      </w:pPr>
    </w:p>
    <w:p w14:paraId="0C08810A">
      <w:pPr>
        <w:tabs>
          <w:tab w:val="left" w:pos="1800"/>
          <w:tab w:val="left" w:pos="5580"/>
        </w:tabs>
        <w:spacing w:line="360" w:lineRule="auto"/>
        <w:ind w:firstLine="360" w:firstLineChars="150"/>
        <w:jc w:val="left"/>
        <w:rPr>
          <w:sz w:val="24"/>
          <w:highlight w:val="none"/>
          <w:u w:val="single"/>
        </w:rPr>
      </w:pPr>
    </w:p>
    <w:p w14:paraId="7DDDC070">
      <w:pPr>
        <w:tabs>
          <w:tab w:val="left" w:pos="1800"/>
          <w:tab w:val="left" w:pos="5580"/>
        </w:tabs>
        <w:jc w:val="left"/>
        <w:rPr>
          <w:sz w:val="24"/>
          <w:highlight w:val="none"/>
        </w:rPr>
      </w:pPr>
      <w:r>
        <w:rPr>
          <w:sz w:val="24"/>
          <w:highlight w:val="none"/>
        </w:rPr>
        <w:t>注：</w:t>
      </w:r>
    </w:p>
    <w:p w14:paraId="3D8C043F">
      <w:pPr>
        <w:tabs>
          <w:tab w:val="left" w:pos="1800"/>
          <w:tab w:val="left" w:pos="5580"/>
        </w:tabs>
        <w:jc w:val="left"/>
        <w:rPr>
          <w:sz w:val="24"/>
          <w:highlight w:val="none"/>
        </w:rPr>
      </w:pPr>
      <w:r>
        <w:rPr>
          <w:rFonts w:hint="eastAsia"/>
          <w:sz w:val="24"/>
          <w:highlight w:val="none"/>
        </w:rPr>
        <w:t>1</w:t>
      </w:r>
      <w:r>
        <w:rPr>
          <w:sz w:val="24"/>
          <w:highlight w:val="none"/>
        </w:rPr>
        <w:t>. 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1A7DD4F2">
      <w:pPr>
        <w:tabs>
          <w:tab w:val="left" w:pos="1800"/>
          <w:tab w:val="left" w:pos="5580"/>
        </w:tabs>
        <w:jc w:val="left"/>
        <w:rPr>
          <w:sz w:val="24"/>
          <w:highlight w:val="none"/>
        </w:rPr>
      </w:pPr>
      <w:r>
        <w:rPr>
          <w:sz w:val="24"/>
          <w:highlight w:val="none"/>
        </w:rPr>
        <w:t>2.</w:t>
      </w:r>
      <w:r>
        <w:rPr>
          <w:rFonts w:hint="eastAsia"/>
          <w:sz w:val="24"/>
          <w:highlight w:val="none"/>
        </w:rPr>
        <w:t>“偏离情况”列应据实填写“无偏离”、“正偏离”或“负偏离”。</w:t>
      </w:r>
    </w:p>
    <w:p w14:paraId="76F87225">
      <w:pPr>
        <w:tabs>
          <w:tab w:val="left" w:pos="1800"/>
          <w:tab w:val="left" w:pos="5580"/>
        </w:tabs>
        <w:jc w:val="left"/>
        <w:rPr>
          <w:sz w:val="24"/>
          <w:highlight w:val="none"/>
        </w:rPr>
      </w:pPr>
    </w:p>
    <w:p w14:paraId="7EABF7E0">
      <w:pPr>
        <w:rPr>
          <w:sz w:val="24"/>
          <w:szCs w:val="20"/>
          <w:highlight w:val="none"/>
        </w:rPr>
      </w:pPr>
    </w:p>
    <w:p w14:paraId="74FCCF2A">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142F9CCA">
      <w:pPr>
        <w:autoSpaceDE w:val="0"/>
        <w:autoSpaceDN w:val="0"/>
        <w:adjustRightInd w:val="0"/>
        <w:snapToGrid w:val="0"/>
        <w:spacing w:before="25" w:after="25" w:line="360" w:lineRule="auto"/>
        <w:ind w:right="360"/>
        <w:jc w:val="left"/>
        <w:rPr>
          <w:sz w:val="24"/>
          <w:szCs w:val="20"/>
          <w:highlight w:val="none"/>
        </w:rPr>
      </w:pPr>
      <w:r>
        <w:rPr>
          <w:sz w:val="24"/>
          <w:szCs w:val="20"/>
          <w:highlight w:val="none"/>
        </w:rPr>
        <w:t xml:space="preserve">日期：____年____月____日 </w:t>
      </w:r>
    </w:p>
    <w:p w14:paraId="070C5653">
      <w:pPr>
        <w:tabs>
          <w:tab w:val="left" w:pos="360"/>
        </w:tabs>
        <w:snapToGrid w:val="0"/>
        <w:spacing w:line="360" w:lineRule="auto"/>
        <w:outlineLvl w:val="1"/>
        <w:rPr>
          <w:sz w:val="24"/>
          <w:highlight w:val="none"/>
        </w:rPr>
      </w:pPr>
      <w:r>
        <w:rPr>
          <w:highlight w:val="none"/>
        </w:rPr>
        <w:br w:type="page"/>
      </w:r>
      <w:r>
        <w:rPr>
          <w:rFonts w:hint="eastAsia"/>
          <w:sz w:val="24"/>
          <w:highlight w:val="none"/>
        </w:rPr>
        <w:t>10</w:t>
      </w:r>
      <w:r>
        <w:rPr>
          <w:sz w:val="24"/>
          <w:highlight w:val="none"/>
        </w:rPr>
        <w:t xml:space="preserve">  </w:t>
      </w:r>
      <w:r>
        <w:rPr>
          <w:rFonts w:hint="eastAsia"/>
          <w:sz w:val="24"/>
          <w:highlight w:val="none"/>
        </w:rPr>
        <w:t>已标价的工程量清单</w:t>
      </w:r>
    </w:p>
    <w:p w14:paraId="701ECEE9">
      <w:pPr>
        <w:tabs>
          <w:tab w:val="left" w:pos="360"/>
        </w:tabs>
        <w:snapToGrid w:val="0"/>
        <w:spacing w:line="360" w:lineRule="auto"/>
        <w:outlineLvl w:val="1"/>
        <w:rPr>
          <w:sz w:val="24"/>
          <w:highlight w:val="none"/>
        </w:rPr>
      </w:pPr>
      <w:bookmarkStart w:id="3323" w:name="_Toc166339262"/>
      <w:r>
        <w:rPr>
          <w:rFonts w:hint="eastAsia"/>
          <w:sz w:val="24"/>
          <w:highlight w:val="none"/>
        </w:rPr>
        <w:t>说明：已标价工程量清单按附件“工程量清单”中的相关清单表格式填写。 构成合同文件的已标价工程量清单包括附件“工程量清单”有关工程量清单、磋商报价以及其他说明的内容。</w:t>
      </w:r>
      <w:bookmarkEnd w:id="3323"/>
    </w:p>
    <w:p w14:paraId="11F3B35A">
      <w:pPr>
        <w:pStyle w:val="2"/>
        <w:ind w:firstLine="480"/>
        <w:rPr>
          <w:highlight w:val="none"/>
        </w:rPr>
      </w:pPr>
    </w:p>
    <w:p w14:paraId="25E0E1B5">
      <w:pPr>
        <w:tabs>
          <w:tab w:val="left" w:pos="360"/>
        </w:tabs>
        <w:snapToGrid w:val="0"/>
        <w:spacing w:line="360" w:lineRule="auto"/>
        <w:outlineLvl w:val="1"/>
        <w:rPr>
          <w:sz w:val="24"/>
          <w:szCs w:val="20"/>
          <w:highlight w:val="none"/>
        </w:rPr>
      </w:pPr>
      <w:r>
        <w:rPr>
          <w:sz w:val="24"/>
          <w:szCs w:val="20"/>
          <w:highlight w:val="none"/>
        </w:rPr>
        <w:br w:type="page"/>
      </w:r>
      <w:r>
        <w:rPr>
          <w:sz w:val="24"/>
          <w:highlight w:val="none"/>
        </w:rPr>
        <w:t>11 竞争性磋商文件要求提供或供应商认为应附的其他材料</w:t>
      </w:r>
    </w:p>
    <w:p w14:paraId="4A090156">
      <w:pPr>
        <w:tabs>
          <w:tab w:val="left" w:pos="360"/>
        </w:tabs>
        <w:snapToGrid w:val="0"/>
        <w:spacing w:line="360" w:lineRule="auto"/>
        <w:outlineLvl w:val="2"/>
        <w:rPr>
          <w:sz w:val="24"/>
          <w:highlight w:val="none"/>
        </w:rPr>
      </w:pPr>
      <w:r>
        <w:rPr>
          <w:rFonts w:hint="eastAsia"/>
          <w:sz w:val="24"/>
          <w:highlight w:val="none"/>
        </w:rPr>
        <w:t>11-1</w:t>
      </w:r>
      <w:r>
        <w:rPr>
          <w:sz w:val="24"/>
          <w:highlight w:val="none"/>
        </w:rPr>
        <w:t>类似项目业绩</w:t>
      </w:r>
    </w:p>
    <w:p w14:paraId="796A40DF">
      <w:pPr>
        <w:spacing w:line="360" w:lineRule="auto"/>
        <w:jc w:val="center"/>
        <w:rPr>
          <w:rFonts w:hint="eastAsia" w:ascii="宋体" w:hAnsi="宋体"/>
          <w:sz w:val="24"/>
          <w:highlight w:val="none"/>
        </w:rPr>
      </w:pPr>
      <w:r>
        <w:rPr>
          <w:rFonts w:hint="eastAsia" w:ascii="宋体" w:hAnsi="宋体"/>
          <w:sz w:val="24"/>
          <w:highlight w:val="none"/>
        </w:rPr>
        <w:t>业绩</w:t>
      </w:r>
      <w:r>
        <w:rPr>
          <w:rFonts w:ascii="宋体" w:hAnsi="宋体"/>
          <w:sz w:val="24"/>
          <w:highlight w:val="none"/>
        </w:rPr>
        <w:t>情况表</w:t>
      </w:r>
      <w:r>
        <w:rPr>
          <w:rFonts w:hint="eastAsia" w:ascii="宋体" w:hAnsi="宋体"/>
          <w:sz w:val="24"/>
          <w:highlight w:val="none"/>
        </w:rPr>
        <w:t>（格式）</w:t>
      </w:r>
    </w:p>
    <w:p w14:paraId="345B4153">
      <w:pPr>
        <w:autoSpaceDE w:val="0"/>
        <w:autoSpaceDN w:val="0"/>
        <w:adjustRightInd w:val="0"/>
        <w:ind w:firstLine="420"/>
        <w:rPr>
          <w:rFonts w:hint="eastAsia" w:ascii="宋体" w:hAnsi="宋体"/>
          <w:kern w:val="0"/>
          <w:sz w:val="24"/>
          <w:szCs w:val="20"/>
          <w:highlight w:val="none"/>
          <w:u w:val="single"/>
        </w:rPr>
      </w:pPr>
    </w:p>
    <w:tbl>
      <w:tblPr>
        <w:tblStyle w:val="61"/>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3"/>
        <w:gridCol w:w="1243"/>
        <w:gridCol w:w="1381"/>
        <w:gridCol w:w="1638"/>
        <w:gridCol w:w="1307"/>
        <w:gridCol w:w="1019"/>
      </w:tblGrid>
      <w:tr w14:paraId="2016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 w:type="dxa"/>
            <w:noWrap w:val="0"/>
            <w:vAlign w:val="center"/>
          </w:tcPr>
          <w:p w14:paraId="741DA8FF">
            <w:pPr>
              <w:jc w:val="center"/>
              <w:rPr>
                <w:rFonts w:hint="eastAsia"/>
                <w:highlight w:val="none"/>
              </w:rPr>
            </w:pPr>
            <w:r>
              <w:rPr>
                <w:rFonts w:hint="eastAsia"/>
                <w:highlight w:val="none"/>
              </w:rPr>
              <w:t>序号</w:t>
            </w:r>
          </w:p>
        </w:tc>
        <w:tc>
          <w:tcPr>
            <w:tcW w:w="1973" w:type="dxa"/>
            <w:noWrap w:val="0"/>
            <w:vAlign w:val="center"/>
          </w:tcPr>
          <w:p w14:paraId="55CC6D0C">
            <w:pPr>
              <w:jc w:val="center"/>
              <w:rPr>
                <w:highlight w:val="none"/>
              </w:rPr>
            </w:pPr>
            <w:r>
              <w:rPr>
                <w:rFonts w:hint="eastAsia"/>
                <w:highlight w:val="none"/>
              </w:rPr>
              <w:t>建设单位</w:t>
            </w:r>
          </w:p>
        </w:tc>
        <w:tc>
          <w:tcPr>
            <w:tcW w:w="1243" w:type="dxa"/>
            <w:noWrap w:val="0"/>
            <w:vAlign w:val="center"/>
          </w:tcPr>
          <w:p w14:paraId="35C4EE78">
            <w:pPr>
              <w:jc w:val="center"/>
              <w:rPr>
                <w:highlight w:val="none"/>
              </w:rPr>
            </w:pPr>
            <w:r>
              <w:rPr>
                <w:rFonts w:hint="eastAsia"/>
                <w:highlight w:val="none"/>
              </w:rPr>
              <w:t>项目名称</w:t>
            </w:r>
          </w:p>
        </w:tc>
        <w:tc>
          <w:tcPr>
            <w:tcW w:w="1381" w:type="dxa"/>
            <w:noWrap w:val="0"/>
            <w:vAlign w:val="center"/>
          </w:tcPr>
          <w:p w14:paraId="56E69E14">
            <w:pPr>
              <w:jc w:val="center"/>
              <w:rPr>
                <w:highlight w:val="none"/>
              </w:rPr>
            </w:pPr>
            <w:r>
              <w:rPr>
                <w:rFonts w:hint="eastAsia"/>
                <w:highlight w:val="none"/>
              </w:rPr>
              <w:t>建设规模</w:t>
            </w:r>
          </w:p>
        </w:tc>
        <w:tc>
          <w:tcPr>
            <w:tcW w:w="1638" w:type="dxa"/>
            <w:noWrap w:val="0"/>
            <w:vAlign w:val="center"/>
          </w:tcPr>
          <w:p w14:paraId="625103B6">
            <w:pPr>
              <w:jc w:val="center"/>
              <w:rPr>
                <w:highlight w:val="none"/>
              </w:rPr>
            </w:pPr>
            <w:r>
              <w:rPr>
                <w:rFonts w:hint="eastAsia"/>
                <w:highlight w:val="none"/>
              </w:rPr>
              <w:t>开、竣工日期</w:t>
            </w:r>
          </w:p>
        </w:tc>
        <w:tc>
          <w:tcPr>
            <w:tcW w:w="1307" w:type="dxa"/>
            <w:noWrap w:val="0"/>
            <w:vAlign w:val="center"/>
          </w:tcPr>
          <w:p w14:paraId="6EE24F95">
            <w:pPr>
              <w:jc w:val="center"/>
              <w:rPr>
                <w:highlight w:val="none"/>
              </w:rPr>
            </w:pPr>
            <w:r>
              <w:rPr>
                <w:rFonts w:hint="eastAsia"/>
                <w:highlight w:val="none"/>
              </w:rPr>
              <w:t>工程质量</w:t>
            </w:r>
          </w:p>
        </w:tc>
        <w:tc>
          <w:tcPr>
            <w:tcW w:w="1019" w:type="dxa"/>
            <w:noWrap w:val="0"/>
            <w:vAlign w:val="center"/>
          </w:tcPr>
          <w:p w14:paraId="54C17A19">
            <w:pPr>
              <w:jc w:val="center"/>
              <w:rPr>
                <w:rFonts w:hint="eastAsia"/>
                <w:highlight w:val="none"/>
              </w:rPr>
            </w:pPr>
            <w:r>
              <w:rPr>
                <w:rFonts w:hint="eastAsia"/>
                <w:highlight w:val="none"/>
              </w:rPr>
              <w:t>备注</w:t>
            </w:r>
          </w:p>
        </w:tc>
      </w:tr>
      <w:tr w14:paraId="1DFD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18212D5">
            <w:pPr>
              <w:pStyle w:val="115"/>
              <w:spacing w:line="360" w:lineRule="auto"/>
              <w:ind w:firstLine="480"/>
              <w:jc w:val="center"/>
              <w:rPr>
                <w:rFonts w:hint="eastAsia" w:hAnsi="宋体"/>
                <w:color w:val="auto"/>
                <w:szCs w:val="24"/>
                <w:highlight w:val="none"/>
                <w:u w:val="single"/>
              </w:rPr>
            </w:pPr>
          </w:p>
        </w:tc>
        <w:tc>
          <w:tcPr>
            <w:tcW w:w="1973" w:type="dxa"/>
            <w:noWrap w:val="0"/>
            <w:vAlign w:val="top"/>
          </w:tcPr>
          <w:p w14:paraId="69605C39">
            <w:pPr>
              <w:pStyle w:val="115"/>
              <w:spacing w:line="360" w:lineRule="auto"/>
              <w:ind w:firstLine="480"/>
              <w:jc w:val="center"/>
              <w:rPr>
                <w:rFonts w:hint="eastAsia" w:hAnsi="宋体"/>
                <w:color w:val="auto"/>
                <w:szCs w:val="24"/>
                <w:highlight w:val="none"/>
                <w:u w:val="single"/>
              </w:rPr>
            </w:pPr>
          </w:p>
        </w:tc>
        <w:tc>
          <w:tcPr>
            <w:tcW w:w="1243" w:type="dxa"/>
            <w:noWrap w:val="0"/>
            <w:vAlign w:val="top"/>
          </w:tcPr>
          <w:p w14:paraId="116DF959">
            <w:pPr>
              <w:pStyle w:val="115"/>
              <w:spacing w:line="360" w:lineRule="auto"/>
              <w:ind w:firstLine="480"/>
              <w:jc w:val="center"/>
              <w:rPr>
                <w:rFonts w:hint="eastAsia" w:hAnsi="宋体"/>
                <w:color w:val="auto"/>
                <w:szCs w:val="24"/>
                <w:highlight w:val="none"/>
                <w:u w:val="single"/>
              </w:rPr>
            </w:pPr>
          </w:p>
        </w:tc>
        <w:tc>
          <w:tcPr>
            <w:tcW w:w="1381" w:type="dxa"/>
            <w:noWrap w:val="0"/>
            <w:vAlign w:val="top"/>
          </w:tcPr>
          <w:p w14:paraId="24B615A9">
            <w:pPr>
              <w:pStyle w:val="115"/>
              <w:spacing w:line="360" w:lineRule="auto"/>
              <w:ind w:firstLine="480"/>
              <w:jc w:val="center"/>
              <w:rPr>
                <w:rFonts w:hint="eastAsia" w:hAnsi="宋体"/>
                <w:color w:val="auto"/>
                <w:szCs w:val="24"/>
                <w:highlight w:val="none"/>
                <w:u w:val="single"/>
              </w:rPr>
            </w:pPr>
          </w:p>
        </w:tc>
        <w:tc>
          <w:tcPr>
            <w:tcW w:w="1638" w:type="dxa"/>
            <w:noWrap w:val="0"/>
            <w:vAlign w:val="top"/>
          </w:tcPr>
          <w:p w14:paraId="6B1C0A13">
            <w:pPr>
              <w:pStyle w:val="115"/>
              <w:spacing w:line="360" w:lineRule="auto"/>
              <w:ind w:firstLine="480"/>
              <w:jc w:val="center"/>
              <w:rPr>
                <w:rFonts w:hint="eastAsia" w:hAnsi="宋体"/>
                <w:color w:val="auto"/>
                <w:szCs w:val="24"/>
                <w:highlight w:val="none"/>
                <w:u w:val="single"/>
              </w:rPr>
            </w:pPr>
          </w:p>
        </w:tc>
        <w:tc>
          <w:tcPr>
            <w:tcW w:w="1307" w:type="dxa"/>
            <w:noWrap w:val="0"/>
            <w:vAlign w:val="top"/>
          </w:tcPr>
          <w:p w14:paraId="0B985EF3">
            <w:pPr>
              <w:pStyle w:val="115"/>
              <w:spacing w:line="360" w:lineRule="auto"/>
              <w:ind w:left="347" w:hanging="347" w:hangingChars="124"/>
              <w:jc w:val="center"/>
              <w:rPr>
                <w:rFonts w:hint="eastAsia" w:hAnsi="宋体"/>
                <w:color w:val="auto"/>
                <w:szCs w:val="24"/>
                <w:highlight w:val="none"/>
                <w:u w:val="single"/>
              </w:rPr>
            </w:pPr>
          </w:p>
        </w:tc>
        <w:tc>
          <w:tcPr>
            <w:tcW w:w="1019" w:type="dxa"/>
            <w:noWrap w:val="0"/>
            <w:vAlign w:val="top"/>
          </w:tcPr>
          <w:p w14:paraId="4057BDDB">
            <w:pPr>
              <w:pStyle w:val="115"/>
              <w:spacing w:line="360" w:lineRule="auto"/>
              <w:ind w:firstLine="480"/>
              <w:jc w:val="center"/>
              <w:rPr>
                <w:rFonts w:hint="eastAsia" w:hAnsi="宋体"/>
                <w:color w:val="auto"/>
                <w:szCs w:val="24"/>
                <w:highlight w:val="none"/>
                <w:u w:val="single"/>
              </w:rPr>
            </w:pPr>
          </w:p>
        </w:tc>
      </w:tr>
      <w:tr w14:paraId="1AA9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0AA2066">
            <w:pPr>
              <w:pStyle w:val="115"/>
              <w:spacing w:line="360" w:lineRule="auto"/>
              <w:ind w:firstLine="480"/>
              <w:jc w:val="center"/>
              <w:rPr>
                <w:rFonts w:hint="eastAsia" w:hAnsi="宋体"/>
                <w:color w:val="auto"/>
                <w:szCs w:val="24"/>
                <w:highlight w:val="none"/>
                <w:u w:val="single"/>
              </w:rPr>
            </w:pPr>
          </w:p>
        </w:tc>
        <w:tc>
          <w:tcPr>
            <w:tcW w:w="1973" w:type="dxa"/>
            <w:noWrap w:val="0"/>
            <w:vAlign w:val="top"/>
          </w:tcPr>
          <w:p w14:paraId="0CCD8050">
            <w:pPr>
              <w:pStyle w:val="115"/>
              <w:spacing w:line="360" w:lineRule="auto"/>
              <w:ind w:firstLine="480"/>
              <w:jc w:val="center"/>
              <w:rPr>
                <w:rFonts w:hint="eastAsia" w:hAnsi="宋体"/>
                <w:color w:val="auto"/>
                <w:szCs w:val="24"/>
                <w:highlight w:val="none"/>
                <w:u w:val="single"/>
              </w:rPr>
            </w:pPr>
          </w:p>
        </w:tc>
        <w:tc>
          <w:tcPr>
            <w:tcW w:w="1243" w:type="dxa"/>
            <w:noWrap w:val="0"/>
            <w:vAlign w:val="top"/>
          </w:tcPr>
          <w:p w14:paraId="093AE760">
            <w:pPr>
              <w:pStyle w:val="115"/>
              <w:spacing w:line="360" w:lineRule="auto"/>
              <w:ind w:firstLine="480"/>
              <w:jc w:val="center"/>
              <w:rPr>
                <w:rFonts w:hint="eastAsia" w:hAnsi="宋体"/>
                <w:color w:val="auto"/>
                <w:szCs w:val="24"/>
                <w:highlight w:val="none"/>
                <w:u w:val="single"/>
              </w:rPr>
            </w:pPr>
          </w:p>
        </w:tc>
        <w:tc>
          <w:tcPr>
            <w:tcW w:w="1381" w:type="dxa"/>
            <w:noWrap w:val="0"/>
            <w:vAlign w:val="top"/>
          </w:tcPr>
          <w:p w14:paraId="0370E4FE">
            <w:pPr>
              <w:pStyle w:val="115"/>
              <w:spacing w:line="360" w:lineRule="auto"/>
              <w:ind w:firstLine="480"/>
              <w:jc w:val="center"/>
              <w:rPr>
                <w:rFonts w:hint="eastAsia" w:hAnsi="宋体"/>
                <w:color w:val="auto"/>
                <w:szCs w:val="24"/>
                <w:highlight w:val="none"/>
                <w:u w:val="single"/>
              </w:rPr>
            </w:pPr>
          </w:p>
        </w:tc>
        <w:tc>
          <w:tcPr>
            <w:tcW w:w="1638" w:type="dxa"/>
            <w:noWrap w:val="0"/>
            <w:vAlign w:val="top"/>
          </w:tcPr>
          <w:p w14:paraId="6F0BBAC0">
            <w:pPr>
              <w:pStyle w:val="115"/>
              <w:spacing w:line="360" w:lineRule="auto"/>
              <w:ind w:firstLine="480"/>
              <w:jc w:val="center"/>
              <w:rPr>
                <w:rFonts w:hint="eastAsia" w:hAnsi="宋体"/>
                <w:color w:val="auto"/>
                <w:szCs w:val="24"/>
                <w:highlight w:val="none"/>
                <w:u w:val="single"/>
              </w:rPr>
            </w:pPr>
          </w:p>
        </w:tc>
        <w:tc>
          <w:tcPr>
            <w:tcW w:w="1307" w:type="dxa"/>
            <w:noWrap w:val="0"/>
            <w:vAlign w:val="top"/>
          </w:tcPr>
          <w:p w14:paraId="5A91DAC3">
            <w:pPr>
              <w:pStyle w:val="115"/>
              <w:spacing w:line="360" w:lineRule="auto"/>
              <w:ind w:firstLine="480"/>
              <w:jc w:val="center"/>
              <w:rPr>
                <w:rFonts w:hint="eastAsia" w:hAnsi="宋体"/>
                <w:color w:val="auto"/>
                <w:szCs w:val="24"/>
                <w:highlight w:val="none"/>
                <w:u w:val="single"/>
              </w:rPr>
            </w:pPr>
          </w:p>
        </w:tc>
        <w:tc>
          <w:tcPr>
            <w:tcW w:w="1019" w:type="dxa"/>
            <w:noWrap w:val="0"/>
            <w:vAlign w:val="top"/>
          </w:tcPr>
          <w:p w14:paraId="193980F5">
            <w:pPr>
              <w:pStyle w:val="115"/>
              <w:spacing w:line="360" w:lineRule="auto"/>
              <w:ind w:firstLine="480"/>
              <w:jc w:val="center"/>
              <w:rPr>
                <w:rFonts w:hint="eastAsia" w:hAnsi="宋体"/>
                <w:color w:val="auto"/>
                <w:szCs w:val="24"/>
                <w:highlight w:val="none"/>
                <w:u w:val="single"/>
              </w:rPr>
            </w:pPr>
          </w:p>
        </w:tc>
      </w:tr>
      <w:tr w14:paraId="0B8E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863559B">
            <w:pPr>
              <w:pStyle w:val="115"/>
              <w:spacing w:line="360" w:lineRule="auto"/>
              <w:ind w:firstLine="480"/>
              <w:jc w:val="center"/>
              <w:rPr>
                <w:rFonts w:hint="eastAsia" w:hAnsi="宋体"/>
                <w:color w:val="auto"/>
                <w:szCs w:val="24"/>
                <w:highlight w:val="none"/>
                <w:u w:val="single"/>
              </w:rPr>
            </w:pPr>
          </w:p>
        </w:tc>
        <w:tc>
          <w:tcPr>
            <w:tcW w:w="1973" w:type="dxa"/>
            <w:noWrap w:val="0"/>
            <w:vAlign w:val="top"/>
          </w:tcPr>
          <w:p w14:paraId="02DB8F6A">
            <w:pPr>
              <w:pStyle w:val="115"/>
              <w:spacing w:line="360" w:lineRule="auto"/>
              <w:ind w:firstLine="480"/>
              <w:jc w:val="center"/>
              <w:rPr>
                <w:rFonts w:hint="eastAsia" w:hAnsi="宋体"/>
                <w:color w:val="auto"/>
                <w:szCs w:val="24"/>
                <w:highlight w:val="none"/>
                <w:u w:val="single"/>
              </w:rPr>
            </w:pPr>
          </w:p>
        </w:tc>
        <w:tc>
          <w:tcPr>
            <w:tcW w:w="1243" w:type="dxa"/>
            <w:noWrap w:val="0"/>
            <w:vAlign w:val="top"/>
          </w:tcPr>
          <w:p w14:paraId="09CC8958">
            <w:pPr>
              <w:pStyle w:val="115"/>
              <w:spacing w:line="360" w:lineRule="auto"/>
              <w:ind w:firstLine="480"/>
              <w:jc w:val="center"/>
              <w:rPr>
                <w:rFonts w:hint="eastAsia" w:hAnsi="宋体"/>
                <w:color w:val="auto"/>
                <w:szCs w:val="24"/>
                <w:highlight w:val="none"/>
                <w:u w:val="single"/>
              </w:rPr>
            </w:pPr>
          </w:p>
        </w:tc>
        <w:tc>
          <w:tcPr>
            <w:tcW w:w="1381" w:type="dxa"/>
            <w:noWrap w:val="0"/>
            <w:vAlign w:val="top"/>
          </w:tcPr>
          <w:p w14:paraId="1CFD3AC6">
            <w:pPr>
              <w:pStyle w:val="115"/>
              <w:spacing w:line="360" w:lineRule="auto"/>
              <w:ind w:firstLine="480"/>
              <w:jc w:val="center"/>
              <w:rPr>
                <w:rFonts w:hint="eastAsia" w:hAnsi="宋体"/>
                <w:color w:val="auto"/>
                <w:szCs w:val="24"/>
                <w:highlight w:val="none"/>
                <w:u w:val="single"/>
              </w:rPr>
            </w:pPr>
          </w:p>
        </w:tc>
        <w:tc>
          <w:tcPr>
            <w:tcW w:w="1638" w:type="dxa"/>
            <w:noWrap w:val="0"/>
            <w:vAlign w:val="top"/>
          </w:tcPr>
          <w:p w14:paraId="5A836256">
            <w:pPr>
              <w:pStyle w:val="115"/>
              <w:spacing w:line="360" w:lineRule="auto"/>
              <w:ind w:firstLine="480"/>
              <w:jc w:val="center"/>
              <w:rPr>
                <w:rFonts w:hint="eastAsia" w:hAnsi="宋体"/>
                <w:color w:val="auto"/>
                <w:szCs w:val="24"/>
                <w:highlight w:val="none"/>
                <w:u w:val="single"/>
              </w:rPr>
            </w:pPr>
          </w:p>
        </w:tc>
        <w:tc>
          <w:tcPr>
            <w:tcW w:w="1307" w:type="dxa"/>
            <w:noWrap w:val="0"/>
            <w:vAlign w:val="top"/>
          </w:tcPr>
          <w:p w14:paraId="1A6F4F1E">
            <w:pPr>
              <w:pStyle w:val="115"/>
              <w:spacing w:line="360" w:lineRule="auto"/>
              <w:ind w:firstLine="480"/>
              <w:jc w:val="center"/>
              <w:rPr>
                <w:rFonts w:hint="eastAsia" w:hAnsi="宋体"/>
                <w:color w:val="auto"/>
                <w:szCs w:val="24"/>
                <w:highlight w:val="none"/>
                <w:u w:val="single"/>
              </w:rPr>
            </w:pPr>
          </w:p>
        </w:tc>
        <w:tc>
          <w:tcPr>
            <w:tcW w:w="1019" w:type="dxa"/>
            <w:noWrap w:val="0"/>
            <w:vAlign w:val="top"/>
          </w:tcPr>
          <w:p w14:paraId="00DAFFD3">
            <w:pPr>
              <w:pStyle w:val="115"/>
              <w:spacing w:line="360" w:lineRule="auto"/>
              <w:ind w:firstLine="480"/>
              <w:jc w:val="center"/>
              <w:rPr>
                <w:rFonts w:hint="eastAsia" w:hAnsi="宋体"/>
                <w:color w:val="auto"/>
                <w:szCs w:val="24"/>
                <w:highlight w:val="none"/>
                <w:u w:val="single"/>
              </w:rPr>
            </w:pPr>
          </w:p>
        </w:tc>
      </w:tr>
      <w:tr w14:paraId="3326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ED5CF91">
            <w:pPr>
              <w:pStyle w:val="115"/>
              <w:spacing w:line="360" w:lineRule="auto"/>
              <w:ind w:firstLine="480"/>
              <w:jc w:val="center"/>
              <w:rPr>
                <w:rFonts w:hint="eastAsia" w:hAnsi="宋体"/>
                <w:color w:val="auto"/>
                <w:szCs w:val="24"/>
                <w:highlight w:val="none"/>
                <w:u w:val="single"/>
              </w:rPr>
            </w:pPr>
          </w:p>
        </w:tc>
        <w:tc>
          <w:tcPr>
            <w:tcW w:w="1973" w:type="dxa"/>
            <w:noWrap w:val="0"/>
            <w:vAlign w:val="top"/>
          </w:tcPr>
          <w:p w14:paraId="7DC1F69B">
            <w:pPr>
              <w:pStyle w:val="115"/>
              <w:spacing w:line="360" w:lineRule="auto"/>
              <w:ind w:firstLine="480"/>
              <w:jc w:val="center"/>
              <w:rPr>
                <w:rFonts w:hint="eastAsia" w:hAnsi="宋体"/>
                <w:color w:val="auto"/>
                <w:szCs w:val="24"/>
                <w:highlight w:val="none"/>
                <w:u w:val="single"/>
              </w:rPr>
            </w:pPr>
          </w:p>
        </w:tc>
        <w:tc>
          <w:tcPr>
            <w:tcW w:w="1243" w:type="dxa"/>
            <w:noWrap w:val="0"/>
            <w:vAlign w:val="top"/>
          </w:tcPr>
          <w:p w14:paraId="52496C78">
            <w:pPr>
              <w:pStyle w:val="115"/>
              <w:spacing w:line="360" w:lineRule="auto"/>
              <w:ind w:firstLine="480"/>
              <w:jc w:val="center"/>
              <w:rPr>
                <w:rFonts w:hint="eastAsia" w:hAnsi="宋体"/>
                <w:color w:val="auto"/>
                <w:szCs w:val="24"/>
                <w:highlight w:val="none"/>
                <w:u w:val="single"/>
              </w:rPr>
            </w:pPr>
          </w:p>
        </w:tc>
        <w:tc>
          <w:tcPr>
            <w:tcW w:w="1381" w:type="dxa"/>
            <w:noWrap w:val="0"/>
            <w:vAlign w:val="top"/>
          </w:tcPr>
          <w:p w14:paraId="5B488FED">
            <w:pPr>
              <w:pStyle w:val="115"/>
              <w:spacing w:line="360" w:lineRule="auto"/>
              <w:ind w:firstLine="480"/>
              <w:jc w:val="center"/>
              <w:rPr>
                <w:rFonts w:hint="eastAsia" w:hAnsi="宋体"/>
                <w:color w:val="auto"/>
                <w:szCs w:val="24"/>
                <w:highlight w:val="none"/>
                <w:u w:val="single"/>
              </w:rPr>
            </w:pPr>
          </w:p>
        </w:tc>
        <w:tc>
          <w:tcPr>
            <w:tcW w:w="1638" w:type="dxa"/>
            <w:noWrap w:val="0"/>
            <w:vAlign w:val="top"/>
          </w:tcPr>
          <w:p w14:paraId="3326D54C">
            <w:pPr>
              <w:pStyle w:val="115"/>
              <w:spacing w:line="360" w:lineRule="auto"/>
              <w:ind w:firstLine="480"/>
              <w:jc w:val="center"/>
              <w:rPr>
                <w:rFonts w:hint="eastAsia" w:hAnsi="宋体"/>
                <w:color w:val="auto"/>
                <w:szCs w:val="24"/>
                <w:highlight w:val="none"/>
                <w:u w:val="single"/>
              </w:rPr>
            </w:pPr>
          </w:p>
        </w:tc>
        <w:tc>
          <w:tcPr>
            <w:tcW w:w="1307" w:type="dxa"/>
            <w:noWrap w:val="0"/>
            <w:vAlign w:val="top"/>
          </w:tcPr>
          <w:p w14:paraId="2261749E">
            <w:pPr>
              <w:pStyle w:val="115"/>
              <w:spacing w:line="360" w:lineRule="auto"/>
              <w:ind w:firstLine="480"/>
              <w:jc w:val="center"/>
              <w:rPr>
                <w:rFonts w:hint="eastAsia" w:hAnsi="宋体"/>
                <w:color w:val="auto"/>
                <w:szCs w:val="24"/>
                <w:highlight w:val="none"/>
                <w:u w:val="single"/>
              </w:rPr>
            </w:pPr>
          </w:p>
        </w:tc>
        <w:tc>
          <w:tcPr>
            <w:tcW w:w="1019" w:type="dxa"/>
            <w:noWrap w:val="0"/>
            <w:vAlign w:val="top"/>
          </w:tcPr>
          <w:p w14:paraId="75C6811A">
            <w:pPr>
              <w:pStyle w:val="115"/>
              <w:spacing w:line="360" w:lineRule="auto"/>
              <w:ind w:firstLine="480"/>
              <w:jc w:val="center"/>
              <w:rPr>
                <w:rFonts w:hint="eastAsia" w:hAnsi="宋体"/>
                <w:color w:val="auto"/>
                <w:szCs w:val="24"/>
                <w:highlight w:val="none"/>
                <w:u w:val="single"/>
              </w:rPr>
            </w:pPr>
          </w:p>
        </w:tc>
      </w:tr>
      <w:tr w14:paraId="0C2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D01AE8C">
            <w:pPr>
              <w:pStyle w:val="115"/>
              <w:spacing w:line="360" w:lineRule="auto"/>
              <w:ind w:firstLine="480"/>
              <w:jc w:val="center"/>
              <w:rPr>
                <w:rFonts w:hint="eastAsia" w:hAnsi="宋体"/>
                <w:color w:val="auto"/>
                <w:szCs w:val="24"/>
                <w:highlight w:val="none"/>
                <w:u w:val="single"/>
              </w:rPr>
            </w:pPr>
          </w:p>
        </w:tc>
        <w:tc>
          <w:tcPr>
            <w:tcW w:w="1973" w:type="dxa"/>
            <w:noWrap w:val="0"/>
            <w:vAlign w:val="top"/>
          </w:tcPr>
          <w:p w14:paraId="17F12BB7">
            <w:pPr>
              <w:pStyle w:val="115"/>
              <w:spacing w:line="360" w:lineRule="auto"/>
              <w:ind w:firstLine="480"/>
              <w:jc w:val="center"/>
              <w:rPr>
                <w:rFonts w:hint="eastAsia" w:hAnsi="宋体"/>
                <w:color w:val="auto"/>
                <w:szCs w:val="24"/>
                <w:highlight w:val="none"/>
                <w:u w:val="single"/>
              </w:rPr>
            </w:pPr>
          </w:p>
        </w:tc>
        <w:tc>
          <w:tcPr>
            <w:tcW w:w="1243" w:type="dxa"/>
            <w:noWrap w:val="0"/>
            <w:vAlign w:val="top"/>
          </w:tcPr>
          <w:p w14:paraId="0600F5F2">
            <w:pPr>
              <w:pStyle w:val="115"/>
              <w:spacing w:line="360" w:lineRule="auto"/>
              <w:ind w:firstLine="480"/>
              <w:jc w:val="center"/>
              <w:rPr>
                <w:rFonts w:hint="eastAsia" w:hAnsi="宋体"/>
                <w:color w:val="auto"/>
                <w:szCs w:val="24"/>
                <w:highlight w:val="none"/>
                <w:u w:val="single"/>
              </w:rPr>
            </w:pPr>
          </w:p>
        </w:tc>
        <w:tc>
          <w:tcPr>
            <w:tcW w:w="1381" w:type="dxa"/>
            <w:noWrap w:val="0"/>
            <w:vAlign w:val="top"/>
          </w:tcPr>
          <w:p w14:paraId="1B606AA5">
            <w:pPr>
              <w:pStyle w:val="115"/>
              <w:spacing w:line="360" w:lineRule="auto"/>
              <w:ind w:firstLine="480"/>
              <w:jc w:val="center"/>
              <w:rPr>
                <w:rFonts w:hint="eastAsia" w:hAnsi="宋体"/>
                <w:color w:val="auto"/>
                <w:szCs w:val="24"/>
                <w:highlight w:val="none"/>
                <w:u w:val="single"/>
              </w:rPr>
            </w:pPr>
          </w:p>
        </w:tc>
        <w:tc>
          <w:tcPr>
            <w:tcW w:w="1638" w:type="dxa"/>
            <w:noWrap w:val="0"/>
            <w:vAlign w:val="top"/>
          </w:tcPr>
          <w:p w14:paraId="1395881A">
            <w:pPr>
              <w:pStyle w:val="115"/>
              <w:spacing w:line="360" w:lineRule="auto"/>
              <w:ind w:firstLine="480"/>
              <w:jc w:val="center"/>
              <w:rPr>
                <w:rFonts w:hint="eastAsia" w:hAnsi="宋体"/>
                <w:color w:val="auto"/>
                <w:szCs w:val="24"/>
                <w:highlight w:val="none"/>
                <w:u w:val="single"/>
              </w:rPr>
            </w:pPr>
          </w:p>
        </w:tc>
        <w:tc>
          <w:tcPr>
            <w:tcW w:w="1307" w:type="dxa"/>
            <w:noWrap w:val="0"/>
            <w:vAlign w:val="top"/>
          </w:tcPr>
          <w:p w14:paraId="1BFA3992">
            <w:pPr>
              <w:pStyle w:val="115"/>
              <w:spacing w:line="360" w:lineRule="auto"/>
              <w:ind w:firstLine="480"/>
              <w:jc w:val="center"/>
              <w:rPr>
                <w:rFonts w:hint="eastAsia" w:hAnsi="宋体"/>
                <w:color w:val="auto"/>
                <w:szCs w:val="24"/>
                <w:highlight w:val="none"/>
                <w:u w:val="single"/>
              </w:rPr>
            </w:pPr>
          </w:p>
        </w:tc>
        <w:tc>
          <w:tcPr>
            <w:tcW w:w="1019" w:type="dxa"/>
            <w:noWrap w:val="0"/>
            <w:vAlign w:val="top"/>
          </w:tcPr>
          <w:p w14:paraId="431E60E8">
            <w:pPr>
              <w:pStyle w:val="115"/>
              <w:spacing w:line="360" w:lineRule="auto"/>
              <w:ind w:firstLine="480"/>
              <w:jc w:val="center"/>
              <w:rPr>
                <w:rFonts w:hint="eastAsia" w:hAnsi="宋体"/>
                <w:color w:val="auto"/>
                <w:szCs w:val="24"/>
                <w:highlight w:val="none"/>
                <w:u w:val="single"/>
              </w:rPr>
            </w:pPr>
          </w:p>
        </w:tc>
      </w:tr>
    </w:tbl>
    <w:p w14:paraId="3200BDC3">
      <w:pPr>
        <w:spacing w:before="62" w:beforeLines="20" w:after="62" w:afterLines="20"/>
        <w:rPr>
          <w:rFonts w:hint="eastAsia" w:ascii="宋体" w:hAnsi="宋体"/>
          <w:szCs w:val="21"/>
          <w:highlight w:val="none"/>
        </w:rPr>
      </w:pPr>
    </w:p>
    <w:p w14:paraId="6B2F10E2">
      <w:pPr>
        <w:spacing w:before="62" w:beforeLines="20" w:after="62" w:afterLines="20" w:line="360" w:lineRule="auto"/>
        <w:rPr>
          <w:rFonts w:hint="eastAsia" w:ascii="宋体" w:hAnsi="宋体"/>
          <w:szCs w:val="21"/>
          <w:highlight w:val="none"/>
        </w:rPr>
      </w:pPr>
      <w:r>
        <w:rPr>
          <w:rFonts w:hint="eastAsia" w:ascii="宋体" w:hAnsi="宋体"/>
          <w:szCs w:val="21"/>
          <w:highlight w:val="none"/>
        </w:rPr>
        <w:t>备注：供应商应按照以下规定提交业绩证明材料</w:t>
      </w:r>
    </w:p>
    <w:p w14:paraId="7D22C0DF">
      <w:pPr>
        <w:spacing w:line="360" w:lineRule="auto"/>
        <w:ind w:firstLine="420" w:firstLineChars="200"/>
        <w:rPr>
          <w:rFonts w:hint="eastAsia" w:ascii="宋体" w:hAnsi="宋体"/>
          <w:szCs w:val="21"/>
          <w:highlight w:val="none"/>
        </w:rPr>
      </w:pPr>
      <w:r>
        <w:rPr>
          <w:rFonts w:hint="eastAsia" w:ascii="宋体" w:hAnsi="宋体"/>
          <w:szCs w:val="21"/>
          <w:highlight w:val="none"/>
        </w:rPr>
        <w:t>业绩证明材料要求：</w:t>
      </w:r>
    </w:p>
    <w:p w14:paraId="0740CDC9">
      <w:pPr>
        <w:spacing w:line="360" w:lineRule="auto"/>
        <w:ind w:firstLine="420" w:firstLineChars="200"/>
        <w:rPr>
          <w:rFonts w:hint="eastAsia" w:ascii="宋体" w:hAnsi="宋体"/>
          <w:sz w:val="24"/>
          <w:highlight w:val="none"/>
        </w:rPr>
      </w:pPr>
      <w:r>
        <w:rPr>
          <w:rFonts w:hint="eastAsia" w:ascii="宋体" w:hAnsi="宋体"/>
          <w:szCs w:val="21"/>
          <w:highlight w:val="none"/>
        </w:rPr>
        <w:t>1、近三年（2022年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日至响应文件递交截止之日）具有已完成的类似项目业绩，须提供中标通知书或竣工验收证明材料复印件，应可从业绩证明材料中明确辨识出采购内容、金额明细、日期等(复印件需加盖公章)。</w:t>
      </w:r>
    </w:p>
    <w:p w14:paraId="7C5774C1">
      <w:pPr>
        <w:autoSpaceDE w:val="0"/>
        <w:autoSpaceDN w:val="0"/>
        <w:adjustRightInd w:val="0"/>
        <w:snapToGrid w:val="0"/>
        <w:spacing w:before="25" w:after="25" w:line="360" w:lineRule="auto"/>
        <w:ind w:right="360"/>
        <w:jc w:val="left"/>
        <w:rPr>
          <w:sz w:val="24"/>
          <w:highlight w:val="none"/>
        </w:rPr>
      </w:pPr>
    </w:p>
    <w:p w14:paraId="7CC92980">
      <w:pPr>
        <w:autoSpaceDE w:val="0"/>
        <w:autoSpaceDN w:val="0"/>
        <w:adjustRightInd w:val="0"/>
        <w:snapToGrid w:val="0"/>
        <w:spacing w:before="25" w:after="25" w:line="360" w:lineRule="auto"/>
        <w:ind w:right="360"/>
        <w:jc w:val="left"/>
        <w:rPr>
          <w:sz w:val="24"/>
          <w:highlight w:val="none"/>
        </w:rPr>
      </w:pPr>
      <w:r>
        <w:rPr>
          <w:rFonts w:hint="eastAsia"/>
          <w:sz w:val="24"/>
          <w:highlight w:val="none"/>
        </w:rPr>
        <w:t>委托代理</w:t>
      </w:r>
      <w:r>
        <w:rPr>
          <w:sz w:val="24"/>
          <w:highlight w:val="none"/>
        </w:rPr>
        <w:t>人签字</w:t>
      </w:r>
      <w:r>
        <w:rPr>
          <w:rFonts w:hint="eastAsia"/>
          <w:sz w:val="24"/>
          <w:highlight w:val="none"/>
        </w:rPr>
        <w:t>或签章</w:t>
      </w:r>
      <w:r>
        <w:rPr>
          <w:sz w:val="24"/>
          <w:highlight w:val="none"/>
        </w:rPr>
        <w:t>：</w:t>
      </w:r>
      <w:r>
        <w:rPr>
          <w:sz w:val="24"/>
          <w:highlight w:val="none"/>
          <w:u w:val="single"/>
        </w:rPr>
        <w:t xml:space="preserve">                              </w:t>
      </w:r>
    </w:p>
    <w:p w14:paraId="7030067C">
      <w:pPr>
        <w:widowControl/>
        <w:jc w:val="left"/>
        <w:rPr>
          <w:sz w:val="24"/>
          <w:highlight w:val="none"/>
          <w:u w:val="single"/>
        </w:rPr>
      </w:pPr>
      <w:r>
        <w:rPr>
          <w:sz w:val="24"/>
          <w:highlight w:val="none"/>
        </w:rPr>
        <w:t>供应商名称（公章）：</w:t>
      </w:r>
      <w:r>
        <w:rPr>
          <w:sz w:val="24"/>
          <w:highlight w:val="none"/>
          <w:u w:val="single"/>
        </w:rPr>
        <w:t xml:space="preserve">                         </w:t>
      </w:r>
    </w:p>
    <w:p w14:paraId="2CB0588D">
      <w:pPr>
        <w:tabs>
          <w:tab w:val="left" w:pos="360"/>
        </w:tabs>
        <w:snapToGrid w:val="0"/>
        <w:spacing w:line="360" w:lineRule="auto"/>
        <w:outlineLvl w:val="2"/>
        <w:rPr>
          <w:rFonts w:hint="eastAsia" w:ascii="Times New Roman" w:hAnsi="Times New Roman" w:eastAsia="宋体" w:cs="Times New Roman"/>
          <w:sz w:val="24"/>
          <w:highlight w:val="none"/>
        </w:rPr>
      </w:pPr>
      <w:r>
        <w:rPr>
          <w:sz w:val="24"/>
          <w:highlight w:val="none"/>
          <w:u w:val="single"/>
        </w:rPr>
        <w:br w:type="page"/>
      </w:r>
      <w:bookmarkStart w:id="3324" w:name="_Toc166339267"/>
      <w:bookmarkStart w:id="3325" w:name="_Toc518992192"/>
      <w:bookmarkStart w:id="3326" w:name="_Toc130920627"/>
      <w:r>
        <w:rPr>
          <w:rFonts w:hint="eastAsia" w:ascii="Times New Roman" w:hAnsi="Times New Roman" w:eastAsia="宋体" w:cs="Times New Roman"/>
          <w:sz w:val="24"/>
          <w:highlight w:val="none"/>
        </w:rPr>
        <w:t>11-2 拟投入本项目的主要人员</w:t>
      </w:r>
      <w:bookmarkEnd w:id="3324"/>
      <w:bookmarkEnd w:id="3325"/>
      <w:bookmarkEnd w:id="3326"/>
    </w:p>
    <w:p w14:paraId="21E76334">
      <w:pPr>
        <w:keepNext/>
        <w:keepLines/>
        <w:spacing w:before="156" w:beforeLines="50" w:after="156" w:afterLines="50" w:line="360" w:lineRule="auto"/>
        <w:jc w:val="left"/>
        <w:outlineLvl w:val="9"/>
        <w:rPr>
          <w:rFonts w:hint="eastAsia" w:ascii="宋体" w:hAnsi="宋体"/>
          <w:b/>
          <w:kern w:val="0"/>
          <w:sz w:val="24"/>
          <w:szCs w:val="23"/>
          <w:highlight w:val="none"/>
          <w:shd w:val="clear" w:color="auto" w:fill="FFFFFF"/>
        </w:rPr>
      </w:pPr>
      <w:bookmarkStart w:id="3327" w:name="_Toc70365439"/>
      <w:bookmarkStart w:id="3328" w:name="_Toc490331787"/>
      <w:bookmarkStart w:id="3329" w:name="_Toc10235735"/>
      <w:bookmarkStart w:id="3330" w:name="_Toc491149683"/>
      <w:r>
        <w:rPr>
          <w:rFonts w:hint="eastAsia" w:ascii="宋体" w:hAnsi="宋体"/>
          <w:b/>
          <w:kern w:val="0"/>
          <w:sz w:val="24"/>
          <w:szCs w:val="23"/>
          <w:highlight w:val="none"/>
          <w:shd w:val="clear" w:color="auto" w:fill="FFFFFF"/>
        </w:rPr>
        <w:t>（一）</w:t>
      </w:r>
      <w:r>
        <w:rPr>
          <w:rFonts w:ascii="宋体" w:hAnsi="宋体"/>
          <w:b/>
          <w:kern w:val="0"/>
          <w:sz w:val="24"/>
          <w:szCs w:val="23"/>
          <w:highlight w:val="none"/>
          <w:shd w:val="clear" w:color="auto" w:fill="FFFFFF"/>
        </w:rPr>
        <w:t>项目管理机构组成表</w:t>
      </w:r>
      <w:bookmarkEnd w:id="3327"/>
      <w:bookmarkEnd w:id="3328"/>
      <w:bookmarkEnd w:id="3329"/>
      <w:bookmarkEnd w:id="3330"/>
    </w:p>
    <w:tbl>
      <w:tblPr>
        <w:tblStyle w:val="61"/>
        <w:tblW w:w="8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025"/>
        <w:gridCol w:w="1005"/>
        <w:gridCol w:w="1547"/>
        <w:gridCol w:w="2325"/>
      </w:tblGrid>
      <w:tr w14:paraId="63BC1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noWrap w:val="0"/>
            <w:vAlign w:val="center"/>
          </w:tcPr>
          <w:p w14:paraId="29041F3D">
            <w:pPr>
              <w:jc w:val="center"/>
              <w:rPr>
                <w:rFonts w:hint="eastAsia" w:ascii="宋体" w:hAnsi="宋体"/>
                <w:highlight w:val="none"/>
                <w:shd w:val="clear" w:color="auto" w:fill="FFFFFF"/>
              </w:rPr>
            </w:pPr>
            <w:r>
              <w:rPr>
                <w:rFonts w:hint="eastAsia" w:ascii="宋体" w:hAnsi="宋体"/>
                <w:highlight w:val="none"/>
                <w:shd w:val="clear" w:color="auto" w:fill="FFFFFF"/>
              </w:rPr>
              <w:t>姓名</w:t>
            </w:r>
          </w:p>
        </w:tc>
        <w:tc>
          <w:tcPr>
            <w:tcW w:w="900" w:type="dxa"/>
            <w:noWrap w:val="0"/>
            <w:vAlign w:val="center"/>
          </w:tcPr>
          <w:p w14:paraId="20D00660">
            <w:pPr>
              <w:jc w:val="center"/>
              <w:rPr>
                <w:rFonts w:hint="eastAsia" w:ascii="宋体" w:hAnsi="宋体"/>
                <w:highlight w:val="none"/>
                <w:shd w:val="clear" w:color="auto" w:fill="FFFFFF"/>
              </w:rPr>
            </w:pPr>
            <w:r>
              <w:rPr>
                <w:rFonts w:hint="eastAsia" w:ascii="宋体" w:hAnsi="宋体"/>
                <w:highlight w:val="none"/>
                <w:shd w:val="clear" w:color="auto" w:fill="FFFFFF"/>
              </w:rPr>
              <w:t>性别</w:t>
            </w:r>
          </w:p>
        </w:tc>
        <w:tc>
          <w:tcPr>
            <w:tcW w:w="900" w:type="dxa"/>
            <w:noWrap w:val="0"/>
            <w:vAlign w:val="center"/>
          </w:tcPr>
          <w:p w14:paraId="0EB8B9F6">
            <w:pPr>
              <w:jc w:val="center"/>
              <w:rPr>
                <w:rFonts w:hint="eastAsia" w:ascii="宋体" w:hAnsi="宋体"/>
                <w:highlight w:val="none"/>
                <w:shd w:val="clear" w:color="auto" w:fill="FFFFFF"/>
              </w:rPr>
            </w:pPr>
            <w:r>
              <w:rPr>
                <w:rFonts w:hint="eastAsia" w:ascii="宋体" w:hAnsi="宋体"/>
                <w:highlight w:val="none"/>
                <w:shd w:val="clear" w:color="auto" w:fill="FFFFFF"/>
              </w:rPr>
              <w:t>年龄</w:t>
            </w:r>
          </w:p>
        </w:tc>
        <w:tc>
          <w:tcPr>
            <w:tcW w:w="1025" w:type="dxa"/>
            <w:noWrap w:val="0"/>
            <w:vAlign w:val="center"/>
          </w:tcPr>
          <w:p w14:paraId="1615A615">
            <w:pPr>
              <w:jc w:val="center"/>
              <w:rPr>
                <w:rFonts w:hint="eastAsia" w:ascii="宋体" w:hAnsi="宋体"/>
                <w:highlight w:val="none"/>
                <w:shd w:val="clear" w:color="auto" w:fill="FFFFFF"/>
              </w:rPr>
            </w:pPr>
            <w:r>
              <w:rPr>
                <w:rFonts w:hint="eastAsia" w:ascii="宋体" w:hAnsi="宋体"/>
                <w:highlight w:val="none"/>
                <w:shd w:val="clear" w:color="auto" w:fill="FFFFFF"/>
              </w:rPr>
              <w:t>职称</w:t>
            </w:r>
          </w:p>
        </w:tc>
        <w:tc>
          <w:tcPr>
            <w:tcW w:w="1005" w:type="dxa"/>
            <w:noWrap w:val="0"/>
            <w:vAlign w:val="center"/>
          </w:tcPr>
          <w:p w14:paraId="6319398D">
            <w:pPr>
              <w:jc w:val="center"/>
              <w:rPr>
                <w:rFonts w:hint="eastAsia" w:ascii="宋体" w:hAnsi="宋体"/>
                <w:highlight w:val="none"/>
                <w:shd w:val="clear" w:color="auto" w:fill="FFFFFF"/>
              </w:rPr>
            </w:pPr>
            <w:r>
              <w:rPr>
                <w:rFonts w:hint="eastAsia" w:ascii="宋体" w:hAnsi="宋体"/>
                <w:highlight w:val="none"/>
                <w:shd w:val="clear" w:color="auto" w:fill="FFFFFF"/>
              </w:rPr>
              <w:t>专业</w:t>
            </w:r>
          </w:p>
        </w:tc>
        <w:tc>
          <w:tcPr>
            <w:tcW w:w="1547" w:type="dxa"/>
            <w:noWrap w:val="0"/>
            <w:vAlign w:val="center"/>
          </w:tcPr>
          <w:p w14:paraId="038DF274">
            <w:pPr>
              <w:jc w:val="center"/>
              <w:rPr>
                <w:rFonts w:hint="eastAsia" w:ascii="宋体" w:hAnsi="宋体"/>
                <w:highlight w:val="none"/>
                <w:shd w:val="clear" w:color="auto" w:fill="FFFFFF"/>
              </w:rPr>
            </w:pPr>
            <w:r>
              <w:rPr>
                <w:rFonts w:hint="eastAsia" w:ascii="宋体" w:hAnsi="宋体"/>
                <w:highlight w:val="none"/>
                <w:shd w:val="clear" w:color="auto" w:fill="FFFFFF"/>
              </w:rPr>
              <w:t>资格证书编号</w:t>
            </w:r>
          </w:p>
        </w:tc>
        <w:tc>
          <w:tcPr>
            <w:tcW w:w="2325" w:type="dxa"/>
            <w:noWrap w:val="0"/>
            <w:vAlign w:val="center"/>
          </w:tcPr>
          <w:p w14:paraId="00D0701B">
            <w:pPr>
              <w:jc w:val="center"/>
              <w:rPr>
                <w:rFonts w:hint="eastAsia" w:ascii="宋体" w:hAnsi="宋体"/>
                <w:highlight w:val="none"/>
                <w:shd w:val="clear" w:color="auto" w:fill="FFFFFF"/>
              </w:rPr>
            </w:pPr>
            <w:r>
              <w:rPr>
                <w:rFonts w:hint="eastAsia" w:ascii="宋体" w:hAnsi="宋体"/>
                <w:highlight w:val="none"/>
                <w:shd w:val="clear" w:color="auto" w:fill="FFFFFF"/>
              </w:rPr>
              <w:t>拟在本工程中</w:t>
            </w:r>
          </w:p>
          <w:p w14:paraId="07806DB6">
            <w:pPr>
              <w:jc w:val="center"/>
              <w:rPr>
                <w:rFonts w:hint="eastAsia" w:ascii="宋体" w:hAnsi="宋体"/>
                <w:highlight w:val="none"/>
                <w:shd w:val="clear" w:color="auto" w:fill="FFFFFF"/>
              </w:rPr>
            </w:pPr>
            <w:r>
              <w:rPr>
                <w:rFonts w:hint="eastAsia" w:ascii="宋体" w:hAnsi="宋体"/>
                <w:highlight w:val="none"/>
                <w:shd w:val="clear" w:color="auto" w:fill="FFFFFF"/>
              </w:rPr>
              <w:t>担任的工作或岗位</w:t>
            </w:r>
          </w:p>
        </w:tc>
      </w:tr>
      <w:tr w14:paraId="2CBFD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4967D5B">
            <w:pPr>
              <w:jc w:val="center"/>
              <w:rPr>
                <w:rFonts w:ascii="黑体" w:eastAsia="黑体"/>
                <w:highlight w:val="none"/>
                <w:shd w:val="clear" w:color="auto" w:fill="FFFFFF"/>
              </w:rPr>
            </w:pPr>
          </w:p>
        </w:tc>
        <w:tc>
          <w:tcPr>
            <w:tcW w:w="900" w:type="dxa"/>
            <w:noWrap w:val="0"/>
            <w:vAlign w:val="center"/>
          </w:tcPr>
          <w:p w14:paraId="1E8ACB75">
            <w:pPr>
              <w:jc w:val="center"/>
              <w:rPr>
                <w:rFonts w:ascii="黑体" w:eastAsia="黑体"/>
                <w:highlight w:val="none"/>
                <w:shd w:val="clear" w:color="auto" w:fill="FFFFFF"/>
              </w:rPr>
            </w:pPr>
          </w:p>
        </w:tc>
        <w:tc>
          <w:tcPr>
            <w:tcW w:w="900" w:type="dxa"/>
            <w:noWrap w:val="0"/>
            <w:vAlign w:val="center"/>
          </w:tcPr>
          <w:p w14:paraId="2C4B5DD4">
            <w:pPr>
              <w:jc w:val="center"/>
              <w:rPr>
                <w:rFonts w:ascii="黑体" w:eastAsia="黑体"/>
                <w:highlight w:val="none"/>
                <w:shd w:val="clear" w:color="auto" w:fill="FFFFFF"/>
              </w:rPr>
            </w:pPr>
          </w:p>
        </w:tc>
        <w:tc>
          <w:tcPr>
            <w:tcW w:w="1025" w:type="dxa"/>
            <w:noWrap w:val="0"/>
            <w:vAlign w:val="center"/>
          </w:tcPr>
          <w:p w14:paraId="35F5DD15">
            <w:pPr>
              <w:jc w:val="center"/>
              <w:rPr>
                <w:rFonts w:ascii="黑体" w:eastAsia="黑体"/>
                <w:highlight w:val="none"/>
                <w:shd w:val="clear" w:color="auto" w:fill="FFFFFF"/>
              </w:rPr>
            </w:pPr>
          </w:p>
        </w:tc>
        <w:tc>
          <w:tcPr>
            <w:tcW w:w="1005" w:type="dxa"/>
            <w:noWrap w:val="0"/>
            <w:vAlign w:val="center"/>
          </w:tcPr>
          <w:p w14:paraId="0DBFB516">
            <w:pPr>
              <w:jc w:val="center"/>
              <w:rPr>
                <w:rFonts w:ascii="黑体" w:eastAsia="黑体"/>
                <w:highlight w:val="none"/>
                <w:shd w:val="clear" w:color="auto" w:fill="FFFFFF"/>
              </w:rPr>
            </w:pPr>
          </w:p>
        </w:tc>
        <w:tc>
          <w:tcPr>
            <w:tcW w:w="1547" w:type="dxa"/>
            <w:noWrap w:val="0"/>
            <w:vAlign w:val="center"/>
          </w:tcPr>
          <w:p w14:paraId="16FD5C5E">
            <w:pPr>
              <w:jc w:val="center"/>
              <w:rPr>
                <w:rFonts w:ascii="黑体" w:eastAsia="黑体"/>
                <w:highlight w:val="none"/>
                <w:shd w:val="clear" w:color="auto" w:fill="FFFFFF"/>
              </w:rPr>
            </w:pPr>
          </w:p>
        </w:tc>
        <w:tc>
          <w:tcPr>
            <w:tcW w:w="2325" w:type="dxa"/>
            <w:noWrap w:val="0"/>
            <w:vAlign w:val="center"/>
          </w:tcPr>
          <w:p w14:paraId="27B1D7CC">
            <w:pPr>
              <w:jc w:val="center"/>
              <w:rPr>
                <w:rFonts w:ascii="黑体" w:eastAsia="黑体"/>
                <w:highlight w:val="none"/>
                <w:shd w:val="clear" w:color="auto" w:fill="FFFFFF"/>
              </w:rPr>
            </w:pPr>
          </w:p>
        </w:tc>
      </w:tr>
      <w:tr w14:paraId="65424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4D16F14">
            <w:pPr>
              <w:jc w:val="center"/>
              <w:rPr>
                <w:rFonts w:ascii="黑体" w:eastAsia="黑体"/>
                <w:highlight w:val="none"/>
                <w:shd w:val="clear" w:color="auto" w:fill="FFFFFF"/>
              </w:rPr>
            </w:pPr>
          </w:p>
        </w:tc>
        <w:tc>
          <w:tcPr>
            <w:tcW w:w="900" w:type="dxa"/>
            <w:noWrap w:val="0"/>
            <w:vAlign w:val="center"/>
          </w:tcPr>
          <w:p w14:paraId="310C9A87">
            <w:pPr>
              <w:jc w:val="center"/>
              <w:rPr>
                <w:rFonts w:ascii="黑体" w:eastAsia="黑体"/>
                <w:highlight w:val="none"/>
                <w:shd w:val="clear" w:color="auto" w:fill="FFFFFF"/>
              </w:rPr>
            </w:pPr>
          </w:p>
        </w:tc>
        <w:tc>
          <w:tcPr>
            <w:tcW w:w="900" w:type="dxa"/>
            <w:noWrap w:val="0"/>
            <w:vAlign w:val="center"/>
          </w:tcPr>
          <w:p w14:paraId="7F618CB4">
            <w:pPr>
              <w:jc w:val="center"/>
              <w:rPr>
                <w:rFonts w:ascii="黑体" w:eastAsia="黑体"/>
                <w:highlight w:val="none"/>
                <w:shd w:val="clear" w:color="auto" w:fill="FFFFFF"/>
              </w:rPr>
            </w:pPr>
          </w:p>
        </w:tc>
        <w:tc>
          <w:tcPr>
            <w:tcW w:w="1025" w:type="dxa"/>
            <w:noWrap w:val="0"/>
            <w:vAlign w:val="center"/>
          </w:tcPr>
          <w:p w14:paraId="73809239">
            <w:pPr>
              <w:jc w:val="center"/>
              <w:rPr>
                <w:rFonts w:ascii="黑体" w:eastAsia="黑体"/>
                <w:highlight w:val="none"/>
                <w:shd w:val="clear" w:color="auto" w:fill="FFFFFF"/>
              </w:rPr>
            </w:pPr>
          </w:p>
        </w:tc>
        <w:tc>
          <w:tcPr>
            <w:tcW w:w="1005" w:type="dxa"/>
            <w:noWrap w:val="0"/>
            <w:vAlign w:val="center"/>
          </w:tcPr>
          <w:p w14:paraId="6FA0AFFC">
            <w:pPr>
              <w:jc w:val="center"/>
              <w:rPr>
                <w:rFonts w:ascii="黑体" w:eastAsia="黑体"/>
                <w:highlight w:val="none"/>
                <w:shd w:val="clear" w:color="auto" w:fill="FFFFFF"/>
              </w:rPr>
            </w:pPr>
          </w:p>
        </w:tc>
        <w:tc>
          <w:tcPr>
            <w:tcW w:w="1547" w:type="dxa"/>
            <w:noWrap w:val="0"/>
            <w:vAlign w:val="center"/>
          </w:tcPr>
          <w:p w14:paraId="474A1E4F">
            <w:pPr>
              <w:jc w:val="center"/>
              <w:rPr>
                <w:rFonts w:ascii="黑体" w:eastAsia="黑体"/>
                <w:highlight w:val="none"/>
                <w:shd w:val="clear" w:color="auto" w:fill="FFFFFF"/>
              </w:rPr>
            </w:pPr>
          </w:p>
        </w:tc>
        <w:tc>
          <w:tcPr>
            <w:tcW w:w="2325" w:type="dxa"/>
            <w:noWrap w:val="0"/>
            <w:vAlign w:val="center"/>
          </w:tcPr>
          <w:p w14:paraId="51114B5F">
            <w:pPr>
              <w:jc w:val="center"/>
              <w:rPr>
                <w:rFonts w:ascii="黑体" w:eastAsia="黑体"/>
                <w:highlight w:val="none"/>
                <w:shd w:val="clear" w:color="auto" w:fill="FFFFFF"/>
              </w:rPr>
            </w:pPr>
          </w:p>
        </w:tc>
      </w:tr>
      <w:tr w14:paraId="78C24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4FD599F5">
            <w:pPr>
              <w:jc w:val="center"/>
              <w:rPr>
                <w:rFonts w:ascii="黑体" w:eastAsia="黑体"/>
                <w:highlight w:val="none"/>
                <w:shd w:val="clear" w:color="auto" w:fill="FFFFFF"/>
              </w:rPr>
            </w:pPr>
          </w:p>
        </w:tc>
        <w:tc>
          <w:tcPr>
            <w:tcW w:w="900" w:type="dxa"/>
            <w:noWrap w:val="0"/>
            <w:vAlign w:val="center"/>
          </w:tcPr>
          <w:p w14:paraId="4797F685">
            <w:pPr>
              <w:jc w:val="center"/>
              <w:rPr>
                <w:rFonts w:ascii="黑体" w:eastAsia="黑体"/>
                <w:highlight w:val="none"/>
                <w:shd w:val="clear" w:color="auto" w:fill="FFFFFF"/>
              </w:rPr>
            </w:pPr>
          </w:p>
        </w:tc>
        <w:tc>
          <w:tcPr>
            <w:tcW w:w="900" w:type="dxa"/>
            <w:noWrap w:val="0"/>
            <w:vAlign w:val="center"/>
          </w:tcPr>
          <w:p w14:paraId="57E8C90A">
            <w:pPr>
              <w:jc w:val="center"/>
              <w:rPr>
                <w:rFonts w:ascii="黑体" w:eastAsia="黑体"/>
                <w:highlight w:val="none"/>
                <w:shd w:val="clear" w:color="auto" w:fill="FFFFFF"/>
              </w:rPr>
            </w:pPr>
          </w:p>
        </w:tc>
        <w:tc>
          <w:tcPr>
            <w:tcW w:w="1025" w:type="dxa"/>
            <w:noWrap w:val="0"/>
            <w:vAlign w:val="center"/>
          </w:tcPr>
          <w:p w14:paraId="77A07B0F">
            <w:pPr>
              <w:jc w:val="center"/>
              <w:rPr>
                <w:rFonts w:ascii="黑体" w:eastAsia="黑体"/>
                <w:highlight w:val="none"/>
                <w:shd w:val="clear" w:color="auto" w:fill="FFFFFF"/>
              </w:rPr>
            </w:pPr>
          </w:p>
        </w:tc>
        <w:tc>
          <w:tcPr>
            <w:tcW w:w="1005" w:type="dxa"/>
            <w:noWrap w:val="0"/>
            <w:vAlign w:val="center"/>
          </w:tcPr>
          <w:p w14:paraId="5246D179">
            <w:pPr>
              <w:jc w:val="center"/>
              <w:rPr>
                <w:rFonts w:ascii="黑体" w:eastAsia="黑体"/>
                <w:highlight w:val="none"/>
                <w:shd w:val="clear" w:color="auto" w:fill="FFFFFF"/>
              </w:rPr>
            </w:pPr>
          </w:p>
        </w:tc>
        <w:tc>
          <w:tcPr>
            <w:tcW w:w="1547" w:type="dxa"/>
            <w:noWrap w:val="0"/>
            <w:vAlign w:val="center"/>
          </w:tcPr>
          <w:p w14:paraId="75B2F168">
            <w:pPr>
              <w:jc w:val="center"/>
              <w:rPr>
                <w:rFonts w:ascii="黑体" w:eastAsia="黑体"/>
                <w:highlight w:val="none"/>
                <w:shd w:val="clear" w:color="auto" w:fill="FFFFFF"/>
              </w:rPr>
            </w:pPr>
          </w:p>
        </w:tc>
        <w:tc>
          <w:tcPr>
            <w:tcW w:w="2325" w:type="dxa"/>
            <w:noWrap w:val="0"/>
            <w:vAlign w:val="center"/>
          </w:tcPr>
          <w:p w14:paraId="6DBB49CA">
            <w:pPr>
              <w:jc w:val="center"/>
              <w:rPr>
                <w:rFonts w:ascii="黑体" w:eastAsia="黑体"/>
                <w:highlight w:val="none"/>
                <w:shd w:val="clear" w:color="auto" w:fill="FFFFFF"/>
              </w:rPr>
            </w:pPr>
          </w:p>
        </w:tc>
      </w:tr>
      <w:tr w14:paraId="72F9B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17AEB6D4">
            <w:pPr>
              <w:jc w:val="center"/>
              <w:rPr>
                <w:rFonts w:ascii="黑体" w:eastAsia="黑体"/>
                <w:highlight w:val="none"/>
                <w:shd w:val="clear" w:color="auto" w:fill="FFFFFF"/>
              </w:rPr>
            </w:pPr>
          </w:p>
        </w:tc>
        <w:tc>
          <w:tcPr>
            <w:tcW w:w="900" w:type="dxa"/>
            <w:noWrap w:val="0"/>
            <w:vAlign w:val="center"/>
          </w:tcPr>
          <w:p w14:paraId="4E02DBE9">
            <w:pPr>
              <w:jc w:val="center"/>
              <w:rPr>
                <w:rFonts w:ascii="黑体" w:eastAsia="黑体"/>
                <w:highlight w:val="none"/>
                <w:shd w:val="clear" w:color="auto" w:fill="FFFFFF"/>
              </w:rPr>
            </w:pPr>
          </w:p>
        </w:tc>
        <w:tc>
          <w:tcPr>
            <w:tcW w:w="900" w:type="dxa"/>
            <w:noWrap w:val="0"/>
            <w:vAlign w:val="center"/>
          </w:tcPr>
          <w:p w14:paraId="75E00405">
            <w:pPr>
              <w:jc w:val="center"/>
              <w:rPr>
                <w:rFonts w:ascii="黑体" w:eastAsia="黑体"/>
                <w:highlight w:val="none"/>
                <w:shd w:val="clear" w:color="auto" w:fill="FFFFFF"/>
              </w:rPr>
            </w:pPr>
          </w:p>
        </w:tc>
        <w:tc>
          <w:tcPr>
            <w:tcW w:w="1025" w:type="dxa"/>
            <w:noWrap w:val="0"/>
            <w:vAlign w:val="center"/>
          </w:tcPr>
          <w:p w14:paraId="1A32BB41">
            <w:pPr>
              <w:jc w:val="center"/>
              <w:rPr>
                <w:rFonts w:ascii="黑体" w:eastAsia="黑体"/>
                <w:highlight w:val="none"/>
                <w:shd w:val="clear" w:color="auto" w:fill="FFFFFF"/>
              </w:rPr>
            </w:pPr>
          </w:p>
        </w:tc>
        <w:tc>
          <w:tcPr>
            <w:tcW w:w="1005" w:type="dxa"/>
            <w:noWrap w:val="0"/>
            <w:vAlign w:val="center"/>
          </w:tcPr>
          <w:p w14:paraId="67195911">
            <w:pPr>
              <w:jc w:val="center"/>
              <w:rPr>
                <w:rFonts w:ascii="黑体" w:eastAsia="黑体"/>
                <w:highlight w:val="none"/>
                <w:shd w:val="clear" w:color="auto" w:fill="FFFFFF"/>
              </w:rPr>
            </w:pPr>
          </w:p>
        </w:tc>
        <w:tc>
          <w:tcPr>
            <w:tcW w:w="1547" w:type="dxa"/>
            <w:noWrap w:val="0"/>
            <w:vAlign w:val="center"/>
          </w:tcPr>
          <w:p w14:paraId="1BACDC1F">
            <w:pPr>
              <w:jc w:val="center"/>
              <w:rPr>
                <w:rFonts w:ascii="黑体" w:eastAsia="黑体"/>
                <w:highlight w:val="none"/>
                <w:shd w:val="clear" w:color="auto" w:fill="FFFFFF"/>
              </w:rPr>
            </w:pPr>
          </w:p>
        </w:tc>
        <w:tc>
          <w:tcPr>
            <w:tcW w:w="2325" w:type="dxa"/>
            <w:noWrap w:val="0"/>
            <w:vAlign w:val="center"/>
          </w:tcPr>
          <w:p w14:paraId="149BDA31">
            <w:pPr>
              <w:jc w:val="center"/>
              <w:rPr>
                <w:rFonts w:ascii="黑体" w:eastAsia="黑体"/>
                <w:highlight w:val="none"/>
                <w:shd w:val="clear" w:color="auto" w:fill="FFFFFF"/>
              </w:rPr>
            </w:pPr>
          </w:p>
        </w:tc>
      </w:tr>
      <w:tr w14:paraId="6273D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223F7E3">
            <w:pPr>
              <w:jc w:val="center"/>
              <w:rPr>
                <w:rFonts w:ascii="黑体" w:eastAsia="黑体"/>
                <w:highlight w:val="none"/>
                <w:shd w:val="clear" w:color="auto" w:fill="FFFFFF"/>
              </w:rPr>
            </w:pPr>
          </w:p>
        </w:tc>
        <w:tc>
          <w:tcPr>
            <w:tcW w:w="900" w:type="dxa"/>
            <w:noWrap w:val="0"/>
            <w:vAlign w:val="center"/>
          </w:tcPr>
          <w:p w14:paraId="0DDF6430">
            <w:pPr>
              <w:jc w:val="center"/>
              <w:rPr>
                <w:rFonts w:ascii="黑体" w:eastAsia="黑体"/>
                <w:highlight w:val="none"/>
                <w:shd w:val="clear" w:color="auto" w:fill="FFFFFF"/>
              </w:rPr>
            </w:pPr>
          </w:p>
        </w:tc>
        <w:tc>
          <w:tcPr>
            <w:tcW w:w="900" w:type="dxa"/>
            <w:noWrap w:val="0"/>
            <w:vAlign w:val="center"/>
          </w:tcPr>
          <w:p w14:paraId="0D139692">
            <w:pPr>
              <w:jc w:val="center"/>
              <w:rPr>
                <w:rFonts w:ascii="黑体" w:eastAsia="黑体"/>
                <w:highlight w:val="none"/>
                <w:shd w:val="clear" w:color="auto" w:fill="FFFFFF"/>
              </w:rPr>
            </w:pPr>
          </w:p>
        </w:tc>
        <w:tc>
          <w:tcPr>
            <w:tcW w:w="1025" w:type="dxa"/>
            <w:noWrap w:val="0"/>
            <w:vAlign w:val="center"/>
          </w:tcPr>
          <w:p w14:paraId="4CD53273">
            <w:pPr>
              <w:jc w:val="center"/>
              <w:rPr>
                <w:rFonts w:ascii="黑体" w:eastAsia="黑体"/>
                <w:highlight w:val="none"/>
                <w:shd w:val="clear" w:color="auto" w:fill="FFFFFF"/>
              </w:rPr>
            </w:pPr>
          </w:p>
        </w:tc>
        <w:tc>
          <w:tcPr>
            <w:tcW w:w="1005" w:type="dxa"/>
            <w:noWrap w:val="0"/>
            <w:vAlign w:val="center"/>
          </w:tcPr>
          <w:p w14:paraId="090F586F">
            <w:pPr>
              <w:jc w:val="center"/>
              <w:rPr>
                <w:rFonts w:ascii="黑体" w:eastAsia="黑体"/>
                <w:highlight w:val="none"/>
                <w:shd w:val="clear" w:color="auto" w:fill="FFFFFF"/>
              </w:rPr>
            </w:pPr>
          </w:p>
        </w:tc>
        <w:tc>
          <w:tcPr>
            <w:tcW w:w="1547" w:type="dxa"/>
            <w:noWrap w:val="0"/>
            <w:vAlign w:val="center"/>
          </w:tcPr>
          <w:p w14:paraId="0C70E0E5">
            <w:pPr>
              <w:jc w:val="center"/>
              <w:rPr>
                <w:rFonts w:ascii="黑体" w:eastAsia="黑体"/>
                <w:highlight w:val="none"/>
                <w:shd w:val="clear" w:color="auto" w:fill="FFFFFF"/>
              </w:rPr>
            </w:pPr>
          </w:p>
        </w:tc>
        <w:tc>
          <w:tcPr>
            <w:tcW w:w="2325" w:type="dxa"/>
            <w:noWrap w:val="0"/>
            <w:vAlign w:val="center"/>
          </w:tcPr>
          <w:p w14:paraId="628E296D">
            <w:pPr>
              <w:jc w:val="center"/>
              <w:rPr>
                <w:rFonts w:ascii="黑体" w:eastAsia="黑体"/>
                <w:highlight w:val="none"/>
                <w:shd w:val="clear" w:color="auto" w:fill="FFFFFF"/>
              </w:rPr>
            </w:pPr>
          </w:p>
        </w:tc>
      </w:tr>
      <w:tr w14:paraId="58B7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40A38210">
            <w:pPr>
              <w:jc w:val="center"/>
              <w:rPr>
                <w:rFonts w:ascii="黑体" w:eastAsia="黑体"/>
                <w:highlight w:val="none"/>
                <w:shd w:val="clear" w:color="auto" w:fill="FFFFFF"/>
              </w:rPr>
            </w:pPr>
          </w:p>
        </w:tc>
        <w:tc>
          <w:tcPr>
            <w:tcW w:w="900" w:type="dxa"/>
            <w:noWrap w:val="0"/>
            <w:vAlign w:val="center"/>
          </w:tcPr>
          <w:p w14:paraId="58789306">
            <w:pPr>
              <w:jc w:val="center"/>
              <w:rPr>
                <w:rFonts w:ascii="黑体" w:eastAsia="黑体"/>
                <w:highlight w:val="none"/>
                <w:shd w:val="clear" w:color="auto" w:fill="FFFFFF"/>
              </w:rPr>
            </w:pPr>
          </w:p>
        </w:tc>
        <w:tc>
          <w:tcPr>
            <w:tcW w:w="900" w:type="dxa"/>
            <w:noWrap w:val="0"/>
            <w:vAlign w:val="center"/>
          </w:tcPr>
          <w:p w14:paraId="7BF64099">
            <w:pPr>
              <w:jc w:val="center"/>
              <w:rPr>
                <w:rFonts w:ascii="黑体" w:eastAsia="黑体"/>
                <w:highlight w:val="none"/>
                <w:shd w:val="clear" w:color="auto" w:fill="FFFFFF"/>
              </w:rPr>
            </w:pPr>
          </w:p>
        </w:tc>
        <w:tc>
          <w:tcPr>
            <w:tcW w:w="1025" w:type="dxa"/>
            <w:noWrap w:val="0"/>
            <w:vAlign w:val="center"/>
          </w:tcPr>
          <w:p w14:paraId="4EE535F7">
            <w:pPr>
              <w:jc w:val="center"/>
              <w:rPr>
                <w:rFonts w:ascii="黑体" w:eastAsia="黑体"/>
                <w:highlight w:val="none"/>
                <w:shd w:val="clear" w:color="auto" w:fill="FFFFFF"/>
              </w:rPr>
            </w:pPr>
          </w:p>
        </w:tc>
        <w:tc>
          <w:tcPr>
            <w:tcW w:w="1005" w:type="dxa"/>
            <w:noWrap w:val="0"/>
            <w:vAlign w:val="center"/>
          </w:tcPr>
          <w:p w14:paraId="104284F3">
            <w:pPr>
              <w:jc w:val="center"/>
              <w:rPr>
                <w:rFonts w:ascii="黑体" w:eastAsia="黑体"/>
                <w:highlight w:val="none"/>
                <w:shd w:val="clear" w:color="auto" w:fill="FFFFFF"/>
              </w:rPr>
            </w:pPr>
          </w:p>
        </w:tc>
        <w:tc>
          <w:tcPr>
            <w:tcW w:w="1547" w:type="dxa"/>
            <w:noWrap w:val="0"/>
            <w:vAlign w:val="center"/>
          </w:tcPr>
          <w:p w14:paraId="73834D35">
            <w:pPr>
              <w:jc w:val="center"/>
              <w:rPr>
                <w:rFonts w:ascii="黑体" w:eastAsia="黑体"/>
                <w:highlight w:val="none"/>
                <w:shd w:val="clear" w:color="auto" w:fill="FFFFFF"/>
              </w:rPr>
            </w:pPr>
          </w:p>
        </w:tc>
        <w:tc>
          <w:tcPr>
            <w:tcW w:w="2325" w:type="dxa"/>
            <w:noWrap w:val="0"/>
            <w:vAlign w:val="center"/>
          </w:tcPr>
          <w:p w14:paraId="2DE4DD3C">
            <w:pPr>
              <w:jc w:val="center"/>
              <w:rPr>
                <w:rFonts w:ascii="黑体" w:eastAsia="黑体"/>
                <w:highlight w:val="none"/>
                <w:shd w:val="clear" w:color="auto" w:fill="FFFFFF"/>
              </w:rPr>
            </w:pPr>
          </w:p>
        </w:tc>
      </w:tr>
      <w:tr w14:paraId="23278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E13E2D7">
            <w:pPr>
              <w:jc w:val="center"/>
              <w:rPr>
                <w:rFonts w:ascii="黑体" w:eastAsia="黑体"/>
                <w:highlight w:val="none"/>
                <w:shd w:val="clear" w:color="auto" w:fill="FFFFFF"/>
              </w:rPr>
            </w:pPr>
          </w:p>
        </w:tc>
        <w:tc>
          <w:tcPr>
            <w:tcW w:w="900" w:type="dxa"/>
            <w:noWrap w:val="0"/>
            <w:vAlign w:val="center"/>
          </w:tcPr>
          <w:p w14:paraId="6698EBF0">
            <w:pPr>
              <w:jc w:val="center"/>
              <w:rPr>
                <w:rFonts w:ascii="黑体" w:eastAsia="黑体"/>
                <w:highlight w:val="none"/>
                <w:shd w:val="clear" w:color="auto" w:fill="FFFFFF"/>
              </w:rPr>
            </w:pPr>
          </w:p>
        </w:tc>
        <w:tc>
          <w:tcPr>
            <w:tcW w:w="900" w:type="dxa"/>
            <w:noWrap w:val="0"/>
            <w:vAlign w:val="center"/>
          </w:tcPr>
          <w:p w14:paraId="7D24BC2C">
            <w:pPr>
              <w:jc w:val="center"/>
              <w:rPr>
                <w:rFonts w:ascii="黑体" w:eastAsia="黑体"/>
                <w:highlight w:val="none"/>
                <w:shd w:val="clear" w:color="auto" w:fill="FFFFFF"/>
              </w:rPr>
            </w:pPr>
          </w:p>
        </w:tc>
        <w:tc>
          <w:tcPr>
            <w:tcW w:w="1025" w:type="dxa"/>
            <w:noWrap w:val="0"/>
            <w:vAlign w:val="center"/>
          </w:tcPr>
          <w:p w14:paraId="27FD92B4">
            <w:pPr>
              <w:jc w:val="center"/>
              <w:rPr>
                <w:rFonts w:ascii="黑体" w:eastAsia="黑体"/>
                <w:highlight w:val="none"/>
                <w:shd w:val="clear" w:color="auto" w:fill="FFFFFF"/>
              </w:rPr>
            </w:pPr>
          </w:p>
        </w:tc>
        <w:tc>
          <w:tcPr>
            <w:tcW w:w="1005" w:type="dxa"/>
            <w:noWrap w:val="0"/>
            <w:vAlign w:val="center"/>
          </w:tcPr>
          <w:p w14:paraId="627EF7F9">
            <w:pPr>
              <w:jc w:val="center"/>
              <w:rPr>
                <w:rFonts w:ascii="黑体" w:eastAsia="黑体"/>
                <w:highlight w:val="none"/>
                <w:shd w:val="clear" w:color="auto" w:fill="FFFFFF"/>
              </w:rPr>
            </w:pPr>
          </w:p>
        </w:tc>
        <w:tc>
          <w:tcPr>
            <w:tcW w:w="1547" w:type="dxa"/>
            <w:noWrap w:val="0"/>
            <w:vAlign w:val="center"/>
          </w:tcPr>
          <w:p w14:paraId="0FE1A5F2">
            <w:pPr>
              <w:jc w:val="center"/>
              <w:rPr>
                <w:rFonts w:ascii="黑体" w:eastAsia="黑体"/>
                <w:highlight w:val="none"/>
                <w:shd w:val="clear" w:color="auto" w:fill="FFFFFF"/>
              </w:rPr>
            </w:pPr>
          </w:p>
        </w:tc>
        <w:tc>
          <w:tcPr>
            <w:tcW w:w="2325" w:type="dxa"/>
            <w:noWrap w:val="0"/>
            <w:vAlign w:val="center"/>
          </w:tcPr>
          <w:p w14:paraId="29F0F8BD">
            <w:pPr>
              <w:jc w:val="center"/>
              <w:rPr>
                <w:rFonts w:ascii="黑体" w:eastAsia="黑体"/>
                <w:highlight w:val="none"/>
                <w:shd w:val="clear" w:color="auto" w:fill="FFFFFF"/>
              </w:rPr>
            </w:pPr>
          </w:p>
        </w:tc>
      </w:tr>
      <w:tr w14:paraId="05943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1C96FD99">
            <w:pPr>
              <w:jc w:val="center"/>
              <w:rPr>
                <w:rFonts w:ascii="黑体" w:eastAsia="黑体"/>
                <w:highlight w:val="none"/>
                <w:shd w:val="clear" w:color="auto" w:fill="FFFFFF"/>
              </w:rPr>
            </w:pPr>
          </w:p>
        </w:tc>
        <w:tc>
          <w:tcPr>
            <w:tcW w:w="900" w:type="dxa"/>
            <w:noWrap w:val="0"/>
            <w:vAlign w:val="center"/>
          </w:tcPr>
          <w:p w14:paraId="28DDEBA1">
            <w:pPr>
              <w:jc w:val="center"/>
              <w:rPr>
                <w:rFonts w:ascii="黑体" w:eastAsia="黑体"/>
                <w:highlight w:val="none"/>
                <w:shd w:val="clear" w:color="auto" w:fill="FFFFFF"/>
              </w:rPr>
            </w:pPr>
          </w:p>
        </w:tc>
        <w:tc>
          <w:tcPr>
            <w:tcW w:w="900" w:type="dxa"/>
            <w:noWrap w:val="0"/>
            <w:vAlign w:val="center"/>
          </w:tcPr>
          <w:p w14:paraId="56E2C997">
            <w:pPr>
              <w:jc w:val="center"/>
              <w:rPr>
                <w:rFonts w:ascii="黑体" w:eastAsia="黑体"/>
                <w:highlight w:val="none"/>
                <w:shd w:val="clear" w:color="auto" w:fill="FFFFFF"/>
              </w:rPr>
            </w:pPr>
          </w:p>
        </w:tc>
        <w:tc>
          <w:tcPr>
            <w:tcW w:w="1025" w:type="dxa"/>
            <w:noWrap w:val="0"/>
            <w:vAlign w:val="center"/>
          </w:tcPr>
          <w:p w14:paraId="17ECFFA3">
            <w:pPr>
              <w:jc w:val="center"/>
              <w:rPr>
                <w:rFonts w:ascii="黑体" w:eastAsia="黑体"/>
                <w:highlight w:val="none"/>
                <w:shd w:val="clear" w:color="auto" w:fill="FFFFFF"/>
              </w:rPr>
            </w:pPr>
          </w:p>
        </w:tc>
        <w:tc>
          <w:tcPr>
            <w:tcW w:w="1005" w:type="dxa"/>
            <w:noWrap w:val="0"/>
            <w:vAlign w:val="center"/>
          </w:tcPr>
          <w:p w14:paraId="0C97EEA4">
            <w:pPr>
              <w:jc w:val="center"/>
              <w:rPr>
                <w:rFonts w:ascii="黑体" w:eastAsia="黑体"/>
                <w:highlight w:val="none"/>
                <w:shd w:val="clear" w:color="auto" w:fill="FFFFFF"/>
              </w:rPr>
            </w:pPr>
          </w:p>
        </w:tc>
        <w:tc>
          <w:tcPr>
            <w:tcW w:w="1547" w:type="dxa"/>
            <w:noWrap w:val="0"/>
            <w:vAlign w:val="center"/>
          </w:tcPr>
          <w:p w14:paraId="6BD9E928">
            <w:pPr>
              <w:jc w:val="center"/>
              <w:rPr>
                <w:rFonts w:ascii="黑体" w:eastAsia="黑体"/>
                <w:highlight w:val="none"/>
                <w:shd w:val="clear" w:color="auto" w:fill="FFFFFF"/>
              </w:rPr>
            </w:pPr>
          </w:p>
        </w:tc>
        <w:tc>
          <w:tcPr>
            <w:tcW w:w="2325" w:type="dxa"/>
            <w:noWrap w:val="0"/>
            <w:vAlign w:val="center"/>
          </w:tcPr>
          <w:p w14:paraId="79FB7939">
            <w:pPr>
              <w:jc w:val="center"/>
              <w:rPr>
                <w:rFonts w:ascii="黑体" w:eastAsia="黑体"/>
                <w:highlight w:val="none"/>
                <w:shd w:val="clear" w:color="auto" w:fill="FFFFFF"/>
              </w:rPr>
            </w:pPr>
          </w:p>
        </w:tc>
      </w:tr>
      <w:tr w14:paraId="22D89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4406EEA">
            <w:pPr>
              <w:jc w:val="center"/>
              <w:rPr>
                <w:rFonts w:ascii="黑体" w:eastAsia="黑体"/>
                <w:highlight w:val="none"/>
                <w:shd w:val="clear" w:color="auto" w:fill="FFFFFF"/>
              </w:rPr>
            </w:pPr>
          </w:p>
        </w:tc>
        <w:tc>
          <w:tcPr>
            <w:tcW w:w="900" w:type="dxa"/>
            <w:noWrap w:val="0"/>
            <w:vAlign w:val="center"/>
          </w:tcPr>
          <w:p w14:paraId="323F1D91">
            <w:pPr>
              <w:jc w:val="center"/>
              <w:rPr>
                <w:rFonts w:ascii="黑体" w:eastAsia="黑体"/>
                <w:highlight w:val="none"/>
                <w:shd w:val="clear" w:color="auto" w:fill="FFFFFF"/>
              </w:rPr>
            </w:pPr>
          </w:p>
        </w:tc>
        <w:tc>
          <w:tcPr>
            <w:tcW w:w="900" w:type="dxa"/>
            <w:noWrap w:val="0"/>
            <w:vAlign w:val="center"/>
          </w:tcPr>
          <w:p w14:paraId="562B3921">
            <w:pPr>
              <w:jc w:val="center"/>
              <w:rPr>
                <w:rFonts w:ascii="黑体" w:eastAsia="黑体"/>
                <w:highlight w:val="none"/>
                <w:shd w:val="clear" w:color="auto" w:fill="FFFFFF"/>
              </w:rPr>
            </w:pPr>
          </w:p>
        </w:tc>
        <w:tc>
          <w:tcPr>
            <w:tcW w:w="1025" w:type="dxa"/>
            <w:noWrap w:val="0"/>
            <w:vAlign w:val="center"/>
          </w:tcPr>
          <w:p w14:paraId="04487B60">
            <w:pPr>
              <w:jc w:val="center"/>
              <w:rPr>
                <w:rFonts w:ascii="黑体" w:eastAsia="黑体"/>
                <w:highlight w:val="none"/>
                <w:shd w:val="clear" w:color="auto" w:fill="FFFFFF"/>
              </w:rPr>
            </w:pPr>
          </w:p>
        </w:tc>
        <w:tc>
          <w:tcPr>
            <w:tcW w:w="1005" w:type="dxa"/>
            <w:noWrap w:val="0"/>
            <w:vAlign w:val="center"/>
          </w:tcPr>
          <w:p w14:paraId="6C8772C4">
            <w:pPr>
              <w:jc w:val="center"/>
              <w:rPr>
                <w:rFonts w:ascii="黑体" w:eastAsia="黑体"/>
                <w:highlight w:val="none"/>
                <w:shd w:val="clear" w:color="auto" w:fill="FFFFFF"/>
              </w:rPr>
            </w:pPr>
          </w:p>
        </w:tc>
        <w:tc>
          <w:tcPr>
            <w:tcW w:w="1547" w:type="dxa"/>
            <w:noWrap w:val="0"/>
            <w:vAlign w:val="center"/>
          </w:tcPr>
          <w:p w14:paraId="786465EF">
            <w:pPr>
              <w:jc w:val="center"/>
              <w:rPr>
                <w:rFonts w:ascii="黑体" w:eastAsia="黑体"/>
                <w:highlight w:val="none"/>
                <w:shd w:val="clear" w:color="auto" w:fill="FFFFFF"/>
              </w:rPr>
            </w:pPr>
          </w:p>
        </w:tc>
        <w:tc>
          <w:tcPr>
            <w:tcW w:w="2325" w:type="dxa"/>
            <w:noWrap w:val="0"/>
            <w:vAlign w:val="center"/>
          </w:tcPr>
          <w:p w14:paraId="53A4493F">
            <w:pPr>
              <w:jc w:val="center"/>
              <w:rPr>
                <w:rFonts w:ascii="黑体" w:eastAsia="黑体"/>
                <w:highlight w:val="none"/>
                <w:shd w:val="clear" w:color="auto" w:fill="FFFFFF"/>
              </w:rPr>
            </w:pPr>
          </w:p>
        </w:tc>
      </w:tr>
      <w:tr w14:paraId="27B2B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0FD91E3E">
            <w:pPr>
              <w:jc w:val="center"/>
              <w:rPr>
                <w:rFonts w:ascii="黑体" w:eastAsia="黑体"/>
                <w:highlight w:val="none"/>
                <w:shd w:val="clear" w:color="auto" w:fill="FFFFFF"/>
              </w:rPr>
            </w:pPr>
          </w:p>
        </w:tc>
        <w:tc>
          <w:tcPr>
            <w:tcW w:w="900" w:type="dxa"/>
            <w:noWrap w:val="0"/>
            <w:vAlign w:val="center"/>
          </w:tcPr>
          <w:p w14:paraId="698267EB">
            <w:pPr>
              <w:jc w:val="center"/>
              <w:rPr>
                <w:rFonts w:ascii="黑体" w:eastAsia="黑体"/>
                <w:highlight w:val="none"/>
                <w:shd w:val="clear" w:color="auto" w:fill="FFFFFF"/>
              </w:rPr>
            </w:pPr>
          </w:p>
        </w:tc>
        <w:tc>
          <w:tcPr>
            <w:tcW w:w="900" w:type="dxa"/>
            <w:noWrap w:val="0"/>
            <w:vAlign w:val="center"/>
          </w:tcPr>
          <w:p w14:paraId="75292612">
            <w:pPr>
              <w:jc w:val="center"/>
              <w:rPr>
                <w:rFonts w:ascii="黑体" w:eastAsia="黑体"/>
                <w:highlight w:val="none"/>
                <w:shd w:val="clear" w:color="auto" w:fill="FFFFFF"/>
              </w:rPr>
            </w:pPr>
          </w:p>
        </w:tc>
        <w:tc>
          <w:tcPr>
            <w:tcW w:w="1025" w:type="dxa"/>
            <w:noWrap w:val="0"/>
            <w:vAlign w:val="center"/>
          </w:tcPr>
          <w:p w14:paraId="318281A3">
            <w:pPr>
              <w:jc w:val="center"/>
              <w:rPr>
                <w:rFonts w:ascii="黑体" w:eastAsia="黑体"/>
                <w:highlight w:val="none"/>
                <w:shd w:val="clear" w:color="auto" w:fill="FFFFFF"/>
              </w:rPr>
            </w:pPr>
          </w:p>
        </w:tc>
        <w:tc>
          <w:tcPr>
            <w:tcW w:w="1005" w:type="dxa"/>
            <w:noWrap w:val="0"/>
            <w:vAlign w:val="center"/>
          </w:tcPr>
          <w:p w14:paraId="62710A9E">
            <w:pPr>
              <w:jc w:val="center"/>
              <w:rPr>
                <w:rFonts w:ascii="黑体" w:eastAsia="黑体"/>
                <w:highlight w:val="none"/>
                <w:shd w:val="clear" w:color="auto" w:fill="FFFFFF"/>
              </w:rPr>
            </w:pPr>
          </w:p>
        </w:tc>
        <w:tc>
          <w:tcPr>
            <w:tcW w:w="1547" w:type="dxa"/>
            <w:noWrap w:val="0"/>
            <w:vAlign w:val="center"/>
          </w:tcPr>
          <w:p w14:paraId="68C2223C">
            <w:pPr>
              <w:jc w:val="center"/>
              <w:rPr>
                <w:rFonts w:ascii="黑体" w:eastAsia="黑体"/>
                <w:highlight w:val="none"/>
                <w:shd w:val="clear" w:color="auto" w:fill="FFFFFF"/>
              </w:rPr>
            </w:pPr>
          </w:p>
        </w:tc>
        <w:tc>
          <w:tcPr>
            <w:tcW w:w="2325" w:type="dxa"/>
            <w:noWrap w:val="0"/>
            <w:vAlign w:val="center"/>
          </w:tcPr>
          <w:p w14:paraId="4E21C099">
            <w:pPr>
              <w:jc w:val="center"/>
              <w:rPr>
                <w:rFonts w:ascii="黑体" w:eastAsia="黑体"/>
                <w:highlight w:val="none"/>
                <w:shd w:val="clear" w:color="auto" w:fill="FFFFFF"/>
              </w:rPr>
            </w:pPr>
          </w:p>
        </w:tc>
      </w:tr>
      <w:tr w14:paraId="5BA33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0D569FA5">
            <w:pPr>
              <w:jc w:val="center"/>
              <w:rPr>
                <w:rFonts w:ascii="黑体" w:eastAsia="黑体"/>
                <w:highlight w:val="none"/>
                <w:shd w:val="clear" w:color="auto" w:fill="FFFFFF"/>
              </w:rPr>
            </w:pPr>
          </w:p>
        </w:tc>
        <w:tc>
          <w:tcPr>
            <w:tcW w:w="900" w:type="dxa"/>
            <w:noWrap w:val="0"/>
            <w:vAlign w:val="center"/>
          </w:tcPr>
          <w:p w14:paraId="4116D80E">
            <w:pPr>
              <w:jc w:val="center"/>
              <w:rPr>
                <w:rFonts w:ascii="黑体" w:eastAsia="黑体"/>
                <w:highlight w:val="none"/>
                <w:shd w:val="clear" w:color="auto" w:fill="FFFFFF"/>
              </w:rPr>
            </w:pPr>
          </w:p>
        </w:tc>
        <w:tc>
          <w:tcPr>
            <w:tcW w:w="900" w:type="dxa"/>
            <w:noWrap w:val="0"/>
            <w:vAlign w:val="center"/>
          </w:tcPr>
          <w:p w14:paraId="42D13B9A">
            <w:pPr>
              <w:jc w:val="center"/>
              <w:rPr>
                <w:rFonts w:ascii="黑体" w:eastAsia="黑体"/>
                <w:highlight w:val="none"/>
                <w:shd w:val="clear" w:color="auto" w:fill="FFFFFF"/>
              </w:rPr>
            </w:pPr>
          </w:p>
        </w:tc>
        <w:tc>
          <w:tcPr>
            <w:tcW w:w="1025" w:type="dxa"/>
            <w:noWrap w:val="0"/>
            <w:vAlign w:val="center"/>
          </w:tcPr>
          <w:p w14:paraId="2A326B0F">
            <w:pPr>
              <w:jc w:val="center"/>
              <w:rPr>
                <w:rFonts w:ascii="黑体" w:eastAsia="黑体"/>
                <w:highlight w:val="none"/>
                <w:shd w:val="clear" w:color="auto" w:fill="FFFFFF"/>
              </w:rPr>
            </w:pPr>
          </w:p>
        </w:tc>
        <w:tc>
          <w:tcPr>
            <w:tcW w:w="1005" w:type="dxa"/>
            <w:noWrap w:val="0"/>
            <w:vAlign w:val="center"/>
          </w:tcPr>
          <w:p w14:paraId="77CFBC33">
            <w:pPr>
              <w:jc w:val="center"/>
              <w:rPr>
                <w:rFonts w:ascii="黑体" w:eastAsia="黑体"/>
                <w:highlight w:val="none"/>
                <w:shd w:val="clear" w:color="auto" w:fill="FFFFFF"/>
              </w:rPr>
            </w:pPr>
          </w:p>
        </w:tc>
        <w:tc>
          <w:tcPr>
            <w:tcW w:w="1547" w:type="dxa"/>
            <w:noWrap w:val="0"/>
            <w:vAlign w:val="center"/>
          </w:tcPr>
          <w:p w14:paraId="47E02CB4">
            <w:pPr>
              <w:jc w:val="center"/>
              <w:rPr>
                <w:rFonts w:ascii="黑体" w:eastAsia="黑体"/>
                <w:highlight w:val="none"/>
                <w:shd w:val="clear" w:color="auto" w:fill="FFFFFF"/>
              </w:rPr>
            </w:pPr>
          </w:p>
        </w:tc>
        <w:tc>
          <w:tcPr>
            <w:tcW w:w="2325" w:type="dxa"/>
            <w:noWrap w:val="0"/>
            <w:vAlign w:val="center"/>
          </w:tcPr>
          <w:p w14:paraId="4C206CC3">
            <w:pPr>
              <w:jc w:val="center"/>
              <w:rPr>
                <w:rFonts w:ascii="黑体" w:eastAsia="黑体"/>
                <w:highlight w:val="none"/>
                <w:shd w:val="clear" w:color="auto" w:fill="FFFFFF"/>
              </w:rPr>
            </w:pPr>
          </w:p>
        </w:tc>
      </w:tr>
      <w:tr w14:paraId="321F6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714656CC">
            <w:pPr>
              <w:jc w:val="center"/>
              <w:rPr>
                <w:rFonts w:ascii="黑体" w:eastAsia="黑体"/>
                <w:highlight w:val="none"/>
                <w:shd w:val="clear" w:color="auto" w:fill="FFFFFF"/>
              </w:rPr>
            </w:pPr>
          </w:p>
        </w:tc>
        <w:tc>
          <w:tcPr>
            <w:tcW w:w="900" w:type="dxa"/>
            <w:noWrap w:val="0"/>
            <w:vAlign w:val="center"/>
          </w:tcPr>
          <w:p w14:paraId="418A1970">
            <w:pPr>
              <w:jc w:val="center"/>
              <w:rPr>
                <w:rFonts w:ascii="黑体" w:eastAsia="黑体"/>
                <w:highlight w:val="none"/>
                <w:shd w:val="clear" w:color="auto" w:fill="FFFFFF"/>
              </w:rPr>
            </w:pPr>
          </w:p>
        </w:tc>
        <w:tc>
          <w:tcPr>
            <w:tcW w:w="900" w:type="dxa"/>
            <w:noWrap w:val="0"/>
            <w:vAlign w:val="center"/>
          </w:tcPr>
          <w:p w14:paraId="0458600F">
            <w:pPr>
              <w:jc w:val="center"/>
              <w:rPr>
                <w:rFonts w:ascii="黑体" w:eastAsia="黑体"/>
                <w:highlight w:val="none"/>
                <w:shd w:val="clear" w:color="auto" w:fill="FFFFFF"/>
              </w:rPr>
            </w:pPr>
          </w:p>
        </w:tc>
        <w:tc>
          <w:tcPr>
            <w:tcW w:w="1025" w:type="dxa"/>
            <w:noWrap w:val="0"/>
            <w:vAlign w:val="center"/>
          </w:tcPr>
          <w:p w14:paraId="59474166">
            <w:pPr>
              <w:jc w:val="center"/>
              <w:rPr>
                <w:rFonts w:ascii="黑体" w:eastAsia="黑体"/>
                <w:highlight w:val="none"/>
                <w:shd w:val="clear" w:color="auto" w:fill="FFFFFF"/>
              </w:rPr>
            </w:pPr>
          </w:p>
        </w:tc>
        <w:tc>
          <w:tcPr>
            <w:tcW w:w="1005" w:type="dxa"/>
            <w:noWrap w:val="0"/>
            <w:vAlign w:val="center"/>
          </w:tcPr>
          <w:p w14:paraId="3D659D3A">
            <w:pPr>
              <w:jc w:val="center"/>
              <w:rPr>
                <w:rFonts w:ascii="黑体" w:eastAsia="黑体"/>
                <w:highlight w:val="none"/>
                <w:shd w:val="clear" w:color="auto" w:fill="FFFFFF"/>
              </w:rPr>
            </w:pPr>
          </w:p>
        </w:tc>
        <w:tc>
          <w:tcPr>
            <w:tcW w:w="1547" w:type="dxa"/>
            <w:noWrap w:val="0"/>
            <w:vAlign w:val="center"/>
          </w:tcPr>
          <w:p w14:paraId="3960ECD6">
            <w:pPr>
              <w:jc w:val="center"/>
              <w:rPr>
                <w:rFonts w:ascii="黑体" w:eastAsia="黑体"/>
                <w:highlight w:val="none"/>
                <w:shd w:val="clear" w:color="auto" w:fill="FFFFFF"/>
              </w:rPr>
            </w:pPr>
          </w:p>
        </w:tc>
        <w:tc>
          <w:tcPr>
            <w:tcW w:w="2325" w:type="dxa"/>
            <w:noWrap w:val="0"/>
            <w:vAlign w:val="center"/>
          </w:tcPr>
          <w:p w14:paraId="02E6DCB1">
            <w:pPr>
              <w:jc w:val="center"/>
              <w:rPr>
                <w:rFonts w:ascii="黑体" w:eastAsia="黑体"/>
                <w:highlight w:val="none"/>
                <w:shd w:val="clear" w:color="auto" w:fill="FFFFFF"/>
              </w:rPr>
            </w:pPr>
          </w:p>
        </w:tc>
      </w:tr>
      <w:tr w14:paraId="68F97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0D24DE7A">
            <w:pPr>
              <w:jc w:val="center"/>
              <w:rPr>
                <w:rFonts w:ascii="黑体" w:eastAsia="黑体"/>
                <w:highlight w:val="none"/>
                <w:shd w:val="clear" w:color="auto" w:fill="FFFFFF"/>
              </w:rPr>
            </w:pPr>
          </w:p>
        </w:tc>
        <w:tc>
          <w:tcPr>
            <w:tcW w:w="900" w:type="dxa"/>
            <w:noWrap w:val="0"/>
            <w:vAlign w:val="center"/>
          </w:tcPr>
          <w:p w14:paraId="3F507869">
            <w:pPr>
              <w:jc w:val="center"/>
              <w:rPr>
                <w:rFonts w:ascii="黑体" w:eastAsia="黑体"/>
                <w:highlight w:val="none"/>
                <w:shd w:val="clear" w:color="auto" w:fill="FFFFFF"/>
              </w:rPr>
            </w:pPr>
          </w:p>
        </w:tc>
        <w:tc>
          <w:tcPr>
            <w:tcW w:w="900" w:type="dxa"/>
            <w:noWrap w:val="0"/>
            <w:vAlign w:val="center"/>
          </w:tcPr>
          <w:p w14:paraId="09AB18CC">
            <w:pPr>
              <w:jc w:val="center"/>
              <w:rPr>
                <w:rFonts w:ascii="黑体" w:eastAsia="黑体"/>
                <w:highlight w:val="none"/>
                <w:shd w:val="clear" w:color="auto" w:fill="FFFFFF"/>
              </w:rPr>
            </w:pPr>
          </w:p>
        </w:tc>
        <w:tc>
          <w:tcPr>
            <w:tcW w:w="1025" w:type="dxa"/>
            <w:noWrap w:val="0"/>
            <w:vAlign w:val="center"/>
          </w:tcPr>
          <w:p w14:paraId="7A37EEE5">
            <w:pPr>
              <w:jc w:val="center"/>
              <w:rPr>
                <w:rFonts w:ascii="黑体" w:eastAsia="黑体"/>
                <w:highlight w:val="none"/>
                <w:shd w:val="clear" w:color="auto" w:fill="FFFFFF"/>
              </w:rPr>
            </w:pPr>
          </w:p>
        </w:tc>
        <w:tc>
          <w:tcPr>
            <w:tcW w:w="1005" w:type="dxa"/>
            <w:noWrap w:val="0"/>
            <w:vAlign w:val="center"/>
          </w:tcPr>
          <w:p w14:paraId="2F9222C4">
            <w:pPr>
              <w:jc w:val="center"/>
              <w:rPr>
                <w:rFonts w:ascii="黑体" w:eastAsia="黑体"/>
                <w:highlight w:val="none"/>
                <w:shd w:val="clear" w:color="auto" w:fill="FFFFFF"/>
              </w:rPr>
            </w:pPr>
          </w:p>
        </w:tc>
        <w:tc>
          <w:tcPr>
            <w:tcW w:w="1547" w:type="dxa"/>
            <w:noWrap w:val="0"/>
            <w:vAlign w:val="center"/>
          </w:tcPr>
          <w:p w14:paraId="076BD049">
            <w:pPr>
              <w:jc w:val="center"/>
              <w:rPr>
                <w:rFonts w:ascii="黑体" w:eastAsia="黑体"/>
                <w:highlight w:val="none"/>
                <w:shd w:val="clear" w:color="auto" w:fill="FFFFFF"/>
              </w:rPr>
            </w:pPr>
          </w:p>
        </w:tc>
        <w:tc>
          <w:tcPr>
            <w:tcW w:w="2325" w:type="dxa"/>
            <w:noWrap w:val="0"/>
            <w:vAlign w:val="center"/>
          </w:tcPr>
          <w:p w14:paraId="4B206593">
            <w:pPr>
              <w:jc w:val="center"/>
              <w:rPr>
                <w:rFonts w:ascii="黑体" w:eastAsia="黑体"/>
                <w:highlight w:val="none"/>
                <w:shd w:val="clear" w:color="auto" w:fill="FFFFFF"/>
              </w:rPr>
            </w:pPr>
          </w:p>
        </w:tc>
      </w:tr>
      <w:tr w14:paraId="44E61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2EF0E42F">
            <w:pPr>
              <w:jc w:val="center"/>
              <w:rPr>
                <w:rFonts w:ascii="黑体" w:eastAsia="黑体"/>
                <w:highlight w:val="none"/>
                <w:shd w:val="clear" w:color="auto" w:fill="FFFFFF"/>
              </w:rPr>
            </w:pPr>
          </w:p>
        </w:tc>
        <w:tc>
          <w:tcPr>
            <w:tcW w:w="900" w:type="dxa"/>
            <w:noWrap w:val="0"/>
            <w:vAlign w:val="center"/>
          </w:tcPr>
          <w:p w14:paraId="289F5B86">
            <w:pPr>
              <w:jc w:val="center"/>
              <w:rPr>
                <w:rFonts w:ascii="黑体" w:eastAsia="黑体"/>
                <w:highlight w:val="none"/>
                <w:shd w:val="clear" w:color="auto" w:fill="FFFFFF"/>
              </w:rPr>
            </w:pPr>
          </w:p>
        </w:tc>
        <w:tc>
          <w:tcPr>
            <w:tcW w:w="900" w:type="dxa"/>
            <w:noWrap w:val="0"/>
            <w:vAlign w:val="center"/>
          </w:tcPr>
          <w:p w14:paraId="509CF427">
            <w:pPr>
              <w:jc w:val="center"/>
              <w:rPr>
                <w:rFonts w:ascii="黑体" w:eastAsia="黑体"/>
                <w:highlight w:val="none"/>
                <w:shd w:val="clear" w:color="auto" w:fill="FFFFFF"/>
              </w:rPr>
            </w:pPr>
          </w:p>
        </w:tc>
        <w:tc>
          <w:tcPr>
            <w:tcW w:w="1025" w:type="dxa"/>
            <w:noWrap w:val="0"/>
            <w:vAlign w:val="center"/>
          </w:tcPr>
          <w:p w14:paraId="3793894F">
            <w:pPr>
              <w:jc w:val="center"/>
              <w:rPr>
                <w:rFonts w:ascii="黑体" w:eastAsia="黑体"/>
                <w:highlight w:val="none"/>
                <w:shd w:val="clear" w:color="auto" w:fill="FFFFFF"/>
              </w:rPr>
            </w:pPr>
          </w:p>
        </w:tc>
        <w:tc>
          <w:tcPr>
            <w:tcW w:w="1005" w:type="dxa"/>
            <w:noWrap w:val="0"/>
            <w:vAlign w:val="center"/>
          </w:tcPr>
          <w:p w14:paraId="626646F7">
            <w:pPr>
              <w:jc w:val="center"/>
              <w:rPr>
                <w:rFonts w:ascii="黑体" w:eastAsia="黑体"/>
                <w:highlight w:val="none"/>
                <w:shd w:val="clear" w:color="auto" w:fill="FFFFFF"/>
              </w:rPr>
            </w:pPr>
          </w:p>
        </w:tc>
        <w:tc>
          <w:tcPr>
            <w:tcW w:w="1547" w:type="dxa"/>
            <w:noWrap w:val="0"/>
            <w:vAlign w:val="center"/>
          </w:tcPr>
          <w:p w14:paraId="58300E2F">
            <w:pPr>
              <w:jc w:val="center"/>
              <w:rPr>
                <w:rFonts w:ascii="黑体" w:eastAsia="黑体"/>
                <w:highlight w:val="none"/>
                <w:shd w:val="clear" w:color="auto" w:fill="FFFFFF"/>
              </w:rPr>
            </w:pPr>
          </w:p>
        </w:tc>
        <w:tc>
          <w:tcPr>
            <w:tcW w:w="2325" w:type="dxa"/>
            <w:noWrap w:val="0"/>
            <w:vAlign w:val="center"/>
          </w:tcPr>
          <w:p w14:paraId="43ED6523">
            <w:pPr>
              <w:jc w:val="center"/>
              <w:rPr>
                <w:rFonts w:ascii="黑体" w:eastAsia="黑体"/>
                <w:highlight w:val="none"/>
                <w:shd w:val="clear" w:color="auto" w:fill="FFFFFF"/>
              </w:rPr>
            </w:pPr>
          </w:p>
        </w:tc>
      </w:tr>
      <w:tr w14:paraId="0ADBE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483FC08F">
            <w:pPr>
              <w:jc w:val="center"/>
              <w:rPr>
                <w:rFonts w:ascii="黑体" w:eastAsia="黑体"/>
                <w:highlight w:val="none"/>
                <w:shd w:val="clear" w:color="auto" w:fill="FFFFFF"/>
              </w:rPr>
            </w:pPr>
          </w:p>
        </w:tc>
        <w:tc>
          <w:tcPr>
            <w:tcW w:w="900" w:type="dxa"/>
            <w:noWrap w:val="0"/>
            <w:vAlign w:val="center"/>
          </w:tcPr>
          <w:p w14:paraId="67A5901C">
            <w:pPr>
              <w:jc w:val="center"/>
              <w:rPr>
                <w:rFonts w:ascii="黑体" w:eastAsia="黑体"/>
                <w:highlight w:val="none"/>
                <w:shd w:val="clear" w:color="auto" w:fill="FFFFFF"/>
              </w:rPr>
            </w:pPr>
          </w:p>
        </w:tc>
        <w:tc>
          <w:tcPr>
            <w:tcW w:w="900" w:type="dxa"/>
            <w:noWrap w:val="0"/>
            <w:vAlign w:val="center"/>
          </w:tcPr>
          <w:p w14:paraId="7DFE2535">
            <w:pPr>
              <w:jc w:val="center"/>
              <w:rPr>
                <w:rFonts w:ascii="黑体" w:eastAsia="黑体"/>
                <w:highlight w:val="none"/>
                <w:shd w:val="clear" w:color="auto" w:fill="FFFFFF"/>
              </w:rPr>
            </w:pPr>
          </w:p>
        </w:tc>
        <w:tc>
          <w:tcPr>
            <w:tcW w:w="1025" w:type="dxa"/>
            <w:noWrap w:val="0"/>
            <w:vAlign w:val="center"/>
          </w:tcPr>
          <w:p w14:paraId="16DC2286">
            <w:pPr>
              <w:jc w:val="center"/>
              <w:rPr>
                <w:rFonts w:ascii="黑体" w:eastAsia="黑体"/>
                <w:highlight w:val="none"/>
                <w:shd w:val="clear" w:color="auto" w:fill="FFFFFF"/>
              </w:rPr>
            </w:pPr>
          </w:p>
        </w:tc>
        <w:tc>
          <w:tcPr>
            <w:tcW w:w="1005" w:type="dxa"/>
            <w:noWrap w:val="0"/>
            <w:vAlign w:val="center"/>
          </w:tcPr>
          <w:p w14:paraId="4824D379">
            <w:pPr>
              <w:jc w:val="center"/>
              <w:rPr>
                <w:rFonts w:ascii="黑体" w:eastAsia="黑体"/>
                <w:highlight w:val="none"/>
                <w:shd w:val="clear" w:color="auto" w:fill="FFFFFF"/>
              </w:rPr>
            </w:pPr>
          </w:p>
        </w:tc>
        <w:tc>
          <w:tcPr>
            <w:tcW w:w="1547" w:type="dxa"/>
            <w:noWrap w:val="0"/>
            <w:vAlign w:val="center"/>
          </w:tcPr>
          <w:p w14:paraId="47271454">
            <w:pPr>
              <w:jc w:val="center"/>
              <w:rPr>
                <w:rFonts w:ascii="黑体" w:eastAsia="黑体"/>
                <w:highlight w:val="none"/>
                <w:shd w:val="clear" w:color="auto" w:fill="FFFFFF"/>
              </w:rPr>
            </w:pPr>
          </w:p>
        </w:tc>
        <w:tc>
          <w:tcPr>
            <w:tcW w:w="2325" w:type="dxa"/>
            <w:noWrap w:val="0"/>
            <w:vAlign w:val="center"/>
          </w:tcPr>
          <w:p w14:paraId="7FE31A26">
            <w:pPr>
              <w:jc w:val="center"/>
              <w:rPr>
                <w:rFonts w:ascii="黑体" w:eastAsia="黑体"/>
                <w:highlight w:val="none"/>
                <w:shd w:val="clear" w:color="auto" w:fill="FFFFFF"/>
              </w:rPr>
            </w:pPr>
          </w:p>
        </w:tc>
      </w:tr>
      <w:tr w14:paraId="3D92D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2D36A13A">
            <w:pPr>
              <w:jc w:val="center"/>
              <w:rPr>
                <w:rFonts w:ascii="黑体" w:eastAsia="黑体"/>
                <w:highlight w:val="none"/>
                <w:shd w:val="clear" w:color="auto" w:fill="FFFFFF"/>
              </w:rPr>
            </w:pPr>
          </w:p>
        </w:tc>
        <w:tc>
          <w:tcPr>
            <w:tcW w:w="900" w:type="dxa"/>
            <w:noWrap w:val="0"/>
            <w:vAlign w:val="center"/>
          </w:tcPr>
          <w:p w14:paraId="3F43B234">
            <w:pPr>
              <w:jc w:val="center"/>
              <w:rPr>
                <w:rFonts w:ascii="黑体" w:eastAsia="黑体"/>
                <w:highlight w:val="none"/>
                <w:shd w:val="clear" w:color="auto" w:fill="FFFFFF"/>
              </w:rPr>
            </w:pPr>
          </w:p>
        </w:tc>
        <w:tc>
          <w:tcPr>
            <w:tcW w:w="900" w:type="dxa"/>
            <w:noWrap w:val="0"/>
            <w:vAlign w:val="center"/>
          </w:tcPr>
          <w:p w14:paraId="443869D0">
            <w:pPr>
              <w:jc w:val="center"/>
              <w:rPr>
                <w:rFonts w:ascii="黑体" w:eastAsia="黑体"/>
                <w:highlight w:val="none"/>
                <w:shd w:val="clear" w:color="auto" w:fill="FFFFFF"/>
              </w:rPr>
            </w:pPr>
          </w:p>
        </w:tc>
        <w:tc>
          <w:tcPr>
            <w:tcW w:w="1025" w:type="dxa"/>
            <w:noWrap w:val="0"/>
            <w:vAlign w:val="center"/>
          </w:tcPr>
          <w:p w14:paraId="2A784517">
            <w:pPr>
              <w:jc w:val="center"/>
              <w:rPr>
                <w:rFonts w:ascii="黑体" w:eastAsia="黑体"/>
                <w:highlight w:val="none"/>
                <w:shd w:val="clear" w:color="auto" w:fill="FFFFFF"/>
              </w:rPr>
            </w:pPr>
          </w:p>
        </w:tc>
        <w:tc>
          <w:tcPr>
            <w:tcW w:w="1005" w:type="dxa"/>
            <w:noWrap w:val="0"/>
            <w:vAlign w:val="center"/>
          </w:tcPr>
          <w:p w14:paraId="274DDB89">
            <w:pPr>
              <w:jc w:val="center"/>
              <w:rPr>
                <w:rFonts w:ascii="黑体" w:eastAsia="黑体"/>
                <w:highlight w:val="none"/>
                <w:shd w:val="clear" w:color="auto" w:fill="FFFFFF"/>
              </w:rPr>
            </w:pPr>
          </w:p>
        </w:tc>
        <w:tc>
          <w:tcPr>
            <w:tcW w:w="1547" w:type="dxa"/>
            <w:noWrap w:val="0"/>
            <w:vAlign w:val="center"/>
          </w:tcPr>
          <w:p w14:paraId="0D6DB467">
            <w:pPr>
              <w:jc w:val="center"/>
              <w:rPr>
                <w:rFonts w:ascii="黑体" w:eastAsia="黑体"/>
                <w:highlight w:val="none"/>
                <w:shd w:val="clear" w:color="auto" w:fill="FFFFFF"/>
              </w:rPr>
            </w:pPr>
          </w:p>
        </w:tc>
        <w:tc>
          <w:tcPr>
            <w:tcW w:w="2325" w:type="dxa"/>
            <w:noWrap w:val="0"/>
            <w:vAlign w:val="center"/>
          </w:tcPr>
          <w:p w14:paraId="4F86EEBA">
            <w:pPr>
              <w:jc w:val="center"/>
              <w:rPr>
                <w:rFonts w:ascii="黑体" w:eastAsia="黑体"/>
                <w:highlight w:val="none"/>
                <w:shd w:val="clear" w:color="auto" w:fill="FFFFFF"/>
              </w:rPr>
            </w:pPr>
          </w:p>
        </w:tc>
      </w:tr>
    </w:tbl>
    <w:p w14:paraId="136B0F4F">
      <w:pPr>
        <w:pStyle w:val="115"/>
        <w:ind w:firstLine="400"/>
        <w:rPr>
          <w:color w:val="auto"/>
          <w:highlight w:val="none"/>
        </w:rPr>
      </w:pPr>
      <w:r>
        <w:rPr>
          <w:rFonts w:hAnsi="宋体"/>
          <w:color w:val="auto"/>
          <w:kern w:val="0"/>
          <w:sz w:val="20"/>
          <w:highlight w:val="none"/>
          <w:shd w:val="clear" w:color="auto" w:fill="FFFFFF"/>
        </w:rPr>
        <w:br w:type="page"/>
      </w:r>
    </w:p>
    <w:p w14:paraId="48FCEF2E">
      <w:pPr>
        <w:pStyle w:val="115"/>
        <w:ind w:firstLine="482"/>
        <w:rPr>
          <w:color w:val="auto"/>
          <w:highlight w:val="none"/>
        </w:rPr>
      </w:pPr>
      <w:bookmarkStart w:id="3331" w:name="_Toc491149684"/>
      <w:bookmarkStart w:id="3332" w:name="_Toc490331788"/>
      <w:bookmarkStart w:id="3333" w:name="_Toc70365440"/>
      <w:bookmarkStart w:id="3334" w:name="_Toc10235736"/>
      <w:r>
        <w:rPr>
          <w:rFonts w:hint="eastAsia" w:hAnsi="宋体"/>
          <w:b/>
          <w:color w:val="auto"/>
          <w:kern w:val="0"/>
          <w:sz w:val="24"/>
          <w:szCs w:val="23"/>
          <w:highlight w:val="none"/>
          <w:shd w:val="clear" w:color="auto" w:fill="FFFFFF"/>
        </w:rPr>
        <w:t>（二）主要人员简历表</w:t>
      </w:r>
      <w:bookmarkEnd w:id="3331"/>
      <w:bookmarkEnd w:id="3332"/>
      <w:bookmarkEnd w:id="3333"/>
      <w:bookmarkEnd w:id="3334"/>
    </w:p>
    <w:tbl>
      <w:tblPr>
        <w:tblStyle w:val="6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908"/>
        <w:gridCol w:w="725"/>
        <w:gridCol w:w="906"/>
        <w:gridCol w:w="544"/>
        <w:gridCol w:w="1087"/>
        <w:gridCol w:w="361"/>
        <w:gridCol w:w="1270"/>
        <w:gridCol w:w="179"/>
        <w:gridCol w:w="1452"/>
      </w:tblGrid>
      <w:tr w14:paraId="67B0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0" w:type="dxa"/>
            <w:noWrap w:val="0"/>
            <w:vAlign w:val="center"/>
          </w:tcPr>
          <w:p w14:paraId="771A212E">
            <w:pPr>
              <w:jc w:val="center"/>
              <w:rPr>
                <w:highlight w:val="none"/>
              </w:rPr>
            </w:pPr>
            <w:r>
              <w:rPr>
                <w:rFonts w:hint="eastAsia"/>
                <w:highlight w:val="none"/>
              </w:rPr>
              <w:t>工程名称</w:t>
            </w:r>
          </w:p>
        </w:tc>
        <w:tc>
          <w:tcPr>
            <w:tcW w:w="7432" w:type="dxa"/>
            <w:gridSpan w:val="9"/>
            <w:noWrap w:val="0"/>
            <w:vAlign w:val="top"/>
          </w:tcPr>
          <w:p w14:paraId="71844003">
            <w:pPr>
              <w:jc w:val="center"/>
              <w:rPr>
                <w:bCs/>
                <w:sz w:val="28"/>
                <w:highlight w:val="none"/>
              </w:rPr>
            </w:pPr>
          </w:p>
        </w:tc>
      </w:tr>
      <w:tr w14:paraId="06D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30" w:type="dxa"/>
            <w:noWrap w:val="0"/>
            <w:vAlign w:val="center"/>
          </w:tcPr>
          <w:p w14:paraId="7E40BCFB">
            <w:pPr>
              <w:jc w:val="center"/>
              <w:rPr>
                <w:highlight w:val="none"/>
              </w:rPr>
            </w:pPr>
            <w:r>
              <w:rPr>
                <w:rFonts w:hint="eastAsia"/>
                <w:highlight w:val="none"/>
              </w:rPr>
              <w:t>公司名称</w:t>
            </w:r>
          </w:p>
        </w:tc>
        <w:tc>
          <w:tcPr>
            <w:tcW w:w="7432" w:type="dxa"/>
            <w:gridSpan w:val="9"/>
            <w:noWrap w:val="0"/>
            <w:vAlign w:val="top"/>
          </w:tcPr>
          <w:p w14:paraId="115C9345">
            <w:pPr>
              <w:jc w:val="center"/>
              <w:rPr>
                <w:bCs/>
                <w:sz w:val="28"/>
                <w:highlight w:val="none"/>
              </w:rPr>
            </w:pPr>
          </w:p>
        </w:tc>
      </w:tr>
      <w:tr w14:paraId="486E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62" w:type="dxa"/>
            <w:gridSpan w:val="10"/>
            <w:noWrap w:val="0"/>
            <w:vAlign w:val="center"/>
          </w:tcPr>
          <w:p w14:paraId="6DF6AD49">
            <w:pPr>
              <w:jc w:val="center"/>
              <w:rPr>
                <w:bCs/>
                <w:highlight w:val="none"/>
              </w:rPr>
            </w:pPr>
            <w:r>
              <w:rPr>
                <w:rFonts w:hint="eastAsia"/>
                <w:bCs/>
                <w:highlight w:val="none"/>
              </w:rPr>
              <w:t>项目管理部人员构成情况表</w:t>
            </w:r>
          </w:p>
        </w:tc>
      </w:tr>
      <w:tr w14:paraId="04D8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38" w:type="dxa"/>
            <w:gridSpan w:val="2"/>
            <w:vMerge w:val="restart"/>
            <w:noWrap w:val="0"/>
            <w:vAlign w:val="center"/>
          </w:tcPr>
          <w:p w14:paraId="58FD02F0">
            <w:pPr>
              <w:jc w:val="center"/>
              <w:rPr>
                <w:highlight w:val="none"/>
              </w:rPr>
            </w:pPr>
            <w:r>
              <w:rPr>
                <w:rFonts w:hint="eastAsia"/>
                <w:highlight w:val="none"/>
              </w:rPr>
              <w:t>项目管理部管理人员</w:t>
            </w:r>
          </w:p>
        </w:tc>
        <w:tc>
          <w:tcPr>
            <w:tcW w:w="725" w:type="dxa"/>
            <w:vMerge w:val="restart"/>
            <w:noWrap w:val="0"/>
            <w:vAlign w:val="center"/>
          </w:tcPr>
          <w:p w14:paraId="0FEDA45F">
            <w:pPr>
              <w:jc w:val="center"/>
              <w:rPr>
                <w:highlight w:val="none"/>
              </w:rPr>
            </w:pPr>
            <w:r>
              <w:rPr>
                <w:rFonts w:hint="eastAsia"/>
                <w:highlight w:val="none"/>
              </w:rPr>
              <w:t>人</w:t>
            </w:r>
          </w:p>
        </w:tc>
        <w:tc>
          <w:tcPr>
            <w:tcW w:w="5799" w:type="dxa"/>
            <w:gridSpan w:val="7"/>
            <w:noWrap w:val="0"/>
            <w:vAlign w:val="top"/>
          </w:tcPr>
          <w:p w14:paraId="257D2495">
            <w:pPr>
              <w:jc w:val="center"/>
              <w:rPr>
                <w:highlight w:val="none"/>
              </w:rPr>
            </w:pPr>
            <w:r>
              <w:rPr>
                <w:rFonts w:hint="eastAsia"/>
                <w:highlight w:val="none"/>
              </w:rPr>
              <w:t>有职称管理人员</w:t>
            </w:r>
          </w:p>
        </w:tc>
      </w:tr>
      <w:tr w14:paraId="1DC0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538" w:type="dxa"/>
            <w:gridSpan w:val="2"/>
            <w:vMerge w:val="continue"/>
            <w:noWrap w:val="0"/>
            <w:vAlign w:val="top"/>
          </w:tcPr>
          <w:p w14:paraId="260F9B64">
            <w:pPr>
              <w:rPr>
                <w:highlight w:val="none"/>
              </w:rPr>
            </w:pPr>
          </w:p>
        </w:tc>
        <w:tc>
          <w:tcPr>
            <w:tcW w:w="725" w:type="dxa"/>
            <w:vMerge w:val="continue"/>
            <w:noWrap w:val="0"/>
            <w:vAlign w:val="top"/>
          </w:tcPr>
          <w:p w14:paraId="60EDD12A">
            <w:pPr>
              <w:rPr>
                <w:highlight w:val="none"/>
              </w:rPr>
            </w:pPr>
          </w:p>
        </w:tc>
        <w:tc>
          <w:tcPr>
            <w:tcW w:w="1450" w:type="dxa"/>
            <w:gridSpan w:val="2"/>
            <w:noWrap w:val="0"/>
            <w:vAlign w:val="center"/>
          </w:tcPr>
          <w:p w14:paraId="506A3AE7">
            <w:pPr>
              <w:jc w:val="center"/>
              <w:rPr>
                <w:highlight w:val="none"/>
              </w:rPr>
            </w:pPr>
            <w:r>
              <w:rPr>
                <w:rFonts w:hint="eastAsia"/>
                <w:highlight w:val="none"/>
              </w:rPr>
              <w:t>高工</w:t>
            </w:r>
          </w:p>
        </w:tc>
        <w:tc>
          <w:tcPr>
            <w:tcW w:w="1448" w:type="dxa"/>
            <w:gridSpan w:val="2"/>
            <w:noWrap w:val="0"/>
            <w:vAlign w:val="center"/>
          </w:tcPr>
          <w:p w14:paraId="38E18211">
            <w:pPr>
              <w:jc w:val="center"/>
              <w:rPr>
                <w:highlight w:val="none"/>
              </w:rPr>
            </w:pPr>
            <w:r>
              <w:rPr>
                <w:rFonts w:hint="eastAsia"/>
                <w:highlight w:val="none"/>
              </w:rPr>
              <w:t>工程师</w:t>
            </w:r>
          </w:p>
        </w:tc>
        <w:tc>
          <w:tcPr>
            <w:tcW w:w="1449" w:type="dxa"/>
            <w:gridSpan w:val="2"/>
            <w:noWrap w:val="0"/>
            <w:vAlign w:val="center"/>
          </w:tcPr>
          <w:p w14:paraId="238B3449">
            <w:pPr>
              <w:jc w:val="center"/>
              <w:rPr>
                <w:highlight w:val="none"/>
              </w:rPr>
            </w:pPr>
            <w:r>
              <w:rPr>
                <w:rFonts w:hint="eastAsia"/>
                <w:highlight w:val="none"/>
              </w:rPr>
              <w:t>助工</w:t>
            </w:r>
          </w:p>
        </w:tc>
        <w:tc>
          <w:tcPr>
            <w:tcW w:w="1452" w:type="dxa"/>
            <w:noWrap w:val="0"/>
            <w:vAlign w:val="center"/>
          </w:tcPr>
          <w:p w14:paraId="515494A5">
            <w:pPr>
              <w:jc w:val="center"/>
              <w:rPr>
                <w:highlight w:val="none"/>
              </w:rPr>
            </w:pPr>
            <w:r>
              <w:rPr>
                <w:rFonts w:hint="eastAsia"/>
                <w:highlight w:val="none"/>
              </w:rPr>
              <w:t>技术员</w:t>
            </w:r>
          </w:p>
        </w:tc>
      </w:tr>
      <w:tr w14:paraId="0A2B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538" w:type="dxa"/>
            <w:gridSpan w:val="2"/>
            <w:vMerge w:val="continue"/>
            <w:noWrap w:val="0"/>
            <w:vAlign w:val="top"/>
          </w:tcPr>
          <w:p w14:paraId="47278860">
            <w:pPr>
              <w:rPr>
                <w:highlight w:val="none"/>
              </w:rPr>
            </w:pPr>
          </w:p>
        </w:tc>
        <w:tc>
          <w:tcPr>
            <w:tcW w:w="725" w:type="dxa"/>
            <w:vMerge w:val="continue"/>
            <w:noWrap w:val="0"/>
            <w:vAlign w:val="top"/>
          </w:tcPr>
          <w:p w14:paraId="43EBB048">
            <w:pPr>
              <w:rPr>
                <w:highlight w:val="none"/>
              </w:rPr>
            </w:pPr>
          </w:p>
        </w:tc>
        <w:tc>
          <w:tcPr>
            <w:tcW w:w="1450" w:type="dxa"/>
            <w:gridSpan w:val="2"/>
            <w:noWrap w:val="0"/>
            <w:vAlign w:val="top"/>
          </w:tcPr>
          <w:p w14:paraId="19F60A76">
            <w:pPr>
              <w:rPr>
                <w:highlight w:val="none"/>
              </w:rPr>
            </w:pPr>
          </w:p>
        </w:tc>
        <w:tc>
          <w:tcPr>
            <w:tcW w:w="1448" w:type="dxa"/>
            <w:gridSpan w:val="2"/>
            <w:noWrap w:val="0"/>
            <w:vAlign w:val="top"/>
          </w:tcPr>
          <w:p w14:paraId="41580C10">
            <w:pPr>
              <w:rPr>
                <w:highlight w:val="none"/>
              </w:rPr>
            </w:pPr>
          </w:p>
        </w:tc>
        <w:tc>
          <w:tcPr>
            <w:tcW w:w="1449" w:type="dxa"/>
            <w:gridSpan w:val="2"/>
            <w:noWrap w:val="0"/>
            <w:vAlign w:val="top"/>
          </w:tcPr>
          <w:p w14:paraId="7B05E3CA">
            <w:pPr>
              <w:rPr>
                <w:highlight w:val="none"/>
              </w:rPr>
            </w:pPr>
          </w:p>
        </w:tc>
        <w:tc>
          <w:tcPr>
            <w:tcW w:w="1452" w:type="dxa"/>
            <w:noWrap w:val="0"/>
            <w:vAlign w:val="top"/>
          </w:tcPr>
          <w:p w14:paraId="7DE29EDD">
            <w:pPr>
              <w:rPr>
                <w:highlight w:val="none"/>
              </w:rPr>
            </w:pPr>
          </w:p>
        </w:tc>
      </w:tr>
      <w:tr w14:paraId="004D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38" w:type="dxa"/>
            <w:gridSpan w:val="2"/>
            <w:noWrap w:val="0"/>
            <w:vAlign w:val="top"/>
          </w:tcPr>
          <w:p w14:paraId="5AFA550B">
            <w:pPr>
              <w:jc w:val="center"/>
              <w:rPr>
                <w:highlight w:val="none"/>
              </w:rPr>
            </w:pPr>
            <w:r>
              <w:rPr>
                <w:rFonts w:hint="eastAsia"/>
                <w:highlight w:val="none"/>
              </w:rPr>
              <w:t>主要管理人员</w:t>
            </w:r>
          </w:p>
        </w:tc>
        <w:tc>
          <w:tcPr>
            <w:tcW w:w="1631" w:type="dxa"/>
            <w:gridSpan w:val="2"/>
            <w:noWrap w:val="0"/>
            <w:vAlign w:val="top"/>
          </w:tcPr>
          <w:p w14:paraId="5C23459E">
            <w:pPr>
              <w:jc w:val="center"/>
              <w:rPr>
                <w:highlight w:val="none"/>
              </w:rPr>
            </w:pPr>
            <w:r>
              <w:rPr>
                <w:rFonts w:hint="eastAsia"/>
                <w:highlight w:val="none"/>
              </w:rPr>
              <w:t>姓名</w:t>
            </w:r>
          </w:p>
        </w:tc>
        <w:tc>
          <w:tcPr>
            <w:tcW w:w="1631" w:type="dxa"/>
            <w:gridSpan w:val="2"/>
            <w:noWrap w:val="0"/>
            <w:vAlign w:val="top"/>
          </w:tcPr>
          <w:p w14:paraId="547705AD">
            <w:pPr>
              <w:jc w:val="center"/>
              <w:rPr>
                <w:highlight w:val="none"/>
              </w:rPr>
            </w:pPr>
            <w:r>
              <w:rPr>
                <w:rFonts w:hint="eastAsia"/>
                <w:highlight w:val="none"/>
              </w:rPr>
              <w:t>职务</w:t>
            </w:r>
          </w:p>
        </w:tc>
        <w:tc>
          <w:tcPr>
            <w:tcW w:w="1631" w:type="dxa"/>
            <w:gridSpan w:val="2"/>
            <w:noWrap w:val="0"/>
            <w:vAlign w:val="top"/>
          </w:tcPr>
          <w:p w14:paraId="74CF9B03">
            <w:pPr>
              <w:jc w:val="center"/>
              <w:rPr>
                <w:highlight w:val="none"/>
              </w:rPr>
            </w:pPr>
            <w:r>
              <w:rPr>
                <w:rFonts w:hint="eastAsia"/>
                <w:highlight w:val="none"/>
              </w:rPr>
              <w:t>职称</w:t>
            </w:r>
          </w:p>
        </w:tc>
        <w:tc>
          <w:tcPr>
            <w:tcW w:w="1631" w:type="dxa"/>
            <w:gridSpan w:val="2"/>
            <w:noWrap w:val="0"/>
            <w:vAlign w:val="top"/>
          </w:tcPr>
          <w:p w14:paraId="1B407F11">
            <w:pPr>
              <w:jc w:val="center"/>
              <w:rPr>
                <w:highlight w:val="none"/>
              </w:rPr>
            </w:pPr>
            <w:r>
              <w:rPr>
                <w:rFonts w:hint="eastAsia"/>
                <w:highlight w:val="none"/>
              </w:rPr>
              <w:t>学历</w:t>
            </w:r>
          </w:p>
        </w:tc>
      </w:tr>
      <w:tr w14:paraId="6598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8" w:type="dxa"/>
            <w:gridSpan w:val="2"/>
            <w:noWrap w:val="0"/>
            <w:vAlign w:val="top"/>
          </w:tcPr>
          <w:p w14:paraId="050CF55C">
            <w:pPr>
              <w:ind w:left="420"/>
              <w:rPr>
                <w:highlight w:val="none"/>
              </w:rPr>
            </w:pPr>
          </w:p>
        </w:tc>
        <w:tc>
          <w:tcPr>
            <w:tcW w:w="1631" w:type="dxa"/>
            <w:gridSpan w:val="2"/>
            <w:noWrap w:val="0"/>
            <w:vAlign w:val="top"/>
          </w:tcPr>
          <w:p w14:paraId="4AF16941">
            <w:pPr>
              <w:rPr>
                <w:highlight w:val="none"/>
              </w:rPr>
            </w:pPr>
          </w:p>
        </w:tc>
        <w:tc>
          <w:tcPr>
            <w:tcW w:w="1631" w:type="dxa"/>
            <w:gridSpan w:val="2"/>
            <w:noWrap w:val="0"/>
            <w:vAlign w:val="top"/>
          </w:tcPr>
          <w:p w14:paraId="78660391">
            <w:pPr>
              <w:rPr>
                <w:highlight w:val="none"/>
              </w:rPr>
            </w:pPr>
          </w:p>
        </w:tc>
        <w:tc>
          <w:tcPr>
            <w:tcW w:w="1631" w:type="dxa"/>
            <w:gridSpan w:val="2"/>
            <w:noWrap w:val="0"/>
            <w:vAlign w:val="top"/>
          </w:tcPr>
          <w:p w14:paraId="02C2A0C8">
            <w:pPr>
              <w:rPr>
                <w:highlight w:val="none"/>
              </w:rPr>
            </w:pPr>
          </w:p>
        </w:tc>
        <w:tc>
          <w:tcPr>
            <w:tcW w:w="1631" w:type="dxa"/>
            <w:gridSpan w:val="2"/>
            <w:noWrap w:val="0"/>
            <w:vAlign w:val="top"/>
          </w:tcPr>
          <w:p w14:paraId="53F11D1C">
            <w:pPr>
              <w:rPr>
                <w:highlight w:val="none"/>
              </w:rPr>
            </w:pPr>
          </w:p>
          <w:p w14:paraId="7470B6CA">
            <w:pPr>
              <w:rPr>
                <w:highlight w:val="none"/>
              </w:rPr>
            </w:pPr>
          </w:p>
          <w:p w14:paraId="0085C360">
            <w:pPr>
              <w:rPr>
                <w:highlight w:val="none"/>
              </w:rPr>
            </w:pPr>
          </w:p>
          <w:p w14:paraId="0206B49B">
            <w:pPr>
              <w:rPr>
                <w:highlight w:val="none"/>
              </w:rPr>
            </w:pPr>
          </w:p>
          <w:p w14:paraId="7799B681">
            <w:pPr>
              <w:rPr>
                <w:highlight w:val="none"/>
              </w:rPr>
            </w:pPr>
          </w:p>
          <w:p w14:paraId="0D182501">
            <w:pPr>
              <w:rPr>
                <w:highlight w:val="none"/>
              </w:rPr>
            </w:pPr>
          </w:p>
          <w:p w14:paraId="1E3421F7">
            <w:pPr>
              <w:widowControl/>
              <w:rPr>
                <w:highlight w:val="none"/>
              </w:rPr>
            </w:pPr>
          </w:p>
          <w:p w14:paraId="5601CB1F">
            <w:pPr>
              <w:rPr>
                <w:highlight w:val="none"/>
              </w:rPr>
            </w:pPr>
          </w:p>
        </w:tc>
      </w:tr>
      <w:tr w14:paraId="22ED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62" w:type="dxa"/>
            <w:gridSpan w:val="10"/>
            <w:noWrap w:val="0"/>
            <w:vAlign w:val="top"/>
          </w:tcPr>
          <w:p w14:paraId="6345D677">
            <w:pPr>
              <w:widowControl/>
              <w:rPr>
                <w:highlight w:val="none"/>
              </w:rPr>
            </w:pPr>
            <w:r>
              <w:rPr>
                <w:rFonts w:hint="eastAsia" w:hAnsi="宋体"/>
                <w:highlight w:val="none"/>
              </w:rPr>
              <w:t>上述现场组织机构各主要岗位的职责概述</w:t>
            </w:r>
          </w:p>
        </w:tc>
      </w:tr>
      <w:tr w14:paraId="2C1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062" w:type="dxa"/>
            <w:gridSpan w:val="10"/>
            <w:tcBorders>
              <w:bottom w:val="single" w:color="auto" w:sz="4" w:space="0"/>
            </w:tcBorders>
            <w:noWrap w:val="0"/>
            <w:vAlign w:val="top"/>
          </w:tcPr>
          <w:p w14:paraId="77B5320C">
            <w:pPr>
              <w:rPr>
                <w:highlight w:val="none"/>
              </w:rPr>
            </w:pPr>
          </w:p>
        </w:tc>
      </w:tr>
    </w:tbl>
    <w:p w14:paraId="7195F054">
      <w:pPr>
        <w:tabs>
          <w:tab w:val="left" w:pos="0"/>
        </w:tabs>
        <w:ind w:right="-212"/>
        <w:rPr>
          <w:bCs/>
          <w:highlight w:val="none"/>
        </w:rPr>
      </w:pPr>
    </w:p>
    <w:p w14:paraId="093F9880">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0796D8DF">
      <w:pPr>
        <w:autoSpaceDE w:val="0"/>
        <w:autoSpaceDN w:val="0"/>
        <w:adjustRightInd w:val="0"/>
        <w:snapToGrid w:val="0"/>
        <w:spacing w:before="25" w:after="25" w:line="360" w:lineRule="auto"/>
        <w:ind w:right="360"/>
        <w:jc w:val="left"/>
        <w:rPr>
          <w:sz w:val="24"/>
          <w:szCs w:val="20"/>
          <w:highlight w:val="none"/>
        </w:rPr>
      </w:pPr>
      <w:r>
        <w:rPr>
          <w:sz w:val="24"/>
          <w:szCs w:val="20"/>
          <w:highlight w:val="none"/>
        </w:rPr>
        <w:t xml:space="preserve">日期：____年____月____日 </w:t>
      </w: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9"/>
        <w:gridCol w:w="319"/>
        <w:gridCol w:w="89"/>
        <w:gridCol w:w="754"/>
        <w:gridCol w:w="529"/>
        <w:gridCol w:w="915"/>
        <w:gridCol w:w="672"/>
        <w:gridCol w:w="749"/>
        <w:gridCol w:w="955"/>
        <w:gridCol w:w="422"/>
        <w:gridCol w:w="71"/>
        <w:gridCol w:w="2173"/>
      </w:tblGrid>
      <w:tr w14:paraId="05D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22" w:type="dxa"/>
            <w:gridSpan w:val="4"/>
            <w:noWrap w:val="0"/>
            <w:vAlign w:val="center"/>
          </w:tcPr>
          <w:p w14:paraId="7A218E24">
            <w:pPr>
              <w:jc w:val="center"/>
              <w:rPr>
                <w:highlight w:val="none"/>
              </w:rPr>
            </w:pPr>
            <w:r>
              <w:rPr>
                <w:rFonts w:ascii="Arial" w:hAnsi="Arial"/>
                <w:sz w:val="24"/>
                <w:highlight w:val="none"/>
              </w:rPr>
              <w:br w:type="page"/>
            </w:r>
            <w:r>
              <w:rPr>
                <w:rFonts w:hint="eastAsia"/>
                <w:highlight w:val="none"/>
              </w:rPr>
              <w:t>工程名称</w:t>
            </w:r>
          </w:p>
        </w:tc>
        <w:tc>
          <w:tcPr>
            <w:tcW w:w="7240" w:type="dxa"/>
            <w:gridSpan w:val="9"/>
            <w:noWrap w:val="0"/>
            <w:vAlign w:val="top"/>
          </w:tcPr>
          <w:p w14:paraId="0E900A14">
            <w:pPr>
              <w:jc w:val="center"/>
              <w:rPr>
                <w:bCs/>
                <w:sz w:val="28"/>
                <w:highlight w:val="none"/>
              </w:rPr>
            </w:pPr>
          </w:p>
        </w:tc>
      </w:tr>
      <w:tr w14:paraId="3D7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22" w:type="dxa"/>
            <w:gridSpan w:val="4"/>
            <w:noWrap w:val="0"/>
            <w:vAlign w:val="center"/>
          </w:tcPr>
          <w:p w14:paraId="39775331">
            <w:pPr>
              <w:jc w:val="center"/>
              <w:rPr>
                <w:highlight w:val="none"/>
              </w:rPr>
            </w:pPr>
            <w:r>
              <w:rPr>
                <w:rFonts w:hint="eastAsia"/>
                <w:highlight w:val="none"/>
              </w:rPr>
              <w:t>公司名称</w:t>
            </w:r>
          </w:p>
        </w:tc>
        <w:tc>
          <w:tcPr>
            <w:tcW w:w="7240" w:type="dxa"/>
            <w:gridSpan w:val="9"/>
            <w:noWrap w:val="0"/>
            <w:vAlign w:val="top"/>
          </w:tcPr>
          <w:p w14:paraId="5F8826C2">
            <w:pPr>
              <w:jc w:val="center"/>
              <w:rPr>
                <w:bCs/>
                <w:sz w:val="28"/>
                <w:highlight w:val="none"/>
              </w:rPr>
            </w:pPr>
          </w:p>
        </w:tc>
      </w:tr>
      <w:tr w14:paraId="7D47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62" w:type="dxa"/>
            <w:gridSpan w:val="13"/>
            <w:noWrap w:val="0"/>
            <w:vAlign w:val="center"/>
          </w:tcPr>
          <w:p w14:paraId="1B6EFE1F">
            <w:pPr>
              <w:spacing w:line="300" w:lineRule="auto"/>
              <w:jc w:val="center"/>
              <w:rPr>
                <w:bCs/>
                <w:sz w:val="28"/>
                <w:highlight w:val="none"/>
              </w:rPr>
            </w:pPr>
            <w:r>
              <w:rPr>
                <w:rFonts w:hint="eastAsia" w:hAnsi="宋体"/>
                <w:highlight w:val="none"/>
              </w:rPr>
              <w:t>项目经理简历表</w:t>
            </w:r>
          </w:p>
        </w:tc>
      </w:tr>
      <w:tr w14:paraId="0D63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14:paraId="11DFBCBA">
            <w:pPr>
              <w:rPr>
                <w:highlight w:val="none"/>
              </w:rPr>
            </w:pPr>
            <w:r>
              <w:rPr>
                <w:rFonts w:hint="eastAsia"/>
                <w:highlight w:val="none"/>
              </w:rPr>
              <w:t>姓名</w:t>
            </w:r>
          </w:p>
        </w:tc>
        <w:tc>
          <w:tcPr>
            <w:tcW w:w="1421" w:type="dxa"/>
            <w:gridSpan w:val="4"/>
            <w:noWrap w:val="0"/>
            <w:vAlign w:val="top"/>
          </w:tcPr>
          <w:p w14:paraId="7A378568">
            <w:pPr>
              <w:rPr>
                <w:highlight w:val="none"/>
              </w:rPr>
            </w:pPr>
            <w:r>
              <w:rPr>
                <w:rFonts w:hint="eastAsia"/>
                <w:highlight w:val="none"/>
              </w:rPr>
              <w:t xml:space="preserve"> </w:t>
            </w:r>
          </w:p>
        </w:tc>
        <w:tc>
          <w:tcPr>
            <w:tcW w:w="1444" w:type="dxa"/>
            <w:gridSpan w:val="2"/>
            <w:noWrap w:val="0"/>
            <w:vAlign w:val="top"/>
          </w:tcPr>
          <w:p w14:paraId="5C0DB0E0">
            <w:pPr>
              <w:rPr>
                <w:highlight w:val="none"/>
              </w:rPr>
            </w:pPr>
            <w:r>
              <w:rPr>
                <w:rFonts w:hint="eastAsia"/>
                <w:highlight w:val="none"/>
              </w:rPr>
              <w:t>性别</w:t>
            </w:r>
          </w:p>
        </w:tc>
        <w:tc>
          <w:tcPr>
            <w:tcW w:w="1421" w:type="dxa"/>
            <w:gridSpan w:val="2"/>
            <w:noWrap w:val="0"/>
            <w:vAlign w:val="top"/>
          </w:tcPr>
          <w:p w14:paraId="63DE18F3">
            <w:pPr>
              <w:rPr>
                <w:highlight w:val="none"/>
              </w:rPr>
            </w:pPr>
          </w:p>
        </w:tc>
        <w:tc>
          <w:tcPr>
            <w:tcW w:w="1448" w:type="dxa"/>
            <w:gridSpan w:val="3"/>
            <w:noWrap w:val="0"/>
            <w:vAlign w:val="top"/>
          </w:tcPr>
          <w:p w14:paraId="7DB1EE3B">
            <w:pPr>
              <w:rPr>
                <w:highlight w:val="none"/>
              </w:rPr>
            </w:pPr>
            <w:r>
              <w:rPr>
                <w:rFonts w:hint="eastAsia"/>
                <w:highlight w:val="none"/>
              </w:rPr>
              <w:t>年龄</w:t>
            </w:r>
          </w:p>
        </w:tc>
        <w:tc>
          <w:tcPr>
            <w:tcW w:w="2173" w:type="dxa"/>
            <w:noWrap w:val="0"/>
            <w:vAlign w:val="top"/>
          </w:tcPr>
          <w:p w14:paraId="62C940C9">
            <w:pPr>
              <w:rPr>
                <w:highlight w:val="none"/>
              </w:rPr>
            </w:pPr>
          </w:p>
        </w:tc>
      </w:tr>
      <w:tr w14:paraId="4B68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14:paraId="10798AD1">
            <w:pPr>
              <w:rPr>
                <w:highlight w:val="none"/>
              </w:rPr>
            </w:pPr>
            <w:r>
              <w:rPr>
                <w:rFonts w:hint="eastAsia"/>
                <w:highlight w:val="none"/>
              </w:rPr>
              <w:t>职务</w:t>
            </w:r>
          </w:p>
        </w:tc>
        <w:tc>
          <w:tcPr>
            <w:tcW w:w="1421" w:type="dxa"/>
            <w:gridSpan w:val="4"/>
            <w:noWrap w:val="0"/>
            <w:vAlign w:val="top"/>
          </w:tcPr>
          <w:p w14:paraId="3FEBFA7A">
            <w:pPr>
              <w:rPr>
                <w:highlight w:val="none"/>
              </w:rPr>
            </w:pPr>
          </w:p>
        </w:tc>
        <w:tc>
          <w:tcPr>
            <w:tcW w:w="1444" w:type="dxa"/>
            <w:gridSpan w:val="2"/>
            <w:noWrap w:val="0"/>
            <w:vAlign w:val="top"/>
          </w:tcPr>
          <w:p w14:paraId="7CB83658">
            <w:pPr>
              <w:rPr>
                <w:highlight w:val="none"/>
              </w:rPr>
            </w:pPr>
            <w:r>
              <w:rPr>
                <w:rFonts w:hint="eastAsia"/>
                <w:highlight w:val="none"/>
              </w:rPr>
              <w:t>职称</w:t>
            </w:r>
          </w:p>
        </w:tc>
        <w:tc>
          <w:tcPr>
            <w:tcW w:w="1421" w:type="dxa"/>
            <w:gridSpan w:val="2"/>
            <w:noWrap w:val="0"/>
            <w:vAlign w:val="top"/>
          </w:tcPr>
          <w:p w14:paraId="2E277496">
            <w:pPr>
              <w:rPr>
                <w:highlight w:val="none"/>
              </w:rPr>
            </w:pPr>
          </w:p>
        </w:tc>
        <w:tc>
          <w:tcPr>
            <w:tcW w:w="1448" w:type="dxa"/>
            <w:gridSpan w:val="3"/>
            <w:noWrap w:val="0"/>
            <w:vAlign w:val="top"/>
          </w:tcPr>
          <w:p w14:paraId="6898CEA4">
            <w:pPr>
              <w:rPr>
                <w:highlight w:val="none"/>
              </w:rPr>
            </w:pPr>
            <w:r>
              <w:rPr>
                <w:rFonts w:hint="eastAsia"/>
                <w:highlight w:val="none"/>
              </w:rPr>
              <w:t>学历</w:t>
            </w:r>
          </w:p>
        </w:tc>
        <w:tc>
          <w:tcPr>
            <w:tcW w:w="2173" w:type="dxa"/>
            <w:noWrap w:val="0"/>
            <w:vAlign w:val="top"/>
          </w:tcPr>
          <w:p w14:paraId="54AE5C32">
            <w:pPr>
              <w:rPr>
                <w:highlight w:val="none"/>
              </w:rPr>
            </w:pPr>
          </w:p>
        </w:tc>
      </w:tr>
      <w:tr w14:paraId="24C9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gridSpan w:val="3"/>
            <w:noWrap w:val="0"/>
            <w:vAlign w:val="top"/>
          </w:tcPr>
          <w:p w14:paraId="46041D51">
            <w:pPr>
              <w:rPr>
                <w:highlight w:val="none"/>
              </w:rPr>
            </w:pPr>
            <w:r>
              <w:rPr>
                <w:rFonts w:hint="eastAsia"/>
                <w:highlight w:val="none"/>
              </w:rPr>
              <w:t>参加工作时间</w:t>
            </w:r>
          </w:p>
        </w:tc>
        <w:tc>
          <w:tcPr>
            <w:tcW w:w="2287" w:type="dxa"/>
            <w:gridSpan w:val="4"/>
            <w:noWrap w:val="0"/>
            <w:vAlign w:val="top"/>
          </w:tcPr>
          <w:p w14:paraId="4E414904">
            <w:pPr>
              <w:rPr>
                <w:highlight w:val="none"/>
              </w:rPr>
            </w:pPr>
          </w:p>
        </w:tc>
        <w:tc>
          <w:tcPr>
            <w:tcW w:w="2376" w:type="dxa"/>
            <w:gridSpan w:val="3"/>
            <w:noWrap w:val="0"/>
            <w:vAlign w:val="top"/>
          </w:tcPr>
          <w:p w14:paraId="40A4A440">
            <w:pPr>
              <w:rPr>
                <w:rFonts w:hint="eastAsia" w:hAnsi="宋体"/>
                <w:highlight w:val="none"/>
              </w:rPr>
            </w:pPr>
            <w:r>
              <w:rPr>
                <w:rFonts w:hint="eastAsia" w:hAnsi="宋体"/>
                <w:highlight w:val="none"/>
              </w:rPr>
              <w:t>从事项目经理年限</w:t>
            </w:r>
          </w:p>
        </w:tc>
        <w:tc>
          <w:tcPr>
            <w:tcW w:w="2666" w:type="dxa"/>
            <w:gridSpan w:val="3"/>
            <w:noWrap w:val="0"/>
            <w:vAlign w:val="top"/>
          </w:tcPr>
          <w:p w14:paraId="11787309">
            <w:pPr>
              <w:rPr>
                <w:highlight w:val="none"/>
              </w:rPr>
            </w:pPr>
          </w:p>
        </w:tc>
      </w:tr>
      <w:tr w14:paraId="2A0A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13"/>
            <w:tcBorders>
              <w:bottom w:val="single" w:color="auto" w:sz="4" w:space="0"/>
            </w:tcBorders>
            <w:noWrap w:val="0"/>
            <w:vAlign w:val="center"/>
          </w:tcPr>
          <w:p w14:paraId="6ACA5EA9">
            <w:pPr>
              <w:jc w:val="center"/>
              <w:rPr>
                <w:rFonts w:hint="eastAsia" w:hAnsi="宋体"/>
                <w:highlight w:val="none"/>
              </w:rPr>
            </w:pPr>
            <w:r>
              <w:rPr>
                <w:rFonts w:hint="eastAsia" w:hAnsi="宋体"/>
                <w:highlight w:val="none"/>
              </w:rPr>
              <w:t>相关工程业绩</w:t>
            </w:r>
          </w:p>
        </w:tc>
      </w:tr>
      <w:tr w14:paraId="4BFC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noWrap w:val="0"/>
            <w:vAlign w:val="center"/>
          </w:tcPr>
          <w:p w14:paraId="20DEB696">
            <w:pPr>
              <w:jc w:val="center"/>
              <w:rPr>
                <w:highlight w:val="none"/>
              </w:rPr>
            </w:pPr>
            <w:r>
              <w:rPr>
                <w:rFonts w:hint="eastAsia"/>
                <w:highlight w:val="none"/>
              </w:rPr>
              <w:t>建设单位</w:t>
            </w:r>
          </w:p>
        </w:tc>
        <w:tc>
          <w:tcPr>
            <w:tcW w:w="1691" w:type="dxa"/>
            <w:gridSpan w:val="4"/>
            <w:noWrap w:val="0"/>
            <w:vAlign w:val="center"/>
          </w:tcPr>
          <w:p w14:paraId="63054BF0">
            <w:pPr>
              <w:jc w:val="center"/>
              <w:rPr>
                <w:highlight w:val="none"/>
              </w:rPr>
            </w:pPr>
            <w:r>
              <w:rPr>
                <w:rFonts w:hint="eastAsia"/>
                <w:highlight w:val="none"/>
              </w:rPr>
              <w:t>项目名称</w:t>
            </w:r>
          </w:p>
        </w:tc>
        <w:tc>
          <w:tcPr>
            <w:tcW w:w="1587" w:type="dxa"/>
            <w:gridSpan w:val="2"/>
            <w:noWrap w:val="0"/>
            <w:vAlign w:val="center"/>
          </w:tcPr>
          <w:p w14:paraId="0F08772F">
            <w:pPr>
              <w:jc w:val="center"/>
              <w:rPr>
                <w:highlight w:val="none"/>
              </w:rPr>
            </w:pPr>
            <w:r>
              <w:rPr>
                <w:rFonts w:hint="eastAsia"/>
                <w:highlight w:val="none"/>
              </w:rPr>
              <w:t>建设规模</w:t>
            </w:r>
          </w:p>
        </w:tc>
        <w:tc>
          <w:tcPr>
            <w:tcW w:w="2126" w:type="dxa"/>
            <w:gridSpan w:val="3"/>
            <w:noWrap w:val="0"/>
            <w:vAlign w:val="center"/>
          </w:tcPr>
          <w:p w14:paraId="1F1FE737">
            <w:pPr>
              <w:jc w:val="center"/>
              <w:rPr>
                <w:highlight w:val="none"/>
              </w:rPr>
            </w:pPr>
            <w:r>
              <w:rPr>
                <w:rFonts w:hint="eastAsia"/>
                <w:highlight w:val="none"/>
              </w:rPr>
              <w:t>开、竣工程日期</w:t>
            </w:r>
          </w:p>
        </w:tc>
        <w:tc>
          <w:tcPr>
            <w:tcW w:w="2244" w:type="dxa"/>
            <w:gridSpan w:val="2"/>
            <w:tcBorders>
              <w:top w:val="nil"/>
            </w:tcBorders>
            <w:noWrap w:val="0"/>
            <w:vAlign w:val="center"/>
          </w:tcPr>
          <w:p w14:paraId="2478AB20">
            <w:pPr>
              <w:jc w:val="center"/>
              <w:rPr>
                <w:highlight w:val="none"/>
              </w:rPr>
            </w:pPr>
            <w:r>
              <w:rPr>
                <w:rFonts w:hint="eastAsia"/>
                <w:highlight w:val="none"/>
              </w:rPr>
              <w:t>工程质量</w:t>
            </w:r>
          </w:p>
        </w:tc>
      </w:tr>
      <w:tr w14:paraId="478D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28B3F286">
            <w:pPr>
              <w:spacing w:line="480" w:lineRule="auto"/>
              <w:rPr>
                <w:rFonts w:hint="eastAsia" w:hAnsi="宋体"/>
                <w:bCs/>
                <w:szCs w:val="23"/>
                <w:highlight w:val="none"/>
              </w:rPr>
            </w:pPr>
          </w:p>
        </w:tc>
        <w:tc>
          <w:tcPr>
            <w:tcW w:w="1691" w:type="dxa"/>
            <w:gridSpan w:val="4"/>
            <w:noWrap w:val="0"/>
            <w:vAlign w:val="top"/>
          </w:tcPr>
          <w:p w14:paraId="6872A3FB">
            <w:pPr>
              <w:spacing w:line="480" w:lineRule="auto"/>
              <w:rPr>
                <w:rFonts w:hint="eastAsia" w:hAnsi="宋体"/>
                <w:bCs/>
                <w:szCs w:val="23"/>
                <w:highlight w:val="none"/>
              </w:rPr>
            </w:pPr>
          </w:p>
        </w:tc>
        <w:tc>
          <w:tcPr>
            <w:tcW w:w="1587" w:type="dxa"/>
            <w:gridSpan w:val="2"/>
            <w:noWrap w:val="0"/>
            <w:vAlign w:val="top"/>
          </w:tcPr>
          <w:p w14:paraId="6D2DCBCF">
            <w:pPr>
              <w:spacing w:line="480" w:lineRule="auto"/>
              <w:rPr>
                <w:rFonts w:hint="eastAsia" w:hAnsi="宋体"/>
                <w:bCs/>
                <w:szCs w:val="23"/>
                <w:highlight w:val="none"/>
              </w:rPr>
            </w:pPr>
          </w:p>
        </w:tc>
        <w:tc>
          <w:tcPr>
            <w:tcW w:w="2126" w:type="dxa"/>
            <w:gridSpan w:val="3"/>
            <w:noWrap w:val="0"/>
            <w:vAlign w:val="top"/>
          </w:tcPr>
          <w:p w14:paraId="41D833A3">
            <w:pPr>
              <w:spacing w:line="480" w:lineRule="auto"/>
              <w:rPr>
                <w:rFonts w:hint="eastAsia" w:hAnsi="宋体"/>
                <w:bCs/>
                <w:szCs w:val="23"/>
                <w:highlight w:val="none"/>
              </w:rPr>
            </w:pPr>
          </w:p>
        </w:tc>
        <w:tc>
          <w:tcPr>
            <w:tcW w:w="2244" w:type="dxa"/>
            <w:gridSpan w:val="2"/>
            <w:noWrap w:val="0"/>
            <w:vAlign w:val="top"/>
          </w:tcPr>
          <w:p w14:paraId="56635F25">
            <w:pPr>
              <w:spacing w:line="480" w:lineRule="auto"/>
              <w:rPr>
                <w:rFonts w:hint="eastAsia" w:hAnsi="宋体"/>
                <w:bCs/>
                <w:szCs w:val="23"/>
                <w:highlight w:val="none"/>
              </w:rPr>
            </w:pPr>
          </w:p>
        </w:tc>
      </w:tr>
      <w:tr w14:paraId="2265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3D70071A">
            <w:pPr>
              <w:spacing w:line="480" w:lineRule="auto"/>
              <w:rPr>
                <w:rFonts w:hint="eastAsia" w:hAnsi="宋体"/>
                <w:bCs/>
                <w:szCs w:val="23"/>
                <w:highlight w:val="none"/>
              </w:rPr>
            </w:pPr>
          </w:p>
        </w:tc>
        <w:tc>
          <w:tcPr>
            <w:tcW w:w="1691" w:type="dxa"/>
            <w:gridSpan w:val="4"/>
            <w:noWrap w:val="0"/>
            <w:vAlign w:val="top"/>
          </w:tcPr>
          <w:p w14:paraId="5FF9FB25">
            <w:pPr>
              <w:spacing w:line="480" w:lineRule="auto"/>
              <w:rPr>
                <w:rFonts w:hint="eastAsia" w:hAnsi="宋体"/>
                <w:bCs/>
                <w:szCs w:val="23"/>
                <w:highlight w:val="none"/>
              </w:rPr>
            </w:pPr>
          </w:p>
        </w:tc>
        <w:tc>
          <w:tcPr>
            <w:tcW w:w="1587" w:type="dxa"/>
            <w:gridSpan w:val="2"/>
            <w:noWrap w:val="0"/>
            <w:vAlign w:val="top"/>
          </w:tcPr>
          <w:p w14:paraId="01D2DFD7">
            <w:pPr>
              <w:spacing w:line="480" w:lineRule="auto"/>
              <w:rPr>
                <w:rFonts w:hint="eastAsia" w:hAnsi="宋体"/>
                <w:bCs/>
                <w:szCs w:val="23"/>
                <w:highlight w:val="none"/>
              </w:rPr>
            </w:pPr>
          </w:p>
        </w:tc>
        <w:tc>
          <w:tcPr>
            <w:tcW w:w="2126" w:type="dxa"/>
            <w:gridSpan w:val="3"/>
            <w:noWrap w:val="0"/>
            <w:vAlign w:val="top"/>
          </w:tcPr>
          <w:p w14:paraId="39B92E82">
            <w:pPr>
              <w:spacing w:line="480" w:lineRule="auto"/>
              <w:rPr>
                <w:rFonts w:hint="eastAsia" w:hAnsi="宋体"/>
                <w:bCs/>
                <w:szCs w:val="23"/>
                <w:highlight w:val="none"/>
              </w:rPr>
            </w:pPr>
          </w:p>
        </w:tc>
        <w:tc>
          <w:tcPr>
            <w:tcW w:w="2244" w:type="dxa"/>
            <w:gridSpan w:val="2"/>
            <w:noWrap w:val="0"/>
            <w:vAlign w:val="top"/>
          </w:tcPr>
          <w:p w14:paraId="6EDA57F2">
            <w:pPr>
              <w:spacing w:line="480" w:lineRule="auto"/>
              <w:rPr>
                <w:rFonts w:hint="eastAsia" w:hAnsi="宋体"/>
                <w:bCs/>
                <w:szCs w:val="23"/>
                <w:highlight w:val="none"/>
              </w:rPr>
            </w:pPr>
          </w:p>
        </w:tc>
      </w:tr>
      <w:tr w14:paraId="48E5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2C849DDD">
            <w:pPr>
              <w:spacing w:line="480" w:lineRule="auto"/>
              <w:rPr>
                <w:rFonts w:hint="eastAsia" w:hAnsi="宋体"/>
                <w:bCs/>
                <w:szCs w:val="23"/>
                <w:highlight w:val="none"/>
              </w:rPr>
            </w:pPr>
          </w:p>
        </w:tc>
        <w:tc>
          <w:tcPr>
            <w:tcW w:w="1691" w:type="dxa"/>
            <w:gridSpan w:val="4"/>
            <w:noWrap w:val="0"/>
            <w:vAlign w:val="top"/>
          </w:tcPr>
          <w:p w14:paraId="2EACC603">
            <w:pPr>
              <w:spacing w:line="480" w:lineRule="auto"/>
              <w:rPr>
                <w:rFonts w:hint="eastAsia" w:hAnsi="宋体"/>
                <w:bCs/>
                <w:szCs w:val="23"/>
                <w:highlight w:val="none"/>
              </w:rPr>
            </w:pPr>
          </w:p>
        </w:tc>
        <w:tc>
          <w:tcPr>
            <w:tcW w:w="1587" w:type="dxa"/>
            <w:gridSpan w:val="2"/>
            <w:noWrap w:val="0"/>
            <w:vAlign w:val="top"/>
          </w:tcPr>
          <w:p w14:paraId="33E88954">
            <w:pPr>
              <w:spacing w:line="480" w:lineRule="auto"/>
              <w:rPr>
                <w:rFonts w:hint="eastAsia" w:hAnsi="宋体"/>
                <w:bCs/>
                <w:szCs w:val="23"/>
                <w:highlight w:val="none"/>
              </w:rPr>
            </w:pPr>
          </w:p>
        </w:tc>
        <w:tc>
          <w:tcPr>
            <w:tcW w:w="2126" w:type="dxa"/>
            <w:gridSpan w:val="3"/>
            <w:noWrap w:val="0"/>
            <w:vAlign w:val="top"/>
          </w:tcPr>
          <w:p w14:paraId="13F307AA">
            <w:pPr>
              <w:spacing w:line="480" w:lineRule="auto"/>
              <w:rPr>
                <w:rFonts w:hint="eastAsia" w:hAnsi="宋体"/>
                <w:bCs/>
                <w:szCs w:val="23"/>
                <w:highlight w:val="none"/>
              </w:rPr>
            </w:pPr>
          </w:p>
        </w:tc>
        <w:tc>
          <w:tcPr>
            <w:tcW w:w="2244" w:type="dxa"/>
            <w:gridSpan w:val="2"/>
            <w:noWrap w:val="0"/>
            <w:vAlign w:val="top"/>
          </w:tcPr>
          <w:p w14:paraId="06B5BDCA">
            <w:pPr>
              <w:spacing w:line="480" w:lineRule="auto"/>
              <w:rPr>
                <w:rFonts w:hint="eastAsia" w:hAnsi="宋体"/>
                <w:bCs/>
                <w:szCs w:val="23"/>
                <w:highlight w:val="none"/>
              </w:rPr>
            </w:pPr>
          </w:p>
        </w:tc>
      </w:tr>
      <w:tr w14:paraId="1CE0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517E8A36">
            <w:pPr>
              <w:spacing w:line="480" w:lineRule="auto"/>
              <w:rPr>
                <w:rFonts w:hint="eastAsia" w:hAnsi="宋体"/>
                <w:bCs/>
                <w:szCs w:val="23"/>
                <w:highlight w:val="none"/>
              </w:rPr>
            </w:pPr>
          </w:p>
        </w:tc>
        <w:tc>
          <w:tcPr>
            <w:tcW w:w="1691" w:type="dxa"/>
            <w:gridSpan w:val="4"/>
            <w:noWrap w:val="0"/>
            <w:vAlign w:val="top"/>
          </w:tcPr>
          <w:p w14:paraId="775B7B1D">
            <w:pPr>
              <w:spacing w:line="480" w:lineRule="auto"/>
              <w:rPr>
                <w:rFonts w:hint="eastAsia" w:hAnsi="宋体"/>
                <w:bCs/>
                <w:szCs w:val="23"/>
                <w:highlight w:val="none"/>
              </w:rPr>
            </w:pPr>
          </w:p>
        </w:tc>
        <w:tc>
          <w:tcPr>
            <w:tcW w:w="1587" w:type="dxa"/>
            <w:gridSpan w:val="2"/>
            <w:noWrap w:val="0"/>
            <w:vAlign w:val="top"/>
          </w:tcPr>
          <w:p w14:paraId="288E5B5D">
            <w:pPr>
              <w:spacing w:line="480" w:lineRule="auto"/>
              <w:rPr>
                <w:rFonts w:hint="eastAsia" w:hAnsi="宋体"/>
                <w:bCs/>
                <w:szCs w:val="23"/>
                <w:highlight w:val="none"/>
              </w:rPr>
            </w:pPr>
          </w:p>
        </w:tc>
        <w:tc>
          <w:tcPr>
            <w:tcW w:w="2126" w:type="dxa"/>
            <w:gridSpan w:val="3"/>
            <w:noWrap w:val="0"/>
            <w:vAlign w:val="top"/>
          </w:tcPr>
          <w:p w14:paraId="766669C8">
            <w:pPr>
              <w:spacing w:line="480" w:lineRule="auto"/>
              <w:rPr>
                <w:rFonts w:hint="eastAsia" w:hAnsi="宋体"/>
                <w:bCs/>
                <w:szCs w:val="23"/>
                <w:highlight w:val="none"/>
              </w:rPr>
            </w:pPr>
          </w:p>
        </w:tc>
        <w:tc>
          <w:tcPr>
            <w:tcW w:w="2244" w:type="dxa"/>
            <w:gridSpan w:val="2"/>
            <w:noWrap w:val="0"/>
            <w:vAlign w:val="top"/>
          </w:tcPr>
          <w:p w14:paraId="34168C69">
            <w:pPr>
              <w:spacing w:line="480" w:lineRule="auto"/>
              <w:rPr>
                <w:rFonts w:hint="eastAsia" w:hAnsi="宋体"/>
                <w:bCs/>
                <w:szCs w:val="23"/>
                <w:highlight w:val="none"/>
              </w:rPr>
            </w:pPr>
          </w:p>
        </w:tc>
      </w:tr>
      <w:tr w14:paraId="35D8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01851EB7">
            <w:pPr>
              <w:spacing w:line="480" w:lineRule="auto"/>
              <w:rPr>
                <w:rFonts w:hint="eastAsia" w:hAnsi="宋体"/>
                <w:bCs/>
                <w:szCs w:val="23"/>
                <w:highlight w:val="none"/>
              </w:rPr>
            </w:pPr>
          </w:p>
        </w:tc>
        <w:tc>
          <w:tcPr>
            <w:tcW w:w="1691" w:type="dxa"/>
            <w:gridSpan w:val="4"/>
            <w:noWrap w:val="0"/>
            <w:vAlign w:val="top"/>
          </w:tcPr>
          <w:p w14:paraId="3E65F9E9">
            <w:pPr>
              <w:spacing w:line="480" w:lineRule="auto"/>
              <w:rPr>
                <w:rFonts w:hint="eastAsia" w:hAnsi="宋体"/>
                <w:bCs/>
                <w:szCs w:val="23"/>
                <w:highlight w:val="none"/>
              </w:rPr>
            </w:pPr>
          </w:p>
        </w:tc>
        <w:tc>
          <w:tcPr>
            <w:tcW w:w="1587" w:type="dxa"/>
            <w:gridSpan w:val="2"/>
            <w:noWrap w:val="0"/>
            <w:vAlign w:val="top"/>
          </w:tcPr>
          <w:p w14:paraId="6AED18CB">
            <w:pPr>
              <w:spacing w:line="480" w:lineRule="auto"/>
              <w:rPr>
                <w:rFonts w:hint="eastAsia" w:hAnsi="宋体"/>
                <w:bCs/>
                <w:szCs w:val="23"/>
                <w:highlight w:val="none"/>
              </w:rPr>
            </w:pPr>
          </w:p>
        </w:tc>
        <w:tc>
          <w:tcPr>
            <w:tcW w:w="2126" w:type="dxa"/>
            <w:gridSpan w:val="3"/>
            <w:noWrap w:val="0"/>
            <w:vAlign w:val="top"/>
          </w:tcPr>
          <w:p w14:paraId="63B174C0">
            <w:pPr>
              <w:spacing w:line="480" w:lineRule="auto"/>
              <w:rPr>
                <w:rFonts w:hint="eastAsia" w:hAnsi="宋体"/>
                <w:bCs/>
                <w:szCs w:val="23"/>
                <w:highlight w:val="none"/>
              </w:rPr>
            </w:pPr>
          </w:p>
        </w:tc>
        <w:tc>
          <w:tcPr>
            <w:tcW w:w="2244" w:type="dxa"/>
            <w:gridSpan w:val="2"/>
            <w:noWrap w:val="0"/>
            <w:vAlign w:val="top"/>
          </w:tcPr>
          <w:p w14:paraId="28978DA1">
            <w:pPr>
              <w:spacing w:line="480" w:lineRule="auto"/>
              <w:rPr>
                <w:rFonts w:hint="eastAsia" w:hAnsi="宋体"/>
                <w:bCs/>
                <w:szCs w:val="23"/>
                <w:highlight w:val="none"/>
              </w:rPr>
            </w:pPr>
          </w:p>
        </w:tc>
      </w:tr>
      <w:tr w14:paraId="1857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58890F47">
            <w:pPr>
              <w:spacing w:line="480" w:lineRule="auto"/>
              <w:rPr>
                <w:rFonts w:hint="eastAsia" w:hAnsi="宋体"/>
                <w:bCs/>
                <w:szCs w:val="23"/>
                <w:highlight w:val="none"/>
              </w:rPr>
            </w:pPr>
          </w:p>
        </w:tc>
        <w:tc>
          <w:tcPr>
            <w:tcW w:w="1691" w:type="dxa"/>
            <w:gridSpan w:val="4"/>
            <w:noWrap w:val="0"/>
            <w:vAlign w:val="top"/>
          </w:tcPr>
          <w:p w14:paraId="6E41E628">
            <w:pPr>
              <w:spacing w:line="480" w:lineRule="auto"/>
              <w:rPr>
                <w:rFonts w:hint="eastAsia" w:hAnsi="宋体"/>
                <w:bCs/>
                <w:szCs w:val="23"/>
                <w:highlight w:val="none"/>
              </w:rPr>
            </w:pPr>
          </w:p>
        </w:tc>
        <w:tc>
          <w:tcPr>
            <w:tcW w:w="1587" w:type="dxa"/>
            <w:gridSpan w:val="2"/>
            <w:noWrap w:val="0"/>
            <w:vAlign w:val="top"/>
          </w:tcPr>
          <w:p w14:paraId="1F64E8FA">
            <w:pPr>
              <w:spacing w:line="480" w:lineRule="auto"/>
              <w:rPr>
                <w:rFonts w:hint="eastAsia" w:hAnsi="宋体"/>
                <w:bCs/>
                <w:szCs w:val="23"/>
                <w:highlight w:val="none"/>
              </w:rPr>
            </w:pPr>
          </w:p>
        </w:tc>
        <w:tc>
          <w:tcPr>
            <w:tcW w:w="2126" w:type="dxa"/>
            <w:gridSpan w:val="3"/>
            <w:noWrap w:val="0"/>
            <w:vAlign w:val="top"/>
          </w:tcPr>
          <w:p w14:paraId="7D746F03">
            <w:pPr>
              <w:spacing w:line="480" w:lineRule="auto"/>
              <w:rPr>
                <w:rFonts w:hint="eastAsia" w:hAnsi="宋体"/>
                <w:bCs/>
                <w:szCs w:val="23"/>
                <w:highlight w:val="none"/>
              </w:rPr>
            </w:pPr>
          </w:p>
        </w:tc>
        <w:tc>
          <w:tcPr>
            <w:tcW w:w="2244" w:type="dxa"/>
            <w:gridSpan w:val="2"/>
            <w:noWrap w:val="0"/>
            <w:vAlign w:val="top"/>
          </w:tcPr>
          <w:p w14:paraId="63F86650">
            <w:pPr>
              <w:spacing w:line="480" w:lineRule="auto"/>
              <w:rPr>
                <w:rFonts w:hint="eastAsia" w:hAnsi="宋体"/>
                <w:bCs/>
                <w:szCs w:val="23"/>
                <w:highlight w:val="none"/>
              </w:rPr>
            </w:pPr>
          </w:p>
        </w:tc>
      </w:tr>
      <w:tr w14:paraId="4230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3DD4A467">
            <w:pPr>
              <w:spacing w:line="480" w:lineRule="auto"/>
              <w:rPr>
                <w:rFonts w:hint="eastAsia" w:hAnsi="宋体"/>
                <w:bCs/>
                <w:szCs w:val="23"/>
                <w:highlight w:val="none"/>
              </w:rPr>
            </w:pPr>
          </w:p>
        </w:tc>
        <w:tc>
          <w:tcPr>
            <w:tcW w:w="1691" w:type="dxa"/>
            <w:gridSpan w:val="4"/>
            <w:noWrap w:val="0"/>
            <w:vAlign w:val="top"/>
          </w:tcPr>
          <w:p w14:paraId="21AEB626">
            <w:pPr>
              <w:spacing w:line="480" w:lineRule="auto"/>
              <w:rPr>
                <w:rFonts w:hint="eastAsia" w:hAnsi="宋体"/>
                <w:bCs/>
                <w:szCs w:val="23"/>
                <w:highlight w:val="none"/>
              </w:rPr>
            </w:pPr>
          </w:p>
        </w:tc>
        <w:tc>
          <w:tcPr>
            <w:tcW w:w="1587" w:type="dxa"/>
            <w:gridSpan w:val="2"/>
            <w:noWrap w:val="0"/>
            <w:vAlign w:val="top"/>
          </w:tcPr>
          <w:p w14:paraId="0CC900A0">
            <w:pPr>
              <w:spacing w:line="480" w:lineRule="auto"/>
              <w:rPr>
                <w:rFonts w:hint="eastAsia" w:hAnsi="宋体"/>
                <w:bCs/>
                <w:szCs w:val="23"/>
                <w:highlight w:val="none"/>
              </w:rPr>
            </w:pPr>
          </w:p>
        </w:tc>
        <w:tc>
          <w:tcPr>
            <w:tcW w:w="2126" w:type="dxa"/>
            <w:gridSpan w:val="3"/>
            <w:noWrap w:val="0"/>
            <w:vAlign w:val="top"/>
          </w:tcPr>
          <w:p w14:paraId="165B1401">
            <w:pPr>
              <w:spacing w:line="480" w:lineRule="auto"/>
              <w:rPr>
                <w:rFonts w:hint="eastAsia" w:hAnsi="宋体"/>
                <w:bCs/>
                <w:szCs w:val="23"/>
                <w:highlight w:val="none"/>
              </w:rPr>
            </w:pPr>
          </w:p>
        </w:tc>
        <w:tc>
          <w:tcPr>
            <w:tcW w:w="2244" w:type="dxa"/>
            <w:gridSpan w:val="2"/>
            <w:noWrap w:val="0"/>
            <w:vAlign w:val="top"/>
          </w:tcPr>
          <w:p w14:paraId="4F60DDED">
            <w:pPr>
              <w:spacing w:line="480" w:lineRule="auto"/>
              <w:rPr>
                <w:rFonts w:hint="eastAsia" w:hAnsi="宋体"/>
                <w:bCs/>
                <w:szCs w:val="23"/>
                <w:highlight w:val="none"/>
              </w:rPr>
            </w:pPr>
          </w:p>
        </w:tc>
      </w:tr>
      <w:tr w14:paraId="130F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2C6D0119">
            <w:pPr>
              <w:spacing w:line="480" w:lineRule="auto"/>
              <w:rPr>
                <w:rFonts w:hint="eastAsia" w:hAnsi="宋体"/>
                <w:bCs/>
                <w:szCs w:val="23"/>
                <w:highlight w:val="none"/>
              </w:rPr>
            </w:pPr>
          </w:p>
        </w:tc>
        <w:tc>
          <w:tcPr>
            <w:tcW w:w="1691" w:type="dxa"/>
            <w:gridSpan w:val="4"/>
            <w:noWrap w:val="0"/>
            <w:vAlign w:val="top"/>
          </w:tcPr>
          <w:p w14:paraId="5925D810">
            <w:pPr>
              <w:spacing w:line="480" w:lineRule="auto"/>
              <w:rPr>
                <w:rFonts w:hint="eastAsia" w:hAnsi="宋体"/>
                <w:bCs/>
                <w:szCs w:val="23"/>
                <w:highlight w:val="none"/>
              </w:rPr>
            </w:pPr>
          </w:p>
        </w:tc>
        <w:tc>
          <w:tcPr>
            <w:tcW w:w="1587" w:type="dxa"/>
            <w:gridSpan w:val="2"/>
            <w:noWrap w:val="0"/>
            <w:vAlign w:val="top"/>
          </w:tcPr>
          <w:p w14:paraId="4993E9F4">
            <w:pPr>
              <w:spacing w:line="480" w:lineRule="auto"/>
              <w:rPr>
                <w:rFonts w:hint="eastAsia" w:hAnsi="宋体"/>
                <w:bCs/>
                <w:szCs w:val="23"/>
                <w:highlight w:val="none"/>
              </w:rPr>
            </w:pPr>
          </w:p>
        </w:tc>
        <w:tc>
          <w:tcPr>
            <w:tcW w:w="2126" w:type="dxa"/>
            <w:gridSpan w:val="3"/>
            <w:noWrap w:val="0"/>
            <w:vAlign w:val="top"/>
          </w:tcPr>
          <w:p w14:paraId="5474A376">
            <w:pPr>
              <w:spacing w:line="480" w:lineRule="auto"/>
              <w:rPr>
                <w:rFonts w:hint="eastAsia" w:hAnsi="宋体"/>
                <w:bCs/>
                <w:szCs w:val="23"/>
                <w:highlight w:val="none"/>
              </w:rPr>
            </w:pPr>
          </w:p>
        </w:tc>
        <w:tc>
          <w:tcPr>
            <w:tcW w:w="2244" w:type="dxa"/>
            <w:gridSpan w:val="2"/>
            <w:noWrap w:val="0"/>
            <w:vAlign w:val="top"/>
          </w:tcPr>
          <w:p w14:paraId="3913BD8B">
            <w:pPr>
              <w:spacing w:line="480" w:lineRule="auto"/>
              <w:rPr>
                <w:rFonts w:hint="eastAsia" w:hAnsi="宋体"/>
                <w:bCs/>
                <w:szCs w:val="23"/>
                <w:highlight w:val="none"/>
              </w:rPr>
            </w:pPr>
          </w:p>
        </w:tc>
      </w:tr>
      <w:tr w14:paraId="1B00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48266EE6">
            <w:pPr>
              <w:spacing w:line="480" w:lineRule="auto"/>
              <w:rPr>
                <w:rFonts w:hint="eastAsia" w:hAnsi="宋体"/>
                <w:bCs/>
                <w:szCs w:val="23"/>
                <w:highlight w:val="none"/>
              </w:rPr>
            </w:pPr>
          </w:p>
        </w:tc>
        <w:tc>
          <w:tcPr>
            <w:tcW w:w="1691" w:type="dxa"/>
            <w:gridSpan w:val="4"/>
            <w:noWrap w:val="0"/>
            <w:vAlign w:val="top"/>
          </w:tcPr>
          <w:p w14:paraId="2958D0C1">
            <w:pPr>
              <w:spacing w:line="480" w:lineRule="auto"/>
              <w:rPr>
                <w:rFonts w:hint="eastAsia" w:hAnsi="宋体"/>
                <w:bCs/>
                <w:szCs w:val="23"/>
                <w:highlight w:val="none"/>
              </w:rPr>
            </w:pPr>
          </w:p>
        </w:tc>
        <w:tc>
          <w:tcPr>
            <w:tcW w:w="1587" w:type="dxa"/>
            <w:gridSpan w:val="2"/>
            <w:noWrap w:val="0"/>
            <w:vAlign w:val="top"/>
          </w:tcPr>
          <w:p w14:paraId="61E4E02E">
            <w:pPr>
              <w:spacing w:line="480" w:lineRule="auto"/>
              <w:rPr>
                <w:rFonts w:hint="eastAsia" w:hAnsi="宋体"/>
                <w:bCs/>
                <w:szCs w:val="23"/>
                <w:highlight w:val="none"/>
              </w:rPr>
            </w:pPr>
          </w:p>
        </w:tc>
        <w:tc>
          <w:tcPr>
            <w:tcW w:w="2126" w:type="dxa"/>
            <w:gridSpan w:val="3"/>
            <w:noWrap w:val="0"/>
            <w:vAlign w:val="top"/>
          </w:tcPr>
          <w:p w14:paraId="2DCCBC26">
            <w:pPr>
              <w:spacing w:line="480" w:lineRule="auto"/>
              <w:rPr>
                <w:rFonts w:hint="eastAsia" w:hAnsi="宋体"/>
                <w:bCs/>
                <w:szCs w:val="23"/>
                <w:highlight w:val="none"/>
              </w:rPr>
            </w:pPr>
          </w:p>
        </w:tc>
        <w:tc>
          <w:tcPr>
            <w:tcW w:w="2244" w:type="dxa"/>
            <w:gridSpan w:val="2"/>
            <w:noWrap w:val="0"/>
            <w:vAlign w:val="top"/>
          </w:tcPr>
          <w:p w14:paraId="7E7D597D">
            <w:pPr>
              <w:spacing w:line="480" w:lineRule="auto"/>
              <w:rPr>
                <w:rFonts w:hint="eastAsia" w:hAnsi="宋体"/>
                <w:bCs/>
                <w:szCs w:val="23"/>
                <w:highlight w:val="none"/>
              </w:rPr>
            </w:pPr>
          </w:p>
        </w:tc>
      </w:tr>
      <w:tr w14:paraId="64E9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66BE7D1E">
            <w:pPr>
              <w:spacing w:line="480" w:lineRule="auto"/>
              <w:rPr>
                <w:rFonts w:hint="eastAsia" w:hAnsi="宋体"/>
                <w:bCs/>
                <w:szCs w:val="23"/>
                <w:highlight w:val="none"/>
              </w:rPr>
            </w:pPr>
          </w:p>
        </w:tc>
        <w:tc>
          <w:tcPr>
            <w:tcW w:w="1691" w:type="dxa"/>
            <w:gridSpan w:val="4"/>
            <w:noWrap w:val="0"/>
            <w:vAlign w:val="top"/>
          </w:tcPr>
          <w:p w14:paraId="41F988AD">
            <w:pPr>
              <w:spacing w:line="480" w:lineRule="auto"/>
              <w:rPr>
                <w:rFonts w:hint="eastAsia" w:hAnsi="宋体"/>
                <w:bCs/>
                <w:szCs w:val="23"/>
                <w:highlight w:val="none"/>
              </w:rPr>
            </w:pPr>
          </w:p>
        </w:tc>
        <w:tc>
          <w:tcPr>
            <w:tcW w:w="1587" w:type="dxa"/>
            <w:gridSpan w:val="2"/>
            <w:noWrap w:val="0"/>
            <w:vAlign w:val="top"/>
          </w:tcPr>
          <w:p w14:paraId="5588E912">
            <w:pPr>
              <w:spacing w:line="480" w:lineRule="auto"/>
              <w:rPr>
                <w:rFonts w:hint="eastAsia" w:hAnsi="宋体"/>
                <w:bCs/>
                <w:szCs w:val="23"/>
                <w:highlight w:val="none"/>
              </w:rPr>
            </w:pPr>
          </w:p>
        </w:tc>
        <w:tc>
          <w:tcPr>
            <w:tcW w:w="2126" w:type="dxa"/>
            <w:gridSpan w:val="3"/>
            <w:noWrap w:val="0"/>
            <w:vAlign w:val="top"/>
          </w:tcPr>
          <w:p w14:paraId="6F491C5E">
            <w:pPr>
              <w:spacing w:line="480" w:lineRule="auto"/>
              <w:rPr>
                <w:rFonts w:hint="eastAsia" w:hAnsi="宋体"/>
                <w:bCs/>
                <w:szCs w:val="23"/>
                <w:highlight w:val="none"/>
              </w:rPr>
            </w:pPr>
          </w:p>
        </w:tc>
        <w:tc>
          <w:tcPr>
            <w:tcW w:w="2244" w:type="dxa"/>
            <w:gridSpan w:val="2"/>
            <w:noWrap w:val="0"/>
            <w:vAlign w:val="top"/>
          </w:tcPr>
          <w:p w14:paraId="43F64B98">
            <w:pPr>
              <w:spacing w:line="480" w:lineRule="auto"/>
              <w:rPr>
                <w:rFonts w:hint="eastAsia" w:hAnsi="宋体"/>
                <w:bCs/>
                <w:szCs w:val="23"/>
                <w:highlight w:val="none"/>
              </w:rPr>
            </w:pPr>
          </w:p>
        </w:tc>
      </w:tr>
      <w:tr w14:paraId="1DE2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04A88B64">
            <w:pPr>
              <w:spacing w:line="480" w:lineRule="auto"/>
              <w:rPr>
                <w:rFonts w:hint="eastAsia" w:hAnsi="宋体"/>
                <w:bCs/>
                <w:szCs w:val="23"/>
                <w:highlight w:val="none"/>
              </w:rPr>
            </w:pPr>
          </w:p>
        </w:tc>
        <w:tc>
          <w:tcPr>
            <w:tcW w:w="1691" w:type="dxa"/>
            <w:gridSpan w:val="4"/>
            <w:noWrap w:val="0"/>
            <w:vAlign w:val="top"/>
          </w:tcPr>
          <w:p w14:paraId="7152E9F4">
            <w:pPr>
              <w:spacing w:line="480" w:lineRule="auto"/>
              <w:rPr>
                <w:rFonts w:hint="eastAsia" w:hAnsi="宋体"/>
                <w:bCs/>
                <w:szCs w:val="23"/>
                <w:highlight w:val="none"/>
              </w:rPr>
            </w:pPr>
          </w:p>
        </w:tc>
        <w:tc>
          <w:tcPr>
            <w:tcW w:w="1587" w:type="dxa"/>
            <w:gridSpan w:val="2"/>
            <w:noWrap w:val="0"/>
            <w:vAlign w:val="top"/>
          </w:tcPr>
          <w:p w14:paraId="42F0A433">
            <w:pPr>
              <w:spacing w:line="480" w:lineRule="auto"/>
              <w:rPr>
                <w:rFonts w:hint="eastAsia" w:hAnsi="宋体"/>
                <w:bCs/>
                <w:szCs w:val="23"/>
                <w:highlight w:val="none"/>
              </w:rPr>
            </w:pPr>
          </w:p>
        </w:tc>
        <w:tc>
          <w:tcPr>
            <w:tcW w:w="2126" w:type="dxa"/>
            <w:gridSpan w:val="3"/>
            <w:noWrap w:val="0"/>
            <w:vAlign w:val="top"/>
          </w:tcPr>
          <w:p w14:paraId="3D4C41D9">
            <w:pPr>
              <w:spacing w:line="480" w:lineRule="auto"/>
              <w:rPr>
                <w:rFonts w:hint="eastAsia" w:hAnsi="宋体"/>
                <w:bCs/>
                <w:szCs w:val="23"/>
                <w:highlight w:val="none"/>
              </w:rPr>
            </w:pPr>
          </w:p>
        </w:tc>
        <w:tc>
          <w:tcPr>
            <w:tcW w:w="2244" w:type="dxa"/>
            <w:gridSpan w:val="2"/>
            <w:noWrap w:val="0"/>
            <w:vAlign w:val="top"/>
          </w:tcPr>
          <w:p w14:paraId="11FB0A7F">
            <w:pPr>
              <w:spacing w:line="480" w:lineRule="auto"/>
              <w:rPr>
                <w:rFonts w:hint="eastAsia" w:hAnsi="宋体"/>
                <w:bCs/>
                <w:szCs w:val="23"/>
                <w:highlight w:val="none"/>
              </w:rPr>
            </w:pPr>
          </w:p>
        </w:tc>
      </w:tr>
    </w:tbl>
    <w:p w14:paraId="2D0E7FED">
      <w:pPr>
        <w:tabs>
          <w:tab w:val="left" w:pos="0"/>
        </w:tabs>
        <w:spacing w:line="360" w:lineRule="auto"/>
        <w:ind w:left="735" w:right="-210" w:hanging="735" w:hangingChars="350"/>
        <w:rPr>
          <w:rFonts w:hint="eastAsia" w:ascii="宋体" w:hAnsi="宋体"/>
          <w:szCs w:val="21"/>
          <w:highlight w:val="none"/>
        </w:rPr>
      </w:pPr>
      <w:r>
        <w:rPr>
          <w:rFonts w:hint="eastAsia" w:hAnsi="宋体"/>
          <w:bCs/>
          <w:szCs w:val="23"/>
          <w:highlight w:val="none"/>
        </w:rPr>
        <w:t>注：1、提供证书复印件，项目经理业绩</w:t>
      </w:r>
      <w:r>
        <w:rPr>
          <w:rFonts w:hint="eastAsia" w:ascii="宋体" w:hAnsi="宋体"/>
          <w:szCs w:val="21"/>
          <w:highlight w:val="none"/>
        </w:rPr>
        <w:t>需提供中标通知书或与甲方签订合同的合同首页至合同签字盖章页的关键内容合同页，和竣工验收单。（复印件须加盖供应商公章）。</w:t>
      </w:r>
    </w:p>
    <w:p w14:paraId="0D4D3961">
      <w:pPr>
        <w:spacing w:line="360" w:lineRule="auto"/>
        <w:ind w:left="735" w:leftChars="200" w:hanging="315" w:hangingChars="150"/>
        <w:rPr>
          <w:rFonts w:hint="eastAsia" w:ascii="宋体" w:hAnsi="宋体"/>
          <w:szCs w:val="21"/>
          <w:highlight w:val="none"/>
        </w:rPr>
      </w:pPr>
      <w:r>
        <w:rPr>
          <w:rFonts w:hint="eastAsia" w:ascii="宋体" w:hAnsi="宋体"/>
          <w:szCs w:val="21"/>
          <w:highlight w:val="none"/>
        </w:rPr>
        <w:t>2、相关工程指已竣工的建筑装饰装修类项目业绩。</w:t>
      </w:r>
    </w:p>
    <w:p w14:paraId="01403183">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54AC44B0">
      <w:pPr>
        <w:autoSpaceDE w:val="0"/>
        <w:autoSpaceDN w:val="0"/>
        <w:adjustRightInd w:val="0"/>
        <w:snapToGrid w:val="0"/>
        <w:spacing w:before="25" w:after="25" w:line="360" w:lineRule="auto"/>
        <w:ind w:right="360"/>
        <w:jc w:val="left"/>
        <w:rPr>
          <w:rFonts w:ascii="Arial" w:hAnsi="Arial"/>
          <w:sz w:val="24"/>
          <w:highlight w:val="none"/>
        </w:rPr>
      </w:pPr>
      <w:r>
        <w:rPr>
          <w:sz w:val="24"/>
          <w:szCs w:val="20"/>
          <w:highlight w:val="none"/>
        </w:rPr>
        <w:t xml:space="preserve">日期：____年____月____日 </w:t>
      </w:r>
      <w:r>
        <w:rPr>
          <w:rFonts w:ascii="Arial" w:hAnsi="Arial"/>
          <w:sz w:val="24"/>
          <w:highlight w:val="none"/>
        </w:rPr>
        <w:br w:type="page"/>
      </w: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9"/>
        <w:gridCol w:w="319"/>
        <w:gridCol w:w="89"/>
        <w:gridCol w:w="754"/>
        <w:gridCol w:w="529"/>
        <w:gridCol w:w="915"/>
        <w:gridCol w:w="672"/>
        <w:gridCol w:w="749"/>
        <w:gridCol w:w="955"/>
        <w:gridCol w:w="422"/>
        <w:gridCol w:w="71"/>
        <w:gridCol w:w="2173"/>
      </w:tblGrid>
      <w:tr w14:paraId="5981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22" w:type="dxa"/>
            <w:gridSpan w:val="4"/>
            <w:noWrap w:val="0"/>
            <w:vAlign w:val="center"/>
          </w:tcPr>
          <w:p w14:paraId="37EEFF97">
            <w:pPr>
              <w:jc w:val="center"/>
              <w:rPr>
                <w:highlight w:val="none"/>
              </w:rPr>
            </w:pPr>
            <w:r>
              <w:rPr>
                <w:rFonts w:hint="eastAsia"/>
                <w:highlight w:val="none"/>
              </w:rPr>
              <w:t>工程名称</w:t>
            </w:r>
          </w:p>
        </w:tc>
        <w:tc>
          <w:tcPr>
            <w:tcW w:w="7240" w:type="dxa"/>
            <w:gridSpan w:val="9"/>
            <w:noWrap w:val="0"/>
            <w:vAlign w:val="top"/>
          </w:tcPr>
          <w:p w14:paraId="402C9001">
            <w:pPr>
              <w:jc w:val="center"/>
              <w:rPr>
                <w:bCs/>
                <w:sz w:val="28"/>
                <w:highlight w:val="none"/>
              </w:rPr>
            </w:pPr>
          </w:p>
        </w:tc>
      </w:tr>
      <w:tr w14:paraId="741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22" w:type="dxa"/>
            <w:gridSpan w:val="4"/>
            <w:noWrap w:val="0"/>
            <w:vAlign w:val="center"/>
          </w:tcPr>
          <w:p w14:paraId="1064A2BF">
            <w:pPr>
              <w:jc w:val="center"/>
              <w:rPr>
                <w:highlight w:val="none"/>
              </w:rPr>
            </w:pPr>
            <w:r>
              <w:rPr>
                <w:rFonts w:hint="eastAsia"/>
                <w:highlight w:val="none"/>
              </w:rPr>
              <w:t>公司名称</w:t>
            </w:r>
          </w:p>
        </w:tc>
        <w:tc>
          <w:tcPr>
            <w:tcW w:w="7240" w:type="dxa"/>
            <w:gridSpan w:val="9"/>
            <w:noWrap w:val="0"/>
            <w:vAlign w:val="top"/>
          </w:tcPr>
          <w:p w14:paraId="181D6EEB">
            <w:pPr>
              <w:jc w:val="center"/>
              <w:rPr>
                <w:bCs/>
                <w:sz w:val="28"/>
                <w:highlight w:val="none"/>
              </w:rPr>
            </w:pPr>
          </w:p>
        </w:tc>
      </w:tr>
      <w:tr w14:paraId="7927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62" w:type="dxa"/>
            <w:gridSpan w:val="13"/>
            <w:noWrap w:val="0"/>
            <w:vAlign w:val="center"/>
          </w:tcPr>
          <w:p w14:paraId="2C2CCD19">
            <w:pPr>
              <w:spacing w:line="300" w:lineRule="auto"/>
              <w:jc w:val="center"/>
              <w:rPr>
                <w:bCs/>
                <w:sz w:val="28"/>
                <w:highlight w:val="none"/>
              </w:rPr>
            </w:pPr>
            <w:r>
              <w:rPr>
                <w:rFonts w:hint="eastAsia" w:hAnsi="宋体"/>
                <w:highlight w:val="none"/>
              </w:rPr>
              <w:t>技术负责人简历表</w:t>
            </w:r>
          </w:p>
        </w:tc>
      </w:tr>
      <w:tr w14:paraId="0934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14:paraId="58D4EFD4">
            <w:pPr>
              <w:rPr>
                <w:highlight w:val="none"/>
              </w:rPr>
            </w:pPr>
            <w:r>
              <w:rPr>
                <w:rFonts w:hint="eastAsia"/>
                <w:highlight w:val="none"/>
              </w:rPr>
              <w:t>姓名</w:t>
            </w:r>
          </w:p>
        </w:tc>
        <w:tc>
          <w:tcPr>
            <w:tcW w:w="1421" w:type="dxa"/>
            <w:gridSpan w:val="4"/>
            <w:noWrap w:val="0"/>
            <w:vAlign w:val="top"/>
          </w:tcPr>
          <w:p w14:paraId="0403385D">
            <w:pPr>
              <w:rPr>
                <w:highlight w:val="none"/>
              </w:rPr>
            </w:pPr>
            <w:r>
              <w:rPr>
                <w:rFonts w:hint="eastAsia"/>
                <w:highlight w:val="none"/>
              </w:rPr>
              <w:t xml:space="preserve"> </w:t>
            </w:r>
          </w:p>
        </w:tc>
        <w:tc>
          <w:tcPr>
            <w:tcW w:w="1444" w:type="dxa"/>
            <w:gridSpan w:val="2"/>
            <w:noWrap w:val="0"/>
            <w:vAlign w:val="top"/>
          </w:tcPr>
          <w:p w14:paraId="251B9FF3">
            <w:pPr>
              <w:rPr>
                <w:highlight w:val="none"/>
              </w:rPr>
            </w:pPr>
            <w:r>
              <w:rPr>
                <w:rFonts w:hint="eastAsia"/>
                <w:highlight w:val="none"/>
              </w:rPr>
              <w:t>性别</w:t>
            </w:r>
          </w:p>
        </w:tc>
        <w:tc>
          <w:tcPr>
            <w:tcW w:w="1421" w:type="dxa"/>
            <w:gridSpan w:val="2"/>
            <w:noWrap w:val="0"/>
            <w:vAlign w:val="top"/>
          </w:tcPr>
          <w:p w14:paraId="48438350">
            <w:pPr>
              <w:rPr>
                <w:highlight w:val="none"/>
              </w:rPr>
            </w:pPr>
          </w:p>
        </w:tc>
        <w:tc>
          <w:tcPr>
            <w:tcW w:w="1448" w:type="dxa"/>
            <w:gridSpan w:val="3"/>
            <w:noWrap w:val="0"/>
            <w:vAlign w:val="top"/>
          </w:tcPr>
          <w:p w14:paraId="04C153AA">
            <w:pPr>
              <w:rPr>
                <w:highlight w:val="none"/>
              </w:rPr>
            </w:pPr>
            <w:r>
              <w:rPr>
                <w:rFonts w:hint="eastAsia"/>
                <w:highlight w:val="none"/>
              </w:rPr>
              <w:t>年龄</w:t>
            </w:r>
          </w:p>
        </w:tc>
        <w:tc>
          <w:tcPr>
            <w:tcW w:w="2173" w:type="dxa"/>
            <w:noWrap w:val="0"/>
            <w:vAlign w:val="top"/>
          </w:tcPr>
          <w:p w14:paraId="707893D6">
            <w:pPr>
              <w:rPr>
                <w:highlight w:val="none"/>
              </w:rPr>
            </w:pPr>
          </w:p>
        </w:tc>
      </w:tr>
      <w:tr w14:paraId="627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14:paraId="3A2BE3B2">
            <w:pPr>
              <w:rPr>
                <w:highlight w:val="none"/>
              </w:rPr>
            </w:pPr>
            <w:r>
              <w:rPr>
                <w:rFonts w:hint="eastAsia"/>
                <w:highlight w:val="none"/>
              </w:rPr>
              <w:t>职务</w:t>
            </w:r>
          </w:p>
        </w:tc>
        <w:tc>
          <w:tcPr>
            <w:tcW w:w="1421" w:type="dxa"/>
            <w:gridSpan w:val="4"/>
            <w:noWrap w:val="0"/>
            <w:vAlign w:val="top"/>
          </w:tcPr>
          <w:p w14:paraId="746E7B07">
            <w:pPr>
              <w:rPr>
                <w:highlight w:val="none"/>
              </w:rPr>
            </w:pPr>
          </w:p>
        </w:tc>
        <w:tc>
          <w:tcPr>
            <w:tcW w:w="1444" w:type="dxa"/>
            <w:gridSpan w:val="2"/>
            <w:noWrap w:val="0"/>
            <w:vAlign w:val="top"/>
          </w:tcPr>
          <w:p w14:paraId="0033F771">
            <w:pPr>
              <w:rPr>
                <w:highlight w:val="none"/>
              </w:rPr>
            </w:pPr>
            <w:r>
              <w:rPr>
                <w:rFonts w:hint="eastAsia"/>
                <w:highlight w:val="none"/>
              </w:rPr>
              <w:t>职称</w:t>
            </w:r>
          </w:p>
        </w:tc>
        <w:tc>
          <w:tcPr>
            <w:tcW w:w="1421" w:type="dxa"/>
            <w:gridSpan w:val="2"/>
            <w:noWrap w:val="0"/>
            <w:vAlign w:val="top"/>
          </w:tcPr>
          <w:p w14:paraId="309E27B4">
            <w:pPr>
              <w:rPr>
                <w:highlight w:val="none"/>
              </w:rPr>
            </w:pPr>
          </w:p>
        </w:tc>
        <w:tc>
          <w:tcPr>
            <w:tcW w:w="1448" w:type="dxa"/>
            <w:gridSpan w:val="3"/>
            <w:noWrap w:val="0"/>
            <w:vAlign w:val="top"/>
          </w:tcPr>
          <w:p w14:paraId="76481959">
            <w:pPr>
              <w:rPr>
                <w:highlight w:val="none"/>
              </w:rPr>
            </w:pPr>
            <w:r>
              <w:rPr>
                <w:rFonts w:hint="eastAsia"/>
                <w:highlight w:val="none"/>
              </w:rPr>
              <w:t>学历</w:t>
            </w:r>
          </w:p>
        </w:tc>
        <w:tc>
          <w:tcPr>
            <w:tcW w:w="2173" w:type="dxa"/>
            <w:noWrap w:val="0"/>
            <w:vAlign w:val="top"/>
          </w:tcPr>
          <w:p w14:paraId="5846132C">
            <w:pPr>
              <w:rPr>
                <w:highlight w:val="none"/>
              </w:rPr>
            </w:pPr>
          </w:p>
        </w:tc>
      </w:tr>
      <w:tr w14:paraId="445D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gridSpan w:val="3"/>
            <w:noWrap w:val="0"/>
            <w:vAlign w:val="top"/>
          </w:tcPr>
          <w:p w14:paraId="565702C2">
            <w:pPr>
              <w:rPr>
                <w:highlight w:val="none"/>
              </w:rPr>
            </w:pPr>
            <w:r>
              <w:rPr>
                <w:rFonts w:hint="eastAsia"/>
                <w:highlight w:val="none"/>
              </w:rPr>
              <w:t>参加工作时间</w:t>
            </w:r>
          </w:p>
        </w:tc>
        <w:tc>
          <w:tcPr>
            <w:tcW w:w="2287" w:type="dxa"/>
            <w:gridSpan w:val="4"/>
            <w:noWrap w:val="0"/>
            <w:vAlign w:val="top"/>
          </w:tcPr>
          <w:p w14:paraId="696A1BF3">
            <w:pPr>
              <w:rPr>
                <w:highlight w:val="none"/>
              </w:rPr>
            </w:pPr>
          </w:p>
        </w:tc>
        <w:tc>
          <w:tcPr>
            <w:tcW w:w="2376" w:type="dxa"/>
            <w:gridSpan w:val="3"/>
            <w:noWrap w:val="0"/>
            <w:vAlign w:val="top"/>
          </w:tcPr>
          <w:p w14:paraId="608C60AC">
            <w:pPr>
              <w:rPr>
                <w:rFonts w:hint="eastAsia" w:hAnsi="宋体"/>
                <w:highlight w:val="none"/>
              </w:rPr>
            </w:pPr>
            <w:r>
              <w:rPr>
                <w:rFonts w:hint="eastAsia" w:hAnsi="宋体"/>
                <w:highlight w:val="none"/>
              </w:rPr>
              <w:t>从事技术主管年限</w:t>
            </w:r>
          </w:p>
        </w:tc>
        <w:tc>
          <w:tcPr>
            <w:tcW w:w="2666" w:type="dxa"/>
            <w:gridSpan w:val="3"/>
            <w:noWrap w:val="0"/>
            <w:vAlign w:val="top"/>
          </w:tcPr>
          <w:p w14:paraId="7DF3749E">
            <w:pPr>
              <w:rPr>
                <w:highlight w:val="none"/>
              </w:rPr>
            </w:pPr>
          </w:p>
        </w:tc>
      </w:tr>
      <w:tr w14:paraId="03BB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13"/>
            <w:tcBorders>
              <w:bottom w:val="single" w:color="auto" w:sz="4" w:space="0"/>
            </w:tcBorders>
            <w:noWrap w:val="0"/>
            <w:vAlign w:val="center"/>
          </w:tcPr>
          <w:p w14:paraId="0B3DCBF8">
            <w:pPr>
              <w:jc w:val="center"/>
              <w:rPr>
                <w:rFonts w:hint="eastAsia" w:hAnsi="宋体"/>
                <w:highlight w:val="none"/>
              </w:rPr>
            </w:pPr>
            <w:r>
              <w:rPr>
                <w:rFonts w:hint="eastAsia" w:hAnsi="宋体"/>
                <w:highlight w:val="none"/>
              </w:rPr>
              <w:t>相关工程业绩</w:t>
            </w:r>
          </w:p>
        </w:tc>
      </w:tr>
      <w:tr w14:paraId="012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noWrap w:val="0"/>
            <w:vAlign w:val="center"/>
          </w:tcPr>
          <w:p w14:paraId="4E0B9EB7">
            <w:pPr>
              <w:jc w:val="center"/>
              <w:rPr>
                <w:highlight w:val="none"/>
              </w:rPr>
            </w:pPr>
            <w:r>
              <w:rPr>
                <w:rFonts w:hint="eastAsia"/>
                <w:highlight w:val="none"/>
              </w:rPr>
              <w:t>建设单位</w:t>
            </w:r>
          </w:p>
        </w:tc>
        <w:tc>
          <w:tcPr>
            <w:tcW w:w="1691" w:type="dxa"/>
            <w:gridSpan w:val="4"/>
            <w:noWrap w:val="0"/>
            <w:vAlign w:val="center"/>
          </w:tcPr>
          <w:p w14:paraId="300578EB">
            <w:pPr>
              <w:jc w:val="center"/>
              <w:rPr>
                <w:highlight w:val="none"/>
              </w:rPr>
            </w:pPr>
            <w:r>
              <w:rPr>
                <w:rFonts w:hint="eastAsia"/>
                <w:highlight w:val="none"/>
              </w:rPr>
              <w:t>项目名称</w:t>
            </w:r>
          </w:p>
        </w:tc>
        <w:tc>
          <w:tcPr>
            <w:tcW w:w="1587" w:type="dxa"/>
            <w:gridSpan w:val="2"/>
            <w:noWrap w:val="0"/>
            <w:vAlign w:val="center"/>
          </w:tcPr>
          <w:p w14:paraId="74341D59">
            <w:pPr>
              <w:jc w:val="center"/>
              <w:rPr>
                <w:highlight w:val="none"/>
              </w:rPr>
            </w:pPr>
            <w:r>
              <w:rPr>
                <w:rFonts w:hint="eastAsia"/>
                <w:highlight w:val="none"/>
              </w:rPr>
              <w:t>建设规模</w:t>
            </w:r>
          </w:p>
        </w:tc>
        <w:tc>
          <w:tcPr>
            <w:tcW w:w="2126" w:type="dxa"/>
            <w:gridSpan w:val="3"/>
            <w:noWrap w:val="0"/>
            <w:vAlign w:val="center"/>
          </w:tcPr>
          <w:p w14:paraId="36996160">
            <w:pPr>
              <w:jc w:val="center"/>
              <w:rPr>
                <w:highlight w:val="none"/>
              </w:rPr>
            </w:pPr>
            <w:r>
              <w:rPr>
                <w:rFonts w:hint="eastAsia"/>
                <w:highlight w:val="none"/>
              </w:rPr>
              <w:t>开、竣工程日期</w:t>
            </w:r>
          </w:p>
        </w:tc>
        <w:tc>
          <w:tcPr>
            <w:tcW w:w="2244" w:type="dxa"/>
            <w:gridSpan w:val="2"/>
            <w:tcBorders>
              <w:top w:val="nil"/>
            </w:tcBorders>
            <w:noWrap w:val="0"/>
            <w:vAlign w:val="center"/>
          </w:tcPr>
          <w:p w14:paraId="752592B3">
            <w:pPr>
              <w:jc w:val="center"/>
              <w:rPr>
                <w:highlight w:val="none"/>
              </w:rPr>
            </w:pPr>
            <w:r>
              <w:rPr>
                <w:rFonts w:hint="eastAsia"/>
                <w:highlight w:val="none"/>
              </w:rPr>
              <w:t>工程质量</w:t>
            </w:r>
          </w:p>
        </w:tc>
      </w:tr>
      <w:tr w14:paraId="56FD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258F8E78">
            <w:pPr>
              <w:spacing w:line="480" w:lineRule="auto"/>
              <w:rPr>
                <w:rFonts w:hint="eastAsia" w:hAnsi="宋体"/>
                <w:bCs/>
                <w:szCs w:val="23"/>
                <w:highlight w:val="none"/>
              </w:rPr>
            </w:pPr>
          </w:p>
        </w:tc>
        <w:tc>
          <w:tcPr>
            <w:tcW w:w="1691" w:type="dxa"/>
            <w:gridSpan w:val="4"/>
            <w:noWrap w:val="0"/>
            <w:vAlign w:val="top"/>
          </w:tcPr>
          <w:p w14:paraId="0F292A4A">
            <w:pPr>
              <w:spacing w:line="480" w:lineRule="auto"/>
              <w:rPr>
                <w:rFonts w:hint="eastAsia" w:hAnsi="宋体"/>
                <w:bCs/>
                <w:szCs w:val="23"/>
                <w:highlight w:val="none"/>
              </w:rPr>
            </w:pPr>
          </w:p>
        </w:tc>
        <w:tc>
          <w:tcPr>
            <w:tcW w:w="1587" w:type="dxa"/>
            <w:gridSpan w:val="2"/>
            <w:noWrap w:val="0"/>
            <w:vAlign w:val="top"/>
          </w:tcPr>
          <w:p w14:paraId="30A1089E">
            <w:pPr>
              <w:spacing w:line="480" w:lineRule="auto"/>
              <w:rPr>
                <w:rFonts w:hint="eastAsia" w:hAnsi="宋体"/>
                <w:bCs/>
                <w:szCs w:val="23"/>
                <w:highlight w:val="none"/>
              </w:rPr>
            </w:pPr>
          </w:p>
        </w:tc>
        <w:tc>
          <w:tcPr>
            <w:tcW w:w="2126" w:type="dxa"/>
            <w:gridSpan w:val="3"/>
            <w:noWrap w:val="0"/>
            <w:vAlign w:val="top"/>
          </w:tcPr>
          <w:p w14:paraId="483E36A8">
            <w:pPr>
              <w:spacing w:line="480" w:lineRule="auto"/>
              <w:rPr>
                <w:rFonts w:hint="eastAsia" w:hAnsi="宋体"/>
                <w:bCs/>
                <w:szCs w:val="23"/>
                <w:highlight w:val="none"/>
              </w:rPr>
            </w:pPr>
          </w:p>
        </w:tc>
        <w:tc>
          <w:tcPr>
            <w:tcW w:w="2244" w:type="dxa"/>
            <w:gridSpan w:val="2"/>
            <w:noWrap w:val="0"/>
            <w:vAlign w:val="top"/>
          </w:tcPr>
          <w:p w14:paraId="79C4744D">
            <w:pPr>
              <w:spacing w:line="480" w:lineRule="auto"/>
              <w:rPr>
                <w:rFonts w:hint="eastAsia" w:hAnsi="宋体"/>
                <w:bCs/>
                <w:szCs w:val="23"/>
                <w:highlight w:val="none"/>
              </w:rPr>
            </w:pPr>
          </w:p>
        </w:tc>
      </w:tr>
      <w:tr w14:paraId="3DC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0D401035">
            <w:pPr>
              <w:spacing w:line="480" w:lineRule="auto"/>
              <w:rPr>
                <w:rFonts w:hint="eastAsia" w:hAnsi="宋体"/>
                <w:bCs/>
                <w:szCs w:val="23"/>
                <w:highlight w:val="none"/>
              </w:rPr>
            </w:pPr>
          </w:p>
        </w:tc>
        <w:tc>
          <w:tcPr>
            <w:tcW w:w="1691" w:type="dxa"/>
            <w:gridSpan w:val="4"/>
            <w:noWrap w:val="0"/>
            <w:vAlign w:val="top"/>
          </w:tcPr>
          <w:p w14:paraId="68139C5F">
            <w:pPr>
              <w:spacing w:line="480" w:lineRule="auto"/>
              <w:rPr>
                <w:rFonts w:hint="eastAsia" w:hAnsi="宋体"/>
                <w:bCs/>
                <w:szCs w:val="23"/>
                <w:highlight w:val="none"/>
              </w:rPr>
            </w:pPr>
          </w:p>
        </w:tc>
        <w:tc>
          <w:tcPr>
            <w:tcW w:w="1587" w:type="dxa"/>
            <w:gridSpan w:val="2"/>
            <w:noWrap w:val="0"/>
            <w:vAlign w:val="top"/>
          </w:tcPr>
          <w:p w14:paraId="1DF9B5D7">
            <w:pPr>
              <w:spacing w:line="480" w:lineRule="auto"/>
              <w:rPr>
                <w:rFonts w:hint="eastAsia" w:hAnsi="宋体"/>
                <w:bCs/>
                <w:szCs w:val="23"/>
                <w:highlight w:val="none"/>
              </w:rPr>
            </w:pPr>
          </w:p>
        </w:tc>
        <w:tc>
          <w:tcPr>
            <w:tcW w:w="2126" w:type="dxa"/>
            <w:gridSpan w:val="3"/>
            <w:noWrap w:val="0"/>
            <w:vAlign w:val="top"/>
          </w:tcPr>
          <w:p w14:paraId="3393472F">
            <w:pPr>
              <w:spacing w:line="480" w:lineRule="auto"/>
              <w:rPr>
                <w:rFonts w:hint="eastAsia" w:hAnsi="宋体"/>
                <w:bCs/>
                <w:szCs w:val="23"/>
                <w:highlight w:val="none"/>
              </w:rPr>
            </w:pPr>
          </w:p>
        </w:tc>
        <w:tc>
          <w:tcPr>
            <w:tcW w:w="2244" w:type="dxa"/>
            <w:gridSpan w:val="2"/>
            <w:noWrap w:val="0"/>
            <w:vAlign w:val="top"/>
          </w:tcPr>
          <w:p w14:paraId="1DC79389">
            <w:pPr>
              <w:spacing w:line="480" w:lineRule="auto"/>
              <w:rPr>
                <w:rFonts w:hint="eastAsia" w:hAnsi="宋体"/>
                <w:bCs/>
                <w:szCs w:val="23"/>
                <w:highlight w:val="none"/>
              </w:rPr>
            </w:pPr>
          </w:p>
        </w:tc>
      </w:tr>
      <w:tr w14:paraId="4071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007A0D57">
            <w:pPr>
              <w:spacing w:line="480" w:lineRule="auto"/>
              <w:rPr>
                <w:rFonts w:hint="eastAsia" w:hAnsi="宋体"/>
                <w:bCs/>
                <w:szCs w:val="23"/>
                <w:highlight w:val="none"/>
              </w:rPr>
            </w:pPr>
          </w:p>
        </w:tc>
        <w:tc>
          <w:tcPr>
            <w:tcW w:w="1691" w:type="dxa"/>
            <w:gridSpan w:val="4"/>
            <w:noWrap w:val="0"/>
            <w:vAlign w:val="top"/>
          </w:tcPr>
          <w:p w14:paraId="2407C728">
            <w:pPr>
              <w:spacing w:line="480" w:lineRule="auto"/>
              <w:rPr>
                <w:rFonts w:hint="eastAsia" w:hAnsi="宋体"/>
                <w:bCs/>
                <w:szCs w:val="23"/>
                <w:highlight w:val="none"/>
              </w:rPr>
            </w:pPr>
          </w:p>
        </w:tc>
        <w:tc>
          <w:tcPr>
            <w:tcW w:w="1587" w:type="dxa"/>
            <w:gridSpan w:val="2"/>
            <w:noWrap w:val="0"/>
            <w:vAlign w:val="top"/>
          </w:tcPr>
          <w:p w14:paraId="322B07A9">
            <w:pPr>
              <w:spacing w:line="480" w:lineRule="auto"/>
              <w:rPr>
                <w:rFonts w:hint="eastAsia" w:hAnsi="宋体"/>
                <w:bCs/>
                <w:szCs w:val="23"/>
                <w:highlight w:val="none"/>
              </w:rPr>
            </w:pPr>
          </w:p>
        </w:tc>
        <w:tc>
          <w:tcPr>
            <w:tcW w:w="2126" w:type="dxa"/>
            <w:gridSpan w:val="3"/>
            <w:noWrap w:val="0"/>
            <w:vAlign w:val="top"/>
          </w:tcPr>
          <w:p w14:paraId="35C3E4F8">
            <w:pPr>
              <w:spacing w:line="480" w:lineRule="auto"/>
              <w:rPr>
                <w:rFonts w:hint="eastAsia" w:hAnsi="宋体"/>
                <w:bCs/>
                <w:szCs w:val="23"/>
                <w:highlight w:val="none"/>
              </w:rPr>
            </w:pPr>
          </w:p>
        </w:tc>
        <w:tc>
          <w:tcPr>
            <w:tcW w:w="2244" w:type="dxa"/>
            <w:gridSpan w:val="2"/>
            <w:noWrap w:val="0"/>
            <w:vAlign w:val="top"/>
          </w:tcPr>
          <w:p w14:paraId="4573B127">
            <w:pPr>
              <w:spacing w:line="480" w:lineRule="auto"/>
              <w:rPr>
                <w:rFonts w:hint="eastAsia" w:hAnsi="宋体"/>
                <w:bCs/>
                <w:szCs w:val="23"/>
                <w:highlight w:val="none"/>
              </w:rPr>
            </w:pPr>
          </w:p>
        </w:tc>
      </w:tr>
      <w:tr w14:paraId="1218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79062D2B">
            <w:pPr>
              <w:spacing w:line="480" w:lineRule="auto"/>
              <w:rPr>
                <w:rFonts w:hint="eastAsia" w:hAnsi="宋体"/>
                <w:bCs/>
                <w:szCs w:val="23"/>
                <w:highlight w:val="none"/>
              </w:rPr>
            </w:pPr>
          </w:p>
        </w:tc>
        <w:tc>
          <w:tcPr>
            <w:tcW w:w="1691" w:type="dxa"/>
            <w:gridSpan w:val="4"/>
            <w:noWrap w:val="0"/>
            <w:vAlign w:val="top"/>
          </w:tcPr>
          <w:p w14:paraId="1FAB364C">
            <w:pPr>
              <w:spacing w:line="480" w:lineRule="auto"/>
              <w:rPr>
                <w:rFonts w:hint="eastAsia" w:hAnsi="宋体"/>
                <w:bCs/>
                <w:szCs w:val="23"/>
                <w:highlight w:val="none"/>
              </w:rPr>
            </w:pPr>
          </w:p>
        </w:tc>
        <w:tc>
          <w:tcPr>
            <w:tcW w:w="1587" w:type="dxa"/>
            <w:gridSpan w:val="2"/>
            <w:noWrap w:val="0"/>
            <w:vAlign w:val="top"/>
          </w:tcPr>
          <w:p w14:paraId="04BB37DE">
            <w:pPr>
              <w:spacing w:line="480" w:lineRule="auto"/>
              <w:rPr>
                <w:rFonts w:hint="eastAsia" w:hAnsi="宋体"/>
                <w:bCs/>
                <w:szCs w:val="23"/>
                <w:highlight w:val="none"/>
              </w:rPr>
            </w:pPr>
          </w:p>
        </w:tc>
        <w:tc>
          <w:tcPr>
            <w:tcW w:w="2126" w:type="dxa"/>
            <w:gridSpan w:val="3"/>
            <w:noWrap w:val="0"/>
            <w:vAlign w:val="top"/>
          </w:tcPr>
          <w:p w14:paraId="5F569F63">
            <w:pPr>
              <w:spacing w:line="480" w:lineRule="auto"/>
              <w:rPr>
                <w:rFonts w:hint="eastAsia" w:hAnsi="宋体"/>
                <w:bCs/>
                <w:szCs w:val="23"/>
                <w:highlight w:val="none"/>
              </w:rPr>
            </w:pPr>
          </w:p>
        </w:tc>
        <w:tc>
          <w:tcPr>
            <w:tcW w:w="2244" w:type="dxa"/>
            <w:gridSpan w:val="2"/>
            <w:noWrap w:val="0"/>
            <w:vAlign w:val="top"/>
          </w:tcPr>
          <w:p w14:paraId="41207B9E">
            <w:pPr>
              <w:spacing w:line="480" w:lineRule="auto"/>
              <w:rPr>
                <w:rFonts w:hint="eastAsia" w:hAnsi="宋体"/>
                <w:bCs/>
                <w:szCs w:val="23"/>
                <w:highlight w:val="none"/>
              </w:rPr>
            </w:pPr>
          </w:p>
        </w:tc>
      </w:tr>
      <w:tr w14:paraId="38B1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72681977">
            <w:pPr>
              <w:spacing w:line="480" w:lineRule="auto"/>
              <w:rPr>
                <w:rFonts w:hint="eastAsia" w:hAnsi="宋体"/>
                <w:bCs/>
                <w:szCs w:val="23"/>
                <w:highlight w:val="none"/>
              </w:rPr>
            </w:pPr>
          </w:p>
        </w:tc>
        <w:tc>
          <w:tcPr>
            <w:tcW w:w="1691" w:type="dxa"/>
            <w:gridSpan w:val="4"/>
            <w:noWrap w:val="0"/>
            <w:vAlign w:val="top"/>
          </w:tcPr>
          <w:p w14:paraId="4222E61D">
            <w:pPr>
              <w:spacing w:line="480" w:lineRule="auto"/>
              <w:rPr>
                <w:rFonts w:hint="eastAsia" w:hAnsi="宋体"/>
                <w:bCs/>
                <w:szCs w:val="23"/>
                <w:highlight w:val="none"/>
              </w:rPr>
            </w:pPr>
          </w:p>
        </w:tc>
        <w:tc>
          <w:tcPr>
            <w:tcW w:w="1587" w:type="dxa"/>
            <w:gridSpan w:val="2"/>
            <w:noWrap w:val="0"/>
            <w:vAlign w:val="top"/>
          </w:tcPr>
          <w:p w14:paraId="64B410B2">
            <w:pPr>
              <w:spacing w:line="480" w:lineRule="auto"/>
              <w:rPr>
                <w:rFonts w:hint="eastAsia" w:hAnsi="宋体"/>
                <w:bCs/>
                <w:szCs w:val="23"/>
                <w:highlight w:val="none"/>
              </w:rPr>
            </w:pPr>
          </w:p>
        </w:tc>
        <w:tc>
          <w:tcPr>
            <w:tcW w:w="2126" w:type="dxa"/>
            <w:gridSpan w:val="3"/>
            <w:noWrap w:val="0"/>
            <w:vAlign w:val="top"/>
          </w:tcPr>
          <w:p w14:paraId="05410F98">
            <w:pPr>
              <w:spacing w:line="480" w:lineRule="auto"/>
              <w:rPr>
                <w:rFonts w:hint="eastAsia" w:hAnsi="宋体"/>
                <w:bCs/>
                <w:szCs w:val="23"/>
                <w:highlight w:val="none"/>
              </w:rPr>
            </w:pPr>
          </w:p>
        </w:tc>
        <w:tc>
          <w:tcPr>
            <w:tcW w:w="2244" w:type="dxa"/>
            <w:gridSpan w:val="2"/>
            <w:noWrap w:val="0"/>
            <w:vAlign w:val="top"/>
          </w:tcPr>
          <w:p w14:paraId="770053B6">
            <w:pPr>
              <w:spacing w:line="480" w:lineRule="auto"/>
              <w:rPr>
                <w:rFonts w:hint="eastAsia" w:hAnsi="宋体"/>
                <w:bCs/>
                <w:szCs w:val="23"/>
                <w:highlight w:val="none"/>
              </w:rPr>
            </w:pPr>
          </w:p>
        </w:tc>
      </w:tr>
      <w:tr w14:paraId="1677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70DD44BC">
            <w:pPr>
              <w:spacing w:line="480" w:lineRule="auto"/>
              <w:rPr>
                <w:rFonts w:hint="eastAsia" w:hAnsi="宋体"/>
                <w:bCs/>
                <w:szCs w:val="23"/>
                <w:highlight w:val="none"/>
              </w:rPr>
            </w:pPr>
          </w:p>
        </w:tc>
        <w:tc>
          <w:tcPr>
            <w:tcW w:w="1691" w:type="dxa"/>
            <w:gridSpan w:val="4"/>
            <w:noWrap w:val="0"/>
            <w:vAlign w:val="top"/>
          </w:tcPr>
          <w:p w14:paraId="69B7B2F1">
            <w:pPr>
              <w:spacing w:line="480" w:lineRule="auto"/>
              <w:rPr>
                <w:rFonts w:hint="eastAsia" w:hAnsi="宋体"/>
                <w:bCs/>
                <w:szCs w:val="23"/>
                <w:highlight w:val="none"/>
              </w:rPr>
            </w:pPr>
          </w:p>
        </w:tc>
        <w:tc>
          <w:tcPr>
            <w:tcW w:w="1587" w:type="dxa"/>
            <w:gridSpan w:val="2"/>
            <w:noWrap w:val="0"/>
            <w:vAlign w:val="top"/>
          </w:tcPr>
          <w:p w14:paraId="6E358D36">
            <w:pPr>
              <w:spacing w:line="480" w:lineRule="auto"/>
              <w:rPr>
                <w:rFonts w:hint="eastAsia" w:hAnsi="宋体"/>
                <w:bCs/>
                <w:szCs w:val="23"/>
                <w:highlight w:val="none"/>
              </w:rPr>
            </w:pPr>
          </w:p>
        </w:tc>
        <w:tc>
          <w:tcPr>
            <w:tcW w:w="2126" w:type="dxa"/>
            <w:gridSpan w:val="3"/>
            <w:noWrap w:val="0"/>
            <w:vAlign w:val="top"/>
          </w:tcPr>
          <w:p w14:paraId="20490A2F">
            <w:pPr>
              <w:spacing w:line="480" w:lineRule="auto"/>
              <w:rPr>
                <w:rFonts w:hint="eastAsia" w:hAnsi="宋体"/>
                <w:bCs/>
                <w:szCs w:val="23"/>
                <w:highlight w:val="none"/>
              </w:rPr>
            </w:pPr>
          </w:p>
        </w:tc>
        <w:tc>
          <w:tcPr>
            <w:tcW w:w="2244" w:type="dxa"/>
            <w:gridSpan w:val="2"/>
            <w:noWrap w:val="0"/>
            <w:vAlign w:val="top"/>
          </w:tcPr>
          <w:p w14:paraId="238ADD6E">
            <w:pPr>
              <w:spacing w:line="480" w:lineRule="auto"/>
              <w:rPr>
                <w:rFonts w:hint="eastAsia" w:hAnsi="宋体"/>
                <w:bCs/>
                <w:szCs w:val="23"/>
                <w:highlight w:val="none"/>
              </w:rPr>
            </w:pPr>
          </w:p>
        </w:tc>
      </w:tr>
      <w:tr w14:paraId="1205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73539811">
            <w:pPr>
              <w:spacing w:line="480" w:lineRule="auto"/>
              <w:rPr>
                <w:rFonts w:hint="eastAsia" w:hAnsi="宋体"/>
                <w:bCs/>
                <w:szCs w:val="23"/>
                <w:highlight w:val="none"/>
              </w:rPr>
            </w:pPr>
          </w:p>
        </w:tc>
        <w:tc>
          <w:tcPr>
            <w:tcW w:w="1691" w:type="dxa"/>
            <w:gridSpan w:val="4"/>
            <w:noWrap w:val="0"/>
            <w:vAlign w:val="top"/>
          </w:tcPr>
          <w:p w14:paraId="70E62B83">
            <w:pPr>
              <w:spacing w:line="480" w:lineRule="auto"/>
              <w:rPr>
                <w:rFonts w:hint="eastAsia" w:hAnsi="宋体"/>
                <w:bCs/>
                <w:szCs w:val="23"/>
                <w:highlight w:val="none"/>
              </w:rPr>
            </w:pPr>
          </w:p>
        </w:tc>
        <w:tc>
          <w:tcPr>
            <w:tcW w:w="1587" w:type="dxa"/>
            <w:gridSpan w:val="2"/>
            <w:noWrap w:val="0"/>
            <w:vAlign w:val="top"/>
          </w:tcPr>
          <w:p w14:paraId="1472C630">
            <w:pPr>
              <w:spacing w:line="480" w:lineRule="auto"/>
              <w:rPr>
                <w:rFonts w:hint="eastAsia" w:hAnsi="宋体"/>
                <w:bCs/>
                <w:szCs w:val="23"/>
                <w:highlight w:val="none"/>
              </w:rPr>
            </w:pPr>
          </w:p>
        </w:tc>
        <w:tc>
          <w:tcPr>
            <w:tcW w:w="2126" w:type="dxa"/>
            <w:gridSpan w:val="3"/>
            <w:noWrap w:val="0"/>
            <w:vAlign w:val="top"/>
          </w:tcPr>
          <w:p w14:paraId="6DE1CEED">
            <w:pPr>
              <w:spacing w:line="480" w:lineRule="auto"/>
              <w:rPr>
                <w:rFonts w:hint="eastAsia" w:hAnsi="宋体"/>
                <w:bCs/>
                <w:szCs w:val="23"/>
                <w:highlight w:val="none"/>
              </w:rPr>
            </w:pPr>
          </w:p>
        </w:tc>
        <w:tc>
          <w:tcPr>
            <w:tcW w:w="2244" w:type="dxa"/>
            <w:gridSpan w:val="2"/>
            <w:noWrap w:val="0"/>
            <w:vAlign w:val="top"/>
          </w:tcPr>
          <w:p w14:paraId="274F06AF">
            <w:pPr>
              <w:spacing w:line="480" w:lineRule="auto"/>
              <w:rPr>
                <w:rFonts w:hint="eastAsia" w:hAnsi="宋体"/>
                <w:bCs/>
                <w:szCs w:val="23"/>
                <w:highlight w:val="none"/>
              </w:rPr>
            </w:pPr>
          </w:p>
        </w:tc>
      </w:tr>
      <w:tr w14:paraId="771C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65BFB536">
            <w:pPr>
              <w:spacing w:line="480" w:lineRule="auto"/>
              <w:rPr>
                <w:rFonts w:hint="eastAsia" w:hAnsi="宋体"/>
                <w:bCs/>
                <w:szCs w:val="23"/>
                <w:highlight w:val="none"/>
              </w:rPr>
            </w:pPr>
          </w:p>
        </w:tc>
        <w:tc>
          <w:tcPr>
            <w:tcW w:w="1691" w:type="dxa"/>
            <w:gridSpan w:val="4"/>
            <w:noWrap w:val="0"/>
            <w:vAlign w:val="top"/>
          </w:tcPr>
          <w:p w14:paraId="63416605">
            <w:pPr>
              <w:spacing w:line="480" w:lineRule="auto"/>
              <w:rPr>
                <w:rFonts w:hint="eastAsia" w:hAnsi="宋体"/>
                <w:bCs/>
                <w:szCs w:val="23"/>
                <w:highlight w:val="none"/>
              </w:rPr>
            </w:pPr>
          </w:p>
        </w:tc>
        <w:tc>
          <w:tcPr>
            <w:tcW w:w="1587" w:type="dxa"/>
            <w:gridSpan w:val="2"/>
            <w:noWrap w:val="0"/>
            <w:vAlign w:val="top"/>
          </w:tcPr>
          <w:p w14:paraId="5025399C">
            <w:pPr>
              <w:spacing w:line="480" w:lineRule="auto"/>
              <w:rPr>
                <w:rFonts w:hint="eastAsia" w:hAnsi="宋体"/>
                <w:bCs/>
                <w:szCs w:val="23"/>
                <w:highlight w:val="none"/>
              </w:rPr>
            </w:pPr>
          </w:p>
        </w:tc>
        <w:tc>
          <w:tcPr>
            <w:tcW w:w="2126" w:type="dxa"/>
            <w:gridSpan w:val="3"/>
            <w:noWrap w:val="0"/>
            <w:vAlign w:val="top"/>
          </w:tcPr>
          <w:p w14:paraId="2A5BDC97">
            <w:pPr>
              <w:spacing w:line="480" w:lineRule="auto"/>
              <w:rPr>
                <w:rFonts w:hint="eastAsia" w:hAnsi="宋体"/>
                <w:bCs/>
                <w:szCs w:val="23"/>
                <w:highlight w:val="none"/>
              </w:rPr>
            </w:pPr>
          </w:p>
        </w:tc>
        <w:tc>
          <w:tcPr>
            <w:tcW w:w="2244" w:type="dxa"/>
            <w:gridSpan w:val="2"/>
            <w:noWrap w:val="0"/>
            <w:vAlign w:val="top"/>
          </w:tcPr>
          <w:p w14:paraId="24D4F678">
            <w:pPr>
              <w:spacing w:line="480" w:lineRule="auto"/>
              <w:rPr>
                <w:rFonts w:hint="eastAsia" w:hAnsi="宋体"/>
                <w:bCs/>
                <w:szCs w:val="23"/>
                <w:highlight w:val="none"/>
              </w:rPr>
            </w:pPr>
          </w:p>
        </w:tc>
      </w:tr>
      <w:tr w14:paraId="23AF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0847916C">
            <w:pPr>
              <w:spacing w:line="480" w:lineRule="auto"/>
              <w:rPr>
                <w:rFonts w:hint="eastAsia" w:hAnsi="宋体"/>
                <w:bCs/>
                <w:szCs w:val="23"/>
                <w:highlight w:val="none"/>
              </w:rPr>
            </w:pPr>
          </w:p>
        </w:tc>
        <w:tc>
          <w:tcPr>
            <w:tcW w:w="1691" w:type="dxa"/>
            <w:gridSpan w:val="4"/>
            <w:noWrap w:val="0"/>
            <w:vAlign w:val="top"/>
          </w:tcPr>
          <w:p w14:paraId="4CF15D39">
            <w:pPr>
              <w:spacing w:line="480" w:lineRule="auto"/>
              <w:rPr>
                <w:rFonts w:hint="eastAsia" w:hAnsi="宋体"/>
                <w:bCs/>
                <w:szCs w:val="23"/>
                <w:highlight w:val="none"/>
              </w:rPr>
            </w:pPr>
          </w:p>
        </w:tc>
        <w:tc>
          <w:tcPr>
            <w:tcW w:w="1587" w:type="dxa"/>
            <w:gridSpan w:val="2"/>
            <w:noWrap w:val="0"/>
            <w:vAlign w:val="top"/>
          </w:tcPr>
          <w:p w14:paraId="2911F558">
            <w:pPr>
              <w:spacing w:line="480" w:lineRule="auto"/>
              <w:rPr>
                <w:rFonts w:hint="eastAsia" w:hAnsi="宋体"/>
                <w:bCs/>
                <w:szCs w:val="23"/>
                <w:highlight w:val="none"/>
              </w:rPr>
            </w:pPr>
          </w:p>
        </w:tc>
        <w:tc>
          <w:tcPr>
            <w:tcW w:w="2126" w:type="dxa"/>
            <w:gridSpan w:val="3"/>
            <w:noWrap w:val="0"/>
            <w:vAlign w:val="top"/>
          </w:tcPr>
          <w:p w14:paraId="08E1D143">
            <w:pPr>
              <w:spacing w:line="480" w:lineRule="auto"/>
              <w:rPr>
                <w:rFonts w:hint="eastAsia" w:hAnsi="宋体"/>
                <w:bCs/>
                <w:szCs w:val="23"/>
                <w:highlight w:val="none"/>
              </w:rPr>
            </w:pPr>
          </w:p>
        </w:tc>
        <w:tc>
          <w:tcPr>
            <w:tcW w:w="2244" w:type="dxa"/>
            <w:gridSpan w:val="2"/>
            <w:noWrap w:val="0"/>
            <w:vAlign w:val="top"/>
          </w:tcPr>
          <w:p w14:paraId="1EC8023B">
            <w:pPr>
              <w:spacing w:line="480" w:lineRule="auto"/>
              <w:rPr>
                <w:rFonts w:hint="eastAsia" w:hAnsi="宋体"/>
                <w:bCs/>
                <w:szCs w:val="23"/>
                <w:highlight w:val="none"/>
              </w:rPr>
            </w:pPr>
          </w:p>
        </w:tc>
      </w:tr>
      <w:tr w14:paraId="673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14:paraId="687096C7">
            <w:pPr>
              <w:spacing w:line="480" w:lineRule="auto"/>
              <w:rPr>
                <w:rFonts w:hint="eastAsia" w:hAnsi="宋体"/>
                <w:bCs/>
                <w:szCs w:val="23"/>
                <w:highlight w:val="none"/>
              </w:rPr>
            </w:pPr>
          </w:p>
        </w:tc>
        <w:tc>
          <w:tcPr>
            <w:tcW w:w="1691" w:type="dxa"/>
            <w:gridSpan w:val="4"/>
            <w:noWrap w:val="0"/>
            <w:vAlign w:val="top"/>
          </w:tcPr>
          <w:p w14:paraId="6671DFB2">
            <w:pPr>
              <w:spacing w:line="480" w:lineRule="auto"/>
              <w:rPr>
                <w:rFonts w:hint="eastAsia" w:hAnsi="宋体"/>
                <w:bCs/>
                <w:szCs w:val="23"/>
                <w:highlight w:val="none"/>
              </w:rPr>
            </w:pPr>
          </w:p>
        </w:tc>
        <w:tc>
          <w:tcPr>
            <w:tcW w:w="1587" w:type="dxa"/>
            <w:gridSpan w:val="2"/>
            <w:noWrap w:val="0"/>
            <w:vAlign w:val="top"/>
          </w:tcPr>
          <w:p w14:paraId="650F6F0D">
            <w:pPr>
              <w:spacing w:line="480" w:lineRule="auto"/>
              <w:rPr>
                <w:rFonts w:hint="eastAsia" w:hAnsi="宋体"/>
                <w:bCs/>
                <w:szCs w:val="23"/>
                <w:highlight w:val="none"/>
              </w:rPr>
            </w:pPr>
          </w:p>
        </w:tc>
        <w:tc>
          <w:tcPr>
            <w:tcW w:w="2126" w:type="dxa"/>
            <w:gridSpan w:val="3"/>
            <w:noWrap w:val="0"/>
            <w:vAlign w:val="top"/>
          </w:tcPr>
          <w:p w14:paraId="7F77A715">
            <w:pPr>
              <w:spacing w:line="480" w:lineRule="auto"/>
              <w:rPr>
                <w:rFonts w:hint="eastAsia" w:hAnsi="宋体"/>
                <w:bCs/>
                <w:szCs w:val="23"/>
                <w:highlight w:val="none"/>
              </w:rPr>
            </w:pPr>
          </w:p>
        </w:tc>
        <w:tc>
          <w:tcPr>
            <w:tcW w:w="2244" w:type="dxa"/>
            <w:gridSpan w:val="2"/>
            <w:noWrap w:val="0"/>
            <w:vAlign w:val="top"/>
          </w:tcPr>
          <w:p w14:paraId="0F83CCA5">
            <w:pPr>
              <w:spacing w:line="480" w:lineRule="auto"/>
              <w:rPr>
                <w:rFonts w:hint="eastAsia" w:hAnsi="宋体"/>
                <w:bCs/>
                <w:szCs w:val="23"/>
                <w:highlight w:val="none"/>
              </w:rPr>
            </w:pPr>
          </w:p>
        </w:tc>
      </w:tr>
    </w:tbl>
    <w:p w14:paraId="0B8C0255">
      <w:pPr>
        <w:tabs>
          <w:tab w:val="left" w:pos="0"/>
        </w:tabs>
        <w:spacing w:line="360" w:lineRule="auto"/>
        <w:ind w:left="735" w:right="-210" w:hanging="735" w:hangingChars="350"/>
        <w:rPr>
          <w:rFonts w:hint="eastAsia" w:ascii="宋体" w:hAnsi="宋体"/>
          <w:bCs/>
          <w:szCs w:val="23"/>
          <w:highlight w:val="none"/>
        </w:rPr>
      </w:pPr>
      <w:r>
        <w:rPr>
          <w:rFonts w:hint="eastAsia" w:hAnsi="宋体"/>
          <w:bCs/>
          <w:szCs w:val="23"/>
          <w:highlight w:val="none"/>
        </w:rPr>
        <w:t>注：</w:t>
      </w:r>
      <w:r>
        <w:rPr>
          <w:rFonts w:hint="eastAsia" w:ascii="宋体" w:hAnsi="宋体"/>
          <w:bCs/>
          <w:szCs w:val="23"/>
          <w:highlight w:val="none"/>
        </w:rPr>
        <w:t>1、提供证书复印件，</w:t>
      </w:r>
      <w:r>
        <w:rPr>
          <w:rFonts w:hint="eastAsia" w:ascii="宋体" w:hAnsi="宋体"/>
          <w:szCs w:val="21"/>
          <w:highlight w:val="none"/>
        </w:rPr>
        <w:t>中标通知书或与甲方签订合同的合同首页至合同签字盖章页的关键内容合同页，和竣工验收单（复印件须加盖供应商公章）。如上述资料不能体现技术负责人业绩的应提供相关说明（格式自拟）。</w:t>
      </w:r>
    </w:p>
    <w:p w14:paraId="1DA2C4D8">
      <w:pPr>
        <w:spacing w:line="360" w:lineRule="auto"/>
        <w:ind w:left="735" w:leftChars="200" w:hanging="315" w:hangingChars="15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、相关工程指已竣工的建筑装饰装修类项目业绩。</w:t>
      </w:r>
    </w:p>
    <w:p w14:paraId="52EE3E65">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08668818">
      <w:pPr>
        <w:autoSpaceDE w:val="0"/>
        <w:autoSpaceDN w:val="0"/>
        <w:adjustRightInd w:val="0"/>
        <w:snapToGrid w:val="0"/>
        <w:spacing w:before="25" w:after="25" w:line="360" w:lineRule="auto"/>
        <w:ind w:right="360"/>
        <w:jc w:val="left"/>
        <w:rPr>
          <w:sz w:val="24"/>
          <w:szCs w:val="20"/>
          <w:highlight w:val="none"/>
        </w:rPr>
      </w:pPr>
      <w:r>
        <w:rPr>
          <w:sz w:val="24"/>
          <w:szCs w:val="20"/>
          <w:highlight w:val="none"/>
        </w:rPr>
        <w:t xml:space="preserve">日期：____年____月____日 </w:t>
      </w:r>
    </w:p>
    <w:p w14:paraId="4A52FBD9">
      <w:pPr>
        <w:widowControl/>
        <w:jc w:val="left"/>
        <w:rPr>
          <w:rFonts w:ascii="Arial" w:hAnsi="Arial"/>
          <w:sz w:val="24"/>
          <w:highlight w:val="none"/>
        </w:rPr>
      </w:pPr>
      <w:r>
        <w:rPr>
          <w:rFonts w:ascii="Arial" w:hAnsi="Arial"/>
          <w:sz w:val="24"/>
          <w:highlight w:val="none"/>
        </w:rPr>
        <w:br w:type="page"/>
      </w:r>
    </w:p>
    <w:p w14:paraId="6C5B607F">
      <w:pPr>
        <w:tabs>
          <w:tab w:val="left" w:pos="360"/>
        </w:tabs>
        <w:snapToGrid w:val="0"/>
        <w:spacing w:line="360" w:lineRule="auto"/>
        <w:outlineLvl w:val="2"/>
        <w:rPr>
          <w:rFonts w:hint="eastAsia" w:ascii="Times New Roman" w:hAnsi="Times New Roman" w:eastAsia="宋体" w:cs="Times New Roman"/>
          <w:sz w:val="24"/>
          <w:highlight w:val="none"/>
        </w:rPr>
      </w:pPr>
      <w:bookmarkStart w:id="3335" w:name="_Toc130920628"/>
      <w:bookmarkStart w:id="3336" w:name="_Toc166339268"/>
      <w:r>
        <w:rPr>
          <w:rFonts w:hint="eastAsia" w:ascii="Times New Roman" w:hAnsi="Times New Roman" w:eastAsia="宋体" w:cs="Times New Roman"/>
          <w:sz w:val="24"/>
          <w:highlight w:val="none"/>
        </w:rPr>
        <w:t>11-3 可投入及拟投入施工机械设备</w:t>
      </w:r>
      <w:bookmarkEnd w:id="3335"/>
      <w:bookmarkEnd w:id="3336"/>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4"/>
        <w:gridCol w:w="1263"/>
        <w:gridCol w:w="772"/>
        <w:gridCol w:w="923"/>
        <w:gridCol w:w="772"/>
        <w:gridCol w:w="877"/>
        <w:gridCol w:w="991"/>
        <w:gridCol w:w="877"/>
        <w:gridCol w:w="799"/>
      </w:tblGrid>
      <w:tr w14:paraId="45BD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88" w:type="dxa"/>
            <w:gridSpan w:val="2"/>
            <w:noWrap w:val="0"/>
            <w:vAlign w:val="center"/>
          </w:tcPr>
          <w:p w14:paraId="639664DF">
            <w:pPr>
              <w:tabs>
                <w:tab w:val="left" w:pos="0"/>
              </w:tabs>
              <w:ind w:right="-212"/>
              <w:rPr>
                <w:highlight w:val="none"/>
              </w:rPr>
            </w:pPr>
            <w:r>
              <w:rPr>
                <w:rFonts w:hint="eastAsia"/>
                <w:highlight w:val="none"/>
              </w:rPr>
              <w:t>工程名称</w:t>
            </w:r>
          </w:p>
        </w:tc>
        <w:tc>
          <w:tcPr>
            <w:tcW w:w="7274" w:type="dxa"/>
            <w:gridSpan w:val="8"/>
            <w:noWrap w:val="0"/>
            <w:vAlign w:val="center"/>
          </w:tcPr>
          <w:p w14:paraId="4FED4E62">
            <w:pPr>
              <w:jc w:val="center"/>
              <w:rPr>
                <w:highlight w:val="none"/>
              </w:rPr>
            </w:pPr>
          </w:p>
        </w:tc>
      </w:tr>
      <w:tr w14:paraId="3B37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8" w:type="dxa"/>
            <w:gridSpan w:val="2"/>
            <w:noWrap w:val="0"/>
            <w:vAlign w:val="top"/>
          </w:tcPr>
          <w:p w14:paraId="1413B41D">
            <w:pPr>
              <w:rPr>
                <w:highlight w:val="none"/>
              </w:rPr>
            </w:pPr>
            <w:r>
              <w:rPr>
                <w:rFonts w:hint="eastAsia"/>
                <w:highlight w:val="none"/>
              </w:rPr>
              <w:t>公司名称</w:t>
            </w:r>
          </w:p>
        </w:tc>
        <w:tc>
          <w:tcPr>
            <w:tcW w:w="7274" w:type="dxa"/>
            <w:gridSpan w:val="8"/>
            <w:noWrap w:val="0"/>
            <w:vAlign w:val="top"/>
          </w:tcPr>
          <w:p w14:paraId="6182AFBB">
            <w:pPr>
              <w:rPr>
                <w:bCs/>
                <w:sz w:val="28"/>
                <w:highlight w:val="none"/>
              </w:rPr>
            </w:pPr>
          </w:p>
        </w:tc>
      </w:tr>
      <w:tr w14:paraId="391A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62" w:type="dxa"/>
            <w:gridSpan w:val="10"/>
            <w:noWrap w:val="0"/>
            <w:vAlign w:val="top"/>
          </w:tcPr>
          <w:p w14:paraId="41E86F2E">
            <w:pPr>
              <w:jc w:val="center"/>
              <w:rPr>
                <w:bCs/>
                <w:highlight w:val="none"/>
              </w:rPr>
            </w:pPr>
            <w:r>
              <w:rPr>
                <w:rFonts w:hint="eastAsia"/>
                <w:bCs/>
                <w:highlight w:val="none"/>
              </w:rPr>
              <w:t>可投入（闲置）施工机械设备表</w:t>
            </w:r>
          </w:p>
        </w:tc>
      </w:tr>
      <w:tr w14:paraId="0C30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94" w:type="dxa"/>
            <w:noWrap w:val="0"/>
            <w:vAlign w:val="center"/>
          </w:tcPr>
          <w:p w14:paraId="551DE5A9">
            <w:pPr>
              <w:jc w:val="center"/>
              <w:rPr>
                <w:highlight w:val="none"/>
              </w:rPr>
            </w:pPr>
            <w:r>
              <w:rPr>
                <w:rFonts w:hint="eastAsia"/>
                <w:highlight w:val="none"/>
              </w:rPr>
              <w:t>序号</w:t>
            </w:r>
          </w:p>
        </w:tc>
        <w:tc>
          <w:tcPr>
            <w:tcW w:w="2557" w:type="dxa"/>
            <w:gridSpan w:val="2"/>
            <w:noWrap w:val="0"/>
            <w:vAlign w:val="center"/>
          </w:tcPr>
          <w:p w14:paraId="45C1A22C">
            <w:pPr>
              <w:jc w:val="center"/>
              <w:rPr>
                <w:highlight w:val="none"/>
              </w:rPr>
            </w:pPr>
            <w:r>
              <w:rPr>
                <w:rFonts w:hint="eastAsia"/>
                <w:highlight w:val="none"/>
              </w:rPr>
              <w:t>机械或设备名称</w:t>
            </w:r>
          </w:p>
        </w:tc>
        <w:tc>
          <w:tcPr>
            <w:tcW w:w="772" w:type="dxa"/>
            <w:noWrap w:val="0"/>
            <w:vAlign w:val="center"/>
          </w:tcPr>
          <w:p w14:paraId="2C0C5DEE">
            <w:pPr>
              <w:jc w:val="center"/>
              <w:rPr>
                <w:highlight w:val="none"/>
              </w:rPr>
            </w:pPr>
            <w:r>
              <w:rPr>
                <w:rFonts w:hint="eastAsia"/>
                <w:highlight w:val="none"/>
              </w:rPr>
              <w:t>型号规格</w:t>
            </w:r>
          </w:p>
        </w:tc>
        <w:tc>
          <w:tcPr>
            <w:tcW w:w="923" w:type="dxa"/>
            <w:noWrap w:val="0"/>
            <w:vAlign w:val="center"/>
          </w:tcPr>
          <w:p w14:paraId="4A78F869">
            <w:pPr>
              <w:jc w:val="center"/>
              <w:rPr>
                <w:highlight w:val="none"/>
              </w:rPr>
            </w:pPr>
            <w:r>
              <w:rPr>
                <w:rFonts w:hint="eastAsia"/>
                <w:highlight w:val="none"/>
              </w:rPr>
              <w:t>数量</w:t>
            </w:r>
          </w:p>
        </w:tc>
        <w:tc>
          <w:tcPr>
            <w:tcW w:w="772" w:type="dxa"/>
            <w:noWrap w:val="0"/>
            <w:vAlign w:val="center"/>
          </w:tcPr>
          <w:p w14:paraId="7B1B37F4">
            <w:pPr>
              <w:jc w:val="center"/>
              <w:rPr>
                <w:highlight w:val="none"/>
              </w:rPr>
            </w:pPr>
            <w:r>
              <w:rPr>
                <w:rFonts w:hint="eastAsia"/>
                <w:highlight w:val="none"/>
              </w:rPr>
              <w:t>国别产地</w:t>
            </w:r>
          </w:p>
        </w:tc>
        <w:tc>
          <w:tcPr>
            <w:tcW w:w="877" w:type="dxa"/>
            <w:noWrap w:val="0"/>
            <w:vAlign w:val="center"/>
          </w:tcPr>
          <w:p w14:paraId="04D9B4BE">
            <w:pPr>
              <w:jc w:val="center"/>
              <w:rPr>
                <w:highlight w:val="none"/>
              </w:rPr>
            </w:pPr>
            <w:r>
              <w:rPr>
                <w:rFonts w:hint="eastAsia"/>
                <w:highlight w:val="none"/>
              </w:rPr>
              <w:t>出厂日期</w:t>
            </w:r>
          </w:p>
        </w:tc>
        <w:tc>
          <w:tcPr>
            <w:tcW w:w="991" w:type="dxa"/>
            <w:noWrap w:val="0"/>
            <w:vAlign w:val="center"/>
          </w:tcPr>
          <w:p w14:paraId="4DEE2BAB">
            <w:pPr>
              <w:jc w:val="center"/>
              <w:rPr>
                <w:highlight w:val="none"/>
              </w:rPr>
            </w:pPr>
            <w:r>
              <w:rPr>
                <w:rFonts w:hint="eastAsia"/>
                <w:highlight w:val="none"/>
              </w:rPr>
              <w:t>额定功率</w:t>
            </w:r>
            <w:r>
              <w:rPr>
                <w:highlight w:val="none"/>
              </w:rPr>
              <w:t>kw</w:t>
            </w:r>
          </w:p>
        </w:tc>
        <w:tc>
          <w:tcPr>
            <w:tcW w:w="877" w:type="dxa"/>
            <w:noWrap w:val="0"/>
            <w:vAlign w:val="center"/>
          </w:tcPr>
          <w:p w14:paraId="0545998F">
            <w:pPr>
              <w:jc w:val="center"/>
              <w:rPr>
                <w:highlight w:val="none"/>
              </w:rPr>
            </w:pPr>
            <w:r>
              <w:rPr>
                <w:rFonts w:hint="eastAsia"/>
                <w:highlight w:val="none"/>
              </w:rPr>
              <w:t>生产能力</w:t>
            </w:r>
          </w:p>
        </w:tc>
        <w:tc>
          <w:tcPr>
            <w:tcW w:w="799" w:type="dxa"/>
            <w:noWrap w:val="0"/>
            <w:vAlign w:val="center"/>
          </w:tcPr>
          <w:p w14:paraId="14E099A5">
            <w:pPr>
              <w:jc w:val="center"/>
              <w:rPr>
                <w:highlight w:val="none"/>
              </w:rPr>
            </w:pPr>
            <w:r>
              <w:rPr>
                <w:rFonts w:hint="eastAsia"/>
                <w:highlight w:val="none"/>
              </w:rPr>
              <w:t>备注</w:t>
            </w:r>
          </w:p>
        </w:tc>
      </w:tr>
      <w:tr w14:paraId="4CA6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551BE736">
            <w:pPr>
              <w:rPr>
                <w:bCs/>
                <w:sz w:val="28"/>
                <w:highlight w:val="none"/>
              </w:rPr>
            </w:pPr>
          </w:p>
        </w:tc>
        <w:tc>
          <w:tcPr>
            <w:tcW w:w="2557" w:type="dxa"/>
            <w:gridSpan w:val="2"/>
            <w:noWrap w:val="0"/>
            <w:vAlign w:val="top"/>
          </w:tcPr>
          <w:p w14:paraId="4C0C453D">
            <w:pPr>
              <w:rPr>
                <w:bCs/>
                <w:sz w:val="28"/>
                <w:highlight w:val="none"/>
              </w:rPr>
            </w:pPr>
          </w:p>
        </w:tc>
        <w:tc>
          <w:tcPr>
            <w:tcW w:w="772" w:type="dxa"/>
            <w:noWrap w:val="0"/>
            <w:vAlign w:val="top"/>
          </w:tcPr>
          <w:p w14:paraId="7BCCC12B">
            <w:pPr>
              <w:rPr>
                <w:bCs/>
                <w:sz w:val="28"/>
                <w:highlight w:val="none"/>
              </w:rPr>
            </w:pPr>
          </w:p>
        </w:tc>
        <w:tc>
          <w:tcPr>
            <w:tcW w:w="923" w:type="dxa"/>
            <w:noWrap w:val="0"/>
            <w:vAlign w:val="top"/>
          </w:tcPr>
          <w:p w14:paraId="063EE23D">
            <w:pPr>
              <w:rPr>
                <w:bCs/>
                <w:sz w:val="28"/>
                <w:highlight w:val="none"/>
              </w:rPr>
            </w:pPr>
          </w:p>
        </w:tc>
        <w:tc>
          <w:tcPr>
            <w:tcW w:w="772" w:type="dxa"/>
            <w:noWrap w:val="0"/>
            <w:vAlign w:val="top"/>
          </w:tcPr>
          <w:p w14:paraId="47DF35B6">
            <w:pPr>
              <w:rPr>
                <w:bCs/>
                <w:sz w:val="28"/>
                <w:highlight w:val="none"/>
              </w:rPr>
            </w:pPr>
          </w:p>
        </w:tc>
        <w:tc>
          <w:tcPr>
            <w:tcW w:w="877" w:type="dxa"/>
            <w:noWrap w:val="0"/>
            <w:vAlign w:val="top"/>
          </w:tcPr>
          <w:p w14:paraId="3B25490E">
            <w:pPr>
              <w:rPr>
                <w:bCs/>
                <w:sz w:val="28"/>
                <w:highlight w:val="none"/>
              </w:rPr>
            </w:pPr>
          </w:p>
        </w:tc>
        <w:tc>
          <w:tcPr>
            <w:tcW w:w="991" w:type="dxa"/>
            <w:noWrap w:val="0"/>
            <w:vAlign w:val="top"/>
          </w:tcPr>
          <w:p w14:paraId="5E2BE1AA">
            <w:pPr>
              <w:rPr>
                <w:bCs/>
                <w:sz w:val="28"/>
                <w:highlight w:val="none"/>
              </w:rPr>
            </w:pPr>
          </w:p>
        </w:tc>
        <w:tc>
          <w:tcPr>
            <w:tcW w:w="877" w:type="dxa"/>
            <w:noWrap w:val="0"/>
            <w:vAlign w:val="top"/>
          </w:tcPr>
          <w:p w14:paraId="12328114">
            <w:pPr>
              <w:rPr>
                <w:bCs/>
                <w:sz w:val="28"/>
                <w:highlight w:val="none"/>
              </w:rPr>
            </w:pPr>
          </w:p>
        </w:tc>
        <w:tc>
          <w:tcPr>
            <w:tcW w:w="799" w:type="dxa"/>
            <w:noWrap w:val="0"/>
            <w:vAlign w:val="top"/>
          </w:tcPr>
          <w:p w14:paraId="39388E54">
            <w:pPr>
              <w:rPr>
                <w:bCs/>
                <w:sz w:val="28"/>
                <w:highlight w:val="none"/>
              </w:rPr>
            </w:pPr>
          </w:p>
        </w:tc>
      </w:tr>
      <w:tr w14:paraId="3960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51627856">
            <w:pPr>
              <w:rPr>
                <w:bCs/>
                <w:sz w:val="28"/>
                <w:highlight w:val="none"/>
              </w:rPr>
            </w:pPr>
          </w:p>
        </w:tc>
        <w:tc>
          <w:tcPr>
            <w:tcW w:w="2557" w:type="dxa"/>
            <w:gridSpan w:val="2"/>
            <w:noWrap w:val="0"/>
            <w:vAlign w:val="top"/>
          </w:tcPr>
          <w:p w14:paraId="5D65A7DA">
            <w:pPr>
              <w:rPr>
                <w:bCs/>
                <w:sz w:val="28"/>
                <w:highlight w:val="none"/>
              </w:rPr>
            </w:pPr>
          </w:p>
        </w:tc>
        <w:tc>
          <w:tcPr>
            <w:tcW w:w="772" w:type="dxa"/>
            <w:noWrap w:val="0"/>
            <w:vAlign w:val="top"/>
          </w:tcPr>
          <w:p w14:paraId="7C149393">
            <w:pPr>
              <w:rPr>
                <w:bCs/>
                <w:sz w:val="28"/>
                <w:highlight w:val="none"/>
              </w:rPr>
            </w:pPr>
          </w:p>
        </w:tc>
        <w:tc>
          <w:tcPr>
            <w:tcW w:w="923" w:type="dxa"/>
            <w:noWrap w:val="0"/>
            <w:vAlign w:val="top"/>
          </w:tcPr>
          <w:p w14:paraId="5D8746F5">
            <w:pPr>
              <w:rPr>
                <w:bCs/>
                <w:sz w:val="28"/>
                <w:highlight w:val="none"/>
              </w:rPr>
            </w:pPr>
          </w:p>
        </w:tc>
        <w:tc>
          <w:tcPr>
            <w:tcW w:w="772" w:type="dxa"/>
            <w:noWrap w:val="0"/>
            <w:vAlign w:val="top"/>
          </w:tcPr>
          <w:p w14:paraId="55991039">
            <w:pPr>
              <w:rPr>
                <w:bCs/>
                <w:sz w:val="28"/>
                <w:highlight w:val="none"/>
              </w:rPr>
            </w:pPr>
          </w:p>
        </w:tc>
        <w:tc>
          <w:tcPr>
            <w:tcW w:w="877" w:type="dxa"/>
            <w:noWrap w:val="0"/>
            <w:vAlign w:val="top"/>
          </w:tcPr>
          <w:p w14:paraId="5CC83E30">
            <w:pPr>
              <w:rPr>
                <w:bCs/>
                <w:sz w:val="28"/>
                <w:highlight w:val="none"/>
              </w:rPr>
            </w:pPr>
          </w:p>
        </w:tc>
        <w:tc>
          <w:tcPr>
            <w:tcW w:w="991" w:type="dxa"/>
            <w:noWrap w:val="0"/>
            <w:vAlign w:val="top"/>
          </w:tcPr>
          <w:p w14:paraId="2B085EB9">
            <w:pPr>
              <w:rPr>
                <w:bCs/>
                <w:sz w:val="28"/>
                <w:highlight w:val="none"/>
              </w:rPr>
            </w:pPr>
          </w:p>
        </w:tc>
        <w:tc>
          <w:tcPr>
            <w:tcW w:w="877" w:type="dxa"/>
            <w:noWrap w:val="0"/>
            <w:vAlign w:val="top"/>
          </w:tcPr>
          <w:p w14:paraId="2DFFF9E2">
            <w:pPr>
              <w:rPr>
                <w:bCs/>
                <w:sz w:val="28"/>
                <w:highlight w:val="none"/>
              </w:rPr>
            </w:pPr>
          </w:p>
        </w:tc>
        <w:tc>
          <w:tcPr>
            <w:tcW w:w="799" w:type="dxa"/>
            <w:noWrap w:val="0"/>
            <w:vAlign w:val="top"/>
          </w:tcPr>
          <w:p w14:paraId="0B30CBB1">
            <w:pPr>
              <w:rPr>
                <w:bCs/>
                <w:sz w:val="28"/>
                <w:highlight w:val="none"/>
              </w:rPr>
            </w:pPr>
          </w:p>
        </w:tc>
      </w:tr>
      <w:tr w14:paraId="6060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6F9959B1">
            <w:pPr>
              <w:rPr>
                <w:bCs/>
                <w:sz w:val="28"/>
                <w:highlight w:val="none"/>
              </w:rPr>
            </w:pPr>
          </w:p>
        </w:tc>
        <w:tc>
          <w:tcPr>
            <w:tcW w:w="2557" w:type="dxa"/>
            <w:gridSpan w:val="2"/>
            <w:noWrap w:val="0"/>
            <w:vAlign w:val="top"/>
          </w:tcPr>
          <w:p w14:paraId="43B21375">
            <w:pPr>
              <w:rPr>
                <w:bCs/>
                <w:sz w:val="28"/>
                <w:highlight w:val="none"/>
              </w:rPr>
            </w:pPr>
          </w:p>
        </w:tc>
        <w:tc>
          <w:tcPr>
            <w:tcW w:w="772" w:type="dxa"/>
            <w:noWrap w:val="0"/>
            <w:vAlign w:val="top"/>
          </w:tcPr>
          <w:p w14:paraId="5FBA6B9F">
            <w:pPr>
              <w:rPr>
                <w:bCs/>
                <w:sz w:val="28"/>
                <w:highlight w:val="none"/>
              </w:rPr>
            </w:pPr>
          </w:p>
        </w:tc>
        <w:tc>
          <w:tcPr>
            <w:tcW w:w="923" w:type="dxa"/>
            <w:noWrap w:val="0"/>
            <w:vAlign w:val="top"/>
          </w:tcPr>
          <w:p w14:paraId="08EFB2A1">
            <w:pPr>
              <w:rPr>
                <w:bCs/>
                <w:sz w:val="28"/>
                <w:highlight w:val="none"/>
              </w:rPr>
            </w:pPr>
          </w:p>
        </w:tc>
        <w:tc>
          <w:tcPr>
            <w:tcW w:w="772" w:type="dxa"/>
            <w:noWrap w:val="0"/>
            <w:vAlign w:val="top"/>
          </w:tcPr>
          <w:p w14:paraId="5664CBE9">
            <w:pPr>
              <w:rPr>
                <w:bCs/>
                <w:sz w:val="28"/>
                <w:highlight w:val="none"/>
              </w:rPr>
            </w:pPr>
          </w:p>
        </w:tc>
        <w:tc>
          <w:tcPr>
            <w:tcW w:w="877" w:type="dxa"/>
            <w:noWrap w:val="0"/>
            <w:vAlign w:val="top"/>
          </w:tcPr>
          <w:p w14:paraId="34B36558">
            <w:pPr>
              <w:rPr>
                <w:bCs/>
                <w:sz w:val="28"/>
                <w:highlight w:val="none"/>
              </w:rPr>
            </w:pPr>
          </w:p>
        </w:tc>
        <w:tc>
          <w:tcPr>
            <w:tcW w:w="991" w:type="dxa"/>
            <w:noWrap w:val="0"/>
            <w:vAlign w:val="top"/>
          </w:tcPr>
          <w:p w14:paraId="0DE4C1BC">
            <w:pPr>
              <w:rPr>
                <w:bCs/>
                <w:sz w:val="28"/>
                <w:highlight w:val="none"/>
              </w:rPr>
            </w:pPr>
          </w:p>
        </w:tc>
        <w:tc>
          <w:tcPr>
            <w:tcW w:w="877" w:type="dxa"/>
            <w:noWrap w:val="0"/>
            <w:vAlign w:val="top"/>
          </w:tcPr>
          <w:p w14:paraId="36B9487C">
            <w:pPr>
              <w:rPr>
                <w:bCs/>
                <w:sz w:val="28"/>
                <w:highlight w:val="none"/>
              </w:rPr>
            </w:pPr>
          </w:p>
        </w:tc>
        <w:tc>
          <w:tcPr>
            <w:tcW w:w="799" w:type="dxa"/>
            <w:noWrap w:val="0"/>
            <w:vAlign w:val="top"/>
          </w:tcPr>
          <w:p w14:paraId="26A3C15B">
            <w:pPr>
              <w:rPr>
                <w:bCs/>
                <w:sz w:val="28"/>
                <w:highlight w:val="none"/>
              </w:rPr>
            </w:pPr>
          </w:p>
        </w:tc>
      </w:tr>
      <w:tr w14:paraId="519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0CEA8452">
            <w:pPr>
              <w:rPr>
                <w:bCs/>
                <w:sz w:val="28"/>
                <w:highlight w:val="none"/>
              </w:rPr>
            </w:pPr>
          </w:p>
        </w:tc>
        <w:tc>
          <w:tcPr>
            <w:tcW w:w="2557" w:type="dxa"/>
            <w:gridSpan w:val="2"/>
            <w:noWrap w:val="0"/>
            <w:vAlign w:val="top"/>
          </w:tcPr>
          <w:p w14:paraId="2CEA9817">
            <w:pPr>
              <w:rPr>
                <w:bCs/>
                <w:sz w:val="28"/>
                <w:highlight w:val="none"/>
              </w:rPr>
            </w:pPr>
          </w:p>
        </w:tc>
        <w:tc>
          <w:tcPr>
            <w:tcW w:w="772" w:type="dxa"/>
            <w:noWrap w:val="0"/>
            <w:vAlign w:val="top"/>
          </w:tcPr>
          <w:p w14:paraId="6641F579">
            <w:pPr>
              <w:rPr>
                <w:bCs/>
                <w:sz w:val="28"/>
                <w:highlight w:val="none"/>
              </w:rPr>
            </w:pPr>
          </w:p>
        </w:tc>
        <w:tc>
          <w:tcPr>
            <w:tcW w:w="923" w:type="dxa"/>
            <w:noWrap w:val="0"/>
            <w:vAlign w:val="top"/>
          </w:tcPr>
          <w:p w14:paraId="29F664B4">
            <w:pPr>
              <w:rPr>
                <w:bCs/>
                <w:sz w:val="28"/>
                <w:highlight w:val="none"/>
              </w:rPr>
            </w:pPr>
          </w:p>
        </w:tc>
        <w:tc>
          <w:tcPr>
            <w:tcW w:w="772" w:type="dxa"/>
            <w:noWrap w:val="0"/>
            <w:vAlign w:val="top"/>
          </w:tcPr>
          <w:p w14:paraId="2C5D97BA">
            <w:pPr>
              <w:rPr>
                <w:bCs/>
                <w:sz w:val="28"/>
                <w:highlight w:val="none"/>
              </w:rPr>
            </w:pPr>
          </w:p>
        </w:tc>
        <w:tc>
          <w:tcPr>
            <w:tcW w:w="877" w:type="dxa"/>
            <w:noWrap w:val="0"/>
            <w:vAlign w:val="top"/>
          </w:tcPr>
          <w:p w14:paraId="7585B2B0">
            <w:pPr>
              <w:rPr>
                <w:bCs/>
                <w:sz w:val="28"/>
                <w:highlight w:val="none"/>
              </w:rPr>
            </w:pPr>
          </w:p>
        </w:tc>
        <w:tc>
          <w:tcPr>
            <w:tcW w:w="991" w:type="dxa"/>
            <w:noWrap w:val="0"/>
            <w:vAlign w:val="top"/>
          </w:tcPr>
          <w:p w14:paraId="1DAD6F59">
            <w:pPr>
              <w:rPr>
                <w:bCs/>
                <w:sz w:val="28"/>
                <w:highlight w:val="none"/>
              </w:rPr>
            </w:pPr>
          </w:p>
        </w:tc>
        <w:tc>
          <w:tcPr>
            <w:tcW w:w="877" w:type="dxa"/>
            <w:noWrap w:val="0"/>
            <w:vAlign w:val="top"/>
          </w:tcPr>
          <w:p w14:paraId="1E635438">
            <w:pPr>
              <w:rPr>
                <w:bCs/>
                <w:sz w:val="28"/>
                <w:highlight w:val="none"/>
              </w:rPr>
            </w:pPr>
          </w:p>
        </w:tc>
        <w:tc>
          <w:tcPr>
            <w:tcW w:w="799" w:type="dxa"/>
            <w:noWrap w:val="0"/>
            <w:vAlign w:val="top"/>
          </w:tcPr>
          <w:p w14:paraId="0B74804E">
            <w:pPr>
              <w:rPr>
                <w:bCs/>
                <w:sz w:val="28"/>
                <w:highlight w:val="none"/>
              </w:rPr>
            </w:pPr>
          </w:p>
        </w:tc>
      </w:tr>
      <w:tr w14:paraId="0097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2E6E4236">
            <w:pPr>
              <w:rPr>
                <w:bCs/>
                <w:sz w:val="28"/>
                <w:highlight w:val="none"/>
              </w:rPr>
            </w:pPr>
          </w:p>
        </w:tc>
        <w:tc>
          <w:tcPr>
            <w:tcW w:w="2557" w:type="dxa"/>
            <w:gridSpan w:val="2"/>
            <w:noWrap w:val="0"/>
            <w:vAlign w:val="top"/>
          </w:tcPr>
          <w:p w14:paraId="604351DC">
            <w:pPr>
              <w:rPr>
                <w:bCs/>
                <w:sz w:val="28"/>
                <w:highlight w:val="none"/>
              </w:rPr>
            </w:pPr>
          </w:p>
        </w:tc>
        <w:tc>
          <w:tcPr>
            <w:tcW w:w="772" w:type="dxa"/>
            <w:noWrap w:val="0"/>
            <w:vAlign w:val="top"/>
          </w:tcPr>
          <w:p w14:paraId="0E9A27A9">
            <w:pPr>
              <w:rPr>
                <w:bCs/>
                <w:sz w:val="28"/>
                <w:highlight w:val="none"/>
              </w:rPr>
            </w:pPr>
          </w:p>
        </w:tc>
        <w:tc>
          <w:tcPr>
            <w:tcW w:w="923" w:type="dxa"/>
            <w:noWrap w:val="0"/>
            <w:vAlign w:val="top"/>
          </w:tcPr>
          <w:p w14:paraId="36233DAA">
            <w:pPr>
              <w:rPr>
                <w:bCs/>
                <w:sz w:val="28"/>
                <w:highlight w:val="none"/>
              </w:rPr>
            </w:pPr>
          </w:p>
        </w:tc>
        <w:tc>
          <w:tcPr>
            <w:tcW w:w="772" w:type="dxa"/>
            <w:noWrap w:val="0"/>
            <w:vAlign w:val="top"/>
          </w:tcPr>
          <w:p w14:paraId="6662DEA3">
            <w:pPr>
              <w:rPr>
                <w:bCs/>
                <w:sz w:val="28"/>
                <w:highlight w:val="none"/>
              </w:rPr>
            </w:pPr>
          </w:p>
        </w:tc>
        <w:tc>
          <w:tcPr>
            <w:tcW w:w="877" w:type="dxa"/>
            <w:noWrap w:val="0"/>
            <w:vAlign w:val="top"/>
          </w:tcPr>
          <w:p w14:paraId="4CD27FFC">
            <w:pPr>
              <w:rPr>
                <w:bCs/>
                <w:sz w:val="28"/>
                <w:highlight w:val="none"/>
              </w:rPr>
            </w:pPr>
          </w:p>
        </w:tc>
        <w:tc>
          <w:tcPr>
            <w:tcW w:w="991" w:type="dxa"/>
            <w:noWrap w:val="0"/>
            <w:vAlign w:val="top"/>
          </w:tcPr>
          <w:p w14:paraId="5AFBECC1">
            <w:pPr>
              <w:rPr>
                <w:bCs/>
                <w:sz w:val="28"/>
                <w:highlight w:val="none"/>
              </w:rPr>
            </w:pPr>
          </w:p>
        </w:tc>
        <w:tc>
          <w:tcPr>
            <w:tcW w:w="877" w:type="dxa"/>
            <w:noWrap w:val="0"/>
            <w:vAlign w:val="top"/>
          </w:tcPr>
          <w:p w14:paraId="52486A63">
            <w:pPr>
              <w:rPr>
                <w:bCs/>
                <w:sz w:val="28"/>
                <w:highlight w:val="none"/>
              </w:rPr>
            </w:pPr>
          </w:p>
        </w:tc>
        <w:tc>
          <w:tcPr>
            <w:tcW w:w="799" w:type="dxa"/>
            <w:noWrap w:val="0"/>
            <w:vAlign w:val="top"/>
          </w:tcPr>
          <w:p w14:paraId="3732B79D">
            <w:pPr>
              <w:rPr>
                <w:bCs/>
                <w:sz w:val="28"/>
                <w:highlight w:val="none"/>
              </w:rPr>
            </w:pPr>
          </w:p>
        </w:tc>
      </w:tr>
      <w:tr w14:paraId="17ED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5C56C6D1">
            <w:pPr>
              <w:rPr>
                <w:bCs/>
                <w:sz w:val="28"/>
                <w:highlight w:val="none"/>
              </w:rPr>
            </w:pPr>
          </w:p>
        </w:tc>
        <w:tc>
          <w:tcPr>
            <w:tcW w:w="2557" w:type="dxa"/>
            <w:gridSpan w:val="2"/>
            <w:noWrap w:val="0"/>
            <w:vAlign w:val="top"/>
          </w:tcPr>
          <w:p w14:paraId="1CA010A9">
            <w:pPr>
              <w:rPr>
                <w:bCs/>
                <w:sz w:val="28"/>
                <w:highlight w:val="none"/>
              </w:rPr>
            </w:pPr>
          </w:p>
        </w:tc>
        <w:tc>
          <w:tcPr>
            <w:tcW w:w="772" w:type="dxa"/>
            <w:noWrap w:val="0"/>
            <w:vAlign w:val="top"/>
          </w:tcPr>
          <w:p w14:paraId="38B5A525">
            <w:pPr>
              <w:rPr>
                <w:bCs/>
                <w:sz w:val="28"/>
                <w:highlight w:val="none"/>
              </w:rPr>
            </w:pPr>
          </w:p>
        </w:tc>
        <w:tc>
          <w:tcPr>
            <w:tcW w:w="923" w:type="dxa"/>
            <w:noWrap w:val="0"/>
            <w:vAlign w:val="top"/>
          </w:tcPr>
          <w:p w14:paraId="52F9BFCB">
            <w:pPr>
              <w:rPr>
                <w:bCs/>
                <w:sz w:val="28"/>
                <w:highlight w:val="none"/>
              </w:rPr>
            </w:pPr>
          </w:p>
        </w:tc>
        <w:tc>
          <w:tcPr>
            <w:tcW w:w="772" w:type="dxa"/>
            <w:noWrap w:val="0"/>
            <w:vAlign w:val="top"/>
          </w:tcPr>
          <w:p w14:paraId="127D0DDA">
            <w:pPr>
              <w:rPr>
                <w:bCs/>
                <w:sz w:val="28"/>
                <w:highlight w:val="none"/>
              </w:rPr>
            </w:pPr>
          </w:p>
        </w:tc>
        <w:tc>
          <w:tcPr>
            <w:tcW w:w="877" w:type="dxa"/>
            <w:noWrap w:val="0"/>
            <w:vAlign w:val="top"/>
          </w:tcPr>
          <w:p w14:paraId="4407766D">
            <w:pPr>
              <w:rPr>
                <w:bCs/>
                <w:sz w:val="28"/>
                <w:highlight w:val="none"/>
              </w:rPr>
            </w:pPr>
          </w:p>
        </w:tc>
        <w:tc>
          <w:tcPr>
            <w:tcW w:w="991" w:type="dxa"/>
            <w:noWrap w:val="0"/>
            <w:vAlign w:val="top"/>
          </w:tcPr>
          <w:p w14:paraId="7E4C0654">
            <w:pPr>
              <w:rPr>
                <w:bCs/>
                <w:sz w:val="28"/>
                <w:highlight w:val="none"/>
              </w:rPr>
            </w:pPr>
          </w:p>
        </w:tc>
        <w:tc>
          <w:tcPr>
            <w:tcW w:w="877" w:type="dxa"/>
            <w:noWrap w:val="0"/>
            <w:vAlign w:val="top"/>
          </w:tcPr>
          <w:p w14:paraId="513E5764">
            <w:pPr>
              <w:rPr>
                <w:bCs/>
                <w:sz w:val="28"/>
                <w:highlight w:val="none"/>
              </w:rPr>
            </w:pPr>
          </w:p>
        </w:tc>
        <w:tc>
          <w:tcPr>
            <w:tcW w:w="799" w:type="dxa"/>
            <w:noWrap w:val="0"/>
            <w:vAlign w:val="top"/>
          </w:tcPr>
          <w:p w14:paraId="1368D726">
            <w:pPr>
              <w:rPr>
                <w:bCs/>
                <w:sz w:val="28"/>
                <w:highlight w:val="none"/>
              </w:rPr>
            </w:pPr>
          </w:p>
        </w:tc>
      </w:tr>
      <w:tr w14:paraId="5452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4" w:type="dxa"/>
            <w:noWrap w:val="0"/>
            <w:vAlign w:val="top"/>
          </w:tcPr>
          <w:p w14:paraId="5958E3D2">
            <w:pPr>
              <w:rPr>
                <w:bCs/>
                <w:sz w:val="28"/>
                <w:highlight w:val="none"/>
              </w:rPr>
            </w:pPr>
          </w:p>
        </w:tc>
        <w:tc>
          <w:tcPr>
            <w:tcW w:w="2557" w:type="dxa"/>
            <w:gridSpan w:val="2"/>
            <w:noWrap w:val="0"/>
            <w:vAlign w:val="top"/>
          </w:tcPr>
          <w:p w14:paraId="6C44B5F6">
            <w:pPr>
              <w:rPr>
                <w:bCs/>
                <w:sz w:val="28"/>
                <w:highlight w:val="none"/>
              </w:rPr>
            </w:pPr>
          </w:p>
        </w:tc>
        <w:tc>
          <w:tcPr>
            <w:tcW w:w="772" w:type="dxa"/>
            <w:noWrap w:val="0"/>
            <w:vAlign w:val="top"/>
          </w:tcPr>
          <w:p w14:paraId="4BAFA6F8">
            <w:pPr>
              <w:rPr>
                <w:bCs/>
                <w:sz w:val="28"/>
                <w:highlight w:val="none"/>
              </w:rPr>
            </w:pPr>
          </w:p>
        </w:tc>
        <w:tc>
          <w:tcPr>
            <w:tcW w:w="923" w:type="dxa"/>
            <w:noWrap w:val="0"/>
            <w:vAlign w:val="top"/>
          </w:tcPr>
          <w:p w14:paraId="22046327">
            <w:pPr>
              <w:rPr>
                <w:bCs/>
                <w:sz w:val="28"/>
                <w:highlight w:val="none"/>
              </w:rPr>
            </w:pPr>
          </w:p>
        </w:tc>
        <w:tc>
          <w:tcPr>
            <w:tcW w:w="772" w:type="dxa"/>
            <w:noWrap w:val="0"/>
            <w:vAlign w:val="top"/>
          </w:tcPr>
          <w:p w14:paraId="0D98513B">
            <w:pPr>
              <w:rPr>
                <w:bCs/>
                <w:sz w:val="28"/>
                <w:highlight w:val="none"/>
              </w:rPr>
            </w:pPr>
          </w:p>
        </w:tc>
        <w:tc>
          <w:tcPr>
            <w:tcW w:w="877" w:type="dxa"/>
            <w:noWrap w:val="0"/>
            <w:vAlign w:val="top"/>
          </w:tcPr>
          <w:p w14:paraId="050BF88A">
            <w:pPr>
              <w:rPr>
                <w:bCs/>
                <w:sz w:val="28"/>
                <w:highlight w:val="none"/>
              </w:rPr>
            </w:pPr>
          </w:p>
        </w:tc>
        <w:tc>
          <w:tcPr>
            <w:tcW w:w="991" w:type="dxa"/>
            <w:noWrap w:val="0"/>
            <w:vAlign w:val="top"/>
          </w:tcPr>
          <w:p w14:paraId="061B3D1B">
            <w:pPr>
              <w:rPr>
                <w:bCs/>
                <w:sz w:val="28"/>
                <w:highlight w:val="none"/>
              </w:rPr>
            </w:pPr>
          </w:p>
        </w:tc>
        <w:tc>
          <w:tcPr>
            <w:tcW w:w="877" w:type="dxa"/>
            <w:noWrap w:val="0"/>
            <w:vAlign w:val="top"/>
          </w:tcPr>
          <w:p w14:paraId="5C9CA7E1">
            <w:pPr>
              <w:rPr>
                <w:bCs/>
                <w:sz w:val="28"/>
                <w:highlight w:val="none"/>
              </w:rPr>
            </w:pPr>
          </w:p>
        </w:tc>
        <w:tc>
          <w:tcPr>
            <w:tcW w:w="799" w:type="dxa"/>
            <w:noWrap w:val="0"/>
            <w:vAlign w:val="top"/>
          </w:tcPr>
          <w:p w14:paraId="18883D2C">
            <w:pPr>
              <w:rPr>
                <w:bCs/>
                <w:sz w:val="28"/>
                <w:highlight w:val="none"/>
              </w:rPr>
            </w:pPr>
          </w:p>
        </w:tc>
      </w:tr>
      <w:tr w14:paraId="543F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1DE76F97">
            <w:pPr>
              <w:spacing w:line="480" w:lineRule="auto"/>
              <w:rPr>
                <w:rFonts w:hint="eastAsia" w:hAnsi="宋体"/>
                <w:highlight w:val="none"/>
              </w:rPr>
            </w:pPr>
          </w:p>
        </w:tc>
        <w:tc>
          <w:tcPr>
            <w:tcW w:w="2557" w:type="dxa"/>
            <w:gridSpan w:val="2"/>
            <w:noWrap w:val="0"/>
            <w:vAlign w:val="top"/>
          </w:tcPr>
          <w:p w14:paraId="3D8A988C">
            <w:pPr>
              <w:spacing w:line="480" w:lineRule="auto"/>
              <w:rPr>
                <w:rFonts w:hint="eastAsia" w:hAnsi="宋体"/>
                <w:highlight w:val="none"/>
              </w:rPr>
            </w:pPr>
          </w:p>
        </w:tc>
        <w:tc>
          <w:tcPr>
            <w:tcW w:w="772" w:type="dxa"/>
            <w:noWrap w:val="0"/>
            <w:vAlign w:val="top"/>
          </w:tcPr>
          <w:p w14:paraId="074FC20D">
            <w:pPr>
              <w:spacing w:line="480" w:lineRule="auto"/>
              <w:rPr>
                <w:rFonts w:hint="eastAsia" w:hAnsi="宋体"/>
                <w:highlight w:val="none"/>
              </w:rPr>
            </w:pPr>
          </w:p>
        </w:tc>
        <w:tc>
          <w:tcPr>
            <w:tcW w:w="923" w:type="dxa"/>
            <w:noWrap w:val="0"/>
            <w:vAlign w:val="top"/>
          </w:tcPr>
          <w:p w14:paraId="0BCCA039">
            <w:pPr>
              <w:spacing w:line="480" w:lineRule="auto"/>
              <w:rPr>
                <w:rFonts w:hint="eastAsia" w:hAnsi="宋体"/>
                <w:highlight w:val="none"/>
              </w:rPr>
            </w:pPr>
          </w:p>
        </w:tc>
        <w:tc>
          <w:tcPr>
            <w:tcW w:w="772" w:type="dxa"/>
            <w:noWrap w:val="0"/>
            <w:vAlign w:val="top"/>
          </w:tcPr>
          <w:p w14:paraId="13891B02">
            <w:pPr>
              <w:spacing w:line="480" w:lineRule="auto"/>
              <w:rPr>
                <w:rFonts w:hint="eastAsia" w:hAnsi="宋体"/>
                <w:highlight w:val="none"/>
              </w:rPr>
            </w:pPr>
          </w:p>
        </w:tc>
        <w:tc>
          <w:tcPr>
            <w:tcW w:w="877" w:type="dxa"/>
            <w:noWrap w:val="0"/>
            <w:vAlign w:val="top"/>
          </w:tcPr>
          <w:p w14:paraId="22161ABB">
            <w:pPr>
              <w:spacing w:line="480" w:lineRule="auto"/>
              <w:rPr>
                <w:rFonts w:hint="eastAsia" w:hAnsi="宋体"/>
                <w:highlight w:val="none"/>
              </w:rPr>
            </w:pPr>
          </w:p>
        </w:tc>
        <w:tc>
          <w:tcPr>
            <w:tcW w:w="991" w:type="dxa"/>
            <w:noWrap w:val="0"/>
            <w:vAlign w:val="top"/>
          </w:tcPr>
          <w:p w14:paraId="6C9E3DE5">
            <w:pPr>
              <w:spacing w:line="480" w:lineRule="auto"/>
              <w:rPr>
                <w:rFonts w:hint="eastAsia" w:hAnsi="宋体"/>
                <w:highlight w:val="none"/>
              </w:rPr>
            </w:pPr>
          </w:p>
        </w:tc>
        <w:tc>
          <w:tcPr>
            <w:tcW w:w="877" w:type="dxa"/>
            <w:noWrap w:val="0"/>
            <w:vAlign w:val="top"/>
          </w:tcPr>
          <w:p w14:paraId="5145CA04">
            <w:pPr>
              <w:spacing w:line="480" w:lineRule="auto"/>
              <w:rPr>
                <w:rFonts w:hint="eastAsia" w:hAnsi="宋体"/>
                <w:highlight w:val="none"/>
              </w:rPr>
            </w:pPr>
          </w:p>
        </w:tc>
        <w:tc>
          <w:tcPr>
            <w:tcW w:w="799" w:type="dxa"/>
            <w:noWrap w:val="0"/>
            <w:vAlign w:val="top"/>
          </w:tcPr>
          <w:p w14:paraId="1E7E3642">
            <w:pPr>
              <w:spacing w:line="480" w:lineRule="auto"/>
              <w:rPr>
                <w:rFonts w:hint="eastAsia" w:hAnsi="宋体"/>
                <w:highlight w:val="none"/>
              </w:rPr>
            </w:pPr>
          </w:p>
        </w:tc>
      </w:tr>
      <w:tr w14:paraId="19B6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6B0FC427">
            <w:pPr>
              <w:spacing w:line="480" w:lineRule="auto"/>
              <w:rPr>
                <w:rFonts w:hint="eastAsia" w:hAnsi="宋体"/>
                <w:highlight w:val="none"/>
              </w:rPr>
            </w:pPr>
          </w:p>
        </w:tc>
        <w:tc>
          <w:tcPr>
            <w:tcW w:w="2557" w:type="dxa"/>
            <w:gridSpan w:val="2"/>
            <w:noWrap w:val="0"/>
            <w:vAlign w:val="top"/>
          </w:tcPr>
          <w:p w14:paraId="4D080819">
            <w:pPr>
              <w:spacing w:line="480" w:lineRule="auto"/>
              <w:rPr>
                <w:rFonts w:hint="eastAsia" w:hAnsi="宋体"/>
                <w:highlight w:val="none"/>
              </w:rPr>
            </w:pPr>
          </w:p>
        </w:tc>
        <w:tc>
          <w:tcPr>
            <w:tcW w:w="772" w:type="dxa"/>
            <w:noWrap w:val="0"/>
            <w:vAlign w:val="top"/>
          </w:tcPr>
          <w:p w14:paraId="561B0573">
            <w:pPr>
              <w:spacing w:line="480" w:lineRule="auto"/>
              <w:rPr>
                <w:rFonts w:hint="eastAsia" w:hAnsi="宋体"/>
                <w:highlight w:val="none"/>
              </w:rPr>
            </w:pPr>
          </w:p>
        </w:tc>
        <w:tc>
          <w:tcPr>
            <w:tcW w:w="923" w:type="dxa"/>
            <w:noWrap w:val="0"/>
            <w:vAlign w:val="top"/>
          </w:tcPr>
          <w:p w14:paraId="1B9C25F4">
            <w:pPr>
              <w:spacing w:line="480" w:lineRule="auto"/>
              <w:rPr>
                <w:rFonts w:hint="eastAsia" w:hAnsi="宋体"/>
                <w:highlight w:val="none"/>
              </w:rPr>
            </w:pPr>
          </w:p>
        </w:tc>
        <w:tc>
          <w:tcPr>
            <w:tcW w:w="772" w:type="dxa"/>
            <w:noWrap w:val="0"/>
            <w:vAlign w:val="top"/>
          </w:tcPr>
          <w:p w14:paraId="21507CCE">
            <w:pPr>
              <w:spacing w:line="480" w:lineRule="auto"/>
              <w:rPr>
                <w:rFonts w:hint="eastAsia" w:hAnsi="宋体"/>
                <w:highlight w:val="none"/>
              </w:rPr>
            </w:pPr>
          </w:p>
        </w:tc>
        <w:tc>
          <w:tcPr>
            <w:tcW w:w="877" w:type="dxa"/>
            <w:noWrap w:val="0"/>
            <w:vAlign w:val="top"/>
          </w:tcPr>
          <w:p w14:paraId="543240A6">
            <w:pPr>
              <w:spacing w:line="480" w:lineRule="auto"/>
              <w:rPr>
                <w:rFonts w:hint="eastAsia" w:hAnsi="宋体"/>
                <w:highlight w:val="none"/>
              </w:rPr>
            </w:pPr>
          </w:p>
        </w:tc>
        <w:tc>
          <w:tcPr>
            <w:tcW w:w="991" w:type="dxa"/>
            <w:noWrap w:val="0"/>
            <w:vAlign w:val="top"/>
          </w:tcPr>
          <w:p w14:paraId="7F6301EC">
            <w:pPr>
              <w:spacing w:line="480" w:lineRule="auto"/>
              <w:rPr>
                <w:rFonts w:hint="eastAsia" w:hAnsi="宋体"/>
                <w:highlight w:val="none"/>
              </w:rPr>
            </w:pPr>
          </w:p>
        </w:tc>
        <w:tc>
          <w:tcPr>
            <w:tcW w:w="877" w:type="dxa"/>
            <w:noWrap w:val="0"/>
            <w:vAlign w:val="top"/>
          </w:tcPr>
          <w:p w14:paraId="7DDA84EE">
            <w:pPr>
              <w:spacing w:line="480" w:lineRule="auto"/>
              <w:rPr>
                <w:rFonts w:hint="eastAsia" w:hAnsi="宋体"/>
                <w:highlight w:val="none"/>
              </w:rPr>
            </w:pPr>
          </w:p>
        </w:tc>
        <w:tc>
          <w:tcPr>
            <w:tcW w:w="799" w:type="dxa"/>
            <w:noWrap w:val="0"/>
            <w:vAlign w:val="top"/>
          </w:tcPr>
          <w:p w14:paraId="6434A601">
            <w:pPr>
              <w:spacing w:line="480" w:lineRule="auto"/>
              <w:rPr>
                <w:rFonts w:hint="eastAsia" w:hAnsi="宋体"/>
                <w:highlight w:val="none"/>
              </w:rPr>
            </w:pPr>
          </w:p>
        </w:tc>
      </w:tr>
      <w:tr w14:paraId="108F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1BDD564B">
            <w:pPr>
              <w:spacing w:line="480" w:lineRule="auto"/>
              <w:rPr>
                <w:rFonts w:hint="eastAsia" w:hAnsi="宋体"/>
                <w:highlight w:val="none"/>
              </w:rPr>
            </w:pPr>
          </w:p>
        </w:tc>
        <w:tc>
          <w:tcPr>
            <w:tcW w:w="2557" w:type="dxa"/>
            <w:gridSpan w:val="2"/>
            <w:noWrap w:val="0"/>
            <w:vAlign w:val="top"/>
          </w:tcPr>
          <w:p w14:paraId="5BA24ABF">
            <w:pPr>
              <w:spacing w:line="480" w:lineRule="auto"/>
              <w:rPr>
                <w:rFonts w:hint="eastAsia" w:hAnsi="宋体"/>
                <w:highlight w:val="none"/>
              </w:rPr>
            </w:pPr>
          </w:p>
        </w:tc>
        <w:tc>
          <w:tcPr>
            <w:tcW w:w="772" w:type="dxa"/>
            <w:noWrap w:val="0"/>
            <w:vAlign w:val="top"/>
          </w:tcPr>
          <w:p w14:paraId="4CEB933F">
            <w:pPr>
              <w:spacing w:line="480" w:lineRule="auto"/>
              <w:rPr>
                <w:rFonts w:hint="eastAsia" w:hAnsi="宋体"/>
                <w:highlight w:val="none"/>
              </w:rPr>
            </w:pPr>
          </w:p>
        </w:tc>
        <w:tc>
          <w:tcPr>
            <w:tcW w:w="923" w:type="dxa"/>
            <w:noWrap w:val="0"/>
            <w:vAlign w:val="top"/>
          </w:tcPr>
          <w:p w14:paraId="5AD7F4DC">
            <w:pPr>
              <w:spacing w:line="480" w:lineRule="auto"/>
              <w:rPr>
                <w:rFonts w:hint="eastAsia" w:hAnsi="宋体"/>
                <w:highlight w:val="none"/>
              </w:rPr>
            </w:pPr>
          </w:p>
        </w:tc>
        <w:tc>
          <w:tcPr>
            <w:tcW w:w="772" w:type="dxa"/>
            <w:noWrap w:val="0"/>
            <w:vAlign w:val="top"/>
          </w:tcPr>
          <w:p w14:paraId="5D7B88CB">
            <w:pPr>
              <w:spacing w:line="480" w:lineRule="auto"/>
              <w:rPr>
                <w:rFonts w:hint="eastAsia" w:hAnsi="宋体"/>
                <w:highlight w:val="none"/>
              </w:rPr>
            </w:pPr>
          </w:p>
        </w:tc>
        <w:tc>
          <w:tcPr>
            <w:tcW w:w="877" w:type="dxa"/>
            <w:noWrap w:val="0"/>
            <w:vAlign w:val="top"/>
          </w:tcPr>
          <w:p w14:paraId="27E96F6A">
            <w:pPr>
              <w:spacing w:line="480" w:lineRule="auto"/>
              <w:rPr>
                <w:rFonts w:hint="eastAsia" w:hAnsi="宋体"/>
                <w:highlight w:val="none"/>
              </w:rPr>
            </w:pPr>
          </w:p>
        </w:tc>
        <w:tc>
          <w:tcPr>
            <w:tcW w:w="991" w:type="dxa"/>
            <w:noWrap w:val="0"/>
            <w:vAlign w:val="top"/>
          </w:tcPr>
          <w:p w14:paraId="379988F4">
            <w:pPr>
              <w:spacing w:line="480" w:lineRule="auto"/>
              <w:rPr>
                <w:rFonts w:hint="eastAsia" w:hAnsi="宋体"/>
                <w:highlight w:val="none"/>
              </w:rPr>
            </w:pPr>
          </w:p>
        </w:tc>
        <w:tc>
          <w:tcPr>
            <w:tcW w:w="877" w:type="dxa"/>
            <w:noWrap w:val="0"/>
            <w:vAlign w:val="top"/>
          </w:tcPr>
          <w:p w14:paraId="22D4D00B">
            <w:pPr>
              <w:spacing w:line="480" w:lineRule="auto"/>
              <w:rPr>
                <w:rFonts w:hint="eastAsia" w:hAnsi="宋体"/>
                <w:highlight w:val="none"/>
              </w:rPr>
            </w:pPr>
          </w:p>
        </w:tc>
        <w:tc>
          <w:tcPr>
            <w:tcW w:w="799" w:type="dxa"/>
            <w:noWrap w:val="0"/>
            <w:vAlign w:val="top"/>
          </w:tcPr>
          <w:p w14:paraId="6D3E9B2F">
            <w:pPr>
              <w:spacing w:line="480" w:lineRule="auto"/>
              <w:rPr>
                <w:rFonts w:hint="eastAsia" w:hAnsi="宋体"/>
                <w:highlight w:val="none"/>
              </w:rPr>
            </w:pPr>
          </w:p>
        </w:tc>
      </w:tr>
      <w:tr w14:paraId="6191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6A6AFF1D">
            <w:pPr>
              <w:spacing w:line="480" w:lineRule="auto"/>
              <w:rPr>
                <w:rFonts w:hint="eastAsia" w:hAnsi="宋体"/>
                <w:highlight w:val="none"/>
              </w:rPr>
            </w:pPr>
          </w:p>
        </w:tc>
        <w:tc>
          <w:tcPr>
            <w:tcW w:w="2557" w:type="dxa"/>
            <w:gridSpan w:val="2"/>
            <w:noWrap w:val="0"/>
            <w:vAlign w:val="top"/>
          </w:tcPr>
          <w:p w14:paraId="0CC14D96">
            <w:pPr>
              <w:spacing w:line="480" w:lineRule="auto"/>
              <w:rPr>
                <w:rFonts w:hint="eastAsia" w:hAnsi="宋体"/>
                <w:highlight w:val="none"/>
              </w:rPr>
            </w:pPr>
          </w:p>
        </w:tc>
        <w:tc>
          <w:tcPr>
            <w:tcW w:w="772" w:type="dxa"/>
            <w:noWrap w:val="0"/>
            <w:vAlign w:val="top"/>
          </w:tcPr>
          <w:p w14:paraId="4D95D2EE">
            <w:pPr>
              <w:spacing w:line="480" w:lineRule="auto"/>
              <w:rPr>
                <w:rFonts w:hint="eastAsia" w:hAnsi="宋体"/>
                <w:highlight w:val="none"/>
              </w:rPr>
            </w:pPr>
          </w:p>
        </w:tc>
        <w:tc>
          <w:tcPr>
            <w:tcW w:w="923" w:type="dxa"/>
            <w:noWrap w:val="0"/>
            <w:vAlign w:val="top"/>
          </w:tcPr>
          <w:p w14:paraId="6848EDC5">
            <w:pPr>
              <w:spacing w:line="480" w:lineRule="auto"/>
              <w:rPr>
                <w:rFonts w:hint="eastAsia" w:hAnsi="宋体"/>
                <w:highlight w:val="none"/>
              </w:rPr>
            </w:pPr>
          </w:p>
        </w:tc>
        <w:tc>
          <w:tcPr>
            <w:tcW w:w="772" w:type="dxa"/>
            <w:noWrap w:val="0"/>
            <w:vAlign w:val="top"/>
          </w:tcPr>
          <w:p w14:paraId="2BA5460A">
            <w:pPr>
              <w:spacing w:line="480" w:lineRule="auto"/>
              <w:rPr>
                <w:rFonts w:hint="eastAsia" w:hAnsi="宋体"/>
                <w:highlight w:val="none"/>
              </w:rPr>
            </w:pPr>
          </w:p>
        </w:tc>
        <w:tc>
          <w:tcPr>
            <w:tcW w:w="877" w:type="dxa"/>
            <w:noWrap w:val="0"/>
            <w:vAlign w:val="top"/>
          </w:tcPr>
          <w:p w14:paraId="25307C30">
            <w:pPr>
              <w:spacing w:line="480" w:lineRule="auto"/>
              <w:rPr>
                <w:rFonts w:hint="eastAsia" w:hAnsi="宋体"/>
                <w:highlight w:val="none"/>
              </w:rPr>
            </w:pPr>
          </w:p>
        </w:tc>
        <w:tc>
          <w:tcPr>
            <w:tcW w:w="991" w:type="dxa"/>
            <w:noWrap w:val="0"/>
            <w:vAlign w:val="top"/>
          </w:tcPr>
          <w:p w14:paraId="3A456852">
            <w:pPr>
              <w:spacing w:line="480" w:lineRule="auto"/>
              <w:rPr>
                <w:rFonts w:hint="eastAsia" w:hAnsi="宋体"/>
                <w:highlight w:val="none"/>
              </w:rPr>
            </w:pPr>
          </w:p>
        </w:tc>
        <w:tc>
          <w:tcPr>
            <w:tcW w:w="877" w:type="dxa"/>
            <w:noWrap w:val="0"/>
            <w:vAlign w:val="top"/>
          </w:tcPr>
          <w:p w14:paraId="46D716BE">
            <w:pPr>
              <w:spacing w:line="480" w:lineRule="auto"/>
              <w:rPr>
                <w:rFonts w:hint="eastAsia" w:hAnsi="宋体"/>
                <w:highlight w:val="none"/>
              </w:rPr>
            </w:pPr>
          </w:p>
        </w:tc>
        <w:tc>
          <w:tcPr>
            <w:tcW w:w="799" w:type="dxa"/>
            <w:noWrap w:val="0"/>
            <w:vAlign w:val="top"/>
          </w:tcPr>
          <w:p w14:paraId="39DB4884">
            <w:pPr>
              <w:spacing w:line="480" w:lineRule="auto"/>
              <w:rPr>
                <w:rFonts w:hint="eastAsia" w:hAnsi="宋体"/>
                <w:highlight w:val="none"/>
              </w:rPr>
            </w:pPr>
          </w:p>
        </w:tc>
      </w:tr>
      <w:tr w14:paraId="3D0C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4" w:type="dxa"/>
            <w:noWrap w:val="0"/>
            <w:vAlign w:val="top"/>
          </w:tcPr>
          <w:p w14:paraId="40EA6E3D">
            <w:pPr>
              <w:spacing w:line="480" w:lineRule="auto"/>
              <w:rPr>
                <w:rFonts w:hint="eastAsia" w:hAnsi="宋体"/>
                <w:highlight w:val="none"/>
              </w:rPr>
            </w:pPr>
          </w:p>
        </w:tc>
        <w:tc>
          <w:tcPr>
            <w:tcW w:w="2557" w:type="dxa"/>
            <w:gridSpan w:val="2"/>
            <w:noWrap w:val="0"/>
            <w:vAlign w:val="top"/>
          </w:tcPr>
          <w:p w14:paraId="1FA9D4AB">
            <w:pPr>
              <w:spacing w:line="480" w:lineRule="auto"/>
              <w:rPr>
                <w:rFonts w:hint="eastAsia" w:hAnsi="宋体"/>
                <w:highlight w:val="none"/>
              </w:rPr>
            </w:pPr>
          </w:p>
        </w:tc>
        <w:tc>
          <w:tcPr>
            <w:tcW w:w="772" w:type="dxa"/>
            <w:noWrap w:val="0"/>
            <w:vAlign w:val="top"/>
          </w:tcPr>
          <w:p w14:paraId="06F21C59">
            <w:pPr>
              <w:spacing w:line="480" w:lineRule="auto"/>
              <w:rPr>
                <w:rFonts w:hint="eastAsia" w:hAnsi="宋体"/>
                <w:highlight w:val="none"/>
              </w:rPr>
            </w:pPr>
          </w:p>
        </w:tc>
        <w:tc>
          <w:tcPr>
            <w:tcW w:w="923" w:type="dxa"/>
            <w:noWrap w:val="0"/>
            <w:vAlign w:val="top"/>
          </w:tcPr>
          <w:p w14:paraId="21CA8BCF">
            <w:pPr>
              <w:spacing w:line="480" w:lineRule="auto"/>
              <w:rPr>
                <w:rFonts w:hint="eastAsia" w:hAnsi="宋体"/>
                <w:highlight w:val="none"/>
              </w:rPr>
            </w:pPr>
          </w:p>
        </w:tc>
        <w:tc>
          <w:tcPr>
            <w:tcW w:w="772" w:type="dxa"/>
            <w:noWrap w:val="0"/>
            <w:vAlign w:val="top"/>
          </w:tcPr>
          <w:p w14:paraId="445CBAA5">
            <w:pPr>
              <w:spacing w:line="480" w:lineRule="auto"/>
              <w:rPr>
                <w:rFonts w:hint="eastAsia" w:hAnsi="宋体"/>
                <w:highlight w:val="none"/>
              </w:rPr>
            </w:pPr>
          </w:p>
        </w:tc>
        <w:tc>
          <w:tcPr>
            <w:tcW w:w="877" w:type="dxa"/>
            <w:noWrap w:val="0"/>
            <w:vAlign w:val="top"/>
          </w:tcPr>
          <w:p w14:paraId="3507861F">
            <w:pPr>
              <w:spacing w:line="480" w:lineRule="auto"/>
              <w:rPr>
                <w:rFonts w:hint="eastAsia" w:hAnsi="宋体"/>
                <w:highlight w:val="none"/>
              </w:rPr>
            </w:pPr>
          </w:p>
        </w:tc>
        <w:tc>
          <w:tcPr>
            <w:tcW w:w="991" w:type="dxa"/>
            <w:noWrap w:val="0"/>
            <w:vAlign w:val="top"/>
          </w:tcPr>
          <w:p w14:paraId="4744633C">
            <w:pPr>
              <w:spacing w:line="480" w:lineRule="auto"/>
              <w:rPr>
                <w:rFonts w:hint="eastAsia" w:hAnsi="宋体"/>
                <w:highlight w:val="none"/>
              </w:rPr>
            </w:pPr>
          </w:p>
        </w:tc>
        <w:tc>
          <w:tcPr>
            <w:tcW w:w="877" w:type="dxa"/>
            <w:noWrap w:val="0"/>
            <w:vAlign w:val="top"/>
          </w:tcPr>
          <w:p w14:paraId="6F6851A8">
            <w:pPr>
              <w:spacing w:line="480" w:lineRule="auto"/>
              <w:rPr>
                <w:rFonts w:hint="eastAsia" w:hAnsi="宋体"/>
                <w:highlight w:val="none"/>
              </w:rPr>
            </w:pPr>
          </w:p>
        </w:tc>
        <w:tc>
          <w:tcPr>
            <w:tcW w:w="799" w:type="dxa"/>
            <w:noWrap w:val="0"/>
            <w:vAlign w:val="top"/>
          </w:tcPr>
          <w:p w14:paraId="0F68F4AD">
            <w:pPr>
              <w:spacing w:line="480" w:lineRule="auto"/>
              <w:rPr>
                <w:rFonts w:hint="eastAsia" w:hAnsi="宋体"/>
                <w:highlight w:val="none"/>
              </w:rPr>
            </w:pPr>
          </w:p>
        </w:tc>
      </w:tr>
      <w:tr w14:paraId="0394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72985CB9">
            <w:pPr>
              <w:spacing w:line="480" w:lineRule="auto"/>
              <w:rPr>
                <w:rFonts w:hint="eastAsia" w:hAnsi="宋体"/>
                <w:highlight w:val="none"/>
              </w:rPr>
            </w:pPr>
          </w:p>
        </w:tc>
        <w:tc>
          <w:tcPr>
            <w:tcW w:w="2557" w:type="dxa"/>
            <w:gridSpan w:val="2"/>
            <w:noWrap w:val="0"/>
            <w:vAlign w:val="top"/>
          </w:tcPr>
          <w:p w14:paraId="0FF84837">
            <w:pPr>
              <w:spacing w:line="480" w:lineRule="auto"/>
              <w:rPr>
                <w:rFonts w:hint="eastAsia" w:hAnsi="宋体"/>
                <w:highlight w:val="none"/>
              </w:rPr>
            </w:pPr>
          </w:p>
        </w:tc>
        <w:tc>
          <w:tcPr>
            <w:tcW w:w="772" w:type="dxa"/>
            <w:noWrap w:val="0"/>
            <w:vAlign w:val="top"/>
          </w:tcPr>
          <w:p w14:paraId="5126D6CA">
            <w:pPr>
              <w:spacing w:line="480" w:lineRule="auto"/>
              <w:rPr>
                <w:rFonts w:hint="eastAsia" w:hAnsi="宋体"/>
                <w:highlight w:val="none"/>
              </w:rPr>
            </w:pPr>
          </w:p>
        </w:tc>
        <w:tc>
          <w:tcPr>
            <w:tcW w:w="923" w:type="dxa"/>
            <w:noWrap w:val="0"/>
            <w:vAlign w:val="top"/>
          </w:tcPr>
          <w:p w14:paraId="0B0A0E76">
            <w:pPr>
              <w:spacing w:line="480" w:lineRule="auto"/>
              <w:rPr>
                <w:rFonts w:hint="eastAsia" w:hAnsi="宋体"/>
                <w:highlight w:val="none"/>
              </w:rPr>
            </w:pPr>
          </w:p>
        </w:tc>
        <w:tc>
          <w:tcPr>
            <w:tcW w:w="772" w:type="dxa"/>
            <w:noWrap w:val="0"/>
            <w:vAlign w:val="top"/>
          </w:tcPr>
          <w:p w14:paraId="403BA923">
            <w:pPr>
              <w:spacing w:line="480" w:lineRule="auto"/>
              <w:rPr>
                <w:rFonts w:hint="eastAsia" w:hAnsi="宋体"/>
                <w:highlight w:val="none"/>
              </w:rPr>
            </w:pPr>
          </w:p>
        </w:tc>
        <w:tc>
          <w:tcPr>
            <w:tcW w:w="877" w:type="dxa"/>
            <w:noWrap w:val="0"/>
            <w:vAlign w:val="top"/>
          </w:tcPr>
          <w:p w14:paraId="66F5F10D">
            <w:pPr>
              <w:spacing w:line="480" w:lineRule="auto"/>
              <w:rPr>
                <w:rFonts w:hint="eastAsia" w:hAnsi="宋体"/>
                <w:highlight w:val="none"/>
              </w:rPr>
            </w:pPr>
          </w:p>
        </w:tc>
        <w:tc>
          <w:tcPr>
            <w:tcW w:w="991" w:type="dxa"/>
            <w:noWrap w:val="0"/>
            <w:vAlign w:val="top"/>
          </w:tcPr>
          <w:p w14:paraId="56F8B764">
            <w:pPr>
              <w:spacing w:line="480" w:lineRule="auto"/>
              <w:rPr>
                <w:rFonts w:hint="eastAsia" w:hAnsi="宋体"/>
                <w:highlight w:val="none"/>
              </w:rPr>
            </w:pPr>
          </w:p>
        </w:tc>
        <w:tc>
          <w:tcPr>
            <w:tcW w:w="877" w:type="dxa"/>
            <w:noWrap w:val="0"/>
            <w:vAlign w:val="top"/>
          </w:tcPr>
          <w:p w14:paraId="7A8864C8">
            <w:pPr>
              <w:spacing w:line="480" w:lineRule="auto"/>
              <w:rPr>
                <w:rFonts w:hint="eastAsia" w:hAnsi="宋体"/>
                <w:highlight w:val="none"/>
              </w:rPr>
            </w:pPr>
          </w:p>
        </w:tc>
        <w:tc>
          <w:tcPr>
            <w:tcW w:w="799" w:type="dxa"/>
            <w:noWrap w:val="0"/>
            <w:vAlign w:val="top"/>
          </w:tcPr>
          <w:p w14:paraId="0CED73E2">
            <w:pPr>
              <w:spacing w:line="480" w:lineRule="auto"/>
              <w:rPr>
                <w:rFonts w:hint="eastAsia" w:hAnsi="宋体"/>
                <w:highlight w:val="none"/>
              </w:rPr>
            </w:pPr>
          </w:p>
        </w:tc>
      </w:tr>
      <w:tr w14:paraId="67F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322F3FB8">
            <w:pPr>
              <w:spacing w:line="480" w:lineRule="auto"/>
              <w:rPr>
                <w:rFonts w:hint="eastAsia" w:hAnsi="宋体"/>
                <w:highlight w:val="none"/>
              </w:rPr>
            </w:pPr>
          </w:p>
        </w:tc>
        <w:tc>
          <w:tcPr>
            <w:tcW w:w="2557" w:type="dxa"/>
            <w:gridSpan w:val="2"/>
            <w:noWrap w:val="0"/>
            <w:vAlign w:val="top"/>
          </w:tcPr>
          <w:p w14:paraId="035C24B0">
            <w:pPr>
              <w:spacing w:line="480" w:lineRule="auto"/>
              <w:rPr>
                <w:rFonts w:hint="eastAsia" w:hAnsi="宋体"/>
                <w:highlight w:val="none"/>
              </w:rPr>
            </w:pPr>
          </w:p>
        </w:tc>
        <w:tc>
          <w:tcPr>
            <w:tcW w:w="772" w:type="dxa"/>
            <w:noWrap w:val="0"/>
            <w:vAlign w:val="top"/>
          </w:tcPr>
          <w:p w14:paraId="026D1BFD">
            <w:pPr>
              <w:spacing w:line="480" w:lineRule="auto"/>
              <w:rPr>
                <w:rFonts w:hint="eastAsia" w:hAnsi="宋体"/>
                <w:highlight w:val="none"/>
              </w:rPr>
            </w:pPr>
          </w:p>
        </w:tc>
        <w:tc>
          <w:tcPr>
            <w:tcW w:w="923" w:type="dxa"/>
            <w:noWrap w:val="0"/>
            <w:vAlign w:val="top"/>
          </w:tcPr>
          <w:p w14:paraId="1AD90776">
            <w:pPr>
              <w:spacing w:line="480" w:lineRule="auto"/>
              <w:rPr>
                <w:rFonts w:hint="eastAsia" w:hAnsi="宋体"/>
                <w:highlight w:val="none"/>
              </w:rPr>
            </w:pPr>
          </w:p>
        </w:tc>
        <w:tc>
          <w:tcPr>
            <w:tcW w:w="772" w:type="dxa"/>
            <w:noWrap w:val="0"/>
            <w:vAlign w:val="top"/>
          </w:tcPr>
          <w:p w14:paraId="7645CDA0">
            <w:pPr>
              <w:spacing w:line="480" w:lineRule="auto"/>
              <w:rPr>
                <w:rFonts w:hint="eastAsia" w:hAnsi="宋体"/>
                <w:highlight w:val="none"/>
              </w:rPr>
            </w:pPr>
          </w:p>
        </w:tc>
        <w:tc>
          <w:tcPr>
            <w:tcW w:w="877" w:type="dxa"/>
            <w:noWrap w:val="0"/>
            <w:vAlign w:val="top"/>
          </w:tcPr>
          <w:p w14:paraId="1D3C400B">
            <w:pPr>
              <w:spacing w:line="480" w:lineRule="auto"/>
              <w:rPr>
                <w:rFonts w:hint="eastAsia" w:hAnsi="宋体"/>
                <w:highlight w:val="none"/>
              </w:rPr>
            </w:pPr>
          </w:p>
        </w:tc>
        <w:tc>
          <w:tcPr>
            <w:tcW w:w="991" w:type="dxa"/>
            <w:noWrap w:val="0"/>
            <w:vAlign w:val="top"/>
          </w:tcPr>
          <w:p w14:paraId="1700659B">
            <w:pPr>
              <w:spacing w:line="480" w:lineRule="auto"/>
              <w:rPr>
                <w:rFonts w:hint="eastAsia" w:hAnsi="宋体"/>
                <w:highlight w:val="none"/>
              </w:rPr>
            </w:pPr>
          </w:p>
        </w:tc>
        <w:tc>
          <w:tcPr>
            <w:tcW w:w="877" w:type="dxa"/>
            <w:noWrap w:val="0"/>
            <w:vAlign w:val="top"/>
          </w:tcPr>
          <w:p w14:paraId="00D28B0E">
            <w:pPr>
              <w:spacing w:line="480" w:lineRule="auto"/>
              <w:rPr>
                <w:rFonts w:hint="eastAsia" w:hAnsi="宋体"/>
                <w:highlight w:val="none"/>
              </w:rPr>
            </w:pPr>
          </w:p>
        </w:tc>
        <w:tc>
          <w:tcPr>
            <w:tcW w:w="799" w:type="dxa"/>
            <w:noWrap w:val="0"/>
            <w:vAlign w:val="top"/>
          </w:tcPr>
          <w:p w14:paraId="63490CD7">
            <w:pPr>
              <w:spacing w:line="480" w:lineRule="auto"/>
              <w:rPr>
                <w:rFonts w:hint="eastAsia" w:hAnsi="宋体"/>
                <w:highlight w:val="none"/>
              </w:rPr>
            </w:pPr>
          </w:p>
        </w:tc>
      </w:tr>
      <w:tr w14:paraId="0ECC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14:paraId="5FD26B4B">
            <w:pPr>
              <w:spacing w:line="480" w:lineRule="auto"/>
              <w:rPr>
                <w:rFonts w:hint="eastAsia" w:hAnsi="宋体"/>
                <w:highlight w:val="none"/>
              </w:rPr>
            </w:pPr>
          </w:p>
        </w:tc>
        <w:tc>
          <w:tcPr>
            <w:tcW w:w="2557" w:type="dxa"/>
            <w:gridSpan w:val="2"/>
            <w:noWrap w:val="0"/>
            <w:vAlign w:val="top"/>
          </w:tcPr>
          <w:p w14:paraId="3483708C">
            <w:pPr>
              <w:spacing w:line="480" w:lineRule="auto"/>
              <w:rPr>
                <w:rFonts w:hint="eastAsia" w:hAnsi="宋体"/>
                <w:highlight w:val="none"/>
              </w:rPr>
            </w:pPr>
          </w:p>
        </w:tc>
        <w:tc>
          <w:tcPr>
            <w:tcW w:w="772" w:type="dxa"/>
            <w:noWrap w:val="0"/>
            <w:vAlign w:val="top"/>
          </w:tcPr>
          <w:p w14:paraId="510D0ED9">
            <w:pPr>
              <w:spacing w:line="480" w:lineRule="auto"/>
              <w:rPr>
                <w:rFonts w:hint="eastAsia" w:hAnsi="宋体"/>
                <w:highlight w:val="none"/>
              </w:rPr>
            </w:pPr>
          </w:p>
        </w:tc>
        <w:tc>
          <w:tcPr>
            <w:tcW w:w="923" w:type="dxa"/>
            <w:noWrap w:val="0"/>
            <w:vAlign w:val="top"/>
          </w:tcPr>
          <w:p w14:paraId="4166D84E">
            <w:pPr>
              <w:spacing w:line="480" w:lineRule="auto"/>
              <w:rPr>
                <w:rFonts w:hint="eastAsia" w:hAnsi="宋体"/>
                <w:highlight w:val="none"/>
              </w:rPr>
            </w:pPr>
          </w:p>
        </w:tc>
        <w:tc>
          <w:tcPr>
            <w:tcW w:w="772" w:type="dxa"/>
            <w:noWrap w:val="0"/>
            <w:vAlign w:val="top"/>
          </w:tcPr>
          <w:p w14:paraId="52953589">
            <w:pPr>
              <w:spacing w:line="480" w:lineRule="auto"/>
              <w:rPr>
                <w:rFonts w:hint="eastAsia" w:hAnsi="宋体"/>
                <w:highlight w:val="none"/>
              </w:rPr>
            </w:pPr>
          </w:p>
        </w:tc>
        <w:tc>
          <w:tcPr>
            <w:tcW w:w="877" w:type="dxa"/>
            <w:noWrap w:val="0"/>
            <w:vAlign w:val="top"/>
          </w:tcPr>
          <w:p w14:paraId="24003E70">
            <w:pPr>
              <w:spacing w:line="480" w:lineRule="auto"/>
              <w:rPr>
                <w:rFonts w:hint="eastAsia" w:hAnsi="宋体"/>
                <w:highlight w:val="none"/>
              </w:rPr>
            </w:pPr>
          </w:p>
        </w:tc>
        <w:tc>
          <w:tcPr>
            <w:tcW w:w="991" w:type="dxa"/>
            <w:noWrap w:val="0"/>
            <w:vAlign w:val="top"/>
          </w:tcPr>
          <w:p w14:paraId="4E333777">
            <w:pPr>
              <w:spacing w:line="480" w:lineRule="auto"/>
              <w:rPr>
                <w:rFonts w:hint="eastAsia" w:hAnsi="宋体"/>
                <w:highlight w:val="none"/>
              </w:rPr>
            </w:pPr>
          </w:p>
        </w:tc>
        <w:tc>
          <w:tcPr>
            <w:tcW w:w="877" w:type="dxa"/>
            <w:noWrap w:val="0"/>
            <w:vAlign w:val="top"/>
          </w:tcPr>
          <w:p w14:paraId="6AF79DDC">
            <w:pPr>
              <w:spacing w:line="480" w:lineRule="auto"/>
              <w:rPr>
                <w:rFonts w:hint="eastAsia" w:hAnsi="宋体"/>
                <w:highlight w:val="none"/>
              </w:rPr>
            </w:pPr>
          </w:p>
        </w:tc>
        <w:tc>
          <w:tcPr>
            <w:tcW w:w="799" w:type="dxa"/>
            <w:noWrap w:val="0"/>
            <w:vAlign w:val="top"/>
          </w:tcPr>
          <w:p w14:paraId="4A2071AC">
            <w:pPr>
              <w:spacing w:line="480" w:lineRule="auto"/>
              <w:rPr>
                <w:rFonts w:hint="eastAsia" w:hAnsi="宋体"/>
                <w:highlight w:val="none"/>
              </w:rPr>
            </w:pPr>
          </w:p>
        </w:tc>
      </w:tr>
    </w:tbl>
    <w:p w14:paraId="7F3FCF0C">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129A7E6E">
      <w:pPr>
        <w:widowControl/>
        <w:jc w:val="left"/>
        <w:rPr>
          <w:sz w:val="24"/>
          <w:szCs w:val="20"/>
          <w:highlight w:val="none"/>
        </w:rPr>
      </w:pPr>
      <w:r>
        <w:rPr>
          <w:sz w:val="24"/>
          <w:szCs w:val="20"/>
          <w:highlight w:val="none"/>
        </w:rPr>
        <w:t>日期：____年____月____日</w:t>
      </w:r>
    </w:p>
    <w:p w14:paraId="7AD32BD0">
      <w:pPr>
        <w:widowControl/>
        <w:jc w:val="left"/>
        <w:rPr>
          <w:sz w:val="24"/>
          <w:szCs w:val="20"/>
          <w:highlight w:val="none"/>
        </w:rPr>
      </w:pPr>
      <w:r>
        <w:rPr>
          <w:sz w:val="24"/>
          <w:szCs w:val="20"/>
          <w:highlight w:val="none"/>
        </w:rPr>
        <w:br w:type="page"/>
      </w: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9"/>
        <w:gridCol w:w="788"/>
        <w:gridCol w:w="768"/>
        <w:gridCol w:w="741"/>
        <w:gridCol w:w="768"/>
        <w:gridCol w:w="872"/>
        <w:gridCol w:w="984"/>
        <w:gridCol w:w="872"/>
        <w:gridCol w:w="1256"/>
      </w:tblGrid>
      <w:tr w14:paraId="6FF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13" w:type="dxa"/>
            <w:gridSpan w:val="2"/>
            <w:noWrap w:val="0"/>
            <w:vAlign w:val="center"/>
          </w:tcPr>
          <w:p w14:paraId="415E1C10">
            <w:pPr>
              <w:rPr>
                <w:highlight w:val="none"/>
              </w:rPr>
            </w:pPr>
            <w:r>
              <w:rPr>
                <w:rFonts w:hint="eastAsia"/>
                <w:highlight w:val="none"/>
              </w:rPr>
              <w:t>工程名称</w:t>
            </w:r>
          </w:p>
        </w:tc>
        <w:tc>
          <w:tcPr>
            <w:tcW w:w="7049" w:type="dxa"/>
            <w:gridSpan w:val="8"/>
            <w:noWrap w:val="0"/>
            <w:vAlign w:val="center"/>
          </w:tcPr>
          <w:p w14:paraId="3FA21A48">
            <w:pPr>
              <w:jc w:val="center"/>
              <w:rPr>
                <w:highlight w:val="none"/>
              </w:rPr>
            </w:pPr>
          </w:p>
        </w:tc>
      </w:tr>
      <w:tr w14:paraId="7EF8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13" w:type="dxa"/>
            <w:gridSpan w:val="2"/>
            <w:noWrap w:val="0"/>
            <w:vAlign w:val="top"/>
          </w:tcPr>
          <w:p w14:paraId="3FDA1999">
            <w:pPr>
              <w:rPr>
                <w:highlight w:val="none"/>
              </w:rPr>
            </w:pPr>
            <w:r>
              <w:rPr>
                <w:rFonts w:hint="eastAsia"/>
                <w:highlight w:val="none"/>
              </w:rPr>
              <w:t>公司名称</w:t>
            </w:r>
          </w:p>
        </w:tc>
        <w:tc>
          <w:tcPr>
            <w:tcW w:w="7049" w:type="dxa"/>
            <w:gridSpan w:val="8"/>
            <w:noWrap w:val="0"/>
            <w:vAlign w:val="top"/>
          </w:tcPr>
          <w:p w14:paraId="25A9890B">
            <w:pPr>
              <w:rPr>
                <w:bCs/>
                <w:sz w:val="28"/>
                <w:highlight w:val="none"/>
              </w:rPr>
            </w:pPr>
          </w:p>
        </w:tc>
      </w:tr>
      <w:tr w14:paraId="4F83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62" w:type="dxa"/>
            <w:gridSpan w:val="10"/>
            <w:noWrap w:val="0"/>
            <w:vAlign w:val="center"/>
          </w:tcPr>
          <w:p w14:paraId="3887B9F5">
            <w:pPr>
              <w:jc w:val="center"/>
              <w:rPr>
                <w:bCs/>
                <w:highlight w:val="none"/>
              </w:rPr>
            </w:pPr>
            <w:r>
              <w:rPr>
                <w:rFonts w:hint="eastAsia"/>
                <w:bCs/>
                <w:highlight w:val="none"/>
              </w:rPr>
              <w:t>拟投入施工机械设备表</w:t>
            </w:r>
          </w:p>
        </w:tc>
      </w:tr>
      <w:tr w14:paraId="0F9C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center"/>
          </w:tcPr>
          <w:p w14:paraId="1D24CD1D">
            <w:pPr>
              <w:jc w:val="center"/>
              <w:rPr>
                <w:highlight w:val="none"/>
              </w:rPr>
            </w:pPr>
            <w:r>
              <w:rPr>
                <w:rFonts w:hint="eastAsia"/>
                <w:highlight w:val="none"/>
              </w:rPr>
              <w:t>序号</w:t>
            </w:r>
          </w:p>
        </w:tc>
        <w:tc>
          <w:tcPr>
            <w:tcW w:w="2077" w:type="dxa"/>
            <w:gridSpan w:val="2"/>
            <w:noWrap w:val="0"/>
            <w:vAlign w:val="center"/>
          </w:tcPr>
          <w:p w14:paraId="3D0B04DF">
            <w:pPr>
              <w:jc w:val="center"/>
              <w:rPr>
                <w:highlight w:val="none"/>
              </w:rPr>
            </w:pPr>
            <w:r>
              <w:rPr>
                <w:rFonts w:hint="eastAsia"/>
                <w:highlight w:val="none"/>
              </w:rPr>
              <w:t>机械或设备名称</w:t>
            </w:r>
          </w:p>
        </w:tc>
        <w:tc>
          <w:tcPr>
            <w:tcW w:w="768" w:type="dxa"/>
            <w:noWrap w:val="0"/>
            <w:vAlign w:val="center"/>
          </w:tcPr>
          <w:p w14:paraId="3928383D">
            <w:pPr>
              <w:jc w:val="center"/>
              <w:rPr>
                <w:highlight w:val="none"/>
              </w:rPr>
            </w:pPr>
            <w:r>
              <w:rPr>
                <w:rFonts w:hint="eastAsia"/>
                <w:highlight w:val="none"/>
              </w:rPr>
              <w:t>型号规格</w:t>
            </w:r>
          </w:p>
        </w:tc>
        <w:tc>
          <w:tcPr>
            <w:tcW w:w="741" w:type="dxa"/>
            <w:noWrap w:val="0"/>
            <w:vAlign w:val="center"/>
          </w:tcPr>
          <w:p w14:paraId="1E5667A5">
            <w:pPr>
              <w:jc w:val="center"/>
              <w:rPr>
                <w:highlight w:val="none"/>
              </w:rPr>
            </w:pPr>
            <w:r>
              <w:rPr>
                <w:rFonts w:hint="eastAsia"/>
                <w:highlight w:val="none"/>
              </w:rPr>
              <w:t>数量</w:t>
            </w:r>
          </w:p>
        </w:tc>
        <w:tc>
          <w:tcPr>
            <w:tcW w:w="768" w:type="dxa"/>
            <w:noWrap w:val="0"/>
            <w:vAlign w:val="center"/>
          </w:tcPr>
          <w:p w14:paraId="6EE1BD8C">
            <w:pPr>
              <w:jc w:val="center"/>
              <w:rPr>
                <w:highlight w:val="none"/>
              </w:rPr>
            </w:pPr>
            <w:r>
              <w:rPr>
                <w:rFonts w:hint="eastAsia"/>
                <w:highlight w:val="none"/>
              </w:rPr>
              <w:t>国别产地</w:t>
            </w:r>
          </w:p>
        </w:tc>
        <w:tc>
          <w:tcPr>
            <w:tcW w:w="872" w:type="dxa"/>
            <w:noWrap w:val="0"/>
            <w:vAlign w:val="center"/>
          </w:tcPr>
          <w:p w14:paraId="27D871F9">
            <w:pPr>
              <w:jc w:val="center"/>
              <w:rPr>
                <w:highlight w:val="none"/>
              </w:rPr>
            </w:pPr>
            <w:r>
              <w:rPr>
                <w:rFonts w:hint="eastAsia"/>
                <w:highlight w:val="none"/>
              </w:rPr>
              <w:t>出厂日期</w:t>
            </w:r>
          </w:p>
        </w:tc>
        <w:tc>
          <w:tcPr>
            <w:tcW w:w="984" w:type="dxa"/>
            <w:noWrap w:val="0"/>
            <w:vAlign w:val="center"/>
          </w:tcPr>
          <w:p w14:paraId="1C223998">
            <w:pPr>
              <w:jc w:val="center"/>
              <w:rPr>
                <w:highlight w:val="none"/>
              </w:rPr>
            </w:pPr>
            <w:r>
              <w:rPr>
                <w:rFonts w:hint="eastAsia"/>
                <w:highlight w:val="none"/>
              </w:rPr>
              <w:t>额定功率</w:t>
            </w:r>
            <w:r>
              <w:rPr>
                <w:highlight w:val="none"/>
              </w:rPr>
              <w:t>kw</w:t>
            </w:r>
          </w:p>
        </w:tc>
        <w:tc>
          <w:tcPr>
            <w:tcW w:w="872" w:type="dxa"/>
            <w:noWrap w:val="0"/>
            <w:vAlign w:val="center"/>
          </w:tcPr>
          <w:p w14:paraId="7A95893D">
            <w:pPr>
              <w:jc w:val="center"/>
              <w:rPr>
                <w:highlight w:val="none"/>
              </w:rPr>
            </w:pPr>
            <w:r>
              <w:rPr>
                <w:rFonts w:hint="eastAsia"/>
                <w:highlight w:val="none"/>
              </w:rPr>
              <w:t>生产能力</w:t>
            </w:r>
          </w:p>
        </w:tc>
        <w:tc>
          <w:tcPr>
            <w:tcW w:w="1256" w:type="dxa"/>
            <w:noWrap w:val="0"/>
            <w:vAlign w:val="center"/>
          </w:tcPr>
          <w:p w14:paraId="0F721B05">
            <w:pPr>
              <w:jc w:val="center"/>
              <w:rPr>
                <w:highlight w:val="none"/>
              </w:rPr>
            </w:pPr>
            <w:r>
              <w:rPr>
                <w:rFonts w:hint="eastAsia"/>
                <w:highlight w:val="none"/>
              </w:rPr>
              <w:t>备注</w:t>
            </w:r>
          </w:p>
        </w:tc>
      </w:tr>
      <w:tr w14:paraId="0697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79F40C48">
            <w:pPr>
              <w:rPr>
                <w:bCs/>
                <w:sz w:val="28"/>
                <w:highlight w:val="none"/>
              </w:rPr>
            </w:pPr>
          </w:p>
        </w:tc>
        <w:tc>
          <w:tcPr>
            <w:tcW w:w="2077" w:type="dxa"/>
            <w:gridSpan w:val="2"/>
            <w:noWrap w:val="0"/>
            <w:vAlign w:val="top"/>
          </w:tcPr>
          <w:p w14:paraId="044E73D3">
            <w:pPr>
              <w:rPr>
                <w:bCs/>
                <w:sz w:val="28"/>
                <w:highlight w:val="none"/>
              </w:rPr>
            </w:pPr>
          </w:p>
        </w:tc>
        <w:tc>
          <w:tcPr>
            <w:tcW w:w="768" w:type="dxa"/>
            <w:noWrap w:val="0"/>
            <w:vAlign w:val="top"/>
          </w:tcPr>
          <w:p w14:paraId="6FAD4929">
            <w:pPr>
              <w:rPr>
                <w:bCs/>
                <w:sz w:val="28"/>
                <w:highlight w:val="none"/>
              </w:rPr>
            </w:pPr>
          </w:p>
        </w:tc>
        <w:tc>
          <w:tcPr>
            <w:tcW w:w="741" w:type="dxa"/>
            <w:noWrap w:val="0"/>
            <w:vAlign w:val="top"/>
          </w:tcPr>
          <w:p w14:paraId="57EECBB4">
            <w:pPr>
              <w:rPr>
                <w:bCs/>
                <w:sz w:val="28"/>
                <w:highlight w:val="none"/>
              </w:rPr>
            </w:pPr>
          </w:p>
        </w:tc>
        <w:tc>
          <w:tcPr>
            <w:tcW w:w="768" w:type="dxa"/>
            <w:noWrap w:val="0"/>
            <w:vAlign w:val="top"/>
          </w:tcPr>
          <w:p w14:paraId="1866FD3C">
            <w:pPr>
              <w:rPr>
                <w:bCs/>
                <w:sz w:val="28"/>
                <w:highlight w:val="none"/>
              </w:rPr>
            </w:pPr>
          </w:p>
        </w:tc>
        <w:tc>
          <w:tcPr>
            <w:tcW w:w="872" w:type="dxa"/>
            <w:noWrap w:val="0"/>
            <w:vAlign w:val="top"/>
          </w:tcPr>
          <w:p w14:paraId="2017129D">
            <w:pPr>
              <w:rPr>
                <w:bCs/>
                <w:sz w:val="28"/>
                <w:highlight w:val="none"/>
              </w:rPr>
            </w:pPr>
          </w:p>
        </w:tc>
        <w:tc>
          <w:tcPr>
            <w:tcW w:w="984" w:type="dxa"/>
            <w:noWrap w:val="0"/>
            <w:vAlign w:val="top"/>
          </w:tcPr>
          <w:p w14:paraId="31AF40AA">
            <w:pPr>
              <w:rPr>
                <w:bCs/>
                <w:sz w:val="28"/>
                <w:highlight w:val="none"/>
              </w:rPr>
            </w:pPr>
          </w:p>
        </w:tc>
        <w:tc>
          <w:tcPr>
            <w:tcW w:w="872" w:type="dxa"/>
            <w:noWrap w:val="0"/>
            <w:vAlign w:val="top"/>
          </w:tcPr>
          <w:p w14:paraId="106449CC">
            <w:pPr>
              <w:rPr>
                <w:bCs/>
                <w:sz w:val="28"/>
                <w:highlight w:val="none"/>
              </w:rPr>
            </w:pPr>
          </w:p>
        </w:tc>
        <w:tc>
          <w:tcPr>
            <w:tcW w:w="1256" w:type="dxa"/>
            <w:noWrap w:val="0"/>
            <w:vAlign w:val="top"/>
          </w:tcPr>
          <w:p w14:paraId="1457D3E7">
            <w:pPr>
              <w:rPr>
                <w:bCs/>
                <w:sz w:val="28"/>
                <w:highlight w:val="none"/>
              </w:rPr>
            </w:pPr>
          </w:p>
        </w:tc>
      </w:tr>
      <w:tr w14:paraId="182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1AF3D1BC">
            <w:pPr>
              <w:rPr>
                <w:bCs/>
                <w:sz w:val="28"/>
                <w:highlight w:val="none"/>
              </w:rPr>
            </w:pPr>
          </w:p>
        </w:tc>
        <w:tc>
          <w:tcPr>
            <w:tcW w:w="2077" w:type="dxa"/>
            <w:gridSpan w:val="2"/>
            <w:noWrap w:val="0"/>
            <w:vAlign w:val="top"/>
          </w:tcPr>
          <w:p w14:paraId="2D4131F5">
            <w:pPr>
              <w:rPr>
                <w:bCs/>
                <w:sz w:val="28"/>
                <w:highlight w:val="none"/>
              </w:rPr>
            </w:pPr>
          </w:p>
        </w:tc>
        <w:tc>
          <w:tcPr>
            <w:tcW w:w="768" w:type="dxa"/>
            <w:noWrap w:val="0"/>
            <w:vAlign w:val="top"/>
          </w:tcPr>
          <w:p w14:paraId="03A88CAD">
            <w:pPr>
              <w:rPr>
                <w:bCs/>
                <w:sz w:val="28"/>
                <w:highlight w:val="none"/>
              </w:rPr>
            </w:pPr>
          </w:p>
        </w:tc>
        <w:tc>
          <w:tcPr>
            <w:tcW w:w="741" w:type="dxa"/>
            <w:noWrap w:val="0"/>
            <w:vAlign w:val="top"/>
          </w:tcPr>
          <w:p w14:paraId="03CCD950">
            <w:pPr>
              <w:rPr>
                <w:bCs/>
                <w:sz w:val="28"/>
                <w:highlight w:val="none"/>
              </w:rPr>
            </w:pPr>
          </w:p>
        </w:tc>
        <w:tc>
          <w:tcPr>
            <w:tcW w:w="768" w:type="dxa"/>
            <w:noWrap w:val="0"/>
            <w:vAlign w:val="top"/>
          </w:tcPr>
          <w:p w14:paraId="3D95E3C0">
            <w:pPr>
              <w:rPr>
                <w:bCs/>
                <w:sz w:val="28"/>
                <w:highlight w:val="none"/>
              </w:rPr>
            </w:pPr>
          </w:p>
        </w:tc>
        <w:tc>
          <w:tcPr>
            <w:tcW w:w="872" w:type="dxa"/>
            <w:noWrap w:val="0"/>
            <w:vAlign w:val="top"/>
          </w:tcPr>
          <w:p w14:paraId="3BF13239">
            <w:pPr>
              <w:rPr>
                <w:bCs/>
                <w:sz w:val="28"/>
                <w:highlight w:val="none"/>
              </w:rPr>
            </w:pPr>
          </w:p>
        </w:tc>
        <w:tc>
          <w:tcPr>
            <w:tcW w:w="984" w:type="dxa"/>
            <w:noWrap w:val="0"/>
            <w:vAlign w:val="top"/>
          </w:tcPr>
          <w:p w14:paraId="64D3FF13">
            <w:pPr>
              <w:rPr>
                <w:bCs/>
                <w:sz w:val="28"/>
                <w:highlight w:val="none"/>
              </w:rPr>
            </w:pPr>
          </w:p>
        </w:tc>
        <w:tc>
          <w:tcPr>
            <w:tcW w:w="872" w:type="dxa"/>
            <w:noWrap w:val="0"/>
            <w:vAlign w:val="top"/>
          </w:tcPr>
          <w:p w14:paraId="284C8B02">
            <w:pPr>
              <w:rPr>
                <w:bCs/>
                <w:sz w:val="28"/>
                <w:highlight w:val="none"/>
              </w:rPr>
            </w:pPr>
          </w:p>
        </w:tc>
        <w:tc>
          <w:tcPr>
            <w:tcW w:w="1256" w:type="dxa"/>
            <w:noWrap w:val="0"/>
            <w:vAlign w:val="top"/>
          </w:tcPr>
          <w:p w14:paraId="03CC34D1">
            <w:pPr>
              <w:rPr>
                <w:bCs/>
                <w:sz w:val="28"/>
                <w:highlight w:val="none"/>
              </w:rPr>
            </w:pPr>
          </w:p>
        </w:tc>
      </w:tr>
      <w:tr w14:paraId="584A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444853CA">
            <w:pPr>
              <w:rPr>
                <w:bCs/>
                <w:sz w:val="28"/>
                <w:highlight w:val="none"/>
              </w:rPr>
            </w:pPr>
          </w:p>
        </w:tc>
        <w:tc>
          <w:tcPr>
            <w:tcW w:w="2077" w:type="dxa"/>
            <w:gridSpan w:val="2"/>
            <w:noWrap w:val="0"/>
            <w:vAlign w:val="top"/>
          </w:tcPr>
          <w:p w14:paraId="6290DA2E">
            <w:pPr>
              <w:rPr>
                <w:bCs/>
                <w:sz w:val="28"/>
                <w:highlight w:val="none"/>
              </w:rPr>
            </w:pPr>
          </w:p>
        </w:tc>
        <w:tc>
          <w:tcPr>
            <w:tcW w:w="768" w:type="dxa"/>
            <w:noWrap w:val="0"/>
            <w:vAlign w:val="top"/>
          </w:tcPr>
          <w:p w14:paraId="24348182">
            <w:pPr>
              <w:rPr>
                <w:bCs/>
                <w:sz w:val="28"/>
                <w:highlight w:val="none"/>
              </w:rPr>
            </w:pPr>
          </w:p>
        </w:tc>
        <w:tc>
          <w:tcPr>
            <w:tcW w:w="741" w:type="dxa"/>
            <w:noWrap w:val="0"/>
            <w:vAlign w:val="top"/>
          </w:tcPr>
          <w:p w14:paraId="127519AC">
            <w:pPr>
              <w:rPr>
                <w:bCs/>
                <w:sz w:val="28"/>
                <w:highlight w:val="none"/>
              </w:rPr>
            </w:pPr>
          </w:p>
        </w:tc>
        <w:tc>
          <w:tcPr>
            <w:tcW w:w="768" w:type="dxa"/>
            <w:noWrap w:val="0"/>
            <w:vAlign w:val="top"/>
          </w:tcPr>
          <w:p w14:paraId="530C2BA0">
            <w:pPr>
              <w:rPr>
                <w:bCs/>
                <w:sz w:val="28"/>
                <w:highlight w:val="none"/>
              </w:rPr>
            </w:pPr>
          </w:p>
        </w:tc>
        <w:tc>
          <w:tcPr>
            <w:tcW w:w="872" w:type="dxa"/>
            <w:noWrap w:val="0"/>
            <w:vAlign w:val="top"/>
          </w:tcPr>
          <w:p w14:paraId="26B06F70">
            <w:pPr>
              <w:rPr>
                <w:bCs/>
                <w:sz w:val="28"/>
                <w:highlight w:val="none"/>
              </w:rPr>
            </w:pPr>
          </w:p>
        </w:tc>
        <w:tc>
          <w:tcPr>
            <w:tcW w:w="984" w:type="dxa"/>
            <w:noWrap w:val="0"/>
            <w:vAlign w:val="top"/>
          </w:tcPr>
          <w:p w14:paraId="6541B050">
            <w:pPr>
              <w:rPr>
                <w:bCs/>
                <w:sz w:val="28"/>
                <w:highlight w:val="none"/>
              </w:rPr>
            </w:pPr>
          </w:p>
        </w:tc>
        <w:tc>
          <w:tcPr>
            <w:tcW w:w="872" w:type="dxa"/>
            <w:noWrap w:val="0"/>
            <w:vAlign w:val="top"/>
          </w:tcPr>
          <w:p w14:paraId="4B289EA7">
            <w:pPr>
              <w:rPr>
                <w:bCs/>
                <w:sz w:val="28"/>
                <w:highlight w:val="none"/>
              </w:rPr>
            </w:pPr>
          </w:p>
        </w:tc>
        <w:tc>
          <w:tcPr>
            <w:tcW w:w="1256" w:type="dxa"/>
            <w:noWrap w:val="0"/>
            <w:vAlign w:val="top"/>
          </w:tcPr>
          <w:p w14:paraId="17BAFB9C">
            <w:pPr>
              <w:rPr>
                <w:bCs/>
                <w:sz w:val="28"/>
                <w:highlight w:val="none"/>
              </w:rPr>
            </w:pPr>
          </w:p>
        </w:tc>
      </w:tr>
      <w:tr w14:paraId="1F3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712D1A45">
            <w:pPr>
              <w:rPr>
                <w:bCs/>
                <w:sz w:val="28"/>
                <w:highlight w:val="none"/>
              </w:rPr>
            </w:pPr>
          </w:p>
        </w:tc>
        <w:tc>
          <w:tcPr>
            <w:tcW w:w="2077" w:type="dxa"/>
            <w:gridSpan w:val="2"/>
            <w:noWrap w:val="0"/>
            <w:vAlign w:val="top"/>
          </w:tcPr>
          <w:p w14:paraId="73D5CCE3">
            <w:pPr>
              <w:rPr>
                <w:bCs/>
                <w:sz w:val="28"/>
                <w:highlight w:val="none"/>
              </w:rPr>
            </w:pPr>
          </w:p>
        </w:tc>
        <w:tc>
          <w:tcPr>
            <w:tcW w:w="768" w:type="dxa"/>
            <w:noWrap w:val="0"/>
            <w:vAlign w:val="top"/>
          </w:tcPr>
          <w:p w14:paraId="41416E02">
            <w:pPr>
              <w:rPr>
                <w:bCs/>
                <w:sz w:val="28"/>
                <w:highlight w:val="none"/>
              </w:rPr>
            </w:pPr>
          </w:p>
        </w:tc>
        <w:tc>
          <w:tcPr>
            <w:tcW w:w="741" w:type="dxa"/>
            <w:noWrap w:val="0"/>
            <w:vAlign w:val="top"/>
          </w:tcPr>
          <w:p w14:paraId="7B430D38">
            <w:pPr>
              <w:rPr>
                <w:bCs/>
                <w:sz w:val="28"/>
                <w:highlight w:val="none"/>
              </w:rPr>
            </w:pPr>
          </w:p>
        </w:tc>
        <w:tc>
          <w:tcPr>
            <w:tcW w:w="768" w:type="dxa"/>
            <w:noWrap w:val="0"/>
            <w:vAlign w:val="top"/>
          </w:tcPr>
          <w:p w14:paraId="04A0109C">
            <w:pPr>
              <w:rPr>
                <w:bCs/>
                <w:sz w:val="28"/>
                <w:highlight w:val="none"/>
              </w:rPr>
            </w:pPr>
          </w:p>
        </w:tc>
        <w:tc>
          <w:tcPr>
            <w:tcW w:w="872" w:type="dxa"/>
            <w:noWrap w:val="0"/>
            <w:vAlign w:val="top"/>
          </w:tcPr>
          <w:p w14:paraId="7ECCE22E">
            <w:pPr>
              <w:rPr>
                <w:bCs/>
                <w:sz w:val="28"/>
                <w:highlight w:val="none"/>
              </w:rPr>
            </w:pPr>
          </w:p>
        </w:tc>
        <w:tc>
          <w:tcPr>
            <w:tcW w:w="984" w:type="dxa"/>
            <w:noWrap w:val="0"/>
            <w:vAlign w:val="top"/>
          </w:tcPr>
          <w:p w14:paraId="6B60AF42">
            <w:pPr>
              <w:rPr>
                <w:bCs/>
                <w:sz w:val="28"/>
                <w:highlight w:val="none"/>
              </w:rPr>
            </w:pPr>
          </w:p>
        </w:tc>
        <w:tc>
          <w:tcPr>
            <w:tcW w:w="872" w:type="dxa"/>
            <w:noWrap w:val="0"/>
            <w:vAlign w:val="top"/>
          </w:tcPr>
          <w:p w14:paraId="65D3C4E2">
            <w:pPr>
              <w:rPr>
                <w:bCs/>
                <w:sz w:val="28"/>
                <w:highlight w:val="none"/>
              </w:rPr>
            </w:pPr>
          </w:p>
        </w:tc>
        <w:tc>
          <w:tcPr>
            <w:tcW w:w="1256" w:type="dxa"/>
            <w:noWrap w:val="0"/>
            <w:vAlign w:val="top"/>
          </w:tcPr>
          <w:p w14:paraId="1BDEBE63">
            <w:pPr>
              <w:rPr>
                <w:bCs/>
                <w:sz w:val="28"/>
                <w:highlight w:val="none"/>
              </w:rPr>
            </w:pPr>
          </w:p>
        </w:tc>
      </w:tr>
      <w:tr w14:paraId="746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1B2397DC">
            <w:pPr>
              <w:rPr>
                <w:bCs/>
                <w:sz w:val="28"/>
                <w:highlight w:val="none"/>
              </w:rPr>
            </w:pPr>
          </w:p>
        </w:tc>
        <w:tc>
          <w:tcPr>
            <w:tcW w:w="2077" w:type="dxa"/>
            <w:gridSpan w:val="2"/>
            <w:noWrap w:val="0"/>
            <w:vAlign w:val="top"/>
          </w:tcPr>
          <w:p w14:paraId="31CA138E">
            <w:pPr>
              <w:rPr>
                <w:bCs/>
                <w:sz w:val="28"/>
                <w:highlight w:val="none"/>
              </w:rPr>
            </w:pPr>
          </w:p>
        </w:tc>
        <w:tc>
          <w:tcPr>
            <w:tcW w:w="768" w:type="dxa"/>
            <w:noWrap w:val="0"/>
            <w:vAlign w:val="top"/>
          </w:tcPr>
          <w:p w14:paraId="4E7FA2E3">
            <w:pPr>
              <w:rPr>
                <w:bCs/>
                <w:sz w:val="28"/>
                <w:highlight w:val="none"/>
              </w:rPr>
            </w:pPr>
          </w:p>
        </w:tc>
        <w:tc>
          <w:tcPr>
            <w:tcW w:w="741" w:type="dxa"/>
            <w:noWrap w:val="0"/>
            <w:vAlign w:val="top"/>
          </w:tcPr>
          <w:p w14:paraId="6EAC7273">
            <w:pPr>
              <w:rPr>
                <w:bCs/>
                <w:sz w:val="28"/>
                <w:highlight w:val="none"/>
              </w:rPr>
            </w:pPr>
          </w:p>
        </w:tc>
        <w:tc>
          <w:tcPr>
            <w:tcW w:w="768" w:type="dxa"/>
            <w:noWrap w:val="0"/>
            <w:vAlign w:val="top"/>
          </w:tcPr>
          <w:p w14:paraId="38C9CC42">
            <w:pPr>
              <w:rPr>
                <w:bCs/>
                <w:sz w:val="28"/>
                <w:highlight w:val="none"/>
              </w:rPr>
            </w:pPr>
          </w:p>
        </w:tc>
        <w:tc>
          <w:tcPr>
            <w:tcW w:w="872" w:type="dxa"/>
            <w:noWrap w:val="0"/>
            <w:vAlign w:val="top"/>
          </w:tcPr>
          <w:p w14:paraId="29D4322F">
            <w:pPr>
              <w:rPr>
                <w:bCs/>
                <w:sz w:val="28"/>
                <w:highlight w:val="none"/>
              </w:rPr>
            </w:pPr>
          </w:p>
        </w:tc>
        <w:tc>
          <w:tcPr>
            <w:tcW w:w="984" w:type="dxa"/>
            <w:noWrap w:val="0"/>
            <w:vAlign w:val="top"/>
          </w:tcPr>
          <w:p w14:paraId="1702DC82">
            <w:pPr>
              <w:rPr>
                <w:bCs/>
                <w:sz w:val="28"/>
                <w:highlight w:val="none"/>
              </w:rPr>
            </w:pPr>
          </w:p>
        </w:tc>
        <w:tc>
          <w:tcPr>
            <w:tcW w:w="872" w:type="dxa"/>
            <w:noWrap w:val="0"/>
            <w:vAlign w:val="top"/>
          </w:tcPr>
          <w:p w14:paraId="6A0D976D">
            <w:pPr>
              <w:rPr>
                <w:bCs/>
                <w:sz w:val="28"/>
                <w:highlight w:val="none"/>
              </w:rPr>
            </w:pPr>
          </w:p>
        </w:tc>
        <w:tc>
          <w:tcPr>
            <w:tcW w:w="1256" w:type="dxa"/>
            <w:noWrap w:val="0"/>
            <w:vAlign w:val="top"/>
          </w:tcPr>
          <w:p w14:paraId="2251772A">
            <w:pPr>
              <w:rPr>
                <w:bCs/>
                <w:sz w:val="28"/>
                <w:highlight w:val="none"/>
              </w:rPr>
            </w:pPr>
          </w:p>
        </w:tc>
      </w:tr>
      <w:tr w14:paraId="3C45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63519EEF">
            <w:pPr>
              <w:rPr>
                <w:bCs/>
                <w:sz w:val="28"/>
                <w:highlight w:val="none"/>
              </w:rPr>
            </w:pPr>
          </w:p>
        </w:tc>
        <w:tc>
          <w:tcPr>
            <w:tcW w:w="2077" w:type="dxa"/>
            <w:gridSpan w:val="2"/>
            <w:noWrap w:val="0"/>
            <w:vAlign w:val="top"/>
          </w:tcPr>
          <w:p w14:paraId="41F326F5">
            <w:pPr>
              <w:rPr>
                <w:bCs/>
                <w:sz w:val="28"/>
                <w:highlight w:val="none"/>
              </w:rPr>
            </w:pPr>
          </w:p>
        </w:tc>
        <w:tc>
          <w:tcPr>
            <w:tcW w:w="768" w:type="dxa"/>
            <w:noWrap w:val="0"/>
            <w:vAlign w:val="top"/>
          </w:tcPr>
          <w:p w14:paraId="2A7F4436">
            <w:pPr>
              <w:rPr>
                <w:bCs/>
                <w:sz w:val="28"/>
                <w:highlight w:val="none"/>
              </w:rPr>
            </w:pPr>
          </w:p>
        </w:tc>
        <w:tc>
          <w:tcPr>
            <w:tcW w:w="741" w:type="dxa"/>
            <w:noWrap w:val="0"/>
            <w:vAlign w:val="top"/>
          </w:tcPr>
          <w:p w14:paraId="6C94F7C0">
            <w:pPr>
              <w:rPr>
                <w:bCs/>
                <w:sz w:val="28"/>
                <w:highlight w:val="none"/>
              </w:rPr>
            </w:pPr>
          </w:p>
        </w:tc>
        <w:tc>
          <w:tcPr>
            <w:tcW w:w="768" w:type="dxa"/>
            <w:noWrap w:val="0"/>
            <w:vAlign w:val="top"/>
          </w:tcPr>
          <w:p w14:paraId="63994AC9">
            <w:pPr>
              <w:rPr>
                <w:bCs/>
                <w:sz w:val="28"/>
                <w:highlight w:val="none"/>
              </w:rPr>
            </w:pPr>
          </w:p>
        </w:tc>
        <w:tc>
          <w:tcPr>
            <w:tcW w:w="872" w:type="dxa"/>
            <w:noWrap w:val="0"/>
            <w:vAlign w:val="top"/>
          </w:tcPr>
          <w:p w14:paraId="1849C1AD">
            <w:pPr>
              <w:rPr>
                <w:bCs/>
                <w:sz w:val="28"/>
                <w:highlight w:val="none"/>
              </w:rPr>
            </w:pPr>
          </w:p>
        </w:tc>
        <w:tc>
          <w:tcPr>
            <w:tcW w:w="984" w:type="dxa"/>
            <w:noWrap w:val="0"/>
            <w:vAlign w:val="top"/>
          </w:tcPr>
          <w:p w14:paraId="78414CED">
            <w:pPr>
              <w:rPr>
                <w:bCs/>
                <w:sz w:val="28"/>
                <w:highlight w:val="none"/>
              </w:rPr>
            </w:pPr>
          </w:p>
        </w:tc>
        <w:tc>
          <w:tcPr>
            <w:tcW w:w="872" w:type="dxa"/>
            <w:noWrap w:val="0"/>
            <w:vAlign w:val="top"/>
          </w:tcPr>
          <w:p w14:paraId="0452F8EE">
            <w:pPr>
              <w:rPr>
                <w:bCs/>
                <w:sz w:val="28"/>
                <w:highlight w:val="none"/>
              </w:rPr>
            </w:pPr>
          </w:p>
        </w:tc>
        <w:tc>
          <w:tcPr>
            <w:tcW w:w="1256" w:type="dxa"/>
            <w:noWrap w:val="0"/>
            <w:vAlign w:val="top"/>
          </w:tcPr>
          <w:p w14:paraId="1FFE4052">
            <w:pPr>
              <w:rPr>
                <w:bCs/>
                <w:sz w:val="28"/>
                <w:highlight w:val="none"/>
              </w:rPr>
            </w:pPr>
          </w:p>
        </w:tc>
      </w:tr>
      <w:tr w14:paraId="763C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588A92F4">
            <w:pPr>
              <w:rPr>
                <w:bCs/>
                <w:sz w:val="28"/>
                <w:highlight w:val="none"/>
              </w:rPr>
            </w:pPr>
          </w:p>
        </w:tc>
        <w:tc>
          <w:tcPr>
            <w:tcW w:w="2077" w:type="dxa"/>
            <w:gridSpan w:val="2"/>
            <w:noWrap w:val="0"/>
            <w:vAlign w:val="top"/>
          </w:tcPr>
          <w:p w14:paraId="6ED524BF">
            <w:pPr>
              <w:rPr>
                <w:bCs/>
                <w:sz w:val="28"/>
                <w:highlight w:val="none"/>
              </w:rPr>
            </w:pPr>
          </w:p>
        </w:tc>
        <w:tc>
          <w:tcPr>
            <w:tcW w:w="768" w:type="dxa"/>
            <w:noWrap w:val="0"/>
            <w:vAlign w:val="top"/>
          </w:tcPr>
          <w:p w14:paraId="5E550817">
            <w:pPr>
              <w:rPr>
                <w:bCs/>
                <w:sz w:val="28"/>
                <w:highlight w:val="none"/>
              </w:rPr>
            </w:pPr>
          </w:p>
        </w:tc>
        <w:tc>
          <w:tcPr>
            <w:tcW w:w="741" w:type="dxa"/>
            <w:noWrap w:val="0"/>
            <w:vAlign w:val="top"/>
          </w:tcPr>
          <w:p w14:paraId="6C6D12FD">
            <w:pPr>
              <w:rPr>
                <w:bCs/>
                <w:sz w:val="28"/>
                <w:highlight w:val="none"/>
              </w:rPr>
            </w:pPr>
          </w:p>
        </w:tc>
        <w:tc>
          <w:tcPr>
            <w:tcW w:w="768" w:type="dxa"/>
            <w:noWrap w:val="0"/>
            <w:vAlign w:val="top"/>
          </w:tcPr>
          <w:p w14:paraId="7B86F572">
            <w:pPr>
              <w:rPr>
                <w:bCs/>
                <w:sz w:val="28"/>
                <w:highlight w:val="none"/>
              </w:rPr>
            </w:pPr>
          </w:p>
        </w:tc>
        <w:tc>
          <w:tcPr>
            <w:tcW w:w="872" w:type="dxa"/>
            <w:noWrap w:val="0"/>
            <w:vAlign w:val="top"/>
          </w:tcPr>
          <w:p w14:paraId="4CF974C3">
            <w:pPr>
              <w:rPr>
                <w:bCs/>
                <w:sz w:val="28"/>
                <w:highlight w:val="none"/>
              </w:rPr>
            </w:pPr>
          </w:p>
        </w:tc>
        <w:tc>
          <w:tcPr>
            <w:tcW w:w="984" w:type="dxa"/>
            <w:noWrap w:val="0"/>
            <w:vAlign w:val="top"/>
          </w:tcPr>
          <w:p w14:paraId="03AD0580">
            <w:pPr>
              <w:rPr>
                <w:bCs/>
                <w:sz w:val="28"/>
                <w:highlight w:val="none"/>
              </w:rPr>
            </w:pPr>
          </w:p>
        </w:tc>
        <w:tc>
          <w:tcPr>
            <w:tcW w:w="872" w:type="dxa"/>
            <w:noWrap w:val="0"/>
            <w:vAlign w:val="top"/>
          </w:tcPr>
          <w:p w14:paraId="2B457252">
            <w:pPr>
              <w:rPr>
                <w:bCs/>
                <w:sz w:val="28"/>
                <w:highlight w:val="none"/>
              </w:rPr>
            </w:pPr>
          </w:p>
        </w:tc>
        <w:tc>
          <w:tcPr>
            <w:tcW w:w="1256" w:type="dxa"/>
            <w:noWrap w:val="0"/>
            <w:vAlign w:val="top"/>
          </w:tcPr>
          <w:p w14:paraId="5A59F952">
            <w:pPr>
              <w:rPr>
                <w:bCs/>
                <w:sz w:val="28"/>
                <w:highlight w:val="none"/>
              </w:rPr>
            </w:pPr>
          </w:p>
        </w:tc>
      </w:tr>
      <w:tr w14:paraId="6C13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14:paraId="1FB1BE81">
            <w:pPr>
              <w:rPr>
                <w:bCs/>
                <w:sz w:val="28"/>
                <w:highlight w:val="none"/>
              </w:rPr>
            </w:pPr>
          </w:p>
        </w:tc>
        <w:tc>
          <w:tcPr>
            <w:tcW w:w="2077" w:type="dxa"/>
            <w:gridSpan w:val="2"/>
            <w:noWrap w:val="0"/>
            <w:vAlign w:val="top"/>
          </w:tcPr>
          <w:p w14:paraId="2352D2C8">
            <w:pPr>
              <w:rPr>
                <w:bCs/>
                <w:sz w:val="28"/>
                <w:highlight w:val="none"/>
              </w:rPr>
            </w:pPr>
          </w:p>
        </w:tc>
        <w:tc>
          <w:tcPr>
            <w:tcW w:w="768" w:type="dxa"/>
            <w:noWrap w:val="0"/>
            <w:vAlign w:val="top"/>
          </w:tcPr>
          <w:p w14:paraId="5D701CD4">
            <w:pPr>
              <w:rPr>
                <w:bCs/>
                <w:sz w:val="28"/>
                <w:highlight w:val="none"/>
              </w:rPr>
            </w:pPr>
          </w:p>
        </w:tc>
        <w:tc>
          <w:tcPr>
            <w:tcW w:w="741" w:type="dxa"/>
            <w:noWrap w:val="0"/>
            <w:vAlign w:val="top"/>
          </w:tcPr>
          <w:p w14:paraId="53BB5FD8">
            <w:pPr>
              <w:rPr>
                <w:bCs/>
                <w:sz w:val="28"/>
                <w:highlight w:val="none"/>
              </w:rPr>
            </w:pPr>
          </w:p>
        </w:tc>
        <w:tc>
          <w:tcPr>
            <w:tcW w:w="768" w:type="dxa"/>
            <w:noWrap w:val="0"/>
            <w:vAlign w:val="top"/>
          </w:tcPr>
          <w:p w14:paraId="6F8FFC0C">
            <w:pPr>
              <w:rPr>
                <w:bCs/>
                <w:sz w:val="28"/>
                <w:highlight w:val="none"/>
              </w:rPr>
            </w:pPr>
          </w:p>
        </w:tc>
        <w:tc>
          <w:tcPr>
            <w:tcW w:w="872" w:type="dxa"/>
            <w:noWrap w:val="0"/>
            <w:vAlign w:val="top"/>
          </w:tcPr>
          <w:p w14:paraId="1DBA1895">
            <w:pPr>
              <w:rPr>
                <w:bCs/>
                <w:sz w:val="28"/>
                <w:highlight w:val="none"/>
              </w:rPr>
            </w:pPr>
          </w:p>
        </w:tc>
        <w:tc>
          <w:tcPr>
            <w:tcW w:w="984" w:type="dxa"/>
            <w:noWrap w:val="0"/>
            <w:vAlign w:val="top"/>
          </w:tcPr>
          <w:p w14:paraId="3CB757D1">
            <w:pPr>
              <w:rPr>
                <w:bCs/>
                <w:sz w:val="28"/>
                <w:highlight w:val="none"/>
              </w:rPr>
            </w:pPr>
          </w:p>
        </w:tc>
        <w:tc>
          <w:tcPr>
            <w:tcW w:w="872" w:type="dxa"/>
            <w:noWrap w:val="0"/>
            <w:vAlign w:val="top"/>
          </w:tcPr>
          <w:p w14:paraId="53FCD92C">
            <w:pPr>
              <w:rPr>
                <w:bCs/>
                <w:sz w:val="28"/>
                <w:highlight w:val="none"/>
              </w:rPr>
            </w:pPr>
          </w:p>
        </w:tc>
        <w:tc>
          <w:tcPr>
            <w:tcW w:w="1256" w:type="dxa"/>
            <w:noWrap w:val="0"/>
            <w:vAlign w:val="top"/>
          </w:tcPr>
          <w:p w14:paraId="7A4A7A26">
            <w:pPr>
              <w:rPr>
                <w:bCs/>
                <w:sz w:val="28"/>
                <w:highlight w:val="none"/>
              </w:rPr>
            </w:pPr>
          </w:p>
        </w:tc>
      </w:tr>
    </w:tbl>
    <w:p w14:paraId="0EB16197">
      <w:pPr>
        <w:widowControl/>
        <w:jc w:val="left"/>
        <w:rPr>
          <w:rFonts w:ascii="Arial" w:hAnsi="Arial"/>
          <w:sz w:val="24"/>
          <w:highlight w:val="none"/>
        </w:rPr>
      </w:pPr>
    </w:p>
    <w:p w14:paraId="269C791D">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4CE5A7EF">
      <w:pPr>
        <w:autoSpaceDE w:val="0"/>
        <w:autoSpaceDN w:val="0"/>
        <w:adjustRightInd w:val="0"/>
        <w:snapToGrid w:val="0"/>
        <w:spacing w:before="25" w:after="25" w:line="360" w:lineRule="auto"/>
        <w:ind w:right="360"/>
        <w:jc w:val="left"/>
        <w:rPr>
          <w:sz w:val="24"/>
          <w:szCs w:val="20"/>
          <w:highlight w:val="none"/>
        </w:rPr>
      </w:pPr>
      <w:r>
        <w:rPr>
          <w:sz w:val="24"/>
          <w:szCs w:val="20"/>
          <w:highlight w:val="none"/>
        </w:rPr>
        <w:t xml:space="preserve">日期：____年____月____日 </w:t>
      </w:r>
    </w:p>
    <w:p w14:paraId="66C80E83">
      <w:pPr>
        <w:widowControl/>
        <w:jc w:val="left"/>
        <w:rPr>
          <w:rFonts w:ascii="Arial" w:hAnsi="Arial"/>
          <w:sz w:val="24"/>
          <w:highlight w:val="none"/>
        </w:rPr>
      </w:pPr>
      <w:r>
        <w:rPr>
          <w:rFonts w:ascii="Arial" w:hAnsi="Arial"/>
          <w:sz w:val="24"/>
          <w:highlight w:val="none"/>
        </w:rPr>
        <w:br w:type="page"/>
      </w:r>
    </w:p>
    <w:p w14:paraId="7A8E7B00">
      <w:pPr>
        <w:tabs>
          <w:tab w:val="left" w:pos="360"/>
        </w:tabs>
        <w:snapToGrid w:val="0"/>
        <w:spacing w:line="360" w:lineRule="auto"/>
        <w:outlineLvl w:val="1"/>
        <w:rPr>
          <w:rFonts w:hint="eastAsia" w:ascii="宋体" w:hAnsi="宋体"/>
          <w:sz w:val="24"/>
          <w:highlight w:val="none"/>
        </w:rPr>
      </w:pPr>
      <w:r>
        <w:rPr>
          <w:rFonts w:hint="eastAsia" w:ascii="宋体" w:hAnsi="宋体"/>
          <w:sz w:val="24"/>
          <w:highlight w:val="none"/>
        </w:rPr>
        <w:t>12 节能环保产品</w:t>
      </w:r>
    </w:p>
    <w:p w14:paraId="40FB3660">
      <w:pPr>
        <w:pStyle w:val="48"/>
        <w:ind w:left="3360"/>
        <w:rPr>
          <w:highlight w:val="none"/>
        </w:rPr>
      </w:pPr>
    </w:p>
    <w:p w14:paraId="0DFE59F9">
      <w:pPr>
        <w:spacing w:line="360" w:lineRule="exact"/>
        <w:jc w:val="center"/>
        <w:rPr>
          <w:rFonts w:hint="eastAsia" w:ascii="宋体" w:hAnsi="宋体"/>
          <w:b/>
          <w:sz w:val="36"/>
          <w:szCs w:val="36"/>
          <w:highlight w:val="none"/>
        </w:rPr>
      </w:pPr>
      <w:r>
        <w:rPr>
          <w:rFonts w:hint="eastAsia" w:ascii="宋体" w:hAnsi="宋体"/>
          <w:b/>
          <w:sz w:val="36"/>
          <w:szCs w:val="36"/>
          <w:highlight w:val="none"/>
        </w:rPr>
        <w:t>节能环保产品对照表</w:t>
      </w:r>
    </w:p>
    <w:p w14:paraId="06D881DD">
      <w:pPr>
        <w:tabs>
          <w:tab w:val="left" w:pos="1800"/>
          <w:tab w:val="left" w:pos="5580"/>
        </w:tabs>
        <w:spacing w:line="360" w:lineRule="auto"/>
        <w:ind w:firstLine="240" w:firstLineChars="100"/>
        <w:jc w:val="left"/>
        <w:rPr>
          <w:rFonts w:hint="eastAsia" w:ascii="宋体" w:hAnsi="宋体"/>
          <w:sz w:val="24"/>
          <w:highlight w:val="none"/>
        </w:rPr>
      </w:pPr>
    </w:p>
    <w:p w14:paraId="60B5F20E">
      <w:pPr>
        <w:tabs>
          <w:tab w:val="left" w:pos="1800"/>
          <w:tab w:val="left" w:pos="5580"/>
        </w:tabs>
        <w:spacing w:line="360" w:lineRule="auto"/>
        <w:ind w:firstLine="240" w:firstLineChars="100"/>
        <w:jc w:val="left"/>
        <w:rPr>
          <w:rFonts w:hint="eastAsia" w:ascii="宋体" w:hAnsi="宋体"/>
          <w:sz w:val="24"/>
          <w:highlight w:val="none"/>
          <w:u w:val="single"/>
        </w:rPr>
      </w:pPr>
      <w:r>
        <w:rPr>
          <w:rFonts w:ascii="宋体" w:hAnsi="宋体"/>
          <w:sz w:val="24"/>
          <w:highlight w:val="none"/>
        </w:rPr>
        <w:t>项目编号/包号：___________     项目名称：___________</w:t>
      </w:r>
    </w:p>
    <w:tbl>
      <w:tblPr>
        <w:tblStyle w:val="6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40"/>
        <w:gridCol w:w="1149"/>
        <w:gridCol w:w="1051"/>
        <w:gridCol w:w="1051"/>
        <w:gridCol w:w="1022"/>
        <w:gridCol w:w="868"/>
        <w:gridCol w:w="1078"/>
        <w:gridCol w:w="1075"/>
      </w:tblGrid>
      <w:tr w14:paraId="38BF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28" w:type="dxa"/>
            <w:noWrap w:val="0"/>
            <w:vAlign w:val="center"/>
          </w:tcPr>
          <w:p w14:paraId="23FD9870">
            <w:pPr>
              <w:jc w:val="center"/>
              <w:rPr>
                <w:b/>
                <w:sz w:val="24"/>
                <w:highlight w:val="none"/>
              </w:rPr>
            </w:pPr>
            <w:r>
              <w:rPr>
                <w:b/>
                <w:sz w:val="24"/>
                <w:highlight w:val="none"/>
              </w:rPr>
              <w:t>序号</w:t>
            </w:r>
          </w:p>
        </w:tc>
        <w:tc>
          <w:tcPr>
            <w:tcW w:w="1140" w:type="dxa"/>
            <w:noWrap w:val="0"/>
            <w:vAlign w:val="center"/>
          </w:tcPr>
          <w:p w14:paraId="29546D6A">
            <w:pPr>
              <w:jc w:val="center"/>
              <w:rPr>
                <w:b/>
                <w:sz w:val="24"/>
                <w:highlight w:val="none"/>
              </w:rPr>
            </w:pPr>
            <w:r>
              <w:rPr>
                <w:b/>
                <w:sz w:val="24"/>
                <w:highlight w:val="none"/>
              </w:rPr>
              <w:t>名称</w:t>
            </w:r>
          </w:p>
        </w:tc>
        <w:tc>
          <w:tcPr>
            <w:tcW w:w="1149" w:type="dxa"/>
            <w:noWrap w:val="0"/>
            <w:vAlign w:val="center"/>
          </w:tcPr>
          <w:p w14:paraId="04FD1E10">
            <w:pPr>
              <w:jc w:val="center"/>
              <w:rPr>
                <w:b/>
                <w:sz w:val="24"/>
                <w:highlight w:val="none"/>
              </w:rPr>
            </w:pPr>
            <w:r>
              <w:rPr>
                <w:b/>
                <w:sz w:val="24"/>
                <w:highlight w:val="none"/>
              </w:rPr>
              <w:t>制造商/生产厂家</w:t>
            </w:r>
          </w:p>
        </w:tc>
        <w:tc>
          <w:tcPr>
            <w:tcW w:w="1051" w:type="dxa"/>
            <w:noWrap w:val="0"/>
            <w:vAlign w:val="center"/>
          </w:tcPr>
          <w:p w14:paraId="408CFE7F">
            <w:pPr>
              <w:jc w:val="center"/>
              <w:rPr>
                <w:b/>
                <w:sz w:val="24"/>
                <w:highlight w:val="none"/>
              </w:rPr>
            </w:pPr>
            <w:r>
              <w:rPr>
                <w:b/>
                <w:sz w:val="24"/>
                <w:highlight w:val="none"/>
              </w:rPr>
              <w:t>产地</w:t>
            </w:r>
          </w:p>
        </w:tc>
        <w:tc>
          <w:tcPr>
            <w:tcW w:w="1051" w:type="dxa"/>
            <w:noWrap w:val="0"/>
            <w:vAlign w:val="center"/>
          </w:tcPr>
          <w:p w14:paraId="4810ABB7">
            <w:pPr>
              <w:jc w:val="center"/>
              <w:rPr>
                <w:b/>
                <w:sz w:val="24"/>
                <w:highlight w:val="none"/>
              </w:rPr>
            </w:pPr>
            <w:r>
              <w:rPr>
                <w:b/>
                <w:sz w:val="24"/>
                <w:highlight w:val="none"/>
              </w:rPr>
              <w:t>规格、型号</w:t>
            </w:r>
          </w:p>
        </w:tc>
        <w:tc>
          <w:tcPr>
            <w:tcW w:w="1022" w:type="dxa"/>
            <w:noWrap w:val="0"/>
            <w:vAlign w:val="center"/>
          </w:tcPr>
          <w:p w14:paraId="568A1ADF">
            <w:pPr>
              <w:jc w:val="center"/>
              <w:rPr>
                <w:b/>
                <w:sz w:val="24"/>
                <w:highlight w:val="none"/>
              </w:rPr>
            </w:pPr>
            <w:r>
              <w:rPr>
                <w:b/>
                <w:sz w:val="24"/>
                <w:highlight w:val="none"/>
              </w:rPr>
              <w:t>单价（元）</w:t>
            </w:r>
          </w:p>
        </w:tc>
        <w:tc>
          <w:tcPr>
            <w:tcW w:w="868" w:type="dxa"/>
            <w:noWrap w:val="0"/>
            <w:vAlign w:val="center"/>
          </w:tcPr>
          <w:p w14:paraId="0ECB127D">
            <w:pPr>
              <w:jc w:val="center"/>
              <w:rPr>
                <w:b/>
                <w:sz w:val="24"/>
                <w:highlight w:val="none"/>
              </w:rPr>
            </w:pPr>
            <w:r>
              <w:rPr>
                <w:b/>
                <w:sz w:val="24"/>
                <w:highlight w:val="none"/>
              </w:rPr>
              <w:t>数量</w:t>
            </w:r>
          </w:p>
        </w:tc>
        <w:tc>
          <w:tcPr>
            <w:tcW w:w="1078" w:type="dxa"/>
            <w:noWrap w:val="0"/>
            <w:vAlign w:val="center"/>
          </w:tcPr>
          <w:p w14:paraId="2A8CF674">
            <w:pPr>
              <w:jc w:val="center"/>
              <w:rPr>
                <w:b/>
                <w:sz w:val="24"/>
                <w:highlight w:val="none"/>
              </w:rPr>
            </w:pPr>
            <w:r>
              <w:rPr>
                <w:b/>
                <w:sz w:val="24"/>
                <w:highlight w:val="none"/>
              </w:rPr>
              <w:t>合价（元）</w:t>
            </w:r>
          </w:p>
        </w:tc>
        <w:tc>
          <w:tcPr>
            <w:tcW w:w="1075" w:type="dxa"/>
            <w:noWrap w:val="0"/>
            <w:vAlign w:val="center"/>
          </w:tcPr>
          <w:p w14:paraId="0B195939">
            <w:pPr>
              <w:jc w:val="center"/>
              <w:rPr>
                <w:b/>
                <w:sz w:val="24"/>
                <w:highlight w:val="none"/>
              </w:rPr>
            </w:pPr>
            <w:r>
              <w:rPr>
                <w:rFonts w:hint="eastAsia"/>
                <w:b/>
                <w:sz w:val="24"/>
                <w:highlight w:val="none"/>
              </w:rPr>
              <w:t>是否为强制节能产品</w:t>
            </w:r>
          </w:p>
        </w:tc>
      </w:tr>
      <w:tr w14:paraId="7451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050E9AE">
            <w:pPr>
              <w:jc w:val="center"/>
              <w:rPr>
                <w:sz w:val="24"/>
                <w:highlight w:val="none"/>
              </w:rPr>
            </w:pPr>
          </w:p>
        </w:tc>
        <w:tc>
          <w:tcPr>
            <w:tcW w:w="1140" w:type="dxa"/>
            <w:noWrap w:val="0"/>
            <w:vAlign w:val="center"/>
          </w:tcPr>
          <w:p w14:paraId="0650F54B">
            <w:pPr>
              <w:jc w:val="center"/>
              <w:rPr>
                <w:sz w:val="24"/>
                <w:highlight w:val="none"/>
              </w:rPr>
            </w:pPr>
          </w:p>
        </w:tc>
        <w:tc>
          <w:tcPr>
            <w:tcW w:w="1149" w:type="dxa"/>
            <w:noWrap w:val="0"/>
            <w:vAlign w:val="center"/>
          </w:tcPr>
          <w:p w14:paraId="7505F8B6">
            <w:pPr>
              <w:jc w:val="center"/>
              <w:rPr>
                <w:sz w:val="24"/>
                <w:highlight w:val="none"/>
              </w:rPr>
            </w:pPr>
          </w:p>
        </w:tc>
        <w:tc>
          <w:tcPr>
            <w:tcW w:w="1051" w:type="dxa"/>
            <w:noWrap w:val="0"/>
            <w:vAlign w:val="center"/>
          </w:tcPr>
          <w:p w14:paraId="56E610EC">
            <w:pPr>
              <w:jc w:val="center"/>
              <w:rPr>
                <w:sz w:val="24"/>
                <w:highlight w:val="none"/>
              </w:rPr>
            </w:pPr>
          </w:p>
        </w:tc>
        <w:tc>
          <w:tcPr>
            <w:tcW w:w="1051" w:type="dxa"/>
            <w:noWrap w:val="0"/>
            <w:vAlign w:val="center"/>
          </w:tcPr>
          <w:p w14:paraId="54AEEADF">
            <w:pPr>
              <w:jc w:val="center"/>
              <w:rPr>
                <w:sz w:val="24"/>
                <w:highlight w:val="none"/>
              </w:rPr>
            </w:pPr>
          </w:p>
        </w:tc>
        <w:tc>
          <w:tcPr>
            <w:tcW w:w="1022" w:type="dxa"/>
            <w:noWrap w:val="0"/>
            <w:vAlign w:val="center"/>
          </w:tcPr>
          <w:p w14:paraId="7BE9EE79">
            <w:pPr>
              <w:jc w:val="center"/>
              <w:rPr>
                <w:sz w:val="24"/>
                <w:highlight w:val="none"/>
              </w:rPr>
            </w:pPr>
          </w:p>
        </w:tc>
        <w:tc>
          <w:tcPr>
            <w:tcW w:w="868" w:type="dxa"/>
            <w:noWrap w:val="0"/>
            <w:vAlign w:val="center"/>
          </w:tcPr>
          <w:p w14:paraId="357A281C">
            <w:pPr>
              <w:jc w:val="center"/>
              <w:rPr>
                <w:sz w:val="24"/>
                <w:highlight w:val="none"/>
              </w:rPr>
            </w:pPr>
          </w:p>
        </w:tc>
        <w:tc>
          <w:tcPr>
            <w:tcW w:w="1078" w:type="dxa"/>
            <w:noWrap w:val="0"/>
            <w:vAlign w:val="center"/>
          </w:tcPr>
          <w:p w14:paraId="71D979CD">
            <w:pPr>
              <w:jc w:val="center"/>
              <w:rPr>
                <w:sz w:val="24"/>
                <w:highlight w:val="none"/>
              </w:rPr>
            </w:pPr>
          </w:p>
        </w:tc>
        <w:tc>
          <w:tcPr>
            <w:tcW w:w="1075" w:type="dxa"/>
            <w:noWrap w:val="0"/>
            <w:vAlign w:val="top"/>
          </w:tcPr>
          <w:p w14:paraId="02719B89">
            <w:pPr>
              <w:jc w:val="center"/>
              <w:rPr>
                <w:sz w:val="24"/>
                <w:highlight w:val="none"/>
              </w:rPr>
            </w:pPr>
          </w:p>
        </w:tc>
      </w:tr>
      <w:tr w14:paraId="67E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F2758DB">
            <w:pPr>
              <w:jc w:val="center"/>
              <w:rPr>
                <w:sz w:val="24"/>
                <w:highlight w:val="none"/>
              </w:rPr>
            </w:pPr>
          </w:p>
        </w:tc>
        <w:tc>
          <w:tcPr>
            <w:tcW w:w="1140" w:type="dxa"/>
            <w:noWrap w:val="0"/>
            <w:vAlign w:val="center"/>
          </w:tcPr>
          <w:p w14:paraId="4427F50C">
            <w:pPr>
              <w:jc w:val="center"/>
              <w:rPr>
                <w:sz w:val="24"/>
                <w:highlight w:val="none"/>
              </w:rPr>
            </w:pPr>
          </w:p>
        </w:tc>
        <w:tc>
          <w:tcPr>
            <w:tcW w:w="1149" w:type="dxa"/>
            <w:noWrap w:val="0"/>
            <w:vAlign w:val="center"/>
          </w:tcPr>
          <w:p w14:paraId="371FC440">
            <w:pPr>
              <w:jc w:val="center"/>
              <w:rPr>
                <w:sz w:val="24"/>
                <w:highlight w:val="none"/>
              </w:rPr>
            </w:pPr>
          </w:p>
        </w:tc>
        <w:tc>
          <w:tcPr>
            <w:tcW w:w="1051" w:type="dxa"/>
            <w:noWrap w:val="0"/>
            <w:vAlign w:val="center"/>
          </w:tcPr>
          <w:p w14:paraId="3EA0F795">
            <w:pPr>
              <w:jc w:val="center"/>
              <w:rPr>
                <w:sz w:val="24"/>
                <w:highlight w:val="none"/>
              </w:rPr>
            </w:pPr>
          </w:p>
        </w:tc>
        <w:tc>
          <w:tcPr>
            <w:tcW w:w="1051" w:type="dxa"/>
            <w:noWrap w:val="0"/>
            <w:vAlign w:val="center"/>
          </w:tcPr>
          <w:p w14:paraId="3563A605">
            <w:pPr>
              <w:jc w:val="center"/>
              <w:rPr>
                <w:sz w:val="24"/>
                <w:highlight w:val="none"/>
              </w:rPr>
            </w:pPr>
          </w:p>
        </w:tc>
        <w:tc>
          <w:tcPr>
            <w:tcW w:w="1022" w:type="dxa"/>
            <w:noWrap w:val="0"/>
            <w:vAlign w:val="center"/>
          </w:tcPr>
          <w:p w14:paraId="05C87996">
            <w:pPr>
              <w:jc w:val="center"/>
              <w:rPr>
                <w:sz w:val="24"/>
                <w:highlight w:val="none"/>
              </w:rPr>
            </w:pPr>
          </w:p>
        </w:tc>
        <w:tc>
          <w:tcPr>
            <w:tcW w:w="868" w:type="dxa"/>
            <w:noWrap w:val="0"/>
            <w:vAlign w:val="center"/>
          </w:tcPr>
          <w:p w14:paraId="38DBDD1E">
            <w:pPr>
              <w:jc w:val="center"/>
              <w:rPr>
                <w:sz w:val="24"/>
                <w:highlight w:val="none"/>
              </w:rPr>
            </w:pPr>
          </w:p>
        </w:tc>
        <w:tc>
          <w:tcPr>
            <w:tcW w:w="1078" w:type="dxa"/>
            <w:noWrap w:val="0"/>
            <w:vAlign w:val="center"/>
          </w:tcPr>
          <w:p w14:paraId="7C9C88A1">
            <w:pPr>
              <w:jc w:val="center"/>
              <w:rPr>
                <w:sz w:val="24"/>
                <w:highlight w:val="none"/>
              </w:rPr>
            </w:pPr>
          </w:p>
        </w:tc>
        <w:tc>
          <w:tcPr>
            <w:tcW w:w="1075" w:type="dxa"/>
            <w:noWrap w:val="0"/>
            <w:vAlign w:val="top"/>
          </w:tcPr>
          <w:p w14:paraId="0582EFD9">
            <w:pPr>
              <w:jc w:val="center"/>
              <w:rPr>
                <w:sz w:val="24"/>
                <w:highlight w:val="none"/>
              </w:rPr>
            </w:pPr>
          </w:p>
        </w:tc>
      </w:tr>
      <w:tr w14:paraId="5CB4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0CD3B51">
            <w:pPr>
              <w:jc w:val="center"/>
              <w:rPr>
                <w:sz w:val="24"/>
                <w:highlight w:val="none"/>
              </w:rPr>
            </w:pPr>
          </w:p>
        </w:tc>
        <w:tc>
          <w:tcPr>
            <w:tcW w:w="1140" w:type="dxa"/>
            <w:noWrap w:val="0"/>
            <w:vAlign w:val="center"/>
          </w:tcPr>
          <w:p w14:paraId="0D59A893">
            <w:pPr>
              <w:jc w:val="center"/>
              <w:rPr>
                <w:sz w:val="24"/>
                <w:highlight w:val="none"/>
              </w:rPr>
            </w:pPr>
          </w:p>
        </w:tc>
        <w:tc>
          <w:tcPr>
            <w:tcW w:w="1149" w:type="dxa"/>
            <w:noWrap w:val="0"/>
            <w:vAlign w:val="center"/>
          </w:tcPr>
          <w:p w14:paraId="375E7642">
            <w:pPr>
              <w:jc w:val="center"/>
              <w:rPr>
                <w:sz w:val="24"/>
                <w:highlight w:val="none"/>
              </w:rPr>
            </w:pPr>
          </w:p>
        </w:tc>
        <w:tc>
          <w:tcPr>
            <w:tcW w:w="1051" w:type="dxa"/>
            <w:noWrap w:val="0"/>
            <w:vAlign w:val="center"/>
          </w:tcPr>
          <w:p w14:paraId="5914E251">
            <w:pPr>
              <w:jc w:val="center"/>
              <w:rPr>
                <w:sz w:val="24"/>
                <w:highlight w:val="none"/>
              </w:rPr>
            </w:pPr>
          </w:p>
        </w:tc>
        <w:tc>
          <w:tcPr>
            <w:tcW w:w="1051" w:type="dxa"/>
            <w:noWrap w:val="0"/>
            <w:vAlign w:val="center"/>
          </w:tcPr>
          <w:p w14:paraId="7A2E8443">
            <w:pPr>
              <w:jc w:val="center"/>
              <w:rPr>
                <w:sz w:val="24"/>
                <w:highlight w:val="none"/>
              </w:rPr>
            </w:pPr>
          </w:p>
        </w:tc>
        <w:tc>
          <w:tcPr>
            <w:tcW w:w="1022" w:type="dxa"/>
            <w:noWrap w:val="0"/>
            <w:vAlign w:val="center"/>
          </w:tcPr>
          <w:p w14:paraId="72CFE62E">
            <w:pPr>
              <w:jc w:val="center"/>
              <w:rPr>
                <w:sz w:val="24"/>
                <w:highlight w:val="none"/>
              </w:rPr>
            </w:pPr>
          </w:p>
        </w:tc>
        <w:tc>
          <w:tcPr>
            <w:tcW w:w="868" w:type="dxa"/>
            <w:noWrap w:val="0"/>
            <w:vAlign w:val="center"/>
          </w:tcPr>
          <w:p w14:paraId="0665EFCB">
            <w:pPr>
              <w:jc w:val="center"/>
              <w:rPr>
                <w:sz w:val="24"/>
                <w:highlight w:val="none"/>
              </w:rPr>
            </w:pPr>
          </w:p>
        </w:tc>
        <w:tc>
          <w:tcPr>
            <w:tcW w:w="1078" w:type="dxa"/>
            <w:noWrap w:val="0"/>
            <w:vAlign w:val="center"/>
          </w:tcPr>
          <w:p w14:paraId="3EBE370E">
            <w:pPr>
              <w:jc w:val="center"/>
              <w:rPr>
                <w:sz w:val="24"/>
                <w:highlight w:val="none"/>
              </w:rPr>
            </w:pPr>
          </w:p>
        </w:tc>
        <w:tc>
          <w:tcPr>
            <w:tcW w:w="1075" w:type="dxa"/>
            <w:noWrap w:val="0"/>
            <w:vAlign w:val="top"/>
          </w:tcPr>
          <w:p w14:paraId="35DD3EE0">
            <w:pPr>
              <w:jc w:val="center"/>
              <w:rPr>
                <w:sz w:val="24"/>
                <w:highlight w:val="none"/>
              </w:rPr>
            </w:pPr>
          </w:p>
        </w:tc>
      </w:tr>
      <w:tr w14:paraId="637E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BEB2BB7">
            <w:pPr>
              <w:jc w:val="center"/>
              <w:rPr>
                <w:sz w:val="24"/>
                <w:highlight w:val="none"/>
              </w:rPr>
            </w:pPr>
          </w:p>
        </w:tc>
        <w:tc>
          <w:tcPr>
            <w:tcW w:w="1140" w:type="dxa"/>
            <w:noWrap w:val="0"/>
            <w:vAlign w:val="center"/>
          </w:tcPr>
          <w:p w14:paraId="008A199D">
            <w:pPr>
              <w:jc w:val="center"/>
              <w:rPr>
                <w:sz w:val="24"/>
                <w:highlight w:val="none"/>
              </w:rPr>
            </w:pPr>
          </w:p>
        </w:tc>
        <w:tc>
          <w:tcPr>
            <w:tcW w:w="1149" w:type="dxa"/>
            <w:noWrap w:val="0"/>
            <w:vAlign w:val="center"/>
          </w:tcPr>
          <w:p w14:paraId="6183FEDA">
            <w:pPr>
              <w:jc w:val="center"/>
              <w:rPr>
                <w:sz w:val="24"/>
                <w:highlight w:val="none"/>
              </w:rPr>
            </w:pPr>
          </w:p>
        </w:tc>
        <w:tc>
          <w:tcPr>
            <w:tcW w:w="1051" w:type="dxa"/>
            <w:noWrap w:val="0"/>
            <w:vAlign w:val="center"/>
          </w:tcPr>
          <w:p w14:paraId="64B7FA3E">
            <w:pPr>
              <w:jc w:val="center"/>
              <w:rPr>
                <w:sz w:val="24"/>
                <w:highlight w:val="none"/>
              </w:rPr>
            </w:pPr>
          </w:p>
        </w:tc>
        <w:tc>
          <w:tcPr>
            <w:tcW w:w="1051" w:type="dxa"/>
            <w:noWrap w:val="0"/>
            <w:vAlign w:val="center"/>
          </w:tcPr>
          <w:p w14:paraId="56B96E73">
            <w:pPr>
              <w:jc w:val="center"/>
              <w:rPr>
                <w:sz w:val="24"/>
                <w:highlight w:val="none"/>
              </w:rPr>
            </w:pPr>
          </w:p>
        </w:tc>
        <w:tc>
          <w:tcPr>
            <w:tcW w:w="1022" w:type="dxa"/>
            <w:noWrap w:val="0"/>
            <w:vAlign w:val="center"/>
          </w:tcPr>
          <w:p w14:paraId="375198EE">
            <w:pPr>
              <w:jc w:val="center"/>
              <w:rPr>
                <w:sz w:val="24"/>
                <w:highlight w:val="none"/>
              </w:rPr>
            </w:pPr>
          </w:p>
        </w:tc>
        <w:tc>
          <w:tcPr>
            <w:tcW w:w="868" w:type="dxa"/>
            <w:noWrap w:val="0"/>
            <w:vAlign w:val="center"/>
          </w:tcPr>
          <w:p w14:paraId="11DDC9A4">
            <w:pPr>
              <w:jc w:val="center"/>
              <w:rPr>
                <w:sz w:val="24"/>
                <w:highlight w:val="none"/>
              </w:rPr>
            </w:pPr>
          </w:p>
        </w:tc>
        <w:tc>
          <w:tcPr>
            <w:tcW w:w="1078" w:type="dxa"/>
            <w:noWrap w:val="0"/>
            <w:vAlign w:val="center"/>
          </w:tcPr>
          <w:p w14:paraId="1AB42AD8">
            <w:pPr>
              <w:jc w:val="center"/>
              <w:rPr>
                <w:sz w:val="24"/>
                <w:highlight w:val="none"/>
              </w:rPr>
            </w:pPr>
          </w:p>
        </w:tc>
        <w:tc>
          <w:tcPr>
            <w:tcW w:w="1075" w:type="dxa"/>
            <w:noWrap w:val="0"/>
            <w:vAlign w:val="top"/>
          </w:tcPr>
          <w:p w14:paraId="3C36262E">
            <w:pPr>
              <w:jc w:val="center"/>
              <w:rPr>
                <w:sz w:val="24"/>
                <w:highlight w:val="none"/>
              </w:rPr>
            </w:pPr>
          </w:p>
        </w:tc>
      </w:tr>
      <w:tr w14:paraId="521A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52050EA3">
            <w:pPr>
              <w:jc w:val="center"/>
              <w:rPr>
                <w:sz w:val="24"/>
                <w:highlight w:val="none"/>
              </w:rPr>
            </w:pPr>
          </w:p>
        </w:tc>
        <w:tc>
          <w:tcPr>
            <w:tcW w:w="1140" w:type="dxa"/>
            <w:noWrap w:val="0"/>
            <w:vAlign w:val="center"/>
          </w:tcPr>
          <w:p w14:paraId="2619EFBF">
            <w:pPr>
              <w:jc w:val="center"/>
              <w:rPr>
                <w:sz w:val="24"/>
                <w:highlight w:val="none"/>
              </w:rPr>
            </w:pPr>
          </w:p>
        </w:tc>
        <w:tc>
          <w:tcPr>
            <w:tcW w:w="1149" w:type="dxa"/>
            <w:noWrap w:val="0"/>
            <w:vAlign w:val="center"/>
          </w:tcPr>
          <w:p w14:paraId="18363DCE">
            <w:pPr>
              <w:jc w:val="center"/>
              <w:rPr>
                <w:sz w:val="24"/>
                <w:highlight w:val="none"/>
              </w:rPr>
            </w:pPr>
          </w:p>
        </w:tc>
        <w:tc>
          <w:tcPr>
            <w:tcW w:w="1051" w:type="dxa"/>
            <w:noWrap w:val="0"/>
            <w:vAlign w:val="center"/>
          </w:tcPr>
          <w:p w14:paraId="2CBC7F60">
            <w:pPr>
              <w:jc w:val="center"/>
              <w:rPr>
                <w:sz w:val="24"/>
                <w:highlight w:val="none"/>
              </w:rPr>
            </w:pPr>
          </w:p>
        </w:tc>
        <w:tc>
          <w:tcPr>
            <w:tcW w:w="1051" w:type="dxa"/>
            <w:noWrap w:val="0"/>
            <w:vAlign w:val="center"/>
          </w:tcPr>
          <w:p w14:paraId="1EE088AA">
            <w:pPr>
              <w:jc w:val="center"/>
              <w:rPr>
                <w:sz w:val="24"/>
                <w:highlight w:val="none"/>
              </w:rPr>
            </w:pPr>
          </w:p>
        </w:tc>
        <w:tc>
          <w:tcPr>
            <w:tcW w:w="1022" w:type="dxa"/>
            <w:noWrap w:val="0"/>
            <w:vAlign w:val="center"/>
          </w:tcPr>
          <w:p w14:paraId="61BA9520">
            <w:pPr>
              <w:jc w:val="center"/>
              <w:rPr>
                <w:sz w:val="24"/>
                <w:highlight w:val="none"/>
              </w:rPr>
            </w:pPr>
          </w:p>
        </w:tc>
        <w:tc>
          <w:tcPr>
            <w:tcW w:w="868" w:type="dxa"/>
            <w:noWrap w:val="0"/>
            <w:vAlign w:val="center"/>
          </w:tcPr>
          <w:p w14:paraId="10EDA696">
            <w:pPr>
              <w:jc w:val="center"/>
              <w:rPr>
                <w:sz w:val="24"/>
                <w:highlight w:val="none"/>
              </w:rPr>
            </w:pPr>
          </w:p>
        </w:tc>
        <w:tc>
          <w:tcPr>
            <w:tcW w:w="1078" w:type="dxa"/>
            <w:noWrap w:val="0"/>
            <w:vAlign w:val="center"/>
          </w:tcPr>
          <w:p w14:paraId="63B52C32">
            <w:pPr>
              <w:jc w:val="center"/>
              <w:rPr>
                <w:sz w:val="24"/>
                <w:highlight w:val="none"/>
              </w:rPr>
            </w:pPr>
          </w:p>
        </w:tc>
        <w:tc>
          <w:tcPr>
            <w:tcW w:w="1075" w:type="dxa"/>
            <w:noWrap w:val="0"/>
            <w:vAlign w:val="top"/>
          </w:tcPr>
          <w:p w14:paraId="3FACBF33">
            <w:pPr>
              <w:jc w:val="center"/>
              <w:rPr>
                <w:sz w:val="24"/>
                <w:highlight w:val="none"/>
              </w:rPr>
            </w:pPr>
          </w:p>
        </w:tc>
      </w:tr>
      <w:tr w14:paraId="1BD4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2562D07">
            <w:pPr>
              <w:jc w:val="center"/>
              <w:rPr>
                <w:sz w:val="24"/>
                <w:highlight w:val="none"/>
              </w:rPr>
            </w:pPr>
          </w:p>
        </w:tc>
        <w:tc>
          <w:tcPr>
            <w:tcW w:w="1140" w:type="dxa"/>
            <w:noWrap w:val="0"/>
            <w:vAlign w:val="center"/>
          </w:tcPr>
          <w:p w14:paraId="3F19DA45">
            <w:pPr>
              <w:jc w:val="center"/>
              <w:rPr>
                <w:sz w:val="24"/>
                <w:highlight w:val="none"/>
              </w:rPr>
            </w:pPr>
          </w:p>
        </w:tc>
        <w:tc>
          <w:tcPr>
            <w:tcW w:w="1149" w:type="dxa"/>
            <w:noWrap w:val="0"/>
            <w:vAlign w:val="center"/>
          </w:tcPr>
          <w:p w14:paraId="2B3214E9">
            <w:pPr>
              <w:jc w:val="center"/>
              <w:rPr>
                <w:sz w:val="24"/>
                <w:highlight w:val="none"/>
              </w:rPr>
            </w:pPr>
          </w:p>
        </w:tc>
        <w:tc>
          <w:tcPr>
            <w:tcW w:w="1051" w:type="dxa"/>
            <w:noWrap w:val="0"/>
            <w:vAlign w:val="center"/>
          </w:tcPr>
          <w:p w14:paraId="48F179E3">
            <w:pPr>
              <w:jc w:val="center"/>
              <w:rPr>
                <w:sz w:val="24"/>
                <w:highlight w:val="none"/>
              </w:rPr>
            </w:pPr>
          </w:p>
        </w:tc>
        <w:tc>
          <w:tcPr>
            <w:tcW w:w="1051" w:type="dxa"/>
            <w:noWrap w:val="0"/>
            <w:vAlign w:val="center"/>
          </w:tcPr>
          <w:p w14:paraId="690AB6A3">
            <w:pPr>
              <w:jc w:val="center"/>
              <w:rPr>
                <w:sz w:val="24"/>
                <w:highlight w:val="none"/>
              </w:rPr>
            </w:pPr>
          </w:p>
        </w:tc>
        <w:tc>
          <w:tcPr>
            <w:tcW w:w="1022" w:type="dxa"/>
            <w:noWrap w:val="0"/>
            <w:vAlign w:val="center"/>
          </w:tcPr>
          <w:p w14:paraId="25BB113F">
            <w:pPr>
              <w:jc w:val="center"/>
              <w:rPr>
                <w:sz w:val="24"/>
                <w:highlight w:val="none"/>
              </w:rPr>
            </w:pPr>
          </w:p>
        </w:tc>
        <w:tc>
          <w:tcPr>
            <w:tcW w:w="868" w:type="dxa"/>
            <w:noWrap w:val="0"/>
            <w:vAlign w:val="center"/>
          </w:tcPr>
          <w:p w14:paraId="70BC6A99">
            <w:pPr>
              <w:jc w:val="center"/>
              <w:rPr>
                <w:sz w:val="24"/>
                <w:highlight w:val="none"/>
              </w:rPr>
            </w:pPr>
          </w:p>
        </w:tc>
        <w:tc>
          <w:tcPr>
            <w:tcW w:w="1078" w:type="dxa"/>
            <w:noWrap w:val="0"/>
            <w:vAlign w:val="center"/>
          </w:tcPr>
          <w:p w14:paraId="582E4149">
            <w:pPr>
              <w:jc w:val="center"/>
              <w:rPr>
                <w:sz w:val="24"/>
                <w:highlight w:val="none"/>
              </w:rPr>
            </w:pPr>
          </w:p>
        </w:tc>
        <w:tc>
          <w:tcPr>
            <w:tcW w:w="1075" w:type="dxa"/>
            <w:noWrap w:val="0"/>
            <w:vAlign w:val="top"/>
          </w:tcPr>
          <w:p w14:paraId="2560305D">
            <w:pPr>
              <w:jc w:val="center"/>
              <w:rPr>
                <w:sz w:val="24"/>
                <w:highlight w:val="none"/>
              </w:rPr>
            </w:pPr>
          </w:p>
        </w:tc>
      </w:tr>
      <w:tr w14:paraId="10C7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A7EAD63">
            <w:pPr>
              <w:jc w:val="center"/>
              <w:rPr>
                <w:sz w:val="24"/>
                <w:highlight w:val="none"/>
              </w:rPr>
            </w:pPr>
          </w:p>
        </w:tc>
        <w:tc>
          <w:tcPr>
            <w:tcW w:w="1140" w:type="dxa"/>
            <w:noWrap w:val="0"/>
            <w:vAlign w:val="center"/>
          </w:tcPr>
          <w:p w14:paraId="4E7257B0">
            <w:pPr>
              <w:jc w:val="center"/>
              <w:rPr>
                <w:sz w:val="24"/>
                <w:highlight w:val="none"/>
              </w:rPr>
            </w:pPr>
          </w:p>
        </w:tc>
        <w:tc>
          <w:tcPr>
            <w:tcW w:w="1149" w:type="dxa"/>
            <w:noWrap w:val="0"/>
            <w:vAlign w:val="center"/>
          </w:tcPr>
          <w:p w14:paraId="44342D47">
            <w:pPr>
              <w:jc w:val="center"/>
              <w:rPr>
                <w:sz w:val="24"/>
                <w:highlight w:val="none"/>
              </w:rPr>
            </w:pPr>
          </w:p>
        </w:tc>
        <w:tc>
          <w:tcPr>
            <w:tcW w:w="1051" w:type="dxa"/>
            <w:noWrap w:val="0"/>
            <w:vAlign w:val="center"/>
          </w:tcPr>
          <w:p w14:paraId="229018E0">
            <w:pPr>
              <w:jc w:val="center"/>
              <w:rPr>
                <w:sz w:val="24"/>
                <w:highlight w:val="none"/>
              </w:rPr>
            </w:pPr>
          </w:p>
        </w:tc>
        <w:tc>
          <w:tcPr>
            <w:tcW w:w="1051" w:type="dxa"/>
            <w:noWrap w:val="0"/>
            <w:vAlign w:val="center"/>
          </w:tcPr>
          <w:p w14:paraId="27AF02DA">
            <w:pPr>
              <w:jc w:val="center"/>
              <w:rPr>
                <w:sz w:val="24"/>
                <w:highlight w:val="none"/>
              </w:rPr>
            </w:pPr>
          </w:p>
        </w:tc>
        <w:tc>
          <w:tcPr>
            <w:tcW w:w="1022" w:type="dxa"/>
            <w:noWrap w:val="0"/>
            <w:vAlign w:val="center"/>
          </w:tcPr>
          <w:p w14:paraId="2010CD4C">
            <w:pPr>
              <w:jc w:val="center"/>
              <w:rPr>
                <w:sz w:val="24"/>
                <w:highlight w:val="none"/>
              </w:rPr>
            </w:pPr>
          </w:p>
        </w:tc>
        <w:tc>
          <w:tcPr>
            <w:tcW w:w="868" w:type="dxa"/>
            <w:noWrap w:val="0"/>
            <w:vAlign w:val="center"/>
          </w:tcPr>
          <w:p w14:paraId="1C8AC860">
            <w:pPr>
              <w:jc w:val="center"/>
              <w:rPr>
                <w:sz w:val="24"/>
                <w:highlight w:val="none"/>
              </w:rPr>
            </w:pPr>
          </w:p>
        </w:tc>
        <w:tc>
          <w:tcPr>
            <w:tcW w:w="1078" w:type="dxa"/>
            <w:noWrap w:val="0"/>
            <w:vAlign w:val="center"/>
          </w:tcPr>
          <w:p w14:paraId="5DFE6C37">
            <w:pPr>
              <w:jc w:val="center"/>
              <w:rPr>
                <w:sz w:val="24"/>
                <w:highlight w:val="none"/>
              </w:rPr>
            </w:pPr>
          </w:p>
        </w:tc>
        <w:tc>
          <w:tcPr>
            <w:tcW w:w="1075" w:type="dxa"/>
            <w:noWrap w:val="0"/>
            <w:vAlign w:val="top"/>
          </w:tcPr>
          <w:p w14:paraId="0208060E">
            <w:pPr>
              <w:jc w:val="center"/>
              <w:rPr>
                <w:sz w:val="24"/>
                <w:highlight w:val="none"/>
              </w:rPr>
            </w:pPr>
          </w:p>
        </w:tc>
      </w:tr>
      <w:tr w14:paraId="62F0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58D9B0F">
            <w:pPr>
              <w:jc w:val="center"/>
              <w:rPr>
                <w:sz w:val="24"/>
                <w:highlight w:val="none"/>
              </w:rPr>
            </w:pPr>
          </w:p>
        </w:tc>
        <w:tc>
          <w:tcPr>
            <w:tcW w:w="1140" w:type="dxa"/>
            <w:noWrap w:val="0"/>
            <w:vAlign w:val="center"/>
          </w:tcPr>
          <w:p w14:paraId="452BB30F">
            <w:pPr>
              <w:jc w:val="center"/>
              <w:rPr>
                <w:sz w:val="24"/>
                <w:highlight w:val="none"/>
              </w:rPr>
            </w:pPr>
          </w:p>
        </w:tc>
        <w:tc>
          <w:tcPr>
            <w:tcW w:w="1149" w:type="dxa"/>
            <w:noWrap w:val="0"/>
            <w:vAlign w:val="center"/>
          </w:tcPr>
          <w:p w14:paraId="60D42087">
            <w:pPr>
              <w:jc w:val="center"/>
              <w:rPr>
                <w:sz w:val="24"/>
                <w:highlight w:val="none"/>
              </w:rPr>
            </w:pPr>
          </w:p>
        </w:tc>
        <w:tc>
          <w:tcPr>
            <w:tcW w:w="1051" w:type="dxa"/>
            <w:noWrap w:val="0"/>
            <w:vAlign w:val="center"/>
          </w:tcPr>
          <w:p w14:paraId="160E4CD0">
            <w:pPr>
              <w:jc w:val="center"/>
              <w:rPr>
                <w:sz w:val="24"/>
                <w:highlight w:val="none"/>
              </w:rPr>
            </w:pPr>
          </w:p>
        </w:tc>
        <w:tc>
          <w:tcPr>
            <w:tcW w:w="1051" w:type="dxa"/>
            <w:noWrap w:val="0"/>
            <w:vAlign w:val="center"/>
          </w:tcPr>
          <w:p w14:paraId="443C535B">
            <w:pPr>
              <w:jc w:val="center"/>
              <w:rPr>
                <w:sz w:val="24"/>
                <w:highlight w:val="none"/>
              </w:rPr>
            </w:pPr>
          </w:p>
        </w:tc>
        <w:tc>
          <w:tcPr>
            <w:tcW w:w="1022" w:type="dxa"/>
            <w:noWrap w:val="0"/>
            <w:vAlign w:val="center"/>
          </w:tcPr>
          <w:p w14:paraId="5DD9EECA">
            <w:pPr>
              <w:jc w:val="center"/>
              <w:rPr>
                <w:sz w:val="24"/>
                <w:highlight w:val="none"/>
              </w:rPr>
            </w:pPr>
          </w:p>
        </w:tc>
        <w:tc>
          <w:tcPr>
            <w:tcW w:w="868" w:type="dxa"/>
            <w:noWrap w:val="0"/>
            <w:vAlign w:val="center"/>
          </w:tcPr>
          <w:p w14:paraId="032E90A3">
            <w:pPr>
              <w:jc w:val="center"/>
              <w:rPr>
                <w:sz w:val="24"/>
                <w:highlight w:val="none"/>
              </w:rPr>
            </w:pPr>
          </w:p>
        </w:tc>
        <w:tc>
          <w:tcPr>
            <w:tcW w:w="1078" w:type="dxa"/>
            <w:noWrap w:val="0"/>
            <w:vAlign w:val="center"/>
          </w:tcPr>
          <w:p w14:paraId="508E5C77">
            <w:pPr>
              <w:jc w:val="center"/>
              <w:rPr>
                <w:sz w:val="24"/>
                <w:highlight w:val="none"/>
              </w:rPr>
            </w:pPr>
          </w:p>
        </w:tc>
        <w:tc>
          <w:tcPr>
            <w:tcW w:w="1075" w:type="dxa"/>
            <w:noWrap w:val="0"/>
            <w:vAlign w:val="top"/>
          </w:tcPr>
          <w:p w14:paraId="6F910723">
            <w:pPr>
              <w:jc w:val="center"/>
              <w:rPr>
                <w:sz w:val="24"/>
                <w:highlight w:val="none"/>
              </w:rPr>
            </w:pPr>
          </w:p>
        </w:tc>
      </w:tr>
      <w:tr w14:paraId="4970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8A33FDD">
            <w:pPr>
              <w:jc w:val="center"/>
              <w:rPr>
                <w:sz w:val="24"/>
                <w:highlight w:val="none"/>
              </w:rPr>
            </w:pPr>
          </w:p>
        </w:tc>
        <w:tc>
          <w:tcPr>
            <w:tcW w:w="1140" w:type="dxa"/>
            <w:noWrap w:val="0"/>
            <w:vAlign w:val="center"/>
          </w:tcPr>
          <w:p w14:paraId="63022452">
            <w:pPr>
              <w:jc w:val="center"/>
              <w:rPr>
                <w:sz w:val="24"/>
                <w:highlight w:val="none"/>
              </w:rPr>
            </w:pPr>
          </w:p>
        </w:tc>
        <w:tc>
          <w:tcPr>
            <w:tcW w:w="1149" w:type="dxa"/>
            <w:noWrap w:val="0"/>
            <w:vAlign w:val="center"/>
          </w:tcPr>
          <w:p w14:paraId="700ED009">
            <w:pPr>
              <w:jc w:val="center"/>
              <w:rPr>
                <w:sz w:val="24"/>
                <w:highlight w:val="none"/>
              </w:rPr>
            </w:pPr>
          </w:p>
        </w:tc>
        <w:tc>
          <w:tcPr>
            <w:tcW w:w="1051" w:type="dxa"/>
            <w:noWrap w:val="0"/>
            <w:vAlign w:val="center"/>
          </w:tcPr>
          <w:p w14:paraId="7FE54935">
            <w:pPr>
              <w:jc w:val="center"/>
              <w:rPr>
                <w:sz w:val="24"/>
                <w:highlight w:val="none"/>
              </w:rPr>
            </w:pPr>
          </w:p>
        </w:tc>
        <w:tc>
          <w:tcPr>
            <w:tcW w:w="1051" w:type="dxa"/>
            <w:noWrap w:val="0"/>
            <w:vAlign w:val="center"/>
          </w:tcPr>
          <w:p w14:paraId="4D2B8CCD">
            <w:pPr>
              <w:jc w:val="center"/>
              <w:rPr>
                <w:sz w:val="24"/>
                <w:highlight w:val="none"/>
              </w:rPr>
            </w:pPr>
          </w:p>
        </w:tc>
        <w:tc>
          <w:tcPr>
            <w:tcW w:w="1022" w:type="dxa"/>
            <w:noWrap w:val="0"/>
            <w:vAlign w:val="center"/>
          </w:tcPr>
          <w:p w14:paraId="1B83861F">
            <w:pPr>
              <w:jc w:val="center"/>
              <w:rPr>
                <w:sz w:val="24"/>
                <w:highlight w:val="none"/>
              </w:rPr>
            </w:pPr>
          </w:p>
        </w:tc>
        <w:tc>
          <w:tcPr>
            <w:tcW w:w="868" w:type="dxa"/>
            <w:noWrap w:val="0"/>
            <w:vAlign w:val="center"/>
          </w:tcPr>
          <w:p w14:paraId="436A2208">
            <w:pPr>
              <w:jc w:val="center"/>
              <w:rPr>
                <w:sz w:val="24"/>
                <w:highlight w:val="none"/>
              </w:rPr>
            </w:pPr>
          </w:p>
        </w:tc>
        <w:tc>
          <w:tcPr>
            <w:tcW w:w="1078" w:type="dxa"/>
            <w:noWrap w:val="0"/>
            <w:vAlign w:val="center"/>
          </w:tcPr>
          <w:p w14:paraId="6C90EFA4">
            <w:pPr>
              <w:jc w:val="center"/>
              <w:rPr>
                <w:sz w:val="24"/>
                <w:highlight w:val="none"/>
              </w:rPr>
            </w:pPr>
          </w:p>
        </w:tc>
        <w:tc>
          <w:tcPr>
            <w:tcW w:w="1075" w:type="dxa"/>
            <w:noWrap w:val="0"/>
            <w:vAlign w:val="top"/>
          </w:tcPr>
          <w:p w14:paraId="3DFBBBF3">
            <w:pPr>
              <w:jc w:val="center"/>
              <w:rPr>
                <w:sz w:val="24"/>
                <w:highlight w:val="none"/>
              </w:rPr>
            </w:pPr>
          </w:p>
        </w:tc>
      </w:tr>
      <w:tr w14:paraId="36C0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306336D4">
            <w:pPr>
              <w:jc w:val="center"/>
              <w:rPr>
                <w:sz w:val="24"/>
                <w:highlight w:val="none"/>
              </w:rPr>
            </w:pPr>
          </w:p>
        </w:tc>
        <w:tc>
          <w:tcPr>
            <w:tcW w:w="1140" w:type="dxa"/>
            <w:noWrap w:val="0"/>
            <w:vAlign w:val="center"/>
          </w:tcPr>
          <w:p w14:paraId="33739048">
            <w:pPr>
              <w:jc w:val="center"/>
              <w:rPr>
                <w:sz w:val="24"/>
                <w:highlight w:val="none"/>
              </w:rPr>
            </w:pPr>
          </w:p>
        </w:tc>
        <w:tc>
          <w:tcPr>
            <w:tcW w:w="1149" w:type="dxa"/>
            <w:noWrap w:val="0"/>
            <w:vAlign w:val="center"/>
          </w:tcPr>
          <w:p w14:paraId="6E5820B7">
            <w:pPr>
              <w:jc w:val="center"/>
              <w:rPr>
                <w:sz w:val="24"/>
                <w:highlight w:val="none"/>
              </w:rPr>
            </w:pPr>
          </w:p>
        </w:tc>
        <w:tc>
          <w:tcPr>
            <w:tcW w:w="1051" w:type="dxa"/>
            <w:noWrap w:val="0"/>
            <w:vAlign w:val="center"/>
          </w:tcPr>
          <w:p w14:paraId="15D09A1D">
            <w:pPr>
              <w:jc w:val="center"/>
              <w:rPr>
                <w:sz w:val="24"/>
                <w:highlight w:val="none"/>
              </w:rPr>
            </w:pPr>
          </w:p>
        </w:tc>
        <w:tc>
          <w:tcPr>
            <w:tcW w:w="1051" w:type="dxa"/>
            <w:noWrap w:val="0"/>
            <w:vAlign w:val="center"/>
          </w:tcPr>
          <w:p w14:paraId="3972FD43">
            <w:pPr>
              <w:jc w:val="center"/>
              <w:rPr>
                <w:sz w:val="24"/>
                <w:highlight w:val="none"/>
              </w:rPr>
            </w:pPr>
          </w:p>
        </w:tc>
        <w:tc>
          <w:tcPr>
            <w:tcW w:w="1022" w:type="dxa"/>
            <w:noWrap w:val="0"/>
            <w:vAlign w:val="center"/>
          </w:tcPr>
          <w:p w14:paraId="03DB25FB">
            <w:pPr>
              <w:jc w:val="center"/>
              <w:rPr>
                <w:sz w:val="24"/>
                <w:highlight w:val="none"/>
              </w:rPr>
            </w:pPr>
          </w:p>
        </w:tc>
        <w:tc>
          <w:tcPr>
            <w:tcW w:w="868" w:type="dxa"/>
            <w:noWrap w:val="0"/>
            <w:vAlign w:val="center"/>
          </w:tcPr>
          <w:p w14:paraId="77A8EBAD">
            <w:pPr>
              <w:jc w:val="center"/>
              <w:rPr>
                <w:sz w:val="24"/>
                <w:highlight w:val="none"/>
              </w:rPr>
            </w:pPr>
          </w:p>
        </w:tc>
        <w:tc>
          <w:tcPr>
            <w:tcW w:w="1078" w:type="dxa"/>
            <w:noWrap w:val="0"/>
            <w:vAlign w:val="center"/>
          </w:tcPr>
          <w:p w14:paraId="69106DD2">
            <w:pPr>
              <w:jc w:val="center"/>
              <w:rPr>
                <w:sz w:val="24"/>
                <w:highlight w:val="none"/>
              </w:rPr>
            </w:pPr>
          </w:p>
        </w:tc>
        <w:tc>
          <w:tcPr>
            <w:tcW w:w="1075" w:type="dxa"/>
            <w:noWrap w:val="0"/>
            <w:vAlign w:val="top"/>
          </w:tcPr>
          <w:p w14:paraId="2D126F60">
            <w:pPr>
              <w:jc w:val="center"/>
              <w:rPr>
                <w:sz w:val="24"/>
                <w:highlight w:val="none"/>
              </w:rPr>
            </w:pPr>
          </w:p>
        </w:tc>
      </w:tr>
    </w:tbl>
    <w:p w14:paraId="738C01BB">
      <w:pPr>
        <w:pStyle w:val="48"/>
        <w:ind w:left="3360"/>
        <w:rPr>
          <w:highlight w:val="none"/>
        </w:rPr>
      </w:pPr>
    </w:p>
    <w:p w14:paraId="66165D55">
      <w:pPr>
        <w:tabs>
          <w:tab w:val="left" w:pos="1800"/>
          <w:tab w:val="left" w:pos="5580"/>
        </w:tabs>
        <w:jc w:val="left"/>
        <w:rPr>
          <w:sz w:val="24"/>
          <w:highlight w:val="none"/>
        </w:rPr>
      </w:pPr>
      <w:r>
        <w:rPr>
          <w:rFonts w:ascii="宋体" w:hAnsi="宋体"/>
          <w:sz w:val="24"/>
          <w:szCs w:val="20"/>
          <w:highlight w:val="none"/>
        </w:rPr>
        <w:t xml:space="preserve">  </w:t>
      </w:r>
      <w:r>
        <w:rPr>
          <w:sz w:val="24"/>
          <w:highlight w:val="none"/>
        </w:rPr>
        <w:t>注：1.本表应按包分别填写。</w:t>
      </w:r>
    </w:p>
    <w:p w14:paraId="4881EC4A">
      <w:pPr>
        <w:tabs>
          <w:tab w:val="left" w:pos="1800"/>
          <w:tab w:val="left" w:pos="5580"/>
        </w:tabs>
        <w:ind w:firstLine="720" w:firstLineChars="300"/>
        <w:jc w:val="left"/>
        <w:rPr>
          <w:sz w:val="24"/>
          <w:highlight w:val="none"/>
        </w:rPr>
      </w:pPr>
      <w:r>
        <w:rPr>
          <w:sz w:val="24"/>
          <w:highlight w:val="none"/>
        </w:rPr>
        <w:t>2.</w:t>
      </w:r>
      <w:r>
        <w:rPr>
          <w:rFonts w:hint="eastAsia"/>
          <w:sz w:val="24"/>
          <w:highlight w:val="none"/>
        </w:rPr>
        <w:t>供应商应将所投节能产品具体名称及型号填写在此表格</w:t>
      </w:r>
      <w:r>
        <w:rPr>
          <w:sz w:val="24"/>
          <w:highlight w:val="none"/>
        </w:rPr>
        <w:t>。</w:t>
      </w:r>
    </w:p>
    <w:p w14:paraId="1EE460FD">
      <w:pPr>
        <w:tabs>
          <w:tab w:val="left" w:pos="1800"/>
          <w:tab w:val="left" w:pos="5580"/>
        </w:tabs>
        <w:ind w:firstLine="720" w:firstLineChars="300"/>
        <w:jc w:val="left"/>
        <w:rPr>
          <w:sz w:val="24"/>
          <w:highlight w:val="none"/>
        </w:rPr>
      </w:pPr>
      <w:r>
        <w:rPr>
          <w:sz w:val="24"/>
          <w:highlight w:val="none"/>
        </w:rPr>
        <w:t>3.</w:t>
      </w:r>
      <w:r>
        <w:rPr>
          <w:rFonts w:hint="eastAsia"/>
          <w:sz w:val="24"/>
          <w:highlight w:val="none"/>
        </w:rPr>
        <w:t>提供上述节能产品的证明文件</w:t>
      </w:r>
      <w:r>
        <w:rPr>
          <w:sz w:val="24"/>
          <w:highlight w:val="none"/>
        </w:rPr>
        <w:t>。</w:t>
      </w:r>
    </w:p>
    <w:p w14:paraId="02C8C40A">
      <w:pPr>
        <w:autoSpaceDE w:val="0"/>
        <w:autoSpaceDN w:val="0"/>
        <w:adjustRightInd w:val="0"/>
        <w:snapToGrid w:val="0"/>
        <w:spacing w:before="25" w:after="25" w:line="360" w:lineRule="auto"/>
        <w:rPr>
          <w:sz w:val="24"/>
          <w:highlight w:val="none"/>
        </w:rPr>
      </w:pPr>
    </w:p>
    <w:p w14:paraId="6D86E7BE">
      <w:pPr>
        <w:autoSpaceDE w:val="0"/>
        <w:autoSpaceDN w:val="0"/>
        <w:adjustRightInd w:val="0"/>
        <w:snapToGrid w:val="0"/>
        <w:spacing w:before="25" w:after="25" w:line="360" w:lineRule="auto"/>
        <w:rPr>
          <w:sz w:val="24"/>
          <w:highlight w:val="none"/>
        </w:rPr>
      </w:pPr>
    </w:p>
    <w:p w14:paraId="2689EAE2">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3EF2DB37">
      <w:pPr>
        <w:widowControl/>
        <w:jc w:val="left"/>
        <w:rPr>
          <w:sz w:val="24"/>
          <w:highlight w:val="none"/>
        </w:rPr>
      </w:pPr>
      <w:r>
        <w:rPr>
          <w:sz w:val="24"/>
          <w:szCs w:val="20"/>
          <w:highlight w:val="none"/>
        </w:rPr>
        <w:t xml:space="preserve">日期：____年____月____日  </w:t>
      </w:r>
    </w:p>
    <w:p w14:paraId="734A1EF2">
      <w:pPr>
        <w:tabs>
          <w:tab w:val="left" w:pos="360"/>
        </w:tabs>
        <w:snapToGrid w:val="0"/>
        <w:spacing w:line="360" w:lineRule="auto"/>
        <w:outlineLvl w:val="2"/>
        <w:rPr>
          <w:rFonts w:hint="eastAsia"/>
          <w:sz w:val="24"/>
          <w:highlight w:val="none"/>
        </w:rPr>
        <w:sectPr>
          <w:pgSz w:w="11906" w:h="16838"/>
          <w:pgMar w:top="1440" w:right="1274" w:bottom="1440" w:left="1800" w:header="851" w:footer="992" w:gutter="0"/>
          <w:cols w:space="720" w:num="1"/>
          <w:docGrid w:type="lines" w:linePitch="312" w:charSpace="0"/>
        </w:sectPr>
      </w:pPr>
    </w:p>
    <w:p w14:paraId="70682DBA">
      <w:pPr>
        <w:tabs>
          <w:tab w:val="left" w:pos="360"/>
        </w:tabs>
        <w:snapToGrid w:val="0"/>
        <w:spacing w:line="360" w:lineRule="auto"/>
        <w:outlineLvl w:val="1"/>
        <w:rPr>
          <w:rFonts w:hint="eastAsia" w:ascii="宋体" w:hAnsi="宋体" w:eastAsia="宋体" w:cs="Times New Roman"/>
          <w:sz w:val="24"/>
          <w:highlight w:val="none"/>
        </w:rPr>
      </w:pPr>
      <w:r>
        <w:rPr>
          <w:rFonts w:hint="eastAsia" w:ascii="宋体" w:hAnsi="宋体" w:eastAsia="宋体" w:cs="Times New Roman"/>
          <w:sz w:val="24"/>
          <w:highlight w:val="none"/>
        </w:rPr>
        <w:t>13 技术方案</w:t>
      </w:r>
    </w:p>
    <w:p w14:paraId="3F828638">
      <w:pPr>
        <w:spacing w:line="360" w:lineRule="auto"/>
        <w:ind w:left="420" w:right="-57" w:rightChars="-27"/>
        <w:rPr>
          <w:sz w:val="24"/>
          <w:highlight w:val="none"/>
        </w:rPr>
      </w:pPr>
      <w:r>
        <w:rPr>
          <w:sz w:val="24"/>
          <w:highlight w:val="none"/>
        </w:rPr>
        <w:t>备注：供应商应根据磋商文件第</w:t>
      </w:r>
      <w:r>
        <w:rPr>
          <w:rFonts w:hint="eastAsia"/>
          <w:sz w:val="24"/>
          <w:highlight w:val="none"/>
        </w:rPr>
        <w:t>三</w:t>
      </w:r>
      <w:r>
        <w:rPr>
          <w:sz w:val="24"/>
          <w:highlight w:val="none"/>
        </w:rPr>
        <w:t>章</w:t>
      </w:r>
      <w:r>
        <w:rPr>
          <w:rFonts w:hint="eastAsia"/>
          <w:sz w:val="24"/>
          <w:highlight w:val="none"/>
        </w:rPr>
        <w:t>评审标准中技术部分</w:t>
      </w:r>
      <w:r>
        <w:rPr>
          <w:sz w:val="24"/>
          <w:highlight w:val="none"/>
        </w:rPr>
        <w:t>内容自行编制技术方案。</w:t>
      </w:r>
    </w:p>
    <w:p w14:paraId="0FF43016">
      <w:pPr>
        <w:pStyle w:val="30"/>
        <w:spacing w:line="360" w:lineRule="auto"/>
        <w:ind w:firstLine="1125" w:firstLineChars="469"/>
        <w:rPr>
          <w:rFonts w:hAnsi="宋体" w:cs="宋体"/>
          <w:szCs w:val="24"/>
          <w:highlight w:val="none"/>
        </w:rPr>
        <w:sectPr>
          <w:headerReference r:id="rId36" w:type="default"/>
          <w:pgSz w:w="11907" w:h="16840"/>
          <w:pgMar w:top="1418" w:right="1134" w:bottom="1418" w:left="1701" w:header="851" w:footer="851" w:gutter="0"/>
          <w:cols w:space="720" w:num="1"/>
          <w:docGrid w:linePitch="462" w:charSpace="0"/>
        </w:sectPr>
      </w:pPr>
      <w:r>
        <w:rPr>
          <w:sz w:val="24"/>
          <w:highlight w:val="none"/>
        </w:rPr>
        <w:t>格式自拟</w:t>
      </w:r>
    </w:p>
    <w:p w14:paraId="22C214E6">
      <w:pPr>
        <w:spacing w:line="360" w:lineRule="auto"/>
        <w:ind w:left="420" w:right="-57" w:rightChars="-27"/>
        <w:rPr>
          <w:sz w:val="24"/>
          <w:highlight w:val="none"/>
        </w:rPr>
      </w:pPr>
    </w:p>
    <w:p w14:paraId="12576F6E">
      <w:pPr>
        <w:widowControl/>
        <w:jc w:val="left"/>
        <w:outlineLvl w:val="1"/>
        <w:rPr>
          <w:sz w:val="24"/>
          <w:highlight w:val="none"/>
        </w:rPr>
      </w:pPr>
      <w:r>
        <w:rPr>
          <w:sz w:val="24"/>
          <w:highlight w:val="none"/>
        </w:rPr>
        <w:t>1</w:t>
      </w:r>
      <w:r>
        <w:rPr>
          <w:rFonts w:hint="eastAsia"/>
          <w:sz w:val="24"/>
          <w:highlight w:val="none"/>
        </w:rPr>
        <w:t>4</w:t>
      </w:r>
      <w:r>
        <w:rPr>
          <w:sz w:val="24"/>
          <w:highlight w:val="none"/>
        </w:rPr>
        <w:t xml:space="preserve"> 最后报价一览表（实质性格式，磋商后提交）</w:t>
      </w:r>
    </w:p>
    <w:p w14:paraId="11696FBB">
      <w:pPr>
        <w:widowControl/>
        <w:jc w:val="left"/>
        <w:rPr>
          <w:kern w:val="0"/>
          <w:sz w:val="24"/>
          <w:szCs w:val="20"/>
          <w:highlight w:val="none"/>
        </w:rPr>
      </w:pPr>
    </w:p>
    <w:p w14:paraId="226040DF">
      <w:pPr>
        <w:spacing w:line="360" w:lineRule="exact"/>
        <w:ind w:firstLine="720"/>
        <w:jc w:val="center"/>
        <w:rPr>
          <w:b/>
          <w:sz w:val="36"/>
          <w:szCs w:val="36"/>
          <w:highlight w:val="none"/>
        </w:rPr>
      </w:pPr>
    </w:p>
    <w:p w14:paraId="4A35BD2F">
      <w:pPr>
        <w:spacing w:line="360" w:lineRule="exact"/>
        <w:ind w:firstLine="720"/>
        <w:jc w:val="center"/>
        <w:rPr>
          <w:b/>
          <w:sz w:val="36"/>
          <w:szCs w:val="36"/>
          <w:highlight w:val="none"/>
        </w:rPr>
      </w:pPr>
      <w:r>
        <w:rPr>
          <w:rFonts w:hint="eastAsia"/>
          <w:b/>
          <w:sz w:val="36"/>
          <w:szCs w:val="36"/>
          <w:highlight w:val="none"/>
        </w:rPr>
        <w:t>最后报价一览表</w:t>
      </w:r>
    </w:p>
    <w:p w14:paraId="45C99D0B">
      <w:pPr>
        <w:tabs>
          <w:tab w:val="left" w:pos="1800"/>
          <w:tab w:val="left" w:pos="5580"/>
        </w:tabs>
        <w:spacing w:line="360" w:lineRule="auto"/>
        <w:jc w:val="left"/>
        <w:rPr>
          <w:sz w:val="24"/>
          <w:highlight w:val="none"/>
        </w:rPr>
      </w:pPr>
    </w:p>
    <w:p w14:paraId="107AA946">
      <w:pPr>
        <w:tabs>
          <w:tab w:val="left" w:pos="1800"/>
          <w:tab w:val="left" w:pos="5580"/>
        </w:tabs>
        <w:spacing w:line="360" w:lineRule="auto"/>
        <w:ind w:firstLine="360" w:firstLineChars="150"/>
        <w:jc w:val="left"/>
        <w:rPr>
          <w:sz w:val="24"/>
          <w:highlight w:val="none"/>
        </w:rPr>
      </w:pPr>
      <w:r>
        <w:rPr>
          <w:sz w:val="24"/>
          <w:highlight w:val="none"/>
        </w:rPr>
        <w:t xml:space="preserve">项目编号/包号：_______________     </w:t>
      </w:r>
      <w:r>
        <w:rPr>
          <w:rFonts w:hint="eastAsia"/>
          <w:sz w:val="24"/>
          <w:highlight w:val="none"/>
        </w:rPr>
        <w:t xml:space="preserve">    </w:t>
      </w:r>
      <w:r>
        <w:rPr>
          <w:sz w:val="24"/>
          <w:highlight w:val="none"/>
        </w:rPr>
        <w:t>项目名称：_______________</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2722"/>
        <w:gridCol w:w="2024"/>
        <w:gridCol w:w="1802"/>
        <w:gridCol w:w="1725"/>
      </w:tblGrid>
      <w:tr w14:paraId="623B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31" w:hRule="atLeast"/>
          <w:jc w:val="center"/>
        </w:trPr>
        <w:tc>
          <w:tcPr>
            <w:tcW w:w="447" w:type="pct"/>
            <w:vMerge w:val="restart"/>
            <w:noWrap w:val="0"/>
            <w:vAlign w:val="center"/>
          </w:tcPr>
          <w:p w14:paraId="2F6CF820">
            <w:pPr>
              <w:tabs>
                <w:tab w:val="left" w:pos="5580"/>
              </w:tabs>
              <w:jc w:val="center"/>
              <w:rPr>
                <w:b/>
                <w:sz w:val="24"/>
                <w:highlight w:val="none"/>
              </w:rPr>
            </w:pPr>
            <w:r>
              <w:rPr>
                <w:b/>
                <w:sz w:val="24"/>
                <w:highlight w:val="none"/>
              </w:rPr>
              <w:t>序号</w:t>
            </w:r>
          </w:p>
        </w:tc>
        <w:tc>
          <w:tcPr>
            <w:tcW w:w="1498" w:type="pct"/>
            <w:vMerge w:val="restart"/>
            <w:noWrap w:val="0"/>
            <w:vAlign w:val="center"/>
          </w:tcPr>
          <w:p w14:paraId="51004E0D">
            <w:pPr>
              <w:tabs>
                <w:tab w:val="left" w:pos="5580"/>
              </w:tabs>
              <w:jc w:val="center"/>
              <w:rPr>
                <w:b/>
                <w:sz w:val="24"/>
                <w:highlight w:val="none"/>
              </w:rPr>
            </w:pPr>
            <w:r>
              <w:rPr>
                <w:b/>
                <w:sz w:val="24"/>
                <w:highlight w:val="none"/>
              </w:rPr>
              <w:t>供应商名称</w:t>
            </w:r>
          </w:p>
        </w:tc>
        <w:tc>
          <w:tcPr>
            <w:tcW w:w="2106" w:type="pct"/>
            <w:gridSpan w:val="2"/>
            <w:noWrap w:val="0"/>
            <w:vAlign w:val="center"/>
          </w:tcPr>
          <w:p w14:paraId="0586BEBC">
            <w:pPr>
              <w:tabs>
                <w:tab w:val="left" w:pos="5580"/>
              </w:tabs>
              <w:jc w:val="center"/>
              <w:rPr>
                <w:b/>
                <w:sz w:val="24"/>
                <w:highlight w:val="none"/>
              </w:rPr>
            </w:pPr>
            <w:r>
              <w:rPr>
                <w:b/>
                <w:sz w:val="24"/>
                <w:highlight w:val="none"/>
              </w:rPr>
              <w:t>最后报价</w:t>
            </w:r>
          </w:p>
        </w:tc>
        <w:tc>
          <w:tcPr>
            <w:tcW w:w="949" w:type="pct"/>
            <w:vMerge w:val="restart"/>
            <w:noWrap w:val="0"/>
            <w:vAlign w:val="center"/>
          </w:tcPr>
          <w:p w14:paraId="3CE780B7">
            <w:pPr>
              <w:tabs>
                <w:tab w:val="left" w:pos="5580"/>
              </w:tabs>
              <w:jc w:val="center"/>
              <w:rPr>
                <w:b/>
                <w:sz w:val="24"/>
                <w:highlight w:val="none"/>
              </w:rPr>
            </w:pPr>
            <w:r>
              <w:rPr>
                <w:b/>
                <w:sz w:val="24"/>
                <w:highlight w:val="none"/>
              </w:rPr>
              <w:t>其他</w:t>
            </w:r>
          </w:p>
          <w:p w14:paraId="77ABDC23">
            <w:pPr>
              <w:tabs>
                <w:tab w:val="left" w:pos="5580"/>
              </w:tabs>
              <w:jc w:val="center"/>
              <w:rPr>
                <w:b/>
                <w:sz w:val="24"/>
                <w:highlight w:val="none"/>
              </w:rPr>
            </w:pPr>
            <w:r>
              <w:rPr>
                <w:b/>
                <w:sz w:val="24"/>
                <w:highlight w:val="none"/>
              </w:rPr>
              <w:t>声明</w:t>
            </w:r>
          </w:p>
        </w:tc>
      </w:tr>
      <w:tr w14:paraId="1211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4" w:hRule="atLeast"/>
          <w:jc w:val="center"/>
        </w:trPr>
        <w:tc>
          <w:tcPr>
            <w:tcW w:w="447" w:type="pct"/>
            <w:vMerge w:val="continue"/>
            <w:noWrap w:val="0"/>
            <w:vAlign w:val="center"/>
          </w:tcPr>
          <w:p w14:paraId="42978C8B">
            <w:pPr>
              <w:tabs>
                <w:tab w:val="left" w:pos="5580"/>
              </w:tabs>
              <w:jc w:val="center"/>
              <w:rPr>
                <w:sz w:val="24"/>
                <w:highlight w:val="none"/>
              </w:rPr>
            </w:pPr>
          </w:p>
        </w:tc>
        <w:tc>
          <w:tcPr>
            <w:tcW w:w="1498" w:type="pct"/>
            <w:vMerge w:val="continue"/>
            <w:noWrap w:val="0"/>
            <w:vAlign w:val="center"/>
          </w:tcPr>
          <w:p w14:paraId="46701F31">
            <w:pPr>
              <w:tabs>
                <w:tab w:val="left" w:pos="5580"/>
              </w:tabs>
              <w:jc w:val="center"/>
              <w:rPr>
                <w:sz w:val="24"/>
                <w:highlight w:val="none"/>
              </w:rPr>
            </w:pPr>
          </w:p>
        </w:tc>
        <w:tc>
          <w:tcPr>
            <w:tcW w:w="1114" w:type="pct"/>
            <w:noWrap w:val="0"/>
            <w:vAlign w:val="center"/>
          </w:tcPr>
          <w:p w14:paraId="28A7D675">
            <w:pPr>
              <w:tabs>
                <w:tab w:val="left" w:pos="5580"/>
              </w:tabs>
              <w:jc w:val="center"/>
              <w:rPr>
                <w:b/>
                <w:sz w:val="24"/>
                <w:highlight w:val="none"/>
              </w:rPr>
            </w:pPr>
            <w:r>
              <w:rPr>
                <w:b/>
                <w:sz w:val="24"/>
                <w:highlight w:val="none"/>
              </w:rPr>
              <w:t>大写</w:t>
            </w:r>
          </w:p>
        </w:tc>
        <w:tc>
          <w:tcPr>
            <w:tcW w:w="992" w:type="pct"/>
            <w:noWrap w:val="0"/>
            <w:vAlign w:val="center"/>
          </w:tcPr>
          <w:p w14:paraId="16C8B673">
            <w:pPr>
              <w:tabs>
                <w:tab w:val="left" w:pos="5580"/>
              </w:tabs>
              <w:jc w:val="center"/>
              <w:rPr>
                <w:b/>
                <w:sz w:val="24"/>
                <w:highlight w:val="none"/>
              </w:rPr>
            </w:pPr>
            <w:r>
              <w:rPr>
                <w:b/>
                <w:sz w:val="24"/>
                <w:highlight w:val="none"/>
              </w:rPr>
              <w:t>小写</w:t>
            </w:r>
          </w:p>
        </w:tc>
        <w:tc>
          <w:tcPr>
            <w:tcW w:w="949" w:type="pct"/>
            <w:vMerge w:val="continue"/>
            <w:noWrap w:val="0"/>
            <w:vAlign w:val="center"/>
          </w:tcPr>
          <w:p w14:paraId="543AD8A6">
            <w:pPr>
              <w:tabs>
                <w:tab w:val="left" w:pos="5580"/>
              </w:tabs>
              <w:ind w:firstLine="482"/>
              <w:jc w:val="center"/>
              <w:rPr>
                <w:b/>
                <w:sz w:val="24"/>
                <w:highlight w:val="none"/>
              </w:rPr>
            </w:pPr>
          </w:p>
        </w:tc>
      </w:tr>
      <w:tr w14:paraId="396A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76" w:hRule="atLeast"/>
          <w:jc w:val="center"/>
        </w:trPr>
        <w:tc>
          <w:tcPr>
            <w:tcW w:w="447" w:type="pct"/>
            <w:noWrap w:val="0"/>
            <w:vAlign w:val="center"/>
          </w:tcPr>
          <w:p w14:paraId="1ACC1E58">
            <w:pPr>
              <w:tabs>
                <w:tab w:val="left" w:pos="5580"/>
              </w:tabs>
              <w:jc w:val="center"/>
              <w:rPr>
                <w:sz w:val="24"/>
                <w:highlight w:val="none"/>
              </w:rPr>
            </w:pPr>
          </w:p>
        </w:tc>
        <w:tc>
          <w:tcPr>
            <w:tcW w:w="1498" w:type="pct"/>
            <w:noWrap w:val="0"/>
            <w:vAlign w:val="center"/>
          </w:tcPr>
          <w:p w14:paraId="28F39B18">
            <w:pPr>
              <w:tabs>
                <w:tab w:val="left" w:pos="5580"/>
              </w:tabs>
              <w:jc w:val="center"/>
              <w:rPr>
                <w:sz w:val="24"/>
                <w:highlight w:val="none"/>
              </w:rPr>
            </w:pPr>
          </w:p>
        </w:tc>
        <w:tc>
          <w:tcPr>
            <w:tcW w:w="1114" w:type="pct"/>
            <w:noWrap w:val="0"/>
            <w:vAlign w:val="center"/>
          </w:tcPr>
          <w:p w14:paraId="09A4EBB5">
            <w:pPr>
              <w:tabs>
                <w:tab w:val="left" w:pos="5580"/>
              </w:tabs>
              <w:jc w:val="center"/>
              <w:rPr>
                <w:sz w:val="24"/>
                <w:highlight w:val="none"/>
              </w:rPr>
            </w:pPr>
          </w:p>
        </w:tc>
        <w:tc>
          <w:tcPr>
            <w:tcW w:w="992" w:type="pct"/>
            <w:noWrap w:val="0"/>
            <w:vAlign w:val="center"/>
          </w:tcPr>
          <w:p w14:paraId="31D80BB5">
            <w:pPr>
              <w:tabs>
                <w:tab w:val="left" w:pos="5580"/>
              </w:tabs>
              <w:jc w:val="center"/>
              <w:rPr>
                <w:sz w:val="24"/>
                <w:highlight w:val="none"/>
              </w:rPr>
            </w:pPr>
          </w:p>
        </w:tc>
        <w:tc>
          <w:tcPr>
            <w:tcW w:w="949" w:type="pct"/>
            <w:noWrap w:val="0"/>
            <w:vAlign w:val="center"/>
          </w:tcPr>
          <w:p w14:paraId="5F5F6C85">
            <w:pPr>
              <w:tabs>
                <w:tab w:val="left" w:pos="5580"/>
              </w:tabs>
              <w:jc w:val="center"/>
              <w:rPr>
                <w:sz w:val="24"/>
                <w:highlight w:val="none"/>
              </w:rPr>
            </w:pPr>
          </w:p>
        </w:tc>
      </w:tr>
    </w:tbl>
    <w:p w14:paraId="1094A564">
      <w:pPr>
        <w:autoSpaceDE w:val="0"/>
        <w:autoSpaceDN w:val="0"/>
        <w:adjustRightInd w:val="0"/>
        <w:jc w:val="left"/>
        <w:rPr>
          <w:kern w:val="0"/>
          <w:sz w:val="24"/>
          <w:highlight w:val="none"/>
        </w:rPr>
      </w:pPr>
    </w:p>
    <w:p w14:paraId="6D86B708">
      <w:pPr>
        <w:autoSpaceDE w:val="0"/>
        <w:autoSpaceDN w:val="0"/>
        <w:adjustRightInd w:val="0"/>
        <w:jc w:val="left"/>
        <w:rPr>
          <w:sz w:val="24"/>
          <w:szCs w:val="20"/>
          <w:highlight w:val="none"/>
        </w:rPr>
      </w:pPr>
      <w:r>
        <w:rPr>
          <w:kern w:val="0"/>
          <w:sz w:val="24"/>
          <w:highlight w:val="none"/>
        </w:rPr>
        <w:t>注：1</w:t>
      </w:r>
      <w:r>
        <w:rPr>
          <w:sz w:val="24"/>
          <w:szCs w:val="20"/>
          <w:highlight w:val="none"/>
        </w:rPr>
        <w:t>.此表中，每包的</w:t>
      </w:r>
      <w:r>
        <w:rPr>
          <w:rFonts w:hint="eastAsia"/>
          <w:sz w:val="24"/>
          <w:szCs w:val="20"/>
          <w:highlight w:val="none"/>
        </w:rPr>
        <w:t>最后</w:t>
      </w:r>
      <w:r>
        <w:rPr>
          <w:sz w:val="24"/>
          <w:szCs w:val="20"/>
          <w:highlight w:val="none"/>
        </w:rPr>
        <w:t>报价应和《最后分项报价表》中的总价相一致。</w:t>
      </w:r>
    </w:p>
    <w:p w14:paraId="0195885D">
      <w:pPr>
        <w:tabs>
          <w:tab w:val="left" w:pos="5580"/>
        </w:tabs>
        <w:ind w:firstLine="480" w:firstLineChars="200"/>
        <w:rPr>
          <w:sz w:val="24"/>
          <w:szCs w:val="20"/>
          <w:highlight w:val="none"/>
        </w:rPr>
      </w:pPr>
      <w:r>
        <w:rPr>
          <w:sz w:val="24"/>
          <w:szCs w:val="20"/>
          <w:highlight w:val="none"/>
        </w:rPr>
        <w:t>2.本表必须按包分别填写。</w:t>
      </w:r>
    </w:p>
    <w:p w14:paraId="45990132">
      <w:pPr>
        <w:tabs>
          <w:tab w:val="left" w:pos="5580"/>
        </w:tabs>
        <w:ind w:firstLine="480" w:firstLineChars="200"/>
        <w:rPr>
          <w:rFonts w:hint="eastAsia"/>
          <w:sz w:val="24"/>
          <w:szCs w:val="20"/>
          <w:highlight w:val="none"/>
        </w:rPr>
      </w:pPr>
      <w:r>
        <w:rPr>
          <w:rFonts w:hint="eastAsia"/>
          <w:sz w:val="24"/>
          <w:szCs w:val="20"/>
          <w:highlight w:val="none"/>
        </w:rPr>
        <w:t>3.此表无需在响应文件中提交，磋商后供应商按磋商小组要求提交。</w:t>
      </w:r>
    </w:p>
    <w:p w14:paraId="16AAB317">
      <w:pPr>
        <w:tabs>
          <w:tab w:val="left" w:pos="5580"/>
        </w:tabs>
        <w:rPr>
          <w:sz w:val="24"/>
          <w:szCs w:val="20"/>
          <w:highlight w:val="none"/>
        </w:rPr>
      </w:pPr>
    </w:p>
    <w:p w14:paraId="2208899C">
      <w:pPr>
        <w:autoSpaceDE w:val="0"/>
        <w:autoSpaceDN w:val="0"/>
        <w:adjustRightInd w:val="0"/>
        <w:snapToGrid w:val="0"/>
        <w:spacing w:before="25" w:after="25" w:line="360" w:lineRule="auto"/>
        <w:rPr>
          <w:sz w:val="24"/>
          <w:highlight w:val="none"/>
          <w:lang w:val="zh-CN"/>
        </w:rPr>
      </w:pPr>
    </w:p>
    <w:p w14:paraId="4950C645">
      <w:pPr>
        <w:autoSpaceDE w:val="0"/>
        <w:autoSpaceDN w:val="0"/>
        <w:adjustRightInd w:val="0"/>
        <w:snapToGrid w:val="0"/>
        <w:spacing w:before="25" w:after="25" w:line="360" w:lineRule="auto"/>
        <w:rPr>
          <w:sz w:val="24"/>
          <w:highlight w:val="none"/>
          <w:lang w:val="zh-CN"/>
        </w:rPr>
      </w:pPr>
      <w:r>
        <w:rPr>
          <w:sz w:val="24"/>
          <w:highlight w:val="none"/>
          <w:lang w:val="zh-CN"/>
        </w:rPr>
        <w:t xml:space="preserve">      </w:t>
      </w:r>
    </w:p>
    <w:p w14:paraId="4A24BD55">
      <w:pPr>
        <w:autoSpaceDE w:val="0"/>
        <w:autoSpaceDN w:val="0"/>
        <w:adjustRightInd w:val="0"/>
        <w:snapToGrid w:val="0"/>
        <w:spacing w:before="25" w:after="25" w:line="360" w:lineRule="auto"/>
        <w:rPr>
          <w:sz w:val="24"/>
          <w:highlight w:val="none"/>
          <w:lang w:val="zh-CN"/>
        </w:rPr>
      </w:pPr>
      <w:r>
        <w:rPr>
          <w:sz w:val="24"/>
          <w:highlight w:val="none"/>
        </w:rPr>
        <w:t>供应商授权代表签字（或加盖供应商公章）</w:t>
      </w:r>
      <w:r>
        <w:rPr>
          <w:sz w:val="24"/>
          <w:highlight w:val="none"/>
          <w:lang w:val="zh-CN"/>
        </w:rPr>
        <w:t xml:space="preserve">：___________ </w:t>
      </w:r>
    </w:p>
    <w:p w14:paraId="12428ACE">
      <w:pPr>
        <w:widowControl/>
        <w:jc w:val="left"/>
        <w:rPr>
          <w:sz w:val="24"/>
          <w:szCs w:val="20"/>
          <w:highlight w:val="none"/>
        </w:rPr>
      </w:pPr>
      <w:r>
        <w:rPr>
          <w:sz w:val="24"/>
          <w:szCs w:val="20"/>
          <w:highlight w:val="none"/>
        </w:rPr>
        <w:t xml:space="preserve">日期：____年____月____日   </w:t>
      </w:r>
      <w:r>
        <w:rPr>
          <w:sz w:val="24"/>
          <w:szCs w:val="20"/>
          <w:highlight w:val="none"/>
        </w:rPr>
        <w:tab/>
      </w:r>
    </w:p>
    <w:sectPr>
      <w:headerReference r:id="rId37" w:type="default"/>
      <w:footerReference r:id="rId38"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EFF" w:usb1="F9DFFFFF" w:usb2="0000007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汉仪大黑简">
    <w:altName w:val="宋体"/>
    <w:panose1 w:val="00000000000000000000"/>
    <w:charset w:val="86"/>
    <w:family w:val="modern"/>
    <w:pitch w:val="default"/>
    <w:sig w:usb0="00000000" w:usb1="00000000" w:usb2="00000012" w:usb3="00000000" w:csb0="00040000" w:csb1="00000000"/>
  </w:font>
  <w:font w:name="Myriad-Roman">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G Times">
    <w:altName w:val="Segoe Print"/>
    <w:panose1 w:val="00000000000000000000"/>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Kaiti SC Regular">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3806">
    <w:pPr>
      <w:pStyle w:val="36"/>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1136">
    <w:pPr>
      <w:pStyle w:val="3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1B9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0DA5">
    <w:r>
      <w:fldChar w:fldCharType="begin"/>
    </w:r>
    <w:r>
      <w:instrText xml:space="preserve">PAGE   \* MERGEFORMAT</w:instrText>
    </w:r>
    <w:r>
      <w:fldChar w:fldCharType="separate"/>
    </w:r>
    <w:r>
      <w:t>173</w:t>
    </w:r>
    <w:r>
      <w:fldChar w:fldCharType="end"/>
    </w:r>
  </w:p>
  <w:p w14:paraId="4E4A484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DF2D">
    <w:pPr>
      <w:pStyle w:val="3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5926C">
                          <w:pPr>
                            <w:pStyle w:val="36"/>
                          </w:pPr>
                          <w:r>
                            <w:fldChar w:fldCharType="begin"/>
                          </w:r>
                          <w:r>
                            <w:instrText xml:space="preserve"> PAGE   \* MERGEFORMAT </w:instrText>
                          </w:r>
                          <w:r>
                            <w:fldChar w:fldCharType="separate"/>
                          </w:r>
                          <w:r>
                            <w:t>2</w:t>
                          </w:r>
                          <w:r>
                            <w:rPr>
                              <w:rFonts w:eastAsia="Times New Roma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14:paraId="7125926C">
                    <w:pPr>
                      <w:pStyle w:val="36"/>
                    </w:pPr>
                    <w:r>
                      <w:fldChar w:fldCharType="begin"/>
                    </w:r>
                    <w:r>
                      <w:instrText xml:space="preserve"> PAGE   \* MERGEFORMAT </w:instrText>
                    </w:r>
                    <w:r>
                      <w:fldChar w:fldCharType="separate"/>
                    </w:r>
                    <w:r>
                      <w:t>2</w:t>
                    </w:r>
                    <w:r>
                      <w:rPr>
                        <w:rFonts w:eastAsia="Times New Roma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F9B8">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14:paraId="04F6CF2D">
    <w:pPr>
      <w:pStyle w:val="36"/>
      <w:ind w:right="360"/>
    </w:pPr>
  </w:p>
  <w:p w14:paraId="06FE9E2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C500">
    <w:pPr>
      <w:pStyle w:val="3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F257">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14:paraId="3083A081">
    <w:pPr>
      <w:pStyle w:val="36"/>
      <w:ind w:right="360"/>
    </w:pPr>
  </w:p>
  <w:p w14:paraId="4C29519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6C83">
    <w:pPr>
      <w:pStyle w:val="3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7CF0">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7F420663">
                          <w:pPr>
                            <w:pStyle w:val="36"/>
                          </w:pPr>
                          <w:r>
                            <w:fldChar w:fldCharType="begin"/>
                          </w:r>
                          <w:r>
                            <w:instrText xml:space="preserve"> PAGE  \* MERGEFORMAT </w:instrText>
                          </w:r>
                          <w:r>
                            <w:fldChar w:fldCharType="separate"/>
                          </w:r>
                          <w:r>
                            <w:rPr>
                              <w:lang/>
                            </w:rPr>
                            <w:t>84</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H21B4zPAQAAmAMAAA4AAAAAAAAAAQAgAAAAIAEAAGRy&#10;cy9lMm9Eb2MueG1sUEsFBgAAAAAGAAYAWQEAAGEFAAAAAA==&#10;">
              <v:fill on="f" focussize="0,0"/>
              <v:stroke on="f"/>
              <v:imagedata o:title=""/>
              <o:lock v:ext="edit" aspectratio="f"/>
              <v:textbox inset="0mm,0mm,0mm,0mm" style="mso-fit-shape-to-text:t;">
                <w:txbxContent>
                  <w:p w14:paraId="7F420663">
                    <w:pPr>
                      <w:pStyle w:val="36"/>
                    </w:pPr>
                    <w:r>
                      <w:fldChar w:fldCharType="begin"/>
                    </w:r>
                    <w:r>
                      <w:instrText xml:space="preserve"> PAGE  \* MERGEFORMAT </w:instrText>
                    </w:r>
                    <w:r>
                      <w:fldChar w:fldCharType="separate"/>
                    </w:r>
                    <w:r>
                      <w:rPr>
                        <w:lang/>
                      </w:rP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95F3">
    <w:pPr>
      <w:pStyle w:val="36"/>
      <w:framePr w:wrap="around" w:vAnchor="text" w:hAnchor="margin" w:xAlign="center" w:y="1"/>
      <w:rPr>
        <w:rStyle w:val="66"/>
      </w:rPr>
    </w:pPr>
    <w:r>
      <w:fldChar w:fldCharType="begin"/>
    </w:r>
    <w:r>
      <w:rPr>
        <w:rStyle w:val="66"/>
      </w:rPr>
      <w:instrText xml:space="preserve">PAGE  </w:instrText>
    </w:r>
    <w:r>
      <w:fldChar w:fldCharType="end"/>
    </w:r>
  </w:p>
  <w:p w14:paraId="5C5B2F59">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E871">
    <w:pPr>
      <w:pStyle w:val="3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3BDA">
    <w:pPr>
      <w:pStyle w:val="36"/>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139E">
    <w:pPr>
      <w:pStyle w:val="3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B659">
    <w:pPr>
      <w:pStyle w:val="36"/>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BB15331">
                          <w:pPr>
                            <w:pStyle w:val="36"/>
                          </w:pPr>
                          <w:r>
                            <w:fldChar w:fldCharType="begin"/>
                          </w:r>
                          <w:r>
                            <w:instrText xml:space="preserve"> PAGE  \* MERGEFORMAT </w:instrText>
                          </w:r>
                          <w:r>
                            <w:fldChar w:fldCharType="separate"/>
                          </w:r>
                          <w:r>
                            <w:rPr>
                              <w:lang/>
                            </w:rPr>
                            <w:t>5</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CFcic+zQEAAJgDAAAOAAAAAAAAAAEAIAAAACABAABkcnMv&#10;ZTJvRG9jLnhtbFBLBQYAAAAABgAGAFkBAABfBQAAAAA=&#10;">
              <v:fill on="f" focussize="0,0"/>
              <v:stroke on="f"/>
              <v:imagedata o:title=""/>
              <o:lock v:ext="edit" aspectratio="f"/>
              <v:textbox inset="0mm,0mm,0mm,0mm" style="mso-fit-shape-to-text:t;">
                <w:txbxContent>
                  <w:p w14:paraId="2BB15331">
                    <w:pPr>
                      <w:pStyle w:val="36"/>
                    </w:pPr>
                    <w:r>
                      <w:fldChar w:fldCharType="begin"/>
                    </w:r>
                    <w:r>
                      <w:instrText xml:space="preserve"> PAGE  \* MERGEFORMAT </w:instrText>
                    </w:r>
                    <w:r>
                      <w:fldChar w:fldCharType="separate"/>
                    </w:r>
                    <w:r>
                      <w:rPr>
                        <w:lang/>
                      </w:rP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284A">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BA71B2E">
                          <w:pPr>
                            <w:pStyle w:val="36"/>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PSeePDPAQAAmAMAAA4AAAAAAAAAAQAgAAAAIAEAAGRy&#10;cy9lMm9Eb2MueG1sUEsFBgAAAAAGAAYAWQEAAGEFAAAAAA==&#10;">
              <v:fill on="f" focussize="0,0"/>
              <v:stroke on="f"/>
              <v:imagedata o:title=""/>
              <o:lock v:ext="edit" aspectratio="f"/>
              <v:textbox inset="0mm,0mm,0mm,0mm" style="mso-fit-shape-to-text:t;">
                <w:txbxContent>
                  <w:p w14:paraId="2BA71B2E">
                    <w:pPr>
                      <w:pStyle w:val="36"/>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192B">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43B7AEFB">
                          <w:pPr>
                            <w:pStyle w:val="36"/>
                          </w:pPr>
                          <w:r>
                            <w:fldChar w:fldCharType="begin"/>
                          </w:r>
                          <w:r>
                            <w:instrText xml:space="preserve"> PAGE  \* MERGEFORMAT </w:instrText>
                          </w:r>
                          <w:r>
                            <w:fldChar w:fldCharType="separate"/>
                          </w:r>
                          <w:r>
                            <w:rPr>
                              <w:lang/>
                            </w:rPr>
                            <w:t>83</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NHC7sDPAQAAmAMAAA4AAAAAAAAAAQAgAAAAIAEAAGRy&#10;cy9lMm9Eb2MueG1sUEsFBgAAAAAGAAYAWQEAAGEFAAAAAA==&#10;">
              <v:fill on="f" focussize="0,0"/>
              <v:stroke on="f"/>
              <v:imagedata o:title=""/>
              <o:lock v:ext="edit" aspectratio="f"/>
              <v:textbox inset="0mm,0mm,0mm,0mm" style="mso-fit-shape-to-text:t;">
                <w:txbxContent>
                  <w:p w14:paraId="43B7AEFB">
                    <w:pPr>
                      <w:pStyle w:val="36"/>
                    </w:pPr>
                    <w:r>
                      <w:fldChar w:fldCharType="begin"/>
                    </w:r>
                    <w:r>
                      <w:instrText xml:space="preserve"> PAGE  \* MERGEFORMAT </w:instrText>
                    </w:r>
                    <w:r>
                      <w:fldChar w:fldCharType="separate"/>
                    </w:r>
                    <w:r>
                      <w:rPr>
                        <w:lang/>
                      </w:rPr>
                      <w:t>83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132E">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14:paraId="2899461B">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F2BB">
    <w:pPr>
      <w:pStyle w:val="38"/>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9C2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452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C356">
    <w:pPr>
      <w:pStyle w:val="38"/>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95E1">
    <w:pPr>
      <w:pStyle w:val="38"/>
    </w:pPr>
  </w:p>
  <w:p w14:paraId="117EDF7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65BA">
    <w:pPr>
      <w:pStyle w:val="3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BB02">
    <w:pPr>
      <w:pStyle w:val="38"/>
    </w:pPr>
  </w:p>
  <w:p w14:paraId="7D64E78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1C987">
    <w:pPr>
      <w:pStyle w:val="3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9620">
    <w:pPr>
      <w:pStyle w:val="38"/>
      <w:rPr>
        <w:vanis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7503">
    <w:pPr>
      <w:pStyle w:val="38"/>
      <w:rPr>
        <w:vani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D01">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AAE2">
    <w:pPr>
      <w:pStyle w:val="38"/>
      <w:pBdr>
        <w:bottom w:val="single" w:color="auto" w:sz="4" w:space="1"/>
      </w:pBdr>
      <w:jc w:val="right"/>
      <w:rPr>
        <w:vanis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9CC9">
    <w:pPr>
      <w:pStyle w:val="3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6E83">
    <w:pPr>
      <w:pStyle w:val="3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1DAE">
    <w:pPr>
      <w:pStyle w:val="38"/>
      <w:rPr>
        <w:vanis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E8EC">
    <w:pPr>
      <w:pStyle w:val="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0CBE">
    <w:pPr>
      <w:pStyle w:val="3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0F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6C19"/>
    <w:multiLevelType w:val="multilevel"/>
    <w:tmpl w:val="8EA86C19"/>
    <w:lvl w:ilvl="0" w:tentative="0">
      <w:start w:val="1"/>
      <w:numFmt w:val="decimal"/>
      <w:suff w:val="space"/>
      <w:lvlText w:val="%1"/>
      <w:lvlJc w:val="left"/>
      <w:pPr>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AE15067B"/>
    <w:multiLevelType w:val="singleLevel"/>
    <w:tmpl w:val="AE15067B"/>
    <w:lvl w:ilvl="0" w:tentative="0">
      <w:start w:val="1"/>
      <w:numFmt w:val="chineseCounting"/>
      <w:pStyle w:val="504"/>
      <w:suff w:val="nothing"/>
      <w:lvlText w:val="%1、"/>
      <w:lvlJc w:val="left"/>
      <w:pPr>
        <w:ind w:left="-420" w:firstLine="420"/>
      </w:pPr>
      <w:rPr>
        <w:rFonts w:hint="eastAsia"/>
        <w:b/>
        <w:sz w:val="28"/>
      </w:rPr>
    </w:lvl>
  </w:abstractNum>
  <w:abstractNum w:abstractNumId="2">
    <w:nsid w:val="BD5C81C5"/>
    <w:multiLevelType w:val="singleLevel"/>
    <w:tmpl w:val="BD5C81C5"/>
    <w:lvl w:ilvl="0" w:tentative="0">
      <w:start w:val="1"/>
      <w:numFmt w:val="decimal"/>
      <w:pStyle w:val="491"/>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3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1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pStyle w:val="178"/>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27"/>
      <w:isLgl/>
      <w:suff w:val="nothing"/>
      <w:lvlText w:val="%1　"/>
      <w:lvlJc w:val="left"/>
      <w:pPr>
        <w:ind w:left="-25" w:firstLine="0"/>
      </w:pPr>
      <w:rPr>
        <w:rFonts w:hint="default" w:ascii="Times New Roman" w:hAnsi="Times New Roman" w:eastAsia="宋体"/>
        <w:b/>
        <w:bCs w:val="0"/>
        <w:i w:val="0"/>
        <w:color w:val="auto"/>
        <w:sz w:val="28"/>
        <w:u w:val="none"/>
      </w:rPr>
    </w:lvl>
    <w:lvl w:ilvl="1" w:tentative="0">
      <w:start w:val="1"/>
      <w:numFmt w:val="decimal"/>
      <w:pStyle w:val="12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7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6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pStyle w:val="732"/>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D"/>
    <w:multiLevelType w:val="multilevel"/>
    <w:tmpl w:val="0000002D"/>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F"/>
    <w:multiLevelType w:val="multilevel"/>
    <w:tmpl w:val="0000002F"/>
    <w:lvl w:ilvl="0" w:tentative="0">
      <w:start w:val="1"/>
      <w:numFmt w:val="decimal"/>
      <w:pStyle w:val="132"/>
      <w:lvlText w:val="%1)"/>
      <w:lvlJc w:val="left"/>
      <w:pPr>
        <w:ind w:left="420" w:hanging="420"/>
      </w:pPr>
      <w:rPr>
        <w:rFonts w:hint="default"/>
      </w:rPr>
    </w:lvl>
    <w:lvl w:ilvl="1" w:tentative="0">
      <w:start w:val="1"/>
      <w:numFmt w:val="lowerLetter"/>
      <w:pStyle w:val="488"/>
      <w:lvlText w:val="%2)"/>
      <w:lvlJc w:val="left"/>
      <w:pPr>
        <w:ind w:left="840" w:hanging="420"/>
      </w:pPr>
    </w:lvl>
    <w:lvl w:ilvl="2" w:tentative="0">
      <w:start w:val="1"/>
      <w:numFmt w:val="lowerRoman"/>
      <w:pStyle w:val="46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34"/>
    <w:multiLevelType w:val="multilevel"/>
    <w:tmpl w:val="0000003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8"/>
    <w:multiLevelType w:val="multilevel"/>
    <w:tmpl w:val="0000003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42"/>
    <w:multiLevelType w:val="multilevel"/>
    <w:tmpl w:val="00000042"/>
    <w:lvl w:ilvl="0" w:tentative="0">
      <w:start w:val="1"/>
      <w:numFmt w:val="decimal"/>
      <w:lvlText w:val="（%1）"/>
      <w:lvlJc w:val="left"/>
      <w:pPr>
        <w:tabs>
          <w:tab w:val="left" w:pos="1125"/>
        </w:tabs>
        <w:ind w:left="1125" w:hanging="720"/>
      </w:pPr>
      <w:rPr>
        <w:rFonts w:hint="default"/>
      </w:r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16">
    <w:nsid w:val="00000045"/>
    <w:multiLevelType w:val="multilevel"/>
    <w:tmpl w:val="0000004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66"/>
    <w:multiLevelType w:val="multilevel"/>
    <w:tmpl w:val="00000066"/>
    <w:lvl w:ilvl="0" w:tentative="0">
      <w:start w:val="1"/>
      <w:numFmt w:val="decimal"/>
      <w:pStyle w:val="509"/>
      <w:lvlText w:val="（%1）"/>
      <w:lvlJc w:val="left"/>
      <w:pPr>
        <w:tabs>
          <w:tab w:val="left" w:pos="720"/>
        </w:tabs>
        <w:ind w:left="720" w:hanging="720"/>
      </w:pPr>
      <w:rPr>
        <w:rFonts w:hint="default"/>
        <w:color w:val="auto"/>
      </w:rPr>
    </w:lvl>
    <w:lvl w:ilvl="1" w:tentative="0">
      <w:start w:val="1"/>
      <w:numFmt w:val="lowerLetter"/>
      <w:pStyle w:val="494"/>
      <w:lvlText w:val="%2)"/>
      <w:lvlJc w:val="left"/>
      <w:pPr>
        <w:tabs>
          <w:tab w:val="left" w:pos="840"/>
        </w:tabs>
        <w:ind w:left="840" w:hanging="420"/>
      </w:pPr>
    </w:lvl>
    <w:lvl w:ilvl="2" w:tentative="0">
      <w:start w:val="1"/>
      <w:numFmt w:val="lowerRoman"/>
      <w:pStyle w:val="493"/>
      <w:lvlText w:val="%3."/>
      <w:lvlJc w:val="right"/>
      <w:pPr>
        <w:tabs>
          <w:tab w:val="left" w:pos="1260"/>
        </w:tabs>
        <w:ind w:left="1260" w:hanging="420"/>
      </w:pPr>
    </w:lvl>
    <w:lvl w:ilvl="3" w:tentative="0">
      <w:start w:val="1"/>
      <w:numFmt w:val="decimal"/>
      <w:pStyle w:val="50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2E001DF"/>
    <w:multiLevelType w:val="multilevel"/>
    <w:tmpl w:val="02E001DF"/>
    <w:lvl w:ilvl="0" w:tentative="0">
      <w:start w:val="1"/>
      <w:numFmt w:val="japaneseCounting"/>
      <w:pStyle w:val="769"/>
      <w:lvlText w:val="%1、"/>
      <w:lvlJc w:val="left"/>
      <w:pPr>
        <w:ind w:left="1260" w:hanging="420"/>
      </w:pPr>
      <w:rPr>
        <w:rFonts w:hint="default" w:ascii="宋体" w:hAnsi="宋体" w:cs="Arial"/>
        <w:b/>
        <w:sz w:val="32"/>
        <w:lang w:val="en-U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07AD2F46"/>
    <w:multiLevelType w:val="multilevel"/>
    <w:tmpl w:val="07AD2F46"/>
    <w:lvl w:ilvl="0" w:tentative="0">
      <w:start w:val="1"/>
      <w:numFmt w:val="decimal"/>
      <w:pStyle w:val="489"/>
      <w:lvlText w:val="%1)"/>
      <w:lvlJc w:val="left"/>
      <w:pPr>
        <w:ind w:left="420" w:hanging="420"/>
      </w:pPr>
    </w:lvl>
    <w:lvl w:ilvl="1" w:tentative="0">
      <w:start w:val="1"/>
      <w:numFmt w:val="lowerLetter"/>
      <w:pStyle w:val="505"/>
      <w:lvlText w:val="%2)"/>
      <w:lvlJc w:val="left"/>
      <w:pPr>
        <w:ind w:left="840" w:hanging="420"/>
      </w:pPr>
    </w:lvl>
    <w:lvl w:ilvl="2" w:tentative="0">
      <w:start w:val="1"/>
      <w:numFmt w:val="lowerRoman"/>
      <w:pStyle w:val="50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230849"/>
    <w:multiLevelType w:val="multilevel"/>
    <w:tmpl w:val="0E230849"/>
    <w:lvl w:ilvl="0" w:tentative="0">
      <w:start w:val="1"/>
      <w:numFmt w:val="decimal"/>
      <w:pStyle w:val="236"/>
      <w:lvlText w:val="%1"/>
      <w:lvlJc w:val="left"/>
      <w:pPr>
        <w:ind w:left="680" w:hanging="680"/>
      </w:pPr>
      <w:rPr>
        <w:rFonts w:hint="eastAsia" w:ascii="宋体" w:hAnsi="宋体" w:eastAsia="宋体"/>
      </w:rPr>
    </w:lvl>
    <w:lvl w:ilvl="1" w:tentative="0">
      <w:start w:val="1"/>
      <w:numFmt w:val="decimal"/>
      <w:pStyle w:val="237"/>
      <w:lvlText w:val="%1.%2"/>
      <w:lvlJc w:val="left"/>
      <w:pPr>
        <w:ind w:left="851" w:hanging="851"/>
      </w:pPr>
      <w:rPr>
        <w:rFonts w:hint="eastAsia" w:ascii="宋体" w:hAnsi="宋体" w:eastAsia="宋体"/>
        <w:color w:val="auto"/>
      </w:rPr>
    </w:lvl>
    <w:lvl w:ilvl="2" w:tentative="0">
      <w:start w:val="1"/>
      <w:numFmt w:val="decimal"/>
      <w:pStyle w:val="23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13851098"/>
    <w:multiLevelType w:val="multilevel"/>
    <w:tmpl w:val="13851098"/>
    <w:lvl w:ilvl="0" w:tentative="0">
      <w:start w:val="1"/>
      <w:numFmt w:val="japaneseCounting"/>
      <w:pStyle w:val="692"/>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25E9131D"/>
    <w:multiLevelType w:val="multilevel"/>
    <w:tmpl w:val="25E9131D"/>
    <w:lvl w:ilvl="0" w:tentative="0">
      <w:start w:val="1"/>
      <w:numFmt w:val="decimal"/>
      <w:pStyle w:val="497"/>
      <w:lvlText w:val="%1"/>
      <w:lvlJc w:val="left"/>
      <w:pPr>
        <w:tabs>
          <w:tab w:val="left" w:pos="900"/>
        </w:tabs>
        <w:ind w:left="900" w:hanging="900"/>
      </w:pPr>
      <w:rPr>
        <w:rFonts w:hint="eastAsia" w:cs="Times New Roman"/>
      </w:rPr>
    </w:lvl>
    <w:lvl w:ilvl="1" w:tentative="0">
      <w:start w:val="1"/>
      <w:numFmt w:val="decimal"/>
      <w:lvlText w:val="%1.%2"/>
      <w:lvlJc w:val="left"/>
      <w:pPr>
        <w:tabs>
          <w:tab w:val="left" w:pos="900"/>
        </w:tabs>
        <w:ind w:left="900" w:hanging="900"/>
      </w:pPr>
      <w:rPr>
        <w:rFonts w:hint="eastAsia" w:cs="Times New Roman"/>
      </w:rPr>
    </w:lvl>
    <w:lvl w:ilvl="2" w:tentative="0">
      <w:start w:val="1"/>
      <w:numFmt w:val="decimal"/>
      <w:lvlText w:val="%1.%2.%3"/>
      <w:lvlJc w:val="left"/>
      <w:pPr>
        <w:tabs>
          <w:tab w:val="left" w:pos="900"/>
        </w:tabs>
        <w:ind w:left="90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abstractNum w:abstractNumId="25">
    <w:nsid w:val="262C23B9"/>
    <w:multiLevelType w:val="multilevel"/>
    <w:tmpl w:val="262C23B9"/>
    <w:lvl w:ilvl="0" w:tentative="0">
      <w:start w:val="1"/>
      <w:numFmt w:val="decimal"/>
      <w:pStyle w:val="506"/>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B4885D"/>
    <w:multiLevelType w:val="singleLevel"/>
    <w:tmpl w:val="2BB4885D"/>
    <w:lvl w:ilvl="0" w:tentative="0">
      <w:start w:val="1"/>
      <w:numFmt w:val="decimal"/>
      <w:suff w:val="nothing"/>
      <w:lvlText w:val="%1."/>
      <w:lvlJc w:val="left"/>
    </w:lvl>
  </w:abstractNum>
  <w:abstractNum w:abstractNumId="2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9">
    <w:nsid w:val="5D4317C5"/>
    <w:multiLevelType w:val="multilevel"/>
    <w:tmpl w:val="5D4317C5"/>
    <w:lvl w:ilvl="0" w:tentative="0">
      <w:start w:val="1"/>
      <w:numFmt w:val="bullet"/>
      <w:pStyle w:val="75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757"/>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274355A"/>
    <w:multiLevelType w:val="multilevel"/>
    <w:tmpl w:val="6274355A"/>
    <w:lvl w:ilvl="0" w:tentative="0">
      <w:start w:val="1"/>
      <w:numFmt w:val="chineseCountingThousand"/>
      <w:pStyle w:val="465"/>
      <w:suff w:val="nothing"/>
      <w:lvlText w:val="%1、"/>
      <w:lvlJc w:val="left"/>
      <w:pPr>
        <w:ind w:left="0" w:firstLine="0"/>
      </w:pPr>
      <w:rPr>
        <w:rFonts w:hint="eastAsia"/>
        <w:b/>
        <w:i w:val="0"/>
        <w:sz w:val="18"/>
      </w:rPr>
    </w:lvl>
    <w:lvl w:ilvl="1" w:tentative="0">
      <w:start w:val="1"/>
      <w:numFmt w:val="decimal"/>
      <w:pStyle w:val="467"/>
      <w:isLgl/>
      <w:lvlText w:val="%1.%2"/>
      <w:lvlJc w:val="left"/>
      <w:pPr>
        <w:ind w:left="0" w:firstLine="0"/>
      </w:pPr>
      <w:rPr>
        <w:rFonts w:hint="eastAsia"/>
        <w:b w:val="0"/>
        <w:bCs w:val="0"/>
      </w:rPr>
    </w:lvl>
    <w:lvl w:ilvl="2" w:tentative="0">
      <w:start w:val="1"/>
      <w:numFmt w:val="decimal"/>
      <w:pStyle w:val="483"/>
      <w:isLgl/>
      <w:suff w:val="space"/>
      <w:lvlText w:val="%1.%2.%3"/>
      <w:lvlJc w:val="left"/>
      <w:pPr>
        <w:ind w:left="2978"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66E4770E"/>
    <w:multiLevelType w:val="multilevel"/>
    <w:tmpl w:val="66E4770E"/>
    <w:lvl w:ilvl="0" w:tentative="0">
      <w:start w:val="1"/>
      <w:numFmt w:val="japaneseCounting"/>
      <w:pStyle w:val="500"/>
      <w:lvlText w:val="第%1章"/>
      <w:lvlJc w:val="left"/>
      <w:pPr>
        <w:tabs>
          <w:tab w:val="left" w:pos="1680"/>
        </w:tabs>
        <w:ind w:left="1680" w:hanging="114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8"/>
  </w:num>
  <w:num w:numId="2">
    <w:abstractNumId w:val="12"/>
  </w:num>
  <w:num w:numId="3">
    <w:abstractNumId w:val="4"/>
  </w:num>
  <w:num w:numId="4">
    <w:abstractNumId w:val="9"/>
  </w:num>
  <w:num w:numId="5">
    <w:abstractNumId w:val="7"/>
  </w:num>
  <w:num w:numId="6">
    <w:abstractNumId w:val="5"/>
  </w:num>
  <w:num w:numId="7">
    <w:abstractNumId w:val="20"/>
  </w:num>
  <w:num w:numId="8">
    <w:abstractNumId w:val="30"/>
  </w:num>
  <w:num w:numId="9">
    <w:abstractNumId w:val="19"/>
  </w:num>
  <w:num w:numId="10">
    <w:abstractNumId w:val="2"/>
  </w:num>
  <w:num w:numId="11">
    <w:abstractNumId w:val="17"/>
  </w:num>
  <w:num w:numId="12">
    <w:abstractNumId w:val="24"/>
  </w:num>
  <w:num w:numId="13">
    <w:abstractNumId w:val="31"/>
  </w:num>
  <w:num w:numId="14">
    <w:abstractNumId w:val="1"/>
  </w:num>
  <w:num w:numId="15">
    <w:abstractNumId w:val="25"/>
  </w:num>
  <w:num w:numId="16">
    <w:abstractNumId w:val="22"/>
  </w:num>
  <w:num w:numId="17">
    <w:abstractNumId w:val="10"/>
  </w:num>
  <w:num w:numId="18">
    <w:abstractNumId w:val="29"/>
  </w:num>
  <w:num w:numId="19">
    <w:abstractNumId w:val="18"/>
  </w:num>
  <w:num w:numId="20">
    <w:abstractNumId w:val="0"/>
  </w:num>
  <w:num w:numId="21">
    <w:abstractNumId w:val="23"/>
  </w:num>
  <w:num w:numId="22">
    <w:abstractNumId w:val="3"/>
  </w:num>
  <w:num w:numId="23">
    <w:abstractNumId w:val="21"/>
  </w:num>
  <w:num w:numId="24">
    <w:abstractNumId w:val="15"/>
  </w:num>
  <w:num w:numId="25">
    <w:abstractNumId w:val="11"/>
  </w:num>
  <w:num w:numId="26">
    <w:abstractNumId w:val="13"/>
  </w:num>
  <w:num w:numId="27">
    <w:abstractNumId w:val="14"/>
  </w:num>
  <w:num w:numId="28">
    <w:abstractNumId w:val="6"/>
  </w:num>
  <w:num w:numId="29">
    <w:abstractNumId w:val="16"/>
  </w:num>
  <w:num w:numId="30">
    <w:abstractNumId w:val="27"/>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4C5"/>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A77"/>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1C1"/>
    <w:rsid w:val="000313A2"/>
    <w:rsid w:val="000313C2"/>
    <w:rsid w:val="00031442"/>
    <w:rsid w:val="0003161A"/>
    <w:rsid w:val="00031704"/>
    <w:rsid w:val="00031756"/>
    <w:rsid w:val="00031857"/>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3AEB"/>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78"/>
    <w:rsid w:val="00035DDC"/>
    <w:rsid w:val="00035FA7"/>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BA7"/>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733"/>
    <w:rsid w:val="00043A61"/>
    <w:rsid w:val="00043B1C"/>
    <w:rsid w:val="00043C68"/>
    <w:rsid w:val="00043D59"/>
    <w:rsid w:val="000441F6"/>
    <w:rsid w:val="000446D5"/>
    <w:rsid w:val="000446EA"/>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CCC"/>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01"/>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0FA"/>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36"/>
    <w:rsid w:val="00076259"/>
    <w:rsid w:val="0007630E"/>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9ED"/>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392"/>
    <w:rsid w:val="000A77E9"/>
    <w:rsid w:val="000A79A7"/>
    <w:rsid w:val="000A7ACC"/>
    <w:rsid w:val="000A7D7F"/>
    <w:rsid w:val="000B0123"/>
    <w:rsid w:val="000B0141"/>
    <w:rsid w:val="000B04D9"/>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84B"/>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7D4"/>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3A9"/>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2BC"/>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6A"/>
    <w:rsid w:val="000E74CA"/>
    <w:rsid w:val="000E7529"/>
    <w:rsid w:val="000E77B6"/>
    <w:rsid w:val="000E7838"/>
    <w:rsid w:val="000E7901"/>
    <w:rsid w:val="000E7910"/>
    <w:rsid w:val="000E795C"/>
    <w:rsid w:val="000E7A0C"/>
    <w:rsid w:val="000E7AF9"/>
    <w:rsid w:val="000E7C99"/>
    <w:rsid w:val="000E7EFD"/>
    <w:rsid w:val="000F0028"/>
    <w:rsid w:val="000F01E6"/>
    <w:rsid w:val="000F0397"/>
    <w:rsid w:val="000F0706"/>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B4E"/>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8A"/>
    <w:rsid w:val="00111BB5"/>
    <w:rsid w:val="00111C2B"/>
    <w:rsid w:val="00111D5C"/>
    <w:rsid w:val="00111DD5"/>
    <w:rsid w:val="0011204B"/>
    <w:rsid w:val="00112132"/>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9C"/>
    <w:rsid w:val="00120019"/>
    <w:rsid w:val="001206A9"/>
    <w:rsid w:val="0012074E"/>
    <w:rsid w:val="001207FD"/>
    <w:rsid w:val="00120AFC"/>
    <w:rsid w:val="00120C39"/>
    <w:rsid w:val="00120C60"/>
    <w:rsid w:val="00120CD9"/>
    <w:rsid w:val="0012135A"/>
    <w:rsid w:val="00121418"/>
    <w:rsid w:val="0012165E"/>
    <w:rsid w:val="001216A4"/>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2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3F"/>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338"/>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302"/>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DD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BD"/>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882"/>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A9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E9"/>
    <w:rsid w:val="00196AA1"/>
    <w:rsid w:val="00196C49"/>
    <w:rsid w:val="00196D7F"/>
    <w:rsid w:val="001971A4"/>
    <w:rsid w:val="0019751C"/>
    <w:rsid w:val="00197AD9"/>
    <w:rsid w:val="00197DB2"/>
    <w:rsid w:val="00197DB5"/>
    <w:rsid w:val="00197F02"/>
    <w:rsid w:val="00197F40"/>
    <w:rsid w:val="001A0090"/>
    <w:rsid w:val="001A022D"/>
    <w:rsid w:val="001A0286"/>
    <w:rsid w:val="001A0373"/>
    <w:rsid w:val="001A04AA"/>
    <w:rsid w:val="001A0598"/>
    <w:rsid w:val="001A06F8"/>
    <w:rsid w:val="001A0A32"/>
    <w:rsid w:val="001A0B7A"/>
    <w:rsid w:val="001A0FE8"/>
    <w:rsid w:val="001A106A"/>
    <w:rsid w:val="001A1224"/>
    <w:rsid w:val="001A130A"/>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54"/>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0"/>
    <w:rsid w:val="001C326E"/>
    <w:rsid w:val="001C33D5"/>
    <w:rsid w:val="001C34AE"/>
    <w:rsid w:val="001C34EC"/>
    <w:rsid w:val="001C3701"/>
    <w:rsid w:val="001C38DF"/>
    <w:rsid w:val="001C3982"/>
    <w:rsid w:val="001C3EBD"/>
    <w:rsid w:val="001C41EB"/>
    <w:rsid w:val="001C4429"/>
    <w:rsid w:val="001C464F"/>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1D"/>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4D3"/>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E98"/>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1EF"/>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E51"/>
    <w:rsid w:val="001F5191"/>
    <w:rsid w:val="001F5251"/>
    <w:rsid w:val="001F52D4"/>
    <w:rsid w:val="001F5318"/>
    <w:rsid w:val="001F536F"/>
    <w:rsid w:val="001F5482"/>
    <w:rsid w:val="001F5484"/>
    <w:rsid w:val="001F584C"/>
    <w:rsid w:val="001F5D74"/>
    <w:rsid w:val="001F6084"/>
    <w:rsid w:val="001F61FB"/>
    <w:rsid w:val="001F6421"/>
    <w:rsid w:val="001F6533"/>
    <w:rsid w:val="001F6537"/>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AE"/>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A5"/>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C65"/>
    <w:rsid w:val="00214D0B"/>
    <w:rsid w:val="00214F85"/>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04"/>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313"/>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4BA"/>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3F"/>
    <w:rsid w:val="00240561"/>
    <w:rsid w:val="00240733"/>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039"/>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C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07"/>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98"/>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3A7"/>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1F99"/>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96F"/>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4E84"/>
    <w:rsid w:val="002A524C"/>
    <w:rsid w:val="002A5749"/>
    <w:rsid w:val="002A5B18"/>
    <w:rsid w:val="002A5D23"/>
    <w:rsid w:val="002A5D36"/>
    <w:rsid w:val="002A5ECF"/>
    <w:rsid w:val="002A6032"/>
    <w:rsid w:val="002A60AE"/>
    <w:rsid w:val="002A6390"/>
    <w:rsid w:val="002A6776"/>
    <w:rsid w:val="002A6B4C"/>
    <w:rsid w:val="002A6C81"/>
    <w:rsid w:val="002A6CB1"/>
    <w:rsid w:val="002A6CBC"/>
    <w:rsid w:val="002A6CFE"/>
    <w:rsid w:val="002A71C9"/>
    <w:rsid w:val="002A7544"/>
    <w:rsid w:val="002A77D7"/>
    <w:rsid w:val="002A7A0F"/>
    <w:rsid w:val="002A7B62"/>
    <w:rsid w:val="002A7CF1"/>
    <w:rsid w:val="002A7F28"/>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4FCF"/>
    <w:rsid w:val="002B502D"/>
    <w:rsid w:val="002B5166"/>
    <w:rsid w:val="002B518F"/>
    <w:rsid w:val="002B531C"/>
    <w:rsid w:val="002B5632"/>
    <w:rsid w:val="002B597F"/>
    <w:rsid w:val="002B59FD"/>
    <w:rsid w:val="002B5D2F"/>
    <w:rsid w:val="002B5D57"/>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D7AEC"/>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E2A"/>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23"/>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160"/>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85"/>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2C79"/>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AA"/>
    <w:rsid w:val="00360548"/>
    <w:rsid w:val="003606B1"/>
    <w:rsid w:val="00360902"/>
    <w:rsid w:val="00360CAA"/>
    <w:rsid w:val="003610BA"/>
    <w:rsid w:val="003611CD"/>
    <w:rsid w:val="003611D0"/>
    <w:rsid w:val="003611EB"/>
    <w:rsid w:val="00361229"/>
    <w:rsid w:val="0036146B"/>
    <w:rsid w:val="00361558"/>
    <w:rsid w:val="003616CD"/>
    <w:rsid w:val="003617D6"/>
    <w:rsid w:val="003617FD"/>
    <w:rsid w:val="003619F6"/>
    <w:rsid w:val="00361A16"/>
    <w:rsid w:val="00361B86"/>
    <w:rsid w:val="00361D07"/>
    <w:rsid w:val="00361E23"/>
    <w:rsid w:val="00361F38"/>
    <w:rsid w:val="00361FDF"/>
    <w:rsid w:val="003622AC"/>
    <w:rsid w:val="00362303"/>
    <w:rsid w:val="00362308"/>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F8"/>
    <w:rsid w:val="00367792"/>
    <w:rsid w:val="0036786B"/>
    <w:rsid w:val="00367A78"/>
    <w:rsid w:val="00367AD9"/>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08D"/>
    <w:rsid w:val="0038130C"/>
    <w:rsid w:val="003813BE"/>
    <w:rsid w:val="003818E3"/>
    <w:rsid w:val="0038197C"/>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9C1"/>
    <w:rsid w:val="00384B20"/>
    <w:rsid w:val="00384BD4"/>
    <w:rsid w:val="00384F33"/>
    <w:rsid w:val="0038520A"/>
    <w:rsid w:val="00385227"/>
    <w:rsid w:val="00385392"/>
    <w:rsid w:val="0038560D"/>
    <w:rsid w:val="00385718"/>
    <w:rsid w:val="00385720"/>
    <w:rsid w:val="00385BE1"/>
    <w:rsid w:val="00385C05"/>
    <w:rsid w:val="00385E0E"/>
    <w:rsid w:val="00385E81"/>
    <w:rsid w:val="00385F94"/>
    <w:rsid w:val="0038613F"/>
    <w:rsid w:val="00386197"/>
    <w:rsid w:val="00386444"/>
    <w:rsid w:val="003865C2"/>
    <w:rsid w:val="0038679C"/>
    <w:rsid w:val="00386B1B"/>
    <w:rsid w:val="00386B70"/>
    <w:rsid w:val="00386F4D"/>
    <w:rsid w:val="00387028"/>
    <w:rsid w:val="003871C9"/>
    <w:rsid w:val="003872CF"/>
    <w:rsid w:val="00387682"/>
    <w:rsid w:val="00387694"/>
    <w:rsid w:val="003877C9"/>
    <w:rsid w:val="003879A4"/>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5A0"/>
    <w:rsid w:val="003A368D"/>
    <w:rsid w:val="003A3799"/>
    <w:rsid w:val="003A38FB"/>
    <w:rsid w:val="003A3CC8"/>
    <w:rsid w:val="003A3E85"/>
    <w:rsid w:val="003A40D2"/>
    <w:rsid w:val="003A431B"/>
    <w:rsid w:val="003A4534"/>
    <w:rsid w:val="003A455D"/>
    <w:rsid w:val="003A4C0C"/>
    <w:rsid w:val="003A4E85"/>
    <w:rsid w:val="003A510D"/>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7FE"/>
    <w:rsid w:val="003B480C"/>
    <w:rsid w:val="003B486E"/>
    <w:rsid w:val="003B48F2"/>
    <w:rsid w:val="003B4956"/>
    <w:rsid w:val="003B497D"/>
    <w:rsid w:val="003B4AA6"/>
    <w:rsid w:val="003B4E1F"/>
    <w:rsid w:val="003B4E60"/>
    <w:rsid w:val="003B5128"/>
    <w:rsid w:val="003B5268"/>
    <w:rsid w:val="003B5445"/>
    <w:rsid w:val="003B5562"/>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928"/>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4FA"/>
    <w:rsid w:val="003F3583"/>
    <w:rsid w:val="003F35BF"/>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9D8"/>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15"/>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2C"/>
    <w:rsid w:val="00423597"/>
    <w:rsid w:val="00423600"/>
    <w:rsid w:val="0042374E"/>
    <w:rsid w:val="004237FD"/>
    <w:rsid w:val="00423886"/>
    <w:rsid w:val="004239D8"/>
    <w:rsid w:val="00423B69"/>
    <w:rsid w:val="00423DA1"/>
    <w:rsid w:val="00424063"/>
    <w:rsid w:val="00424126"/>
    <w:rsid w:val="004241E2"/>
    <w:rsid w:val="004241FD"/>
    <w:rsid w:val="00424251"/>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8BF"/>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9E6"/>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A1"/>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B4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C55"/>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BD"/>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EC8"/>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1FA5"/>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6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BC"/>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D3C"/>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B81"/>
    <w:rsid w:val="004A4CB1"/>
    <w:rsid w:val="004A4F52"/>
    <w:rsid w:val="004A4F88"/>
    <w:rsid w:val="004A4FB8"/>
    <w:rsid w:val="004A5161"/>
    <w:rsid w:val="004A56B5"/>
    <w:rsid w:val="004A589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C71"/>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CA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18D"/>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49D"/>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797"/>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DC7"/>
    <w:rsid w:val="004F7FC7"/>
    <w:rsid w:val="0050023C"/>
    <w:rsid w:val="00500AC9"/>
    <w:rsid w:val="00500C9C"/>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0F"/>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CC"/>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161"/>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9EF"/>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6FC"/>
    <w:rsid w:val="0054384C"/>
    <w:rsid w:val="00543983"/>
    <w:rsid w:val="00543AC9"/>
    <w:rsid w:val="00543AE6"/>
    <w:rsid w:val="00543B25"/>
    <w:rsid w:val="00543BCD"/>
    <w:rsid w:val="00543DE6"/>
    <w:rsid w:val="00543DF4"/>
    <w:rsid w:val="00543F80"/>
    <w:rsid w:val="0054402D"/>
    <w:rsid w:val="00544325"/>
    <w:rsid w:val="005446DB"/>
    <w:rsid w:val="005447A9"/>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BE0"/>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25"/>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4EE"/>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5E8"/>
    <w:rsid w:val="00574C88"/>
    <w:rsid w:val="00574F21"/>
    <w:rsid w:val="00575315"/>
    <w:rsid w:val="00575378"/>
    <w:rsid w:val="00575506"/>
    <w:rsid w:val="00575AEB"/>
    <w:rsid w:val="00575E57"/>
    <w:rsid w:val="0057601E"/>
    <w:rsid w:val="00576180"/>
    <w:rsid w:val="0057618A"/>
    <w:rsid w:val="00576235"/>
    <w:rsid w:val="005762DB"/>
    <w:rsid w:val="0057636D"/>
    <w:rsid w:val="005763AD"/>
    <w:rsid w:val="005763B8"/>
    <w:rsid w:val="0057648C"/>
    <w:rsid w:val="00576504"/>
    <w:rsid w:val="005765DC"/>
    <w:rsid w:val="00576715"/>
    <w:rsid w:val="00576BA6"/>
    <w:rsid w:val="00576CBE"/>
    <w:rsid w:val="00576F8C"/>
    <w:rsid w:val="00576F91"/>
    <w:rsid w:val="005770B2"/>
    <w:rsid w:val="00577375"/>
    <w:rsid w:val="005773C7"/>
    <w:rsid w:val="0057777F"/>
    <w:rsid w:val="005779CF"/>
    <w:rsid w:val="00577BEE"/>
    <w:rsid w:val="00577D00"/>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BBD"/>
    <w:rsid w:val="00581D8F"/>
    <w:rsid w:val="00581E63"/>
    <w:rsid w:val="00581F59"/>
    <w:rsid w:val="0058203C"/>
    <w:rsid w:val="0058212F"/>
    <w:rsid w:val="00582196"/>
    <w:rsid w:val="005825F2"/>
    <w:rsid w:val="005826D5"/>
    <w:rsid w:val="005828E1"/>
    <w:rsid w:val="00582989"/>
    <w:rsid w:val="00582A72"/>
    <w:rsid w:val="00582D1C"/>
    <w:rsid w:val="00582F90"/>
    <w:rsid w:val="00582FF1"/>
    <w:rsid w:val="00583074"/>
    <w:rsid w:val="0058342B"/>
    <w:rsid w:val="0058361D"/>
    <w:rsid w:val="005839EF"/>
    <w:rsid w:val="00583D23"/>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E79"/>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C46"/>
    <w:rsid w:val="005A1E45"/>
    <w:rsid w:val="005A1E5A"/>
    <w:rsid w:val="005A206F"/>
    <w:rsid w:val="005A2177"/>
    <w:rsid w:val="005A21BD"/>
    <w:rsid w:val="005A238C"/>
    <w:rsid w:val="005A23D0"/>
    <w:rsid w:val="005A24D1"/>
    <w:rsid w:val="005A2528"/>
    <w:rsid w:val="005A28BE"/>
    <w:rsid w:val="005A29F7"/>
    <w:rsid w:val="005A2F44"/>
    <w:rsid w:val="005A2F45"/>
    <w:rsid w:val="005A2F85"/>
    <w:rsid w:val="005A307E"/>
    <w:rsid w:val="005A30B5"/>
    <w:rsid w:val="005A36BC"/>
    <w:rsid w:val="005A37E5"/>
    <w:rsid w:val="005A3933"/>
    <w:rsid w:val="005A3B89"/>
    <w:rsid w:val="005A3C31"/>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9BA"/>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CF"/>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07A"/>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2EA5"/>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E7B"/>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E83"/>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6F32"/>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670"/>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5B0"/>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0D42"/>
    <w:rsid w:val="006011AF"/>
    <w:rsid w:val="00601496"/>
    <w:rsid w:val="006015B7"/>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93"/>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54D"/>
    <w:rsid w:val="0061269E"/>
    <w:rsid w:val="006127AE"/>
    <w:rsid w:val="006129A2"/>
    <w:rsid w:val="00612A29"/>
    <w:rsid w:val="00612D5C"/>
    <w:rsid w:val="00612F5F"/>
    <w:rsid w:val="006130A8"/>
    <w:rsid w:val="006131D3"/>
    <w:rsid w:val="006131F6"/>
    <w:rsid w:val="00613258"/>
    <w:rsid w:val="00613310"/>
    <w:rsid w:val="006133E4"/>
    <w:rsid w:val="00613581"/>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41"/>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69D"/>
    <w:rsid w:val="0063771C"/>
    <w:rsid w:val="00637955"/>
    <w:rsid w:val="00637A0E"/>
    <w:rsid w:val="00637A32"/>
    <w:rsid w:val="00637B2E"/>
    <w:rsid w:val="00637BD3"/>
    <w:rsid w:val="00637D07"/>
    <w:rsid w:val="006401B7"/>
    <w:rsid w:val="00640575"/>
    <w:rsid w:val="006405B9"/>
    <w:rsid w:val="006407B6"/>
    <w:rsid w:val="00640A11"/>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90"/>
    <w:rsid w:val="006448CC"/>
    <w:rsid w:val="00644CBB"/>
    <w:rsid w:val="00644D6E"/>
    <w:rsid w:val="00644E5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A55"/>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A33"/>
    <w:rsid w:val="00663B3C"/>
    <w:rsid w:val="00663BD1"/>
    <w:rsid w:val="00663FA2"/>
    <w:rsid w:val="00663FAD"/>
    <w:rsid w:val="0066401C"/>
    <w:rsid w:val="00664192"/>
    <w:rsid w:val="006642CA"/>
    <w:rsid w:val="006644F2"/>
    <w:rsid w:val="006645FE"/>
    <w:rsid w:val="0066462C"/>
    <w:rsid w:val="00664CA5"/>
    <w:rsid w:val="00665170"/>
    <w:rsid w:val="00665472"/>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D03"/>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159"/>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2C99"/>
    <w:rsid w:val="006A31E7"/>
    <w:rsid w:val="006A36D1"/>
    <w:rsid w:val="006A3AB6"/>
    <w:rsid w:val="006A3AF3"/>
    <w:rsid w:val="006A3E5A"/>
    <w:rsid w:val="006A401F"/>
    <w:rsid w:val="006A40CC"/>
    <w:rsid w:val="006A4128"/>
    <w:rsid w:val="006A4185"/>
    <w:rsid w:val="006A42B7"/>
    <w:rsid w:val="006A440E"/>
    <w:rsid w:val="006A4510"/>
    <w:rsid w:val="006A45A7"/>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E75"/>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B1"/>
    <w:rsid w:val="006C3ED5"/>
    <w:rsid w:val="006C42C2"/>
    <w:rsid w:val="006C44AB"/>
    <w:rsid w:val="006C44F0"/>
    <w:rsid w:val="006C453E"/>
    <w:rsid w:val="006C4872"/>
    <w:rsid w:val="006C4980"/>
    <w:rsid w:val="006C4C23"/>
    <w:rsid w:val="006C4E50"/>
    <w:rsid w:val="006C4E9A"/>
    <w:rsid w:val="006C512C"/>
    <w:rsid w:val="006C52A4"/>
    <w:rsid w:val="006C55E2"/>
    <w:rsid w:val="006C55EC"/>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37"/>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BB0"/>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3B7"/>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5FAD"/>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36"/>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B76"/>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5D"/>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A77"/>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EF0"/>
    <w:rsid w:val="00725FA5"/>
    <w:rsid w:val="0072605A"/>
    <w:rsid w:val="00726173"/>
    <w:rsid w:val="007261B7"/>
    <w:rsid w:val="00726646"/>
    <w:rsid w:val="00726A09"/>
    <w:rsid w:val="00726ACE"/>
    <w:rsid w:val="00726B6E"/>
    <w:rsid w:val="00726F74"/>
    <w:rsid w:val="00727520"/>
    <w:rsid w:val="00727552"/>
    <w:rsid w:val="00727827"/>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6C7"/>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1F3"/>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31B"/>
    <w:rsid w:val="007419EE"/>
    <w:rsid w:val="00741A5E"/>
    <w:rsid w:val="00741CCC"/>
    <w:rsid w:val="00742141"/>
    <w:rsid w:val="0074221D"/>
    <w:rsid w:val="0074224C"/>
    <w:rsid w:val="00742252"/>
    <w:rsid w:val="0074263F"/>
    <w:rsid w:val="007426B7"/>
    <w:rsid w:val="007426EA"/>
    <w:rsid w:val="00742776"/>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53B"/>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50"/>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2E"/>
    <w:rsid w:val="00783ACD"/>
    <w:rsid w:val="00783BC4"/>
    <w:rsid w:val="00783BD9"/>
    <w:rsid w:val="00783D62"/>
    <w:rsid w:val="00783D6C"/>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564"/>
    <w:rsid w:val="00791637"/>
    <w:rsid w:val="007917BA"/>
    <w:rsid w:val="00791B18"/>
    <w:rsid w:val="00791B5B"/>
    <w:rsid w:val="00791C41"/>
    <w:rsid w:val="00791CCB"/>
    <w:rsid w:val="00791D9E"/>
    <w:rsid w:val="00791E00"/>
    <w:rsid w:val="0079278D"/>
    <w:rsid w:val="00793436"/>
    <w:rsid w:val="00793493"/>
    <w:rsid w:val="0079367E"/>
    <w:rsid w:val="00793756"/>
    <w:rsid w:val="0079376A"/>
    <w:rsid w:val="007939D8"/>
    <w:rsid w:val="00793CAB"/>
    <w:rsid w:val="00793CD1"/>
    <w:rsid w:val="00793CE3"/>
    <w:rsid w:val="00793F4C"/>
    <w:rsid w:val="00794010"/>
    <w:rsid w:val="0079405E"/>
    <w:rsid w:val="00794223"/>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ECB"/>
    <w:rsid w:val="007D6076"/>
    <w:rsid w:val="007D61CD"/>
    <w:rsid w:val="007D67D4"/>
    <w:rsid w:val="007D67D5"/>
    <w:rsid w:val="007D6A25"/>
    <w:rsid w:val="007D6ADF"/>
    <w:rsid w:val="007D6EB6"/>
    <w:rsid w:val="007D7001"/>
    <w:rsid w:val="007D76B6"/>
    <w:rsid w:val="007D7717"/>
    <w:rsid w:val="007D7A89"/>
    <w:rsid w:val="007D7B16"/>
    <w:rsid w:val="007D7B91"/>
    <w:rsid w:val="007D7C51"/>
    <w:rsid w:val="007D7D39"/>
    <w:rsid w:val="007E0381"/>
    <w:rsid w:val="007E03E3"/>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8BE"/>
    <w:rsid w:val="007F199C"/>
    <w:rsid w:val="007F1AF1"/>
    <w:rsid w:val="007F1B3D"/>
    <w:rsid w:val="007F1B44"/>
    <w:rsid w:val="007F1BB4"/>
    <w:rsid w:val="007F22F9"/>
    <w:rsid w:val="007F2509"/>
    <w:rsid w:val="007F255E"/>
    <w:rsid w:val="007F2637"/>
    <w:rsid w:val="007F26A3"/>
    <w:rsid w:val="007F2B0C"/>
    <w:rsid w:val="007F2EDF"/>
    <w:rsid w:val="007F3109"/>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E7A"/>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888"/>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EF"/>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A04"/>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931"/>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6C9"/>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0FB3"/>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01B"/>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72"/>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BF"/>
    <w:rsid w:val="00870DD2"/>
    <w:rsid w:val="0087125E"/>
    <w:rsid w:val="0087146D"/>
    <w:rsid w:val="00871528"/>
    <w:rsid w:val="0087189E"/>
    <w:rsid w:val="00871A32"/>
    <w:rsid w:val="00871D4E"/>
    <w:rsid w:val="00871D7D"/>
    <w:rsid w:val="00871F01"/>
    <w:rsid w:val="00871F19"/>
    <w:rsid w:val="00871FF7"/>
    <w:rsid w:val="008720C0"/>
    <w:rsid w:val="008720F1"/>
    <w:rsid w:val="008721CB"/>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6FAD"/>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BC"/>
    <w:rsid w:val="008933EB"/>
    <w:rsid w:val="00893435"/>
    <w:rsid w:val="00893470"/>
    <w:rsid w:val="0089394D"/>
    <w:rsid w:val="008939F8"/>
    <w:rsid w:val="00893B0B"/>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6C3"/>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3C8"/>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784"/>
    <w:rsid w:val="008A5883"/>
    <w:rsid w:val="008A5A2E"/>
    <w:rsid w:val="008A5A78"/>
    <w:rsid w:val="008A5CA4"/>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4D3"/>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45"/>
    <w:rsid w:val="008C0FA4"/>
    <w:rsid w:val="008C10B0"/>
    <w:rsid w:val="008C12BF"/>
    <w:rsid w:val="008C12C1"/>
    <w:rsid w:val="008C1352"/>
    <w:rsid w:val="008C13FF"/>
    <w:rsid w:val="008C160F"/>
    <w:rsid w:val="008C18B0"/>
    <w:rsid w:val="008C1B14"/>
    <w:rsid w:val="008C20AA"/>
    <w:rsid w:val="008C2182"/>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B7"/>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6A"/>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333"/>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4E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595"/>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538"/>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45"/>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943"/>
    <w:rsid w:val="00940AEC"/>
    <w:rsid w:val="00940B98"/>
    <w:rsid w:val="00940BB6"/>
    <w:rsid w:val="00940BF4"/>
    <w:rsid w:val="00940C98"/>
    <w:rsid w:val="00940E8E"/>
    <w:rsid w:val="00941040"/>
    <w:rsid w:val="0094119E"/>
    <w:rsid w:val="009414F8"/>
    <w:rsid w:val="00941540"/>
    <w:rsid w:val="00941581"/>
    <w:rsid w:val="00941795"/>
    <w:rsid w:val="00941874"/>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02F"/>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762"/>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AA8"/>
    <w:rsid w:val="00961DF2"/>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65"/>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33E"/>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B7B"/>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6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AF"/>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83"/>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982"/>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97FC2"/>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B1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060"/>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764"/>
    <w:rsid w:val="009C3875"/>
    <w:rsid w:val="009C3B1D"/>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EBB"/>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46E"/>
    <w:rsid w:val="009E064C"/>
    <w:rsid w:val="009E06B6"/>
    <w:rsid w:val="009E0759"/>
    <w:rsid w:val="009E07FC"/>
    <w:rsid w:val="009E08D7"/>
    <w:rsid w:val="009E0A9D"/>
    <w:rsid w:val="009E0B29"/>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99"/>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7F5"/>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3B1"/>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81"/>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0DC"/>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83C"/>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DEF"/>
    <w:rsid w:val="00A32E3A"/>
    <w:rsid w:val="00A32EEF"/>
    <w:rsid w:val="00A334A2"/>
    <w:rsid w:val="00A3368C"/>
    <w:rsid w:val="00A33866"/>
    <w:rsid w:val="00A339D2"/>
    <w:rsid w:val="00A339E7"/>
    <w:rsid w:val="00A340AA"/>
    <w:rsid w:val="00A341B5"/>
    <w:rsid w:val="00A343EF"/>
    <w:rsid w:val="00A3445C"/>
    <w:rsid w:val="00A3463A"/>
    <w:rsid w:val="00A347D1"/>
    <w:rsid w:val="00A34A2A"/>
    <w:rsid w:val="00A34A69"/>
    <w:rsid w:val="00A34B79"/>
    <w:rsid w:val="00A34C5A"/>
    <w:rsid w:val="00A34F3B"/>
    <w:rsid w:val="00A34FE4"/>
    <w:rsid w:val="00A353E5"/>
    <w:rsid w:val="00A35417"/>
    <w:rsid w:val="00A35486"/>
    <w:rsid w:val="00A358FF"/>
    <w:rsid w:val="00A35900"/>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35"/>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89B"/>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34"/>
    <w:rsid w:val="00A56A6B"/>
    <w:rsid w:val="00A56CDE"/>
    <w:rsid w:val="00A56DB5"/>
    <w:rsid w:val="00A57032"/>
    <w:rsid w:val="00A57104"/>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6D0"/>
    <w:rsid w:val="00A67883"/>
    <w:rsid w:val="00A67886"/>
    <w:rsid w:val="00A678A4"/>
    <w:rsid w:val="00A6790D"/>
    <w:rsid w:val="00A67C35"/>
    <w:rsid w:val="00A70102"/>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2E7A"/>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8"/>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EE2"/>
    <w:rsid w:val="00AA6F16"/>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177"/>
    <w:rsid w:val="00AB13EE"/>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1A8"/>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D33"/>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A53"/>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03"/>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D5C"/>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FD5"/>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D7"/>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92A"/>
    <w:rsid w:val="00B53E40"/>
    <w:rsid w:val="00B53F1C"/>
    <w:rsid w:val="00B53FAF"/>
    <w:rsid w:val="00B53FD0"/>
    <w:rsid w:val="00B5401E"/>
    <w:rsid w:val="00B54093"/>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0"/>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67FB7"/>
    <w:rsid w:val="00B7022A"/>
    <w:rsid w:val="00B7048E"/>
    <w:rsid w:val="00B705FC"/>
    <w:rsid w:val="00B70771"/>
    <w:rsid w:val="00B709B3"/>
    <w:rsid w:val="00B71188"/>
    <w:rsid w:val="00B71267"/>
    <w:rsid w:val="00B714AC"/>
    <w:rsid w:val="00B7153E"/>
    <w:rsid w:val="00B71628"/>
    <w:rsid w:val="00B716A9"/>
    <w:rsid w:val="00B71770"/>
    <w:rsid w:val="00B71881"/>
    <w:rsid w:val="00B71898"/>
    <w:rsid w:val="00B71BFD"/>
    <w:rsid w:val="00B7217B"/>
    <w:rsid w:val="00B721D9"/>
    <w:rsid w:val="00B7226F"/>
    <w:rsid w:val="00B72639"/>
    <w:rsid w:val="00B72767"/>
    <w:rsid w:val="00B7282B"/>
    <w:rsid w:val="00B72948"/>
    <w:rsid w:val="00B72AF3"/>
    <w:rsid w:val="00B72C26"/>
    <w:rsid w:val="00B72E2A"/>
    <w:rsid w:val="00B72EEC"/>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591"/>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0F55"/>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55A"/>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ACB"/>
    <w:rsid w:val="00BB5B64"/>
    <w:rsid w:val="00BB5EB3"/>
    <w:rsid w:val="00BB5F9B"/>
    <w:rsid w:val="00BB5FB1"/>
    <w:rsid w:val="00BB6302"/>
    <w:rsid w:val="00BB633D"/>
    <w:rsid w:val="00BB65E7"/>
    <w:rsid w:val="00BB663F"/>
    <w:rsid w:val="00BB6664"/>
    <w:rsid w:val="00BB66CA"/>
    <w:rsid w:val="00BB6794"/>
    <w:rsid w:val="00BB6899"/>
    <w:rsid w:val="00BB69E6"/>
    <w:rsid w:val="00BB6A9F"/>
    <w:rsid w:val="00BB6BCA"/>
    <w:rsid w:val="00BB6D89"/>
    <w:rsid w:val="00BB6EA6"/>
    <w:rsid w:val="00BB6F54"/>
    <w:rsid w:val="00BB7114"/>
    <w:rsid w:val="00BB7359"/>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71D"/>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9F"/>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06"/>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2F18"/>
    <w:rsid w:val="00BD30CC"/>
    <w:rsid w:val="00BD32B6"/>
    <w:rsid w:val="00BD34DB"/>
    <w:rsid w:val="00BD3819"/>
    <w:rsid w:val="00BD3855"/>
    <w:rsid w:val="00BD3919"/>
    <w:rsid w:val="00BD3B4D"/>
    <w:rsid w:val="00BD3EAD"/>
    <w:rsid w:val="00BD3EC2"/>
    <w:rsid w:val="00BD412C"/>
    <w:rsid w:val="00BD4158"/>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B79"/>
    <w:rsid w:val="00BD7E71"/>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7EF"/>
    <w:rsid w:val="00BE4A40"/>
    <w:rsid w:val="00BE4B1D"/>
    <w:rsid w:val="00BE4FE0"/>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AB"/>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958"/>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84"/>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A88"/>
    <w:rsid w:val="00C10B90"/>
    <w:rsid w:val="00C10C7E"/>
    <w:rsid w:val="00C10DC1"/>
    <w:rsid w:val="00C112DF"/>
    <w:rsid w:val="00C1166D"/>
    <w:rsid w:val="00C1195F"/>
    <w:rsid w:val="00C119A8"/>
    <w:rsid w:val="00C119EF"/>
    <w:rsid w:val="00C11AAC"/>
    <w:rsid w:val="00C11D8F"/>
    <w:rsid w:val="00C11E99"/>
    <w:rsid w:val="00C11EE1"/>
    <w:rsid w:val="00C1235F"/>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BDF"/>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DB3"/>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65"/>
    <w:rsid w:val="00C250CC"/>
    <w:rsid w:val="00C253D2"/>
    <w:rsid w:val="00C25405"/>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0FEF"/>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67C"/>
    <w:rsid w:val="00C33C65"/>
    <w:rsid w:val="00C33CAC"/>
    <w:rsid w:val="00C33D2E"/>
    <w:rsid w:val="00C34157"/>
    <w:rsid w:val="00C34406"/>
    <w:rsid w:val="00C34540"/>
    <w:rsid w:val="00C3457D"/>
    <w:rsid w:val="00C3459C"/>
    <w:rsid w:val="00C3494C"/>
    <w:rsid w:val="00C34ADF"/>
    <w:rsid w:val="00C34B1A"/>
    <w:rsid w:val="00C34B49"/>
    <w:rsid w:val="00C34BC4"/>
    <w:rsid w:val="00C34E5F"/>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F1"/>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30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CB1"/>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1B"/>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BB6"/>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9C4"/>
    <w:rsid w:val="00C82CCB"/>
    <w:rsid w:val="00C83280"/>
    <w:rsid w:val="00C83463"/>
    <w:rsid w:val="00C834C2"/>
    <w:rsid w:val="00C83513"/>
    <w:rsid w:val="00C835F4"/>
    <w:rsid w:val="00C83711"/>
    <w:rsid w:val="00C83789"/>
    <w:rsid w:val="00C8396A"/>
    <w:rsid w:val="00C83CA0"/>
    <w:rsid w:val="00C83D6B"/>
    <w:rsid w:val="00C83F3E"/>
    <w:rsid w:val="00C8426B"/>
    <w:rsid w:val="00C8428C"/>
    <w:rsid w:val="00C842BB"/>
    <w:rsid w:val="00C84359"/>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B63"/>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C7"/>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90D"/>
    <w:rsid w:val="00C97AF1"/>
    <w:rsid w:val="00C97C2A"/>
    <w:rsid w:val="00C97FC4"/>
    <w:rsid w:val="00CA0238"/>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A0C"/>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2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C8"/>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1A"/>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3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16D"/>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20"/>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244"/>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81"/>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7DB"/>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9CA"/>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C95"/>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08"/>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598"/>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282"/>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DB"/>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5D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04"/>
    <w:rsid w:val="00D534A9"/>
    <w:rsid w:val="00D53605"/>
    <w:rsid w:val="00D536B9"/>
    <w:rsid w:val="00D53823"/>
    <w:rsid w:val="00D5393A"/>
    <w:rsid w:val="00D5396A"/>
    <w:rsid w:val="00D53D08"/>
    <w:rsid w:val="00D53E7F"/>
    <w:rsid w:val="00D53F02"/>
    <w:rsid w:val="00D53FC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24"/>
    <w:rsid w:val="00D80697"/>
    <w:rsid w:val="00D806E4"/>
    <w:rsid w:val="00D807BB"/>
    <w:rsid w:val="00D8081D"/>
    <w:rsid w:val="00D80B51"/>
    <w:rsid w:val="00D80C62"/>
    <w:rsid w:val="00D80C86"/>
    <w:rsid w:val="00D80D5E"/>
    <w:rsid w:val="00D80DA2"/>
    <w:rsid w:val="00D80E22"/>
    <w:rsid w:val="00D81231"/>
    <w:rsid w:val="00D8183C"/>
    <w:rsid w:val="00D818A4"/>
    <w:rsid w:val="00D81966"/>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0B5"/>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297"/>
    <w:rsid w:val="00DA2835"/>
    <w:rsid w:val="00DA2B9E"/>
    <w:rsid w:val="00DA2D8E"/>
    <w:rsid w:val="00DA2E17"/>
    <w:rsid w:val="00DA2E2C"/>
    <w:rsid w:val="00DA304D"/>
    <w:rsid w:val="00DA3065"/>
    <w:rsid w:val="00DA3095"/>
    <w:rsid w:val="00DA347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B76"/>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12"/>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2EB"/>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6FE3"/>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D14"/>
    <w:rsid w:val="00DE3F06"/>
    <w:rsid w:val="00DE4552"/>
    <w:rsid w:val="00DE4720"/>
    <w:rsid w:val="00DE48A4"/>
    <w:rsid w:val="00DE4B9F"/>
    <w:rsid w:val="00DE4C0C"/>
    <w:rsid w:val="00DE4EA3"/>
    <w:rsid w:val="00DE502D"/>
    <w:rsid w:val="00DE5388"/>
    <w:rsid w:val="00DE5464"/>
    <w:rsid w:val="00DE557B"/>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4EE"/>
    <w:rsid w:val="00E035FD"/>
    <w:rsid w:val="00E038B9"/>
    <w:rsid w:val="00E03977"/>
    <w:rsid w:val="00E03F34"/>
    <w:rsid w:val="00E045C3"/>
    <w:rsid w:val="00E048FF"/>
    <w:rsid w:val="00E04AB7"/>
    <w:rsid w:val="00E05064"/>
    <w:rsid w:val="00E050EF"/>
    <w:rsid w:val="00E05400"/>
    <w:rsid w:val="00E0556C"/>
    <w:rsid w:val="00E05789"/>
    <w:rsid w:val="00E059CD"/>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96"/>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430"/>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133"/>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C0F"/>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20"/>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BE"/>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49"/>
    <w:rsid w:val="00E71B5E"/>
    <w:rsid w:val="00E71E58"/>
    <w:rsid w:val="00E71F09"/>
    <w:rsid w:val="00E72209"/>
    <w:rsid w:val="00E728FE"/>
    <w:rsid w:val="00E72E5D"/>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63"/>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99F"/>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C9"/>
    <w:rsid w:val="00E853FC"/>
    <w:rsid w:val="00E85A25"/>
    <w:rsid w:val="00E85ABB"/>
    <w:rsid w:val="00E85C65"/>
    <w:rsid w:val="00E85E24"/>
    <w:rsid w:val="00E860C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4C"/>
    <w:rsid w:val="00E87BC3"/>
    <w:rsid w:val="00E87D9B"/>
    <w:rsid w:val="00E90073"/>
    <w:rsid w:val="00E903DC"/>
    <w:rsid w:val="00E90611"/>
    <w:rsid w:val="00E90CB1"/>
    <w:rsid w:val="00E90E8B"/>
    <w:rsid w:val="00E90ECC"/>
    <w:rsid w:val="00E90FA8"/>
    <w:rsid w:val="00E90FB4"/>
    <w:rsid w:val="00E9104C"/>
    <w:rsid w:val="00E910A5"/>
    <w:rsid w:val="00E9125E"/>
    <w:rsid w:val="00E917E9"/>
    <w:rsid w:val="00E9181C"/>
    <w:rsid w:val="00E9191F"/>
    <w:rsid w:val="00E91E6C"/>
    <w:rsid w:val="00E92168"/>
    <w:rsid w:val="00E922A6"/>
    <w:rsid w:val="00E924DA"/>
    <w:rsid w:val="00E92550"/>
    <w:rsid w:val="00E92597"/>
    <w:rsid w:val="00E928FA"/>
    <w:rsid w:val="00E92922"/>
    <w:rsid w:val="00E92EF4"/>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5EA"/>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7F3"/>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A60"/>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A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5FE"/>
    <w:rsid w:val="00EC770C"/>
    <w:rsid w:val="00EC7AC9"/>
    <w:rsid w:val="00EC7B42"/>
    <w:rsid w:val="00EC7C29"/>
    <w:rsid w:val="00EC7D83"/>
    <w:rsid w:val="00EC7DBC"/>
    <w:rsid w:val="00EC7ECF"/>
    <w:rsid w:val="00ED009A"/>
    <w:rsid w:val="00ED00D7"/>
    <w:rsid w:val="00ED0189"/>
    <w:rsid w:val="00ED01C6"/>
    <w:rsid w:val="00ED0202"/>
    <w:rsid w:val="00ED041A"/>
    <w:rsid w:val="00ED047C"/>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CDE"/>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25"/>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9FF"/>
    <w:rsid w:val="00EE4A17"/>
    <w:rsid w:val="00EE4A2C"/>
    <w:rsid w:val="00EE4C46"/>
    <w:rsid w:val="00EE4CA5"/>
    <w:rsid w:val="00EE4E37"/>
    <w:rsid w:val="00EE52B7"/>
    <w:rsid w:val="00EE534C"/>
    <w:rsid w:val="00EE5677"/>
    <w:rsid w:val="00EE5806"/>
    <w:rsid w:val="00EE5B34"/>
    <w:rsid w:val="00EE5BAF"/>
    <w:rsid w:val="00EE6104"/>
    <w:rsid w:val="00EE628C"/>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06F"/>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D1E"/>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2A1"/>
    <w:rsid w:val="00F0439A"/>
    <w:rsid w:val="00F04461"/>
    <w:rsid w:val="00F04703"/>
    <w:rsid w:val="00F049DD"/>
    <w:rsid w:val="00F04B5B"/>
    <w:rsid w:val="00F04CE1"/>
    <w:rsid w:val="00F04D32"/>
    <w:rsid w:val="00F0507E"/>
    <w:rsid w:val="00F050A7"/>
    <w:rsid w:val="00F05190"/>
    <w:rsid w:val="00F054D8"/>
    <w:rsid w:val="00F0559B"/>
    <w:rsid w:val="00F0561B"/>
    <w:rsid w:val="00F05755"/>
    <w:rsid w:val="00F05789"/>
    <w:rsid w:val="00F05BA9"/>
    <w:rsid w:val="00F05E3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91"/>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48F"/>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5F"/>
    <w:rsid w:val="00F237F4"/>
    <w:rsid w:val="00F2398D"/>
    <w:rsid w:val="00F23B3F"/>
    <w:rsid w:val="00F23EB1"/>
    <w:rsid w:val="00F242C5"/>
    <w:rsid w:val="00F245D5"/>
    <w:rsid w:val="00F24667"/>
    <w:rsid w:val="00F2478B"/>
    <w:rsid w:val="00F249AD"/>
    <w:rsid w:val="00F24A05"/>
    <w:rsid w:val="00F24E55"/>
    <w:rsid w:val="00F24EB1"/>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0B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CD6"/>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0EE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0CF"/>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16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B9"/>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6D"/>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13B"/>
    <w:rsid w:val="00F83620"/>
    <w:rsid w:val="00F837A5"/>
    <w:rsid w:val="00F840F6"/>
    <w:rsid w:val="00F841AC"/>
    <w:rsid w:val="00F84229"/>
    <w:rsid w:val="00F843A8"/>
    <w:rsid w:val="00F8467A"/>
    <w:rsid w:val="00F846D7"/>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7CD"/>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1E45"/>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750"/>
    <w:rsid w:val="00FB5E41"/>
    <w:rsid w:val="00FB6021"/>
    <w:rsid w:val="00FB61C4"/>
    <w:rsid w:val="00FB62DE"/>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7F7"/>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5FAB"/>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385"/>
    <w:rsid w:val="00FF677B"/>
    <w:rsid w:val="00FF6916"/>
    <w:rsid w:val="00FF6982"/>
    <w:rsid w:val="00FF6A2B"/>
    <w:rsid w:val="00FF6C1C"/>
    <w:rsid w:val="00FF6C35"/>
    <w:rsid w:val="00FF6F85"/>
    <w:rsid w:val="00FF7060"/>
    <w:rsid w:val="00FF730B"/>
    <w:rsid w:val="00FF7636"/>
    <w:rsid w:val="00FF765F"/>
    <w:rsid w:val="00FF7989"/>
    <w:rsid w:val="00FF7D03"/>
    <w:rsid w:val="015C0B4E"/>
    <w:rsid w:val="040A0520"/>
    <w:rsid w:val="06BB2083"/>
    <w:rsid w:val="06FD269B"/>
    <w:rsid w:val="0781507A"/>
    <w:rsid w:val="0878647D"/>
    <w:rsid w:val="08CB0CA3"/>
    <w:rsid w:val="097D1872"/>
    <w:rsid w:val="0ACC60B9"/>
    <w:rsid w:val="0B660C1A"/>
    <w:rsid w:val="0CC47EE3"/>
    <w:rsid w:val="0CE73503"/>
    <w:rsid w:val="0D6671EC"/>
    <w:rsid w:val="0F224C59"/>
    <w:rsid w:val="0F961117"/>
    <w:rsid w:val="0FA605E4"/>
    <w:rsid w:val="0FBD50BE"/>
    <w:rsid w:val="12BF3379"/>
    <w:rsid w:val="139A7BF0"/>
    <w:rsid w:val="14951E1C"/>
    <w:rsid w:val="161A6DC6"/>
    <w:rsid w:val="17F93E0B"/>
    <w:rsid w:val="18EC3FB4"/>
    <w:rsid w:val="18F41B50"/>
    <w:rsid w:val="1B1C538E"/>
    <w:rsid w:val="1B300E3A"/>
    <w:rsid w:val="1C455CA5"/>
    <w:rsid w:val="1CC0569C"/>
    <w:rsid w:val="1D2C69D2"/>
    <w:rsid w:val="20FF7332"/>
    <w:rsid w:val="21780E44"/>
    <w:rsid w:val="231B021F"/>
    <w:rsid w:val="239E00B4"/>
    <w:rsid w:val="246C2A48"/>
    <w:rsid w:val="24841CB2"/>
    <w:rsid w:val="251E74A4"/>
    <w:rsid w:val="27843CE5"/>
    <w:rsid w:val="2AF05EF0"/>
    <w:rsid w:val="2E3326D4"/>
    <w:rsid w:val="2EDA6C9B"/>
    <w:rsid w:val="2F912134"/>
    <w:rsid w:val="30A532D8"/>
    <w:rsid w:val="3159659D"/>
    <w:rsid w:val="32735E8B"/>
    <w:rsid w:val="32EB653A"/>
    <w:rsid w:val="344937D5"/>
    <w:rsid w:val="34D643A8"/>
    <w:rsid w:val="35521C81"/>
    <w:rsid w:val="35FC6014"/>
    <w:rsid w:val="36995E74"/>
    <w:rsid w:val="36D36DF1"/>
    <w:rsid w:val="378E2D18"/>
    <w:rsid w:val="393B376F"/>
    <w:rsid w:val="3A3000B7"/>
    <w:rsid w:val="3B084B8F"/>
    <w:rsid w:val="3BCB6780"/>
    <w:rsid w:val="3DB53895"/>
    <w:rsid w:val="3F10792C"/>
    <w:rsid w:val="3FF5F3AE"/>
    <w:rsid w:val="3FFA257A"/>
    <w:rsid w:val="407C216D"/>
    <w:rsid w:val="41230975"/>
    <w:rsid w:val="41240AEC"/>
    <w:rsid w:val="41DA5EC0"/>
    <w:rsid w:val="428B0580"/>
    <w:rsid w:val="42CD0A98"/>
    <w:rsid w:val="431A0C09"/>
    <w:rsid w:val="43A67DC2"/>
    <w:rsid w:val="43FD6F63"/>
    <w:rsid w:val="44F763A1"/>
    <w:rsid w:val="46685A76"/>
    <w:rsid w:val="472E43D9"/>
    <w:rsid w:val="47795A3E"/>
    <w:rsid w:val="480E2158"/>
    <w:rsid w:val="48D37A5B"/>
    <w:rsid w:val="490270C2"/>
    <w:rsid w:val="49217C44"/>
    <w:rsid w:val="4A0A15D2"/>
    <w:rsid w:val="4A1D0E74"/>
    <w:rsid w:val="4B1E132F"/>
    <w:rsid w:val="4B65373A"/>
    <w:rsid w:val="4B825F6B"/>
    <w:rsid w:val="4BD44D46"/>
    <w:rsid w:val="4D00163A"/>
    <w:rsid w:val="4D186B5A"/>
    <w:rsid w:val="4DF63E13"/>
    <w:rsid w:val="4E233D62"/>
    <w:rsid w:val="4F0F5BE3"/>
    <w:rsid w:val="4FAC67CD"/>
    <w:rsid w:val="508C2093"/>
    <w:rsid w:val="51F7291A"/>
    <w:rsid w:val="52422029"/>
    <w:rsid w:val="53042F77"/>
    <w:rsid w:val="538419AF"/>
    <w:rsid w:val="55040901"/>
    <w:rsid w:val="55D30964"/>
    <w:rsid w:val="568E01E7"/>
    <w:rsid w:val="56DF05DE"/>
    <w:rsid w:val="57FC6189"/>
    <w:rsid w:val="587C0C3F"/>
    <w:rsid w:val="5949010D"/>
    <w:rsid w:val="5A420C73"/>
    <w:rsid w:val="5AA1673B"/>
    <w:rsid w:val="5F073306"/>
    <w:rsid w:val="5F5F73B9"/>
    <w:rsid w:val="60896815"/>
    <w:rsid w:val="60B92304"/>
    <w:rsid w:val="61AD0594"/>
    <w:rsid w:val="62B92535"/>
    <w:rsid w:val="634B1F60"/>
    <w:rsid w:val="63A1155A"/>
    <w:rsid w:val="6535322D"/>
    <w:rsid w:val="661E4C47"/>
    <w:rsid w:val="6838144E"/>
    <w:rsid w:val="68AA7398"/>
    <w:rsid w:val="69724D0C"/>
    <w:rsid w:val="6C7D4B2E"/>
    <w:rsid w:val="6DAD5695"/>
    <w:rsid w:val="6E0E5A3E"/>
    <w:rsid w:val="72EF7DEA"/>
    <w:rsid w:val="72F74CBB"/>
    <w:rsid w:val="731D4975"/>
    <w:rsid w:val="74234E42"/>
    <w:rsid w:val="742C597A"/>
    <w:rsid w:val="755521A4"/>
    <w:rsid w:val="765A7261"/>
    <w:rsid w:val="7682346D"/>
    <w:rsid w:val="76B4739E"/>
    <w:rsid w:val="789A3768"/>
    <w:rsid w:val="7919798C"/>
    <w:rsid w:val="79860C21"/>
    <w:rsid w:val="79CD0EA3"/>
    <w:rsid w:val="7AF10BC1"/>
    <w:rsid w:val="7B8437E3"/>
    <w:rsid w:val="7D7E3B3C"/>
    <w:rsid w:val="7F264BB1"/>
    <w:rsid w:val="7FC00B62"/>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74"/>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7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7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78"/>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79"/>
    <w:qFormat/>
    <w:uiPriority w:val="9"/>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80"/>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81"/>
    <w:qFormat/>
    <w:uiPriority w:val="9"/>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4">
    <w:name w:val="Default Paragraph Font"/>
    <w:unhideWhenUsed/>
    <w:qFormat/>
    <w:uiPriority w:val="1"/>
  </w:style>
  <w:style w:type="table" w:default="1" w:styleId="61">
    <w:name w:val="Normal Table"/>
    <w:unhideWhenUsed/>
    <w:qFormat/>
    <w:uiPriority w:val="99"/>
    <w:tblPr>
      <w:tblStyle w:val="61"/>
      <w:tblCellMar>
        <w:top w:w="0" w:type="dxa"/>
        <w:left w:w="108" w:type="dxa"/>
        <w:bottom w:w="0" w:type="dxa"/>
        <w:right w:w="108" w:type="dxa"/>
      </w:tblCellMar>
    </w:tblPr>
  </w:style>
  <w:style w:type="paragraph" w:styleId="2">
    <w:name w:val="Body Text First Indent 2"/>
    <w:basedOn w:val="3"/>
    <w:link w:val="73"/>
    <w:qFormat/>
    <w:uiPriority w:val="0"/>
    <w:pPr>
      <w:spacing w:after="120" w:line="480" w:lineRule="exact"/>
      <w:ind w:left="420" w:leftChars="200" w:firstLine="420" w:firstLineChars="200"/>
    </w:pPr>
    <w:rPr>
      <w:szCs w:val="20"/>
    </w:rPr>
  </w:style>
  <w:style w:type="paragraph" w:styleId="3">
    <w:name w:val="Body Text Indent"/>
    <w:basedOn w:val="1"/>
    <w:link w:val="72"/>
    <w:qFormat/>
    <w:uiPriority w:val="0"/>
    <w:pPr>
      <w:spacing w:line="360" w:lineRule="auto"/>
      <w:ind w:firstLine="570"/>
    </w:pPr>
    <w:rPr>
      <w:sz w:val="24"/>
    </w:rPr>
  </w:style>
  <w:style w:type="paragraph" w:styleId="6">
    <w:name w:val="Normal Indent"/>
    <w:basedOn w:val="1"/>
    <w:link w:val="76"/>
    <w:qFormat/>
    <w:uiPriority w:val="0"/>
    <w:pPr>
      <w:autoSpaceDE w:val="0"/>
      <w:autoSpaceDN w:val="0"/>
      <w:adjustRightInd w:val="0"/>
      <w:ind w:firstLine="420"/>
      <w:jc w:val="left"/>
    </w:pPr>
    <w:rPr>
      <w:rFonts w:ascii="宋体"/>
      <w:sz w:val="24"/>
    </w:rPr>
  </w:style>
  <w:style w:type="paragraph" w:styleId="14">
    <w:name w:val="List 3"/>
    <w:basedOn w:val="1"/>
    <w:qFormat/>
    <w:uiPriority w:val="0"/>
    <w:pPr>
      <w:widowControl/>
      <w:spacing w:after="160" w:line="278" w:lineRule="auto"/>
      <w:ind w:left="100" w:leftChars="400" w:hanging="200" w:hangingChars="200"/>
    </w:pPr>
    <w:rPr>
      <w:rFonts w:ascii="ˎ̥" w:hAnsi="ˎ̥" w:cs="Arial"/>
      <w:kern w:val="0"/>
      <w:sz w:val="24"/>
    </w:rPr>
  </w:style>
  <w:style w:type="paragraph" w:styleId="15">
    <w:name w:val="toc 7"/>
    <w:basedOn w:val="1"/>
    <w:next w:val="1"/>
    <w:qFormat/>
    <w:uiPriority w:val="39"/>
    <w:pPr>
      <w:ind w:left="2520" w:leftChars="1200"/>
    </w:pPr>
  </w:style>
  <w:style w:type="paragraph" w:styleId="16">
    <w:name w:val="table of authorities"/>
    <w:basedOn w:val="1"/>
    <w:next w:val="1"/>
    <w:unhideWhenUsed/>
    <w:qFormat/>
    <w:uiPriority w:val="0"/>
    <w:pPr>
      <w:widowControl/>
      <w:kinsoku w:val="0"/>
      <w:autoSpaceDE w:val="0"/>
      <w:autoSpaceDN w:val="0"/>
      <w:adjustRightInd w:val="0"/>
      <w:snapToGrid w:val="0"/>
      <w:ind w:left="420" w:leftChars="200"/>
      <w:jc w:val="left"/>
      <w:textAlignment w:val="baseline"/>
    </w:pPr>
    <w:rPr>
      <w:rFonts w:ascii="Arial" w:hAnsi="Arial" w:eastAsia="Arial" w:cs="Arial"/>
      <w:snapToGrid w:val="0"/>
      <w:color w:val="000000"/>
      <w:kern w:val="0"/>
      <w:szCs w:val="21"/>
    </w:rPr>
  </w:style>
  <w:style w:type="paragraph" w:styleId="17">
    <w:name w:val="caption"/>
    <w:basedOn w:val="1"/>
    <w:next w:val="1"/>
    <w:qFormat/>
    <w:uiPriority w:val="35"/>
    <w:pPr>
      <w:spacing w:line="480" w:lineRule="auto"/>
    </w:pPr>
    <w:rPr>
      <w:rFonts w:ascii="华文中宋" w:hAnsi="华文中宋" w:eastAsia="华文中宋"/>
      <w:sz w:val="36"/>
      <w:szCs w:val="20"/>
    </w:rPr>
  </w:style>
  <w:style w:type="paragraph" w:styleId="18">
    <w:name w:val="index 5"/>
    <w:basedOn w:val="1"/>
    <w:next w:val="1"/>
    <w:unhideWhenUsed/>
    <w:qFormat/>
    <w:uiPriority w:val="0"/>
    <w:pPr>
      <w:widowControl/>
      <w:spacing w:after="160" w:line="278" w:lineRule="auto"/>
      <w:ind w:left="800" w:leftChars="800"/>
    </w:pPr>
    <w:rPr>
      <w:rFonts w:ascii="Calibri" w:hAnsi="Calibri" w:cs="Arial"/>
      <w:kern w:val="0"/>
      <w:sz w:val="24"/>
    </w:rPr>
  </w:style>
  <w:style w:type="paragraph" w:styleId="19">
    <w:name w:val="Document Map"/>
    <w:basedOn w:val="1"/>
    <w:link w:val="84"/>
    <w:qFormat/>
    <w:uiPriority w:val="99"/>
    <w:pPr>
      <w:shd w:val="clear" w:color="auto" w:fill="000080"/>
    </w:pPr>
  </w:style>
  <w:style w:type="paragraph" w:styleId="20">
    <w:name w:val="toa heading"/>
    <w:basedOn w:val="1"/>
    <w:next w:val="1"/>
    <w:qFormat/>
    <w:uiPriority w:val="0"/>
    <w:pPr>
      <w:spacing w:before="120" w:after="160" w:line="278" w:lineRule="auto"/>
    </w:pPr>
    <w:rPr>
      <w:rFonts w:ascii="Arial" w:hAnsi="Arial"/>
      <w:sz w:val="24"/>
    </w:rPr>
  </w:style>
  <w:style w:type="paragraph" w:styleId="21">
    <w:name w:val="annotation text"/>
    <w:basedOn w:val="1"/>
    <w:link w:val="85"/>
    <w:qFormat/>
    <w:uiPriority w:val="99"/>
    <w:pPr>
      <w:jc w:val="left"/>
    </w:pPr>
  </w:style>
  <w:style w:type="paragraph" w:styleId="22">
    <w:name w:val="Body Text 3"/>
    <w:basedOn w:val="1"/>
    <w:link w:val="86"/>
    <w:qFormat/>
    <w:uiPriority w:val="0"/>
    <w:pPr>
      <w:spacing w:after="120"/>
    </w:pPr>
    <w:rPr>
      <w:sz w:val="16"/>
      <w:szCs w:val="16"/>
    </w:rPr>
  </w:style>
  <w:style w:type="paragraph" w:styleId="23">
    <w:name w:val="Body Text"/>
    <w:basedOn w:val="1"/>
    <w:link w:val="87"/>
    <w:qFormat/>
    <w:uiPriority w:val="0"/>
    <w:pPr>
      <w:tabs>
        <w:tab w:val="left" w:pos="567"/>
      </w:tabs>
      <w:spacing w:before="120" w:line="22" w:lineRule="atLeast"/>
    </w:pPr>
    <w:rPr>
      <w:rFonts w:ascii="宋体" w:hAnsi="宋体"/>
      <w:sz w:val="24"/>
    </w:rPr>
  </w:style>
  <w:style w:type="paragraph" w:styleId="24">
    <w:name w:val="List 2"/>
    <w:basedOn w:val="1"/>
    <w:qFormat/>
    <w:uiPriority w:val="0"/>
    <w:pPr>
      <w:ind w:left="100" w:leftChars="200" w:hanging="200" w:hangingChars="200"/>
    </w:pPr>
  </w:style>
  <w:style w:type="paragraph" w:styleId="25">
    <w:name w:val="List Continue"/>
    <w:basedOn w:val="1"/>
    <w:qFormat/>
    <w:uiPriority w:val="0"/>
    <w:pPr>
      <w:widowControl/>
      <w:spacing w:after="120" w:line="278" w:lineRule="auto"/>
      <w:ind w:left="420" w:leftChars="200"/>
    </w:pPr>
    <w:rPr>
      <w:rFonts w:ascii="ˎ̥" w:hAnsi="ˎ̥" w:cs="Arial"/>
      <w:kern w:val="0"/>
      <w:sz w:val="24"/>
    </w:rPr>
  </w:style>
  <w:style w:type="paragraph" w:styleId="26">
    <w:name w:val="Block Text"/>
    <w:basedOn w:val="1"/>
    <w:qFormat/>
    <w:uiPriority w:val="0"/>
    <w:pPr>
      <w:widowControl/>
      <w:ind w:left="480" w:right="-341" w:firstLine="513"/>
    </w:pPr>
    <w:rPr>
      <w:kern w:val="0"/>
      <w:sz w:val="24"/>
      <w:szCs w:val="20"/>
    </w:rPr>
  </w:style>
  <w:style w:type="paragraph" w:styleId="27">
    <w:name w:val="index 4"/>
    <w:basedOn w:val="1"/>
    <w:next w:val="1"/>
    <w:unhideWhenUsed/>
    <w:qFormat/>
    <w:uiPriority w:val="0"/>
    <w:pPr>
      <w:widowControl/>
      <w:spacing w:after="160" w:line="278" w:lineRule="auto"/>
      <w:ind w:left="600" w:leftChars="600"/>
    </w:pPr>
    <w:rPr>
      <w:rFonts w:ascii="Calibri" w:hAnsi="Calibri" w:cs="Arial"/>
      <w:kern w:val="0"/>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hint="eastAsia" w:ascii="宋体" w:hAnsi="Courier New"/>
      <w:szCs w:val="20"/>
    </w:rPr>
  </w:style>
  <w:style w:type="paragraph" w:styleId="31">
    <w:name w:val="toc 8"/>
    <w:basedOn w:val="1"/>
    <w:next w:val="1"/>
    <w:qFormat/>
    <w:uiPriority w:val="39"/>
    <w:pPr>
      <w:ind w:left="2940" w:leftChars="1400"/>
    </w:pPr>
  </w:style>
  <w:style w:type="paragraph" w:styleId="32">
    <w:name w:val="Date"/>
    <w:basedOn w:val="1"/>
    <w:next w:val="1"/>
    <w:link w:val="89"/>
    <w:qFormat/>
    <w:uiPriority w:val="99"/>
    <w:pPr>
      <w:ind w:left="100" w:leftChars="2500"/>
    </w:pPr>
    <w:rPr>
      <w:rFonts w:ascii="仿宋_GB2312" w:hAnsi="宋体" w:eastAsia="仿宋_GB2312"/>
      <w:color w:val="000000"/>
      <w:sz w:val="24"/>
    </w:rPr>
  </w:style>
  <w:style w:type="paragraph" w:styleId="33">
    <w:name w:val="Body Text Indent 2"/>
    <w:basedOn w:val="1"/>
    <w:link w:val="90"/>
    <w:qFormat/>
    <w:uiPriority w:val="0"/>
    <w:pPr>
      <w:ind w:firstLine="480" w:firstLineChars="200"/>
    </w:pPr>
    <w:rPr>
      <w:rFonts w:ascii="仿宋_GB2312" w:eastAsia="仿宋_GB2312"/>
      <w:sz w:val="24"/>
    </w:rPr>
  </w:style>
  <w:style w:type="paragraph" w:styleId="34">
    <w:name w:val="endnote text"/>
    <w:basedOn w:val="1"/>
    <w:link w:val="91"/>
    <w:qFormat/>
    <w:uiPriority w:val="0"/>
    <w:pPr>
      <w:snapToGrid w:val="0"/>
      <w:jc w:val="left"/>
    </w:pPr>
  </w:style>
  <w:style w:type="paragraph" w:styleId="35">
    <w:name w:val="Balloon Text"/>
    <w:basedOn w:val="1"/>
    <w:link w:val="92"/>
    <w:qFormat/>
    <w:uiPriority w:val="0"/>
    <w:rPr>
      <w:sz w:val="18"/>
      <w:szCs w:val="18"/>
    </w:rPr>
  </w:style>
  <w:style w:type="paragraph" w:styleId="36">
    <w:name w:val="footer"/>
    <w:basedOn w:val="1"/>
    <w:link w:val="9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7">
    <w:name w:val="envelope return"/>
    <w:basedOn w:val="1"/>
    <w:qFormat/>
    <w:uiPriority w:val="99"/>
    <w:pPr>
      <w:snapToGrid w:val="0"/>
    </w:pPr>
    <w:rPr>
      <w:rFonts w:ascii="Arial" w:hAnsi="Arial" w:cs="Arial"/>
      <w:szCs w:val="20"/>
    </w:rPr>
  </w:style>
  <w:style w:type="paragraph" w:styleId="38">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0">
    <w:name w:val="toc 4"/>
    <w:basedOn w:val="1"/>
    <w:next w:val="1"/>
    <w:qFormat/>
    <w:uiPriority w:val="39"/>
    <w:pPr>
      <w:ind w:left="1260" w:leftChars="600"/>
    </w:pPr>
  </w:style>
  <w:style w:type="paragraph" w:styleId="41">
    <w:name w:val="Subtitle"/>
    <w:basedOn w:val="1"/>
    <w:next w:val="1"/>
    <w:link w:val="95"/>
    <w:qFormat/>
    <w:uiPriority w:val="11"/>
    <w:pPr>
      <w:overflowPunct w:val="0"/>
      <w:spacing w:before="120" w:after="600"/>
      <w:jc w:val="center"/>
    </w:pPr>
    <w:rPr>
      <w:rFonts w:ascii="Calibri" w:hAnsi="Calibri" w:eastAsia="黑体" w:cs="宋体"/>
      <w:b/>
      <w:kern w:val="1"/>
      <w:sz w:val="44"/>
      <w:szCs w:val="44"/>
      <w:lang w:eastAsia="ar-SA"/>
    </w:rPr>
  </w:style>
  <w:style w:type="paragraph" w:styleId="42">
    <w:name w:val="List"/>
    <w:basedOn w:val="43"/>
    <w:qFormat/>
    <w:uiPriority w:val="0"/>
    <w:rPr>
      <w:rFonts w:ascii="Arial" w:hAnsi="Arial" w:cs="Tahoma"/>
    </w:rPr>
  </w:style>
  <w:style w:type="paragraph" w:customStyle="1" w:styleId="43">
    <w:name w:val="单倍行距正文文本"/>
    <w:basedOn w:val="1"/>
    <w:qFormat/>
    <w:uiPriority w:val="0"/>
    <w:pPr>
      <w:overflowPunct w:val="0"/>
      <w:spacing w:after="120"/>
    </w:pPr>
    <w:rPr>
      <w:kern w:val="1"/>
      <w:lang w:eastAsia="ar-SA"/>
    </w:rPr>
  </w:style>
  <w:style w:type="paragraph" w:styleId="44">
    <w:name w:val="footnote text"/>
    <w:basedOn w:val="1"/>
    <w:link w:val="96"/>
    <w:qFormat/>
    <w:uiPriority w:val="0"/>
    <w:pPr>
      <w:snapToGrid w:val="0"/>
      <w:jc w:val="left"/>
    </w:pPr>
    <w:rPr>
      <w:sz w:val="18"/>
      <w:szCs w:val="18"/>
    </w:rPr>
  </w:style>
  <w:style w:type="paragraph" w:styleId="45">
    <w:name w:val="toc 6"/>
    <w:basedOn w:val="1"/>
    <w:next w:val="1"/>
    <w:qFormat/>
    <w:uiPriority w:val="39"/>
    <w:pPr>
      <w:ind w:left="2100" w:leftChars="1000"/>
    </w:pPr>
  </w:style>
  <w:style w:type="paragraph" w:styleId="46">
    <w:name w:val="List 5"/>
    <w:basedOn w:val="1"/>
    <w:qFormat/>
    <w:uiPriority w:val="0"/>
    <w:pPr>
      <w:widowControl/>
      <w:spacing w:after="160" w:line="278" w:lineRule="auto"/>
      <w:ind w:left="100" w:leftChars="800" w:hanging="200" w:hangingChars="200"/>
    </w:pPr>
    <w:rPr>
      <w:rFonts w:ascii="ˎ̥" w:hAnsi="ˎ̥" w:cs="Arial"/>
      <w:kern w:val="0"/>
      <w:sz w:val="24"/>
    </w:rPr>
  </w:style>
  <w:style w:type="paragraph" w:styleId="47">
    <w:name w:val="Body Text Indent 3"/>
    <w:basedOn w:val="1"/>
    <w:link w:val="9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8">
    <w:name w:val="index 9"/>
    <w:basedOn w:val="1"/>
    <w:next w:val="1"/>
    <w:unhideWhenUsed/>
    <w:qFormat/>
    <w:uiPriority w:val="99"/>
    <w:pPr>
      <w:ind w:left="1600" w:leftChars="1600"/>
    </w:pPr>
  </w:style>
  <w:style w:type="paragraph" w:styleId="49">
    <w:name w:val="toc 2"/>
    <w:basedOn w:val="1"/>
    <w:next w:val="1"/>
    <w:qFormat/>
    <w:uiPriority w:val="39"/>
    <w:pPr>
      <w:tabs>
        <w:tab w:val="right" w:leader="dot" w:pos="8937"/>
      </w:tabs>
      <w:spacing w:line="312" w:lineRule="auto"/>
      <w:ind w:left="420" w:leftChars="200"/>
    </w:pPr>
  </w:style>
  <w:style w:type="paragraph" w:styleId="50">
    <w:name w:val="toc 9"/>
    <w:basedOn w:val="1"/>
    <w:next w:val="1"/>
    <w:qFormat/>
    <w:uiPriority w:val="39"/>
    <w:pPr>
      <w:ind w:left="3360" w:leftChars="1600"/>
    </w:pPr>
  </w:style>
  <w:style w:type="paragraph" w:styleId="51">
    <w:name w:val="Body Text 2"/>
    <w:basedOn w:val="1"/>
    <w:link w:val="98"/>
    <w:unhideWhenUsed/>
    <w:qFormat/>
    <w:uiPriority w:val="0"/>
    <w:pPr>
      <w:spacing w:after="120" w:line="480" w:lineRule="auto"/>
    </w:pPr>
  </w:style>
  <w:style w:type="paragraph" w:styleId="52">
    <w:name w:val="List 4"/>
    <w:basedOn w:val="1"/>
    <w:qFormat/>
    <w:uiPriority w:val="0"/>
    <w:pPr>
      <w:widowControl/>
      <w:spacing w:after="160" w:line="278" w:lineRule="auto"/>
      <w:ind w:left="100" w:leftChars="600" w:hanging="200" w:hangingChars="200"/>
    </w:pPr>
    <w:rPr>
      <w:rFonts w:ascii="ˎ̥" w:hAnsi="ˎ̥" w:cs="Arial"/>
      <w:kern w:val="0"/>
      <w:sz w:val="24"/>
    </w:rPr>
  </w:style>
  <w:style w:type="paragraph" w:styleId="53">
    <w:name w:val="Message Header"/>
    <w:basedOn w:val="1"/>
    <w:next w:val="2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5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6">
    <w:name w:val="List Continue 3"/>
    <w:basedOn w:val="1"/>
    <w:qFormat/>
    <w:uiPriority w:val="0"/>
    <w:pPr>
      <w:widowControl/>
      <w:spacing w:after="120" w:line="278" w:lineRule="auto"/>
      <w:ind w:left="1260" w:leftChars="600"/>
    </w:pPr>
    <w:rPr>
      <w:rFonts w:ascii="ˎ̥" w:hAnsi="ˎ̥" w:cs="Arial"/>
      <w:kern w:val="0"/>
      <w:sz w:val="24"/>
    </w:rPr>
  </w:style>
  <w:style w:type="paragraph" w:styleId="57">
    <w:name w:val="index 1"/>
    <w:basedOn w:val="1"/>
    <w:next w:val="1"/>
    <w:qFormat/>
    <w:uiPriority w:val="0"/>
    <w:rPr>
      <w:szCs w:val="20"/>
    </w:rPr>
  </w:style>
  <w:style w:type="paragraph" w:styleId="58">
    <w:name w:val="Title"/>
    <w:basedOn w:val="1"/>
    <w:link w:val="100"/>
    <w:qFormat/>
    <w:uiPriority w:val="10"/>
    <w:pPr>
      <w:jc w:val="center"/>
      <w:outlineLvl w:val="0"/>
    </w:pPr>
    <w:rPr>
      <w:b/>
      <w:sz w:val="32"/>
      <w:szCs w:val="20"/>
    </w:rPr>
  </w:style>
  <w:style w:type="paragraph" w:styleId="59">
    <w:name w:val="annotation subject"/>
    <w:basedOn w:val="21"/>
    <w:next w:val="21"/>
    <w:link w:val="101"/>
    <w:qFormat/>
    <w:uiPriority w:val="99"/>
    <w:rPr>
      <w:b/>
      <w:bCs/>
    </w:rPr>
  </w:style>
  <w:style w:type="paragraph" w:styleId="60">
    <w:name w:val="Body Text First Indent"/>
    <w:basedOn w:val="23"/>
    <w:link w:val="102"/>
    <w:unhideWhenUsed/>
    <w:qFormat/>
    <w:uiPriority w:val="0"/>
    <w:pPr>
      <w:tabs>
        <w:tab w:val="clear" w:pos="567"/>
      </w:tabs>
      <w:spacing w:before="0" w:after="120" w:line="240" w:lineRule="auto"/>
      <w:ind w:firstLine="420" w:firstLineChars="100"/>
    </w:pPr>
    <w:rPr>
      <w:rFonts w:ascii="Times New Roman" w:hAnsi="Times New Roman"/>
      <w:sz w:val="21"/>
    </w:rPr>
  </w:style>
  <w:style w:type="table" w:styleId="62">
    <w:name w:val="Table Grid"/>
    <w:basedOn w:val="61"/>
    <w:qFormat/>
    <w:uiPriority w:val="39"/>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Medium Grid 1 Accent 2"/>
    <w:basedOn w:val="61"/>
    <w:qFormat/>
    <w:uiPriority w:val="0"/>
    <w:rPr>
      <w:kern w:val="2"/>
      <w:sz w:val="21"/>
      <w:szCs w:val="24"/>
    </w:rPr>
    <w:tblPr>
      <w:tblStyle w:val="6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61"/>
      </w:tblPr>
    </w:tblStylePr>
    <w:tblStylePr w:type="lastRow">
      <w:rPr>
        <w:b/>
        <w:bCs/>
      </w:rPr>
      <w:tblPr>
        <w:tblStyle w:val="61"/>
      </w:tblPr>
      <w:tcPr>
        <w:tcBorders>
          <w:top w:val="single" w:color="CF7B79" w:sz="18" w:space="0"/>
          <w:left w:val="nil"/>
          <w:bottom w:val="nil"/>
          <w:right w:val="nil"/>
          <w:insideH w:val="nil"/>
          <w:insideV w:val="nil"/>
          <w:tl2br w:val="nil"/>
          <w:tr2bl w:val="nil"/>
        </w:tcBorders>
      </w:tcPr>
    </w:tblStylePr>
    <w:tblStylePr w:type="firstCol">
      <w:rPr>
        <w:b/>
        <w:bCs/>
      </w:rPr>
      <w:tblPr>
        <w:tblStyle w:val="61"/>
      </w:tblPr>
    </w:tblStylePr>
    <w:tblStylePr w:type="lastCol">
      <w:rPr>
        <w:b/>
        <w:bCs/>
      </w:rPr>
      <w:tblPr>
        <w:tblStyle w:val="61"/>
      </w:tblPr>
    </w:tblStylePr>
    <w:tblStylePr w:type="band1Vert">
      <w:tblPr>
        <w:tblStyle w:val="61"/>
      </w:tblPr>
      <w:tcPr>
        <w:shd w:val="clear" w:color="auto" w:fill="DFA7A6"/>
      </w:tcPr>
    </w:tblStylePr>
    <w:tblStylePr w:type="band1Horz">
      <w:tblPr>
        <w:tblStyle w:val="61"/>
      </w:tblPr>
      <w:tcPr>
        <w:shd w:val="clear" w:color="auto" w:fill="DFA7A6"/>
      </w:tcPr>
    </w:tblStylePr>
  </w:style>
  <w:style w:type="character" w:styleId="65">
    <w:name w:val="Strong"/>
    <w:qFormat/>
    <w:uiPriority w:val="0"/>
    <w:rPr>
      <w:b/>
      <w:bCs/>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2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HTML Cite"/>
    <w:qFormat/>
    <w:uiPriority w:val="0"/>
    <w:rPr>
      <w:i/>
      <w:iCs/>
    </w:rPr>
  </w:style>
  <w:style w:type="character" w:customStyle="1" w:styleId="72">
    <w:name w:val="正文文本缩进 字符1"/>
    <w:link w:val="3"/>
    <w:qFormat/>
    <w:uiPriority w:val="0"/>
    <w:rPr>
      <w:rFonts w:eastAsia="宋体"/>
      <w:kern w:val="2"/>
      <w:sz w:val="24"/>
      <w:szCs w:val="24"/>
      <w:lang w:val="en-US" w:eastAsia="zh-CN" w:bidi="ar-SA"/>
    </w:rPr>
  </w:style>
  <w:style w:type="character" w:customStyle="1" w:styleId="73">
    <w:name w:val="正文文本首行缩进 2 字符"/>
    <w:link w:val="2"/>
    <w:qFormat/>
    <w:uiPriority w:val="99"/>
    <w:rPr>
      <w:rFonts w:eastAsia="宋体"/>
      <w:kern w:val="2"/>
      <w:sz w:val="24"/>
      <w:szCs w:val="24"/>
      <w:lang w:val="en-US" w:eastAsia="zh-CN" w:bidi="ar-SA"/>
    </w:rPr>
  </w:style>
  <w:style w:type="character" w:customStyle="1" w:styleId="74">
    <w:name w:val="标题 1 字符1"/>
    <w:link w:val="4"/>
    <w:qFormat/>
    <w:uiPriority w:val="1"/>
    <w:rPr>
      <w:rFonts w:ascii="宋体"/>
      <w:b/>
      <w:kern w:val="44"/>
      <w:sz w:val="32"/>
    </w:rPr>
  </w:style>
  <w:style w:type="character" w:customStyle="1" w:styleId="75">
    <w:name w:val="标题 2 字符1"/>
    <w:link w:val="5"/>
    <w:qFormat/>
    <w:uiPriority w:val="1"/>
    <w:rPr>
      <w:rFonts w:ascii="Arial" w:hAnsi="Arial" w:eastAsia="黑体"/>
      <w:b/>
      <w:sz w:val="30"/>
      <w:lang w:val="en-US" w:eastAsia="zh-CN" w:bidi="ar-SA"/>
    </w:rPr>
  </w:style>
  <w:style w:type="character" w:customStyle="1" w:styleId="76">
    <w:name w:val="正文缩进 字符2"/>
    <w:link w:val="6"/>
    <w:qFormat/>
    <w:uiPriority w:val="0"/>
    <w:rPr>
      <w:rFonts w:ascii="宋体" w:eastAsia="宋体"/>
      <w:kern w:val="2"/>
      <w:sz w:val="24"/>
      <w:szCs w:val="24"/>
      <w:lang w:val="en-US" w:eastAsia="zh-CN" w:bidi="ar-SA"/>
    </w:rPr>
  </w:style>
  <w:style w:type="character" w:customStyle="1" w:styleId="77">
    <w:name w:val="标题 3 字符1"/>
    <w:link w:val="7"/>
    <w:qFormat/>
    <w:uiPriority w:val="1"/>
    <w:rPr>
      <w:rFonts w:ascii="宋体" w:eastAsia="宋体"/>
      <w:b/>
      <w:sz w:val="24"/>
      <w:u w:val="single"/>
      <w:lang w:val="en-US" w:eastAsia="zh-CN" w:bidi="ar-SA"/>
    </w:rPr>
  </w:style>
  <w:style w:type="character" w:customStyle="1" w:styleId="78">
    <w:name w:val="标题 4 字符1"/>
    <w:link w:val="8"/>
    <w:qFormat/>
    <w:uiPriority w:val="1"/>
    <w:rPr>
      <w:rFonts w:ascii="Arial" w:hAnsi="Arial" w:eastAsia="黑体"/>
      <w:b/>
      <w:sz w:val="28"/>
    </w:rPr>
  </w:style>
  <w:style w:type="character" w:customStyle="1" w:styleId="79">
    <w:name w:val="标题 5 字符1"/>
    <w:link w:val="9"/>
    <w:qFormat/>
    <w:uiPriority w:val="9"/>
    <w:rPr>
      <w:b/>
      <w:sz w:val="28"/>
    </w:rPr>
  </w:style>
  <w:style w:type="character" w:customStyle="1" w:styleId="80">
    <w:name w:val="标题 6 字符1"/>
    <w:link w:val="10"/>
    <w:qFormat/>
    <w:uiPriority w:val="0"/>
    <w:rPr>
      <w:rFonts w:ascii="Arial" w:hAnsi="Arial" w:eastAsia="黑体"/>
      <w:b/>
      <w:sz w:val="24"/>
    </w:rPr>
  </w:style>
  <w:style w:type="character" w:customStyle="1" w:styleId="81">
    <w:name w:val="标题 7 字符1"/>
    <w:link w:val="11"/>
    <w:qFormat/>
    <w:uiPriority w:val="0"/>
    <w:rPr>
      <w:b/>
      <w:sz w:val="24"/>
    </w:rPr>
  </w:style>
  <w:style w:type="character" w:customStyle="1" w:styleId="82">
    <w:name w:val="标题 8 字符1"/>
    <w:link w:val="12"/>
    <w:qFormat/>
    <w:uiPriority w:val="0"/>
    <w:rPr>
      <w:rFonts w:ascii="Arial" w:hAnsi="Arial" w:eastAsia="黑体"/>
      <w:sz w:val="24"/>
    </w:rPr>
  </w:style>
  <w:style w:type="character" w:customStyle="1" w:styleId="83">
    <w:name w:val="标题 9 字符1"/>
    <w:link w:val="13"/>
    <w:qFormat/>
    <w:uiPriority w:val="0"/>
    <w:rPr>
      <w:rFonts w:ascii="Arial" w:hAnsi="Arial" w:eastAsia="黑体"/>
      <w:sz w:val="21"/>
    </w:rPr>
  </w:style>
  <w:style w:type="character" w:customStyle="1" w:styleId="84">
    <w:name w:val="文档结构图 字符1"/>
    <w:link w:val="19"/>
    <w:qFormat/>
    <w:uiPriority w:val="99"/>
    <w:rPr>
      <w:kern w:val="2"/>
      <w:sz w:val="21"/>
      <w:szCs w:val="24"/>
      <w:shd w:val="clear" w:color="auto" w:fill="000080"/>
    </w:rPr>
  </w:style>
  <w:style w:type="character" w:customStyle="1" w:styleId="85">
    <w:name w:val="批注文字 字符1"/>
    <w:link w:val="21"/>
    <w:qFormat/>
    <w:uiPriority w:val="99"/>
    <w:rPr>
      <w:kern w:val="2"/>
      <w:sz w:val="21"/>
      <w:szCs w:val="24"/>
    </w:rPr>
  </w:style>
  <w:style w:type="character" w:customStyle="1" w:styleId="86">
    <w:name w:val="正文文本 3 字符1"/>
    <w:link w:val="22"/>
    <w:qFormat/>
    <w:uiPriority w:val="0"/>
    <w:rPr>
      <w:kern w:val="2"/>
      <w:sz w:val="16"/>
      <w:szCs w:val="16"/>
    </w:rPr>
  </w:style>
  <w:style w:type="character" w:customStyle="1" w:styleId="87">
    <w:name w:val="正文文本 字符1"/>
    <w:link w:val="23"/>
    <w:qFormat/>
    <w:uiPriority w:val="99"/>
    <w:rPr>
      <w:rFonts w:ascii="宋体" w:hAnsi="宋体"/>
      <w:kern w:val="2"/>
      <w:sz w:val="24"/>
      <w:szCs w:val="24"/>
    </w:rPr>
  </w:style>
  <w:style w:type="character" w:customStyle="1" w:styleId="88">
    <w:name w:val="纯文本 字符3"/>
    <w:link w:val="30"/>
    <w:qFormat/>
    <w:uiPriority w:val="0"/>
    <w:rPr>
      <w:rFonts w:hint="eastAsia" w:ascii="宋体" w:hAnsi="Courier New" w:eastAsia="宋体" w:cs="宋体"/>
      <w:kern w:val="2"/>
      <w:sz w:val="21"/>
    </w:rPr>
  </w:style>
  <w:style w:type="character" w:customStyle="1" w:styleId="89">
    <w:name w:val="日期 字符1"/>
    <w:link w:val="32"/>
    <w:qFormat/>
    <w:uiPriority w:val="99"/>
    <w:rPr>
      <w:rFonts w:ascii="仿宋_GB2312" w:hAnsi="宋体" w:eastAsia="仿宋_GB2312"/>
      <w:color w:val="000000"/>
      <w:kern w:val="2"/>
      <w:sz w:val="24"/>
      <w:szCs w:val="24"/>
    </w:rPr>
  </w:style>
  <w:style w:type="character" w:customStyle="1" w:styleId="90">
    <w:name w:val="正文文本缩进 2 字符1"/>
    <w:link w:val="33"/>
    <w:qFormat/>
    <w:uiPriority w:val="0"/>
    <w:rPr>
      <w:rFonts w:ascii="仿宋_GB2312" w:eastAsia="仿宋_GB2312"/>
      <w:kern w:val="2"/>
      <w:sz w:val="24"/>
      <w:szCs w:val="24"/>
    </w:rPr>
  </w:style>
  <w:style w:type="character" w:customStyle="1" w:styleId="91">
    <w:name w:val="尾注文本 字符"/>
    <w:link w:val="34"/>
    <w:qFormat/>
    <w:uiPriority w:val="0"/>
    <w:rPr>
      <w:kern w:val="2"/>
      <w:sz w:val="21"/>
      <w:szCs w:val="24"/>
    </w:rPr>
  </w:style>
  <w:style w:type="character" w:customStyle="1" w:styleId="92">
    <w:name w:val="批注框文本 字符1"/>
    <w:link w:val="35"/>
    <w:qFormat/>
    <w:uiPriority w:val="99"/>
    <w:rPr>
      <w:kern w:val="2"/>
      <w:sz w:val="18"/>
      <w:szCs w:val="18"/>
    </w:rPr>
  </w:style>
  <w:style w:type="character" w:customStyle="1" w:styleId="93">
    <w:name w:val="页脚 字符1"/>
    <w:link w:val="36"/>
    <w:qFormat/>
    <w:uiPriority w:val="99"/>
    <w:rPr>
      <w:rFonts w:ascii="宋体" w:eastAsia="宋体"/>
      <w:sz w:val="18"/>
      <w:lang w:val="en-US" w:eastAsia="zh-CN" w:bidi="ar-SA"/>
    </w:rPr>
  </w:style>
  <w:style w:type="character" w:customStyle="1" w:styleId="94">
    <w:name w:val="页眉 字符1"/>
    <w:link w:val="38"/>
    <w:qFormat/>
    <w:uiPriority w:val="99"/>
    <w:rPr>
      <w:rFonts w:eastAsia="宋体"/>
      <w:kern w:val="2"/>
      <w:sz w:val="18"/>
      <w:szCs w:val="18"/>
      <w:lang w:val="en-US" w:eastAsia="zh-CN" w:bidi="ar-SA"/>
    </w:rPr>
  </w:style>
  <w:style w:type="character" w:customStyle="1" w:styleId="95">
    <w:name w:val="副标题 字符"/>
    <w:link w:val="41"/>
    <w:qFormat/>
    <w:uiPriority w:val="11"/>
    <w:rPr>
      <w:rFonts w:ascii="Calibri" w:hAnsi="Calibri" w:eastAsia="黑体" w:cs="宋体"/>
      <w:b/>
      <w:kern w:val="1"/>
      <w:sz w:val="44"/>
      <w:szCs w:val="44"/>
      <w:lang w:eastAsia="ar-SA"/>
    </w:rPr>
  </w:style>
  <w:style w:type="character" w:customStyle="1" w:styleId="96">
    <w:name w:val="脚注文本 字符"/>
    <w:link w:val="44"/>
    <w:qFormat/>
    <w:uiPriority w:val="0"/>
    <w:rPr>
      <w:kern w:val="2"/>
      <w:sz w:val="18"/>
      <w:szCs w:val="18"/>
    </w:rPr>
  </w:style>
  <w:style w:type="character" w:customStyle="1" w:styleId="97">
    <w:name w:val="正文文本缩进 3 字符1"/>
    <w:link w:val="47"/>
    <w:qFormat/>
    <w:uiPriority w:val="0"/>
    <w:rPr>
      <w:rFonts w:ascii="宋体"/>
      <w:sz w:val="24"/>
    </w:rPr>
  </w:style>
  <w:style w:type="character" w:customStyle="1" w:styleId="98">
    <w:name w:val="正文文本 2 字符"/>
    <w:link w:val="51"/>
    <w:qFormat/>
    <w:uiPriority w:val="0"/>
    <w:rPr>
      <w:kern w:val="2"/>
      <w:sz w:val="21"/>
      <w:szCs w:val="24"/>
    </w:rPr>
  </w:style>
  <w:style w:type="character" w:customStyle="1" w:styleId="99">
    <w:name w:val="HTML 预设格式 字符1"/>
    <w:link w:val="54"/>
    <w:qFormat/>
    <w:uiPriority w:val="99"/>
    <w:rPr>
      <w:rFonts w:ascii="宋体" w:hAnsi="宋体" w:cs="宋体"/>
      <w:sz w:val="24"/>
      <w:szCs w:val="24"/>
    </w:rPr>
  </w:style>
  <w:style w:type="character" w:customStyle="1" w:styleId="100">
    <w:name w:val="标题 字符1"/>
    <w:link w:val="58"/>
    <w:qFormat/>
    <w:uiPriority w:val="10"/>
    <w:rPr>
      <w:b/>
      <w:kern w:val="2"/>
      <w:sz w:val="32"/>
    </w:rPr>
  </w:style>
  <w:style w:type="character" w:customStyle="1" w:styleId="101">
    <w:name w:val="批注主题 字符2"/>
    <w:link w:val="59"/>
    <w:qFormat/>
    <w:uiPriority w:val="99"/>
    <w:rPr>
      <w:rFonts w:ascii="Times New Roman" w:hAnsi="Times New Roman" w:eastAsia="宋体" w:cs="Times New Roman"/>
      <w:b/>
      <w:bCs/>
      <w:kern w:val="2"/>
      <w:sz w:val="21"/>
      <w:szCs w:val="24"/>
      <w:lang w:val="en-US" w:eastAsia="zh-CN" w:bidi="ar-SA"/>
    </w:rPr>
  </w:style>
  <w:style w:type="character" w:customStyle="1" w:styleId="102">
    <w:name w:val="正文文本首行缩进 字符"/>
    <w:link w:val="60"/>
    <w:qFormat/>
    <w:uiPriority w:val="0"/>
    <w:rPr>
      <w:rFonts w:ascii="宋体" w:hAnsi="宋体"/>
      <w:kern w:val="2"/>
      <w:sz w:val="21"/>
      <w:szCs w:val="24"/>
    </w:rPr>
  </w:style>
  <w:style w:type="character" w:customStyle="1" w:styleId="103">
    <w:name w:val="批注文字 字符"/>
    <w:qFormat/>
    <w:uiPriority w:val="99"/>
    <w:rPr>
      <w:rFonts w:ascii="Times New Roman" w:hAnsi="Times New Roman" w:eastAsia="宋体" w:cs="Times New Roman"/>
      <w:sz w:val="24"/>
      <w:lang w:val="en-US" w:eastAsia="zh-CN" w:bidi="ar-SA"/>
    </w:rPr>
  </w:style>
  <w:style w:type="character" w:customStyle="1" w:styleId="104">
    <w:name w:val="c21"/>
    <w:qFormat/>
    <w:uiPriority w:val="0"/>
    <w:rPr>
      <w:rFonts w:hint="default" w:ascii="ˎ̥" w:hAnsi="ˎ̥"/>
      <w:color w:val="000000"/>
      <w:sz w:val="20"/>
      <w:szCs w:val="20"/>
      <w:u w:val="none"/>
    </w:rPr>
  </w:style>
  <w:style w:type="character" w:customStyle="1" w:styleId="105">
    <w:name w:val="title4"/>
    <w:qFormat/>
    <w:uiPriority w:val="0"/>
    <w:rPr>
      <w:b/>
      <w:bCs/>
      <w:color w:val="1D87B3"/>
      <w:sz w:val="15"/>
      <w:szCs w:val="15"/>
    </w:rPr>
  </w:style>
  <w:style w:type="character" w:customStyle="1" w:styleId="106">
    <w:name w:val="标题 2 Char Char"/>
    <w:qFormat/>
    <w:uiPriority w:val="0"/>
    <w:rPr>
      <w:rFonts w:ascii="Arial" w:hAnsi="Arial" w:eastAsia="黑体"/>
      <w:b/>
      <w:bCs/>
      <w:kern w:val="2"/>
      <w:sz w:val="32"/>
      <w:szCs w:val="32"/>
      <w:lang w:val="en-US" w:eastAsia="zh-CN" w:bidi="ar-SA"/>
    </w:rPr>
  </w:style>
  <w:style w:type="character" w:customStyle="1" w:styleId="107">
    <w:name w:val="black1"/>
    <w:qFormat/>
    <w:uiPriority w:val="0"/>
    <w:rPr>
      <w:color w:val="000000"/>
    </w:rPr>
  </w:style>
  <w:style w:type="character" w:customStyle="1" w:styleId="108">
    <w:name w:val="street-address"/>
    <w:qFormat/>
    <w:uiPriority w:val="0"/>
  </w:style>
  <w:style w:type="character" w:customStyle="1" w:styleId="109">
    <w:name w:val="locality"/>
    <w:qFormat/>
    <w:uiPriority w:val="0"/>
  </w:style>
  <w:style w:type="character" w:customStyle="1" w:styleId="110">
    <w:name w:val="正文文本缩进 Char1"/>
    <w:link w:val="111"/>
    <w:qFormat/>
    <w:uiPriority w:val="99"/>
    <w:rPr>
      <w:rFonts w:ascii="宋体" w:hAnsi="宋体" w:eastAsia="宋体"/>
      <w:sz w:val="24"/>
      <w:szCs w:val="24"/>
      <w:lang w:bidi="ar-SA"/>
    </w:rPr>
  </w:style>
  <w:style w:type="paragraph" w:customStyle="1" w:styleId="111">
    <w:name w:val="正文文本缩进1"/>
    <w:basedOn w:val="1"/>
    <w:link w:val="110"/>
    <w:qFormat/>
    <w:uiPriority w:val="0"/>
    <w:pPr>
      <w:spacing w:line="480" w:lineRule="exact"/>
      <w:ind w:firstLine="480" w:firstLineChars="200"/>
    </w:pPr>
    <w:rPr>
      <w:rFonts w:ascii="宋体" w:hAnsi="宋体"/>
      <w:kern w:val="0"/>
      <w:sz w:val="24"/>
    </w:rPr>
  </w:style>
  <w:style w:type="character" w:customStyle="1" w:styleId="112">
    <w:name w:val="Char Char11"/>
    <w:qFormat/>
    <w:uiPriority w:val="0"/>
    <w:rPr>
      <w:rFonts w:ascii="宋体" w:eastAsia="宋体"/>
      <w:b/>
      <w:sz w:val="24"/>
      <w:u w:val="single"/>
      <w:lang w:val="en-US" w:eastAsia="zh-CN" w:bidi="ar-SA"/>
    </w:rPr>
  </w:style>
  <w:style w:type="character" w:customStyle="1" w:styleId="113">
    <w:name w:val="txt"/>
    <w:qFormat/>
    <w:uiPriority w:val="0"/>
  </w:style>
  <w:style w:type="character" w:customStyle="1" w:styleId="114">
    <w:name w:val="正文缩进 Char Char"/>
    <w:link w:val="115"/>
    <w:qFormat/>
    <w:uiPriority w:val="0"/>
    <w:rPr>
      <w:rFonts w:ascii="宋体" w:eastAsia="宋体"/>
      <w:snapToGrid w:val="0"/>
      <w:color w:val="000000"/>
      <w:kern w:val="28"/>
      <w:sz w:val="28"/>
      <w:lang w:bidi="ar-SA"/>
    </w:rPr>
  </w:style>
  <w:style w:type="paragraph" w:customStyle="1" w:styleId="115">
    <w:name w:val="正文缩进1"/>
    <w:basedOn w:val="1"/>
    <w:link w:val="11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6">
    <w:name w:val="普通文字1 Char1"/>
    <w:qFormat/>
    <w:uiPriority w:val="0"/>
    <w:rPr>
      <w:rFonts w:ascii="宋体" w:hAnsi="Courier New" w:eastAsia="宋体"/>
      <w:kern w:val="2"/>
      <w:sz w:val="21"/>
      <w:lang w:val="en-US" w:eastAsia="zh-CN" w:bidi="ar-SA"/>
    </w:rPr>
  </w:style>
  <w:style w:type="character" w:customStyle="1" w:styleId="117">
    <w:name w:val="chanpin1"/>
    <w:qFormat/>
    <w:uiPriority w:val="0"/>
    <w:rPr>
      <w:rFonts w:hint="default" w:ascii="ˎ̥" w:hAnsi="ˎ̥"/>
      <w:color w:val="000000"/>
      <w:sz w:val="20"/>
      <w:szCs w:val="20"/>
      <w:u w:val="none"/>
    </w:rPr>
  </w:style>
  <w:style w:type="character" w:customStyle="1" w:styleId="118">
    <w:name w:val="列表段落 字符"/>
    <w:link w:val="119"/>
    <w:qFormat/>
    <w:uiPriority w:val="34"/>
    <w:rPr>
      <w:rFonts w:ascii="Calibri" w:hAnsi="Calibri" w:eastAsia="宋体"/>
      <w:kern w:val="2"/>
      <w:sz w:val="21"/>
      <w:szCs w:val="22"/>
      <w:lang w:val="en-US" w:eastAsia="zh-CN" w:bidi="ar-SA"/>
    </w:rPr>
  </w:style>
  <w:style w:type="paragraph" w:styleId="119">
    <w:name w:val="List Paragraph"/>
    <w:basedOn w:val="1"/>
    <w:link w:val="118"/>
    <w:qFormat/>
    <w:uiPriority w:val="34"/>
    <w:pPr>
      <w:ind w:firstLine="420" w:firstLineChars="200"/>
    </w:pPr>
    <w:rPr>
      <w:rFonts w:ascii="Calibri" w:hAnsi="Calibri"/>
      <w:szCs w:val="22"/>
    </w:rPr>
  </w:style>
  <w:style w:type="character" w:customStyle="1" w:styleId="120">
    <w:name w:val="标题 3 Char Char"/>
    <w:qFormat/>
    <w:uiPriority w:val="0"/>
    <w:rPr>
      <w:rFonts w:eastAsia="宋体"/>
      <w:b/>
      <w:bCs/>
      <w:kern w:val="2"/>
      <w:sz w:val="32"/>
      <w:szCs w:val="32"/>
      <w:lang w:val="en-US" w:eastAsia="zh-CN" w:bidi="ar-SA"/>
    </w:rPr>
  </w:style>
  <w:style w:type="character" w:customStyle="1" w:styleId="121">
    <w:name w:val="段1 Char"/>
    <w:qFormat/>
    <w:uiPriority w:val="0"/>
    <w:rPr>
      <w:rFonts w:ascii="宋体" w:eastAsia="宋体"/>
      <w:sz w:val="24"/>
      <w:lang w:val="en-US" w:eastAsia="zh-CN" w:bidi="ar-SA"/>
    </w:rPr>
  </w:style>
  <w:style w:type="character" w:customStyle="1" w:styleId="122">
    <w:name w:val="chanpin拷贝"/>
    <w:qFormat/>
    <w:uiPriority w:val="0"/>
  </w:style>
  <w:style w:type="character" w:customStyle="1" w:styleId="123">
    <w:name w:val="纯文本 Char1"/>
    <w:qFormat/>
    <w:uiPriority w:val="0"/>
    <w:rPr>
      <w:rFonts w:ascii="宋体" w:hAnsi="Courier New" w:eastAsia="宋体"/>
      <w:kern w:val="2"/>
      <w:sz w:val="21"/>
      <w:lang w:val="en-US" w:eastAsia="zh-CN" w:bidi="ar-SA"/>
    </w:rPr>
  </w:style>
  <w:style w:type="character" w:customStyle="1" w:styleId="124">
    <w:name w:val="apple-style-span"/>
    <w:qFormat/>
    <w:uiPriority w:val="0"/>
    <w:rPr>
      <w:rFonts w:cs="Times New Roman"/>
    </w:rPr>
  </w:style>
  <w:style w:type="paragraph" w:customStyle="1" w:styleId="125">
    <w:name w:val="二级条标题"/>
    <w:basedOn w:val="12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26">
    <w:name w:val="一级条标题"/>
    <w:basedOn w:val="127"/>
    <w:next w:val="1"/>
    <w:qFormat/>
    <w:uiPriority w:val="0"/>
    <w:pPr>
      <w:numPr>
        <w:ilvl w:val="1"/>
      </w:numPr>
      <w:tabs>
        <w:tab w:val="left" w:pos="360"/>
        <w:tab w:val="left" w:pos="840"/>
      </w:tabs>
      <w:ind w:left="0" w:hanging="840"/>
      <w:outlineLvl w:val="1"/>
    </w:pPr>
  </w:style>
  <w:style w:type="paragraph" w:customStyle="1" w:styleId="127">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2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9">
    <w:name w:val="字元 字元"/>
    <w:basedOn w:val="1"/>
    <w:qFormat/>
    <w:uiPriority w:val="0"/>
    <w:rPr>
      <w:rFonts w:ascii="Tahoma" w:hAnsi="Tahoma"/>
      <w:sz w:val="24"/>
      <w:szCs w:val="20"/>
    </w:rPr>
  </w:style>
  <w:style w:type="paragraph" w:customStyle="1" w:styleId="130">
    <w:name w:val="Char3 Char Char Char"/>
    <w:basedOn w:val="1"/>
    <w:qFormat/>
    <w:uiPriority w:val="0"/>
    <w:rPr>
      <w:rFonts w:ascii="Tahoma" w:hAnsi="Tahoma"/>
      <w:sz w:val="24"/>
      <w:szCs w:val="20"/>
    </w:rPr>
  </w:style>
  <w:style w:type="paragraph" w:customStyle="1" w:styleId="13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2">
    <w:name w:val="项目编号2"/>
    <w:basedOn w:val="133"/>
    <w:qFormat/>
    <w:uiPriority w:val="0"/>
    <w:pPr>
      <w:numPr>
        <w:numId w:val="2"/>
      </w:numPr>
    </w:pPr>
  </w:style>
  <w:style w:type="paragraph" w:customStyle="1" w:styleId="13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4">
    <w:name w:val="图中文字"/>
    <w:basedOn w:val="1"/>
    <w:qFormat/>
    <w:uiPriority w:val="0"/>
    <w:pPr>
      <w:adjustRightInd w:val="0"/>
      <w:snapToGrid w:val="0"/>
      <w:spacing w:line="0" w:lineRule="atLeast"/>
      <w:jc w:val="center"/>
    </w:pPr>
    <w:rPr>
      <w:sz w:val="24"/>
      <w:szCs w:val="20"/>
    </w:rPr>
  </w:style>
  <w:style w:type="paragraph" w:customStyle="1" w:styleId="13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7">
    <w:name w:val="Char2"/>
    <w:basedOn w:val="1"/>
    <w:qFormat/>
    <w:uiPriority w:val="0"/>
    <w:rPr>
      <w:rFonts w:ascii="Tahoma" w:hAnsi="Tahoma"/>
      <w:sz w:val="24"/>
      <w:szCs w:val="20"/>
    </w:rPr>
  </w:style>
  <w:style w:type="paragraph" w:customStyle="1" w:styleId="13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1">
    <w:name w:val="font8"/>
    <w:basedOn w:val="1"/>
    <w:qFormat/>
    <w:uiPriority w:val="0"/>
    <w:pPr>
      <w:widowControl/>
      <w:spacing w:before="100" w:beforeAutospacing="1" w:after="100" w:afterAutospacing="1"/>
      <w:jc w:val="left"/>
    </w:pPr>
    <w:rPr>
      <w:kern w:val="0"/>
      <w:sz w:val="36"/>
      <w:szCs w:val="36"/>
    </w:rPr>
  </w:style>
  <w:style w:type="paragraph" w:customStyle="1" w:styleId="152">
    <w:name w:val="Char"/>
    <w:basedOn w:val="1"/>
    <w:qFormat/>
    <w:uiPriority w:val="0"/>
    <w:pPr>
      <w:tabs>
        <w:tab w:val="left" w:pos="360"/>
      </w:tabs>
    </w:pPr>
    <w:rPr>
      <w:sz w:val="24"/>
    </w:rPr>
  </w:style>
  <w:style w:type="paragraph" w:customStyle="1" w:styleId="15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Char Char1"/>
    <w:basedOn w:val="19"/>
    <w:qFormat/>
    <w:uiPriority w:val="0"/>
    <w:rPr>
      <w:rFonts w:ascii="Tahoma" w:hAnsi="Tahoma"/>
      <w:sz w:val="24"/>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1">
    <w:name w:val="Char1 Char Char Char1"/>
    <w:basedOn w:val="1"/>
    <w:qFormat/>
    <w:uiPriority w:val="0"/>
    <w:rPr>
      <w:rFonts w:ascii="Tahoma" w:hAnsi="Tahoma" w:cs="仿宋_GB2312"/>
      <w:sz w:val="24"/>
      <w:szCs w:val="28"/>
    </w:rPr>
  </w:style>
  <w:style w:type="paragraph" w:customStyle="1" w:styleId="162">
    <w:name w:val="四级条标题"/>
    <w:basedOn w:val="163"/>
    <w:next w:val="1"/>
    <w:qFormat/>
    <w:uiPriority w:val="0"/>
    <w:pPr>
      <w:numPr>
        <w:ilvl w:val="4"/>
      </w:numPr>
      <w:tabs>
        <w:tab w:val="left" w:pos="360"/>
        <w:tab w:val="left" w:pos="840"/>
      </w:tabs>
      <w:ind w:left="0" w:hanging="840"/>
      <w:outlineLvl w:val="4"/>
    </w:pPr>
  </w:style>
  <w:style w:type="paragraph" w:customStyle="1" w:styleId="163">
    <w:name w:val="三级条标题"/>
    <w:basedOn w:val="125"/>
    <w:next w:val="1"/>
    <w:qFormat/>
    <w:uiPriority w:val="0"/>
    <w:pPr>
      <w:numPr>
        <w:ilvl w:val="3"/>
        <w:numId w:val="1"/>
      </w:numPr>
      <w:ind w:left="0" w:hanging="840"/>
      <w:outlineLvl w:val="3"/>
    </w:pPr>
  </w:style>
  <w:style w:type="paragraph" w:customStyle="1" w:styleId="164">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65">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6">
    <w:name w:val="List Paragraph1"/>
    <w:basedOn w:val="1"/>
    <w:qFormat/>
    <w:uiPriority w:val="0"/>
    <w:pPr>
      <w:ind w:firstLine="420" w:firstLineChars="200"/>
    </w:pPr>
    <w:rPr>
      <w:rFonts w:ascii="Calibri" w:hAnsi="Calibri"/>
      <w:szCs w:val="22"/>
    </w:rPr>
  </w:style>
  <w:style w:type="paragraph" w:customStyle="1" w:styleId="167">
    <w:name w:val="项目符号1"/>
    <w:basedOn w:val="168"/>
    <w:qFormat/>
    <w:uiPriority w:val="0"/>
    <w:pPr>
      <w:ind w:left="-25" w:firstLine="0"/>
    </w:pPr>
  </w:style>
  <w:style w:type="paragraph" w:customStyle="1" w:styleId="168">
    <w:name w:val="正文文本样式"/>
    <w:basedOn w:val="1"/>
    <w:qFormat/>
    <w:uiPriority w:val="0"/>
    <w:pPr>
      <w:spacing w:line="360" w:lineRule="auto"/>
      <w:ind w:firstLine="482"/>
    </w:pPr>
    <w:rPr>
      <w:rFonts w:cs="宋体"/>
      <w:sz w:val="24"/>
      <w:szCs w:val="20"/>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五级条标题"/>
    <w:basedOn w:val="162"/>
    <w:next w:val="1"/>
    <w:qFormat/>
    <w:uiPriority w:val="0"/>
    <w:pPr>
      <w:numPr>
        <w:ilvl w:val="5"/>
      </w:numPr>
      <w:ind w:left="0" w:hanging="840"/>
      <w:outlineLvl w:val="5"/>
    </w:pPr>
  </w:style>
  <w:style w:type="paragraph" w:customStyle="1" w:styleId="1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73">
    <w:name w:val="文档正文"/>
    <w:basedOn w:val="1"/>
    <w:qFormat/>
    <w:uiPriority w:val="0"/>
    <w:pPr>
      <w:snapToGrid w:val="0"/>
      <w:spacing w:before="120" w:after="120" w:line="180" w:lineRule="auto"/>
    </w:pPr>
    <w:rPr>
      <w:rFonts w:ascii="Arial" w:hAnsi="Arial"/>
      <w:szCs w:val="20"/>
    </w:rPr>
  </w:style>
  <w:style w:type="paragraph" w:customStyle="1" w:styleId="1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6">
    <w:name w:val="Char Char Char1 Char"/>
    <w:basedOn w:val="1"/>
    <w:qFormat/>
    <w:uiPriority w:val="0"/>
    <w:rPr>
      <w:rFonts w:ascii="Tahoma" w:hAnsi="Tahoma"/>
      <w:sz w:val="24"/>
      <w:szCs w:val="20"/>
    </w:rPr>
  </w:style>
  <w:style w:type="paragraph" w:customStyle="1" w:styleId="17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1名"/>
    <w:basedOn w:val="1"/>
    <w:qFormat/>
    <w:uiPriority w:val="0"/>
    <w:pPr>
      <w:numPr>
        <w:ilvl w:val="0"/>
        <w:numId w:val="5"/>
      </w:numPr>
      <w:spacing w:before="120"/>
    </w:pPr>
    <w:rPr>
      <w:rFonts w:ascii="宋体"/>
      <w:sz w:val="28"/>
      <w:szCs w:val="20"/>
    </w:rPr>
  </w:style>
  <w:style w:type="paragraph" w:customStyle="1" w:styleId="17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80">
    <w:name w:val="Char Char Char1 Char1"/>
    <w:basedOn w:val="1"/>
    <w:qFormat/>
    <w:uiPriority w:val="0"/>
    <w:rPr>
      <w:rFonts w:ascii="Tahoma" w:hAnsi="Tahoma"/>
      <w:sz w:val="24"/>
      <w:szCs w:val="20"/>
    </w:rPr>
  </w:style>
  <w:style w:type="paragraph" w:customStyle="1" w:styleId="181">
    <w:name w:val="Char Char Char Char Char Char Char Char Char Char"/>
    <w:basedOn w:val="1"/>
    <w:qFormat/>
    <w:uiPriority w:val="0"/>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w:basedOn w:val="1"/>
    <w:link w:val="184"/>
    <w:qFormat/>
    <w:uiPriority w:val="0"/>
    <w:pPr>
      <w:tabs>
        <w:tab w:val="left" w:pos="360"/>
      </w:tabs>
    </w:pPr>
    <w:rPr>
      <w:sz w:val="24"/>
    </w:rPr>
  </w:style>
  <w:style w:type="character" w:customStyle="1" w:styleId="184">
    <w:name w:val="Char Char3"/>
    <w:link w:val="183"/>
    <w:qFormat/>
    <w:uiPriority w:val="0"/>
    <w:rPr>
      <w:kern w:val="2"/>
      <w:sz w:val="24"/>
      <w:szCs w:val="24"/>
    </w:rPr>
  </w:style>
  <w:style w:type="paragraph" w:customStyle="1" w:styleId="18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8">
    <w:name w:val="默认段落字体 Para Char Char Char Char"/>
    <w:basedOn w:val="1"/>
    <w:qFormat/>
    <w:uiPriority w:val="0"/>
    <w:rPr>
      <w:rFonts w:ascii="Arial" w:hAnsi="Arial" w:cs="Arial"/>
      <w:szCs w:val="21"/>
    </w:rPr>
  </w:style>
  <w:style w:type="paragraph" w:customStyle="1" w:styleId="18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9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92">
    <w:name w:val="Char Char Char"/>
    <w:basedOn w:val="1"/>
    <w:qFormat/>
    <w:uiPriority w:val="0"/>
    <w:rPr>
      <w:rFonts w:ascii="Tahoma" w:hAnsi="Tahoma"/>
      <w:sz w:val="24"/>
      <w:szCs w:val="20"/>
    </w:rPr>
  </w:style>
  <w:style w:type="paragraph" w:customStyle="1" w:styleId="1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94">
    <w:name w:val="缺省文本"/>
    <w:basedOn w:val="1"/>
    <w:qFormat/>
    <w:uiPriority w:val="0"/>
    <w:pPr>
      <w:autoSpaceDE w:val="0"/>
      <w:autoSpaceDN w:val="0"/>
      <w:adjustRightInd w:val="0"/>
      <w:jc w:val="left"/>
    </w:pPr>
    <w:rPr>
      <w:kern w:val="0"/>
      <w:sz w:val="24"/>
    </w:rPr>
  </w:style>
  <w:style w:type="paragraph" w:customStyle="1" w:styleId="195">
    <w:name w:val="Char Char Char1"/>
    <w:basedOn w:val="1"/>
    <w:qFormat/>
    <w:uiPriority w:val="0"/>
    <w:rPr>
      <w:rFonts w:ascii="Tahoma" w:hAnsi="Tahoma"/>
      <w:sz w:val="24"/>
      <w:szCs w:val="20"/>
    </w:rPr>
  </w:style>
  <w:style w:type="paragraph" w:customStyle="1" w:styleId="19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9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8">
    <w:name w:val="样式2"/>
    <w:basedOn w:val="57"/>
    <w:link w:val="199"/>
    <w:qFormat/>
    <w:uiPriority w:val="0"/>
    <w:pPr>
      <w:spacing w:line="360" w:lineRule="auto"/>
      <w:jc w:val="center"/>
    </w:pPr>
    <w:rPr>
      <w:sz w:val="24"/>
    </w:rPr>
  </w:style>
  <w:style w:type="character" w:customStyle="1" w:styleId="199">
    <w:name w:val="样式2 Char"/>
    <w:link w:val="198"/>
    <w:qFormat/>
    <w:uiPriority w:val="0"/>
    <w:rPr>
      <w:kern w:val="2"/>
      <w:sz w:val="24"/>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2">
    <w:name w:val="正文 + 楷体_GB2312"/>
    <w:basedOn w:val="1"/>
    <w:qFormat/>
    <w:uiPriority w:val="0"/>
    <w:pPr>
      <w:widowControl/>
      <w:jc w:val="left"/>
    </w:pPr>
    <w:rPr>
      <w:rFonts w:ascii="楷体_GB2312" w:eastAsia="楷体_GB2312" w:cs="Arial"/>
      <w:kern w:val="0"/>
      <w:sz w:val="24"/>
    </w:rPr>
  </w:style>
  <w:style w:type="paragraph" w:customStyle="1" w:styleId="2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4">
    <w:name w:val="1 Char Char Char Char"/>
    <w:basedOn w:val="1"/>
    <w:qFormat/>
    <w:uiPriority w:val="0"/>
    <w:rPr>
      <w:rFonts w:ascii="Tahoma" w:hAnsi="Tahoma"/>
      <w:sz w:val="24"/>
      <w:szCs w:val="20"/>
    </w:rPr>
  </w:style>
  <w:style w:type="paragraph" w:customStyle="1" w:styleId="205">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206">
    <w:name w:val="列出段落1"/>
    <w:basedOn w:val="1"/>
    <w:link w:val="207"/>
    <w:qFormat/>
    <w:uiPriority w:val="34"/>
    <w:pPr>
      <w:ind w:firstLine="420" w:firstLineChars="200"/>
    </w:pPr>
    <w:rPr>
      <w:rFonts w:ascii="Calibri" w:hAnsi="Calibri"/>
      <w:szCs w:val="22"/>
    </w:rPr>
  </w:style>
  <w:style w:type="character" w:customStyle="1" w:styleId="207">
    <w:name w:val="List Paragraph Char"/>
    <w:link w:val="206"/>
    <w:qFormat/>
    <w:locked/>
    <w:uiPriority w:val="34"/>
    <w:rPr>
      <w:rFonts w:ascii="Calibri" w:hAnsi="Calibri"/>
      <w:kern w:val="2"/>
      <w:sz w:val="21"/>
      <w:szCs w:val="22"/>
    </w:rPr>
  </w:style>
  <w:style w:type="paragraph" w:customStyle="1" w:styleId="20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字元 字元1"/>
    <w:basedOn w:val="1"/>
    <w:qFormat/>
    <w:uiPriority w:val="0"/>
    <w:rPr>
      <w:rFonts w:ascii="Tahoma" w:hAnsi="Tahoma"/>
      <w:sz w:val="24"/>
      <w:szCs w:val="20"/>
    </w:rPr>
  </w:style>
  <w:style w:type="paragraph" w:customStyle="1" w:styleId="210">
    <w:name w:val="_Style 160"/>
    <w:qFormat/>
    <w:uiPriority w:val="0"/>
    <w:rPr>
      <w:kern w:val="2"/>
      <w:sz w:val="21"/>
      <w:szCs w:val="24"/>
      <w:lang w:val="en-US" w:eastAsia="zh-CN" w:bidi="ar-SA"/>
    </w:rPr>
  </w:style>
  <w:style w:type="paragraph" w:customStyle="1" w:styleId="211">
    <w:name w:val="项目编号3"/>
    <w:basedOn w:val="168"/>
    <w:qFormat/>
    <w:uiPriority w:val="0"/>
    <w:pPr>
      <w:numPr>
        <w:ilvl w:val="0"/>
        <w:numId w:val="6"/>
      </w:numPr>
    </w:pPr>
  </w:style>
  <w:style w:type="paragraph" w:customStyle="1" w:styleId="212">
    <w:name w:val="Char21"/>
    <w:basedOn w:val="1"/>
    <w:qFormat/>
    <w:uiPriority w:val="0"/>
    <w:rPr>
      <w:rFonts w:ascii="Tahoma" w:hAnsi="Tahoma"/>
      <w:sz w:val="24"/>
      <w:szCs w:val="20"/>
    </w:rPr>
  </w:style>
  <w:style w:type="paragraph" w:customStyle="1" w:styleId="213">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14">
    <w:name w:val="Char Char Char Char Char Char Char Char Char Char1"/>
    <w:basedOn w:val="1"/>
    <w:qFormat/>
    <w:uiPriority w:val="0"/>
    <w:rPr>
      <w:rFonts w:ascii="宋体" w:hAnsi="宋体" w:cs="Courier New"/>
      <w:sz w:val="32"/>
      <w:szCs w:val="32"/>
    </w:rPr>
  </w:style>
  <w:style w:type="paragraph" w:customStyle="1" w:styleId="215">
    <w:name w:val="正文文本样式 加粗"/>
    <w:basedOn w:val="168"/>
    <w:qFormat/>
    <w:uiPriority w:val="0"/>
    <w:rPr>
      <w:b/>
    </w:rPr>
  </w:style>
  <w:style w:type="paragraph" w:customStyle="1" w:styleId="216">
    <w:name w:val="Char2 Char Char Char Char Char Char"/>
    <w:basedOn w:val="1"/>
    <w:qFormat/>
    <w:uiPriority w:val="0"/>
    <w:pPr>
      <w:widowControl/>
      <w:spacing w:line="400" w:lineRule="exact"/>
      <w:jc w:val="center"/>
    </w:pPr>
  </w:style>
  <w:style w:type="paragraph" w:customStyle="1" w:styleId="217">
    <w:name w:val="Char Char4"/>
    <w:basedOn w:val="1"/>
    <w:qFormat/>
    <w:uiPriority w:val="0"/>
    <w:pPr>
      <w:widowControl/>
      <w:spacing w:line="400" w:lineRule="exact"/>
      <w:jc w:val="center"/>
    </w:pPr>
  </w:style>
  <w:style w:type="paragraph" w:customStyle="1" w:styleId="218">
    <w:name w:val="Char3 Char Char Char1"/>
    <w:basedOn w:val="1"/>
    <w:qFormat/>
    <w:uiPriority w:val="0"/>
    <w:rPr>
      <w:rFonts w:ascii="Tahoma" w:hAnsi="Tahoma"/>
      <w:sz w:val="24"/>
      <w:szCs w:val="20"/>
    </w:rPr>
  </w:style>
  <w:style w:type="paragraph" w:styleId="219">
    <w:name w:val="No Spacing"/>
    <w:qFormat/>
    <w:uiPriority w:val="1"/>
    <w:pPr>
      <w:widowControl w:val="0"/>
      <w:jc w:val="both"/>
    </w:pPr>
    <w:rPr>
      <w:kern w:val="2"/>
      <w:sz w:val="21"/>
      <w:szCs w:val="24"/>
      <w:lang w:val="en-US" w:eastAsia="zh-CN" w:bidi="ar-SA"/>
    </w:rPr>
  </w:style>
  <w:style w:type="paragraph" w:customStyle="1" w:styleId="22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21">
    <w:name w:val="中等深浅网格 1 - 强调文字颜色 2 Char"/>
    <w:link w:val="222"/>
    <w:qFormat/>
    <w:uiPriority w:val="0"/>
    <w:rPr>
      <w:kern w:val="2"/>
      <w:sz w:val="21"/>
      <w:szCs w:val="24"/>
      <w:lang w:val="zh-CN" w:eastAsia="zh-CN"/>
    </w:rPr>
  </w:style>
  <w:style w:type="paragraph" w:customStyle="1" w:styleId="222">
    <w:name w:val="1"/>
    <w:link w:val="221"/>
    <w:qFormat/>
    <w:uiPriority w:val="0"/>
    <w:rPr>
      <w:kern w:val="2"/>
      <w:sz w:val="21"/>
      <w:szCs w:val="24"/>
      <w:lang w:val="zh-CN" w:eastAsia="zh-CN" w:bidi="ar-SA"/>
    </w:rPr>
  </w:style>
  <w:style w:type="paragraph" w:customStyle="1" w:styleId="223">
    <w:name w:val="图文"/>
    <w:basedOn w:val="1"/>
    <w:qFormat/>
    <w:uiPriority w:val="0"/>
    <w:pPr>
      <w:adjustRightInd w:val="0"/>
      <w:snapToGrid w:val="0"/>
      <w:spacing w:after="50" w:line="360" w:lineRule="auto"/>
    </w:pPr>
    <w:rPr>
      <w:sz w:val="24"/>
    </w:rPr>
  </w:style>
  <w:style w:type="paragraph" w:customStyle="1" w:styleId="22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25">
    <w:name w:val="正文表格"/>
    <w:basedOn w:val="1"/>
    <w:link w:val="226"/>
    <w:qFormat/>
    <w:uiPriority w:val="0"/>
    <w:pPr>
      <w:adjustRightInd w:val="0"/>
      <w:snapToGrid w:val="0"/>
      <w:jc w:val="left"/>
    </w:pPr>
    <w:rPr>
      <w:rFonts w:ascii="宋体" w:hAnsi="宋体"/>
      <w:color w:val="000000"/>
      <w:szCs w:val="21"/>
    </w:rPr>
  </w:style>
  <w:style w:type="character" w:customStyle="1" w:styleId="226">
    <w:name w:val="正文表格 Char"/>
    <w:link w:val="225"/>
    <w:qFormat/>
    <w:uiPriority w:val="0"/>
    <w:rPr>
      <w:rFonts w:ascii="宋体" w:hAnsi="宋体"/>
      <w:color w:val="000000"/>
      <w:kern w:val="2"/>
      <w:sz w:val="21"/>
      <w:szCs w:val="21"/>
    </w:rPr>
  </w:style>
  <w:style w:type="paragraph" w:customStyle="1" w:styleId="227">
    <w:name w:val="正文重点"/>
    <w:basedOn w:val="1"/>
    <w:link w:val="228"/>
    <w:qFormat/>
    <w:uiPriority w:val="0"/>
    <w:pPr>
      <w:adjustRightInd w:val="0"/>
      <w:spacing w:line="360" w:lineRule="auto"/>
      <w:ind w:firstLine="482" w:firstLineChars="200"/>
      <w:jc w:val="left"/>
      <w:textAlignment w:val="baseline"/>
    </w:pPr>
    <w:rPr>
      <w:b/>
      <w:kern w:val="0"/>
      <w:sz w:val="24"/>
      <w:szCs w:val="20"/>
    </w:rPr>
  </w:style>
  <w:style w:type="character" w:customStyle="1" w:styleId="228">
    <w:name w:val="正文重点 Char"/>
    <w:link w:val="227"/>
    <w:qFormat/>
    <w:uiPriority w:val="0"/>
    <w:rPr>
      <w:b/>
      <w:sz w:val="24"/>
    </w:rPr>
  </w:style>
  <w:style w:type="paragraph" w:customStyle="1" w:styleId="229">
    <w:name w:val="标题1-附件"/>
    <w:basedOn w:val="4"/>
    <w:qFormat/>
    <w:uiPriority w:val="0"/>
    <w:pPr>
      <w:jc w:val="left"/>
    </w:pPr>
    <w:rPr>
      <w:sz w:val="24"/>
      <w:szCs w:val="24"/>
    </w:rPr>
  </w:style>
  <w:style w:type="paragraph" w:customStyle="1" w:styleId="230">
    <w:name w:val="正文小标题"/>
    <w:basedOn w:val="1"/>
    <w:next w:val="6"/>
    <w:link w:val="23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31">
    <w:name w:val="正文小标题 Char"/>
    <w:link w:val="230"/>
    <w:qFormat/>
    <w:uiPriority w:val="0"/>
    <w:rPr>
      <w:rFonts w:ascii="宋体" w:hAnsi="宋体"/>
      <w:b/>
      <w:i/>
      <w:color w:val="FF0000"/>
      <w:kern w:val="2"/>
      <w:sz w:val="24"/>
    </w:rPr>
  </w:style>
  <w:style w:type="paragraph" w:customStyle="1" w:styleId="232">
    <w:name w:val="正文大标题"/>
    <w:basedOn w:val="230"/>
    <w:next w:val="6"/>
    <w:link w:val="233"/>
    <w:qFormat/>
    <w:uiPriority w:val="0"/>
    <w:pPr>
      <w:jc w:val="center"/>
    </w:pPr>
    <w:rPr>
      <w:i w:val="0"/>
      <w:color w:val="000000"/>
      <w:sz w:val="28"/>
      <w:szCs w:val="21"/>
    </w:rPr>
  </w:style>
  <w:style w:type="character" w:customStyle="1" w:styleId="233">
    <w:name w:val="正文大标题 Char"/>
    <w:link w:val="232"/>
    <w:qFormat/>
    <w:uiPriority w:val="0"/>
    <w:rPr>
      <w:rFonts w:ascii="宋体" w:hAnsi="宋体"/>
      <w:b/>
      <w:color w:val="000000"/>
      <w:kern w:val="2"/>
      <w:sz w:val="28"/>
      <w:szCs w:val="21"/>
    </w:rPr>
  </w:style>
  <w:style w:type="paragraph" w:customStyle="1" w:styleId="234">
    <w:name w:val="注释"/>
    <w:basedOn w:val="1"/>
    <w:link w:val="235"/>
    <w:qFormat/>
    <w:uiPriority w:val="0"/>
    <w:pPr>
      <w:adjustRightInd w:val="0"/>
      <w:snapToGrid w:val="0"/>
      <w:ind w:left="420" w:hanging="420" w:hangingChars="200"/>
      <w:jc w:val="left"/>
    </w:pPr>
    <w:rPr>
      <w:rFonts w:ascii="宋体" w:hAnsi="宋体"/>
      <w:szCs w:val="21"/>
    </w:rPr>
  </w:style>
  <w:style w:type="character" w:customStyle="1" w:styleId="235">
    <w:name w:val="注释 Char"/>
    <w:link w:val="234"/>
    <w:qFormat/>
    <w:uiPriority w:val="0"/>
    <w:rPr>
      <w:rFonts w:ascii="宋体" w:hAnsi="宋体"/>
      <w:kern w:val="2"/>
      <w:sz w:val="21"/>
      <w:szCs w:val="21"/>
    </w:rPr>
  </w:style>
  <w:style w:type="paragraph" w:customStyle="1" w:styleId="23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3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3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39">
    <w:name w:val="纯文本 字符"/>
    <w:qFormat/>
    <w:uiPriority w:val="0"/>
    <w:rPr>
      <w:rFonts w:ascii="宋体" w:hAnsi="Courier New" w:eastAsia="宋体" w:cs="Times New Roman"/>
      <w:kern w:val="2"/>
      <w:sz w:val="21"/>
      <w:szCs w:val="21"/>
      <w:lang w:val="en-US" w:eastAsia="zh-CN" w:bidi="ar-SA"/>
    </w:rPr>
  </w:style>
  <w:style w:type="paragraph" w:customStyle="1" w:styleId="240">
    <w:name w:val="表格1"/>
    <w:basedOn w:val="1"/>
    <w:qFormat/>
    <w:uiPriority w:val="0"/>
    <w:pPr>
      <w:ind w:firstLine="480" w:firstLineChars="200"/>
      <w:jc w:val="center"/>
    </w:pPr>
    <w:rPr>
      <w:sz w:val="24"/>
      <w:szCs w:val="20"/>
    </w:rPr>
  </w:style>
  <w:style w:type="character" w:customStyle="1" w:styleId="241">
    <w:name w:val="纯文本 字符1"/>
    <w:qFormat/>
    <w:uiPriority w:val="0"/>
    <w:rPr>
      <w:rFonts w:ascii="宋体" w:hAnsi="Courier New"/>
    </w:rPr>
  </w:style>
  <w:style w:type="character" w:customStyle="1" w:styleId="242">
    <w:name w:val="bjh-p"/>
    <w:qFormat/>
    <w:uiPriority w:val="0"/>
  </w:style>
  <w:style w:type="paragraph" w:customStyle="1" w:styleId="243">
    <w:name w:val="无标题条"/>
    <w:next w:val="1"/>
    <w:qFormat/>
    <w:uiPriority w:val="0"/>
    <w:pPr>
      <w:jc w:val="both"/>
    </w:pPr>
    <w:rPr>
      <w:sz w:val="21"/>
      <w:lang w:val="en-US" w:eastAsia="zh-CN" w:bidi="ar-SA"/>
    </w:rPr>
  </w:style>
  <w:style w:type="character" w:customStyle="1" w:styleId="244">
    <w:name w:val="正文格式 Char"/>
    <w:link w:val="245"/>
    <w:qFormat/>
    <w:locked/>
    <w:uiPriority w:val="0"/>
    <w:rPr>
      <w:rFonts w:ascii="宋体" w:hAnsi="宋体"/>
      <w:sz w:val="24"/>
      <w:szCs w:val="24"/>
      <w:lang w:val="en-GB"/>
    </w:rPr>
  </w:style>
  <w:style w:type="paragraph" w:customStyle="1" w:styleId="245">
    <w:name w:val="正文格式"/>
    <w:basedOn w:val="1"/>
    <w:link w:val="244"/>
    <w:qFormat/>
    <w:uiPriority w:val="0"/>
    <w:pPr>
      <w:spacing w:beforeLines="50" w:line="360" w:lineRule="auto"/>
      <w:ind w:firstLine="480" w:firstLineChars="200"/>
    </w:pPr>
    <w:rPr>
      <w:rFonts w:ascii="宋体" w:hAnsi="宋体"/>
      <w:kern w:val="0"/>
      <w:sz w:val="24"/>
      <w:lang w:val="en-GB"/>
    </w:rPr>
  </w:style>
  <w:style w:type="character" w:customStyle="1" w:styleId="246">
    <w:name w:val="标题 3 Char"/>
    <w:qFormat/>
    <w:uiPriority w:val="1"/>
    <w:rPr>
      <w:rFonts w:ascii="宋体" w:eastAsia="宋体"/>
      <w:b/>
      <w:sz w:val="24"/>
      <w:u w:val="single"/>
      <w:lang w:val="en-US" w:eastAsia="zh-CN" w:bidi="ar-SA"/>
    </w:rPr>
  </w:style>
  <w:style w:type="character" w:customStyle="1" w:styleId="247">
    <w:name w:val="正文缩进 Char"/>
    <w:qFormat/>
    <w:uiPriority w:val="0"/>
    <w:rPr>
      <w:rFonts w:ascii="宋体" w:eastAsia="宋体"/>
      <w:kern w:val="2"/>
      <w:sz w:val="24"/>
      <w:szCs w:val="24"/>
      <w:lang w:val="en-US" w:eastAsia="zh-CN" w:bidi="ar-SA"/>
    </w:rPr>
  </w:style>
  <w:style w:type="character" w:customStyle="1" w:styleId="248">
    <w:name w:val="Char Char111"/>
    <w:qFormat/>
    <w:uiPriority w:val="0"/>
    <w:rPr>
      <w:rFonts w:ascii="宋体" w:eastAsia="宋体"/>
      <w:b/>
      <w:sz w:val="24"/>
      <w:u w:val="single"/>
      <w:lang w:val="en-US" w:eastAsia="zh-CN" w:bidi="ar-SA"/>
    </w:rPr>
  </w:style>
  <w:style w:type="character" w:customStyle="1" w:styleId="249">
    <w:name w:val="正文文本缩进 Char"/>
    <w:qFormat/>
    <w:uiPriority w:val="0"/>
    <w:rPr>
      <w:rFonts w:eastAsia="宋体"/>
      <w:kern w:val="2"/>
      <w:sz w:val="24"/>
      <w:szCs w:val="24"/>
      <w:lang w:val="en-US" w:eastAsia="zh-CN" w:bidi="ar-SA"/>
    </w:rPr>
  </w:style>
  <w:style w:type="character" w:customStyle="1" w:styleId="250">
    <w:name w:val="列出段落 Char"/>
    <w:qFormat/>
    <w:uiPriority w:val="34"/>
    <w:rPr>
      <w:rFonts w:ascii="Calibri" w:hAnsi="Calibri" w:eastAsia="宋体"/>
      <w:kern w:val="2"/>
      <w:sz w:val="21"/>
      <w:szCs w:val="22"/>
      <w:lang w:val="en-US" w:eastAsia="zh-CN" w:bidi="ar-SA"/>
    </w:rPr>
  </w:style>
  <w:style w:type="character" w:customStyle="1" w:styleId="251">
    <w:name w:val="页眉 Char"/>
    <w:qFormat/>
    <w:uiPriority w:val="99"/>
    <w:rPr>
      <w:rFonts w:eastAsia="宋体"/>
      <w:kern w:val="2"/>
      <w:sz w:val="18"/>
      <w:szCs w:val="18"/>
      <w:lang w:val="en-US" w:eastAsia="zh-CN" w:bidi="ar-SA"/>
    </w:rPr>
  </w:style>
  <w:style w:type="character" w:customStyle="1" w:styleId="252">
    <w:name w:val="标题 2 Char"/>
    <w:qFormat/>
    <w:uiPriority w:val="1"/>
    <w:rPr>
      <w:rFonts w:ascii="Arial" w:hAnsi="Arial" w:eastAsia="黑体"/>
      <w:b/>
      <w:sz w:val="30"/>
      <w:lang w:val="en-US" w:eastAsia="zh-CN" w:bidi="ar-SA"/>
    </w:rPr>
  </w:style>
  <w:style w:type="paragraph" w:customStyle="1" w:styleId="253">
    <w:name w:val="字元 字元2"/>
    <w:basedOn w:val="1"/>
    <w:qFormat/>
    <w:uiPriority w:val="0"/>
    <w:rPr>
      <w:rFonts w:ascii="Tahoma" w:hAnsi="Tahoma"/>
      <w:sz w:val="24"/>
      <w:szCs w:val="20"/>
    </w:rPr>
  </w:style>
  <w:style w:type="paragraph" w:customStyle="1" w:styleId="254">
    <w:name w:val="Char3 Char Char Char2"/>
    <w:basedOn w:val="1"/>
    <w:qFormat/>
    <w:uiPriority w:val="0"/>
    <w:rPr>
      <w:rFonts w:ascii="Tahoma" w:hAnsi="Tahoma"/>
      <w:sz w:val="24"/>
      <w:szCs w:val="20"/>
    </w:rPr>
  </w:style>
  <w:style w:type="paragraph" w:customStyle="1" w:styleId="255">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56">
    <w:name w:val="Char3"/>
    <w:basedOn w:val="1"/>
    <w:qFormat/>
    <w:uiPriority w:val="0"/>
    <w:pPr>
      <w:tabs>
        <w:tab w:val="left" w:pos="360"/>
      </w:tabs>
    </w:pPr>
    <w:rPr>
      <w:sz w:val="24"/>
    </w:rPr>
  </w:style>
  <w:style w:type="paragraph" w:customStyle="1" w:styleId="25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5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9">
    <w:name w:val="列出段落2"/>
    <w:basedOn w:val="1"/>
    <w:qFormat/>
    <w:uiPriority w:val="99"/>
    <w:pPr>
      <w:ind w:firstLine="420" w:firstLineChars="200"/>
    </w:pPr>
    <w:rPr>
      <w:rFonts w:ascii="Calibri" w:hAnsi="Calibri"/>
      <w:szCs w:val="22"/>
    </w:rPr>
  </w:style>
  <w:style w:type="paragraph" w:customStyle="1" w:styleId="260">
    <w:name w:val="Char Char Char1 Char2"/>
    <w:basedOn w:val="1"/>
    <w:qFormat/>
    <w:uiPriority w:val="0"/>
    <w:rPr>
      <w:rFonts w:ascii="Tahoma" w:hAnsi="Tahoma"/>
      <w:sz w:val="24"/>
      <w:szCs w:val="20"/>
    </w:rPr>
  </w:style>
  <w:style w:type="paragraph" w:customStyle="1" w:styleId="261">
    <w:name w:val="Char Char Char2"/>
    <w:basedOn w:val="1"/>
    <w:qFormat/>
    <w:uiPriority w:val="0"/>
    <w:rPr>
      <w:rFonts w:ascii="Tahoma" w:hAnsi="Tahoma"/>
      <w:sz w:val="24"/>
      <w:szCs w:val="20"/>
    </w:rPr>
  </w:style>
  <w:style w:type="paragraph" w:customStyle="1" w:styleId="26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6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64">
    <w:name w:val="Revision"/>
    <w:qFormat/>
    <w:uiPriority w:val="0"/>
    <w:rPr>
      <w:kern w:val="2"/>
      <w:sz w:val="21"/>
      <w:szCs w:val="24"/>
      <w:lang w:val="en-US" w:eastAsia="zh-CN" w:bidi="ar-SA"/>
    </w:rPr>
  </w:style>
  <w:style w:type="paragraph" w:customStyle="1" w:styleId="265">
    <w:name w:val="Char22"/>
    <w:basedOn w:val="1"/>
    <w:qFormat/>
    <w:uiPriority w:val="0"/>
    <w:rPr>
      <w:rFonts w:ascii="Tahoma" w:hAnsi="Tahoma"/>
      <w:sz w:val="24"/>
      <w:szCs w:val="20"/>
    </w:rPr>
  </w:style>
  <w:style w:type="paragraph" w:customStyle="1" w:styleId="266">
    <w:name w:val="Char Char Char Char Char Char Char Char Char Char2"/>
    <w:basedOn w:val="1"/>
    <w:qFormat/>
    <w:uiPriority w:val="0"/>
    <w:rPr>
      <w:rFonts w:ascii="宋体" w:hAnsi="宋体" w:cs="Courier New"/>
      <w:sz w:val="32"/>
      <w:szCs w:val="32"/>
    </w:rPr>
  </w:style>
  <w:style w:type="paragraph" w:customStyle="1" w:styleId="267">
    <w:name w:val="Char2 Char Char Char Char Char Char1"/>
    <w:basedOn w:val="1"/>
    <w:qFormat/>
    <w:uiPriority w:val="0"/>
    <w:pPr>
      <w:widowControl/>
      <w:spacing w:line="400" w:lineRule="exact"/>
      <w:jc w:val="center"/>
    </w:pPr>
  </w:style>
  <w:style w:type="character" w:customStyle="1" w:styleId="268">
    <w:name w:val="页脚 Char"/>
    <w:qFormat/>
    <w:uiPriority w:val="99"/>
    <w:rPr>
      <w:rFonts w:ascii="宋体" w:eastAsia="宋体"/>
      <w:sz w:val="18"/>
      <w:lang w:val="en-US" w:eastAsia="zh-CN" w:bidi="ar-SA"/>
    </w:rPr>
  </w:style>
  <w:style w:type="paragraph" w:customStyle="1" w:styleId="269">
    <w:name w:val="Char Char41"/>
    <w:basedOn w:val="1"/>
    <w:qFormat/>
    <w:uiPriority w:val="0"/>
    <w:pPr>
      <w:widowControl/>
      <w:spacing w:line="400" w:lineRule="exact"/>
      <w:jc w:val="center"/>
    </w:pPr>
  </w:style>
  <w:style w:type="character" w:customStyle="1" w:styleId="270">
    <w:name w:val="批注文字 Char"/>
    <w:qFormat/>
    <w:uiPriority w:val="0"/>
    <w:rPr>
      <w:kern w:val="2"/>
      <w:sz w:val="21"/>
      <w:szCs w:val="24"/>
    </w:rPr>
  </w:style>
  <w:style w:type="character" w:customStyle="1" w:styleId="271">
    <w:name w:val="标题 Char"/>
    <w:qFormat/>
    <w:uiPriority w:val="0"/>
    <w:rPr>
      <w:b/>
      <w:kern w:val="2"/>
      <w:sz w:val="32"/>
    </w:rPr>
  </w:style>
  <w:style w:type="paragraph" w:customStyle="1" w:styleId="272">
    <w:name w:val="图例"/>
    <w:basedOn w:val="1"/>
    <w:qFormat/>
    <w:uiPriority w:val="0"/>
    <w:pPr>
      <w:spacing w:before="120" w:after="120" w:line="360" w:lineRule="auto"/>
      <w:jc w:val="center"/>
    </w:pPr>
    <w:rPr>
      <w:rFonts w:eastAsia="仿宋_GB2312"/>
      <w:b/>
      <w:sz w:val="24"/>
      <w:szCs w:val="20"/>
    </w:rPr>
  </w:style>
  <w:style w:type="paragraph" w:customStyle="1" w:styleId="273">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74">
    <w:name w:val="Table Normal"/>
    <w:qFormat/>
    <w:uiPriority w:val="0"/>
    <w:pPr>
      <w:widowControl w:val="0"/>
      <w:autoSpaceDE w:val="0"/>
      <w:autoSpaceDN w:val="0"/>
    </w:pPr>
    <w:rPr>
      <w:rFonts w:ascii="Calibri" w:hAnsi="Calibri"/>
      <w:sz w:val="22"/>
      <w:szCs w:val="22"/>
      <w:lang w:val="en-US" w:eastAsia="en-US" w:bidi="ar-SA"/>
    </w:rPr>
    <w:tblPr>
      <w:tblStyle w:val="61"/>
      <w:tblCellMar>
        <w:top w:w="0" w:type="dxa"/>
        <w:left w:w="0" w:type="dxa"/>
        <w:bottom w:w="0" w:type="dxa"/>
        <w:right w:w="0" w:type="dxa"/>
      </w:tblCellMar>
    </w:tblPr>
  </w:style>
  <w:style w:type="paragraph" w:customStyle="1" w:styleId="275">
    <w:name w:val="Table Text"/>
    <w:basedOn w:val="1"/>
    <w:semiHidden/>
    <w:qFormat/>
    <w:uiPriority w:val="0"/>
    <w:rPr>
      <w:rFonts w:ascii="Arial" w:hAnsi="Arial" w:eastAsia="Arial" w:cs="Arial"/>
      <w:sz w:val="21"/>
      <w:szCs w:val="21"/>
      <w:lang w:val="en-US" w:eastAsia="en-US" w:bidi="ar-SA"/>
    </w:rPr>
  </w:style>
  <w:style w:type="paragraph" w:customStyle="1" w:styleId="276">
    <w:name w:val=" Char Char Char Char Char Char1 Char Char Char Char"/>
    <w:basedOn w:val="19"/>
    <w:uiPriority w:val="0"/>
    <w:rPr>
      <w:rFonts w:ascii="Tahoma" w:hAnsi="Tahoma"/>
      <w:sz w:val="24"/>
    </w:rPr>
  </w:style>
  <w:style w:type="paragraph" w:customStyle="1" w:styleId="277">
    <w:name w:val="my正文"/>
    <w:basedOn w:val="1"/>
    <w:qFormat/>
    <w:uiPriority w:val="0"/>
    <w:pPr>
      <w:ind w:firstLine="480"/>
    </w:pPr>
  </w:style>
  <w:style w:type="character" w:customStyle="1" w:styleId="278">
    <w:name w:val="标题 4 字符"/>
    <w:qFormat/>
    <w:uiPriority w:val="0"/>
    <w:rPr>
      <w:rFonts w:ascii="Arial" w:hAnsi="Arial" w:eastAsia="黑体" w:cs="Times New Roman"/>
      <w:b/>
      <w:bCs/>
      <w:kern w:val="2"/>
      <w:sz w:val="28"/>
      <w:szCs w:val="28"/>
    </w:rPr>
  </w:style>
  <w:style w:type="character" w:customStyle="1" w:styleId="279">
    <w:name w:val="标题 5 字符"/>
    <w:qFormat/>
    <w:uiPriority w:val="0"/>
    <w:rPr>
      <w:rFonts w:ascii="Times New Roman" w:hAnsi="Times New Roman" w:eastAsia="宋体" w:cs="Times New Roman"/>
      <w:b/>
      <w:bCs/>
      <w:sz w:val="28"/>
      <w:szCs w:val="28"/>
    </w:rPr>
  </w:style>
  <w:style w:type="character" w:customStyle="1" w:styleId="280">
    <w:name w:val="标题 1 字符"/>
    <w:qFormat/>
    <w:uiPriority w:val="0"/>
    <w:rPr>
      <w:rFonts w:ascii="Times New Roman" w:hAnsi="Times New Roman" w:eastAsia="宋体" w:cs="Times New Roman"/>
      <w:b/>
      <w:bCs/>
      <w:kern w:val="44"/>
      <w:sz w:val="24"/>
      <w:szCs w:val="24"/>
    </w:rPr>
  </w:style>
  <w:style w:type="character" w:customStyle="1" w:styleId="281">
    <w:name w:val="标题 2 字符"/>
    <w:qFormat/>
    <w:uiPriority w:val="0"/>
    <w:rPr>
      <w:rFonts w:ascii="Cambria" w:hAnsi="Cambria" w:eastAsia="宋体" w:cs="Times New Roman"/>
      <w:b/>
      <w:bCs/>
      <w:sz w:val="32"/>
      <w:szCs w:val="32"/>
    </w:rPr>
  </w:style>
  <w:style w:type="character" w:customStyle="1" w:styleId="282">
    <w:name w:val="正文缩进 字符"/>
    <w:qFormat/>
    <w:uiPriority w:val="0"/>
    <w:rPr>
      <w:rFonts w:ascii="宋体" w:hAnsi="宋体" w:cs="Times New Roman"/>
      <w:b/>
      <w:kern w:val="2"/>
      <w:sz w:val="24"/>
      <w:szCs w:val="24"/>
    </w:rPr>
  </w:style>
  <w:style w:type="character" w:customStyle="1" w:styleId="283">
    <w:name w:val="标题 3 字符"/>
    <w:qFormat/>
    <w:uiPriority w:val="0"/>
    <w:rPr>
      <w:rFonts w:ascii="Times New Roman" w:hAnsi="Times New Roman" w:eastAsia="宋体" w:cs="Times New Roman"/>
      <w:b/>
      <w:bCs/>
      <w:sz w:val="32"/>
      <w:szCs w:val="32"/>
    </w:rPr>
  </w:style>
  <w:style w:type="character" w:customStyle="1" w:styleId="284">
    <w:name w:val="标题 6 字符"/>
    <w:qFormat/>
    <w:uiPriority w:val="0"/>
    <w:rPr>
      <w:rFonts w:ascii="Arial" w:hAnsi="Arial" w:eastAsia="黑体" w:cs="Times New Roman"/>
      <w:b/>
      <w:bCs/>
      <w:kern w:val="1"/>
      <w:sz w:val="24"/>
      <w:szCs w:val="24"/>
      <w:lang w:eastAsia="ar-SA"/>
    </w:rPr>
  </w:style>
  <w:style w:type="character" w:customStyle="1" w:styleId="285">
    <w:name w:val="标题 7 字符"/>
    <w:qFormat/>
    <w:uiPriority w:val="0"/>
    <w:rPr>
      <w:rFonts w:ascii="Times New Roman" w:hAnsi="Times New Roman" w:eastAsia="宋体" w:cs="Times New Roman"/>
      <w:b/>
      <w:bCs/>
      <w:kern w:val="1"/>
      <w:sz w:val="24"/>
      <w:szCs w:val="24"/>
      <w:lang w:eastAsia="ar-SA"/>
    </w:rPr>
  </w:style>
  <w:style w:type="character" w:customStyle="1" w:styleId="286">
    <w:name w:val="标题 8 字符"/>
    <w:qFormat/>
    <w:uiPriority w:val="0"/>
    <w:rPr>
      <w:rFonts w:ascii="Arial" w:hAnsi="Arial" w:eastAsia="黑体" w:cs="Times New Roman"/>
      <w:kern w:val="1"/>
      <w:sz w:val="24"/>
      <w:szCs w:val="24"/>
      <w:lang w:eastAsia="ar-SA"/>
    </w:rPr>
  </w:style>
  <w:style w:type="character" w:customStyle="1" w:styleId="287">
    <w:name w:val="标题 9 字符"/>
    <w:qFormat/>
    <w:uiPriority w:val="0"/>
    <w:rPr>
      <w:rFonts w:ascii="Arial" w:hAnsi="Arial" w:eastAsia="黑体" w:cs="Times New Roman"/>
      <w:kern w:val="1"/>
      <w:szCs w:val="21"/>
      <w:lang w:eastAsia="ar-SA"/>
    </w:rPr>
  </w:style>
  <w:style w:type="character" w:customStyle="1" w:styleId="288">
    <w:name w:val="页眉 字符"/>
    <w:qFormat/>
    <w:uiPriority w:val="0"/>
    <w:rPr>
      <w:sz w:val="18"/>
      <w:szCs w:val="18"/>
    </w:rPr>
  </w:style>
  <w:style w:type="character" w:customStyle="1" w:styleId="289">
    <w:name w:val="页脚 字符"/>
    <w:qFormat/>
    <w:uiPriority w:val="99"/>
    <w:rPr>
      <w:sz w:val="18"/>
      <w:szCs w:val="18"/>
    </w:rPr>
  </w:style>
  <w:style w:type="character" w:customStyle="1" w:styleId="290">
    <w:name w:val="prev"/>
    <w:qFormat/>
    <w:uiPriority w:val="0"/>
    <w:rPr>
      <w:color w:val="888888"/>
      <w:bdr w:val="single" w:color="0088CC" w:sz="6" w:space="0"/>
      <w:shd w:val="clear" w:color="auto" w:fill="0088CC"/>
    </w:rPr>
  </w:style>
  <w:style w:type="paragraph" w:customStyle="1" w:styleId="291">
    <w:name w:val="日期1"/>
    <w:basedOn w:val="1"/>
    <w:next w:val="1"/>
    <w:qFormat/>
    <w:uiPriority w:val="0"/>
    <w:pPr>
      <w:adjustRightInd w:val="0"/>
      <w:snapToGrid w:val="0"/>
      <w:spacing w:after="156" w:afterLines="50" w:line="360" w:lineRule="auto"/>
      <w:ind w:left="100" w:leftChars="2500" w:firstLine="480" w:firstLineChars="200"/>
    </w:pPr>
    <w:rPr>
      <w:rFonts w:ascii="Calibri" w:hAnsi="Calibri" w:eastAsia="宋体"/>
      <w:sz w:val="24"/>
    </w:rPr>
  </w:style>
  <w:style w:type="character" w:customStyle="1" w:styleId="292">
    <w:name w:val="font101"/>
    <w:qFormat/>
    <w:uiPriority w:val="0"/>
    <w:rPr>
      <w:rFonts w:hint="eastAsia" w:ascii="宋体" w:hAnsi="宋体" w:eastAsia="宋体" w:cs="宋体"/>
      <w:color w:val="000000"/>
      <w:sz w:val="22"/>
      <w:szCs w:val="22"/>
      <w:u w:val="none"/>
    </w:rPr>
  </w:style>
  <w:style w:type="character" w:customStyle="1" w:styleId="293">
    <w:name w:val="正文题注 Char"/>
    <w:qFormat/>
    <w:uiPriority w:val="0"/>
    <w:rPr>
      <w:rFonts w:eastAsia="黑体" w:cs="Arial"/>
      <w:kern w:val="1"/>
      <w:sz w:val="21"/>
      <w:szCs w:val="21"/>
      <w:lang w:val="en-US" w:eastAsia="ar-SA" w:bidi="ar-SA"/>
    </w:rPr>
  </w:style>
  <w:style w:type="character" w:customStyle="1" w:styleId="294">
    <w:name w:val="font51"/>
    <w:qFormat/>
    <w:uiPriority w:val="99"/>
    <w:rPr>
      <w:rFonts w:hint="eastAsia" w:ascii="宋体" w:hAnsi="宋体" w:eastAsia="宋体" w:cs="宋体"/>
      <w:color w:val="000000"/>
      <w:sz w:val="22"/>
      <w:szCs w:val="22"/>
      <w:u w:val="none"/>
    </w:rPr>
  </w:style>
  <w:style w:type="character" w:customStyle="1" w:styleId="295">
    <w:name w:val="font"/>
    <w:qFormat/>
    <w:uiPriority w:val="0"/>
  </w:style>
  <w:style w:type="character" w:customStyle="1" w:styleId="296">
    <w:name w:val="inf"/>
    <w:qFormat/>
    <w:uiPriority w:val="0"/>
    <w:rPr>
      <w:color w:val="333333"/>
      <w:sz w:val="18"/>
      <w:szCs w:val="18"/>
      <w:shd w:val="clear" w:color="auto" w:fill="EEEEEE"/>
    </w:rPr>
  </w:style>
  <w:style w:type="character" w:customStyle="1" w:styleId="297">
    <w:name w:val="正文文本 3 字符"/>
    <w:qFormat/>
    <w:uiPriority w:val="0"/>
    <w:rPr>
      <w:sz w:val="16"/>
      <w:szCs w:val="16"/>
    </w:rPr>
  </w:style>
  <w:style w:type="character" w:customStyle="1" w:styleId="298">
    <w:name w:val="H6 Char"/>
    <w:qFormat/>
    <w:uiPriority w:val="0"/>
    <w:rPr>
      <w:rFonts w:ascii="Arial" w:hAnsi="Arial" w:eastAsia="黑体"/>
      <w:b/>
      <w:bCs/>
      <w:kern w:val="1"/>
      <w:sz w:val="24"/>
      <w:szCs w:val="24"/>
      <w:lang w:val="en-US" w:eastAsia="ar-SA" w:bidi="ar-SA"/>
    </w:rPr>
  </w:style>
  <w:style w:type="character" w:customStyle="1" w:styleId="299">
    <w:name w:val="WW-默认段落字体"/>
    <w:qFormat/>
    <w:uiPriority w:val="0"/>
  </w:style>
  <w:style w:type="character" w:customStyle="1" w:styleId="300">
    <w:name w:val="next2"/>
    <w:qFormat/>
    <w:uiPriority w:val="0"/>
    <w:rPr>
      <w:color w:val="888888"/>
    </w:rPr>
  </w:style>
  <w:style w:type="character" w:customStyle="1" w:styleId="301">
    <w:name w:val="Char Char10"/>
    <w:qFormat/>
    <w:uiPriority w:val="0"/>
    <w:rPr>
      <w:rFonts w:eastAsia="黑体"/>
      <w:b/>
      <w:bCs/>
      <w:kern w:val="1"/>
      <w:sz w:val="21"/>
      <w:szCs w:val="24"/>
      <w:lang w:val="en-US" w:eastAsia="ar-SA" w:bidi="ar-SA"/>
    </w:rPr>
  </w:style>
  <w:style w:type="character" w:customStyle="1" w:styleId="302">
    <w:name w:val="批注主题 字符"/>
    <w:qFormat/>
    <w:uiPriority w:val="99"/>
    <w:rPr>
      <w:b/>
      <w:bCs/>
      <w:szCs w:val="24"/>
    </w:rPr>
  </w:style>
  <w:style w:type="character" w:customStyle="1" w:styleId="303">
    <w:name w:val="PIM 9 Char"/>
    <w:qFormat/>
    <w:uiPriority w:val="0"/>
    <w:rPr>
      <w:rFonts w:ascii="Arial" w:hAnsi="Arial" w:eastAsia="黑体"/>
      <w:kern w:val="1"/>
      <w:sz w:val="21"/>
      <w:szCs w:val="21"/>
      <w:lang w:val="en-US" w:eastAsia="ar-SA" w:bidi="ar-SA"/>
    </w:rPr>
  </w:style>
  <w:style w:type="character" w:customStyle="1" w:styleId="304">
    <w:name w:val="hover34"/>
    <w:qFormat/>
    <w:uiPriority w:val="0"/>
    <w:rPr>
      <w:shd w:val="clear" w:color="auto" w:fill="F3F3F3"/>
    </w:rPr>
  </w:style>
  <w:style w:type="character" w:customStyle="1" w:styleId="305">
    <w:name w:val="Heading 3 - old Char"/>
    <w:qFormat/>
    <w:uiPriority w:val="0"/>
    <w:rPr>
      <w:rFonts w:eastAsia="宋体"/>
      <w:b/>
      <w:bCs/>
      <w:kern w:val="1"/>
      <w:sz w:val="32"/>
      <w:szCs w:val="32"/>
      <w:lang w:val="en-US" w:eastAsia="ar-SA" w:bidi="ar-SA"/>
    </w:rPr>
  </w:style>
  <w:style w:type="character" w:customStyle="1" w:styleId="306">
    <w:name w:val="Formatvorlage Nur Text + Arial Char Char Char Char Char Char Char Char Char Char Char Char Char Char Char Char Char Char Char Char Char Char Char Char Char Char"/>
    <w:link w:val="307"/>
    <w:qFormat/>
    <w:uiPriority w:val="0"/>
    <w:rPr>
      <w:rFonts w:ascii="Arial" w:hAnsi="Arial"/>
      <w:szCs w:val="36"/>
      <w:lang w:val="de-DE"/>
    </w:rPr>
  </w:style>
  <w:style w:type="paragraph" w:customStyle="1" w:styleId="307">
    <w:name w:val="Formatvorlage Nur Text + Arial Char Char Char Char Char Char Char Char Char Char Char Char Char Char Char Char Char Char Char Char Char Char Char Char Char"/>
    <w:basedOn w:val="30"/>
    <w:link w:val="306"/>
    <w:qFormat/>
    <w:uiPriority w:val="0"/>
    <w:pPr>
      <w:widowControl/>
      <w:spacing w:after="160" w:line="320" w:lineRule="exact"/>
      <w:jc w:val="left"/>
    </w:pPr>
    <w:rPr>
      <w:rFonts w:hint="default" w:ascii="Arial" w:hAnsi="Arial"/>
      <w:kern w:val="0"/>
      <w:sz w:val="20"/>
      <w:szCs w:val="36"/>
      <w:lang w:val="de-DE"/>
    </w:rPr>
  </w:style>
  <w:style w:type="character" w:customStyle="1" w:styleId="308">
    <w:name w:val="不明显强调1"/>
    <w:qFormat/>
    <w:uiPriority w:val="0"/>
    <w:rPr>
      <w:i/>
      <w:iCs/>
      <w:color w:val="808080"/>
    </w:rPr>
  </w:style>
  <w:style w:type="character" w:customStyle="1" w:styleId="309">
    <w:name w:val="标题 字符"/>
    <w:qFormat/>
    <w:uiPriority w:val="10"/>
    <w:rPr>
      <w:rFonts w:ascii="Cambria" w:hAnsi="Cambria"/>
      <w:b/>
      <w:bCs/>
      <w:sz w:val="48"/>
      <w:szCs w:val="32"/>
    </w:rPr>
  </w:style>
  <w:style w:type="character" w:customStyle="1" w:styleId="310">
    <w:name w:val="文档结构图 字符"/>
    <w:qFormat/>
    <w:uiPriority w:val="99"/>
    <w:rPr>
      <w:szCs w:val="21"/>
      <w:shd w:val="clear" w:color="auto" w:fill="000080"/>
    </w:rPr>
  </w:style>
  <w:style w:type="character" w:customStyle="1" w:styleId="311">
    <w:name w:val="Char Char"/>
    <w:qFormat/>
    <w:uiPriority w:val="0"/>
    <w:rPr>
      <w:rFonts w:eastAsia="宋体"/>
      <w:b/>
      <w:bCs/>
      <w:kern w:val="1"/>
      <w:sz w:val="21"/>
      <w:szCs w:val="24"/>
      <w:lang w:val="en-US" w:eastAsia="ar-SA" w:bidi="ar-SA"/>
    </w:rPr>
  </w:style>
  <w:style w:type="character" w:customStyle="1" w:styleId="312">
    <w:name w:val="样式 正文首行缩进 2 + 首行缩进:  2 字符 Char"/>
    <w:qFormat/>
    <w:uiPriority w:val="0"/>
    <w:rPr>
      <w:rFonts w:eastAsia="宋体" w:cs="宋体"/>
      <w:kern w:val="1"/>
      <w:sz w:val="21"/>
      <w:lang w:val="en-US" w:eastAsia="ar-SA" w:bidi="ar-SA"/>
    </w:rPr>
  </w:style>
  <w:style w:type="character" w:customStyle="1" w:styleId="313">
    <w:name w:val="H4 Char"/>
    <w:qFormat/>
    <w:uiPriority w:val="0"/>
    <w:rPr>
      <w:rFonts w:ascii="Arial" w:hAnsi="Arial" w:eastAsia="黑体"/>
      <w:b/>
      <w:bCs/>
      <w:kern w:val="1"/>
      <w:sz w:val="28"/>
      <w:szCs w:val="28"/>
      <w:lang w:val="en-US" w:eastAsia="ar-SA" w:bidi="ar-SA"/>
    </w:rPr>
  </w:style>
  <w:style w:type="paragraph" w:customStyle="1" w:styleId="314">
    <w:name w:val="纯文本1"/>
    <w:uiPriority w:val="0"/>
    <w:pPr>
      <w:adjustRightInd w:val="0"/>
      <w:snapToGrid w:val="0"/>
      <w:spacing w:after="156" w:afterLines="50" w:line="360" w:lineRule="auto"/>
      <w:jc w:val="both"/>
    </w:pPr>
    <w:rPr>
      <w:rFonts w:ascii="宋体" w:hAnsi="Courier New" w:cs="Courier New"/>
      <w:kern w:val="2"/>
      <w:sz w:val="21"/>
      <w:szCs w:val="21"/>
      <w:lang w:val="en-US" w:eastAsia="zh-CN" w:bidi="ar-SA"/>
    </w:rPr>
  </w:style>
  <w:style w:type="character" w:customStyle="1" w:styleId="315">
    <w:name w:val="font01"/>
    <w:qFormat/>
    <w:uiPriority w:val="0"/>
    <w:rPr>
      <w:rFonts w:hint="eastAsia" w:ascii="宋体" w:hAnsi="宋体" w:eastAsia="宋体" w:cs="宋体"/>
      <w:color w:val="000000"/>
      <w:sz w:val="22"/>
      <w:szCs w:val="22"/>
      <w:u w:val="none"/>
    </w:rPr>
  </w:style>
  <w:style w:type="character" w:customStyle="1" w:styleId="316">
    <w:name w:val="批注框文本 字符"/>
    <w:qFormat/>
    <w:uiPriority w:val="0"/>
    <w:rPr>
      <w:sz w:val="18"/>
      <w:szCs w:val="18"/>
    </w:rPr>
  </w:style>
  <w:style w:type="character" w:customStyle="1" w:styleId="317">
    <w:name w:val="p141"/>
    <w:qFormat/>
    <w:uiPriority w:val="0"/>
    <w:rPr>
      <w:sz w:val="21"/>
      <w:szCs w:val="21"/>
    </w:rPr>
  </w:style>
  <w:style w:type="character" w:customStyle="1" w:styleId="318">
    <w:name w:val="Char Char7"/>
    <w:qFormat/>
    <w:uiPriority w:val="0"/>
    <w:rPr>
      <w:rFonts w:eastAsia="宋体"/>
      <w:sz w:val="24"/>
      <w:lang w:val="en-US" w:eastAsia="ar-SA" w:bidi="ar-SA"/>
    </w:rPr>
  </w:style>
  <w:style w:type="character" w:customStyle="1" w:styleId="319">
    <w:name w:val="font41"/>
    <w:qFormat/>
    <w:uiPriority w:val="0"/>
    <w:rPr>
      <w:rFonts w:hint="eastAsia" w:ascii="宋体" w:hAnsi="宋体" w:eastAsia="宋体" w:cs="宋体"/>
      <w:b/>
      <w:color w:val="000000"/>
      <w:sz w:val="22"/>
      <w:szCs w:val="22"/>
      <w:u w:val="none"/>
    </w:rPr>
  </w:style>
  <w:style w:type="character" w:customStyle="1" w:styleId="320">
    <w:name w:val="gpa"/>
    <w:qFormat/>
    <w:uiPriority w:val="0"/>
    <w:rPr>
      <w:rFonts w:ascii="Arial" w:hAnsi="Arial" w:cs="Arial"/>
      <w:sz w:val="15"/>
      <w:szCs w:val="15"/>
    </w:rPr>
  </w:style>
  <w:style w:type="character" w:customStyle="1" w:styleId="321">
    <w:name w:val="textcontents"/>
    <w:qFormat/>
    <w:uiPriority w:val="0"/>
  </w:style>
  <w:style w:type="character" w:customStyle="1" w:styleId="322">
    <w:name w:val="Char Char5"/>
    <w:qFormat/>
    <w:uiPriority w:val="0"/>
    <w:rPr>
      <w:rFonts w:eastAsia="宋体"/>
      <w:kern w:val="1"/>
      <w:sz w:val="18"/>
      <w:szCs w:val="18"/>
      <w:lang w:val="en-US" w:eastAsia="ar-SA" w:bidi="ar-SA"/>
    </w:rPr>
  </w:style>
  <w:style w:type="character" w:customStyle="1" w:styleId="323">
    <w:name w:val="e1"/>
    <w:qFormat/>
    <w:uiPriority w:val="0"/>
  </w:style>
  <w:style w:type="character" w:customStyle="1" w:styleId="324">
    <w:name w:val="hover35"/>
    <w:qFormat/>
    <w:uiPriority w:val="0"/>
    <w:rPr>
      <w:sz w:val="21"/>
      <w:szCs w:val="21"/>
    </w:rPr>
  </w:style>
  <w:style w:type="character" w:customStyle="1" w:styleId="325">
    <w:name w:val="PI Char"/>
    <w:qFormat/>
    <w:uiPriority w:val="0"/>
    <w:rPr>
      <w:rFonts w:eastAsia="宋体"/>
      <w:kern w:val="1"/>
      <w:sz w:val="24"/>
      <w:szCs w:val="24"/>
      <w:lang w:val="en-US" w:eastAsia="ar-SA" w:bidi="ar-SA"/>
    </w:rPr>
  </w:style>
  <w:style w:type="character" w:customStyle="1" w:styleId="326">
    <w:name w:val="Char Char2"/>
    <w:qFormat/>
    <w:uiPriority w:val="0"/>
    <w:rPr>
      <w:rFonts w:eastAsia="宋体"/>
      <w:kern w:val="1"/>
      <w:sz w:val="21"/>
      <w:szCs w:val="24"/>
      <w:lang w:val="en-US" w:eastAsia="ar-SA" w:bidi="ar-SA"/>
    </w:rPr>
  </w:style>
  <w:style w:type="character" w:customStyle="1" w:styleId="327">
    <w:name w:val="样式 宋体"/>
    <w:qFormat/>
    <w:uiPriority w:val="0"/>
    <w:rPr>
      <w:rFonts w:ascii="宋体" w:hAnsi="宋体" w:eastAsia="仿宋_GB2312"/>
      <w:sz w:val="30"/>
    </w:rPr>
  </w:style>
  <w:style w:type="character" w:customStyle="1" w:styleId="328">
    <w:name w:val="封面标题 Char Char"/>
    <w:qFormat/>
    <w:uiPriority w:val="0"/>
    <w:rPr>
      <w:rFonts w:ascii="Arial" w:hAnsi="Arial" w:eastAsia="宋体" w:cs="Arial"/>
      <w:b/>
      <w:bCs/>
      <w:kern w:val="1"/>
      <w:sz w:val="32"/>
      <w:szCs w:val="32"/>
      <w:lang w:val="en-US" w:eastAsia="ar-SA" w:bidi="ar-SA"/>
    </w:rPr>
  </w:style>
  <w:style w:type="character" w:customStyle="1" w:styleId="329">
    <w:name w:val="Char Char6"/>
    <w:qFormat/>
    <w:uiPriority w:val="0"/>
    <w:rPr>
      <w:rFonts w:eastAsia="宋体"/>
      <w:kern w:val="1"/>
      <w:sz w:val="21"/>
      <w:szCs w:val="24"/>
      <w:lang w:val="en-US" w:eastAsia="ar-SA" w:bidi="ar-SA"/>
    </w:rPr>
  </w:style>
  <w:style w:type="character" w:customStyle="1" w:styleId="330">
    <w:name w:val="H5 Char"/>
    <w:qFormat/>
    <w:uiPriority w:val="0"/>
    <w:rPr>
      <w:rFonts w:eastAsia="宋体"/>
      <w:b/>
      <w:bCs/>
      <w:kern w:val="1"/>
      <w:sz w:val="28"/>
      <w:szCs w:val="28"/>
      <w:lang w:val="en-US" w:eastAsia="ar-SA" w:bidi="ar-SA"/>
    </w:rPr>
  </w:style>
  <w:style w:type="character" w:customStyle="1" w:styleId="331">
    <w:name w:val="SAHeading 1 Char"/>
    <w:qFormat/>
    <w:uiPriority w:val="0"/>
    <w:rPr>
      <w:rFonts w:ascii="Arial" w:hAnsi="Arial" w:eastAsia="黑体" w:cs="Arial"/>
      <w:b/>
      <w:bCs/>
      <w:kern w:val="1"/>
      <w:sz w:val="30"/>
      <w:szCs w:val="44"/>
      <w:lang w:val="en-US" w:eastAsia="ar-SA" w:bidi="ar-SA"/>
    </w:rPr>
  </w:style>
  <w:style w:type="character" w:customStyle="1" w:styleId="332">
    <w:name w:val="PIM 7 Char"/>
    <w:qFormat/>
    <w:uiPriority w:val="0"/>
    <w:rPr>
      <w:rFonts w:eastAsia="宋体"/>
      <w:b/>
      <w:bCs/>
      <w:kern w:val="1"/>
      <w:sz w:val="24"/>
      <w:szCs w:val="24"/>
      <w:lang w:val="en-US" w:eastAsia="ar-SA" w:bidi="ar-SA"/>
    </w:rPr>
  </w:style>
  <w:style w:type="character" w:customStyle="1" w:styleId="333">
    <w:name w:val="Char Char9"/>
    <w:qFormat/>
    <w:uiPriority w:val="0"/>
    <w:rPr>
      <w:rFonts w:eastAsia="宋体"/>
      <w:b/>
      <w:bCs/>
      <w:kern w:val="1"/>
      <w:sz w:val="18"/>
      <w:szCs w:val="18"/>
      <w:lang w:val="en-US" w:eastAsia="ar-SA" w:bidi="ar-SA"/>
    </w:rPr>
  </w:style>
  <w:style w:type="character" w:customStyle="1" w:styleId="334">
    <w:name w:val="selected"/>
    <w:qFormat/>
    <w:uiPriority w:val="0"/>
    <w:rPr>
      <w:shd w:val="clear" w:color="auto" w:fill="B00006"/>
    </w:rPr>
  </w:style>
  <w:style w:type="character" w:customStyle="1" w:styleId="335">
    <w:name w:val="正文文本 Char Char Char Char Char Char Char"/>
    <w:qFormat/>
    <w:uiPriority w:val="0"/>
    <w:rPr>
      <w:rFonts w:eastAsia="宋体"/>
      <w:kern w:val="1"/>
      <w:sz w:val="21"/>
      <w:szCs w:val="24"/>
      <w:lang w:val="en-US" w:eastAsia="ar-SA" w:bidi="ar-SA"/>
    </w:rPr>
  </w:style>
  <w:style w:type="character" w:customStyle="1" w:styleId="336">
    <w:name w:val="1.正文 Char"/>
    <w:qFormat/>
    <w:uiPriority w:val="0"/>
    <w:rPr>
      <w:rFonts w:eastAsia="宋体"/>
      <w:kern w:val="1"/>
      <w:sz w:val="24"/>
      <w:szCs w:val="24"/>
      <w:lang w:val="en-US" w:eastAsia="ar-SA" w:bidi="ar-SA"/>
    </w:rPr>
  </w:style>
  <w:style w:type="character" w:customStyle="1" w:styleId="337">
    <w:name w:val="djcn2"/>
    <w:qFormat/>
    <w:uiPriority w:val="0"/>
    <w:rPr>
      <w:color w:val="666666"/>
    </w:rPr>
  </w:style>
  <w:style w:type="character" w:customStyle="1" w:styleId="338">
    <w:name w:val="Char Char8"/>
    <w:qFormat/>
    <w:uiPriority w:val="0"/>
    <w:rPr>
      <w:rFonts w:ascii="宋体" w:hAnsi="宋体" w:eastAsia="宋体"/>
      <w:kern w:val="1"/>
      <w:sz w:val="24"/>
      <w:szCs w:val="24"/>
      <w:lang w:val="en-US" w:eastAsia="ar-SA" w:bidi="ar-SA"/>
    </w:rPr>
  </w:style>
  <w:style w:type="character" w:customStyle="1" w:styleId="339">
    <w:name w:val="封面副标题 Char"/>
    <w:qFormat/>
    <w:uiPriority w:val="0"/>
    <w:rPr>
      <w:rFonts w:eastAsia="黑体" w:cs="宋体"/>
      <w:b/>
      <w:kern w:val="1"/>
      <w:sz w:val="44"/>
      <w:szCs w:val="44"/>
      <w:lang w:val="en-US" w:eastAsia="ar-SA" w:bidi="ar-SA"/>
    </w:rPr>
  </w:style>
  <w:style w:type="character" w:customStyle="1" w:styleId="340">
    <w:name w:val="hover36"/>
    <w:qFormat/>
    <w:uiPriority w:val="0"/>
    <w:rPr>
      <w:shd w:val="clear" w:color="auto" w:fill="F3F3F3"/>
    </w:rPr>
  </w:style>
  <w:style w:type="character" w:customStyle="1" w:styleId="341">
    <w:name w:val="font71"/>
    <w:qFormat/>
    <w:uiPriority w:val="99"/>
    <w:rPr>
      <w:rFonts w:ascii="Calibri" w:hAnsi="Calibri" w:cs="Calibri"/>
      <w:color w:val="000000"/>
      <w:sz w:val="22"/>
      <w:szCs w:val="22"/>
      <w:u w:val="none"/>
    </w:rPr>
  </w:style>
  <w:style w:type="character" w:customStyle="1" w:styleId="342">
    <w:name w:val="Heading 2 Hidden Char"/>
    <w:qFormat/>
    <w:uiPriority w:val="0"/>
    <w:rPr>
      <w:rFonts w:ascii="Arial" w:hAnsi="Arial" w:eastAsia="黑体"/>
      <w:b/>
      <w:bCs/>
      <w:kern w:val="1"/>
      <w:sz w:val="32"/>
      <w:szCs w:val="32"/>
      <w:lang w:val="en-US" w:eastAsia="ar-SA" w:bidi="ar-SA"/>
    </w:rPr>
  </w:style>
  <w:style w:type="character" w:customStyle="1" w:styleId="343">
    <w:name w:val="Footer-Even Char Char"/>
    <w:qFormat/>
    <w:uiPriority w:val="0"/>
    <w:rPr>
      <w:rFonts w:eastAsia="宋体"/>
      <w:b/>
      <w:bCs/>
      <w:kern w:val="1"/>
      <w:sz w:val="18"/>
      <w:szCs w:val="18"/>
      <w:lang w:val="en-US" w:eastAsia="ar-SA" w:bidi="ar-SA"/>
    </w:rPr>
  </w:style>
  <w:style w:type="character" w:customStyle="1" w:styleId="344">
    <w:name w:val="en1"/>
    <w:qFormat/>
    <w:uiPriority w:val="0"/>
    <w:rPr>
      <w:rFonts w:hint="default" w:ascii="Verdana" w:hAnsi="Verdana"/>
    </w:rPr>
  </w:style>
  <w:style w:type="character" w:customStyle="1" w:styleId="345">
    <w:name w:val="font111"/>
    <w:qFormat/>
    <w:uiPriority w:val="0"/>
    <w:rPr>
      <w:rFonts w:hint="eastAsia" w:ascii="宋体" w:hAnsi="宋体" w:eastAsia="宋体" w:cs="宋体"/>
      <w:color w:val="000000"/>
      <w:sz w:val="22"/>
      <w:szCs w:val="22"/>
      <w:u w:val="none"/>
    </w:rPr>
  </w:style>
  <w:style w:type="character" w:customStyle="1" w:styleId="346">
    <w:name w:val="font31"/>
    <w:qFormat/>
    <w:uiPriority w:val="0"/>
    <w:rPr>
      <w:rFonts w:hint="eastAsia" w:ascii="宋体" w:hAnsi="宋体" w:eastAsia="宋体" w:cs="宋体"/>
      <w:color w:val="000000"/>
      <w:sz w:val="22"/>
      <w:szCs w:val="22"/>
      <w:u w:val="none"/>
    </w:rPr>
  </w:style>
  <w:style w:type="character" w:customStyle="1" w:styleId="347">
    <w:name w:val="正文文本缩进 2 字符"/>
    <w:qFormat/>
    <w:uiPriority w:val="0"/>
    <w:rPr>
      <w:rFonts w:ascii="Times New Roman" w:hAnsi="Times New Roman" w:eastAsia="宋体" w:cs="Times New Roman"/>
      <w:sz w:val="24"/>
      <w:szCs w:val="24"/>
    </w:rPr>
  </w:style>
  <w:style w:type="character" w:customStyle="1" w:styleId="348">
    <w:name w:val="日期 字符"/>
    <w:qFormat/>
    <w:uiPriority w:val="0"/>
    <w:rPr>
      <w:rFonts w:ascii="Times New Roman" w:hAnsi="Times New Roman" w:eastAsia="宋体" w:cs="Times New Roman"/>
      <w:sz w:val="24"/>
      <w:szCs w:val="24"/>
    </w:rPr>
  </w:style>
  <w:style w:type="character" w:customStyle="1" w:styleId="349">
    <w:name w:val="HTML 预设格式 字符"/>
    <w:qFormat/>
    <w:uiPriority w:val="0"/>
    <w:rPr>
      <w:rFonts w:ascii="Arial" w:hAnsi="Arial" w:eastAsia="宋体" w:cs="Arial"/>
      <w:kern w:val="0"/>
      <w:sz w:val="24"/>
      <w:szCs w:val="24"/>
    </w:rPr>
  </w:style>
  <w:style w:type="character" w:customStyle="1" w:styleId="350">
    <w:name w:val="副标题 Char1"/>
    <w:qFormat/>
    <w:uiPriority w:val="11"/>
    <w:rPr>
      <w:rFonts w:ascii="Cambria" w:hAnsi="Cambria" w:eastAsia="宋体" w:cs="Times New Roman"/>
      <w:b/>
      <w:bCs/>
      <w:kern w:val="28"/>
      <w:sz w:val="32"/>
      <w:szCs w:val="32"/>
    </w:rPr>
  </w:style>
  <w:style w:type="character" w:customStyle="1" w:styleId="351">
    <w:name w:val="纯文本 Char2"/>
    <w:semiHidden/>
    <w:qFormat/>
    <w:uiPriority w:val="99"/>
    <w:rPr>
      <w:rFonts w:ascii="宋体" w:hAnsi="Courier New" w:eastAsia="宋体" w:cs="Courier New"/>
      <w:szCs w:val="21"/>
    </w:rPr>
  </w:style>
  <w:style w:type="character" w:customStyle="1" w:styleId="352">
    <w:name w:val="正文文本缩进 字符"/>
    <w:qFormat/>
    <w:uiPriority w:val="0"/>
    <w:rPr>
      <w:rFonts w:ascii="Times New Roman" w:hAnsi="Times New Roman" w:eastAsia="宋体" w:cs="Times New Roman"/>
      <w:sz w:val="24"/>
      <w:szCs w:val="24"/>
    </w:rPr>
  </w:style>
  <w:style w:type="character" w:customStyle="1" w:styleId="353">
    <w:name w:val="正文文本 字符"/>
    <w:qFormat/>
    <w:uiPriority w:val="0"/>
    <w:rPr>
      <w:rFonts w:ascii="Times New Roman" w:hAnsi="Times New Roman" w:eastAsia="宋体" w:cs="Times New Roman"/>
      <w:sz w:val="24"/>
      <w:szCs w:val="24"/>
    </w:rPr>
  </w:style>
  <w:style w:type="character" w:customStyle="1" w:styleId="354">
    <w:name w:val="正文文本 3 Char1"/>
    <w:semiHidden/>
    <w:qFormat/>
    <w:uiPriority w:val="99"/>
    <w:rPr>
      <w:rFonts w:ascii="Times New Roman" w:hAnsi="Times New Roman" w:eastAsia="宋体" w:cs="Times New Roman"/>
      <w:sz w:val="16"/>
      <w:szCs w:val="16"/>
    </w:rPr>
  </w:style>
  <w:style w:type="character" w:customStyle="1" w:styleId="355">
    <w:name w:val="正文文本缩进 3 字符"/>
    <w:qFormat/>
    <w:uiPriority w:val="99"/>
    <w:rPr>
      <w:rFonts w:ascii="Times New Roman" w:hAnsi="Times New Roman" w:eastAsia="宋体" w:cs="Times New Roman"/>
      <w:sz w:val="16"/>
      <w:szCs w:val="16"/>
    </w:rPr>
  </w:style>
  <w:style w:type="character" w:customStyle="1" w:styleId="356">
    <w:name w:val="文档结构图 Char2"/>
    <w:semiHidden/>
    <w:qFormat/>
    <w:uiPriority w:val="0"/>
    <w:rPr>
      <w:rFonts w:ascii="宋体" w:hAnsi="Times New Roman" w:eastAsia="宋体" w:cs="Times New Roman"/>
      <w:sz w:val="18"/>
      <w:szCs w:val="18"/>
    </w:rPr>
  </w:style>
  <w:style w:type="character" w:customStyle="1" w:styleId="357">
    <w:name w:val="批注框文本 Char1"/>
    <w:qFormat/>
    <w:uiPriority w:val="0"/>
    <w:rPr>
      <w:rFonts w:ascii="Times New Roman" w:hAnsi="Times New Roman" w:eastAsia="宋体" w:cs="Times New Roman"/>
      <w:sz w:val="18"/>
      <w:szCs w:val="18"/>
    </w:rPr>
  </w:style>
  <w:style w:type="character" w:customStyle="1" w:styleId="358">
    <w:name w:val="批注主题 Char1"/>
    <w:qFormat/>
    <w:uiPriority w:val="0"/>
    <w:rPr>
      <w:rFonts w:ascii="Times New Roman" w:hAnsi="Times New Roman" w:eastAsia="宋体" w:cs="Times New Roman"/>
      <w:b/>
      <w:bCs/>
      <w:kern w:val="2"/>
      <w:sz w:val="21"/>
      <w:szCs w:val="24"/>
    </w:rPr>
  </w:style>
  <w:style w:type="paragraph" w:customStyle="1" w:styleId="359">
    <w:name w:val="题目 1"/>
    <w:basedOn w:val="1"/>
    <w:next w:val="1"/>
    <w:qFormat/>
    <w:uiPriority w:val="0"/>
    <w:pPr>
      <w:keepNext/>
      <w:keepLines/>
      <w:overflowPunct w:val="0"/>
      <w:spacing w:before="340" w:after="330" w:line="360" w:lineRule="auto"/>
      <w:jc w:val="center"/>
      <w:outlineLvl w:val="0"/>
    </w:pPr>
    <w:rPr>
      <w:rFonts w:ascii="Arial" w:hAnsi="Arial" w:eastAsia="黑体" w:cs="Arial"/>
      <w:b/>
      <w:bCs/>
      <w:kern w:val="1"/>
      <w:sz w:val="30"/>
      <w:szCs w:val="44"/>
      <w:lang w:eastAsia="ar-SA"/>
    </w:rPr>
  </w:style>
  <w:style w:type="paragraph" w:customStyle="1" w:styleId="360">
    <w:name w:val="大类（标选配）"/>
    <w:basedOn w:val="1"/>
    <w:qFormat/>
    <w:uiPriority w:val="0"/>
    <w:rPr>
      <w:rFonts w:ascii="Arial" w:hAnsi="Arial"/>
      <w:b/>
      <w:kern w:val="0"/>
    </w:rPr>
  </w:style>
  <w:style w:type="paragraph" w:customStyle="1" w:styleId="361">
    <w:name w:val="朝阳方案标题4"/>
    <w:basedOn w:val="1"/>
    <w:next w:val="1"/>
    <w:qFormat/>
    <w:uiPriority w:val="0"/>
    <w:pPr>
      <w:tabs>
        <w:tab w:val="left" w:pos="2520"/>
      </w:tabs>
      <w:overflowPunct w:val="0"/>
      <w:spacing w:line="360" w:lineRule="auto"/>
      <w:ind w:left="1440"/>
    </w:pPr>
    <w:rPr>
      <w:b/>
      <w:kern w:val="1"/>
      <w:sz w:val="28"/>
      <w:lang w:eastAsia="ar-SA"/>
    </w:rPr>
  </w:style>
  <w:style w:type="paragraph" w:customStyle="1" w:styleId="362">
    <w:name w:val="正文标题"/>
    <w:basedOn w:val="41"/>
    <w:qFormat/>
    <w:uiPriority w:val="0"/>
    <w:pPr>
      <w:spacing w:before="600" w:after="240" w:line="360" w:lineRule="auto"/>
    </w:pPr>
    <w:rPr>
      <w:rFonts w:ascii="Calibri" w:hAnsi="Calibri"/>
      <w:sz w:val="30"/>
      <w:szCs w:val="30"/>
    </w:rPr>
  </w:style>
  <w:style w:type="paragraph" w:customStyle="1" w:styleId="363">
    <w:name w:val="目录"/>
    <w:basedOn w:val="41"/>
    <w:qFormat/>
    <w:uiPriority w:val="0"/>
    <w:pPr>
      <w:keepNext/>
      <w:keepLines/>
      <w:spacing w:before="600"/>
    </w:pPr>
    <w:rPr>
      <w:rFonts w:ascii="Calibri" w:hAnsi="Calibri"/>
    </w:rPr>
  </w:style>
  <w:style w:type="paragraph" w:customStyle="1" w:styleId="364">
    <w:name w:val="前言"/>
    <w:basedOn w:val="363"/>
    <w:qFormat/>
    <w:uiPriority w:val="0"/>
    <w:rPr>
      <w:rFonts w:ascii="Calibri" w:hAnsi="Calibri"/>
    </w:rPr>
  </w:style>
  <w:style w:type="paragraph" w:customStyle="1" w:styleId="365">
    <w:name w:val="定义的副标题1"/>
    <w:basedOn w:val="366"/>
    <w:qFormat/>
    <w:uiPriority w:val="0"/>
    <w:pPr>
      <w:spacing w:before="120" w:after="960"/>
      <w:jc w:val="center"/>
    </w:pPr>
    <w:rPr>
      <w:bCs/>
      <w:sz w:val="32"/>
      <w:szCs w:val="32"/>
    </w:rPr>
  </w:style>
  <w:style w:type="paragraph" w:customStyle="1" w:styleId="366">
    <w:name w:val="定义的标题"/>
    <w:basedOn w:val="1"/>
    <w:qFormat/>
    <w:uiPriority w:val="0"/>
    <w:pPr>
      <w:overflowPunct w:val="0"/>
      <w:spacing w:before="1200" w:after="240"/>
    </w:pPr>
    <w:rPr>
      <w:rFonts w:ascii="宋体" w:hAnsi="宋体"/>
      <w:b/>
      <w:kern w:val="1"/>
      <w:sz w:val="72"/>
      <w:szCs w:val="36"/>
      <w:lang w:eastAsia="ar-SA"/>
    </w:rPr>
  </w:style>
  <w:style w:type="paragraph" w:customStyle="1" w:styleId="367">
    <w:name w:val="WW-题注"/>
    <w:basedOn w:val="1"/>
    <w:next w:val="1"/>
    <w:qFormat/>
    <w:uiPriority w:val="0"/>
    <w:pPr>
      <w:overflowPunct w:val="0"/>
    </w:pPr>
    <w:rPr>
      <w:rFonts w:ascii="Arial" w:hAnsi="Arial" w:eastAsia="黑体" w:cs="Arial"/>
      <w:kern w:val="1"/>
      <w:sz w:val="20"/>
      <w:szCs w:val="20"/>
      <w:lang w:eastAsia="ar-SA"/>
    </w:rPr>
  </w:style>
  <w:style w:type="paragraph" w:customStyle="1" w:styleId="368">
    <w:name w:val="标题1"/>
    <w:basedOn w:val="1"/>
    <w:qFormat/>
    <w:uiPriority w:val="0"/>
    <w:pPr>
      <w:overflowPunct w:val="0"/>
      <w:spacing w:before="240" w:after="60" w:line="360" w:lineRule="auto"/>
      <w:jc w:val="center"/>
    </w:pPr>
    <w:rPr>
      <w:rFonts w:ascii="Arial" w:hAnsi="Arial" w:cs="Arial"/>
      <w:b/>
      <w:bCs/>
      <w:kern w:val="1"/>
      <w:sz w:val="32"/>
      <w:szCs w:val="32"/>
      <w:lang w:eastAsia="ar-SA"/>
    </w:rPr>
  </w:style>
  <w:style w:type="paragraph" w:customStyle="1" w:styleId="369">
    <w:name w:val="样式 正文首行缩进 2 + 首行缩进:  2 字符"/>
    <w:basedOn w:val="370"/>
    <w:qFormat/>
    <w:uiPriority w:val="0"/>
    <w:pPr>
      <w:spacing w:before="120" w:line="264" w:lineRule="auto"/>
      <w:ind w:left="840" w:hanging="420"/>
    </w:pPr>
    <w:rPr>
      <w:rFonts w:cs="宋体"/>
      <w:szCs w:val="20"/>
    </w:rPr>
  </w:style>
  <w:style w:type="paragraph" w:customStyle="1" w:styleId="370">
    <w:name w:val="WW-正文首行缩进 2"/>
    <w:basedOn w:val="111"/>
    <w:qFormat/>
    <w:uiPriority w:val="0"/>
    <w:pPr>
      <w:overflowPunct w:val="0"/>
      <w:spacing w:after="120" w:line="100" w:lineRule="atLeast"/>
      <w:ind w:left="420" w:firstLine="420" w:firstLineChars="0"/>
    </w:pPr>
    <w:rPr>
      <w:rFonts w:ascii="Times New Roman" w:hAnsi="Times New Roman"/>
      <w:kern w:val="1"/>
      <w:sz w:val="21"/>
      <w:lang w:eastAsia="ar-SA"/>
    </w:rPr>
  </w:style>
  <w:style w:type="paragraph" w:customStyle="1" w:styleId="371">
    <w:name w:val="正文文本缩进 31"/>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372">
    <w:name w:val="篇章结构"/>
    <w:basedOn w:val="368"/>
    <w:qFormat/>
    <w:uiPriority w:val="0"/>
    <w:pPr>
      <w:keepNext/>
      <w:keepLines/>
      <w:spacing w:before="4800" w:line="100" w:lineRule="atLeast"/>
    </w:pPr>
    <w:rPr>
      <w:rFonts w:ascii="Times New Roman" w:hAnsi="Times New Roman" w:eastAsia="黑体" w:cs="Times New Roman"/>
      <w:bCs w:val="0"/>
      <w:sz w:val="44"/>
      <w:szCs w:val="44"/>
    </w:rPr>
  </w:style>
  <w:style w:type="paragraph" w:customStyle="1" w:styleId="373">
    <w:name w:val="朝阳方案标题2"/>
    <w:basedOn w:val="1"/>
    <w:next w:val="1"/>
    <w:qFormat/>
    <w:uiPriority w:val="0"/>
    <w:pPr>
      <w:tabs>
        <w:tab w:val="left" w:pos="840"/>
      </w:tabs>
      <w:overflowPunct w:val="0"/>
      <w:spacing w:line="360" w:lineRule="auto"/>
      <w:ind w:left="480"/>
    </w:pPr>
    <w:rPr>
      <w:b/>
      <w:kern w:val="1"/>
      <w:sz w:val="32"/>
      <w:lang w:eastAsia="ar-SA"/>
    </w:rPr>
  </w:style>
  <w:style w:type="paragraph" w:customStyle="1" w:styleId="374">
    <w:name w:val="题目 2"/>
    <w:basedOn w:val="1"/>
    <w:next w:val="1"/>
    <w:qFormat/>
    <w:uiPriority w:val="0"/>
    <w:pPr>
      <w:keepNext/>
      <w:keepLines/>
      <w:tabs>
        <w:tab w:val="left" w:pos="1275"/>
      </w:tabs>
      <w:overflowPunct w:val="0"/>
      <w:spacing w:before="260" w:after="260" w:line="415" w:lineRule="auto"/>
      <w:ind w:left="1275" w:hanging="420"/>
      <w:outlineLvl w:val="1"/>
    </w:pPr>
    <w:rPr>
      <w:rFonts w:ascii="Arial" w:hAnsi="Arial" w:eastAsia="黑体"/>
      <w:b/>
      <w:bCs/>
      <w:kern w:val="1"/>
      <w:sz w:val="32"/>
      <w:szCs w:val="32"/>
      <w:lang w:eastAsia="ar-SA"/>
    </w:rPr>
  </w:style>
  <w:style w:type="paragraph" w:customStyle="1" w:styleId="375">
    <w:name w:val="WW-正文缩进"/>
    <w:basedOn w:val="1"/>
    <w:qFormat/>
    <w:uiPriority w:val="0"/>
    <w:pPr>
      <w:widowControl/>
      <w:overflowPunct w:val="0"/>
      <w:spacing w:before="280" w:after="280"/>
      <w:jc w:val="left"/>
    </w:pPr>
    <w:rPr>
      <w:rFonts w:ascii="Arial Unicode MS" w:hAnsi="Arial Unicode MS"/>
      <w:kern w:val="1"/>
      <w:sz w:val="24"/>
      <w:lang w:eastAsia="ar-SA"/>
    </w:rPr>
  </w:style>
  <w:style w:type="paragraph" w:customStyle="1" w:styleId="376">
    <w:name w:val="题目"/>
    <w:basedOn w:val="1"/>
    <w:next w:val="23"/>
    <w:qFormat/>
    <w:uiPriority w:val="0"/>
    <w:pPr>
      <w:keepNext/>
      <w:overflowPunct w:val="0"/>
      <w:spacing w:before="240" w:after="120"/>
    </w:pPr>
    <w:rPr>
      <w:rFonts w:ascii="Arial" w:hAnsi="Arial" w:cs="Tahoma"/>
      <w:kern w:val="1"/>
      <w:sz w:val="28"/>
      <w:szCs w:val="28"/>
      <w:lang w:eastAsia="ar-SA"/>
    </w:rPr>
  </w:style>
  <w:style w:type="paragraph" w:customStyle="1" w:styleId="377">
    <w:name w:val="正文题注"/>
    <w:basedOn w:val="367"/>
    <w:qFormat/>
    <w:uiPriority w:val="0"/>
    <w:pPr>
      <w:spacing w:before="240" w:after="240"/>
      <w:jc w:val="center"/>
    </w:pPr>
    <w:rPr>
      <w:rFonts w:ascii="Times New Roman" w:hAnsi="Times New Roman"/>
      <w:sz w:val="21"/>
      <w:szCs w:val="21"/>
    </w:rPr>
  </w:style>
  <w:style w:type="paragraph" w:customStyle="1" w:styleId="378">
    <w:name w:val="_标题3"/>
    <w:basedOn w:val="7"/>
    <w:next w:val="1"/>
    <w:qFormat/>
    <w:uiPriority w:val="0"/>
    <w:pPr>
      <w:widowControl/>
      <w:autoSpaceDE/>
      <w:autoSpaceDN/>
      <w:adjustRightInd/>
      <w:spacing w:before="60" w:after="60" w:line="360" w:lineRule="auto"/>
    </w:pPr>
    <w:rPr>
      <w:rFonts w:ascii="Arial" w:hAnsi="Arial" w:eastAsia="黑体"/>
      <w:b w:val="0"/>
      <w:bCs/>
      <w:kern w:val="2"/>
      <w:sz w:val="30"/>
      <w:szCs w:val="32"/>
      <w:u w:val="none"/>
    </w:rPr>
  </w:style>
  <w:style w:type="paragraph" w:customStyle="1" w:styleId="379">
    <w:name w:val="正文（标题三）"/>
    <w:basedOn w:val="1"/>
    <w:qFormat/>
    <w:uiPriority w:val="0"/>
    <w:pPr>
      <w:overflowPunct w:val="0"/>
      <w:spacing w:line="360" w:lineRule="auto"/>
      <w:ind w:left="170" w:firstLine="425"/>
    </w:pPr>
    <w:rPr>
      <w:kern w:val="1"/>
      <w:sz w:val="24"/>
      <w:lang w:eastAsia="ar-SA"/>
    </w:rPr>
  </w:style>
  <w:style w:type="paragraph" w:customStyle="1" w:styleId="380">
    <w:name w:val="CBD标题5"/>
    <w:basedOn w:val="1"/>
    <w:next w:val="1"/>
    <w:qFormat/>
    <w:uiPriority w:val="0"/>
    <w:pPr>
      <w:overflowPunct w:val="0"/>
      <w:ind w:left="3425" w:hanging="1440"/>
    </w:pPr>
    <w:rPr>
      <w:b/>
      <w:kern w:val="1"/>
      <w:sz w:val="24"/>
      <w:lang w:eastAsia="ar-SA"/>
    </w:rPr>
  </w:style>
  <w:style w:type="paragraph" w:customStyle="1" w:styleId="381">
    <w:name w:val="Char1 Char Char Char Char Char Char"/>
    <w:basedOn w:val="1"/>
    <w:qFormat/>
    <w:uiPriority w:val="0"/>
    <w:pPr>
      <w:overflowPunct w:val="0"/>
    </w:pPr>
    <w:rPr>
      <w:rFonts w:ascii="Tahoma" w:hAnsi="Tahoma"/>
      <w:kern w:val="1"/>
      <w:sz w:val="24"/>
      <w:szCs w:val="20"/>
      <w:lang w:eastAsia="ar-SA"/>
    </w:rPr>
  </w:style>
  <w:style w:type="paragraph" w:customStyle="1" w:styleId="382">
    <w:name w:val="正文1"/>
    <w:basedOn w:val="1"/>
    <w:qFormat/>
    <w:uiPriority w:val="0"/>
    <w:pPr>
      <w:overflowPunct w:val="0"/>
      <w:spacing w:line="360" w:lineRule="auto"/>
      <w:ind w:left="845" w:hanging="425"/>
    </w:pPr>
    <w:rPr>
      <w:rFonts w:cs="宋体"/>
      <w:kern w:val="1"/>
      <w:sz w:val="24"/>
      <w:szCs w:val="20"/>
      <w:lang w:eastAsia="ar-SA"/>
    </w:rPr>
  </w:style>
  <w:style w:type="paragraph" w:customStyle="1" w:styleId="383">
    <w:name w:val="Item Step in Table"/>
    <w:qFormat/>
    <w:uiPriority w:val="0"/>
    <w:pPr>
      <w:spacing w:before="40" w:after="40"/>
      <w:ind w:left="397" w:hanging="397"/>
      <w:jc w:val="both"/>
    </w:pPr>
    <w:rPr>
      <w:rFonts w:ascii="Arial" w:hAnsi="Arial" w:cs="Arial"/>
      <w:sz w:val="18"/>
      <w:szCs w:val="18"/>
      <w:lang w:val="en-US" w:eastAsia="ar-SA" w:bidi="ar-SA"/>
    </w:rPr>
  </w:style>
  <w:style w:type="paragraph" w:customStyle="1" w:styleId="384">
    <w:name w:val="WW-正文文本 2"/>
    <w:basedOn w:val="1"/>
    <w:qFormat/>
    <w:uiPriority w:val="0"/>
    <w:pPr>
      <w:overflowPunct w:val="0"/>
      <w:spacing w:line="400" w:lineRule="exact"/>
    </w:pPr>
    <w:rPr>
      <w:kern w:val="1"/>
      <w:sz w:val="24"/>
      <w:lang w:eastAsia="ar-SA"/>
    </w:rPr>
  </w:style>
  <w:style w:type="paragraph" w:customStyle="1" w:styleId="385">
    <w:name w:val="表格标题"/>
    <w:basedOn w:val="1"/>
    <w:qFormat/>
    <w:uiPriority w:val="0"/>
    <w:pPr>
      <w:spacing w:before="3"/>
    </w:pPr>
    <w:rPr>
      <w:rFonts w:ascii="Arial" w:hAnsi="Arial" w:eastAsia="黑体" w:cs="宋体"/>
      <w:b/>
      <w:kern w:val="0"/>
      <w:szCs w:val="20"/>
    </w:rPr>
  </w:style>
  <w:style w:type="paragraph" w:customStyle="1" w:styleId="386">
    <w:name w:val="样式 Arial 行距: 多倍行距 1.2 字行 首行缩进:  2 字符"/>
    <w:basedOn w:val="1"/>
    <w:qFormat/>
    <w:uiPriority w:val="0"/>
    <w:pPr>
      <w:overflowPunct w:val="0"/>
      <w:spacing w:line="288" w:lineRule="auto"/>
      <w:ind w:firstLine="420"/>
    </w:pPr>
    <w:rPr>
      <w:rFonts w:ascii="Arial" w:hAnsi="Arial" w:cs="宋体"/>
      <w:kern w:val="1"/>
      <w:sz w:val="20"/>
      <w:szCs w:val="20"/>
      <w:lang w:eastAsia="ar-SA"/>
    </w:rPr>
  </w:style>
  <w:style w:type="paragraph" w:customStyle="1" w:styleId="387">
    <w:name w:val="页角"/>
    <w:basedOn w:val="38"/>
    <w:qFormat/>
    <w:uiPriority w:val="0"/>
    <w:pPr>
      <w:pBdr>
        <w:bottom w:val="single" w:color="000000" w:sz="2" w:space="1"/>
      </w:pBdr>
      <w:overflowPunct w:val="0"/>
      <w:snapToGrid/>
      <w:jc w:val="left"/>
    </w:pPr>
    <w:rPr>
      <w:kern w:val="1"/>
      <w:lang w:eastAsia="ar-SA"/>
    </w:rPr>
  </w:style>
  <w:style w:type="paragraph" w:customStyle="1" w:styleId="388">
    <w:name w:val="索引"/>
    <w:basedOn w:val="1"/>
    <w:qFormat/>
    <w:uiPriority w:val="0"/>
    <w:pPr>
      <w:suppressLineNumbers/>
      <w:overflowPunct w:val="0"/>
    </w:pPr>
    <w:rPr>
      <w:rFonts w:ascii="Arial" w:hAnsi="Arial" w:cs="Tahoma"/>
      <w:kern w:val="1"/>
      <w:lang w:eastAsia="ar-SA"/>
    </w:rPr>
  </w:style>
  <w:style w:type="paragraph" w:customStyle="1" w:styleId="389">
    <w:name w:val="朝阳方案标题5"/>
    <w:basedOn w:val="1"/>
    <w:next w:val="1"/>
    <w:qFormat/>
    <w:uiPriority w:val="0"/>
    <w:pPr>
      <w:tabs>
        <w:tab w:val="left" w:pos="3600"/>
      </w:tabs>
      <w:overflowPunct w:val="0"/>
      <w:spacing w:line="360" w:lineRule="auto"/>
      <w:ind w:left="2160"/>
    </w:pPr>
    <w:rPr>
      <w:b/>
      <w:kern w:val="1"/>
      <w:sz w:val="24"/>
      <w:lang w:eastAsia="ar-SA"/>
    </w:rPr>
  </w:style>
  <w:style w:type="paragraph" w:customStyle="1" w:styleId="390">
    <w:name w:val="样式 首行缩进:  0.8 厘米 段前: 15.6 磅 段后: 15.6 磅"/>
    <w:basedOn w:val="1"/>
    <w:qFormat/>
    <w:uiPriority w:val="0"/>
    <w:pPr>
      <w:ind w:firstLine="454"/>
    </w:pPr>
    <w:rPr>
      <w:rFonts w:cs="宋体"/>
      <w:szCs w:val="20"/>
    </w:rPr>
  </w:style>
  <w:style w:type="paragraph" w:customStyle="1" w:styleId="391">
    <w:name w:val="落款日期"/>
    <w:basedOn w:val="392"/>
    <w:qFormat/>
    <w:uiPriority w:val="0"/>
    <w:rPr>
      <w:b w:val="0"/>
      <w:sz w:val="24"/>
      <w:szCs w:val="24"/>
    </w:rPr>
  </w:style>
  <w:style w:type="paragraph" w:customStyle="1" w:styleId="392">
    <w:name w:val="落款单位"/>
    <w:basedOn w:val="393"/>
    <w:qFormat/>
    <w:uiPriority w:val="0"/>
    <w:pPr>
      <w:ind w:left="0"/>
      <w:jc w:val="center"/>
    </w:pPr>
    <w:rPr>
      <w:b/>
      <w:sz w:val="28"/>
      <w:szCs w:val="28"/>
    </w:rPr>
  </w:style>
  <w:style w:type="paragraph" w:customStyle="1" w:styleId="393">
    <w:name w:val="WW-引文目录"/>
    <w:basedOn w:val="1"/>
    <w:next w:val="1"/>
    <w:qFormat/>
    <w:uiPriority w:val="0"/>
    <w:pPr>
      <w:overflowPunct w:val="0"/>
      <w:spacing w:before="120" w:after="120"/>
      <w:ind w:left="420"/>
    </w:pPr>
    <w:rPr>
      <w:kern w:val="1"/>
      <w:szCs w:val="21"/>
      <w:lang w:eastAsia="ar-SA"/>
    </w:rPr>
  </w:style>
  <w:style w:type="paragraph" w:customStyle="1" w:styleId="394">
    <w:name w:val="WW-普通(网站)"/>
    <w:basedOn w:val="1"/>
    <w:qFormat/>
    <w:uiPriority w:val="0"/>
    <w:pPr>
      <w:widowControl/>
      <w:overflowPunct w:val="0"/>
      <w:spacing w:before="280" w:after="280"/>
      <w:jc w:val="left"/>
    </w:pPr>
    <w:rPr>
      <w:rFonts w:ascii="宋体" w:hAnsi="宋体"/>
      <w:kern w:val="1"/>
      <w:sz w:val="24"/>
      <w:lang w:eastAsia="ar-SA"/>
    </w:rPr>
  </w:style>
  <w:style w:type="paragraph" w:customStyle="1" w:styleId="395">
    <w:name w:val="CBD标题2"/>
    <w:basedOn w:val="1"/>
    <w:next w:val="1"/>
    <w:qFormat/>
    <w:uiPriority w:val="0"/>
    <w:pPr>
      <w:overflowPunct w:val="0"/>
      <w:ind w:left="927" w:hanging="360"/>
    </w:pPr>
    <w:rPr>
      <w:b/>
      <w:kern w:val="1"/>
      <w:sz w:val="32"/>
      <w:lang w:eastAsia="ar-SA"/>
    </w:rPr>
  </w:style>
  <w:style w:type="paragraph" w:customStyle="1" w:styleId="396">
    <w:name w:val="WW-日期"/>
    <w:basedOn w:val="1"/>
    <w:next w:val="1"/>
    <w:qFormat/>
    <w:uiPriority w:val="0"/>
    <w:pPr>
      <w:overflowPunct w:val="0"/>
      <w:ind w:left="100"/>
    </w:pPr>
    <w:rPr>
      <w:rFonts w:ascii="宋体" w:hAnsi="宋体"/>
      <w:color w:val="FF0000"/>
      <w:kern w:val="1"/>
      <w:sz w:val="24"/>
      <w:lang w:eastAsia="ar-SA"/>
    </w:rPr>
  </w:style>
  <w:style w:type="paragraph" w:customStyle="1" w:styleId="397">
    <w:name w:val="中文正文"/>
    <w:basedOn w:val="1"/>
    <w:qFormat/>
    <w:uiPriority w:val="0"/>
    <w:pPr>
      <w:tabs>
        <w:tab w:val="left" w:pos="284"/>
      </w:tabs>
      <w:ind w:left="284" w:hanging="284"/>
    </w:pPr>
    <w:rPr>
      <w:sz w:val="18"/>
    </w:rPr>
  </w:style>
  <w:style w:type="paragraph" w:customStyle="1" w:styleId="398">
    <w:name w:val="正副本标注"/>
    <w:basedOn w:val="392"/>
    <w:qFormat/>
    <w:uiPriority w:val="0"/>
    <w:pPr>
      <w:spacing w:before="0" w:after="0"/>
      <w:jc w:val="right"/>
    </w:pPr>
    <w:rPr>
      <w:rFonts w:eastAsia="黑体"/>
      <w:sz w:val="32"/>
      <w:szCs w:val="32"/>
    </w:rPr>
  </w:style>
  <w:style w:type="paragraph" w:customStyle="1" w:styleId="399">
    <w:name w:val="Char Char Char Char Char Char Char Char Char1 Char Char Char Char Char Char Char"/>
    <w:basedOn w:val="1"/>
    <w:qFormat/>
    <w:uiPriority w:val="0"/>
    <w:pPr>
      <w:widowControl/>
      <w:overflowPunct w:val="0"/>
      <w:spacing w:after="50"/>
      <w:jc w:val="left"/>
    </w:pPr>
    <w:rPr>
      <w:rFonts w:ascii="Verdana" w:hAnsi="Verdana"/>
      <w:kern w:val="1"/>
      <w:sz w:val="20"/>
      <w:szCs w:val="20"/>
      <w:lang w:eastAsia="ar-SA"/>
    </w:rPr>
  </w:style>
  <w:style w:type="paragraph" w:customStyle="1" w:styleId="400">
    <w:name w:val="封面正文"/>
    <w:basedOn w:val="370"/>
    <w:qFormat/>
    <w:uiPriority w:val="0"/>
    <w:pPr>
      <w:spacing w:before="120"/>
      <w:ind w:left="0" w:firstLine="0"/>
    </w:pPr>
    <w:rPr>
      <w:rFonts w:eastAsia="黑体"/>
      <w:sz w:val="28"/>
      <w:szCs w:val="28"/>
    </w:rPr>
  </w:style>
  <w:style w:type="paragraph" w:customStyle="1" w:styleId="401">
    <w:name w:val="p0"/>
    <w:basedOn w:val="1"/>
    <w:qFormat/>
    <w:uiPriority w:val="0"/>
    <w:pPr>
      <w:widowControl/>
    </w:pPr>
    <w:rPr>
      <w:kern w:val="0"/>
      <w:szCs w:val="21"/>
    </w:rPr>
  </w:style>
  <w:style w:type="paragraph" w:customStyle="1" w:styleId="402">
    <w:name w:val="默认段落字体 Para Char Char Char Char Char Char Char"/>
    <w:basedOn w:val="1"/>
    <w:qFormat/>
    <w:uiPriority w:val="0"/>
    <w:pPr>
      <w:overflowPunct w:val="0"/>
    </w:pPr>
    <w:rPr>
      <w:rFonts w:ascii="Tahoma" w:hAnsi="Tahoma"/>
      <w:kern w:val="1"/>
      <w:sz w:val="24"/>
      <w:szCs w:val="20"/>
      <w:lang w:eastAsia="ar-SA"/>
    </w:rPr>
  </w:style>
  <w:style w:type="paragraph" w:customStyle="1" w:styleId="403">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404">
    <w:name w:val="正文_18"/>
    <w:qFormat/>
    <w:uiPriority w:val="0"/>
    <w:pPr>
      <w:widowControl w:val="0"/>
      <w:jc w:val="both"/>
    </w:pPr>
    <w:rPr>
      <w:kern w:val="2"/>
      <w:sz w:val="21"/>
      <w:szCs w:val="24"/>
      <w:lang w:val="en-US" w:eastAsia="zh-CN" w:bidi="ar-SA"/>
    </w:rPr>
  </w:style>
  <w:style w:type="paragraph" w:customStyle="1" w:styleId="405">
    <w:name w:val="1.正文"/>
    <w:basedOn w:val="1"/>
    <w:qFormat/>
    <w:uiPriority w:val="0"/>
    <w:pPr>
      <w:overflowPunct w:val="0"/>
      <w:spacing w:line="360" w:lineRule="auto"/>
      <w:ind w:left="540" w:firstLine="540"/>
    </w:pPr>
    <w:rPr>
      <w:kern w:val="1"/>
      <w:sz w:val="24"/>
      <w:lang w:eastAsia="ar-SA"/>
    </w:rPr>
  </w:style>
  <w:style w:type="paragraph" w:customStyle="1" w:styleId="406">
    <w:name w:val="产地"/>
    <w:basedOn w:val="407"/>
    <w:qFormat/>
    <w:uiPriority w:val="0"/>
    <w:pPr>
      <w:jc w:val="center"/>
    </w:pPr>
  </w:style>
  <w:style w:type="paragraph" w:customStyle="1" w:styleId="407">
    <w:name w:val="小类名称"/>
    <w:basedOn w:val="1"/>
    <w:qFormat/>
    <w:uiPriority w:val="0"/>
    <w:rPr>
      <w:rFonts w:ascii="Arial" w:hAnsi="Arial" w:eastAsia="黑体"/>
      <w:b/>
      <w:kern w:val="0"/>
      <w:sz w:val="18"/>
    </w:rPr>
  </w:style>
  <w:style w:type="paragraph" w:customStyle="1" w:styleId="408">
    <w:name w:val="标题3"/>
    <w:basedOn w:val="7"/>
    <w:qFormat/>
    <w:uiPriority w:val="0"/>
    <w:pPr>
      <w:autoSpaceDE/>
      <w:autoSpaceDN/>
      <w:adjustRightInd/>
      <w:spacing w:before="260" w:after="260" w:line="416" w:lineRule="auto"/>
      <w:ind w:firstLine="200" w:firstLineChars="200"/>
      <w:jc w:val="both"/>
    </w:pPr>
    <w:rPr>
      <w:rFonts w:ascii="Calibri" w:hAnsi="Calibri"/>
      <w:bCs/>
      <w:kern w:val="2"/>
      <w:sz w:val="32"/>
      <w:szCs w:val="32"/>
      <w:u w:val="none"/>
    </w:rPr>
  </w:style>
  <w:style w:type="paragraph" w:customStyle="1" w:styleId="409">
    <w:name w:val="WW-正文首行缩进"/>
    <w:basedOn w:val="43"/>
    <w:qFormat/>
    <w:uiPriority w:val="0"/>
    <w:pPr>
      <w:spacing w:after="0"/>
      <w:ind w:firstLine="510"/>
    </w:pPr>
    <w:rPr>
      <w:sz w:val="24"/>
      <w:szCs w:val="20"/>
    </w:rPr>
  </w:style>
  <w:style w:type="paragraph" w:customStyle="1" w:styleId="410">
    <w:name w:val="WW-正文文本缩进 2"/>
    <w:basedOn w:val="1"/>
    <w:qFormat/>
    <w:uiPriority w:val="0"/>
    <w:pPr>
      <w:overflowPunct w:val="0"/>
      <w:ind w:firstLine="422"/>
    </w:pPr>
    <w:rPr>
      <w:rFonts w:eastAsia="黑体"/>
      <w:b/>
      <w:bCs/>
      <w:kern w:val="1"/>
      <w:lang w:eastAsia="ar-SA"/>
    </w:rPr>
  </w:style>
  <w:style w:type="paragraph" w:customStyle="1" w:styleId="411">
    <w:name w:val="WW-纯文本"/>
    <w:basedOn w:val="1"/>
    <w:qFormat/>
    <w:uiPriority w:val="0"/>
    <w:pPr>
      <w:overflowPunct w:val="0"/>
    </w:pPr>
    <w:rPr>
      <w:rFonts w:ascii="宋体" w:hAnsi="宋体"/>
      <w:kern w:val="1"/>
      <w:sz w:val="28"/>
      <w:szCs w:val="20"/>
      <w:lang w:eastAsia="ar-SA"/>
    </w:rPr>
  </w:style>
  <w:style w:type="paragraph" w:customStyle="1" w:styleId="412">
    <w:name w:val="WW-正文文本缩进 3"/>
    <w:basedOn w:val="1"/>
    <w:qFormat/>
    <w:uiPriority w:val="0"/>
    <w:pPr>
      <w:overflowPunct w:val="0"/>
      <w:spacing w:line="440" w:lineRule="exact"/>
      <w:ind w:firstLine="120"/>
    </w:pPr>
    <w:rPr>
      <w:rFonts w:ascii="宋体" w:hAnsi="宋体"/>
      <w:kern w:val="1"/>
      <w:sz w:val="24"/>
      <w:lang w:eastAsia="ar-SA"/>
    </w:rPr>
  </w:style>
  <w:style w:type="paragraph" w:customStyle="1" w:styleId="413">
    <w:name w:val="样式 标题 1SAHeading 1卷标题h1标书1L1boc1st levelSection Headl1..."/>
    <w:basedOn w:val="359"/>
    <w:qFormat/>
    <w:uiPriority w:val="0"/>
    <w:pPr>
      <w:pageBreakBefore/>
    </w:pPr>
    <w:rPr>
      <w:sz w:val="44"/>
    </w:rPr>
  </w:style>
  <w:style w:type="paragraph" w:customStyle="1" w:styleId="414">
    <w:name w:val="修订1"/>
    <w:unhideWhenUsed/>
    <w:qFormat/>
    <w:uiPriority w:val="99"/>
    <w:rPr>
      <w:kern w:val="2"/>
      <w:sz w:val="21"/>
      <w:szCs w:val="24"/>
      <w:lang w:val="en-US" w:eastAsia="zh-CN" w:bidi="ar-SA"/>
    </w:rPr>
  </w:style>
  <w:style w:type="paragraph" w:customStyle="1" w:styleId="415">
    <w:name w:val="表格正文"/>
    <w:basedOn w:val="1"/>
    <w:qFormat/>
    <w:uiPriority w:val="0"/>
    <w:pPr>
      <w:overflowPunct w:val="0"/>
    </w:pPr>
    <w:rPr>
      <w:rFonts w:ascii="宋体" w:hAnsi="宋体"/>
      <w:kern w:val="1"/>
      <w:sz w:val="28"/>
      <w:lang w:eastAsia="ar-SA"/>
    </w:rPr>
  </w:style>
  <w:style w:type="paragraph" w:customStyle="1" w:styleId="416">
    <w:name w:val="模板标题1"/>
    <w:basedOn w:val="359"/>
    <w:next w:val="1"/>
    <w:qFormat/>
    <w:uiPriority w:val="0"/>
    <w:pPr>
      <w:spacing w:before="0" w:after="0"/>
      <w:ind w:left="425" w:hanging="425"/>
      <w:jc w:val="both"/>
    </w:pPr>
    <w:rPr>
      <w:rFonts w:ascii="宋体" w:hAnsi="宋体" w:eastAsia="宋体" w:cs="Times New Roman"/>
      <w:sz w:val="32"/>
    </w:rPr>
  </w:style>
  <w:style w:type="paragraph" w:customStyle="1" w:styleId="417">
    <w:name w:val="图表"/>
    <w:basedOn w:val="1"/>
    <w:qFormat/>
    <w:uiPriority w:val="0"/>
    <w:pPr>
      <w:overflowPunct w:val="0"/>
      <w:jc w:val="left"/>
    </w:pPr>
    <w:rPr>
      <w:kern w:val="1"/>
      <w:lang w:eastAsia="ar-SA"/>
    </w:rPr>
  </w:style>
  <w:style w:type="paragraph" w:customStyle="1" w:styleId="418">
    <w:name w:val="WW-文档结构图"/>
    <w:basedOn w:val="1"/>
    <w:qFormat/>
    <w:uiPriority w:val="0"/>
    <w:pPr>
      <w:shd w:val="clear" w:color="auto" w:fill="000080"/>
      <w:overflowPunct w:val="0"/>
    </w:pPr>
    <w:rPr>
      <w:kern w:val="1"/>
      <w:lang w:eastAsia="ar-SA"/>
    </w:rPr>
  </w:style>
  <w:style w:type="paragraph" w:customStyle="1" w:styleId="419">
    <w:name w:val="样式 首行缩进:  0.85 厘米"/>
    <w:basedOn w:val="1"/>
    <w:qFormat/>
    <w:uiPriority w:val="0"/>
    <w:pPr>
      <w:overflowPunct w:val="0"/>
      <w:spacing w:line="360" w:lineRule="auto"/>
      <w:ind w:firstLine="482"/>
    </w:pPr>
    <w:rPr>
      <w:rFonts w:cs="宋体"/>
      <w:kern w:val="1"/>
      <w:sz w:val="24"/>
      <w:szCs w:val="20"/>
      <w:lang w:eastAsia="ar-SA"/>
    </w:rPr>
  </w:style>
  <w:style w:type="paragraph" w:customStyle="1" w:styleId="420">
    <w:name w:val="样式 标题 2市检方案标题2第一层条h22章标题节标题第一章 标题 2Heading 2 HiddenHead..."/>
    <w:basedOn w:val="374"/>
    <w:qFormat/>
    <w:uiPriority w:val="0"/>
    <w:pPr>
      <w:spacing w:before="120" w:after="120" w:line="264" w:lineRule="auto"/>
      <w:ind w:left="420"/>
      <w:jc w:val="left"/>
    </w:pPr>
    <w:rPr>
      <w:rFonts w:ascii="Times New Roman" w:hAnsi="Times New Roman" w:cs="宋体"/>
      <w:b w:val="0"/>
      <w:bCs w:val="0"/>
      <w:sz w:val="36"/>
      <w:szCs w:val="36"/>
    </w:rPr>
  </w:style>
  <w:style w:type="paragraph" w:customStyle="1" w:styleId="421">
    <w:name w:val="Char Char Char Char Char Char Char Char Char1 Char Char Char Char Char Char Char Char Char1 Char"/>
    <w:basedOn w:val="1"/>
    <w:qFormat/>
    <w:uiPriority w:val="0"/>
    <w:pPr>
      <w:widowControl/>
      <w:overflowPunct w:val="0"/>
      <w:spacing w:after="50"/>
      <w:jc w:val="left"/>
    </w:pPr>
    <w:rPr>
      <w:rFonts w:ascii="Verdana" w:hAnsi="Verdana"/>
      <w:kern w:val="1"/>
      <w:sz w:val="20"/>
      <w:szCs w:val="20"/>
      <w:lang w:eastAsia="ar-SA"/>
    </w:rPr>
  </w:style>
  <w:style w:type="paragraph" w:customStyle="1" w:styleId="422">
    <w:name w:val="标准小四"/>
    <w:basedOn w:val="1"/>
    <w:qFormat/>
    <w:uiPriority w:val="0"/>
    <w:pPr>
      <w:spacing w:line="360" w:lineRule="auto"/>
      <w:ind w:firstLine="480" w:firstLineChars="200"/>
    </w:pPr>
    <w:rPr>
      <w:rFonts w:ascii="Arial" w:hAnsi="Arial"/>
      <w:sz w:val="24"/>
      <w:szCs w:val="21"/>
    </w:rPr>
  </w:style>
  <w:style w:type="paragraph" w:customStyle="1" w:styleId="423">
    <w:name w:val="Char Char Char Char Char Char Char Char Char Char Char Char Char"/>
    <w:basedOn w:val="1"/>
    <w:qFormat/>
    <w:uiPriority w:val="0"/>
    <w:pPr>
      <w:widowControl/>
      <w:overflowPunct w:val="0"/>
      <w:spacing w:after="160" w:line="240" w:lineRule="exact"/>
      <w:ind w:firstLine="200"/>
      <w:jc w:val="left"/>
    </w:pPr>
    <w:rPr>
      <w:rFonts w:ascii="Arial" w:hAnsi="Arial" w:eastAsia="Times New Roman"/>
      <w:kern w:val="1"/>
      <w:sz w:val="20"/>
      <w:szCs w:val="20"/>
      <w:lang w:eastAsia="ar-SA"/>
    </w:rPr>
  </w:style>
  <w:style w:type="paragraph" w:customStyle="1" w:styleId="424">
    <w:name w:val="样式 首行缩进:  2 字符"/>
    <w:basedOn w:val="1"/>
    <w:qFormat/>
    <w:uiPriority w:val="0"/>
    <w:pPr>
      <w:overflowPunct w:val="0"/>
      <w:spacing w:line="360" w:lineRule="auto"/>
      <w:ind w:firstLine="560"/>
    </w:pPr>
    <w:rPr>
      <w:kern w:val="1"/>
      <w:sz w:val="24"/>
      <w:szCs w:val="20"/>
      <w:lang w:eastAsia="ar-SA"/>
    </w:rPr>
  </w:style>
  <w:style w:type="paragraph" w:customStyle="1" w:styleId="425">
    <w:name w:val="样式 副标题 + 首行缩进:  2 字符"/>
    <w:basedOn w:val="41"/>
    <w:qFormat/>
    <w:uiPriority w:val="0"/>
    <w:pPr>
      <w:spacing w:before="240" w:after="60" w:line="312" w:lineRule="auto"/>
    </w:pPr>
    <w:rPr>
      <w:rFonts w:ascii="Arial" w:hAnsi="Arial" w:eastAsia="汉仪大黑简"/>
      <w:sz w:val="32"/>
      <w:szCs w:val="20"/>
    </w:rPr>
  </w:style>
  <w:style w:type="paragraph" w:customStyle="1" w:styleId="426">
    <w:name w:val="封面主题"/>
    <w:basedOn w:val="368"/>
    <w:qFormat/>
    <w:uiPriority w:val="0"/>
    <w:pPr>
      <w:spacing w:before="360" w:after="240"/>
    </w:pPr>
    <w:rPr>
      <w:rFonts w:ascii="Times New Roman" w:hAnsi="Times New Roman" w:cs="Times New Roman"/>
      <w:bCs w:val="0"/>
      <w:sz w:val="52"/>
      <w:szCs w:val="52"/>
    </w:rPr>
  </w:style>
  <w:style w:type="paragraph" w:customStyle="1" w:styleId="427">
    <w:name w:val="信封封面"/>
    <w:basedOn w:val="372"/>
    <w:qFormat/>
    <w:uiPriority w:val="0"/>
    <w:pPr>
      <w:spacing w:before="3120"/>
    </w:pPr>
  </w:style>
  <w:style w:type="paragraph" w:customStyle="1" w:styleId="428">
    <w:name w:val="样式 标题 2 + 仿宋_GB2312 五号 非加粗 段前: 0 磅 段后: 0 磅 行距: 1.5 倍行距"/>
    <w:basedOn w:val="5"/>
    <w:next w:val="1"/>
    <w:qFormat/>
    <w:uiPriority w:val="0"/>
    <w:pPr>
      <w:autoSpaceDE/>
      <w:autoSpaceDN/>
      <w:adjustRightInd/>
      <w:spacing w:before="0" w:line="360" w:lineRule="auto"/>
      <w:ind w:left="369" w:leftChars="304" w:right="-159" w:rightChars="-159" w:hanging="65" w:hangingChars="65"/>
      <w:jc w:val="both"/>
    </w:pPr>
    <w:rPr>
      <w:rFonts w:ascii="仿宋_GB2312" w:hAnsi="仿宋_GB2312" w:eastAsia="仿宋_GB2312" w:cs="宋体"/>
      <w:sz w:val="21"/>
    </w:rPr>
  </w:style>
  <w:style w:type="paragraph" w:customStyle="1" w:styleId="429">
    <w:name w:val="CBD标题3"/>
    <w:basedOn w:val="1"/>
    <w:next w:val="1"/>
    <w:qFormat/>
    <w:uiPriority w:val="0"/>
    <w:pPr>
      <w:overflowPunct w:val="0"/>
      <w:ind w:left="1854" w:hanging="720"/>
    </w:pPr>
    <w:rPr>
      <w:b/>
      <w:kern w:val="1"/>
      <w:sz w:val="30"/>
      <w:lang w:eastAsia="ar-SA"/>
    </w:rPr>
  </w:style>
  <w:style w:type="paragraph" w:customStyle="1" w:styleId="430">
    <w:name w:val="样式 标题 1 + 18 磅"/>
    <w:basedOn w:val="359"/>
    <w:qFormat/>
    <w:uiPriority w:val="0"/>
    <w:pPr>
      <w:keepNext w:val="0"/>
      <w:keepLines w:val="0"/>
      <w:spacing w:before="0" w:after="0" w:line="100" w:lineRule="atLeast"/>
    </w:pPr>
    <w:rPr>
      <w:rFonts w:ascii="宋体" w:hAnsi="宋体" w:cs="Times New Roman"/>
      <w:w w:val="90"/>
      <w:sz w:val="24"/>
      <w:szCs w:val="20"/>
    </w:rPr>
  </w:style>
  <w:style w:type="paragraph" w:customStyle="1" w:styleId="431">
    <w:name w:val="Pa0"/>
    <w:basedOn w:val="1"/>
    <w:next w:val="1"/>
    <w:qFormat/>
    <w:uiPriority w:val="0"/>
    <w:pPr>
      <w:overflowPunct w:val="0"/>
      <w:autoSpaceDE w:val="0"/>
      <w:jc w:val="left"/>
    </w:pPr>
    <w:rPr>
      <w:rFonts w:ascii="Myriad-Roman" w:hAnsi="Myriad-Roman" w:eastAsia="Myriad-Roman"/>
      <w:kern w:val="1"/>
      <w:sz w:val="20"/>
      <w:lang w:eastAsia="ar-SA"/>
    </w:rPr>
  </w:style>
  <w:style w:type="paragraph" w:customStyle="1" w:styleId="432">
    <w:name w:val="中文列表"/>
    <w:basedOn w:val="1"/>
    <w:qFormat/>
    <w:uiPriority w:val="0"/>
    <w:pPr>
      <w:tabs>
        <w:tab w:val="left" w:pos="284"/>
      </w:tabs>
      <w:ind w:left="284" w:hanging="284"/>
    </w:pPr>
    <w:rPr>
      <w:sz w:val="18"/>
    </w:rPr>
  </w:style>
  <w:style w:type="paragraph" w:customStyle="1" w:styleId="4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jc w:val="left"/>
    </w:pPr>
    <w:rPr>
      <w:rFonts w:ascii="Courier New" w:hAnsi="Courier New"/>
      <w:kern w:val="1"/>
      <w:sz w:val="20"/>
      <w:lang w:eastAsia="ar-SA"/>
    </w:rPr>
  </w:style>
  <w:style w:type="paragraph" w:customStyle="1" w:styleId="434">
    <w:name w:val="表格内容"/>
    <w:basedOn w:val="43"/>
    <w:qFormat/>
    <w:uiPriority w:val="0"/>
    <w:pPr>
      <w:suppressLineNumbers/>
    </w:pPr>
  </w:style>
  <w:style w:type="paragraph" w:customStyle="1" w:styleId="435">
    <w:name w:val="样式 行距: 1.5 倍行距"/>
    <w:basedOn w:val="1"/>
    <w:qFormat/>
    <w:uiPriority w:val="0"/>
    <w:pPr>
      <w:overflowPunct w:val="0"/>
      <w:spacing w:line="360" w:lineRule="auto"/>
    </w:pPr>
    <w:rPr>
      <w:rFonts w:eastAsia="楷体_GB2312"/>
      <w:kern w:val="1"/>
      <w:sz w:val="24"/>
      <w:szCs w:val="20"/>
      <w:lang w:eastAsia="ar-SA"/>
    </w:rPr>
  </w:style>
  <w:style w:type="paragraph" w:customStyle="1" w:styleId="436">
    <w:name w:val="样式1"/>
    <w:basedOn w:val="4"/>
    <w:link w:val="437"/>
    <w:qFormat/>
    <w:uiPriority w:val="0"/>
    <w:pPr>
      <w:keepNext w:val="0"/>
      <w:keepLines w:val="0"/>
      <w:spacing w:before="48" w:after="48" w:line="360" w:lineRule="auto"/>
      <w:ind w:left="-6" w:firstLine="425"/>
    </w:pPr>
    <w:rPr>
      <w:rFonts w:ascii="Times New Roman" w:hAnsi="宋体"/>
      <w:bCs/>
      <w:sz w:val="24"/>
      <w:szCs w:val="24"/>
    </w:rPr>
  </w:style>
  <w:style w:type="character" w:customStyle="1" w:styleId="437">
    <w:name w:val="样式1 字符"/>
    <w:link w:val="436"/>
    <w:uiPriority w:val="0"/>
    <w:rPr>
      <w:rFonts w:hAnsi="宋体"/>
      <w:b/>
      <w:bCs/>
      <w:kern w:val="44"/>
      <w:sz w:val="24"/>
      <w:szCs w:val="24"/>
    </w:rPr>
  </w:style>
  <w:style w:type="paragraph" w:customStyle="1" w:styleId="438">
    <w:name w:val="文字说明"/>
    <w:basedOn w:val="1"/>
    <w:qFormat/>
    <w:uiPriority w:val="0"/>
    <w:pPr>
      <w:suppressLineNumbers/>
      <w:overflowPunct w:val="0"/>
      <w:spacing w:before="120" w:after="120"/>
    </w:pPr>
    <w:rPr>
      <w:rFonts w:ascii="Arial" w:hAnsi="Arial" w:cs="Tahoma"/>
      <w:i/>
      <w:iCs/>
      <w:kern w:val="1"/>
      <w:sz w:val="20"/>
      <w:szCs w:val="20"/>
      <w:lang w:eastAsia="ar-SA"/>
    </w:rPr>
  </w:style>
  <w:style w:type="paragraph" w:customStyle="1" w:styleId="439">
    <w:name w:val="朝阳方案标题3"/>
    <w:basedOn w:val="1"/>
    <w:next w:val="1"/>
    <w:qFormat/>
    <w:uiPriority w:val="0"/>
    <w:pPr>
      <w:tabs>
        <w:tab w:val="left" w:pos="2040"/>
      </w:tabs>
      <w:overflowPunct w:val="0"/>
      <w:spacing w:line="360" w:lineRule="auto"/>
      <w:ind w:left="1320"/>
    </w:pPr>
    <w:rPr>
      <w:b/>
      <w:kern w:val="1"/>
      <w:sz w:val="30"/>
      <w:lang w:eastAsia="ar-SA"/>
    </w:rPr>
  </w:style>
  <w:style w:type="paragraph" w:customStyle="1" w:styleId="440">
    <w:name w:val="附录表标题"/>
    <w:next w:val="1"/>
    <w:qFormat/>
    <w:uiPriority w:val="0"/>
    <w:pPr>
      <w:ind w:left="360" w:hanging="360"/>
      <w:jc w:val="center"/>
      <w:textAlignment w:val="baseline"/>
    </w:pPr>
    <w:rPr>
      <w:rFonts w:ascii="黑体" w:hAnsi="黑体" w:eastAsia="黑体"/>
      <w:kern w:val="1"/>
      <w:sz w:val="21"/>
      <w:lang w:val="en-US" w:eastAsia="ar-SA" w:bidi="ar-SA"/>
    </w:rPr>
  </w:style>
  <w:style w:type="paragraph" w:customStyle="1" w:styleId="441">
    <w:name w:val="CBD标题4"/>
    <w:basedOn w:val="1"/>
    <w:next w:val="1"/>
    <w:qFormat/>
    <w:uiPriority w:val="0"/>
    <w:pPr>
      <w:overflowPunct w:val="0"/>
      <w:ind w:left="2781" w:hanging="1080"/>
    </w:pPr>
    <w:rPr>
      <w:b/>
      <w:kern w:val="1"/>
      <w:sz w:val="28"/>
      <w:lang w:eastAsia="ar-SA"/>
    </w:rPr>
  </w:style>
  <w:style w:type="paragraph" w:customStyle="1" w:styleId="442">
    <w:name w:val="样式 标题 + 左侧:  0.51 厘米 首行缩进:  0 厘米"/>
    <w:basedOn w:val="368"/>
    <w:qFormat/>
    <w:uiPriority w:val="0"/>
    <w:pPr>
      <w:ind w:left="288" w:hanging="288"/>
    </w:pPr>
    <w:rPr>
      <w:rFonts w:cs="Times New Roman"/>
      <w:szCs w:val="20"/>
    </w:rPr>
  </w:style>
  <w:style w:type="paragraph" w:customStyle="1" w:styleId="443">
    <w:name w:val="TOC 标题1"/>
    <w:basedOn w:val="4"/>
    <w:next w:val="1"/>
    <w:qFormat/>
    <w:uiPriority w:val="39"/>
    <w:pPr>
      <w:keepNext w:val="0"/>
      <w:keepLines w:val="0"/>
      <w:widowControl/>
      <w:autoSpaceDE/>
      <w:autoSpaceDN/>
      <w:adjustRightInd/>
      <w:spacing w:before="480" w:after="0" w:line="276" w:lineRule="auto"/>
      <w:ind w:left="-6" w:firstLine="425"/>
      <w:jc w:val="left"/>
      <w:outlineLvl w:val="9"/>
    </w:pPr>
    <w:rPr>
      <w:rFonts w:ascii="Cambria" w:hAnsi="Cambria"/>
      <w:bCs/>
      <w:color w:val="365F91"/>
      <w:kern w:val="0"/>
      <w:sz w:val="28"/>
      <w:szCs w:val="28"/>
    </w:rPr>
  </w:style>
  <w:style w:type="paragraph" w:customStyle="1" w:styleId="444">
    <w:name w:val="段落"/>
    <w:basedOn w:val="1"/>
    <w:qFormat/>
    <w:uiPriority w:val="0"/>
    <w:pPr>
      <w:overflowPunct w:val="0"/>
      <w:spacing w:line="360" w:lineRule="auto"/>
      <w:ind w:firstLine="480"/>
      <w:jc w:val="left"/>
    </w:pPr>
    <w:rPr>
      <w:kern w:val="1"/>
      <w:sz w:val="24"/>
      <w:lang w:eastAsia="ar-SA"/>
    </w:rPr>
  </w:style>
  <w:style w:type="paragraph" w:customStyle="1" w:styleId="445">
    <w:name w:val="封面副题"/>
    <w:basedOn w:val="426"/>
    <w:qFormat/>
    <w:uiPriority w:val="0"/>
    <w:pPr>
      <w:spacing w:before="0" w:after="0" w:line="100" w:lineRule="atLeast"/>
    </w:pPr>
    <w:rPr>
      <w:b w:val="0"/>
      <w:sz w:val="36"/>
      <w:szCs w:val="36"/>
    </w:rPr>
  </w:style>
  <w:style w:type="paragraph" w:customStyle="1" w:styleId="446">
    <w:name w:val="标题 61"/>
    <w:basedOn w:val="1"/>
    <w:qFormat/>
    <w:uiPriority w:val="1"/>
    <w:pPr>
      <w:autoSpaceDE w:val="0"/>
      <w:autoSpaceDN w:val="0"/>
      <w:adjustRightInd w:val="0"/>
      <w:ind w:left="678"/>
      <w:jc w:val="left"/>
      <w:outlineLvl w:val="5"/>
    </w:pPr>
    <w:rPr>
      <w:rFonts w:ascii="宋体" w:cs="宋体"/>
      <w:b/>
      <w:bCs/>
      <w:kern w:val="0"/>
      <w:sz w:val="28"/>
      <w:szCs w:val="28"/>
    </w:rPr>
  </w:style>
  <w:style w:type="paragraph" w:customStyle="1" w:styleId="447">
    <w:name w:val="标题 41"/>
    <w:basedOn w:val="1"/>
    <w:qFormat/>
    <w:uiPriority w:val="1"/>
    <w:pPr>
      <w:autoSpaceDE w:val="0"/>
      <w:autoSpaceDN w:val="0"/>
      <w:adjustRightInd w:val="0"/>
      <w:ind w:left="545"/>
      <w:jc w:val="left"/>
      <w:outlineLvl w:val="3"/>
    </w:pPr>
    <w:rPr>
      <w:rFonts w:ascii="宋体" w:cs="宋体"/>
      <w:b/>
      <w:bCs/>
      <w:kern w:val="0"/>
      <w:sz w:val="32"/>
      <w:szCs w:val="32"/>
    </w:rPr>
  </w:style>
  <w:style w:type="character" w:customStyle="1" w:styleId="448">
    <w:name w:val="不明显参考1"/>
    <w:qFormat/>
    <w:uiPriority w:val="0"/>
    <w:rPr>
      <w:smallCaps/>
      <w:color w:val="C0504D"/>
      <w:u w:val="single"/>
    </w:rPr>
  </w:style>
  <w:style w:type="paragraph" w:customStyle="1" w:styleId="449">
    <w:name w:val="p15"/>
    <w:basedOn w:val="1"/>
    <w:qFormat/>
    <w:uiPriority w:val="0"/>
    <w:pPr>
      <w:widowControl/>
    </w:pPr>
    <w:rPr>
      <w:rFonts w:ascii="Calibri" w:hAnsi="Calibri"/>
      <w:kern w:val="0"/>
      <w:szCs w:val="21"/>
    </w:rPr>
  </w:style>
  <w:style w:type="paragraph" w:customStyle="1" w:styleId="450">
    <w:name w:val="p16"/>
    <w:basedOn w:val="1"/>
    <w:qFormat/>
    <w:uiPriority w:val="0"/>
    <w:pPr>
      <w:widowControl/>
    </w:pPr>
    <w:rPr>
      <w:rFonts w:ascii="宋体" w:hAnsi="宋体" w:cs="宋体"/>
      <w:kern w:val="0"/>
      <w:szCs w:val="21"/>
    </w:rPr>
  </w:style>
  <w:style w:type="paragraph" w:customStyle="1" w:styleId="451">
    <w:name w:val="p17"/>
    <w:basedOn w:val="1"/>
    <w:qFormat/>
    <w:uiPriority w:val="0"/>
    <w:pPr>
      <w:widowControl/>
    </w:pPr>
    <w:rPr>
      <w:rFonts w:ascii="Calibri" w:hAnsi="Calibri"/>
      <w:kern w:val="0"/>
      <w:szCs w:val="21"/>
    </w:rPr>
  </w:style>
  <w:style w:type="character" w:customStyle="1" w:styleId="452">
    <w:name w:val="font61"/>
    <w:qFormat/>
    <w:uiPriority w:val="99"/>
    <w:rPr>
      <w:rFonts w:ascii="宋体" w:hAnsi="宋体" w:eastAsia="宋体" w:cs="宋体"/>
      <w:color w:val="000000"/>
      <w:sz w:val="22"/>
      <w:szCs w:val="22"/>
      <w:u w:val="none"/>
    </w:rPr>
  </w:style>
  <w:style w:type="table" w:customStyle="1" w:styleId="453">
    <w:name w:val="网格型1"/>
    <w:basedOn w:val="61"/>
    <w:qFormat/>
    <w:uiPriority w:val="0"/>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4">
    <w:name w:val="font81"/>
    <w:qFormat/>
    <w:uiPriority w:val="0"/>
    <w:rPr>
      <w:rFonts w:hint="eastAsia" w:ascii="微软雅黑" w:hAnsi="微软雅黑" w:eastAsia="微软雅黑" w:cs="微软雅黑"/>
      <w:color w:val="000000"/>
      <w:sz w:val="22"/>
      <w:szCs w:val="22"/>
      <w:u w:val="none"/>
    </w:rPr>
  </w:style>
  <w:style w:type="paragraph" w:customStyle="1" w:styleId="455">
    <w:name w:val="段"/>
    <w:next w:val="1"/>
    <w:qFormat/>
    <w:uiPriority w:val="0"/>
    <w:pPr>
      <w:autoSpaceDE w:val="0"/>
      <w:autoSpaceDN w:val="0"/>
      <w:ind w:firstLine="200" w:firstLineChars="200"/>
      <w:jc w:val="both"/>
    </w:pPr>
    <w:rPr>
      <w:rFonts w:ascii="宋体" w:hAnsi="Calibri"/>
      <w:sz w:val="21"/>
      <w:lang w:val="en-US" w:eastAsia="zh-CN" w:bidi="ar-SA"/>
    </w:rPr>
  </w:style>
  <w:style w:type="character" w:customStyle="1" w:styleId="456">
    <w:name w:val="def"/>
    <w:qFormat/>
    <w:uiPriority w:val="0"/>
  </w:style>
  <w:style w:type="table" w:customStyle="1" w:styleId="457">
    <w:name w:val="网格型2"/>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8">
    <w:name w:val="网格型3"/>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9">
    <w:name w:val="网格型4"/>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60">
    <w:name w:val="网格型5"/>
    <w:basedOn w:val="61"/>
    <w:qFormat/>
    <w:uiPriority w:val="39"/>
    <w:rPr>
      <w:rFonts w:ascii="Calibri" w:hAnsi="Calibri" w:eastAsia="宋体" w:cs="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6"/>
    <w:basedOn w:val="61"/>
    <w:qFormat/>
    <w:uiPriority w:val="39"/>
    <w:rPr>
      <w:rFonts w:ascii="Calibri" w:hAnsi="Calibri" w:eastAsia="宋体" w:cs="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7"/>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71"/>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72"/>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5">
    <w:name w:val="合同1级"/>
    <w:next w:val="1"/>
    <w:link w:val="466"/>
    <w:qFormat/>
    <w:uiPriority w:val="0"/>
    <w:pPr>
      <w:numPr>
        <w:ilvl w:val="0"/>
        <w:numId w:val="8"/>
      </w:numPr>
      <w:spacing w:line="480" w:lineRule="auto"/>
      <w:outlineLvl w:val="0"/>
    </w:pPr>
    <w:rPr>
      <w:rFonts w:ascii="宋体" w:hAnsi="宋体"/>
      <w:b/>
      <w:bCs/>
      <w:kern w:val="2"/>
      <w:sz w:val="18"/>
      <w:szCs w:val="32"/>
      <w:lang w:val="en-US" w:eastAsia="zh-CN" w:bidi="ar-SA"/>
    </w:rPr>
  </w:style>
  <w:style w:type="character" w:customStyle="1" w:styleId="466">
    <w:name w:val="合同1级 字符"/>
    <w:link w:val="465"/>
    <w:qFormat/>
    <w:uiPriority w:val="0"/>
    <w:rPr>
      <w:rFonts w:ascii="宋体" w:hAnsi="宋体"/>
      <w:b/>
      <w:bCs/>
      <w:kern w:val="2"/>
      <w:sz w:val="18"/>
      <w:szCs w:val="32"/>
    </w:rPr>
  </w:style>
  <w:style w:type="paragraph" w:customStyle="1" w:styleId="467">
    <w:name w:val="合同2级"/>
    <w:basedOn w:val="465"/>
    <w:link w:val="468"/>
    <w:qFormat/>
    <w:uiPriority w:val="0"/>
    <w:pPr>
      <w:numPr>
        <w:ilvl w:val="1"/>
        <w:numId w:val="8"/>
      </w:numPr>
      <w:snapToGrid w:val="0"/>
      <w:outlineLvl w:val="1"/>
    </w:pPr>
    <w:rPr>
      <w:b w:val="0"/>
      <w:sz w:val="20"/>
    </w:rPr>
  </w:style>
  <w:style w:type="character" w:customStyle="1" w:styleId="468">
    <w:name w:val="合同2级 字符"/>
    <w:link w:val="467"/>
    <w:qFormat/>
    <w:uiPriority w:val="0"/>
    <w:rPr>
      <w:rFonts w:ascii="宋体" w:hAnsi="宋体"/>
      <w:bCs/>
      <w:kern w:val="2"/>
      <w:szCs w:val="32"/>
    </w:rPr>
  </w:style>
  <w:style w:type="paragraph" w:customStyle="1" w:styleId="469">
    <w:name w:val="合同3级"/>
    <w:basedOn w:val="467"/>
    <w:link w:val="470"/>
    <w:qFormat/>
    <w:uiPriority w:val="0"/>
    <w:pPr>
      <w:numPr>
        <w:ilvl w:val="2"/>
        <w:numId w:val="2"/>
      </w:numPr>
      <w:ind w:left="250" w:hanging="250" w:hangingChars="250"/>
      <w:outlineLvl w:val="2"/>
    </w:pPr>
  </w:style>
  <w:style w:type="character" w:customStyle="1" w:styleId="470">
    <w:name w:val="合同3级 字符"/>
    <w:link w:val="469"/>
    <w:qFormat/>
    <w:uiPriority w:val="0"/>
    <w:rPr>
      <w:rFonts w:ascii="宋体" w:hAnsi="宋体"/>
      <w:bCs/>
      <w:kern w:val="2"/>
      <w:szCs w:val="32"/>
    </w:rPr>
  </w:style>
  <w:style w:type="paragraph" w:customStyle="1" w:styleId="471">
    <w:name w:val="修订2"/>
    <w:unhideWhenUsed/>
    <w:qFormat/>
    <w:uiPriority w:val="99"/>
    <w:rPr>
      <w:kern w:val="2"/>
      <w:sz w:val="21"/>
      <w:szCs w:val="24"/>
      <w:lang w:val="en-US" w:eastAsia="zh-CN" w:bidi="ar-SA"/>
    </w:rPr>
  </w:style>
  <w:style w:type="paragraph" w:customStyle="1" w:styleId="472">
    <w:name w:val="样式 小四"/>
    <w:qFormat/>
    <w:uiPriority w:val="0"/>
    <w:pPr>
      <w:widowControl w:val="0"/>
      <w:adjustRightInd w:val="0"/>
      <w:spacing w:line="360" w:lineRule="atLeast"/>
      <w:textAlignment w:val="baseline"/>
    </w:pPr>
    <w:rPr>
      <w:rFonts w:cs="Arial"/>
      <w:sz w:val="24"/>
      <w:szCs w:val="22"/>
      <w:lang w:val="en-US" w:eastAsia="zh-CN" w:bidi="ar-SA"/>
    </w:rPr>
  </w:style>
  <w:style w:type="character" w:customStyle="1" w:styleId="473">
    <w:name w:val="正文缩进 字符1"/>
    <w:qFormat/>
    <w:uiPriority w:val="0"/>
    <w:rPr>
      <w:rFonts w:ascii="宋体" w:eastAsia="宋体"/>
      <w:kern w:val="2"/>
      <w:sz w:val="24"/>
      <w:szCs w:val="24"/>
      <w:lang w:val="en-US" w:eastAsia="zh-CN" w:bidi="ar-SA"/>
    </w:rPr>
  </w:style>
  <w:style w:type="character" w:customStyle="1" w:styleId="474">
    <w:name w:val="纯文本 字符2"/>
    <w:qFormat/>
    <w:uiPriority w:val="0"/>
    <w:rPr>
      <w:rFonts w:ascii="宋体" w:hAnsi="Courier New"/>
      <w:kern w:val="2"/>
      <w:sz w:val="21"/>
    </w:rPr>
  </w:style>
  <w:style w:type="character" w:customStyle="1" w:styleId="475">
    <w:name w:val="未处理的提及1"/>
    <w:qFormat/>
    <w:uiPriority w:val="99"/>
    <w:rPr>
      <w:color w:val="605E5C"/>
      <w:shd w:val="clear" w:color="auto" w:fill="E1DFDD"/>
    </w:rPr>
  </w:style>
  <w:style w:type="character" w:customStyle="1" w:styleId="476">
    <w:name w:val="占位符文本1"/>
    <w:uiPriority w:val="0"/>
    <w:rPr>
      <w:color w:val="808080"/>
    </w:rPr>
  </w:style>
  <w:style w:type="character" w:customStyle="1" w:styleId="477">
    <w:name w:val="批注引用1"/>
    <w:qFormat/>
    <w:uiPriority w:val="0"/>
    <w:rPr>
      <w:sz w:val="21"/>
      <w:szCs w:val="21"/>
    </w:rPr>
  </w:style>
  <w:style w:type="paragraph" w:customStyle="1" w:styleId="478">
    <w:name w:val="文档结构图1"/>
    <w:basedOn w:val="1"/>
    <w:uiPriority w:val="0"/>
    <w:pPr>
      <w:adjustRightInd w:val="0"/>
      <w:snapToGrid w:val="0"/>
      <w:spacing w:after="156" w:afterLines="50" w:line="360" w:lineRule="auto"/>
      <w:ind w:firstLine="480" w:firstLineChars="200"/>
    </w:pPr>
    <w:rPr>
      <w:rFonts w:ascii="宋体" w:hAnsi="Calibri" w:eastAsia="宋体" w:cs="黑体"/>
      <w:sz w:val="24"/>
    </w:rPr>
  </w:style>
  <w:style w:type="paragraph" w:customStyle="1" w:styleId="479">
    <w:name w:val="正文文本 31"/>
    <w:basedOn w:val="1"/>
    <w:qFormat/>
    <w:uiPriority w:val="0"/>
    <w:pPr>
      <w:adjustRightInd w:val="0"/>
      <w:snapToGrid w:val="0"/>
      <w:spacing w:after="156" w:afterLines="50" w:line="360" w:lineRule="auto"/>
      <w:ind w:firstLine="480" w:firstLineChars="200"/>
    </w:pPr>
    <w:rPr>
      <w:rFonts w:ascii="Calibri" w:hAnsi="Calibri" w:cs="黑体"/>
      <w:sz w:val="16"/>
      <w:szCs w:val="16"/>
    </w:rPr>
  </w:style>
  <w:style w:type="character" w:customStyle="1" w:styleId="480">
    <w:name w:val="正文文本 2 Char"/>
    <w:link w:val="481"/>
    <w:uiPriority w:val="0"/>
    <w:rPr>
      <w:rFonts w:ascii="Calibri" w:hAnsi="Calibri" w:cs="黑体"/>
      <w:kern w:val="2"/>
      <w:sz w:val="24"/>
      <w:szCs w:val="22"/>
    </w:rPr>
  </w:style>
  <w:style w:type="paragraph" w:customStyle="1" w:styleId="481">
    <w:name w:val="正文文本 21"/>
    <w:basedOn w:val="1"/>
    <w:link w:val="480"/>
    <w:qFormat/>
    <w:uiPriority w:val="0"/>
    <w:pPr>
      <w:adjustRightInd w:val="0"/>
      <w:snapToGrid w:val="0"/>
      <w:spacing w:after="156" w:afterLines="50" w:line="480" w:lineRule="auto"/>
      <w:ind w:firstLine="480" w:firstLineChars="200"/>
    </w:pPr>
    <w:rPr>
      <w:rFonts w:ascii="Calibri" w:hAnsi="Calibri" w:cs="黑体"/>
      <w:sz w:val="24"/>
      <w:szCs w:val="22"/>
    </w:rPr>
  </w:style>
  <w:style w:type="paragraph" w:customStyle="1" w:styleId="482">
    <w:name w:val="Title 4 Chinese"/>
    <w:qFormat/>
    <w:uiPriority w:val="0"/>
    <w:pPr>
      <w:ind w:left="1276"/>
    </w:pPr>
    <w:rPr>
      <w:rFonts w:cs="黑体"/>
      <w:kern w:val="2"/>
      <w:sz w:val="24"/>
      <w:szCs w:val="24"/>
      <w:lang w:val="en-US" w:eastAsia="zh-CN" w:bidi="ar-SA"/>
    </w:rPr>
  </w:style>
  <w:style w:type="paragraph" w:customStyle="1" w:styleId="483">
    <w:name w:val="样式3"/>
    <w:next w:val="1"/>
    <w:link w:val="484"/>
    <w:qFormat/>
    <w:uiPriority w:val="0"/>
    <w:pPr>
      <w:numPr>
        <w:ilvl w:val="2"/>
        <w:numId w:val="8"/>
      </w:numPr>
    </w:pPr>
    <w:rPr>
      <w:rFonts w:cs="黑体"/>
      <w:bCs/>
      <w:kern w:val="2"/>
      <w:sz w:val="24"/>
      <w:szCs w:val="24"/>
      <w:lang w:val="en-US" w:eastAsia="zh-CN" w:bidi="ar-SA"/>
    </w:rPr>
  </w:style>
  <w:style w:type="character" w:customStyle="1" w:styleId="484">
    <w:name w:val="样式3 Char"/>
    <w:link w:val="483"/>
    <w:qFormat/>
    <w:uiPriority w:val="0"/>
    <w:rPr>
      <w:rFonts w:cs="黑体"/>
      <w:bCs/>
      <w:kern w:val="2"/>
      <w:sz w:val="24"/>
      <w:szCs w:val="24"/>
    </w:rPr>
  </w:style>
  <w:style w:type="paragraph" w:customStyle="1" w:styleId="485">
    <w:name w:val="Title 5 Chinese"/>
    <w:uiPriority w:val="0"/>
    <w:pPr>
      <w:ind w:left="1701"/>
    </w:pPr>
    <w:rPr>
      <w:rFonts w:cs="黑体"/>
      <w:kern w:val="2"/>
      <w:sz w:val="24"/>
      <w:szCs w:val="24"/>
      <w:lang w:val="en-US" w:eastAsia="zh-CN" w:bidi="ar-SA"/>
    </w:rPr>
  </w:style>
  <w:style w:type="paragraph" w:customStyle="1" w:styleId="486">
    <w:name w:val="小标题"/>
    <w:uiPriority w:val="0"/>
    <w:pPr>
      <w:tabs>
        <w:tab w:val="left" w:pos="993"/>
      </w:tabs>
      <w:adjustRightInd w:val="0"/>
      <w:snapToGrid w:val="0"/>
    </w:pPr>
    <w:rPr>
      <w:rFonts w:cs="黑体"/>
      <w:bCs/>
      <w:kern w:val="2"/>
      <w:sz w:val="24"/>
      <w:szCs w:val="22"/>
      <w:lang w:val="en-US" w:eastAsia="zh-CN" w:bidi="ar-SA"/>
    </w:rPr>
  </w:style>
  <w:style w:type="paragraph" w:customStyle="1" w:styleId="487">
    <w:name w:val="_Style 47"/>
    <w:qFormat/>
    <w:uiPriority w:val="0"/>
    <w:rPr>
      <w:rFonts w:ascii="宋体" w:hAnsi="宋体" w:cs="黑体"/>
      <w:kern w:val="2"/>
      <w:sz w:val="24"/>
      <w:szCs w:val="24"/>
      <w:lang w:val="en-US" w:eastAsia="zh-CN" w:bidi="ar-SA"/>
    </w:rPr>
  </w:style>
  <w:style w:type="paragraph" w:customStyle="1" w:styleId="488">
    <w:name w:val="专用标题3"/>
    <w:basedOn w:val="7"/>
    <w:uiPriority w:val="0"/>
    <w:pPr>
      <w:numPr>
        <w:ilvl w:val="1"/>
        <w:numId w:val="2"/>
      </w:numPr>
      <w:autoSpaceDE/>
      <w:autoSpaceDN/>
      <w:snapToGrid w:val="0"/>
      <w:spacing w:before="0" w:after="156" w:afterLines="50" w:line="360" w:lineRule="auto"/>
    </w:pPr>
    <w:rPr>
      <w:rFonts w:hAnsi="Calibri" w:cs="黑体"/>
      <w:kern w:val="2"/>
      <w:szCs w:val="22"/>
      <w:u w:val="none"/>
    </w:rPr>
  </w:style>
  <w:style w:type="paragraph" w:customStyle="1" w:styleId="489">
    <w:name w:val="List ALPHA CAPS 1"/>
    <w:basedOn w:val="1"/>
    <w:next w:val="23"/>
    <w:qFormat/>
    <w:uiPriority w:val="0"/>
    <w:pPr>
      <w:widowControl/>
      <w:numPr>
        <w:ilvl w:val="0"/>
        <w:numId w:val="9"/>
      </w:numPr>
      <w:tabs>
        <w:tab w:val="left" w:pos="22"/>
      </w:tabs>
      <w:adjustRightInd w:val="0"/>
      <w:snapToGrid w:val="0"/>
      <w:spacing w:after="200" w:line="288" w:lineRule="auto"/>
      <w:ind w:firstLine="200" w:firstLineChars="200"/>
    </w:pPr>
    <w:rPr>
      <w:rFonts w:ascii="CG Times" w:hAnsi="CG Times"/>
      <w:kern w:val="0"/>
      <w:sz w:val="22"/>
      <w:szCs w:val="20"/>
    </w:rPr>
  </w:style>
  <w:style w:type="paragraph" w:customStyle="1" w:styleId="490">
    <w:name w:val="专用标题2"/>
    <w:basedOn w:val="5"/>
    <w:next w:val="1"/>
    <w:qFormat/>
    <w:uiPriority w:val="0"/>
    <w:pPr>
      <w:tabs>
        <w:tab w:val="left" w:pos="312"/>
        <w:tab w:val="left" w:pos="993"/>
      </w:tabs>
      <w:autoSpaceDE/>
      <w:autoSpaceDN/>
      <w:snapToGrid w:val="0"/>
      <w:spacing w:before="0" w:after="156" w:afterLines="50" w:line="360" w:lineRule="auto"/>
      <w:jc w:val="both"/>
    </w:pPr>
    <w:rPr>
      <w:rFonts w:ascii="宋体" w:hAnsi="宋体" w:eastAsia="宋体" w:cs="Times"/>
      <w:kern w:val="2"/>
      <w:sz w:val="28"/>
      <w:szCs w:val="24"/>
    </w:rPr>
  </w:style>
  <w:style w:type="paragraph" w:customStyle="1" w:styleId="491">
    <w:name w:val="专用标题4"/>
    <w:basedOn w:val="8"/>
    <w:next w:val="1"/>
    <w:uiPriority w:val="0"/>
    <w:pPr>
      <w:widowControl/>
      <w:numPr>
        <w:ilvl w:val="0"/>
        <w:numId w:val="10"/>
      </w:numPr>
      <w:snapToGrid w:val="0"/>
      <w:spacing w:before="0" w:after="0" w:line="240" w:lineRule="auto"/>
      <w:jc w:val="left"/>
      <w:textAlignment w:val="auto"/>
    </w:pPr>
    <w:rPr>
      <w:rFonts w:eastAsia="宋体" w:cs="黑体"/>
      <w:b w:val="0"/>
      <w:kern w:val="2"/>
      <w:szCs w:val="22"/>
    </w:rPr>
  </w:style>
  <w:style w:type="paragraph" w:customStyle="1" w:styleId="492">
    <w:name w:val="批注主题1"/>
    <w:basedOn w:val="21"/>
    <w:next w:val="21"/>
    <w:qFormat/>
    <w:uiPriority w:val="0"/>
    <w:pPr>
      <w:adjustRightInd w:val="0"/>
      <w:snapToGrid w:val="0"/>
      <w:spacing w:after="156" w:afterLines="50" w:line="360" w:lineRule="auto"/>
      <w:ind w:firstLine="480" w:firstLineChars="200"/>
    </w:pPr>
    <w:rPr>
      <w:rFonts w:ascii="宋体" w:hAnsi="宋体" w:cs="黑体"/>
      <w:b/>
      <w:bCs/>
      <w:sz w:val="24"/>
    </w:rPr>
  </w:style>
  <w:style w:type="paragraph" w:customStyle="1" w:styleId="493">
    <w:name w:val="通用标题4"/>
    <w:next w:val="1"/>
    <w:uiPriority w:val="0"/>
    <w:pPr>
      <w:widowControl w:val="0"/>
      <w:numPr>
        <w:ilvl w:val="2"/>
        <w:numId w:val="11"/>
      </w:numPr>
      <w:tabs>
        <w:tab w:val="left" w:pos="709"/>
      </w:tabs>
      <w:adjustRightInd w:val="0"/>
      <w:snapToGrid w:val="0"/>
      <w:spacing w:after="156" w:afterLines="50" w:line="360" w:lineRule="auto"/>
      <w:ind w:left="0" w:firstLine="480" w:firstLineChars="200"/>
      <w:jc w:val="both"/>
      <w:outlineLvl w:val="3"/>
    </w:pPr>
    <w:rPr>
      <w:rFonts w:ascii="宋体" w:hAnsi="宋体" w:cs="黑体"/>
      <w:kern w:val="2"/>
      <w:sz w:val="24"/>
      <w:szCs w:val="24"/>
      <w:lang w:val="en-US" w:eastAsia="zh-CN" w:bidi="ar-SA"/>
    </w:rPr>
  </w:style>
  <w:style w:type="paragraph" w:customStyle="1" w:styleId="494">
    <w:name w:val="通用标题3"/>
    <w:next w:val="1"/>
    <w:qFormat/>
    <w:uiPriority w:val="0"/>
    <w:pPr>
      <w:widowControl w:val="0"/>
      <w:numPr>
        <w:ilvl w:val="1"/>
        <w:numId w:val="11"/>
      </w:numPr>
      <w:tabs>
        <w:tab w:val="left" w:pos="709"/>
      </w:tabs>
      <w:adjustRightInd w:val="0"/>
      <w:snapToGrid w:val="0"/>
      <w:spacing w:after="156" w:afterLines="50" w:line="360" w:lineRule="auto"/>
      <w:jc w:val="both"/>
      <w:outlineLvl w:val="2"/>
    </w:pPr>
    <w:rPr>
      <w:rFonts w:ascii="宋体" w:hAnsi="宋体" w:cs="黑体"/>
      <w:b/>
      <w:kern w:val="2"/>
      <w:sz w:val="24"/>
      <w:szCs w:val="24"/>
      <w:lang w:val="en-US" w:eastAsia="zh-CN" w:bidi="ar-SA"/>
    </w:rPr>
  </w:style>
  <w:style w:type="paragraph" w:customStyle="1" w:styleId="495">
    <w:name w:val="Title 4"/>
    <w:next w:val="482"/>
    <w:uiPriority w:val="0"/>
    <w:pPr>
      <w:ind w:left="1276" w:hanging="562"/>
      <w:jc w:val="both"/>
    </w:pPr>
    <w:rPr>
      <w:rFonts w:cs="黑体"/>
      <w:kern w:val="2"/>
      <w:sz w:val="24"/>
      <w:szCs w:val="24"/>
      <w:lang w:val="en-US" w:eastAsia="zh-CN" w:bidi="ar-SA"/>
    </w:rPr>
  </w:style>
  <w:style w:type="paragraph" w:customStyle="1" w:styleId="496">
    <w:name w:val="缩进2中"/>
    <w:uiPriority w:val="0"/>
    <w:pPr>
      <w:ind w:left="708" w:leftChars="295"/>
      <w:jc w:val="both"/>
    </w:pPr>
    <w:rPr>
      <w:rFonts w:ascii="Times" w:hAnsi="Times" w:cs="黑体"/>
      <w:kern w:val="2"/>
      <w:sz w:val="24"/>
      <w:szCs w:val="22"/>
      <w:lang w:val="en-US" w:eastAsia="zh-CN" w:bidi="ar-SA"/>
    </w:rPr>
  </w:style>
  <w:style w:type="paragraph" w:customStyle="1" w:styleId="497">
    <w:name w:val="Title 5"/>
    <w:next w:val="485"/>
    <w:uiPriority w:val="0"/>
    <w:pPr>
      <w:numPr>
        <w:ilvl w:val="0"/>
        <w:numId w:val="12"/>
      </w:numPr>
      <w:ind w:left="1701" w:hanging="426"/>
      <w:jc w:val="both"/>
    </w:pPr>
    <w:rPr>
      <w:rFonts w:cs="黑体"/>
      <w:kern w:val="2"/>
      <w:sz w:val="24"/>
      <w:szCs w:val="24"/>
      <w:lang w:val="en-US" w:eastAsia="zh-CN" w:bidi="ar-SA"/>
    </w:rPr>
  </w:style>
  <w:style w:type="paragraph" w:customStyle="1" w:styleId="498">
    <w:name w:val="普通(网站)1"/>
    <w:basedOn w:val="1"/>
    <w:qFormat/>
    <w:uiPriority w:val="0"/>
    <w:pPr>
      <w:widowControl/>
      <w:spacing w:before="100" w:beforeAutospacing="1" w:after="156" w:afterLines="50"/>
      <w:jc w:val="left"/>
    </w:pPr>
    <w:rPr>
      <w:rFonts w:ascii="宋体" w:hAnsi="宋体" w:cs="宋体"/>
      <w:kern w:val="0"/>
      <w:sz w:val="24"/>
    </w:rPr>
  </w:style>
  <w:style w:type="paragraph" w:customStyle="1" w:styleId="499">
    <w:name w:val="列表段落1"/>
    <w:basedOn w:val="1"/>
    <w:uiPriority w:val="0"/>
    <w:pPr>
      <w:adjustRightInd w:val="0"/>
      <w:snapToGrid w:val="0"/>
      <w:spacing w:after="156" w:afterLines="50" w:line="360" w:lineRule="auto"/>
      <w:ind w:firstLine="420" w:firstLineChars="200"/>
    </w:pPr>
    <w:rPr>
      <w:rFonts w:ascii="宋体" w:hAnsi="宋体" w:cs="黑体"/>
      <w:sz w:val="24"/>
    </w:rPr>
  </w:style>
  <w:style w:type="paragraph" w:customStyle="1" w:styleId="500">
    <w:name w:val="附件标题1"/>
    <w:next w:val="1"/>
    <w:uiPriority w:val="0"/>
    <w:pPr>
      <w:numPr>
        <w:ilvl w:val="0"/>
        <w:numId w:val="13"/>
      </w:numPr>
      <w:tabs>
        <w:tab w:val="left" w:pos="1134"/>
      </w:tabs>
      <w:adjustRightInd w:val="0"/>
      <w:snapToGrid w:val="0"/>
      <w:spacing w:after="156" w:afterLines="50" w:line="360" w:lineRule="auto"/>
    </w:pPr>
    <w:rPr>
      <w:rFonts w:ascii="宋体" w:hAnsi="宋体" w:cs="黑体"/>
      <w:b/>
      <w:kern w:val="2"/>
      <w:sz w:val="24"/>
      <w:szCs w:val="24"/>
      <w:lang w:val="en-US" w:eastAsia="zh-CN" w:bidi="ar-SA"/>
    </w:rPr>
  </w:style>
  <w:style w:type="paragraph" w:customStyle="1" w:styleId="501">
    <w:name w:val="LIST ALPHA CAPS 3"/>
    <w:basedOn w:val="1"/>
    <w:next w:val="479"/>
    <w:uiPriority w:val="0"/>
    <w:pPr>
      <w:widowControl/>
      <w:numPr>
        <w:ilvl w:val="2"/>
        <w:numId w:val="9"/>
      </w:numPr>
      <w:tabs>
        <w:tab w:val="left" w:pos="68"/>
        <w:tab w:val="left" w:pos="624"/>
      </w:tabs>
      <w:adjustRightInd w:val="0"/>
      <w:snapToGrid w:val="0"/>
      <w:spacing w:after="200" w:line="288" w:lineRule="auto"/>
      <w:ind w:firstLine="200" w:firstLineChars="200"/>
    </w:pPr>
    <w:rPr>
      <w:rFonts w:ascii="CG Times" w:hAnsi="CG Times"/>
      <w:kern w:val="0"/>
      <w:sz w:val="22"/>
      <w:szCs w:val="20"/>
    </w:rPr>
  </w:style>
  <w:style w:type="paragraph" w:customStyle="1" w:styleId="502">
    <w:name w:val="TOC 标题2"/>
    <w:basedOn w:val="4"/>
    <w:next w:val="1"/>
    <w:qFormat/>
    <w:uiPriority w:val="0"/>
    <w:pPr>
      <w:autoSpaceDE/>
      <w:autoSpaceDN/>
      <w:adjustRightInd/>
      <w:spacing w:before="260" w:after="260" w:line="413" w:lineRule="auto"/>
    </w:pPr>
    <w:rPr>
      <w:rFonts w:hAnsi="宋体"/>
      <w:bCs/>
      <w:sz w:val="36"/>
      <w:szCs w:val="44"/>
      <w:lang w:val="zh-CN"/>
    </w:rPr>
  </w:style>
  <w:style w:type="paragraph" w:customStyle="1" w:styleId="503">
    <w:name w:val="Main Title"/>
    <w:next w:val="1"/>
    <w:qFormat/>
    <w:uiPriority w:val="0"/>
    <w:pPr>
      <w:adjustRightInd w:val="0"/>
      <w:snapToGrid w:val="0"/>
      <w:spacing w:after="156" w:afterLines="50" w:line="360" w:lineRule="auto"/>
      <w:jc w:val="center"/>
    </w:pPr>
    <w:rPr>
      <w:rFonts w:ascii="黑体" w:hAnsi="黑体" w:eastAsia="黑体" w:cs="黑体"/>
      <w:b/>
      <w:kern w:val="2"/>
      <w:sz w:val="36"/>
      <w:szCs w:val="22"/>
      <w:lang w:val="zh-CN" w:eastAsia="zh-CN" w:bidi="ar-SA"/>
    </w:rPr>
  </w:style>
  <w:style w:type="paragraph" w:customStyle="1" w:styleId="504">
    <w:name w:val="附件标题"/>
    <w:basedOn w:val="5"/>
    <w:next w:val="1"/>
    <w:uiPriority w:val="0"/>
    <w:pPr>
      <w:numPr>
        <w:ilvl w:val="0"/>
        <w:numId w:val="14"/>
      </w:numPr>
      <w:tabs>
        <w:tab w:val="left" w:pos="1134"/>
      </w:tabs>
      <w:autoSpaceDE/>
      <w:autoSpaceDN/>
      <w:snapToGrid w:val="0"/>
      <w:spacing w:before="0" w:after="156" w:afterLines="50" w:line="360" w:lineRule="auto"/>
      <w:ind w:left="0" w:firstLine="0"/>
    </w:pPr>
    <w:rPr>
      <w:rFonts w:ascii="宋体" w:hAnsi="宋体" w:eastAsia="宋体"/>
      <w:kern w:val="2"/>
      <w:szCs w:val="30"/>
    </w:rPr>
  </w:style>
  <w:style w:type="paragraph" w:customStyle="1" w:styleId="505">
    <w:name w:val="LIST ALPHA CAPS 2"/>
    <w:basedOn w:val="1"/>
    <w:next w:val="481"/>
    <w:uiPriority w:val="0"/>
    <w:pPr>
      <w:widowControl/>
      <w:numPr>
        <w:ilvl w:val="1"/>
        <w:numId w:val="9"/>
      </w:numPr>
      <w:tabs>
        <w:tab w:val="left" w:pos="50"/>
        <w:tab w:val="left" w:pos="624"/>
      </w:tabs>
      <w:adjustRightInd w:val="0"/>
      <w:snapToGrid w:val="0"/>
      <w:spacing w:after="200" w:line="288" w:lineRule="auto"/>
      <w:ind w:firstLine="200" w:firstLineChars="200"/>
    </w:pPr>
    <w:rPr>
      <w:rFonts w:ascii="CG Times" w:hAnsi="CG Times"/>
      <w:kern w:val="0"/>
      <w:sz w:val="22"/>
      <w:szCs w:val="20"/>
    </w:rPr>
  </w:style>
  <w:style w:type="paragraph" w:customStyle="1" w:styleId="506">
    <w:name w:val="协议书标题2"/>
    <w:basedOn w:val="5"/>
    <w:next w:val="1"/>
    <w:qFormat/>
    <w:uiPriority w:val="0"/>
    <w:pPr>
      <w:keepNext w:val="0"/>
      <w:keepLines w:val="0"/>
      <w:numPr>
        <w:ilvl w:val="0"/>
        <w:numId w:val="15"/>
      </w:numPr>
      <w:tabs>
        <w:tab w:val="left" w:pos="567"/>
      </w:tabs>
      <w:autoSpaceDE/>
      <w:autoSpaceDN/>
      <w:snapToGrid w:val="0"/>
      <w:spacing w:before="0" w:after="156" w:afterLines="50" w:line="360" w:lineRule="auto"/>
      <w:ind w:firstLine="0"/>
      <w:jc w:val="left"/>
    </w:pPr>
    <w:rPr>
      <w:rFonts w:ascii="宋体" w:hAnsi="宋体" w:eastAsia="宋体" w:cs="黑体"/>
      <w:kern w:val="2"/>
      <w:sz w:val="24"/>
      <w:szCs w:val="24"/>
    </w:rPr>
  </w:style>
  <w:style w:type="paragraph" w:customStyle="1" w:styleId="507">
    <w:name w:val="修订3"/>
    <w:qFormat/>
    <w:uiPriority w:val="99"/>
    <w:rPr>
      <w:rFonts w:ascii="宋体" w:hAnsi="Calibri" w:cs="黑体"/>
      <w:kern w:val="2"/>
      <w:sz w:val="24"/>
      <w:szCs w:val="22"/>
      <w:lang w:val="en-US" w:eastAsia="zh-CN" w:bidi="ar-SA"/>
    </w:rPr>
  </w:style>
  <w:style w:type="paragraph" w:customStyle="1" w:styleId="508">
    <w:name w:val="通用标题5"/>
    <w:qFormat/>
    <w:uiPriority w:val="0"/>
    <w:pPr>
      <w:widowControl w:val="0"/>
      <w:numPr>
        <w:ilvl w:val="3"/>
        <w:numId w:val="11"/>
      </w:numPr>
      <w:tabs>
        <w:tab w:val="left" w:pos="1134"/>
      </w:tabs>
      <w:kinsoku w:val="0"/>
      <w:overflowPunct w:val="0"/>
      <w:autoSpaceDE w:val="0"/>
      <w:autoSpaceDN w:val="0"/>
      <w:adjustRightInd w:val="0"/>
      <w:snapToGrid w:val="0"/>
      <w:spacing w:after="156" w:afterLines="50" w:line="360" w:lineRule="auto"/>
      <w:ind w:left="0" w:firstLine="425" w:firstLineChars="177"/>
      <w:jc w:val="both"/>
    </w:pPr>
    <w:rPr>
      <w:rFonts w:ascii="宋体" w:hAnsi="宋体" w:cs="黑体"/>
      <w:kern w:val="2"/>
      <w:sz w:val="24"/>
      <w:szCs w:val="24"/>
      <w:lang w:val="en-US" w:eastAsia="zh-CN" w:bidi="ar-SA"/>
    </w:rPr>
  </w:style>
  <w:style w:type="paragraph" w:customStyle="1" w:styleId="509">
    <w:name w:val="通用标题2"/>
    <w:basedOn w:val="5"/>
    <w:next w:val="1"/>
    <w:uiPriority w:val="0"/>
    <w:pPr>
      <w:keepNext w:val="0"/>
      <w:keepLines w:val="0"/>
      <w:numPr>
        <w:ilvl w:val="0"/>
        <w:numId w:val="11"/>
      </w:numPr>
      <w:tabs>
        <w:tab w:val="left" w:pos="993"/>
      </w:tabs>
      <w:autoSpaceDE/>
      <w:autoSpaceDN/>
      <w:snapToGrid w:val="0"/>
      <w:spacing w:before="0" w:after="156" w:afterLines="50" w:line="360" w:lineRule="auto"/>
      <w:jc w:val="both"/>
    </w:pPr>
    <w:rPr>
      <w:rFonts w:ascii="宋体" w:hAnsi="宋体" w:eastAsia="宋体" w:cs="黑体"/>
      <w:kern w:val="2"/>
      <w:sz w:val="28"/>
      <w:szCs w:val="24"/>
    </w:rPr>
  </w:style>
  <w:style w:type="paragraph" w:customStyle="1" w:styleId="510">
    <w:name w:val="table"/>
    <w:uiPriority w:val="0"/>
    <w:pPr>
      <w:adjustRightInd w:val="0"/>
      <w:snapToGrid w:val="0"/>
    </w:pPr>
    <w:rPr>
      <w:rFonts w:ascii="宋体" w:hAnsi="Calibri" w:cs="黑体"/>
      <w:kern w:val="2"/>
      <w:sz w:val="24"/>
      <w:szCs w:val="22"/>
      <w:lang w:val="en-US" w:eastAsia="zh-CN" w:bidi="ar-SA"/>
    </w:rPr>
  </w:style>
  <w:style w:type="paragraph" w:customStyle="1" w:styleId="511">
    <w:name w:val="修订4"/>
    <w:unhideWhenUsed/>
    <w:qFormat/>
    <w:uiPriority w:val="99"/>
    <w:rPr>
      <w:rFonts w:ascii="宋体" w:hAnsi="宋体" w:cs="黑体"/>
      <w:kern w:val="2"/>
      <w:sz w:val="24"/>
      <w:szCs w:val="24"/>
      <w:lang w:val="en-US" w:eastAsia="zh-CN" w:bidi="ar-SA"/>
    </w:rPr>
  </w:style>
  <w:style w:type="character" w:customStyle="1" w:styleId="512">
    <w:name w:val="批注主题 字符1"/>
    <w:qFormat/>
    <w:uiPriority w:val="99"/>
    <w:rPr>
      <w:rFonts w:ascii="宋体" w:hAnsi="宋体" w:eastAsia="宋体" w:cs="黑体"/>
      <w:b/>
      <w:bCs/>
      <w:kern w:val="2"/>
      <w:sz w:val="24"/>
      <w:szCs w:val="24"/>
    </w:rPr>
  </w:style>
  <w:style w:type="paragraph" w:styleId="513">
    <w:name w:val=""/>
    <w:unhideWhenUsed/>
    <w:uiPriority w:val="99"/>
    <w:rPr>
      <w:kern w:val="2"/>
      <w:sz w:val="21"/>
      <w:szCs w:val="24"/>
      <w:lang w:val="en-US" w:eastAsia="zh-CN" w:bidi="ar-SA"/>
    </w:rPr>
  </w:style>
  <w:style w:type="paragraph" w:customStyle="1" w:styleId="514">
    <w:name w:val="样式 标题 1 + 四号 居中 段前: 12 磅 段后: 12 磅 行距: 单倍行距"/>
    <w:basedOn w:val="4"/>
    <w:qFormat/>
    <w:uiPriority w:val="99"/>
    <w:pPr>
      <w:autoSpaceDE/>
      <w:autoSpaceDN/>
      <w:spacing w:after="240" w:line="240" w:lineRule="auto"/>
      <w:ind w:left="-288" w:firstLine="288"/>
      <w:textAlignment w:val="baseline"/>
    </w:pPr>
    <w:rPr>
      <w:rFonts w:ascii="Calibri" w:hAnsi="Calibri" w:cs="宋体"/>
      <w:bCs/>
      <w:sz w:val="28"/>
    </w:rPr>
  </w:style>
  <w:style w:type="paragraph" w:customStyle="1" w:styleId="515">
    <w:name w:val="rtcspage_rtcscontent &gt; p"/>
    <w:basedOn w:val="1"/>
    <w:qFormat/>
    <w:uiPriority w:val="0"/>
    <w:pPr>
      <w:widowControl/>
      <w:spacing w:after="160" w:line="360" w:lineRule="atLeast"/>
      <w:jc w:val="left"/>
    </w:pPr>
    <w:rPr>
      <w:rFonts w:ascii="Calibri" w:hAnsi="Calibri"/>
      <w:kern w:val="0"/>
      <w:szCs w:val="21"/>
    </w:rPr>
  </w:style>
  <w:style w:type="character" w:customStyle="1" w:styleId="516">
    <w:name w:val="正文文本首行缩进 2 字符1"/>
    <w:qFormat/>
    <w:uiPriority w:val="0"/>
    <w:rPr>
      <w:rFonts w:ascii="Times New Roman" w:hAnsi="Times New Roman" w:eastAsia="宋体" w:cs="Times New Roman"/>
      <w:sz w:val="24"/>
      <w:szCs w:val="20"/>
    </w:rPr>
  </w:style>
  <w:style w:type="character" w:customStyle="1" w:styleId="517">
    <w:name w:val="批注文字 字符5"/>
    <w:qFormat/>
    <w:uiPriority w:val="99"/>
    <w:rPr>
      <w:kern w:val="3"/>
      <w:sz w:val="21"/>
      <w:szCs w:val="24"/>
    </w:rPr>
  </w:style>
  <w:style w:type="character" w:customStyle="1" w:styleId="518">
    <w:name w:val="font21"/>
    <w:qFormat/>
    <w:uiPriority w:val="0"/>
    <w:rPr>
      <w:rFonts w:hint="eastAsia" w:ascii="宋体" w:hAnsi="宋体" w:eastAsia="宋体" w:cs="宋体"/>
      <w:b/>
      <w:bCs/>
      <w:color w:val="000000"/>
      <w:sz w:val="22"/>
      <w:szCs w:val="22"/>
      <w:u w:val="none"/>
    </w:rPr>
  </w:style>
  <w:style w:type="paragraph" w:customStyle="1" w:styleId="519">
    <w:name w:val="0正文"/>
    <w:qFormat/>
    <w:uiPriority w:val="0"/>
    <w:pPr>
      <w:spacing w:line="360" w:lineRule="auto"/>
      <w:ind w:firstLine="200" w:firstLineChars="200"/>
    </w:pPr>
    <w:rPr>
      <w:kern w:val="2"/>
      <w:sz w:val="24"/>
      <w:szCs w:val="24"/>
      <w:lang w:val="en-US" w:eastAsia="zh-CN" w:bidi="ar-SA"/>
    </w:rPr>
  </w:style>
  <w:style w:type="paragraph" w:customStyle="1" w:styleId="520">
    <w:name w:val="云晟 正文文本"/>
    <w:basedOn w:val="1"/>
    <w:qFormat/>
    <w:uiPriority w:val="0"/>
    <w:pPr>
      <w:widowControl/>
      <w:spacing w:line="360" w:lineRule="auto"/>
      <w:ind w:firstLine="200" w:firstLineChars="200"/>
    </w:pPr>
    <w:rPr>
      <w:rFonts w:cs="Arial"/>
      <w:kern w:val="0"/>
      <w:sz w:val="24"/>
      <w:szCs w:val="21"/>
    </w:rPr>
  </w:style>
  <w:style w:type="paragraph" w:customStyle="1" w:styleId="521">
    <w:name w:val="我的正文"/>
    <w:basedOn w:val="1"/>
    <w:qFormat/>
    <w:uiPriority w:val="0"/>
    <w:pPr>
      <w:spacing w:line="312" w:lineRule="auto"/>
      <w:ind w:firstLine="200" w:firstLineChars="200"/>
    </w:pPr>
    <w:rPr>
      <w:szCs w:val="21"/>
    </w:rPr>
  </w:style>
  <w:style w:type="paragraph" w:customStyle="1" w:styleId="522">
    <w:name w:val="QB"/>
    <w:basedOn w:val="523"/>
    <w:qFormat/>
    <w:uiPriority w:val="0"/>
    <w:pPr>
      <w:spacing w:beforeLines="0" w:afterLines="0" w:line="240" w:lineRule="auto"/>
      <w:ind w:firstLine="0" w:firstLineChars="0"/>
    </w:pPr>
    <w:rPr>
      <w:sz w:val="18"/>
    </w:rPr>
  </w:style>
  <w:style w:type="paragraph" w:customStyle="1" w:styleId="523">
    <w:name w:val="Q"/>
    <w:qFormat/>
    <w:uiPriority w:val="0"/>
    <w:pPr>
      <w:spacing w:beforeLines="50" w:afterLines="50" w:line="360" w:lineRule="auto"/>
      <w:ind w:firstLine="200" w:firstLineChars="200"/>
    </w:pPr>
    <w:rPr>
      <w:rFonts w:ascii="Arial" w:hAnsi="Arial"/>
      <w:bCs/>
      <w:kern w:val="2"/>
      <w:sz w:val="24"/>
      <w:szCs w:val="28"/>
      <w:lang w:val="en-US" w:eastAsia="zh-CN" w:bidi="ar-SA"/>
    </w:rPr>
  </w:style>
  <w:style w:type="character" w:customStyle="1" w:styleId="524">
    <w:name w:val="style11"/>
    <w:qFormat/>
    <w:uiPriority w:val="0"/>
    <w:rPr>
      <w:color w:val="000000"/>
      <w:sz w:val="18"/>
      <w:szCs w:val="18"/>
    </w:rPr>
  </w:style>
  <w:style w:type="paragraph" w:customStyle="1" w:styleId="525">
    <w:name w:val="正文首行缩进 21"/>
    <w:basedOn w:val="3"/>
    <w:qFormat/>
    <w:uiPriority w:val="0"/>
    <w:pPr>
      <w:spacing w:after="120" w:line="240" w:lineRule="auto"/>
      <w:ind w:left="420" w:leftChars="200" w:firstLine="420" w:firstLineChars="200"/>
    </w:pPr>
    <w:rPr>
      <w:sz w:val="21"/>
    </w:rPr>
  </w:style>
  <w:style w:type="paragraph" w:customStyle="1" w:styleId="526">
    <w:name w:val="目录 21"/>
    <w:basedOn w:val="1"/>
    <w:next w:val="1"/>
    <w:qFormat/>
    <w:uiPriority w:val="39"/>
    <w:pPr>
      <w:tabs>
        <w:tab w:val="right" w:leader="underscore" w:pos="9061"/>
      </w:tabs>
      <w:spacing w:before="120"/>
    </w:pPr>
    <w:rPr>
      <w:rFonts w:ascii="宋体" w:hAnsi="宋体"/>
      <w:bCs/>
      <w:i/>
      <w:color w:val="000000"/>
      <w:kern w:val="44"/>
      <w:sz w:val="24"/>
    </w:rPr>
  </w:style>
  <w:style w:type="table" w:customStyle="1" w:styleId="527">
    <w:name w:val="Table Normal1"/>
    <w:unhideWhenUsed/>
    <w:qFormat/>
    <w:uiPriority w:val="0"/>
    <w:rPr>
      <w:rFonts w:ascii="等线" w:hAnsi="等线" w:eastAsia="等线"/>
      <w:snapToGrid w:val="0"/>
      <w:color w:val="000000"/>
      <w:sz w:val="21"/>
      <w:szCs w:val="21"/>
      <w:lang w:val="en-US" w:eastAsia="en-US" w:bidi="ar-SA"/>
    </w:rPr>
    <w:tblPr>
      <w:tblStyle w:val="61"/>
      <w:tblCellMar>
        <w:top w:w="0" w:type="dxa"/>
        <w:left w:w="0" w:type="dxa"/>
        <w:bottom w:w="0" w:type="dxa"/>
        <w:right w:w="0" w:type="dxa"/>
      </w:tblCellMar>
    </w:tblPr>
  </w:style>
  <w:style w:type="table" w:customStyle="1" w:styleId="528">
    <w:name w:val="中等深浅网格 1 - 着色 21"/>
    <w:basedOn w:val="61"/>
    <w:qFormat/>
    <w:uiPriority w:val="0"/>
    <w:rPr>
      <w:kern w:val="2"/>
      <w:sz w:val="21"/>
      <w:szCs w:val="24"/>
    </w:rPr>
    <w:tblPr>
      <w:tblStyle w:val="6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blStyle w:val="61"/>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1"/>
      </w:tblPr>
      <w:tcPr>
        <w:shd w:val="clear" w:color="auto" w:fill="DFA7A6"/>
      </w:tcPr>
    </w:tblStylePr>
    <w:tblStylePr w:type="band1Horz">
      <w:tblPr>
        <w:tblStyle w:val="61"/>
      </w:tblPr>
      <w:tcPr>
        <w:shd w:val="clear" w:color="auto" w:fill="DFA7A6"/>
      </w:tcPr>
    </w:tblStylePr>
  </w:style>
  <w:style w:type="paragraph" w:customStyle="1" w:styleId="529">
    <w:name w:val="标书正文"/>
    <w:basedOn w:val="2"/>
    <w:qFormat/>
    <w:uiPriority w:val="0"/>
    <w:pPr>
      <w:spacing w:line="360" w:lineRule="auto"/>
    </w:pPr>
    <w:rPr>
      <w:rFonts w:ascii="Calibri" w:hAnsi="Calibri" w:cs="宋体"/>
      <w:szCs w:val="24"/>
    </w:rPr>
  </w:style>
  <w:style w:type="character" w:customStyle="1" w:styleId="530">
    <w:name w:val="font171"/>
    <w:qFormat/>
    <w:uiPriority w:val="0"/>
    <w:rPr>
      <w:rFonts w:ascii="Kaiti SC Regular" w:hAnsi="Kaiti SC Regular" w:eastAsia="Kaiti SC Regular" w:cs="Kaiti SC Regular"/>
      <w:color w:val="000000"/>
      <w:sz w:val="20"/>
      <w:szCs w:val="20"/>
      <w:u w:val="none"/>
    </w:rPr>
  </w:style>
  <w:style w:type="paragraph" w:customStyle="1" w:styleId="531">
    <w:name w:val="No Spacing1"/>
    <w:qFormat/>
    <w:uiPriority w:val="0"/>
    <w:pPr>
      <w:spacing w:after="160" w:line="278" w:lineRule="auto"/>
    </w:pPr>
    <w:rPr>
      <w:sz w:val="22"/>
      <w:szCs w:val="22"/>
      <w:lang w:val="en-US" w:eastAsia="zh-CN" w:bidi="ar-SA"/>
    </w:rPr>
  </w:style>
  <w:style w:type="paragraph" w:customStyle="1" w:styleId="532">
    <w:name w:val="正文+缩进"/>
    <w:basedOn w:val="1"/>
    <w:link w:val="533"/>
    <w:qFormat/>
    <w:uiPriority w:val="0"/>
    <w:pPr>
      <w:spacing w:after="160" w:line="278" w:lineRule="auto"/>
      <w:ind w:firstLine="200" w:firstLineChars="200"/>
    </w:pPr>
  </w:style>
  <w:style w:type="character" w:customStyle="1" w:styleId="533">
    <w:name w:val="正文+缩进 字符"/>
    <w:link w:val="532"/>
    <w:qFormat/>
    <w:uiPriority w:val="0"/>
    <w:rPr>
      <w:kern w:val="2"/>
      <w:sz w:val="21"/>
      <w:szCs w:val="24"/>
    </w:rPr>
  </w:style>
  <w:style w:type="paragraph" w:customStyle="1" w:styleId="534">
    <w:name w:val="A题注[表格图片]"/>
    <w:basedOn w:val="17"/>
    <w:qFormat/>
    <w:uiPriority w:val="0"/>
    <w:pPr>
      <w:snapToGrid w:val="0"/>
      <w:spacing w:beforeLines="50" w:after="160" w:afterLines="50" w:line="288" w:lineRule="auto"/>
    </w:pPr>
    <w:rPr>
      <w:rFonts w:ascii="宋体" w:hAnsi="宋体" w:eastAsia="仿宋" w:cs="黑体"/>
      <w:kern w:val="0"/>
      <w:sz w:val="24"/>
      <w:szCs w:val="22"/>
    </w:rPr>
  </w:style>
  <w:style w:type="paragraph" w:customStyle="1" w:styleId="535">
    <w:name w:val="无间隔1"/>
    <w:qFormat/>
    <w:uiPriority w:val="99"/>
    <w:pPr>
      <w:spacing w:after="160" w:line="278" w:lineRule="auto"/>
    </w:pPr>
    <w:rPr>
      <w:rFonts w:ascii="Calibri" w:hAnsi="Calibri"/>
      <w:sz w:val="22"/>
      <w:szCs w:val="22"/>
      <w:lang w:val="en-US" w:eastAsia="zh-CN" w:bidi="ar-SA"/>
    </w:rPr>
  </w:style>
  <w:style w:type="paragraph" w:customStyle="1" w:styleId="536">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18"/>
      <w:szCs w:val="18"/>
    </w:rPr>
  </w:style>
  <w:style w:type="paragraph" w:customStyle="1" w:styleId="537">
    <w:name w:val="修订5"/>
    <w:unhideWhenUsed/>
    <w:qFormat/>
    <w:uiPriority w:val="99"/>
    <w:pPr>
      <w:spacing w:after="160" w:line="278" w:lineRule="auto"/>
    </w:pPr>
    <w:rPr>
      <w:kern w:val="2"/>
      <w:sz w:val="21"/>
      <w:szCs w:val="24"/>
      <w:lang w:val="en-US" w:eastAsia="zh-CN" w:bidi="ar-SA"/>
    </w:rPr>
  </w:style>
  <w:style w:type="paragraph" w:customStyle="1" w:styleId="538">
    <w:name w:val="修订6"/>
    <w:unhideWhenUsed/>
    <w:qFormat/>
    <w:uiPriority w:val="99"/>
    <w:pPr>
      <w:spacing w:after="160" w:line="278" w:lineRule="auto"/>
    </w:pPr>
    <w:rPr>
      <w:kern w:val="2"/>
      <w:sz w:val="21"/>
      <w:szCs w:val="24"/>
      <w:lang w:val="en-US" w:eastAsia="zh-CN" w:bidi="ar-SA"/>
    </w:rPr>
  </w:style>
  <w:style w:type="paragraph" w:customStyle="1" w:styleId="539">
    <w:name w:val="修订7"/>
    <w:unhideWhenUsed/>
    <w:qFormat/>
    <w:uiPriority w:val="99"/>
    <w:pPr>
      <w:spacing w:after="160" w:line="278" w:lineRule="auto"/>
    </w:pPr>
    <w:rPr>
      <w:kern w:val="2"/>
      <w:sz w:val="21"/>
      <w:szCs w:val="24"/>
      <w:lang w:val="en-US" w:eastAsia="zh-CN" w:bidi="ar-SA"/>
    </w:rPr>
  </w:style>
  <w:style w:type="paragraph" w:customStyle="1" w:styleId="540">
    <w:name w:val="修订8"/>
    <w:unhideWhenUsed/>
    <w:qFormat/>
    <w:uiPriority w:val="99"/>
    <w:pPr>
      <w:spacing w:after="160" w:line="278" w:lineRule="auto"/>
    </w:pPr>
    <w:rPr>
      <w:kern w:val="2"/>
      <w:sz w:val="21"/>
      <w:szCs w:val="24"/>
      <w:lang w:val="en-US" w:eastAsia="zh-CN" w:bidi="ar-SA"/>
    </w:rPr>
  </w:style>
  <w:style w:type="character" w:customStyle="1" w:styleId="541">
    <w:name w:val="批注文字 字符2"/>
    <w:qFormat/>
    <w:uiPriority w:val="99"/>
    <w:rPr>
      <w:kern w:val="2"/>
      <w:sz w:val="21"/>
      <w:szCs w:val="24"/>
    </w:rPr>
  </w:style>
  <w:style w:type="paragraph" w:customStyle="1" w:styleId="542">
    <w:name w:val="修订9"/>
    <w:qFormat/>
    <w:uiPriority w:val="0"/>
    <w:pPr>
      <w:spacing w:after="160" w:line="278" w:lineRule="auto"/>
    </w:pPr>
    <w:rPr>
      <w:kern w:val="2"/>
      <w:sz w:val="21"/>
      <w:szCs w:val="24"/>
      <w:lang w:val="en-US" w:eastAsia="zh-CN" w:bidi="ar-SA"/>
    </w:rPr>
  </w:style>
  <w:style w:type="character" w:customStyle="1" w:styleId="543">
    <w:name w:val="日期 Char"/>
    <w:qFormat/>
    <w:uiPriority w:val="0"/>
    <w:rPr>
      <w:rFonts w:ascii="宋体"/>
      <w:sz w:val="24"/>
    </w:rPr>
  </w:style>
  <w:style w:type="character" w:customStyle="1" w:styleId="544">
    <w:name w:val="明显引用 字符2"/>
    <w:qFormat/>
    <w:uiPriority w:val="30"/>
    <w:rPr>
      <w:i/>
      <w:iCs/>
      <w:color w:val="4472C4"/>
      <w:kern w:val="2"/>
      <w:sz w:val="21"/>
    </w:rPr>
  </w:style>
  <w:style w:type="character" w:customStyle="1" w:styleId="545">
    <w:name w:val="正文文本缩进 3 Char"/>
    <w:qFormat/>
    <w:uiPriority w:val="0"/>
    <w:rPr>
      <w:kern w:val="2"/>
      <w:sz w:val="16"/>
      <w:szCs w:val="16"/>
    </w:rPr>
  </w:style>
  <w:style w:type="character" w:customStyle="1" w:styleId="546">
    <w:name w:val="文档结构图 Char"/>
    <w:qFormat/>
    <w:uiPriority w:val="0"/>
    <w:rPr>
      <w:kern w:val="2"/>
      <w:sz w:val="21"/>
      <w:szCs w:val="24"/>
      <w:shd w:val="clear" w:color="auto" w:fill="000080"/>
    </w:rPr>
  </w:style>
  <w:style w:type="character" w:customStyle="1" w:styleId="547">
    <w:name w:val="副标题 字符1"/>
    <w:qFormat/>
    <w:uiPriority w:val="11"/>
    <w:rPr>
      <w:rFonts w:ascii="Cambria" w:hAnsi="Cambria"/>
      <w:b/>
      <w:bCs/>
      <w:kern w:val="28"/>
      <w:sz w:val="32"/>
      <w:szCs w:val="32"/>
    </w:rPr>
  </w:style>
  <w:style w:type="character" w:customStyle="1" w:styleId="548">
    <w:name w:val="明显强调1"/>
    <w:qFormat/>
    <w:uiPriority w:val="0"/>
    <w:rPr>
      <w:b/>
      <w:bCs/>
      <w:i/>
      <w:iCs/>
      <w:color w:val="4F81BD"/>
    </w:rPr>
  </w:style>
  <w:style w:type="character" w:customStyle="1" w:styleId="549">
    <w:name w:val="正文文本 2 字符2"/>
    <w:semiHidden/>
    <w:qFormat/>
    <w:uiPriority w:val="99"/>
    <w:rPr>
      <w:kern w:val="2"/>
      <w:sz w:val="21"/>
    </w:rPr>
  </w:style>
  <w:style w:type="character" w:customStyle="1" w:styleId="550">
    <w:name w:val="Char Char12"/>
    <w:qFormat/>
    <w:uiPriority w:val="0"/>
    <w:rPr>
      <w:rFonts w:eastAsia="宋体"/>
      <w:kern w:val="2"/>
      <w:sz w:val="24"/>
      <w:lang w:val="en-US" w:eastAsia="zh-CN" w:bidi="ar-SA"/>
    </w:rPr>
  </w:style>
  <w:style w:type="character" w:customStyle="1" w:styleId="551">
    <w:name w:val="引用 Char2"/>
    <w:qFormat/>
    <w:uiPriority w:val="29"/>
    <w:rPr>
      <w:i/>
      <w:iCs/>
      <w:color w:val="000000"/>
      <w:kern w:val="2"/>
      <w:sz w:val="21"/>
      <w:szCs w:val="24"/>
    </w:rPr>
  </w:style>
  <w:style w:type="character" w:customStyle="1" w:styleId="552">
    <w:name w:val="副标题 Char"/>
    <w:qFormat/>
    <w:uiPriority w:val="0"/>
    <w:rPr>
      <w:rFonts w:ascii="Cambria" w:hAnsi="Cambria"/>
      <w:b/>
      <w:bCs/>
      <w:kern w:val="28"/>
      <w:sz w:val="32"/>
      <w:szCs w:val="32"/>
    </w:rPr>
  </w:style>
  <w:style w:type="character" w:customStyle="1" w:styleId="553">
    <w:name w:val="标题5 Char Char"/>
    <w:link w:val="554"/>
    <w:qFormat/>
    <w:locked/>
    <w:uiPriority w:val="0"/>
    <w:rPr>
      <w:rFonts w:ascii="Arial" w:hAnsi="Arial" w:cs="Arial"/>
      <w:b/>
      <w:bCs/>
      <w:sz w:val="24"/>
      <w:szCs w:val="32"/>
    </w:rPr>
  </w:style>
  <w:style w:type="paragraph" w:customStyle="1" w:styleId="554">
    <w:name w:val="标题5"/>
    <w:basedOn w:val="7"/>
    <w:link w:val="553"/>
    <w:qFormat/>
    <w:uiPriority w:val="0"/>
    <w:pPr>
      <w:widowControl/>
      <w:tabs>
        <w:tab w:val="left" w:pos="720"/>
      </w:tabs>
      <w:autoSpaceDE/>
      <w:autoSpaceDN/>
      <w:adjustRightInd/>
      <w:spacing w:before="260" w:after="260" w:line="412" w:lineRule="auto"/>
      <w:jc w:val="both"/>
    </w:pPr>
    <w:rPr>
      <w:rFonts w:ascii="Arial" w:hAnsi="Arial" w:cs="Arial"/>
      <w:bCs/>
      <w:szCs w:val="32"/>
      <w:u w:val="none"/>
    </w:rPr>
  </w:style>
  <w:style w:type="character" w:customStyle="1" w:styleId="555">
    <w:name w:val="明显引用 字符1"/>
    <w:link w:val="556"/>
    <w:qFormat/>
    <w:uiPriority w:val="30"/>
    <w:rPr>
      <w:b/>
      <w:bCs/>
      <w:i/>
      <w:iCs/>
      <w:color w:val="4F81BD"/>
      <w:kern w:val="2"/>
      <w:sz w:val="21"/>
      <w:szCs w:val="22"/>
    </w:rPr>
  </w:style>
  <w:style w:type="paragraph" w:styleId="556">
    <w:name w:val="Intense Quote"/>
    <w:basedOn w:val="1"/>
    <w:next w:val="1"/>
    <w:link w:val="555"/>
    <w:qFormat/>
    <w:uiPriority w:val="30"/>
    <w:pPr>
      <w:widowControl/>
      <w:pBdr>
        <w:bottom w:val="single" w:color="4F81BD" w:sz="4" w:space="4"/>
      </w:pBdr>
      <w:spacing w:before="200" w:after="280" w:line="278" w:lineRule="auto"/>
      <w:ind w:left="936" w:right="936"/>
    </w:pPr>
    <w:rPr>
      <w:b/>
      <w:bCs/>
      <w:i/>
      <w:iCs/>
      <w:color w:val="4F81BD"/>
      <w:szCs w:val="22"/>
    </w:rPr>
  </w:style>
  <w:style w:type="character" w:customStyle="1" w:styleId="557">
    <w:name w:val="明显引用 字符"/>
    <w:qFormat/>
    <w:uiPriority w:val="0"/>
    <w:rPr>
      <w:i/>
      <w:iCs/>
      <w:color w:val="4472C4"/>
      <w:kern w:val="2"/>
      <w:sz w:val="21"/>
      <w:szCs w:val="24"/>
    </w:rPr>
  </w:style>
  <w:style w:type="character" w:customStyle="1" w:styleId="558">
    <w:name w:val="正文文本缩进 2 Char1"/>
    <w:semiHidden/>
    <w:qFormat/>
    <w:uiPriority w:val="99"/>
    <w:rPr>
      <w:kern w:val="2"/>
      <w:sz w:val="21"/>
      <w:szCs w:val="24"/>
    </w:rPr>
  </w:style>
  <w:style w:type="character" w:customStyle="1" w:styleId="559">
    <w:name w:val="bulletintext1"/>
    <w:qFormat/>
    <w:uiPriority w:val="0"/>
    <w:rPr>
      <w:color w:val="000000"/>
      <w:sz w:val="18"/>
    </w:rPr>
  </w:style>
  <w:style w:type="character" w:customStyle="1" w:styleId="560">
    <w:name w:val="正文文本首行缩进 字符3"/>
    <w:qFormat/>
    <w:uiPriority w:val="0"/>
    <w:rPr>
      <w:rFonts w:ascii="宋体" w:hAnsi="宋体"/>
      <w:kern w:val="2"/>
      <w:sz w:val="24"/>
    </w:rPr>
  </w:style>
  <w:style w:type="character" w:customStyle="1" w:styleId="561">
    <w:name w:val="标题 5 Char"/>
    <w:qFormat/>
    <w:uiPriority w:val="9"/>
    <w:rPr>
      <w:b/>
      <w:sz w:val="28"/>
    </w:rPr>
  </w:style>
  <w:style w:type="character" w:customStyle="1" w:styleId="562">
    <w:name w:val="标题 4 Char"/>
    <w:qFormat/>
    <w:uiPriority w:val="1"/>
    <w:rPr>
      <w:rFonts w:ascii="Arial" w:hAnsi="Arial" w:eastAsia="黑体"/>
      <w:b/>
      <w:sz w:val="28"/>
    </w:rPr>
  </w:style>
  <w:style w:type="character" w:customStyle="1" w:styleId="563">
    <w:name w:val="正文文本缩进 3 字符2"/>
    <w:semiHidden/>
    <w:qFormat/>
    <w:uiPriority w:val="99"/>
    <w:rPr>
      <w:kern w:val="2"/>
      <w:sz w:val="16"/>
      <w:szCs w:val="16"/>
    </w:rPr>
  </w:style>
  <w:style w:type="character" w:customStyle="1" w:styleId="564">
    <w:name w:val="批注主题 Char"/>
    <w:qFormat/>
    <w:uiPriority w:val="99"/>
    <w:rPr>
      <w:b/>
      <w:bCs/>
      <w:kern w:val="2"/>
      <w:sz w:val="21"/>
      <w:szCs w:val="24"/>
    </w:rPr>
  </w:style>
  <w:style w:type="character" w:customStyle="1" w:styleId="565">
    <w:name w:val="正文首行缩进 Char1"/>
    <w:semiHidden/>
    <w:qFormat/>
    <w:uiPriority w:val="99"/>
    <w:rPr>
      <w:rFonts w:eastAsia="黑体"/>
      <w:kern w:val="2"/>
      <w:sz w:val="21"/>
      <w:szCs w:val="24"/>
    </w:rPr>
  </w:style>
  <w:style w:type="character" w:customStyle="1" w:styleId="566">
    <w:name w:val="正文文本缩进 3 Char1"/>
    <w:semiHidden/>
    <w:qFormat/>
    <w:uiPriority w:val="99"/>
    <w:rPr>
      <w:kern w:val="2"/>
      <w:sz w:val="16"/>
      <w:szCs w:val="16"/>
    </w:rPr>
  </w:style>
  <w:style w:type="character" w:customStyle="1" w:styleId="567">
    <w:name w:val="标题 1 Char1"/>
    <w:qFormat/>
    <w:uiPriority w:val="0"/>
    <w:rPr>
      <w:rFonts w:hint="eastAsia" w:ascii="宋体" w:hAnsi="宋体" w:eastAsia="宋体"/>
      <w:b/>
      <w:kern w:val="44"/>
      <w:sz w:val="32"/>
      <w:lang w:val="en-US" w:eastAsia="zh-CN" w:bidi="ar-SA"/>
    </w:rPr>
  </w:style>
  <w:style w:type="character" w:customStyle="1" w:styleId="568">
    <w:name w:val="页眉 Char1"/>
    <w:semiHidden/>
    <w:qFormat/>
    <w:uiPriority w:val="0"/>
    <w:rPr>
      <w:kern w:val="2"/>
      <w:sz w:val="18"/>
      <w:szCs w:val="18"/>
    </w:rPr>
  </w:style>
  <w:style w:type="character" w:customStyle="1" w:styleId="569">
    <w:name w:val="正文首行缩进 2 Char"/>
    <w:link w:val="570"/>
    <w:qFormat/>
    <w:uiPriority w:val="0"/>
    <w:rPr>
      <w:kern w:val="2"/>
      <w:sz w:val="21"/>
    </w:rPr>
  </w:style>
  <w:style w:type="paragraph" w:customStyle="1" w:styleId="570">
    <w:name w:val="_Style 186"/>
    <w:basedOn w:val="3"/>
    <w:next w:val="2"/>
    <w:link w:val="569"/>
    <w:qFormat/>
    <w:uiPriority w:val="0"/>
    <w:pPr>
      <w:widowControl/>
      <w:spacing w:after="120" w:line="240" w:lineRule="auto"/>
      <w:ind w:left="420" w:leftChars="200" w:firstLine="420" w:firstLineChars="200"/>
    </w:pPr>
    <w:rPr>
      <w:sz w:val="21"/>
      <w:szCs w:val="20"/>
    </w:rPr>
  </w:style>
  <w:style w:type="character" w:customStyle="1" w:styleId="571">
    <w:name w:val="明显参考1"/>
    <w:qFormat/>
    <w:uiPriority w:val="0"/>
    <w:rPr>
      <w:b/>
      <w:bCs/>
      <w:smallCaps/>
      <w:color w:val="C0504D"/>
      <w:spacing w:val="5"/>
      <w:u w:val="single"/>
    </w:rPr>
  </w:style>
  <w:style w:type="character" w:customStyle="1" w:styleId="572">
    <w:name w:val="页眉 字符2"/>
    <w:semiHidden/>
    <w:qFormat/>
    <w:uiPriority w:val="0"/>
    <w:rPr>
      <w:kern w:val="2"/>
      <w:sz w:val="18"/>
      <w:szCs w:val="18"/>
    </w:rPr>
  </w:style>
  <w:style w:type="character" w:customStyle="1" w:styleId="573">
    <w:name w:val="正文文本首行缩进 字符2"/>
    <w:semiHidden/>
    <w:qFormat/>
    <w:uiPriority w:val="0"/>
  </w:style>
  <w:style w:type="character" w:customStyle="1" w:styleId="574">
    <w:name w:val="批注主题 Char2"/>
    <w:semiHidden/>
    <w:qFormat/>
    <w:uiPriority w:val="0"/>
    <w:rPr>
      <w:b/>
      <w:bCs/>
      <w:kern w:val="2"/>
      <w:sz w:val="21"/>
      <w:szCs w:val="22"/>
    </w:rPr>
  </w:style>
  <w:style w:type="character" w:customStyle="1" w:styleId="575">
    <w:name w:val="a14px1"/>
    <w:qFormat/>
    <w:uiPriority w:val="0"/>
    <w:rPr>
      <w:rFonts w:hint="default" w:ascii="Arial" w:hAnsi="Arial"/>
      <w:sz w:val="21"/>
    </w:rPr>
  </w:style>
  <w:style w:type="character" w:customStyle="1" w:styleId="576">
    <w:name w:val="样式8 Char"/>
    <w:link w:val="577"/>
    <w:qFormat/>
    <w:uiPriority w:val="0"/>
    <w:rPr>
      <w:rFonts w:ascii="华文楷体" w:hAnsi="华文楷体" w:eastAsia="华文楷体"/>
      <w:b/>
      <w:kern w:val="44"/>
      <w:sz w:val="24"/>
    </w:rPr>
  </w:style>
  <w:style w:type="paragraph" w:customStyle="1" w:styleId="577">
    <w:name w:val="样式8"/>
    <w:basedOn w:val="4"/>
    <w:next w:val="436"/>
    <w:link w:val="576"/>
    <w:qFormat/>
    <w:uiPriority w:val="0"/>
    <w:pPr>
      <w:widowControl/>
      <w:autoSpaceDE/>
      <w:autoSpaceDN/>
      <w:adjustRightInd/>
      <w:spacing w:before="100" w:beforeAutospacing="1" w:after="100" w:afterAutospacing="1" w:line="360" w:lineRule="auto"/>
      <w:jc w:val="left"/>
    </w:pPr>
    <w:rPr>
      <w:rFonts w:ascii="华文楷体" w:hAnsi="华文楷体" w:eastAsia="华文楷体"/>
      <w:sz w:val="24"/>
    </w:rPr>
  </w:style>
  <w:style w:type="character" w:customStyle="1" w:styleId="578">
    <w:name w:val="引用 字符"/>
    <w:qFormat/>
    <w:uiPriority w:val="0"/>
    <w:rPr>
      <w:i/>
      <w:iCs/>
      <w:color w:val="404040"/>
      <w:kern w:val="2"/>
      <w:sz w:val="21"/>
    </w:rPr>
  </w:style>
  <w:style w:type="character" w:customStyle="1" w:styleId="579">
    <w:name w:val="正文文本 3 字符2"/>
    <w:semiHidden/>
    <w:qFormat/>
    <w:uiPriority w:val="99"/>
    <w:rPr>
      <w:kern w:val="2"/>
      <w:sz w:val="16"/>
      <w:szCs w:val="16"/>
    </w:rPr>
  </w:style>
  <w:style w:type="character" w:customStyle="1" w:styleId="580">
    <w:name w:val="明显引用 Char1"/>
    <w:qFormat/>
    <w:uiPriority w:val="0"/>
    <w:rPr>
      <w:b/>
      <w:bCs/>
      <w:i/>
      <w:iCs/>
      <w:color w:val="4F81BD"/>
      <w:kern w:val="2"/>
      <w:sz w:val="21"/>
      <w:szCs w:val="24"/>
    </w:rPr>
  </w:style>
  <w:style w:type="character" w:customStyle="1" w:styleId="581">
    <w:name w:val="标题 8 Char"/>
    <w:qFormat/>
    <w:uiPriority w:val="0"/>
    <w:rPr>
      <w:rFonts w:ascii="Arial" w:hAnsi="Arial" w:eastAsia="黑体"/>
      <w:sz w:val="24"/>
    </w:rPr>
  </w:style>
  <w:style w:type="character" w:customStyle="1" w:styleId="582">
    <w:name w:val="已访问的超链接1"/>
    <w:qFormat/>
    <w:uiPriority w:val="0"/>
    <w:rPr>
      <w:color w:val="800080"/>
      <w:u w:val="single"/>
    </w:rPr>
  </w:style>
  <w:style w:type="character" w:customStyle="1" w:styleId="583">
    <w:name w:val="日期 Char1"/>
    <w:qFormat/>
    <w:locked/>
    <w:uiPriority w:val="0"/>
    <w:rPr>
      <w:rFonts w:hint="eastAsia" w:ascii="宋体" w:hAnsi="宋体" w:eastAsia="宋体"/>
      <w:sz w:val="24"/>
    </w:rPr>
  </w:style>
  <w:style w:type="character" w:customStyle="1" w:styleId="584">
    <w:name w:val="日期 字符2"/>
    <w:semiHidden/>
    <w:qFormat/>
    <w:uiPriority w:val="99"/>
    <w:rPr>
      <w:kern w:val="2"/>
      <w:sz w:val="21"/>
    </w:rPr>
  </w:style>
  <w:style w:type="character" w:customStyle="1" w:styleId="585">
    <w:name w:val="明显引用 Char"/>
    <w:qFormat/>
    <w:uiPriority w:val="0"/>
    <w:rPr>
      <w:b/>
      <w:bCs/>
      <w:i/>
      <w:iCs/>
      <w:color w:val="4F81BD"/>
      <w:kern w:val="2"/>
      <w:sz w:val="21"/>
      <w:szCs w:val="22"/>
    </w:rPr>
  </w:style>
  <w:style w:type="character" w:customStyle="1" w:styleId="586">
    <w:name w:val="标题 1 Char"/>
    <w:qFormat/>
    <w:uiPriority w:val="1"/>
    <w:rPr>
      <w:b/>
      <w:bCs/>
      <w:kern w:val="44"/>
      <w:sz w:val="44"/>
      <w:szCs w:val="44"/>
    </w:rPr>
  </w:style>
  <w:style w:type="character" w:customStyle="1" w:styleId="587">
    <w:name w:val="标题4 Char Char"/>
    <w:link w:val="588"/>
    <w:qFormat/>
    <w:locked/>
    <w:uiPriority w:val="0"/>
    <w:rPr>
      <w:rFonts w:ascii="Arial" w:hAnsi="Arial" w:cs="Arial"/>
      <w:b/>
      <w:bCs/>
      <w:sz w:val="24"/>
      <w:szCs w:val="32"/>
    </w:rPr>
  </w:style>
  <w:style w:type="paragraph" w:customStyle="1" w:styleId="588">
    <w:name w:val="标题4"/>
    <w:basedOn w:val="5"/>
    <w:next w:val="27"/>
    <w:link w:val="587"/>
    <w:qFormat/>
    <w:uiPriority w:val="0"/>
    <w:pPr>
      <w:autoSpaceDE/>
      <w:autoSpaceDN/>
      <w:adjustRightInd/>
      <w:spacing w:before="260" w:after="260" w:line="412" w:lineRule="auto"/>
      <w:jc w:val="both"/>
    </w:pPr>
    <w:rPr>
      <w:rFonts w:eastAsia="宋体" w:cs="Arial"/>
      <w:bCs/>
      <w:sz w:val="24"/>
      <w:szCs w:val="32"/>
    </w:rPr>
  </w:style>
  <w:style w:type="character" w:customStyle="1" w:styleId="589">
    <w:name w:val="引用 字符1"/>
    <w:link w:val="590"/>
    <w:qFormat/>
    <w:uiPriority w:val="29"/>
    <w:rPr>
      <w:i/>
      <w:iCs/>
      <w:color w:val="000000"/>
      <w:kern w:val="2"/>
      <w:sz w:val="21"/>
      <w:szCs w:val="22"/>
    </w:rPr>
  </w:style>
  <w:style w:type="paragraph" w:styleId="590">
    <w:name w:val="Quote"/>
    <w:basedOn w:val="1"/>
    <w:next w:val="1"/>
    <w:link w:val="589"/>
    <w:qFormat/>
    <w:uiPriority w:val="29"/>
    <w:pPr>
      <w:widowControl/>
      <w:spacing w:after="160" w:line="278" w:lineRule="auto"/>
    </w:pPr>
    <w:rPr>
      <w:i/>
      <w:iCs/>
      <w:color w:val="000000"/>
      <w:szCs w:val="22"/>
    </w:rPr>
  </w:style>
  <w:style w:type="character" w:customStyle="1" w:styleId="591">
    <w:name w:val="引用 字符2"/>
    <w:qFormat/>
    <w:uiPriority w:val="29"/>
    <w:rPr>
      <w:i/>
      <w:iCs/>
      <w:color w:val="404040"/>
      <w:kern w:val="2"/>
      <w:sz w:val="21"/>
      <w:szCs w:val="24"/>
    </w:rPr>
  </w:style>
  <w:style w:type="character" w:customStyle="1" w:styleId="592">
    <w:name w:val="批注文字 Char1"/>
    <w:semiHidden/>
    <w:qFormat/>
    <w:locked/>
    <w:uiPriority w:val="99"/>
    <w:rPr>
      <w:rFonts w:ascii="宋体" w:hAnsi="Times New Roman" w:cs="宋体"/>
      <w:sz w:val="34"/>
      <w:szCs w:val="34"/>
    </w:rPr>
  </w:style>
  <w:style w:type="character" w:customStyle="1" w:styleId="593">
    <w:name w:val="书籍标题1"/>
    <w:qFormat/>
    <w:uiPriority w:val="0"/>
    <w:rPr>
      <w:b/>
      <w:bCs/>
      <w:smallCaps/>
      <w:spacing w:val="5"/>
    </w:rPr>
  </w:style>
  <w:style w:type="character" w:customStyle="1" w:styleId="594">
    <w:name w:val="正文文本缩进 2 字符2"/>
    <w:semiHidden/>
    <w:qFormat/>
    <w:uiPriority w:val="99"/>
    <w:rPr>
      <w:kern w:val="2"/>
      <w:sz w:val="21"/>
    </w:rPr>
  </w:style>
  <w:style w:type="character" w:customStyle="1" w:styleId="595">
    <w:name w:val="正文文本缩进 字符2"/>
    <w:semiHidden/>
    <w:qFormat/>
    <w:uiPriority w:val="99"/>
    <w:rPr>
      <w:kern w:val="2"/>
      <w:sz w:val="21"/>
    </w:rPr>
  </w:style>
  <w:style w:type="character" w:customStyle="1" w:styleId="596">
    <w:name w:val="样式5 Char"/>
    <w:link w:val="597"/>
    <w:qFormat/>
    <w:uiPriority w:val="0"/>
    <w:rPr>
      <w:rFonts w:ascii="Arial" w:hAnsi="Arial" w:eastAsia="黑体"/>
      <w:b/>
      <w:sz w:val="24"/>
    </w:rPr>
  </w:style>
  <w:style w:type="paragraph" w:customStyle="1" w:styleId="597">
    <w:name w:val="样式5"/>
    <w:basedOn w:val="5"/>
    <w:next w:val="198"/>
    <w:link w:val="596"/>
    <w:qFormat/>
    <w:uiPriority w:val="0"/>
    <w:pPr>
      <w:widowControl/>
      <w:spacing w:before="100" w:beforeAutospacing="1" w:after="100" w:afterAutospacing="1" w:line="440" w:lineRule="exact"/>
      <w:ind w:firstLine="1680" w:firstLineChars="700"/>
      <w:jc w:val="both"/>
    </w:pPr>
    <w:rPr>
      <w:sz w:val="24"/>
    </w:rPr>
  </w:style>
  <w:style w:type="character" w:customStyle="1" w:styleId="598">
    <w:name w:val="正文文本 2 字符1"/>
    <w:qFormat/>
    <w:uiPriority w:val="0"/>
    <w:rPr>
      <w:rFonts w:ascii="Calibri" w:hAnsi="Calibri"/>
      <w:sz w:val="24"/>
      <w:szCs w:val="22"/>
      <w:lang w:val="zh-CN"/>
    </w:rPr>
  </w:style>
  <w:style w:type="character" w:customStyle="1" w:styleId="599">
    <w:name w:val="文档结构图 字符2"/>
    <w:semiHidden/>
    <w:qFormat/>
    <w:uiPriority w:val="99"/>
    <w:rPr>
      <w:rFonts w:ascii="Microsoft YaHei UI" w:eastAsia="Microsoft YaHei UI"/>
      <w:kern w:val="2"/>
      <w:sz w:val="18"/>
      <w:szCs w:val="18"/>
    </w:rPr>
  </w:style>
  <w:style w:type="character" w:customStyle="1" w:styleId="600">
    <w:name w:val="文档结构图 Char1"/>
    <w:qFormat/>
    <w:uiPriority w:val="0"/>
    <w:rPr>
      <w:rFonts w:hint="eastAsia" w:ascii="宋体" w:hAnsi="宋体" w:eastAsia="宋体"/>
      <w:kern w:val="2"/>
      <w:sz w:val="18"/>
      <w:szCs w:val="18"/>
    </w:rPr>
  </w:style>
  <w:style w:type="character" w:customStyle="1" w:styleId="601">
    <w:name w:val="样式 粉红"/>
    <w:qFormat/>
    <w:uiPriority w:val="0"/>
    <w:rPr>
      <w:color w:val="auto"/>
      <w:u w:val="none"/>
    </w:rPr>
  </w:style>
  <w:style w:type="character" w:customStyle="1" w:styleId="602">
    <w:name w:val="标题 6 Char"/>
    <w:qFormat/>
    <w:uiPriority w:val="0"/>
    <w:rPr>
      <w:rFonts w:ascii="Arial" w:hAnsi="Arial" w:eastAsia="黑体"/>
      <w:b/>
      <w:sz w:val="24"/>
    </w:rPr>
  </w:style>
  <w:style w:type="character" w:customStyle="1" w:styleId="603">
    <w:name w:val="页脚 字符2"/>
    <w:semiHidden/>
    <w:qFormat/>
    <w:uiPriority w:val="0"/>
    <w:rPr>
      <w:kern w:val="2"/>
      <w:sz w:val="18"/>
      <w:szCs w:val="18"/>
    </w:rPr>
  </w:style>
  <w:style w:type="character" w:customStyle="1" w:styleId="604">
    <w:name w:val="引用 Char1"/>
    <w:qFormat/>
    <w:uiPriority w:val="0"/>
    <w:rPr>
      <w:i/>
      <w:iCs/>
      <w:color w:val="000000"/>
      <w:kern w:val="2"/>
      <w:sz w:val="21"/>
      <w:szCs w:val="24"/>
    </w:rPr>
  </w:style>
  <w:style w:type="character" w:customStyle="1" w:styleId="605">
    <w:name w:val="正文文本 Char1"/>
    <w:qFormat/>
    <w:uiPriority w:val="0"/>
    <w:rPr>
      <w:rFonts w:eastAsia="黑体"/>
      <w:kern w:val="2"/>
      <w:sz w:val="36"/>
      <w:szCs w:val="24"/>
    </w:rPr>
  </w:style>
  <w:style w:type="character" w:customStyle="1" w:styleId="606">
    <w:name w:val="emtidy-1"/>
    <w:qFormat/>
    <w:uiPriority w:val="0"/>
  </w:style>
  <w:style w:type="character" w:customStyle="1" w:styleId="607">
    <w:name w:val="样式7 Char"/>
    <w:link w:val="608"/>
    <w:qFormat/>
    <w:uiPriority w:val="0"/>
    <w:rPr>
      <w:rFonts w:ascii="Arial" w:hAnsi="Arial" w:eastAsia="黑体"/>
      <w:b/>
      <w:sz w:val="24"/>
    </w:rPr>
  </w:style>
  <w:style w:type="paragraph" w:customStyle="1" w:styleId="608">
    <w:name w:val="样式7"/>
    <w:basedOn w:val="5"/>
    <w:next w:val="198"/>
    <w:link w:val="607"/>
    <w:qFormat/>
    <w:uiPriority w:val="0"/>
    <w:pPr>
      <w:widowControl/>
      <w:spacing w:before="100" w:beforeAutospacing="1" w:after="100" w:afterAutospacing="1" w:line="440" w:lineRule="exact"/>
    </w:pPr>
    <w:rPr>
      <w:sz w:val="24"/>
    </w:rPr>
  </w:style>
  <w:style w:type="character" w:customStyle="1" w:styleId="609">
    <w:name w:val="批注框文本 字符2"/>
    <w:semiHidden/>
    <w:qFormat/>
    <w:uiPriority w:val="99"/>
    <w:rPr>
      <w:kern w:val="2"/>
      <w:sz w:val="18"/>
      <w:szCs w:val="18"/>
    </w:rPr>
  </w:style>
  <w:style w:type="character" w:customStyle="1" w:styleId="610">
    <w:name w:val="标题 7 Char"/>
    <w:qFormat/>
    <w:uiPriority w:val="0"/>
    <w:rPr>
      <w:b/>
      <w:sz w:val="24"/>
    </w:rPr>
  </w:style>
  <w:style w:type="character" w:customStyle="1" w:styleId="611">
    <w:name w:val="正文文本缩进 2 Char"/>
    <w:unhideWhenUsed/>
    <w:qFormat/>
    <w:uiPriority w:val="99"/>
    <w:rPr>
      <w:kern w:val="2"/>
      <w:sz w:val="21"/>
      <w:szCs w:val="24"/>
    </w:rPr>
  </w:style>
  <w:style w:type="character" w:customStyle="1" w:styleId="612">
    <w:name w:val="正文首行缩进 Char"/>
    <w:qFormat/>
    <w:uiPriority w:val="0"/>
    <w:rPr>
      <w:rFonts w:eastAsia="黑体"/>
      <w:kern w:val="2"/>
      <w:sz w:val="24"/>
      <w:szCs w:val="24"/>
    </w:rPr>
  </w:style>
  <w:style w:type="character" w:customStyle="1" w:styleId="613">
    <w:name w:val="正文文本 Char"/>
    <w:qFormat/>
    <w:uiPriority w:val="1"/>
    <w:rPr>
      <w:rFonts w:ascii="宋体" w:hAnsi="宋体"/>
      <w:kern w:val="2"/>
      <w:sz w:val="24"/>
      <w:szCs w:val="24"/>
    </w:rPr>
  </w:style>
  <w:style w:type="character" w:customStyle="1" w:styleId="614">
    <w:name w:val="样式6 Char"/>
    <w:link w:val="615"/>
    <w:qFormat/>
    <w:uiPriority w:val="0"/>
  </w:style>
  <w:style w:type="paragraph" w:customStyle="1" w:styleId="615">
    <w:name w:val="样式6"/>
    <w:basedOn w:val="5"/>
    <w:next w:val="198"/>
    <w:link w:val="614"/>
    <w:qFormat/>
    <w:uiPriority w:val="0"/>
    <w:pPr>
      <w:widowControl/>
      <w:spacing w:before="0" w:after="160" w:line="440" w:lineRule="exact"/>
      <w:ind w:firstLine="1687"/>
    </w:pPr>
    <w:rPr>
      <w:rFonts w:ascii="Times New Roman" w:hAnsi="Times New Roman" w:eastAsia="宋体"/>
      <w:b w:val="0"/>
      <w:sz w:val="20"/>
    </w:rPr>
  </w:style>
  <w:style w:type="character" w:customStyle="1" w:styleId="616">
    <w:name w:val="批注框文本 Char2"/>
    <w:semiHidden/>
    <w:qFormat/>
    <w:uiPriority w:val="0"/>
    <w:rPr>
      <w:kern w:val="2"/>
      <w:sz w:val="18"/>
      <w:szCs w:val="18"/>
    </w:rPr>
  </w:style>
  <w:style w:type="character" w:customStyle="1" w:styleId="617">
    <w:name w:val="样式1 Char"/>
    <w:qFormat/>
    <w:uiPriority w:val="0"/>
    <w:rPr>
      <w:rFonts w:ascii="宋体" w:hAnsi="宋体"/>
      <w:kern w:val="2"/>
      <w:sz w:val="28"/>
      <w:szCs w:val="28"/>
    </w:rPr>
  </w:style>
  <w:style w:type="character" w:customStyle="1" w:styleId="618">
    <w:name w:val="正文文本 字符2"/>
    <w:semiHidden/>
    <w:qFormat/>
    <w:uiPriority w:val="99"/>
    <w:rPr>
      <w:kern w:val="2"/>
      <w:sz w:val="21"/>
    </w:rPr>
  </w:style>
  <w:style w:type="character" w:customStyle="1" w:styleId="619">
    <w:name w:val="正文首行缩进 2 字符"/>
    <w:qFormat/>
    <w:uiPriority w:val="0"/>
    <w:rPr>
      <w:kern w:val="2"/>
      <w:sz w:val="21"/>
    </w:rPr>
  </w:style>
  <w:style w:type="character" w:customStyle="1" w:styleId="620">
    <w:name w:val="纯文本 Char"/>
    <w:qFormat/>
    <w:locked/>
    <w:uiPriority w:val="0"/>
    <w:rPr>
      <w:rFonts w:ascii="宋体" w:hAnsi="Courier New" w:cs="Courier New"/>
      <w:kern w:val="2"/>
      <w:sz w:val="21"/>
      <w:szCs w:val="21"/>
    </w:rPr>
  </w:style>
  <w:style w:type="character" w:customStyle="1" w:styleId="621">
    <w:name w:val="标题 Char2"/>
    <w:qFormat/>
    <w:uiPriority w:val="10"/>
    <w:rPr>
      <w:rFonts w:ascii="Cambria" w:hAnsi="Cambria" w:cs="Times New Roman"/>
      <w:b/>
      <w:bCs/>
      <w:kern w:val="2"/>
      <w:sz w:val="32"/>
      <w:szCs w:val="32"/>
    </w:rPr>
  </w:style>
  <w:style w:type="character" w:customStyle="1" w:styleId="622">
    <w:name w:val="标题 字符2"/>
    <w:qFormat/>
    <w:uiPriority w:val="10"/>
    <w:rPr>
      <w:rFonts w:ascii="等线 Light" w:hAnsi="等线 Light" w:eastAsia="等线 Light" w:cs="Times New Roman"/>
      <w:b/>
      <w:bCs/>
      <w:kern w:val="2"/>
      <w:sz w:val="32"/>
      <w:szCs w:val="32"/>
    </w:rPr>
  </w:style>
  <w:style w:type="character" w:customStyle="1" w:styleId="623">
    <w:name w:val="正文文本 Char2"/>
    <w:semiHidden/>
    <w:qFormat/>
    <w:uiPriority w:val="0"/>
    <w:rPr>
      <w:kern w:val="2"/>
      <w:sz w:val="21"/>
      <w:szCs w:val="22"/>
    </w:rPr>
  </w:style>
  <w:style w:type="character" w:customStyle="1" w:styleId="624">
    <w:name w:val="正文文本 2 Char1"/>
    <w:semiHidden/>
    <w:qFormat/>
    <w:uiPriority w:val="99"/>
    <w:rPr>
      <w:kern w:val="2"/>
      <w:sz w:val="21"/>
      <w:szCs w:val="24"/>
    </w:rPr>
  </w:style>
  <w:style w:type="character" w:customStyle="1" w:styleId="625">
    <w:name w:val="font161"/>
    <w:qFormat/>
    <w:uiPriority w:val="0"/>
    <w:rPr>
      <w:b/>
      <w:bCs/>
      <w:sz w:val="32"/>
      <w:szCs w:val="32"/>
    </w:rPr>
  </w:style>
  <w:style w:type="character" w:customStyle="1" w:styleId="626">
    <w:name w:val="日期 Char2"/>
    <w:semiHidden/>
    <w:qFormat/>
    <w:uiPriority w:val="0"/>
    <w:rPr>
      <w:kern w:val="2"/>
      <w:sz w:val="21"/>
      <w:szCs w:val="22"/>
    </w:rPr>
  </w:style>
  <w:style w:type="character" w:customStyle="1" w:styleId="627">
    <w:name w:val="样式4 Char"/>
    <w:link w:val="628"/>
    <w:qFormat/>
    <w:uiPriority w:val="0"/>
  </w:style>
  <w:style w:type="paragraph" w:customStyle="1" w:styleId="628">
    <w:name w:val="样式4"/>
    <w:basedOn w:val="5"/>
    <w:next w:val="198"/>
    <w:link w:val="627"/>
    <w:qFormat/>
    <w:uiPriority w:val="0"/>
    <w:pPr>
      <w:widowControl/>
      <w:spacing w:before="0" w:after="160" w:line="440" w:lineRule="exact"/>
    </w:pPr>
    <w:rPr>
      <w:rFonts w:ascii="Times New Roman" w:hAnsi="Times New Roman" w:eastAsia="宋体"/>
      <w:b w:val="0"/>
      <w:sz w:val="20"/>
    </w:rPr>
  </w:style>
  <w:style w:type="character" w:customStyle="1" w:styleId="629">
    <w:name w:val="Body Char"/>
    <w:qFormat/>
    <w:uiPriority w:val="0"/>
    <w:rPr>
      <w:rFonts w:hint="default" w:ascii="Helvetica" w:hAnsi="Helvetica" w:eastAsia="宋体"/>
      <w:kern w:val="2"/>
      <w:sz w:val="21"/>
      <w:szCs w:val="24"/>
      <w:lang w:val="en-US" w:eastAsia="de-CH" w:bidi="ar-SA"/>
    </w:rPr>
  </w:style>
  <w:style w:type="character" w:customStyle="1" w:styleId="630">
    <w:name w:val="批注框文本 Char"/>
    <w:qFormat/>
    <w:uiPriority w:val="99"/>
    <w:rPr>
      <w:kern w:val="2"/>
      <w:sz w:val="18"/>
      <w:szCs w:val="18"/>
    </w:rPr>
  </w:style>
  <w:style w:type="character" w:customStyle="1" w:styleId="631">
    <w:name w:val="批注文字 Char Char"/>
    <w:qFormat/>
    <w:uiPriority w:val="0"/>
    <w:rPr>
      <w:rFonts w:hint="eastAsia" w:ascii="宋体" w:hAnsi="Times New Roman" w:eastAsia="宋体" w:cs="Times New Roman"/>
      <w:sz w:val="28"/>
      <w:szCs w:val="20"/>
    </w:rPr>
  </w:style>
  <w:style w:type="character" w:customStyle="1" w:styleId="632">
    <w:name w:val="页脚 Char1"/>
    <w:semiHidden/>
    <w:qFormat/>
    <w:uiPriority w:val="0"/>
    <w:rPr>
      <w:kern w:val="2"/>
      <w:sz w:val="18"/>
      <w:szCs w:val="18"/>
    </w:rPr>
  </w:style>
  <w:style w:type="character" w:customStyle="1" w:styleId="633">
    <w:name w:val="标题 9 Char"/>
    <w:qFormat/>
    <w:uiPriority w:val="0"/>
    <w:rPr>
      <w:rFonts w:ascii="Arial" w:hAnsi="Arial" w:eastAsia="黑体"/>
      <w:sz w:val="21"/>
    </w:rPr>
  </w:style>
  <w:style w:type="character" w:customStyle="1" w:styleId="634">
    <w:name w:val="标题 Char1"/>
    <w:qFormat/>
    <w:uiPriority w:val="0"/>
    <w:rPr>
      <w:rFonts w:hint="default" w:ascii="Cambria" w:hAnsi="Cambria" w:cs="Times New Roman"/>
      <w:b/>
      <w:bCs/>
      <w:kern w:val="2"/>
      <w:sz w:val="32"/>
      <w:szCs w:val="32"/>
    </w:rPr>
  </w:style>
  <w:style w:type="character" w:customStyle="1" w:styleId="635">
    <w:name w:val="副标题 字符2"/>
    <w:qFormat/>
    <w:uiPriority w:val="11"/>
    <w:rPr>
      <w:rFonts w:ascii="等线" w:hAnsi="等线" w:eastAsia="等线" w:cs="Times New Roman"/>
      <w:b/>
      <w:bCs/>
      <w:kern w:val="28"/>
      <w:sz w:val="32"/>
      <w:szCs w:val="32"/>
    </w:rPr>
  </w:style>
  <w:style w:type="character" w:customStyle="1" w:styleId="636">
    <w:name w:val="引用 Char"/>
    <w:qFormat/>
    <w:uiPriority w:val="0"/>
    <w:rPr>
      <w:i/>
      <w:iCs/>
      <w:color w:val="000000"/>
      <w:kern w:val="2"/>
      <w:sz w:val="21"/>
      <w:szCs w:val="22"/>
    </w:rPr>
  </w:style>
  <w:style w:type="character" w:customStyle="1" w:styleId="637">
    <w:name w:val="正文文本缩进 字符3"/>
    <w:semiHidden/>
    <w:qFormat/>
    <w:uiPriority w:val="99"/>
    <w:rPr>
      <w:rFonts w:ascii="ˎ̥" w:hAnsi="ˎ̥" w:cs="Arial"/>
      <w:sz w:val="24"/>
      <w:szCs w:val="24"/>
    </w:rPr>
  </w:style>
  <w:style w:type="paragraph" w:customStyle="1" w:styleId="638">
    <w:name w:val="xl81"/>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character" w:customStyle="1" w:styleId="639">
    <w:name w:val="副标题 字符3"/>
    <w:qFormat/>
    <w:uiPriority w:val="11"/>
    <w:rPr>
      <w:rFonts w:ascii="Calibri" w:hAnsi="Calibri" w:eastAsia="宋体" w:cs="Times New Roman"/>
      <w:b/>
      <w:bCs/>
      <w:kern w:val="28"/>
      <w:sz w:val="32"/>
      <w:szCs w:val="32"/>
    </w:rPr>
  </w:style>
  <w:style w:type="character" w:customStyle="1" w:styleId="640">
    <w:name w:val="批注框文本 字符3"/>
    <w:semiHidden/>
    <w:qFormat/>
    <w:uiPriority w:val="99"/>
    <w:rPr>
      <w:rFonts w:ascii="ˎ̥" w:hAnsi="ˎ̥" w:cs="Arial"/>
      <w:sz w:val="18"/>
      <w:szCs w:val="18"/>
    </w:rPr>
  </w:style>
  <w:style w:type="character" w:customStyle="1" w:styleId="641">
    <w:name w:val="日期 字符3"/>
    <w:semiHidden/>
    <w:qFormat/>
    <w:uiPriority w:val="99"/>
    <w:rPr>
      <w:rFonts w:ascii="ˎ̥" w:hAnsi="ˎ̥" w:cs="Arial"/>
      <w:sz w:val="24"/>
      <w:szCs w:val="24"/>
    </w:rPr>
  </w:style>
  <w:style w:type="character" w:customStyle="1" w:styleId="642">
    <w:name w:val="文档结构图 字符3"/>
    <w:semiHidden/>
    <w:qFormat/>
    <w:uiPriority w:val="99"/>
    <w:rPr>
      <w:rFonts w:ascii="Microsoft YaHei UI" w:hAnsi="ˎ̥" w:eastAsia="Microsoft YaHei UI" w:cs="Arial"/>
      <w:sz w:val="18"/>
      <w:szCs w:val="18"/>
    </w:rPr>
  </w:style>
  <w:style w:type="character" w:customStyle="1" w:styleId="643">
    <w:name w:val="批注文字 字符3"/>
    <w:semiHidden/>
    <w:qFormat/>
    <w:uiPriority w:val="99"/>
    <w:rPr>
      <w:rFonts w:ascii="ˎ̥" w:hAnsi="ˎ̥" w:cs="Arial"/>
      <w:sz w:val="24"/>
      <w:szCs w:val="24"/>
    </w:rPr>
  </w:style>
  <w:style w:type="character" w:customStyle="1" w:styleId="644">
    <w:name w:val="正文文本缩进 3 字符3"/>
    <w:semiHidden/>
    <w:qFormat/>
    <w:uiPriority w:val="99"/>
    <w:rPr>
      <w:rFonts w:ascii="ˎ̥" w:hAnsi="ˎ̥" w:cs="Arial"/>
      <w:sz w:val="16"/>
      <w:szCs w:val="16"/>
    </w:rPr>
  </w:style>
  <w:style w:type="character" w:customStyle="1" w:styleId="645">
    <w:name w:val="正文文本 3 字符3"/>
    <w:semiHidden/>
    <w:qFormat/>
    <w:uiPriority w:val="99"/>
    <w:rPr>
      <w:rFonts w:ascii="ˎ̥" w:hAnsi="ˎ̥" w:cs="Arial"/>
      <w:sz w:val="16"/>
      <w:szCs w:val="16"/>
    </w:rPr>
  </w:style>
  <w:style w:type="paragraph" w:customStyle="1" w:styleId="646">
    <w:name w:val="CM19"/>
    <w:basedOn w:val="205"/>
    <w:next w:val="205"/>
    <w:unhideWhenUsed/>
    <w:qFormat/>
    <w:uiPriority w:val="99"/>
    <w:pPr>
      <w:spacing w:after="160" w:line="278" w:lineRule="auto"/>
    </w:pPr>
    <w:rPr>
      <w:rFonts w:ascii="仿宋" w:hAnsi="仿宋" w:eastAsia="仿宋" w:cs="Times New Roman"/>
    </w:rPr>
  </w:style>
  <w:style w:type="paragraph" w:customStyle="1" w:styleId="647">
    <w:name w:val="Body"/>
    <w:qFormat/>
    <w:uiPriority w:val="0"/>
    <w:pPr>
      <w:spacing w:after="60" w:line="278" w:lineRule="auto"/>
      <w:ind w:left="567" w:right="2835"/>
    </w:pPr>
    <w:rPr>
      <w:rFonts w:ascii="Helvetica" w:hAnsi="Helvetica"/>
      <w:kern w:val="2"/>
      <w:sz w:val="21"/>
      <w:szCs w:val="24"/>
      <w:lang w:val="en-US" w:eastAsia="de-CH" w:bidi="ar-SA"/>
    </w:rPr>
  </w:style>
  <w:style w:type="character" w:customStyle="1" w:styleId="648">
    <w:name w:val="正文文本 字符3"/>
    <w:semiHidden/>
    <w:qFormat/>
    <w:uiPriority w:val="99"/>
    <w:rPr>
      <w:rFonts w:ascii="ˎ̥" w:hAnsi="ˎ̥" w:cs="Arial"/>
      <w:sz w:val="24"/>
      <w:szCs w:val="24"/>
    </w:rPr>
  </w:style>
  <w:style w:type="character" w:customStyle="1" w:styleId="649">
    <w:name w:val="正文文本缩进 2 字符3"/>
    <w:semiHidden/>
    <w:qFormat/>
    <w:uiPriority w:val="99"/>
    <w:rPr>
      <w:rFonts w:ascii="ˎ̥" w:hAnsi="ˎ̥" w:cs="Arial"/>
      <w:sz w:val="24"/>
      <w:szCs w:val="24"/>
    </w:rPr>
  </w:style>
  <w:style w:type="character" w:customStyle="1" w:styleId="650">
    <w:name w:val="页眉 字符3"/>
    <w:semiHidden/>
    <w:qFormat/>
    <w:uiPriority w:val="99"/>
    <w:rPr>
      <w:rFonts w:ascii="ˎ̥" w:hAnsi="ˎ̥" w:cs="Arial"/>
      <w:sz w:val="18"/>
      <w:szCs w:val="18"/>
    </w:rPr>
  </w:style>
  <w:style w:type="character" w:customStyle="1" w:styleId="651">
    <w:name w:val="页脚 字符3"/>
    <w:semiHidden/>
    <w:qFormat/>
    <w:uiPriority w:val="99"/>
    <w:rPr>
      <w:rFonts w:ascii="ˎ̥" w:hAnsi="ˎ̥" w:cs="Arial"/>
      <w:sz w:val="18"/>
      <w:szCs w:val="18"/>
    </w:rPr>
  </w:style>
  <w:style w:type="character" w:customStyle="1" w:styleId="652">
    <w:name w:val="批注主题 字符3"/>
    <w:semiHidden/>
    <w:qFormat/>
    <w:uiPriority w:val="99"/>
    <w:rPr>
      <w:rFonts w:ascii="ˎ̥" w:hAnsi="ˎ̥" w:cs="Arial"/>
      <w:b/>
      <w:bCs/>
      <w:sz w:val="24"/>
      <w:szCs w:val="24"/>
    </w:rPr>
  </w:style>
  <w:style w:type="character" w:customStyle="1" w:styleId="653">
    <w:name w:val="正文文本 2 字符3"/>
    <w:qFormat/>
    <w:uiPriority w:val="99"/>
    <w:rPr>
      <w:kern w:val="2"/>
      <w:sz w:val="21"/>
      <w:szCs w:val="24"/>
    </w:rPr>
  </w:style>
  <w:style w:type="paragraph" w:customStyle="1" w:styleId="654">
    <w:name w:val="2"/>
    <w:basedOn w:val="1"/>
    <w:next w:val="3"/>
    <w:qFormat/>
    <w:uiPriority w:val="0"/>
    <w:pPr>
      <w:widowControl/>
      <w:spacing w:after="160" w:line="278" w:lineRule="auto"/>
      <w:ind w:left="432"/>
    </w:pPr>
    <w:rPr>
      <w:rFonts w:ascii="Calibri" w:hAnsi="Calibri" w:cs="Arial"/>
      <w:kern w:val="0"/>
      <w:sz w:val="24"/>
    </w:rPr>
  </w:style>
  <w:style w:type="character" w:customStyle="1" w:styleId="655">
    <w:name w:val="HTML 预设格式 字符2"/>
    <w:semiHidden/>
    <w:qFormat/>
    <w:uiPriority w:val="99"/>
    <w:rPr>
      <w:rFonts w:ascii="Courier New" w:hAnsi="Courier New" w:cs="Courier New"/>
    </w:rPr>
  </w:style>
  <w:style w:type="character" w:customStyle="1" w:styleId="656">
    <w:name w:val="标题 字符3"/>
    <w:qFormat/>
    <w:uiPriority w:val="10"/>
    <w:rPr>
      <w:rFonts w:ascii="等线 Light" w:hAnsi="等线 Light" w:eastAsia="等线 Light" w:cs="Times New Roman"/>
      <w:b/>
      <w:bCs/>
      <w:sz w:val="32"/>
      <w:szCs w:val="32"/>
    </w:rPr>
  </w:style>
  <w:style w:type="paragraph" w:customStyle="1" w:styleId="657">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58">
    <w:name w:val="xl7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59">
    <w:name w:val="Char Char Char Char Char Char1 Char Char Char Char Char Char1 Char Char Char1"/>
    <w:basedOn w:val="1"/>
    <w:qFormat/>
    <w:uiPriority w:val="0"/>
    <w:pPr>
      <w:widowControl/>
      <w:spacing w:after="160" w:line="278" w:lineRule="auto"/>
    </w:pPr>
    <w:rPr>
      <w:rFonts w:ascii="Tahoma" w:hAnsi="Tahoma" w:cs="Arial"/>
      <w:kern w:val="0"/>
      <w:sz w:val="24"/>
    </w:rPr>
  </w:style>
  <w:style w:type="character" w:customStyle="1" w:styleId="660">
    <w:name w:val="引用 字符3"/>
    <w:qFormat/>
    <w:uiPriority w:val="29"/>
    <w:rPr>
      <w:i/>
      <w:iCs/>
      <w:color w:val="404040"/>
      <w:kern w:val="2"/>
      <w:sz w:val="21"/>
      <w:szCs w:val="24"/>
    </w:rPr>
  </w:style>
  <w:style w:type="paragraph" w:customStyle="1" w:styleId="661">
    <w:name w:val="Char Char Char Char Char Char1 Char Char Char Char Char Char1 Char Char Char"/>
    <w:basedOn w:val="1"/>
    <w:qFormat/>
    <w:uiPriority w:val="0"/>
    <w:pPr>
      <w:widowControl/>
      <w:spacing w:after="160" w:line="278" w:lineRule="auto"/>
    </w:pPr>
    <w:rPr>
      <w:rFonts w:ascii="Tahoma" w:hAnsi="Tahoma" w:cs="Arial"/>
      <w:kern w:val="0"/>
      <w:sz w:val="24"/>
    </w:rPr>
  </w:style>
  <w:style w:type="paragraph" w:customStyle="1" w:styleId="662">
    <w:name w:val="font10"/>
    <w:basedOn w:val="1"/>
    <w:qFormat/>
    <w:uiPriority w:val="0"/>
    <w:pPr>
      <w:widowControl/>
      <w:spacing w:before="100" w:beforeAutospacing="1" w:after="100" w:afterAutospacing="1" w:line="278" w:lineRule="auto"/>
      <w:jc w:val="left"/>
    </w:pPr>
    <w:rPr>
      <w:rFonts w:ascii="ˎ̥" w:hAnsi="ˎ̥" w:cs="Arial"/>
      <w:kern w:val="0"/>
      <w:sz w:val="14"/>
    </w:rPr>
  </w:style>
  <w:style w:type="paragraph" w:customStyle="1" w:styleId="663">
    <w:name w:val="xl85"/>
    <w:basedOn w:val="1"/>
    <w:qFormat/>
    <w:uiPriority w:val="0"/>
    <w:pPr>
      <w:widowControl/>
      <w:spacing w:before="100" w:beforeAutospacing="1" w:after="100" w:afterAutospacing="1" w:line="278" w:lineRule="auto"/>
      <w:jc w:val="center"/>
    </w:pPr>
    <w:rPr>
      <w:rFonts w:ascii="宋体" w:hAnsi="宋体" w:cs="宋体"/>
      <w:kern w:val="0"/>
      <w:sz w:val="24"/>
    </w:rPr>
  </w:style>
  <w:style w:type="paragraph" w:customStyle="1" w:styleId="664">
    <w:name w:val="普通 (Web)"/>
    <w:basedOn w:val="1"/>
    <w:qFormat/>
    <w:uiPriority w:val="0"/>
    <w:pPr>
      <w:widowControl/>
      <w:spacing w:before="100" w:beforeAutospacing="1" w:after="100" w:afterAutospacing="1" w:line="278" w:lineRule="auto"/>
      <w:jc w:val="left"/>
    </w:pPr>
    <w:rPr>
      <w:rFonts w:ascii="宋体" w:hAnsi="宋体" w:cs="Arial"/>
      <w:kern w:val="0"/>
      <w:sz w:val="24"/>
    </w:rPr>
  </w:style>
  <w:style w:type="paragraph" w:customStyle="1" w:styleId="665">
    <w:name w:val="xl77"/>
    <w:basedOn w:val="1"/>
    <w:qFormat/>
    <w:uiPriority w:val="0"/>
    <w:pPr>
      <w:widowControl/>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666">
    <w:name w:val="Char1 Char Char"/>
    <w:basedOn w:val="1"/>
    <w:qFormat/>
    <w:uiPriority w:val="0"/>
    <w:pPr>
      <w:widowControl/>
      <w:spacing w:after="160" w:line="278" w:lineRule="auto"/>
    </w:pPr>
    <w:rPr>
      <w:rFonts w:ascii="Tahoma" w:hAnsi="Tahoma" w:cs="Arial"/>
      <w:kern w:val="0"/>
      <w:sz w:val="24"/>
    </w:rPr>
  </w:style>
  <w:style w:type="paragraph" w:customStyle="1" w:styleId="667">
    <w:name w:val="修订10"/>
    <w:qFormat/>
    <w:uiPriority w:val="0"/>
    <w:pPr>
      <w:spacing w:after="160" w:line="278" w:lineRule="auto"/>
    </w:pPr>
    <w:rPr>
      <w:rFonts w:ascii="Calibri" w:hAnsi="Calibri"/>
      <w:kern w:val="2"/>
      <w:sz w:val="21"/>
      <w:lang w:val="en-US" w:eastAsia="zh-CN" w:bidi="ar-SA"/>
    </w:rPr>
  </w:style>
  <w:style w:type="paragraph" w:customStyle="1" w:styleId="668">
    <w:name w:val="xl74"/>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69">
    <w:name w:val="菲页2"/>
    <w:basedOn w:val="7"/>
    <w:qFormat/>
    <w:uiPriority w:val="0"/>
    <w:pPr>
      <w:widowControl/>
      <w:tabs>
        <w:tab w:val="left" w:pos="720"/>
        <w:tab w:val="left" w:pos="1980"/>
      </w:tabs>
      <w:autoSpaceDE/>
      <w:autoSpaceDN/>
      <w:adjustRightInd/>
      <w:spacing w:before="120" w:line="360" w:lineRule="auto"/>
      <w:ind w:left="1980" w:hanging="900"/>
      <w:jc w:val="center"/>
    </w:pPr>
    <w:rPr>
      <w:rFonts w:ascii="黑体" w:hAnsi="宋体" w:eastAsia="黑体" w:cs="Arial"/>
      <w:b w:val="0"/>
      <w:sz w:val="44"/>
      <w:szCs w:val="24"/>
      <w:u w:val="none"/>
    </w:rPr>
  </w:style>
  <w:style w:type="paragraph" w:customStyle="1" w:styleId="670">
    <w:name w:val="简单回函地址"/>
    <w:basedOn w:val="1"/>
    <w:qFormat/>
    <w:uiPriority w:val="0"/>
    <w:pPr>
      <w:widowControl/>
      <w:spacing w:after="160" w:line="278" w:lineRule="auto"/>
    </w:pPr>
    <w:rPr>
      <w:rFonts w:ascii="ˎ̥" w:hAnsi="ˎ̥" w:cs="Arial"/>
      <w:kern w:val="0"/>
      <w:sz w:val="24"/>
    </w:rPr>
  </w:style>
  <w:style w:type="paragraph" w:customStyle="1" w:styleId="671">
    <w:name w:val="Char Char Char Char Char Char1 Char Char Char Char Char Char1 Char Char Char Char Char Char Char"/>
    <w:basedOn w:val="1"/>
    <w:qFormat/>
    <w:uiPriority w:val="0"/>
    <w:pPr>
      <w:widowControl/>
      <w:spacing w:after="160" w:line="278" w:lineRule="auto"/>
    </w:pPr>
    <w:rPr>
      <w:rFonts w:ascii="Tahoma" w:hAnsi="Tahoma" w:cs="Arial"/>
      <w:kern w:val="0"/>
      <w:sz w:val="24"/>
    </w:rPr>
  </w:style>
  <w:style w:type="paragraph" w:customStyle="1" w:styleId="672">
    <w:name w:val="Char Char Char Char Char Char1 Char Char Char Char Char Char1 Char Char Char2"/>
    <w:basedOn w:val="1"/>
    <w:qFormat/>
    <w:uiPriority w:val="0"/>
    <w:pPr>
      <w:widowControl/>
      <w:spacing w:after="160" w:line="278" w:lineRule="auto"/>
    </w:pPr>
    <w:rPr>
      <w:rFonts w:ascii="Tahoma" w:hAnsi="Tahoma" w:cs="Arial"/>
      <w:kern w:val="0"/>
      <w:sz w:val="24"/>
    </w:rPr>
  </w:style>
  <w:style w:type="paragraph" w:customStyle="1" w:styleId="673">
    <w:name w:val="样式 标题 1 + 黑体 三号 非加粗 居中 段前: 6 磅 段后: 6 磅 行距: 固定值 20 磅"/>
    <w:basedOn w:val="4"/>
    <w:qFormat/>
    <w:uiPriority w:val="0"/>
    <w:pPr>
      <w:widowControl/>
      <w:autoSpaceDE/>
      <w:autoSpaceDN/>
      <w:adjustRightInd/>
      <w:spacing w:before="120" w:line="400" w:lineRule="exact"/>
    </w:pPr>
    <w:rPr>
      <w:rFonts w:ascii="黑体" w:hAnsi="黑体" w:eastAsia="黑体" w:cs="宋体"/>
      <w:b w:val="0"/>
      <w:szCs w:val="24"/>
    </w:rPr>
  </w:style>
  <w:style w:type="paragraph" w:customStyle="1" w:styleId="674">
    <w:name w:val="Char Char Char Char Char Char1 Char Char Char1 Char Char Char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75">
    <w:name w:val="Char Char Char Char Char Char1 Char Char Char1 Char Char Char Char Char Char"/>
    <w:basedOn w:val="1"/>
    <w:qFormat/>
    <w:uiPriority w:val="0"/>
    <w:pPr>
      <w:widowControl/>
      <w:spacing w:after="160" w:line="278" w:lineRule="auto"/>
    </w:pPr>
    <w:rPr>
      <w:rFonts w:ascii="Tahoma" w:hAnsi="Tahoma" w:cs="Arial"/>
      <w:kern w:val="0"/>
      <w:sz w:val="24"/>
    </w:rPr>
  </w:style>
  <w:style w:type="paragraph" w:customStyle="1" w:styleId="676">
    <w:name w:val="Char Char Char Char Char Char1 Char Char Char Char Char Char1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77">
    <w:name w:val="Char Char Char Char Char Char1"/>
    <w:basedOn w:val="1"/>
    <w:qFormat/>
    <w:uiPriority w:val="0"/>
    <w:pPr>
      <w:widowControl/>
      <w:spacing w:after="160" w:line="278" w:lineRule="auto"/>
    </w:pPr>
    <w:rPr>
      <w:rFonts w:ascii="Tahoma" w:hAnsi="Tahoma" w:cs="Arial"/>
      <w:kern w:val="0"/>
      <w:sz w:val="24"/>
    </w:rPr>
  </w:style>
  <w:style w:type="paragraph" w:customStyle="1" w:styleId="678">
    <w:name w:val="Char Char Char Char Char Char1 Char Char Char Char Char Char"/>
    <w:basedOn w:val="1"/>
    <w:qFormat/>
    <w:uiPriority w:val="0"/>
    <w:pPr>
      <w:widowControl/>
      <w:spacing w:after="160" w:line="278" w:lineRule="auto"/>
    </w:pPr>
    <w:rPr>
      <w:rFonts w:ascii="Tahoma" w:hAnsi="Tahoma" w:cs="Arial"/>
      <w:kern w:val="0"/>
      <w:sz w:val="24"/>
    </w:rPr>
  </w:style>
  <w:style w:type="paragraph" w:customStyle="1" w:styleId="679">
    <w:name w:val="xl68"/>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680">
    <w:name w:val="Char Char Char Char Char Char"/>
    <w:basedOn w:val="1"/>
    <w:qFormat/>
    <w:uiPriority w:val="0"/>
    <w:pPr>
      <w:widowControl/>
      <w:spacing w:after="160" w:line="278" w:lineRule="auto"/>
    </w:pPr>
    <w:rPr>
      <w:rFonts w:ascii="仿宋_GB2312" w:hAnsi="ˎ̥" w:eastAsia="仿宋_GB2312" w:cs="Arial"/>
      <w:b/>
      <w:kern w:val="0"/>
      <w:sz w:val="32"/>
    </w:rPr>
  </w:style>
  <w:style w:type="paragraph" w:customStyle="1" w:styleId="681">
    <w:name w:val="Char Char Char Char Char Char1 Char Char Char Char Char Char1 Char Char Char Char Char Char Char1"/>
    <w:basedOn w:val="1"/>
    <w:qFormat/>
    <w:uiPriority w:val="0"/>
    <w:pPr>
      <w:widowControl/>
      <w:spacing w:after="160" w:line="278" w:lineRule="auto"/>
    </w:pPr>
    <w:rPr>
      <w:rFonts w:ascii="Tahoma" w:hAnsi="Tahoma" w:cs="Arial"/>
      <w:kern w:val="0"/>
      <w:sz w:val="24"/>
    </w:rPr>
  </w:style>
  <w:style w:type="paragraph" w:customStyle="1" w:styleId="682">
    <w:name w:val="Char Char Char Char Char Char1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83">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8" w:lineRule="auto"/>
      <w:jc w:val="right"/>
    </w:pPr>
    <w:rPr>
      <w:rFonts w:ascii="Calibri" w:hAnsi="Calibri" w:cs="Arial"/>
      <w:color w:val="000000"/>
      <w:kern w:val="0"/>
      <w:sz w:val="18"/>
      <w:szCs w:val="18"/>
    </w:rPr>
  </w:style>
  <w:style w:type="paragraph" w:customStyle="1" w:styleId="684">
    <w:name w:val="Char Char Char Char Char Char1 Char Char Char Char Char Char1"/>
    <w:basedOn w:val="1"/>
    <w:qFormat/>
    <w:uiPriority w:val="0"/>
    <w:pPr>
      <w:widowControl/>
      <w:spacing w:after="160" w:line="278" w:lineRule="auto"/>
    </w:pPr>
    <w:rPr>
      <w:rFonts w:ascii="Tahoma" w:hAnsi="Tahoma" w:cs="Arial"/>
      <w:kern w:val="0"/>
      <w:sz w:val="24"/>
    </w:rPr>
  </w:style>
  <w:style w:type="paragraph" w:customStyle="1" w:styleId="685">
    <w:name w:val="Char Char Char Char"/>
    <w:basedOn w:val="1"/>
    <w:qFormat/>
    <w:uiPriority w:val="0"/>
    <w:pPr>
      <w:widowControl/>
      <w:spacing w:after="160" w:line="278" w:lineRule="auto"/>
    </w:pPr>
    <w:rPr>
      <w:rFonts w:ascii="Tahoma" w:hAnsi="Tahoma" w:cs="Arial"/>
      <w:kern w:val="0"/>
      <w:sz w:val="24"/>
    </w:rPr>
  </w:style>
  <w:style w:type="paragraph" w:customStyle="1" w:styleId="686">
    <w:name w:val="Char Char Char Char Char Char1 Char Char Char1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87">
    <w:name w:val="Char Char Char Char Char Char Char Char Char Char Char Char"/>
    <w:basedOn w:val="1"/>
    <w:qFormat/>
    <w:uiPriority w:val="0"/>
    <w:pPr>
      <w:widowControl/>
      <w:spacing w:after="160" w:line="278" w:lineRule="auto"/>
    </w:pPr>
    <w:rPr>
      <w:rFonts w:ascii="仿宋_GB2312" w:hAnsi="ˎ̥" w:eastAsia="仿宋_GB2312" w:cs="Arial"/>
      <w:b/>
      <w:kern w:val="0"/>
      <w:sz w:val="32"/>
    </w:rPr>
  </w:style>
  <w:style w:type="paragraph" w:customStyle="1" w:styleId="688">
    <w:name w:val="_Style 107"/>
    <w:basedOn w:val="1"/>
    <w:next w:val="1"/>
    <w:unhideWhenUsed/>
    <w:qFormat/>
    <w:uiPriority w:val="39"/>
    <w:pPr>
      <w:widowControl/>
      <w:spacing w:after="160" w:line="278" w:lineRule="auto"/>
      <w:ind w:left="3360" w:leftChars="1600"/>
    </w:pPr>
    <w:rPr>
      <w:rFonts w:ascii="Calibri" w:hAnsi="Calibri" w:cs="Arial"/>
      <w:kern w:val="0"/>
      <w:sz w:val="24"/>
      <w:szCs w:val="22"/>
    </w:rPr>
  </w:style>
  <w:style w:type="paragraph" w:customStyle="1" w:styleId="689">
    <w:name w:val="xl67"/>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90">
    <w:name w:val="CM13"/>
    <w:basedOn w:val="205"/>
    <w:next w:val="205"/>
    <w:unhideWhenUsed/>
    <w:qFormat/>
    <w:uiPriority w:val="99"/>
    <w:pPr>
      <w:spacing w:after="160" w:line="520" w:lineRule="atLeast"/>
    </w:pPr>
    <w:rPr>
      <w:rFonts w:ascii="仿宋" w:hAnsi="仿宋" w:eastAsia="仿宋" w:cs="Times New Roman"/>
    </w:rPr>
  </w:style>
  <w:style w:type="paragraph" w:customStyle="1" w:styleId="691">
    <w:name w:val="xl75"/>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92">
    <w:name w:val="点序列"/>
    <w:basedOn w:val="1"/>
    <w:qFormat/>
    <w:uiPriority w:val="0"/>
    <w:pPr>
      <w:widowControl/>
      <w:numPr>
        <w:ilvl w:val="0"/>
        <w:numId w:val="16"/>
      </w:numPr>
      <w:tabs>
        <w:tab w:val="left" w:pos="360"/>
        <w:tab w:val="left" w:pos="1412"/>
      </w:tabs>
      <w:spacing w:after="160" w:line="400" w:lineRule="atLeast"/>
      <w:ind w:left="1412"/>
      <w:jc w:val="left"/>
    </w:pPr>
    <w:rPr>
      <w:rFonts w:ascii="ˎ̥" w:hAnsi="ˎ̥" w:cs="Arial"/>
      <w:kern w:val="0"/>
      <w:sz w:val="24"/>
    </w:rPr>
  </w:style>
  <w:style w:type="paragraph" w:customStyle="1" w:styleId="693">
    <w:name w:val="Char Char Char Char Char Char1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94">
    <w:name w:val="xl73"/>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95">
    <w:name w:val="Char Char Char3"/>
    <w:basedOn w:val="1"/>
    <w:qFormat/>
    <w:uiPriority w:val="0"/>
    <w:pPr>
      <w:widowControl/>
      <w:spacing w:after="160" w:line="278" w:lineRule="auto"/>
    </w:pPr>
    <w:rPr>
      <w:rFonts w:ascii="Tahoma" w:hAnsi="Tahoma" w:cs="Arial"/>
      <w:kern w:val="0"/>
      <w:sz w:val="24"/>
    </w:rPr>
  </w:style>
  <w:style w:type="paragraph" w:customStyle="1" w:styleId="696">
    <w:name w:val="CM14"/>
    <w:basedOn w:val="205"/>
    <w:next w:val="205"/>
    <w:unhideWhenUsed/>
    <w:qFormat/>
    <w:uiPriority w:val="99"/>
    <w:pPr>
      <w:spacing w:after="160" w:line="546" w:lineRule="atLeast"/>
    </w:pPr>
    <w:rPr>
      <w:rFonts w:ascii="仿宋" w:hAnsi="仿宋" w:eastAsia="仿宋" w:cs="Times New Roman"/>
    </w:rPr>
  </w:style>
  <w:style w:type="paragraph" w:customStyle="1" w:styleId="697">
    <w:name w:val="空半行"/>
    <w:basedOn w:val="1"/>
    <w:qFormat/>
    <w:uiPriority w:val="0"/>
    <w:pPr>
      <w:widowControl/>
      <w:adjustRightInd w:val="0"/>
      <w:spacing w:after="160" w:line="120" w:lineRule="exact"/>
    </w:pPr>
    <w:rPr>
      <w:rFonts w:ascii="Calibri" w:hAnsi="Calibri" w:eastAsia="仿宋_GB2312" w:cs="Arial"/>
      <w:color w:val="FFFFFF"/>
      <w:kern w:val="0"/>
      <w:sz w:val="30"/>
    </w:rPr>
  </w:style>
  <w:style w:type="paragraph" w:customStyle="1" w:styleId="698">
    <w:name w:val="3"/>
    <w:basedOn w:val="1"/>
    <w:next w:val="22"/>
    <w:qFormat/>
    <w:uiPriority w:val="0"/>
    <w:pPr>
      <w:widowControl/>
      <w:spacing w:after="160" w:line="278" w:lineRule="auto"/>
    </w:pPr>
    <w:rPr>
      <w:rFonts w:ascii="宋体" w:hAnsi="Calibri" w:cs="Arial"/>
      <w:kern w:val="0"/>
      <w:sz w:val="24"/>
    </w:rPr>
  </w:style>
  <w:style w:type="paragraph" w:customStyle="1" w:styleId="699">
    <w:name w:val="Char Char Char Char Char Char1 Char Char Char"/>
    <w:basedOn w:val="1"/>
    <w:qFormat/>
    <w:uiPriority w:val="0"/>
    <w:pPr>
      <w:widowControl/>
      <w:spacing w:after="160" w:line="278" w:lineRule="auto"/>
    </w:pPr>
    <w:rPr>
      <w:rFonts w:ascii="Tahoma" w:hAnsi="Tahoma" w:cs="Arial"/>
      <w:kern w:val="0"/>
      <w:sz w:val="24"/>
    </w:rPr>
  </w:style>
  <w:style w:type="paragraph" w:customStyle="1" w:styleId="700">
    <w:name w:val="Char Char Char Char1"/>
    <w:basedOn w:val="1"/>
    <w:qFormat/>
    <w:uiPriority w:val="0"/>
    <w:pPr>
      <w:widowControl/>
      <w:spacing w:after="160" w:line="240" w:lineRule="exact"/>
      <w:jc w:val="left"/>
    </w:pPr>
    <w:rPr>
      <w:rFonts w:ascii="Calibri" w:hAnsi="Calibri" w:cs="Arial"/>
      <w:kern w:val="0"/>
      <w:sz w:val="24"/>
    </w:rPr>
  </w:style>
  <w:style w:type="paragraph" w:customStyle="1" w:styleId="701">
    <w:name w:val="菲页(卷)"/>
    <w:basedOn w:val="4"/>
    <w:next w:val="382"/>
    <w:qFormat/>
    <w:uiPriority w:val="0"/>
    <w:pPr>
      <w:keepLines w:val="0"/>
      <w:widowControl/>
      <w:autoSpaceDE/>
      <w:autoSpaceDN/>
      <w:adjustRightInd/>
      <w:spacing w:before="0" w:after="0" w:line="440" w:lineRule="atLeast"/>
      <w:outlineLvl w:val="1"/>
    </w:pPr>
    <w:rPr>
      <w:rFonts w:ascii="Arial" w:hAnsi="Arial" w:eastAsia="黑体" w:cs="Arial"/>
      <w:b w:val="0"/>
      <w:kern w:val="0"/>
      <w:sz w:val="44"/>
      <w:szCs w:val="24"/>
    </w:rPr>
  </w:style>
  <w:style w:type="paragraph" w:customStyle="1" w:styleId="702">
    <w:name w:val="Char11"/>
    <w:basedOn w:val="1"/>
    <w:qFormat/>
    <w:uiPriority w:val="0"/>
    <w:pPr>
      <w:widowControl/>
      <w:spacing w:after="160" w:line="278" w:lineRule="auto"/>
    </w:pPr>
    <w:rPr>
      <w:rFonts w:ascii="Tahoma" w:hAnsi="Tahoma" w:cs="Arial"/>
      <w:kern w:val="0"/>
      <w:sz w:val="24"/>
    </w:rPr>
  </w:style>
  <w:style w:type="paragraph" w:customStyle="1" w:styleId="703">
    <w:name w:val="XW正文"/>
    <w:basedOn w:val="3"/>
    <w:qFormat/>
    <w:uiPriority w:val="0"/>
    <w:pPr>
      <w:widowControl/>
      <w:adjustRightInd w:val="0"/>
      <w:snapToGrid w:val="0"/>
      <w:spacing w:after="160" w:line="300" w:lineRule="auto"/>
      <w:ind w:firstLine="520" w:firstLineChars="200"/>
      <w:jc w:val="left"/>
    </w:pPr>
    <w:rPr>
      <w:rFonts w:ascii="Calibri" w:hAnsi="Calibri"/>
      <w:sz w:val="21"/>
      <w:szCs w:val="20"/>
    </w:rPr>
  </w:style>
  <w:style w:type="character" w:customStyle="1" w:styleId="704">
    <w:name w:val="明显引用 字符3"/>
    <w:qFormat/>
    <w:uiPriority w:val="30"/>
    <w:rPr>
      <w:i/>
      <w:iCs/>
      <w:color w:val="4F81BD"/>
      <w:kern w:val="2"/>
      <w:sz w:val="21"/>
      <w:szCs w:val="24"/>
    </w:rPr>
  </w:style>
  <w:style w:type="paragraph" w:customStyle="1" w:styleId="705">
    <w:name w:val="表格"/>
    <w:basedOn w:val="1"/>
    <w:qFormat/>
    <w:uiPriority w:val="0"/>
    <w:pPr>
      <w:widowControl/>
      <w:spacing w:after="160" w:line="278" w:lineRule="auto"/>
      <w:jc w:val="center"/>
    </w:pPr>
    <w:rPr>
      <w:rFonts w:ascii="华文细黑" w:hAnsi="华文细黑" w:cs="Arial"/>
      <w:kern w:val="0"/>
      <w:sz w:val="24"/>
    </w:rPr>
  </w:style>
  <w:style w:type="paragraph" w:customStyle="1" w:styleId="706">
    <w:name w:val="xl8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07">
    <w:name w:val="xl78"/>
    <w:basedOn w:val="1"/>
    <w:qFormat/>
    <w:uiPriority w:val="0"/>
    <w:pPr>
      <w:widowControl/>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708">
    <w:name w:val="Normal_0"/>
    <w:qFormat/>
    <w:uiPriority w:val="0"/>
    <w:pPr>
      <w:spacing w:before="120" w:after="240" w:line="278" w:lineRule="auto"/>
      <w:jc w:val="both"/>
    </w:pPr>
    <w:rPr>
      <w:rFonts w:ascii="Calibri" w:hAnsi="Calibri" w:eastAsia="Calibri"/>
      <w:sz w:val="22"/>
      <w:szCs w:val="22"/>
      <w:lang w:val="ru-RU" w:eastAsia="en-US" w:bidi="ar-SA"/>
    </w:rPr>
  </w:style>
  <w:style w:type="paragraph" w:customStyle="1" w:styleId="709">
    <w:name w:val="xl79"/>
    <w:basedOn w:val="1"/>
    <w:qFormat/>
    <w:uiPriority w:val="0"/>
    <w:pPr>
      <w:widowControl/>
      <w:shd w:val="clear" w:color="FFFFFF" w:fill="FFFFFF"/>
      <w:spacing w:before="100" w:beforeAutospacing="1" w:after="100" w:afterAutospacing="1" w:line="278" w:lineRule="auto"/>
      <w:jc w:val="center"/>
      <w:textAlignment w:val="center"/>
    </w:pPr>
    <w:rPr>
      <w:rFonts w:ascii="宋体" w:hAnsi="宋体" w:cs="宋体"/>
      <w:b/>
      <w:bCs/>
      <w:kern w:val="0"/>
      <w:sz w:val="40"/>
      <w:szCs w:val="40"/>
    </w:rPr>
  </w:style>
  <w:style w:type="paragraph" w:customStyle="1" w:styleId="71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711">
    <w:name w:val="flNote"/>
    <w:basedOn w:val="1"/>
    <w:qFormat/>
    <w:uiPriority w:val="0"/>
    <w:pPr>
      <w:widowControl/>
      <w:adjustRightInd w:val="0"/>
      <w:spacing w:before="320" w:after="160" w:line="360" w:lineRule="atLeast"/>
      <w:jc w:val="center"/>
    </w:pPr>
    <w:rPr>
      <w:rFonts w:ascii="Arial" w:hAnsi="Calibri" w:eastAsia="黑体" w:cs="Arial"/>
      <w:kern w:val="0"/>
      <w:sz w:val="30"/>
    </w:rPr>
  </w:style>
  <w:style w:type="paragraph" w:customStyle="1" w:styleId="712">
    <w:name w:val="Char1 Char Char Char"/>
    <w:basedOn w:val="1"/>
    <w:qFormat/>
    <w:uiPriority w:val="0"/>
    <w:pPr>
      <w:widowControl/>
      <w:spacing w:after="160" w:line="278" w:lineRule="auto"/>
    </w:pPr>
    <w:rPr>
      <w:rFonts w:ascii="仿宋_GB2312" w:hAnsi="Calibri" w:eastAsia="仿宋_GB2312" w:cs="Arial"/>
      <w:b/>
      <w:kern w:val="0"/>
      <w:sz w:val="32"/>
      <w:szCs w:val="32"/>
    </w:rPr>
  </w:style>
  <w:style w:type="paragraph" w:customStyle="1" w:styleId="713">
    <w:name w:val="_Style 185"/>
    <w:basedOn w:val="1"/>
    <w:next w:val="119"/>
    <w:qFormat/>
    <w:uiPriority w:val="0"/>
    <w:pPr>
      <w:widowControl/>
      <w:spacing w:after="160" w:line="278" w:lineRule="auto"/>
      <w:ind w:firstLine="420" w:firstLineChars="200"/>
    </w:pPr>
    <w:rPr>
      <w:rFonts w:ascii="ˎ̥" w:hAnsi="ˎ̥" w:cs="Arial"/>
      <w:kern w:val="0"/>
      <w:sz w:val="24"/>
    </w:rPr>
  </w:style>
  <w:style w:type="paragraph" w:customStyle="1" w:styleId="714">
    <w:name w:val="xl8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5">
    <w:name w:val="xl80"/>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6">
    <w:name w:val="xl76"/>
    <w:basedOn w:val="1"/>
    <w:qFormat/>
    <w:uiPriority w:val="0"/>
    <w:pPr>
      <w:widowControl/>
      <w:shd w:val="clear" w:color="FFFFFF" w:fill="FFFFFF"/>
      <w:spacing w:before="100" w:beforeAutospacing="1" w:after="100" w:afterAutospacing="1" w:line="278" w:lineRule="auto"/>
      <w:jc w:val="left"/>
    </w:pPr>
    <w:rPr>
      <w:rFonts w:ascii="宋体" w:hAnsi="宋体" w:cs="宋体"/>
      <w:kern w:val="0"/>
      <w:sz w:val="24"/>
    </w:rPr>
  </w:style>
  <w:style w:type="paragraph" w:customStyle="1" w:styleId="717">
    <w:name w:val="Char Char Char Char Char Char Char Char"/>
    <w:basedOn w:val="19"/>
    <w:qFormat/>
    <w:uiPriority w:val="0"/>
    <w:pPr>
      <w:widowControl/>
      <w:spacing w:after="160" w:line="278" w:lineRule="auto"/>
    </w:pPr>
    <w:rPr>
      <w:rFonts w:ascii="Tahoma" w:hAnsi="Tahoma"/>
      <w:sz w:val="24"/>
    </w:rPr>
  </w:style>
  <w:style w:type="paragraph" w:customStyle="1" w:styleId="718">
    <w:name w:val="xl82"/>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9">
    <w:name w:val="样式 标题 3 + (中文) 黑体 小四 非加粗 段前: 7.8 磅 段后: 0 磅 行距: 固定值 20 磅"/>
    <w:basedOn w:val="7"/>
    <w:qFormat/>
    <w:uiPriority w:val="0"/>
    <w:pPr>
      <w:widowControl/>
      <w:tabs>
        <w:tab w:val="left" w:pos="720"/>
      </w:tabs>
      <w:autoSpaceDE/>
      <w:autoSpaceDN/>
      <w:adjustRightInd/>
      <w:spacing w:before="0" w:after="0" w:line="400" w:lineRule="exact"/>
      <w:jc w:val="both"/>
    </w:pPr>
    <w:rPr>
      <w:rFonts w:ascii="Calibri" w:hAnsi="Calibri" w:eastAsia="黑体" w:cs="Arial"/>
      <w:b w:val="0"/>
      <w:szCs w:val="24"/>
      <w:u w:val="none"/>
    </w:rPr>
  </w:style>
  <w:style w:type="paragraph" w:customStyle="1" w:styleId="720">
    <w:name w:val="Char Char Char Char Char Char1 Char Char Char1 Char Char Char Char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721">
    <w:name w:val="xl66"/>
    <w:basedOn w:val="1"/>
    <w:qFormat/>
    <w:uiPriority w:val="0"/>
    <w:pPr>
      <w:widowControl/>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722">
    <w:name w:val="g2"/>
    <w:basedOn w:val="1"/>
    <w:qFormat/>
    <w:uiPriority w:val="0"/>
    <w:pPr>
      <w:widowControl/>
      <w:spacing w:before="100" w:beforeAutospacing="1" w:after="100" w:afterAutospacing="1" w:line="278" w:lineRule="auto"/>
      <w:jc w:val="left"/>
    </w:pPr>
    <w:rPr>
      <w:rFonts w:ascii="仿宋_GB2312" w:hAnsi="宋体" w:eastAsia="仿宋_GB2312" w:cs="宋体"/>
      <w:kern w:val="0"/>
      <w:sz w:val="33"/>
      <w:szCs w:val="33"/>
    </w:rPr>
  </w:style>
  <w:style w:type="paragraph" w:customStyle="1" w:styleId="723">
    <w:name w:val="6'"/>
    <w:basedOn w:val="1"/>
    <w:qFormat/>
    <w:uiPriority w:val="0"/>
    <w:pPr>
      <w:widowControl/>
      <w:autoSpaceDE w:val="0"/>
      <w:autoSpaceDN w:val="0"/>
      <w:adjustRightInd w:val="0"/>
      <w:snapToGrid w:val="0"/>
      <w:spacing w:after="160" w:line="320" w:lineRule="exact"/>
      <w:jc w:val="center"/>
    </w:pPr>
    <w:rPr>
      <w:rFonts w:ascii="Calibri" w:hAnsi="Calibri" w:cs="Arial"/>
      <w:spacing w:val="20"/>
      <w:kern w:val="28"/>
      <w:sz w:val="24"/>
    </w:rPr>
  </w:style>
  <w:style w:type="paragraph" w:customStyle="1" w:styleId="724">
    <w:name w:val="样式 标题 2 + Times New Roman 四号 非加粗 段前: 5 磅 段后: 0 磅 行距: 固定值 20..."/>
    <w:basedOn w:val="5"/>
    <w:link w:val="725"/>
    <w:qFormat/>
    <w:uiPriority w:val="0"/>
    <w:pPr>
      <w:autoSpaceDE/>
      <w:autoSpaceDN/>
      <w:adjustRightInd/>
      <w:spacing w:before="100" w:after="160" w:line="400" w:lineRule="exact"/>
      <w:jc w:val="both"/>
    </w:pPr>
    <w:rPr>
      <w:rFonts w:ascii="Times New Roman" w:hAnsi="Calibri" w:cs="宋体"/>
      <w:b w:val="0"/>
      <w:kern w:val="2"/>
      <w:sz w:val="28"/>
      <w:szCs w:val="24"/>
    </w:rPr>
  </w:style>
  <w:style w:type="character" w:customStyle="1" w:styleId="725">
    <w:name w:val="样式 标题 2 + Times New Roman 四号 非加粗 段前: 5 磅 段后: 0 磅 行距: 固定值 20... Char"/>
    <w:link w:val="724"/>
    <w:qFormat/>
    <w:uiPriority w:val="0"/>
    <w:rPr>
      <w:rFonts w:hAnsi="Calibri" w:eastAsia="黑体" w:cs="宋体"/>
      <w:kern w:val="2"/>
      <w:sz w:val="28"/>
      <w:szCs w:val="24"/>
    </w:rPr>
  </w:style>
  <w:style w:type="paragraph" w:customStyle="1" w:styleId="726">
    <w:name w:val="Char1 Char Char Char2"/>
    <w:basedOn w:val="1"/>
    <w:qFormat/>
    <w:uiPriority w:val="0"/>
    <w:pPr>
      <w:widowControl/>
      <w:spacing w:after="160" w:line="278" w:lineRule="auto"/>
    </w:pPr>
    <w:rPr>
      <w:rFonts w:ascii="ˎ̥" w:hAnsi="ˎ̥" w:cs="Arial"/>
      <w:color w:val="000000"/>
      <w:kern w:val="0"/>
      <w:sz w:val="24"/>
    </w:rPr>
  </w:style>
  <w:style w:type="paragraph" w:customStyle="1" w:styleId="727">
    <w:name w:val="金安桥正文"/>
    <w:basedOn w:val="3"/>
    <w:qFormat/>
    <w:uiPriority w:val="0"/>
    <w:pPr>
      <w:widowControl/>
      <w:adjustRightInd w:val="0"/>
      <w:spacing w:after="160" w:line="300" w:lineRule="auto"/>
      <w:ind w:firstLine="200" w:firstLineChars="200"/>
      <w:jc w:val="left"/>
    </w:pPr>
    <w:rPr>
      <w:rFonts w:ascii="Calibri" w:hAnsi="Calibri"/>
      <w:sz w:val="21"/>
      <w:szCs w:val="20"/>
    </w:rPr>
  </w:style>
  <w:style w:type="paragraph" w:customStyle="1" w:styleId="728">
    <w:name w:val="Char23"/>
    <w:basedOn w:val="1"/>
    <w:qFormat/>
    <w:uiPriority w:val="0"/>
    <w:pPr>
      <w:widowControl/>
      <w:tabs>
        <w:tab w:val="left" w:pos="360"/>
      </w:tabs>
      <w:spacing w:after="160" w:line="278" w:lineRule="auto"/>
      <w:ind w:left="480" w:hanging="480" w:hangingChars="200"/>
      <w:jc w:val="center"/>
    </w:pPr>
    <w:rPr>
      <w:rFonts w:ascii="仿宋_GB2312" w:hAnsi="ˎ̥" w:eastAsia="仿宋_GB2312" w:cs="Arial"/>
      <w:b/>
      <w:kern w:val="0"/>
      <w:sz w:val="24"/>
    </w:rPr>
  </w:style>
  <w:style w:type="paragraph" w:customStyle="1" w:styleId="729">
    <w:name w:val="Char Char Char Char Char Char1 Char Char Char1 Char Char Char"/>
    <w:basedOn w:val="1"/>
    <w:qFormat/>
    <w:uiPriority w:val="0"/>
    <w:pPr>
      <w:widowControl/>
      <w:spacing w:after="160" w:line="278" w:lineRule="auto"/>
    </w:pPr>
    <w:rPr>
      <w:rFonts w:ascii="Tahoma" w:hAnsi="Tahoma" w:cs="Arial"/>
      <w:kern w:val="0"/>
      <w:sz w:val="24"/>
    </w:rPr>
  </w:style>
  <w:style w:type="paragraph" w:customStyle="1" w:styleId="730">
    <w:name w:val="目录文字"/>
    <w:basedOn w:val="1"/>
    <w:qFormat/>
    <w:uiPriority w:val="0"/>
    <w:pPr>
      <w:widowControl/>
      <w:spacing w:after="160" w:line="480" w:lineRule="auto"/>
      <w:jc w:val="left"/>
    </w:pPr>
    <w:rPr>
      <w:rFonts w:ascii="宋体" w:hAnsi="宋体" w:cs="Arial"/>
      <w:kern w:val="0"/>
      <w:sz w:val="24"/>
    </w:rPr>
  </w:style>
  <w:style w:type="paragraph" w:customStyle="1" w:styleId="731">
    <w:name w:val="Char4"/>
    <w:basedOn w:val="1"/>
    <w:qFormat/>
    <w:uiPriority w:val="0"/>
    <w:pPr>
      <w:widowControl/>
      <w:spacing w:after="160" w:line="278" w:lineRule="auto"/>
    </w:pPr>
    <w:rPr>
      <w:rFonts w:ascii="ˎ̥" w:hAnsi="ˎ̥" w:cs="Arial"/>
      <w:kern w:val="0"/>
      <w:sz w:val="24"/>
    </w:rPr>
  </w:style>
  <w:style w:type="paragraph" w:customStyle="1" w:styleId="732">
    <w:name w:val="Bullet"/>
    <w:basedOn w:val="647"/>
    <w:qFormat/>
    <w:uiPriority w:val="0"/>
    <w:pPr>
      <w:numPr>
        <w:ilvl w:val="0"/>
        <w:numId w:val="17"/>
      </w:numPr>
      <w:tabs>
        <w:tab w:val="left" w:pos="360"/>
        <w:tab w:val="left" w:pos="425"/>
        <w:tab w:val="left" w:pos="1418"/>
      </w:tabs>
      <w:ind w:left="567"/>
    </w:pPr>
  </w:style>
  <w:style w:type="paragraph" w:customStyle="1" w:styleId="733">
    <w:name w:val="msonormal"/>
    <w:basedOn w:val="1"/>
    <w:qFormat/>
    <w:uiPriority w:val="0"/>
    <w:pPr>
      <w:widowControl/>
      <w:spacing w:before="100" w:beforeAutospacing="1" w:after="100" w:afterAutospacing="1" w:line="278" w:lineRule="auto"/>
      <w:jc w:val="left"/>
    </w:pPr>
    <w:rPr>
      <w:rFonts w:ascii="宋体" w:hAnsi="宋体" w:cs="宋体"/>
      <w:kern w:val="0"/>
      <w:sz w:val="24"/>
    </w:rPr>
  </w:style>
  <w:style w:type="paragraph" w:customStyle="1" w:styleId="734">
    <w:name w:val="Char Char Char Char Char Char1 Char Char Char1 Char Char Char Char"/>
    <w:basedOn w:val="1"/>
    <w:qFormat/>
    <w:uiPriority w:val="0"/>
    <w:pPr>
      <w:widowControl/>
      <w:spacing w:after="160" w:line="278" w:lineRule="auto"/>
    </w:pPr>
    <w:rPr>
      <w:rFonts w:ascii="Tahoma" w:hAnsi="Tahoma" w:cs="Arial"/>
      <w:kern w:val="0"/>
      <w:sz w:val="24"/>
    </w:rPr>
  </w:style>
  <w:style w:type="paragraph" w:customStyle="1" w:styleId="73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736">
    <w:name w:val="CM11"/>
    <w:basedOn w:val="205"/>
    <w:next w:val="205"/>
    <w:unhideWhenUsed/>
    <w:qFormat/>
    <w:uiPriority w:val="99"/>
    <w:pPr>
      <w:spacing w:after="160" w:line="520" w:lineRule="atLeast"/>
    </w:pPr>
    <w:rPr>
      <w:rFonts w:ascii="仿宋" w:hAnsi="仿宋" w:eastAsia="仿宋" w:cs="Times New Roman"/>
    </w:rPr>
  </w:style>
  <w:style w:type="paragraph" w:customStyle="1" w:styleId="737">
    <w:name w:val="378020"/>
    <w:basedOn w:val="1"/>
    <w:qFormat/>
    <w:uiPriority w:val="0"/>
    <w:pPr>
      <w:keepNext/>
      <w:widowControl/>
      <w:spacing w:after="160" w:line="400" w:lineRule="atLeast"/>
    </w:pPr>
    <w:rPr>
      <w:rFonts w:ascii="ˎ̥" w:hAnsi="ˎ̥" w:cs="Arial"/>
      <w:kern w:val="0"/>
      <w:sz w:val="24"/>
    </w:rPr>
  </w:style>
  <w:style w:type="paragraph" w:customStyle="1" w:styleId="738">
    <w:name w:val="Char Char Char Char Char Char11"/>
    <w:basedOn w:val="1"/>
    <w:qFormat/>
    <w:uiPriority w:val="0"/>
    <w:pPr>
      <w:widowControl/>
      <w:spacing w:after="160" w:line="278" w:lineRule="auto"/>
    </w:pPr>
    <w:rPr>
      <w:rFonts w:ascii="Tahoma" w:hAnsi="Tahoma" w:cs="Arial"/>
      <w:kern w:val="0"/>
      <w:sz w:val="24"/>
    </w:rPr>
  </w:style>
  <w:style w:type="table" w:customStyle="1" w:styleId="739">
    <w:name w:val="浅色底纹1"/>
    <w:basedOn w:val="61"/>
    <w:qFormat/>
    <w:uiPriority w:val="60"/>
    <w:rPr>
      <w:rFonts w:ascii="Calibri" w:hAnsi="Calibri"/>
      <w:color w:val="000000"/>
    </w:rPr>
    <w:tblPr>
      <w:tblStyle w:val="61"/>
      <w:tblBorders>
        <w:top w:val="single" w:color="000000" w:sz="8" w:space="0"/>
        <w:bottom w:val="single" w:color="000000" w:sz="8" w:space="0"/>
      </w:tblBorders>
    </w:tblPr>
    <w:tblStylePr w:type="firstRow">
      <w:pPr>
        <w:spacing w:before="0" w:after="0" w:line="240" w:lineRule="auto"/>
      </w:pPr>
      <w:rPr>
        <w:b/>
        <w:bCs/>
      </w:rPr>
      <w:tblPr>
        <w:tblStyle w:val="61"/>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blStyle w:val="61"/>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1"/>
      </w:tblPr>
      <w:tcPr>
        <w:tcBorders>
          <w:top w:val="nil"/>
          <w:left w:val="nil"/>
          <w:bottom w:val="nil"/>
          <w:right w:val="nil"/>
          <w:insideH w:val="nil"/>
          <w:insideV w:val="nil"/>
          <w:tl2br w:val="nil"/>
          <w:tr2bl w:val="nil"/>
        </w:tcBorders>
        <w:shd w:val="clear" w:color="auto" w:fill="C0C0C0"/>
      </w:tcPr>
    </w:tblStylePr>
    <w:tblStylePr w:type="band1Horz">
      <w:tblPr>
        <w:tblStyle w:val="61"/>
      </w:tblPr>
      <w:tcPr>
        <w:tcBorders>
          <w:top w:val="nil"/>
          <w:left w:val="nil"/>
          <w:bottom w:val="nil"/>
          <w:right w:val="nil"/>
          <w:insideH w:val="nil"/>
          <w:insideV w:val="nil"/>
          <w:tl2br w:val="nil"/>
          <w:tr2bl w:val="nil"/>
        </w:tcBorders>
        <w:shd w:val="clear" w:color="auto" w:fill="C0C0C0"/>
      </w:tcPr>
    </w:tblStylePr>
  </w:style>
  <w:style w:type="character" w:customStyle="1" w:styleId="740">
    <w:name w:val="正文文本首行缩进 字符1"/>
    <w:qFormat/>
    <w:uiPriority w:val="99"/>
    <w:rPr>
      <w:rFonts w:ascii="宋体" w:hAnsi="宋体"/>
      <w:kern w:val="2"/>
      <w:sz w:val="21"/>
      <w:szCs w:val="24"/>
    </w:rPr>
  </w:style>
  <w:style w:type="character" w:customStyle="1" w:styleId="741">
    <w:name w:val="纯文本 Char5"/>
    <w:qFormat/>
    <w:uiPriority w:val="0"/>
    <w:rPr>
      <w:rFonts w:ascii="宋体" w:hAnsi="宋体"/>
      <w:kern w:val="3"/>
      <w:sz w:val="21"/>
    </w:rPr>
  </w:style>
  <w:style w:type="paragraph" w:customStyle="1" w:styleId="742">
    <w:name w:val="正文 + 首行缩进:  2 字符 Char"/>
    <w:basedOn w:val="1"/>
    <w:qFormat/>
    <w:uiPriority w:val="0"/>
    <w:pPr>
      <w:spacing w:after="160" w:line="360" w:lineRule="auto"/>
      <w:ind w:firstLine="480" w:firstLineChars="200"/>
    </w:pPr>
    <w:rPr>
      <w:rFonts w:cs="宋体"/>
      <w:sz w:val="24"/>
      <w:szCs w:val="20"/>
    </w:rPr>
  </w:style>
  <w:style w:type="paragraph" w:customStyle="1" w:styleId="743">
    <w:name w:val="修订11"/>
    <w:semiHidden/>
    <w:qFormat/>
    <w:uiPriority w:val="99"/>
    <w:pPr>
      <w:spacing w:after="160" w:line="278" w:lineRule="auto"/>
    </w:pPr>
    <w:rPr>
      <w:kern w:val="2"/>
      <w:sz w:val="21"/>
      <w:szCs w:val="24"/>
      <w:lang w:val="en-US" w:eastAsia="zh-CN" w:bidi="ar-SA"/>
    </w:rPr>
  </w:style>
  <w:style w:type="paragraph" w:customStyle="1" w:styleId="744">
    <w:name w:val="b63ee27f-4cf3-414c-9275-d88e3f90795e"/>
    <w:basedOn w:val="7"/>
    <w:next w:val="745"/>
    <w:link w:val="746"/>
    <w:qFormat/>
    <w:uiPriority w:val="0"/>
    <w:pPr>
      <w:spacing w:before="0" w:after="0" w:line="288" w:lineRule="auto"/>
    </w:pPr>
    <w:rPr>
      <w:rFonts w:ascii="微软雅黑" w:hAnsi="微软雅黑" w:eastAsia="微软雅黑"/>
      <w:color w:val="000000"/>
      <w:sz w:val="26"/>
      <w:szCs w:val="32"/>
    </w:rPr>
  </w:style>
  <w:style w:type="paragraph" w:customStyle="1" w:styleId="745">
    <w:name w:val="acbfdd8b-e11b-4d36-88ff-6049b138f862"/>
    <w:basedOn w:val="23"/>
    <w:link w:val="747"/>
    <w:qFormat/>
    <w:uiPriority w:val="0"/>
    <w:pPr>
      <w:adjustRightInd w:val="0"/>
      <w:spacing w:before="0" w:after="160" w:line="288" w:lineRule="auto"/>
      <w:jc w:val="left"/>
    </w:pPr>
    <w:rPr>
      <w:rFonts w:ascii="微软雅黑" w:hAnsi="微软雅黑" w:eastAsia="微软雅黑"/>
      <w:color w:val="000000"/>
      <w:sz w:val="22"/>
      <w:szCs w:val="32"/>
    </w:rPr>
  </w:style>
  <w:style w:type="character" w:customStyle="1" w:styleId="746">
    <w:name w:val="b63ee27f-4cf3-414c-9275-d88e3f90795e 字符"/>
    <w:link w:val="744"/>
    <w:qFormat/>
    <w:uiPriority w:val="0"/>
    <w:rPr>
      <w:rFonts w:ascii="微软雅黑" w:hAnsi="微软雅黑" w:eastAsia="微软雅黑"/>
      <w:b/>
      <w:color w:val="000000"/>
      <w:sz w:val="26"/>
      <w:szCs w:val="32"/>
      <w:u w:val="single"/>
    </w:rPr>
  </w:style>
  <w:style w:type="character" w:customStyle="1" w:styleId="747">
    <w:name w:val="acbfdd8b-e11b-4d36-88ff-6049b138f862 字符"/>
    <w:link w:val="745"/>
    <w:qFormat/>
    <w:uiPriority w:val="0"/>
    <w:rPr>
      <w:rFonts w:ascii="微软雅黑" w:hAnsi="微软雅黑" w:eastAsia="微软雅黑"/>
      <w:color w:val="000000"/>
      <w:kern w:val="2"/>
      <w:sz w:val="22"/>
      <w:szCs w:val="32"/>
    </w:rPr>
  </w:style>
  <w:style w:type="paragraph" w:customStyle="1" w:styleId="748">
    <w:name w:val="修订12"/>
    <w:unhideWhenUsed/>
    <w:qFormat/>
    <w:uiPriority w:val="99"/>
    <w:pPr>
      <w:spacing w:after="160" w:line="278" w:lineRule="auto"/>
    </w:pPr>
    <w:rPr>
      <w:kern w:val="2"/>
      <w:sz w:val="21"/>
      <w:szCs w:val="24"/>
      <w:lang w:val="en-US" w:eastAsia="zh-CN" w:bidi="ar-SA"/>
    </w:rPr>
  </w:style>
  <w:style w:type="paragraph" w:customStyle="1" w:styleId="749">
    <w:name w:val="修订13"/>
    <w:unhideWhenUsed/>
    <w:qFormat/>
    <w:uiPriority w:val="99"/>
    <w:rPr>
      <w:kern w:val="2"/>
      <w:sz w:val="21"/>
      <w:szCs w:val="24"/>
      <w:lang w:val="en-US" w:eastAsia="zh-CN" w:bidi="ar-SA"/>
    </w:rPr>
  </w:style>
  <w:style w:type="character" w:customStyle="1" w:styleId="750">
    <w:name w:val="正文缩进 Char2"/>
    <w:qFormat/>
    <w:uiPriority w:val="0"/>
    <w:rPr>
      <w:rFonts w:ascii="宋体"/>
      <w:sz w:val="24"/>
    </w:rPr>
  </w:style>
  <w:style w:type="character" w:customStyle="1" w:styleId="751">
    <w:name w:val="报告-正文段落 Char"/>
    <w:link w:val="752"/>
    <w:qFormat/>
    <w:uiPriority w:val="0"/>
    <w:rPr>
      <w:rFonts w:eastAsia="仿宋_GB2312"/>
      <w:kern w:val="24"/>
      <w:sz w:val="24"/>
      <w:szCs w:val="24"/>
    </w:rPr>
  </w:style>
  <w:style w:type="paragraph" w:customStyle="1" w:styleId="752">
    <w:name w:val="报告-正文段落"/>
    <w:basedOn w:val="1"/>
    <w:link w:val="751"/>
    <w:qFormat/>
    <w:uiPriority w:val="0"/>
    <w:pPr>
      <w:widowControl/>
      <w:spacing w:line="360" w:lineRule="auto"/>
      <w:ind w:firstLine="200" w:firstLineChars="200"/>
      <w:jc w:val="left"/>
    </w:pPr>
    <w:rPr>
      <w:rFonts w:eastAsia="仿宋_GB2312"/>
      <w:kern w:val="24"/>
      <w:sz w:val="24"/>
    </w:rPr>
  </w:style>
  <w:style w:type="paragraph" w:customStyle="1" w:styleId="753">
    <w:name w:val="彩色列表 - 着色 11"/>
    <w:basedOn w:val="1"/>
    <w:qFormat/>
    <w:uiPriority w:val="34"/>
    <w:pPr>
      <w:ind w:firstLine="420" w:firstLineChars="200"/>
    </w:pPr>
    <w:rPr>
      <w:szCs w:val="20"/>
    </w:rPr>
  </w:style>
  <w:style w:type="paragraph" w:customStyle="1" w:styleId="754">
    <w:name w:val="默认 A"/>
    <w:qFormat/>
    <w:uiPriority w:val="0"/>
    <w:rPr>
      <w:rFonts w:hint="eastAsia" w:ascii="Arial Unicode MS" w:hAnsi="Arial Unicode MS" w:eastAsia="Arial Unicode MS" w:cs="Arial Unicode MS"/>
      <w:color w:val="000000"/>
      <w:sz w:val="22"/>
      <w:szCs w:val="22"/>
      <w:u w:val="none" w:color="000000"/>
      <w:lang w:val="zh-TW" w:eastAsia="zh-TW" w:bidi="ar-SA"/>
    </w:rPr>
  </w:style>
  <w:style w:type="paragraph" w:customStyle="1" w:styleId="755">
    <w:name w:val="样式-篇"/>
    <w:basedOn w:val="4"/>
    <w:qFormat/>
    <w:uiPriority w:val="0"/>
    <w:pPr>
      <w:numPr>
        <w:ilvl w:val="0"/>
        <w:numId w:val="18"/>
      </w:numPr>
      <w:tabs>
        <w:tab w:val="left" w:pos="360"/>
      </w:tabs>
      <w:autoSpaceDE/>
      <w:autoSpaceDN/>
      <w:adjustRightInd/>
      <w:spacing w:before="0" w:after="0" w:line="240" w:lineRule="auto"/>
      <w:ind w:left="0" w:firstLine="0"/>
      <w:jc w:val="left"/>
    </w:pPr>
    <w:rPr>
      <w:rFonts w:ascii="Times New Roman" w:eastAsia="仿宋_GB2312"/>
      <w:kern w:val="32"/>
      <w:szCs w:val="44"/>
    </w:rPr>
  </w:style>
  <w:style w:type="paragraph" w:customStyle="1" w:styleId="756">
    <w:name w:val="Normal New New New New New"/>
    <w:qFormat/>
    <w:uiPriority w:val="0"/>
    <w:pPr>
      <w:widowControl w:val="0"/>
      <w:jc w:val="both"/>
    </w:pPr>
    <w:rPr>
      <w:rFonts w:hint="eastAsia" w:eastAsia="仿宋_GB2312"/>
      <w:kern w:val="2"/>
      <w:sz w:val="32"/>
      <w:lang w:val="en-US" w:eastAsia="zh-CN" w:bidi="ar-SA"/>
    </w:rPr>
  </w:style>
  <w:style w:type="paragraph" w:customStyle="1" w:styleId="757">
    <w:name w:val="样式-篇-章-节-第四级"/>
    <w:basedOn w:val="8"/>
    <w:qFormat/>
    <w:uiPriority w:val="0"/>
    <w:pPr>
      <w:numPr>
        <w:ilvl w:val="3"/>
        <w:numId w:val="18"/>
      </w:numPr>
      <w:tabs>
        <w:tab w:val="left" w:pos="1995"/>
      </w:tabs>
      <w:adjustRightInd/>
      <w:spacing w:before="0" w:after="0" w:line="240" w:lineRule="auto"/>
      <w:ind w:left="851" w:hanging="851"/>
      <w:jc w:val="left"/>
      <w:textAlignment w:val="auto"/>
    </w:pPr>
    <w:rPr>
      <w:rFonts w:ascii="Times New Roman" w:hAnsi="Times New Roman" w:eastAsia="仿宋_GB2312"/>
      <w:bCs/>
      <w:kern w:val="28"/>
      <w:szCs w:val="28"/>
    </w:rPr>
  </w:style>
  <w:style w:type="paragraph" w:customStyle="1" w:styleId="758">
    <w:name w:val="正文 A"/>
    <w:qFormat/>
    <w:uiPriority w:val="0"/>
    <w:rPr>
      <w:rFonts w:eastAsia="Arial Unicode MS" w:cs="Arial Unicode MS"/>
      <w:color w:val="000000"/>
      <w:sz w:val="24"/>
      <w:szCs w:val="24"/>
      <w:u w:val="none" w:color="000000"/>
      <w:lang w:val="en-US" w:eastAsia="zh-CN" w:bidi="ar-SA"/>
    </w:rPr>
  </w:style>
  <w:style w:type="character" w:customStyle="1" w:styleId="759">
    <w:name w:val="列表段落 字符1"/>
    <w:qFormat/>
    <w:locked/>
    <w:uiPriority w:val="34"/>
    <w:rPr>
      <w:rFonts w:ascii="等线" w:hAnsi="等线" w:eastAsia="等线"/>
      <w:kern w:val="2"/>
      <w:sz w:val="21"/>
      <w:szCs w:val="22"/>
    </w:rPr>
  </w:style>
  <w:style w:type="paragraph" w:customStyle="1" w:styleId="760">
    <w:name w:val="Default Text"/>
    <w:basedOn w:val="1"/>
    <w:qFormat/>
    <w:uiPriority w:val="0"/>
    <w:pPr>
      <w:widowControl/>
      <w:overflowPunct w:val="0"/>
      <w:autoSpaceDE w:val="0"/>
      <w:autoSpaceDN w:val="0"/>
      <w:adjustRightInd w:val="0"/>
      <w:jc w:val="left"/>
    </w:pPr>
    <w:rPr>
      <w:kern w:val="0"/>
      <w:sz w:val="24"/>
      <w:szCs w:val="20"/>
    </w:rPr>
  </w:style>
  <w:style w:type="paragraph" w:customStyle="1" w:styleId="761">
    <w:name w:val="Char Char Char11"/>
    <w:basedOn w:val="1"/>
    <w:qFormat/>
    <w:uiPriority w:val="0"/>
    <w:rPr>
      <w:rFonts w:ascii="宋体" w:hAnsi="宋体" w:cs="Courier New"/>
      <w:sz w:val="32"/>
      <w:szCs w:val="32"/>
    </w:rPr>
  </w:style>
  <w:style w:type="paragraph" w:customStyle="1" w:styleId="762">
    <w:name w:val="Normal New"/>
    <w:qFormat/>
    <w:uiPriority w:val="0"/>
    <w:pPr>
      <w:widowControl w:val="0"/>
      <w:jc w:val="both"/>
    </w:pPr>
    <w:rPr>
      <w:rFonts w:hint="eastAsia" w:ascii="Calibri" w:hAnsi="Calibri"/>
      <w:kern w:val="2"/>
      <w:sz w:val="21"/>
      <w:lang w:val="en-US" w:eastAsia="zh-CN" w:bidi="ar-SA"/>
    </w:rPr>
  </w:style>
  <w:style w:type="paragraph" w:customStyle="1" w:styleId="763">
    <w:name w:val="无缩进"/>
    <w:basedOn w:val="1"/>
    <w:link w:val="764"/>
    <w:qFormat/>
    <w:uiPriority w:val="0"/>
    <w:pPr>
      <w:spacing w:line="620" w:lineRule="exact"/>
    </w:pPr>
    <w:rPr>
      <w:rFonts w:eastAsia="仿宋"/>
      <w:sz w:val="32"/>
      <w:szCs w:val="20"/>
    </w:rPr>
  </w:style>
  <w:style w:type="character" w:customStyle="1" w:styleId="764">
    <w:name w:val="无缩进 字符"/>
    <w:link w:val="763"/>
    <w:qFormat/>
    <w:uiPriority w:val="0"/>
    <w:rPr>
      <w:rFonts w:eastAsia="仿宋"/>
      <w:kern w:val="2"/>
      <w:sz w:val="32"/>
    </w:rPr>
  </w:style>
  <w:style w:type="paragraph" w:customStyle="1" w:styleId="765">
    <w:name w:val="_Style 173"/>
    <w:unhideWhenUsed/>
    <w:qFormat/>
    <w:uiPriority w:val="99"/>
    <w:rPr>
      <w:kern w:val="2"/>
      <w:sz w:val="21"/>
      <w:lang w:val="en-US" w:eastAsia="zh-CN" w:bidi="ar-SA"/>
    </w:rPr>
  </w:style>
  <w:style w:type="paragraph" w:customStyle="1" w:styleId="76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767">
    <w:name w:val="15"/>
    <w:qFormat/>
    <w:uiPriority w:val="0"/>
    <w:rPr>
      <w:rFonts w:hint="default" w:ascii="Times New Roman" w:hAnsi="Times New Roman" w:cs="Times New Roman"/>
      <w:color w:val="464445"/>
      <w:u w:val="none"/>
    </w:rPr>
  </w:style>
  <w:style w:type="paragraph" w:customStyle="1" w:styleId="768">
    <w:name w:val="表格样式 2"/>
    <w:qFormat/>
    <w:uiPriority w:val="0"/>
    <w:rPr>
      <w:rFonts w:ascii="Helvetica Neue" w:hAnsi="Helvetica Neue" w:eastAsia="Arial Unicode MS" w:cs="Arial Unicode MS"/>
      <w:color w:val="000000"/>
      <w:lang w:val="en-US" w:eastAsia="zh-CN" w:bidi="ar-SA"/>
    </w:rPr>
  </w:style>
  <w:style w:type="paragraph" w:customStyle="1" w:styleId="769">
    <w:name w:val="样式14"/>
    <w:basedOn w:val="119"/>
    <w:qFormat/>
    <w:uiPriority w:val="0"/>
    <w:pPr>
      <w:numPr>
        <w:ilvl w:val="0"/>
        <w:numId w:val="19"/>
      </w:numPr>
      <w:ind w:firstLine="0" w:firstLineChars="0"/>
      <w:jc w:val="center"/>
    </w:pPr>
    <w:rPr>
      <w:rFonts w:ascii="宋体" w:hAnsi="宋体"/>
      <w:b/>
      <w:sz w:val="32"/>
      <w:szCs w:val="24"/>
    </w:rPr>
  </w:style>
  <w:style w:type="paragraph" w:customStyle="1" w:styleId="770">
    <w:name w:val="_Style 19"/>
    <w:basedOn w:val="1"/>
    <w:next w:val="119"/>
    <w:qFormat/>
    <w:uiPriority w:val="34"/>
    <w:pPr>
      <w:ind w:firstLine="420" w:firstLineChars="200"/>
    </w:pPr>
    <w:rPr>
      <w:rFonts w:ascii="Calibri" w:hAnsi="Calibri"/>
      <w:szCs w:val="22"/>
    </w:rPr>
  </w:style>
  <w:style w:type="character" w:customStyle="1" w:styleId="771">
    <w:name w:val="style71"/>
    <w:qFormat/>
    <w:uiPriority w:val="0"/>
    <w:rPr>
      <w:b/>
      <w:color w:val="FF6600"/>
    </w:rPr>
  </w:style>
  <w:style w:type="table" w:customStyle="1" w:styleId="772">
    <w:name w:val="TableGrid"/>
    <w:qFormat/>
    <w:uiPriority w:val="0"/>
    <w:rPr>
      <w:rFonts w:ascii="Calibri" w:hAnsi="Calibri" w:eastAsia="微软雅黑"/>
      <w:lang w:val="en-US" w:eastAsia="zh-CN" w:bidi="ar-SA"/>
    </w:rPr>
    <w:tblPr>
      <w:tblStyle w:val="61"/>
      <w:tblCellMar>
        <w:top w:w="0" w:type="dxa"/>
        <w:left w:w="0" w:type="dxa"/>
        <w:bottom w:w="0" w:type="dxa"/>
        <w:right w:w="0" w:type="dxa"/>
      </w:tblCellMar>
    </w:tblPr>
  </w:style>
  <w:style w:type="table" w:customStyle="1" w:styleId="773">
    <w:name w:val="网格型11"/>
    <w:basedOn w:val="61"/>
    <w:qFormat/>
    <w:uiPriority w:val="39"/>
    <w:pPr>
      <w:widowControl w:val="0"/>
      <w:jc w:val="both"/>
    </w:pPr>
    <w:rPr>
      <w:rFonts w:ascii="等线" w:hAnsi="等线" w:eastAsia="微软雅黑"/>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Grid1"/>
    <w:qFormat/>
    <w:uiPriority w:val="0"/>
    <w:rPr>
      <w:rFonts w:ascii="等线" w:hAnsi="等线" w:eastAsia="微软雅黑"/>
      <w:lang w:val="en-US" w:eastAsia="zh-CN" w:bidi="ar-SA"/>
    </w:rPr>
    <w:tblPr>
      <w:tblStyle w:val="6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png"/><Relationship Id="rId41" Type="http://schemas.openxmlformats.org/officeDocument/2006/relationships/image" Target="media/image2.wmf"/><Relationship Id="rId40" Type="http://schemas.openxmlformats.org/officeDocument/2006/relationships/image" Target="media/image1.jpe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178</Pages>
  <Words>20706</Words>
  <Characters>21648</Characters>
  <Lines>3518</Lines>
  <Paragraphs>3156</Paragraphs>
  <TotalTime>179</TotalTime>
  <ScaleCrop>false</ScaleCrop>
  <LinksUpToDate>false</LinksUpToDate>
  <CharactersWithSpaces>21928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2025-07-31T03:18:00Z</dcterms:created>
  <dc:creator>Yin Hao</dc:creator>
  <cp:lastModifiedBy>zengtian</cp:lastModifiedBy>
  <cp:lastPrinted>2020-04-02T03:13:00Z</cp:lastPrinted>
  <dcterms:modified xsi:type="dcterms:W3CDTF">2025-08-07T08:27:27Z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45CF21F83C7A47A38C8874D05B2A553E_13</vt:lpwstr>
  </property>
  <property fmtid="{D5CDD505-2E9C-101B-9397-08002B2CF9AE}" pid="4" name="KSOTemplateDocerSaveRecord">
    <vt:lpwstr>eyJoZGlkIjoiNThmZmMzYTMxMjQxNzUyMmQ3MzJjYmUxYzUwNTg2MjMiLCJ1c2VySWQiOiIzODA0ODk0MzYifQ==</vt:lpwstr>
  </property>
</Properties>
</file>