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AD2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14" w:name="_GoBack"/>
      <w:bookmarkEnd w:id="14"/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6DC23B37">
      <w:pPr>
        <w:rPr>
          <w:rFonts w:hint="eastAsia" w:ascii="黑体" w:hAnsi="黑体" w:eastAsia="黑体"/>
          <w:sz w:val="28"/>
          <w:szCs w:val="28"/>
        </w:rPr>
      </w:pPr>
    </w:p>
    <w:p w14:paraId="3856410C"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0701-254107040050</w:t>
      </w:r>
      <w:r>
        <w:rPr>
          <w:rFonts w:hint="eastAsia" w:ascii="仿宋" w:hAnsi="仿宋" w:eastAsia="仿宋"/>
          <w:sz w:val="28"/>
          <w:szCs w:val="28"/>
        </w:rPr>
        <w:tab/>
      </w:r>
    </w:p>
    <w:p w14:paraId="600A3616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2025年设备新购-扩班设备</w:t>
      </w:r>
    </w:p>
    <w:p w14:paraId="02C9C3D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三、成交信息：</w:t>
      </w:r>
    </w:p>
    <w:p w14:paraId="4B7FDD26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第1包：</w:t>
      </w:r>
    </w:p>
    <w:p w14:paraId="40BE901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供应商名称：北京东方中科达科技有限公司</w:t>
      </w:r>
    </w:p>
    <w:p w14:paraId="69AB8DC3">
      <w:pPr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供应商地址：北京市大兴区义锦北街3号院5号楼5层501</w:t>
      </w:r>
    </w:p>
    <w:p w14:paraId="1A8B480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1,138,500.00元人民币</w:t>
      </w:r>
    </w:p>
    <w:p w14:paraId="77A397F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第2包：</w:t>
      </w:r>
    </w:p>
    <w:p w14:paraId="135089A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供应商名称：廊坊精兰科技有限公司</w:t>
      </w:r>
    </w:p>
    <w:p w14:paraId="0EAD6B5F">
      <w:pPr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供应商地址：香河县农业开发区夏安路南侧</w:t>
      </w:r>
    </w:p>
    <w:p w14:paraId="2447EFB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36,500</w:t>
      </w:r>
      <w:r>
        <w:rPr>
          <w:rFonts w:hint="eastAsia" w:ascii="仿宋" w:hAnsi="仿宋" w:eastAsia="仿宋"/>
          <w:sz w:val="28"/>
          <w:szCs w:val="28"/>
        </w:rPr>
        <w:t>.00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元人民币</w:t>
      </w:r>
    </w:p>
    <w:p w14:paraId="1C4D3B5D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第3包：</w:t>
      </w:r>
    </w:p>
    <w:p w14:paraId="7E3A061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供应商名称：北京京都宏业厨房设备有限公司</w:t>
      </w:r>
    </w:p>
    <w:p w14:paraId="76637630">
      <w:pPr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供应商地址：北京市门头沟区斋堂大街45号科技楼ZT265室</w:t>
      </w:r>
    </w:p>
    <w:p w14:paraId="3D547BF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44,504.00元人民币</w:t>
      </w:r>
    </w:p>
    <w:p w14:paraId="0C63EBA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9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34FB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 w14:paraId="0B5393A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5A45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 w14:paraId="26AEB06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第1包：</w:t>
            </w:r>
          </w:p>
          <w:p w14:paraId="0EB2E609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称：学生实验桌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等</w:t>
            </w:r>
          </w:p>
          <w:p w14:paraId="46A61B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ZKD 中科达</w:t>
            </w:r>
          </w:p>
          <w:p w14:paraId="29259292"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42                                                                                                                                                                                               </w:t>
            </w:r>
          </w:p>
          <w:p w14:paraId="4C16D3CC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4200元</w:t>
            </w:r>
          </w:p>
          <w:p w14:paraId="03DF4322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第2包：</w:t>
            </w:r>
          </w:p>
          <w:p w14:paraId="001ABEAE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称：餐桌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等 </w:t>
            </w:r>
          </w:p>
          <w:p w14:paraId="6E2FC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规格型号：河北廊坊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精兰</w:t>
            </w:r>
          </w:p>
          <w:p w14:paraId="791EB0D0"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25                                                                                                                                                                                              </w:t>
            </w:r>
          </w:p>
          <w:p w14:paraId="47AE5AE3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620元</w:t>
            </w:r>
          </w:p>
          <w:p w14:paraId="79AC93C0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第3包：</w:t>
            </w:r>
          </w:p>
          <w:p w14:paraId="432CA3B4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称：高速和面机</w:t>
            </w:r>
          </w:p>
          <w:p w14:paraId="79B519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规格型号：天龙</w:t>
            </w:r>
          </w:p>
          <w:p w14:paraId="47E53198"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1                                                                                                                                                                                               </w:t>
            </w:r>
          </w:p>
          <w:p w14:paraId="047CEEA5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5160元</w:t>
            </w:r>
          </w:p>
        </w:tc>
      </w:tr>
    </w:tbl>
    <w:p w14:paraId="3CDAD6CE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评审专家名单：于坤</w:t>
      </w:r>
      <w:r>
        <w:rPr>
          <w:rFonts w:hint="eastAsia" w:ascii="黑体" w:hAnsi="黑体" w:eastAsia="黑体"/>
          <w:sz w:val="28"/>
          <w:szCs w:val="28"/>
          <w:lang w:eastAsia="zh-CN"/>
        </w:rPr>
        <w:t>、海福贵、左蒙、季林、尹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玉</w:t>
      </w:r>
      <w:r>
        <w:rPr>
          <w:rFonts w:hint="eastAsia" w:ascii="黑体" w:hAnsi="黑体" w:eastAsia="黑体"/>
          <w:sz w:val="28"/>
          <w:szCs w:val="28"/>
          <w:lang w:eastAsia="zh-CN"/>
        </w:rPr>
        <w:t>新</w:t>
      </w:r>
    </w:p>
    <w:p w14:paraId="505F7329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采购代理机构按照如下标准计算服务费。</w:t>
      </w:r>
    </w:p>
    <w:p w14:paraId="6AD4CAB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具体收费标准如下：</w:t>
      </w:r>
    </w:p>
    <w:tbl>
      <w:tblPr>
        <w:tblStyle w:val="18"/>
        <w:tblW w:w="6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453"/>
        <w:gridCol w:w="1388"/>
        <w:gridCol w:w="1388"/>
      </w:tblGrid>
      <w:tr w14:paraId="220C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46DEA">
            <w:pPr>
              <w:ind w:firstLine="1275"/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19050</wp:posOffset>
                      </wp:positionV>
                      <wp:extent cx="1106170" cy="1056005"/>
                      <wp:effectExtent l="3175" t="3175" r="825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6170" cy="10560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.65pt;margin-top:1.5pt;height:83.15pt;width:87.1pt;z-index:251660288;mso-width-relative:page;mso-height-relative:page;" filled="f" stroked="t" coordsize="21600,21600" o:gfxdata="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xrVBHXAAAACAEAAA8AAAAAAAAAAQAgAAAAIgAAAGRycy9kb3du&#10;cmV2LnhtbFBLAQIUABQAAAAIAIdO4kCNG8/3AAIAAPIDAAAOAAAAAAAAAAEAIAAAACY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0" t="4445" r="0" b="508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-0.5pt;height:0pt;width:0.05pt;z-index:251659264;mso-width-relative:page;mso-height-relative:page;" filled="f" stroked="t" coordsize="21600,21600" o:gfxdata="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kdN+1QAAAAkBAAAPAAAAAAAAAAEAIAAAACIAAABkcnMvZG93bnJldi54bWxQSwECFAAUAAAACACH&#10;TuJAlg1MfO4BAADkAwAADgAAAAAAAAABACAAAAAk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 xml:space="preserve">   服</w:t>
            </w:r>
          </w:p>
          <w:p w14:paraId="13B54523">
            <w:pPr>
              <w:ind w:firstLine="220" w:firstLineChars="100"/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费　　　　　  务</w:t>
            </w:r>
          </w:p>
          <w:p w14:paraId="3EA0E87A">
            <w:pPr>
              <w:ind w:firstLine="1100" w:firstLineChars="500"/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　　　类</w:t>
            </w:r>
          </w:p>
          <w:p w14:paraId="66722FEE">
            <w:pPr>
              <w:ind w:firstLine="880" w:firstLineChars="400"/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60325</wp:posOffset>
                      </wp:positionV>
                      <wp:extent cx="1477645" cy="455930"/>
                      <wp:effectExtent l="1270" t="4445" r="6985" b="952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7645" cy="4559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7pt;margin-top:4.75pt;height:35.9pt;width:116.35pt;z-index:251661312;mso-width-relative:page;mso-height-relative:page;" filled="f" stroked="t" coordsize="21600,21600" o:gfxdata="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yKyLtUAAAAIAQAADwAAAAAAAAABACAAAAAiAAAAZHJzL2Rv&#10;d25yZXYueG1sUEsBAhQAFAAAAAgAh07iQLIF/9EEAgAAAQQAAA4AAAAAAAAAAQAgAAAAJA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率　　　型</w:t>
            </w:r>
          </w:p>
          <w:p w14:paraId="2ACA9F5D">
            <w:pPr>
              <w:ind w:firstLine="1100" w:firstLineChars="500"/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　　　　</w:t>
            </w:r>
          </w:p>
          <w:p w14:paraId="176D9F70">
            <w:pPr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计费基数（万元）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B998"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货物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FDA1"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服务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8948"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</w:rPr>
              <w:t>工程</w:t>
            </w:r>
          </w:p>
        </w:tc>
      </w:tr>
      <w:tr w14:paraId="6AF0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82BF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100以下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1E86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1.5%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C571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1.5%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A117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1.0%</w:t>
            </w:r>
          </w:p>
        </w:tc>
      </w:tr>
      <w:tr w14:paraId="1BFD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DEDE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100-500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08B2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1.1%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0B67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0.8%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B603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0.7%</w:t>
            </w:r>
          </w:p>
        </w:tc>
      </w:tr>
      <w:tr w14:paraId="5C7A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5AF7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500-1000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BAD1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0.8%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B08B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0.45%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7096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0.55%</w:t>
            </w:r>
          </w:p>
        </w:tc>
      </w:tr>
      <w:tr w14:paraId="65E8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90A8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1000-5000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9D6D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0.5%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BD0A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0.25%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ABA6">
            <w:pPr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0.35%</w:t>
            </w:r>
          </w:p>
        </w:tc>
      </w:tr>
    </w:tbl>
    <w:p w14:paraId="00D1B87D">
      <w:pPr>
        <w:spacing w:line="360" w:lineRule="auto"/>
        <w:ind w:firstLine="48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以每个包的成交金额为计算基数，采用差额定率累进方式计算。    </w:t>
      </w:r>
    </w:p>
    <w:p w14:paraId="339C3938">
      <w:pPr>
        <w:pStyle w:val="17"/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收费金额：</w:t>
      </w:r>
    </w:p>
    <w:p w14:paraId="61DF1824">
      <w:pPr>
        <w:pStyle w:val="17"/>
        <w:ind w:left="0" w:leftChars="0"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第1包：16,523.50元人民币</w:t>
      </w:r>
    </w:p>
    <w:p w14:paraId="47D37964">
      <w:pPr>
        <w:pStyle w:val="17"/>
        <w:ind w:left="0" w:leftChars="0"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第2包：547.50元人民币</w:t>
      </w:r>
    </w:p>
    <w:p w14:paraId="3BA113F5">
      <w:pPr>
        <w:pStyle w:val="17"/>
        <w:ind w:left="0" w:leftChars="0"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第3包：667.60元人民币</w:t>
      </w:r>
    </w:p>
    <w:p w14:paraId="28F7871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F6C9BC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74BE1F2">
      <w:pPr>
        <w:numPr>
          <w:ilvl w:val="0"/>
          <w:numId w:val="2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30A2F3CB">
      <w:pPr>
        <w:pStyle w:val="7"/>
        <w:numPr>
          <w:ilvl w:val="0"/>
          <w:numId w:val="0"/>
        </w:numPr>
        <w:ind w:firstLine="56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综合得分：</w:t>
      </w:r>
    </w:p>
    <w:p w14:paraId="7DF40F3B">
      <w:pPr>
        <w:pStyle w:val="17"/>
        <w:ind w:left="0" w:leftChars="0"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第1包：</w:t>
      </w:r>
      <w:r>
        <w:rPr>
          <w:rFonts w:hint="eastAsia" w:ascii="仿宋" w:hAnsi="仿宋" w:eastAsia="仿宋"/>
          <w:sz w:val="28"/>
          <w:szCs w:val="28"/>
        </w:rPr>
        <w:t>北京东方中科达科技有限公司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89.82分</w:t>
      </w:r>
    </w:p>
    <w:p w14:paraId="54D775F2">
      <w:pPr>
        <w:pStyle w:val="17"/>
        <w:ind w:left="0" w:leftChars="0"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第2包：</w:t>
      </w:r>
      <w:r>
        <w:rPr>
          <w:rFonts w:hint="eastAsia" w:ascii="仿宋" w:hAnsi="仿宋" w:eastAsia="仿宋"/>
          <w:sz w:val="28"/>
          <w:szCs w:val="28"/>
        </w:rPr>
        <w:t>廊坊精兰科技有限公司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95.30分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  </w:t>
      </w:r>
    </w:p>
    <w:p w14:paraId="5B2AE607">
      <w:pPr>
        <w:pStyle w:val="17"/>
        <w:ind w:left="0" w:leftChars="0"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第3包：北京京都宏业厨房设备有限公司 91.40分 </w:t>
      </w:r>
    </w:p>
    <w:p w14:paraId="2E6A075C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6B75E868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561D691">
      <w:pPr>
        <w:pStyle w:val="3"/>
        <w:spacing w:line="360" w:lineRule="auto"/>
        <w:ind w:firstLine="840" w:firstLineChars="300"/>
        <w:rPr>
          <w:rFonts w:ascii="仿宋" w:hAnsi="仿宋" w:eastAsia="仿宋" w:cs="Times New Roman"/>
          <w:b w:val="0"/>
          <w:bCs w:val="0"/>
          <w:sz w:val="28"/>
          <w:szCs w:val="28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single"/>
        </w:rPr>
        <w:t>北京师范大学实验华夏女子中学</w:t>
      </w:r>
    </w:p>
    <w:p w14:paraId="35714B06">
      <w:pPr>
        <w:pStyle w:val="3"/>
        <w:spacing w:line="360" w:lineRule="auto"/>
        <w:ind w:firstLine="840" w:firstLineChars="300"/>
        <w:rPr>
          <w:rFonts w:ascii="仿宋" w:hAnsi="仿宋" w:eastAsia="仿宋" w:cs="Times New Roman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single"/>
        </w:rPr>
        <w:t>北京市西城区广安门外红莲中里12号</w:t>
      </w:r>
    </w:p>
    <w:p w14:paraId="1B214E03">
      <w:pPr>
        <w:pStyle w:val="3"/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single"/>
        </w:rPr>
        <w:t>010-63262419</w:t>
      </w:r>
    </w:p>
    <w:p w14:paraId="06B46D74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 w14:paraId="52D7A3E7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仿宋" w:hAnsi="仿宋" w:eastAsia="仿宋"/>
          <w:sz w:val="28"/>
          <w:szCs w:val="28"/>
        </w:rPr>
        <w:t>名    称：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中技国际招标有限公司 </w:t>
      </w:r>
    </w:p>
    <w:p w14:paraId="35B7A791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北京市丰台区西营街1号院通用时代中心C座</w:t>
      </w:r>
      <w:r>
        <w:rPr>
          <w:rFonts w:hint="eastAsia" w:ascii="仿宋" w:hAnsi="仿宋" w:eastAsia="仿宋"/>
          <w:sz w:val="28"/>
          <w:szCs w:val="28"/>
        </w:rPr>
        <w:t>　　　　　　　　　　</w:t>
      </w:r>
    </w:p>
    <w:p w14:paraId="61A42690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　</w:t>
      </w:r>
      <w:r>
        <w:rPr>
          <w:rFonts w:hint="eastAsia" w:ascii="仿宋" w:hAnsi="仿宋" w:eastAsia="仿宋"/>
          <w:sz w:val="28"/>
          <w:szCs w:val="28"/>
          <w:u w:val="single"/>
        </w:rPr>
        <w:t>　010-81168489　</w:t>
      </w:r>
    </w:p>
    <w:p w14:paraId="716847B0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489321EC">
      <w:pPr>
        <w:pStyle w:val="7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张杰浩</w:t>
      </w:r>
    </w:p>
    <w:p w14:paraId="5C27DC2C">
      <w:pPr>
        <w:spacing w:line="360" w:lineRule="auto"/>
        <w:ind w:firstLine="840" w:firstLineChars="3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010-81168489 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　　　　　　　　　　　</w:t>
      </w:r>
    </w:p>
    <w:p w14:paraId="4601847B">
      <w:pPr>
        <w:rPr>
          <w:rFonts w:hint="eastAsia" w:ascii="黑体" w:hAnsi="黑体" w:eastAsia="黑体" w:cs="宋体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22ED966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8305800"/>
            <wp:effectExtent l="0" t="0" r="1016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513830"/>
            <wp:effectExtent l="0" t="0" r="127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358380"/>
            <wp:effectExtent l="0" t="0" r="127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531100"/>
            <wp:effectExtent l="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223000"/>
            <wp:effectExtent l="0" t="0" r="1143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4545031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93211F1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EE552"/>
    <w:multiLevelType w:val="singleLevel"/>
    <w:tmpl w:val="F3DEE55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F90D4E"/>
    <w:multiLevelType w:val="singleLevel"/>
    <w:tmpl w:val="6DF90D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102D4E36"/>
    <w:rsid w:val="12736442"/>
    <w:rsid w:val="179C66ED"/>
    <w:rsid w:val="1A591F5C"/>
    <w:rsid w:val="217C6D52"/>
    <w:rsid w:val="223C16B4"/>
    <w:rsid w:val="505E680E"/>
    <w:rsid w:val="54632E69"/>
    <w:rsid w:val="57E46542"/>
    <w:rsid w:val="58BC4CC6"/>
    <w:rsid w:val="59223296"/>
    <w:rsid w:val="601041CF"/>
    <w:rsid w:val="627C335E"/>
    <w:rsid w:val="759F6C84"/>
    <w:rsid w:val="79930C21"/>
    <w:rsid w:val="7E5EFD0D"/>
    <w:rsid w:val="7E7D22AE"/>
    <w:rsid w:val="FEC6E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9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30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2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3"/>
    <w:semiHidden/>
    <w:unhideWhenUsed/>
    <w:qFormat/>
    <w:uiPriority w:val="99"/>
    <w:rPr>
      <w:b/>
      <w:bCs/>
    </w:rPr>
  </w:style>
  <w:style w:type="paragraph" w:styleId="17">
    <w:name w:val="Body Text First Indent 2"/>
    <w:basedOn w:val="5"/>
    <w:qFormat/>
    <w:uiPriority w:val="99"/>
    <w:pPr>
      <w:ind w:firstLine="420" w:firstLineChars="200"/>
    </w:pPr>
    <w:rPr>
      <w:rFonts w:ascii="Times New Roman" w:hAnsi="Times New Roman"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FollowedHyperlink"/>
    <w:basedOn w:val="20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2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0"/>
    <w:link w:val="11"/>
    <w:qFormat/>
    <w:uiPriority w:val="99"/>
    <w:rPr>
      <w:sz w:val="18"/>
      <w:szCs w:val="18"/>
    </w:rPr>
  </w:style>
  <w:style w:type="character" w:customStyle="1" w:styleId="25">
    <w:name w:val="页脚 Char"/>
    <w:basedOn w:val="20"/>
    <w:link w:val="10"/>
    <w:qFormat/>
    <w:uiPriority w:val="99"/>
    <w:rPr>
      <w:sz w:val="18"/>
      <w:szCs w:val="18"/>
    </w:rPr>
  </w:style>
  <w:style w:type="character" w:customStyle="1" w:styleId="26">
    <w:name w:val="标题 1 Char"/>
    <w:basedOn w:val="2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8">
    <w:name w:val="批注文字 Char"/>
    <w:basedOn w:val="2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纯文本 Char"/>
    <w:basedOn w:val="20"/>
    <w:link w:val="7"/>
    <w:qFormat/>
    <w:uiPriority w:val="0"/>
    <w:rPr>
      <w:rFonts w:ascii="宋体" w:hAnsi="Courier New"/>
    </w:rPr>
  </w:style>
  <w:style w:type="character" w:customStyle="1" w:styleId="30">
    <w:name w:val="日期 Char"/>
    <w:basedOn w:val="20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1">
    <w:name w:val="批注框文本 Char"/>
    <w:basedOn w:val="20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2 Char"/>
    <w:basedOn w:val="20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3">
    <w:name w:val="批注主题 Char"/>
    <w:basedOn w:val="28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4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9">
    <w:name w:val="qowt-font10-gbk"/>
    <w:basedOn w:val="20"/>
    <w:qFormat/>
    <w:uiPriority w:val="0"/>
  </w:style>
  <w:style w:type="character" w:customStyle="1" w:styleId="40">
    <w:name w:val="prev2"/>
    <w:basedOn w:val="20"/>
    <w:qFormat/>
    <w:uiPriority w:val="0"/>
    <w:rPr>
      <w:color w:val="888888"/>
    </w:rPr>
  </w:style>
  <w:style w:type="character" w:customStyle="1" w:styleId="41">
    <w:name w:val="next"/>
    <w:basedOn w:val="20"/>
    <w:qFormat/>
    <w:uiPriority w:val="0"/>
    <w:rPr>
      <w:color w:val="888888"/>
    </w:rPr>
  </w:style>
  <w:style w:type="character" w:customStyle="1" w:styleId="42">
    <w:name w:val="next1"/>
    <w:basedOn w:val="20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43">
    <w:name w:val="gjfg"/>
    <w:basedOn w:val="20"/>
    <w:qFormat/>
    <w:uiPriority w:val="0"/>
  </w:style>
  <w:style w:type="character" w:customStyle="1" w:styleId="44">
    <w:name w:val="cfdate"/>
    <w:basedOn w:val="20"/>
    <w:qFormat/>
    <w:uiPriority w:val="0"/>
    <w:rPr>
      <w:color w:val="333333"/>
      <w:sz w:val="14"/>
      <w:szCs w:val="14"/>
    </w:rPr>
  </w:style>
  <w:style w:type="character" w:customStyle="1" w:styleId="45">
    <w:name w:val="qxdate"/>
    <w:basedOn w:val="20"/>
    <w:qFormat/>
    <w:uiPriority w:val="0"/>
    <w:rPr>
      <w:color w:val="333333"/>
      <w:sz w:val="14"/>
      <w:szCs w:val="14"/>
    </w:rPr>
  </w:style>
  <w:style w:type="character" w:customStyle="1" w:styleId="46">
    <w:name w:val="redfilefwwh"/>
    <w:basedOn w:val="20"/>
    <w:qFormat/>
    <w:uiPriority w:val="0"/>
    <w:rPr>
      <w:color w:val="BA2636"/>
      <w:sz w:val="14"/>
      <w:szCs w:val="14"/>
    </w:rPr>
  </w:style>
  <w:style w:type="character" w:customStyle="1" w:styleId="47">
    <w:name w:val="redfilenumber"/>
    <w:basedOn w:val="20"/>
    <w:qFormat/>
    <w:uiPriority w:val="0"/>
    <w:rPr>
      <w:color w:val="BA2636"/>
      <w:sz w:val="14"/>
      <w:szCs w:val="14"/>
    </w:rPr>
  </w:style>
  <w:style w:type="character" w:customStyle="1" w:styleId="48">
    <w:name w:val="displayarti"/>
    <w:basedOn w:val="20"/>
    <w:qFormat/>
    <w:uiPriority w:val="0"/>
    <w:rPr>
      <w:color w:val="FFFFFF"/>
      <w:shd w:val="clear" w:fill="A00000"/>
    </w:rPr>
  </w:style>
  <w:style w:type="character" w:customStyle="1" w:styleId="49">
    <w:name w:val="prev3"/>
    <w:basedOn w:val="20"/>
    <w:qFormat/>
    <w:uiPriority w:val="0"/>
    <w:rPr>
      <w:color w:val="888888"/>
    </w:rPr>
  </w:style>
  <w:style w:type="paragraph" w:customStyle="1" w:styleId="50">
    <w:name w:val="_Style 78"/>
    <w:basedOn w:val="1"/>
    <w:next w:val="35"/>
    <w:qFormat/>
    <w:uiPriority w:val="0"/>
    <w:pPr>
      <w:widowControl w:val="0"/>
      <w:ind w:firstLine="420" w:firstLineChars="200"/>
      <w:jc w:val="both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699</Words>
  <Characters>893</Characters>
  <Lines>57</Lines>
  <Paragraphs>16</Paragraphs>
  <TotalTime>15</TotalTime>
  <ScaleCrop>false</ScaleCrop>
  <LinksUpToDate>false</LinksUpToDate>
  <CharactersWithSpaces>1549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2020-03-18T19:22:00Z</dcterms:created>
  <dc:creator>赵璧</dc:creator>
  <cp:lastModifiedBy>吴家豪</cp:lastModifiedBy>
  <cp:lastPrinted>2020-03-23T23:37:00Z</cp:lastPrinted>
  <dcterms:modified xsi:type="dcterms:W3CDTF">2025-08-04T02:19:42Z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C7118E3426ED4D8CBD3D9FAC40EE1723_13</vt:lpwstr>
  </property>
  <property fmtid="{D5CDD505-2E9C-101B-9397-08002B2CF9AE}" pid="4" name="KSOTemplateDocerSaveRecord">
    <vt:lpwstr>eyJoZGlkIjoiZWJmMDc0OWUzNGMzMWUzMzIzNjliY2Q3OTIyMzQ2MGMiLCJ1c2VySWQiOiI3MjA0MzczMDQifQ==</vt:lpwstr>
  </property>
</Properties>
</file>